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67459CD8" w:rsidR="009F77A4" w:rsidRDefault="00DD466D" w:rsidP="00387A66">
      <w:pPr>
        <w:pStyle w:val="Heading1"/>
      </w:pPr>
      <w:r>
        <w:t>1.ИМЕ НА ЛЕКАРСТВЕНИЯ ПРОДУКТ</w:t>
      </w:r>
    </w:p>
    <w:p w14:paraId="749EF756" w14:textId="11839B87" w:rsidR="00A25150" w:rsidRDefault="00A25150" w:rsidP="00A25150"/>
    <w:p w14:paraId="0D53DB78" w14:textId="77777777" w:rsidR="00A25150" w:rsidRPr="00A25150" w:rsidRDefault="00A25150" w:rsidP="00A25150">
      <w:pPr>
        <w:rPr>
          <w:sz w:val="24"/>
          <w:szCs w:val="24"/>
          <w:lang w:eastAsia="bg-BG"/>
        </w:rPr>
      </w:pPr>
      <w:r w:rsidRPr="00A25150">
        <w:rPr>
          <w:lang w:eastAsia="bg-BG"/>
        </w:rPr>
        <w:t xml:space="preserve">БлокМАКС 200 </w:t>
      </w:r>
      <w:r w:rsidRPr="00A25150">
        <w:rPr>
          <w:lang w:val="en-US"/>
        </w:rPr>
        <w:t xml:space="preserve">mg </w:t>
      </w:r>
      <w:r w:rsidRPr="00A25150">
        <w:rPr>
          <w:lang w:eastAsia="bg-BG"/>
        </w:rPr>
        <w:t>филмирани таблетки</w:t>
      </w:r>
    </w:p>
    <w:p w14:paraId="65174B41" w14:textId="77777777" w:rsidR="00A25150" w:rsidRPr="00A25150" w:rsidRDefault="00A25150" w:rsidP="00A25150">
      <w:pPr>
        <w:rPr>
          <w:sz w:val="24"/>
          <w:szCs w:val="24"/>
          <w:lang w:eastAsia="bg-BG"/>
        </w:rPr>
      </w:pPr>
      <w:r w:rsidRPr="00A25150">
        <w:rPr>
          <w:lang w:eastAsia="bg-BG"/>
        </w:rPr>
        <w:t xml:space="preserve">ВюкМАХ 200 </w:t>
      </w:r>
      <w:r w:rsidRPr="00A25150">
        <w:rPr>
          <w:lang w:val="en-US"/>
        </w:rPr>
        <w:t>mg film-coated tablets</w:t>
      </w:r>
    </w:p>
    <w:p w14:paraId="7CF2CFEE" w14:textId="77777777" w:rsidR="00A25150" w:rsidRDefault="00A25150" w:rsidP="00A25150">
      <w:pPr>
        <w:rPr>
          <w:lang w:eastAsia="bg-BG"/>
        </w:rPr>
      </w:pPr>
    </w:p>
    <w:p w14:paraId="49AEF373" w14:textId="00955BE3" w:rsidR="00A25150" w:rsidRPr="00A25150" w:rsidRDefault="00A25150" w:rsidP="00A25150">
      <w:pPr>
        <w:rPr>
          <w:sz w:val="24"/>
          <w:szCs w:val="24"/>
          <w:lang w:eastAsia="bg-BG"/>
        </w:rPr>
      </w:pPr>
      <w:r w:rsidRPr="00A25150">
        <w:rPr>
          <w:lang w:eastAsia="bg-BG"/>
        </w:rPr>
        <w:t xml:space="preserve">БлокМАКС форте 400 </w:t>
      </w:r>
      <w:r w:rsidRPr="00A25150">
        <w:rPr>
          <w:lang w:val="en-US"/>
        </w:rPr>
        <w:t xml:space="preserve">mg </w:t>
      </w:r>
      <w:r w:rsidRPr="00A25150">
        <w:rPr>
          <w:lang w:eastAsia="bg-BG"/>
        </w:rPr>
        <w:t>филмирани таблетки</w:t>
      </w:r>
    </w:p>
    <w:p w14:paraId="57BE5FC3" w14:textId="77777777" w:rsidR="00A25150" w:rsidRPr="00A25150" w:rsidRDefault="00A25150" w:rsidP="00A25150">
      <w:pPr>
        <w:rPr>
          <w:sz w:val="24"/>
          <w:szCs w:val="24"/>
          <w:lang w:eastAsia="bg-BG"/>
        </w:rPr>
      </w:pPr>
      <w:r w:rsidRPr="00A25150">
        <w:rPr>
          <w:lang w:eastAsia="bg-BG"/>
        </w:rPr>
        <w:t xml:space="preserve">ВюкМАХ </w:t>
      </w:r>
      <w:r w:rsidRPr="00A25150">
        <w:rPr>
          <w:lang w:val="en-US"/>
        </w:rPr>
        <w:t xml:space="preserve">forte </w:t>
      </w:r>
      <w:r w:rsidRPr="00A25150">
        <w:rPr>
          <w:lang w:eastAsia="bg-BG"/>
        </w:rPr>
        <w:t xml:space="preserve">400 </w:t>
      </w:r>
      <w:r w:rsidRPr="00A25150">
        <w:rPr>
          <w:lang w:val="en-US"/>
        </w:rPr>
        <w:t>mg film-coated tablets</w:t>
      </w:r>
    </w:p>
    <w:p w14:paraId="00F23222" w14:textId="77777777" w:rsidR="00A25150" w:rsidRPr="00A25150" w:rsidRDefault="00A25150" w:rsidP="00A25150"/>
    <w:p w14:paraId="0DF202EC" w14:textId="604D9B06" w:rsidR="00F53FB7" w:rsidRDefault="00DD466D" w:rsidP="00A93499">
      <w:pPr>
        <w:pStyle w:val="Heading1"/>
      </w:pPr>
      <w:r>
        <w:t>2. КАЧЕСТВЕН И КОЛИЧЕСТВЕН СЪСТАВ</w:t>
      </w:r>
    </w:p>
    <w:p w14:paraId="1C411EC2" w14:textId="0945A955" w:rsidR="00A25150" w:rsidRDefault="00A25150" w:rsidP="00A25150"/>
    <w:p w14:paraId="6F6703EF"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БлокМАКС 200 </w:t>
      </w:r>
      <w:r w:rsidRPr="00A25150">
        <w:rPr>
          <w:rFonts w:eastAsia="Times New Roman" w:cs="Arial"/>
          <w:color w:val="000000"/>
          <w:lang w:val="en-US"/>
        </w:rPr>
        <w:t xml:space="preserve">mg </w:t>
      </w:r>
      <w:r w:rsidRPr="00A25150">
        <w:rPr>
          <w:rFonts w:eastAsia="Times New Roman" w:cs="Arial"/>
          <w:color w:val="000000"/>
          <w:lang w:eastAsia="bg-BG"/>
        </w:rPr>
        <w:t>филмирани таблетки</w:t>
      </w:r>
    </w:p>
    <w:p w14:paraId="5E0EE720"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Всяка таблетка съдържа 200 </w:t>
      </w:r>
      <w:r w:rsidRPr="00A25150">
        <w:rPr>
          <w:rFonts w:eastAsia="Times New Roman" w:cs="Arial"/>
          <w:color w:val="000000"/>
          <w:lang w:val="en-US"/>
        </w:rPr>
        <w:t xml:space="preserve">mg </w:t>
      </w:r>
      <w:r w:rsidRPr="00A25150">
        <w:rPr>
          <w:rFonts w:eastAsia="Times New Roman" w:cs="Arial"/>
          <w:color w:val="000000"/>
          <w:lang w:eastAsia="bg-BG"/>
        </w:rPr>
        <w:t xml:space="preserve">ибупрофен </w:t>
      </w:r>
      <w:r w:rsidRPr="00A25150">
        <w:rPr>
          <w:rFonts w:eastAsia="Times New Roman" w:cs="Arial"/>
          <w:i/>
          <w:iCs/>
          <w:color w:val="000000"/>
          <w:lang w:val="en-US"/>
        </w:rPr>
        <w:t>(ibuprofen),</w:t>
      </w:r>
    </w:p>
    <w:p w14:paraId="20938861" w14:textId="77777777" w:rsidR="00A25150" w:rsidRPr="00A25150" w:rsidRDefault="00A25150" w:rsidP="00A25150">
      <w:pPr>
        <w:spacing w:line="240" w:lineRule="auto"/>
        <w:rPr>
          <w:rFonts w:eastAsia="Times New Roman" w:cs="Arial"/>
          <w:color w:val="000000"/>
          <w:u w:val="single"/>
          <w:lang w:eastAsia="bg-BG"/>
        </w:rPr>
      </w:pPr>
    </w:p>
    <w:p w14:paraId="7CC5A7D7" w14:textId="6F295AF6"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u w:val="single"/>
          <w:lang w:eastAsia="bg-BG"/>
        </w:rPr>
        <w:t>Помошно(и) вещество(а) с известно действие:</w:t>
      </w:r>
      <w:r w:rsidRPr="00A25150">
        <w:rPr>
          <w:rFonts w:eastAsia="Times New Roman" w:cs="Arial"/>
          <w:color w:val="000000"/>
          <w:lang w:eastAsia="bg-BG"/>
        </w:rPr>
        <w:t xml:space="preserve"> 72,22 </w:t>
      </w:r>
      <w:r w:rsidRPr="00A25150">
        <w:rPr>
          <w:rFonts w:eastAsia="Times New Roman" w:cs="Arial"/>
          <w:color w:val="000000"/>
          <w:lang w:val="en-US"/>
        </w:rPr>
        <w:t xml:space="preserve">mg </w:t>
      </w:r>
      <w:r w:rsidRPr="00A25150">
        <w:rPr>
          <w:rFonts w:eastAsia="Times New Roman" w:cs="Arial"/>
          <w:color w:val="000000"/>
          <w:lang w:eastAsia="bg-BG"/>
        </w:rPr>
        <w:t>лактоза монохидрат за таблетка.</w:t>
      </w:r>
    </w:p>
    <w:p w14:paraId="7AAD8DE4" w14:textId="77777777" w:rsidR="00A25150" w:rsidRPr="00A25150" w:rsidRDefault="00A25150" w:rsidP="00A25150">
      <w:pPr>
        <w:spacing w:line="240" w:lineRule="auto"/>
        <w:rPr>
          <w:rFonts w:eastAsia="Times New Roman" w:cs="Arial"/>
          <w:color w:val="000000"/>
          <w:lang w:eastAsia="bg-BG"/>
        </w:rPr>
      </w:pPr>
    </w:p>
    <w:p w14:paraId="45C4CE8D" w14:textId="1759D264"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БлокМАКС форте 400 </w:t>
      </w:r>
      <w:r w:rsidRPr="00A25150">
        <w:rPr>
          <w:rFonts w:eastAsia="Times New Roman" w:cs="Arial"/>
          <w:color w:val="000000"/>
          <w:lang w:val="en-US"/>
        </w:rPr>
        <w:t xml:space="preserve">mg </w:t>
      </w:r>
      <w:r w:rsidRPr="00A25150">
        <w:rPr>
          <w:rFonts w:eastAsia="Times New Roman" w:cs="Arial"/>
          <w:color w:val="000000"/>
          <w:lang w:eastAsia="bg-BG"/>
        </w:rPr>
        <w:t>филмирани таблетки</w:t>
      </w:r>
    </w:p>
    <w:p w14:paraId="2A34E359"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Всяка таблетка съдържа 400 </w:t>
      </w:r>
      <w:r w:rsidRPr="00A25150">
        <w:rPr>
          <w:rFonts w:eastAsia="Times New Roman" w:cs="Arial"/>
          <w:color w:val="000000"/>
          <w:lang w:val="en-US"/>
        </w:rPr>
        <w:t xml:space="preserve">mg </w:t>
      </w:r>
      <w:r w:rsidRPr="00A25150">
        <w:rPr>
          <w:rFonts w:eastAsia="Times New Roman" w:cs="Arial"/>
          <w:color w:val="000000"/>
          <w:lang w:eastAsia="bg-BG"/>
        </w:rPr>
        <w:t xml:space="preserve">ибупрофен </w:t>
      </w:r>
      <w:r w:rsidRPr="00A25150">
        <w:rPr>
          <w:rFonts w:eastAsia="Times New Roman" w:cs="Arial"/>
          <w:i/>
          <w:iCs/>
          <w:color w:val="000000"/>
          <w:lang w:val="en-US"/>
        </w:rPr>
        <w:t>(ibuprofen).</w:t>
      </w:r>
    </w:p>
    <w:p w14:paraId="78C42203" w14:textId="77777777" w:rsidR="00A25150" w:rsidRPr="00A25150" w:rsidRDefault="00A25150" w:rsidP="00A25150">
      <w:pPr>
        <w:spacing w:line="240" w:lineRule="auto"/>
        <w:rPr>
          <w:rFonts w:eastAsia="Times New Roman" w:cs="Arial"/>
          <w:color w:val="000000"/>
          <w:u w:val="single"/>
          <w:lang w:eastAsia="bg-BG"/>
        </w:rPr>
      </w:pPr>
    </w:p>
    <w:p w14:paraId="4A0284EE" w14:textId="14F792B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u w:val="single"/>
          <w:lang w:eastAsia="bg-BG"/>
        </w:rPr>
        <w:t>Помощно(и) веществена) с известно действие:</w:t>
      </w:r>
      <w:r w:rsidRPr="00A25150">
        <w:rPr>
          <w:rFonts w:eastAsia="Times New Roman" w:cs="Arial"/>
          <w:color w:val="000000"/>
          <w:lang w:eastAsia="bg-BG"/>
        </w:rPr>
        <w:t xml:space="preserve"> 144,43 </w:t>
      </w:r>
      <w:r w:rsidRPr="00A25150">
        <w:rPr>
          <w:rFonts w:eastAsia="Times New Roman" w:cs="Arial"/>
          <w:color w:val="000000"/>
          <w:lang w:val="en-US"/>
        </w:rPr>
        <w:t xml:space="preserve">mg </w:t>
      </w:r>
      <w:r w:rsidRPr="00A25150">
        <w:rPr>
          <w:rFonts w:eastAsia="Times New Roman" w:cs="Arial"/>
          <w:color w:val="000000"/>
          <w:lang w:eastAsia="bg-BG"/>
        </w:rPr>
        <w:t>лактоза монохидрат за таблетка.</w:t>
      </w:r>
    </w:p>
    <w:p w14:paraId="507DE5D7" w14:textId="77777777" w:rsidR="00A25150" w:rsidRPr="00A25150" w:rsidRDefault="00A25150" w:rsidP="00A25150"/>
    <w:p w14:paraId="4CABB9ED" w14:textId="6F2416E4" w:rsidR="00F53FB7" w:rsidRDefault="00DD466D" w:rsidP="00A93499">
      <w:pPr>
        <w:pStyle w:val="Heading1"/>
      </w:pPr>
      <w:r>
        <w:t>3. ЛЕКАРСТВЕНА ФОРМА</w:t>
      </w:r>
    </w:p>
    <w:p w14:paraId="568F1A7E" w14:textId="4AF842BE" w:rsidR="00A25150" w:rsidRDefault="00A25150" w:rsidP="00A25150"/>
    <w:p w14:paraId="7912E727"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Филмирана таблетка</w:t>
      </w:r>
    </w:p>
    <w:p w14:paraId="2C0194EC" w14:textId="77777777" w:rsidR="00A25150" w:rsidRPr="00A25150" w:rsidRDefault="00A25150" w:rsidP="00A25150">
      <w:pPr>
        <w:spacing w:line="240" w:lineRule="auto"/>
        <w:rPr>
          <w:rFonts w:eastAsia="Times New Roman" w:cs="Arial"/>
          <w:color w:val="000000"/>
          <w:lang w:eastAsia="bg-BG"/>
        </w:rPr>
      </w:pPr>
    </w:p>
    <w:p w14:paraId="653ACE88" w14:textId="447DDFDA"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БлокМАКС 200 </w:t>
      </w:r>
      <w:r w:rsidRPr="00A25150">
        <w:rPr>
          <w:rFonts w:eastAsia="Times New Roman" w:cs="Arial"/>
          <w:color w:val="000000"/>
          <w:lang w:val="en-US"/>
        </w:rPr>
        <w:t xml:space="preserve">mg </w:t>
      </w:r>
      <w:r w:rsidRPr="00A25150">
        <w:rPr>
          <w:rFonts w:eastAsia="Times New Roman" w:cs="Arial"/>
          <w:color w:val="000000"/>
          <w:lang w:eastAsia="bg-BG"/>
        </w:rPr>
        <w:t>филмирани таблетки</w:t>
      </w:r>
    </w:p>
    <w:p w14:paraId="1C1231EB"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Продълговати, двойно-изпъкнали, бели до почти бели филмирани таблетки.</w:t>
      </w:r>
    </w:p>
    <w:p w14:paraId="0111B72D"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Размерите на всяка таблетка са приблизително 14,5 </w:t>
      </w:r>
      <w:r w:rsidRPr="00A25150">
        <w:rPr>
          <w:rFonts w:eastAsia="Times New Roman" w:cs="Arial"/>
          <w:color w:val="000000"/>
          <w:lang w:val="en-US"/>
        </w:rPr>
        <w:t xml:space="preserve">mm </w:t>
      </w:r>
      <w:r w:rsidRPr="00A25150">
        <w:rPr>
          <w:rFonts w:eastAsia="Times New Roman" w:cs="Arial"/>
          <w:color w:val="000000"/>
          <w:lang w:eastAsia="bg-BG"/>
        </w:rPr>
        <w:t xml:space="preserve">х 6,5 </w:t>
      </w:r>
      <w:r w:rsidRPr="00A25150">
        <w:rPr>
          <w:rFonts w:eastAsia="Times New Roman" w:cs="Arial"/>
          <w:color w:val="000000"/>
          <w:lang w:val="en-US"/>
        </w:rPr>
        <w:t>mm.</w:t>
      </w:r>
    </w:p>
    <w:p w14:paraId="37F1D96E" w14:textId="77777777" w:rsidR="00A25150" w:rsidRPr="00A25150" w:rsidRDefault="00A25150" w:rsidP="00A25150">
      <w:pPr>
        <w:spacing w:line="240" w:lineRule="auto"/>
        <w:rPr>
          <w:rFonts w:eastAsia="Times New Roman" w:cs="Arial"/>
          <w:color w:val="000000"/>
          <w:lang w:eastAsia="bg-BG"/>
        </w:rPr>
      </w:pPr>
    </w:p>
    <w:p w14:paraId="1FACF2AC" w14:textId="62537D11"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БлокМАКС форте 400 </w:t>
      </w:r>
      <w:r w:rsidRPr="00A25150">
        <w:rPr>
          <w:rFonts w:eastAsia="Times New Roman" w:cs="Arial"/>
          <w:color w:val="000000"/>
          <w:lang w:val="en-US"/>
        </w:rPr>
        <w:t xml:space="preserve">mg </w:t>
      </w:r>
      <w:r w:rsidRPr="00A25150">
        <w:rPr>
          <w:rFonts w:eastAsia="Times New Roman" w:cs="Arial"/>
          <w:color w:val="000000"/>
          <w:lang w:eastAsia="bg-BG"/>
        </w:rPr>
        <w:t>филмирани таблетки</w:t>
      </w:r>
    </w:p>
    <w:p w14:paraId="48E6623D"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Продълговати, двойно-изпъкнали, бели до почти бели филмирани таблетки с делителна черта от едната страна.</w:t>
      </w:r>
    </w:p>
    <w:p w14:paraId="49539484" w14:textId="6BBB28F2"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Размерите на всяка таблетка са приблизително 20 </w:t>
      </w:r>
      <w:r w:rsidRPr="00A25150">
        <w:rPr>
          <w:rFonts w:eastAsia="Times New Roman" w:cs="Arial"/>
          <w:color w:val="000000"/>
          <w:lang w:val="en-US"/>
        </w:rPr>
        <w:t xml:space="preserve">mm </w:t>
      </w:r>
      <w:r w:rsidRPr="00A25150">
        <w:rPr>
          <w:rFonts w:eastAsia="Times New Roman" w:cs="Arial"/>
          <w:color w:val="000000"/>
          <w:lang w:eastAsia="bg-BG"/>
        </w:rPr>
        <w:t xml:space="preserve">х 8 </w:t>
      </w:r>
      <w:r w:rsidRPr="00A25150">
        <w:rPr>
          <w:rFonts w:eastAsia="Times New Roman" w:cs="Arial"/>
          <w:color w:val="000000"/>
          <w:lang w:val="en-US"/>
        </w:rPr>
        <w:t>mm.</w:t>
      </w:r>
    </w:p>
    <w:p w14:paraId="26755FBA"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Делителната черта е само за улесняване на счупването с цел по-лесно поглъщане, а не за разделяне на равни дози.</w:t>
      </w:r>
    </w:p>
    <w:p w14:paraId="31254D3D" w14:textId="77777777" w:rsidR="00A25150" w:rsidRPr="00A25150" w:rsidRDefault="00A25150" w:rsidP="00A25150"/>
    <w:p w14:paraId="490FC2C4" w14:textId="6899DE43" w:rsidR="002C50EE" w:rsidRDefault="002C50EE" w:rsidP="002C50EE">
      <w:pPr>
        <w:pStyle w:val="Heading1"/>
      </w:pPr>
      <w:r>
        <w:t>4. КЛИНИЧНИ ДАННИ</w:t>
      </w:r>
    </w:p>
    <w:p w14:paraId="461901E4" w14:textId="3F764279" w:rsidR="009F77A4" w:rsidRDefault="002C50EE" w:rsidP="00387A66">
      <w:pPr>
        <w:pStyle w:val="Heading2"/>
      </w:pPr>
      <w:r>
        <w:t>4.1. Терапевтични показания</w:t>
      </w:r>
    </w:p>
    <w:p w14:paraId="36E0E7C9" w14:textId="6D28DCF6" w:rsidR="00A25150" w:rsidRDefault="00A25150" w:rsidP="00A25150"/>
    <w:p w14:paraId="27A53657" w14:textId="77777777" w:rsidR="00A25150" w:rsidRPr="00A25150" w:rsidRDefault="00A25150" w:rsidP="00A25150">
      <w:pPr>
        <w:rPr>
          <w:sz w:val="24"/>
          <w:szCs w:val="24"/>
          <w:lang w:eastAsia="bg-BG"/>
        </w:rPr>
      </w:pPr>
      <w:r w:rsidRPr="00A25150">
        <w:rPr>
          <w:lang w:eastAsia="bg-BG"/>
        </w:rPr>
        <w:t>Краткосрочно симптоматично лечение на лека до умерена болка и висока температура.</w:t>
      </w:r>
    </w:p>
    <w:p w14:paraId="5AA158D9" w14:textId="77777777" w:rsidR="00A25150" w:rsidRDefault="00A25150" w:rsidP="00A25150">
      <w:pPr>
        <w:rPr>
          <w:lang w:eastAsia="bg-BG"/>
        </w:rPr>
      </w:pPr>
    </w:p>
    <w:p w14:paraId="0822687F" w14:textId="40857334" w:rsidR="00A25150" w:rsidRPr="00A25150" w:rsidRDefault="00A25150" w:rsidP="00A25150">
      <w:pPr>
        <w:rPr>
          <w:sz w:val="24"/>
          <w:szCs w:val="24"/>
          <w:lang w:eastAsia="bg-BG"/>
        </w:rPr>
      </w:pPr>
      <w:r w:rsidRPr="00A25150">
        <w:rPr>
          <w:lang w:eastAsia="bg-BG"/>
        </w:rPr>
        <w:lastRenderedPageBreak/>
        <w:t>Краткосрочно симптоматично лечение на болка и фебрилитет, свързани с обикновена настинка.</w:t>
      </w:r>
    </w:p>
    <w:p w14:paraId="53B1CC7E" w14:textId="77777777" w:rsidR="00A25150" w:rsidRPr="00A25150" w:rsidRDefault="00A25150" w:rsidP="00A25150"/>
    <w:p w14:paraId="31744E5A" w14:textId="4021E4BB" w:rsidR="009F77A4" w:rsidRDefault="002C50EE" w:rsidP="00387A66">
      <w:pPr>
        <w:pStyle w:val="Heading2"/>
      </w:pPr>
      <w:r>
        <w:t>4.2. Дозировка и начин на приложение</w:t>
      </w:r>
    </w:p>
    <w:p w14:paraId="6F50C2D5" w14:textId="084F4A9C" w:rsidR="00A25150" w:rsidRDefault="00A25150" w:rsidP="00A25150"/>
    <w:p w14:paraId="209DED28" w14:textId="77777777" w:rsidR="00A25150" w:rsidRPr="00A25150" w:rsidRDefault="00A25150" w:rsidP="00A25150">
      <w:pPr>
        <w:pStyle w:val="Heading3"/>
        <w:rPr>
          <w:rFonts w:eastAsia="Times New Roman"/>
          <w:u w:val="single"/>
          <w:lang w:eastAsia="bg-BG"/>
        </w:rPr>
      </w:pPr>
      <w:r w:rsidRPr="00A25150">
        <w:rPr>
          <w:rFonts w:eastAsia="Times New Roman"/>
          <w:u w:val="single"/>
          <w:lang w:eastAsia="bg-BG"/>
        </w:rPr>
        <w:t>Дозировка</w:t>
      </w:r>
    </w:p>
    <w:p w14:paraId="1519854E" w14:textId="77777777" w:rsidR="00A25150" w:rsidRPr="00A25150" w:rsidRDefault="00A25150" w:rsidP="00A25150">
      <w:pPr>
        <w:spacing w:line="240" w:lineRule="auto"/>
        <w:rPr>
          <w:rFonts w:eastAsia="Times New Roman" w:cs="Arial"/>
          <w:color w:val="000000"/>
          <w:u w:val="single"/>
          <w:lang w:eastAsia="bg-BG"/>
        </w:rPr>
      </w:pPr>
    </w:p>
    <w:p w14:paraId="52F9361A" w14:textId="0CB4F4A1"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u w:val="single"/>
          <w:lang w:eastAsia="bg-BG"/>
        </w:rPr>
        <w:t>Най-ниската ефективна доза трябва да се използва за възможно най-краткото време, необходимо за облекчаване на симптомите (вж. точка 4.4).</w:t>
      </w:r>
    </w:p>
    <w:p w14:paraId="35A3B959" w14:textId="77777777" w:rsidR="00A25150" w:rsidRPr="00A25150" w:rsidRDefault="00A25150" w:rsidP="00A25150">
      <w:pPr>
        <w:spacing w:line="240" w:lineRule="auto"/>
        <w:rPr>
          <w:rFonts w:eastAsia="Times New Roman" w:cs="Arial"/>
          <w:i/>
          <w:iCs/>
          <w:color w:val="000000"/>
          <w:lang w:eastAsia="bg-BG"/>
        </w:rPr>
      </w:pPr>
    </w:p>
    <w:p w14:paraId="3D9D74F6" w14:textId="0F1BB963" w:rsidR="00A25150" w:rsidRPr="00A25150" w:rsidRDefault="00A25150" w:rsidP="00A25150">
      <w:pPr>
        <w:spacing w:line="240" w:lineRule="auto"/>
        <w:rPr>
          <w:rFonts w:eastAsia="Times New Roman" w:cs="Arial"/>
          <w:sz w:val="24"/>
          <w:szCs w:val="24"/>
          <w:lang w:eastAsia="bg-BG"/>
        </w:rPr>
      </w:pPr>
      <w:r w:rsidRPr="00A25150">
        <w:rPr>
          <w:rFonts w:eastAsia="Times New Roman" w:cs="Arial"/>
          <w:i/>
          <w:iCs/>
          <w:color w:val="000000"/>
          <w:lang w:eastAsia="bg-BG"/>
        </w:rPr>
        <w:t>Възрастни и юноши на възраст над 12 години:</w:t>
      </w:r>
    </w:p>
    <w:p w14:paraId="5C9CE253"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Обичайната единична доза е 200 </w:t>
      </w:r>
      <w:r w:rsidRPr="00A25150">
        <w:rPr>
          <w:rFonts w:eastAsia="Times New Roman" w:cs="Arial"/>
          <w:color w:val="000000"/>
          <w:lang w:val="en-US"/>
        </w:rPr>
        <w:t xml:space="preserve">mg </w:t>
      </w:r>
      <w:r w:rsidRPr="00A25150">
        <w:rPr>
          <w:rFonts w:eastAsia="Times New Roman" w:cs="Arial"/>
          <w:color w:val="000000"/>
          <w:lang w:eastAsia="bg-BG"/>
        </w:rPr>
        <w:t xml:space="preserve">- 400 </w:t>
      </w:r>
      <w:r w:rsidRPr="00A25150">
        <w:rPr>
          <w:rFonts w:eastAsia="Times New Roman" w:cs="Arial"/>
          <w:color w:val="000000"/>
          <w:lang w:val="en-US"/>
        </w:rPr>
        <w:t xml:space="preserve">mg </w:t>
      </w:r>
      <w:r w:rsidRPr="00A25150">
        <w:rPr>
          <w:rFonts w:eastAsia="Times New Roman" w:cs="Arial"/>
          <w:color w:val="000000"/>
          <w:lang w:eastAsia="bg-BG"/>
        </w:rPr>
        <w:t xml:space="preserve">до три пъти на ден според нуждите. Максималната единична доза не трябва да надвишава 400 </w:t>
      </w:r>
      <w:r w:rsidRPr="00A25150">
        <w:rPr>
          <w:rFonts w:eastAsia="Times New Roman" w:cs="Arial"/>
          <w:color w:val="000000"/>
          <w:lang w:val="en-US"/>
        </w:rPr>
        <w:t>mg.</w:t>
      </w:r>
    </w:p>
    <w:p w14:paraId="57996008" w14:textId="77777777" w:rsidR="00A25150" w:rsidRPr="00A25150" w:rsidRDefault="00A25150" w:rsidP="00A25150">
      <w:pPr>
        <w:spacing w:line="240" w:lineRule="auto"/>
        <w:rPr>
          <w:rFonts w:eastAsia="Times New Roman" w:cs="Arial"/>
          <w:color w:val="000000"/>
          <w:lang w:eastAsia="bg-BG"/>
        </w:rPr>
      </w:pPr>
    </w:p>
    <w:p w14:paraId="09A365A5" w14:textId="650A4F84"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Оставете 4 до 6 часа между дозите и не приемайте повече от 1200 </w:t>
      </w:r>
      <w:r w:rsidRPr="00A25150">
        <w:rPr>
          <w:rFonts w:eastAsia="Times New Roman" w:cs="Arial"/>
          <w:color w:val="000000"/>
          <w:lang w:val="en-US"/>
        </w:rPr>
        <w:t xml:space="preserve">mg </w:t>
      </w:r>
      <w:r w:rsidRPr="00A25150">
        <w:rPr>
          <w:rFonts w:eastAsia="Times New Roman" w:cs="Arial"/>
          <w:color w:val="000000"/>
          <w:lang w:eastAsia="bg-BG"/>
        </w:rPr>
        <w:t>на всеки период от 24 часа.</w:t>
      </w:r>
    </w:p>
    <w:p w14:paraId="28890ADD" w14:textId="77777777" w:rsidR="00A25150" w:rsidRPr="00A25150" w:rsidRDefault="00A25150" w:rsidP="00A25150">
      <w:pPr>
        <w:spacing w:line="240" w:lineRule="auto"/>
        <w:rPr>
          <w:rFonts w:eastAsia="Times New Roman" w:cs="Arial"/>
          <w:color w:val="000000"/>
          <w:lang w:eastAsia="bg-BG"/>
        </w:rPr>
      </w:pPr>
    </w:p>
    <w:p w14:paraId="5C7F1619" w14:textId="3205EE05"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Ако при възрастни се изисква прием на този продукт за повече от 3 дни в случай на температура или за повече от 5 дни за лечение на болка или ако симптомите се влошат, на пациента се препоръчва да се консултира с лекар, освен ако лекар не му е предписал друго.</w:t>
      </w:r>
    </w:p>
    <w:p w14:paraId="3EBE66C7" w14:textId="77777777" w:rsidR="00A25150" w:rsidRPr="00A25150" w:rsidRDefault="00A25150" w:rsidP="00A25150">
      <w:pPr>
        <w:spacing w:line="240" w:lineRule="auto"/>
        <w:rPr>
          <w:rFonts w:eastAsia="Times New Roman" w:cs="Arial"/>
          <w:color w:val="000000"/>
          <w:lang w:eastAsia="bg-BG"/>
        </w:rPr>
      </w:pPr>
    </w:p>
    <w:p w14:paraId="127FAEE7" w14:textId="2C7279FB"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Ако при юноши се изисква прием на този лекарствен продукт за повече от 3 дни или ако симптомите се влошат, трябва да се потърси консултация с лекар.</w:t>
      </w:r>
    </w:p>
    <w:p w14:paraId="3E50D73D" w14:textId="77777777" w:rsidR="00A25150" w:rsidRPr="00A25150" w:rsidRDefault="00A25150" w:rsidP="00A25150">
      <w:pPr>
        <w:spacing w:line="240" w:lineRule="auto"/>
        <w:rPr>
          <w:rFonts w:eastAsia="Times New Roman" w:cs="Arial"/>
          <w:color w:val="000000"/>
          <w:lang w:eastAsia="bg-BG"/>
        </w:rPr>
      </w:pPr>
    </w:p>
    <w:p w14:paraId="47658406" w14:textId="2979BCE8"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Нежеланите реакции могат да бъдат намалени до минимум чрез използване на най-ниската ефективна доза, необходима за контролиране на симптомите за най-краткото време (вж. точка 4.4).</w:t>
      </w:r>
    </w:p>
    <w:p w14:paraId="3B0605C4" w14:textId="77777777" w:rsidR="00A25150" w:rsidRPr="00A25150" w:rsidRDefault="00A25150" w:rsidP="00A25150">
      <w:pPr>
        <w:spacing w:line="240" w:lineRule="auto"/>
        <w:rPr>
          <w:rFonts w:eastAsia="Times New Roman" w:cs="Arial"/>
          <w:i/>
          <w:iCs/>
          <w:color w:val="000000"/>
          <w:lang w:eastAsia="bg-BG"/>
        </w:rPr>
      </w:pPr>
    </w:p>
    <w:p w14:paraId="1C86A52F" w14:textId="3E5E1986" w:rsidR="00A25150" w:rsidRPr="00A25150" w:rsidRDefault="00A25150" w:rsidP="00A25150">
      <w:pPr>
        <w:spacing w:line="240" w:lineRule="auto"/>
        <w:rPr>
          <w:rFonts w:eastAsia="Times New Roman" w:cs="Arial"/>
          <w:sz w:val="24"/>
          <w:szCs w:val="24"/>
          <w:lang w:eastAsia="bg-BG"/>
        </w:rPr>
      </w:pPr>
      <w:r w:rsidRPr="00A25150">
        <w:rPr>
          <w:rFonts w:eastAsia="Times New Roman" w:cs="Arial"/>
          <w:i/>
          <w:iCs/>
          <w:color w:val="000000"/>
          <w:lang w:eastAsia="bg-BG"/>
        </w:rPr>
        <w:t>Педиатрична популация</w:t>
      </w:r>
    </w:p>
    <w:p w14:paraId="747BCF18"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БлокМАКС не е подходящ за употреба при деца на възраст под 12 години. За тази популация има други, по-подходящи лекарствени форми на ибупрофен.</w:t>
      </w:r>
    </w:p>
    <w:p w14:paraId="43A1EA05" w14:textId="77777777" w:rsidR="00A25150" w:rsidRPr="00A25150" w:rsidRDefault="00A25150" w:rsidP="00A25150">
      <w:pPr>
        <w:spacing w:line="240" w:lineRule="auto"/>
        <w:rPr>
          <w:rFonts w:eastAsia="Times New Roman" w:cs="Arial"/>
          <w:i/>
          <w:iCs/>
          <w:color w:val="000000"/>
          <w:lang w:eastAsia="bg-BG"/>
        </w:rPr>
      </w:pPr>
    </w:p>
    <w:p w14:paraId="4CC4AF73" w14:textId="7118131B" w:rsidR="00A25150" w:rsidRPr="00A25150" w:rsidRDefault="00A25150" w:rsidP="00A25150">
      <w:pPr>
        <w:spacing w:line="240" w:lineRule="auto"/>
        <w:rPr>
          <w:rFonts w:eastAsia="Times New Roman" w:cs="Arial"/>
          <w:sz w:val="24"/>
          <w:szCs w:val="24"/>
          <w:lang w:eastAsia="bg-BG"/>
        </w:rPr>
      </w:pPr>
      <w:r w:rsidRPr="00A25150">
        <w:rPr>
          <w:rFonts w:eastAsia="Times New Roman" w:cs="Arial"/>
          <w:i/>
          <w:iCs/>
          <w:color w:val="000000"/>
          <w:lang w:eastAsia="bg-BG"/>
        </w:rPr>
        <w:t>Пациенти в старческа възраст</w:t>
      </w:r>
    </w:p>
    <w:p w14:paraId="308B9FA0"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НСПВС трябва да се използват с особено внимание при пациенти в старческа възраст, които са по-податливи на нежелани реакции (вж. точки 4.4 и 4.8). Ако лечението се счита за необходимо, трябва да се използва най-ниската доза за най-краткия период, необходим за контролиране на симптомите. Лечението трябва да се преразглежда на редовни интервали и да бъде прекратено, ако не се наблюдава полза или възникне непоносимост.</w:t>
      </w:r>
    </w:p>
    <w:p w14:paraId="2DA3CE39" w14:textId="77777777" w:rsidR="00A25150" w:rsidRPr="00A25150" w:rsidRDefault="00A25150" w:rsidP="00A25150">
      <w:pPr>
        <w:spacing w:line="240" w:lineRule="auto"/>
        <w:rPr>
          <w:rFonts w:eastAsia="Times New Roman" w:cs="Arial"/>
          <w:i/>
          <w:iCs/>
          <w:color w:val="000000"/>
          <w:lang w:eastAsia="bg-BG"/>
        </w:rPr>
      </w:pPr>
    </w:p>
    <w:p w14:paraId="77779696" w14:textId="359B9B5B" w:rsidR="00A25150" w:rsidRPr="00A25150" w:rsidRDefault="00A25150" w:rsidP="00A25150">
      <w:pPr>
        <w:spacing w:line="240" w:lineRule="auto"/>
        <w:rPr>
          <w:rFonts w:eastAsia="Times New Roman" w:cs="Arial"/>
          <w:sz w:val="24"/>
          <w:szCs w:val="24"/>
          <w:lang w:eastAsia="bg-BG"/>
        </w:rPr>
      </w:pPr>
      <w:r w:rsidRPr="00A25150">
        <w:rPr>
          <w:rFonts w:eastAsia="Times New Roman" w:cs="Arial"/>
          <w:i/>
          <w:iCs/>
          <w:color w:val="000000"/>
          <w:lang w:eastAsia="bg-BG"/>
        </w:rPr>
        <w:t>Бъбречно увреждане</w:t>
      </w:r>
    </w:p>
    <w:p w14:paraId="41D8F40D"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При пациенти с леко или умерено намаление на бъбречната функция дозата трябва да се поддържа възможно най-ниска за най-краткия период, необходим за контролиране на симптомите и бъбречната функция трябва да се наблюдава. (При пациенти с тежка бъбречна недостатъчност вижте точка 4.3).</w:t>
      </w:r>
    </w:p>
    <w:p w14:paraId="12194513" w14:textId="77777777" w:rsidR="00A25150" w:rsidRPr="00A25150" w:rsidRDefault="00A25150" w:rsidP="00A25150">
      <w:pPr>
        <w:spacing w:line="240" w:lineRule="auto"/>
        <w:rPr>
          <w:rFonts w:eastAsia="Times New Roman" w:cs="Arial"/>
          <w:i/>
          <w:iCs/>
          <w:color w:val="000000"/>
          <w:lang w:eastAsia="bg-BG"/>
        </w:rPr>
      </w:pPr>
    </w:p>
    <w:p w14:paraId="3B175E6E" w14:textId="002B2439" w:rsidR="00A25150" w:rsidRPr="00A25150" w:rsidRDefault="00A25150" w:rsidP="00A25150">
      <w:pPr>
        <w:spacing w:line="240" w:lineRule="auto"/>
        <w:rPr>
          <w:rFonts w:eastAsia="Times New Roman" w:cs="Arial"/>
          <w:sz w:val="24"/>
          <w:szCs w:val="24"/>
          <w:lang w:eastAsia="bg-BG"/>
        </w:rPr>
      </w:pPr>
      <w:r w:rsidRPr="00A25150">
        <w:rPr>
          <w:rFonts w:eastAsia="Times New Roman" w:cs="Arial"/>
          <w:i/>
          <w:iCs/>
          <w:color w:val="000000"/>
          <w:lang w:eastAsia="bg-BG"/>
        </w:rPr>
        <w:t>Чернодробно увреждане</w:t>
      </w:r>
    </w:p>
    <w:p w14:paraId="0A8E7549"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lastRenderedPageBreak/>
        <w:t>При пациенти с леко или умерено намаление на чернодробната функция дозата трябва да се поддържа възможно най-ниска за най-краткия необходим период. (При пациенти с тежка чернодробна недостатъчност вижте точка 4.3).</w:t>
      </w:r>
    </w:p>
    <w:p w14:paraId="17517248" w14:textId="77777777" w:rsidR="00A25150" w:rsidRPr="00A25150" w:rsidRDefault="00A25150" w:rsidP="00A25150">
      <w:pPr>
        <w:spacing w:line="240" w:lineRule="auto"/>
        <w:rPr>
          <w:rFonts w:eastAsia="Times New Roman" w:cs="Arial"/>
          <w:color w:val="000000"/>
          <w:u w:val="single"/>
          <w:lang w:eastAsia="bg-BG"/>
        </w:rPr>
      </w:pPr>
    </w:p>
    <w:p w14:paraId="16362466" w14:textId="6E7B9D61" w:rsidR="00A25150" w:rsidRPr="00A25150" w:rsidRDefault="00A25150" w:rsidP="00A25150">
      <w:pPr>
        <w:pStyle w:val="Heading3"/>
        <w:rPr>
          <w:rFonts w:eastAsia="Times New Roman"/>
          <w:u w:val="single"/>
          <w:lang w:eastAsia="bg-BG"/>
        </w:rPr>
      </w:pPr>
      <w:r w:rsidRPr="00A25150">
        <w:rPr>
          <w:rFonts w:eastAsia="Times New Roman"/>
          <w:u w:val="single"/>
          <w:lang w:eastAsia="bg-BG"/>
        </w:rPr>
        <w:t>Начин на приложение</w:t>
      </w:r>
    </w:p>
    <w:p w14:paraId="361F1D58"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Само за перорално приложение и краткосрочна употреба.</w:t>
      </w:r>
    </w:p>
    <w:p w14:paraId="62B58CF6"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Филмираните таблетки трябва да се поглъщат с вода.</w:t>
      </w:r>
    </w:p>
    <w:p w14:paraId="69EDAAF5"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Препоръчително е пациентите с чувствителни стомаси да приемат БлокМАКС с храна.</w:t>
      </w:r>
    </w:p>
    <w:p w14:paraId="0530D041" w14:textId="77777777" w:rsidR="00A25150" w:rsidRPr="00A25150" w:rsidRDefault="00A25150" w:rsidP="00A25150"/>
    <w:p w14:paraId="5D9E65DA" w14:textId="728DD756" w:rsidR="009F77A4" w:rsidRDefault="002C50EE" w:rsidP="00387A66">
      <w:pPr>
        <w:pStyle w:val="Heading2"/>
      </w:pPr>
      <w:r>
        <w:t>4.3. Противопоказания</w:t>
      </w:r>
    </w:p>
    <w:p w14:paraId="468AFEE5" w14:textId="5D616C62" w:rsidR="00A25150" w:rsidRDefault="00A25150" w:rsidP="00A25150"/>
    <w:p w14:paraId="2B4D9930"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56194A38" w14:textId="77777777" w:rsidR="00A25150" w:rsidRPr="00A25150" w:rsidRDefault="00A25150" w:rsidP="00A25150">
      <w:pPr>
        <w:spacing w:line="240" w:lineRule="auto"/>
        <w:rPr>
          <w:rFonts w:eastAsia="Times New Roman" w:cs="Arial"/>
          <w:color w:val="000000"/>
          <w:lang w:eastAsia="bg-BG"/>
        </w:rPr>
      </w:pPr>
    </w:p>
    <w:p w14:paraId="5AFA903E" w14:textId="69B4BF3C"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Пациенти, които в миналото са показали реакции на свръхчувствителност (напр. астма, ринит, ангиоедем или уртикария) в отговор на ацетилсалицилова киселина или други нестероидни противовъзпалителни средства.</w:t>
      </w:r>
    </w:p>
    <w:p w14:paraId="7C4121A5" w14:textId="77777777" w:rsidR="00A25150" w:rsidRPr="00A25150" w:rsidRDefault="00A25150" w:rsidP="00A25150">
      <w:pPr>
        <w:spacing w:line="240" w:lineRule="auto"/>
        <w:rPr>
          <w:rFonts w:eastAsia="Times New Roman" w:cs="Arial"/>
          <w:color w:val="000000"/>
          <w:lang w:eastAsia="bg-BG"/>
        </w:rPr>
      </w:pPr>
    </w:p>
    <w:p w14:paraId="597C7124" w14:textId="3182A6AE"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Активна стомашна или дуоденална язва или анамнеза за рецидивираща стомашно-чревна язва/кървене (два или повече отделни епизода на доказана язва или кървене).</w:t>
      </w:r>
    </w:p>
    <w:p w14:paraId="56DB2E0E" w14:textId="77777777" w:rsidR="00A25150" w:rsidRPr="00A25150" w:rsidRDefault="00A25150" w:rsidP="00A25150">
      <w:pPr>
        <w:spacing w:line="240" w:lineRule="auto"/>
        <w:rPr>
          <w:rFonts w:eastAsia="Times New Roman" w:cs="Arial"/>
          <w:color w:val="000000"/>
          <w:lang w:eastAsia="bg-BG"/>
        </w:rPr>
      </w:pPr>
    </w:p>
    <w:p w14:paraId="160D4B05" w14:textId="0E726D63"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Анамнеза за стомашно-чревно кървене или перфорация, свързани с предишно лечение с НСПВС.</w:t>
      </w:r>
    </w:p>
    <w:p w14:paraId="2200A97A" w14:textId="77777777" w:rsidR="00A25150" w:rsidRPr="00A25150" w:rsidRDefault="00A25150" w:rsidP="00A25150">
      <w:pPr>
        <w:spacing w:line="240" w:lineRule="auto"/>
        <w:rPr>
          <w:rFonts w:eastAsia="Times New Roman" w:cs="Arial"/>
          <w:color w:val="000000"/>
          <w:lang w:eastAsia="bg-BG"/>
        </w:rPr>
      </w:pPr>
    </w:p>
    <w:p w14:paraId="1703C999" w14:textId="6B0460C1"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Тежка сърдечна недостатъчност </w:t>
      </w:r>
      <w:r w:rsidRPr="00A25150">
        <w:rPr>
          <w:rFonts w:eastAsia="Times New Roman" w:cs="Arial"/>
          <w:color w:val="000000"/>
          <w:lang w:val="en-US"/>
        </w:rPr>
        <w:t xml:space="preserve">(NYHA </w:t>
      </w:r>
      <w:r w:rsidRPr="00A25150">
        <w:rPr>
          <w:rFonts w:eastAsia="Times New Roman" w:cs="Arial"/>
          <w:color w:val="000000"/>
          <w:lang w:eastAsia="bg-BG"/>
        </w:rPr>
        <w:t>клас IV), бъбречна недостатъчност или чернодробна недостатъчност (вж. точка 4.4).</w:t>
      </w:r>
    </w:p>
    <w:p w14:paraId="1694F193" w14:textId="77777777" w:rsidR="00A25150" w:rsidRPr="00A25150" w:rsidRDefault="00A25150" w:rsidP="00A25150">
      <w:pPr>
        <w:spacing w:line="240" w:lineRule="auto"/>
        <w:rPr>
          <w:rFonts w:eastAsia="Times New Roman" w:cs="Arial"/>
          <w:color w:val="000000"/>
          <w:lang w:eastAsia="bg-BG"/>
        </w:rPr>
      </w:pPr>
    </w:p>
    <w:p w14:paraId="0759B0B4" w14:textId="7F024EC6"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Хеморагична диатеза и коагулационни нарушения,</w:t>
      </w:r>
    </w:p>
    <w:p w14:paraId="4472B122" w14:textId="77777777" w:rsidR="00A25150" w:rsidRPr="00A25150" w:rsidRDefault="00A25150" w:rsidP="00A25150">
      <w:pPr>
        <w:spacing w:line="240" w:lineRule="auto"/>
        <w:rPr>
          <w:rFonts w:eastAsia="Times New Roman" w:cs="Arial"/>
          <w:color w:val="000000"/>
          <w:lang w:eastAsia="bg-BG"/>
        </w:rPr>
      </w:pPr>
    </w:p>
    <w:p w14:paraId="16DC8CC2" w14:textId="7B0330C3"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Значителна дехидратация (причинена от повръщане, диария или недостатъчен прием на течности).</w:t>
      </w:r>
    </w:p>
    <w:p w14:paraId="0BA60464" w14:textId="77777777" w:rsidR="00A25150" w:rsidRPr="00A25150" w:rsidRDefault="00A25150" w:rsidP="00A25150">
      <w:pPr>
        <w:spacing w:line="240" w:lineRule="auto"/>
        <w:rPr>
          <w:rFonts w:eastAsia="Times New Roman" w:cs="Arial"/>
          <w:color w:val="000000"/>
          <w:lang w:eastAsia="bg-BG"/>
        </w:rPr>
      </w:pPr>
    </w:p>
    <w:p w14:paraId="2610BE21" w14:textId="56440CA5"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Мозъчно-съдово или друго активно кървене.</w:t>
      </w:r>
    </w:p>
    <w:p w14:paraId="02A6DB9F" w14:textId="77777777" w:rsidR="00A25150" w:rsidRPr="00A25150" w:rsidRDefault="00A25150" w:rsidP="00A25150">
      <w:pPr>
        <w:spacing w:line="240" w:lineRule="auto"/>
        <w:rPr>
          <w:rFonts w:eastAsia="Times New Roman" w:cs="Arial"/>
          <w:color w:val="000000"/>
          <w:lang w:eastAsia="bg-BG"/>
        </w:rPr>
      </w:pPr>
    </w:p>
    <w:p w14:paraId="6B5AAEAF" w14:textId="12B69CB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Деца на възраст под 12 години.</w:t>
      </w:r>
    </w:p>
    <w:p w14:paraId="655F43BD" w14:textId="77777777" w:rsidR="00A25150" w:rsidRPr="00A25150" w:rsidRDefault="00A25150" w:rsidP="00A25150">
      <w:pPr>
        <w:spacing w:line="240" w:lineRule="auto"/>
        <w:rPr>
          <w:rFonts w:eastAsia="Times New Roman" w:cs="Arial"/>
          <w:color w:val="000000"/>
          <w:lang w:eastAsia="bg-BG"/>
        </w:rPr>
      </w:pPr>
    </w:p>
    <w:p w14:paraId="10EC6058" w14:textId="1CEDAF00"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Последният триместьр на бременността (вж. точка 4.6).</w:t>
      </w:r>
    </w:p>
    <w:p w14:paraId="7D87D998" w14:textId="77777777" w:rsidR="00A25150" w:rsidRPr="00A25150" w:rsidRDefault="00A25150" w:rsidP="00A25150"/>
    <w:p w14:paraId="1C27CE53" w14:textId="3C22E3F7" w:rsidR="009F77A4" w:rsidRDefault="002C50EE" w:rsidP="00387A66">
      <w:pPr>
        <w:pStyle w:val="Heading2"/>
      </w:pPr>
      <w:r>
        <w:t>4.4. Специални предупреждения и предпазни мерки при употреба</w:t>
      </w:r>
    </w:p>
    <w:p w14:paraId="21905FBC" w14:textId="3AB58371" w:rsidR="00A25150" w:rsidRDefault="00A25150" w:rsidP="00A25150"/>
    <w:p w14:paraId="08DE85EF"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Използването на БлокМАКС със съпътстващ прием на НСПВС, включително селективни инхибитори на циклооксигеназа 2, трябва да се избягва.</w:t>
      </w:r>
    </w:p>
    <w:p w14:paraId="43FB2276" w14:textId="77777777" w:rsidR="00A25150" w:rsidRPr="00A25150" w:rsidRDefault="00A25150" w:rsidP="00A25150">
      <w:pPr>
        <w:spacing w:line="240" w:lineRule="auto"/>
        <w:rPr>
          <w:rFonts w:eastAsia="Times New Roman" w:cs="Arial"/>
          <w:color w:val="000000"/>
          <w:lang w:eastAsia="bg-BG"/>
        </w:rPr>
      </w:pPr>
    </w:p>
    <w:p w14:paraId="5BC4E45C" w14:textId="0C26B504"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Астматичните пациенти трябва да потърсят съветите на своя лекар преди да използват ибупрофен (вж. по-долу).</w:t>
      </w:r>
    </w:p>
    <w:p w14:paraId="212A88C9" w14:textId="77777777" w:rsidR="00A25150" w:rsidRPr="00A25150" w:rsidRDefault="00A25150" w:rsidP="00A25150">
      <w:pPr>
        <w:spacing w:line="240" w:lineRule="auto"/>
        <w:rPr>
          <w:rFonts w:eastAsia="Times New Roman" w:cs="Arial"/>
          <w:color w:val="000000"/>
          <w:lang w:eastAsia="bg-BG"/>
        </w:rPr>
      </w:pPr>
    </w:p>
    <w:p w14:paraId="2B7982A7" w14:textId="1465D1B3"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 xml:space="preserve">Нежеланите реакции могат да бъдат намалени до минимум чрез използване на най-ниската ефективна доза, необходима за контролиране на симптомите, за най-краткото </w:t>
      </w:r>
      <w:r w:rsidRPr="00A25150">
        <w:rPr>
          <w:rFonts w:eastAsia="Times New Roman" w:cs="Arial"/>
          <w:color w:val="000000"/>
          <w:lang w:eastAsia="bg-BG"/>
        </w:rPr>
        <w:lastRenderedPageBreak/>
        <w:t>време (вж. точка 4.2, стомашно-чревните и сърдечно-съдовите рискове по-долу). Дози, по-високи от препоръчваните, могат да предизвикат сериозни рискове.</w:t>
      </w:r>
    </w:p>
    <w:p w14:paraId="3FCBF31C" w14:textId="77777777" w:rsidR="00A25150" w:rsidRPr="00A25150" w:rsidRDefault="00A25150" w:rsidP="00A25150">
      <w:pPr>
        <w:spacing w:line="240" w:lineRule="auto"/>
        <w:rPr>
          <w:rFonts w:eastAsia="Times New Roman" w:cs="Arial"/>
          <w:color w:val="000000"/>
          <w:lang w:eastAsia="bg-BG"/>
        </w:rPr>
      </w:pPr>
    </w:p>
    <w:p w14:paraId="6F96035A" w14:textId="77CE48CE"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БлокМАКС трябва да се прилага само при строга преценка на съотношението полза-риск при следните състояния:</w:t>
      </w:r>
    </w:p>
    <w:p w14:paraId="145D6B24"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 xml:space="preserve">системен лупус еритематозус (СЛЕ) или други автоимунни заболявания вродени нарушения на метаболизма на порфирин (напр. остра интермитентна порфирия) първи и </w:t>
      </w:r>
    </w:p>
    <w:p w14:paraId="690B86DC" w14:textId="5EB301EB"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втори триместьр на бременността (вж. точка 4.6) кърмене (вж. точка 4.6)</w:t>
      </w:r>
    </w:p>
    <w:p w14:paraId="6C90FDC1" w14:textId="77777777" w:rsidR="00A25150" w:rsidRPr="00A25150" w:rsidRDefault="00A25150" w:rsidP="00A25150">
      <w:pPr>
        <w:spacing w:line="240" w:lineRule="auto"/>
        <w:rPr>
          <w:rFonts w:eastAsia="Times New Roman" w:cs="Arial"/>
          <w:color w:val="000000"/>
          <w:lang w:eastAsia="bg-BG"/>
        </w:rPr>
      </w:pPr>
    </w:p>
    <w:p w14:paraId="0E31B876" w14:textId="77777777" w:rsidR="00A25150" w:rsidRPr="00A25150" w:rsidRDefault="00A25150" w:rsidP="00A25150">
      <w:pPr>
        <w:spacing w:line="240" w:lineRule="auto"/>
        <w:rPr>
          <w:rFonts w:eastAsia="Times New Roman" w:cs="Arial"/>
          <w:color w:val="000000"/>
          <w:lang w:eastAsia="bg-BG"/>
        </w:rPr>
      </w:pPr>
      <w:r w:rsidRPr="00A25150">
        <w:rPr>
          <w:rFonts w:eastAsia="Times New Roman" w:cs="Arial"/>
          <w:color w:val="000000"/>
          <w:lang w:eastAsia="bg-BG"/>
        </w:rPr>
        <w:t>Специално внимание трябва да се обърне в следните случаи: стомашно-чревни заболявания,</w:t>
      </w:r>
    </w:p>
    <w:p w14:paraId="7FBD8A09"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включително хронични възпалителни чревни заболявания (улцерозен колит, болест на Крон)</w:t>
      </w:r>
    </w:p>
    <w:p w14:paraId="5756C6EC"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 xml:space="preserve">сърдечна недостатъчност и хипертония </w:t>
      </w:r>
    </w:p>
    <w:p w14:paraId="03F4A97D"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 xml:space="preserve">намалена бъбречна функция </w:t>
      </w:r>
    </w:p>
    <w:p w14:paraId="7252C291"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 xml:space="preserve">чернодробна дисфункция </w:t>
      </w:r>
    </w:p>
    <w:p w14:paraId="35BC8E98"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 xml:space="preserve">нарушена хемопоеза </w:t>
      </w:r>
    </w:p>
    <w:p w14:paraId="16E521DA"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 xml:space="preserve">дефекти на коагулацията на кръвта </w:t>
      </w:r>
    </w:p>
    <w:p w14:paraId="6E724171" w14:textId="77777777"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 xml:space="preserve">алергии, сенна хрема, хроничен оток на носната лигавица, увеличени сливици, хронично обструктивно заболяване на дихателните пътища или бронхиална астма като повишен риск от алергични реакции, настъпващи при тези пациенти. Тези алергични реакции може да се представят като астматични атаки (т. нар. аналгетична астма), едем на Квинке или уртикария </w:t>
      </w:r>
    </w:p>
    <w:p w14:paraId="25EFA774" w14:textId="38A35EA2" w:rsidR="00A25150" w:rsidRPr="00A25150" w:rsidRDefault="00A25150" w:rsidP="00A25150">
      <w:pPr>
        <w:pStyle w:val="ListParagraph"/>
        <w:numPr>
          <w:ilvl w:val="0"/>
          <w:numId w:val="40"/>
        </w:numPr>
        <w:spacing w:line="240" w:lineRule="auto"/>
        <w:rPr>
          <w:rFonts w:eastAsia="Times New Roman" w:cs="Arial"/>
          <w:lang w:eastAsia="bg-BG"/>
        </w:rPr>
      </w:pPr>
      <w:r w:rsidRPr="00A25150">
        <w:rPr>
          <w:rFonts w:eastAsia="Times New Roman" w:cs="Arial"/>
          <w:color w:val="000000"/>
          <w:lang w:eastAsia="bg-BG"/>
        </w:rPr>
        <w:t>непосредствено след големи хирургични интервенции</w:t>
      </w:r>
    </w:p>
    <w:p w14:paraId="247F09B0" w14:textId="77777777" w:rsidR="00A25150" w:rsidRPr="00A25150" w:rsidRDefault="00A25150" w:rsidP="00A25150">
      <w:pPr>
        <w:spacing w:line="240" w:lineRule="auto"/>
        <w:rPr>
          <w:rFonts w:eastAsia="Times New Roman" w:cs="Arial"/>
          <w:i/>
          <w:iCs/>
          <w:color w:val="000000"/>
          <w:lang w:eastAsia="bg-BG"/>
        </w:rPr>
      </w:pPr>
    </w:p>
    <w:p w14:paraId="75F7E315" w14:textId="6F505D04" w:rsidR="00A25150" w:rsidRPr="00A25150" w:rsidRDefault="00A25150" w:rsidP="00A25150">
      <w:pPr>
        <w:spacing w:line="240" w:lineRule="auto"/>
        <w:rPr>
          <w:rFonts w:eastAsia="Times New Roman" w:cs="Arial"/>
          <w:lang w:eastAsia="bg-BG"/>
        </w:rPr>
      </w:pPr>
      <w:r w:rsidRPr="00A25150">
        <w:rPr>
          <w:rFonts w:eastAsia="Times New Roman" w:cs="Arial"/>
          <w:i/>
          <w:iCs/>
          <w:color w:val="000000"/>
          <w:lang w:eastAsia="bg-BG"/>
        </w:rPr>
        <w:t>Стомашно-чревно кървене, язва и перфорация</w:t>
      </w:r>
    </w:p>
    <w:p w14:paraId="41CF8395"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Има съобщения за стомашно-чревно кървене, язва или перфорация, които могат да бъдат фатални, с всички НСПВС по всяко време на лечението, със или без предупредителни симптоми, или предишна анамнеза за сериозни стомашно-чревни събития.</w:t>
      </w:r>
    </w:p>
    <w:p w14:paraId="778CC67F" w14:textId="77777777" w:rsidR="00A25150" w:rsidRPr="00A25150" w:rsidRDefault="00A25150" w:rsidP="00A25150">
      <w:pPr>
        <w:spacing w:line="240" w:lineRule="auto"/>
        <w:rPr>
          <w:rFonts w:eastAsia="Times New Roman" w:cs="Arial"/>
          <w:color w:val="000000"/>
          <w:lang w:eastAsia="bg-BG"/>
        </w:rPr>
      </w:pPr>
    </w:p>
    <w:p w14:paraId="50F7B4C8" w14:textId="30458F0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Рискът от стомашно-чревно кървене, язва или перфорация е по-висок с нарастване на дозата на НСПВС при пациенти с анамнеза за язва, особено ако е усложнена с кръвоизлив или перфорация (вж. точка 4.3), и при пациенти в старческа възраст. Тези пациенти трябва да започнат лечение с най-ниската възможна доза. При тези пациенти трябва да се обмисли комбинирано лечение със защитни средства (напр. мизопростол или инхибитори на протонната помпа), а също и при пациентите, при които се изисква едновременно приложение на ниска доза ацетилсалицилова киселина или други лекарствени продукти, които могат да увеличат стомашно-чревния риск (вж. по-долу и точка 4.5).</w:t>
      </w:r>
    </w:p>
    <w:p w14:paraId="3CB65886" w14:textId="77777777" w:rsidR="00A25150" w:rsidRPr="00A25150" w:rsidRDefault="00A25150" w:rsidP="00A25150">
      <w:pPr>
        <w:spacing w:line="240" w:lineRule="auto"/>
        <w:rPr>
          <w:rFonts w:eastAsia="Times New Roman" w:cs="Arial"/>
          <w:color w:val="000000"/>
          <w:lang w:eastAsia="bg-BG"/>
        </w:rPr>
      </w:pPr>
    </w:p>
    <w:p w14:paraId="49DF4BB3" w14:textId="6EA7F6DC"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Пациенти с анамнеза за стомашно-чревна токсичност, особено такива в старческа възраст, следва да съобщават всякакви необичайни коремни симптоми (особено стомашно-чревно кървене), особено в началните етапи на лечението.</w:t>
      </w:r>
    </w:p>
    <w:p w14:paraId="4943E85F" w14:textId="77777777" w:rsidR="00A25150" w:rsidRPr="00A25150" w:rsidRDefault="00A25150" w:rsidP="00A25150">
      <w:pPr>
        <w:spacing w:line="240" w:lineRule="auto"/>
        <w:rPr>
          <w:rFonts w:eastAsia="Times New Roman" w:cs="Arial"/>
          <w:color w:val="000000"/>
          <w:lang w:eastAsia="bg-BG"/>
        </w:rPr>
      </w:pPr>
    </w:p>
    <w:p w14:paraId="1667F336" w14:textId="3A6ED73C"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Препоръчва се повишено внимание при пациенти, получаващи съпътстващо лечение, което може да увеличи риска от язва или кървене като перорални кортикостероидм, антикоагуланти като варфарин или хепарин, селективни инхибитори на обратното захващане на серотонина или антитромботични средства като ацетилсалицилова киселина (вж. точка 4.5).</w:t>
      </w:r>
    </w:p>
    <w:p w14:paraId="393EBAD6" w14:textId="77777777" w:rsidR="00A25150" w:rsidRPr="00A25150" w:rsidRDefault="00A25150" w:rsidP="00A25150">
      <w:pPr>
        <w:spacing w:line="240" w:lineRule="auto"/>
        <w:rPr>
          <w:rFonts w:eastAsia="Times New Roman" w:cs="Arial"/>
          <w:color w:val="000000"/>
          <w:lang w:eastAsia="bg-BG"/>
        </w:rPr>
      </w:pPr>
    </w:p>
    <w:p w14:paraId="2CEA28A6" w14:textId="4D365A9B"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Когато при пациенти, получаващи БлокМАКС, възникне стомашно-чревно кървене или язва, лечението трябва да бъде прекратено.</w:t>
      </w:r>
    </w:p>
    <w:p w14:paraId="2939B939" w14:textId="77777777" w:rsidR="00A25150" w:rsidRPr="00A25150" w:rsidRDefault="00A25150" w:rsidP="00A25150">
      <w:pPr>
        <w:spacing w:line="240" w:lineRule="auto"/>
        <w:rPr>
          <w:rFonts w:eastAsia="Times New Roman" w:cs="Arial"/>
          <w:color w:val="000000"/>
          <w:lang w:eastAsia="bg-BG"/>
        </w:rPr>
      </w:pPr>
    </w:p>
    <w:p w14:paraId="1D2E5501" w14:textId="77777777" w:rsidR="00A25150" w:rsidRPr="00A25150" w:rsidRDefault="00A25150" w:rsidP="00A25150">
      <w:pPr>
        <w:spacing w:line="240" w:lineRule="auto"/>
        <w:rPr>
          <w:rFonts w:eastAsia="Times New Roman" w:cs="Arial"/>
          <w:color w:val="000000"/>
          <w:lang w:eastAsia="bg-BG"/>
        </w:rPr>
      </w:pPr>
    </w:p>
    <w:p w14:paraId="2E262D77" w14:textId="26837BBA"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НСПВС следва да се дават внимателно при пациенти с анамнеза за стомашно-чревно заболяване (улцерозен колит, болест на Крон), тъй като състоянието им може да се обостри (вж. точка 4.8).</w:t>
      </w:r>
    </w:p>
    <w:p w14:paraId="6473EAA2" w14:textId="77777777" w:rsidR="00A25150" w:rsidRPr="00A25150" w:rsidRDefault="00A25150" w:rsidP="00A25150">
      <w:pPr>
        <w:spacing w:line="240" w:lineRule="auto"/>
        <w:rPr>
          <w:rFonts w:eastAsia="Times New Roman" w:cs="Arial"/>
          <w:i/>
          <w:iCs/>
          <w:color w:val="000000"/>
          <w:lang w:eastAsia="bg-BG"/>
        </w:rPr>
      </w:pPr>
    </w:p>
    <w:p w14:paraId="09AAFAD0" w14:textId="157FD751" w:rsidR="00A25150" w:rsidRPr="00A25150" w:rsidRDefault="00A25150" w:rsidP="00A25150">
      <w:pPr>
        <w:spacing w:line="240" w:lineRule="auto"/>
        <w:rPr>
          <w:rFonts w:eastAsia="Times New Roman" w:cs="Arial"/>
          <w:lang w:eastAsia="bg-BG"/>
        </w:rPr>
      </w:pPr>
      <w:r w:rsidRPr="00A25150">
        <w:rPr>
          <w:rFonts w:eastAsia="Times New Roman" w:cs="Arial"/>
          <w:i/>
          <w:iCs/>
          <w:color w:val="000000"/>
          <w:lang w:eastAsia="bg-BG"/>
        </w:rPr>
        <w:t>Пациенти в старческа възраст</w:t>
      </w:r>
    </w:p>
    <w:p w14:paraId="7F64A319"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При пациенти в старческа възраст съществува повишена честота на нежеланите реакции към НСПВС, особено стомашно-чревно кървене и перфорация, които могат да бъдат фатални (вж. точка 4.2).</w:t>
      </w:r>
    </w:p>
    <w:p w14:paraId="041FE6DB" w14:textId="77777777" w:rsidR="00A25150" w:rsidRPr="00A25150" w:rsidRDefault="00A25150" w:rsidP="00A25150">
      <w:pPr>
        <w:spacing w:line="240" w:lineRule="auto"/>
        <w:rPr>
          <w:rFonts w:eastAsia="Times New Roman" w:cs="Arial"/>
          <w:i/>
          <w:iCs/>
          <w:color w:val="000000"/>
          <w:lang w:eastAsia="bg-BG"/>
        </w:rPr>
      </w:pPr>
    </w:p>
    <w:p w14:paraId="52D1F65C" w14:textId="4DFD2922" w:rsidR="00A25150" w:rsidRPr="00A25150" w:rsidRDefault="00A25150" w:rsidP="00A25150">
      <w:pPr>
        <w:spacing w:line="240" w:lineRule="auto"/>
        <w:rPr>
          <w:rFonts w:eastAsia="Times New Roman" w:cs="Arial"/>
          <w:lang w:eastAsia="bg-BG"/>
        </w:rPr>
      </w:pPr>
      <w:r w:rsidRPr="00A25150">
        <w:rPr>
          <w:rFonts w:eastAsia="Times New Roman" w:cs="Arial"/>
          <w:i/>
          <w:iCs/>
          <w:color w:val="000000"/>
          <w:lang w:eastAsia="bg-BG"/>
        </w:rPr>
        <w:t>Сърдечно-съдови и мозъчно-съдови реакции</w:t>
      </w:r>
    </w:p>
    <w:p w14:paraId="5BE50010"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Изисква се внимание (разговор с лекар или фармацевт) преди започване на лечение при пациенти с анамнеза за хипертония и/или сърдечна недостатъчност, тъй като има съобщения за задържане на течности, хипертония и оток във връзка с лечение с НСПВС.</w:t>
      </w:r>
    </w:p>
    <w:p w14:paraId="7B403B14" w14:textId="77777777" w:rsidR="00A25150" w:rsidRPr="00A25150" w:rsidRDefault="00A25150" w:rsidP="00A25150">
      <w:pPr>
        <w:spacing w:line="240" w:lineRule="auto"/>
        <w:rPr>
          <w:rFonts w:eastAsia="Times New Roman" w:cs="Arial"/>
          <w:lang w:eastAsia="bg-BG"/>
        </w:rPr>
      </w:pPr>
    </w:p>
    <w:p w14:paraId="716FBB18" w14:textId="77777777" w:rsidR="00A25150" w:rsidRPr="00A25150" w:rsidRDefault="00A25150" w:rsidP="00A25150">
      <w:pPr>
        <w:rPr>
          <w:rFonts w:eastAsia="Times New Roman" w:cs="Arial"/>
          <w:lang w:eastAsia="bg-BG"/>
        </w:rPr>
      </w:pPr>
      <w:r w:rsidRPr="00A25150">
        <w:rPr>
          <w:rFonts w:eastAsia="Times New Roman" w:cs="Arial"/>
          <w:color w:val="000000"/>
          <w:lang w:eastAsia="bg-BG"/>
        </w:rPr>
        <w:t xml:space="preserve">Клинични проучвания показват, че използването на ибупрофен, особено при висока доза (2400 </w:t>
      </w:r>
      <w:r w:rsidRPr="00A25150">
        <w:rPr>
          <w:rFonts w:eastAsia="Times New Roman" w:cs="Arial"/>
          <w:color w:val="000000"/>
          <w:lang w:val="en-US"/>
        </w:rPr>
        <w:t>mg</w:t>
      </w:r>
      <w:r w:rsidRPr="00A25150">
        <w:rPr>
          <w:rFonts w:eastAsia="Times New Roman" w:cs="Arial"/>
          <w:color w:val="000000"/>
          <w:lang w:eastAsia="bg-BG"/>
        </w:rPr>
        <w:t>/ден), може да бъде свързано с леко повишен риск от артериални тромботични събития (напр. инфаркт на миокарда или инсулт). Като цяло епидемиологичните изследвания</w:t>
      </w:r>
      <w:r w:rsidRPr="00A25150">
        <w:rPr>
          <w:rFonts w:eastAsia="Times New Roman" w:cs="Arial"/>
          <w:color w:val="000000"/>
          <w:lang w:val="en-US" w:eastAsia="bg-BG"/>
        </w:rPr>
        <w:t xml:space="preserve"> </w:t>
      </w:r>
      <w:r w:rsidRPr="00A25150">
        <w:rPr>
          <w:rFonts w:eastAsia="Times New Roman" w:cs="Arial"/>
          <w:color w:val="000000"/>
          <w:lang w:eastAsia="bg-BG"/>
        </w:rPr>
        <w:t xml:space="preserve">не показват, че ниска доза ибупрофен (например ≥ 1200 </w:t>
      </w:r>
      <w:r w:rsidRPr="00A25150">
        <w:rPr>
          <w:rFonts w:eastAsia="Times New Roman" w:cs="Arial"/>
          <w:color w:val="000000"/>
          <w:lang w:val="en-US"/>
        </w:rPr>
        <w:t>mg</w:t>
      </w:r>
      <w:r w:rsidRPr="00A25150">
        <w:rPr>
          <w:rFonts w:eastAsia="Times New Roman" w:cs="Arial"/>
          <w:color w:val="000000"/>
          <w:lang w:eastAsia="bg-BG"/>
        </w:rPr>
        <w:t>/ден) е свързана с повишен риск от артериална тромбоза.</w:t>
      </w:r>
    </w:p>
    <w:p w14:paraId="66278338" w14:textId="77777777" w:rsidR="00A25150" w:rsidRPr="00A25150" w:rsidRDefault="00A25150" w:rsidP="00A25150">
      <w:pPr>
        <w:spacing w:line="240" w:lineRule="auto"/>
        <w:rPr>
          <w:rFonts w:eastAsia="Times New Roman" w:cs="Arial"/>
          <w:color w:val="000000"/>
          <w:lang w:eastAsia="bg-BG"/>
        </w:rPr>
      </w:pPr>
    </w:p>
    <w:p w14:paraId="66696EE5" w14:textId="1687788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 xml:space="preserve">Пациенти с неконтролирана хипертония, застойна сърдечна недостатъчност </w:t>
      </w:r>
      <w:r w:rsidRPr="00A25150">
        <w:rPr>
          <w:rFonts w:eastAsia="Times New Roman" w:cs="Arial"/>
          <w:color w:val="000000"/>
          <w:lang w:val="en-US"/>
        </w:rPr>
        <w:t>(NYHA II</w:t>
      </w:r>
      <w:r w:rsidRPr="00A25150">
        <w:rPr>
          <w:rFonts w:eastAsia="Times New Roman" w:cs="Arial"/>
          <w:color w:val="000000"/>
          <w:lang w:eastAsia="bg-BG"/>
        </w:rPr>
        <w:t>-</w:t>
      </w:r>
      <w:r w:rsidRPr="00A25150">
        <w:rPr>
          <w:rFonts w:eastAsia="Times New Roman" w:cs="Arial"/>
          <w:color w:val="000000"/>
          <w:lang w:val="en-US"/>
        </w:rPr>
        <w:t>III</w:t>
      </w:r>
      <w:r w:rsidRPr="00A25150">
        <w:rPr>
          <w:rFonts w:eastAsia="Times New Roman" w:cs="Arial"/>
          <w:color w:val="000000"/>
          <w:lang w:eastAsia="bg-BG"/>
        </w:rPr>
        <w:t xml:space="preserve">), установена исхемична болест на сърцето, периферна артериална болест и/или мозъчно-съдови заболявания трябва да се лекуват с ибупрофен само след внимателна преценка и трябва да се избягват високи дози (2400 </w:t>
      </w:r>
      <w:r w:rsidRPr="00A25150">
        <w:rPr>
          <w:rFonts w:eastAsia="Times New Roman" w:cs="Arial"/>
          <w:color w:val="000000"/>
          <w:lang w:val="en-US"/>
        </w:rPr>
        <w:t>mg</w:t>
      </w:r>
      <w:r w:rsidRPr="00A25150">
        <w:rPr>
          <w:rFonts w:eastAsia="Times New Roman" w:cs="Arial"/>
          <w:color w:val="000000"/>
          <w:lang w:eastAsia="bg-BG"/>
        </w:rPr>
        <w:t>/ден).</w:t>
      </w:r>
    </w:p>
    <w:p w14:paraId="3B4E291C" w14:textId="77777777" w:rsidR="00A25150" w:rsidRPr="00A25150" w:rsidRDefault="00A25150" w:rsidP="00A25150">
      <w:pPr>
        <w:spacing w:line="240" w:lineRule="auto"/>
        <w:rPr>
          <w:rFonts w:eastAsia="Times New Roman" w:cs="Arial"/>
          <w:color w:val="000000"/>
          <w:lang w:eastAsia="bg-BG"/>
        </w:rPr>
      </w:pPr>
    </w:p>
    <w:p w14:paraId="75D03C9A" w14:textId="14E1F3AE"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 xml:space="preserve">Трябва също да се направи внимателна преценка преди започване на дългосрочно лечение на пациенти с рискови фактори за сърдечно-съдови събития (напр. хипертония, хиперлипидемия, захарен диабет, пушене), особено ако се изискват високи дози ибупрофен (2400 </w:t>
      </w:r>
      <w:r w:rsidRPr="00A25150">
        <w:rPr>
          <w:rFonts w:eastAsia="Times New Roman" w:cs="Arial"/>
          <w:color w:val="000000"/>
          <w:lang w:val="en-US"/>
        </w:rPr>
        <w:t>mg</w:t>
      </w:r>
      <w:r w:rsidRPr="00A25150">
        <w:rPr>
          <w:rFonts w:eastAsia="Times New Roman" w:cs="Arial"/>
          <w:color w:val="000000"/>
          <w:lang w:eastAsia="bg-BG"/>
        </w:rPr>
        <w:t>/ден).</w:t>
      </w:r>
    </w:p>
    <w:p w14:paraId="5533A00B" w14:textId="77777777" w:rsidR="00A25150" w:rsidRPr="00A25150" w:rsidRDefault="00A25150" w:rsidP="00A25150">
      <w:pPr>
        <w:spacing w:line="240" w:lineRule="auto"/>
        <w:rPr>
          <w:rFonts w:eastAsia="Times New Roman" w:cs="Arial"/>
          <w:i/>
          <w:iCs/>
          <w:color w:val="000000"/>
          <w:lang w:eastAsia="bg-BG"/>
        </w:rPr>
      </w:pPr>
    </w:p>
    <w:p w14:paraId="50B1D1FC" w14:textId="408BFB47" w:rsidR="00A25150" w:rsidRPr="00A25150" w:rsidRDefault="00A25150" w:rsidP="00A25150">
      <w:pPr>
        <w:spacing w:line="240" w:lineRule="auto"/>
        <w:rPr>
          <w:rFonts w:eastAsia="Times New Roman" w:cs="Arial"/>
          <w:lang w:eastAsia="bg-BG"/>
        </w:rPr>
      </w:pPr>
      <w:r w:rsidRPr="00A25150">
        <w:rPr>
          <w:rFonts w:eastAsia="Times New Roman" w:cs="Arial"/>
          <w:i/>
          <w:iCs/>
          <w:color w:val="000000"/>
          <w:lang w:eastAsia="bg-BG"/>
        </w:rPr>
        <w:t>Тежки кожни реакции</w:t>
      </w:r>
    </w:p>
    <w:p w14:paraId="50D19C11"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 xml:space="preserve">Много рядко във връзка с използването на НСПВС се съобщават сериозни кожни реакции, някои от тях фатални, включително ексфолиативен дерматит, синдром на </w:t>
      </w:r>
      <w:r w:rsidRPr="00A25150">
        <w:rPr>
          <w:rFonts w:eastAsia="Times New Roman" w:cs="Arial"/>
          <w:color w:val="000000"/>
          <w:lang w:val="en-US"/>
        </w:rPr>
        <w:t xml:space="preserve">Stevens-Johnson </w:t>
      </w:r>
      <w:r w:rsidRPr="00A25150">
        <w:rPr>
          <w:rFonts w:eastAsia="Times New Roman" w:cs="Arial"/>
          <w:color w:val="000000"/>
          <w:lang w:eastAsia="bg-BG"/>
        </w:rPr>
        <w:t xml:space="preserve">и токсична епидермална некролиза (вж. точка 4.8). Изглежда пациентите са изложени на най- висок риск от тези реакции рано в хода на лечението, появата на реакцията в повечето случаи настъпва в рамките на първия месец от лечението. Съобщава се за остра генерализирана екзантематозна пустулоза </w:t>
      </w:r>
      <w:r w:rsidRPr="00A25150">
        <w:rPr>
          <w:rFonts w:eastAsia="Times New Roman" w:cs="Arial"/>
          <w:color w:val="000000"/>
          <w:lang w:val="en-US"/>
        </w:rPr>
        <w:t xml:space="preserve">(AGEP) </w:t>
      </w:r>
      <w:r w:rsidRPr="00A25150">
        <w:rPr>
          <w:rFonts w:eastAsia="Times New Roman" w:cs="Arial"/>
          <w:color w:val="000000"/>
          <w:lang w:eastAsia="bg-BG"/>
        </w:rPr>
        <w:t>във връзка с продукти, съдържащи ибупрофен. Приемът на БлокМАКС трябва да се прекрати при първата поява на обрив по кожата, лезии по лигавиците или друг признак на свръхчувствителност.</w:t>
      </w:r>
    </w:p>
    <w:p w14:paraId="7A83346F" w14:textId="77777777" w:rsidR="00A25150" w:rsidRPr="00A25150" w:rsidRDefault="00A25150" w:rsidP="00A25150">
      <w:pPr>
        <w:spacing w:line="240" w:lineRule="auto"/>
        <w:rPr>
          <w:rFonts w:eastAsia="Times New Roman" w:cs="Arial"/>
          <w:color w:val="000000"/>
          <w:lang w:eastAsia="bg-BG"/>
        </w:rPr>
      </w:pPr>
    </w:p>
    <w:p w14:paraId="145D2B1E" w14:textId="388FAA40"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В изключителни случаи варицела може да бъде в основата на сериозни инфекциозни усложнения на кожата и меките тъкани. Към днешна дата не може да се изключи ролята на НСПВС за влошаването на тези инфекции. Така че е препоръчително да се избягва употребата на БлокМАКС при варицела.</w:t>
      </w:r>
    </w:p>
    <w:p w14:paraId="35AC16F7" w14:textId="77777777" w:rsidR="00A25150" w:rsidRPr="00A25150" w:rsidRDefault="00A25150" w:rsidP="00A25150">
      <w:pPr>
        <w:spacing w:line="240" w:lineRule="auto"/>
        <w:rPr>
          <w:rFonts w:eastAsia="Times New Roman" w:cs="Arial"/>
          <w:i/>
          <w:iCs/>
          <w:color w:val="000000"/>
          <w:lang w:eastAsia="bg-BG"/>
        </w:rPr>
      </w:pPr>
    </w:p>
    <w:p w14:paraId="554BE9CD" w14:textId="167F88B4" w:rsidR="00A25150" w:rsidRPr="00A25150" w:rsidRDefault="00A25150" w:rsidP="00A25150">
      <w:pPr>
        <w:spacing w:line="240" w:lineRule="auto"/>
        <w:rPr>
          <w:rFonts w:eastAsia="Times New Roman" w:cs="Arial"/>
          <w:lang w:eastAsia="bg-BG"/>
        </w:rPr>
      </w:pPr>
      <w:r w:rsidRPr="00A25150">
        <w:rPr>
          <w:rFonts w:eastAsia="Times New Roman" w:cs="Arial"/>
          <w:i/>
          <w:iCs/>
          <w:color w:val="000000"/>
          <w:lang w:eastAsia="bg-BG"/>
        </w:rPr>
        <w:t>Ефекти върху бъбреците</w:t>
      </w:r>
    </w:p>
    <w:p w14:paraId="5C553763"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Ибупрофен може да предизвика задържане на натрий, калий и течности при пациенти, които не са страдали от бъбречни нарушения, поради неговия ефект върху бъбречната перфузия. Това може да причини оток или дори да доведе до сърдечна недостатъчност или хипертония при предразположени пациенти,</w:t>
      </w:r>
    </w:p>
    <w:p w14:paraId="7CAE6A1D" w14:textId="77777777" w:rsidR="00A25150" w:rsidRPr="00A25150" w:rsidRDefault="00A25150" w:rsidP="00A25150">
      <w:pPr>
        <w:spacing w:line="240" w:lineRule="auto"/>
        <w:rPr>
          <w:rFonts w:eastAsia="Times New Roman" w:cs="Arial"/>
          <w:color w:val="000000"/>
          <w:lang w:eastAsia="bg-BG"/>
        </w:rPr>
      </w:pPr>
    </w:p>
    <w:p w14:paraId="4C3AA99B" w14:textId="25F9D6B3"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Както при други НСПВС, продължително приложение на ибупрофен на животни е довело до бъбречна папиларна некроза и други патологични бъбречни промени. При хора има съобщения за остър интерстициален нефрит с хематурия, протеинурия и понякога нефротичен синдром. Случаи на бъбречна токсичност са наблюдавани също и при пациенти, при които простагландините играят компенсаторна роля в поддържането на бъбречната перфузия. При тези пациенти приложението на НСПВС може да доведе до дозозависимо намаление във формирането на простагландин и вторично в бъбречния кръвен поток, което може да ускори изявена бъбречна декомпенсация. Пациентите с най-голям риск за развитие на тази реакция са тези с бъбречна дисфункция, сърдечна недостатъчност, чернодробна дисфункция, болните, приемащи диуретици и АСЕ-инхибитори, и тези в старческа възраст. Прекратяване на лечението с НСПВС обикновено се последва от възстановяване на състоянието преди лечението.</w:t>
      </w:r>
    </w:p>
    <w:p w14:paraId="7030763F" w14:textId="77777777" w:rsidR="00A25150" w:rsidRPr="00A25150" w:rsidRDefault="00A25150" w:rsidP="00A25150">
      <w:pPr>
        <w:spacing w:line="240" w:lineRule="auto"/>
        <w:rPr>
          <w:rFonts w:eastAsia="Times New Roman" w:cs="Arial"/>
          <w:color w:val="000000"/>
          <w:lang w:eastAsia="bg-BG"/>
        </w:rPr>
      </w:pPr>
    </w:p>
    <w:p w14:paraId="01897495" w14:textId="65119FE8"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Има риск от бъбречно увреждане при дехидратирани деца, юноши и хора в старческа възраст.</w:t>
      </w:r>
    </w:p>
    <w:p w14:paraId="428E3846" w14:textId="77777777" w:rsidR="00A25150" w:rsidRPr="00A25150" w:rsidRDefault="00A25150" w:rsidP="00A25150">
      <w:pPr>
        <w:spacing w:line="240" w:lineRule="auto"/>
        <w:rPr>
          <w:rFonts w:eastAsia="Times New Roman" w:cs="Arial"/>
          <w:i/>
          <w:iCs/>
          <w:color w:val="000000"/>
          <w:lang w:eastAsia="bg-BG"/>
        </w:rPr>
      </w:pPr>
    </w:p>
    <w:p w14:paraId="114A205E" w14:textId="4A29D99D" w:rsidR="00A25150" w:rsidRPr="00A25150" w:rsidRDefault="00A25150" w:rsidP="00A25150">
      <w:pPr>
        <w:spacing w:line="240" w:lineRule="auto"/>
        <w:rPr>
          <w:rFonts w:eastAsia="Times New Roman" w:cs="Arial"/>
          <w:lang w:eastAsia="bg-BG"/>
        </w:rPr>
      </w:pPr>
      <w:r w:rsidRPr="00A25150">
        <w:rPr>
          <w:rFonts w:eastAsia="Times New Roman" w:cs="Arial"/>
          <w:i/>
          <w:iCs/>
          <w:color w:val="000000"/>
          <w:lang w:eastAsia="bg-BG"/>
        </w:rPr>
        <w:t>Алергични реакции</w:t>
      </w:r>
    </w:p>
    <w:p w14:paraId="2BB62CD4" w14:textId="2E365662" w:rsidR="00A25150" w:rsidRPr="00A25150" w:rsidRDefault="00A25150" w:rsidP="00A25150">
      <w:pPr>
        <w:rPr>
          <w:rFonts w:eastAsia="Times New Roman" w:cs="Arial"/>
          <w:color w:val="000000"/>
          <w:lang w:val="en-US" w:eastAsia="bg-BG"/>
        </w:rPr>
      </w:pPr>
      <w:r w:rsidRPr="00A25150">
        <w:rPr>
          <w:rFonts w:eastAsia="Times New Roman" w:cs="Arial"/>
          <w:color w:val="000000"/>
          <w:lang w:eastAsia="bg-BG"/>
        </w:rPr>
        <w:t>Много рядко се наблюдават тежки остри реакции на свръхчувствителност (напр. анафилактичен шок). При първите признаци на реакция на свръхчувствителност</w:t>
      </w:r>
      <w:r w:rsidRPr="00A25150">
        <w:rPr>
          <w:rFonts w:eastAsia="Times New Roman" w:cs="Arial"/>
          <w:color w:val="000000"/>
          <w:lang w:val="en-US"/>
        </w:rPr>
        <w:t xml:space="preserve"> </w:t>
      </w:r>
      <w:r w:rsidRPr="00A25150">
        <w:rPr>
          <w:rFonts w:eastAsia="Times New Roman" w:cs="Arial"/>
          <w:color w:val="000000"/>
          <w:lang w:eastAsia="bg-BG"/>
        </w:rPr>
        <w:t>след приемане/приложение на БлокМАКС, лечението трябва да бъде прекратено. Специализиран персонал трябва да започне необходимите медицински мерки според симптомите</w:t>
      </w:r>
      <w:r w:rsidRPr="00A25150">
        <w:rPr>
          <w:rFonts w:eastAsia="Times New Roman" w:cs="Arial"/>
          <w:color w:val="000000"/>
          <w:lang w:val="en-US" w:eastAsia="bg-BG"/>
        </w:rPr>
        <w:t>.</w:t>
      </w:r>
    </w:p>
    <w:p w14:paraId="759CB262" w14:textId="17745011" w:rsidR="00A25150" w:rsidRPr="00A25150" w:rsidRDefault="00A25150" w:rsidP="00A25150">
      <w:pPr>
        <w:rPr>
          <w:rFonts w:eastAsia="Times New Roman" w:cs="Arial"/>
          <w:color w:val="000000"/>
          <w:lang w:val="en-US" w:eastAsia="bg-BG"/>
        </w:rPr>
      </w:pPr>
    </w:p>
    <w:p w14:paraId="122A96C1"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Необходимо е повишено внимание при пациенти, които са имали свръхчувствителност или алергични реакции, тъй като те може да са изложени на повишен риск от реакции на свръхчувствителност, настъпващи с БлокМАКС.</w:t>
      </w:r>
    </w:p>
    <w:p w14:paraId="22767A52" w14:textId="77777777" w:rsidR="00A25150" w:rsidRPr="00A25150" w:rsidRDefault="00A25150" w:rsidP="00A25150">
      <w:pPr>
        <w:spacing w:line="240" w:lineRule="auto"/>
        <w:rPr>
          <w:rFonts w:eastAsia="Times New Roman" w:cs="Arial"/>
          <w:i/>
          <w:iCs/>
          <w:color w:val="000000"/>
          <w:lang w:eastAsia="bg-BG"/>
        </w:rPr>
      </w:pPr>
    </w:p>
    <w:p w14:paraId="06E62CE1" w14:textId="162EF4EA" w:rsidR="00A25150" w:rsidRPr="00A25150" w:rsidRDefault="00A25150" w:rsidP="00A25150">
      <w:pPr>
        <w:spacing w:line="240" w:lineRule="auto"/>
        <w:rPr>
          <w:rFonts w:eastAsia="Times New Roman" w:cs="Arial"/>
          <w:lang w:eastAsia="bg-BG"/>
        </w:rPr>
      </w:pPr>
      <w:r w:rsidRPr="00A25150">
        <w:rPr>
          <w:rFonts w:eastAsia="Times New Roman" w:cs="Arial"/>
          <w:i/>
          <w:iCs/>
          <w:color w:val="000000"/>
          <w:lang w:eastAsia="bg-BG"/>
        </w:rPr>
        <w:t>Други предпазни мерки</w:t>
      </w:r>
    </w:p>
    <w:p w14:paraId="47546125"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Бронхоспазъм, уртикария и ангиоедем могат да възникнат при пациенти, страдащи от или с минала анамнеза за бронхиална астма, хроничен ринит, синузит, назални полипи, аденоиди или алергични заболявания.</w:t>
      </w:r>
    </w:p>
    <w:p w14:paraId="35EA9436" w14:textId="77777777" w:rsidR="00A25150" w:rsidRPr="00A25150" w:rsidRDefault="00A25150" w:rsidP="00A25150">
      <w:pPr>
        <w:spacing w:line="240" w:lineRule="auto"/>
        <w:rPr>
          <w:rFonts w:eastAsia="Times New Roman" w:cs="Arial"/>
          <w:color w:val="000000"/>
          <w:lang w:eastAsia="bg-BG"/>
        </w:rPr>
      </w:pPr>
    </w:p>
    <w:p w14:paraId="0B1FA522" w14:textId="363F4FF1"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Ибупрофен може да маскира признаци или симптоми на инфекция (повишена температура, болка и оток).</w:t>
      </w:r>
    </w:p>
    <w:p w14:paraId="7E11B9C0" w14:textId="77777777" w:rsidR="00A25150" w:rsidRPr="00A25150" w:rsidRDefault="00A25150" w:rsidP="00A25150">
      <w:pPr>
        <w:spacing w:line="240" w:lineRule="auto"/>
        <w:rPr>
          <w:rFonts w:eastAsia="Times New Roman" w:cs="Arial"/>
          <w:i/>
          <w:iCs/>
          <w:color w:val="000000"/>
          <w:u w:val="single"/>
          <w:lang w:eastAsia="bg-BG"/>
        </w:rPr>
      </w:pPr>
    </w:p>
    <w:p w14:paraId="580EB0EA" w14:textId="0344B649" w:rsidR="00A25150" w:rsidRPr="00A25150" w:rsidRDefault="00A25150" w:rsidP="00A25150">
      <w:pPr>
        <w:spacing w:line="240" w:lineRule="auto"/>
        <w:rPr>
          <w:rFonts w:eastAsia="Times New Roman" w:cs="Arial"/>
          <w:lang w:eastAsia="bg-BG"/>
        </w:rPr>
      </w:pPr>
      <w:r w:rsidRPr="00A25150">
        <w:rPr>
          <w:rFonts w:eastAsia="Times New Roman" w:cs="Arial"/>
          <w:i/>
          <w:iCs/>
          <w:color w:val="000000"/>
          <w:u w:val="single"/>
          <w:lang w:eastAsia="bg-BG"/>
        </w:rPr>
        <w:t>Маскиране на симптомите на подлежащите инфекции</w:t>
      </w:r>
    </w:p>
    <w:p w14:paraId="46A5D740"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БлокМАКС може да маскира симптомите на инфекция, което може да доведе до забавяне на започване на подходящо лечение и по този начин да влоши изхода от инфекцията. Това се наблюдава при бактериална пневмония, придобита в обществото, както и при бактериалните усложнения на варицела. Когато БлокМАКС се прилага за лечение на повишена температура или за облекчаване на болката във връзка с инфекция, се препоръчва наблюдение на инфекцията. При извънболнични условия пациентът трябва да се консултира с лекар, ако симптомите персистират или се влошават.</w:t>
      </w:r>
    </w:p>
    <w:p w14:paraId="43FEB832" w14:textId="77777777" w:rsidR="00A25150" w:rsidRPr="00A25150" w:rsidRDefault="00A25150" w:rsidP="00A25150">
      <w:pPr>
        <w:spacing w:line="240" w:lineRule="auto"/>
        <w:rPr>
          <w:rFonts w:eastAsia="Times New Roman" w:cs="Arial"/>
          <w:color w:val="000000"/>
          <w:lang w:eastAsia="bg-BG"/>
        </w:rPr>
      </w:pPr>
    </w:p>
    <w:p w14:paraId="2CDC249E" w14:textId="77777777" w:rsidR="00A25150" w:rsidRPr="00A25150" w:rsidRDefault="00A25150" w:rsidP="00A25150">
      <w:pPr>
        <w:spacing w:line="240" w:lineRule="auto"/>
        <w:rPr>
          <w:rFonts w:eastAsia="Times New Roman" w:cs="Arial"/>
          <w:color w:val="000000"/>
          <w:lang w:eastAsia="bg-BG"/>
        </w:rPr>
      </w:pPr>
      <w:r w:rsidRPr="00A25150">
        <w:rPr>
          <w:rFonts w:eastAsia="Times New Roman" w:cs="Arial"/>
          <w:color w:val="000000"/>
          <w:lang w:eastAsia="bg-BG"/>
        </w:rPr>
        <w:t xml:space="preserve">Продължителната употреба на всякакъв вид болкоуспокояващо за главоболие може да го влоши. </w:t>
      </w:r>
    </w:p>
    <w:p w14:paraId="633F8EB6" w14:textId="1DED1F72"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Ако възникне или се подозира такава ситуация, трябва да се получи медицинска помощ и лечението трябва да бъде прекратено. Диагностицирането на главоболие поради прекаляване с лекарства трябва да се има предвид при пациенти, които имат често или ежедневно главоболие въпреки (или поради) редовната употреба на лекарства за главоболие.</w:t>
      </w:r>
    </w:p>
    <w:p w14:paraId="7D41B6CE" w14:textId="77777777" w:rsidR="00A25150" w:rsidRPr="00A25150" w:rsidRDefault="00A25150" w:rsidP="00A25150">
      <w:pPr>
        <w:spacing w:line="240" w:lineRule="auto"/>
        <w:rPr>
          <w:rFonts w:eastAsia="Times New Roman" w:cs="Arial"/>
          <w:color w:val="000000"/>
          <w:lang w:eastAsia="bg-BG"/>
        </w:rPr>
      </w:pPr>
    </w:p>
    <w:p w14:paraId="1852BB81" w14:textId="147590D3"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Като цяло, хабитуалният прием на болкоуспокояващи, особено комбинация от няколко обезболяващи активни вещества, може да доведе до трайно бъбречно увреждане с риск от бъбречна недостатъчност. Този риск може да се увеличи при физическо натоварване, свързано със загубата на соли и дехидратация. По тази причина това трябва да се избягва.</w:t>
      </w:r>
    </w:p>
    <w:p w14:paraId="22985FC2" w14:textId="77777777" w:rsidR="00A25150" w:rsidRPr="00A25150" w:rsidRDefault="00A25150" w:rsidP="00A25150">
      <w:pPr>
        <w:spacing w:line="240" w:lineRule="auto"/>
        <w:rPr>
          <w:rFonts w:eastAsia="Times New Roman" w:cs="Arial"/>
          <w:color w:val="000000"/>
          <w:lang w:eastAsia="bg-BG"/>
        </w:rPr>
      </w:pPr>
    </w:p>
    <w:p w14:paraId="38F0001B" w14:textId="5D0EF9F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По време на лечение с ибупрофен са наблюдавани някои случаи със симптоми на асептичен менингит като схващане на врата, главоболие, гадене, повръщане, висока температура или дезориентация при пациенти със съществуващи автоимунни нарушения (като системен лупус еритематозус, смесено заболяване на съединителната тъкан).</w:t>
      </w:r>
    </w:p>
    <w:p w14:paraId="39B9F844" w14:textId="77777777" w:rsidR="00A25150" w:rsidRPr="00A25150" w:rsidRDefault="00A25150" w:rsidP="00A25150">
      <w:pPr>
        <w:spacing w:line="240" w:lineRule="auto"/>
        <w:rPr>
          <w:rFonts w:eastAsia="Times New Roman" w:cs="Arial"/>
          <w:color w:val="000000"/>
          <w:lang w:eastAsia="bg-BG"/>
        </w:rPr>
      </w:pPr>
    </w:p>
    <w:p w14:paraId="6A40E725" w14:textId="4A9E65F3"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Ибупрофен може временно да инхибира тромбоцнтната агрегация и да удължи времето на кървене. Следователно пациенти с дефекти на кръвосъсирването или на антикоагулантна терапия трябва да се наблюдават внимателно.</w:t>
      </w:r>
    </w:p>
    <w:p w14:paraId="01BC86D7" w14:textId="77777777" w:rsidR="00A25150" w:rsidRPr="00A25150" w:rsidRDefault="00A25150" w:rsidP="00A25150">
      <w:pPr>
        <w:spacing w:line="240" w:lineRule="auto"/>
        <w:rPr>
          <w:rFonts w:eastAsia="Times New Roman" w:cs="Arial"/>
          <w:color w:val="000000"/>
          <w:lang w:eastAsia="bg-BG"/>
        </w:rPr>
      </w:pPr>
    </w:p>
    <w:p w14:paraId="56F06064" w14:textId="2E760C24"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В случай на дългосрочно лечение с ибупрофен е необходимо периодично наблюдение на чернодробната и бъбречната функция, както и на броя на кръвните клетки, особено при високорискови пациенти.</w:t>
      </w:r>
    </w:p>
    <w:p w14:paraId="5EAEB005" w14:textId="77777777"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Консумацията на алкохол трябва да се избягва, тъй като това може да засили нежеланите реакции на НСПВС, особено ако засягат стомашно-чревния тракт или централната нервна система.</w:t>
      </w:r>
    </w:p>
    <w:p w14:paraId="2BE7D3B1" w14:textId="77777777" w:rsidR="00A25150" w:rsidRPr="00A25150" w:rsidRDefault="00A25150" w:rsidP="00A25150">
      <w:pPr>
        <w:spacing w:line="240" w:lineRule="auto"/>
        <w:rPr>
          <w:rFonts w:eastAsia="Times New Roman" w:cs="Arial"/>
          <w:color w:val="000000"/>
          <w:lang w:eastAsia="bg-BG"/>
        </w:rPr>
      </w:pPr>
    </w:p>
    <w:p w14:paraId="6EA3ABE5" w14:textId="388D9DB4" w:rsidR="00A25150" w:rsidRPr="00A25150" w:rsidRDefault="00A25150" w:rsidP="00A25150">
      <w:pPr>
        <w:spacing w:line="240" w:lineRule="auto"/>
        <w:rPr>
          <w:rFonts w:eastAsia="Times New Roman" w:cs="Arial"/>
          <w:lang w:eastAsia="bg-BG"/>
        </w:rPr>
      </w:pPr>
      <w:r w:rsidRPr="00A25150">
        <w:rPr>
          <w:rFonts w:eastAsia="Times New Roman" w:cs="Arial"/>
          <w:color w:val="000000"/>
          <w:lang w:eastAsia="bg-BG"/>
        </w:rPr>
        <w:t>Пациенти, приемащи ибупрофен, трябва да съобщават на своя лекар признаци или симптоми</w:t>
      </w:r>
      <w:r w:rsidRPr="00A25150">
        <w:rPr>
          <w:rFonts w:eastAsia="Times New Roman" w:cs="Arial"/>
          <w:b/>
          <w:bCs/>
          <w:smallCaps/>
          <w:color w:val="000000"/>
          <w:lang w:eastAsia="bg-BG"/>
        </w:rPr>
        <w:t xml:space="preserve"> </w:t>
      </w:r>
      <w:r w:rsidRPr="00A25150">
        <w:rPr>
          <w:rFonts w:eastAsia="Times New Roman" w:cs="Arial"/>
          <w:color w:val="000000"/>
          <w:lang w:eastAsia="bg-BG"/>
        </w:rPr>
        <w:t>на стомашно-чревни язви или кървене, замъглено зрение или други очни симптоми, кожни обриви, наддаване на тегло или оток.</w:t>
      </w:r>
    </w:p>
    <w:p w14:paraId="5B9456F5" w14:textId="77777777" w:rsidR="00A25150" w:rsidRPr="00A25150" w:rsidRDefault="00A25150" w:rsidP="00A25150">
      <w:pPr>
        <w:spacing w:line="240" w:lineRule="auto"/>
        <w:rPr>
          <w:rFonts w:eastAsia="Times New Roman" w:cs="Arial"/>
          <w:color w:val="000000"/>
          <w:lang w:eastAsia="bg-BG"/>
        </w:rPr>
      </w:pPr>
    </w:p>
    <w:p w14:paraId="1806689B" w14:textId="64D8E638" w:rsidR="00A25150" w:rsidRPr="00A25150" w:rsidRDefault="00A25150" w:rsidP="00A25150">
      <w:pPr>
        <w:spacing w:line="240" w:lineRule="auto"/>
        <w:rPr>
          <w:rFonts w:eastAsia="Times New Roman" w:cs="Arial"/>
          <w:color w:val="000000"/>
          <w:lang w:eastAsia="bg-BG"/>
        </w:rPr>
      </w:pPr>
      <w:r w:rsidRPr="00A25150">
        <w:rPr>
          <w:rFonts w:eastAsia="Times New Roman" w:cs="Arial"/>
          <w:color w:val="000000"/>
          <w:lang w:eastAsia="bg-BG"/>
        </w:rPr>
        <w:t>По отношение на фертилността при жените вижте точка 4.6.</w:t>
      </w:r>
    </w:p>
    <w:p w14:paraId="7004DDCA" w14:textId="05BD7A5C" w:rsidR="00A25150" w:rsidRPr="00A25150" w:rsidRDefault="00A25150" w:rsidP="00A25150">
      <w:pPr>
        <w:spacing w:line="240" w:lineRule="auto"/>
        <w:rPr>
          <w:rFonts w:eastAsia="Times New Roman" w:cs="Arial"/>
          <w:color w:val="000000"/>
          <w:lang w:eastAsia="bg-BG"/>
        </w:rPr>
      </w:pPr>
    </w:p>
    <w:p w14:paraId="487304E1" w14:textId="77777777" w:rsidR="00A25150" w:rsidRPr="00A25150" w:rsidRDefault="00A25150" w:rsidP="00A25150">
      <w:pPr>
        <w:spacing w:line="240" w:lineRule="auto"/>
        <w:rPr>
          <w:rFonts w:eastAsia="Times New Roman" w:cs="Arial"/>
          <w:lang w:eastAsia="bg-BG"/>
        </w:rPr>
      </w:pPr>
      <w:r w:rsidRPr="00A25150">
        <w:rPr>
          <w:rFonts w:eastAsia="Times New Roman" w:cs="Arial"/>
          <w:b/>
          <w:bCs/>
          <w:color w:val="000000"/>
          <w:lang w:eastAsia="bg-BG"/>
        </w:rPr>
        <w:t xml:space="preserve">БлокМАКС съдържат лактоза. </w:t>
      </w:r>
      <w:r w:rsidRPr="00A25150">
        <w:rPr>
          <w:rFonts w:eastAsia="Times New Roman" w:cs="Arial"/>
          <w:color w:val="000000"/>
          <w:lang w:eastAsia="bg-BG"/>
        </w:rPr>
        <w:t>Пациенти с редки наследствени проблеми на галактозна непоносимост, пълен лактазен дефицит или глюкозо-галактозна малабсорбция не трябва да приемат това лекарство.</w:t>
      </w:r>
    </w:p>
    <w:p w14:paraId="6FD2F12B" w14:textId="77777777" w:rsidR="00A25150" w:rsidRPr="00A25150" w:rsidRDefault="00A25150" w:rsidP="00A25150">
      <w:pPr>
        <w:spacing w:line="240" w:lineRule="auto"/>
        <w:rPr>
          <w:rFonts w:eastAsia="Times New Roman" w:cs="Arial"/>
          <w:color w:val="000000"/>
          <w:lang w:eastAsia="bg-BG"/>
        </w:rPr>
      </w:pPr>
    </w:p>
    <w:p w14:paraId="510BC528" w14:textId="1F2A08A7" w:rsidR="00A25150" w:rsidRPr="00A25150" w:rsidRDefault="00A25150" w:rsidP="00A25150">
      <w:pPr>
        <w:spacing w:line="240" w:lineRule="auto"/>
        <w:rPr>
          <w:rFonts w:eastAsia="Times New Roman" w:cs="Arial"/>
          <w:lang w:val="en-US" w:eastAsia="bg-BG"/>
        </w:rPr>
      </w:pPr>
      <w:r w:rsidRPr="00A25150">
        <w:rPr>
          <w:rFonts w:eastAsia="Times New Roman" w:cs="Arial"/>
          <w:color w:val="000000"/>
          <w:lang w:eastAsia="bg-BG"/>
        </w:rPr>
        <w:t xml:space="preserve">Това лекарство съдържа по-малко от 1 </w:t>
      </w:r>
      <w:r w:rsidRPr="00A25150">
        <w:rPr>
          <w:rFonts w:eastAsia="Times New Roman" w:cs="Arial"/>
          <w:color w:val="000000"/>
          <w:lang w:val="en-US"/>
        </w:rPr>
        <w:t xml:space="preserve">mmol </w:t>
      </w:r>
      <w:r w:rsidRPr="00A25150">
        <w:rPr>
          <w:rFonts w:eastAsia="Times New Roman" w:cs="Arial"/>
          <w:color w:val="000000"/>
          <w:lang w:eastAsia="bg-BG"/>
        </w:rPr>
        <w:t xml:space="preserve">натрий (23 </w:t>
      </w:r>
      <w:r w:rsidRPr="00A25150">
        <w:rPr>
          <w:rFonts w:eastAsia="Times New Roman" w:cs="Arial"/>
          <w:color w:val="000000"/>
          <w:lang w:val="en-US"/>
        </w:rPr>
        <w:t xml:space="preserve">mg) </w:t>
      </w:r>
      <w:r w:rsidRPr="00A25150">
        <w:rPr>
          <w:rFonts w:eastAsia="Times New Roman" w:cs="Arial"/>
          <w:color w:val="000000"/>
          <w:lang w:eastAsia="bg-BG"/>
        </w:rPr>
        <w:t>в таблетка, т.е. може да се каже, че практически не съдържа натрий.</w:t>
      </w:r>
    </w:p>
    <w:p w14:paraId="64305665" w14:textId="77777777" w:rsidR="00A25150" w:rsidRPr="00A25150" w:rsidRDefault="00A25150" w:rsidP="00A25150">
      <w:pPr>
        <w:rPr>
          <w:lang w:val="en-US"/>
        </w:rPr>
      </w:pPr>
    </w:p>
    <w:p w14:paraId="1DA47448" w14:textId="4DB306FE"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68200DEC" w14:textId="30C2F3CC" w:rsidR="00A25150" w:rsidRDefault="00A25150" w:rsidP="00A25150"/>
    <w:p w14:paraId="5D21625C"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i/>
          <w:iCs/>
          <w:color w:val="000000"/>
          <w:u w:val="single"/>
          <w:lang w:eastAsia="bg-BG"/>
        </w:rPr>
        <w:t>Ибупрофен трябва да се избягва е комбинация със:</w:t>
      </w:r>
    </w:p>
    <w:p w14:paraId="64C75CE1"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Ацетилсалицилова киселина: Едновременното приложение на ибупрофен и ацетилсалицилова киселина обикновено не се препоръчва, поради потенциала за </w:t>
      </w:r>
      <w:r w:rsidRPr="00A25150">
        <w:rPr>
          <w:rFonts w:eastAsia="Times New Roman" w:cs="Arial"/>
          <w:color w:val="000000"/>
          <w:lang w:eastAsia="bg-BG"/>
        </w:rPr>
        <w:lastRenderedPageBreak/>
        <w:t xml:space="preserve">повишаване на нежеланите реакции, освен ако лекар не е предписал ниска доза ацетилсалицилова киселина (не над 75 </w:t>
      </w:r>
      <w:r w:rsidRPr="00A25150">
        <w:rPr>
          <w:rFonts w:eastAsia="Times New Roman" w:cs="Arial"/>
          <w:color w:val="000000"/>
          <w:lang w:val="en-US"/>
        </w:rPr>
        <w:t xml:space="preserve">mg </w:t>
      </w:r>
      <w:r w:rsidRPr="00A25150">
        <w:rPr>
          <w:rFonts w:eastAsia="Times New Roman" w:cs="Arial"/>
          <w:color w:val="000000"/>
          <w:lang w:eastAsia="bg-BG"/>
        </w:rPr>
        <w:t>дневно).</w:t>
      </w:r>
    </w:p>
    <w:p w14:paraId="4F430E70"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Експериментални данни показват, че когато се прилагат едновременно, ибупрофен конкурентно може да инхибира ефекта на ниската доза ацетилсалицилова киселина върху тромбоцитната агрегация. Въпреки че има несигурност по отношение на екстраполацията на тези данни към клиничната ситуация, не може да се изключи възможността редовната, дългосрочна употреба на ибупрофен да намали кардиопротекгорния ефект на ниска доза ацетилсалицилова киселина. Не се счита вероятно употребата на ибупрофен от време на време да доведе до някакъв клинично значим ефект (вж. точка 5.1).</w:t>
      </w:r>
    </w:p>
    <w:p w14:paraId="1C4BF75A" w14:textId="77777777" w:rsidR="00A25150" w:rsidRPr="0013041E" w:rsidRDefault="00A25150" w:rsidP="00A25150">
      <w:pPr>
        <w:spacing w:line="240" w:lineRule="auto"/>
        <w:rPr>
          <w:rFonts w:eastAsia="Times New Roman" w:cs="Arial"/>
          <w:color w:val="000000"/>
          <w:lang w:eastAsia="bg-BG"/>
        </w:rPr>
      </w:pPr>
    </w:p>
    <w:p w14:paraId="5A8DAB56" w14:textId="3D7067D4"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Други НСПВС, включително селективни инхибитори на циклооксигеназа-2: Избягвайте едновременната употреба на два или </w:t>
      </w:r>
      <w:r w:rsidRPr="00A25150">
        <w:rPr>
          <w:rFonts w:eastAsia="Times New Roman" w:cs="Arial"/>
          <w:i/>
          <w:iCs/>
          <w:color w:val="000000"/>
          <w:lang w:eastAsia="bg-BG"/>
        </w:rPr>
        <w:t>повече НСПВС,</w:t>
      </w:r>
      <w:r w:rsidRPr="00A25150">
        <w:rPr>
          <w:rFonts w:eastAsia="Times New Roman" w:cs="Arial"/>
          <w:color w:val="000000"/>
          <w:lang w:eastAsia="bg-BG"/>
        </w:rPr>
        <w:t xml:space="preserve"> тъй като това може да увеличи риска от нежелани реакции (вж. точка 4.4).</w:t>
      </w:r>
    </w:p>
    <w:p w14:paraId="6C43CDD4" w14:textId="77777777" w:rsidR="00A25150" w:rsidRPr="0013041E" w:rsidRDefault="00A25150" w:rsidP="00A25150">
      <w:pPr>
        <w:spacing w:line="240" w:lineRule="auto"/>
        <w:rPr>
          <w:rFonts w:eastAsia="Times New Roman" w:cs="Arial"/>
          <w:i/>
          <w:iCs/>
          <w:color w:val="000000"/>
          <w:u w:val="single"/>
          <w:lang w:eastAsia="bg-BG"/>
        </w:rPr>
      </w:pPr>
    </w:p>
    <w:p w14:paraId="07F2FB7B" w14:textId="295CE82D" w:rsidR="00A25150" w:rsidRPr="00A25150" w:rsidRDefault="00A25150" w:rsidP="00A25150">
      <w:pPr>
        <w:spacing w:line="240" w:lineRule="auto"/>
        <w:rPr>
          <w:rFonts w:eastAsia="Times New Roman" w:cs="Arial"/>
          <w:sz w:val="24"/>
          <w:szCs w:val="24"/>
          <w:lang w:eastAsia="bg-BG"/>
        </w:rPr>
      </w:pPr>
      <w:r w:rsidRPr="00A25150">
        <w:rPr>
          <w:rFonts w:eastAsia="Times New Roman" w:cs="Arial"/>
          <w:i/>
          <w:iCs/>
          <w:color w:val="000000"/>
          <w:u w:val="single"/>
          <w:lang w:eastAsia="bg-BG"/>
        </w:rPr>
        <w:t>Ибупрофен трябва да се използва внимателно в комбинация със:</w:t>
      </w:r>
    </w:p>
    <w:p w14:paraId="0FA64D1E"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Антикоагуланти: НСПВС могат да засилят ефектите на антикоагуланти като варфарин (вж. точка 4.4).</w:t>
      </w:r>
    </w:p>
    <w:p w14:paraId="1E0FAB6D" w14:textId="77777777" w:rsidR="00A25150" w:rsidRPr="0013041E" w:rsidRDefault="00A25150" w:rsidP="00A25150">
      <w:pPr>
        <w:spacing w:line="240" w:lineRule="auto"/>
        <w:rPr>
          <w:rFonts w:eastAsia="Times New Roman" w:cs="Arial"/>
          <w:color w:val="000000"/>
          <w:lang w:eastAsia="bg-BG"/>
        </w:rPr>
      </w:pPr>
    </w:p>
    <w:p w14:paraId="79E92A8C" w14:textId="003C22CC"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Антихипертензивни средства (АСЕ-инхибитори, бета-блокери и ангиотензин-</w:t>
      </w:r>
      <w:r w:rsidRPr="00A25150">
        <w:rPr>
          <w:rFonts w:eastAsia="Times New Roman" w:cs="Arial"/>
          <w:color w:val="000000"/>
          <w:lang w:val="en-US"/>
        </w:rPr>
        <w:t>II</w:t>
      </w:r>
      <w:r w:rsidRPr="00A25150">
        <w:rPr>
          <w:rFonts w:eastAsia="Times New Roman" w:cs="Arial"/>
          <w:color w:val="000000"/>
          <w:lang w:eastAsia="bg-BG"/>
        </w:rPr>
        <w:t xml:space="preserve"> рецепторни антагонисти) и диуретици: НСПВС могат да намалят ефекта на тези лекарства. Диуретиците могат да увеличат риска от нефротоксичност на НСПВС. Едновременното приложение на ибупрофен и калий съхраняващи диуретици или АСЕ-инхибитори може да доведе до хиперкалиемия. Необходимо е внимателно наблюдение на нивата на калий.</w:t>
      </w:r>
    </w:p>
    <w:p w14:paraId="0E1F4979" w14:textId="77777777" w:rsidR="00A25150" w:rsidRPr="0013041E" w:rsidRDefault="00A25150" w:rsidP="00A25150">
      <w:pPr>
        <w:spacing w:line="240" w:lineRule="auto"/>
        <w:rPr>
          <w:rFonts w:eastAsia="Times New Roman" w:cs="Arial"/>
          <w:color w:val="000000"/>
          <w:lang w:eastAsia="bg-BG"/>
        </w:rPr>
      </w:pPr>
    </w:p>
    <w:p w14:paraId="011234F9" w14:textId="3D0BF0BD"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Каптоприл: Експериментални проучвания показват, че ибупрофен противодейства на ефекта на каптоприл на повишена екскреция на натрий.</w:t>
      </w:r>
    </w:p>
    <w:p w14:paraId="074A00C3" w14:textId="77777777" w:rsidR="00A25150" w:rsidRPr="0013041E" w:rsidRDefault="00A25150" w:rsidP="00A25150">
      <w:pPr>
        <w:spacing w:line="240" w:lineRule="auto"/>
        <w:rPr>
          <w:rFonts w:eastAsia="Times New Roman" w:cs="Arial"/>
          <w:color w:val="000000"/>
          <w:lang w:eastAsia="bg-BG"/>
        </w:rPr>
      </w:pPr>
    </w:p>
    <w:p w14:paraId="3286EE87" w14:textId="5A303ABB"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Кортикостероиди: Повишен риск от стомашно-чревни язви или кървене (вж. точка 4.4).</w:t>
      </w:r>
    </w:p>
    <w:p w14:paraId="7D79821D" w14:textId="77777777"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Антитромбоцитни средства и селективни инхибитори на обратното захващане на серотонина </w:t>
      </w:r>
      <w:r w:rsidRPr="00A25150">
        <w:rPr>
          <w:rFonts w:eastAsia="Times New Roman" w:cs="Arial"/>
          <w:color w:val="000000"/>
          <w:lang w:val="en-US"/>
        </w:rPr>
        <w:t xml:space="preserve">(SSRIs): </w:t>
      </w:r>
      <w:r w:rsidRPr="00A25150">
        <w:rPr>
          <w:rFonts w:eastAsia="Times New Roman" w:cs="Arial"/>
          <w:color w:val="000000"/>
          <w:lang w:eastAsia="bg-BG"/>
        </w:rPr>
        <w:t>повишен риск от стомашно-чревно кървене (вж. точка 4.4). НСПВС не трябва да се комбинират с антитромбоцитни средства като тиклопидин поради адитивното инхибиране на тромбоцитната функция.</w:t>
      </w:r>
    </w:p>
    <w:p w14:paraId="2D619D26" w14:textId="77777777" w:rsidR="00A25150" w:rsidRPr="0013041E" w:rsidRDefault="00A25150" w:rsidP="00A25150">
      <w:pPr>
        <w:spacing w:line="240" w:lineRule="auto"/>
        <w:rPr>
          <w:rFonts w:eastAsia="Times New Roman" w:cs="Arial"/>
          <w:color w:val="000000"/>
          <w:lang w:eastAsia="bg-BG"/>
        </w:rPr>
      </w:pPr>
    </w:p>
    <w:p w14:paraId="39818C68" w14:textId="61524D05"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 xml:space="preserve">Сърдечни гликозиди: НСПВС могат да обострят сърдечна недостатъчност, да намалят </w:t>
      </w:r>
      <w:r w:rsidRPr="00A25150">
        <w:rPr>
          <w:rFonts w:eastAsia="Times New Roman" w:cs="Arial"/>
          <w:color w:val="000000"/>
          <w:lang w:val="en-US"/>
        </w:rPr>
        <w:t xml:space="preserve">GFR </w:t>
      </w:r>
      <w:r w:rsidRPr="00A25150">
        <w:rPr>
          <w:rFonts w:eastAsia="Times New Roman" w:cs="Arial"/>
          <w:color w:val="000000"/>
          <w:lang w:eastAsia="bg-BG"/>
        </w:rPr>
        <w:t>и да увеличат плазмените нива на сърдечните гликозиди (напр. дигоксин).</w:t>
      </w:r>
    </w:p>
    <w:p w14:paraId="4992DC4D" w14:textId="77777777" w:rsidR="0013041E" w:rsidRPr="0013041E" w:rsidRDefault="0013041E" w:rsidP="00A25150">
      <w:pPr>
        <w:spacing w:line="240" w:lineRule="auto"/>
        <w:rPr>
          <w:rFonts w:eastAsia="Times New Roman" w:cs="Arial"/>
          <w:color w:val="000000"/>
          <w:lang w:eastAsia="bg-BG"/>
        </w:rPr>
      </w:pPr>
    </w:p>
    <w:p w14:paraId="39F44960" w14:textId="204D1E5F" w:rsidR="00A25150" w:rsidRPr="00A25150" w:rsidRDefault="00A25150" w:rsidP="00A25150">
      <w:pPr>
        <w:spacing w:line="240" w:lineRule="auto"/>
        <w:rPr>
          <w:rFonts w:eastAsia="Times New Roman" w:cs="Arial"/>
          <w:sz w:val="24"/>
          <w:szCs w:val="24"/>
          <w:lang w:eastAsia="bg-BG"/>
        </w:rPr>
      </w:pPr>
      <w:r w:rsidRPr="00A25150">
        <w:rPr>
          <w:rFonts w:eastAsia="Times New Roman" w:cs="Arial"/>
          <w:color w:val="000000"/>
          <w:lang w:eastAsia="bg-BG"/>
        </w:rPr>
        <w:t>Литий: Има доказателства за потенциално повишение на плазмените нива на литий.</w:t>
      </w:r>
    </w:p>
    <w:p w14:paraId="6588FAD6" w14:textId="77777777" w:rsidR="0013041E" w:rsidRPr="0013041E" w:rsidRDefault="0013041E" w:rsidP="00A25150">
      <w:pPr>
        <w:rPr>
          <w:rFonts w:eastAsia="Times New Roman" w:cs="Arial"/>
          <w:color w:val="000000"/>
          <w:lang w:eastAsia="bg-BG"/>
        </w:rPr>
      </w:pPr>
    </w:p>
    <w:p w14:paraId="4DDBE88D" w14:textId="77777777" w:rsidR="0013041E" w:rsidRPr="0013041E" w:rsidRDefault="00A25150" w:rsidP="0013041E">
      <w:pPr>
        <w:rPr>
          <w:rFonts w:eastAsia="Times New Roman" w:cs="Arial"/>
          <w:sz w:val="24"/>
          <w:szCs w:val="24"/>
          <w:lang w:eastAsia="bg-BG"/>
        </w:rPr>
      </w:pPr>
      <w:r w:rsidRPr="0013041E">
        <w:rPr>
          <w:rFonts w:eastAsia="Times New Roman" w:cs="Arial"/>
          <w:color w:val="000000"/>
          <w:lang w:eastAsia="bg-BG"/>
        </w:rPr>
        <w:t>Метотрексат: НСПВС инхибират тубулната секреция на метотрексат и в резултат на понижения клирънс на метотрексат могат да възникнат някои метаболитни взаимодействия. Приложението на ибупрофен в рамките на 24 часа преди или след прилагане на метотрексат може да доведе до повишена концентрация на метотрексат и увеличаване на неговите токсични</w:t>
      </w:r>
      <w:r w:rsidR="0013041E" w:rsidRPr="0013041E">
        <w:rPr>
          <w:rFonts w:eastAsia="Times New Roman" w:cs="Arial"/>
          <w:color w:val="000000"/>
          <w:lang w:val="en-US" w:eastAsia="bg-BG"/>
        </w:rPr>
        <w:t xml:space="preserve"> </w:t>
      </w:r>
      <w:r w:rsidR="0013041E" w:rsidRPr="0013041E">
        <w:rPr>
          <w:rFonts w:eastAsia="Times New Roman" w:cs="Arial"/>
          <w:color w:val="000000"/>
          <w:lang w:eastAsia="bg-BG"/>
        </w:rPr>
        <w:t>ефекти. Следователно едновременната употреба на НСПВС и високи дози метотрексат трябва да се избягва. Също така трябва да се вземе предвид потенциалният риск от взаимодействия при лечение с ниска доза метотрексат, особено при пациенти с нарушена бъбречна функция. При комбинирано лечение трябва да се следи бъбречната функция.</w:t>
      </w:r>
    </w:p>
    <w:p w14:paraId="6C120BA3" w14:textId="77777777" w:rsidR="0013041E" w:rsidRPr="0013041E" w:rsidRDefault="0013041E" w:rsidP="0013041E">
      <w:pPr>
        <w:spacing w:line="240" w:lineRule="auto"/>
        <w:rPr>
          <w:rFonts w:eastAsia="Times New Roman" w:cs="Arial"/>
          <w:color w:val="000000"/>
          <w:lang w:eastAsia="bg-BG"/>
        </w:rPr>
      </w:pPr>
    </w:p>
    <w:p w14:paraId="087543E4" w14:textId="3B454919"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Циклоспорин: Повишен риск от нефротоксичност.</w:t>
      </w:r>
    </w:p>
    <w:p w14:paraId="641C59FF" w14:textId="77777777" w:rsidR="0013041E" w:rsidRPr="0013041E" w:rsidRDefault="0013041E" w:rsidP="0013041E">
      <w:pPr>
        <w:spacing w:line="240" w:lineRule="auto"/>
        <w:rPr>
          <w:rFonts w:eastAsia="Times New Roman" w:cs="Arial"/>
          <w:color w:val="000000"/>
          <w:lang w:eastAsia="bg-BG"/>
        </w:rPr>
      </w:pPr>
    </w:p>
    <w:p w14:paraId="15BA2D11" w14:textId="0B5557F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Мифепристон: НСПВС не трябва да се използват 8-12 дни след приложението на мифепристон, тъй като те могат да намалят ефекта на мифепристон.</w:t>
      </w:r>
    </w:p>
    <w:p w14:paraId="03E83E1F" w14:textId="77777777" w:rsidR="0013041E" w:rsidRPr="0013041E" w:rsidRDefault="0013041E" w:rsidP="0013041E">
      <w:pPr>
        <w:spacing w:line="240" w:lineRule="auto"/>
        <w:rPr>
          <w:rFonts w:eastAsia="Times New Roman" w:cs="Arial"/>
          <w:color w:val="000000"/>
          <w:lang w:eastAsia="bg-BG"/>
        </w:rPr>
      </w:pPr>
    </w:p>
    <w:p w14:paraId="225F913C" w14:textId="2EB57F7A"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Такролимус: Когато НСПВС се дават с такролимус, е възможно повишаване на риска от нефротоксичност.</w:t>
      </w:r>
    </w:p>
    <w:p w14:paraId="4AFE3D58" w14:textId="77777777" w:rsidR="0013041E" w:rsidRPr="0013041E" w:rsidRDefault="0013041E" w:rsidP="0013041E">
      <w:pPr>
        <w:spacing w:line="240" w:lineRule="auto"/>
        <w:rPr>
          <w:rFonts w:eastAsia="Times New Roman" w:cs="Arial"/>
          <w:color w:val="000000"/>
          <w:lang w:eastAsia="bg-BG"/>
        </w:rPr>
      </w:pPr>
    </w:p>
    <w:p w14:paraId="47537D25" w14:textId="7FA3D3B8"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Зидовудин: Когато НСПВС се дават със зидовудин, има повишен риск от хематологична токсичност. Има доказателство за повишен риск от хемартрози и хематоми при </w:t>
      </w:r>
      <w:r w:rsidRPr="0013041E">
        <w:rPr>
          <w:rFonts w:eastAsia="Times New Roman" w:cs="Arial"/>
          <w:color w:val="000000"/>
          <w:lang w:val="en-US"/>
        </w:rPr>
        <w:t xml:space="preserve">HIV(+) </w:t>
      </w:r>
      <w:r w:rsidRPr="0013041E">
        <w:rPr>
          <w:rFonts w:eastAsia="Times New Roman" w:cs="Arial"/>
          <w:color w:val="000000"/>
          <w:lang w:eastAsia="bg-BG"/>
        </w:rPr>
        <w:t>хемофилици, получаващи едновременно лечение със зидовудин и ибупрофен.</w:t>
      </w:r>
    </w:p>
    <w:p w14:paraId="675C0F5A" w14:textId="77777777" w:rsidR="0013041E" w:rsidRPr="0013041E" w:rsidRDefault="0013041E" w:rsidP="0013041E">
      <w:pPr>
        <w:spacing w:line="240" w:lineRule="auto"/>
        <w:rPr>
          <w:rFonts w:eastAsia="Times New Roman" w:cs="Arial"/>
          <w:color w:val="000000"/>
          <w:lang w:eastAsia="bg-BG"/>
        </w:rPr>
      </w:pPr>
    </w:p>
    <w:p w14:paraId="68F4BFD1" w14:textId="16842A6B"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Хинолонови антибиотици: Данни при животни сочат, че НСПВС могат да увеличат риска от гърчове, свързани с хинолонови антибиотици. При пациенти, приемащи НСПВС и хинолони, може да съществува повишен риск от развитие на конвулсии.</w:t>
      </w:r>
    </w:p>
    <w:p w14:paraId="31ADDAEF" w14:textId="77777777" w:rsidR="0013041E" w:rsidRPr="0013041E" w:rsidRDefault="0013041E" w:rsidP="0013041E">
      <w:pPr>
        <w:spacing w:line="240" w:lineRule="auto"/>
        <w:rPr>
          <w:rFonts w:eastAsia="Times New Roman" w:cs="Arial"/>
          <w:color w:val="000000"/>
          <w:lang w:eastAsia="bg-BG"/>
        </w:rPr>
      </w:pPr>
    </w:p>
    <w:p w14:paraId="106FAACB" w14:textId="51C5F0A5"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Сулфанилурейни продукти: НСПВС могат да повишат хипогликемичния ефект на сулфанилурейните продукти. При едновременно лечение се препоръчва наблюдение на кръвната захар.</w:t>
      </w:r>
    </w:p>
    <w:p w14:paraId="3603BD1F" w14:textId="77777777" w:rsidR="0013041E" w:rsidRPr="0013041E" w:rsidRDefault="0013041E" w:rsidP="0013041E">
      <w:pPr>
        <w:spacing w:line="240" w:lineRule="auto"/>
        <w:rPr>
          <w:rFonts w:eastAsia="Times New Roman" w:cs="Arial"/>
          <w:color w:val="000000"/>
          <w:lang w:eastAsia="bg-BG"/>
        </w:rPr>
      </w:pPr>
    </w:p>
    <w:p w14:paraId="26F7D682" w14:textId="75B4D95D"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Аминогликозиди: НСПВС могат да забавят елиминирането на аминогликозидите и да увеличат тяхната токсичност.</w:t>
      </w:r>
    </w:p>
    <w:p w14:paraId="362051BE" w14:textId="77777777" w:rsidR="0013041E" w:rsidRPr="0013041E" w:rsidRDefault="0013041E" w:rsidP="0013041E">
      <w:pPr>
        <w:spacing w:line="240" w:lineRule="auto"/>
        <w:rPr>
          <w:rFonts w:eastAsia="Times New Roman" w:cs="Arial"/>
          <w:color w:val="000000"/>
          <w:lang w:eastAsia="bg-BG"/>
        </w:rPr>
      </w:pPr>
    </w:p>
    <w:p w14:paraId="0CED0BE0" w14:textId="487B1D50"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Инхибитори на </w:t>
      </w:r>
      <w:r w:rsidRPr="0013041E">
        <w:rPr>
          <w:rFonts w:eastAsia="Times New Roman" w:cs="Arial"/>
          <w:color w:val="000000"/>
          <w:lang w:val="en-US"/>
        </w:rPr>
        <w:t xml:space="preserve">CYP2C9 </w:t>
      </w:r>
      <w:r w:rsidRPr="0013041E">
        <w:rPr>
          <w:rFonts w:eastAsia="Times New Roman" w:cs="Arial"/>
          <w:color w:val="000000"/>
          <w:lang w:eastAsia="bg-BG"/>
        </w:rPr>
        <w:t xml:space="preserve">(напр. вориконазол или флуконазол): Едновременното приложение на ибупрофен с инхибитори на </w:t>
      </w:r>
      <w:r w:rsidRPr="0013041E">
        <w:rPr>
          <w:rFonts w:eastAsia="Times New Roman" w:cs="Arial"/>
          <w:color w:val="000000"/>
          <w:lang w:val="en-US"/>
        </w:rPr>
        <w:t xml:space="preserve">CYP2C9 </w:t>
      </w:r>
      <w:r w:rsidRPr="0013041E">
        <w:rPr>
          <w:rFonts w:eastAsia="Times New Roman" w:cs="Arial"/>
          <w:color w:val="000000"/>
          <w:lang w:eastAsia="bg-BG"/>
        </w:rPr>
        <w:t xml:space="preserve">може да увеличи експозицията на ибупрофен (субстрат на </w:t>
      </w:r>
      <w:r w:rsidRPr="0013041E">
        <w:rPr>
          <w:rFonts w:eastAsia="Times New Roman" w:cs="Arial"/>
          <w:color w:val="000000"/>
          <w:lang w:val="en-US"/>
        </w:rPr>
        <w:t xml:space="preserve">CYP2C9). </w:t>
      </w:r>
      <w:r w:rsidRPr="0013041E">
        <w:rPr>
          <w:rFonts w:eastAsia="Times New Roman" w:cs="Arial"/>
          <w:color w:val="000000"/>
          <w:lang w:eastAsia="bg-BG"/>
        </w:rPr>
        <w:t xml:space="preserve">В проучване с вориконазол и флуконазол (инхибитори на </w:t>
      </w:r>
      <w:r w:rsidRPr="0013041E">
        <w:rPr>
          <w:rFonts w:eastAsia="Times New Roman" w:cs="Arial"/>
          <w:color w:val="000000"/>
          <w:lang w:val="en-US"/>
        </w:rPr>
        <w:t xml:space="preserve">CYP2C9) </w:t>
      </w:r>
      <w:r w:rsidRPr="0013041E">
        <w:rPr>
          <w:rFonts w:eastAsia="Times New Roman" w:cs="Arial"/>
          <w:color w:val="000000"/>
          <w:lang w:eastAsia="bg-BG"/>
        </w:rPr>
        <w:t xml:space="preserve">е доказана повишена експозиция на 5(+)-ибупрофен с приблизително 80 до 100%. Трябва да се обмисли намаляване на дозата на ибупрофен, когато се прилагат едновременно мощни инхибитори на </w:t>
      </w:r>
      <w:r w:rsidRPr="0013041E">
        <w:rPr>
          <w:rFonts w:eastAsia="Times New Roman" w:cs="Arial"/>
          <w:color w:val="000000"/>
          <w:lang w:val="en-US"/>
        </w:rPr>
        <w:t xml:space="preserve">CYP2C9, </w:t>
      </w:r>
      <w:r w:rsidRPr="0013041E">
        <w:rPr>
          <w:rFonts w:eastAsia="Times New Roman" w:cs="Arial"/>
          <w:color w:val="000000"/>
          <w:lang w:eastAsia="bg-BG"/>
        </w:rPr>
        <w:t>особено когато високи дози ибупрофен се прилагат с вориконазол или флуконазол.</w:t>
      </w:r>
    </w:p>
    <w:p w14:paraId="626A36E8" w14:textId="77777777" w:rsidR="0013041E" w:rsidRPr="0013041E" w:rsidRDefault="0013041E" w:rsidP="0013041E">
      <w:pPr>
        <w:spacing w:line="240" w:lineRule="auto"/>
        <w:rPr>
          <w:rFonts w:eastAsia="Times New Roman" w:cs="Arial"/>
          <w:color w:val="000000"/>
          <w:lang w:eastAsia="bg-BG"/>
        </w:rPr>
      </w:pPr>
    </w:p>
    <w:p w14:paraId="7CED5142" w14:textId="10ECAB09"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Холестирамин: Съпътстващо лечение с холестирамин и ибупрофен води до удължена и намалена (25%) абсорбция на ибупрофен. Лекарствените продукти трябва да се прилагат на интервал от поне два часа.</w:t>
      </w:r>
    </w:p>
    <w:p w14:paraId="0AF98A8D" w14:textId="77777777" w:rsidR="0013041E" w:rsidRPr="0013041E" w:rsidRDefault="0013041E" w:rsidP="0013041E">
      <w:pPr>
        <w:spacing w:line="240" w:lineRule="auto"/>
        <w:rPr>
          <w:rFonts w:eastAsia="Times New Roman" w:cs="Arial"/>
          <w:color w:val="000000"/>
          <w:lang w:eastAsia="bg-BG"/>
        </w:rPr>
      </w:pPr>
    </w:p>
    <w:p w14:paraId="37535CB8" w14:textId="1FC95CCB"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Билкови екстракти: Гинко билоба може да увеличи риска от кървене с НСПВС.</w:t>
      </w:r>
    </w:p>
    <w:p w14:paraId="4B99389D" w14:textId="77777777" w:rsidR="0013041E" w:rsidRPr="0013041E" w:rsidRDefault="0013041E" w:rsidP="0013041E">
      <w:pPr>
        <w:spacing w:line="240" w:lineRule="auto"/>
        <w:rPr>
          <w:rFonts w:eastAsia="Times New Roman" w:cs="Arial"/>
          <w:color w:val="000000"/>
          <w:lang w:eastAsia="bg-BG"/>
        </w:rPr>
      </w:pPr>
    </w:p>
    <w:p w14:paraId="1418CF8B" w14:textId="2244FC8C"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Алкохол: Използването на ибупрофен при лица с хронична консумация на алкохол (14-20 напитки/седмица или повече) трябва да се избягва поради повишения риск от значителни нежелани реакции от страна на стомашно-чревния тракт, включително кървене.</w:t>
      </w:r>
    </w:p>
    <w:p w14:paraId="420FA383" w14:textId="16DED307" w:rsidR="00A25150" w:rsidRPr="0013041E" w:rsidRDefault="00A25150" w:rsidP="00A25150">
      <w:pPr>
        <w:rPr>
          <w:lang w:val="en-US"/>
        </w:rPr>
      </w:pPr>
    </w:p>
    <w:p w14:paraId="48846BBA" w14:textId="4F9543B3" w:rsidR="009F77A4" w:rsidRDefault="002C50EE" w:rsidP="00387A66">
      <w:pPr>
        <w:pStyle w:val="Heading2"/>
      </w:pPr>
      <w:r>
        <w:t>4.6. Фертилитет, бременност и кърмене</w:t>
      </w:r>
    </w:p>
    <w:p w14:paraId="2C530DE9" w14:textId="09495BFF" w:rsidR="0013041E" w:rsidRDefault="0013041E" w:rsidP="0013041E"/>
    <w:p w14:paraId="7A27BC16" w14:textId="77777777" w:rsidR="0013041E" w:rsidRPr="0013041E" w:rsidRDefault="0013041E" w:rsidP="0013041E">
      <w:pPr>
        <w:pStyle w:val="Heading3"/>
        <w:rPr>
          <w:rFonts w:eastAsia="Times New Roman"/>
          <w:u w:val="single"/>
          <w:lang w:eastAsia="bg-BG"/>
        </w:rPr>
      </w:pPr>
      <w:bookmarkStart w:id="1" w:name="bookmark0"/>
      <w:r w:rsidRPr="0013041E">
        <w:rPr>
          <w:rFonts w:eastAsia="Times New Roman"/>
          <w:u w:val="single"/>
          <w:lang w:eastAsia="bg-BG"/>
        </w:rPr>
        <w:t>Бременност</w:t>
      </w:r>
      <w:bookmarkEnd w:id="1"/>
    </w:p>
    <w:p w14:paraId="5E5AE987" w14:textId="51D7EFEA" w:rsidR="0013041E" w:rsidRPr="0013041E" w:rsidRDefault="0013041E" w:rsidP="0013041E">
      <w:pPr>
        <w:rPr>
          <w:rFonts w:eastAsia="Times New Roman" w:cs="Arial"/>
          <w:color w:val="000000"/>
          <w:lang w:eastAsia="bg-BG"/>
        </w:rPr>
      </w:pPr>
      <w:r w:rsidRPr="0013041E">
        <w:rPr>
          <w:rFonts w:eastAsia="Times New Roman" w:cs="Arial"/>
          <w:color w:val="000000"/>
          <w:lang w:eastAsia="bg-BG"/>
        </w:rPr>
        <w:t>Инхибирането на синтеза на простагландините може да повлияе неблагоприятно бременността и/или развитието на зародиша/плода. Данни от епидемиологични проучвания показват повишен риск от спонтанен аборт, сърдечни малформации и гастросхизис след използването на инхибитор на синтеза на простагландините в началото на бременността. Абсолютният риск</w:t>
      </w:r>
      <w:r w:rsidRPr="0013041E">
        <w:rPr>
          <w:rFonts w:eastAsia="Times New Roman" w:cs="Arial"/>
          <w:color w:val="000000"/>
          <w:vertAlign w:val="superscript"/>
          <w:lang w:eastAsia="bg-BG"/>
        </w:rPr>
        <w:t xml:space="preserve"> </w:t>
      </w:r>
      <w:r w:rsidRPr="0013041E">
        <w:rPr>
          <w:rFonts w:eastAsia="Times New Roman" w:cs="Arial"/>
          <w:color w:val="000000"/>
          <w:lang w:eastAsia="bg-BG"/>
        </w:rPr>
        <w:t xml:space="preserve">за сърдечно-съдови малформации е </w:t>
      </w:r>
      <w:r w:rsidRPr="0013041E">
        <w:rPr>
          <w:rFonts w:eastAsia="Times New Roman" w:cs="Arial"/>
          <w:color w:val="000000"/>
          <w:lang w:eastAsia="bg-BG"/>
        </w:rPr>
        <w:lastRenderedPageBreak/>
        <w:t>увеличен от по-малко от 1% до приблизително 1.5%. Смята се, че рискът се увеличава с дозата и продължителността на лечение.</w:t>
      </w:r>
    </w:p>
    <w:p w14:paraId="641BBFCB" w14:textId="1799BC25" w:rsidR="0013041E" w:rsidRPr="0013041E" w:rsidRDefault="0013041E" w:rsidP="0013041E">
      <w:pPr>
        <w:rPr>
          <w:rFonts w:eastAsia="Times New Roman" w:cs="Arial"/>
          <w:color w:val="000000"/>
          <w:lang w:eastAsia="bg-BG"/>
        </w:rPr>
      </w:pPr>
    </w:p>
    <w:p w14:paraId="374C7DEC"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При животни е доказано, че приложението на инхибитор на синтеза на простагландините води до повишени пред- и следимплантационни загуби и до ембрио-фетална смъртност. В допълнение, при животни има съобщения за повишена честота на различни малформации, включително сърдечно-съдови, при прилагане на инхибитор на синтеза на простагландините по време на органогенезата.</w:t>
      </w:r>
    </w:p>
    <w:p w14:paraId="1DC0C00A" w14:textId="77777777" w:rsidR="0013041E" w:rsidRPr="0013041E" w:rsidRDefault="0013041E" w:rsidP="0013041E">
      <w:pPr>
        <w:spacing w:line="240" w:lineRule="auto"/>
        <w:rPr>
          <w:rFonts w:eastAsia="Times New Roman" w:cs="Arial"/>
          <w:color w:val="000000"/>
          <w:lang w:eastAsia="bg-BG"/>
        </w:rPr>
      </w:pPr>
    </w:p>
    <w:p w14:paraId="0C8791BE" w14:textId="646BFC73"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По време на първия и втория триместър на бременността БлокМАКС не трябва да се дава, освен ако не е категорично наложително. Ако БлокМАКС се използва от жена, която се опитва да зачене, или по време на първия и втория триместър, дозата трябва да се поддържа толкова ниска, колкото е възможно, и продължителността на лечението да е възможно най-кратка.</w:t>
      </w:r>
    </w:p>
    <w:p w14:paraId="77F30789" w14:textId="77777777" w:rsidR="0013041E" w:rsidRPr="0013041E" w:rsidRDefault="0013041E" w:rsidP="0013041E">
      <w:pPr>
        <w:spacing w:line="240" w:lineRule="auto"/>
        <w:rPr>
          <w:rFonts w:eastAsia="Times New Roman" w:cs="Arial"/>
          <w:color w:val="000000"/>
          <w:lang w:eastAsia="bg-BG"/>
        </w:rPr>
      </w:pPr>
    </w:p>
    <w:p w14:paraId="47EED2AE" w14:textId="06940791"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По време на третия триместър на бременността всички инхибитори на синтеза на простагландините могат да изложат плода на:</w:t>
      </w:r>
    </w:p>
    <w:p w14:paraId="722FE5FD" w14:textId="77777777" w:rsidR="0013041E" w:rsidRPr="0013041E" w:rsidRDefault="0013041E" w:rsidP="0013041E">
      <w:pPr>
        <w:pStyle w:val="ListParagraph"/>
        <w:numPr>
          <w:ilvl w:val="0"/>
          <w:numId w:val="40"/>
        </w:numPr>
        <w:spacing w:line="240" w:lineRule="auto"/>
        <w:rPr>
          <w:rFonts w:eastAsia="Times New Roman" w:cs="Arial"/>
          <w:sz w:val="24"/>
          <w:szCs w:val="24"/>
          <w:lang w:eastAsia="bg-BG"/>
        </w:rPr>
      </w:pPr>
      <w:r w:rsidRPr="0013041E">
        <w:rPr>
          <w:rFonts w:eastAsia="Times New Roman" w:cs="Arial"/>
          <w:color w:val="000000"/>
          <w:lang w:eastAsia="bg-BG"/>
        </w:rPr>
        <w:t xml:space="preserve">Сърдечно-съдова токсичност (с преждевременно затваряне на </w:t>
      </w:r>
      <w:r w:rsidRPr="0013041E">
        <w:rPr>
          <w:rFonts w:eastAsia="Times New Roman" w:cs="Arial"/>
          <w:i/>
          <w:iCs/>
          <w:color w:val="000000"/>
          <w:lang w:val="en-US"/>
        </w:rPr>
        <w:t>ductus arteriosus</w:t>
      </w:r>
      <w:r w:rsidRPr="0013041E">
        <w:rPr>
          <w:rFonts w:eastAsia="Times New Roman" w:cs="Arial"/>
          <w:color w:val="000000"/>
          <w:lang w:val="en-US"/>
        </w:rPr>
        <w:t xml:space="preserve"> </w:t>
      </w:r>
      <w:r w:rsidRPr="0013041E">
        <w:rPr>
          <w:rFonts w:eastAsia="Times New Roman" w:cs="Arial"/>
          <w:color w:val="000000"/>
          <w:lang w:eastAsia="bg-BG"/>
        </w:rPr>
        <w:t>и белодробна хипертония)</w:t>
      </w:r>
    </w:p>
    <w:p w14:paraId="3A692E53" w14:textId="15B23F37" w:rsidR="0013041E" w:rsidRPr="0013041E" w:rsidRDefault="0013041E" w:rsidP="0013041E">
      <w:pPr>
        <w:pStyle w:val="ListParagraph"/>
        <w:numPr>
          <w:ilvl w:val="0"/>
          <w:numId w:val="40"/>
        </w:numPr>
        <w:spacing w:line="240" w:lineRule="auto"/>
        <w:rPr>
          <w:rFonts w:eastAsia="Times New Roman" w:cs="Arial"/>
          <w:sz w:val="24"/>
          <w:szCs w:val="24"/>
          <w:lang w:eastAsia="bg-BG"/>
        </w:rPr>
      </w:pPr>
      <w:r w:rsidRPr="0013041E">
        <w:rPr>
          <w:rFonts w:eastAsia="Times New Roman" w:cs="Arial"/>
          <w:color w:val="000000"/>
          <w:lang w:eastAsia="bg-BG"/>
        </w:rPr>
        <w:t>Бъбречна дисфункция, която може да прогресира до бъбречна недостатъчност с олигохидрамнион.</w:t>
      </w:r>
    </w:p>
    <w:p w14:paraId="65E48826" w14:textId="77777777" w:rsidR="0013041E" w:rsidRPr="0013041E" w:rsidRDefault="0013041E" w:rsidP="0013041E">
      <w:pPr>
        <w:spacing w:line="240" w:lineRule="auto"/>
        <w:rPr>
          <w:rFonts w:eastAsia="Times New Roman" w:cs="Arial"/>
          <w:color w:val="000000"/>
          <w:lang w:eastAsia="bg-BG"/>
        </w:rPr>
      </w:pPr>
    </w:p>
    <w:p w14:paraId="7022F8A5" w14:textId="3296FFEA"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Майката и новороденото </w:t>
      </w:r>
      <w:r w:rsidRPr="0013041E">
        <w:rPr>
          <w:rFonts w:eastAsia="Times New Roman" w:cs="Arial"/>
          <w:i/>
          <w:iCs/>
          <w:color w:val="000000"/>
          <w:lang w:eastAsia="bg-BG"/>
        </w:rPr>
        <w:t>в края</w:t>
      </w:r>
      <w:r w:rsidRPr="0013041E">
        <w:rPr>
          <w:rFonts w:eastAsia="Times New Roman" w:cs="Arial"/>
          <w:color w:val="000000"/>
          <w:lang w:eastAsia="bg-BG"/>
        </w:rPr>
        <w:t xml:space="preserve"> на бременността на:</w:t>
      </w:r>
    </w:p>
    <w:p w14:paraId="66D2121C" w14:textId="77777777" w:rsidR="0013041E" w:rsidRPr="0013041E" w:rsidRDefault="0013041E" w:rsidP="0013041E">
      <w:pPr>
        <w:pStyle w:val="ListParagraph"/>
        <w:numPr>
          <w:ilvl w:val="0"/>
          <w:numId w:val="40"/>
        </w:numPr>
        <w:spacing w:line="240" w:lineRule="auto"/>
        <w:rPr>
          <w:rFonts w:eastAsia="Times New Roman" w:cs="Arial"/>
          <w:sz w:val="24"/>
          <w:szCs w:val="24"/>
          <w:lang w:eastAsia="bg-BG"/>
        </w:rPr>
      </w:pPr>
      <w:r w:rsidRPr="0013041E">
        <w:rPr>
          <w:rFonts w:eastAsia="Times New Roman" w:cs="Arial"/>
          <w:color w:val="000000"/>
          <w:lang w:eastAsia="bg-BG"/>
        </w:rPr>
        <w:t>Евентуално удължаване на времето на кървене, антиагрегиращ ефект, който може да възникне дори при много ниски дози</w:t>
      </w:r>
    </w:p>
    <w:p w14:paraId="75DB8804" w14:textId="01E91B89" w:rsidR="0013041E" w:rsidRPr="0013041E" w:rsidRDefault="0013041E" w:rsidP="0013041E">
      <w:pPr>
        <w:pStyle w:val="ListParagraph"/>
        <w:numPr>
          <w:ilvl w:val="0"/>
          <w:numId w:val="40"/>
        </w:numPr>
        <w:spacing w:line="240" w:lineRule="auto"/>
        <w:rPr>
          <w:rFonts w:eastAsia="Times New Roman" w:cs="Arial"/>
          <w:sz w:val="24"/>
          <w:szCs w:val="24"/>
          <w:lang w:eastAsia="bg-BG"/>
        </w:rPr>
      </w:pPr>
      <w:r w:rsidRPr="0013041E">
        <w:rPr>
          <w:rFonts w:eastAsia="Times New Roman" w:cs="Arial"/>
          <w:color w:val="000000"/>
          <w:lang w:eastAsia="bg-BG"/>
        </w:rPr>
        <w:t>Инхибиране на маточните контракции, което води до забавено или продължително раждане.</w:t>
      </w:r>
    </w:p>
    <w:p w14:paraId="3D31A0DD" w14:textId="77777777" w:rsidR="0013041E" w:rsidRPr="0013041E" w:rsidRDefault="0013041E" w:rsidP="0013041E">
      <w:pPr>
        <w:spacing w:line="240" w:lineRule="auto"/>
        <w:rPr>
          <w:rFonts w:eastAsia="Times New Roman" w:cs="Arial"/>
          <w:color w:val="000000"/>
          <w:lang w:eastAsia="bg-BG"/>
        </w:rPr>
      </w:pPr>
    </w:p>
    <w:p w14:paraId="01FDF7B2" w14:textId="240DB6FC"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Следователно БлокМАКС е противопоказан по време на последния триместър на бременността.</w:t>
      </w:r>
    </w:p>
    <w:p w14:paraId="59B7574F" w14:textId="77777777" w:rsidR="0013041E" w:rsidRPr="0013041E" w:rsidRDefault="0013041E" w:rsidP="0013041E">
      <w:pPr>
        <w:spacing w:line="240" w:lineRule="auto"/>
        <w:rPr>
          <w:rFonts w:eastAsia="Times New Roman" w:cs="Arial"/>
          <w:color w:val="000000"/>
          <w:u w:val="single"/>
          <w:lang w:eastAsia="bg-BG"/>
        </w:rPr>
      </w:pPr>
    </w:p>
    <w:p w14:paraId="07140D0F" w14:textId="33F5046B" w:rsidR="0013041E" w:rsidRPr="0013041E" w:rsidRDefault="0013041E" w:rsidP="0013041E">
      <w:pPr>
        <w:pStyle w:val="Heading3"/>
        <w:rPr>
          <w:rFonts w:eastAsia="Times New Roman"/>
          <w:u w:val="single"/>
          <w:lang w:eastAsia="bg-BG"/>
        </w:rPr>
      </w:pPr>
      <w:r w:rsidRPr="0013041E">
        <w:rPr>
          <w:rFonts w:eastAsia="Times New Roman"/>
          <w:u w:val="single"/>
          <w:lang w:eastAsia="bg-BG"/>
        </w:rPr>
        <w:t>Кърмене</w:t>
      </w:r>
    </w:p>
    <w:p w14:paraId="27459E11"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Ибупрофен се екскретира в кърмата, но при терапевтични дози по време на краткосрочно лечение рискът за повлияване на кърмачето изглежда малко вероятен. Ако обаче е предписано по-дълго лечение, трябва да се обмисли ранно отбиване.</w:t>
      </w:r>
    </w:p>
    <w:p w14:paraId="53C94EE6" w14:textId="77777777" w:rsidR="0013041E" w:rsidRPr="0013041E" w:rsidRDefault="0013041E" w:rsidP="0013041E">
      <w:pPr>
        <w:spacing w:line="240" w:lineRule="auto"/>
        <w:rPr>
          <w:rFonts w:eastAsia="Times New Roman" w:cs="Arial"/>
          <w:color w:val="000000"/>
          <w:u w:val="single"/>
          <w:lang w:eastAsia="bg-BG"/>
        </w:rPr>
      </w:pPr>
    </w:p>
    <w:p w14:paraId="34CDC3B0" w14:textId="699D54C1" w:rsidR="0013041E" w:rsidRPr="0013041E" w:rsidRDefault="0013041E" w:rsidP="0013041E">
      <w:pPr>
        <w:pStyle w:val="Heading3"/>
        <w:rPr>
          <w:rFonts w:eastAsia="Times New Roman"/>
          <w:u w:val="single"/>
          <w:lang w:eastAsia="bg-BG"/>
        </w:rPr>
      </w:pPr>
      <w:r w:rsidRPr="0013041E">
        <w:rPr>
          <w:rFonts w:eastAsia="Times New Roman"/>
          <w:u w:val="single"/>
          <w:lang w:eastAsia="bg-BG"/>
        </w:rPr>
        <w:t>Фертилитет</w:t>
      </w:r>
    </w:p>
    <w:p w14:paraId="54D91981"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Използването на ибупрофен може да увреди фертилитета и не се препоръчва при жени, които се опитват да заченат. При жени, които имат трудности при зачеване или които са подложени на изследване на безплодие, трябва да се обмисли спиране на приема на ибупрофен.</w:t>
      </w:r>
    </w:p>
    <w:p w14:paraId="5D3B9535" w14:textId="77777777" w:rsidR="0013041E" w:rsidRPr="0013041E" w:rsidRDefault="0013041E" w:rsidP="0013041E"/>
    <w:p w14:paraId="321AAB00" w14:textId="4DBF15E7" w:rsidR="009F77A4" w:rsidRDefault="002C50EE" w:rsidP="00387A66">
      <w:pPr>
        <w:pStyle w:val="Heading2"/>
      </w:pPr>
      <w:r>
        <w:t>4.7. Ефекти върху способността за шофиране и работа с машини</w:t>
      </w:r>
    </w:p>
    <w:p w14:paraId="36B80C2C" w14:textId="4DB7B1E0" w:rsidR="0013041E" w:rsidRDefault="0013041E" w:rsidP="0013041E"/>
    <w:p w14:paraId="77644399" w14:textId="77777777" w:rsidR="0013041E" w:rsidRPr="0013041E" w:rsidRDefault="0013041E" w:rsidP="0013041E">
      <w:pPr>
        <w:rPr>
          <w:sz w:val="24"/>
          <w:szCs w:val="24"/>
          <w:lang w:eastAsia="bg-BG"/>
        </w:rPr>
      </w:pPr>
      <w:r w:rsidRPr="0013041E">
        <w:rPr>
          <w:lang w:eastAsia="bg-BG"/>
        </w:rPr>
        <w:t xml:space="preserve">Ибупрофен обикновено не повлиява способността за шофиране и работа с машини. Тъй като при високи дози могат да възникнат нежелани реакции като умора, сънливост, световъртеж (съобщавана като честа реакция) и зрителни нарушения (съобщавани като нечеста реакция), способността за шофиране или работа с машини може да бъде </w:t>
      </w:r>
      <w:r w:rsidRPr="0013041E">
        <w:rPr>
          <w:lang w:eastAsia="bg-BG"/>
        </w:rPr>
        <w:lastRenderedPageBreak/>
        <w:t>нарушена в отделни случаи. Този ефект се усилва от едновременната консумация на алкохол.</w:t>
      </w:r>
    </w:p>
    <w:p w14:paraId="2E493D17" w14:textId="77777777" w:rsidR="0013041E" w:rsidRPr="0013041E" w:rsidRDefault="0013041E" w:rsidP="0013041E"/>
    <w:p w14:paraId="136C86B8" w14:textId="15335BBB" w:rsidR="009F77A4" w:rsidRDefault="002C50EE" w:rsidP="00387A66">
      <w:pPr>
        <w:pStyle w:val="Heading2"/>
      </w:pPr>
      <w:r>
        <w:t>4.8. Нежелани лекарствени реакции</w:t>
      </w:r>
    </w:p>
    <w:p w14:paraId="6E52C782" w14:textId="78BCB75D" w:rsidR="0013041E" w:rsidRDefault="0013041E" w:rsidP="0013041E"/>
    <w:p w14:paraId="7AD375C6" w14:textId="539BB2BE" w:rsidR="0013041E" w:rsidRPr="0013041E" w:rsidRDefault="0013041E" w:rsidP="0013041E">
      <w:pPr>
        <w:rPr>
          <w:lang w:val="en-US"/>
        </w:rPr>
      </w:pPr>
      <w:r>
        <w:t>Най-често наблюдаваните нежелани събития са от стомашно-чревен характер. Може да възникнат пептични язви, перфорация или стомашно-чревно кървене, понякога фатално, особено в старческа възраст (вж. точка 4.4). След приложение се съобщават гадене, повръщане, диария, флатуленция, запек, диспепсия, коремна болка, мелена, хематемеза, улцерозен стоматит, обостряне на колит и болест на Крон (вж. точка 4.4). По-рядко се наблюдава гастрит</w:t>
      </w:r>
      <w:r>
        <w:rPr>
          <w:lang w:val="en-US"/>
        </w:rPr>
        <w:t>.</w:t>
      </w:r>
    </w:p>
    <w:p w14:paraId="38BC006B" w14:textId="1F68E2B6" w:rsidR="0013041E" w:rsidRDefault="0013041E" w:rsidP="0013041E"/>
    <w:p w14:paraId="2258EBC6"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Нежеланите реакции са предимно дозозависими. Особено рискът за появата на стомашно- чревно кървене зависи от дозата и продължителността на лечението. За други известни рискови фактори вижте точка 4.4.</w:t>
      </w:r>
    </w:p>
    <w:p w14:paraId="4859D928" w14:textId="77777777" w:rsidR="0013041E" w:rsidRPr="0013041E" w:rsidRDefault="0013041E" w:rsidP="0013041E">
      <w:pPr>
        <w:spacing w:line="240" w:lineRule="auto"/>
        <w:rPr>
          <w:rFonts w:eastAsia="Times New Roman" w:cs="Arial"/>
          <w:color w:val="000000"/>
          <w:lang w:eastAsia="bg-BG"/>
        </w:rPr>
      </w:pPr>
    </w:p>
    <w:p w14:paraId="39EC9F4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Съобщени са реакции на свръхчувствителност и те могат да се състоят от:</w:t>
      </w:r>
    </w:p>
    <w:p w14:paraId="45A77F7F"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(а)неспецифични алергични реакции и анафилаксия</w:t>
      </w:r>
    </w:p>
    <w:p w14:paraId="45D30C05"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(б)реакции на дихателните пътища, например астма, влошаване на астма, бронхоспазъм, диспнея</w:t>
      </w:r>
    </w:p>
    <w:p w14:paraId="4C80F056"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(в)различни кожни реакции, например пруритус, уртикария, пурпура, ангиоедем и много рядко ексфолиативни и булозни дерматози, (включително синдром на </w:t>
      </w:r>
      <w:r w:rsidRPr="0013041E">
        <w:rPr>
          <w:rFonts w:eastAsia="Times New Roman" w:cs="Arial"/>
          <w:color w:val="000000"/>
          <w:lang w:val="en-US"/>
        </w:rPr>
        <w:t xml:space="preserve">Stevens-Johnson, </w:t>
      </w:r>
      <w:r w:rsidRPr="0013041E">
        <w:rPr>
          <w:rFonts w:eastAsia="Times New Roman" w:cs="Arial"/>
          <w:color w:val="000000"/>
          <w:lang w:eastAsia="bg-BG"/>
        </w:rPr>
        <w:t>токсична епидермална некролиза).</w:t>
      </w:r>
    </w:p>
    <w:p w14:paraId="0990E8E4" w14:textId="77777777" w:rsidR="0013041E" w:rsidRPr="0013041E" w:rsidRDefault="0013041E" w:rsidP="0013041E">
      <w:pPr>
        <w:spacing w:line="240" w:lineRule="auto"/>
        <w:rPr>
          <w:rFonts w:eastAsia="Times New Roman" w:cs="Arial"/>
          <w:color w:val="000000"/>
          <w:lang w:eastAsia="bg-BG"/>
        </w:rPr>
      </w:pPr>
    </w:p>
    <w:p w14:paraId="1743178C" w14:textId="77777777" w:rsidR="0013041E" w:rsidRPr="0013041E" w:rsidRDefault="0013041E" w:rsidP="0013041E">
      <w:pPr>
        <w:spacing w:line="240" w:lineRule="auto"/>
        <w:rPr>
          <w:rFonts w:eastAsia="Times New Roman" w:cs="Arial"/>
          <w:color w:val="000000"/>
          <w:lang w:eastAsia="bg-BG"/>
        </w:rPr>
      </w:pPr>
      <w:r w:rsidRPr="0013041E">
        <w:rPr>
          <w:rFonts w:eastAsia="Times New Roman" w:cs="Arial"/>
          <w:color w:val="000000"/>
          <w:lang w:eastAsia="bg-BG"/>
        </w:rPr>
        <w:t xml:space="preserve">Описано е обостряне на възпаления, свързани с инфекция (напр. развитие на некротизиращ фасциит), съвпадащо с употребата на НСПВС. Ако се появят или се влошат признаците на инфекция по време на използването на БлокМАКС, препоръчва се пациентът незабавно да посети </w:t>
      </w:r>
    </w:p>
    <w:p w14:paraId="03EB097D"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лекар.</w:t>
      </w:r>
    </w:p>
    <w:p w14:paraId="6AD7B9A7" w14:textId="77777777" w:rsidR="0013041E" w:rsidRPr="0013041E" w:rsidRDefault="0013041E" w:rsidP="0013041E">
      <w:pPr>
        <w:spacing w:line="240" w:lineRule="auto"/>
        <w:rPr>
          <w:rFonts w:eastAsia="Times New Roman" w:cs="Arial"/>
          <w:color w:val="000000"/>
          <w:lang w:eastAsia="bg-BG"/>
        </w:rPr>
      </w:pPr>
    </w:p>
    <w:p w14:paraId="70FA332D"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В изключителни случаи по време на инфекция с варицела могат да възникнат тежки кожни инфекции и усложнения на меките тъкани.</w:t>
      </w:r>
    </w:p>
    <w:p w14:paraId="498A3AC3" w14:textId="77777777" w:rsidR="0013041E" w:rsidRPr="0013041E" w:rsidRDefault="0013041E" w:rsidP="0013041E">
      <w:pPr>
        <w:spacing w:line="240" w:lineRule="auto"/>
        <w:rPr>
          <w:rFonts w:eastAsia="Times New Roman" w:cs="Arial"/>
          <w:color w:val="000000"/>
          <w:lang w:eastAsia="bg-BG"/>
        </w:rPr>
      </w:pPr>
    </w:p>
    <w:p w14:paraId="56FD1697"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Клинични проучвания показват, че използването на ибупрофен, особено при висока доза от 2400 </w:t>
      </w:r>
      <w:r w:rsidRPr="0013041E">
        <w:rPr>
          <w:rFonts w:eastAsia="Times New Roman" w:cs="Arial"/>
          <w:color w:val="000000"/>
          <w:lang w:val="en-US"/>
        </w:rPr>
        <w:t>mg</w:t>
      </w:r>
      <w:r w:rsidRPr="0013041E">
        <w:rPr>
          <w:rFonts w:eastAsia="Times New Roman" w:cs="Arial"/>
          <w:color w:val="000000"/>
          <w:lang w:eastAsia="bg-BG"/>
        </w:rPr>
        <w:t>/ден, може да бъде свързано с леко повишен риск от артериални тромботични събития (напр. инфаркт на миокарда или инсулт) (вж. точка 4.4).</w:t>
      </w:r>
    </w:p>
    <w:p w14:paraId="46589132" w14:textId="77777777" w:rsidR="0013041E" w:rsidRPr="0013041E" w:rsidRDefault="0013041E" w:rsidP="0013041E">
      <w:pPr>
        <w:spacing w:line="240" w:lineRule="auto"/>
        <w:rPr>
          <w:rFonts w:eastAsia="Times New Roman" w:cs="Arial"/>
          <w:color w:val="000000"/>
          <w:lang w:eastAsia="bg-BG"/>
        </w:rPr>
      </w:pPr>
    </w:p>
    <w:p w14:paraId="4EC70C0C"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Във връзка с лечение с НСПВС са съобщени отоци, хипертония и сърдечна недостатъчност.</w:t>
      </w:r>
    </w:p>
    <w:p w14:paraId="4525FCE1" w14:textId="77777777" w:rsidR="0013041E" w:rsidRPr="0013041E" w:rsidRDefault="0013041E" w:rsidP="0013041E">
      <w:pPr>
        <w:spacing w:line="240" w:lineRule="auto"/>
        <w:rPr>
          <w:rFonts w:eastAsia="Times New Roman" w:cs="Arial"/>
          <w:color w:val="000000"/>
          <w:lang w:eastAsia="bg-BG"/>
        </w:rPr>
      </w:pPr>
    </w:p>
    <w:p w14:paraId="5D631961" w14:textId="77777777" w:rsidR="0013041E" w:rsidRDefault="0013041E" w:rsidP="0013041E">
      <w:pPr>
        <w:spacing w:line="240" w:lineRule="auto"/>
        <w:rPr>
          <w:rFonts w:eastAsia="Times New Roman" w:cs="Arial"/>
          <w:color w:val="000000"/>
          <w:lang w:eastAsia="bg-BG"/>
        </w:rPr>
      </w:pPr>
      <w:r w:rsidRPr="0013041E">
        <w:rPr>
          <w:rFonts w:eastAsia="Times New Roman" w:cs="Arial"/>
          <w:color w:val="000000"/>
          <w:lang w:eastAsia="bg-BG"/>
        </w:rPr>
        <w:t xml:space="preserve">Нежеланите реакции, поне възможно свързани с ибупрофен, са представени по системо- органен клас и честота по </w:t>
      </w:r>
      <w:r w:rsidRPr="0013041E">
        <w:rPr>
          <w:rFonts w:eastAsia="Times New Roman" w:cs="Arial"/>
          <w:color w:val="000000"/>
          <w:lang w:val="en-US"/>
        </w:rPr>
        <w:t xml:space="preserve">MedDRA. </w:t>
      </w:r>
      <w:r w:rsidRPr="0013041E">
        <w:rPr>
          <w:rFonts w:eastAsia="Times New Roman" w:cs="Arial"/>
          <w:color w:val="000000"/>
          <w:lang w:eastAsia="bg-BG"/>
        </w:rPr>
        <w:t>Използвано е следното групиране по честота: Много чести (≥1 /10), чести (≥ 1 /100 до &lt; 1 /10), нечести (≥1/1 000 до &lt; 1 /100), редки (≥1/10 000 до &lt;1/1 000), много редки (&lt;1/10 000) и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3120"/>
        <w:gridCol w:w="3092"/>
        <w:gridCol w:w="3138"/>
      </w:tblGrid>
      <w:tr w:rsidR="0013041E" w14:paraId="2876E3DD" w14:textId="77777777" w:rsidTr="007970DD">
        <w:tc>
          <w:tcPr>
            <w:tcW w:w="3166" w:type="dxa"/>
          </w:tcPr>
          <w:p w14:paraId="3DD18FAE" w14:textId="77777777" w:rsidR="0013041E" w:rsidRDefault="0013041E" w:rsidP="007970DD">
            <w:pPr>
              <w:spacing w:line="240" w:lineRule="auto"/>
              <w:rPr>
                <w:rFonts w:eastAsia="Times New Roman" w:cs="Arial"/>
                <w:sz w:val="24"/>
                <w:szCs w:val="24"/>
                <w:lang w:eastAsia="bg-BG"/>
              </w:rPr>
            </w:pPr>
            <w:r>
              <w:rPr>
                <w:b/>
                <w:bCs/>
              </w:rPr>
              <w:t>Системо-органен клас</w:t>
            </w:r>
          </w:p>
        </w:tc>
        <w:tc>
          <w:tcPr>
            <w:tcW w:w="3167" w:type="dxa"/>
          </w:tcPr>
          <w:p w14:paraId="2B81E034" w14:textId="77777777" w:rsidR="0013041E" w:rsidRDefault="0013041E" w:rsidP="007970DD">
            <w:pPr>
              <w:spacing w:line="240" w:lineRule="auto"/>
              <w:rPr>
                <w:rFonts w:eastAsia="Times New Roman" w:cs="Arial"/>
                <w:sz w:val="24"/>
                <w:szCs w:val="24"/>
                <w:lang w:eastAsia="bg-BG"/>
              </w:rPr>
            </w:pPr>
            <w:r>
              <w:rPr>
                <w:b/>
                <w:bCs/>
              </w:rPr>
              <w:t>Честота</w:t>
            </w:r>
          </w:p>
        </w:tc>
        <w:tc>
          <w:tcPr>
            <w:tcW w:w="3167" w:type="dxa"/>
          </w:tcPr>
          <w:p w14:paraId="3082E423" w14:textId="77777777" w:rsidR="0013041E" w:rsidRDefault="0013041E" w:rsidP="007970DD">
            <w:pPr>
              <w:spacing w:line="240" w:lineRule="auto"/>
              <w:rPr>
                <w:rFonts w:eastAsia="Times New Roman" w:cs="Arial"/>
                <w:sz w:val="24"/>
                <w:szCs w:val="24"/>
                <w:lang w:eastAsia="bg-BG"/>
              </w:rPr>
            </w:pPr>
            <w:r>
              <w:rPr>
                <w:b/>
                <w:bCs/>
              </w:rPr>
              <w:t>Нежелана лекарствена реакция</w:t>
            </w:r>
          </w:p>
        </w:tc>
      </w:tr>
      <w:tr w:rsidR="0013041E" w14:paraId="2A79D9B2" w14:textId="77777777" w:rsidTr="007970DD">
        <w:tc>
          <w:tcPr>
            <w:tcW w:w="3166" w:type="dxa"/>
            <w:vMerge w:val="restart"/>
          </w:tcPr>
          <w:p w14:paraId="74106442" w14:textId="77777777" w:rsidR="0013041E" w:rsidRDefault="0013041E" w:rsidP="007970DD">
            <w:pPr>
              <w:spacing w:line="240" w:lineRule="auto"/>
              <w:rPr>
                <w:rFonts w:eastAsia="Times New Roman" w:cs="Arial"/>
                <w:sz w:val="24"/>
                <w:szCs w:val="24"/>
                <w:lang w:eastAsia="bg-BG"/>
              </w:rPr>
            </w:pPr>
            <w:r>
              <w:rPr>
                <w:b/>
                <w:bCs/>
              </w:rPr>
              <w:t>Инфекции и инфестации</w:t>
            </w:r>
          </w:p>
        </w:tc>
        <w:tc>
          <w:tcPr>
            <w:tcW w:w="3167" w:type="dxa"/>
          </w:tcPr>
          <w:p w14:paraId="33E3230D"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2BC472EE" w14:textId="77777777" w:rsidR="0013041E" w:rsidRDefault="0013041E" w:rsidP="007970DD">
            <w:pPr>
              <w:spacing w:line="240" w:lineRule="auto"/>
              <w:rPr>
                <w:rFonts w:eastAsia="Times New Roman" w:cs="Arial"/>
                <w:sz w:val="24"/>
                <w:szCs w:val="24"/>
                <w:lang w:eastAsia="bg-BG"/>
              </w:rPr>
            </w:pPr>
            <w:r>
              <w:t>Ринит</w:t>
            </w:r>
          </w:p>
        </w:tc>
      </w:tr>
      <w:tr w:rsidR="0013041E" w14:paraId="66197C16" w14:textId="77777777" w:rsidTr="007970DD">
        <w:tc>
          <w:tcPr>
            <w:tcW w:w="3166" w:type="dxa"/>
            <w:vMerge/>
          </w:tcPr>
          <w:p w14:paraId="1FA15536" w14:textId="77777777" w:rsidR="0013041E" w:rsidRDefault="0013041E" w:rsidP="007970DD">
            <w:pPr>
              <w:spacing w:line="240" w:lineRule="auto"/>
              <w:rPr>
                <w:rFonts w:eastAsia="Times New Roman" w:cs="Arial"/>
                <w:sz w:val="24"/>
                <w:szCs w:val="24"/>
                <w:lang w:eastAsia="bg-BG"/>
              </w:rPr>
            </w:pPr>
          </w:p>
        </w:tc>
        <w:tc>
          <w:tcPr>
            <w:tcW w:w="3167" w:type="dxa"/>
          </w:tcPr>
          <w:p w14:paraId="0B4EC067"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6737E357" w14:textId="77777777" w:rsidR="0013041E" w:rsidRDefault="0013041E" w:rsidP="007970DD">
            <w:pPr>
              <w:spacing w:line="240" w:lineRule="auto"/>
              <w:rPr>
                <w:rFonts w:eastAsia="Times New Roman" w:cs="Arial"/>
                <w:sz w:val="24"/>
                <w:szCs w:val="24"/>
                <w:lang w:eastAsia="bg-BG"/>
              </w:rPr>
            </w:pPr>
            <w:r>
              <w:t>Асептичен менингит</w:t>
            </w:r>
          </w:p>
        </w:tc>
      </w:tr>
      <w:tr w:rsidR="0013041E" w14:paraId="05CA8031" w14:textId="77777777" w:rsidTr="007970DD">
        <w:tc>
          <w:tcPr>
            <w:tcW w:w="3166" w:type="dxa"/>
          </w:tcPr>
          <w:p w14:paraId="7ABA3F04" w14:textId="77777777" w:rsidR="0013041E" w:rsidRDefault="0013041E" w:rsidP="007970DD">
            <w:pPr>
              <w:spacing w:line="240" w:lineRule="auto"/>
              <w:rPr>
                <w:rFonts w:eastAsia="Times New Roman" w:cs="Arial"/>
                <w:sz w:val="24"/>
                <w:szCs w:val="24"/>
                <w:lang w:eastAsia="bg-BG"/>
              </w:rPr>
            </w:pPr>
            <w:r>
              <w:rPr>
                <w:b/>
                <w:bCs/>
              </w:rPr>
              <w:lastRenderedPageBreak/>
              <w:t>Нарушения на кръвта и лимфната система</w:t>
            </w:r>
          </w:p>
        </w:tc>
        <w:tc>
          <w:tcPr>
            <w:tcW w:w="3167" w:type="dxa"/>
          </w:tcPr>
          <w:p w14:paraId="5610734A"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5023BB05" w14:textId="77777777" w:rsidR="0013041E" w:rsidRDefault="0013041E" w:rsidP="007970DD">
            <w:pPr>
              <w:spacing w:line="240" w:lineRule="auto"/>
              <w:rPr>
                <w:rFonts w:eastAsia="Times New Roman" w:cs="Arial"/>
                <w:sz w:val="24"/>
                <w:szCs w:val="24"/>
                <w:lang w:eastAsia="bg-BG"/>
              </w:rPr>
            </w:pPr>
            <w:r>
              <w:t>Левкопения, тромбоцитопения, неутропения, агранулоцитоза, апластична анемия и хемолитична анемия. Първите симптоми или признаци могат да включват: висока температура, възпалено гърло, повърхностни язви в устата, грипоподобни симптоми, тежко изтощение, необяснимо кървене и синини.</w:t>
            </w:r>
          </w:p>
        </w:tc>
      </w:tr>
      <w:tr w:rsidR="0013041E" w14:paraId="13AA673C" w14:textId="77777777" w:rsidTr="007970DD">
        <w:tc>
          <w:tcPr>
            <w:tcW w:w="3166" w:type="dxa"/>
            <w:vMerge w:val="restart"/>
          </w:tcPr>
          <w:p w14:paraId="44A49551" w14:textId="77777777" w:rsidR="0013041E" w:rsidRDefault="0013041E" w:rsidP="007970DD">
            <w:pPr>
              <w:spacing w:line="240" w:lineRule="auto"/>
              <w:rPr>
                <w:rFonts w:eastAsia="Times New Roman" w:cs="Arial"/>
                <w:sz w:val="24"/>
                <w:szCs w:val="24"/>
                <w:lang w:eastAsia="bg-BG"/>
              </w:rPr>
            </w:pPr>
            <w:r>
              <w:rPr>
                <w:b/>
                <w:bCs/>
              </w:rPr>
              <w:t>Нарушения на имунната система</w:t>
            </w:r>
          </w:p>
        </w:tc>
        <w:tc>
          <w:tcPr>
            <w:tcW w:w="3167" w:type="dxa"/>
          </w:tcPr>
          <w:p w14:paraId="79012322"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3BADBFF8" w14:textId="77777777" w:rsidR="0013041E" w:rsidRDefault="0013041E" w:rsidP="007970DD">
            <w:pPr>
              <w:spacing w:line="240" w:lineRule="auto"/>
              <w:rPr>
                <w:rFonts w:eastAsia="Times New Roman" w:cs="Arial"/>
                <w:sz w:val="24"/>
                <w:szCs w:val="24"/>
                <w:lang w:eastAsia="bg-BG"/>
              </w:rPr>
            </w:pPr>
            <w:r>
              <w:t>Реакции на свръхчувствителност като уртикария, пруритус, пурпура и екзантема, както и астматични атаки (понякога с хипотония)</w:t>
            </w:r>
          </w:p>
        </w:tc>
      </w:tr>
      <w:tr w:rsidR="0013041E" w14:paraId="15BFDE4C" w14:textId="77777777" w:rsidTr="007970DD">
        <w:tc>
          <w:tcPr>
            <w:tcW w:w="3166" w:type="dxa"/>
            <w:vMerge/>
          </w:tcPr>
          <w:p w14:paraId="0B472FFB" w14:textId="77777777" w:rsidR="0013041E" w:rsidRDefault="0013041E" w:rsidP="007970DD">
            <w:pPr>
              <w:spacing w:line="240" w:lineRule="auto"/>
              <w:rPr>
                <w:rFonts w:eastAsia="Times New Roman" w:cs="Arial"/>
                <w:sz w:val="24"/>
                <w:szCs w:val="24"/>
                <w:lang w:eastAsia="bg-BG"/>
              </w:rPr>
            </w:pPr>
          </w:p>
        </w:tc>
        <w:tc>
          <w:tcPr>
            <w:tcW w:w="3167" w:type="dxa"/>
          </w:tcPr>
          <w:p w14:paraId="45087917" w14:textId="77777777" w:rsidR="0013041E" w:rsidRDefault="0013041E" w:rsidP="007970DD">
            <w:pPr>
              <w:spacing w:line="240" w:lineRule="auto"/>
              <w:rPr>
                <w:rFonts w:eastAsia="Times New Roman" w:cs="Arial"/>
                <w:sz w:val="24"/>
                <w:szCs w:val="24"/>
                <w:lang w:eastAsia="bg-BG"/>
              </w:rPr>
            </w:pPr>
            <w:r>
              <w:t>Редки</w:t>
            </w:r>
          </w:p>
        </w:tc>
        <w:tc>
          <w:tcPr>
            <w:tcW w:w="3167" w:type="dxa"/>
          </w:tcPr>
          <w:p w14:paraId="711A3714" w14:textId="77777777" w:rsidR="0013041E" w:rsidRDefault="0013041E" w:rsidP="007970DD">
            <w:pPr>
              <w:spacing w:line="240" w:lineRule="auto"/>
              <w:rPr>
                <w:rFonts w:eastAsia="Times New Roman" w:cs="Arial"/>
                <w:sz w:val="24"/>
                <w:szCs w:val="24"/>
                <w:lang w:eastAsia="bg-BG"/>
              </w:rPr>
            </w:pPr>
            <w:r>
              <w:t>Лупус еритематозус синдром</w:t>
            </w:r>
          </w:p>
        </w:tc>
      </w:tr>
      <w:tr w:rsidR="0013041E" w14:paraId="31EBCFDF" w14:textId="77777777" w:rsidTr="007970DD">
        <w:tc>
          <w:tcPr>
            <w:tcW w:w="3166" w:type="dxa"/>
            <w:vMerge/>
          </w:tcPr>
          <w:p w14:paraId="7CBFCFF7" w14:textId="77777777" w:rsidR="0013041E" w:rsidRDefault="0013041E" w:rsidP="007970DD">
            <w:pPr>
              <w:spacing w:line="240" w:lineRule="auto"/>
              <w:rPr>
                <w:rFonts w:eastAsia="Times New Roman" w:cs="Arial"/>
                <w:sz w:val="24"/>
                <w:szCs w:val="24"/>
                <w:lang w:eastAsia="bg-BG"/>
              </w:rPr>
            </w:pPr>
          </w:p>
        </w:tc>
        <w:tc>
          <w:tcPr>
            <w:tcW w:w="3167" w:type="dxa"/>
          </w:tcPr>
          <w:p w14:paraId="659A2612"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65B37DBE" w14:textId="77777777" w:rsidR="0013041E" w:rsidRDefault="0013041E" w:rsidP="007970DD">
            <w:pPr>
              <w:spacing w:line="240" w:lineRule="auto"/>
              <w:rPr>
                <w:rFonts w:eastAsia="Times New Roman" w:cs="Arial"/>
                <w:sz w:val="24"/>
                <w:szCs w:val="24"/>
                <w:lang w:eastAsia="bg-BG"/>
              </w:rPr>
            </w:pPr>
            <w:r>
              <w:t>Тежки реакции на свръхчувствителност. Симптомите могат да включват: оток на лицето, подуване на езика, вътрешно подуване на ларинкса със свиване на дихателните пътища, диспнея, тахикардия, падане на кръвното налягане до точката на животозастрашаващ шок.</w:t>
            </w:r>
          </w:p>
        </w:tc>
      </w:tr>
      <w:tr w:rsidR="0013041E" w14:paraId="463F38A5" w14:textId="77777777" w:rsidTr="007970DD">
        <w:tc>
          <w:tcPr>
            <w:tcW w:w="3166" w:type="dxa"/>
            <w:vMerge w:val="restart"/>
          </w:tcPr>
          <w:p w14:paraId="3E925C6D" w14:textId="77777777" w:rsidR="0013041E" w:rsidRPr="0013041E" w:rsidRDefault="0013041E" w:rsidP="007970DD">
            <w:pPr>
              <w:spacing w:line="240" w:lineRule="auto"/>
              <w:rPr>
                <w:rFonts w:eastAsia="Times New Roman" w:cs="Arial"/>
                <w:sz w:val="24"/>
                <w:szCs w:val="24"/>
                <w:lang w:val="en-US" w:eastAsia="bg-BG"/>
              </w:rPr>
            </w:pPr>
            <w:r>
              <w:rPr>
                <w:b/>
                <w:bCs/>
              </w:rPr>
              <w:t>Психични</w:t>
            </w:r>
            <w:r>
              <w:rPr>
                <w:b/>
                <w:bCs/>
                <w:lang w:val="en-US"/>
              </w:rPr>
              <w:t xml:space="preserve"> </w:t>
            </w:r>
            <w:r>
              <w:rPr>
                <w:b/>
                <w:bCs/>
              </w:rPr>
              <w:t>нарушения</w:t>
            </w:r>
          </w:p>
        </w:tc>
        <w:tc>
          <w:tcPr>
            <w:tcW w:w="3167" w:type="dxa"/>
          </w:tcPr>
          <w:p w14:paraId="0FF0A734"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1E4B350F" w14:textId="77777777" w:rsidR="0013041E" w:rsidRDefault="0013041E" w:rsidP="007970DD">
            <w:pPr>
              <w:spacing w:line="240" w:lineRule="auto"/>
              <w:rPr>
                <w:rFonts w:eastAsia="Times New Roman" w:cs="Arial"/>
                <w:sz w:val="24"/>
                <w:szCs w:val="24"/>
                <w:lang w:eastAsia="bg-BG"/>
              </w:rPr>
            </w:pPr>
            <w:r>
              <w:t>Тревожност</w:t>
            </w:r>
          </w:p>
        </w:tc>
      </w:tr>
      <w:tr w:rsidR="0013041E" w14:paraId="35872570" w14:textId="77777777" w:rsidTr="007970DD">
        <w:tc>
          <w:tcPr>
            <w:tcW w:w="3166" w:type="dxa"/>
            <w:vMerge/>
          </w:tcPr>
          <w:p w14:paraId="026CF4A0" w14:textId="77777777" w:rsidR="0013041E" w:rsidRDefault="0013041E" w:rsidP="007970DD">
            <w:pPr>
              <w:spacing w:line="240" w:lineRule="auto"/>
              <w:rPr>
                <w:rFonts w:eastAsia="Times New Roman" w:cs="Arial"/>
                <w:sz w:val="24"/>
                <w:szCs w:val="24"/>
                <w:lang w:eastAsia="bg-BG"/>
              </w:rPr>
            </w:pPr>
          </w:p>
        </w:tc>
        <w:tc>
          <w:tcPr>
            <w:tcW w:w="3167" w:type="dxa"/>
          </w:tcPr>
          <w:p w14:paraId="28F15A12" w14:textId="77777777" w:rsidR="0013041E" w:rsidRDefault="0013041E" w:rsidP="007970DD">
            <w:pPr>
              <w:spacing w:line="240" w:lineRule="auto"/>
              <w:rPr>
                <w:rFonts w:eastAsia="Times New Roman" w:cs="Arial"/>
                <w:sz w:val="24"/>
                <w:szCs w:val="24"/>
                <w:lang w:eastAsia="bg-BG"/>
              </w:rPr>
            </w:pPr>
            <w:r>
              <w:t>Редки</w:t>
            </w:r>
          </w:p>
        </w:tc>
        <w:tc>
          <w:tcPr>
            <w:tcW w:w="3167" w:type="dxa"/>
          </w:tcPr>
          <w:p w14:paraId="4E192401" w14:textId="77777777" w:rsidR="0013041E" w:rsidRDefault="0013041E" w:rsidP="007970DD">
            <w:pPr>
              <w:spacing w:line="240" w:lineRule="auto"/>
              <w:rPr>
                <w:rFonts w:eastAsia="Times New Roman" w:cs="Arial"/>
                <w:sz w:val="24"/>
                <w:szCs w:val="24"/>
                <w:lang w:eastAsia="bg-BG"/>
              </w:rPr>
            </w:pPr>
            <w:r>
              <w:t>Депресия, състояние на обърканост, халюцинации</w:t>
            </w:r>
          </w:p>
        </w:tc>
      </w:tr>
      <w:tr w:rsidR="0013041E" w14:paraId="21BE3806" w14:textId="77777777" w:rsidTr="007970DD">
        <w:tc>
          <w:tcPr>
            <w:tcW w:w="3166" w:type="dxa"/>
            <w:vMerge w:val="restart"/>
          </w:tcPr>
          <w:p w14:paraId="1CB402D2" w14:textId="77777777" w:rsidR="0013041E" w:rsidRDefault="0013041E" w:rsidP="007970DD">
            <w:pPr>
              <w:spacing w:line="240" w:lineRule="auto"/>
              <w:rPr>
                <w:rFonts w:eastAsia="Times New Roman" w:cs="Arial"/>
                <w:sz w:val="24"/>
                <w:szCs w:val="24"/>
                <w:lang w:eastAsia="bg-BG"/>
              </w:rPr>
            </w:pPr>
            <w:r>
              <w:rPr>
                <w:b/>
                <w:bCs/>
              </w:rPr>
              <w:t>Нарушения на нервната система</w:t>
            </w:r>
          </w:p>
        </w:tc>
        <w:tc>
          <w:tcPr>
            <w:tcW w:w="3167" w:type="dxa"/>
          </w:tcPr>
          <w:p w14:paraId="40DCF08E" w14:textId="77777777" w:rsidR="0013041E" w:rsidRDefault="0013041E" w:rsidP="007970DD">
            <w:pPr>
              <w:spacing w:line="240" w:lineRule="auto"/>
              <w:rPr>
                <w:rFonts w:eastAsia="Times New Roman" w:cs="Arial"/>
                <w:sz w:val="24"/>
                <w:szCs w:val="24"/>
                <w:lang w:eastAsia="bg-BG"/>
              </w:rPr>
            </w:pPr>
            <w:r>
              <w:t>Чести</w:t>
            </w:r>
          </w:p>
        </w:tc>
        <w:tc>
          <w:tcPr>
            <w:tcW w:w="3167" w:type="dxa"/>
          </w:tcPr>
          <w:p w14:paraId="77054F40" w14:textId="77777777" w:rsidR="0013041E" w:rsidRDefault="0013041E" w:rsidP="007970DD">
            <w:pPr>
              <w:spacing w:line="240" w:lineRule="auto"/>
              <w:rPr>
                <w:rFonts w:eastAsia="Times New Roman" w:cs="Arial"/>
                <w:sz w:val="24"/>
                <w:szCs w:val="24"/>
                <w:lang w:eastAsia="bg-BG"/>
              </w:rPr>
            </w:pPr>
            <w:r>
              <w:t>Главоболие, сънливост, възбуда, замайване, безсъние, раздразнителност</w:t>
            </w:r>
          </w:p>
        </w:tc>
      </w:tr>
      <w:tr w:rsidR="0013041E" w14:paraId="49E11ED5" w14:textId="77777777" w:rsidTr="007970DD">
        <w:tc>
          <w:tcPr>
            <w:tcW w:w="3166" w:type="dxa"/>
            <w:vMerge/>
          </w:tcPr>
          <w:p w14:paraId="1977F5B4" w14:textId="77777777" w:rsidR="0013041E" w:rsidRDefault="0013041E" w:rsidP="007970DD">
            <w:pPr>
              <w:spacing w:line="240" w:lineRule="auto"/>
              <w:rPr>
                <w:rFonts w:eastAsia="Times New Roman" w:cs="Arial"/>
                <w:sz w:val="24"/>
                <w:szCs w:val="24"/>
                <w:lang w:eastAsia="bg-BG"/>
              </w:rPr>
            </w:pPr>
          </w:p>
        </w:tc>
        <w:tc>
          <w:tcPr>
            <w:tcW w:w="3167" w:type="dxa"/>
          </w:tcPr>
          <w:p w14:paraId="2A19C4B9"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399CA7E0" w14:textId="77777777" w:rsidR="0013041E" w:rsidRDefault="0013041E" w:rsidP="007970DD">
            <w:pPr>
              <w:spacing w:line="240" w:lineRule="auto"/>
              <w:rPr>
                <w:rFonts w:eastAsia="Times New Roman" w:cs="Arial"/>
                <w:sz w:val="24"/>
                <w:szCs w:val="24"/>
                <w:lang w:eastAsia="bg-BG"/>
              </w:rPr>
            </w:pPr>
            <w:r>
              <w:t>Парестезия</w:t>
            </w:r>
          </w:p>
        </w:tc>
      </w:tr>
      <w:tr w:rsidR="0013041E" w14:paraId="05A8520A" w14:textId="77777777" w:rsidTr="007970DD">
        <w:tc>
          <w:tcPr>
            <w:tcW w:w="3166" w:type="dxa"/>
            <w:vMerge/>
          </w:tcPr>
          <w:p w14:paraId="5C689EC7" w14:textId="77777777" w:rsidR="0013041E" w:rsidRDefault="0013041E" w:rsidP="007970DD">
            <w:pPr>
              <w:spacing w:line="240" w:lineRule="auto"/>
              <w:rPr>
                <w:rFonts w:eastAsia="Times New Roman" w:cs="Arial"/>
                <w:sz w:val="24"/>
                <w:szCs w:val="24"/>
                <w:lang w:eastAsia="bg-BG"/>
              </w:rPr>
            </w:pPr>
          </w:p>
        </w:tc>
        <w:tc>
          <w:tcPr>
            <w:tcW w:w="3167" w:type="dxa"/>
          </w:tcPr>
          <w:p w14:paraId="34A02A7C" w14:textId="77777777" w:rsidR="0013041E" w:rsidRDefault="0013041E" w:rsidP="007970DD">
            <w:pPr>
              <w:spacing w:line="240" w:lineRule="auto"/>
              <w:rPr>
                <w:rFonts w:eastAsia="Times New Roman" w:cs="Arial"/>
                <w:sz w:val="24"/>
                <w:szCs w:val="24"/>
                <w:lang w:eastAsia="bg-BG"/>
              </w:rPr>
            </w:pPr>
            <w:r>
              <w:t>Редки</w:t>
            </w:r>
          </w:p>
        </w:tc>
        <w:tc>
          <w:tcPr>
            <w:tcW w:w="3167" w:type="dxa"/>
          </w:tcPr>
          <w:p w14:paraId="7F8AA9FD" w14:textId="77777777" w:rsidR="0013041E" w:rsidRDefault="0013041E" w:rsidP="007970DD">
            <w:pPr>
              <w:spacing w:line="240" w:lineRule="auto"/>
              <w:rPr>
                <w:rFonts w:eastAsia="Times New Roman" w:cs="Arial"/>
                <w:sz w:val="24"/>
                <w:szCs w:val="24"/>
                <w:lang w:eastAsia="bg-BG"/>
              </w:rPr>
            </w:pPr>
            <w:r>
              <w:t>Неврит на зрителния нерв</w:t>
            </w:r>
          </w:p>
        </w:tc>
      </w:tr>
      <w:tr w:rsidR="0013041E" w14:paraId="29CB003F" w14:textId="77777777" w:rsidTr="007970DD">
        <w:tc>
          <w:tcPr>
            <w:tcW w:w="3166" w:type="dxa"/>
            <w:vMerge w:val="restart"/>
          </w:tcPr>
          <w:p w14:paraId="255FF851" w14:textId="77777777" w:rsidR="0013041E" w:rsidRDefault="0013041E" w:rsidP="007970DD">
            <w:pPr>
              <w:spacing w:line="240" w:lineRule="auto"/>
              <w:rPr>
                <w:rFonts w:eastAsia="Times New Roman" w:cs="Arial"/>
                <w:sz w:val="24"/>
                <w:szCs w:val="24"/>
                <w:lang w:eastAsia="bg-BG"/>
              </w:rPr>
            </w:pPr>
            <w:r>
              <w:rPr>
                <w:b/>
                <w:bCs/>
              </w:rPr>
              <w:t>Нарушения на очите</w:t>
            </w:r>
          </w:p>
        </w:tc>
        <w:tc>
          <w:tcPr>
            <w:tcW w:w="3167" w:type="dxa"/>
          </w:tcPr>
          <w:p w14:paraId="6DC5F51E"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5E597ADB" w14:textId="77777777" w:rsidR="0013041E" w:rsidRDefault="0013041E" w:rsidP="007970DD">
            <w:pPr>
              <w:spacing w:line="240" w:lineRule="auto"/>
              <w:rPr>
                <w:rFonts w:eastAsia="Times New Roman" w:cs="Arial"/>
                <w:sz w:val="24"/>
                <w:szCs w:val="24"/>
                <w:lang w:eastAsia="bg-BG"/>
              </w:rPr>
            </w:pPr>
            <w:r>
              <w:t>Зрителни увреждания</w:t>
            </w:r>
          </w:p>
        </w:tc>
      </w:tr>
      <w:tr w:rsidR="0013041E" w14:paraId="56A410F0" w14:textId="77777777" w:rsidTr="007970DD">
        <w:tc>
          <w:tcPr>
            <w:tcW w:w="3166" w:type="dxa"/>
            <w:vMerge/>
          </w:tcPr>
          <w:p w14:paraId="6BD53ECF" w14:textId="77777777" w:rsidR="0013041E" w:rsidRDefault="0013041E" w:rsidP="007970DD">
            <w:pPr>
              <w:spacing w:line="240" w:lineRule="auto"/>
              <w:rPr>
                <w:rFonts w:eastAsia="Times New Roman" w:cs="Arial"/>
                <w:sz w:val="24"/>
                <w:szCs w:val="24"/>
                <w:lang w:eastAsia="bg-BG"/>
              </w:rPr>
            </w:pPr>
          </w:p>
        </w:tc>
        <w:tc>
          <w:tcPr>
            <w:tcW w:w="3167" w:type="dxa"/>
          </w:tcPr>
          <w:p w14:paraId="6ED787CD" w14:textId="77777777" w:rsidR="0013041E" w:rsidRDefault="0013041E" w:rsidP="007970DD">
            <w:pPr>
              <w:spacing w:line="240" w:lineRule="auto"/>
              <w:rPr>
                <w:rFonts w:eastAsia="Times New Roman" w:cs="Arial"/>
                <w:sz w:val="24"/>
                <w:szCs w:val="24"/>
                <w:lang w:eastAsia="bg-BG"/>
              </w:rPr>
            </w:pPr>
            <w:r>
              <w:t>Редки</w:t>
            </w:r>
          </w:p>
        </w:tc>
        <w:tc>
          <w:tcPr>
            <w:tcW w:w="3167" w:type="dxa"/>
          </w:tcPr>
          <w:p w14:paraId="5D81C65F" w14:textId="77777777" w:rsidR="0013041E" w:rsidRDefault="0013041E" w:rsidP="007970DD">
            <w:pPr>
              <w:spacing w:line="240" w:lineRule="auto"/>
              <w:rPr>
                <w:rFonts w:eastAsia="Times New Roman" w:cs="Arial"/>
                <w:sz w:val="24"/>
                <w:szCs w:val="24"/>
                <w:lang w:eastAsia="bg-BG"/>
              </w:rPr>
            </w:pPr>
            <w:r>
              <w:t>Токсична оптична невропатия</w:t>
            </w:r>
          </w:p>
        </w:tc>
      </w:tr>
      <w:tr w:rsidR="0013041E" w14:paraId="5BCC4809" w14:textId="77777777" w:rsidTr="007970DD">
        <w:tc>
          <w:tcPr>
            <w:tcW w:w="3166" w:type="dxa"/>
            <w:vMerge w:val="restart"/>
          </w:tcPr>
          <w:p w14:paraId="6F2AACA3" w14:textId="77777777" w:rsidR="0013041E" w:rsidRDefault="0013041E" w:rsidP="007970DD">
            <w:pPr>
              <w:spacing w:line="240" w:lineRule="auto"/>
              <w:rPr>
                <w:rFonts w:eastAsia="Times New Roman" w:cs="Arial"/>
                <w:sz w:val="24"/>
                <w:szCs w:val="24"/>
                <w:lang w:eastAsia="bg-BG"/>
              </w:rPr>
            </w:pPr>
            <w:r>
              <w:rPr>
                <w:b/>
                <w:bCs/>
              </w:rPr>
              <w:t>Нарушения на ухото и лабиринта</w:t>
            </w:r>
          </w:p>
        </w:tc>
        <w:tc>
          <w:tcPr>
            <w:tcW w:w="3167" w:type="dxa"/>
          </w:tcPr>
          <w:p w14:paraId="532DE72B" w14:textId="77777777" w:rsidR="0013041E" w:rsidRDefault="0013041E" w:rsidP="007970DD">
            <w:pPr>
              <w:spacing w:line="240" w:lineRule="auto"/>
              <w:rPr>
                <w:rFonts w:eastAsia="Times New Roman" w:cs="Arial"/>
                <w:sz w:val="24"/>
                <w:szCs w:val="24"/>
                <w:lang w:eastAsia="bg-BG"/>
              </w:rPr>
            </w:pPr>
            <w:r>
              <w:t>Чести</w:t>
            </w:r>
          </w:p>
        </w:tc>
        <w:tc>
          <w:tcPr>
            <w:tcW w:w="3167" w:type="dxa"/>
          </w:tcPr>
          <w:p w14:paraId="230A4380" w14:textId="77777777" w:rsidR="0013041E" w:rsidRDefault="0013041E" w:rsidP="007970DD">
            <w:pPr>
              <w:spacing w:line="240" w:lineRule="auto"/>
              <w:rPr>
                <w:rFonts w:eastAsia="Times New Roman" w:cs="Arial"/>
                <w:sz w:val="24"/>
                <w:szCs w:val="24"/>
                <w:lang w:eastAsia="bg-BG"/>
              </w:rPr>
            </w:pPr>
            <w:r>
              <w:t>Световъртеж</w:t>
            </w:r>
          </w:p>
        </w:tc>
      </w:tr>
      <w:tr w:rsidR="0013041E" w14:paraId="7D8481F7" w14:textId="77777777" w:rsidTr="007970DD">
        <w:tc>
          <w:tcPr>
            <w:tcW w:w="3166" w:type="dxa"/>
            <w:vMerge/>
          </w:tcPr>
          <w:p w14:paraId="46F4667F" w14:textId="77777777" w:rsidR="0013041E" w:rsidRDefault="0013041E" w:rsidP="007970DD">
            <w:pPr>
              <w:spacing w:line="240" w:lineRule="auto"/>
              <w:rPr>
                <w:rFonts w:eastAsia="Times New Roman" w:cs="Arial"/>
                <w:sz w:val="24"/>
                <w:szCs w:val="24"/>
                <w:lang w:eastAsia="bg-BG"/>
              </w:rPr>
            </w:pPr>
          </w:p>
        </w:tc>
        <w:tc>
          <w:tcPr>
            <w:tcW w:w="3167" w:type="dxa"/>
          </w:tcPr>
          <w:p w14:paraId="290CFF30"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72A6A13C" w14:textId="77777777" w:rsidR="0013041E" w:rsidRDefault="0013041E" w:rsidP="007970DD">
            <w:pPr>
              <w:spacing w:line="240" w:lineRule="auto"/>
              <w:rPr>
                <w:rFonts w:eastAsia="Times New Roman" w:cs="Arial"/>
                <w:sz w:val="24"/>
                <w:szCs w:val="24"/>
                <w:lang w:eastAsia="bg-BG"/>
              </w:rPr>
            </w:pPr>
            <w:r>
              <w:t>Увреден слух</w:t>
            </w:r>
          </w:p>
        </w:tc>
      </w:tr>
      <w:tr w:rsidR="0013041E" w14:paraId="1DAE60E8" w14:textId="77777777" w:rsidTr="007970DD">
        <w:tc>
          <w:tcPr>
            <w:tcW w:w="3166" w:type="dxa"/>
            <w:vMerge/>
          </w:tcPr>
          <w:p w14:paraId="5F7AD4A5" w14:textId="77777777" w:rsidR="0013041E" w:rsidRDefault="0013041E" w:rsidP="007970DD">
            <w:pPr>
              <w:spacing w:line="240" w:lineRule="auto"/>
              <w:rPr>
                <w:rFonts w:eastAsia="Times New Roman" w:cs="Arial"/>
                <w:sz w:val="24"/>
                <w:szCs w:val="24"/>
                <w:lang w:eastAsia="bg-BG"/>
              </w:rPr>
            </w:pPr>
          </w:p>
        </w:tc>
        <w:tc>
          <w:tcPr>
            <w:tcW w:w="3167" w:type="dxa"/>
          </w:tcPr>
          <w:p w14:paraId="063C97C9"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5D97A554" w14:textId="77777777" w:rsidR="0013041E" w:rsidRDefault="0013041E" w:rsidP="007970DD">
            <w:pPr>
              <w:spacing w:line="240" w:lineRule="auto"/>
              <w:rPr>
                <w:rFonts w:eastAsia="Times New Roman" w:cs="Arial"/>
                <w:sz w:val="24"/>
                <w:szCs w:val="24"/>
                <w:lang w:eastAsia="bg-BG"/>
              </w:rPr>
            </w:pPr>
            <w:r>
              <w:t>Тинитус</w:t>
            </w:r>
          </w:p>
        </w:tc>
      </w:tr>
      <w:tr w:rsidR="0013041E" w14:paraId="3DF85AC7" w14:textId="77777777" w:rsidTr="007970DD">
        <w:tc>
          <w:tcPr>
            <w:tcW w:w="3166" w:type="dxa"/>
          </w:tcPr>
          <w:p w14:paraId="45C87282" w14:textId="77777777" w:rsidR="0013041E" w:rsidRDefault="0013041E" w:rsidP="007970DD">
            <w:pPr>
              <w:spacing w:line="240" w:lineRule="auto"/>
              <w:rPr>
                <w:rFonts w:eastAsia="Times New Roman" w:cs="Arial"/>
                <w:sz w:val="24"/>
                <w:szCs w:val="24"/>
                <w:lang w:eastAsia="bg-BG"/>
              </w:rPr>
            </w:pPr>
            <w:r>
              <w:rPr>
                <w:b/>
                <w:bCs/>
              </w:rPr>
              <w:t>Сърдечни нарушения</w:t>
            </w:r>
          </w:p>
        </w:tc>
        <w:tc>
          <w:tcPr>
            <w:tcW w:w="3167" w:type="dxa"/>
          </w:tcPr>
          <w:p w14:paraId="35DDB0FB"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14DB592A" w14:textId="77777777" w:rsidR="0013041E" w:rsidRDefault="0013041E" w:rsidP="007970DD">
            <w:pPr>
              <w:spacing w:line="240" w:lineRule="auto"/>
              <w:rPr>
                <w:rFonts w:eastAsia="Times New Roman" w:cs="Arial"/>
                <w:sz w:val="24"/>
                <w:szCs w:val="24"/>
                <w:lang w:eastAsia="bg-BG"/>
              </w:rPr>
            </w:pPr>
            <w:r>
              <w:t xml:space="preserve">Сърцебиене, сърдечна </w:t>
            </w:r>
            <w:r>
              <w:lastRenderedPageBreak/>
              <w:t>недостатъчност, инфаркт на миокарда, остър белодробен оток, оток</w:t>
            </w:r>
          </w:p>
        </w:tc>
      </w:tr>
      <w:tr w:rsidR="0013041E" w14:paraId="065343D1" w14:textId="77777777" w:rsidTr="007970DD">
        <w:tc>
          <w:tcPr>
            <w:tcW w:w="3166" w:type="dxa"/>
          </w:tcPr>
          <w:p w14:paraId="7BBF58CF" w14:textId="77777777" w:rsidR="0013041E" w:rsidRDefault="0013041E" w:rsidP="007970DD">
            <w:pPr>
              <w:spacing w:line="240" w:lineRule="auto"/>
              <w:rPr>
                <w:rFonts w:eastAsia="Times New Roman" w:cs="Arial"/>
                <w:sz w:val="24"/>
                <w:szCs w:val="24"/>
                <w:lang w:eastAsia="bg-BG"/>
              </w:rPr>
            </w:pPr>
            <w:r>
              <w:rPr>
                <w:b/>
                <w:bCs/>
              </w:rPr>
              <w:lastRenderedPageBreak/>
              <w:t>Съдови нарушения</w:t>
            </w:r>
          </w:p>
        </w:tc>
        <w:tc>
          <w:tcPr>
            <w:tcW w:w="3167" w:type="dxa"/>
          </w:tcPr>
          <w:p w14:paraId="76BEF934"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176B3169" w14:textId="77777777" w:rsidR="0013041E" w:rsidRDefault="0013041E" w:rsidP="007970DD">
            <w:pPr>
              <w:spacing w:line="240" w:lineRule="auto"/>
              <w:rPr>
                <w:rFonts w:eastAsia="Times New Roman" w:cs="Arial"/>
                <w:sz w:val="24"/>
                <w:szCs w:val="24"/>
                <w:lang w:eastAsia="bg-BG"/>
              </w:rPr>
            </w:pPr>
            <w:r>
              <w:t>Хипертония</w:t>
            </w:r>
          </w:p>
        </w:tc>
      </w:tr>
      <w:tr w:rsidR="0013041E" w14:paraId="0F5D88EF" w14:textId="77777777" w:rsidTr="007970DD">
        <w:tc>
          <w:tcPr>
            <w:tcW w:w="3166" w:type="dxa"/>
          </w:tcPr>
          <w:p w14:paraId="435D6505" w14:textId="77777777" w:rsidR="0013041E" w:rsidRDefault="0013041E" w:rsidP="007970DD">
            <w:pPr>
              <w:spacing w:line="240" w:lineRule="auto"/>
              <w:rPr>
                <w:rFonts w:eastAsia="Times New Roman" w:cs="Arial"/>
                <w:sz w:val="24"/>
                <w:szCs w:val="24"/>
                <w:lang w:eastAsia="bg-BG"/>
              </w:rPr>
            </w:pPr>
            <w:r>
              <w:rPr>
                <w:b/>
                <w:bCs/>
              </w:rPr>
              <w:t>Респираторни, гръдни и медиастинални нарушения</w:t>
            </w:r>
          </w:p>
        </w:tc>
        <w:tc>
          <w:tcPr>
            <w:tcW w:w="3167" w:type="dxa"/>
          </w:tcPr>
          <w:p w14:paraId="70F93E37"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24D4B62C" w14:textId="77777777" w:rsidR="0013041E" w:rsidRDefault="0013041E" w:rsidP="007970DD">
            <w:pPr>
              <w:spacing w:line="240" w:lineRule="auto"/>
              <w:rPr>
                <w:rFonts w:eastAsia="Times New Roman" w:cs="Arial"/>
                <w:sz w:val="24"/>
                <w:szCs w:val="24"/>
                <w:lang w:eastAsia="bg-BG"/>
              </w:rPr>
            </w:pPr>
            <w:r>
              <w:t>Астма, бронхоспазъм, диспнея</w:t>
            </w:r>
          </w:p>
        </w:tc>
      </w:tr>
      <w:tr w:rsidR="0013041E" w14:paraId="1AA73904" w14:textId="77777777" w:rsidTr="007970DD">
        <w:tc>
          <w:tcPr>
            <w:tcW w:w="3166" w:type="dxa"/>
            <w:vMerge w:val="restart"/>
          </w:tcPr>
          <w:p w14:paraId="125AEF3A" w14:textId="77777777" w:rsidR="0013041E" w:rsidRDefault="0013041E" w:rsidP="007970DD">
            <w:pPr>
              <w:spacing w:line="240" w:lineRule="auto"/>
              <w:rPr>
                <w:rFonts w:eastAsia="Times New Roman" w:cs="Arial"/>
                <w:sz w:val="24"/>
                <w:szCs w:val="24"/>
                <w:lang w:eastAsia="bg-BG"/>
              </w:rPr>
            </w:pPr>
            <w:r>
              <w:rPr>
                <w:b/>
                <w:bCs/>
              </w:rPr>
              <w:t>Стомашно-чревни нарушения</w:t>
            </w:r>
          </w:p>
        </w:tc>
        <w:tc>
          <w:tcPr>
            <w:tcW w:w="3167" w:type="dxa"/>
          </w:tcPr>
          <w:p w14:paraId="4598329A" w14:textId="77777777" w:rsidR="0013041E" w:rsidRDefault="0013041E" w:rsidP="007970DD">
            <w:pPr>
              <w:spacing w:line="240" w:lineRule="auto"/>
              <w:rPr>
                <w:rFonts w:eastAsia="Times New Roman" w:cs="Arial"/>
                <w:sz w:val="24"/>
                <w:szCs w:val="24"/>
                <w:lang w:eastAsia="bg-BG"/>
              </w:rPr>
            </w:pPr>
            <w:r>
              <w:t>Чести</w:t>
            </w:r>
          </w:p>
        </w:tc>
        <w:tc>
          <w:tcPr>
            <w:tcW w:w="3167" w:type="dxa"/>
          </w:tcPr>
          <w:p w14:paraId="7ADA1010" w14:textId="77777777" w:rsidR="0013041E" w:rsidRDefault="0013041E" w:rsidP="007970DD">
            <w:pPr>
              <w:spacing w:line="240" w:lineRule="auto"/>
              <w:rPr>
                <w:rFonts w:eastAsia="Times New Roman" w:cs="Arial"/>
                <w:sz w:val="24"/>
                <w:szCs w:val="24"/>
                <w:lang w:eastAsia="bg-BG"/>
              </w:rPr>
            </w:pPr>
            <w:r>
              <w:t>Диспепсия, диария, гадене, повръщане, коремни болки, флатуленция, запек</w:t>
            </w:r>
          </w:p>
        </w:tc>
      </w:tr>
      <w:tr w:rsidR="0013041E" w14:paraId="5880FAED" w14:textId="77777777" w:rsidTr="007970DD">
        <w:tc>
          <w:tcPr>
            <w:tcW w:w="3166" w:type="dxa"/>
            <w:vMerge/>
          </w:tcPr>
          <w:p w14:paraId="1C430408" w14:textId="77777777" w:rsidR="0013041E" w:rsidRDefault="0013041E" w:rsidP="007970DD">
            <w:pPr>
              <w:spacing w:line="240" w:lineRule="auto"/>
              <w:rPr>
                <w:rFonts w:eastAsia="Times New Roman" w:cs="Arial"/>
                <w:sz w:val="24"/>
                <w:szCs w:val="24"/>
                <w:lang w:eastAsia="bg-BG"/>
              </w:rPr>
            </w:pPr>
          </w:p>
        </w:tc>
        <w:tc>
          <w:tcPr>
            <w:tcW w:w="3167" w:type="dxa"/>
          </w:tcPr>
          <w:p w14:paraId="51FE5583"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25235BAE" w14:textId="77777777" w:rsidR="0013041E" w:rsidRDefault="0013041E" w:rsidP="007970DD">
            <w:pPr>
              <w:spacing w:line="240" w:lineRule="auto"/>
              <w:rPr>
                <w:rFonts w:eastAsia="Times New Roman" w:cs="Arial"/>
                <w:sz w:val="24"/>
                <w:szCs w:val="24"/>
                <w:lang w:eastAsia="bg-BG"/>
              </w:rPr>
            </w:pPr>
            <w:r>
              <w:t>Гастрит, дуоденална язва, стомашна язва, язва в устата, стомашно-чревна перфорация</w:t>
            </w:r>
          </w:p>
        </w:tc>
      </w:tr>
      <w:tr w:rsidR="0013041E" w14:paraId="23BEB1C7" w14:textId="77777777" w:rsidTr="007970DD">
        <w:tc>
          <w:tcPr>
            <w:tcW w:w="3166" w:type="dxa"/>
            <w:vMerge/>
          </w:tcPr>
          <w:p w14:paraId="67273255" w14:textId="77777777" w:rsidR="0013041E" w:rsidRDefault="0013041E" w:rsidP="007970DD">
            <w:pPr>
              <w:spacing w:line="240" w:lineRule="auto"/>
              <w:rPr>
                <w:rFonts w:eastAsia="Times New Roman" w:cs="Arial"/>
                <w:sz w:val="24"/>
                <w:szCs w:val="24"/>
                <w:lang w:eastAsia="bg-BG"/>
              </w:rPr>
            </w:pPr>
          </w:p>
        </w:tc>
        <w:tc>
          <w:tcPr>
            <w:tcW w:w="3167" w:type="dxa"/>
          </w:tcPr>
          <w:p w14:paraId="65C2D7B8"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7EDA9CCF" w14:textId="77777777" w:rsidR="0013041E" w:rsidRDefault="0013041E" w:rsidP="007970DD">
            <w:pPr>
              <w:spacing w:line="240" w:lineRule="auto"/>
              <w:rPr>
                <w:rFonts w:eastAsia="Times New Roman" w:cs="Arial"/>
                <w:sz w:val="24"/>
                <w:szCs w:val="24"/>
                <w:lang w:eastAsia="bg-BG"/>
              </w:rPr>
            </w:pPr>
            <w:r>
              <w:t>Езофагит, панкреатит, чревни стриктури, мелена, хематемеза, стомашно-чревна хеморагия</w:t>
            </w:r>
          </w:p>
        </w:tc>
      </w:tr>
      <w:tr w:rsidR="0013041E" w14:paraId="31E7C9A2" w14:textId="77777777" w:rsidTr="007970DD">
        <w:tc>
          <w:tcPr>
            <w:tcW w:w="3166" w:type="dxa"/>
            <w:vMerge/>
          </w:tcPr>
          <w:p w14:paraId="65B6ED71" w14:textId="77777777" w:rsidR="0013041E" w:rsidRDefault="0013041E" w:rsidP="007970DD">
            <w:pPr>
              <w:spacing w:line="240" w:lineRule="auto"/>
              <w:rPr>
                <w:rFonts w:eastAsia="Times New Roman" w:cs="Arial"/>
                <w:sz w:val="24"/>
                <w:szCs w:val="24"/>
                <w:lang w:eastAsia="bg-BG"/>
              </w:rPr>
            </w:pPr>
          </w:p>
        </w:tc>
        <w:tc>
          <w:tcPr>
            <w:tcW w:w="3167" w:type="dxa"/>
          </w:tcPr>
          <w:p w14:paraId="35BFF333" w14:textId="77777777" w:rsidR="0013041E" w:rsidRDefault="0013041E" w:rsidP="007970DD">
            <w:pPr>
              <w:spacing w:line="240" w:lineRule="auto"/>
              <w:rPr>
                <w:rFonts w:eastAsia="Times New Roman" w:cs="Arial"/>
                <w:sz w:val="24"/>
                <w:szCs w:val="24"/>
                <w:lang w:eastAsia="bg-BG"/>
              </w:rPr>
            </w:pPr>
            <w:r>
              <w:t>С неизвестна честота</w:t>
            </w:r>
          </w:p>
        </w:tc>
        <w:tc>
          <w:tcPr>
            <w:tcW w:w="3167" w:type="dxa"/>
          </w:tcPr>
          <w:p w14:paraId="1FE1BBA1" w14:textId="77777777" w:rsidR="0013041E" w:rsidRDefault="0013041E" w:rsidP="007970DD">
            <w:pPr>
              <w:spacing w:line="240" w:lineRule="auto"/>
              <w:rPr>
                <w:rFonts w:eastAsia="Times New Roman" w:cs="Arial"/>
                <w:sz w:val="24"/>
                <w:szCs w:val="24"/>
                <w:lang w:eastAsia="bg-BG"/>
              </w:rPr>
            </w:pPr>
            <w:r>
              <w:t>Колит и болест на Крои</w:t>
            </w:r>
          </w:p>
        </w:tc>
      </w:tr>
      <w:tr w:rsidR="0013041E" w14:paraId="6E46BB30" w14:textId="77777777" w:rsidTr="007970DD">
        <w:tc>
          <w:tcPr>
            <w:tcW w:w="3166" w:type="dxa"/>
            <w:vMerge w:val="restart"/>
          </w:tcPr>
          <w:p w14:paraId="242F23E5" w14:textId="77777777" w:rsidR="0013041E" w:rsidRDefault="0013041E" w:rsidP="007970DD">
            <w:pPr>
              <w:spacing w:line="240" w:lineRule="auto"/>
              <w:rPr>
                <w:rFonts w:eastAsia="Times New Roman" w:cs="Arial"/>
                <w:sz w:val="24"/>
                <w:szCs w:val="24"/>
                <w:lang w:eastAsia="bg-BG"/>
              </w:rPr>
            </w:pPr>
            <w:r>
              <w:rPr>
                <w:b/>
                <w:bCs/>
              </w:rPr>
              <w:t>Хепатобилнарнн нарушения</w:t>
            </w:r>
          </w:p>
        </w:tc>
        <w:tc>
          <w:tcPr>
            <w:tcW w:w="3167" w:type="dxa"/>
          </w:tcPr>
          <w:p w14:paraId="3F80CC14"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4B21E478" w14:textId="77777777" w:rsidR="0013041E" w:rsidRDefault="0013041E" w:rsidP="007970DD">
            <w:pPr>
              <w:spacing w:line="240" w:lineRule="auto"/>
              <w:rPr>
                <w:rFonts w:eastAsia="Times New Roman" w:cs="Arial"/>
                <w:sz w:val="24"/>
                <w:szCs w:val="24"/>
                <w:lang w:eastAsia="bg-BG"/>
              </w:rPr>
            </w:pPr>
            <w:r>
              <w:t>Хепатит, жълтеница, патологична чернодробна функция</w:t>
            </w:r>
          </w:p>
        </w:tc>
      </w:tr>
      <w:tr w:rsidR="0013041E" w14:paraId="74BE17A9" w14:textId="77777777" w:rsidTr="007970DD">
        <w:tc>
          <w:tcPr>
            <w:tcW w:w="3166" w:type="dxa"/>
            <w:vMerge/>
          </w:tcPr>
          <w:p w14:paraId="2A881A59" w14:textId="77777777" w:rsidR="0013041E" w:rsidRDefault="0013041E" w:rsidP="007970DD">
            <w:pPr>
              <w:spacing w:line="240" w:lineRule="auto"/>
              <w:rPr>
                <w:rFonts w:eastAsia="Times New Roman" w:cs="Arial"/>
                <w:sz w:val="24"/>
                <w:szCs w:val="24"/>
                <w:lang w:eastAsia="bg-BG"/>
              </w:rPr>
            </w:pPr>
          </w:p>
        </w:tc>
        <w:tc>
          <w:tcPr>
            <w:tcW w:w="3167" w:type="dxa"/>
          </w:tcPr>
          <w:p w14:paraId="42679030" w14:textId="77777777" w:rsidR="0013041E" w:rsidRDefault="0013041E" w:rsidP="007970DD">
            <w:pPr>
              <w:spacing w:line="240" w:lineRule="auto"/>
              <w:rPr>
                <w:rFonts w:eastAsia="Times New Roman" w:cs="Arial"/>
                <w:sz w:val="24"/>
                <w:szCs w:val="24"/>
                <w:lang w:eastAsia="bg-BG"/>
              </w:rPr>
            </w:pPr>
            <w:r>
              <w:t>Редки</w:t>
            </w:r>
          </w:p>
        </w:tc>
        <w:tc>
          <w:tcPr>
            <w:tcW w:w="3167" w:type="dxa"/>
          </w:tcPr>
          <w:p w14:paraId="1A1362B2" w14:textId="77777777" w:rsidR="0013041E" w:rsidRDefault="0013041E" w:rsidP="007970DD">
            <w:pPr>
              <w:spacing w:line="240" w:lineRule="auto"/>
              <w:rPr>
                <w:rFonts w:eastAsia="Times New Roman" w:cs="Arial"/>
                <w:sz w:val="24"/>
                <w:szCs w:val="24"/>
                <w:lang w:eastAsia="bg-BG"/>
              </w:rPr>
            </w:pPr>
            <w:r>
              <w:t>Увреждане на черния дроб</w:t>
            </w:r>
          </w:p>
        </w:tc>
      </w:tr>
      <w:tr w:rsidR="0013041E" w14:paraId="491D7979" w14:textId="77777777" w:rsidTr="007970DD">
        <w:tc>
          <w:tcPr>
            <w:tcW w:w="3166" w:type="dxa"/>
            <w:vMerge/>
          </w:tcPr>
          <w:p w14:paraId="3B9E95CC" w14:textId="77777777" w:rsidR="0013041E" w:rsidRDefault="0013041E" w:rsidP="007970DD">
            <w:pPr>
              <w:spacing w:line="240" w:lineRule="auto"/>
              <w:rPr>
                <w:rFonts w:eastAsia="Times New Roman" w:cs="Arial"/>
                <w:sz w:val="24"/>
                <w:szCs w:val="24"/>
                <w:lang w:eastAsia="bg-BG"/>
              </w:rPr>
            </w:pPr>
          </w:p>
        </w:tc>
        <w:tc>
          <w:tcPr>
            <w:tcW w:w="3167" w:type="dxa"/>
          </w:tcPr>
          <w:p w14:paraId="4DE5800F"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786EAE31" w14:textId="77777777" w:rsidR="0013041E" w:rsidRDefault="0013041E" w:rsidP="007970DD">
            <w:pPr>
              <w:spacing w:line="240" w:lineRule="auto"/>
              <w:rPr>
                <w:rFonts w:eastAsia="Times New Roman" w:cs="Arial"/>
                <w:sz w:val="24"/>
                <w:szCs w:val="24"/>
                <w:lang w:eastAsia="bg-BG"/>
              </w:rPr>
            </w:pPr>
            <w:r>
              <w:t>Чернодробна недостатъчност</w:t>
            </w:r>
          </w:p>
        </w:tc>
      </w:tr>
      <w:tr w:rsidR="0013041E" w14:paraId="795D719C" w14:textId="77777777" w:rsidTr="007970DD">
        <w:tc>
          <w:tcPr>
            <w:tcW w:w="3166" w:type="dxa"/>
            <w:vMerge w:val="restart"/>
          </w:tcPr>
          <w:p w14:paraId="0AC9F18D" w14:textId="77777777" w:rsidR="0013041E" w:rsidRDefault="0013041E" w:rsidP="007970DD">
            <w:pPr>
              <w:spacing w:line="240" w:lineRule="auto"/>
              <w:rPr>
                <w:rFonts w:eastAsia="Times New Roman" w:cs="Arial"/>
                <w:sz w:val="24"/>
                <w:szCs w:val="24"/>
                <w:lang w:eastAsia="bg-BG"/>
              </w:rPr>
            </w:pPr>
            <w:r>
              <w:rPr>
                <w:b/>
                <w:bCs/>
              </w:rPr>
              <w:t>Нарушения на кожата и подкожната тъкан</w:t>
            </w:r>
          </w:p>
        </w:tc>
        <w:tc>
          <w:tcPr>
            <w:tcW w:w="3167" w:type="dxa"/>
          </w:tcPr>
          <w:p w14:paraId="0044527E" w14:textId="77777777" w:rsidR="0013041E" w:rsidRDefault="0013041E" w:rsidP="007970DD">
            <w:pPr>
              <w:spacing w:line="240" w:lineRule="auto"/>
              <w:rPr>
                <w:rFonts w:eastAsia="Times New Roman" w:cs="Arial"/>
                <w:sz w:val="24"/>
                <w:szCs w:val="24"/>
                <w:lang w:eastAsia="bg-BG"/>
              </w:rPr>
            </w:pPr>
            <w:r>
              <w:t>Нечести</w:t>
            </w:r>
          </w:p>
        </w:tc>
        <w:tc>
          <w:tcPr>
            <w:tcW w:w="3167" w:type="dxa"/>
          </w:tcPr>
          <w:p w14:paraId="581D5BF4" w14:textId="77777777" w:rsidR="0013041E" w:rsidRDefault="0013041E" w:rsidP="007970DD">
            <w:pPr>
              <w:spacing w:line="240" w:lineRule="auto"/>
              <w:rPr>
                <w:rFonts w:eastAsia="Times New Roman" w:cs="Arial"/>
                <w:sz w:val="24"/>
                <w:szCs w:val="24"/>
                <w:lang w:eastAsia="bg-BG"/>
              </w:rPr>
            </w:pPr>
            <w:r>
              <w:t>Обрив, уртикария, пруритус, пурпура, реакция на фоточувствителност</w:t>
            </w:r>
          </w:p>
        </w:tc>
      </w:tr>
      <w:tr w:rsidR="0013041E" w14:paraId="75EF3431" w14:textId="77777777" w:rsidTr="007970DD">
        <w:tc>
          <w:tcPr>
            <w:tcW w:w="3166" w:type="dxa"/>
            <w:vMerge/>
          </w:tcPr>
          <w:p w14:paraId="10DC7153" w14:textId="77777777" w:rsidR="0013041E" w:rsidRDefault="0013041E" w:rsidP="007970DD">
            <w:pPr>
              <w:spacing w:line="240" w:lineRule="auto"/>
              <w:rPr>
                <w:rFonts w:eastAsia="Times New Roman" w:cs="Arial"/>
                <w:sz w:val="24"/>
                <w:szCs w:val="24"/>
                <w:lang w:eastAsia="bg-BG"/>
              </w:rPr>
            </w:pPr>
          </w:p>
        </w:tc>
        <w:tc>
          <w:tcPr>
            <w:tcW w:w="3167" w:type="dxa"/>
          </w:tcPr>
          <w:p w14:paraId="73F4362C"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7ACF1896" w14:textId="77777777" w:rsidR="0013041E" w:rsidRDefault="0013041E" w:rsidP="007970DD">
            <w:pPr>
              <w:spacing w:line="240" w:lineRule="auto"/>
              <w:rPr>
                <w:rFonts w:eastAsia="Times New Roman" w:cs="Arial"/>
                <w:sz w:val="24"/>
                <w:szCs w:val="24"/>
                <w:lang w:eastAsia="bg-BG"/>
              </w:rPr>
            </w:pPr>
            <w:r>
              <w:t xml:space="preserve">Булозни дерматози, включително синдром на </w:t>
            </w:r>
            <w:r>
              <w:rPr>
                <w:lang w:val="en-US"/>
              </w:rPr>
              <w:t xml:space="preserve">Stevens- Johnson, </w:t>
            </w:r>
            <w:r>
              <w:t>токсична епидермална некролиза и еритема мултиформе, ексфолиативен дерматит, алопеция, некротизиращ фасциит</w:t>
            </w:r>
          </w:p>
        </w:tc>
      </w:tr>
      <w:tr w:rsidR="0013041E" w14:paraId="1612733D" w14:textId="77777777" w:rsidTr="007970DD">
        <w:tc>
          <w:tcPr>
            <w:tcW w:w="3166" w:type="dxa"/>
            <w:vMerge/>
          </w:tcPr>
          <w:p w14:paraId="74B225D2" w14:textId="77777777" w:rsidR="0013041E" w:rsidRDefault="0013041E" w:rsidP="007970DD">
            <w:pPr>
              <w:spacing w:line="240" w:lineRule="auto"/>
              <w:rPr>
                <w:rFonts w:eastAsia="Times New Roman" w:cs="Arial"/>
                <w:sz w:val="24"/>
                <w:szCs w:val="24"/>
                <w:lang w:eastAsia="bg-BG"/>
              </w:rPr>
            </w:pPr>
          </w:p>
        </w:tc>
        <w:tc>
          <w:tcPr>
            <w:tcW w:w="3167" w:type="dxa"/>
          </w:tcPr>
          <w:p w14:paraId="7161EA63" w14:textId="77777777" w:rsidR="0013041E" w:rsidRDefault="0013041E" w:rsidP="007970DD">
            <w:pPr>
              <w:spacing w:line="240" w:lineRule="auto"/>
              <w:rPr>
                <w:rFonts w:eastAsia="Times New Roman" w:cs="Arial"/>
                <w:sz w:val="24"/>
                <w:szCs w:val="24"/>
                <w:lang w:eastAsia="bg-BG"/>
              </w:rPr>
            </w:pPr>
            <w:r>
              <w:t>С неизвестна честота</w:t>
            </w:r>
          </w:p>
        </w:tc>
        <w:tc>
          <w:tcPr>
            <w:tcW w:w="3167" w:type="dxa"/>
          </w:tcPr>
          <w:p w14:paraId="5469D6F8" w14:textId="77777777" w:rsidR="0013041E" w:rsidRDefault="0013041E" w:rsidP="007970DD">
            <w:r>
              <w:t>Лекарствена реакция с еозинофилия и системни симптоми</w:t>
            </w:r>
          </w:p>
          <w:p w14:paraId="7B68BD6F" w14:textId="77777777" w:rsidR="0013041E" w:rsidRDefault="0013041E" w:rsidP="007970DD">
            <w:r>
              <w:rPr>
                <w:lang w:val="en-US"/>
              </w:rPr>
              <w:t xml:space="preserve">(DRESS </w:t>
            </w:r>
            <w:r>
              <w:t>синдром)</w:t>
            </w:r>
          </w:p>
          <w:p w14:paraId="7C384741" w14:textId="77777777" w:rsidR="0013041E" w:rsidRDefault="0013041E" w:rsidP="007970DD">
            <w:pPr>
              <w:spacing w:line="240" w:lineRule="auto"/>
              <w:rPr>
                <w:rFonts w:eastAsia="Times New Roman" w:cs="Arial"/>
                <w:sz w:val="24"/>
                <w:szCs w:val="24"/>
                <w:lang w:eastAsia="bg-BG"/>
              </w:rPr>
            </w:pPr>
            <w:r>
              <w:t xml:space="preserve">Остра генерализирана екзантематозна пустулоза </w:t>
            </w:r>
            <w:r>
              <w:rPr>
                <w:lang w:val="en-US"/>
              </w:rPr>
              <w:t>(AGEP)</w:t>
            </w:r>
          </w:p>
        </w:tc>
      </w:tr>
      <w:tr w:rsidR="0013041E" w14:paraId="437C1E55" w14:textId="77777777" w:rsidTr="007970DD">
        <w:tc>
          <w:tcPr>
            <w:tcW w:w="3166" w:type="dxa"/>
          </w:tcPr>
          <w:p w14:paraId="5CDBB0EB" w14:textId="77777777" w:rsidR="0013041E" w:rsidRDefault="0013041E" w:rsidP="007970DD">
            <w:pPr>
              <w:spacing w:line="240" w:lineRule="auto"/>
              <w:rPr>
                <w:rFonts w:eastAsia="Times New Roman" w:cs="Arial"/>
                <w:sz w:val="24"/>
                <w:szCs w:val="24"/>
                <w:lang w:eastAsia="bg-BG"/>
              </w:rPr>
            </w:pPr>
            <w:r>
              <w:rPr>
                <w:b/>
                <w:bCs/>
              </w:rPr>
              <w:t>Нарушения на бъбреците и пикочните пътища</w:t>
            </w:r>
          </w:p>
        </w:tc>
        <w:tc>
          <w:tcPr>
            <w:tcW w:w="3167" w:type="dxa"/>
          </w:tcPr>
          <w:p w14:paraId="731F0554" w14:textId="77777777" w:rsidR="0013041E" w:rsidRDefault="0013041E" w:rsidP="007970DD">
            <w:pPr>
              <w:spacing w:line="240" w:lineRule="auto"/>
              <w:rPr>
                <w:rFonts w:eastAsia="Times New Roman" w:cs="Arial"/>
                <w:sz w:val="24"/>
                <w:szCs w:val="24"/>
                <w:lang w:eastAsia="bg-BG"/>
              </w:rPr>
            </w:pPr>
            <w:r>
              <w:t>Много редки</w:t>
            </w:r>
          </w:p>
        </w:tc>
        <w:tc>
          <w:tcPr>
            <w:tcW w:w="3167" w:type="dxa"/>
          </w:tcPr>
          <w:p w14:paraId="081C5F2E" w14:textId="77777777" w:rsidR="0013041E" w:rsidRDefault="0013041E" w:rsidP="007970DD">
            <w:pPr>
              <w:spacing w:line="240" w:lineRule="auto"/>
              <w:rPr>
                <w:rFonts w:eastAsia="Times New Roman" w:cs="Arial"/>
                <w:sz w:val="24"/>
                <w:szCs w:val="24"/>
                <w:lang w:eastAsia="bg-BG"/>
              </w:rPr>
            </w:pPr>
            <w:r>
              <w:t xml:space="preserve">Тубуло-интерстициален нефрит, нефротичен синдром и бъбречна недостатъчност, остра бъбречна недостатъчност, папиларна некроза (особено при продължителна </w:t>
            </w:r>
            <w:r>
              <w:lastRenderedPageBreak/>
              <w:t>употреба, свързана с повишена серумна урея)</w:t>
            </w:r>
          </w:p>
        </w:tc>
      </w:tr>
      <w:tr w:rsidR="0013041E" w14:paraId="3BFA2662" w14:textId="77777777" w:rsidTr="007970DD">
        <w:tc>
          <w:tcPr>
            <w:tcW w:w="3166" w:type="dxa"/>
            <w:vMerge w:val="restart"/>
          </w:tcPr>
          <w:p w14:paraId="0BA48CAE" w14:textId="77777777" w:rsidR="0013041E" w:rsidRDefault="0013041E" w:rsidP="007970DD">
            <w:pPr>
              <w:spacing w:line="240" w:lineRule="auto"/>
              <w:rPr>
                <w:rFonts w:eastAsia="Times New Roman" w:cs="Arial"/>
                <w:sz w:val="24"/>
                <w:szCs w:val="24"/>
                <w:lang w:eastAsia="bg-BG"/>
              </w:rPr>
            </w:pPr>
            <w:r>
              <w:rPr>
                <w:b/>
                <w:bCs/>
              </w:rPr>
              <w:lastRenderedPageBreak/>
              <w:t>Общи нарушения и ефекти на мястото на приложение</w:t>
            </w:r>
          </w:p>
        </w:tc>
        <w:tc>
          <w:tcPr>
            <w:tcW w:w="3167" w:type="dxa"/>
          </w:tcPr>
          <w:p w14:paraId="42B5B4F8" w14:textId="77777777" w:rsidR="0013041E" w:rsidRDefault="0013041E" w:rsidP="007970DD">
            <w:pPr>
              <w:spacing w:line="240" w:lineRule="auto"/>
              <w:rPr>
                <w:rFonts w:eastAsia="Times New Roman" w:cs="Arial"/>
                <w:sz w:val="24"/>
                <w:szCs w:val="24"/>
                <w:lang w:eastAsia="bg-BG"/>
              </w:rPr>
            </w:pPr>
            <w:r>
              <w:t>Чести</w:t>
            </w:r>
          </w:p>
        </w:tc>
        <w:tc>
          <w:tcPr>
            <w:tcW w:w="3167" w:type="dxa"/>
          </w:tcPr>
          <w:p w14:paraId="4FEC6C0E" w14:textId="77777777" w:rsidR="0013041E" w:rsidRDefault="0013041E" w:rsidP="007970DD">
            <w:pPr>
              <w:spacing w:line="240" w:lineRule="auto"/>
              <w:rPr>
                <w:rFonts w:eastAsia="Times New Roman" w:cs="Arial"/>
                <w:sz w:val="24"/>
                <w:szCs w:val="24"/>
                <w:lang w:eastAsia="bg-BG"/>
              </w:rPr>
            </w:pPr>
            <w:r>
              <w:t>Умора</w:t>
            </w:r>
          </w:p>
        </w:tc>
      </w:tr>
      <w:tr w:rsidR="0013041E" w14:paraId="58F6111F" w14:textId="77777777" w:rsidTr="007970DD">
        <w:tc>
          <w:tcPr>
            <w:tcW w:w="3166" w:type="dxa"/>
            <w:vMerge/>
          </w:tcPr>
          <w:p w14:paraId="069F5A84" w14:textId="77777777" w:rsidR="0013041E" w:rsidRDefault="0013041E" w:rsidP="007970DD">
            <w:pPr>
              <w:spacing w:line="240" w:lineRule="auto"/>
              <w:rPr>
                <w:rFonts w:eastAsia="Times New Roman" w:cs="Arial"/>
                <w:sz w:val="24"/>
                <w:szCs w:val="24"/>
                <w:lang w:eastAsia="bg-BG"/>
              </w:rPr>
            </w:pPr>
          </w:p>
        </w:tc>
        <w:tc>
          <w:tcPr>
            <w:tcW w:w="3167" w:type="dxa"/>
          </w:tcPr>
          <w:p w14:paraId="2A60366C" w14:textId="77777777" w:rsidR="0013041E" w:rsidRDefault="0013041E" w:rsidP="007970DD">
            <w:pPr>
              <w:spacing w:line="240" w:lineRule="auto"/>
              <w:rPr>
                <w:rFonts w:eastAsia="Times New Roman" w:cs="Arial"/>
                <w:sz w:val="24"/>
                <w:szCs w:val="24"/>
                <w:lang w:eastAsia="bg-BG"/>
              </w:rPr>
            </w:pPr>
            <w:r>
              <w:t>Редки</w:t>
            </w:r>
          </w:p>
        </w:tc>
        <w:tc>
          <w:tcPr>
            <w:tcW w:w="3167" w:type="dxa"/>
          </w:tcPr>
          <w:p w14:paraId="4814971D" w14:textId="77777777" w:rsidR="0013041E" w:rsidRDefault="0013041E" w:rsidP="007970DD">
            <w:pPr>
              <w:spacing w:line="240" w:lineRule="auto"/>
              <w:rPr>
                <w:rFonts w:eastAsia="Times New Roman" w:cs="Arial"/>
                <w:sz w:val="24"/>
                <w:szCs w:val="24"/>
                <w:lang w:eastAsia="bg-BG"/>
              </w:rPr>
            </w:pPr>
            <w:r>
              <w:t>Оток</w:t>
            </w:r>
          </w:p>
        </w:tc>
      </w:tr>
    </w:tbl>
    <w:p w14:paraId="72FBA714" w14:textId="77777777" w:rsidR="0013041E" w:rsidRPr="0013041E" w:rsidRDefault="0013041E" w:rsidP="0013041E">
      <w:pPr>
        <w:spacing w:line="240" w:lineRule="auto"/>
        <w:rPr>
          <w:rFonts w:eastAsia="Times New Roman" w:cs="Arial"/>
          <w:sz w:val="24"/>
          <w:szCs w:val="24"/>
          <w:lang w:eastAsia="bg-BG"/>
        </w:rPr>
      </w:pPr>
    </w:p>
    <w:p w14:paraId="3B459BC8" w14:textId="77777777" w:rsidR="0013041E" w:rsidRPr="0013041E" w:rsidRDefault="0013041E" w:rsidP="0013041E">
      <w:pPr>
        <w:spacing w:line="240" w:lineRule="auto"/>
        <w:rPr>
          <w:rFonts w:eastAsia="Times New Roman" w:cs="Arial"/>
          <w:lang w:eastAsia="bg-BG"/>
        </w:rPr>
      </w:pPr>
      <w:r w:rsidRPr="0013041E">
        <w:rPr>
          <w:rFonts w:eastAsia="Times New Roman" w:cs="Arial"/>
          <w:color w:val="000000"/>
          <w:u w:val="single"/>
          <w:lang w:eastAsia="bg-BG"/>
        </w:rPr>
        <w:t>Съобщаване на подозирани нежелани реакции</w:t>
      </w:r>
    </w:p>
    <w:p w14:paraId="787628AF" w14:textId="77777777" w:rsidR="0013041E" w:rsidRPr="0013041E" w:rsidRDefault="0013041E" w:rsidP="0013041E">
      <w:pPr>
        <w:rPr>
          <w:rFonts w:cs="Arial"/>
        </w:rPr>
      </w:pPr>
    </w:p>
    <w:p w14:paraId="6803CA64" w14:textId="77777777" w:rsidR="0013041E" w:rsidRPr="0013041E" w:rsidRDefault="0013041E" w:rsidP="0013041E">
      <w:pPr>
        <w:spacing w:line="240" w:lineRule="auto"/>
        <w:rPr>
          <w:rFonts w:eastAsia="Times New Roman" w:cs="Arial"/>
          <w:lang w:eastAsia="bg-BG"/>
        </w:rPr>
      </w:pPr>
      <w:r w:rsidRPr="0013041E">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7478523D" w14:textId="77777777" w:rsidR="0013041E" w:rsidRPr="0013041E" w:rsidRDefault="0013041E" w:rsidP="0013041E">
      <w:pPr>
        <w:spacing w:line="240" w:lineRule="auto"/>
        <w:rPr>
          <w:rFonts w:eastAsia="Times New Roman" w:cs="Arial"/>
          <w:lang w:eastAsia="bg-BG"/>
        </w:rPr>
      </w:pPr>
      <w:r w:rsidRPr="0013041E">
        <w:rPr>
          <w:rFonts w:eastAsia="Times New Roman" w:cs="Arial"/>
          <w:color w:val="000000"/>
          <w:lang w:eastAsia="bg-BG"/>
        </w:rPr>
        <w:t>Изпълнителна агенция по лекарствата ул.,Дамян Груев“ № 8</w:t>
      </w:r>
    </w:p>
    <w:p w14:paraId="46F7EE4A" w14:textId="77777777" w:rsidR="0013041E" w:rsidRPr="0013041E" w:rsidRDefault="0013041E" w:rsidP="0013041E">
      <w:pPr>
        <w:spacing w:line="240" w:lineRule="auto"/>
        <w:rPr>
          <w:rFonts w:eastAsia="Times New Roman" w:cs="Arial"/>
          <w:lang w:eastAsia="bg-BG"/>
        </w:rPr>
      </w:pPr>
      <w:r w:rsidRPr="0013041E">
        <w:rPr>
          <w:rFonts w:eastAsia="Times New Roman" w:cs="Arial"/>
          <w:color w:val="000000"/>
          <w:lang w:eastAsia="bg-BG"/>
        </w:rPr>
        <w:t>1303 София</w:t>
      </w:r>
    </w:p>
    <w:p w14:paraId="307D57BD" w14:textId="77777777" w:rsidR="0013041E" w:rsidRPr="0013041E" w:rsidRDefault="0013041E" w:rsidP="0013041E">
      <w:pPr>
        <w:spacing w:line="240" w:lineRule="auto"/>
        <w:rPr>
          <w:rFonts w:eastAsia="Times New Roman" w:cs="Arial"/>
          <w:lang w:eastAsia="bg-BG"/>
        </w:rPr>
      </w:pPr>
      <w:r w:rsidRPr="0013041E">
        <w:rPr>
          <w:rFonts w:eastAsia="Times New Roman" w:cs="Arial"/>
          <w:color w:val="000000"/>
          <w:lang w:eastAsia="bg-BG"/>
        </w:rPr>
        <w:t xml:space="preserve">Тел.:+359 2 8903417 уебсайт: </w:t>
      </w:r>
      <w:r w:rsidRPr="0013041E">
        <w:rPr>
          <w:rFonts w:eastAsia="Times New Roman" w:cs="Arial"/>
          <w:lang w:eastAsia="bg-BG"/>
        </w:rPr>
        <w:fldChar w:fldCharType="begin"/>
      </w:r>
      <w:r w:rsidRPr="0013041E">
        <w:rPr>
          <w:rFonts w:eastAsia="Times New Roman" w:cs="Arial"/>
          <w:lang w:eastAsia="bg-BG"/>
        </w:rPr>
        <w:instrText xml:space="preserve"> HYPERLINK "http://www.bda.bg" </w:instrText>
      </w:r>
      <w:r w:rsidRPr="0013041E">
        <w:rPr>
          <w:rFonts w:eastAsia="Times New Roman" w:cs="Arial"/>
          <w:lang w:eastAsia="bg-BG"/>
        </w:rPr>
      </w:r>
      <w:r w:rsidRPr="0013041E">
        <w:rPr>
          <w:rFonts w:eastAsia="Times New Roman" w:cs="Arial"/>
          <w:lang w:eastAsia="bg-BG"/>
        </w:rPr>
        <w:fldChar w:fldCharType="separate"/>
      </w:r>
      <w:r w:rsidRPr="0013041E">
        <w:rPr>
          <w:rFonts w:eastAsia="Times New Roman" w:cs="Arial"/>
          <w:color w:val="000000"/>
          <w:u w:val="single"/>
          <w:lang w:val="en-US"/>
        </w:rPr>
        <w:t>www.bda.bg</w:t>
      </w:r>
      <w:r w:rsidRPr="0013041E">
        <w:rPr>
          <w:rFonts w:eastAsia="Times New Roman" w:cs="Arial"/>
          <w:lang w:eastAsia="bg-BG"/>
        </w:rPr>
        <w:fldChar w:fldCharType="end"/>
      </w:r>
    </w:p>
    <w:p w14:paraId="168EED71" w14:textId="77777777" w:rsidR="0013041E" w:rsidRPr="0013041E" w:rsidRDefault="0013041E" w:rsidP="0013041E"/>
    <w:p w14:paraId="378A0F20" w14:textId="17250EFF" w:rsidR="001D095A" w:rsidRDefault="002C50EE" w:rsidP="00340E8D">
      <w:pPr>
        <w:pStyle w:val="Heading2"/>
      </w:pPr>
      <w:r>
        <w:t>4.9. Предозиране</w:t>
      </w:r>
    </w:p>
    <w:p w14:paraId="03BD1CAA" w14:textId="090158F0" w:rsidR="0013041E" w:rsidRDefault="0013041E" w:rsidP="0013041E"/>
    <w:p w14:paraId="5E375ECA" w14:textId="77777777" w:rsidR="0013041E" w:rsidRPr="0013041E" w:rsidRDefault="0013041E" w:rsidP="0013041E">
      <w:pPr>
        <w:spacing w:line="240" w:lineRule="auto"/>
        <w:rPr>
          <w:rFonts w:eastAsia="Times New Roman" w:cs="Arial"/>
          <w:color w:val="000000"/>
          <w:lang w:eastAsia="bg-BG"/>
        </w:rPr>
      </w:pPr>
      <w:r w:rsidRPr="0013041E">
        <w:rPr>
          <w:rFonts w:eastAsia="Times New Roman" w:cs="Arial"/>
          <w:color w:val="000000"/>
          <w:lang w:eastAsia="bg-BG"/>
        </w:rPr>
        <w:t xml:space="preserve">При деца поглъщането на повече от 400 </w:t>
      </w:r>
      <w:r w:rsidRPr="0013041E">
        <w:rPr>
          <w:rFonts w:eastAsia="Times New Roman" w:cs="Arial"/>
          <w:color w:val="000000"/>
          <w:lang w:val="en-US"/>
        </w:rPr>
        <w:t xml:space="preserve">mg/kg </w:t>
      </w:r>
      <w:r w:rsidRPr="0013041E">
        <w:rPr>
          <w:rFonts w:eastAsia="Times New Roman" w:cs="Arial"/>
          <w:color w:val="000000"/>
          <w:lang w:eastAsia="bg-BG"/>
        </w:rPr>
        <w:t xml:space="preserve">може да предизвика симптоми. При възрастни </w:t>
      </w:r>
    </w:p>
    <w:p w14:paraId="11BE0FD3" w14:textId="5C986A6A"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дозозависимият ефект е по-малко ясно определен. Полуживотът при предозиране е 1,5-3 часа.</w:t>
      </w:r>
    </w:p>
    <w:p w14:paraId="5EBC5069" w14:textId="77777777" w:rsidR="0013041E" w:rsidRPr="0013041E" w:rsidRDefault="0013041E" w:rsidP="0013041E">
      <w:pPr>
        <w:spacing w:line="240" w:lineRule="auto"/>
        <w:rPr>
          <w:rFonts w:eastAsia="Times New Roman" w:cs="Arial"/>
          <w:b/>
          <w:bCs/>
          <w:color w:val="000000"/>
          <w:lang w:eastAsia="bg-BG"/>
        </w:rPr>
      </w:pPr>
    </w:p>
    <w:p w14:paraId="4371CDBF" w14:textId="0D3C5602" w:rsidR="0013041E" w:rsidRPr="0013041E" w:rsidRDefault="0013041E" w:rsidP="0013041E">
      <w:pPr>
        <w:spacing w:line="240" w:lineRule="auto"/>
        <w:rPr>
          <w:rFonts w:eastAsia="Times New Roman" w:cs="Arial"/>
          <w:sz w:val="24"/>
          <w:szCs w:val="24"/>
          <w:lang w:eastAsia="bg-BG"/>
        </w:rPr>
      </w:pPr>
      <w:r w:rsidRPr="0013041E">
        <w:rPr>
          <w:rFonts w:eastAsia="Times New Roman" w:cs="Arial"/>
          <w:b/>
          <w:bCs/>
          <w:color w:val="000000"/>
          <w:lang w:eastAsia="bg-BG"/>
        </w:rPr>
        <w:t>Симптоми</w:t>
      </w:r>
    </w:p>
    <w:p w14:paraId="7FEEE5C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При повечето пациенти, които са погълнали клинично значими количества НСПВС, симптомите ще се проявят в рамките на 4 до 6 часа. Най-често съобщаваните симптоми включват гадене, повръщане, епигастрална болка или по-рядко диария. Възможни са също шум в ушите, главоболие, замайване, състояние на обърканост и стомашно-чревно кървене. При по-сериозно отравяне се наблюдава токсичност в централната нервна система, проявяваща се като сънливост, понякога възбуда и дезориентация или кома. Понякога пациентите развиват конвулсии. Децата също могат да развият миоклонични спазми. При сериозно отравяне може да настъпи метаболитна ацидоза. Протромбиновото време/ </w:t>
      </w:r>
      <w:r w:rsidRPr="0013041E">
        <w:rPr>
          <w:rFonts w:eastAsia="Times New Roman" w:cs="Arial"/>
          <w:color w:val="000000"/>
          <w:lang w:val="en-US"/>
        </w:rPr>
        <w:t xml:space="preserve">INR </w:t>
      </w:r>
      <w:r w:rsidRPr="0013041E">
        <w:rPr>
          <w:rFonts w:eastAsia="Times New Roman" w:cs="Arial"/>
          <w:color w:val="000000"/>
          <w:lang w:eastAsia="bg-BG"/>
        </w:rPr>
        <w:t>могат да бъдат удължени, вероятно поради намеса в действията на циркулиращите фактори на кръвосъсирването. Може да настъпи остра бъбречна недостатъчност, увреждане на черния дроб, загуба на съзнание, хипотензия, нистагмус, хипотермия, дихателна депресия и цианоза. При астматици е възможно обостряне на астмата.</w:t>
      </w:r>
    </w:p>
    <w:p w14:paraId="4B304B22" w14:textId="77777777" w:rsidR="0013041E" w:rsidRPr="0013041E" w:rsidRDefault="0013041E" w:rsidP="0013041E">
      <w:pPr>
        <w:spacing w:line="240" w:lineRule="auto"/>
        <w:rPr>
          <w:rFonts w:eastAsia="Times New Roman" w:cs="Arial"/>
          <w:b/>
          <w:bCs/>
          <w:color w:val="000000"/>
          <w:lang w:eastAsia="bg-BG"/>
        </w:rPr>
      </w:pPr>
      <w:bookmarkStart w:id="2" w:name="bookmark2"/>
    </w:p>
    <w:p w14:paraId="0AF24237" w14:textId="7965A322" w:rsidR="0013041E" w:rsidRPr="0013041E" w:rsidRDefault="0013041E" w:rsidP="0013041E">
      <w:pPr>
        <w:spacing w:line="240" w:lineRule="auto"/>
        <w:rPr>
          <w:rFonts w:eastAsia="Times New Roman" w:cs="Arial"/>
          <w:sz w:val="24"/>
          <w:szCs w:val="24"/>
          <w:lang w:eastAsia="bg-BG"/>
        </w:rPr>
      </w:pPr>
      <w:r w:rsidRPr="0013041E">
        <w:rPr>
          <w:rFonts w:eastAsia="Times New Roman" w:cs="Arial"/>
          <w:b/>
          <w:bCs/>
          <w:color w:val="000000"/>
          <w:lang w:eastAsia="bg-BG"/>
        </w:rPr>
        <w:t>Лечение</w:t>
      </w:r>
      <w:bookmarkEnd w:id="2"/>
    </w:p>
    <w:p w14:paraId="0AE2E491"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Не съществува специфичен антидот. Лечението трябва да бъде симптоматично и поддържащо, и да включва поддържане на отворени дихателни пътища и мониторинг на сърдечните и жизнените показатели до стабилизиране. Помислете за перорално приложение на активен въглен, ако пациентът пристигне в рамките на 1 час от поглъщането на потенциално токсично количество. Алтернативно, при възрастни може да се обмисли стомашна промивка в рамките на един час от поглъщането на потенциално животозастрашаваща свръхдоза. Ако са чести или продължителни, конвулсиите трябва да бъдат лекувани с диазепам или лоразепам интравенозно. Дайте бронходилататори при астма.</w:t>
      </w:r>
    </w:p>
    <w:p w14:paraId="3D674513"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Следва да се осигури добро отделяне на урина.</w:t>
      </w:r>
    </w:p>
    <w:p w14:paraId="3DD1BECC"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Бъбречната и чернодробната функция трябва да бъдат внимателно наблюдавани.</w:t>
      </w:r>
    </w:p>
    <w:p w14:paraId="6E2850C9" w14:textId="0BE77E4C"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lastRenderedPageBreak/>
        <w:t>Пациентите трябва да се наблюдават най-малко четири часа след поглъщане на потенциално токсични количества.</w:t>
      </w:r>
    </w:p>
    <w:p w14:paraId="02081B24" w14:textId="36FE76F4" w:rsidR="00395555" w:rsidRPr="00395555" w:rsidRDefault="002C50EE" w:rsidP="008A6AF2">
      <w:pPr>
        <w:pStyle w:val="Heading1"/>
      </w:pPr>
      <w:r>
        <w:t>5. ФАРМАКОЛОГИЧНИ СВОЙСТВА</w:t>
      </w:r>
    </w:p>
    <w:p w14:paraId="7F6CC5E1" w14:textId="76F54257" w:rsidR="00F62E44" w:rsidRDefault="002C50EE" w:rsidP="00387A66">
      <w:pPr>
        <w:pStyle w:val="Heading2"/>
      </w:pPr>
      <w:r>
        <w:t>5.1. Фармакодинамични свойства</w:t>
      </w:r>
    </w:p>
    <w:p w14:paraId="39FEF3C6" w14:textId="4AE4EFE4" w:rsidR="0013041E" w:rsidRDefault="0013041E" w:rsidP="0013041E"/>
    <w:p w14:paraId="5D8BF5D1"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Фармакотерапевтична група: Противовъзпалителни и антиревматични продукти, </w:t>
      </w:r>
      <w:r w:rsidRPr="0013041E">
        <w:rPr>
          <w:rFonts w:eastAsia="Times New Roman" w:cs="Arial"/>
          <w:color w:val="000000"/>
          <w:u w:val="single"/>
          <w:lang w:eastAsia="bg-BG"/>
        </w:rPr>
        <w:t>несте</w:t>
      </w:r>
      <w:r w:rsidRPr="0013041E">
        <w:rPr>
          <w:rFonts w:eastAsia="Times New Roman" w:cs="Arial"/>
          <w:color w:val="000000"/>
          <w:lang w:eastAsia="bg-BG"/>
        </w:rPr>
        <w:t>роиди, производни на пропионова киселина, АТС код: М01АЕ01</w:t>
      </w:r>
    </w:p>
    <w:p w14:paraId="1EF14568" w14:textId="77777777" w:rsidR="0013041E" w:rsidRPr="0013041E" w:rsidRDefault="0013041E" w:rsidP="0013041E">
      <w:pPr>
        <w:spacing w:line="240" w:lineRule="auto"/>
        <w:rPr>
          <w:rFonts w:eastAsia="Times New Roman" w:cs="Arial"/>
          <w:color w:val="000000"/>
          <w:u w:val="single"/>
          <w:lang w:eastAsia="bg-BG"/>
        </w:rPr>
      </w:pPr>
    </w:p>
    <w:p w14:paraId="5D624DA8" w14:textId="7AE42F23"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u w:val="single"/>
          <w:lang w:eastAsia="bg-BG"/>
        </w:rPr>
        <w:t>Механизъм на действие</w:t>
      </w:r>
    </w:p>
    <w:p w14:paraId="570F591E" w14:textId="77777777" w:rsidR="0013041E" w:rsidRPr="0013041E" w:rsidRDefault="0013041E" w:rsidP="0013041E">
      <w:pPr>
        <w:rPr>
          <w:rFonts w:eastAsia="Times New Roman" w:cs="Arial"/>
          <w:sz w:val="24"/>
          <w:szCs w:val="24"/>
          <w:lang w:eastAsia="bg-BG"/>
        </w:rPr>
      </w:pPr>
      <w:r w:rsidRPr="0013041E">
        <w:rPr>
          <w:rFonts w:eastAsia="Times New Roman" w:cs="Arial"/>
          <w:color w:val="000000"/>
          <w:lang w:eastAsia="bg-BG"/>
        </w:rPr>
        <w:t>Ибупрофен е производно на пропионовата киселина с обезболяващо, протавовъзпалително и антипиретично действие. Счита се, че терапевтичните ефекти на лекарството като НСПВС са в</w:t>
      </w:r>
      <w:r w:rsidRPr="0013041E">
        <w:rPr>
          <w:rFonts w:eastAsia="Times New Roman" w:cs="Arial"/>
          <w:color w:val="000000"/>
          <w:lang w:val="en-US" w:eastAsia="bg-BG"/>
        </w:rPr>
        <w:t xml:space="preserve"> </w:t>
      </w:r>
      <w:r w:rsidRPr="0013041E">
        <w:rPr>
          <w:rFonts w:eastAsia="Times New Roman" w:cs="Arial"/>
          <w:i/>
          <w:iCs/>
          <w:color w:val="000000"/>
          <w:lang w:eastAsia="bg-BG"/>
        </w:rPr>
        <w:t>резултат от</w:t>
      </w:r>
      <w:r w:rsidRPr="0013041E">
        <w:rPr>
          <w:rFonts w:eastAsia="Times New Roman" w:cs="Arial"/>
          <w:color w:val="000000"/>
          <w:lang w:eastAsia="bg-BG"/>
        </w:rPr>
        <w:t xml:space="preserve"> инхибиторния ефект върху ензима циклооксигеназа, което води до значително намаление на синтеза на простагландини.</w:t>
      </w:r>
    </w:p>
    <w:p w14:paraId="4D11411B" w14:textId="77777777" w:rsidR="0013041E" w:rsidRPr="0013041E" w:rsidRDefault="0013041E" w:rsidP="0013041E">
      <w:pPr>
        <w:spacing w:line="240" w:lineRule="auto"/>
        <w:rPr>
          <w:rFonts w:eastAsia="Times New Roman" w:cs="Arial"/>
          <w:color w:val="000000"/>
          <w:u w:val="single"/>
          <w:lang w:eastAsia="bg-BG"/>
        </w:rPr>
      </w:pPr>
    </w:p>
    <w:p w14:paraId="02DABFF3" w14:textId="1BD81E5B"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u w:val="single"/>
          <w:lang w:eastAsia="bg-BG"/>
        </w:rPr>
        <w:t>Клинична ефикасност и безопасност</w:t>
      </w:r>
    </w:p>
    <w:p w14:paraId="1D027DE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Експериментални данни показват, че когато се прилагат едновременно, ибупрофен конкурентно може да инхибира ефекта на ниска доза ацетилсалицилова киселина върху тромбоцитната агрегация. Някои фармакодинамични проучвания показват, че при единични дози ибупрофен 400 </w:t>
      </w:r>
      <w:r w:rsidRPr="0013041E">
        <w:rPr>
          <w:rFonts w:eastAsia="Times New Roman" w:cs="Arial"/>
          <w:color w:val="000000"/>
          <w:lang w:val="en-US"/>
        </w:rPr>
        <w:t xml:space="preserve">mg, </w:t>
      </w:r>
      <w:r w:rsidRPr="0013041E">
        <w:rPr>
          <w:rFonts w:eastAsia="Times New Roman" w:cs="Arial"/>
          <w:color w:val="000000"/>
          <w:lang w:eastAsia="bg-BG"/>
        </w:rPr>
        <w:t xml:space="preserve">взети в рамките на 8 часа преди или до 30 минути след доза ацетилсалицилова киселина с незабавно освобождаване (81 </w:t>
      </w:r>
      <w:r w:rsidRPr="0013041E">
        <w:rPr>
          <w:rFonts w:eastAsia="Times New Roman" w:cs="Arial"/>
          <w:color w:val="000000"/>
          <w:lang w:val="en-US"/>
        </w:rPr>
        <w:t xml:space="preserve">mg), </w:t>
      </w:r>
      <w:r w:rsidRPr="0013041E">
        <w:rPr>
          <w:rFonts w:eastAsia="Times New Roman" w:cs="Arial"/>
          <w:color w:val="000000"/>
          <w:lang w:eastAsia="bg-BG"/>
        </w:rPr>
        <w:t>се намалява ефекта на ацетилсалициловата киселина върху образуването на тромбоксан или тромбоцитната агрегация. Въпреки че има несигурност по отношение на екстраполацията на тези данни към клиничната ситуация, не може да се изключи възможността редовната, дългосрочна употреба на ибупрофен да намали кардиопротекторния ефект на ниска доза ацетилсалицилова киселина. Не се счита вероятно употребата на ибупрофен от време на време да доведе до някакъв клинично значим ефект (вж. точка 4.5).</w:t>
      </w:r>
    </w:p>
    <w:p w14:paraId="4BD3E634" w14:textId="77777777" w:rsidR="0013041E" w:rsidRDefault="0013041E" w:rsidP="0013041E"/>
    <w:p w14:paraId="5875B8AB" w14:textId="77777777" w:rsidR="0013041E" w:rsidRPr="0013041E" w:rsidRDefault="0013041E" w:rsidP="0013041E"/>
    <w:p w14:paraId="544FFDAF" w14:textId="381B076A" w:rsidR="00F62E44" w:rsidRDefault="002C50EE" w:rsidP="00387A66">
      <w:pPr>
        <w:pStyle w:val="Heading2"/>
      </w:pPr>
      <w:r>
        <w:t>5.2. Фармакокинетични свойства</w:t>
      </w:r>
    </w:p>
    <w:p w14:paraId="7FF84D1D" w14:textId="73B3490B" w:rsidR="0013041E" w:rsidRDefault="0013041E" w:rsidP="0013041E"/>
    <w:p w14:paraId="2554C652"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u w:val="single"/>
          <w:lang w:eastAsia="bg-BG"/>
        </w:rPr>
        <w:t>Абсорбция</w:t>
      </w:r>
    </w:p>
    <w:p w14:paraId="4049098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Ибупрофен се абсорбира бързо от стомашно-чревния тракт с бионаличност от 80-90%. Пикови серумни концентрации настъпват един до два часа след приложението. Ако се прилага с храна, пиковите серумни концентрации са по-ниски и се постигат по-бавно, отколкото при прием на празен стомах. Храната не повлиява значително общата бионаличност.</w:t>
      </w:r>
    </w:p>
    <w:p w14:paraId="2D84BC2E" w14:textId="77777777" w:rsidR="0013041E" w:rsidRPr="0013041E" w:rsidRDefault="0013041E" w:rsidP="0013041E">
      <w:pPr>
        <w:spacing w:line="240" w:lineRule="auto"/>
        <w:rPr>
          <w:rFonts w:eastAsia="Times New Roman" w:cs="Arial"/>
          <w:color w:val="000000"/>
          <w:u w:val="single"/>
          <w:lang w:eastAsia="bg-BG"/>
        </w:rPr>
      </w:pPr>
    </w:p>
    <w:p w14:paraId="4CFFAD20" w14:textId="3576E6E5"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u w:val="single"/>
          <w:lang w:eastAsia="bg-BG"/>
        </w:rPr>
        <w:t>Разпределение</w:t>
      </w:r>
    </w:p>
    <w:p w14:paraId="07A1951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Ибупрофен се свързва в голяма степен с плазмените протеини (99%). Ибупрофен е с малък обем на разпределение от около 0,12-0,2</w:t>
      </w:r>
      <w:r w:rsidRPr="0013041E">
        <w:rPr>
          <w:rFonts w:eastAsia="Times New Roman" w:cs="Arial"/>
          <w:color w:val="000000"/>
          <w:lang w:val="en-US"/>
        </w:rPr>
        <w:t xml:space="preserve">1/kg </w:t>
      </w:r>
      <w:r w:rsidRPr="0013041E">
        <w:rPr>
          <w:rFonts w:eastAsia="Times New Roman" w:cs="Arial"/>
          <w:color w:val="000000"/>
          <w:lang w:eastAsia="bg-BG"/>
        </w:rPr>
        <w:t>при възрастни.</w:t>
      </w:r>
    </w:p>
    <w:p w14:paraId="5C2A1B90" w14:textId="77777777" w:rsidR="0013041E" w:rsidRPr="0013041E" w:rsidRDefault="0013041E" w:rsidP="0013041E">
      <w:pPr>
        <w:spacing w:line="240" w:lineRule="auto"/>
        <w:rPr>
          <w:rFonts w:eastAsia="Times New Roman" w:cs="Arial"/>
          <w:color w:val="000000"/>
          <w:u w:val="single"/>
          <w:lang w:eastAsia="bg-BG"/>
        </w:rPr>
      </w:pPr>
    </w:p>
    <w:p w14:paraId="5CE185D8" w14:textId="5833F425"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u w:val="single"/>
          <w:lang w:eastAsia="bg-BG"/>
        </w:rPr>
        <w:t>Биотрансформация</w:t>
      </w:r>
    </w:p>
    <w:p w14:paraId="52D89E4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Ибупрофен се метаболизира бързо в черния дроб чрез цитохром Р450, преференциално </w:t>
      </w:r>
      <w:r w:rsidRPr="0013041E">
        <w:rPr>
          <w:rFonts w:eastAsia="Times New Roman" w:cs="Arial"/>
          <w:color w:val="000000"/>
          <w:lang w:val="en-US"/>
        </w:rPr>
        <w:t>CYP2C9</w:t>
      </w:r>
      <w:r w:rsidRPr="0013041E">
        <w:rPr>
          <w:rFonts w:eastAsia="Times New Roman" w:cs="Arial"/>
          <w:color w:val="000000"/>
          <w:lang w:eastAsia="bg-BG"/>
        </w:rPr>
        <w:t>, до два първични неактивни метаболита, 2-хидроксиибупрофен и 3- карбоксиибупрофен. След перорално приемане на лекарството, малко по-малко от 90% от пероралната доза ибупрофен може да премине в урината като оксидативни метаболити и техните глюкуронови конюгати. Много малко количество ибупрофен се екскретира непроменен в урината.</w:t>
      </w:r>
    </w:p>
    <w:p w14:paraId="2B84EBBA" w14:textId="77777777" w:rsidR="0013041E" w:rsidRPr="0013041E" w:rsidRDefault="0013041E" w:rsidP="0013041E">
      <w:pPr>
        <w:spacing w:line="240" w:lineRule="auto"/>
        <w:rPr>
          <w:rFonts w:eastAsia="Times New Roman" w:cs="Arial"/>
          <w:color w:val="000000"/>
          <w:u w:val="single"/>
          <w:lang w:eastAsia="bg-BG"/>
        </w:rPr>
      </w:pPr>
    </w:p>
    <w:p w14:paraId="5B3D4929" w14:textId="56704146"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u w:val="single"/>
          <w:lang w:eastAsia="bg-BG"/>
        </w:rPr>
        <w:t>Елиминиране</w:t>
      </w:r>
    </w:p>
    <w:p w14:paraId="592C804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Екскрецията от бъбреците е бърза и пълна. Полуживотът на елиминиране е приблизително 2 часа. Екскрецията на ибупрофен е почти пълна 24 часа след последната доза.</w:t>
      </w:r>
    </w:p>
    <w:p w14:paraId="26AF2084" w14:textId="77777777" w:rsidR="0013041E" w:rsidRPr="0013041E" w:rsidRDefault="0013041E" w:rsidP="0013041E">
      <w:pPr>
        <w:spacing w:line="240" w:lineRule="auto"/>
        <w:rPr>
          <w:rFonts w:eastAsia="Times New Roman" w:cs="Arial"/>
          <w:i/>
          <w:iCs/>
          <w:color w:val="000000"/>
          <w:lang w:eastAsia="bg-BG"/>
        </w:rPr>
      </w:pPr>
    </w:p>
    <w:p w14:paraId="1B425AEC" w14:textId="25541B7C" w:rsidR="0013041E" w:rsidRPr="0013041E" w:rsidRDefault="0013041E" w:rsidP="0013041E">
      <w:pPr>
        <w:spacing w:line="240" w:lineRule="auto"/>
        <w:rPr>
          <w:rFonts w:eastAsia="Times New Roman" w:cs="Arial"/>
          <w:sz w:val="24"/>
          <w:szCs w:val="24"/>
          <w:lang w:eastAsia="bg-BG"/>
        </w:rPr>
      </w:pPr>
      <w:r w:rsidRPr="0013041E">
        <w:rPr>
          <w:rFonts w:eastAsia="Times New Roman" w:cs="Arial"/>
          <w:i/>
          <w:iCs/>
          <w:color w:val="000000"/>
          <w:lang w:eastAsia="bg-BG"/>
        </w:rPr>
        <w:t>Специални популации</w:t>
      </w:r>
    </w:p>
    <w:p w14:paraId="55A795F7" w14:textId="77777777" w:rsidR="0013041E" w:rsidRPr="0013041E" w:rsidRDefault="0013041E" w:rsidP="0013041E">
      <w:pPr>
        <w:spacing w:line="240" w:lineRule="auto"/>
        <w:rPr>
          <w:rFonts w:eastAsia="Times New Roman" w:cs="Arial"/>
          <w:i/>
          <w:iCs/>
          <w:color w:val="000000"/>
          <w:lang w:eastAsia="bg-BG"/>
        </w:rPr>
      </w:pPr>
    </w:p>
    <w:p w14:paraId="5BA6C083" w14:textId="277F31D6" w:rsidR="0013041E" w:rsidRPr="0013041E" w:rsidRDefault="0013041E" w:rsidP="0013041E">
      <w:pPr>
        <w:spacing w:line="240" w:lineRule="auto"/>
        <w:rPr>
          <w:rFonts w:eastAsia="Times New Roman" w:cs="Arial"/>
          <w:sz w:val="24"/>
          <w:szCs w:val="24"/>
          <w:lang w:eastAsia="bg-BG"/>
        </w:rPr>
      </w:pPr>
      <w:r w:rsidRPr="0013041E">
        <w:rPr>
          <w:rFonts w:eastAsia="Times New Roman" w:cs="Arial"/>
          <w:i/>
          <w:iCs/>
          <w:color w:val="000000"/>
          <w:lang w:eastAsia="bg-BG"/>
        </w:rPr>
        <w:t>Пациенти в старческа възраст</w:t>
      </w:r>
    </w:p>
    <w:p w14:paraId="273444F2"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При условие че не съществува бъбречно увреждане, има само малки, клинично незначителни различия във фармакокинетичния профил и екскрецията в урината между млади хора и хора в старческа възраст.</w:t>
      </w:r>
    </w:p>
    <w:p w14:paraId="06E26161" w14:textId="77777777" w:rsidR="0013041E" w:rsidRPr="0013041E" w:rsidRDefault="0013041E" w:rsidP="0013041E">
      <w:pPr>
        <w:spacing w:line="240" w:lineRule="auto"/>
        <w:rPr>
          <w:rFonts w:eastAsia="Times New Roman" w:cs="Arial"/>
          <w:i/>
          <w:iCs/>
          <w:color w:val="000000"/>
          <w:lang w:eastAsia="bg-BG"/>
        </w:rPr>
      </w:pPr>
    </w:p>
    <w:p w14:paraId="1B45CC36" w14:textId="1930F98D" w:rsidR="0013041E" w:rsidRPr="0013041E" w:rsidRDefault="0013041E" w:rsidP="0013041E">
      <w:pPr>
        <w:spacing w:line="240" w:lineRule="auto"/>
        <w:rPr>
          <w:rFonts w:eastAsia="Times New Roman" w:cs="Arial"/>
          <w:sz w:val="24"/>
          <w:szCs w:val="24"/>
          <w:lang w:eastAsia="bg-BG"/>
        </w:rPr>
      </w:pPr>
      <w:r w:rsidRPr="0013041E">
        <w:rPr>
          <w:rFonts w:eastAsia="Times New Roman" w:cs="Arial"/>
          <w:i/>
          <w:iCs/>
          <w:color w:val="000000"/>
          <w:lang w:eastAsia="bg-BG"/>
        </w:rPr>
        <w:t>Педиатрична популация</w:t>
      </w:r>
    </w:p>
    <w:p w14:paraId="5FB7F45B"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Системната експозиция на ибупрофен след коригирана спрямо теглото терапевтичн</w:t>
      </w:r>
      <w:r w:rsidRPr="0013041E">
        <w:rPr>
          <w:rFonts w:eastAsia="Times New Roman" w:cs="Arial"/>
          <w:color w:val="000000"/>
          <w:u w:val="single"/>
          <w:lang w:eastAsia="bg-BG"/>
        </w:rPr>
        <w:t xml:space="preserve">а доза </w:t>
      </w:r>
      <w:r w:rsidRPr="0013041E">
        <w:rPr>
          <w:rFonts w:eastAsia="Times New Roman" w:cs="Arial"/>
          <w:color w:val="000000"/>
          <w:lang w:eastAsia="bg-BG"/>
        </w:rPr>
        <w:t xml:space="preserve">(5 </w:t>
      </w:r>
      <w:r w:rsidRPr="0013041E">
        <w:rPr>
          <w:rFonts w:eastAsia="Times New Roman" w:cs="Arial"/>
          <w:color w:val="000000"/>
          <w:lang w:val="en-US"/>
        </w:rPr>
        <w:t xml:space="preserve">mg/kg </w:t>
      </w:r>
      <w:r w:rsidRPr="0013041E">
        <w:rPr>
          <w:rFonts w:eastAsia="Times New Roman" w:cs="Arial"/>
          <w:color w:val="000000"/>
          <w:lang w:eastAsia="bg-BG"/>
        </w:rPr>
        <w:t xml:space="preserve">до 10 </w:t>
      </w:r>
      <w:r w:rsidRPr="0013041E">
        <w:rPr>
          <w:rFonts w:eastAsia="Times New Roman" w:cs="Arial"/>
          <w:color w:val="000000"/>
          <w:lang w:val="en-US"/>
        </w:rPr>
        <w:t xml:space="preserve">mg/kg </w:t>
      </w:r>
      <w:r w:rsidRPr="0013041E">
        <w:rPr>
          <w:rFonts w:eastAsia="Times New Roman" w:cs="Arial"/>
          <w:color w:val="000000"/>
          <w:lang w:eastAsia="bg-BG"/>
        </w:rPr>
        <w:t>телесно тегло) при деца на възраст 1 година или повече на тази при възрастни.</w:t>
      </w:r>
    </w:p>
    <w:p w14:paraId="686146DD" w14:textId="77777777" w:rsidR="0013041E" w:rsidRPr="0013041E" w:rsidRDefault="0013041E" w:rsidP="0013041E">
      <w:pPr>
        <w:rPr>
          <w:rFonts w:eastAsia="Times New Roman" w:cs="Arial"/>
          <w:color w:val="000000"/>
          <w:lang w:eastAsia="bg-BG"/>
        </w:rPr>
      </w:pPr>
    </w:p>
    <w:p w14:paraId="40062069" w14:textId="76E8842B" w:rsidR="0013041E" w:rsidRPr="0013041E" w:rsidRDefault="0013041E" w:rsidP="0013041E">
      <w:pPr>
        <w:rPr>
          <w:rFonts w:eastAsia="Times New Roman" w:cs="Arial"/>
          <w:color w:val="000000"/>
          <w:lang w:eastAsia="bg-BG"/>
        </w:rPr>
      </w:pPr>
      <w:r w:rsidRPr="0013041E">
        <w:rPr>
          <w:rFonts w:eastAsia="Times New Roman" w:cs="Arial"/>
          <w:color w:val="000000"/>
          <w:lang w:eastAsia="bg-BG"/>
        </w:rPr>
        <w:t>Деца на възраст 3 месеца до 2,5 години изглежда имат по-висок обем на разпределение (</w:t>
      </w:r>
      <w:r w:rsidRPr="0013041E">
        <w:rPr>
          <w:rFonts w:eastAsia="Times New Roman" w:cs="Arial"/>
          <w:color w:val="000000"/>
          <w:lang w:val="en-US"/>
        </w:rPr>
        <w:t>l/kg)</w:t>
      </w:r>
      <w:r w:rsidRPr="0013041E">
        <w:rPr>
          <w:rFonts w:eastAsia="Times New Roman" w:cs="Arial"/>
          <w:color w:val="000000"/>
          <w:lang w:eastAsia="bg-BG"/>
        </w:rPr>
        <w:t xml:space="preserve"> и клирънс </w:t>
      </w:r>
      <w:r w:rsidRPr="0013041E">
        <w:rPr>
          <w:rFonts w:eastAsia="Times New Roman" w:cs="Arial"/>
          <w:color w:val="000000"/>
          <w:lang w:val="en-US"/>
        </w:rPr>
        <w:t xml:space="preserve">(1/kg/h) </w:t>
      </w:r>
      <w:r w:rsidRPr="0013041E">
        <w:rPr>
          <w:rFonts w:eastAsia="Times New Roman" w:cs="Arial"/>
          <w:color w:val="000000"/>
          <w:lang w:eastAsia="bg-BG"/>
        </w:rPr>
        <w:t>на ибупрофен отколкото деца &gt; 2,5 до 12-годишна възраст.</w:t>
      </w:r>
    </w:p>
    <w:p w14:paraId="51235770" w14:textId="53DE3A3B" w:rsidR="0013041E" w:rsidRPr="0013041E" w:rsidRDefault="0013041E" w:rsidP="0013041E">
      <w:pPr>
        <w:rPr>
          <w:rFonts w:eastAsia="Times New Roman" w:cs="Arial"/>
          <w:color w:val="000000"/>
          <w:lang w:eastAsia="bg-BG"/>
        </w:rPr>
      </w:pPr>
    </w:p>
    <w:p w14:paraId="5267FFE0"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i/>
          <w:iCs/>
          <w:color w:val="000000"/>
          <w:lang w:eastAsia="bg-BG"/>
        </w:rPr>
        <w:t>Бъбречно увреждане</w:t>
      </w:r>
    </w:p>
    <w:p w14:paraId="7AD00B5D"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При пациенти с леко бъбречно увреждане са съобщени увеличаване на несвързания </w:t>
      </w:r>
      <w:r w:rsidRPr="0013041E">
        <w:rPr>
          <w:rFonts w:eastAsia="Times New Roman" w:cs="Arial"/>
          <w:color w:val="000000"/>
          <w:lang w:val="en-US"/>
        </w:rPr>
        <w:t xml:space="preserve">(S)- </w:t>
      </w:r>
      <w:r w:rsidRPr="0013041E">
        <w:rPr>
          <w:rFonts w:eastAsia="Times New Roman" w:cs="Arial"/>
          <w:color w:val="000000"/>
          <w:lang w:eastAsia="bg-BG"/>
        </w:rPr>
        <w:t xml:space="preserve">ибупрофен, по-високи </w:t>
      </w:r>
      <w:r w:rsidRPr="0013041E">
        <w:rPr>
          <w:rFonts w:eastAsia="Times New Roman" w:cs="Arial"/>
          <w:color w:val="000000"/>
          <w:lang w:val="en-US"/>
        </w:rPr>
        <w:t xml:space="preserve">AUC </w:t>
      </w:r>
      <w:r w:rsidRPr="0013041E">
        <w:rPr>
          <w:rFonts w:eastAsia="Times New Roman" w:cs="Arial"/>
          <w:color w:val="000000"/>
          <w:lang w:eastAsia="bg-BG"/>
        </w:rPr>
        <w:t>стойности за (</w:t>
      </w:r>
      <w:r w:rsidRPr="0013041E">
        <w:rPr>
          <w:rFonts w:eastAsia="Times New Roman" w:cs="Arial"/>
          <w:color w:val="000000"/>
          <w:lang w:val="en-US"/>
        </w:rPr>
        <w:t>S</w:t>
      </w:r>
      <w:r w:rsidRPr="0013041E">
        <w:rPr>
          <w:rFonts w:eastAsia="Times New Roman" w:cs="Arial"/>
          <w:color w:val="000000"/>
          <w:lang w:eastAsia="bg-BG"/>
        </w:rPr>
        <w:t xml:space="preserve">)-ибупрофен и увеличаване на енантиомерните съотношения </w:t>
      </w:r>
      <w:r w:rsidRPr="0013041E">
        <w:rPr>
          <w:rFonts w:eastAsia="Times New Roman" w:cs="Arial"/>
          <w:color w:val="000000"/>
          <w:lang w:val="en-US"/>
        </w:rPr>
        <w:t xml:space="preserve">AUC (S/R) </w:t>
      </w:r>
      <w:r w:rsidRPr="0013041E">
        <w:rPr>
          <w:rFonts w:eastAsia="Times New Roman" w:cs="Arial"/>
          <w:color w:val="000000"/>
          <w:lang w:eastAsia="bg-BG"/>
        </w:rPr>
        <w:t>в сравнение със здрави контроли.</w:t>
      </w:r>
    </w:p>
    <w:p w14:paraId="373239B1" w14:textId="77777777" w:rsidR="0013041E" w:rsidRPr="0013041E" w:rsidRDefault="0013041E" w:rsidP="0013041E">
      <w:pPr>
        <w:spacing w:line="240" w:lineRule="auto"/>
        <w:rPr>
          <w:rFonts w:eastAsia="Times New Roman" w:cs="Arial"/>
          <w:color w:val="000000"/>
          <w:lang w:eastAsia="bg-BG"/>
        </w:rPr>
      </w:pPr>
    </w:p>
    <w:p w14:paraId="1A50EA92" w14:textId="311CC159"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При пациенти с краен стадий на бъбречно заболяване, получаващи диализа, средната свободна фракция на ибупрофен е около 3% в сравнение с около 1% при здрави доброволци. Тежко увреждане на бъбречната функция може да доведе до кумулиране на метаболити на ибупрофен. Значението на този ефект е неизвестно. Метаболитите могат да бъдат отстранени с хемодиализа (вж. точки 42,4.3 и 4.4).</w:t>
      </w:r>
    </w:p>
    <w:p w14:paraId="55ACC624" w14:textId="77777777" w:rsidR="0013041E" w:rsidRPr="0013041E" w:rsidRDefault="0013041E" w:rsidP="0013041E">
      <w:pPr>
        <w:spacing w:line="240" w:lineRule="auto"/>
        <w:rPr>
          <w:rFonts w:eastAsia="Times New Roman" w:cs="Arial"/>
          <w:i/>
          <w:iCs/>
          <w:color w:val="000000"/>
          <w:lang w:eastAsia="bg-BG"/>
        </w:rPr>
      </w:pPr>
    </w:p>
    <w:p w14:paraId="2D439937" w14:textId="370BAB06" w:rsidR="0013041E" w:rsidRPr="0013041E" w:rsidRDefault="0013041E" w:rsidP="0013041E">
      <w:pPr>
        <w:spacing w:line="240" w:lineRule="auto"/>
        <w:rPr>
          <w:rFonts w:eastAsia="Times New Roman" w:cs="Arial"/>
          <w:sz w:val="24"/>
          <w:szCs w:val="24"/>
          <w:lang w:eastAsia="bg-BG"/>
        </w:rPr>
      </w:pPr>
      <w:r w:rsidRPr="0013041E">
        <w:rPr>
          <w:rFonts w:eastAsia="Times New Roman" w:cs="Arial"/>
          <w:i/>
          <w:iCs/>
          <w:color w:val="000000"/>
          <w:lang w:eastAsia="bg-BG"/>
        </w:rPr>
        <w:t>Чернодробно увреждане</w:t>
      </w:r>
    </w:p>
    <w:p w14:paraId="155992F9"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Алкохолно чернодробно заболяване с леко до умерено чернодробно увреждане не води до съществено променени фармакокинетични параметри.</w:t>
      </w:r>
    </w:p>
    <w:p w14:paraId="28681295" w14:textId="77777777" w:rsidR="0013041E" w:rsidRPr="0013041E" w:rsidRDefault="0013041E" w:rsidP="0013041E">
      <w:pPr>
        <w:spacing w:line="240" w:lineRule="auto"/>
        <w:rPr>
          <w:rFonts w:eastAsia="Times New Roman" w:cs="Arial"/>
          <w:sz w:val="24"/>
          <w:szCs w:val="24"/>
          <w:lang w:eastAsia="bg-BG"/>
        </w:rPr>
      </w:pPr>
      <w:r w:rsidRPr="0013041E">
        <w:rPr>
          <w:rFonts w:eastAsia="Times New Roman" w:cs="Arial"/>
          <w:color w:val="000000"/>
          <w:lang w:eastAsia="bg-BG"/>
        </w:rPr>
        <w:t xml:space="preserve">При пациенти с цироза с умерено чернодробно увреждане (6-10 по </w:t>
      </w:r>
      <w:r w:rsidRPr="0013041E">
        <w:rPr>
          <w:rFonts w:eastAsia="Times New Roman" w:cs="Arial"/>
          <w:color w:val="000000"/>
          <w:lang w:val="en-US"/>
        </w:rPr>
        <w:t xml:space="preserve">Child Pugh), </w:t>
      </w:r>
      <w:r w:rsidRPr="0013041E">
        <w:rPr>
          <w:rFonts w:eastAsia="Times New Roman" w:cs="Arial"/>
          <w:color w:val="000000"/>
          <w:lang w:eastAsia="bg-BG"/>
        </w:rPr>
        <w:t xml:space="preserve">лекувани с рацемичен ибупрофен, се наблюдава средно 2-кратно удължаване на полуживота и енантиомерното съотношение </w:t>
      </w:r>
      <w:r w:rsidRPr="0013041E">
        <w:rPr>
          <w:rFonts w:eastAsia="Times New Roman" w:cs="Arial"/>
          <w:color w:val="000000"/>
          <w:lang w:val="en-US"/>
        </w:rPr>
        <w:t xml:space="preserve">AUC (S/R) </w:t>
      </w:r>
      <w:r w:rsidRPr="0013041E">
        <w:rPr>
          <w:rFonts w:eastAsia="Times New Roman" w:cs="Arial"/>
          <w:color w:val="000000"/>
          <w:lang w:eastAsia="bg-BG"/>
        </w:rPr>
        <w:t>е значително по-ниско в сравнение със здрави контроли, което предполага увреждане на метаболитната инверсия на (</w:t>
      </w:r>
      <w:r w:rsidRPr="0013041E">
        <w:rPr>
          <w:rFonts w:eastAsia="Times New Roman" w:cs="Arial"/>
          <w:color w:val="000000"/>
          <w:lang w:val="en-US"/>
        </w:rPr>
        <w:t>R</w:t>
      </w:r>
      <w:r w:rsidRPr="0013041E">
        <w:rPr>
          <w:rFonts w:eastAsia="Times New Roman" w:cs="Arial"/>
          <w:color w:val="000000"/>
          <w:lang w:eastAsia="bg-BG"/>
        </w:rPr>
        <w:t>)-ибупрофен до активния (</w:t>
      </w:r>
      <w:r w:rsidRPr="0013041E">
        <w:rPr>
          <w:rFonts w:eastAsia="Times New Roman" w:cs="Arial"/>
          <w:color w:val="000000"/>
          <w:lang w:val="en-US"/>
        </w:rPr>
        <w:t>S</w:t>
      </w:r>
      <w:r w:rsidRPr="0013041E">
        <w:rPr>
          <w:rFonts w:eastAsia="Times New Roman" w:cs="Arial"/>
          <w:color w:val="000000"/>
          <w:lang w:eastAsia="bg-BG"/>
        </w:rPr>
        <w:t>)-енантиомер (вж. точки 4.2,4.3 и 4.4).</w:t>
      </w:r>
    </w:p>
    <w:p w14:paraId="0F6CBB69" w14:textId="77777777" w:rsidR="0013041E" w:rsidRPr="0013041E" w:rsidRDefault="0013041E" w:rsidP="0013041E"/>
    <w:p w14:paraId="6925FEB0" w14:textId="07697DF8" w:rsidR="00F62E44" w:rsidRDefault="002C50EE" w:rsidP="00387A66">
      <w:pPr>
        <w:pStyle w:val="Heading2"/>
      </w:pPr>
      <w:r>
        <w:t>5.3. Предклинични данни за безопасност</w:t>
      </w:r>
    </w:p>
    <w:p w14:paraId="75123ACE" w14:textId="5766D504" w:rsidR="0013041E" w:rsidRDefault="0013041E" w:rsidP="0013041E"/>
    <w:p w14:paraId="1F06CEC0" w14:textId="2034CAA7" w:rsidR="0013041E" w:rsidRPr="0013041E" w:rsidRDefault="0013041E" w:rsidP="0013041E">
      <w:pPr>
        <w:rPr>
          <w:sz w:val="24"/>
          <w:szCs w:val="24"/>
          <w:lang w:eastAsia="bg-BG"/>
        </w:rPr>
      </w:pPr>
      <w:r w:rsidRPr="0013041E">
        <w:rPr>
          <w:lang w:eastAsia="bg-BG"/>
        </w:rPr>
        <w:t>Липсват предклиничнн данни от значение за оценката на безопасността, освен тези, които вече са взети под внимание в тази кратка характеристика на продукта.</w:t>
      </w:r>
    </w:p>
    <w:p w14:paraId="357049A8" w14:textId="78009DAF" w:rsidR="00BB22B4" w:rsidRDefault="002C50EE" w:rsidP="00471F10">
      <w:pPr>
        <w:pStyle w:val="Heading1"/>
      </w:pPr>
      <w:r>
        <w:t>7. ПРИТЕЖАТЕЛ НА РАЗРЕШЕНИЕТО ЗА УПОТРЕБА</w:t>
      </w:r>
    </w:p>
    <w:p w14:paraId="4AAE3883" w14:textId="18BACFD6" w:rsidR="0013041E" w:rsidRDefault="0013041E" w:rsidP="0013041E"/>
    <w:p w14:paraId="2D082B0D" w14:textId="77777777" w:rsidR="0013041E" w:rsidRPr="0013041E" w:rsidRDefault="0013041E" w:rsidP="0013041E">
      <w:pPr>
        <w:rPr>
          <w:sz w:val="24"/>
          <w:szCs w:val="24"/>
          <w:lang w:val="en-US" w:eastAsia="bg-BG"/>
        </w:rPr>
      </w:pPr>
      <w:r w:rsidRPr="0013041E">
        <w:rPr>
          <w:lang w:val="en-US"/>
        </w:rPr>
        <w:t xml:space="preserve">ALKALOID-INT d.o.o., </w:t>
      </w:r>
      <w:proofErr w:type="spellStart"/>
      <w:r w:rsidRPr="0013041E">
        <w:rPr>
          <w:lang w:val="en-US"/>
        </w:rPr>
        <w:t>Slandrova</w:t>
      </w:r>
      <w:proofErr w:type="spellEnd"/>
      <w:r w:rsidRPr="0013041E">
        <w:rPr>
          <w:lang w:val="en-US"/>
        </w:rPr>
        <w:t xml:space="preserve"> </w:t>
      </w:r>
      <w:proofErr w:type="spellStart"/>
      <w:r w:rsidRPr="0013041E">
        <w:rPr>
          <w:lang w:val="en-US"/>
        </w:rPr>
        <w:t>ulica</w:t>
      </w:r>
      <w:proofErr w:type="spellEnd"/>
      <w:r w:rsidRPr="0013041E">
        <w:rPr>
          <w:lang w:val="en-US"/>
        </w:rPr>
        <w:t xml:space="preserve"> </w:t>
      </w:r>
      <w:r w:rsidRPr="0013041E">
        <w:rPr>
          <w:lang w:eastAsia="bg-BG"/>
        </w:rPr>
        <w:t xml:space="preserve">4, 1231 </w:t>
      </w:r>
      <w:r w:rsidRPr="0013041E">
        <w:rPr>
          <w:lang w:val="en-US"/>
        </w:rPr>
        <w:t xml:space="preserve">Ljubljana </w:t>
      </w:r>
      <w:r w:rsidRPr="0013041E">
        <w:rPr>
          <w:lang w:eastAsia="bg-BG"/>
        </w:rPr>
        <w:t xml:space="preserve">- </w:t>
      </w:r>
      <w:proofErr w:type="spellStart"/>
      <w:r w:rsidRPr="0013041E">
        <w:rPr>
          <w:lang w:val="en-US"/>
        </w:rPr>
        <w:t>Cmuce</w:t>
      </w:r>
      <w:proofErr w:type="spellEnd"/>
    </w:p>
    <w:p w14:paraId="2D684AAB" w14:textId="77777777" w:rsidR="0013041E" w:rsidRPr="0013041E" w:rsidRDefault="0013041E" w:rsidP="0013041E">
      <w:pPr>
        <w:rPr>
          <w:sz w:val="24"/>
          <w:szCs w:val="24"/>
          <w:lang w:val="en-US" w:eastAsia="bg-BG"/>
        </w:rPr>
      </w:pPr>
      <w:r w:rsidRPr="0013041E">
        <w:rPr>
          <w:lang w:eastAsia="bg-BG"/>
        </w:rPr>
        <w:lastRenderedPageBreak/>
        <w:t>Словения</w:t>
      </w:r>
    </w:p>
    <w:p w14:paraId="15055DC3" w14:textId="77777777" w:rsidR="0013041E" w:rsidRPr="0013041E" w:rsidRDefault="0013041E" w:rsidP="0013041E">
      <w:pPr>
        <w:rPr>
          <w:sz w:val="24"/>
          <w:szCs w:val="24"/>
          <w:lang w:val="en-US" w:eastAsia="bg-BG"/>
        </w:rPr>
      </w:pPr>
      <w:r w:rsidRPr="0013041E">
        <w:rPr>
          <w:lang w:eastAsia="bg-BG"/>
        </w:rPr>
        <w:t>тел.:</w:t>
      </w:r>
      <w:r w:rsidRPr="0013041E">
        <w:rPr>
          <w:lang w:val="en-US"/>
        </w:rPr>
        <w:t>+ 386 1 300 42 90</w:t>
      </w:r>
    </w:p>
    <w:p w14:paraId="09EABAF0" w14:textId="77777777" w:rsidR="0013041E" w:rsidRPr="0013041E" w:rsidRDefault="0013041E" w:rsidP="0013041E">
      <w:pPr>
        <w:rPr>
          <w:sz w:val="24"/>
          <w:szCs w:val="24"/>
          <w:lang w:val="en-US" w:eastAsia="bg-BG"/>
        </w:rPr>
      </w:pPr>
      <w:r w:rsidRPr="0013041E">
        <w:rPr>
          <w:lang w:eastAsia="bg-BG"/>
        </w:rPr>
        <w:t>факс:</w:t>
      </w:r>
      <w:r w:rsidRPr="0013041E">
        <w:rPr>
          <w:lang w:val="en-US"/>
        </w:rPr>
        <w:t xml:space="preserve">+ 386 </w:t>
      </w:r>
      <w:r w:rsidRPr="0013041E">
        <w:rPr>
          <w:lang w:eastAsia="bg-BG"/>
        </w:rPr>
        <w:t>1 300 42 91</w:t>
      </w:r>
    </w:p>
    <w:p w14:paraId="51C3FAD7" w14:textId="0D124C67" w:rsidR="0013041E" w:rsidRPr="0013041E" w:rsidRDefault="0013041E" w:rsidP="0013041E">
      <w:r w:rsidRPr="0013041E">
        <w:rPr>
          <w:lang w:eastAsia="bg-BG"/>
        </w:rPr>
        <w:t xml:space="preserve">имейл: </w:t>
      </w:r>
      <w:hyperlink r:id="rId5" w:history="1">
        <w:r w:rsidRPr="0013041E">
          <w:rPr>
            <w:lang w:val="en-US"/>
          </w:rPr>
          <w:t>info@alkaloid.si</w:t>
        </w:r>
      </w:hyperlink>
    </w:p>
    <w:p w14:paraId="0A53321D" w14:textId="74FBD4FB" w:rsidR="00EE6C97" w:rsidRDefault="00936AD0" w:rsidP="00A93499">
      <w:pPr>
        <w:pStyle w:val="Heading1"/>
      </w:pPr>
      <w:r>
        <w:t>8.</w:t>
      </w:r>
      <w:r w:rsidR="002C50EE">
        <w:t>НОМЕР НА РАЗРЕШЕНИЕТО ЗА УПОТРЕБА</w:t>
      </w:r>
    </w:p>
    <w:p w14:paraId="7A1D45AF" w14:textId="77777777" w:rsidR="0013041E" w:rsidRDefault="0013041E" w:rsidP="0013041E">
      <w:pPr>
        <w:spacing w:line="240" w:lineRule="auto"/>
        <w:rPr>
          <w:rFonts w:ascii="Times New Roman" w:eastAsia="Times New Roman" w:hAnsi="Times New Roman" w:cs="Times New Roman"/>
          <w:color w:val="000000"/>
          <w:lang w:eastAsia="bg-BG"/>
        </w:rPr>
      </w:pPr>
    </w:p>
    <w:p w14:paraId="047327A9" w14:textId="426ACA70" w:rsidR="0013041E" w:rsidRPr="0013041E" w:rsidRDefault="0013041E" w:rsidP="0013041E">
      <w:pPr>
        <w:rPr>
          <w:sz w:val="24"/>
          <w:szCs w:val="24"/>
          <w:lang w:eastAsia="bg-BG"/>
        </w:rPr>
      </w:pPr>
      <w:r w:rsidRPr="0013041E">
        <w:rPr>
          <w:lang w:eastAsia="bg-BG"/>
        </w:rPr>
        <w:t xml:space="preserve">БлокМАКС 200 </w:t>
      </w:r>
      <w:r w:rsidRPr="0013041E">
        <w:rPr>
          <w:lang w:val="en-US"/>
        </w:rPr>
        <w:t xml:space="preserve">mg </w:t>
      </w:r>
      <w:r w:rsidRPr="0013041E">
        <w:rPr>
          <w:lang w:eastAsia="bg-BG"/>
        </w:rPr>
        <w:t>филмирани таблетки</w:t>
      </w:r>
      <w:r>
        <w:rPr>
          <w:lang w:val="en-US" w:eastAsia="bg-BG"/>
        </w:rPr>
        <w:t xml:space="preserve"> </w:t>
      </w:r>
      <w:r w:rsidRPr="0013041E">
        <w:rPr>
          <w:lang w:val="en-US"/>
        </w:rPr>
        <w:t xml:space="preserve">Per. </w:t>
      </w:r>
      <w:r w:rsidRPr="0013041E">
        <w:rPr>
          <w:lang w:eastAsia="bg-BG"/>
        </w:rPr>
        <w:t>№ 20160130</w:t>
      </w:r>
    </w:p>
    <w:p w14:paraId="7C2688F5" w14:textId="50C51E9D" w:rsidR="00F62E44" w:rsidRDefault="0013041E" w:rsidP="0013041E">
      <w:r w:rsidRPr="0013041E">
        <w:rPr>
          <w:lang w:eastAsia="bg-BG"/>
        </w:rPr>
        <w:t xml:space="preserve">БлокМАКС форте 400 </w:t>
      </w:r>
      <w:r w:rsidRPr="0013041E">
        <w:rPr>
          <w:lang w:val="en-US"/>
        </w:rPr>
        <w:t xml:space="preserve">mg </w:t>
      </w:r>
      <w:r w:rsidRPr="0013041E">
        <w:rPr>
          <w:lang w:eastAsia="bg-BG"/>
        </w:rPr>
        <w:t xml:space="preserve">филмирани таблетки </w:t>
      </w:r>
      <w:r w:rsidRPr="0013041E">
        <w:rPr>
          <w:lang w:val="en-US"/>
        </w:rPr>
        <w:t xml:space="preserve">Per. </w:t>
      </w:r>
      <w:r w:rsidRPr="0013041E">
        <w:rPr>
          <w:lang w:eastAsia="bg-BG"/>
        </w:rPr>
        <w:t>№ 20160131</w:t>
      </w:r>
    </w:p>
    <w:p w14:paraId="00481C21" w14:textId="3B6C5477" w:rsidR="00F62E44" w:rsidRDefault="002C50EE" w:rsidP="00387A66">
      <w:pPr>
        <w:pStyle w:val="Heading1"/>
      </w:pPr>
      <w:r>
        <w:t>9. ДАТА НА ПЪРВО РАЗРЕШАВАНЕ/ПОДНОВЯВАНЕ НА РАЗРЕШЕНИЕТО ЗА УПОТРЕБА</w:t>
      </w:r>
    </w:p>
    <w:p w14:paraId="45F13252" w14:textId="51244C81" w:rsidR="0013041E" w:rsidRDefault="0013041E" w:rsidP="0013041E"/>
    <w:p w14:paraId="1D548CCA" w14:textId="77777777" w:rsidR="0013041E" w:rsidRPr="0013041E" w:rsidRDefault="0013041E" w:rsidP="0013041E">
      <w:pPr>
        <w:rPr>
          <w:sz w:val="24"/>
          <w:szCs w:val="24"/>
          <w:lang w:eastAsia="bg-BG"/>
        </w:rPr>
      </w:pPr>
      <w:r w:rsidRPr="0013041E">
        <w:rPr>
          <w:lang w:eastAsia="bg-BG"/>
        </w:rPr>
        <w:t>Дата на първо разрешаване: 20 Април 2016</w:t>
      </w:r>
    </w:p>
    <w:p w14:paraId="7897CD19" w14:textId="7EAE6DC6" w:rsidR="0013041E" w:rsidRPr="0013041E" w:rsidRDefault="0013041E" w:rsidP="0013041E">
      <w:pPr>
        <w:rPr>
          <w:sz w:val="24"/>
          <w:szCs w:val="24"/>
          <w:lang w:eastAsia="bg-BG"/>
        </w:rPr>
      </w:pPr>
      <w:r w:rsidRPr="0013041E">
        <w:rPr>
          <w:lang w:eastAsia="bg-BG"/>
        </w:rPr>
        <w:t>Дата на последно подновяване: 25 Септември 2020</w:t>
      </w:r>
    </w:p>
    <w:p w14:paraId="43FB38A2" w14:textId="0C18A683" w:rsidR="007C605B" w:rsidRDefault="002C50EE" w:rsidP="005726E3">
      <w:pPr>
        <w:pStyle w:val="Heading1"/>
      </w:pPr>
      <w:r>
        <w:t>10. ДАТА НА АКТУАЛИЗИРАНЕ НА ТЕКСТА</w:t>
      </w:r>
      <w:bookmarkEnd w:id="0"/>
    </w:p>
    <w:p w14:paraId="472617BD" w14:textId="784CECB4" w:rsidR="00BB22B4" w:rsidRPr="00BB22B4" w:rsidRDefault="0013041E" w:rsidP="0013041E">
      <w:r>
        <w:t>11/2020</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A7D55"/>
    <w:multiLevelType w:val="hybridMultilevel"/>
    <w:tmpl w:val="F15CF0B4"/>
    <w:lvl w:ilvl="0" w:tplc="1256DB34">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5"/>
  </w:num>
  <w:num w:numId="28" w16cid:durableId="1820733422">
    <w:abstractNumId w:val="7"/>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8"/>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1266302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3041E"/>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25150"/>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kaloid.s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5452</Words>
  <Characters>31078</Characters>
  <Application>Microsoft Office Word</Application>
  <DocSecurity>0</DocSecurity>
  <Lines>258</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2023-02-04T19:54:00Z</dcterms:created>
  <dcterms:modified xsi:type="dcterms:W3CDTF">2023-02-04T19:54:00Z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