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79DD287A" w14:textId="77777777" w:rsidR="00772215" w:rsidRPr="00284CCB" w:rsidRDefault="00772215" w:rsidP="00772215">
      <w:pPr>
        <w:spacing w:line="240" w:lineRule="auto"/>
        <w:rPr>
          <w:rFonts w:eastAsia="Times New Roman" w:cs="Arial"/>
          <w:sz w:val="28"/>
          <w:szCs w:val="24"/>
          <w:lang w:val="ru-RU" w:eastAsia="bg-BG"/>
        </w:rPr>
      </w:pP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3,5 </w:t>
      </w:r>
      <w:r w:rsidRPr="00772215">
        <w:rPr>
          <w:rFonts w:eastAsia="Times New Roman" w:cs="Arial"/>
          <w:color w:val="000000"/>
          <w:szCs w:val="20"/>
          <w:lang w:val="en-US"/>
        </w:rPr>
        <w:t>mg</w:t>
      </w:r>
      <w:r w:rsidRPr="00284CCB">
        <w:rPr>
          <w:rFonts w:eastAsia="Times New Roman" w:cs="Arial"/>
          <w:color w:val="000000"/>
          <w:szCs w:val="20"/>
          <w:lang w:val="ru-RU"/>
        </w:rPr>
        <w:t xml:space="preserve"> </w:t>
      </w:r>
      <w:r w:rsidRPr="00772215">
        <w:rPr>
          <w:rFonts w:eastAsia="Times New Roman" w:cs="Arial"/>
          <w:color w:val="000000"/>
          <w:szCs w:val="20"/>
          <w:lang w:eastAsia="bg-BG"/>
        </w:rPr>
        <w:t>прах за инжекционен разтвор</w:t>
      </w:r>
    </w:p>
    <w:p w14:paraId="246FE31C" w14:textId="77777777" w:rsidR="00772215" w:rsidRPr="00284CCB" w:rsidRDefault="00772215" w:rsidP="00772215">
      <w:pPr>
        <w:rPr>
          <w:rFonts w:eastAsia="Times New Roman" w:cs="Arial"/>
          <w:color w:val="000000"/>
          <w:szCs w:val="20"/>
          <w:lang w:val="ru-RU"/>
        </w:rPr>
      </w:pPr>
    </w:p>
    <w:p w14:paraId="69AC8148" w14:textId="6635439E" w:rsidR="00EC41ED" w:rsidRPr="00772215" w:rsidRDefault="00772215" w:rsidP="00772215">
      <w:pPr>
        <w:rPr>
          <w:rFonts w:cs="Arial"/>
          <w:sz w:val="24"/>
        </w:rPr>
      </w:pPr>
      <w:proofErr w:type="spellStart"/>
      <w:r w:rsidRPr="00772215">
        <w:rPr>
          <w:rFonts w:eastAsia="Times New Roman" w:cs="Arial"/>
          <w:color w:val="000000"/>
          <w:szCs w:val="20"/>
          <w:lang w:val="en-US"/>
        </w:rPr>
        <w:t>Bortezocon</w:t>
      </w:r>
      <w:proofErr w:type="spellEnd"/>
      <w:r w:rsidRPr="00772215">
        <w:rPr>
          <w:rFonts w:eastAsia="Times New Roman" w:cs="Arial"/>
          <w:color w:val="000000"/>
          <w:szCs w:val="20"/>
          <w:lang w:val="en-US"/>
        </w:rPr>
        <w:t xml:space="preserve"> </w:t>
      </w:r>
      <w:r w:rsidRPr="00772215">
        <w:rPr>
          <w:rFonts w:eastAsia="Times New Roman" w:cs="Arial"/>
          <w:color w:val="000000"/>
          <w:szCs w:val="20"/>
          <w:lang w:eastAsia="bg-BG"/>
        </w:rPr>
        <w:t xml:space="preserve">3,5 </w:t>
      </w:r>
      <w:r w:rsidRPr="00772215">
        <w:rPr>
          <w:rFonts w:eastAsia="Times New Roman" w:cs="Arial"/>
          <w:color w:val="000000"/>
          <w:szCs w:val="20"/>
          <w:lang w:val="en-US"/>
        </w:rPr>
        <w:t>mg powder for solution for injection</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08C20979" w14:textId="77777777"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 xml:space="preserve">Всеки флакон съдържа 3,5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proofErr w:type="spellStart"/>
      <w:r w:rsidRPr="00772215">
        <w:rPr>
          <w:rFonts w:eastAsia="Times New Roman" w:cs="Arial"/>
          <w:color w:val="000000"/>
          <w:szCs w:val="20"/>
          <w:lang w:eastAsia="bg-BG"/>
        </w:rPr>
        <w:t>бортезомиб</w:t>
      </w:r>
      <w:proofErr w:type="spellEnd"/>
      <w:r w:rsidRPr="00772215">
        <w:rPr>
          <w:rFonts w:eastAsia="Times New Roman" w:cs="Arial"/>
          <w:color w:val="000000"/>
          <w:szCs w:val="20"/>
          <w:lang w:eastAsia="bg-BG"/>
        </w:rPr>
        <w:t xml:space="preserve"> </w:t>
      </w:r>
      <w:r w:rsidRPr="00FD4C98">
        <w:rPr>
          <w:rFonts w:eastAsia="Times New Roman" w:cs="Arial"/>
          <w:i/>
          <w:iCs/>
          <w:color w:val="000000"/>
          <w:szCs w:val="20"/>
          <w:lang w:val="ru-RU"/>
        </w:rPr>
        <w:t>(</w:t>
      </w:r>
      <w:r w:rsidRPr="00772215">
        <w:rPr>
          <w:rFonts w:eastAsia="Times New Roman" w:cs="Arial"/>
          <w:i/>
          <w:iCs/>
          <w:color w:val="000000"/>
          <w:szCs w:val="20"/>
          <w:lang w:val="en-US"/>
        </w:rPr>
        <w:t>bortezomib</w:t>
      </w:r>
      <w:r w:rsidRPr="00FD4C98">
        <w:rPr>
          <w:rFonts w:eastAsia="Times New Roman" w:cs="Arial"/>
          <w:i/>
          <w:iCs/>
          <w:color w:val="000000"/>
          <w:szCs w:val="20"/>
          <w:lang w:val="ru-RU"/>
        </w:rPr>
        <w:t>).</w:t>
      </w:r>
    </w:p>
    <w:p w14:paraId="5D278497" w14:textId="77777777" w:rsidR="00772215" w:rsidRPr="00772215" w:rsidRDefault="00772215" w:rsidP="00772215">
      <w:pPr>
        <w:spacing w:line="240" w:lineRule="auto"/>
        <w:rPr>
          <w:rFonts w:eastAsia="Times New Roman" w:cs="Arial"/>
          <w:color w:val="000000"/>
          <w:szCs w:val="20"/>
          <w:lang w:eastAsia="bg-BG"/>
        </w:rPr>
      </w:pPr>
    </w:p>
    <w:p w14:paraId="16F21651" w14:textId="7F6191E9"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 xml:space="preserve">След разтваряне, 1 </w:t>
      </w:r>
      <w:r w:rsidRPr="00772215">
        <w:rPr>
          <w:rFonts w:eastAsia="Times New Roman" w:cs="Arial"/>
          <w:color w:val="000000"/>
          <w:szCs w:val="20"/>
          <w:lang w:val="en-US"/>
        </w:rPr>
        <w:t>ml</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от инжекционния разтвор за подкожно приложение съдържа 2,5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proofErr w:type="spellStart"/>
      <w:r w:rsidRPr="00772215">
        <w:rPr>
          <w:rFonts w:eastAsia="Times New Roman" w:cs="Arial"/>
          <w:color w:val="000000"/>
          <w:szCs w:val="20"/>
          <w:lang w:eastAsia="bg-BG"/>
        </w:rPr>
        <w:t>бортезомиб</w:t>
      </w:r>
      <w:proofErr w:type="spellEnd"/>
      <w:r w:rsidRPr="00772215">
        <w:rPr>
          <w:rFonts w:eastAsia="Times New Roman" w:cs="Arial"/>
          <w:color w:val="000000"/>
          <w:szCs w:val="20"/>
          <w:lang w:eastAsia="bg-BG"/>
        </w:rPr>
        <w:t>.</w:t>
      </w:r>
    </w:p>
    <w:p w14:paraId="08426D19" w14:textId="77777777" w:rsidR="00772215" w:rsidRPr="00772215" w:rsidRDefault="00772215" w:rsidP="00772215">
      <w:pPr>
        <w:spacing w:line="240" w:lineRule="auto"/>
        <w:rPr>
          <w:rFonts w:eastAsia="Times New Roman" w:cs="Arial"/>
          <w:color w:val="000000"/>
          <w:szCs w:val="20"/>
          <w:lang w:eastAsia="bg-BG"/>
        </w:rPr>
      </w:pPr>
    </w:p>
    <w:p w14:paraId="604ECD1B" w14:textId="501672E4"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 xml:space="preserve">След разтваряне, 1 </w:t>
      </w:r>
      <w:r w:rsidRPr="00772215">
        <w:rPr>
          <w:rFonts w:eastAsia="Times New Roman" w:cs="Arial"/>
          <w:color w:val="000000"/>
          <w:szCs w:val="20"/>
          <w:lang w:val="en-US"/>
        </w:rPr>
        <w:t>ml</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от инжекционния разтвор за </w:t>
      </w:r>
      <w:proofErr w:type="spellStart"/>
      <w:r w:rsidRPr="00772215">
        <w:rPr>
          <w:rFonts w:eastAsia="Times New Roman" w:cs="Arial"/>
          <w:color w:val="000000"/>
          <w:szCs w:val="20"/>
          <w:lang w:eastAsia="bg-BG"/>
        </w:rPr>
        <w:t>интравеяозно</w:t>
      </w:r>
      <w:proofErr w:type="spellEnd"/>
      <w:r w:rsidRPr="00772215">
        <w:rPr>
          <w:rFonts w:eastAsia="Times New Roman" w:cs="Arial"/>
          <w:color w:val="000000"/>
          <w:szCs w:val="20"/>
          <w:lang w:eastAsia="bg-BG"/>
        </w:rPr>
        <w:t xml:space="preserve"> приложение съдържа 1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proofErr w:type="spellStart"/>
      <w:r w:rsidRPr="00772215">
        <w:rPr>
          <w:rFonts w:eastAsia="Times New Roman" w:cs="Arial"/>
          <w:color w:val="000000"/>
          <w:szCs w:val="20"/>
          <w:lang w:eastAsia="bg-BG"/>
        </w:rPr>
        <w:t>бортезомиб</w:t>
      </w:r>
      <w:proofErr w:type="spellEnd"/>
      <w:r w:rsidRPr="00772215">
        <w:rPr>
          <w:rFonts w:eastAsia="Times New Roman" w:cs="Arial"/>
          <w:color w:val="000000"/>
          <w:szCs w:val="20"/>
          <w:lang w:eastAsia="bg-BG"/>
        </w:rPr>
        <w:t>.</w:t>
      </w:r>
    </w:p>
    <w:p w14:paraId="45704706" w14:textId="77777777" w:rsidR="00772215" w:rsidRPr="00772215" w:rsidRDefault="00772215" w:rsidP="00772215">
      <w:pPr>
        <w:rPr>
          <w:rFonts w:eastAsia="Times New Roman" w:cs="Arial"/>
          <w:color w:val="000000"/>
          <w:szCs w:val="20"/>
          <w:lang w:eastAsia="bg-BG"/>
        </w:rPr>
      </w:pPr>
    </w:p>
    <w:p w14:paraId="54632B43" w14:textId="35A63C9E" w:rsidR="00EC41ED" w:rsidRPr="00772215" w:rsidRDefault="00772215" w:rsidP="00772215">
      <w:pPr>
        <w:rPr>
          <w:rFonts w:cs="Arial"/>
          <w:sz w:val="24"/>
        </w:rPr>
      </w:pPr>
      <w:r w:rsidRPr="00772215">
        <w:rPr>
          <w:rFonts w:eastAsia="Times New Roman" w:cs="Arial"/>
          <w:color w:val="000000"/>
          <w:szCs w:val="20"/>
          <w:lang w:eastAsia="bg-BG"/>
        </w:rPr>
        <w:t xml:space="preserve">За пълния </w:t>
      </w:r>
      <w:r w:rsidRPr="00772215">
        <w:rPr>
          <w:rFonts w:eastAsia="Times New Roman" w:cs="Arial"/>
          <w:i/>
          <w:iCs/>
          <w:color w:val="000000"/>
          <w:szCs w:val="20"/>
          <w:lang w:eastAsia="bg-BG"/>
        </w:rPr>
        <w:t>списък</w:t>
      </w:r>
      <w:r w:rsidRPr="00772215">
        <w:rPr>
          <w:rFonts w:eastAsia="Times New Roman" w:cs="Arial"/>
          <w:color w:val="000000"/>
          <w:szCs w:val="20"/>
          <w:lang w:eastAsia="bg-BG"/>
        </w:rPr>
        <w:t xml:space="preserve">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32C05DC1" w14:textId="77777777"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Прах за инжекционен разтвор.</w:t>
      </w:r>
    </w:p>
    <w:p w14:paraId="743244F0" w14:textId="18D97687" w:rsidR="00EC41ED" w:rsidRPr="00772215" w:rsidRDefault="00772215" w:rsidP="00772215">
      <w:pPr>
        <w:rPr>
          <w:rFonts w:cs="Arial"/>
          <w:sz w:val="24"/>
        </w:rPr>
      </w:pPr>
      <w:r w:rsidRPr="00772215">
        <w:rPr>
          <w:rFonts w:eastAsia="Times New Roman" w:cs="Arial"/>
          <w:color w:val="000000"/>
          <w:szCs w:val="20"/>
          <w:lang w:eastAsia="bg-BG"/>
        </w:rPr>
        <w:t>Бяла до почти бяла компактна маса или прах.</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293D6531" w14:textId="77777777"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като </w:t>
      </w:r>
      <w:proofErr w:type="spellStart"/>
      <w:r w:rsidRPr="00772215">
        <w:rPr>
          <w:rFonts w:eastAsia="Times New Roman" w:cs="Arial"/>
          <w:color w:val="000000"/>
          <w:szCs w:val="20"/>
          <w:lang w:eastAsia="bg-BG"/>
        </w:rPr>
        <w:t>монотерапия</w:t>
      </w:r>
      <w:proofErr w:type="spellEnd"/>
      <w:r w:rsidRPr="00772215">
        <w:rPr>
          <w:rFonts w:eastAsia="Times New Roman" w:cs="Arial"/>
          <w:color w:val="000000"/>
          <w:szCs w:val="20"/>
          <w:lang w:eastAsia="bg-BG"/>
        </w:rPr>
        <w:t xml:space="preserve"> или в комбинация с </w:t>
      </w:r>
      <w:proofErr w:type="spellStart"/>
      <w:r w:rsidRPr="00772215">
        <w:rPr>
          <w:rFonts w:eastAsia="Times New Roman" w:cs="Arial"/>
          <w:color w:val="000000"/>
          <w:szCs w:val="20"/>
          <w:lang w:eastAsia="bg-BG"/>
        </w:rPr>
        <w:t>пегилиран</w:t>
      </w:r>
      <w:proofErr w:type="spellEnd"/>
      <w:r w:rsidRPr="00772215">
        <w:rPr>
          <w:rFonts w:eastAsia="Times New Roman" w:cs="Arial"/>
          <w:color w:val="000000"/>
          <w:szCs w:val="20"/>
          <w:lang w:eastAsia="bg-BG"/>
        </w:rPr>
        <w:t xml:space="preserve"> </w:t>
      </w:r>
      <w:proofErr w:type="spellStart"/>
      <w:r w:rsidRPr="00772215">
        <w:rPr>
          <w:rFonts w:eastAsia="Times New Roman" w:cs="Arial"/>
          <w:color w:val="000000"/>
          <w:szCs w:val="20"/>
          <w:lang w:eastAsia="bg-BG"/>
        </w:rPr>
        <w:t>липозомен</w:t>
      </w:r>
      <w:proofErr w:type="spellEnd"/>
      <w:r w:rsidRPr="00772215">
        <w:rPr>
          <w:rFonts w:eastAsia="Times New Roman" w:cs="Arial"/>
          <w:color w:val="000000"/>
          <w:szCs w:val="20"/>
          <w:lang w:eastAsia="bg-BG"/>
        </w:rPr>
        <w:t xml:space="preserve"> </w:t>
      </w:r>
      <w:proofErr w:type="spellStart"/>
      <w:r w:rsidRPr="00772215">
        <w:rPr>
          <w:rFonts w:eastAsia="Times New Roman" w:cs="Arial"/>
          <w:color w:val="000000"/>
          <w:szCs w:val="20"/>
          <w:lang w:eastAsia="bg-BG"/>
        </w:rPr>
        <w:t>доксорубицин</w:t>
      </w:r>
      <w:proofErr w:type="spellEnd"/>
      <w:r w:rsidRPr="00772215">
        <w:rPr>
          <w:rFonts w:eastAsia="Times New Roman" w:cs="Arial"/>
          <w:color w:val="000000"/>
          <w:szCs w:val="20"/>
          <w:lang w:eastAsia="bg-BG"/>
        </w:rPr>
        <w:t xml:space="preserve"> или </w:t>
      </w:r>
      <w:proofErr w:type="spellStart"/>
      <w:r w:rsidRPr="00772215">
        <w:rPr>
          <w:rFonts w:eastAsia="Times New Roman" w:cs="Arial"/>
          <w:color w:val="000000"/>
          <w:szCs w:val="20"/>
          <w:lang w:eastAsia="bg-BG"/>
        </w:rPr>
        <w:t>дексаметазон</w:t>
      </w:r>
      <w:proofErr w:type="spellEnd"/>
      <w:r w:rsidRPr="00772215">
        <w:rPr>
          <w:rFonts w:eastAsia="Times New Roman" w:cs="Arial"/>
          <w:color w:val="000000"/>
          <w:szCs w:val="20"/>
          <w:lang w:eastAsia="bg-BG"/>
        </w:rPr>
        <w:t xml:space="preserve"> е показан за лечение на прогресиращ </w:t>
      </w:r>
      <w:proofErr w:type="spellStart"/>
      <w:r w:rsidRPr="00772215">
        <w:rPr>
          <w:rFonts w:eastAsia="Times New Roman" w:cs="Arial"/>
          <w:color w:val="000000"/>
          <w:szCs w:val="20"/>
          <w:lang w:eastAsia="bg-BG"/>
        </w:rPr>
        <w:t>мултиялен</w:t>
      </w:r>
      <w:proofErr w:type="spellEnd"/>
      <w:r w:rsidRPr="00772215">
        <w:rPr>
          <w:rFonts w:eastAsia="Times New Roman" w:cs="Arial"/>
          <w:color w:val="000000"/>
          <w:szCs w:val="20"/>
          <w:lang w:eastAsia="bg-BG"/>
        </w:rPr>
        <w:t xml:space="preserve"> миелом при възрастни пациенти, които са получили поне един вид предишно лечение и вече са били подложени или са неподходящи за трансплантация на </w:t>
      </w:r>
      <w:proofErr w:type="spellStart"/>
      <w:r w:rsidRPr="00772215">
        <w:rPr>
          <w:rFonts w:eastAsia="Times New Roman" w:cs="Arial"/>
          <w:color w:val="000000"/>
          <w:szCs w:val="20"/>
          <w:lang w:eastAsia="bg-BG"/>
        </w:rPr>
        <w:t>хемопоетични</w:t>
      </w:r>
      <w:proofErr w:type="spellEnd"/>
      <w:r w:rsidRPr="00772215">
        <w:rPr>
          <w:rFonts w:eastAsia="Times New Roman" w:cs="Arial"/>
          <w:color w:val="000000"/>
          <w:szCs w:val="20"/>
          <w:lang w:eastAsia="bg-BG"/>
        </w:rPr>
        <w:t xml:space="preserve"> стволови клетки.</w:t>
      </w:r>
    </w:p>
    <w:p w14:paraId="188C5768" w14:textId="77777777" w:rsidR="00772215" w:rsidRPr="00772215" w:rsidRDefault="00772215" w:rsidP="00772215">
      <w:pPr>
        <w:spacing w:line="240" w:lineRule="auto"/>
        <w:rPr>
          <w:rFonts w:eastAsia="Times New Roman" w:cs="Arial"/>
          <w:color w:val="000000"/>
          <w:szCs w:val="20"/>
          <w:lang w:eastAsia="bg-BG"/>
        </w:rPr>
      </w:pPr>
    </w:p>
    <w:p w14:paraId="335FD05C" w14:textId="27AFA652"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в комбинация с </w:t>
      </w:r>
      <w:proofErr w:type="spellStart"/>
      <w:r w:rsidRPr="00772215">
        <w:rPr>
          <w:rFonts w:eastAsia="Times New Roman" w:cs="Arial"/>
          <w:color w:val="000000"/>
          <w:szCs w:val="20"/>
          <w:lang w:eastAsia="bg-BG"/>
        </w:rPr>
        <w:t>мелфалан</w:t>
      </w:r>
      <w:proofErr w:type="spellEnd"/>
      <w:r w:rsidRPr="00772215">
        <w:rPr>
          <w:rFonts w:eastAsia="Times New Roman" w:cs="Arial"/>
          <w:color w:val="000000"/>
          <w:szCs w:val="20"/>
          <w:lang w:eastAsia="bg-BG"/>
        </w:rPr>
        <w:t xml:space="preserve"> и </w:t>
      </w:r>
      <w:proofErr w:type="spellStart"/>
      <w:r w:rsidRPr="00772215">
        <w:rPr>
          <w:rFonts w:eastAsia="Times New Roman" w:cs="Arial"/>
          <w:color w:val="000000"/>
          <w:szCs w:val="20"/>
          <w:lang w:eastAsia="bg-BG"/>
        </w:rPr>
        <w:t>преднизон</w:t>
      </w:r>
      <w:proofErr w:type="spellEnd"/>
      <w:r w:rsidRPr="00772215">
        <w:rPr>
          <w:rFonts w:eastAsia="Times New Roman" w:cs="Arial"/>
          <w:color w:val="000000"/>
          <w:szCs w:val="20"/>
          <w:lang w:eastAsia="bg-BG"/>
        </w:rPr>
        <w:t xml:space="preserve"> е показан за лечение на възрастни пациенти с </w:t>
      </w:r>
      <w:proofErr w:type="spellStart"/>
      <w:r w:rsidRPr="00772215">
        <w:rPr>
          <w:rFonts w:eastAsia="Times New Roman" w:cs="Arial"/>
          <w:color w:val="000000"/>
          <w:szCs w:val="20"/>
          <w:lang w:eastAsia="bg-BG"/>
        </w:rPr>
        <w:t>нелекуван</w:t>
      </w:r>
      <w:proofErr w:type="spellEnd"/>
      <w:r w:rsidRPr="00772215">
        <w:rPr>
          <w:rFonts w:eastAsia="Times New Roman" w:cs="Arial"/>
          <w:color w:val="000000"/>
          <w:szCs w:val="20"/>
          <w:lang w:eastAsia="bg-BG"/>
        </w:rPr>
        <w:t xml:space="preserve"> мултиплен миелом, които са неподходящи за </w:t>
      </w:r>
      <w:proofErr w:type="spellStart"/>
      <w:r w:rsidRPr="00772215">
        <w:rPr>
          <w:rFonts w:eastAsia="Times New Roman" w:cs="Arial"/>
          <w:color w:val="000000"/>
          <w:szCs w:val="20"/>
          <w:lang w:eastAsia="bg-BG"/>
        </w:rPr>
        <w:t>високодозова</w:t>
      </w:r>
      <w:proofErr w:type="spellEnd"/>
      <w:r w:rsidRPr="00772215">
        <w:rPr>
          <w:rFonts w:eastAsia="Times New Roman" w:cs="Arial"/>
          <w:color w:val="000000"/>
          <w:szCs w:val="20"/>
          <w:lang w:eastAsia="bg-BG"/>
        </w:rPr>
        <w:t xml:space="preserve"> химиотерапия с трансплантация на </w:t>
      </w:r>
      <w:proofErr w:type="spellStart"/>
      <w:r w:rsidRPr="00772215">
        <w:rPr>
          <w:rFonts w:eastAsia="Times New Roman" w:cs="Arial"/>
          <w:color w:val="000000"/>
          <w:szCs w:val="20"/>
          <w:lang w:eastAsia="bg-BG"/>
        </w:rPr>
        <w:t>хемопоетични</w:t>
      </w:r>
      <w:proofErr w:type="spellEnd"/>
      <w:r w:rsidRPr="00772215">
        <w:rPr>
          <w:rFonts w:eastAsia="Times New Roman" w:cs="Arial"/>
          <w:color w:val="000000"/>
          <w:szCs w:val="20"/>
          <w:lang w:eastAsia="bg-BG"/>
        </w:rPr>
        <w:t xml:space="preserve"> стволови клетки.</w:t>
      </w:r>
    </w:p>
    <w:p w14:paraId="73D7DB8D" w14:textId="77777777" w:rsidR="00772215" w:rsidRPr="00772215" w:rsidRDefault="00772215" w:rsidP="00772215">
      <w:pPr>
        <w:rPr>
          <w:rFonts w:eastAsia="Times New Roman" w:cs="Arial"/>
          <w:color w:val="000000"/>
          <w:szCs w:val="20"/>
          <w:lang w:eastAsia="bg-BG"/>
        </w:rPr>
      </w:pPr>
    </w:p>
    <w:p w14:paraId="6DFA4B9D" w14:textId="5B01EC6C" w:rsidR="0091385D" w:rsidRPr="00772215" w:rsidRDefault="00772215" w:rsidP="00772215">
      <w:pPr>
        <w:rPr>
          <w:rFonts w:cs="Arial"/>
          <w:sz w:val="24"/>
        </w:rPr>
      </w:pP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в комбинация с </w:t>
      </w:r>
      <w:proofErr w:type="spellStart"/>
      <w:r w:rsidRPr="00772215">
        <w:rPr>
          <w:rFonts w:eastAsia="Times New Roman" w:cs="Arial"/>
          <w:color w:val="000000"/>
          <w:szCs w:val="20"/>
          <w:lang w:eastAsia="bg-BG"/>
        </w:rPr>
        <w:t>дексаметазон</w:t>
      </w:r>
      <w:proofErr w:type="spellEnd"/>
      <w:r w:rsidRPr="00772215">
        <w:rPr>
          <w:rFonts w:eastAsia="Times New Roman" w:cs="Arial"/>
          <w:color w:val="000000"/>
          <w:szCs w:val="20"/>
          <w:lang w:eastAsia="bg-BG"/>
        </w:rPr>
        <w:t xml:space="preserve"> или с </w:t>
      </w:r>
      <w:proofErr w:type="spellStart"/>
      <w:r w:rsidRPr="00772215">
        <w:rPr>
          <w:rFonts w:eastAsia="Times New Roman" w:cs="Arial"/>
          <w:color w:val="000000"/>
          <w:szCs w:val="20"/>
          <w:lang w:eastAsia="bg-BG"/>
        </w:rPr>
        <w:t>дексаметазон</w:t>
      </w:r>
      <w:proofErr w:type="spellEnd"/>
      <w:r w:rsidRPr="00772215">
        <w:rPr>
          <w:rFonts w:eastAsia="Times New Roman" w:cs="Arial"/>
          <w:color w:val="000000"/>
          <w:szCs w:val="20"/>
          <w:lang w:eastAsia="bg-BG"/>
        </w:rPr>
        <w:t xml:space="preserve"> и </w:t>
      </w:r>
      <w:proofErr w:type="spellStart"/>
      <w:r w:rsidRPr="00772215">
        <w:rPr>
          <w:rFonts w:eastAsia="Times New Roman" w:cs="Arial"/>
          <w:color w:val="000000"/>
          <w:szCs w:val="20"/>
          <w:lang w:eastAsia="bg-BG"/>
        </w:rPr>
        <w:t>талидомид</w:t>
      </w:r>
      <w:proofErr w:type="spellEnd"/>
      <w:r w:rsidRPr="00772215">
        <w:rPr>
          <w:rFonts w:eastAsia="Times New Roman" w:cs="Arial"/>
          <w:color w:val="000000"/>
          <w:szCs w:val="20"/>
          <w:lang w:eastAsia="bg-BG"/>
        </w:rPr>
        <w:t xml:space="preserve"> е показан за индукционно лечение на възрастни пациенти с </w:t>
      </w:r>
      <w:proofErr w:type="spellStart"/>
      <w:r w:rsidRPr="00772215">
        <w:rPr>
          <w:rFonts w:eastAsia="Times New Roman" w:cs="Arial"/>
          <w:color w:val="000000"/>
          <w:szCs w:val="20"/>
          <w:lang w:eastAsia="bg-BG"/>
        </w:rPr>
        <w:t>нелекуван</w:t>
      </w:r>
      <w:proofErr w:type="spellEnd"/>
      <w:r w:rsidRPr="00772215">
        <w:rPr>
          <w:rFonts w:eastAsia="Times New Roman" w:cs="Arial"/>
          <w:color w:val="000000"/>
          <w:szCs w:val="20"/>
          <w:lang w:eastAsia="bg-BG"/>
        </w:rPr>
        <w:t xml:space="preserve"> мултиплен миелом, които са подходящи за </w:t>
      </w:r>
      <w:proofErr w:type="spellStart"/>
      <w:r w:rsidRPr="00772215">
        <w:rPr>
          <w:rFonts w:eastAsia="Times New Roman" w:cs="Arial"/>
          <w:color w:val="000000"/>
          <w:szCs w:val="20"/>
          <w:lang w:eastAsia="bg-BG"/>
        </w:rPr>
        <w:t>високодозова</w:t>
      </w:r>
      <w:proofErr w:type="spellEnd"/>
      <w:r w:rsidRPr="00772215">
        <w:rPr>
          <w:rFonts w:eastAsia="Times New Roman" w:cs="Arial"/>
          <w:color w:val="000000"/>
          <w:szCs w:val="20"/>
          <w:lang w:eastAsia="bg-BG"/>
        </w:rPr>
        <w:t xml:space="preserve"> химиотерапия с трансплантация на </w:t>
      </w:r>
      <w:proofErr w:type="spellStart"/>
      <w:r w:rsidRPr="00772215">
        <w:rPr>
          <w:rFonts w:eastAsia="Times New Roman" w:cs="Arial"/>
          <w:color w:val="000000"/>
          <w:szCs w:val="20"/>
          <w:lang w:eastAsia="bg-BG"/>
        </w:rPr>
        <w:t>хемопоетични</w:t>
      </w:r>
      <w:proofErr w:type="spellEnd"/>
      <w:r w:rsidRPr="00772215">
        <w:rPr>
          <w:rFonts w:eastAsia="Times New Roman" w:cs="Arial"/>
          <w:color w:val="000000"/>
          <w:szCs w:val="20"/>
          <w:lang w:eastAsia="bg-BG"/>
        </w:rPr>
        <w:t xml:space="preserve"> стволови клетки.</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27097E63" w14:textId="50D22142"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Лечението трябва да бъде започнато и провеждано под наблюдението на лекар, който има к</w:t>
      </w:r>
      <w:r w:rsidR="00FD4C98">
        <w:rPr>
          <w:rFonts w:eastAsia="Times New Roman" w:cs="Arial"/>
          <w:color w:val="000000"/>
          <w:szCs w:val="20"/>
          <w:lang w:eastAsia="bg-BG"/>
        </w:rPr>
        <w:t>в</w:t>
      </w:r>
      <w:r w:rsidRPr="00772215">
        <w:rPr>
          <w:rFonts w:eastAsia="Times New Roman" w:cs="Arial"/>
          <w:color w:val="000000"/>
          <w:szCs w:val="20"/>
          <w:lang w:eastAsia="bg-BG"/>
        </w:rPr>
        <w:t xml:space="preserve">алификация и опит при употребата на </w:t>
      </w:r>
      <w:proofErr w:type="spellStart"/>
      <w:r w:rsidRPr="00772215">
        <w:rPr>
          <w:rFonts w:eastAsia="Times New Roman" w:cs="Arial"/>
          <w:color w:val="000000"/>
          <w:szCs w:val="20"/>
          <w:lang w:eastAsia="bg-BG"/>
        </w:rPr>
        <w:t>химиотерапевтични</w:t>
      </w:r>
      <w:proofErr w:type="spellEnd"/>
      <w:r w:rsidRPr="00772215">
        <w:rPr>
          <w:rFonts w:eastAsia="Times New Roman" w:cs="Arial"/>
          <w:color w:val="000000"/>
          <w:szCs w:val="20"/>
          <w:lang w:eastAsia="bg-BG"/>
        </w:rPr>
        <w:t xml:space="preserve"> продукти. </w:t>
      </w: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трябва да се разтваря от медицински специалист.</w:t>
      </w:r>
    </w:p>
    <w:p w14:paraId="6EA83527" w14:textId="77777777" w:rsidR="00772215" w:rsidRPr="00772215" w:rsidRDefault="00772215" w:rsidP="00772215">
      <w:pPr>
        <w:spacing w:line="240" w:lineRule="auto"/>
        <w:rPr>
          <w:rFonts w:eastAsia="Times New Roman" w:cs="Arial"/>
          <w:color w:val="000000"/>
          <w:szCs w:val="20"/>
          <w:lang w:eastAsia="bg-BG"/>
        </w:rPr>
      </w:pPr>
    </w:p>
    <w:p w14:paraId="32425C7B" w14:textId="7C65F656" w:rsidR="00772215" w:rsidRPr="0093317E" w:rsidRDefault="00772215" w:rsidP="0093317E">
      <w:pPr>
        <w:pStyle w:val="Heading3"/>
        <w:rPr>
          <w:rFonts w:eastAsia="Times New Roman"/>
          <w:sz w:val="28"/>
          <w:u w:val="single"/>
          <w:lang w:eastAsia="bg-BG"/>
        </w:rPr>
      </w:pPr>
      <w:r w:rsidRPr="0093317E">
        <w:rPr>
          <w:rFonts w:eastAsia="Times New Roman"/>
          <w:u w:val="single"/>
          <w:lang w:eastAsia="bg-BG"/>
        </w:rPr>
        <w:t>Дозировка при лечение на прогресиращ мултиплен миелом (пациенти, които са получили поне едно предшестващо лечение)</w:t>
      </w:r>
    </w:p>
    <w:p w14:paraId="16600329" w14:textId="77777777" w:rsidR="00772215" w:rsidRPr="00772215" w:rsidRDefault="00772215" w:rsidP="00772215">
      <w:pPr>
        <w:spacing w:line="240" w:lineRule="auto"/>
        <w:rPr>
          <w:rFonts w:eastAsia="Times New Roman" w:cs="Arial"/>
          <w:i/>
          <w:iCs/>
          <w:color w:val="000000"/>
          <w:szCs w:val="20"/>
          <w:lang w:eastAsia="bg-BG"/>
        </w:rPr>
      </w:pPr>
    </w:p>
    <w:p w14:paraId="36E29D39" w14:textId="238A9417"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i/>
          <w:iCs/>
          <w:color w:val="000000"/>
          <w:szCs w:val="20"/>
          <w:lang w:eastAsia="bg-BG"/>
        </w:rPr>
        <w:t>Монотерапия</w:t>
      </w:r>
      <w:proofErr w:type="spellEnd"/>
      <w:r w:rsidRPr="00772215">
        <w:rPr>
          <w:rFonts w:eastAsia="Times New Roman" w:cs="Arial"/>
          <w:i/>
          <w:iCs/>
          <w:color w:val="000000"/>
          <w:szCs w:val="20"/>
          <w:lang w:eastAsia="bg-BG"/>
        </w:rPr>
        <w:tab/>
      </w:r>
    </w:p>
    <w:p w14:paraId="2D1059D7" w14:textId="56D34296" w:rsidR="00772215" w:rsidRPr="00772215" w:rsidRDefault="00772215" w:rsidP="00772215">
      <w:pPr>
        <w:rPr>
          <w:rFonts w:eastAsia="Times New Roman" w:cs="Arial"/>
          <w:lang w:eastAsia="bg-BG"/>
        </w:rPr>
      </w:pP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3,5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прах за инжекционен разтвор се прилага като интравенозна или </w:t>
      </w:r>
      <w:r w:rsidRPr="00772215">
        <w:rPr>
          <w:rFonts w:eastAsia="Times New Roman" w:cs="Arial"/>
          <w:color w:val="000000"/>
          <w:lang w:eastAsia="bg-BG"/>
        </w:rPr>
        <w:t xml:space="preserve">подкожна  инжекция в препоръчителната доза от 1,3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телесна повърхност два пъти седмично в продължение на</w:t>
      </w:r>
      <w:r w:rsidR="00284CCB">
        <w:rPr>
          <w:rFonts w:eastAsia="Times New Roman" w:cs="Arial"/>
          <w:color w:val="000000"/>
          <w:lang w:eastAsia="bg-BG"/>
        </w:rPr>
        <w:t xml:space="preserve"> </w:t>
      </w:r>
      <w:r w:rsidRPr="00772215">
        <w:rPr>
          <w:rFonts w:eastAsia="Times New Roman" w:cs="Arial"/>
          <w:color w:val="000000"/>
          <w:lang w:eastAsia="bg-BG"/>
        </w:rPr>
        <w:t>две седмици на ден 1, 4, 8, и 11 в 21 дневен лечебен цикъл. Този 3-седмичен период се счита за лечебен цикъл.</w:t>
      </w:r>
    </w:p>
    <w:p w14:paraId="67535BB4"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Препоръчително е пациентите да получат 2 цикъла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след потвърждаване на пълен отговор. Препоръчва се също пациентите с отговор, които не са постигнали пълна ремисия да получават общо 8 цикъла лечение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Между две последователни дози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трябва да изминат поне 72 часа.</w:t>
      </w:r>
    </w:p>
    <w:p w14:paraId="154DBE96" w14:textId="77777777" w:rsidR="00772215" w:rsidRPr="00772215" w:rsidRDefault="00772215" w:rsidP="00772215">
      <w:pPr>
        <w:spacing w:line="240" w:lineRule="auto"/>
        <w:rPr>
          <w:rFonts w:eastAsia="Times New Roman" w:cs="Arial"/>
          <w:i/>
          <w:iCs/>
          <w:color w:val="000000"/>
          <w:lang w:eastAsia="bg-BG"/>
        </w:rPr>
      </w:pPr>
    </w:p>
    <w:p w14:paraId="03F1F6FD" w14:textId="0453937C"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 xml:space="preserve">Адаптиране на дозата по време на лечението и повторно въвеждане на лечение при </w:t>
      </w:r>
      <w:proofErr w:type="spellStart"/>
      <w:r w:rsidRPr="00772215">
        <w:rPr>
          <w:rFonts w:eastAsia="Times New Roman" w:cs="Arial"/>
          <w:i/>
          <w:iCs/>
          <w:color w:val="000000"/>
          <w:lang w:eastAsia="bg-BG"/>
        </w:rPr>
        <w:t>монотерапия</w:t>
      </w:r>
      <w:proofErr w:type="spellEnd"/>
    </w:p>
    <w:p w14:paraId="749CFF47"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Лечението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трябва да бъде спряно при поява на всяка </w:t>
      </w:r>
      <w:proofErr w:type="spellStart"/>
      <w:r w:rsidRPr="00772215">
        <w:rPr>
          <w:rFonts w:eastAsia="Times New Roman" w:cs="Arial"/>
          <w:color w:val="000000"/>
          <w:lang w:eastAsia="bg-BG"/>
        </w:rPr>
        <w:t>нехематологична</w:t>
      </w:r>
      <w:proofErr w:type="spellEnd"/>
      <w:r w:rsidRPr="00772215">
        <w:rPr>
          <w:rFonts w:eastAsia="Times New Roman" w:cs="Arial"/>
          <w:color w:val="000000"/>
          <w:lang w:eastAsia="bg-BG"/>
        </w:rPr>
        <w:t xml:space="preserve"> токсичност от Степен 3 или всяка хематологична токсичност от Степен 4, с изключение на невропатия, както е изложено по-долу (вж. също точка 4.4). След отзвучаване на симптомите на токсичност, лечението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може да бъде започнато отново с доза, намалена с 25% (1,3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 xml:space="preserve">2 </w:t>
      </w:r>
      <w:r w:rsidRPr="00772215">
        <w:rPr>
          <w:rFonts w:eastAsia="Times New Roman" w:cs="Arial"/>
          <w:color w:val="000000"/>
          <w:lang w:eastAsia="bg-BG"/>
        </w:rPr>
        <w:t xml:space="preserve">намалена до 1,0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 xml:space="preserve">1,0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 xml:space="preserve">намалена до 0,7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 xml:space="preserve">Ако токсичността не отзвучи или ако се появи отново при най-ниската доза, трябва да се обмисли преустановяване на терапията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освен ако ползата от лечението надвишава значително рисковете.</w:t>
      </w:r>
    </w:p>
    <w:p w14:paraId="38DFFF58" w14:textId="77777777" w:rsidR="00772215" w:rsidRPr="00772215" w:rsidRDefault="00772215" w:rsidP="00772215">
      <w:pPr>
        <w:spacing w:line="240" w:lineRule="auto"/>
        <w:rPr>
          <w:rFonts w:eastAsia="Times New Roman" w:cs="Arial"/>
          <w:i/>
          <w:iCs/>
          <w:color w:val="000000"/>
          <w:lang w:eastAsia="bg-BG"/>
        </w:rPr>
      </w:pPr>
    </w:p>
    <w:p w14:paraId="45FA4FE9" w14:textId="274FBBAF" w:rsidR="00772215" w:rsidRPr="00772215" w:rsidRDefault="00772215" w:rsidP="00772215">
      <w:pPr>
        <w:spacing w:line="240" w:lineRule="auto"/>
        <w:rPr>
          <w:rFonts w:eastAsia="Times New Roman" w:cs="Arial"/>
          <w:lang w:eastAsia="bg-BG"/>
        </w:rPr>
      </w:pPr>
      <w:proofErr w:type="spellStart"/>
      <w:r w:rsidRPr="00772215">
        <w:rPr>
          <w:rFonts w:eastAsia="Times New Roman" w:cs="Arial"/>
          <w:i/>
          <w:iCs/>
          <w:color w:val="000000"/>
          <w:lang w:eastAsia="bg-BG"/>
        </w:rPr>
        <w:t>Невропатична</w:t>
      </w:r>
      <w:proofErr w:type="spellEnd"/>
      <w:r w:rsidRPr="00772215">
        <w:rPr>
          <w:rFonts w:eastAsia="Times New Roman" w:cs="Arial"/>
          <w:i/>
          <w:iCs/>
          <w:color w:val="000000"/>
          <w:lang w:eastAsia="bg-BG"/>
        </w:rPr>
        <w:t xml:space="preserve"> болка и/или периферна невропатия</w:t>
      </w:r>
    </w:p>
    <w:p w14:paraId="2ED88712"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Пациентите, които имат свързана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w:t>
      </w:r>
      <w:proofErr w:type="spellStart"/>
      <w:r w:rsidRPr="00772215">
        <w:rPr>
          <w:rFonts w:eastAsia="Times New Roman" w:cs="Arial"/>
          <w:color w:val="000000"/>
          <w:lang w:eastAsia="bg-BG"/>
        </w:rPr>
        <w:t>невропатична</w:t>
      </w:r>
      <w:proofErr w:type="spellEnd"/>
      <w:r w:rsidRPr="00772215">
        <w:rPr>
          <w:rFonts w:eastAsia="Times New Roman" w:cs="Arial"/>
          <w:color w:val="000000"/>
          <w:lang w:eastAsia="bg-BG"/>
        </w:rPr>
        <w:t xml:space="preserve"> болка и/или периферна невропатия следва да бъдат третирани както е показано в Таблица 1 (вж. точка 4.4). Пациентите с предшестваща тежка невропатия трябва да бъдат лекувани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само след внимателна оценка риск/полза.</w:t>
      </w:r>
    </w:p>
    <w:p w14:paraId="56F59B32" w14:textId="77777777" w:rsidR="00772215" w:rsidRPr="00772215" w:rsidRDefault="00772215" w:rsidP="00772215">
      <w:pPr>
        <w:rPr>
          <w:rFonts w:eastAsia="Times New Roman" w:cs="Arial"/>
          <w:i/>
          <w:iCs/>
          <w:color w:val="000000"/>
          <w:u w:val="single"/>
          <w:lang w:eastAsia="bg-BG"/>
        </w:rPr>
      </w:pPr>
    </w:p>
    <w:p w14:paraId="7FBF1BCE" w14:textId="18BAF27E" w:rsidR="00EC41ED" w:rsidRPr="00772215" w:rsidRDefault="00772215" w:rsidP="00772215">
      <w:pPr>
        <w:rPr>
          <w:rFonts w:cs="Arial"/>
        </w:rPr>
      </w:pPr>
      <w:r w:rsidRPr="00772215">
        <w:rPr>
          <w:rFonts w:eastAsia="Times New Roman" w:cs="Arial"/>
          <w:i/>
          <w:iCs/>
          <w:color w:val="000000"/>
          <w:u w:val="single"/>
          <w:lang w:eastAsia="bg-BG"/>
        </w:rPr>
        <w:t xml:space="preserve">Таблица 1: Препоръчвано* модифициране на дозата при невропатия, свързана с </w:t>
      </w:r>
      <w:proofErr w:type="spellStart"/>
      <w:r w:rsidRPr="00772215">
        <w:rPr>
          <w:rFonts w:eastAsia="Times New Roman" w:cs="Arial"/>
          <w:i/>
          <w:iCs/>
          <w:color w:val="000000"/>
          <w:u w:val="single"/>
          <w:lang w:eastAsia="bg-BG"/>
        </w:rPr>
        <w:t>бортезомиб</w:t>
      </w:r>
      <w:proofErr w:type="spellEnd"/>
    </w:p>
    <w:p w14:paraId="132F3111" w14:textId="7C2F51F8" w:rsidR="005B0F27" w:rsidRDefault="005B0F27" w:rsidP="0091385D"/>
    <w:tbl>
      <w:tblPr>
        <w:tblStyle w:val="TableGrid"/>
        <w:tblW w:w="0" w:type="auto"/>
        <w:tblLook w:val="04A0" w:firstRow="1" w:lastRow="0" w:firstColumn="1" w:lastColumn="0" w:noHBand="0" w:noVBand="1"/>
      </w:tblPr>
      <w:tblGrid>
        <w:gridCol w:w="4675"/>
        <w:gridCol w:w="4675"/>
      </w:tblGrid>
      <w:tr w:rsidR="00772215" w14:paraId="66C39E56" w14:textId="77777777" w:rsidTr="00772215">
        <w:tc>
          <w:tcPr>
            <w:tcW w:w="4675" w:type="dxa"/>
          </w:tcPr>
          <w:p w14:paraId="05054339" w14:textId="47975244" w:rsidR="00772215" w:rsidRPr="00772215" w:rsidRDefault="00772215" w:rsidP="00772215">
            <w:r w:rsidRPr="00772215">
              <w:rPr>
                <w:b/>
                <w:bCs/>
                <w:szCs w:val="20"/>
              </w:rPr>
              <w:t>Тежест на невропатията</w:t>
            </w:r>
          </w:p>
        </w:tc>
        <w:tc>
          <w:tcPr>
            <w:tcW w:w="4675" w:type="dxa"/>
          </w:tcPr>
          <w:p w14:paraId="35F0824D" w14:textId="133BD166" w:rsidR="00772215" w:rsidRPr="00772215" w:rsidRDefault="00772215" w:rsidP="00772215">
            <w:r w:rsidRPr="00772215">
              <w:rPr>
                <w:b/>
                <w:bCs/>
                <w:szCs w:val="20"/>
              </w:rPr>
              <w:t>Модифициране на дозата</w:t>
            </w:r>
          </w:p>
        </w:tc>
      </w:tr>
      <w:tr w:rsidR="00772215" w14:paraId="14D00216" w14:textId="77777777" w:rsidTr="00772215">
        <w:tc>
          <w:tcPr>
            <w:tcW w:w="4675" w:type="dxa"/>
          </w:tcPr>
          <w:p w14:paraId="799E2553" w14:textId="78DCEF99" w:rsidR="00772215" w:rsidRPr="00772215" w:rsidRDefault="00772215" w:rsidP="00772215">
            <w:r w:rsidRPr="00772215">
              <w:rPr>
                <w:szCs w:val="20"/>
              </w:rPr>
              <w:t>Степен 1 (</w:t>
            </w:r>
            <w:proofErr w:type="spellStart"/>
            <w:r w:rsidRPr="00772215">
              <w:rPr>
                <w:szCs w:val="20"/>
              </w:rPr>
              <w:t>асимптоматична</w:t>
            </w:r>
            <w:proofErr w:type="spellEnd"/>
            <w:r w:rsidRPr="00772215">
              <w:rPr>
                <w:szCs w:val="20"/>
              </w:rPr>
              <w:t xml:space="preserve">; загуба на дълбоки </w:t>
            </w:r>
            <w:proofErr w:type="spellStart"/>
            <w:r w:rsidRPr="00772215">
              <w:rPr>
                <w:szCs w:val="20"/>
              </w:rPr>
              <w:t>сухожилни</w:t>
            </w:r>
            <w:proofErr w:type="spellEnd"/>
            <w:r w:rsidRPr="00772215">
              <w:rPr>
                <w:szCs w:val="20"/>
              </w:rPr>
              <w:t xml:space="preserve"> рефлекси или </w:t>
            </w:r>
            <w:proofErr w:type="spellStart"/>
            <w:r w:rsidRPr="00772215">
              <w:rPr>
                <w:szCs w:val="20"/>
              </w:rPr>
              <w:t>парестезия</w:t>
            </w:r>
            <w:proofErr w:type="spellEnd"/>
            <w:r w:rsidRPr="00772215">
              <w:rPr>
                <w:szCs w:val="20"/>
              </w:rPr>
              <w:t>) без болка или загуба на функция</w:t>
            </w:r>
          </w:p>
        </w:tc>
        <w:tc>
          <w:tcPr>
            <w:tcW w:w="4675" w:type="dxa"/>
          </w:tcPr>
          <w:p w14:paraId="430AEA6C" w14:textId="4EE0AD9A" w:rsidR="00772215" w:rsidRPr="00772215" w:rsidRDefault="00772215" w:rsidP="00772215">
            <w:r w:rsidRPr="00772215">
              <w:rPr>
                <w:szCs w:val="20"/>
              </w:rPr>
              <w:t>Не</w:t>
            </w:r>
          </w:p>
        </w:tc>
      </w:tr>
      <w:tr w:rsidR="00772215" w14:paraId="3FC7B2A4" w14:textId="77777777" w:rsidTr="00772215">
        <w:tc>
          <w:tcPr>
            <w:tcW w:w="4675" w:type="dxa"/>
          </w:tcPr>
          <w:p w14:paraId="0AECB919" w14:textId="1C70D1E0" w:rsidR="00772215" w:rsidRPr="00772215" w:rsidRDefault="00772215" w:rsidP="00772215">
            <w:r w:rsidRPr="00772215">
              <w:rPr>
                <w:szCs w:val="20"/>
              </w:rPr>
              <w:t xml:space="preserve">Степен 1 с болка или Степен 2 (умерени симптоми; ограничава инструменталните или ежедневни дейности </w:t>
            </w:r>
            <w:r w:rsidRPr="00FD4C98">
              <w:rPr>
                <w:szCs w:val="20"/>
                <w:lang w:val="ru-RU"/>
              </w:rPr>
              <w:t>(</w:t>
            </w:r>
            <w:r w:rsidRPr="00772215">
              <w:rPr>
                <w:szCs w:val="20"/>
                <w:lang w:val="en-US"/>
              </w:rPr>
              <w:t>ADL</w:t>
            </w:r>
            <w:r w:rsidRPr="00FD4C98">
              <w:rPr>
                <w:szCs w:val="20"/>
                <w:lang w:val="ru-RU"/>
              </w:rPr>
              <w:t>)**)</w:t>
            </w:r>
          </w:p>
        </w:tc>
        <w:tc>
          <w:tcPr>
            <w:tcW w:w="4675" w:type="dxa"/>
          </w:tcPr>
          <w:p w14:paraId="3685A2EA" w14:textId="2F304B8D" w:rsidR="00772215" w:rsidRPr="00772215" w:rsidRDefault="00772215" w:rsidP="00772215">
            <w:r w:rsidRPr="00772215">
              <w:rPr>
                <w:szCs w:val="20"/>
              </w:rPr>
              <w:t xml:space="preserve">Намаление на </w:t>
            </w:r>
            <w:proofErr w:type="spellStart"/>
            <w:r w:rsidRPr="00772215">
              <w:rPr>
                <w:szCs w:val="20"/>
              </w:rPr>
              <w:t>бортезомиб</w:t>
            </w:r>
            <w:proofErr w:type="spellEnd"/>
            <w:r w:rsidRPr="00772215">
              <w:rPr>
                <w:szCs w:val="20"/>
              </w:rPr>
              <w:t xml:space="preserve"> до 1,0 </w:t>
            </w:r>
            <w:r w:rsidRPr="00772215">
              <w:rPr>
                <w:szCs w:val="20"/>
                <w:lang w:val="en-US"/>
              </w:rPr>
              <w:t>mg</w:t>
            </w:r>
            <w:r w:rsidRPr="00FD4C98">
              <w:rPr>
                <w:szCs w:val="20"/>
                <w:lang w:val="ru-RU"/>
              </w:rPr>
              <w:t>/</w:t>
            </w:r>
            <w:r w:rsidRPr="00772215">
              <w:rPr>
                <w:szCs w:val="20"/>
                <w:lang w:val="en-US"/>
              </w:rPr>
              <w:t>m</w:t>
            </w:r>
            <w:r w:rsidRPr="00FD4C98">
              <w:rPr>
                <w:szCs w:val="20"/>
                <w:vertAlign w:val="superscript"/>
                <w:lang w:val="ru-RU"/>
              </w:rPr>
              <w:t xml:space="preserve">2 </w:t>
            </w:r>
            <w:r w:rsidRPr="00772215">
              <w:rPr>
                <w:szCs w:val="20"/>
              </w:rPr>
              <w:t xml:space="preserve">Промяна на схемата на лечение на </w:t>
            </w:r>
            <w:proofErr w:type="spellStart"/>
            <w:r w:rsidRPr="00772215">
              <w:rPr>
                <w:szCs w:val="20"/>
              </w:rPr>
              <w:lastRenderedPageBreak/>
              <w:t>бортезомиб</w:t>
            </w:r>
            <w:proofErr w:type="spellEnd"/>
            <w:r w:rsidRPr="00772215">
              <w:rPr>
                <w:szCs w:val="20"/>
              </w:rPr>
              <w:t xml:space="preserve"> на 1,3 </w:t>
            </w:r>
            <w:r w:rsidRPr="00772215">
              <w:rPr>
                <w:szCs w:val="20"/>
                <w:lang w:val="en-US"/>
              </w:rPr>
              <w:t>mg</w:t>
            </w:r>
            <w:r w:rsidRPr="00FD4C98">
              <w:rPr>
                <w:szCs w:val="20"/>
                <w:lang w:val="ru-RU"/>
              </w:rPr>
              <w:t>/</w:t>
            </w:r>
            <w:r w:rsidRPr="00772215">
              <w:rPr>
                <w:szCs w:val="20"/>
                <w:lang w:val="en-US"/>
              </w:rPr>
              <w:t>m</w:t>
            </w:r>
            <w:r w:rsidRPr="00FD4C98">
              <w:rPr>
                <w:szCs w:val="20"/>
                <w:vertAlign w:val="superscript"/>
                <w:lang w:val="ru-RU"/>
              </w:rPr>
              <w:t>2</w:t>
            </w:r>
            <w:r w:rsidRPr="00FD4C98">
              <w:rPr>
                <w:szCs w:val="20"/>
                <w:lang w:val="ru-RU"/>
              </w:rPr>
              <w:t xml:space="preserve"> </w:t>
            </w:r>
            <w:r w:rsidRPr="00772215">
              <w:rPr>
                <w:szCs w:val="20"/>
              </w:rPr>
              <w:t>веднъж седмично</w:t>
            </w:r>
          </w:p>
        </w:tc>
      </w:tr>
      <w:tr w:rsidR="00772215" w14:paraId="70487AB7" w14:textId="77777777" w:rsidTr="00772215">
        <w:tc>
          <w:tcPr>
            <w:tcW w:w="4675" w:type="dxa"/>
          </w:tcPr>
          <w:p w14:paraId="6ACF3D82" w14:textId="77777777" w:rsidR="00772215" w:rsidRPr="00772215" w:rsidRDefault="00772215" w:rsidP="00772215">
            <w:r w:rsidRPr="00772215">
              <w:rPr>
                <w:szCs w:val="20"/>
              </w:rPr>
              <w:lastRenderedPageBreak/>
              <w:t xml:space="preserve">Степен 2 с </w:t>
            </w:r>
            <w:r w:rsidRPr="00772215">
              <w:rPr>
                <w:i/>
                <w:iCs/>
                <w:szCs w:val="20"/>
              </w:rPr>
              <w:t>болка</w:t>
            </w:r>
            <w:r w:rsidRPr="00772215">
              <w:rPr>
                <w:szCs w:val="20"/>
              </w:rPr>
              <w:t xml:space="preserve"> или Степен 3 (тежки симптоми; ограничава</w:t>
            </w:r>
            <w:r w:rsidRPr="00772215">
              <w:rPr>
                <w:szCs w:val="20"/>
              </w:rPr>
              <w:tab/>
              <w:t>ежедневните</w:t>
            </w:r>
            <w:r w:rsidRPr="00772215">
              <w:rPr>
                <w:szCs w:val="20"/>
              </w:rPr>
              <w:tab/>
              <w:t>дейности</w:t>
            </w:r>
            <w:r w:rsidRPr="00772215">
              <w:rPr>
                <w:szCs w:val="20"/>
              </w:rPr>
              <w:tab/>
              <w:t>по</w:t>
            </w:r>
          </w:p>
          <w:p w14:paraId="6B1D09EE" w14:textId="2B778389" w:rsidR="00772215" w:rsidRPr="00772215" w:rsidRDefault="00772215" w:rsidP="00772215">
            <w:r w:rsidRPr="00772215">
              <w:rPr>
                <w:szCs w:val="20"/>
              </w:rPr>
              <w:t xml:space="preserve">самообслужване </w:t>
            </w:r>
            <w:r w:rsidRPr="00772215">
              <w:rPr>
                <w:szCs w:val="20"/>
                <w:lang w:val="en-US"/>
              </w:rPr>
              <w:t>ADL***)</w:t>
            </w:r>
          </w:p>
        </w:tc>
        <w:tc>
          <w:tcPr>
            <w:tcW w:w="4675" w:type="dxa"/>
          </w:tcPr>
          <w:p w14:paraId="5412CCD2" w14:textId="22FDFA69" w:rsidR="00772215" w:rsidRPr="00772215" w:rsidRDefault="00772215" w:rsidP="00772215">
            <w:r w:rsidRPr="00772215">
              <w:rPr>
                <w:szCs w:val="20"/>
              </w:rPr>
              <w:t xml:space="preserve">Спиране на лечението с </w:t>
            </w:r>
            <w:proofErr w:type="spellStart"/>
            <w:r w:rsidRPr="00772215">
              <w:rPr>
                <w:szCs w:val="20"/>
              </w:rPr>
              <w:t>бортезомиб</w:t>
            </w:r>
            <w:proofErr w:type="spellEnd"/>
            <w:r w:rsidRPr="00772215">
              <w:rPr>
                <w:szCs w:val="20"/>
              </w:rPr>
              <w:t xml:space="preserve">, докато симптомите на токсичност не отзвучат. Когато токсичността отзвучи, повторно въвеждане на лечение с </w:t>
            </w:r>
            <w:proofErr w:type="spellStart"/>
            <w:r w:rsidRPr="00772215">
              <w:rPr>
                <w:szCs w:val="20"/>
              </w:rPr>
              <w:t>бортезомиб</w:t>
            </w:r>
            <w:proofErr w:type="spellEnd"/>
            <w:r w:rsidRPr="00772215">
              <w:rPr>
                <w:szCs w:val="20"/>
              </w:rPr>
              <w:t xml:space="preserve"> и намаляване на дозата до 0,7 </w:t>
            </w:r>
            <w:r w:rsidRPr="00772215">
              <w:rPr>
                <w:szCs w:val="20"/>
                <w:lang w:val="en-US"/>
              </w:rPr>
              <w:t>mg</w:t>
            </w:r>
            <w:r w:rsidRPr="00FD4C98">
              <w:rPr>
                <w:szCs w:val="20"/>
                <w:lang w:val="ru-RU"/>
              </w:rPr>
              <w:t>/</w:t>
            </w:r>
            <w:r w:rsidRPr="00772215">
              <w:rPr>
                <w:szCs w:val="20"/>
                <w:lang w:val="en-US"/>
              </w:rPr>
              <w:t>m</w:t>
            </w:r>
            <w:r w:rsidRPr="00FD4C98">
              <w:rPr>
                <w:szCs w:val="20"/>
                <w:vertAlign w:val="superscript"/>
                <w:lang w:val="ru-RU"/>
              </w:rPr>
              <w:t>2</w:t>
            </w:r>
            <w:r w:rsidRPr="00FD4C98">
              <w:rPr>
                <w:szCs w:val="20"/>
                <w:lang w:val="ru-RU"/>
              </w:rPr>
              <w:t xml:space="preserve"> </w:t>
            </w:r>
            <w:r w:rsidRPr="00772215">
              <w:rPr>
                <w:szCs w:val="20"/>
              </w:rPr>
              <w:t>веднъж седмично.</w:t>
            </w:r>
          </w:p>
        </w:tc>
      </w:tr>
      <w:tr w:rsidR="00772215" w14:paraId="2861FBDC" w14:textId="77777777" w:rsidTr="00772215">
        <w:tc>
          <w:tcPr>
            <w:tcW w:w="4675" w:type="dxa"/>
          </w:tcPr>
          <w:p w14:paraId="4617AC6E" w14:textId="047C473E" w:rsidR="00772215" w:rsidRPr="00772215" w:rsidRDefault="00772215" w:rsidP="00772215">
            <w:r w:rsidRPr="00772215">
              <w:rPr>
                <w:szCs w:val="20"/>
              </w:rPr>
              <w:t>Степен 4 (животозастрашаващи последствия; показана е спешна интервенция) и/или тежка автономна невропатия</w:t>
            </w:r>
          </w:p>
        </w:tc>
        <w:tc>
          <w:tcPr>
            <w:tcW w:w="4675" w:type="dxa"/>
          </w:tcPr>
          <w:p w14:paraId="153EE19D" w14:textId="2EC5D8BC" w:rsidR="00772215" w:rsidRPr="00772215" w:rsidRDefault="00772215" w:rsidP="00772215">
            <w:r w:rsidRPr="00772215">
              <w:rPr>
                <w:szCs w:val="20"/>
              </w:rPr>
              <w:t xml:space="preserve">Прекратяване на лечението с </w:t>
            </w:r>
            <w:proofErr w:type="spellStart"/>
            <w:r w:rsidRPr="00772215">
              <w:rPr>
                <w:szCs w:val="20"/>
              </w:rPr>
              <w:t>бортезомиб</w:t>
            </w:r>
            <w:proofErr w:type="spellEnd"/>
          </w:p>
        </w:tc>
      </w:tr>
    </w:tbl>
    <w:p w14:paraId="3E689E44" w14:textId="2798A3EF" w:rsidR="00772215" w:rsidRDefault="00772215" w:rsidP="0091385D"/>
    <w:p w14:paraId="060478BF" w14:textId="0A06F117" w:rsidR="00772215" w:rsidRPr="00772215" w:rsidRDefault="00772215" w:rsidP="00772215">
      <w:pPr>
        <w:spacing w:line="240" w:lineRule="auto"/>
        <w:rPr>
          <w:rFonts w:eastAsia="Times New Roman" w:cs="Arial"/>
          <w:color w:val="000000"/>
          <w:lang w:eastAsia="bg-BG"/>
        </w:rPr>
      </w:pPr>
      <w:r w:rsidRPr="00FD4C98">
        <w:rPr>
          <w:rFonts w:eastAsia="Times New Roman" w:cs="Arial"/>
          <w:color w:val="000000"/>
          <w:lang w:val="ru-RU" w:eastAsia="bg-BG"/>
        </w:rPr>
        <w:t>*</w:t>
      </w:r>
      <w:r w:rsidRPr="00772215">
        <w:rPr>
          <w:rFonts w:eastAsia="Times New Roman" w:cs="Arial"/>
          <w:color w:val="000000"/>
          <w:lang w:eastAsia="bg-BG"/>
        </w:rPr>
        <w:t xml:space="preserve">Основава се на модифициране на дозата при проучвания на мултиплен миелом, фаза II и III и </w:t>
      </w:r>
      <w:proofErr w:type="spellStart"/>
      <w:r w:rsidRPr="00772215">
        <w:rPr>
          <w:rFonts w:eastAsia="Times New Roman" w:cs="Arial"/>
          <w:color w:val="000000"/>
          <w:lang w:eastAsia="bg-BG"/>
        </w:rPr>
        <w:t>постмаркетинговия</w:t>
      </w:r>
      <w:proofErr w:type="spellEnd"/>
      <w:r w:rsidRPr="00772215">
        <w:rPr>
          <w:rFonts w:eastAsia="Times New Roman" w:cs="Arial"/>
          <w:color w:val="000000"/>
          <w:lang w:eastAsia="bg-BG"/>
        </w:rPr>
        <w:t xml:space="preserve"> опит. Степенуването е в съответствие с Общите критерии и терминология на нежеланите събития (СТСАЕ) на Националния онкологичен институт </w:t>
      </w:r>
      <w:r w:rsidRPr="00FD4C98">
        <w:rPr>
          <w:rFonts w:eastAsia="Times New Roman" w:cs="Arial"/>
          <w:color w:val="000000"/>
          <w:lang w:val="ru-RU"/>
        </w:rPr>
        <w:t>(</w:t>
      </w:r>
      <w:r w:rsidRPr="00772215">
        <w:rPr>
          <w:rFonts w:eastAsia="Times New Roman" w:cs="Arial"/>
          <w:color w:val="000000"/>
          <w:lang w:val="en-US"/>
        </w:rPr>
        <w:t>NCI</w:t>
      </w:r>
      <w:r w:rsidRPr="00FD4C98">
        <w:rPr>
          <w:rFonts w:eastAsia="Times New Roman" w:cs="Arial"/>
          <w:color w:val="000000"/>
          <w:lang w:val="ru-RU"/>
        </w:rPr>
        <w:t xml:space="preserve">) </w:t>
      </w:r>
      <w:r w:rsidRPr="00772215">
        <w:rPr>
          <w:rFonts w:eastAsia="Times New Roman" w:cs="Arial"/>
          <w:color w:val="000000"/>
          <w:lang w:eastAsia="bg-BG"/>
        </w:rPr>
        <w:t>на САЩ, версия 4.0.</w:t>
      </w:r>
    </w:p>
    <w:p w14:paraId="6E08FE70" w14:textId="247DE054" w:rsidR="00772215" w:rsidRPr="00772215" w:rsidRDefault="00772215" w:rsidP="00772215">
      <w:pPr>
        <w:spacing w:line="240" w:lineRule="auto"/>
        <w:rPr>
          <w:rFonts w:eastAsia="Times New Roman" w:cs="Arial"/>
          <w:i/>
          <w:iCs/>
          <w:color w:val="000000"/>
          <w:lang w:eastAsia="bg-BG"/>
        </w:rPr>
      </w:pPr>
      <w:r w:rsidRPr="00FD4C98">
        <w:rPr>
          <w:rFonts w:eastAsia="Times New Roman" w:cs="Arial"/>
          <w:i/>
          <w:iCs/>
          <w:color w:val="000000"/>
          <w:lang w:val="ru-RU" w:eastAsia="bg-BG"/>
        </w:rPr>
        <w:t>**</w:t>
      </w:r>
      <w:r w:rsidRPr="00772215">
        <w:rPr>
          <w:rFonts w:eastAsia="Times New Roman" w:cs="Arial"/>
          <w:i/>
          <w:iCs/>
          <w:color w:val="000000"/>
          <w:lang w:eastAsia="bg-BG"/>
        </w:rPr>
        <w:t>Инструментални ежедневни дейности:</w:t>
      </w:r>
      <w:r w:rsidRPr="00772215">
        <w:rPr>
          <w:rFonts w:eastAsia="Times New Roman" w:cs="Arial"/>
          <w:color w:val="000000"/>
          <w:lang w:eastAsia="bg-BG"/>
        </w:rPr>
        <w:t xml:space="preserve"> отнася се за приготвяне на храна, пазаруване на храни или дрехи, използване на телефон, работа с пари и др.;</w:t>
      </w:r>
    </w:p>
    <w:p w14:paraId="275A8A46" w14:textId="5CF0C0C7" w:rsidR="00772215" w:rsidRPr="00772215" w:rsidRDefault="00772215" w:rsidP="00772215">
      <w:pPr>
        <w:spacing w:line="240" w:lineRule="auto"/>
        <w:rPr>
          <w:rFonts w:eastAsia="Times New Roman" w:cs="Arial"/>
          <w:i/>
          <w:iCs/>
          <w:color w:val="000000"/>
          <w:lang w:eastAsia="bg-BG"/>
        </w:rPr>
      </w:pPr>
      <w:r w:rsidRPr="00FD4C98">
        <w:rPr>
          <w:rFonts w:eastAsia="Times New Roman" w:cs="Arial"/>
          <w:i/>
          <w:iCs/>
          <w:color w:val="000000"/>
          <w:lang w:val="ru-RU" w:eastAsia="bg-BG"/>
        </w:rPr>
        <w:t>***</w:t>
      </w:r>
      <w:r w:rsidRPr="00772215">
        <w:rPr>
          <w:rFonts w:eastAsia="Times New Roman" w:cs="Arial"/>
          <w:i/>
          <w:iCs/>
          <w:color w:val="000000"/>
          <w:lang w:eastAsia="bg-BG"/>
        </w:rPr>
        <w:t>Ежедневни дейности по самообслужване:</w:t>
      </w:r>
      <w:r w:rsidRPr="00772215">
        <w:rPr>
          <w:rFonts w:eastAsia="Times New Roman" w:cs="Arial"/>
          <w:color w:val="000000"/>
          <w:lang w:eastAsia="bg-BG"/>
        </w:rPr>
        <w:t xml:space="preserve"> отнася се за къпане, обличане и събличане, хранене, използване на тоалетната, приемане на лекарствени продукти и залежаване на легло.</w:t>
      </w:r>
    </w:p>
    <w:p w14:paraId="361D2D99" w14:textId="77777777" w:rsidR="00772215" w:rsidRPr="00772215" w:rsidRDefault="00772215" w:rsidP="00772215">
      <w:pPr>
        <w:spacing w:line="240" w:lineRule="auto"/>
        <w:rPr>
          <w:rFonts w:eastAsia="Times New Roman" w:cs="Arial"/>
          <w:i/>
          <w:iCs/>
          <w:color w:val="000000"/>
          <w:lang w:eastAsia="bg-BG"/>
        </w:rPr>
      </w:pPr>
    </w:p>
    <w:p w14:paraId="57775A19" w14:textId="5839A288"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 xml:space="preserve">Комбинирано лечение с </w:t>
      </w:r>
      <w:proofErr w:type="spellStart"/>
      <w:r w:rsidRPr="00772215">
        <w:rPr>
          <w:rFonts w:eastAsia="Times New Roman" w:cs="Arial"/>
          <w:i/>
          <w:iCs/>
          <w:color w:val="000000"/>
          <w:lang w:eastAsia="bg-BG"/>
        </w:rPr>
        <w:t>пегилиран</w:t>
      </w:r>
      <w:proofErr w:type="spellEnd"/>
      <w:r w:rsidRPr="00772215">
        <w:rPr>
          <w:rFonts w:eastAsia="Times New Roman" w:cs="Arial"/>
          <w:i/>
          <w:iCs/>
          <w:color w:val="000000"/>
          <w:lang w:eastAsia="bg-BG"/>
        </w:rPr>
        <w:t xml:space="preserve"> </w:t>
      </w:r>
      <w:proofErr w:type="spellStart"/>
      <w:r w:rsidRPr="00772215">
        <w:rPr>
          <w:rFonts w:eastAsia="Times New Roman" w:cs="Arial"/>
          <w:i/>
          <w:iCs/>
          <w:color w:val="000000"/>
          <w:lang w:eastAsia="bg-BG"/>
        </w:rPr>
        <w:t>липозомен</w:t>
      </w:r>
      <w:proofErr w:type="spellEnd"/>
      <w:r w:rsidRPr="00772215">
        <w:rPr>
          <w:rFonts w:eastAsia="Times New Roman" w:cs="Arial"/>
          <w:i/>
          <w:iCs/>
          <w:color w:val="000000"/>
          <w:lang w:eastAsia="bg-BG"/>
        </w:rPr>
        <w:t xml:space="preserve"> </w:t>
      </w:r>
      <w:proofErr w:type="spellStart"/>
      <w:r w:rsidRPr="00772215">
        <w:rPr>
          <w:rFonts w:eastAsia="Times New Roman" w:cs="Arial"/>
          <w:i/>
          <w:iCs/>
          <w:color w:val="000000"/>
          <w:lang w:eastAsia="bg-BG"/>
        </w:rPr>
        <w:t>доксорубицин</w:t>
      </w:r>
      <w:proofErr w:type="spellEnd"/>
    </w:p>
    <w:p w14:paraId="0F1F3103" w14:textId="4F2619DE" w:rsidR="00772215" w:rsidRPr="00772215" w:rsidRDefault="00772215" w:rsidP="00772215">
      <w:pPr>
        <w:rPr>
          <w:rFonts w:eastAsia="Times New Roman" w:cs="Arial"/>
          <w:lang w:eastAsia="bg-BG"/>
        </w:rPr>
      </w:pP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3,5 </w:t>
      </w:r>
      <w:r w:rsidRPr="00772215">
        <w:rPr>
          <w:rFonts w:eastAsia="Times New Roman" w:cs="Arial"/>
          <w:color w:val="000000"/>
          <w:lang w:val="en-US"/>
        </w:rPr>
        <w:t>mg</w:t>
      </w:r>
      <w:r w:rsidRPr="00FD4C98">
        <w:rPr>
          <w:rFonts w:eastAsia="Times New Roman" w:cs="Arial"/>
          <w:color w:val="000000"/>
          <w:lang w:val="ru-RU"/>
        </w:rPr>
        <w:t xml:space="preserve"> </w:t>
      </w:r>
      <w:r w:rsidRPr="00772215">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 доза от 1,3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телесна повърхност два пъти седмично в продължение на две седмици на ден 1, 4, 8, и 11 в 21 дневен лечебен цикъл. Този 3-седмичев период се счита за лечебен цикъл. Трябва да изминат най-малко 72 часа между две</w:t>
      </w:r>
      <w:r w:rsidRPr="00FD4C98">
        <w:rPr>
          <w:rFonts w:eastAsia="Times New Roman" w:cs="Arial"/>
          <w:color w:val="000000"/>
          <w:lang w:val="ru-RU" w:eastAsia="bg-BG"/>
        </w:rPr>
        <w:t xml:space="preserve"> </w:t>
      </w:r>
      <w:r w:rsidRPr="00772215">
        <w:rPr>
          <w:rFonts w:eastAsia="Times New Roman" w:cs="Arial"/>
          <w:color w:val="000000"/>
          <w:lang w:eastAsia="bg-BG"/>
        </w:rPr>
        <w:t xml:space="preserve">последователни </w:t>
      </w:r>
      <w:r>
        <w:rPr>
          <w:rFonts w:eastAsia="Times New Roman" w:cs="Arial"/>
          <w:color w:val="000000"/>
          <w:lang w:eastAsia="bg-BG"/>
        </w:rPr>
        <w:t xml:space="preserve">дози </w:t>
      </w:r>
      <w:proofErr w:type="spellStart"/>
      <w:r>
        <w:rPr>
          <w:rFonts w:eastAsia="Times New Roman" w:cs="Arial"/>
          <w:color w:val="000000"/>
          <w:lang w:eastAsia="bg-BG"/>
        </w:rPr>
        <w:t>Бортезокон</w:t>
      </w:r>
      <w:proofErr w:type="spellEnd"/>
      <w:r>
        <w:rPr>
          <w:rFonts w:eastAsia="Times New Roman" w:cs="Arial"/>
          <w:color w:val="000000"/>
          <w:lang w:eastAsia="bg-BG"/>
        </w:rPr>
        <w:t>.</w:t>
      </w:r>
    </w:p>
    <w:p w14:paraId="3A5F0D14" w14:textId="77777777" w:rsidR="00772215" w:rsidRPr="00772215" w:rsidRDefault="00772215" w:rsidP="00772215">
      <w:pPr>
        <w:spacing w:line="240" w:lineRule="auto"/>
        <w:rPr>
          <w:rFonts w:eastAsia="Times New Roman" w:cs="Arial"/>
          <w:color w:val="000000"/>
          <w:lang w:eastAsia="bg-BG"/>
        </w:rPr>
      </w:pPr>
    </w:p>
    <w:p w14:paraId="3AA80912" w14:textId="1F3E76C4" w:rsidR="00772215" w:rsidRPr="00772215" w:rsidRDefault="00772215" w:rsidP="00772215">
      <w:pPr>
        <w:spacing w:line="240" w:lineRule="auto"/>
        <w:rPr>
          <w:rFonts w:eastAsia="Times New Roman" w:cs="Arial"/>
          <w:lang w:eastAsia="bg-BG"/>
        </w:rPr>
      </w:pPr>
      <w:proofErr w:type="spellStart"/>
      <w:r w:rsidRPr="00772215">
        <w:rPr>
          <w:rFonts w:eastAsia="Times New Roman" w:cs="Arial"/>
          <w:color w:val="000000"/>
          <w:lang w:eastAsia="bg-BG"/>
        </w:rPr>
        <w:t>Пегилираният</w:t>
      </w:r>
      <w:proofErr w:type="spellEnd"/>
      <w:r w:rsidRPr="00772215">
        <w:rPr>
          <w:rFonts w:eastAsia="Times New Roman" w:cs="Arial"/>
          <w:color w:val="000000"/>
          <w:lang w:eastAsia="bg-BG"/>
        </w:rPr>
        <w:t xml:space="preserve"> </w:t>
      </w:r>
      <w:proofErr w:type="spellStart"/>
      <w:r w:rsidRPr="00772215">
        <w:rPr>
          <w:rFonts w:eastAsia="Times New Roman" w:cs="Arial"/>
          <w:color w:val="000000"/>
          <w:lang w:eastAsia="bg-BG"/>
        </w:rPr>
        <w:t>липозомен</w:t>
      </w:r>
      <w:proofErr w:type="spellEnd"/>
      <w:r w:rsidRPr="00772215">
        <w:rPr>
          <w:rFonts w:eastAsia="Times New Roman" w:cs="Arial"/>
          <w:color w:val="000000"/>
          <w:lang w:eastAsia="bg-BG"/>
        </w:rPr>
        <w:t xml:space="preserve"> </w:t>
      </w:r>
      <w:proofErr w:type="spellStart"/>
      <w:r w:rsidRPr="00772215">
        <w:rPr>
          <w:rFonts w:eastAsia="Times New Roman" w:cs="Arial"/>
          <w:color w:val="000000"/>
          <w:lang w:eastAsia="bg-BG"/>
        </w:rPr>
        <w:t>доксорубицин</w:t>
      </w:r>
      <w:proofErr w:type="spellEnd"/>
      <w:r w:rsidRPr="00772215">
        <w:rPr>
          <w:rFonts w:eastAsia="Times New Roman" w:cs="Arial"/>
          <w:color w:val="000000"/>
          <w:lang w:eastAsia="bg-BG"/>
        </w:rPr>
        <w:t xml:space="preserve"> се прилага в доза 30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lang w:val="ru-RU"/>
        </w:rPr>
        <w:t xml:space="preserve"> </w:t>
      </w:r>
      <w:r w:rsidRPr="00772215">
        <w:rPr>
          <w:rFonts w:eastAsia="Times New Roman" w:cs="Arial"/>
          <w:color w:val="000000"/>
          <w:lang w:eastAsia="bg-BG"/>
        </w:rPr>
        <w:t xml:space="preserve">на ден 4 от лечебния цикъл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като 1 часова интравенозна инфузия след приложението на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Може да се приложат до 8 цикъла комбинирано лечение, стига заболяването да не прогресира и пациентите да понасят лечението. Пациентите, постигнали пълен отговор, може да продължат с още поне 2 цикъла след първите данни за пълен отговор, дори ако това налага повече от 8 цикъла. Пациентите, чиито нива на </w:t>
      </w:r>
      <w:proofErr w:type="spellStart"/>
      <w:r w:rsidRPr="00772215">
        <w:rPr>
          <w:rFonts w:eastAsia="Times New Roman" w:cs="Arial"/>
          <w:color w:val="000000"/>
          <w:lang w:eastAsia="bg-BG"/>
        </w:rPr>
        <w:t>парапротеин</w:t>
      </w:r>
      <w:proofErr w:type="spellEnd"/>
      <w:r w:rsidRPr="00772215">
        <w:rPr>
          <w:rFonts w:eastAsia="Times New Roman" w:cs="Arial"/>
          <w:color w:val="000000"/>
          <w:lang w:eastAsia="bg-BG"/>
        </w:rPr>
        <w:t xml:space="preserve"> продължават да се понижават и след 8 цикъла, също може да продължат, стига да понасят лечението и да продължават да имат отговор.</w:t>
      </w:r>
    </w:p>
    <w:p w14:paraId="7C20C00D" w14:textId="77777777" w:rsidR="00772215" w:rsidRPr="00772215" w:rsidRDefault="00772215" w:rsidP="00772215">
      <w:pPr>
        <w:spacing w:line="240" w:lineRule="auto"/>
        <w:rPr>
          <w:rFonts w:eastAsia="Times New Roman" w:cs="Arial"/>
          <w:color w:val="000000"/>
          <w:lang w:eastAsia="bg-BG"/>
        </w:rPr>
      </w:pPr>
    </w:p>
    <w:p w14:paraId="5B70CE3B" w14:textId="6B8583DE"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За допълнителна информация относно </w:t>
      </w:r>
      <w:proofErr w:type="spellStart"/>
      <w:r w:rsidRPr="00772215">
        <w:rPr>
          <w:rFonts w:eastAsia="Times New Roman" w:cs="Arial"/>
          <w:color w:val="000000"/>
          <w:lang w:eastAsia="bg-BG"/>
        </w:rPr>
        <w:t>пегилирания</w:t>
      </w:r>
      <w:proofErr w:type="spellEnd"/>
      <w:r w:rsidRPr="00772215">
        <w:rPr>
          <w:rFonts w:eastAsia="Times New Roman" w:cs="Arial"/>
          <w:color w:val="000000"/>
          <w:lang w:eastAsia="bg-BG"/>
        </w:rPr>
        <w:t xml:space="preserve"> </w:t>
      </w:r>
      <w:proofErr w:type="spellStart"/>
      <w:r w:rsidRPr="00772215">
        <w:rPr>
          <w:rFonts w:eastAsia="Times New Roman" w:cs="Arial"/>
          <w:color w:val="000000"/>
          <w:lang w:eastAsia="bg-BG"/>
        </w:rPr>
        <w:t>липозомен</w:t>
      </w:r>
      <w:proofErr w:type="spellEnd"/>
      <w:r w:rsidRPr="00772215">
        <w:rPr>
          <w:rFonts w:eastAsia="Times New Roman" w:cs="Arial"/>
          <w:color w:val="000000"/>
          <w:lang w:eastAsia="bg-BG"/>
        </w:rPr>
        <w:t xml:space="preserve"> </w:t>
      </w:r>
      <w:proofErr w:type="spellStart"/>
      <w:r w:rsidRPr="00772215">
        <w:rPr>
          <w:rFonts w:eastAsia="Times New Roman" w:cs="Arial"/>
          <w:color w:val="000000"/>
          <w:lang w:eastAsia="bg-BG"/>
        </w:rPr>
        <w:t>доксорубицин</w:t>
      </w:r>
      <w:proofErr w:type="spellEnd"/>
      <w:r w:rsidRPr="00772215">
        <w:rPr>
          <w:rFonts w:eastAsia="Times New Roman" w:cs="Arial"/>
          <w:color w:val="000000"/>
          <w:lang w:eastAsia="bg-BG"/>
        </w:rPr>
        <w:t>, вижте съответната Кратка характеристика на продукта.</w:t>
      </w:r>
    </w:p>
    <w:p w14:paraId="078BA7AE" w14:textId="77777777" w:rsidR="00772215" w:rsidRPr="00772215" w:rsidRDefault="00772215" w:rsidP="00772215">
      <w:pPr>
        <w:spacing w:line="240" w:lineRule="auto"/>
        <w:rPr>
          <w:rFonts w:eastAsia="Times New Roman" w:cs="Arial"/>
          <w:i/>
          <w:iCs/>
          <w:color w:val="000000"/>
          <w:lang w:eastAsia="bg-BG"/>
        </w:rPr>
      </w:pPr>
    </w:p>
    <w:p w14:paraId="11A48D58" w14:textId="0F749BDA"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 xml:space="preserve">Комбинация с </w:t>
      </w:r>
      <w:proofErr w:type="spellStart"/>
      <w:r w:rsidRPr="00772215">
        <w:rPr>
          <w:rFonts w:eastAsia="Times New Roman" w:cs="Arial"/>
          <w:i/>
          <w:iCs/>
          <w:color w:val="000000"/>
          <w:lang w:eastAsia="bg-BG"/>
        </w:rPr>
        <w:t>дексаметазон</w:t>
      </w:r>
      <w:proofErr w:type="spellEnd"/>
    </w:p>
    <w:p w14:paraId="70CF2FA0" w14:textId="77777777" w:rsidR="00772215" w:rsidRPr="00772215" w:rsidRDefault="00772215" w:rsidP="00772215">
      <w:pPr>
        <w:spacing w:line="240" w:lineRule="auto"/>
        <w:rPr>
          <w:rFonts w:eastAsia="Times New Roman" w:cs="Arial"/>
          <w:lang w:eastAsia="bg-BG"/>
        </w:rPr>
      </w:pP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3,5 </w:t>
      </w:r>
      <w:r w:rsidRPr="00772215">
        <w:rPr>
          <w:rFonts w:eastAsia="Times New Roman" w:cs="Arial"/>
          <w:color w:val="000000"/>
          <w:lang w:val="en-US"/>
        </w:rPr>
        <w:t>mg</w:t>
      </w:r>
      <w:r w:rsidRPr="00FD4C98">
        <w:rPr>
          <w:rFonts w:eastAsia="Times New Roman" w:cs="Arial"/>
          <w:color w:val="000000"/>
          <w:lang w:val="ru-RU"/>
        </w:rPr>
        <w:t xml:space="preserve"> </w:t>
      </w:r>
      <w:r w:rsidRPr="00772215">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 доза от 1,3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 xml:space="preserve">телесна повърхност два пъти седмично в продължение на две седмици на ден 1, 4, 8, и 11 в 21 дневен цикъл на лечение. Този 3-седмичен период се счита за лечебен цикъл. Трябва да изминат най-малко 72 часа между две последователни дози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w:t>
      </w:r>
    </w:p>
    <w:p w14:paraId="5762F1FA" w14:textId="77777777" w:rsidR="00772215" w:rsidRPr="00772215" w:rsidRDefault="00772215" w:rsidP="00772215">
      <w:pPr>
        <w:spacing w:line="240" w:lineRule="auto"/>
        <w:rPr>
          <w:rFonts w:eastAsia="Times New Roman" w:cs="Arial"/>
          <w:lang w:eastAsia="bg-BG"/>
        </w:rPr>
      </w:pPr>
      <w:proofErr w:type="spellStart"/>
      <w:r w:rsidRPr="00772215">
        <w:rPr>
          <w:rFonts w:eastAsia="Times New Roman" w:cs="Arial"/>
          <w:color w:val="000000"/>
          <w:lang w:eastAsia="bg-BG"/>
        </w:rPr>
        <w:lastRenderedPageBreak/>
        <w:t>Дексаметазон</w:t>
      </w:r>
      <w:proofErr w:type="spellEnd"/>
      <w:r w:rsidRPr="00772215">
        <w:rPr>
          <w:rFonts w:eastAsia="Times New Roman" w:cs="Arial"/>
          <w:color w:val="000000"/>
          <w:lang w:eastAsia="bg-BG"/>
        </w:rPr>
        <w:t xml:space="preserve"> се прилага перорално в доза от 20 </w:t>
      </w:r>
      <w:r w:rsidRPr="00772215">
        <w:rPr>
          <w:rFonts w:eastAsia="Times New Roman" w:cs="Arial"/>
          <w:color w:val="000000"/>
          <w:lang w:val="en-US"/>
        </w:rPr>
        <w:t>mg</w:t>
      </w:r>
      <w:r w:rsidRPr="00FD4C98">
        <w:rPr>
          <w:rFonts w:eastAsia="Times New Roman" w:cs="Arial"/>
          <w:color w:val="000000"/>
          <w:lang w:val="ru-RU"/>
        </w:rPr>
        <w:t xml:space="preserve"> </w:t>
      </w:r>
      <w:r w:rsidRPr="00772215">
        <w:rPr>
          <w:rFonts w:eastAsia="Times New Roman" w:cs="Arial"/>
          <w:color w:val="000000"/>
          <w:lang w:eastAsia="bg-BG"/>
        </w:rPr>
        <w:t xml:space="preserve">на ден 1, 2, 4, 5, 8, 9, 11 и 12 от лечебния цикъл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w:t>
      </w:r>
    </w:p>
    <w:p w14:paraId="09E9F08B"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Пациентите, постигнали отговор или стабилизиране на заболяването след 4 цикъла от комбинираното лечение, може да продължат да приемат същата комбинация за не повече от 4 допълнителни цикъла.</w:t>
      </w:r>
    </w:p>
    <w:p w14:paraId="5B0ACDAB" w14:textId="77777777" w:rsidR="00772215" w:rsidRPr="00772215" w:rsidRDefault="00772215" w:rsidP="00772215">
      <w:pPr>
        <w:spacing w:line="240" w:lineRule="auto"/>
        <w:rPr>
          <w:rFonts w:eastAsia="Times New Roman" w:cs="Arial"/>
          <w:color w:val="000000"/>
          <w:lang w:eastAsia="bg-BG"/>
        </w:rPr>
      </w:pPr>
    </w:p>
    <w:p w14:paraId="6EBDCD79" w14:textId="13AC7B81"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За допълнителна информация относно </w:t>
      </w:r>
      <w:proofErr w:type="spellStart"/>
      <w:r w:rsidRPr="00772215">
        <w:rPr>
          <w:rFonts w:eastAsia="Times New Roman" w:cs="Arial"/>
          <w:color w:val="000000"/>
          <w:lang w:eastAsia="bg-BG"/>
        </w:rPr>
        <w:t>дексаметазон</w:t>
      </w:r>
      <w:proofErr w:type="spellEnd"/>
      <w:r w:rsidRPr="00772215">
        <w:rPr>
          <w:rFonts w:eastAsia="Times New Roman" w:cs="Arial"/>
          <w:color w:val="000000"/>
          <w:lang w:eastAsia="bg-BG"/>
        </w:rPr>
        <w:t>, вижте съответната Кратка характеристика на продукта.</w:t>
      </w:r>
    </w:p>
    <w:p w14:paraId="3DBD38F2" w14:textId="77777777" w:rsidR="00772215" w:rsidRPr="00772215" w:rsidRDefault="00772215" w:rsidP="00772215">
      <w:pPr>
        <w:spacing w:line="240" w:lineRule="auto"/>
        <w:rPr>
          <w:rFonts w:eastAsia="Times New Roman" w:cs="Arial"/>
          <w:i/>
          <w:iCs/>
          <w:color w:val="000000"/>
          <w:lang w:eastAsia="bg-BG"/>
        </w:rPr>
      </w:pPr>
    </w:p>
    <w:p w14:paraId="5CDC0787" w14:textId="77777777"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Адаптиране на дозата при комбинирана терапия при пациенти с прогресиращ мултиплен миелом</w:t>
      </w:r>
    </w:p>
    <w:p w14:paraId="1A548B13" w14:textId="1B245BA2"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За коригиране на дозата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при комбинирана терапия, следвайте указанията, описани в </w:t>
      </w:r>
      <w:proofErr w:type="spellStart"/>
      <w:r w:rsidRPr="00772215">
        <w:rPr>
          <w:rFonts w:eastAsia="Times New Roman" w:cs="Arial"/>
          <w:color w:val="000000"/>
          <w:lang w:eastAsia="bg-BG"/>
        </w:rPr>
        <w:t>монотерапия</w:t>
      </w:r>
      <w:proofErr w:type="spellEnd"/>
      <w:r w:rsidRPr="00772215">
        <w:rPr>
          <w:rFonts w:eastAsia="Times New Roman" w:cs="Arial"/>
          <w:color w:val="000000"/>
          <w:lang w:eastAsia="bg-BG"/>
        </w:rPr>
        <w:t xml:space="preserve"> по-горе.</w:t>
      </w:r>
    </w:p>
    <w:p w14:paraId="1579FE9A" w14:textId="77777777" w:rsidR="00772215" w:rsidRPr="00772215" w:rsidRDefault="00772215" w:rsidP="00772215">
      <w:pPr>
        <w:spacing w:line="240" w:lineRule="auto"/>
        <w:rPr>
          <w:rFonts w:eastAsia="Times New Roman" w:cs="Arial"/>
          <w:color w:val="000000"/>
          <w:u w:val="single"/>
          <w:lang w:eastAsia="bg-BG"/>
        </w:rPr>
      </w:pPr>
    </w:p>
    <w:p w14:paraId="38682588" w14:textId="4880EFBD" w:rsidR="00772215" w:rsidRPr="0093317E" w:rsidRDefault="00772215" w:rsidP="0093317E">
      <w:pPr>
        <w:pStyle w:val="Heading3"/>
        <w:rPr>
          <w:rFonts w:eastAsia="Times New Roman"/>
          <w:u w:val="single"/>
          <w:lang w:eastAsia="bg-BG"/>
        </w:rPr>
      </w:pPr>
      <w:r w:rsidRPr="0093317E">
        <w:rPr>
          <w:rFonts w:eastAsia="Times New Roman"/>
          <w:u w:val="single"/>
          <w:lang w:eastAsia="bg-BG"/>
        </w:rPr>
        <w:t xml:space="preserve">Дозировка при </w:t>
      </w:r>
      <w:proofErr w:type="spellStart"/>
      <w:r w:rsidRPr="0093317E">
        <w:rPr>
          <w:rFonts w:eastAsia="Times New Roman"/>
          <w:u w:val="single"/>
          <w:lang w:eastAsia="bg-BG"/>
        </w:rPr>
        <w:t>нелекувани</w:t>
      </w:r>
      <w:proofErr w:type="spellEnd"/>
      <w:r w:rsidRPr="0093317E">
        <w:rPr>
          <w:rFonts w:eastAsia="Times New Roman"/>
          <w:u w:val="single"/>
          <w:lang w:eastAsia="bg-BG"/>
        </w:rPr>
        <w:t xml:space="preserve"> пациенти с мултиплен миелом, които са неподходящи за трансплантация на </w:t>
      </w:r>
      <w:proofErr w:type="spellStart"/>
      <w:r w:rsidRPr="0093317E">
        <w:rPr>
          <w:rFonts w:eastAsia="Times New Roman"/>
          <w:u w:val="single"/>
          <w:lang w:eastAsia="bg-BG"/>
        </w:rPr>
        <w:t>хемопоетични</w:t>
      </w:r>
      <w:proofErr w:type="spellEnd"/>
      <w:r w:rsidRPr="0093317E">
        <w:rPr>
          <w:rFonts w:eastAsia="Times New Roman"/>
          <w:u w:val="single"/>
          <w:lang w:eastAsia="bg-BG"/>
        </w:rPr>
        <w:t xml:space="preserve"> стволови клетки</w:t>
      </w:r>
    </w:p>
    <w:p w14:paraId="0E74A3C8" w14:textId="77777777"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Комбинирана терапия</w:t>
      </w:r>
      <w:r w:rsidRPr="00772215">
        <w:rPr>
          <w:rFonts w:eastAsia="Times New Roman" w:cs="Arial"/>
          <w:color w:val="000000"/>
          <w:lang w:eastAsia="bg-BG"/>
        </w:rPr>
        <w:t xml:space="preserve"> с </w:t>
      </w:r>
      <w:proofErr w:type="spellStart"/>
      <w:r w:rsidRPr="00772215">
        <w:rPr>
          <w:rFonts w:eastAsia="Times New Roman" w:cs="Arial"/>
          <w:i/>
          <w:iCs/>
          <w:color w:val="000000"/>
          <w:lang w:eastAsia="bg-BG"/>
        </w:rPr>
        <w:t>мелфалан</w:t>
      </w:r>
      <w:proofErr w:type="spellEnd"/>
      <w:r w:rsidRPr="00772215">
        <w:rPr>
          <w:rFonts w:eastAsia="Times New Roman" w:cs="Arial"/>
          <w:i/>
          <w:iCs/>
          <w:color w:val="000000"/>
          <w:lang w:eastAsia="bg-BG"/>
        </w:rPr>
        <w:t xml:space="preserve"> и </w:t>
      </w:r>
      <w:proofErr w:type="spellStart"/>
      <w:r w:rsidRPr="00772215">
        <w:rPr>
          <w:rFonts w:eastAsia="Times New Roman" w:cs="Arial"/>
          <w:i/>
          <w:iCs/>
          <w:color w:val="000000"/>
          <w:lang w:eastAsia="bg-BG"/>
        </w:rPr>
        <w:t>преднизон</w:t>
      </w:r>
      <w:proofErr w:type="spellEnd"/>
    </w:p>
    <w:p w14:paraId="2BBBED2D" w14:textId="6D9314E8" w:rsidR="00772215" w:rsidRPr="00772215" w:rsidRDefault="00772215" w:rsidP="00772215">
      <w:pPr>
        <w:spacing w:line="240" w:lineRule="auto"/>
        <w:rPr>
          <w:rFonts w:eastAsia="Times New Roman" w:cs="Arial"/>
          <w:lang w:eastAsia="bg-BG"/>
        </w:rPr>
      </w:pP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3,5 </w:t>
      </w:r>
      <w:r w:rsidRPr="00772215">
        <w:rPr>
          <w:rFonts w:eastAsia="Times New Roman" w:cs="Arial"/>
          <w:color w:val="000000"/>
          <w:lang w:val="en-US"/>
        </w:rPr>
        <w:t>mg</w:t>
      </w:r>
      <w:r w:rsidRPr="00FD4C98">
        <w:rPr>
          <w:rFonts w:eastAsia="Times New Roman" w:cs="Arial"/>
          <w:color w:val="000000"/>
          <w:lang w:val="ru-RU"/>
        </w:rPr>
        <w:t xml:space="preserve"> </w:t>
      </w:r>
      <w:r w:rsidRPr="00772215">
        <w:rPr>
          <w:rFonts w:eastAsia="Times New Roman" w:cs="Arial"/>
          <w:color w:val="000000"/>
          <w:lang w:eastAsia="bg-BG"/>
        </w:rPr>
        <w:t xml:space="preserve">прах за инжекционен разтвор се прилага като интравенозна или подкожна инжекция в комбинация с перорално приложени </w:t>
      </w:r>
      <w:proofErr w:type="spellStart"/>
      <w:r w:rsidRPr="00772215">
        <w:rPr>
          <w:rFonts w:eastAsia="Times New Roman" w:cs="Arial"/>
          <w:color w:val="000000"/>
          <w:lang w:eastAsia="bg-BG"/>
        </w:rPr>
        <w:t>мелфалан</w:t>
      </w:r>
      <w:proofErr w:type="spellEnd"/>
      <w:r w:rsidRPr="00772215">
        <w:rPr>
          <w:rFonts w:eastAsia="Times New Roman" w:cs="Arial"/>
          <w:color w:val="000000"/>
          <w:lang w:eastAsia="bg-BG"/>
        </w:rPr>
        <w:t xml:space="preserve"> и </w:t>
      </w:r>
      <w:proofErr w:type="spellStart"/>
      <w:r w:rsidRPr="00772215">
        <w:rPr>
          <w:rFonts w:eastAsia="Times New Roman" w:cs="Arial"/>
          <w:color w:val="000000"/>
          <w:lang w:eastAsia="bg-BG"/>
        </w:rPr>
        <w:t>преднизон</w:t>
      </w:r>
      <w:proofErr w:type="spellEnd"/>
      <w:r w:rsidRPr="00772215">
        <w:rPr>
          <w:rFonts w:eastAsia="Times New Roman" w:cs="Arial"/>
          <w:color w:val="000000"/>
          <w:lang w:eastAsia="bg-BG"/>
        </w:rPr>
        <w:t xml:space="preserve">, както е показано в Таблица 2. Един 6-седмичен период се счита за лечебен цикъл. В цикли 1-4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 xml:space="preserve"> се прилага два пъти седмично на ден 1, 4, 8, 11, 22, 25, 29 и 32, а в цикли 5-9, веднъж седмично на ден 1, 8, 22 и 29, Трябва да изминат най-малко 72 часа между две</w:t>
      </w:r>
      <w:r>
        <w:rPr>
          <w:rFonts w:eastAsia="Times New Roman" w:cs="Arial"/>
          <w:color w:val="000000"/>
          <w:lang w:eastAsia="bg-BG"/>
        </w:rPr>
        <w:t xml:space="preserve"> последователни дози </w:t>
      </w:r>
      <w:proofErr w:type="spellStart"/>
      <w:r>
        <w:rPr>
          <w:rFonts w:eastAsia="Times New Roman" w:cs="Arial"/>
          <w:color w:val="000000"/>
          <w:lang w:eastAsia="bg-BG"/>
        </w:rPr>
        <w:t>Бортезокон</w:t>
      </w:r>
      <w:proofErr w:type="spellEnd"/>
      <w:r>
        <w:rPr>
          <w:rFonts w:eastAsia="Times New Roman" w:cs="Arial"/>
          <w:color w:val="000000"/>
          <w:lang w:eastAsia="bg-BG"/>
        </w:rPr>
        <w:t>.</w:t>
      </w:r>
    </w:p>
    <w:p w14:paraId="63868FB1" w14:textId="77777777" w:rsidR="00772215" w:rsidRPr="00772215" w:rsidRDefault="00772215" w:rsidP="00772215">
      <w:pPr>
        <w:spacing w:line="240" w:lineRule="auto"/>
        <w:rPr>
          <w:rFonts w:eastAsia="Times New Roman" w:cs="Arial"/>
          <w:lang w:eastAsia="bg-BG"/>
        </w:rPr>
      </w:pPr>
      <w:proofErr w:type="spellStart"/>
      <w:r w:rsidRPr="00772215">
        <w:rPr>
          <w:rFonts w:eastAsia="Times New Roman" w:cs="Arial"/>
          <w:color w:val="000000"/>
          <w:lang w:eastAsia="bg-BG"/>
        </w:rPr>
        <w:t>Мелфалан</w:t>
      </w:r>
      <w:proofErr w:type="spellEnd"/>
      <w:r w:rsidRPr="00772215">
        <w:rPr>
          <w:rFonts w:eastAsia="Times New Roman" w:cs="Arial"/>
          <w:color w:val="000000"/>
          <w:lang w:eastAsia="bg-BG"/>
        </w:rPr>
        <w:t xml:space="preserve"> и </w:t>
      </w:r>
      <w:proofErr w:type="spellStart"/>
      <w:r w:rsidRPr="00772215">
        <w:rPr>
          <w:rFonts w:eastAsia="Times New Roman" w:cs="Arial"/>
          <w:color w:val="000000"/>
          <w:lang w:eastAsia="bg-BG"/>
        </w:rPr>
        <w:t>преднизон</w:t>
      </w:r>
      <w:proofErr w:type="spellEnd"/>
      <w:r w:rsidRPr="00772215">
        <w:rPr>
          <w:rFonts w:eastAsia="Times New Roman" w:cs="Arial"/>
          <w:color w:val="000000"/>
          <w:lang w:eastAsia="bg-BG"/>
        </w:rPr>
        <w:t xml:space="preserve"> трябва да се прилагат перорално на ден 1, 2, 3 и 4 през първата седмица на всеки лечебен цикъл с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w:t>
      </w:r>
    </w:p>
    <w:p w14:paraId="3C4369EB"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Прилагат се девет лечебни цикъла от тази комбинирана терапия.</w:t>
      </w:r>
    </w:p>
    <w:p w14:paraId="3972B1B0" w14:textId="77777777" w:rsidR="00772215" w:rsidRPr="00772215" w:rsidRDefault="00772215" w:rsidP="00772215">
      <w:pPr>
        <w:rPr>
          <w:rFonts w:eastAsia="Times New Roman" w:cs="Arial"/>
          <w:i/>
          <w:iCs/>
          <w:color w:val="000000"/>
          <w:lang w:eastAsia="bg-BG"/>
        </w:rPr>
      </w:pPr>
    </w:p>
    <w:p w14:paraId="25D5DF91" w14:textId="042924BA" w:rsidR="00772215" w:rsidRPr="00FD4C98" w:rsidRDefault="00772215" w:rsidP="00772215">
      <w:pPr>
        <w:rPr>
          <w:rFonts w:cs="Arial"/>
          <w:lang w:val="ru-RU"/>
        </w:rPr>
      </w:pPr>
      <w:r w:rsidRPr="00772215">
        <w:rPr>
          <w:rFonts w:eastAsia="Times New Roman" w:cs="Arial"/>
          <w:i/>
          <w:iCs/>
          <w:color w:val="000000"/>
          <w:lang w:eastAsia="bg-BG"/>
        </w:rPr>
        <w:t xml:space="preserve">Таблица 2: Препоръчвана дозировка за </w:t>
      </w:r>
      <w:proofErr w:type="spellStart"/>
      <w:r w:rsidRPr="00772215">
        <w:rPr>
          <w:rFonts w:eastAsia="Times New Roman" w:cs="Arial"/>
          <w:i/>
          <w:iCs/>
          <w:color w:val="000000"/>
          <w:lang w:eastAsia="bg-BG"/>
        </w:rPr>
        <w:t>бортезомиб</w:t>
      </w:r>
      <w:proofErr w:type="spellEnd"/>
      <w:r w:rsidRPr="00772215">
        <w:rPr>
          <w:rFonts w:eastAsia="Times New Roman" w:cs="Arial"/>
          <w:i/>
          <w:iCs/>
          <w:color w:val="000000"/>
          <w:lang w:eastAsia="bg-BG"/>
        </w:rPr>
        <w:t xml:space="preserve">, прилаган в комбинация с </w:t>
      </w:r>
      <w:proofErr w:type="spellStart"/>
      <w:r w:rsidRPr="00772215">
        <w:rPr>
          <w:rFonts w:eastAsia="Times New Roman" w:cs="Arial"/>
          <w:i/>
          <w:iCs/>
          <w:color w:val="000000"/>
          <w:lang w:eastAsia="bg-BG"/>
        </w:rPr>
        <w:t>мелфалан</w:t>
      </w:r>
      <w:proofErr w:type="spellEnd"/>
      <w:r w:rsidRPr="00772215">
        <w:rPr>
          <w:rFonts w:eastAsia="Times New Roman" w:cs="Arial"/>
          <w:i/>
          <w:iCs/>
          <w:color w:val="000000"/>
          <w:lang w:eastAsia="bg-BG"/>
        </w:rPr>
        <w:t xml:space="preserve"> и </w:t>
      </w:r>
      <w:proofErr w:type="spellStart"/>
      <w:r w:rsidRPr="00772215">
        <w:rPr>
          <w:rFonts w:eastAsia="Times New Roman" w:cs="Arial"/>
          <w:i/>
          <w:iCs/>
          <w:color w:val="000000"/>
          <w:lang w:eastAsia="bg-BG"/>
        </w:rPr>
        <w:t>преднизон</w:t>
      </w:r>
      <w:proofErr w:type="spellEnd"/>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72215" w14:paraId="37ADA6F1" w14:textId="77777777" w:rsidTr="00613F14">
        <w:tc>
          <w:tcPr>
            <w:tcW w:w="9350" w:type="dxa"/>
            <w:gridSpan w:val="7"/>
          </w:tcPr>
          <w:p w14:paraId="3FF1BB5D" w14:textId="07003203" w:rsidR="00772215" w:rsidRPr="00772215" w:rsidRDefault="00772215" w:rsidP="0091385D">
            <w:pPr>
              <w:rPr>
                <w:rFonts w:cs="Arial"/>
              </w:rPr>
            </w:pPr>
            <w:proofErr w:type="spellStart"/>
            <w:r w:rsidRPr="00772215">
              <w:rPr>
                <w:rFonts w:cs="Arial"/>
                <w:b/>
                <w:bCs/>
              </w:rPr>
              <w:t>Бортезомиб</w:t>
            </w:r>
            <w:proofErr w:type="spellEnd"/>
            <w:r w:rsidRPr="00772215">
              <w:rPr>
                <w:rFonts w:cs="Arial"/>
                <w:b/>
                <w:bCs/>
              </w:rPr>
              <w:t xml:space="preserve"> два пъти седмично (цикли 1-4)</w:t>
            </w:r>
          </w:p>
        </w:tc>
      </w:tr>
      <w:tr w:rsidR="00772215" w14:paraId="200F08C4" w14:textId="77777777" w:rsidTr="00772215">
        <w:tc>
          <w:tcPr>
            <w:tcW w:w="1335" w:type="dxa"/>
          </w:tcPr>
          <w:p w14:paraId="1BEA4252" w14:textId="77FC4E69" w:rsidR="00772215" w:rsidRPr="00772215" w:rsidRDefault="00772215" w:rsidP="00772215">
            <w:pPr>
              <w:rPr>
                <w:rFonts w:cs="Arial"/>
              </w:rPr>
            </w:pPr>
            <w:r w:rsidRPr="00772215">
              <w:rPr>
                <w:rFonts w:cs="Arial"/>
                <w:b/>
                <w:bCs/>
              </w:rPr>
              <w:t>Седмица</w:t>
            </w:r>
          </w:p>
        </w:tc>
        <w:tc>
          <w:tcPr>
            <w:tcW w:w="1335" w:type="dxa"/>
          </w:tcPr>
          <w:p w14:paraId="04FF044E" w14:textId="2558FEB8" w:rsidR="00772215" w:rsidRPr="00772215" w:rsidRDefault="00772215" w:rsidP="00772215">
            <w:pPr>
              <w:rPr>
                <w:rFonts w:cs="Arial"/>
              </w:rPr>
            </w:pPr>
            <w:r w:rsidRPr="00772215">
              <w:rPr>
                <w:rFonts w:cs="Arial"/>
                <w:b/>
                <w:bCs/>
              </w:rPr>
              <w:t>1</w:t>
            </w:r>
          </w:p>
        </w:tc>
        <w:tc>
          <w:tcPr>
            <w:tcW w:w="1336" w:type="dxa"/>
          </w:tcPr>
          <w:p w14:paraId="4654E6DF" w14:textId="623093F6" w:rsidR="00772215" w:rsidRPr="00772215" w:rsidRDefault="00772215" w:rsidP="00772215">
            <w:pPr>
              <w:rPr>
                <w:rFonts w:cs="Arial"/>
              </w:rPr>
            </w:pPr>
            <w:r w:rsidRPr="00772215">
              <w:rPr>
                <w:rFonts w:cs="Arial"/>
                <w:b/>
                <w:bCs/>
              </w:rPr>
              <w:t>2</w:t>
            </w:r>
          </w:p>
        </w:tc>
        <w:tc>
          <w:tcPr>
            <w:tcW w:w="1336" w:type="dxa"/>
          </w:tcPr>
          <w:p w14:paraId="4229DE3D" w14:textId="7CA92A44" w:rsidR="00772215" w:rsidRPr="00772215" w:rsidRDefault="00772215" w:rsidP="00772215">
            <w:pPr>
              <w:rPr>
                <w:rFonts w:cs="Arial"/>
              </w:rPr>
            </w:pPr>
            <w:r w:rsidRPr="00772215">
              <w:rPr>
                <w:rFonts w:cs="Arial"/>
                <w:b/>
                <w:bCs/>
              </w:rPr>
              <w:t>3</w:t>
            </w:r>
          </w:p>
        </w:tc>
        <w:tc>
          <w:tcPr>
            <w:tcW w:w="1336" w:type="dxa"/>
          </w:tcPr>
          <w:p w14:paraId="5B3FB335" w14:textId="00C7741C" w:rsidR="00772215" w:rsidRPr="00772215" w:rsidRDefault="00772215" w:rsidP="00772215">
            <w:pPr>
              <w:rPr>
                <w:rFonts w:cs="Arial"/>
              </w:rPr>
            </w:pPr>
            <w:r w:rsidRPr="00772215">
              <w:rPr>
                <w:rFonts w:cs="Arial"/>
                <w:b/>
                <w:bCs/>
              </w:rPr>
              <w:t>4</w:t>
            </w:r>
          </w:p>
        </w:tc>
        <w:tc>
          <w:tcPr>
            <w:tcW w:w="1336" w:type="dxa"/>
          </w:tcPr>
          <w:p w14:paraId="35CAEB6B" w14:textId="7EBDFDF5" w:rsidR="00772215" w:rsidRPr="00772215" w:rsidRDefault="00772215" w:rsidP="00772215">
            <w:pPr>
              <w:rPr>
                <w:rFonts w:cs="Arial"/>
              </w:rPr>
            </w:pPr>
            <w:r w:rsidRPr="00772215">
              <w:rPr>
                <w:rFonts w:cs="Arial"/>
                <w:b/>
                <w:bCs/>
              </w:rPr>
              <w:t>5</w:t>
            </w:r>
          </w:p>
        </w:tc>
        <w:tc>
          <w:tcPr>
            <w:tcW w:w="1336" w:type="dxa"/>
          </w:tcPr>
          <w:p w14:paraId="44B648AE" w14:textId="59C48B27" w:rsidR="00772215" w:rsidRPr="00772215" w:rsidRDefault="00772215" w:rsidP="00772215">
            <w:pPr>
              <w:rPr>
                <w:rFonts w:cs="Arial"/>
              </w:rPr>
            </w:pPr>
            <w:r w:rsidRPr="00772215">
              <w:rPr>
                <w:rFonts w:cs="Arial"/>
                <w:b/>
                <w:bCs/>
              </w:rPr>
              <w:t>6</w:t>
            </w:r>
          </w:p>
        </w:tc>
      </w:tr>
      <w:tr w:rsidR="00772215" w14:paraId="6952DD2E" w14:textId="77777777" w:rsidTr="00772215">
        <w:tc>
          <w:tcPr>
            <w:tcW w:w="1335" w:type="dxa"/>
          </w:tcPr>
          <w:p w14:paraId="7BCFFA9A" w14:textId="641B32CE" w:rsidR="00772215" w:rsidRPr="00772215" w:rsidRDefault="00772215" w:rsidP="00772215">
            <w:pPr>
              <w:rPr>
                <w:rFonts w:cs="Arial"/>
              </w:rPr>
            </w:pPr>
            <w:proofErr w:type="spellStart"/>
            <w:r w:rsidRPr="00772215">
              <w:rPr>
                <w:rFonts w:cs="Arial"/>
              </w:rPr>
              <w:t>Вг</w:t>
            </w:r>
            <w:proofErr w:type="spellEnd"/>
            <w:r w:rsidRPr="00772215">
              <w:rPr>
                <w:rFonts w:cs="Arial"/>
              </w:rPr>
              <w:t xml:space="preserve"> (1,3 </w:t>
            </w:r>
            <w:r w:rsidRPr="00772215">
              <w:rPr>
                <w:rFonts w:cs="Arial"/>
                <w:lang w:val="en-US"/>
              </w:rPr>
              <w:t>mg/m2)</w:t>
            </w:r>
          </w:p>
        </w:tc>
        <w:tc>
          <w:tcPr>
            <w:tcW w:w="1335" w:type="dxa"/>
          </w:tcPr>
          <w:p w14:paraId="0278E84C" w14:textId="77777777" w:rsidR="00772215" w:rsidRPr="00772215" w:rsidRDefault="00772215" w:rsidP="00772215">
            <w:pPr>
              <w:rPr>
                <w:rFonts w:cs="Arial"/>
              </w:rPr>
            </w:pPr>
            <w:r w:rsidRPr="00772215">
              <w:rPr>
                <w:rFonts w:cs="Arial"/>
              </w:rPr>
              <w:t>Ден 1</w:t>
            </w:r>
          </w:p>
          <w:p w14:paraId="74CDD702" w14:textId="73746ED1" w:rsidR="00772215" w:rsidRPr="00772215" w:rsidRDefault="00772215" w:rsidP="00772215">
            <w:pPr>
              <w:rPr>
                <w:rFonts w:cs="Arial"/>
              </w:rPr>
            </w:pPr>
            <w:r w:rsidRPr="00772215">
              <w:rPr>
                <w:rFonts w:cs="Arial"/>
              </w:rPr>
              <w:t>Ден 4</w:t>
            </w:r>
          </w:p>
        </w:tc>
        <w:tc>
          <w:tcPr>
            <w:tcW w:w="1336" w:type="dxa"/>
          </w:tcPr>
          <w:p w14:paraId="54CC4582" w14:textId="77777777" w:rsidR="00772215" w:rsidRPr="00772215" w:rsidRDefault="00772215" w:rsidP="00772215">
            <w:pPr>
              <w:rPr>
                <w:rFonts w:cs="Arial"/>
              </w:rPr>
            </w:pPr>
            <w:r w:rsidRPr="00772215">
              <w:rPr>
                <w:rFonts w:cs="Arial"/>
              </w:rPr>
              <w:t>Ден 8</w:t>
            </w:r>
          </w:p>
          <w:p w14:paraId="17BE6BAE" w14:textId="3B936744" w:rsidR="00772215" w:rsidRPr="00772215" w:rsidRDefault="00772215" w:rsidP="00772215">
            <w:pPr>
              <w:rPr>
                <w:rFonts w:cs="Arial"/>
              </w:rPr>
            </w:pPr>
            <w:r w:rsidRPr="00772215">
              <w:rPr>
                <w:rFonts w:cs="Arial"/>
              </w:rPr>
              <w:t>Ден 11</w:t>
            </w:r>
          </w:p>
        </w:tc>
        <w:tc>
          <w:tcPr>
            <w:tcW w:w="1336" w:type="dxa"/>
          </w:tcPr>
          <w:p w14:paraId="7F35A0BD" w14:textId="20ED69C8" w:rsidR="00772215" w:rsidRPr="00772215" w:rsidRDefault="00772215" w:rsidP="00772215">
            <w:pPr>
              <w:rPr>
                <w:rFonts w:cs="Arial"/>
              </w:rPr>
            </w:pPr>
            <w:r w:rsidRPr="00772215">
              <w:rPr>
                <w:rFonts w:cs="Arial"/>
              </w:rPr>
              <w:t>Период на почивка</w:t>
            </w:r>
          </w:p>
        </w:tc>
        <w:tc>
          <w:tcPr>
            <w:tcW w:w="1336" w:type="dxa"/>
          </w:tcPr>
          <w:p w14:paraId="4EFFDB79" w14:textId="77777777" w:rsidR="00772215" w:rsidRPr="00772215" w:rsidRDefault="00772215" w:rsidP="00772215">
            <w:pPr>
              <w:rPr>
                <w:rFonts w:cs="Arial"/>
              </w:rPr>
            </w:pPr>
            <w:r w:rsidRPr="00772215">
              <w:rPr>
                <w:rFonts w:cs="Arial"/>
              </w:rPr>
              <w:t>Ден 22</w:t>
            </w:r>
          </w:p>
          <w:p w14:paraId="47646B25" w14:textId="4893852D" w:rsidR="00772215" w:rsidRPr="00772215" w:rsidRDefault="00772215" w:rsidP="00772215">
            <w:pPr>
              <w:rPr>
                <w:rFonts w:cs="Arial"/>
              </w:rPr>
            </w:pPr>
            <w:r w:rsidRPr="00772215">
              <w:rPr>
                <w:rFonts w:cs="Arial"/>
              </w:rPr>
              <w:t>Ден 25</w:t>
            </w:r>
          </w:p>
        </w:tc>
        <w:tc>
          <w:tcPr>
            <w:tcW w:w="1336" w:type="dxa"/>
          </w:tcPr>
          <w:p w14:paraId="5E68EF7B" w14:textId="77777777" w:rsidR="00772215" w:rsidRPr="00772215" w:rsidRDefault="00772215" w:rsidP="00772215">
            <w:pPr>
              <w:rPr>
                <w:rFonts w:cs="Arial"/>
              </w:rPr>
            </w:pPr>
            <w:r w:rsidRPr="00772215">
              <w:rPr>
                <w:rFonts w:cs="Arial"/>
              </w:rPr>
              <w:t>Ден 29</w:t>
            </w:r>
          </w:p>
          <w:p w14:paraId="726F4746" w14:textId="7AB81D3E" w:rsidR="00772215" w:rsidRPr="00772215" w:rsidRDefault="00772215" w:rsidP="00772215">
            <w:pPr>
              <w:rPr>
                <w:rFonts w:cs="Arial"/>
              </w:rPr>
            </w:pPr>
            <w:r w:rsidRPr="00772215">
              <w:rPr>
                <w:rFonts w:cs="Arial"/>
              </w:rPr>
              <w:t>Ден 32</w:t>
            </w:r>
          </w:p>
        </w:tc>
        <w:tc>
          <w:tcPr>
            <w:tcW w:w="1336" w:type="dxa"/>
          </w:tcPr>
          <w:p w14:paraId="320E4AA8" w14:textId="0446D262" w:rsidR="00772215" w:rsidRPr="00772215" w:rsidRDefault="00772215" w:rsidP="00772215">
            <w:pPr>
              <w:rPr>
                <w:rFonts w:cs="Arial"/>
              </w:rPr>
            </w:pPr>
            <w:r w:rsidRPr="00772215">
              <w:rPr>
                <w:rFonts w:cs="Arial"/>
              </w:rPr>
              <w:t>Период на почивка</w:t>
            </w:r>
          </w:p>
        </w:tc>
      </w:tr>
      <w:tr w:rsidR="00772215" w14:paraId="3D965836" w14:textId="77777777" w:rsidTr="00772215">
        <w:tc>
          <w:tcPr>
            <w:tcW w:w="1335" w:type="dxa"/>
          </w:tcPr>
          <w:p w14:paraId="2AFC18DC" w14:textId="2C019AA6" w:rsidR="00772215" w:rsidRPr="00772215" w:rsidRDefault="00772215" w:rsidP="00772215">
            <w:pPr>
              <w:rPr>
                <w:rFonts w:cs="Arial"/>
              </w:rPr>
            </w:pPr>
            <w:r w:rsidRPr="00772215">
              <w:rPr>
                <w:rFonts w:cs="Arial"/>
              </w:rPr>
              <w:t xml:space="preserve">М(9 </w:t>
            </w:r>
            <w:r w:rsidRPr="00772215">
              <w:rPr>
                <w:rFonts w:cs="Arial"/>
                <w:lang w:val="en-US"/>
              </w:rPr>
              <w:t xml:space="preserve">mg/m2) </w:t>
            </w:r>
            <w:r w:rsidRPr="00772215">
              <w:rPr>
                <w:rFonts w:cs="Arial"/>
              </w:rPr>
              <w:t xml:space="preserve">Р(60 </w:t>
            </w:r>
            <w:r w:rsidRPr="00772215">
              <w:rPr>
                <w:rFonts w:cs="Arial"/>
                <w:lang w:val="en-US"/>
              </w:rPr>
              <w:t>mg/m2)</w:t>
            </w:r>
          </w:p>
        </w:tc>
        <w:tc>
          <w:tcPr>
            <w:tcW w:w="1335" w:type="dxa"/>
          </w:tcPr>
          <w:p w14:paraId="549689C0" w14:textId="77777777" w:rsidR="00772215" w:rsidRPr="00772215" w:rsidRDefault="00772215" w:rsidP="00772215">
            <w:pPr>
              <w:rPr>
                <w:rFonts w:cs="Arial"/>
              </w:rPr>
            </w:pPr>
            <w:r w:rsidRPr="00772215">
              <w:rPr>
                <w:rFonts w:cs="Arial"/>
              </w:rPr>
              <w:t>Ден 1</w:t>
            </w:r>
          </w:p>
          <w:p w14:paraId="24528006" w14:textId="2E2F747A" w:rsidR="00772215" w:rsidRPr="00772215" w:rsidRDefault="00772215" w:rsidP="00772215">
            <w:pPr>
              <w:rPr>
                <w:rFonts w:cs="Arial"/>
              </w:rPr>
            </w:pPr>
            <w:r w:rsidRPr="00772215">
              <w:rPr>
                <w:rFonts w:cs="Arial"/>
              </w:rPr>
              <w:t xml:space="preserve">Ден 2 </w:t>
            </w:r>
            <w:proofErr w:type="spellStart"/>
            <w:r w:rsidRPr="00772215">
              <w:rPr>
                <w:rFonts w:cs="Arial"/>
              </w:rPr>
              <w:t>ДенЗ</w:t>
            </w:r>
            <w:proofErr w:type="spellEnd"/>
            <w:r w:rsidRPr="00772215">
              <w:rPr>
                <w:rFonts w:cs="Arial"/>
              </w:rPr>
              <w:t xml:space="preserve"> Ден 4</w:t>
            </w:r>
          </w:p>
        </w:tc>
        <w:tc>
          <w:tcPr>
            <w:tcW w:w="1336" w:type="dxa"/>
          </w:tcPr>
          <w:p w14:paraId="6D942B1C" w14:textId="77777777" w:rsidR="00772215" w:rsidRPr="00772215" w:rsidRDefault="00772215" w:rsidP="00772215">
            <w:pPr>
              <w:rPr>
                <w:rFonts w:cs="Arial"/>
              </w:rPr>
            </w:pPr>
            <w:r w:rsidRPr="00772215">
              <w:rPr>
                <w:rFonts w:cs="Arial"/>
              </w:rPr>
              <w:t>--</w:t>
            </w:r>
          </w:p>
          <w:p w14:paraId="0C062054" w14:textId="6846B340" w:rsidR="00772215" w:rsidRPr="00772215" w:rsidRDefault="00772215" w:rsidP="00772215">
            <w:pPr>
              <w:rPr>
                <w:rFonts w:cs="Arial"/>
              </w:rPr>
            </w:pPr>
            <w:r w:rsidRPr="00772215">
              <w:rPr>
                <w:rFonts w:cs="Arial"/>
              </w:rPr>
              <w:t>--</w:t>
            </w:r>
          </w:p>
        </w:tc>
        <w:tc>
          <w:tcPr>
            <w:tcW w:w="1336" w:type="dxa"/>
          </w:tcPr>
          <w:p w14:paraId="6212E831" w14:textId="7B57959C" w:rsidR="00772215" w:rsidRPr="00772215" w:rsidRDefault="00772215" w:rsidP="00772215">
            <w:pPr>
              <w:rPr>
                <w:rFonts w:cs="Arial"/>
              </w:rPr>
            </w:pPr>
            <w:r w:rsidRPr="00772215">
              <w:rPr>
                <w:rFonts w:cs="Arial"/>
              </w:rPr>
              <w:t>Период на почивка</w:t>
            </w:r>
          </w:p>
        </w:tc>
        <w:tc>
          <w:tcPr>
            <w:tcW w:w="1336" w:type="dxa"/>
          </w:tcPr>
          <w:p w14:paraId="6A136912" w14:textId="77777777" w:rsidR="00772215" w:rsidRPr="00772215" w:rsidRDefault="00772215" w:rsidP="00772215">
            <w:pPr>
              <w:rPr>
                <w:rFonts w:cs="Arial"/>
              </w:rPr>
            </w:pPr>
            <w:r w:rsidRPr="00772215">
              <w:rPr>
                <w:rFonts w:cs="Arial"/>
              </w:rPr>
              <w:t>--</w:t>
            </w:r>
          </w:p>
          <w:p w14:paraId="0A628A0D" w14:textId="05B2CADC" w:rsidR="00772215" w:rsidRPr="00772215" w:rsidRDefault="00772215" w:rsidP="00772215">
            <w:pPr>
              <w:rPr>
                <w:rFonts w:cs="Arial"/>
              </w:rPr>
            </w:pPr>
            <w:r w:rsidRPr="00772215">
              <w:rPr>
                <w:rFonts w:cs="Arial"/>
              </w:rPr>
              <w:t>--</w:t>
            </w:r>
          </w:p>
        </w:tc>
        <w:tc>
          <w:tcPr>
            <w:tcW w:w="1336" w:type="dxa"/>
          </w:tcPr>
          <w:p w14:paraId="371CFBF1" w14:textId="77777777" w:rsidR="00772215" w:rsidRPr="00772215" w:rsidRDefault="00772215" w:rsidP="00772215">
            <w:pPr>
              <w:rPr>
                <w:rFonts w:cs="Arial"/>
              </w:rPr>
            </w:pPr>
            <w:r w:rsidRPr="00772215">
              <w:rPr>
                <w:rFonts w:cs="Arial"/>
                <w:b/>
                <w:bCs/>
              </w:rPr>
              <w:t>--</w:t>
            </w:r>
          </w:p>
          <w:p w14:paraId="0156DDEF" w14:textId="6DFA11DB" w:rsidR="00772215" w:rsidRPr="00772215" w:rsidRDefault="00772215" w:rsidP="00772215">
            <w:pPr>
              <w:rPr>
                <w:rFonts w:cs="Arial"/>
              </w:rPr>
            </w:pPr>
            <w:r w:rsidRPr="00772215">
              <w:rPr>
                <w:rFonts w:cs="Arial"/>
                <w:b/>
                <w:bCs/>
              </w:rPr>
              <w:t>--</w:t>
            </w:r>
          </w:p>
        </w:tc>
        <w:tc>
          <w:tcPr>
            <w:tcW w:w="1336" w:type="dxa"/>
          </w:tcPr>
          <w:p w14:paraId="2D8BFF70" w14:textId="77777777" w:rsidR="00772215" w:rsidRPr="00772215" w:rsidRDefault="00772215" w:rsidP="00772215">
            <w:pPr>
              <w:rPr>
                <w:rFonts w:cs="Arial"/>
              </w:rPr>
            </w:pPr>
            <w:r w:rsidRPr="00772215">
              <w:rPr>
                <w:rFonts w:cs="Arial"/>
              </w:rPr>
              <w:t>Период на</w:t>
            </w:r>
          </w:p>
          <w:p w14:paraId="7C8CB8B1" w14:textId="6ED32F58" w:rsidR="00772215" w:rsidRPr="00772215" w:rsidRDefault="00772215" w:rsidP="00772215">
            <w:pPr>
              <w:rPr>
                <w:rFonts w:cs="Arial"/>
              </w:rPr>
            </w:pPr>
            <w:r w:rsidRPr="00772215">
              <w:rPr>
                <w:rFonts w:cs="Arial"/>
              </w:rPr>
              <w:t>почивка</w:t>
            </w:r>
          </w:p>
        </w:tc>
      </w:tr>
      <w:tr w:rsidR="00772215" w14:paraId="7734579D" w14:textId="77777777" w:rsidTr="00613F14">
        <w:tc>
          <w:tcPr>
            <w:tcW w:w="9350" w:type="dxa"/>
            <w:gridSpan w:val="7"/>
          </w:tcPr>
          <w:p w14:paraId="1C5B5764" w14:textId="26C07C7E" w:rsidR="00772215" w:rsidRPr="00772215" w:rsidRDefault="00772215" w:rsidP="0091385D">
            <w:pPr>
              <w:rPr>
                <w:rFonts w:cs="Arial"/>
              </w:rPr>
            </w:pPr>
            <w:proofErr w:type="spellStart"/>
            <w:r w:rsidRPr="00772215">
              <w:rPr>
                <w:rFonts w:cs="Arial"/>
                <w:b/>
                <w:bCs/>
              </w:rPr>
              <w:t>Бортезомиб</w:t>
            </w:r>
            <w:proofErr w:type="spellEnd"/>
            <w:r w:rsidRPr="00772215">
              <w:rPr>
                <w:rFonts w:cs="Arial"/>
                <w:b/>
                <w:bCs/>
              </w:rPr>
              <w:t xml:space="preserve"> веднъж седмично (цикли 5-9)</w:t>
            </w:r>
          </w:p>
        </w:tc>
      </w:tr>
      <w:tr w:rsidR="00772215" w14:paraId="39CBDF90" w14:textId="77777777" w:rsidTr="00772215">
        <w:tc>
          <w:tcPr>
            <w:tcW w:w="1335" w:type="dxa"/>
          </w:tcPr>
          <w:p w14:paraId="2E121C65" w14:textId="22633FE0" w:rsidR="00772215" w:rsidRPr="00772215" w:rsidRDefault="00772215" w:rsidP="00772215">
            <w:pPr>
              <w:rPr>
                <w:rFonts w:cs="Arial"/>
              </w:rPr>
            </w:pPr>
            <w:r w:rsidRPr="00772215">
              <w:rPr>
                <w:rFonts w:cs="Arial"/>
                <w:b/>
                <w:bCs/>
              </w:rPr>
              <w:t>Седмица</w:t>
            </w:r>
          </w:p>
        </w:tc>
        <w:tc>
          <w:tcPr>
            <w:tcW w:w="1335" w:type="dxa"/>
          </w:tcPr>
          <w:p w14:paraId="07D81A00" w14:textId="54963D48" w:rsidR="00772215" w:rsidRPr="00772215" w:rsidRDefault="00772215" w:rsidP="00772215">
            <w:pPr>
              <w:rPr>
                <w:rFonts w:cs="Arial"/>
              </w:rPr>
            </w:pPr>
            <w:r w:rsidRPr="00772215">
              <w:rPr>
                <w:rFonts w:cs="Arial"/>
                <w:b/>
                <w:bCs/>
              </w:rPr>
              <w:t>1</w:t>
            </w:r>
          </w:p>
        </w:tc>
        <w:tc>
          <w:tcPr>
            <w:tcW w:w="1336" w:type="dxa"/>
          </w:tcPr>
          <w:p w14:paraId="086A142C" w14:textId="22B9C2E2" w:rsidR="00772215" w:rsidRPr="00772215" w:rsidRDefault="00772215" w:rsidP="00772215">
            <w:pPr>
              <w:rPr>
                <w:rFonts w:cs="Arial"/>
              </w:rPr>
            </w:pPr>
            <w:r w:rsidRPr="00772215">
              <w:rPr>
                <w:rFonts w:cs="Arial"/>
                <w:b/>
                <w:bCs/>
              </w:rPr>
              <w:t>2</w:t>
            </w:r>
          </w:p>
        </w:tc>
        <w:tc>
          <w:tcPr>
            <w:tcW w:w="1336" w:type="dxa"/>
          </w:tcPr>
          <w:p w14:paraId="689488DD" w14:textId="4B7615C4" w:rsidR="00772215" w:rsidRPr="00772215" w:rsidRDefault="00772215" w:rsidP="00772215">
            <w:pPr>
              <w:rPr>
                <w:rFonts w:cs="Arial"/>
              </w:rPr>
            </w:pPr>
            <w:r w:rsidRPr="00772215">
              <w:rPr>
                <w:rFonts w:cs="Arial"/>
                <w:b/>
                <w:bCs/>
              </w:rPr>
              <w:t>3</w:t>
            </w:r>
          </w:p>
        </w:tc>
        <w:tc>
          <w:tcPr>
            <w:tcW w:w="1336" w:type="dxa"/>
          </w:tcPr>
          <w:p w14:paraId="25537EEC" w14:textId="0C2DECDA" w:rsidR="00772215" w:rsidRPr="00772215" w:rsidRDefault="00772215" w:rsidP="00772215">
            <w:pPr>
              <w:rPr>
                <w:rFonts w:cs="Arial"/>
              </w:rPr>
            </w:pPr>
            <w:r w:rsidRPr="00772215">
              <w:rPr>
                <w:rFonts w:cs="Arial"/>
                <w:b/>
                <w:bCs/>
              </w:rPr>
              <w:t>4</w:t>
            </w:r>
          </w:p>
        </w:tc>
        <w:tc>
          <w:tcPr>
            <w:tcW w:w="1336" w:type="dxa"/>
          </w:tcPr>
          <w:p w14:paraId="0F38E826" w14:textId="58E42935" w:rsidR="00772215" w:rsidRPr="00772215" w:rsidRDefault="00772215" w:rsidP="00772215">
            <w:pPr>
              <w:rPr>
                <w:rFonts w:cs="Arial"/>
              </w:rPr>
            </w:pPr>
            <w:r w:rsidRPr="00772215">
              <w:rPr>
                <w:rFonts w:cs="Arial"/>
                <w:b/>
                <w:bCs/>
              </w:rPr>
              <w:t>5</w:t>
            </w:r>
          </w:p>
        </w:tc>
        <w:tc>
          <w:tcPr>
            <w:tcW w:w="1336" w:type="dxa"/>
          </w:tcPr>
          <w:p w14:paraId="152EA710" w14:textId="440DB111" w:rsidR="00772215" w:rsidRPr="00772215" w:rsidRDefault="00772215" w:rsidP="00772215">
            <w:pPr>
              <w:rPr>
                <w:rFonts w:cs="Arial"/>
              </w:rPr>
            </w:pPr>
            <w:r w:rsidRPr="00772215">
              <w:rPr>
                <w:rFonts w:cs="Arial"/>
                <w:b/>
                <w:bCs/>
              </w:rPr>
              <w:t>6</w:t>
            </w:r>
          </w:p>
        </w:tc>
      </w:tr>
      <w:tr w:rsidR="00772215" w14:paraId="0CA06560" w14:textId="77777777" w:rsidTr="00772215">
        <w:tc>
          <w:tcPr>
            <w:tcW w:w="1335" w:type="dxa"/>
          </w:tcPr>
          <w:p w14:paraId="5D4C6D7B" w14:textId="5C4EB8B5" w:rsidR="00772215" w:rsidRPr="00772215" w:rsidRDefault="00772215" w:rsidP="00772215">
            <w:pPr>
              <w:rPr>
                <w:rFonts w:cs="Arial"/>
              </w:rPr>
            </w:pPr>
            <w:r w:rsidRPr="00772215">
              <w:rPr>
                <w:rFonts w:cs="Arial"/>
                <w:lang w:val="en-US"/>
              </w:rPr>
              <w:t xml:space="preserve">Br </w:t>
            </w:r>
            <w:r w:rsidRPr="00772215">
              <w:rPr>
                <w:rFonts w:cs="Arial"/>
              </w:rPr>
              <w:t xml:space="preserve">(1,3 </w:t>
            </w:r>
            <w:r w:rsidRPr="00772215">
              <w:rPr>
                <w:rFonts w:cs="Arial"/>
                <w:lang w:val="en-US"/>
              </w:rPr>
              <w:t>mg/m2)</w:t>
            </w:r>
          </w:p>
        </w:tc>
        <w:tc>
          <w:tcPr>
            <w:tcW w:w="1335" w:type="dxa"/>
          </w:tcPr>
          <w:p w14:paraId="5310E84C" w14:textId="77777777" w:rsidR="00772215" w:rsidRPr="00772215" w:rsidRDefault="00772215" w:rsidP="00772215">
            <w:pPr>
              <w:rPr>
                <w:rFonts w:cs="Arial"/>
              </w:rPr>
            </w:pPr>
            <w:r w:rsidRPr="00772215">
              <w:rPr>
                <w:rFonts w:cs="Arial"/>
              </w:rPr>
              <w:t>Ден 1</w:t>
            </w:r>
          </w:p>
          <w:p w14:paraId="4AAC7EB4" w14:textId="77777777" w:rsidR="00772215" w:rsidRPr="00772215" w:rsidRDefault="00772215" w:rsidP="00772215">
            <w:pPr>
              <w:rPr>
                <w:rFonts w:cs="Arial"/>
              </w:rPr>
            </w:pPr>
            <w:r w:rsidRPr="00772215">
              <w:rPr>
                <w:rFonts w:cs="Arial"/>
              </w:rPr>
              <w:t>-</w:t>
            </w:r>
          </w:p>
          <w:p w14:paraId="5685AA16" w14:textId="77777777" w:rsidR="00772215" w:rsidRPr="00772215" w:rsidRDefault="00772215" w:rsidP="00772215">
            <w:pPr>
              <w:rPr>
                <w:rFonts w:cs="Arial"/>
              </w:rPr>
            </w:pPr>
            <w:r w:rsidRPr="00772215">
              <w:rPr>
                <w:rFonts w:cs="Arial"/>
              </w:rPr>
              <w:t>-</w:t>
            </w:r>
          </w:p>
          <w:p w14:paraId="5810DD2D" w14:textId="60DB0101" w:rsidR="00772215" w:rsidRPr="00772215" w:rsidRDefault="00772215" w:rsidP="00772215">
            <w:pPr>
              <w:rPr>
                <w:rFonts w:cs="Arial"/>
              </w:rPr>
            </w:pPr>
            <w:r w:rsidRPr="00772215">
              <w:rPr>
                <w:rFonts w:cs="Arial"/>
              </w:rPr>
              <w:t>-</w:t>
            </w:r>
          </w:p>
        </w:tc>
        <w:tc>
          <w:tcPr>
            <w:tcW w:w="1336" w:type="dxa"/>
          </w:tcPr>
          <w:p w14:paraId="1A01EADB" w14:textId="4CC27C99" w:rsidR="00772215" w:rsidRPr="00772215" w:rsidRDefault="00772215" w:rsidP="00772215">
            <w:pPr>
              <w:rPr>
                <w:rFonts w:cs="Arial"/>
              </w:rPr>
            </w:pPr>
            <w:r w:rsidRPr="00772215">
              <w:rPr>
                <w:rFonts w:cs="Arial"/>
              </w:rPr>
              <w:t>Ден 8</w:t>
            </w:r>
          </w:p>
        </w:tc>
        <w:tc>
          <w:tcPr>
            <w:tcW w:w="1336" w:type="dxa"/>
          </w:tcPr>
          <w:p w14:paraId="569B8F6D" w14:textId="5C32CF60" w:rsidR="00772215" w:rsidRPr="00772215" w:rsidRDefault="00772215" w:rsidP="00772215">
            <w:pPr>
              <w:rPr>
                <w:rFonts w:cs="Arial"/>
              </w:rPr>
            </w:pPr>
            <w:r w:rsidRPr="00772215">
              <w:rPr>
                <w:rFonts w:cs="Arial"/>
              </w:rPr>
              <w:t>Период на почивка</w:t>
            </w:r>
          </w:p>
        </w:tc>
        <w:tc>
          <w:tcPr>
            <w:tcW w:w="1336" w:type="dxa"/>
          </w:tcPr>
          <w:p w14:paraId="244A6EE4" w14:textId="77777777" w:rsidR="00772215" w:rsidRPr="00772215" w:rsidRDefault="00772215" w:rsidP="00772215">
            <w:pPr>
              <w:rPr>
                <w:rFonts w:cs="Arial"/>
              </w:rPr>
            </w:pPr>
            <w:r w:rsidRPr="00772215">
              <w:rPr>
                <w:rFonts w:cs="Arial"/>
              </w:rPr>
              <w:t>Ден 22</w:t>
            </w:r>
          </w:p>
          <w:p w14:paraId="28DA2775" w14:textId="568CF293" w:rsidR="00772215" w:rsidRPr="00772215" w:rsidRDefault="00772215" w:rsidP="00772215">
            <w:pPr>
              <w:rPr>
                <w:rFonts w:cs="Arial"/>
              </w:rPr>
            </w:pPr>
            <w:r w:rsidRPr="00772215">
              <w:rPr>
                <w:rFonts w:cs="Arial"/>
              </w:rPr>
              <w:t>-</w:t>
            </w:r>
          </w:p>
        </w:tc>
        <w:tc>
          <w:tcPr>
            <w:tcW w:w="1336" w:type="dxa"/>
          </w:tcPr>
          <w:p w14:paraId="7842D1C2" w14:textId="77777777" w:rsidR="00772215" w:rsidRPr="00772215" w:rsidRDefault="00772215" w:rsidP="00772215">
            <w:pPr>
              <w:rPr>
                <w:rFonts w:cs="Arial"/>
              </w:rPr>
            </w:pPr>
            <w:r w:rsidRPr="00772215">
              <w:rPr>
                <w:rFonts w:cs="Arial"/>
              </w:rPr>
              <w:t>Ден 29</w:t>
            </w:r>
          </w:p>
          <w:p w14:paraId="54288BB2" w14:textId="3675EFF2" w:rsidR="00772215" w:rsidRPr="00772215" w:rsidRDefault="00772215" w:rsidP="00772215">
            <w:pPr>
              <w:rPr>
                <w:rFonts w:cs="Arial"/>
              </w:rPr>
            </w:pPr>
            <w:r w:rsidRPr="00772215">
              <w:rPr>
                <w:rFonts w:cs="Arial"/>
              </w:rPr>
              <w:t>-</w:t>
            </w:r>
          </w:p>
        </w:tc>
        <w:tc>
          <w:tcPr>
            <w:tcW w:w="1336" w:type="dxa"/>
          </w:tcPr>
          <w:p w14:paraId="3283FD7D" w14:textId="6582E31D" w:rsidR="00772215" w:rsidRPr="00772215" w:rsidRDefault="00772215" w:rsidP="00772215">
            <w:pPr>
              <w:rPr>
                <w:rFonts w:cs="Arial"/>
              </w:rPr>
            </w:pPr>
            <w:r w:rsidRPr="00772215">
              <w:rPr>
                <w:rFonts w:cs="Arial"/>
              </w:rPr>
              <w:t>Период на почивка</w:t>
            </w:r>
          </w:p>
        </w:tc>
      </w:tr>
      <w:tr w:rsidR="00772215" w14:paraId="4DE7ACA4" w14:textId="77777777" w:rsidTr="00772215">
        <w:tc>
          <w:tcPr>
            <w:tcW w:w="1335" w:type="dxa"/>
          </w:tcPr>
          <w:p w14:paraId="694FC552" w14:textId="77777777" w:rsidR="00772215" w:rsidRPr="00772215" w:rsidRDefault="00772215" w:rsidP="00772215">
            <w:pPr>
              <w:rPr>
                <w:rFonts w:cs="Arial"/>
              </w:rPr>
            </w:pPr>
            <w:r w:rsidRPr="00772215">
              <w:rPr>
                <w:rFonts w:cs="Arial"/>
              </w:rPr>
              <w:t xml:space="preserve">М (9 </w:t>
            </w:r>
            <w:r w:rsidRPr="00772215">
              <w:rPr>
                <w:rFonts w:cs="Arial"/>
                <w:lang w:val="en-US"/>
              </w:rPr>
              <w:t>mg/m2)</w:t>
            </w:r>
          </w:p>
          <w:p w14:paraId="005DD9DD" w14:textId="3451C94F" w:rsidR="00772215" w:rsidRPr="00772215" w:rsidRDefault="00772215" w:rsidP="00772215">
            <w:pPr>
              <w:rPr>
                <w:rFonts w:cs="Arial"/>
              </w:rPr>
            </w:pPr>
            <w:r w:rsidRPr="00772215">
              <w:rPr>
                <w:rFonts w:cs="Arial"/>
              </w:rPr>
              <w:t xml:space="preserve">Р(60 </w:t>
            </w:r>
            <w:r w:rsidRPr="00772215">
              <w:rPr>
                <w:rFonts w:cs="Arial"/>
                <w:lang w:val="en-US"/>
              </w:rPr>
              <w:t xml:space="preserve">mg/ </w:t>
            </w:r>
            <w:r w:rsidRPr="00772215">
              <w:rPr>
                <w:rFonts w:cs="Arial"/>
              </w:rPr>
              <w:t>m2)</w:t>
            </w:r>
          </w:p>
        </w:tc>
        <w:tc>
          <w:tcPr>
            <w:tcW w:w="1335" w:type="dxa"/>
          </w:tcPr>
          <w:p w14:paraId="40A4B277" w14:textId="77777777" w:rsidR="00772215" w:rsidRPr="00772215" w:rsidRDefault="00772215" w:rsidP="00772215">
            <w:pPr>
              <w:rPr>
                <w:rFonts w:cs="Arial"/>
              </w:rPr>
            </w:pPr>
            <w:r w:rsidRPr="00772215">
              <w:rPr>
                <w:rFonts w:cs="Arial"/>
              </w:rPr>
              <w:t>Ден 1</w:t>
            </w:r>
          </w:p>
          <w:p w14:paraId="095F661C" w14:textId="77777777" w:rsidR="00772215" w:rsidRPr="00772215" w:rsidRDefault="00772215" w:rsidP="00772215">
            <w:pPr>
              <w:rPr>
                <w:rFonts w:cs="Arial"/>
              </w:rPr>
            </w:pPr>
            <w:r w:rsidRPr="00772215">
              <w:rPr>
                <w:rFonts w:cs="Arial"/>
              </w:rPr>
              <w:t>Ден 2</w:t>
            </w:r>
          </w:p>
          <w:p w14:paraId="2BDD02B6" w14:textId="77777777" w:rsidR="00772215" w:rsidRPr="00772215" w:rsidRDefault="00772215" w:rsidP="00772215">
            <w:pPr>
              <w:rPr>
                <w:rFonts w:cs="Arial"/>
              </w:rPr>
            </w:pPr>
            <w:r w:rsidRPr="00772215">
              <w:rPr>
                <w:rFonts w:cs="Arial"/>
              </w:rPr>
              <w:t>Ден 3</w:t>
            </w:r>
          </w:p>
          <w:p w14:paraId="2B7B996D" w14:textId="58BDBEFB" w:rsidR="00772215" w:rsidRPr="00772215" w:rsidRDefault="00772215" w:rsidP="00772215">
            <w:pPr>
              <w:rPr>
                <w:rFonts w:cs="Arial"/>
              </w:rPr>
            </w:pPr>
            <w:r w:rsidRPr="00772215">
              <w:rPr>
                <w:rFonts w:cs="Arial"/>
              </w:rPr>
              <w:t>Ден 4</w:t>
            </w:r>
          </w:p>
        </w:tc>
        <w:tc>
          <w:tcPr>
            <w:tcW w:w="1336" w:type="dxa"/>
          </w:tcPr>
          <w:p w14:paraId="02548C3D" w14:textId="77777777" w:rsidR="00772215" w:rsidRPr="00772215" w:rsidRDefault="00772215" w:rsidP="00772215">
            <w:pPr>
              <w:rPr>
                <w:rFonts w:cs="Arial"/>
              </w:rPr>
            </w:pPr>
            <w:r w:rsidRPr="00772215">
              <w:rPr>
                <w:rFonts w:cs="Arial"/>
              </w:rPr>
              <w:t>-</w:t>
            </w:r>
          </w:p>
          <w:p w14:paraId="0094A69A" w14:textId="77777777" w:rsidR="00772215" w:rsidRPr="00772215" w:rsidRDefault="00772215" w:rsidP="00772215">
            <w:pPr>
              <w:rPr>
                <w:rFonts w:cs="Arial"/>
              </w:rPr>
            </w:pPr>
          </w:p>
          <w:p w14:paraId="3FB9AF89" w14:textId="77777777" w:rsidR="00772215" w:rsidRPr="00772215" w:rsidRDefault="00772215" w:rsidP="00772215">
            <w:pPr>
              <w:rPr>
                <w:rFonts w:cs="Arial"/>
              </w:rPr>
            </w:pPr>
          </w:p>
        </w:tc>
        <w:tc>
          <w:tcPr>
            <w:tcW w:w="1336" w:type="dxa"/>
          </w:tcPr>
          <w:p w14:paraId="518FE0D4" w14:textId="61C81C64" w:rsidR="00772215" w:rsidRPr="00772215" w:rsidRDefault="00772215" w:rsidP="00772215">
            <w:pPr>
              <w:rPr>
                <w:rFonts w:cs="Arial"/>
              </w:rPr>
            </w:pPr>
            <w:r w:rsidRPr="00772215">
              <w:rPr>
                <w:rFonts w:cs="Arial"/>
              </w:rPr>
              <w:t>Период на почивка</w:t>
            </w:r>
          </w:p>
        </w:tc>
        <w:tc>
          <w:tcPr>
            <w:tcW w:w="1336" w:type="dxa"/>
          </w:tcPr>
          <w:p w14:paraId="17B0F87D" w14:textId="54F60CE0" w:rsidR="00772215" w:rsidRPr="00772215" w:rsidRDefault="00772215" w:rsidP="00772215">
            <w:pPr>
              <w:rPr>
                <w:rFonts w:cs="Arial"/>
              </w:rPr>
            </w:pPr>
            <w:r w:rsidRPr="00772215">
              <w:rPr>
                <w:rFonts w:cs="Arial"/>
                <w:b/>
                <w:bCs/>
              </w:rPr>
              <w:t>- -</w:t>
            </w:r>
          </w:p>
        </w:tc>
        <w:tc>
          <w:tcPr>
            <w:tcW w:w="1336" w:type="dxa"/>
          </w:tcPr>
          <w:p w14:paraId="7B399438" w14:textId="7E58D153" w:rsidR="00772215" w:rsidRPr="00772215" w:rsidRDefault="00772215" w:rsidP="00772215">
            <w:pPr>
              <w:rPr>
                <w:rFonts w:cs="Arial"/>
              </w:rPr>
            </w:pPr>
            <w:r w:rsidRPr="00772215">
              <w:rPr>
                <w:rFonts w:cs="Arial"/>
              </w:rPr>
              <w:t>- -</w:t>
            </w:r>
          </w:p>
        </w:tc>
        <w:tc>
          <w:tcPr>
            <w:tcW w:w="1336" w:type="dxa"/>
          </w:tcPr>
          <w:p w14:paraId="6AF82D1D" w14:textId="30636932" w:rsidR="00772215" w:rsidRPr="00772215" w:rsidRDefault="00772215" w:rsidP="00772215">
            <w:pPr>
              <w:rPr>
                <w:rFonts w:cs="Arial"/>
              </w:rPr>
            </w:pPr>
            <w:r w:rsidRPr="00772215">
              <w:rPr>
                <w:rFonts w:cs="Arial"/>
              </w:rPr>
              <w:t>Период на почивка</w:t>
            </w:r>
          </w:p>
        </w:tc>
      </w:tr>
    </w:tbl>
    <w:p w14:paraId="12AC6F1C" w14:textId="0019B04C" w:rsidR="00772215" w:rsidRDefault="00772215" w:rsidP="0091385D"/>
    <w:p w14:paraId="748CF673" w14:textId="09E80C08" w:rsidR="00772215" w:rsidRPr="00772215" w:rsidRDefault="00772215" w:rsidP="0091385D">
      <w:pPr>
        <w:rPr>
          <w:rFonts w:cs="Arial"/>
        </w:rPr>
      </w:pPr>
      <w:r w:rsidRPr="00772215">
        <w:rPr>
          <w:rFonts w:cs="Arial"/>
          <w:lang w:val="en-US"/>
        </w:rPr>
        <w:lastRenderedPageBreak/>
        <w:t>Br</w:t>
      </w:r>
      <w:r w:rsidRPr="00FD4C98">
        <w:rPr>
          <w:rFonts w:cs="Arial"/>
          <w:lang w:val="ru-RU"/>
        </w:rPr>
        <w:t xml:space="preserve"> = </w:t>
      </w:r>
      <w:proofErr w:type="spellStart"/>
      <w:r w:rsidRPr="00772215">
        <w:rPr>
          <w:rFonts w:cs="Arial"/>
        </w:rPr>
        <w:t>бортезомиб</w:t>
      </w:r>
      <w:proofErr w:type="spellEnd"/>
      <w:r w:rsidRPr="00772215">
        <w:rPr>
          <w:rFonts w:cs="Arial"/>
        </w:rPr>
        <w:t xml:space="preserve">; </w:t>
      </w:r>
      <w:r w:rsidRPr="00772215">
        <w:rPr>
          <w:rFonts w:cs="Arial"/>
          <w:lang w:val="en-US"/>
        </w:rPr>
        <w:t>M</w:t>
      </w:r>
      <w:r w:rsidRPr="00FD4C98">
        <w:rPr>
          <w:rFonts w:cs="Arial"/>
          <w:lang w:val="ru-RU"/>
        </w:rPr>
        <w:t xml:space="preserve"> </w:t>
      </w:r>
      <w:r w:rsidRPr="00772215">
        <w:rPr>
          <w:rFonts w:cs="Arial"/>
        </w:rPr>
        <w:t xml:space="preserve">= </w:t>
      </w:r>
      <w:proofErr w:type="spellStart"/>
      <w:r w:rsidRPr="00772215">
        <w:rPr>
          <w:rFonts w:cs="Arial"/>
        </w:rPr>
        <w:t>мелфалан</w:t>
      </w:r>
      <w:proofErr w:type="spellEnd"/>
      <w:r w:rsidRPr="00772215">
        <w:rPr>
          <w:rFonts w:cs="Arial"/>
        </w:rPr>
        <w:t xml:space="preserve">, Р = </w:t>
      </w:r>
      <w:proofErr w:type="spellStart"/>
      <w:r w:rsidRPr="00772215">
        <w:rPr>
          <w:rFonts w:cs="Arial"/>
        </w:rPr>
        <w:t>преднизон</w:t>
      </w:r>
      <w:proofErr w:type="spellEnd"/>
    </w:p>
    <w:p w14:paraId="26223652" w14:textId="098AB019" w:rsidR="00772215" w:rsidRPr="00772215" w:rsidRDefault="00772215" w:rsidP="0091385D">
      <w:pPr>
        <w:rPr>
          <w:rFonts w:cs="Arial"/>
        </w:rPr>
      </w:pPr>
    </w:p>
    <w:p w14:paraId="3C095985" w14:textId="77777777"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 xml:space="preserve">Адаптиране на дозата по време на лечение и повторно лечение с комбинирана терапия с </w:t>
      </w:r>
      <w:proofErr w:type="spellStart"/>
      <w:r w:rsidRPr="00772215">
        <w:rPr>
          <w:rFonts w:eastAsia="Times New Roman" w:cs="Arial"/>
          <w:i/>
          <w:iCs/>
          <w:color w:val="000000"/>
          <w:lang w:eastAsia="bg-BG"/>
        </w:rPr>
        <w:t>мелфалан</w:t>
      </w:r>
      <w:proofErr w:type="spellEnd"/>
      <w:r w:rsidRPr="00772215">
        <w:rPr>
          <w:rFonts w:eastAsia="Times New Roman" w:cs="Arial"/>
          <w:i/>
          <w:iCs/>
          <w:color w:val="000000"/>
          <w:lang w:eastAsia="bg-BG"/>
        </w:rPr>
        <w:t xml:space="preserve"> и </w:t>
      </w:r>
      <w:proofErr w:type="spellStart"/>
      <w:r w:rsidRPr="00772215">
        <w:rPr>
          <w:rFonts w:eastAsia="Times New Roman" w:cs="Arial"/>
          <w:i/>
          <w:iCs/>
          <w:color w:val="000000"/>
          <w:lang w:eastAsia="bg-BG"/>
        </w:rPr>
        <w:t>преднизон</w:t>
      </w:r>
      <w:proofErr w:type="spellEnd"/>
    </w:p>
    <w:p w14:paraId="4DBC0B3F"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Преди началото на всеки нов цикъл от терапията:</w:t>
      </w:r>
    </w:p>
    <w:p w14:paraId="0FA39B22" w14:textId="1004016F" w:rsidR="00772215" w:rsidRPr="00772215" w:rsidRDefault="00772215" w:rsidP="00772215">
      <w:pPr>
        <w:pStyle w:val="ListParagraph"/>
        <w:numPr>
          <w:ilvl w:val="0"/>
          <w:numId w:val="36"/>
        </w:numPr>
        <w:spacing w:line="240" w:lineRule="auto"/>
        <w:rPr>
          <w:rFonts w:eastAsia="Times New Roman" w:cs="Arial"/>
          <w:color w:val="000000"/>
          <w:lang w:eastAsia="bg-BG"/>
        </w:rPr>
      </w:pPr>
      <w:r w:rsidRPr="00772215">
        <w:rPr>
          <w:rFonts w:eastAsia="Times New Roman" w:cs="Arial"/>
          <w:color w:val="000000"/>
          <w:lang w:eastAsia="bg-BG"/>
        </w:rPr>
        <w:t xml:space="preserve">броят на </w:t>
      </w:r>
      <w:proofErr w:type="spellStart"/>
      <w:r w:rsidRPr="00772215">
        <w:rPr>
          <w:rFonts w:eastAsia="Times New Roman" w:cs="Arial"/>
          <w:color w:val="000000"/>
          <w:lang w:eastAsia="bg-BG"/>
        </w:rPr>
        <w:t>тромбоцитите</w:t>
      </w:r>
      <w:proofErr w:type="spellEnd"/>
      <w:r w:rsidRPr="00772215">
        <w:rPr>
          <w:rFonts w:eastAsia="Times New Roman" w:cs="Arial"/>
          <w:color w:val="000000"/>
          <w:lang w:eastAsia="bg-BG"/>
        </w:rPr>
        <w:t xml:space="preserve"> трябва да е &gt; </w:t>
      </w:r>
      <w:r w:rsidRPr="00FD4C98">
        <w:rPr>
          <w:rFonts w:eastAsia="Times New Roman" w:cs="Arial"/>
          <w:color w:val="000000"/>
          <w:lang w:val="ru-RU"/>
        </w:rPr>
        <w:t>70</w:t>
      </w:r>
      <w:r w:rsidRPr="00772215">
        <w:rPr>
          <w:rFonts w:eastAsia="Times New Roman" w:cs="Arial"/>
          <w:color w:val="000000"/>
          <w:lang w:val="en-US"/>
        </w:rPr>
        <w:t>x</w:t>
      </w:r>
      <w:r w:rsidRPr="00FD4C98">
        <w:rPr>
          <w:rFonts w:eastAsia="Times New Roman" w:cs="Arial"/>
          <w:color w:val="000000"/>
          <w:lang w:val="ru-RU"/>
        </w:rPr>
        <w:t xml:space="preserve">10 </w:t>
      </w:r>
      <w:r>
        <w:rPr>
          <w:rFonts w:eastAsia="Times New Roman" w:cs="Arial"/>
          <w:color w:val="000000"/>
          <w:lang w:eastAsia="bg-BG"/>
        </w:rPr>
        <w:t>/l</w:t>
      </w:r>
      <w:r w:rsidRPr="00772215">
        <w:rPr>
          <w:rFonts w:eastAsia="Times New Roman" w:cs="Arial"/>
          <w:color w:val="000000"/>
          <w:lang w:eastAsia="bg-BG"/>
        </w:rPr>
        <w:t xml:space="preserve">, а абсолютният брой на </w:t>
      </w:r>
      <w:proofErr w:type="spellStart"/>
      <w:r w:rsidRPr="00772215">
        <w:rPr>
          <w:rFonts w:eastAsia="Times New Roman" w:cs="Arial"/>
          <w:color w:val="000000"/>
          <w:lang w:eastAsia="bg-BG"/>
        </w:rPr>
        <w:t>неутрофилите</w:t>
      </w:r>
      <w:proofErr w:type="spellEnd"/>
      <w:r w:rsidRPr="00772215">
        <w:rPr>
          <w:rFonts w:eastAsia="Times New Roman" w:cs="Arial"/>
          <w:color w:val="000000"/>
          <w:lang w:eastAsia="bg-BG"/>
        </w:rPr>
        <w:t xml:space="preserve"> трябва да е &gt; 1,0х10</w:t>
      </w:r>
      <w:r w:rsidRPr="00772215">
        <w:rPr>
          <w:rFonts w:eastAsia="Times New Roman" w:cs="Arial"/>
          <w:color w:val="000000"/>
          <w:vertAlign w:val="superscript"/>
          <w:lang w:eastAsia="bg-BG"/>
        </w:rPr>
        <w:t>9</w:t>
      </w:r>
      <w:r>
        <w:rPr>
          <w:rFonts w:eastAsia="Times New Roman" w:cs="Arial"/>
          <w:color w:val="000000"/>
          <w:lang w:eastAsia="bg-BG"/>
        </w:rPr>
        <w:t>/</w:t>
      </w:r>
      <w:r>
        <w:rPr>
          <w:rFonts w:eastAsia="Times New Roman" w:cs="Arial"/>
          <w:color w:val="000000"/>
          <w:lang w:val="en-US" w:eastAsia="bg-BG"/>
        </w:rPr>
        <w:t>l</w:t>
      </w:r>
    </w:p>
    <w:p w14:paraId="55291D69" w14:textId="7B87465F" w:rsidR="00772215" w:rsidRPr="00772215" w:rsidRDefault="00772215" w:rsidP="00772215">
      <w:pPr>
        <w:pStyle w:val="ListParagraph"/>
        <w:numPr>
          <w:ilvl w:val="0"/>
          <w:numId w:val="36"/>
        </w:numPr>
        <w:spacing w:line="240" w:lineRule="auto"/>
        <w:rPr>
          <w:rFonts w:eastAsia="Times New Roman" w:cs="Arial"/>
          <w:color w:val="000000"/>
          <w:lang w:eastAsia="bg-BG"/>
        </w:rPr>
      </w:pPr>
      <w:proofErr w:type="spellStart"/>
      <w:r w:rsidRPr="00772215">
        <w:rPr>
          <w:rFonts w:eastAsia="Times New Roman" w:cs="Arial"/>
          <w:color w:val="000000"/>
          <w:lang w:eastAsia="bg-BG"/>
        </w:rPr>
        <w:t>нехематологичната</w:t>
      </w:r>
      <w:proofErr w:type="spellEnd"/>
      <w:r w:rsidRPr="00772215">
        <w:rPr>
          <w:rFonts w:eastAsia="Times New Roman" w:cs="Arial"/>
          <w:color w:val="000000"/>
          <w:lang w:eastAsia="bg-BG"/>
        </w:rPr>
        <w:t xml:space="preserve"> токсичност трябва да е възстановена до степен 1 или до изходно ниво.</w:t>
      </w:r>
    </w:p>
    <w:p w14:paraId="5BA3DC65" w14:textId="77777777" w:rsidR="00772215" w:rsidRPr="00772215" w:rsidRDefault="00772215" w:rsidP="00772215">
      <w:pPr>
        <w:rPr>
          <w:rFonts w:eastAsia="Times New Roman" w:cs="Arial"/>
          <w:i/>
          <w:iCs/>
          <w:color w:val="000000"/>
          <w:lang w:eastAsia="bg-BG"/>
        </w:rPr>
      </w:pPr>
    </w:p>
    <w:p w14:paraId="28926D6D" w14:textId="0F7A232B" w:rsidR="00772215" w:rsidRPr="00772215" w:rsidRDefault="00772215" w:rsidP="00772215">
      <w:pPr>
        <w:rPr>
          <w:rFonts w:cs="Arial"/>
        </w:rPr>
      </w:pPr>
      <w:r w:rsidRPr="00772215">
        <w:rPr>
          <w:rFonts w:eastAsia="Times New Roman" w:cs="Arial"/>
          <w:i/>
          <w:iCs/>
          <w:color w:val="000000"/>
          <w:lang w:eastAsia="bg-BG"/>
        </w:rPr>
        <w:t xml:space="preserve">Таблица 3: Промяна на дозите по време на последователни цикли на терапията с </w:t>
      </w:r>
      <w:proofErr w:type="spellStart"/>
      <w:r w:rsidRPr="00772215">
        <w:rPr>
          <w:rFonts w:eastAsia="Times New Roman" w:cs="Arial"/>
          <w:i/>
          <w:iCs/>
          <w:color w:val="000000"/>
          <w:lang w:eastAsia="bg-BG"/>
        </w:rPr>
        <w:t>бортезомиб</w:t>
      </w:r>
      <w:proofErr w:type="spellEnd"/>
      <w:r w:rsidRPr="00772215">
        <w:rPr>
          <w:rFonts w:eastAsia="Times New Roman" w:cs="Arial"/>
          <w:i/>
          <w:iCs/>
          <w:color w:val="000000"/>
          <w:lang w:eastAsia="bg-BG"/>
        </w:rPr>
        <w:t xml:space="preserve"> </w:t>
      </w:r>
      <w:r w:rsidRPr="00772215">
        <w:rPr>
          <w:rFonts w:eastAsia="Times New Roman" w:cs="Arial"/>
          <w:i/>
          <w:iCs/>
          <w:color w:val="000000"/>
          <w:u w:val="single"/>
          <w:lang w:eastAsia="bg-BG"/>
        </w:rPr>
        <w:t xml:space="preserve">в комбинация с </w:t>
      </w:r>
      <w:proofErr w:type="spellStart"/>
      <w:r w:rsidRPr="00772215">
        <w:rPr>
          <w:rFonts w:eastAsia="Times New Roman" w:cs="Arial"/>
          <w:i/>
          <w:iCs/>
          <w:color w:val="000000"/>
          <w:u w:val="single"/>
          <w:lang w:eastAsia="bg-BG"/>
        </w:rPr>
        <w:t>мелфалан</w:t>
      </w:r>
      <w:proofErr w:type="spellEnd"/>
      <w:r w:rsidRPr="00772215">
        <w:rPr>
          <w:rFonts w:eastAsia="Times New Roman" w:cs="Arial"/>
          <w:i/>
          <w:iCs/>
          <w:color w:val="000000"/>
          <w:u w:val="single"/>
          <w:lang w:eastAsia="bg-BG"/>
        </w:rPr>
        <w:t xml:space="preserve"> и </w:t>
      </w:r>
      <w:proofErr w:type="spellStart"/>
      <w:r w:rsidRPr="00772215">
        <w:rPr>
          <w:rFonts w:eastAsia="Times New Roman" w:cs="Arial"/>
          <w:i/>
          <w:iCs/>
          <w:color w:val="000000"/>
          <w:u w:val="single"/>
          <w:lang w:eastAsia="bg-BG"/>
        </w:rPr>
        <w:t>преднизон</w:t>
      </w:r>
      <w:proofErr w:type="spellEnd"/>
    </w:p>
    <w:p w14:paraId="173C963A" w14:textId="0AD8C8E5" w:rsidR="00772215" w:rsidRPr="00772215" w:rsidRDefault="00772215" w:rsidP="0091385D">
      <w:pPr>
        <w:rPr>
          <w:rFonts w:cs="Arial"/>
        </w:rPr>
      </w:pPr>
    </w:p>
    <w:tbl>
      <w:tblPr>
        <w:tblStyle w:val="TableGrid"/>
        <w:tblW w:w="0" w:type="auto"/>
        <w:tblLook w:val="04A0" w:firstRow="1" w:lastRow="0" w:firstColumn="1" w:lastColumn="0" w:noHBand="0" w:noVBand="1"/>
      </w:tblPr>
      <w:tblGrid>
        <w:gridCol w:w="4675"/>
        <w:gridCol w:w="4675"/>
      </w:tblGrid>
      <w:tr w:rsidR="00772215" w:rsidRPr="00772215" w14:paraId="524CDCA2" w14:textId="77777777" w:rsidTr="00772215">
        <w:tc>
          <w:tcPr>
            <w:tcW w:w="4675" w:type="dxa"/>
          </w:tcPr>
          <w:p w14:paraId="44DF8A3F" w14:textId="76EAE3FC" w:rsidR="00772215" w:rsidRPr="00772215" w:rsidRDefault="00772215" w:rsidP="00772215">
            <w:pPr>
              <w:rPr>
                <w:rFonts w:cs="Arial"/>
              </w:rPr>
            </w:pPr>
            <w:r w:rsidRPr="00772215">
              <w:rPr>
                <w:rFonts w:cs="Arial"/>
                <w:b/>
                <w:bCs/>
              </w:rPr>
              <w:t>Токсичност</w:t>
            </w:r>
          </w:p>
        </w:tc>
        <w:tc>
          <w:tcPr>
            <w:tcW w:w="4675" w:type="dxa"/>
          </w:tcPr>
          <w:p w14:paraId="4EC763CF" w14:textId="2C392CE4" w:rsidR="00772215" w:rsidRPr="00772215" w:rsidRDefault="00772215" w:rsidP="00772215">
            <w:pPr>
              <w:rPr>
                <w:rFonts w:cs="Arial"/>
              </w:rPr>
            </w:pPr>
            <w:r w:rsidRPr="00772215">
              <w:rPr>
                <w:rFonts w:cs="Arial"/>
                <w:b/>
                <w:bCs/>
              </w:rPr>
              <w:t>Промяна или отлагане на дозата</w:t>
            </w:r>
          </w:p>
        </w:tc>
      </w:tr>
      <w:tr w:rsidR="00772215" w:rsidRPr="00772215" w14:paraId="7D5ECBA3" w14:textId="77777777" w:rsidTr="00772215">
        <w:tc>
          <w:tcPr>
            <w:tcW w:w="4675" w:type="dxa"/>
          </w:tcPr>
          <w:p w14:paraId="287BE180" w14:textId="77777777" w:rsidR="00772215" w:rsidRPr="00772215" w:rsidRDefault="00772215" w:rsidP="00772215">
            <w:pPr>
              <w:rPr>
                <w:rFonts w:cs="Arial"/>
              </w:rPr>
            </w:pPr>
            <w:r w:rsidRPr="00772215">
              <w:rPr>
                <w:rFonts w:cs="Arial"/>
                <w:i/>
                <w:iCs/>
              </w:rPr>
              <w:t>Хематологична токсичност по време на един цикъл:</w:t>
            </w:r>
          </w:p>
          <w:p w14:paraId="69B903EC" w14:textId="3386A798" w:rsidR="00772215" w:rsidRPr="00772215" w:rsidRDefault="00772215" w:rsidP="00772215">
            <w:pPr>
              <w:rPr>
                <w:rFonts w:cs="Arial"/>
              </w:rPr>
            </w:pPr>
            <w:r w:rsidRPr="00772215">
              <w:rPr>
                <w:rFonts w:cs="Arial"/>
              </w:rPr>
              <w:t xml:space="preserve">* Ако в предходния цикъл се наблюдава продължителна </w:t>
            </w:r>
            <w:proofErr w:type="spellStart"/>
            <w:r w:rsidRPr="00772215">
              <w:rPr>
                <w:rFonts w:cs="Arial"/>
              </w:rPr>
              <w:t>неутропения</w:t>
            </w:r>
            <w:proofErr w:type="spellEnd"/>
            <w:r w:rsidRPr="00772215">
              <w:rPr>
                <w:rFonts w:cs="Arial"/>
              </w:rPr>
              <w:t xml:space="preserve"> степен 4 или </w:t>
            </w:r>
            <w:proofErr w:type="spellStart"/>
            <w:r w:rsidRPr="00772215">
              <w:rPr>
                <w:rFonts w:cs="Arial"/>
              </w:rPr>
              <w:t>тромбоцитопения</w:t>
            </w:r>
            <w:proofErr w:type="spellEnd"/>
            <w:r w:rsidRPr="00772215">
              <w:rPr>
                <w:rFonts w:cs="Arial"/>
              </w:rPr>
              <w:t xml:space="preserve"> или </w:t>
            </w:r>
            <w:proofErr w:type="spellStart"/>
            <w:r w:rsidRPr="00772215">
              <w:rPr>
                <w:rFonts w:cs="Arial"/>
              </w:rPr>
              <w:t>тромбоцито</w:t>
            </w:r>
            <w:proofErr w:type="spellEnd"/>
            <w:r w:rsidRPr="00772215">
              <w:rPr>
                <w:rFonts w:cs="Arial"/>
              </w:rPr>
              <w:t xml:space="preserve"> пения с кървене</w:t>
            </w:r>
          </w:p>
        </w:tc>
        <w:tc>
          <w:tcPr>
            <w:tcW w:w="4675" w:type="dxa"/>
          </w:tcPr>
          <w:p w14:paraId="79D8631A" w14:textId="4FD83F9E" w:rsidR="00772215" w:rsidRPr="00772215" w:rsidRDefault="00772215" w:rsidP="00772215">
            <w:pPr>
              <w:rPr>
                <w:rFonts w:cs="Arial"/>
              </w:rPr>
            </w:pPr>
            <w:r w:rsidRPr="00772215">
              <w:rPr>
                <w:rFonts w:cs="Arial"/>
              </w:rPr>
              <w:t xml:space="preserve">Да се предвиди намаляване на дозата </w:t>
            </w:r>
            <w:proofErr w:type="spellStart"/>
            <w:r w:rsidRPr="00772215">
              <w:rPr>
                <w:rFonts w:cs="Arial"/>
              </w:rPr>
              <w:t>мелфалан</w:t>
            </w:r>
            <w:proofErr w:type="spellEnd"/>
            <w:r w:rsidRPr="00772215">
              <w:rPr>
                <w:rFonts w:cs="Arial"/>
              </w:rPr>
              <w:t xml:space="preserve"> с 25% в следващия цикъл</w:t>
            </w:r>
          </w:p>
        </w:tc>
      </w:tr>
      <w:tr w:rsidR="00772215" w:rsidRPr="00772215" w14:paraId="1D92FCB0" w14:textId="77777777" w:rsidTr="00772215">
        <w:tc>
          <w:tcPr>
            <w:tcW w:w="4675" w:type="dxa"/>
          </w:tcPr>
          <w:p w14:paraId="38B71B56" w14:textId="360D8297" w:rsidR="00772215" w:rsidRPr="00772215" w:rsidRDefault="00772215" w:rsidP="00772215">
            <w:pPr>
              <w:rPr>
                <w:rFonts w:cs="Arial"/>
              </w:rPr>
            </w:pPr>
            <w:r w:rsidRPr="00772215">
              <w:rPr>
                <w:rFonts w:cs="Arial"/>
              </w:rPr>
              <w:t xml:space="preserve">• Ако броят на </w:t>
            </w:r>
            <w:proofErr w:type="spellStart"/>
            <w:r w:rsidRPr="00772215">
              <w:rPr>
                <w:rFonts w:cs="Arial"/>
              </w:rPr>
              <w:t>тромбоцитите</w:t>
            </w:r>
            <w:proofErr w:type="spellEnd"/>
            <w:r w:rsidRPr="00772215">
              <w:rPr>
                <w:rFonts w:cs="Arial"/>
              </w:rPr>
              <w:t xml:space="preserve"> е &lt; 30 х 10</w:t>
            </w:r>
            <w:r w:rsidRPr="00772215">
              <w:rPr>
                <w:rFonts w:cs="Arial"/>
                <w:vertAlign w:val="superscript"/>
              </w:rPr>
              <w:t>9</w:t>
            </w:r>
            <w:r w:rsidRPr="00772215">
              <w:rPr>
                <w:rFonts w:cs="Arial"/>
              </w:rPr>
              <w:t>/</w:t>
            </w:r>
            <w:r w:rsidRPr="00772215">
              <w:rPr>
                <w:rFonts w:cs="Arial"/>
                <w:lang w:val="en-US"/>
              </w:rPr>
              <w:t>l</w:t>
            </w:r>
            <w:r w:rsidRPr="00772215">
              <w:rPr>
                <w:rFonts w:cs="Arial"/>
              </w:rPr>
              <w:t xml:space="preserve"> или абсолютния брой на </w:t>
            </w:r>
            <w:proofErr w:type="spellStart"/>
            <w:r w:rsidRPr="00772215">
              <w:rPr>
                <w:rFonts w:cs="Arial"/>
              </w:rPr>
              <w:t>неутрофилите</w:t>
            </w:r>
            <w:proofErr w:type="spellEnd"/>
            <w:r w:rsidRPr="00772215">
              <w:rPr>
                <w:rFonts w:cs="Arial"/>
              </w:rPr>
              <w:t xml:space="preserve"> е &lt; 0,75 х 10</w:t>
            </w:r>
            <w:r w:rsidRPr="00772215">
              <w:rPr>
                <w:rFonts w:cs="Arial"/>
                <w:vertAlign w:val="superscript"/>
              </w:rPr>
              <w:t>9</w:t>
            </w:r>
            <w:r w:rsidRPr="00772215">
              <w:rPr>
                <w:rFonts w:cs="Arial"/>
              </w:rPr>
              <w:t>/</w:t>
            </w:r>
            <w:r w:rsidRPr="00772215">
              <w:rPr>
                <w:rFonts w:cs="Arial"/>
                <w:lang w:val="en-US"/>
              </w:rPr>
              <w:t>l</w:t>
            </w:r>
            <w:r w:rsidRPr="00772215">
              <w:rPr>
                <w:rFonts w:cs="Arial"/>
              </w:rPr>
              <w:t xml:space="preserve"> в деня за прилагане на дозата </w:t>
            </w:r>
            <w:proofErr w:type="spellStart"/>
            <w:r w:rsidRPr="00772215">
              <w:rPr>
                <w:rFonts w:cs="Arial"/>
              </w:rPr>
              <w:t>бортезомиб</w:t>
            </w:r>
            <w:proofErr w:type="spellEnd"/>
            <w:r w:rsidRPr="00772215">
              <w:rPr>
                <w:rFonts w:cs="Arial"/>
              </w:rPr>
              <w:t xml:space="preserve"> (различен от ден 1)</w:t>
            </w:r>
          </w:p>
        </w:tc>
        <w:tc>
          <w:tcPr>
            <w:tcW w:w="4675" w:type="dxa"/>
          </w:tcPr>
          <w:p w14:paraId="63A0741A" w14:textId="3F57ADCD" w:rsidR="00772215" w:rsidRPr="00772215" w:rsidRDefault="00772215" w:rsidP="00772215">
            <w:pPr>
              <w:rPr>
                <w:rFonts w:cs="Arial"/>
              </w:rPr>
            </w:pPr>
            <w:r w:rsidRPr="00772215">
              <w:rPr>
                <w:rFonts w:cs="Arial"/>
              </w:rPr>
              <w:t xml:space="preserve">Терапията с </w:t>
            </w:r>
            <w:proofErr w:type="spellStart"/>
            <w:r w:rsidRPr="00772215">
              <w:rPr>
                <w:rFonts w:cs="Arial"/>
              </w:rPr>
              <w:t>бортезомиб</w:t>
            </w:r>
            <w:proofErr w:type="spellEnd"/>
            <w:r w:rsidRPr="00772215">
              <w:rPr>
                <w:rFonts w:cs="Arial"/>
              </w:rPr>
              <w:t xml:space="preserve"> трябва да се прекрати</w:t>
            </w:r>
          </w:p>
        </w:tc>
      </w:tr>
      <w:tr w:rsidR="00772215" w:rsidRPr="00772215" w14:paraId="4AD5E8C3" w14:textId="77777777" w:rsidTr="00772215">
        <w:tc>
          <w:tcPr>
            <w:tcW w:w="4675" w:type="dxa"/>
          </w:tcPr>
          <w:p w14:paraId="2AF4AD5A" w14:textId="21B36E3C" w:rsidR="00772215" w:rsidRPr="00772215" w:rsidRDefault="00772215" w:rsidP="00772215">
            <w:pPr>
              <w:rPr>
                <w:rFonts w:cs="Arial"/>
              </w:rPr>
            </w:pPr>
            <w:r w:rsidRPr="00772215">
              <w:rPr>
                <w:rFonts w:cs="Arial"/>
              </w:rPr>
              <w:t xml:space="preserve">• Ако са пропуснати няколко дози </w:t>
            </w:r>
            <w:proofErr w:type="spellStart"/>
            <w:r w:rsidRPr="00772215">
              <w:rPr>
                <w:rFonts w:cs="Arial"/>
              </w:rPr>
              <w:t>бортезомиб</w:t>
            </w:r>
            <w:proofErr w:type="spellEnd"/>
            <w:r w:rsidRPr="00772215">
              <w:rPr>
                <w:rFonts w:cs="Arial"/>
              </w:rPr>
              <w:t xml:space="preserve"> в един цикъл (&gt; 3 дози при приложение два пъти седмично или &gt; 2 дози при приложение веднъж седмично)</w:t>
            </w:r>
          </w:p>
        </w:tc>
        <w:tc>
          <w:tcPr>
            <w:tcW w:w="4675" w:type="dxa"/>
          </w:tcPr>
          <w:p w14:paraId="07AB1F21" w14:textId="7B98C8B0" w:rsidR="00772215" w:rsidRPr="00772215" w:rsidRDefault="00772215" w:rsidP="00772215">
            <w:pPr>
              <w:rPr>
                <w:rFonts w:cs="Arial"/>
              </w:rPr>
            </w:pPr>
            <w:r w:rsidRPr="00772215">
              <w:rPr>
                <w:rFonts w:cs="Arial"/>
              </w:rPr>
              <w:t xml:space="preserve">Дозата на </w:t>
            </w:r>
            <w:proofErr w:type="spellStart"/>
            <w:r w:rsidRPr="00772215">
              <w:rPr>
                <w:rFonts w:cs="Arial"/>
              </w:rPr>
              <w:t>бортезомиб</w:t>
            </w:r>
            <w:proofErr w:type="spellEnd"/>
            <w:r w:rsidRPr="00772215">
              <w:rPr>
                <w:rFonts w:cs="Arial"/>
              </w:rPr>
              <w:t xml:space="preserve"> трябва да се намали с едно </w:t>
            </w:r>
            <w:proofErr w:type="spellStart"/>
            <w:r w:rsidRPr="00772215">
              <w:rPr>
                <w:rFonts w:cs="Arial"/>
              </w:rPr>
              <w:t>дозово</w:t>
            </w:r>
            <w:proofErr w:type="spellEnd"/>
            <w:r w:rsidRPr="00772215">
              <w:rPr>
                <w:rFonts w:cs="Arial"/>
              </w:rPr>
              <w:t xml:space="preserve"> ниво (от 1,3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на 1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или от 1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на 0,7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w:t>
            </w:r>
          </w:p>
        </w:tc>
      </w:tr>
      <w:tr w:rsidR="00772215" w:rsidRPr="00772215" w14:paraId="253DFEBD" w14:textId="77777777" w:rsidTr="00772215">
        <w:tc>
          <w:tcPr>
            <w:tcW w:w="4675" w:type="dxa"/>
          </w:tcPr>
          <w:p w14:paraId="0B4F6E63" w14:textId="2F58006C" w:rsidR="00772215" w:rsidRPr="00772215" w:rsidRDefault="00772215" w:rsidP="00772215">
            <w:pPr>
              <w:rPr>
                <w:rFonts w:cs="Arial"/>
              </w:rPr>
            </w:pPr>
            <w:proofErr w:type="spellStart"/>
            <w:r w:rsidRPr="00772215">
              <w:rPr>
                <w:rFonts w:cs="Arial"/>
                <w:i/>
                <w:iCs/>
              </w:rPr>
              <w:t>Нехематологична</w:t>
            </w:r>
            <w:proofErr w:type="spellEnd"/>
            <w:r w:rsidRPr="00772215">
              <w:rPr>
                <w:rFonts w:cs="Arial"/>
                <w:i/>
                <w:iCs/>
              </w:rPr>
              <w:t xml:space="preserve"> токсичност степен &gt; 3</w:t>
            </w:r>
          </w:p>
        </w:tc>
        <w:tc>
          <w:tcPr>
            <w:tcW w:w="4675" w:type="dxa"/>
          </w:tcPr>
          <w:p w14:paraId="014A94E0" w14:textId="5E150C12" w:rsidR="00772215" w:rsidRPr="00772215" w:rsidRDefault="00772215" w:rsidP="00772215">
            <w:pPr>
              <w:rPr>
                <w:rFonts w:cs="Arial"/>
              </w:rPr>
            </w:pPr>
            <w:r w:rsidRPr="00772215">
              <w:rPr>
                <w:rFonts w:cs="Arial"/>
              </w:rPr>
              <w:t xml:space="preserve">Терапията с </w:t>
            </w:r>
            <w:proofErr w:type="spellStart"/>
            <w:r w:rsidRPr="00772215">
              <w:rPr>
                <w:rFonts w:cs="Arial"/>
              </w:rPr>
              <w:t>бортезомиб</w:t>
            </w:r>
            <w:proofErr w:type="spellEnd"/>
            <w:r w:rsidRPr="00772215">
              <w:rPr>
                <w:rFonts w:cs="Arial"/>
              </w:rPr>
              <w:t xml:space="preserve"> трябва да се прекрати, докато симптомите на токсичност не се възстановят до степен 1 или до изходно ниво. Тогава може да се възобнови приложението на </w:t>
            </w:r>
            <w:proofErr w:type="spellStart"/>
            <w:r w:rsidRPr="00772215">
              <w:rPr>
                <w:rFonts w:cs="Arial"/>
              </w:rPr>
              <w:t>бортезомиб</w:t>
            </w:r>
            <w:proofErr w:type="spellEnd"/>
            <w:r w:rsidRPr="00772215">
              <w:rPr>
                <w:rFonts w:cs="Arial"/>
              </w:rPr>
              <w:t xml:space="preserve"> с едно ниво по-малко (от 1,3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на 1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или от 1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на 0,7 </w:t>
            </w:r>
            <w:r w:rsidRPr="00772215">
              <w:rPr>
                <w:rFonts w:cs="Arial"/>
                <w:lang w:val="en-US"/>
              </w:rPr>
              <w:t>mg</w:t>
            </w:r>
            <w:r w:rsidRPr="00FD4C98">
              <w:rPr>
                <w:rFonts w:cs="Arial"/>
                <w:lang w:val="ru-RU"/>
              </w:rPr>
              <w:t>/</w:t>
            </w:r>
            <w:r w:rsidRPr="00772215">
              <w:rPr>
                <w:rFonts w:cs="Arial"/>
                <w:lang w:val="en-US"/>
              </w:rPr>
              <w:t>m</w:t>
            </w:r>
            <w:r w:rsidRPr="00FD4C98">
              <w:rPr>
                <w:rFonts w:cs="Arial"/>
                <w:vertAlign w:val="superscript"/>
                <w:lang w:val="ru-RU"/>
              </w:rPr>
              <w:t>2</w:t>
            </w:r>
            <w:r w:rsidRPr="00FD4C98">
              <w:rPr>
                <w:rFonts w:cs="Arial"/>
                <w:lang w:val="ru-RU"/>
              </w:rPr>
              <w:t xml:space="preserve">). </w:t>
            </w:r>
            <w:r w:rsidRPr="00772215">
              <w:rPr>
                <w:rFonts w:cs="Arial"/>
              </w:rPr>
              <w:t xml:space="preserve">При </w:t>
            </w:r>
            <w:proofErr w:type="spellStart"/>
            <w:r w:rsidRPr="00772215">
              <w:rPr>
                <w:rFonts w:cs="Arial"/>
              </w:rPr>
              <w:t>невропатична</w:t>
            </w:r>
            <w:proofErr w:type="spellEnd"/>
            <w:r w:rsidRPr="00772215">
              <w:rPr>
                <w:rFonts w:cs="Arial"/>
              </w:rPr>
              <w:t xml:space="preserve"> болка, свързана с употребата на </w:t>
            </w:r>
            <w:proofErr w:type="spellStart"/>
            <w:r w:rsidRPr="00772215">
              <w:rPr>
                <w:rFonts w:cs="Arial"/>
              </w:rPr>
              <w:t>бортезомиб</w:t>
            </w:r>
            <w:proofErr w:type="spellEnd"/>
            <w:r w:rsidRPr="00772215">
              <w:rPr>
                <w:rFonts w:cs="Arial"/>
              </w:rPr>
              <w:t xml:space="preserve"> и/или при периферна невропатия, прекрати и/или променете дозата </w:t>
            </w:r>
            <w:proofErr w:type="spellStart"/>
            <w:r w:rsidRPr="00772215">
              <w:rPr>
                <w:rFonts w:cs="Arial"/>
              </w:rPr>
              <w:t>бортезомиб</w:t>
            </w:r>
            <w:proofErr w:type="spellEnd"/>
            <w:r w:rsidRPr="00772215">
              <w:rPr>
                <w:rFonts w:cs="Arial"/>
              </w:rPr>
              <w:t>, както е посочено в Таблица 1.</w:t>
            </w:r>
          </w:p>
        </w:tc>
      </w:tr>
    </w:tbl>
    <w:p w14:paraId="399FA28D" w14:textId="77777777" w:rsidR="00772215" w:rsidRPr="00772215" w:rsidRDefault="00772215" w:rsidP="0091385D">
      <w:pPr>
        <w:rPr>
          <w:rFonts w:cs="Arial"/>
        </w:rPr>
      </w:pPr>
    </w:p>
    <w:p w14:paraId="30E61A30" w14:textId="77777777" w:rsidR="00772215" w:rsidRPr="00772215" w:rsidRDefault="00772215" w:rsidP="00772215">
      <w:pPr>
        <w:spacing w:line="240" w:lineRule="auto"/>
        <w:rPr>
          <w:rFonts w:eastAsia="Times New Roman" w:cs="Arial"/>
          <w:lang w:eastAsia="bg-BG"/>
        </w:rPr>
      </w:pPr>
      <w:r w:rsidRPr="00772215">
        <w:rPr>
          <w:rFonts w:eastAsia="Times New Roman" w:cs="Arial"/>
          <w:color w:val="000000"/>
          <w:lang w:eastAsia="bg-BG"/>
        </w:rPr>
        <w:t xml:space="preserve">За допълнителна информация относно </w:t>
      </w:r>
      <w:proofErr w:type="spellStart"/>
      <w:r w:rsidRPr="00772215">
        <w:rPr>
          <w:rFonts w:eastAsia="Times New Roman" w:cs="Arial"/>
          <w:color w:val="000000"/>
          <w:lang w:eastAsia="bg-BG"/>
        </w:rPr>
        <w:t>мелфалан</w:t>
      </w:r>
      <w:proofErr w:type="spellEnd"/>
      <w:r w:rsidRPr="00772215">
        <w:rPr>
          <w:rFonts w:eastAsia="Times New Roman" w:cs="Arial"/>
          <w:color w:val="000000"/>
          <w:lang w:eastAsia="bg-BG"/>
        </w:rPr>
        <w:t xml:space="preserve"> и </w:t>
      </w:r>
      <w:proofErr w:type="spellStart"/>
      <w:r w:rsidRPr="00772215">
        <w:rPr>
          <w:rFonts w:eastAsia="Times New Roman" w:cs="Arial"/>
          <w:color w:val="000000"/>
          <w:lang w:eastAsia="bg-BG"/>
        </w:rPr>
        <w:t>преднизон</w:t>
      </w:r>
      <w:proofErr w:type="spellEnd"/>
      <w:r w:rsidRPr="00772215">
        <w:rPr>
          <w:rFonts w:eastAsia="Times New Roman" w:cs="Arial"/>
          <w:color w:val="000000"/>
          <w:lang w:eastAsia="bg-BG"/>
        </w:rPr>
        <w:t xml:space="preserve"> вижте съответните кратки характеристики на продукта.</w:t>
      </w:r>
    </w:p>
    <w:p w14:paraId="36EA3CC7" w14:textId="77777777" w:rsidR="00772215" w:rsidRPr="00772215" w:rsidRDefault="00772215" w:rsidP="00772215">
      <w:pPr>
        <w:spacing w:line="240" w:lineRule="auto"/>
        <w:rPr>
          <w:rFonts w:eastAsia="Times New Roman" w:cs="Arial"/>
          <w:color w:val="000000"/>
          <w:u w:val="single"/>
          <w:lang w:eastAsia="bg-BG"/>
        </w:rPr>
      </w:pPr>
    </w:p>
    <w:p w14:paraId="06877470" w14:textId="5E95E11F" w:rsidR="00772215" w:rsidRPr="0093317E" w:rsidRDefault="00772215" w:rsidP="0093317E">
      <w:pPr>
        <w:pStyle w:val="Heading3"/>
        <w:rPr>
          <w:rFonts w:eastAsia="Times New Roman"/>
          <w:u w:val="single"/>
          <w:lang w:eastAsia="bg-BG"/>
        </w:rPr>
      </w:pPr>
      <w:r w:rsidRPr="0093317E">
        <w:rPr>
          <w:rFonts w:eastAsia="Times New Roman"/>
          <w:u w:val="single"/>
          <w:lang w:eastAsia="bg-BG"/>
        </w:rPr>
        <w:t xml:space="preserve">Дозировка при </w:t>
      </w:r>
      <w:proofErr w:type="spellStart"/>
      <w:r w:rsidRPr="0093317E">
        <w:rPr>
          <w:rFonts w:eastAsia="Times New Roman"/>
          <w:u w:val="single"/>
          <w:lang w:eastAsia="bg-BG"/>
        </w:rPr>
        <w:t>нелекувани</w:t>
      </w:r>
      <w:proofErr w:type="spellEnd"/>
      <w:r w:rsidRPr="0093317E">
        <w:rPr>
          <w:rFonts w:eastAsia="Times New Roman"/>
          <w:u w:val="single"/>
          <w:lang w:eastAsia="bg-BG"/>
        </w:rPr>
        <w:t xml:space="preserve"> пациенти с мултиплен миелом, които са подходящи за трансплантация на </w:t>
      </w:r>
      <w:proofErr w:type="spellStart"/>
      <w:r w:rsidRPr="0093317E">
        <w:rPr>
          <w:rFonts w:eastAsia="Times New Roman"/>
          <w:u w:val="single"/>
          <w:lang w:eastAsia="bg-BG"/>
        </w:rPr>
        <w:t>хемопоетични</w:t>
      </w:r>
      <w:proofErr w:type="spellEnd"/>
      <w:r w:rsidRPr="0093317E">
        <w:rPr>
          <w:rFonts w:eastAsia="Times New Roman"/>
          <w:u w:val="single"/>
          <w:lang w:eastAsia="bg-BG"/>
        </w:rPr>
        <w:t xml:space="preserve"> стволови клетки (индукционна терапия)</w:t>
      </w:r>
    </w:p>
    <w:p w14:paraId="1BFCA84E" w14:textId="77777777" w:rsidR="00772215" w:rsidRPr="00772215" w:rsidRDefault="00772215" w:rsidP="00772215">
      <w:pPr>
        <w:spacing w:line="240" w:lineRule="auto"/>
        <w:rPr>
          <w:rFonts w:eastAsia="Times New Roman" w:cs="Arial"/>
          <w:i/>
          <w:iCs/>
          <w:color w:val="000000"/>
          <w:lang w:eastAsia="bg-BG"/>
        </w:rPr>
      </w:pPr>
    </w:p>
    <w:p w14:paraId="158AADBA" w14:textId="532A61F4" w:rsidR="00772215" w:rsidRPr="00772215" w:rsidRDefault="00772215" w:rsidP="00772215">
      <w:pPr>
        <w:spacing w:line="240" w:lineRule="auto"/>
        <w:rPr>
          <w:rFonts w:eastAsia="Times New Roman" w:cs="Arial"/>
          <w:lang w:eastAsia="bg-BG"/>
        </w:rPr>
      </w:pPr>
      <w:r w:rsidRPr="00772215">
        <w:rPr>
          <w:rFonts w:eastAsia="Times New Roman" w:cs="Arial"/>
          <w:i/>
          <w:iCs/>
          <w:color w:val="000000"/>
          <w:lang w:eastAsia="bg-BG"/>
        </w:rPr>
        <w:t xml:space="preserve">Комбинирана терапия с </w:t>
      </w:r>
      <w:proofErr w:type="spellStart"/>
      <w:r w:rsidRPr="00772215">
        <w:rPr>
          <w:rFonts w:eastAsia="Times New Roman" w:cs="Arial"/>
          <w:i/>
          <w:iCs/>
          <w:color w:val="000000"/>
          <w:lang w:eastAsia="bg-BG"/>
        </w:rPr>
        <w:t>дексаметазон</w:t>
      </w:r>
      <w:proofErr w:type="spellEnd"/>
    </w:p>
    <w:p w14:paraId="4AB4882B" w14:textId="379D0B3C" w:rsidR="00772215" w:rsidRPr="00772215" w:rsidRDefault="00772215" w:rsidP="00772215">
      <w:pPr>
        <w:spacing w:line="240" w:lineRule="auto"/>
        <w:rPr>
          <w:rFonts w:eastAsia="Times New Roman" w:cs="Arial"/>
          <w:lang w:eastAsia="bg-BG"/>
        </w:rPr>
      </w:pPr>
      <w:proofErr w:type="spellStart"/>
      <w:r w:rsidRPr="00772215">
        <w:rPr>
          <w:rFonts w:eastAsia="Times New Roman" w:cs="Arial"/>
          <w:color w:val="000000"/>
          <w:lang w:eastAsia="bg-BG"/>
        </w:rPr>
        <w:lastRenderedPageBreak/>
        <w:t>Бортезокон</w:t>
      </w:r>
      <w:proofErr w:type="spellEnd"/>
      <w:r w:rsidRPr="00772215">
        <w:rPr>
          <w:rFonts w:eastAsia="Times New Roman" w:cs="Arial"/>
          <w:color w:val="000000"/>
          <w:lang w:eastAsia="bg-BG"/>
        </w:rPr>
        <w:t xml:space="preserve"> 3,5 </w:t>
      </w:r>
      <w:r w:rsidRPr="00772215">
        <w:rPr>
          <w:rFonts w:eastAsia="Times New Roman" w:cs="Arial"/>
          <w:color w:val="000000"/>
          <w:lang w:val="en-US"/>
        </w:rPr>
        <w:t>mg</w:t>
      </w:r>
      <w:r w:rsidRPr="00FD4C98">
        <w:rPr>
          <w:rFonts w:eastAsia="Times New Roman" w:cs="Arial"/>
          <w:color w:val="000000"/>
          <w:lang w:val="ru-RU"/>
        </w:rPr>
        <w:t xml:space="preserve"> </w:t>
      </w:r>
      <w:r w:rsidRPr="00772215">
        <w:rPr>
          <w:rFonts w:eastAsia="Times New Roman" w:cs="Arial"/>
          <w:color w:val="000000"/>
          <w:lang w:eastAsia="bg-BG"/>
        </w:rPr>
        <w:t xml:space="preserve">прах за инжекционен разтвор се прилага като интравенозна или подкожна инжекция в препоръчителната доза от 1,3 </w:t>
      </w:r>
      <w:r w:rsidRPr="00772215">
        <w:rPr>
          <w:rFonts w:eastAsia="Times New Roman" w:cs="Arial"/>
          <w:color w:val="000000"/>
          <w:lang w:val="en-US"/>
        </w:rPr>
        <w:t>mg</w:t>
      </w:r>
      <w:r w:rsidRPr="00FD4C98">
        <w:rPr>
          <w:rFonts w:eastAsia="Times New Roman" w:cs="Arial"/>
          <w:color w:val="000000"/>
          <w:lang w:val="ru-RU"/>
        </w:rPr>
        <w:t>/</w:t>
      </w:r>
      <w:r w:rsidRPr="00772215">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772215">
        <w:rPr>
          <w:rFonts w:eastAsia="Times New Roman" w:cs="Arial"/>
          <w:color w:val="000000"/>
          <w:lang w:eastAsia="bg-BG"/>
        </w:rPr>
        <w:t>телесна повърхност два пъти седмично в продължение на две седмици на ден 1, 4, 8, и 11 в 21 дневен лечебен цикъл. Този 3-седмичен период се счита за лечебен цикъл. Трябва да изминат най-малко 72 часа между две</w:t>
      </w:r>
      <w:r w:rsidRPr="00FD4C98">
        <w:rPr>
          <w:rFonts w:eastAsia="Times New Roman" w:cs="Arial"/>
          <w:lang w:val="ru-RU" w:eastAsia="bg-BG"/>
        </w:rPr>
        <w:t xml:space="preserve"> </w:t>
      </w:r>
      <w:r w:rsidRPr="00772215">
        <w:rPr>
          <w:rFonts w:eastAsia="Times New Roman" w:cs="Arial"/>
          <w:color w:val="000000"/>
          <w:lang w:eastAsia="bg-BG"/>
        </w:rPr>
        <w:t xml:space="preserve">последователни дози </w:t>
      </w:r>
      <w:proofErr w:type="spellStart"/>
      <w:r w:rsidRPr="00772215">
        <w:rPr>
          <w:rFonts w:eastAsia="Times New Roman" w:cs="Arial"/>
          <w:color w:val="000000"/>
          <w:lang w:eastAsia="bg-BG"/>
        </w:rPr>
        <w:t>Бортезокон</w:t>
      </w:r>
      <w:proofErr w:type="spellEnd"/>
      <w:r w:rsidRPr="00772215">
        <w:rPr>
          <w:rFonts w:eastAsia="Times New Roman" w:cs="Arial"/>
          <w:color w:val="000000"/>
          <w:lang w:eastAsia="bg-BG"/>
        </w:rPr>
        <w:t>.</w:t>
      </w:r>
    </w:p>
    <w:p w14:paraId="1B393F6C" w14:textId="04B7C649" w:rsidR="00772215" w:rsidRDefault="00772215" w:rsidP="0091385D"/>
    <w:p w14:paraId="6A1FFCD5" w14:textId="77777777"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color w:val="000000"/>
          <w:szCs w:val="20"/>
          <w:lang w:eastAsia="bg-BG"/>
        </w:rPr>
        <w:t>Дексаметазон</w:t>
      </w:r>
      <w:proofErr w:type="spellEnd"/>
      <w:r w:rsidRPr="00772215">
        <w:rPr>
          <w:rFonts w:eastAsia="Times New Roman" w:cs="Arial"/>
          <w:color w:val="000000"/>
          <w:szCs w:val="20"/>
          <w:lang w:eastAsia="bg-BG"/>
        </w:rPr>
        <w:t xml:space="preserve"> се прилага перорално в доза от 40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color w:val="000000"/>
          <w:szCs w:val="20"/>
          <w:lang w:eastAsia="bg-BG"/>
        </w:rPr>
        <w:t>на ден 1,</w:t>
      </w:r>
      <w:r w:rsidRPr="00772215">
        <w:rPr>
          <w:rFonts w:eastAsia="Times New Roman" w:cs="Arial"/>
          <w:i/>
          <w:iCs/>
          <w:color w:val="000000"/>
          <w:szCs w:val="20"/>
          <w:lang w:eastAsia="bg-BG"/>
        </w:rPr>
        <w:t>1,</w:t>
      </w:r>
      <w:r w:rsidRPr="00772215">
        <w:rPr>
          <w:rFonts w:eastAsia="Times New Roman" w:cs="Arial"/>
          <w:color w:val="000000"/>
          <w:szCs w:val="20"/>
          <w:lang w:eastAsia="bg-BG"/>
        </w:rPr>
        <w:t xml:space="preserve"> 3, 4, 8, 9, 10 и 11 от лечебния цикъл с </w:t>
      </w: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w:t>
      </w:r>
    </w:p>
    <w:p w14:paraId="68335E7A" w14:textId="77777777"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Прилагат се четири лечебни цикъла от тази комбинирана терапия.</w:t>
      </w:r>
    </w:p>
    <w:p w14:paraId="55659DF1" w14:textId="77777777" w:rsidR="00772215" w:rsidRPr="0093317E" w:rsidRDefault="00772215" w:rsidP="00772215">
      <w:pPr>
        <w:spacing w:line="240" w:lineRule="auto"/>
        <w:rPr>
          <w:rFonts w:eastAsia="Times New Roman" w:cs="Arial"/>
          <w:i/>
          <w:iCs/>
          <w:color w:val="000000"/>
          <w:szCs w:val="20"/>
          <w:lang w:eastAsia="bg-BG"/>
        </w:rPr>
      </w:pPr>
    </w:p>
    <w:p w14:paraId="15BC6C21" w14:textId="683BB397" w:rsidR="00772215" w:rsidRPr="00772215" w:rsidRDefault="00772215" w:rsidP="00772215">
      <w:pPr>
        <w:spacing w:line="240" w:lineRule="auto"/>
        <w:rPr>
          <w:rFonts w:eastAsia="Times New Roman" w:cs="Arial"/>
          <w:sz w:val="28"/>
          <w:szCs w:val="24"/>
          <w:lang w:eastAsia="bg-BG"/>
        </w:rPr>
      </w:pPr>
      <w:r w:rsidRPr="00772215">
        <w:rPr>
          <w:rFonts w:eastAsia="Times New Roman" w:cs="Arial"/>
          <w:i/>
          <w:iCs/>
          <w:color w:val="000000"/>
          <w:szCs w:val="20"/>
          <w:lang w:eastAsia="bg-BG"/>
        </w:rPr>
        <w:t xml:space="preserve">Комбинирана терапия с </w:t>
      </w:r>
      <w:proofErr w:type="spellStart"/>
      <w:r w:rsidRPr="00772215">
        <w:rPr>
          <w:rFonts w:eastAsia="Times New Roman" w:cs="Arial"/>
          <w:i/>
          <w:iCs/>
          <w:color w:val="000000"/>
          <w:szCs w:val="20"/>
          <w:lang w:eastAsia="bg-BG"/>
        </w:rPr>
        <w:t>дексаметазон</w:t>
      </w:r>
      <w:proofErr w:type="spellEnd"/>
      <w:r w:rsidRPr="00772215">
        <w:rPr>
          <w:rFonts w:eastAsia="Times New Roman" w:cs="Arial"/>
          <w:i/>
          <w:iCs/>
          <w:color w:val="000000"/>
          <w:szCs w:val="20"/>
          <w:lang w:eastAsia="bg-BG"/>
        </w:rPr>
        <w:t xml:space="preserve"> и </w:t>
      </w:r>
      <w:proofErr w:type="spellStart"/>
      <w:r w:rsidRPr="00772215">
        <w:rPr>
          <w:rFonts w:eastAsia="Times New Roman" w:cs="Arial"/>
          <w:i/>
          <w:iCs/>
          <w:color w:val="000000"/>
          <w:szCs w:val="20"/>
          <w:lang w:eastAsia="bg-BG"/>
        </w:rPr>
        <w:t>талидомид</w:t>
      </w:r>
      <w:proofErr w:type="spellEnd"/>
    </w:p>
    <w:p w14:paraId="788CE07D" w14:textId="77777777"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 xml:space="preserve"> </w:t>
      </w:r>
      <w:r w:rsidRPr="00772215">
        <w:rPr>
          <w:rFonts w:eastAsia="Times New Roman" w:cs="Arial"/>
          <w:i/>
          <w:iCs/>
          <w:color w:val="000000"/>
          <w:szCs w:val="20"/>
          <w:lang w:eastAsia="bg-BG"/>
        </w:rPr>
        <w:t>3,5</w:t>
      </w:r>
      <w:r w:rsidRPr="00772215">
        <w:rPr>
          <w:rFonts w:eastAsia="Times New Roman" w:cs="Arial"/>
          <w:color w:val="000000"/>
          <w:szCs w:val="20"/>
          <w:lang w:eastAsia="bg-BG"/>
        </w:rPr>
        <w:t xml:space="preserve">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i/>
          <w:iCs/>
          <w:color w:val="000000"/>
          <w:szCs w:val="20"/>
          <w:lang w:eastAsia="bg-BG"/>
        </w:rPr>
        <w:t>прах</w:t>
      </w:r>
      <w:r w:rsidRPr="00772215">
        <w:rPr>
          <w:rFonts w:eastAsia="Times New Roman" w:cs="Arial"/>
          <w:color w:val="000000"/>
          <w:szCs w:val="20"/>
          <w:lang w:eastAsia="bg-BG"/>
        </w:rPr>
        <w:t xml:space="preserve"> за инжекционен разтвор се прилага като интравенозна или подкожна инжекция в препоръчителната доза от 1,3 </w:t>
      </w:r>
      <w:r w:rsidRPr="00772215">
        <w:rPr>
          <w:rFonts w:eastAsia="Times New Roman" w:cs="Arial"/>
          <w:i/>
          <w:iCs/>
          <w:color w:val="000000"/>
          <w:szCs w:val="20"/>
          <w:lang w:val="en-US"/>
        </w:rPr>
        <w:t>mg</w:t>
      </w:r>
      <w:r w:rsidRPr="00FD4C98">
        <w:rPr>
          <w:rFonts w:eastAsia="Times New Roman" w:cs="Arial"/>
          <w:i/>
          <w:iCs/>
          <w:color w:val="000000"/>
          <w:szCs w:val="20"/>
          <w:lang w:val="ru-RU"/>
        </w:rPr>
        <w:t>/</w:t>
      </w:r>
      <w:r w:rsidRPr="00772215">
        <w:rPr>
          <w:rFonts w:eastAsia="Times New Roman" w:cs="Arial"/>
          <w:i/>
          <w:iCs/>
          <w:color w:val="000000"/>
          <w:szCs w:val="20"/>
          <w:lang w:val="en-US"/>
        </w:rPr>
        <w:t>m</w:t>
      </w:r>
      <w:r w:rsidRPr="00FD4C98">
        <w:rPr>
          <w:rFonts w:eastAsia="Times New Roman" w:cs="Arial"/>
          <w:i/>
          <w:iCs/>
          <w:color w:val="000000"/>
          <w:szCs w:val="20"/>
          <w:vertAlign w:val="superscript"/>
          <w:lang w:val="ru-RU"/>
        </w:rPr>
        <w:t>2</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телесна повърхност два пъти седмично в продължение на две седмици на ден 1,4, 8, и 11 в 28 дневен цикъл на лечение. Този 4-седмичен период се счита за лечебен цикъл. Трябва да изминат най-малко 72 часа между две последователни дози </w:t>
      </w: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w:t>
      </w:r>
    </w:p>
    <w:p w14:paraId="33308A70" w14:textId="77777777" w:rsidR="00772215" w:rsidRPr="0093317E" w:rsidRDefault="00772215" w:rsidP="00772215">
      <w:pPr>
        <w:spacing w:line="240" w:lineRule="auto"/>
        <w:rPr>
          <w:rFonts w:eastAsia="Times New Roman" w:cs="Arial"/>
          <w:color w:val="000000"/>
          <w:szCs w:val="20"/>
          <w:lang w:eastAsia="bg-BG"/>
        </w:rPr>
      </w:pPr>
    </w:p>
    <w:p w14:paraId="4F8D0595" w14:textId="28E9FA35"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color w:val="000000"/>
          <w:szCs w:val="20"/>
          <w:lang w:eastAsia="bg-BG"/>
        </w:rPr>
        <w:t>Дексаметазон</w:t>
      </w:r>
      <w:proofErr w:type="spellEnd"/>
      <w:r w:rsidRPr="00772215">
        <w:rPr>
          <w:rFonts w:eastAsia="Times New Roman" w:cs="Arial"/>
          <w:color w:val="000000"/>
          <w:szCs w:val="20"/>
          <w:lang w:eastAsia="bg-BG"/>
        </w:rPr>
        <w:t xml:space="preserve"> се прилага перорално в доза от 40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на ден 1, 2, 3, 4, 8, 9, 10 и 11 от лечебния цикъл с </w:t>
      </w:r>
      <w:proofErr w:type="spellStart"/>
      <w:r w:rsidRPr="00772215">
        <w:rPr>
          <w:rFonts w:eastAsia="Times New Roman" w:cs="Arial"/>
          <w:color w:val="000000"/>
          <w:szCs w:val="20"/>
          <w:lang w:eastAsia="bg-BG"/>
        </w:rPr>
        <w:t>Бортезокон</w:t>
      </w:r>
      <w:proofErr w:type="spellEnd"/>
      <w:r w:rsidRPr="00772215">
        <w:rPr>
          <w:rFonts w:eastAsia="Times New Roman" w:cs="Arial"/>
          <w:color w:val="000000"/>
          <w:szCs w:val="20"/>
          <w:lang w:eastAsia="bg-BG"/>
        </w:rPr>
        <w:t>.</w:t>
      </w:r>
    </w:p>
    <w:p w14:paraId="5B3F5D45" w14:textId="77777777" w:rsidR="00772215" w:rsidRPr="0093317E" w:rsidRDefault="00772215" w:rsidP="00772215">
      <w:pPr>
        <w:spacing w:line="240" w:lineRule="auto"/>
        <w:rPr>
          <w:rFonts w:eastAsia="Times New Roman" w:cs="Arial"/>
          <w:color w:val="000000"/>
          <w:szCs w:val="20"/>
          <w:lang w:eastAsia="bg-BG"/>
        </w:rPr>
      </w:pPr>
    </w:p>
    <w:p w14:paraId="701C0DCD" w14:textId="78AB35E4" w:rsidR="00772215" w:rsidRPr="00772215" w:rsidRDefault="00772215" w:rsidP="00772215">
      <w:pPr>
        <w:spacing w:line="240" w:lineRule="auto"/>
        <w:rPr>
          <w:rFonts w:eastAsia="Times New Roman" w:cs="Arial"/>
          <w:sz w:val="28"/>
          <w:szCs w:val="24"/>
          <w:lang w:eastAsia="bg-BG"/>
        </w:rPr>
      </w:pPr>
      <w:proofErr w:type="spellStart"/>
      <w:r w:rsidRPr="00772215">
        <w:rPr>
          <w:rFonts w:eastAsia="Times New Roman" w:cs="Arial"/>
          <w:color w:val="000000"/>
          <w:szCs w:val="20"/>
          <w:lang w:eastAsia="bg-BG"/>
        </w:rPr>
        <w:t>Талидомид</w:t>
      </w:r>
      <w:proofErr w:type="spellEnd"/>
      <w:r w:rsidRPr="00772215">
        <w:rPr>
          <w:rFonts w:eastAsia="Times New Roman" w:cs="Arial"/>
          <w:color w:val="000000"/>
          <w:szCs w:val="20"/>
          <w:lang w:eastAsia="bg-BG"/>
        </w:rPr>
        <w:t xml:space="preserve"> се прилага перорално в дневна доза от 50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в дните 1-14 и ако се понася добре, дозата се увеличава до 100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color w:val="000000"/>
          <w:szCs w:val="20"/>
          <w:lang w:eastAsia="bg-BG"/>
        </w:rPr>
        <w:t xml:space="preserve">в дните 15-28, след което може да се увеличи до 200 </w:t>
      </w:r>
      <w:r w:rsidRPr="00772215">
        <w:rPr>
          <w:rFonts w:eastAsia="Times New Roman" w:cs="Arial"/>
          <w:color w:val="000000"/>
          <w:szCs w:val="20"/>
          <w:lang w:val="en-US"/>
        </w:rPr>
        <w:t>mg</w:t>
      </w:r>
      <w:r w:rsidRPr="00FD4C98">
        <w:rPr>
          <w:rFonts w:eastAsia="Times New Roman" w:cs="Arial"/>
          <w:color w:val="000000"/>
          <w:szCs w:val="20"/>
          <w:lang w:val="ru-RU"/>
        </w:rPr>
        <w:t xml:space="preserve"> </w:t>
      </w:r>
      <w:r w:rsidRPr="00772215">
        <w:rPr>
          <w:rFonts w:eastAsia="Times New Roman" w:cs="Arial"/>
          <w:color w:val="000000"/>
          <w:szCs w:val="20"/>
          <w:lang w:eastAsia="bg-BG"/>
        </w:rPr>
        <w:t>дневно от цикъл 2 (вж. Таблица 4).</w:t>
      </w:r>
    </w:p>
    <w:p w14:paraId="29E95D40" w14:textId="77777777" w:rsidR="00772215" w:rsidRPr="0093317E" w:rsidRDefault="00772215" w:rsidP="00772215">
      <w:pPr>
        <w:spacing w:line="240" w:lineRule="auto"/>
        <w:rPr>
          <w:rFonts w:eastAsia="Times New Roman" w:cs="Arial"/>
          <w:color w:val="000000"/>
          <w:szCs w:val="20"/>
          <w:lang w:eastAsia="bg-BG"/>
        </w:rPr>
      </w:pPr>
    </w:p>
    <w:p w14:paraId="7F4A6828" w14:textId="687349F6" w:rsidR="00772215" w:rsidRPr="00772215" w:rsidRDefault="00772215" w:rsidP="00772215">
      <w:pPr>
        <w:spacing w:line="240" w:lineRule="auto"/>
        <w:rPr>
          <w:rFonts w:eastAsia="Times New Roman" w:cs="Arial"/>
          <w:sz w:val="28"/>
          <w:szCs w:val="24"/>
          <w:lang w:eastAsia="bg-BG"/>
        </w:rPr>
      </w:pPr>
      <w:r w:rsidRPr="00772215">
        <w:rPr>
          <w:rFonts w:eastAsia="Times New Roman" w:cs="Arial"/>
          <w:color w:val="000000"/>
          <w:szCs w:val="20"/>
          <w:lang w:eastAsia="bg-BG"/>
        </w:rPr>
        <w:t xml:space="preserve">Прилагат се четири лечебни цикъла от тази комбинирана терапия. Препоръчва се пациентите поне с частичен отговор да получат </w:t>
      </w:r>
      <w:r w:rsidRPr="00772215">
        <w:rPr>
          <w:rFonts w:eastAsia="Times New Roman" w:cs="Arial"/>
          <w:i/>
          <w:iCs/>
          <w:color w:val="000000"/>
          <w:szCs w:val="20"/>
          <w:lang w:eastAsia="bg-BG"/>
        </w:rPr>
        <w:t>2</w:t>
      </w:r>
      <w:r w:rsidRPr="00772215">
        <w:rPr>
          <w:rFonts w:eastAsia="Times New Roman" w:cs="Arial"/>
          <w:color w:val="000000"/>
          <w:szCs w:val="20"/>
          <w:lang w:eastAsia="bg-BG"/>
        </w:rPr>
        <w:t xml:space="preserve"> допълнителни цикъла.</w:t>
      </w:r>
    </w:p>
    <w:p w14:paraId="262EB21A" w14:textId="77777777" w:rsidR="00772215" w:rsidRPr="0093317E" w:rsidRDefault="00772215" w:rsidP="00772215">
      <w:pPr>
        <w:rPr>
          <w:rFonts w:eastAsia="Times New Roman" w:cs="Arial"/>
          <w:i/>
          <w:iCs/>
          <w:color w:val="000000"/>
          <w:szCs w:val="20"/>
          <w:lang w:eastAsia="bg-BG"/>
        </w:rPr>
      </w:pPr>
    </w:p>
    <w:p w14:paraId="193E9286" w14:textId="3958FEAB" w:rsidR="00772215" w:rsidRPr="0093317E" w:rsidRDefault="00772215" w:rsidP="00772215">
      <w:pPr>
        <w:rPr>
          <w:rFonts w:cs="Arial"/>
          <w:sz w:val="24"/>
        </w:rPr>
      </w:pPr>
      <w:r w:rsidRPr="0093317E">
        <w:rPr>
          <w:rFonts w:eastAsia="Times New Roman" w:cs="Arial"/>
          <w:i/>
          <w:iCs/>
          <w:color w:val="000000"/>
          <w:szCs w:val="20"/>
          <w:lang w:eastAsia="bg-BG"/>
        </w:rPr>
        <w:t xml:space="preserve">Таблица 4: Дозировка за комбинирана терапия с </w:t>
      </w:r>
      <w:proofErr w:type="spellStart"/>
      <w:r w:rsidRPr="0093317E">
        <w:rPr>
          <w:rFonts w:eastAsia="Times New Roman" w:cs="Arial"/>
          <w:i/>
          <w:iCs/>
          <w:color w:val="000000"/>
          <w:szCs w:val="20"/>
          <w:lang w:eastAsia="bg-BG"/>
        </w:rPr>
        <w:t>Бортезокон</w:t>
      </w:r>
      <w:proofErr w:type="spellEnd"/>
      <w:r w:rsidRPr="0093317E">
        <w:rPr>
          <w:rFonts w:eastAsia="Times New Roman" w:cs="Arial"/>
          <w:i/>
          <w:iCs/>
          <w:color w:val="000000"/>
          <w:szCs w:val="20"/>
          <w:lang w:eastAsia="bg-BG"/>
        </w:rPr>
        <w:t xml:space="preserve"> при пациенти с </w:t>
      </w:r>
      <w:proofErr w:type="spellStart"/>
      <w:r w:rsidRPr="0093317E">
        <w:rPr>
          <w:rFonts w:eastAsia="Times New Roman" w:cs="Arial"/>
          <w:i/>
          <w:iCs/>
          <w:color w:val="000000"/>
          <w:szCs w:val="20"/>
          <w:lang w:eastAsia="bg-BG"/>
        </w:rPr>
        <w:t>нелекуван</w:t>
      </w:r>
      <w:proofErr w:type="spellEnd"/>
      <w:r w:rsidRPr="0093317E">
        <w:rPr>
          <w:rFonts w:eastAsia="Times New Roman" w:cs="Arial"/>
          <w:i/>
          <w:iCs/>
          <w:color w:val="000000"/>
          <w:szCs w:val="20"/>
          <w:lang w:eastAsia="bg-BG"/>
        </w:rPr>
        <w:t xml:space="preserve"> мултиплен миелом, които са подходящи за трансплантация на </w:t>
      </w:r>
      <w:proofErr w:type="spellStart"/>
      <w:r w:rsidRPr="0093317E">
        <w:rPr>
          <w:rFonts w:eastAsia="Times New Roman" w:cs="Arial"/>
          <w:i/>
          <w:iCs/>
          <w:color w:val="000000"/>
          <w:szCs w:val="20"/>
          <w:lang w:eastAsia="bg-BG"/>
        </w:rPr>
        <w:t>хемопоетични</w:t>
      </w:r>
      <w:proofErr w:type="spellEnd"/>
      <w:r w:rsidRPr="0093317E">
        <w:rPr>
          <w:rFonts w:eastAsia="Times New Roman" w:cs="Arial"/>
          <w:i/>
          <w:iCs/>
          <w:color w:val="000000"/>
          <w:szCs w:val="20"/>
          <w:lang w:eastAsia="bg-BG"/>
        </w:rPr>
        <w:t xml:space="preserve"> стволови клетки</w:t>
      </w:r>
    </w:p>
    <w:p w14:paraId="45EC5653" w14:textId="356B2CFB" w:rsidR="00772215" w:rsidRPr="0093317E" w:rsidRDefault="00772215" w:rsidP="0091385D">
      <w:pPr>
        <w:rPr>
          <w:rFonts w:cs="Arial"/>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93317E" w:rsidRPr="0093317E" w14:paraId="35295D09" w14:textId="77777777" w:rsidTr="00613F14">
        <w:tc>
          <w:tcPr>
            <w:tcW w:w="9350" w:type="dxa"/>
            <w:gridSpan w:val="5"/>
          </w:tcPr>
          <w:p w14:paraId="672C9A53" w14:textId="3F170E00" w:rsidR="0093317E" w:rsidRPr="0093317E" w:rsidRDefault="0093317E" w:rsidP="0091385D">
            <w:pPr>
              <w:rPr>
                <w:rFonts w:cs="Arial"/>
                <w:szCs w:val="20"/>
              </w:rPr>
            </w:pPr>
            <w:proofErr w:type="spellStart"/>
            <w:r w:rsidRPr="0093317E">
              <w:rPr>
                <w:rFonts w:cs="Arial"/>
                <w:b/>
                <w:bCs/>
                <w:szCs w:val="20"/>
                <w:lang w:val="en-US"/>
              </w:rPr>
              <w:t>Br+Dx</w:t>
            </w:r>
            <w:proofErr w:type="spellEnd"/>
            <w:r w:rsidRPr="0093317E">
              <w:rPr>
                <w:rFonts w:cs="Arial"/>
                <w:b/>
                <w:bCs/>
                <w:szCs w:val="20"/>
                <w:lang w:val="en-US"/>
              </w:rPr>
              <w:t xml:space="preserve"> </w:t>
            </w:r>
            <w:r w:rsidRPr="0093317E">
              <w:rPr>
                <w:rFonts w:cs="Arial"/>
                <w:b/>
                <w:bCs/>
                <w:szCs w:val="20"/>
              </w:rPr>
              <w:t>Цикли 1 до 4</w:t>
            </w:r>
          </w:p>
        </w:tc>
      </w:tr>
      <w:tr w:rsidR="0093317E" w:rsidRPr="0093317E" w14:paraId="774D482A" w14:textId="77777777" w:rsidTr="0093317E">
        <w:tc>
          <w:tcPr>
            <w:tcW w:w="1870" w:type="dxa"/>
          </w:tcPr>
          <w:p w14:paraId="0EE2F7EA" w14:textId="65C95ED1" w:rsidR="0093317E" w:rsidRPr="0093317E" w:rsidRDefault="0093317E" w:rsidP="0093317E">
            <w:pPr>
              <w:rPr>
                <w:rFonts w:cs="Arial"/>
                <w:szCs w:val="20"/>
              </w:rPr>
            </w:pPr>
            <w:r w:rsidRPr="0093317E">
              <w:rPr>
                <w:rFonts w:cs="Arial"/>
                <w:b/>
                <w:bCs/>
                <w:szCs w:val="20"/>
              </w:rPr>
              <w:t>Седмица</w:t>
            </w:r>
          </w:p>
        </w:tc>
        <w:tc>
          <w:tcPr>
            <w:tcW w:w="1870" w:type="dxa"/>
          </w:tcPr>
          <w:p w14:paraId="344D9716" w14:textId="79476518" w:rsidR="0093317E" w:rsidRPr="0093317E" w:rsidRDefault="0093317E" w:rsidP="0093317E">
            <w:pPr>
              <w:rPr>
                <w:rFonts w:cs="Arial"/>
                <w:szCs w:val="20"/>
              </w:rPr>
            </w:pPr>
            <w:r w:rsidRPr="0093317E">
              <w:rPr>
                <w:rFonts w:cs="Arial"/>
                <w:szCs w:val="20"/>
                <w:lang w:val="en-US"/>
              </w:rPr>
              <w:t>1</w:t>
            </w:r>
          </w:p>
        </w:tc>
        <w:tc>
          <w:tcPr>
            <w:tcW w:w="1870" w:type="dxa"/>
          </w:tcPr>
          <w:p w14:paraId="1FAA00FC" w14:textId="42FE3C82" w:rsidR="0093317E" w:rsidRPr="0093317E" w:rsidRDefault="0093317E" w:rsidP="0093317E">
            <w:pPr>
              <w:rPr>
                <w:rFonts w:cs="Arial"/>
                <w:szCs w:val="20"/>
              </w:rPr>
            </w:pPr>
            <w:r w:rsidRPr="0093317E">
              <w:rPr>
                <w:rFonts w:cs="Arial"/>
                <w:szCs w:val="20"/>
              </w:rPr>
              <w:t>2</w:t>
            </w:r>
          </w:p>
        </w:tc>
        <w:tc>
          <w:tcPr>
            <w:tcW w:w="1870" w:type="dxa"/>
          </w:tcPr>
          <w:p w14:paraId="57F47CCA" w14:textId="77777777" w:rsidR="0093317E" w:rsidRPr="0093317E" w:rsidRDefault="0093317E" w:rsidP="0093317E">
            <w:pPr>
              <w:rPr>
                <w:rFonts w:cs="Arial"/>
                <w:szCs w:val="20"/>
              </w:rPr>
            </w:pPr>
          </w:p>
        </w:tc>
        <w:tc>
          <w:tcPr>
            <w:tcW w:w="1870" w:type="dxa"/>
          </w:tcPr>
          <w:p w14:paraId="596448E4" w14:textId="21559F5B" w:rsidR="0093317E" w:rsidRPr="0093317E" w:rsidRDefault="0093317E" w:rsidP="0093317E">
            <w:pPr>
              <w:rPr>
                <w:rFonts w:cs="Arial"/>
                <w:szCs w:val="20"/>
                <w:lang w:val="en-US"/>
              </w:rPr>
            </w:pPr>
            <w:r w:rsidRPr="0093317E">
              <w:rPr>
                <w:rFonts w:cs="Arial"/>
                <w:szCs w:val="20"/>
                <w:lang w:val="en-US"/>
              </w:rPr>
              <w:t>3</w:t>
            </w:r>
          </w:p>
        </w:tc>
      </w:tr>
      <w:tr w:rsidR="0093317E" w:rsidRPr="0093317E" w14:paraId="7C2AF546" w14:textId="77777777" w:rsidTr="00613F14">
        <w:tc>
          <w:tcPr>
            <w:tcW w:w="1870" w:type="dxa"/>
          </w:tcPr>
          <w:p w14:paraId="6AD65E54" w14:textId="2E642B8F" w:rsidR="0093317E" w:rsidRPr="0093317E" w:rsidRDefault="0093317E" w:rsidP="0093317E">
            <w:pPr>
              <w:rPr>
                <w:rFonts w:cs="Arial"/>
                <w:szCs w:val="20"/>
              </w:rPr>
            </w:pPr>
            <w:r w:rsidRPr="0093317E">
              <w:rPr>
                <w:rFonts w:cs="Arial"/>
                <w:szCs w:val="20"/>
                <w:lang w:val="en-US"/>
              </w:rPr>
              <w:t>Br(l,3 mg/m</w:t>
            </w:r>
            <w:r w:rsidRPr="0093317E">
              <w:rPr>
                <w:rFonts w:cs="Arial"/>
                <w:szCs w:val="20"/>
                <w:vertAlign w:val="superscript"/>
                <w:lang w:val="en-US"/>
              </w:rPr>
              <w:t>2)</w:t>
            </w:r>
          </w:p>
        </w:tc>
        <w:tc>
          <w:tcPr>
            <w:tcW w:w="1870" w:type="dxa"/>
          </w:tcPr>
          <w:p w14:paraId="3CEDAC16" w14:textId="53E7C8BE" w:rsidR="0093317E" w:rsidRPr="0093317E" w:rsidRDefault="0093317E" w:rsidP="0093317E">
            <w:pPr>
              <w:rPr>
                <w:rFonts w:cs="Arial"/>
                <w:szCs w:val="20"/>
              </w:rPr>
            </w:pPr>
            <w:r w:rsidRPr="0093317E">
              <w:rPr>
                <w:rFonts w:cs="Arial"/>
                <w:szCs w:val="20"/>
              </w:rPr>
              <w:t xml:space="preserve">Ден </w:t>
            </w:r>
            <w:r w:rsidRPr="0093317E">
              <w:rPr>
                <w:rFonts w:cs="Arial"/>
                <w:szCs w:val="20"/>
                <w:lang w:val="en-US"/>
              </w:rPr>
              <w:t>1,4</w:t>
            </w:r>
          </w:p>
        </w:tc>
        <w:tc>
          <w:tcPr>
            <w:tcW w:w="1870" w:type="dxa"/>
          </w:tcPr>
          <w:p w14:paraId="04EF8D4E" w14:textId="7E0CF8E9" w:rsidR="0093317E" w:rsidRPr="0093317E" w:rsidRDefault="0093317E" w:rsidP="0093317E">
            <w:pPr>
              <w:rPr>
                <w:rFonts w:cs="Arial"/>
                <w:szCs w:val="20"/>
              </w:rPr>
            </w:pPr>
            <w:r w:rsidRPr="0093317E">
              <w:rPr>
                <w:rFonts w:cs="Arial"/>
                <w:szCs w:val="20"/>
              </w:rPr>
              <w:t>Ден 8,11</w:t>
            </w:r>
          </w:p>
        </w:tc>
        <w:tc>
          <w:tcPr>
            <w:tcW w:w="3740" w:type="dxa"/>
            <w:gridSpan w:val="2"/>
          </w:tcPr>
          <w:p w14:paraId="00028813" w14:textId="55FC1A53" w:rsidR="0093317E" w:rsidRPr="0093317E" w:rsidRDefault="0093317E" w:rsidP="0093317E">
            <w:pPr>
              <w:rPr>
                <w:rFonts w:cs="Arial"/>
                <w:szCs w:val="20"/>
              </w:rPr>
            </w:pPr>
            <w:r w:rsidRPr="0093317E">
              <w:rPr>
                <w:rFonts w:cs="Arial"/>
                <w:szCs w:val="20"/>
              </w:rPr>
              <w:t>Период на почивка</w:t>
            </w:r>
          </w:p>
        </w:tc>
      </w:tr>
      <w:tr w:rsidR="0093317E" w:rsidRPr="0093317E" w14:paraId="675DE5DB" w14:textId="77777777" w:rsidTr="0093317E">
        <w:tc>
          <w:tcPr>
            <w:tcW w:w="1870" w:type="dxa"/>
          </w:tcPr>
          <w:p w14:paraId="17107D5D" w14:textId="52B60552" w:rsidR="0093317E" w:rsidRPr="0093317E" w:rsidRDefault="0093317E" w:rsidP="0093317E">
            <w:pPr>
              <w:rPr>
                <w:rFonts w:cs="Arial"/>
                <w:szCs w:val="20"/>
              </w:rPr>
            </w:pPr>
            <w:r w:rsidRPr="0093317E">
              <w:rPr>
                <w:rFonts w:cs="Arial"/>
                <w:szCs w:val="20"/>
                <w:lang w:val="en-US"/>
              </w:rPr>
              <w:t xml:space="preserve">Dx </w:t>
            </w:r>
            <w:r w:rsidRPr="0093317E">
              <w:rPr>
                <w:rFonts w:cs="Arial"/>
                <w:szCs w:val="20"/>
              </w:rPr>
              <w:t xml:space="preserve">40 </w:t>
            </w:r>
            <w:r w:rsidRPr="0093317E">
              <w:rPr>
                <w:rFonts w:cs="Arial"/>
                <w:szCs w:val="20"/>
                <w:lang w:val="en-US"/>
              </w:rPr>
              <w:t>mg</w:t>
            </w:r>
          </w:p>
        </w:tc>
        <w:tc>
          <w:tcPr>
            <w:tcW w:w="1870" w:type="dxa"/>
          </w:tcPr>
          <w:p w14:paraId="6EA60EA8" w14:textId="2BF6EC3D" w:rsidR="0093317E" w:rsidRPr="0093317E" w:rsidRDefault="0093317E" w:rsidP="0093317E">
            <w:pPr>
              <w:rPr>
                <w:rFonts w:cs="Arial"/>
                <w:szCs w:val="20"/>
              </w:rPr>
            </w:pPr>
            <w:r w:rsidRPr="0093317E">
              <w:rPr>
                <w:rFonts w:cs="Arial"/>
                <w:szCs w:val="20"/>
              </w:rPr>
              <w:t xml:space="preserve">Ден </w:t>
            </w:r>
            <w:r w:rsidRPr="0093317E">
              <w:rPr>
                <w:rFonts w:cs="Arial"/>
                <w:szCs w:val="20"/>
                <w:lang w:val="en-US"/>
              </w:rPr>
              <w:t>1,2, 3,4</w:t>
            </w:r>
          </w:p>
        </w:tc>
        <w:tc>
          <w:tcPr>
            <w:tcW w:w="1870" w:type="dxa"/>
          </w:tcPr>
          <w:p w14:paraId="738D33DF" w14:textId="3AD1A4A5" w:rsidR="0093317E" w:rsidRPr="0093317E" w:rsidRDefault="0093317E" w:rsidP="0093317E">
            <w:pPr>
              <w:rPr>
                <w:rFonts w:cs="Arial"/>
                <w:szCs w:val="20"/>
              </w:rPr>
            </w:pPr>
            <w:r w:rsidRPr="0093317E">
              <w:rPr>
                <w:rFonts w:cs="Arial"/>
                <w:szCs w:val="20"/>
              </w:rPr>
              <w:t>Ден 8,9, 10,11</w:t>
            </w:r>
          </w:p>
        </w:tc>
        <w:tc>
          <w:tcPr>
            <w:tcW w:w="1870" w:type="dxa"/>
          </w:tcPr>
          <w:p w14:paraId="0B0BE122" w14:textId="1A3A6427" w:rsidR="0093317E" w:rsidRPr="0093317E" w:rsidRDefault="0093317E" w:rsidP="0093317E">
            <w:pPr>
              <w:rPr>
                <w:rFonts w:cs="Arial"/>
                <w:szCs w:val="20"/>
                <w:lang w:val="en-US"/>
              </w:rPr>
            </w:pPr>
            <w:r w:rsidRPr="0093317E">
              <w:rPr>
                <w:rFonts w:cs="Arial"/>
                <w:szCs w:val="20"/>
                <w:lang w:val="en-US"/>
              </w:rPr>
              <w:t>-</w:t>
            </w:r>
          </w:p>
        </w:tc>
        <w:tc>
          <w:tcPr>
            <w:tcW w:w="1870" w:type="dxa"/>
          </w:tcPr>
          <w:p w14:paraId="61C89736" w14:textId="4D20F00D" w:rsidR="0093317E" w:rsidRPr="0093317E" w:rsidRDefault="0093317E" w:rsidP="0093317E">
            <w:pPr>
              <w:rPr>
                <w:rFonts w:cs="Arial"/>
                <w:szCs w:val="20"/>
                <w:lang w:val="en-US"/>
              </w:rPr>
            </w:pPr>
            <w:r w:rsidRPr="0093317E">
              <w:rPr>
                <w:rFonts w:cs="Arial"/>
                <w:szCs w:val="20"/>
                <w:lang w:val="en-US"/>
              </w:rPr>
              <w:t>-</w:t>
            </w:r>
          </w:p>
        </w:tc>
      </w:tr>
      <w:tr w:rsidR="0093317E" w:rsidRPr="0093317E" w14:paraId="6B5E8F7E" w14:textId="77777777" w:rsidTr="00613F14">
        <w:tc>
          <w:tcPr>
            <w:tcW w:w="9350" w:type="dxa"/>
            <w:gridSpan w:val="5"/>
          </w:tcPr>
          <w:p w14:paraId="7D48C29A" w14:textId="4E519FFE" w:rsidR="0093317E" w:rsidRPr="0093317E" w:rsidRDefault="0093317E" w:rsidP="0091385D">
            <w:pPr>
              <w:rPr>
                <w:rFonts w:cs="Arial"/>
                <w:szCs w:val="20"/>
              </w:rPr>
            </w:pPr>
            <w:proofErr w:type="spellStart"/>
            <w:r w:rsidRPr="0093317E">
              <w:rPr>
                <w:rFonts w:cs="Arial"/>
                <w:b/>
                <w:bCs/>
                <w:szCs w:val="20"/>
              </w:rPr>
              <w:t>Br+Dx+T</w:t>
            </w:r>
            <w:proofErr w:type="spellEnd"/>
            <w:r w:rsidRPr="0093317E">
              <w:rPr>
                <w:rFonts w:cs="Arial"/>
                <w:b/>
                <w:bCs/>
                <w:szCs w:val="20"/>
              </w:rPr>
              <w:tab/>
            </w:r>
            <w:r w:rsidRPr="0093317E">
              <w:rPr>
                <w:rFonts w:cs="Arial"/>
                <w:b/>
                <w:bCs/>
                <w:szCs w:val="20"/>
                <w:lang w:eastAsia="bg-BG"/>
              </w:rPr>
              <w:t xml:space="preserve">Цикъл </w:t>
            </w:r>
            <w:r w:rsidRPr="0093317E">
              <w:rPr>
                <w:rFonts w:cs="Arial"/>
                <w:b/>
                <w:bCs/>
                <w:szCs w:val="20"/>
              </w:rPr>
              <w:t>1</w:t>
            </w:r>
          </w:p>
        </w:tc>
      </w:tr>
      <w:tr w:rsidR="0093317E" w:rsidRPr="0093317E" w14:paraId="13C86704" w14:textId="77777777" w:rsidTr="0093317E">
        <w:tc>
          <w:tcPr>
            <w:tcW w:w="1870" w:type="dxa"/>
          </w:tcPr>
          <w:p w14:paraId="25B3D73A" w14:textId="7AE4541B" w:rsidR="0093317E" w:rsidRPr="0093317E" w:rsidRDefault="0093317E" w:rsidP="0093317E">
            <w:pPr>
              <w:rPr>
                <w:rFonts w:cs="Arial"/>
                <w:szCs w:val="20"/>
              </w:rPr>
            </w:pPr>
            <w:r w:rsidRPr="0093317E">
              <w:rPr>
                <w:rFonts w:cs="Arial"/>
                <w:b/>
                <w:bCs/>
                <w:szCs w:val="20"/>
              </w:rPr>
              <w:t>Седмица</w:t>
            </w:r>
          </w:p>
        </w:tc>
        <w:tc>
          <w:tcPr>
            <w:tcW w:w="1870" w:type="dxa"/>
          </w:tcPr>
          <w:p w14:paraId="7F5488AF" w14:textId="247B79FC" w:rsidR="0093317E" w:rsidRPr="0093317E" w:rsidRDefault="0093317E" w:rsidP="0093317E">
            <w:pPr>
              <w:rPr>
                <w:rFonts w:cs="Arial"/>
                <w:szCs w:val="20"/>
              </w:rPr>
            </w:pPr>
            <w:r w:rsidRPr="0093317E">
              <w:rPr>
                <w:rFonts w:cs="Arial"/>
                <w:szCs w:val="20"/>
                <w:lang w:val="en-US"/>
              </w:rPr>
              <w:t>1</w:t>
            </w:r>
          </w:p>
        </w:tc>
        <w:tc>
          <w:tcPr>
            <w:tcW w:w="1870" w:type="dxa"/>
          </w:tcPr>
          <w:p w14:paraId="690C9FC0" w14:textId="30037ADC" w:rsidR="0093317E" w:rsidRPr="0093317E" w:rsidRDefault="0093317E" w:rsidP="0093317E">
            <w:pPr>
              <w:rPr>
                <w:rFonts w:cs="Arial"/>
                <w:szCs w:val="20"/>
              </w:rPr>
            </w:pPr>
            <w:r w:rsidRPr="0093317E">
              <w:rPr>
                <w:rFonts w:cs="Arial"/>
                <w:b/>
                <w:bCs/>
                <w:szCs w:val="20"/>
              </w:rPr>
              <w:t>2</w:t>
            </w:r>
          </w:p>
        </w:tc>
        <w:tc>
          <w:tcPr>
            <w:tcW w:w="1870" w:type="dxa"/>
          </w:tcPr>
          <w:p w14:paraId="24598475" w14:textId="108D1A40" w:rsidR="0093317E" w:rsidRPr="0093317E" w:rsidRDefault="0093317E" w:rsidP="0093317E">
            <w:pPr>
              <w:rPr>
                <w:rFonts w:cs="Arial"/>
                <w:szCs w:val="20"/>
              </w:rPr>
            </w:pPr>
            <w:r w:rsidRPr="0093317E">
              <w:rPr>
                <w:rFonts w:cs="Arial"/>
                <w:b/>
                <w:bCs/>
                <w:szCs w:val="20"/>
              </w:rPr>
              <w:t>3</w:t>
            </w:r>
          </w:p>
        </w:tc>
        <w:tc>
          <w:tcPr>
            <w:tcW w:w="1870" w:type="dxa"/>
          </w:tcPr>
          <w:p w14:paraId="193B5213" w14:textId="1034B1F0" w:rsidR="0093317E" w:rsidRPr="0093317E" w:rsidRDefault="0093317E" w:rsidP="0093317E">
            <w:pPr>
              <w:rPr>
                <w:rFonts w:cs="Arial"/>
                <w:szCs w:val="20"/>
              </w:rPr>
            </w:pPr>
            <w:r w:rsidRPr="0093317E">
              <w:rPr>
                <w:rFonts w:cs="Arial"/>
                <w:b/>
                <w:bCs/>
                <w:szCs w:val="20"/>
              </w:rPr>
              <w:t>4</w:t>
            </w:r>
          </w:p>
        </w:tc>
      </w:tr>
      <w:tr w:rsidR="0093317E" w:rsidRPr="0093317E" w14:paraId="48F5EA02" w14:textId="77777777" w:rsidTr="0093317E">
        <w:tc>
          <w:tcPr>
            <w:tcW w:w="1870" w:type="dxa"/>
          </w:tcPr>
          <w:p w14:paraId="0A24BC34" w14:textId="509B0FDD" w:rsidR="0093317E" w:rsidRPr="0093317E" w:rsidRDefault="0093317E" w:rsidP="0093317E">
            <w:pPr>
              <w:rPr>
                <w:rFonts w:cs="Arial"/>
                <w:szCs w:val="20"/>
              </w:rPr>
            </w:pPr>
            <w:r w:rsidRPr="0093317E">
              <w:rPr>
                <w:rFonts w:cs="Arial"/>
                <w:szCs w:val="20"/>
                <w:lang w:val="en-US"/>
              </w:rPr>
              <w:t xml:space="preserve">Br </w:t>
            </w:r>
            <w:r w:rsidRPr="0093317E">
              <w:rPr>
                <w:rFonts w:cs="Arial"/>
                <w:szCs w:val="20"/>
              </w:rPr>
              <w:t xml:space="preserve">(1,3 </w:t>
            </w:r>
            <w:r w:rsidRPr="0093317E">
              <w:rPr>
                <w:rFonts w:cs="Arial"/>
                <w:szCs w:val="20"/>
                <w:lang w:val="en-US"/>
              </w:rPr>
              <w:t>mg/m</w:t>
            </w:r>
            <w:r w:rsidRPr="0093317E">
              <w:rPr>
                <w:rFonts w:cs="Arial"/>
                <w:szCs w:val="20"/>
                <w:vertAlign w:val="superscript"/>
                <w:lang w:val="en-US"/>
              </w:rPr>
              <w:t>2)</w:t>
            </w:r>
          </w:p>
        </w:tc>
        <w:tc>
          <w:tcPr>
            <w:tcW w:w="1870" w:type="dxa"/>
          </w:tcPr>
          <w:p w14:paraId="3E54CFC3" w14:textId="67BC7CA8" w:rsidR="0093317E" w:rsidRPr="0093317E" w:rsidRDefault="0093317E" w:rsidP="0093317E">
            <w:pPr>
              <w:rPr>
                <w:rFonts w:cs="Arial"/>
                <w:szCs w:val="20"/>
              </w:rPr>
            </w:pPr>
            <w:r w:rsidRPr="0093317E">
              <w:rPr>
                <w:rFonts w:cs="Arial"/>
                <w:szCs w:val="20"/>
              </w:rPr>
              <w:t xml:space="preserve">Ден </w:t>
            </w:r>
            <w:r w:rsidRPr="0093317E">
              <w:rPr>
                <w:rFonts w:cs="Arial"/>
                <w:szCs w:val="20"/>
                <w:lang w:val="en-US"/>
              </w:rPr>
              <w:t>1,4</w:t>
            </w:r>
          </w:p>
        </w:tc>
        <w:tc>
          <w:tcPr>
            <w:tcW w:w="1870" w:type="dxa"/>
          </w:tcPr>
          <w:p w14:paraId="56B34082" w14:textId="45071E09" w:rsidR="0093317E" w:rsidRPr="0093317E" w:rsidRDefault="0093317E" w:rsidP="0093317E">
            <w:pPr>
              <w:rPr>
                <w:rFonts w:cs="Arial"/>
                <w:szCs w:val="20"/>
              </w:rPr>
            </w:pPr>
            <w:r w:rsidRPr="0093317E">
              <w:rPr>
                <w:rFonts w:cs="Arial"/>
                <w:szCs w:val="20"/>
              </w:rPr>
              <w:t>Ден 8,11</w:t>
            </w:r>
          </w:p>
        </w:tc>
        <w:tc>
          <w:tcPr>
            <w:tcW w:w="1870" w:type="dxa"/>
          </w:tcPr>
          <w:p w14:paraId="3D18136A" w14:textId="77777777" w:rsidR="0093317E" w:rsidRPr="0093317E" w:rsidRDefault="0093317E" w:rsidP="0093317E">
            <w:pPr>
              <w:rPr>
                <w:rFonts w:cs="Arial"/>
                <w:szCs w:val="20"/>
              </w:rPr>
            </w:pPr>
            <w:r w:rsidRPr="0093317E">
              <w:rPr>
                <w:rFonts w:cs="Arial"/>
                <w:szCs w:val="20"/>
              </w:rPr>
              <w:t>Период</w:t>
            </w:r>
            <w:r w:rsidRPr="0093317E">
              <w:rPr>
                <w:rFonts w:cs="Arial"/>
                <w:szCs w:val="20"/>
              </w:rPr>
              <w:tab/>
              <w:t>на</w:t>
            </w:r>
          </w:p>
          <w:p w14:paraId="35BE9ECF" w14:textId="5FADA2AC" w:rsidR="0093317E" w:rsidRPr="0093317E" w:rsidRDefault="0093317E" w:rsidP="0093317E">
            <w:pPr>
              <w:rPr>
                <w:rFonts w:cs="Arial"/>
                <w:szCs w:val="20"/>
              </w:rPr>
            </w:pPr>
            <w:r w:rsidRPr="0093317E">
              <w:rPr>
                <w:rFonts w:cs="Arial"/>
                <w:szCs w:val="20"/>
              </w:rPr>
              <w:t>почивка</w:t>
            </w:r>
          </w:p>
        </w:tc>
        <w:tc>
          <w:tcPr>
            <w:tcW w:w="1870" w:type="dxa"/>
          </w:tcPr>
          <w:p w14:paraId="6CDF2E08" w14:textId="2346802B" w:rsidR="0093317E" w:rsidRPr="0093317E" w:rsidRDefault="0093317E" w:rsidP="0093317E">
            <w:pPr>
              <w:rPr>
                <w:rFonts w:cs="Arial"/>
                <w:szCs w:val="20"/>
              </w:rPr>
            </w:pPr>
            <w:r w:rsidRPr="0093317E">
              <w:rPr>
                <w:rFonts w:cs="Arial"/>
                <w:szCs w:val="20"/>
              </w:rPr>
              <w:t>Период на почивка</w:t>
            </w:r>
          </w:p>
        </w:tc>
      </w:tr>
      <w:tr w:rsidR="0093317E" w:rsidRPr="0093317E" w14:paraId="1228D0BE" w14:textId="77777777" w:rsidTr="0093317E">
        <w:tc>
          <w:tcPr>
            <w:tcW w:w="1870" w:type="dxa"/>
          </w:tcPr>
          <w:p w14:paraId="1D1F275F" w14:textId="62AFC9BC" w:rsidR="0093317E" w:rsidRPr="0093317E" w:rsidRDefault="0093317E" w:rsidP="0093317E">
            <w:pPr>
              <w:rPr>
                <w:rFonts w:cs="Arial"/>
                <w:szCs w:val="20"/>
              </w:rPr>
            </w:pPr>
            <w:r w:rsidRPr="0093317E">
              <w:rPr>
                <w:rFonts w:cs="Arial"/>
                <w:szCs w:val="20"/>
                <w:lang w:val="en-US"/>
              </w:rPr>
              <w:t>T 50 mg</w:t>
            </w:r>
          </w:p>
        </w:tc>
        <w:tc>
          <w:tcPr>
            <w:tcW w:w="1870" w:type="dxa"/>
          </w:tcPr>
          <w:p w14:paraId="4F36166B" w14:textId="0CDB2284" w:rsidR="0093317E" w:rsidRPr="0093317E" w:rsidRDefault="0093317E" w:rsidP="0093317E">
            <w:pPr>
              <w:rPr>
                <w:rFonts w:cs="Arial"/>
                <w:szCs w:val="20"/>
              </w:rPr>
            </w:pPr>
            <w:r w:rsidRPr="0093317E">
              <w:rPr>
                <w:rFonts w:cs="Arial"/>
                <w:szCs w:val="20"/>
              </w:rPr>
              <w:t>Ежедневно</w:t>
            </w:r>
          </w:p>
        </w:tc>
        <w:tc>
          <w:tcPr>
            <w:tcW w:w="1870" w:type="dxa"/>
          </w:tcPr>
          <w:p w14:paraId="6906D578" w14:textId="4DC7E709" w:rsidR="0093317E" w:rsidRPr="0093317E" w:rsidRDefault="0093317E" w:rsidP="0093317E">
            <w:pPr>
              <w:rPr>
                <w:rFonts w:cs="Arial"/>
                <w:szCs w:val="20"/>
              </w:rPr>
            </w:pPr>
            <w:r w:rsidRPr="0093317E">
              <w:rPr>
                <w:rFonts w:cs="Arial"/>
                <w:szCs w:val="20"/>
              </w:rPr>
              <w:t>Ежедневно</w:t>
            </w:r>
          </w:p>
        </w:tc>
        <w:tc>
          <w:tcPr>
            <w:tcW w:w="1870" w:type="dxa"/>
          </w:tcPr>
          <w:p w14:paraId="46384B30" w14:textId="77777777" w:rsidR="0093317E" w:rsidRPr="0093317E" w:rsidRDefault="0093317E" w:rsidP="0093317E">
            <w:pPr>
              <w:rPr>
                <w:rFonts w:cs="Arial"/>
                <w:szCs w:val="20"/>
              </w:rPr>
            </w:pPr>
          </w:p>
        </w:tc>
        <w:tc>
          <w:tcPr>
            <w:tcW w:w="1870" w:type="dxa"/>
          </w:tcPr>
          <w:p w14:paraId="78A94E2B" w14:textId="77777777" w:rsidR="0093317E" w:rsidRPr="0093317E" w:rsidRDefault="0093317E" w:rsidP="0093317E">
            <w:pPr>
              <w:rPr>
                <w:rFonts w:cs="Arial"/>
                <w:szCs w:val="20"/>
              </w:rPr>
            </w:pPr>
          </w:p>
        </w:tc>
      </w:tr>
      <w:tr w:rsidR="0093317E" w:rsidRPr="0093317E" w14:paraId="503AD40B" w14:textId="77777777" w:rsidTr="0093317E">
        <w:tc>
          <w:tcPr>
            <w:tcW w:w="1870" w:type="dxa"/>
          </w:tcPr>
          <w:p w14:paraId="42DCCC16" w14:textId="08F7303F" w:rsidR="0093317E" w:rsidRPr="0093317E" w:rsidRDefault="0093317E" w:rsidP="0093317E">
            <w:pPr>
              <w:rPr>
                <w:rFonts w:cs="Arial"/>
                <w:szCs w:val="20"/>
              </w:rPr>
            </w:pPr>
            <w:r w:rsidRPr="0093317E">
              <w:rPr>
                <w:rFonts w:cs="Arial"/>
                <w:szCs w:val="20"/>
                <w:lang w:val="en-US"/>
              </w:rPr>
              <w:t xml:space="preserve">T 100 </w:t>
            </w:r>
            <w:proofErr w:type="spellStart"/>
            <w:r w:rsidRPr="0093317E">
              <w:rPr>
                <w:rFonts w:cs="Arial"/>
                <w:szCs w:val="20"/>
                <w:lang w:val="en-US"/>
              </w:rPr>
              <w:t>mg</w:t>
            </w:r>
            <w:r w:rsidRPr="0093317E">
              <w:rPr>
                <w:rFonts w:cs="Arial"/>
                <w:szCs w:val="20"/>
                <w:vertAlign w:val="superscript"/>
                <w:lang w:val="en-US"/>
              </w:rPr>
              <w:t>a</w:t>
            </w:r>
            <w:proofErr w:type="spellEnd"/>
          </w:p>
        </w:tc>
        <w:tc>
          <w:tcPr>
            <w:tcW w:w="1870" w:type="dxa"/>
          </w:tcPr>
          <w:p w14:paraId="2B8E3146" w14:textId="0E028A8D" w:rsidR="0093317E" w:rsidRPr="0093317E" w:rsidRDefault="0093317E" w:rsidP="0093317E">
            <w:pPr>
              <w:rPr>
                <w:rFonts w:cs="Arial"/>
                <w:szCs w:val="20"/>
              </w:rPr>
            </w:pPr>
            <w:r w:rsidRPr="0093317E">
              <w:rPr>
                <w:rFonts w:cs="Arial"/>
                <w:szCs w:val="20"/>
              </w:rPr>
              <w:t>-</w:t>
            </w:r>
          </w:p>
        </w:tc>
        <w:tc>
          <w:tcPr>
            <w:tcW w:w="1870" w:type="dxa"/>
          </w:tcPr>
          <w:p w14:paraId="090516A3" w14:textId="77777777" w:rsidR="0093317E" w:rsidRPr="0093317E" w:rsidRDefault="0093317E" w:rsidP="0093317E">
            <w:pPr>
              <w:rPr>
                <w:rFonts w:cs="Arial"/>
                <w:szCs w:val="20"/>
              </w:rPr>
            </w:pPr>
          </w:p>
        </w:tc>
        <w:tc>
          <w:tcPr>
            <w:tcW w:w="1870" w:type="dxa"/>
          </w:tcPr>
          <w:p w14:paraId="23421447" w14:textId="1289F667" w:rsidR="0093317E" w:rsidRPr="0093317E" w:rsidRDefault="0093317E" w:rsidP="0093317E">
            <w:pPr>
              <w:rPr>
                <w:rFonts w:cs="Arial"/>
                <w:szCs w:val="20"/>
              </w:rPr>
            </w:pPr>
            <w:r w:rsidRPr="0093317E">
              <w:rPr>
                <w:rFonts w:cs="Arial"/>
                <w:szCs w:val="20"/>
              </w:rPr>
              <w:t>Ежедневно</w:t>
            </w:r>
          </w:p>
        </w:tc>
        <w:tc>
          <w:tcPr>
            <w:tcW w:w="1870" w:type="dxa"/>
          </w:tcPr>
          <w:p w14:paraId="3910AFF3" w14:textId="51BE8337" w:rsidR="0093317E" w:rsidRPr="0093317E" w:rsidRDefault="0093317E" w:rsidP="0093317E">
            <w:pPr>
              <w:rPr>
                <w:rFonts w:cs="Arial"/>
                <w:szCs w:val="20"/>
              </w:rPr>
            </w:pPr>
            <w:r w:rsidRPr="0093317E">
              <w:rPr>
                <w:rFonts w:cs="Arial"/>
                <w:szCs w:val="20"/>
              </w:rPr>
              <w:t>Ежедневно</w:t>
            </w:r>
          </w:p>
        </w:tc>
      </w:tr>
      <w:tr w:rsidR="0093317E" w:rsidRPr="0093317E" w14:paraId="449DA3EB" w14:textId="77777777" w:rsidTr="0093317E">
        <w:tc>
          <w:tcPr>
            <w:tcW w:w="1870" w:type="dxa"/>
          </w:tcPr>
          <w:p w14:paraId="7BE590DF" w14:textId="14BCBEDB" w:rsidR="0093317E" w:rsidRPr="0093317E" w:rsidRDefault="0093317E" w:rsidP="0093317E">
            <w:pPr>
              <w:rPr>
                <w:rFonts w:cs="Arial"/>
                <w:szCs w:val="20"/>
              </w:rPr>
            </w:pPr>
            <w:r w:rsidRPr="0093317E">
              <w:rPr>
                <w:rFonts w:cs="Arial"/>
                <w:szCs w:val="20"/>
                <w:lang w:val="en-US"/>
              </w:rPr>
              <w:t>Dx 40 mg</w:t>
            </w:r>
          </w:p>
        </w:tc>
        <w:tc>
          <w:tcPr>
            <w:tcW w:w="1870" w:type="dxa"/>
          </w:tcPr>
          <w:p w14:paraId="30F3A3EA" w14:textId="27F2A449" w:rsidR="0093317E" w:rsidRPr="0093317E" w:rsidRDefault="0093317E" w:rsidP="0093317E">
            <w:pPr>
              <w:rPr>
                <w:rFonts w:cs="Arial"/>
                <w:szCs w:val="20"/>
              </w:rPr>
            </w:pPr>
            <w:r w:rsidRPr="0093317E">
              <w:rPr>
                <w:rFonts w:cs="Arial"/>
                <w:szCs w:val="20"/>
              </w:rPr>
              <w:t>Ден 1, 2, 3,4</w:t>
            </w:r>
          </w:p>
        </w:tc>
        <w:tc>
          <w:tcPr>
            <w:tcW w:w="1870" w:type="dxa"/>
          </w:tcPr>
          <w:p w14:paraId="0DE406E0" w14:textId="22955E5C" w:rsidR="0093317E" w:rsidRPr="0093317E" w:rsidRDefault="0093317E" w:rsidP="0093317E">
            <w:pPr>
              <w:rPr>
                <w:rFonts w:cs="Arial"/>
                <w:szCs w:val="20"/>
              </w:rPr>
            </w:pPr>
            <w:r w:rsidRPr="0093317E">
              <w:rPr>
                <w:rFonts w:cs="Arial"/>
                <w:szCs w:val="20"/>
              </w:rPr>
              <w:t>Ден 8, 9, 10, 11</w:t>
            </w:r>
          </w:p>
        </w:tc>
        <w:tc>
          <w:tcPr>
            <w:tcW w:w="1870" w:type="dxa"/>
          </w:tcPr>
          <w:p w14:paraId="7FE8820F" w14:textId="5751C118" w:rsidR="0093317E" w:rsidRPr="0093317E" w:rsidRDefault="0093317E" w:rsidP="0093317E">
            <w:pPr>
              <w:rPr>
                <w:rFonts w:cs="Arial"/>
                <w:szCs w:val="20"/>
              </w:rPr>
            </w:pPr>
            <w:r w:rsidRPr="0093317E">
              <w:rPr>
                <w:rFonts w:cs="Arial"/>
                <w:szCs w:val="20"/>
              </w:rPr>
              <w:t>-</w:t>
            </w:r>
          </w:p>
        </w:tc>
        <w:tc>
          <w:tcPr>
            <w:tcW w:w="1870" w:type="dxa"/>
          </w:tcPr>
          <w:p w14:paraId="15D26C9E" w14:textId="76698F1B" w:rsidR="0093317E" w:rsidRPr="0093317E" w:rsidRDefault="0093317E" w:rsidP="0093317E">
            <w:pPr>
              <w:rPr>
                <w:rFonts w:cs="Arial"/>
                <w:szCs w:val="20"/>
              </w:rPr>
            </w:pPr>
            <w:r w:rsidRPr="0093317E">
              <w:rPr>
                <w:rFonts w:cs="Arial"/>
                <w:szCs w:val="20"/>
              </w:rPr>
              <w:t>-</w:t>
            </w:r>
          </w:p>
        </w:tc>
      </w:tr>
      <w:tr w:rsidR="0093317E" w:rsidRPr="0093317E" w14:paraId="123EA2BC" w14:textId="77777777" w:rsidTr="00613F14">
        <w:tc>
          <w:tcPr>
            <w:tcW w:w="9350" w:type="dxa"/>
            <w:gridSpan w:val="5"/>
          </w:tcPr>
          <w:p w14:paraId="26908B59" w14:textId="27A5DE80" w:rsidR="0093317E" w:rsidRPr="0093317E" w:rsidRDefault="0093317E" w:rsidP="0091385D">
            <w:pPr>
              <w:rPr>
                <w:rFonts w:cs="Arial"/>
                <w:szCs w:val="20"/>
              </w:rPr>
            </w:pPr>
            <w:proofErr w:type="spellStart"/>
            <w:r w:rsidRPr="0093317E">
              <w:rPr>
                <w:rFonts w:cs="Arial"/>
                <w:b/>
                <w:bCs/>
                <w:szCs w:val="20"/>
              </w:rPr>
              <w:t>Br+Dx+T</w:t>
            </w:r>
            <w:proofErr w:type="spellEnd"/>
            <w:r w:rsidRPr="0093317E">
              <w:rPr>
                <w:rFonts w:cs="Arial"/>
                <w:b/>
                <w:bCs/>
                <w:szCs w:val="20"/>
              </w:rPr>
              <w:t xml:space="preserve"> </w:t>
            </w:r>
            <w:r w:rsidRPr="0093317E">
              <w:rPr>
                <w:rFonts w:cs="Arial"/>
                <w:b/>
                <w:bCs/>
                <w:szCs w:val="20"/>
                <w:lang w:eastAsia="bg-BG"/>
              </w:rPr>
              <w:t xml:space="preserve">Цикли </w:t>
            </w:r>
            <w:r w:rsidRPr="0093317E">
              <w:rPr>
                <w:rFonts w:cs="Arial"/>
                <w:b/>
                <w:bCs/>
                <w:i/>
                <w:iCs/>
                <w:szCs w:val="20"/>
              </w:rPr>
              <w:t>2</w:t>
            </w:r>
            <w:r w:rsidRPr="0093317E">
              <w:rPr>
                <w:rFonts w:cs="Arial"/>
                <w:b/>
                <w:bCs/>
                <w:szCs w:val="20"/>
              </w:rPr>
              <w:t xml:space="preserve"> </w:t>
            </w:r>
            <w:r w:rsidRPr="0093317E">
              <w:rPr>
                <w:rFonts w:cs="Arial"/>
                <w:b/>
                <w:bCs/>
                <w:szCs w:val="20"/>
                <w:lang w:eastAsia="bg-BG"/>
              </w:rPr>
              <w:t xml:space="preserve">до </w:t>
            </w:r>
            <w:r w:rsidRPr="0093317E">
              <w:rPr>
                <w:rFonts w:cs="Arial"/>
                <w:b/>
                <w:bCs/>
                <w:szCs w:val="20"/>
              </w:rPr>
              <w:t>4</w:t>
            </w:r>
            <w:r w:rsidRPr="0093317E">
              <w:rPr>
                <w:rFonts w:cs="Arial"/>
                <w:b/>
                <w:bCs/>
                <w:szCs w:val="20"/>
                <w:vertAlign w:val="superscript"/>
              </w:rPr>
              <w:t>b</w:t>
            </w:r>
          </w:p>
        </w:tc>
      </w:tr>
      <w:tr w:rsidR="0093317E" w:rsidRPr="0093317E" w14:paraId="013CFD8F" w14:textId="77777777" w:rsidTr="0093317E">
        <w:tc>
          <w:tcPr>
            <w:tcW w:w="1870" w:type="dxa"/>
          </w:tcPr>
          <w:p w14:paraId="07F5D221" w14:textId="330D65FE" w:rsidR="0093317E" w:rsidRPr="0093317E" w:rsidRDefault="0093317E" w:rsidP="0093317E">
            <w:pPr>
              <w:rPr>
                <w:rFonts w:cs="Arial"/>
                <w:szCs w:val="20"/>
              </w:rPr>
            </w:pPr>
            <w:r w:rsidRPr="0093317E">
              <w:rPr>
                <w:rFonts w:cs="Arial"/>
                <w:szCs w:val="20"/>
                <w:lang w:val="en-US"/>
              </w:rPr>
              <w:t>Br (1,3 mg/m</w:t>
            </w:r>
            <w:r w:rsidRPr="0093317E">
              <w:rPr>
                <w:rFonts w:cs="Arial"/>
                <w:szCs w:val="20"/>
                <w:vertAlign w:val="superscript"/>
                <w:lang w:val="en-US"/>
              </w:rPr>
              <w:t>2}</w:t>
            </w:r>
          </w:p>
        </w:tc>
        <w:tc>
          <w:tcPr>
            <w:tcW w:w="1870" w:type="dxa"/>
          </w:tcPr>
          <w:p w14:paraId="7C8AE891" w14:textId="240E889B" w:rsidR="0093317E" w:rsidRPr="0093317E" w:rsidRDefault="0093317E" w:rsidP="0093317E">
            <w:pPr>
              <w:rPr>
                <w:rFonts w:cs="Arial"/>
                <w:szCs w:val="20"/>
              </w:rPr>
            </w:pPr>
            <w:r w:rsidRPr="0093317E">
              <w:rPr>
                <w:rFonts w:cs="Arial"/>
                <w:szCs w:val="20"/>
              </w:rPr>
              <w:t>Ден 1, 4</w:t>
            </w:r>
          </w:p>
        </w:tc>
        <w:tc>
          <w:tcPr>
            <w:tcW w:w="1870" w:type="dxa"/>
          </w:tcPr>
          <w:p w14:paraId="780905CC" w14:textId="5C9B7926" w:rsidR="0093317E" w:rsidRPr="0093317E" w:rsidRDefault="0093317E" w:rsidP="0093317E">
            <w:pPr>
              <w:rPr>
                <w:rFonts w:cs="Arial"/>
                <w:szCs w:val="20"/>
              </w:rPr>
            </w:pPr>
            <w:r w:rsidRPr="0093317E">
              <w:rPr>
                <w:rFonts w:cs="Arial"/>
                <w:szCs w:val="20"/>
              </w:rPr>
              <w:t>Ден 8, 11</w:t>
            </w:r>
          </w:p>
        </w:tc>
        <w:tc>
          <w:tcPr>
            <w:tcW w:w="1870" w:type="dxa"/>
          </w:tcPr>
          <w:p w14:paraId="538394A6" w14:textId="77777777" w:rsidR="0093317E" w:rsidRPr="0093317E" w:rsidRDefault="0093317E" w:rsidP="0093317E">
            <w:pPr>
              <w:rPr>
                <w:rFonts w:cs="Arial"/>
                <w:szCs w:val="20"/>
              </w:rPr>
            </w:pPr>
            <w:r w:rsidRPr="0093317E">
              <w:rPr>
                <w:rFonts w:cs="Arial"/>
                <w:szCs w:val="20"/>
              </w:rPr>
              <w:t>Период</w:t>
            </w:r>
            <w:r w:rsidRPr="0093317E">
              <w:rPr>
                <w:rFonts w:cs="Arial"/>
                <w:szCs w:val="20"/>
              </w:rPr>
              <w:tab/>
              <w:t>на</w:t>
            </w:r>
          </w:p>
          <w:p w14:paraId="0D305E85" w14:textId="79EA8914" w:rsidR="0093317E" w:rsidRPr="0093317E" w:rsidRDefault="0093317E" w:rsidP="0093317E">
            <w:pPr>
              <w:rPr>
                <w:rFonts w:cs="Arial"/>
                <w:szCs w:val="20"/>
              </w:rPr>
            </w:pPr>
            <w:r w:rsidRPr="0093317E">
              <w:rPr>
                <w:rFonts w:cs="Arial"/>
                <w:szCs w:val="20"/>
              </w:rPr>
              <w:t>почивка</w:t>
            </w:r>
          </w:p>
        </w:tc>
        <w:tc>
          <w:tcPr>
            <w:tcW w:w="1870" w:type="dxa"/>
          </w:tcPr>
          <w:p w14:paraId="13A6CE17" w14:textId="3599D03C" w:rsidR="0093317E" w:rsidRPr="0093317E" w:rsidRDefault="0093317E" w:rsidP="0093317E">
            <w:pPr>
              <w:rPr>
                <w:rFonts w:cs="Arial"/>
                <w:szCs w:val="20"/>
              </w:rPr>
            </w:pPr>
            <w:r w:rsidRPr="0093317E">
              <w:rPr>
                <w:rFonts w:cs="Arial"/>
                <w:szCs w:val="20"/>
              </w:rPr>
              <w:t>Период на почивка</w:t>
            </w:r>
          </w:p>
        </w:tc>
      </w:tr>
      <w:tr w:rsidR="0093317E" w:rsidRPr="0093317E" w14:paraId="69503FAB" w14:textId="77777777" w:rsidTr="0093317E">
        <w:tc>
          <w:tcPr>
            <w:tcW w:w="1870" w:type="dxa"/>
          </w:tcPr>
          <w:p w14:paraId="1BD80914" w14:textId="68D64CF6" w:rsidR="0093317E" w:rsidRPr="0093317E" w:rsidRDefault="0093317E" w:rsidP="0093317E">
            <w:pPr>
              <w:rPr>
                <w:rFonts w:cs="Arial"/>
                <w:szCs w:val="20"/>
              </w:rPr>
            </w:pPr>
            <w:r w:rsidRPr="0093317E">
              <w:rPr>
                <w:rFonts w:cs="Arial"/>
                <w:szCs w:val="20"/>
                <w:lang w:val="en-US"/>
              </w:rPr>
              <w:t xml:space="preserve">T 200 </w:t>
            </w:r>
            <w:proofErr w:type="spellStart"/>
            <w:r w:rsidRPr="0093317E">
              <w:rPr>
                <w:rFonts w:cs="Arial"/>
                <w:szCs w:val="20"/>
                <w:lang w:val="en-US"/>
              </w:rPr>
              <w:t>mg</w:t>
            </w:r>
            <w:r w:rsidRPr="0093317E">
              <w:rPr>
                <w:rFonts w:cs="Arial"/>
                <w:szCs w:val="20"/>
                <w:vertAlign w:val="superscript"/>
                <w:lang w:val="en-US"/>
              </w:rPr>
              <w:t>a</w:t>
            </w:r>
            <w:proofErr w:type="spellEnd"/>
          </w:p>
        </w:tc>
        <w:tc>
          <w:tcPr>
            <w:tcW w:w="1870" w:type="dxa"/>
          </w:tcPr>
          <w:p w14:paraId="49E10B99" w14:textId="005357EE" w:rsidR="0093317E" w:rsidRPr="0093317E" w:rsidRDefault="0093317E" w:rsidP="0093317E">
            <w:pPr>
              <w:rPr>
                <w:rFonts w:cs="Arial"/>
                <w:szCs w:val="20"/>
              </w:rPr>
            </w:pPr>
            <w:r w:rsidRPr="0093317E">
              <w:rPr>
                <w:rFonts w:cs="Arial"/>
                <w:szCs w:val="20"/>
              </w:rPr>
              <w:t>Ежедневно</w:t>
            </w:r>
          </w:p>
        </w:tc>
        <w:tc>
          <w:tcPr>
            <w:tcW w:w="1870" w:type="dxa"/>
          </w:tcPr>
          <w:p w14:paraId="5986CEED" w14:textId="186101C8" w:rsidR="0093317E" w:rsidRPr="0093317E" w:rsidRDefault="0093317E" w:rsidP="0093317E">
            <w:pPr>
              <w:rPr>
                <w:rFonts w:cs="Arial"/>
                <w:szCs w:val="20"/>
              </w:rPr>
            </w:pPr>
            <w:r w:rsidRPr="0093317E">
              <w:rPr>
                <w:rFonts w:cs="Arial"/>
                <w:szCs w:val="20"/>
              </w:rPr>
              <w:t>Ежедневно</w:t>
            </w:r>
          </w:p>
        </w:tc>
        <w:tc>
          <w:tcPr>
            <w:tcW w:w="1870" w:type="dxa"/>
          </w:tcPr>
          <w:p w14:paraId="23BD3044" w14:textId="5C8E1199" w:rsidR="0093317E" w:rsidRPr="0093317E" w:rsidRDefault="0093317E" w:rsidP="0093317E">
            <w:pPr>
              <w:rPr>
                <w:rFonts w:cs="Arial"/>
                <w:szCs w:val="20"/>
              </w:rPr>
            </w:pPr>
            <w:r w:rsidRPr="0093317E">
              <w:rPr>
                <w:rFonts w:cs="Arial"/>
                <w:szCs w:val="20"/>
              </w:rPr>
              <w:t>Ежедневно</w:t>
            </w:r>
          </w:p>
        </w:tc>
        <w:tc>
          <w:tcPr>
            <w:tcW w:w="1870" w:type="dxa"/>
          </w:tcPr>
          <w:p w14:paraId="2BF17633" w14:textId="51460EC7" w:rsidR="0093317E" w:rsidRPr="0093317E" w:rsidRDefault="0093317E" w:rsidP="0093317E">
            <w:pPr>
              <w:rPr>
                <w:rFonts w:cs="Arial"/>
                <w:szCs w:val="20"/>
              </w:rPr>
            </w:pPr>
            <w:r w:rsidRPr="0093317E">
              <w:rPr>
                <w:rFonts w:cs="Arial"/>
                <w:szCs w:val="20"/>
              </w:rPr>
              <w:t>Ежедневно</w:t>
            </w:r>
          </w:p>
        </w:tc>
      </w:tr>
      <w:tr w:rsidR="0093317E" w:rsidRPr="0093317E" w14:paraId="0082F246" w14:textId="77777777" w:rsidTr="0093317E">
        <w:tc>
          <w:tcPr>
            <w:tcW w:w="1870" w:type="dxa"/>
          </w:tcPr>
          <w:p w14:paraId="46A7655A" w14:textId="07B1BF70" w:rsidR="0093317E" w:rsidRPr="0093317E" w:rsidRDefault="0093317E" w:rsidP="0093317E">
            <w:pPr>
              <w:rPr>
                <w:rFonts w:cs="Arial"/>
                <w:szCs w:val="20"/>
              </w:rPr>
            </w:pPr>
            <w:r w:rsidRPr="0093317E">
              <w:rPr>
                <w:rFonts w:cs="Arial"/>
                <w:szCs w:val="20"/>
                <w:lang w:val="en-US"/>
              </w:rPr>
              <w:t>Dx 40 mg</w:t>
            </w:r>
          </w:p>
        </w:tc>
        <w:tc>
          <w:tcPr>
            <w:tcW w:w="1870" w:type="dxa"/>
          </w:tcPr>
          <w:p w14:paraId="1EE80C8F" w14:textId="4909E8AE" w:rsidR="0093317E" w:rsidRPr="0093317E" w:rsidRDefault="0093317E" w:rsidP="0093317E">
            <w:pPr>
              <w:rPr>
                <w:rFonts w:cs="Arial"/>
                <w:szCs w:val="20"/>
              </w:rPr>
            </w:pPr>
            <w:r w:rsidRPr="0093317E">
              <w:rPr>
                <w:rFonts w:cs="Arial"/>
                <w:szCs w:val="20"/>
              </w:rPr>
              <w:t>Ден 1, 2, 3, 4</w:t>
            </w:r>
          </w:p>
        </w:tc>
        <w:tc>
          <w:tcPr>
            <w:tcW w:w="1870" w:type="dxa"/>
          </w:tcPr>
          <w:p w14:paraId="47367BC7" w14:textId="1C302F82" w:rsidR="0093317E" w:rsidRPr="0093317E" w:rsidRDefault="0093317E" w:rsidP="0093317E">
            <w:pPr>
              <w:rPr>
                <w:rFonts w:cs="Arial"/>
                <w:szCs w:val="20"/>
              </w:rPr>
            </w:pPr>
            <w:r w:rsidRPr="0093317E">
              <w:rPr>
                <w:rFonts w:cs="Arial"/>
                <w:szCs w:val="20"/>
              </w:rPr>
              <w:t>Ден 8,9, 10,11</w:t>
            </w:r>
          </w:p>
        </w:tc>
        <w:tc>
          <w:tcPr>
            <w:tcW w:w="1870" w:type="dxa"/>
          </w:tcPr>
          <w:p w14:paraId="1037531E" w14:textId="7F9B4EF6" w:rsidR="0093317E" w:rsidRPr="0093317E" w:rsidRDefault="0093317E" w:rsidP="0093317E">
            <w:pPr>
              <w:rPr>
                <w:rFonts w:cs="Arial"/>
                <w:szCs w:val="20"/>
              </w:rPr>
            </w:pPr>
            <w:r w:rsidRPr="0093317E">
              <w:rPr>
                <w:rFonts w:cs="Arial"/>
                <w:szCs w:val="20"/>
              </w:rPr>
              <w:t>-</w:t>
            </w:r>
          </w:p>
        </w:tc>
        <w:tc>
          <w:tcPr>
            <w:tcW w:w="1870" w:type="dxa"/>
          </w:tcPr>
          <w:p w14:paraId="357C66DD" w14:textId="0431312D" w:rsidR="0093317E" w:rsidRPr="0093317E" w:rsidRDefault="0093317E" w:rsidP="0093317E">
            <w:pPr>
              <w:rPr>
                <w:rFonts w:cs="Arial"/>
                <w:szCs w:val="20"/>
              </w:rPr>
            </w:pPr>
            <w:r w:rsidRPr="0093317E">
              <w:rPr>
                <w:rFonts w:cs="Arial"/>
                <w:szCs w:val="20"/>
              </w:rPr>
              <w:t>-</w:t>
            </w:r>
          </w:p>
        </w:tc>
      </w:tr>
    </w:tbl>
    <w:p w14:paraId="35C7CC31" w14:textId="77777777" w:rsidR="0093317E" w:rsidRPr="0093317E" w:rsidRDefault="0093317E" w:rsidP="0093317E">
      <w:pPr>
        <w:spacing w:line="240" w:lineRule="auto"/>
        <w:rPr>
          <w:rFonts w:eastAsia="Times New Roman" w:cs="Arial"/>
          <w:szCs w:val="20"/>
          <w:lang w:eastAsia="bg-BG"/>
        </w:rPr>
      </w:pPr>
      <w:proofErr w:type="spellStart"/>
      <w:r w:rsidRPr="0093317E">
        <w:rPr>
          <w:rFonts w:eastAsia="Times New Roman" w:cs="Arial"/>
          <w:color w:val="000000"/>
          <w:szCs w:val="20"/>
          <w:lang w:eastAsia="bg-BG"/>
        </w:rPr>
        <w:lastRenderedPageBreak/>
        <w:t>Вг-Бортезокон</w:t>
      </w:r>
      <w:proofErr w:type="spellEnd"/>
      <w:r w:rsidRPr="0093317E">
        <w:rPr>
          <w:rFonts w:eastAsia="Times New Roman" w:cs="Arial"/>
          <w:color w:val="000000"/>
          <w:szCs w:val="20"/>
          <w:lang w:eastAsia="bg-BG"/>
        </w:rPr>
        <w:t xml:space="preserve">; </w:t>
      </w:r>
      <w:r w:rsidRPr="0093317E">
        <w:rPr>
          <w:rFonts w:eastAsia="Times New Roman" w:cs="Arial"/>
          <w:color w:val="000000"/>
          <w:szCs w:val="20"/>
          <w:lang w:val="en-US"/>
        </w:rPr>
        <w:t>Dx</w:t>
      </w:r>
      <w:r w:rsidRPr="00FD4C98">
        <w:rPr>
          <w:rFonts w:eastAsia="Times New Roman" w:cs="Arial"/>
          <w:color w:val="000000"/>
          <w:szCs w:val="20"/>
          <w:lang w:val="ru-RU"/>
        </w:rPr>
        <w:t xml:space="preserve">- </w:t>
      </w:r>
      <w:proofErr w:type="spellStart"/>
      <w:r w:rsidRPr="0093317E">
        <w:rPr>
          <w:rFonts w:eastAsia="Times New Roman" w:cs="Arial"/>
          <w:color w:val="000000"/>
          <w:szCs w:val="20"/>
          <w:lang w:eastAsia="bg-BG"/>
        </w:rPr>
        <w:t>дексаметазон</w:t>
      </w:r>
      <w:proofErr w:type="spellEnd"/>
      <w:r w:rsidRPr="0093317E">
        <w:rPr>
          <w:rFonts w:eastAsia="Times New Roman" w:cs="Arial"/>
          <w:color w:val="000000"/>
          <w:szCs w:val="20"/>
          <w:lang w:eastAsia="bg-BG"/>
        </w:rPr>
        <w:t xml:space="preserve">; </w:t>
      </w:r>
      <w:r w:rsidRPr="0093317E">
        <w:rPr>
          <w:rFonts w:eastAsia="Times New Roman" w:cs="Arial"/>
          <w:color w:val="000000"/>
          <w:szCs w:val="20"/>
          <w:lang w:val="en-US"/>
        </w:rPr>
        <w:t>T</w:t>
      </w:r>
      <w:r w:rsidRPr="00FD4C98">
        <w:rPr>
          <w:rFonts w:eastAsia="Times New Roman" w:cs="Arial"/>
          <w:color w:val="000000"/>
          <w:szCs w:val="20"/>
          <w:lang w:val="ru-RU"/>
        </w:rPr>
        <w:t xml:space="preserve">- </w:t>
      </w:r>
      <w:proofErr w:type="spellStart"/>
      <w:r w:rsidRPr="0093317E">
        <w:rPr>
          <w:rFonts w:eastAsia="Times New Roman" w:cs="Arial"/>
          <w:color w:val="000000"/>
          <w:szCs w:val="20"/>
          <w:lang w:eastAsia="bg-BG"/>
        </w:rPr>
        <w:t>талидомид</w:t>
      </w:r>
      <w:proofErr w:type="spellEnd"/>
    </w:p>
    <w:p w14:paraId="4CF138F6" w14:textId="432102F3" w:rsidR="0093317E" w:rsidRPr="0093317E" w:rsidRDefault="00A76FF9" w:rsidP="0093317E">
      <w:pPr>
        <w:spacing w:line="240" w:lineRule="auto"/>
        <w:rPr>
          <w:rFonts w:eastAsia="Times New Roman" w:cs="Arial"/>
          <w:szCs w:val="20"/>
          <w:lang w:eastAsia="bg-BG"/>
        </w:rPr>
      </w:pPr>
      <w:r>
        <w:rPr>
          <w:rFonts w:eastAsia="Times New Roman" w:cs="Arial"/>
          <w:color w:val="000000"/>
          <w:szCs w:val="20"/>
          <w:vertAlign w:val="superscript"/>
          <w:lang w:eastAsia="bg-BG"/>
        </w:rPr>
        <w:t>а</w:t>
      </w:r>
      <w:r w:rsidR="0093317E" w:rsidRPr="0093317E">
        <w:rPr>
          <w:rFonts w:eastAsia="Times New Roman" w:cs="Arial"/>
          <w:color w:val="000000"/>
          <w:szCs w:val="20"/>
          <w:lang w:eastAsia="bg-BG"/>
        </w:rPr>
        <w:t xml:space="preserve"> Дозата на </w:t>
      </w:r>
      <w:proofErr w:type="spellStart"/>
      <w:r w:rsidR="0093317E" w:rsidRPr="0093317E">
        <w:rPr>
          <w:rFonts w:eastAsia="Times New Roman" w:cs="Arial"/>
          <w:color w:val="000000"/>
          <w:szCs w:val="20"/>
          <w:lang w:eastAsia="bg-BG"/>
        </w:rPr>
        <w:t>талидомид</w:t>
      </w:r>
      <w:proofErr w:type="spellEnd"/>
      <w:r w:rsidR="0093317E" w:rsidRPr="0093317E">
        <w:rPr>
          <w:rFonts w:eastAsia="Times New Roman" w:cs="Arial"/>
          <w:color w:val="000000"/>
          <w:szCs w:val="20"/>
          <w:lang w:eastAsia="bg-BG"/>
        </w:rPr>
        <w:t xml:space="preserve"> се увеличава до 100 </w:t>
      </w:r>
      <w:r w:rsidR="0093317E" w:rsidRPr="0093317E">
        <w:rPr>
          <w:rFonts w:eastAsia="Times New Roman" w:cs="Arial"/>
          <w:color w:val="000000"/>
          <w:szCs w:val="20"/>
          <w:lang w:val="en-US"/>
        </w:rPr>
        <w:t>mg</w:t>
      </w:r>
      <w:r w:rsidR="0093317E" w:rsidRPr="00FD4C98">
        <w:rPr>
          <w:rFonts w:eastAsia="Times New Roman" w:cs="Arial"/>
          <w:color w:val="000000"/>
          <w:szCs w:val="20"/>
          <w:lang w:val="ru-RU"/>
        </w:rPr>
        <w:t xml:space="preserve"> </w:t>
      </w:r>
      <w:r w:rsidR="0093317E" w:rsidRPr="0093317E">
        <w:rPr>
          <w:rFonts w:eastAsia="Times New Roman" w:cs="Arial"/>
          <w:color w:val="000000"/>
          <w:szCs w:val="20"/>
          <w:lang w:eastAsia="bg-BG"/>
        </w:rPr>
        <w:t xml:space="preserve">от седмица 3 на цикъл 1 само при добра поносимост към дозата от 50 </w:t>
      </w:r>
      <w:r w:rsidR="0093317E" w:rsidRPr="0093317E">
        <w:rPr>
          <w:rFonts w:eastAsia="Times New Roman" w:cs="Arial"/>
          <w:color w:val="000000"/>
          <w:szCs w:val="20"/>
          <w:lang w:val="en-US"/>
        </w:rPr>
        <w:t>mg</w:t>
      </w:r>
      <w:r w:rsidR="0093317E" w:rsidRPr="00FD4C98">
        <w:rPr>
          <w:rFonts w:eastAsia="Times New Roman" w:cs="Arial"/>
          <w:color w:val="000000"/>
          <w:szCs w:val="20"/>
          <w:lang w:val="ru-RU"/>
        </w:rPr>
        <w:t xml:space="preserve"> </w:t>
      </w:r>
      <w:r w:rsidR="0093317E" w:rsidRPr="0093317E">
        <w:rPr>
          <w:rFonts w:eastAsia="Times New Roman" w:cs="Arial"/>
          <w:color w:val="000000"/>
          <w:szCs w:val="20"/>
          <w:lang w:eastAsia="bg-BG"/>
        </w:rPr>
        <w:t xml:space="preserve">и на 200 </w:t>
      </w:r>
      <w:r w:rsidR="0093317E" w:rsidRPr="0093317E">
        <w:rPr>
          <w:rFonts w:eastAsia="Times New Roman" w:cs="Arial"/>
          <w:color w:val="000000"/>
          <w:szCs w:val="20"/>
          <w:lang w:val="en-US"/>
        </w:rPr>
        <w:t>mg</w:t>
      </w:r>
      <w:r w:rsidR="0093317E" w:rsidRPr="00FD4C98">
        <w:rPr>
          <w:rFonts w:eastAsia="Times New Roman" w:cs="Arial"/>
          <w:color w:val="000000"/>
          <w:szCs w:val="20"/>
          <w:lang w:val="ru-RU"/>
        </w:rPr>
        <w:t xml:space="preserve"> </w:t>
      </w:r>
      <w:r w:rsidR="0093317E" w:rsidRPr="0093317E">
        <w:rPr>
          <w:rFonts w:eastAsia="Times New Roman" w:cs="Arial"/>
          <w:color w:val="000000"/>
          <w:szCs w:val="20"/>
          <w:lang w:eastAsia="bg-BG"/>
        </w:rPr>
        <w:t xml:space="preserve">от цикъл 2 до края при добра поносимост към дозата от 100 </w:t>
      </w:r>
      <w:r w:rsidR="0093317E" w:rsidRPr="0093317E">
        <w:rPr>
          <w:rFonts w:eastAsia="Times New Roman" w:cs="Arial"/>
          <w:color w:val="000000"/>
          <w:szCs w:val="20"/>
          <w:lang w:val="en-US"/>
        </w:rPr>
        <w:t>mg</w:t>
      </w:r>
      <w:r w:rsidR="0093317E" w:rsidRPr="00FD4C98">
        <w:rPr>
          <w:rFonts w:eastAsia="Times New Roman" w:cs="Arial"/>
          <w:color w:val="000000"/>
          <w:szCs w:val="20"/>
          <w:lang w:val="ru-RU"/>
        </w:rPr>
        <w:t>,</w:t>
      </w:r>
    </w:p>
    <w:p w14:paraId="5D2301F1" w14:textId="77777777" w:rsidR="0093317E" w:rsidRPr="0093317E" w:rsidRDefault="0093317E" w:rsidP="0093317E">
      <w:pPr>
        <w:spacing w:line="240" w:lineRule="auto"/>
        <w:rPr>
          <w:rFonts w:eastAsia="Times New Roman" w:cs="Arial"/>
          <w:szCs w:val="20"/>
          <w:lang w:eastAsia="bg-BG"/>
        </w:rPr>
      </w:pPr>
      <w:r w:rsidRPr="0093317E">
        <w:rPr>
          <w:rFonts w:eastAsia="Times New Roman" w:cs="Arial"/>
          <w:color w:val="000000"/>
          <w:szCs w:val="20"/>
          <w:vertAlign w:val="superscript"/>
          <w:lang w:val="en-US"/>
        </w:rPr>
        <w:t>b</w:t>
      </w:r>
      <w:r w:rsidRPr="0093317E">
        <w:rPr>
          <w:rFonts w:eastAsia="Times New Roman" w:cs="Arial"/>
          <w:color w:val="000000"/>
          <w:szCs w:val="20"/>
          <w:lang w:eastAsia="bg-BG"/>
        </w:rPr>
        <w:t xml:space="preserve"> Пациентите, постигнали поне частичен отговор след 4 цикъла, може да получат до </w:t>
      </w:r>
      <w:r w:rsidRPr="0093317E">
        <w:rPr>
          <w:rFonts w:eastAsia="Times New Roman" w:cs="Arial"/>
          <w:i/>
          <w:iCs/>
          <w:color w:val="000000"/>
          <w:szCs w:val="20"/>
          <w:lang w:eastAsia="bg-BG"/>
        </w:rPr>
        <w:t>6</w:t>
      </w:r>
      <w:r w:rsidRPr="0093317E">
        <w:rPr>
          <w:rFonts w:eastAsia="Times New Roman" w:cs="Arial"/>
          <w:color w:val="000000"/>
          <w:szCs w:val="20"/>
          <w:lang w:eastAsia="bg-BG"/>
        </w:rPr>
        <w:t xml:space="preserve"> цикъла на лечение</w:t>
      </w:r>
    </w:p>
    <w:p w14:paraId="28FD23BB" w14:textId="77777777" w:rsidR="0093317E" w:rsidRPr="0093317E" w:rsidRDefault="0093317E" w:rsidP="0093317E">
      <w:pPr>
        <w:spacing w:line="240" w:lineRule="auto"/>
        <w:rPr>
          <w:rFonts w:eastAsia="Times New Roman" w:cs="Arial"/>
          <w:i/>
          <w:iCs/>
          <w:color w:val="000000"/>
          <w:szCs w:val="20"/>
          <w:lang w:eastAsia="bg-BG"/>
        </w:rPr>
      </w:pPr>
    </w:p>
    <w:p w14:paraId="230E6CD2" w14:textId="48A97BBF" w:rsidR="0093317E" w:rsidRPr="0093317E" w:rsidRDefault="0093317E" w:rsidP="0093317E">
      <w:pPr>
        <w:spacing w:line="240" w:lineRule="auto"/>
        <w:rPr>
          <w:rFonts w:eastAsia="Times New Roman" w:cs="Arial"/>
          <w:szCs w:val="20"/>
          <w:lang w:eastAsia="bg-BG"/>
        </w:rPr>
      </w:pPr>
      <w:r w:rsidRPr="0093317E">
        <w:rPr>
          <w:rFonts w:eastAsia="Times New Roman" w:cs="Arial"/>
          <w:i/>
          <w:iCs/>
          <w:color w:val="000000"/>
          <w:szCs w:val="20"/>
          <w:lang w:eastAsia="bg-BG"/>
        </w:rPr>
        <w:t>Адаптиране на дозата за пациенти, подходящи за трансплантация</w:t>
      </w:r>
    </w:p>
    <w:p w14:paraId="6BA969A7" w14:textId="7B7167D6" w:rsidR="0093317E" w:rsidRPr="00896384" w:rsidRDefault="0093317E" w:rsidP="0093317E">
      <w:pPr>
        <w:rPr>
          <w:rFonts w:cs="Arial"/>
          <w:szCs w:val="20"/>
        </w:rPr>
      </w:pPr>
      <w:r w:rsidRPr="0093317E">
        <w:rPr>
          <w:rFonts w:eastAsia="Times New Roman" w:cs="Arial"/>
          <w:color w:val="000000"/>
          <w:szCs w:val="20"/>
          <w:lang w:eastAsia="bg-BG"/>
        </w:rPr>
        <w:t xml:space="preserve">За адаптиране на дозата </w:t>
      </w:r>
      <w:proofErr w:type="spellStart"/>
      <w:r w:rsidRPr="0093317E">
        <w:rPr>
          <w:rFonts w:eastAsia="Times New Roman" w:cs="Arial"/>
          <w:color w:val="000000"/>
          <w:szCs w:val="20"/>
          <w:lang w:eastAsia="bg-BG"/>
        </w:rPr>
        <w:t>наБортезокон</w:t>
      </w:r>
      <w:proofErr w:type="spellEnd"/>
      <w:r w:rsidRPr="0093317E">
        <w:rPr>
          <w:rFonts w:eastAsia="Times New Roman" w:cs="Arial"/>
          <w:color w:val="000000"/>
          <w:szCs w:val="20"/>
          <w:lang w:eastAsia="bg-BG"/>
        </w:rPr>
        <w:t xml:space="preserve"> при невропатия вижте Таблица 1. В допълнение, когато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се прилага в комбинация с други </w:t>
      </w:r>
      <w:proofErr w:type="spellStart"/>
      <w:r w:rsidRPr="0093317E">
        <w:rPr>
          <w:rFonts w:eastAsia="Times New Roman" w:cs="Arial"/>
          <w:color w:val="000000"/>
          <w:szCs w:val="20"/>
          <w:lang w:eastAsia="bg-BG"/>
        </w:rPr>
        <w:t>химиотерапевтични</w:t>
      </w:r>
      <w:proofErr w:type="spellEnd"/>
      <w:r w:rsidRPr="0093317E">
        <w:rPr>
          <w:rFonts w:eastAsia="Times New Roman" w:cs="Arial"/>
          <w:color w:val="000000"/>
          <w:szCs w:val="20"/>
          <w:lang w:eastAsia="bg-BG"/>
        </w:rPr>
        <w:t xml:space="preserve"> лекарствени продукти, в случай на токсичност трябва да се предвиди съответно намаляване </w:t>
      </w:r>
      <w:r w:rsidRPr="00896384">
        <w:rPr>
          <w:rFonts w:eastAsia="Times New Roman" w:cs="Arial"/>
          <w:color w:val="000000"/>
          <w:szCs w:val="20"/>
          <w:lang w:eastAsia="bg-BG"/>
        </w:rPr>
        <w:t>на дозата според препоръките в кратките характеристики на тези продукти.</w:t>
      </w:r>
    </w:p>
    <w:p w14:paraId="36109685" w14:textId="25779885" w:rsidR="0093317E" w:rsidRDefault="0093317E" w:rsidP="0091385D"/>
    <w:p w14:paraId="57BD8F3A"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u w:val="single"/>
          <w:lang w:eastAsia="bg-BG"/>
        </w:rPr>
        <w:t>Специални популации</w:t>
      </w:r>
    </w:p>
    <w:p w14:paraId="5A8920F4" w14:textId="77777777" w:rsidR="0093317E" w:rsidRPr="0093317E" w:rsidRDefault="0093317E" w:rsidP="0093317E">
      <w:pPr>
        <w:spacing w:line="240" w:lineRule="auto"/>
        <w:rPr>
          <w:rFonts w:eastAsia="Times New Roman" w:cs="Arial"/>
          <w:i/>
          <w:iCs/>
          <w:color w:val="000000"/>
          <w:szCs w:val="20"/>
          <w:lang w:eastAsia="bg-BG"/>
        </w:rPr>
      </w:pPr>
    </w:p>
    <w:p w14:paraId="1E2C7F69" w14:textId="56857FEA" w:rsidR="0093317E" w:rsidRPr="0093317E" w:rsidRDefault="0093317E" w:rsidP="0093317E">
      <w:pPr>
        <w:spacing w:line="240" w:lineRule="auto"/>
        <w:rPr>
          <w:rFonts w:eastAsia="Times New Roman" w:cs="Arial"/>
          <w:sz w:val="28"/>
          <w:szCs w:val="24"/>
          <w:lang w:eastAsia="bg-BG"/>
        </w:rPr>
      </w:pPr>
      <w:r w:rsidRPr="0093317E">
        <w:rPr>
          <w:rFonts w:eastAsia="Times New Roman" w:cs="Arial"/>
          <w:i/>
          <w:iCs/>
          <w:color w:val="000000"/>
          <w:szCs w:val="20"/>
          <w:lang w:eastAsia="bg-BG"/>
        </w:rPr>
        <w:t>Старческа възраст</w:t>
      </w:r>
    </w:p>
    <w:p w14:paraId="2C20A2BB"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Няма данни, които предполагат необходимост от адаптиране на дозата при пациенти над 65 години.</w:t>
      </w:r>
    </w:p>
    <w:p w14:paraId="7B0FB3A0"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Не са провеждани проучвания за употребата на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при пациенти в старческа възраст, с </w:t>
      </w:r>
      <w:proofErr w:type="spellStart"/>
      <w:r w:rsidRPr="0093317E">
        <w:rPr>
          <w:rFonts w:eastAsia="Times New Roman" w:cs="Arial"/>
          <w:color w:val="000000"/>
          <w:szCs w:val="20"/>
          <w:lang w:eastAsia="bg-BG"/>
        </w:rPr>
        <w:t>нелекуван</w:t>
      </w:r>
      <w:proofErr w:type="spellEnd"/>
      <w:r w:rsidRPr="0093317E">
        <w:rPr>
          <w:rFonts w:eastAsia="Times New Roman" w:cs="Arial"/>
          <w:color w:val="000000"/>
          <w:szCs w:val="20"/>
          <w:lang w:eastAsia="bg-BG"/>
        </w:rPr>
        <w:t xml:space="preserve"> мултиплен миелом, които са подходящи за </w:t>
      </w:r>
      <w:proofErr w:type="spellStart"/>
      <w:r w:rsidRPr="0093317E">
        <w:rPr>
          <w:rFonts w:eastAsia="Times New Roman" w:cs="Arial"/>
          <w:color w:val="000000"/>
          <w:szCs w:val="20"/>
          <w:lang w:eastAsia="bg-BG"/>
        </w:rPr>
        <w:t>високодозова</w:t>
      </w:r>
      <w:proofErr w:type="spellEnd"/>
      <w:r w:rsidRPr="0093317E">
        <w:rPr>
          <w:rFonts w:eastAsia="Times New Roman" w:cs="Arial"/>
          <w:color w:val="000000"/>
          <w:szCs w:val="20"/>
          <w:lang w:eastAsia="bg-BG"/>
        </w:rPr>
        <w:t xml:space="preserve"> химиотерапия с трансплантация на </w:t>
      </w:r>
      <w:proofErr w:type="spellStart"/>
      <w:r w:rsidRPr="0093317E">
        <w:rPr>
          <w:rFonts w:eastAsia="Times New Roman" w:cs="Arial"/>
          <w:color w:val="000000"/>
          <w:szCs w:val="20"/>
          <w:lang w:eastAsia="bg-BG"/>
        </w:rPr>
        <w:t>хемопоетични</w:t>
      </w:r>
      <w:proofErr w:type="spellEnd"/>
      <w:r w:rsidRPr="0093317E">
        <w:rPr>
          <w:rFonts w:eastAsia="Times New Roman" w:cs="Arial"/>
          <w:color w:val="000000"/>
          <w:szCs w:val="20"/>
          <w:lang w:eastAsia="bg-BG"/>
        </w:rPr>
        <w:t xml:space="preserve"> стволови клетки. Следователно не могат да се направят препоръки за дозировката при тази популация.</w:t>
      </w:r>
    </w:p>
    <w:p w14:paraId="312AEAFB" w14:textId="77777777" w:rsidR="0093317E" w:rsidRPr="0093317E" w:rsidRDefault="0093317E" w:rsidP="0093317E">
      <w:pPr>
        <w:spacing w:line="240" w:lineRule="auto"/>
        <w:rPr>
          <w:rFonts w:eastAsia="Times New Roman" w:cs="Arial"/>
          <w:i/>
          <w:iCs/>
          <w:color w:val="000000"/>
          <w:szCs w:val="20"/>
          <w:lang w:eastAsia="bg-BG"/>
        </w:rPr>
      </w:pPr>
    </w:p>
    <w:p w14:paraId="246AFD35" w14:textId="7824A716" w:rsidR="0093317E" w:rsidRPr="0093317E" w:rsidRDefault="0093317E" w:rsidP="0093317E">
      <w:pPr>
        <w:spacing w:line="240" w:lineRule="auto"/>
        <w:rPr>
          <w:rFonts w:eastAsia="Times New Roman" w:cs="Arial"/>
          <w:sz w:val="28"/>
          <w:szCs w:val="24"/>
          <w:lang w:eastAsia="bg-BG"/>
        </w:rPr>
      </w:pPr>
      <w:r w:rsidRPr="0093317E">
        <w:rPr>
          <w:rFonts w:eastAsia="Times New Roman" w:cs="Arial"/>
          <w:i/>
          <w:iCs/>
          <w:color w:val="000000"/>
          <w:szCs w:val="20"/>
          <w:lang w:eastAsia="bg-BG"/>
        </w:rPr>
        <w:t>Чернодробно увреждане</w:t>
      </w:r>
    </w:p>
    <w:p w14:paraId="3780AC4D"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Пациенти с лека степен на чернодробно увреждане не се нуждаят от коригиране на дозата и трябва да се лекуват съгласно препоръчителната доза. Пациенти с умерено до тежко чернодробно увреждане трябва да започнат с намалена доза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от 0,7 </w:t>
      </w:r>
      <w:r w:rsidRPr="0093317E">
        <w:rPr>
          <w:rFonts w:eastAsia="Times New Roman" w:cs="Arial"/>
          <w:color w:val="000000"/>
          <w:szCs w:val="20"/>
          <w:lang w:val="en-US"/>
        </w:rPr>
        <w:t>mg</w:t>
      </w:r>
      <w:r w:rsidRPr="00FD4C98">
        <w:rPr>
          <w:rFonts w:eastAsia="Times New Roman" w:cs="Arial"/>
          <w:color w:val="000000"/>
          <w:szCs w:val="20"/>
          <w:lang w:val="ru-RU"/>
        </w:rPr>
        <w:t>/</w:t>
      </w:r>
      <w:r w:rsidRPr="0093317E">
        <w:rPr>
          <w:rFonts w:eastAsia="Times New Roman" w:cs="Arial"/>
          <w:color w:val="000000"/>
          <w:szCs w:val="20"/>
          <w:lang w:val="en-US"/>
        </w:rPr>
        <w:t>m</w:t>
      </w:r>
      <w:r w:rsidRPr="00FD4C98">
        <w:rPr>
          <w:rFonts w:eastAsia="Times New Roman" w:cs="Arial"/>
          <w:color w:val="000000"/>
          <w:szCs w:val="20"/>
          <w:vertAlign w:val="superscript"/>
          <w:lang w:val="ru-RU"/>
        </w:rPr>
        <w:t>2</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на инжектиране по време на първия терапевтичен цикъл, като повишаване на дозата до 1,0 </w:t>
      </w:r>
      <w:r w:rsidRPr="0093317E">
        <w:rPr>
          <w:rFonts w:eastAsia="Times New Roman" w:cs="Arial"/>
          <w:color w:val="000000"/>
          <w:szCs w:val="20"/>
          <w:lang w:val="en-US"/>
        </w:rPr>
        <w:t>mg</w:t>
      </w:r>
      <w:r w:rsidRPr="00FD4C98">
        <w:rPr>
          <w:rFonts w:eastAsia="Times New Roman" w:cs="Arial"/>
          <w:color w:val="000000"/>
          <w:szCs w:val="20"/>
          <w:lang w:val="ru-RU"/>
        </w:rPr>
        <w:t>/</w:t>
      </w:r>
      <w:r w:rsidRPr="0093317E">
        <w:rPr>
          <w:rFonts w:eastAsia="Times New Roman" w:cs="Arial"/>
          <w:color w:val="000000"/>
          <w:szCs w:val="20"/>
          <w:lang w:val="en-US"/>
        </w:rPr>
        <w:t>m</w:t>
      </w:r>
      <w:r w:rsidRPr="00FD4C98">
        <w:rPr>
          <w:rFonts w:eastAsia="Times New Roman" w:cs="Arial"/>
          <w:color w:val="000000"/>
          <w:szCs w:val="20"/>
          <w:vertAlign w:val="superscript"/>
          <w:lang w:val="ru-RU"/>
        </w:rPr>
        <w:t xml:space="preserve">2 </w:t>
      </w:r>
      <w:r w:rsidRPr="0093317E">
        <w:rPr>
          <w:rFonts w:eastAsia="Times New Roman" w:cs="Arial"/>
          <w:color w:val="000000"/>
          <w:szCs w:val="20"/>
          <w:lang w:eastAsia="bg-BG"/>
        </w:rPr>
        <w:t xml:space="preserve">или по-нататъшно намаляване на дозата до 0,5 </w:t>
      </w:r>
      <w:r w:rsidRPr="0093317E">
        <w:rPr>
          <w:rFonts w:eastAsia="Times New Roman" w:cs="Arial"/>
          <w:color w:val="000000"/>
          <w:szCs w:val="20"/>
          <w:lang w:val="en-US"/>
        </w:rPr>
        <w:t>mg</w:t>
      </w:r>
      <w:r w:rsidRPr="00FD4C98">
        <w:rPr>
          <w:rFonts w:eastAsia="Times New Roman" w:cs="Arial"/>
          <w:color w:val="000000"/>
          <w:szCs w:val="20"/>
          <w:lang w:val="ru-RU"/>
        </w:rPr>
        <w:t>/</w:t>
      </w:r>
      <w:r w:rsidRPr="0093317E">
        <w:rPr>
          <w:rFonts w:eastAsia="Times New Roman" w:cs="Arial"/>
          <w:color w:val="000000"/>
          <w:szCs w:val="20"/>
          <w:lang w:val="en-US"/>
        </w:rPr>
        <w:t>m</w:t>
      </w:r>
      <w:r w:rsidRPr="00FD4C98">
        <w:rPr>
          <w:rFonts w:eastAsia="Times New Roman" w:cs="Arial"/>
          <w:color w:val="000000"/>
          <w:szCs w:val="20"/>
          <w:vertAlign w:val="superscript"/>
          <w:lang w:val="ru-RU"/>
        </w:rPr>
        <w:t>2</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могат да се обсъждат на базата на </w:t>
      </w:r>
      <w:proofErr w:type="spellStart"/>
      <w:r w:rsidRPr="0093317E">
        <w:rPr>
          <w:rFonts w:eastAsia="Times New Roman" w:cs="Arial"/>
          <w:color w:val="000000"/>
          <w:szCs w:val="20"/>
          <w:lang w:eastAsia="bg-BG"/>
        </w:rPr>
        <w:t>поносимосгта</w:t>
      </w:r>
      <w:proofErr w:type="spellEnd"/>
      <w:r w:rsidRPr="0093317E">
        <w:rPr>
          <w:rFonts w:eastAsia="Times New Roman" w:cs="Arial"/>
          <w:color w:val="000000"/>
          <w:szCs w:val="20"/>
          <w:lang w:eastAsia="bg-BG"/>
        </w:rPr>
        <w:t xml:space="preserve"> на пациента (</w:t>
      </w:r>
      <w:proofErr w:type="spellStart"/>
      <w:r w:rsidRPr="0093317E">
        <w:rPr>
          <w:rFonts w:eastAsia="Times New Roman" w:cs="Arial"/>
          <w:color w:val="000000"/>
          <w:szCs w:val="20"/>
          <w:lang w:eastAsia="bg-BG"/>
        </w:rPr>
        <w:t>вж</w:t>
      </w:r>
      <w:proofErr w:type="spellEnd"/>
      <w:r w:rsidRPr="0093317E">
        <w:rPr>
          <w:rFonts w:eastAsia="Times New Roman" w:cs="Arial"/>
          <w:color w:val="000000"/>
          <w:szCs w:val="20"/>
          <w:lang w:eastAsia="bg-BG"/>
        </w:rPr>
        <w:t>, Таблица 5 и точки 4.4 и 5.2).</w:t>
      </w:r>
    </w:p>
    <w:p w14:paraId="04B41B60" w14:textId="77777777" w:rsidR="0093317E" w:rsidRPr="0093317E" w:rsidRDefault="0093317E" w:rsidP="0093317E">
      <w:pPr>
        <w:rPr>
          <w:rFonts w:eastAsia="Times New Roman" w:cs="Arial"/>
          <w:i/>
          <w:iCs/>
          <w:color w:val="000000"/>
          <w:szCs w:val="20"/>
          <w:lang w:eastAsia="bg-BG"/>
        </w:rPr>
      </w:pPr>
    </w:p>
    <w:p w14:paraId="7822F8CF" w14:textId="59C20E86" w:rsidR="0093317E" w:rsidRPr="0093317E" w:rsidRDefault="0093317E" w:rsidP="0093317E">
      <w:pPr>
        <w:rPr>
          <w:rFonts w:cs="Arial"/>
          <w:sz w:val="24"/>
        </w:rPr>
      </w:pPr>
      <w:r w:rsidRPr="0093317E">
        <w:rPr>
          <w:rFonts w:eastAsia="Times New Roman" w:cs="Arial"/>
          <w:i/>
          <w:iCs/>
          <w:color w:val="000000"/>
          <w:szCs w:val="20"/>
          <w:lang w:eastAsia="bg-BG"/>
        </w:rPr>
        <w:t xml:space="preserve">Таблица 5: Препоръчително модифициране на началната доза </w:t>
      </w:r>
      <w:proofErr w:type="spellStart"/>
      <w:r w:rsidRPr="0093317E">
        <w:rPr>
          <w:rFonts w:eastAsia="Times New Roman" w:cs="Arial"/>
          <w:i/>
          <w:iCs/>
          <w:color w:val="000000"/>
          <w:szCs w:val="20"/>
          <w:lang w:eastAsia="bg-BG"/>
        </w:rPr>
        <w:t>Бортезокон</w:t>
      </w:r>
      <w:proofErr w:type="spellEnd"/>
      <w:r w:rsidRPr="0093317E">
        <w:rPr>
          <w:rFonts w:eastAsia="Times New Roman" w:cs="Arial"/>
          <w:i/>
          <w:iCs/>
          <w:color w:val="000000"/>
          <w:szCs w:val="20"/>
          <w:lang w:eastAsia="bg-BG"/>
        </w:rPr>
        <w:t xml:space="preserve"> при пациенти с чернодробно увреждане</w:t>
      </w:r>
    </w:p>
    <w:p w14:paraId="2F50AAFF" w14:textId="0C8AEC8C" w:rsidR="0093317E" w:rsidRDefault="0093317E" w:rsidP="0091385D"/>
    <w:tbl>
      <w:tblPr>
        <w:tblStyle w:val="TableGrid"/>
        <w:tblW w:w="0" w:type="auto"/>
        <w:tblLook w:val="04A0" w:firstRow="1" w:lastRow="0" w:firstColumn="1" w:lastColumn="0" w:noHBand="0" w:noVBand="1"/>
      </w:tblPr>
      <w:tblGrid>
        <w:gridCol w:w="2337"/>
        <w:gridCol w:w="2337"/>
        <w:gridCol w:w="2338"/>
        <w:gridCol w:w="2338"/>
      </w:tblGrid>
      <w:tr w:rsidR="0093317E" w14:paraId="060FDF5C" w14:textId="77777777" w:rsidTr="0093317E">
        <w:tc>
          <w:tcPr>
            <w:tcW w:w="2337" w:type="dxa"/>
          </w:tcPr>
          <w:p w14:paraId="6C400562" w14:textId="2B581E31" w:rsidR="0093317E" w:rsidRPr="0093317E" w:rsidRDefault="0093317E" w:rsidP="0093317E">
            <w:r w:rsidRPr="0093317E">
              <w:rPr>
                <w:b/>
                <w:bCs/>
                <w:szCs w:val="20"/>
              </w:rPr>
              <w:t>Степен на чернодробното увреждане*</w:t>
            </w:r>
          </w:p>
        </w:tc>
        <w:tc>
          <w:tcPr>
            <w:tcW w:w="2337" w:type="dxa"/>
          </w:tcPr>
          <w:p w14:paraId="6F1B5F88" w14:textId="611470FF" w:rsidR="0093317E" w:rsidRPr="0093317E" w:rsidRDefault="0093317E" w:rsidP="0093317E">
            <w:r w:rsidRPr="0093317E">
              <w:rPr>
                <w:b/>
                <w:bCs/>
                <w:szCs w:val="20"/>
              </w:rPr>
              <w:t xml:space="preserve">Ниво на </w:t>
            </w:r>
            <w:proofErr w:type="spellStart"/>
            <w:r w:rsidRPr="0093317E">
              <w:rPr>
                <w:b/>
                <w:bCs/>
                <w:szCs w:val="20"/>
              </w:rPr>
              <w:t>билирубина</w:t>
            </w:r>
            <w:proofErr w:type="spellEnd"/>
          </w:p>
        </w:tc>
        <w:tc>
          <w:tcPr>
            <w:tcW w:w="2338" w:type="dxa"/>
          </w:tcPr>
          <w:p w14:paraId="082CEA02" w14:textId="683FDC46" w:rsidR="0093317E" w:rsidRPr="0093317E" w:rsidRDefault="0093317E" w:rsidP="0093317E">
            <w:r w:rsidRPr="0093317E">
              <w:rPr>
                <w:b/>
                <w:bCs/>
                <w:szCs w:val="20"/>
              </w:rPr>
              <w:t xml:space="preserve">Нива на </w:t>
            </w:r>
            <w:r w:rsidRPr="0093317E">
              <w:rPr>
                <w:b/>
                <w:bCs/>
                <w:szCs w:val="20"/>
                <w:lang w:val="en-US"/>
              </w:rPr>
              <w:t>SGOT (AST)</w:t>
            </w:r>
          </w:p>
        </w:tc>
        <w:tc>
          <w:tcPr>
            <w:tcW w:w="2338" w:type="dxa"/>
          </w:tcPr>
          <w:p w14:paraId="3E19FD1C" w14:textId="76F0B815" w:rsidR="0093317E" w:rsidRPr="0093317E" w:rsidRDefault="0093317E" w:rsidP="0093317E">
            <w:r w:rsidRPr="0093317E">
              <w:rPr>
                <w:b/>
                <w:bCs/>
                <w:szCs w:val="20"/>
              </w:rPr>
              <w:t>Модифициране на начална доза</w:t>
            </w:r>
          </w:p>
        </w:tc>
      </w:tr>
      <w:tr w:rsidR="0093317E" w14:paraId="41A874D2" w14:textId="77777777" w:rsidTr="0093317E">
        <w:tc>
          <w:tcPr>
            <w:tcW w:w="2337" w:type="dxa"/>
            <w:vMerge w:val="restart"/>
          </w:tcPr>
          <w:p w14:paraId="29F88B23" w14:textId="6E8AFF49" w:rsidR="0093317E" w:rsidRPr="0093317E" w:rsidRDefault="0093317E" w:rsidP="0093317E">
            <w:r w:rsidRPr="0093317E">
              <w:rPr>
                <w:szCs w:val="20"/>
              </w:rPr>
              <w:t>Леко</w:t>
            </w:r>
          </w:p>
        </w:tc>
        <w:tc>
          <w:tcPr>
            <w:tcW w:w="2337" w:type="dxa"/>
          </w:tcPr>
          <w:p w14:paraId="3EFE98D4" w14:textId="74F24A02" w:rsidR="0093317E" w:rsidRPr="0093317E" w:rsidRDefault="0093317E" w:rsidP="0093317E">
            <w:r w:rsidRPr="0093317E">
              <w:rPr>
                <w:szCs w:val="20"/>
              </w:rPr>
              <w:t xml:space="preserve">&lt; 1,0х </w:t>
            </w:r>
            <w:r w:rsidRPr="0093317E">
              <w:rPr>
                <w:szCs w:val="20"/>
                <w:lang w:val="en-US"/>
              </w:rPr>
              <w:t>ULN</w:t>
            </w:r>
          </w:p>
        </w:tc>
        <w:tc>
          <w:tcPr>
            <w:tcW w:w="2338" w:type="dxa"/>
          </w:tcPr>
          <w:p w14:paraId="4839D20F" w14:textId="0E0E341A" w:rsidR="0093317E" w:rsidRPr="0093317E" w:rsidRDefault="0093317E" w:rsidP="0093317E">
            <w:r w:rsidRPr="0093317E">
              <w:rPr>
                <w:szCs w:val="20"/>
              </w:rPr>
              <w:t xml:space="preserve">&gt; </w:t>
            </w:r>
            <w:r w:rsidRPr="0093317E">
              <w:rPr>
                <w:szCs w:val="20"/>
                <w:lang w:val="en-US"/>
              </w:rPr>
              <w:t>ULN</w:t>
            </w:r>
          </w:p>
        </w:tc>
        <w:tc>
          <w:tcPr>
            <w:tcW w:w="2338" w:type="dxa"/>
          </w:tcPr>
          <w:p w14:paraId="6D3C6981" w14:textId="0BD30806" w:rsidR="0093317E" w:rsidRPr="0093317E" w:rsidRDefault="0093317E" w:rsidP="0093317E">
            <w:r w:rsidRPr="0093317E">
              <w:rPr>
                <w:szCs w:val="20"/>
              </w:rPr>
              <w:t>Не</w:t>
            </w:r>
          </w:p>
        </w:tc>
      </w:tr>
      <w:tr w:rsidR="0093317E" w14:paraId="6331FEA9" w14:textId="77777777" w:rsidTr="0093317E">
        <w:tc>
          <w:tcPr>
            <w:tcW w:w="2337" w:type="dxa"/>
            <w:vMerge/>
          </w:tcPr>
          <w:p w14:paraId="769678F9" w14:textId="77777777" w:rsidR="0093317E" w:rsidRPr="0093317E" w:rsidRDefault="0093317E" w:rsidP="0093317E"/>
        </w:tc>
        <w:tc>
          <w:tcPr>
            <w:tcW w:w="2337" w:type="dxa"/>
          </w:tcPr>
          <w:p w14:paraId="05ABDCC0" w14:textId="51F18935" w:rsidR="0093317E" w:rsidRPr="0093317E" w:rsidRDefault="0093317E" w:rsidP="0093317E">
            <w:r w:rsidRPr="0093317E">
              <w:rPr>
                <w:szCs w:val="20"/>
                <w:lang w:val="en-US"/>
              </w:rPr>
              <w:t>I,0x-l,5x ULN</w:t>
            </w:r>
          </w:p>
        </w:tc>
        <w:tc>
          <w:tcPr>
            <w:tcW w:w="2338" w:type="dxa"/>
          </w:tcPr>
          <w:p w14:paraId="2D4061A1" w14:textId="3A29A633" w:rsidR="0093317E" w:rsidRPr="0093317E" w:rsidRDefault="0093317E" w:rsidP="0093317E">
            <w:r w:rsidRPr="0093317E">
              <w:rPr>
                <w:szCs w:val="20"/>
              </w:rPr>
              <w:t>Всяко</w:t>
            </w:r>
          </w:p>
        </w:tc>
        <w:tc>
          <w:tcPr>
            <w:tcW w:w="2338" w:type="dxa"/>
          </w:tcPr>
          <w:p w14:paraId="19EE39F4" w14:textId="39E7948A" w:rsidR="0093317E" w:rsidRPr="0093317E" w:rsidRDefault="0093317E" w:rsidP="0093317E">
            <w:r w:rsidRPr="0093317E">
              <w:rPr>
                <w:szCs w:val="20"/>
              </w:rPr>
              <w:t>Не</w:t>
            </w:r>
          </w:p>
        </w:tc>
      </w:tr>
      <w:tr w:rsidR="0093317E" w14:paraId="438AB499" w14:textId="77777777" w:rsidTr="0093317E">
        <w:tc>
          <w:tcPr>
            <w:tcW w:w="2337" w:type="dxa"/>
          </w:tcPr>
          <w:p w14:paraId="10037C01" w14:textId="65708A47" w:rsidR="0093317E" w:rsidRPr="0093317E" w:rsidRDefault="0093317E" w:rsidP="0093317E">
            <w:r w:rsidRPr="0093317E">
              <w:rPr>
                <w:szCs w:val="20"/>
              </w:rPr>
              <w:t>Умерено</w:t>
            </w:r>
          </w:p>
        </w:tc>
        <w:tc>
          <w:tcPr>
            <w:tcW w:w="2337" w:type="dxa"/>
          </w:tcPr>
          <w:p w14:paraId="70B8E756" w14:textId="6AD9B43D" w:rsidR="0093317E" w:rsidRPr="0093317E" w:rsidRDefault="0093317E" w:rsidP="0093317E">
            <w:r w:rsidRPr="0093317E">
              <w:rPr>
                <w:szCs w:val="20"/>
              </w:rPr>
              <w:t xml:space="preserve">&gt; 1,5х-3х </w:t>
            </w:r>
            <w:r w:rsidRPr="0093317E">
              <w:rPr>
                <w:szCs w:val="20"/>
                <w:lang w:val="en-US"/>
              </w:rPr>
              <w:t>ULN</w:t>
            </w:r>
          </w:p>
        </w:tc>
        <w:tc>
          <w:tcPr>
            <w:tcW w:w="2338" w:type="dxa"/>
          </w:tcPr>
          <w:p w14:paraId="008FB832" w14:textId="3CE46D77" w:rsidR="0093317E" w:rsidRPr="0093317E" w:rsidRDefault="0093317E" w:rsidP="0093317E">
            <w:r w:rsidRPr="0093317E">
              <w:rPr>
                <w:szCs w:val="20"/>
              </w:rPr>
              <w:t>Всяко</w:t>
            </w:r>
          </w:p>
        </w:tc>
        <w:tc>
          <w:tcPr>
            <w:tcW w:w="2338" w:type="dxa"/>
            <w:vMerge w:val="restart"/>
          </w:tcPr>
          <w:p w14:paraId="249A03A6" w14:textId="043A3B1E" w:rsidR="0093317E" w:rsidRPr="0093317E" w:rsidRDefault="0093317E" w:rsidP="0093317E">
            <w:r w:rsidRPr="0093317E">
              <w:rPr>
                <w:szCs w:val="20"/>
              </w:rPr>
              <w:t xml:space="preserve">Намаляване на </w:t>
            </w:r>
            <w:proofErr w:type="spellStart"/>
            <w:r w:rsidRPr="0093317E">
              <w:rPr>
                <w:szCs w:val="20"/>
              </w:rPr>
              <w:t>бортезомиб</w:t>
            </w:r>
            <w:proofErr w:type="spellEnd"/>
            <w:r w:rsidRPr="0093317E">
              <w:rPr>
                <w:szCs w:val="20"/>
              </w:rPr>
              <w:t xml:space="preserve"> до 0,7 </w:t>
            </w:r>
            <w:r w:rsidRPr="0093317E">
              <w:rPr>
                <w:szCs w:val="20"/>
                <w:lang w:val="en-US"/>
              </w:rPr>
              <w:t>mg</w:t>
            </w:r>
            <w:r w:rsidRPr="00FD4C98">
              <w:rPr>
                <w:szCs w:val="20"/>
                <w:lang w:val="ru-RU"/>
              </w:rPr>
              <w:t>/</w:t>
            </w:r>
            <w:r w:rsidRPr="0093317E">
              <w:rPr>
                <w:szCs w:val="20"/>
                <w:lang w:val="en-US"/>
              </w:rPr>
              <w:t>m</w:t>
            </w:r>
            <w:r w:rsidRPr="00FD4C98">
              <w:rPr>
                <w:szCs w:val="20"/>
                <w:vertAlign w:val="superscript"/>
                <w:lang w:val="ru-RU"/>
              </w:rPr>
              <w:t>2</w:t>
            </w:r>
            <w:r w:rsidRPr="00FD4C98">
              <w:rPr>
                <w:szCs w:val="20"/>
                <w:lang w:val="ru-RU"/>
              </w:rPr>
              <w:t xml:space="preserve"> </w:t>
            </w:r>
            <w:r w:rsidRPr="0093317E">
              <w:rPr>
                <w:szCs w:val="20"/>
              </w:rPr>
              <w:t xml:space="preserve">в първия цикъл на лечение. Обсъждане на повишаване на дозата до 1,0 </w:t>
            </w:r>
            <w:r w:rsidRPr="0093317E">
              <w:rPr>
                <w:szCs w:val="20"/>
                <w:lang w:val="en-US"/>
              </w:rPr>
              <w:t>mg</w:t>
            </w:r>
            <w:r w:rsidRPr="00FD4C98">
              <w:rPr>
                <w:szCs w:val="20"/>
                <w:lang w:val="ru-RU"/>
              </w:rPr>
              <w:t>/</w:t>
            </w:r>
            <w:r w:rsidRPr="0093317E">
              <w:rPr>
                <w:szCs w:val="20"/>
                <w:lang w:val="en-US"/>
              </w:rPr>
              <w:t>m</w:t>
            </w:r>
            <w:r w:rsidRPr="00FD4C98">
              <w:rPr>
                <w:szCs w:val="20"/>
                <w:vertAlign w:val="superscript"/>
                <w:lang w:val="ru-RU"/>
              </w:rPr>
              <w:t>2</w:t>
            </w:r>
            <w:r w:rsidRPr="00FD4C98">
              <w:rPr>
                <w:szCs w:val="20"/>
                <w:lang w:val="ru-RU"/>
              </w:rPr>
              <w:t xml:space="preserve"> </w:t>
            </w:r>
            <w:r w:rsidRPr="0093317E">
              <w:rPr>
                <w:szCs w:val="20"/>
              </w:rPr>
              <w:t xml:space="preserve">или </w:t>
            </w:r>
            <w:proofErr w:type="spellStart"/>
            <w:r w:rsidRPr="0093317E">
              <w:rPr>
                <w:szCs w:val="20"/>
              </w:rPr>
              <w:t>понататъшно</w:t>
            </w:r>
            <w:proofErr w:type="spellEnd"/>
            <w:r w:rsidRPr="0093317E">
              <w:rPr>
                <w:szCs w:val="20"/>
              </w:rPr>
              <w:t xml:space="preserve"> намаляване до 0,5 </w:t>
            </w:r>
            <w:r w:rsidRPr="0093317E">
              <w:rPr>
                <w:szCs w:val="20"/>
                <w:lang w:val="en-US"/>
              </w:rPr>
              <w:t>mg</w:t>
            </w:r>
            <w:r w:rsidRPr="00FD4C98">
              <w:rPr>
                <w:szCs w:val="20"/>
                <w:lang w:val="ru-RU"/>
              </w:rPr>
              <w:t>/</w:t>
            </w:r>
            <w:r w:rsidRPr="0093317E">
              <w:rPr>
                <w:szCs w:val="20"/>
                <w:lang w:val="en-US"/>
              </w:rPr>
              <w:t>m</w:t>
            </w:r>
            <w:r w:rsidRPr="00FD4C98">
              <w:rPr>
                <w:szCs w:val="20"/>
                <w:vertAlign w:val="superscript"/>
                <w:lang w:val="ru-RU"/>
              </w:rPr>
              <w:t>2</w:t>
            </w:r>
            <w:r w:rsidRPr="00FD4C98">
              <w:rPr>
                <w:szCs w:val="20"/>
                <w:lang w:val="ru-RU"/>
              </w:rPr>
              <w:t xml:space="preserve"> </w:t>
            </w:r>
            <w:r w:rsidRPr="0093317E">
              <w:rPr>
                <w:szCs w:val="20"/>
              </w:rPr>
              <w:t xml:space="preserve">в </w:t>
            </w:r>
            <w:r w:rsidRPr="0093317E">
              <w:rPr>
                <w:szCs w:val="20"/>
              </w:rPr>
              <w:lastRenderedPageBreak/>
              <w:t>следващите цикли, на базата на поносимостта на пациента.</w:t>
            </w:r>
          </w:p>
        </w:tc>
      </w:tr>
      <w:tr w:rsidR="0093317E" w14:paraId="5D8283AF" w14:textId="77777777" w:rsidTr="0093317E">
        <w:tc>
          <w:tcPr>
            <w:tcW w:w="2337" w:type="dxa"/>
          </w:tcPr>
          <w:p w14:paraId="3B3F26E3" w14:textId="2975C240" w:rsidR="0093317E" w:rsidRPr="00567514" w:rsidRDefault="0093317E" w:rsidP="0093317E">
            <w:r w:rsidRPr="00567514">
              <w:t>Тежко</w:t>
            </w:r>
          </w:p>
        </w:tc>
        <w:tc>
          <w:tcPr>
            <w:tcW w:w="2337" w:type="dxa"/>
          </w:tcPr>
          <w:p w14:paraId="00C3B7C6" w14:textId="224837E3" w:rsidR="0093317E" w:rsidRPr="00567514" w:rsidRDefault="0093317E" w:rsidP="0093317E">
            <w:r w:rsidRPr="00567514">
              <w:t xml:space="preserve">&gt; </w:t>
            </w:r>
            <w:proofErr w:type="spellStart"/>
            <w:r w:rsidRPr="00567514">
              <w:t>Зх</w:t>
            </w:r>
            <w:proofErr w:type="spellEnd"/>
            <w:r w:rsidRPr="00567514">
              <w:t xml:space="preserve"> </w:t>
            </w:r>
            <w:r w:rsidRPr="00567514">
              <w:rPr>
                <w:lang w:val="en-US"/>
              </w:rPr>
              <w:t>ULN</w:t>
            </w:r>
          </w:p>
        </w:tc>
        <w:tc>
          <w:tcPr>
            <w:tcW w:w="2338" w:type="dxa"/>
          </w:tcPr>
          <w:p w14:paraId="6F6DCA38" w14:textId="4794C825" w:rsidR="0093317E" w:rsidRPr="00567514" w:rsidRDefault="0093317E" w:rsidP="0093317E">
            <w:r w:rsidRPr="00567514">
              <w:t>Всяко</w:t>
            </w:r>
          </w:p>
        </w:tc>
        <w:tc>
          <w:tcPr>
            <w:tcW w:w="2338" w:type="dxa"/>
            <w:vMerge/>
          </w:tcPr>
          <w:p w14:paraId="61F3B563" w14:textId="77777777" w:rsidR="0093317E" w:rsidRDefault="0093317E" w:rsidP="0093317E"/>
        </w:tc>
      </w:tr>
    </w:tbl>
    <w:p w14:paraId="48A172F4" w14:textId="74C3C80A" w:rsidR="0093317E" w:rsidRDefault="0093317E" w:rsidP="0091385D"/>
    <w:p w14:paraId="6465E4EC"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Съкращения:</w:t>
      </w:r>
    </w:p>
    <w:p w14:paraId="340C2A72"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val="en-US"/>
        </w:rPr>
        <w:t>SGOT</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 серумна </w:t>
      </w:r>
      <w:proofErr w:type="spellStart"/>
      <w:r w:rsidRPr="0093317E">
        <w:rPr>
          <w:rFonts w:eastAsia="Times New Roman" w:cs="Arial"/>
          <w:color w:val="000000"/>
          <w:szCs w:val="20"/>
          <w:lang w:eastAsia="bg-BG"/>
        </w:rPr>
        <w:t>глутамат-оксалацетат</w:t>
      </w:r>
      <w:proofErr w:type="spellEnd"/>
      <w:r w:rsidRPr="0093317E">
        <w:rPr>
          <w:rFonts w:eastAsia="Times New Roman" w:cs="Arial"/>
          <w:color w:val="000000"/>
          <w:szCs w:val="20"/>
          <w:lang w:eastAsia="bg-BG"/>
        </w:rPr>
        <w:t xml:space="preserve"> </w:t>
      </w:r>
      <w:proofErr w:type="spellStart"/>
      <w:proofErr w:type="gramStart"/>
      <w:r w:rsidRPr="0093317E">
        <w:rPr>
          <w:rFonts w:eastAsia="Times New Roman" w:cs="Arial"/>
          <w:color w:val="000000"/>
          <w:szCs w:val="20"/>
          <w:lang w:eastAsia="bg-BG"/>
        </w:rPr>
        <w:t>трансаминаза</w:t>
      </w:r>
      <w:proofErr w:type="spellEnd"/>
      <w:r w:rsidRPr="0093317E">
        <w:rPr>
          <w:rFonts w:eastAsia="Times New Roman" w:cs="Arial"/>
          <w:color w:val="000000"/>
          <w:szCs w:val="20"/>
          <w:lang w:eastAsia="bg-BG"/>
        </w:rPr>
        <w:t>;</w:t>
      </w:r>
      <w:proofErr w:type="gramEnd"/>
    </w:p>
    <w:p w14:paraId="7B3766C1" w14:textId="77777777" w:rsidR="0093317E" w:rsidRPr="00FD4C98" w:rsidRDefault="0093317E" w:rsidP="0093317E">
      <w:pPr>
        <w:spacing w:line="240" w:lineRule="auto"/>
        <w:rPr>
          <w:rFonts w:eastAsia="Times New Roman" w:cs="Arial"/>
          <w:color w:val="000000"/>
          <w:szCs w:val="20"/>
          <w:lang w:val="ru-RU"/>
        </w:rPr>
      </w:pPr>
    </w:p>
    <w:p w14:paraId="51C522CB" w14:textId="79F305EE"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val="en-US"/>
        </w:rPr>
        <w:t>AST</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 аспартат </w:t>
      </w:r>
      <w:proofErr w:type="spellStart"/>
      <w:r w:rsidRPr="0093317E">
        <w:rPr>
          <w:rFonts w:eastAsia="Times New Roman" w:cs="Arial"/>
          <w:color w:val="000000"/>
          <w:szCs w:val="20"/>
          <w:lang w:eastAsia="bg-BG"/>
        </w:rPr>
        <w:t>аминотрансфераза</w:t>
      </w:r>
      <w:proofErr w:type="spellEnd"/>
      <w:r w:rsidRPr="0093317E">
        <w:rPr>
          <w:rFonts w:eastAsia="Times New Roman" w:cs="Arial"/>
          <w:color w:val="000000"/>
          <w:szCs w:val="20"/>
          <w:lang w:eastAsia="bg-BG"/>
        </w:rPr>
        <w:t xml:space="preserve">; </w:t>
      </w:r>
      <w:r w:rsidRPr="0093317E">
        <w:rPr>
          <w:rFonts w:eastAsia="Times New Roman" w:cs="Arial"/>
          <w:color w:val="000000"/>
          <w:szCs w:val="20"/>
          <w:lang w:val="en-US"/>
        </w:rPr>
        <w:t>ULN</w:t>
      </w:r>
      <w:r w:rsidRPr="00FD4C98">
        <w:rPr>
          <w:rFonts w:eastAsia="Times New Roman" w:cs="Arial"/>
          <w:color w:val="000000"/>
          <w:szCs w:val="20"/>
          <w:lang w:val="ru-RU"/>
        </w:rPr>
        <w:t xml:space="preserve"> </w:t>
      </w:r>
      <w:r w:rsidRPr="0093317E">
        <w:rPr>
          <w:rFonts w:eastAsia="Times New Roman" w:cs="Arial"/>
          <w:color w:val="000000"/>
          <w:szCs w:val="20"/>
          <w:lang w:eastAsia="bg-BG"/>
        </w:rPr>
        <w:t>= горна граница на нормата.</w:t>
      </w:r>
    </w:p>
    <w:p w14:paraId="7A9D5C93" w14:textId="77777777" w:rsidR="0093317E" w:rsidRPr="0093317E" w:rsidRDefault="0093317E" w:rsidP="0093317E">
      <w:pPr>
        <w:spacing w:line="240" w:lineRule="auto"/>
        <w:rPr>
          <w:rFonts w:eastAsia="Times New Roman" w:cs="Arial"/>
          <w:color w:val="000000"/>
          <w:szCs w:val="20"/>
          <w:lang w:eastAsia="bg-BG"/>
        </w:rPr>
      </w:pPr>
    </w:p>
    <w:p w14:paraId="12D49540" w14:textId="63D4ED38"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 На базата на класификация на работната група за органна дисфункция на </w:t>
      </w:r>
      <w:r w:rsidRPr="0093317E">
        <w:rPr>
          <w:rFonts w:eastAsia="Times New Roman" w:cs="Arial"/>
          <w:color w:val="000000"/>
          <w:szCs w:val="20"/>
          <w:lang w:val="en-US"/>
        </w:rPr>
        <w:t>NCI</w:t>
      </w:r>
      <w:r w:rsidRPr="00FD4C98">
        <w:rPr>
          <w:rFonts w:eastAsia="Times New Roman" w:cs="Arial"/>
          <w:color w:val="000000"/>
          <w:szCs w:val="20"/>
          <w:lang w:val="ru-RU"/>
        </w:rPr>
        <w:t xml:space="preserve"> </w:t>
      </w:r>
      <w:r w:rsidRPr="0093317E">
        <w:rPr>
          <w:rFonts w:eastAsia="Times New Roman" w:cs="Arial"/>
          <w:color w:val="000000"/>
          <w:szCs w:val="20"/>
          <w:lang w:eastAsia="bg-BG"/>
        </w:rPr>
        <w:t>за категоризиране на чернодробната недостатъчност (лека, умерена, тежка).</w:t>
      </w:r>
    </w:p>
    <w:p w14:paraId="71C9BFED" w14:textId="77777777" w:rsidR="0093317E" w:rsidRPr="0093317E" w:rsidRDefault="0093317E" w:rsidP="0093317E">
      <w:pPr>
        <w:spacing w:line="240" w:lineRule="auto"/>
        <w:rPr>
          <w:rFonts w:eastAsia="Times New Roman" w:cs="Arial"/>
          <w:i/>
          <w:iCs/>
          <w:color w:val="000000"/>
          <w:szCs w:val="20"/>
          <w:lang w:eastAsia="bg-BG"/>
        </w:rPr>
      </w:pPr>
    </w:p>
    <w:p w14:paraId="006E6104" w14:textId="176DFE84" w:rsidR="0093317E" w:rsidRPr="0093317E" w:rsidRDefault="0093317E" w:rsidP="0093317E">
      <w:pPr>
        <w:spacing w:line="240" w:lineRule="auto"/>
        <w:rPr>
          <w:rFonts w:eastAsia="Times New Roman" w:cs="Arial"/>
          <w:sz w:val="28"/>
          <w:szCs w:val="24"/>
          <w:lang w:eastAsia="bg-BG"/>
        </w:rPr>
      </w:pPr>
      <w:r w:rsidRPr="0093317E">
        <w:rPr>
          <w:rFonts w:eastAsia="Times New Roman" w:cs="Arial"/>
          <w:i/>
          <w:iCs/>
          <w:color w:val="000000"/>
          <w:szCs w:val="20"/>
          <w:lang w:eastAsia="bg-BG"/>
        </w:rPr>
        <w:t>Бъбречно увреждане</w:t>
      </w:r>
    </w:p>
    <w:p w14:paraId="258C82BD"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Фармакокинетиката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не се повлиява при пациенти с леко до умерено бъбречно увреждане (</w:t>
      </w:r>
      <w:proofErr w:type="spellStart"/>
      <w:r w:rsidRPr="0093317E">
        <w:rPr>
          <w:rFonts w:eastAsia="Times New Roman" w:cs="Arial"/>
          <w:color w:val="000000"/>
          <w:szCs w:val="20"/>
          <w:lang w:eastAsia="bg-BG"/>
        </w:rPr>
        <w:t>креатининов</w:t>
      </w:r>
      <w:proofErr w:type="spellEnd"/>
      <w:r w:rsidRPr="0093317E">
        <w:rPr>
          <w:rFonts w:eastAsia="Times New Roman" w:cs="Arial"/>
          <w:color w:val="000000"/>
          <w:szCs w:val="20"/>
          <w:lang w:eastAsia="bg-BG"/>
        </w:rPr>
        <w:t xml:space="preserve"> клирънс </w:t>
      </w:r>
      <w:r w:rsidRPr="00FD4C98">
        <w:rPr>
          <w:rFonts w:eastAsia="Times New Roman" w:cs="Arial"/>
          <w:color w:val="000000"/>
          <w:szCs w:val="20"/>
          <w:lang w:val="ru-RU"/>
        </w:rPr>
        <w:t>[</w:t>
      </w:r>
      <w:proofErr w:type="spellStart"/>
      <w:r w:rsidRPr="0093317E">
        <w:rPr>
          <w:rFonts w:eastAsia="Times New Roman" w:cs="Arial"/>
          <w:color w:val="000000"/>
          <w:szCs w:val="20"/>
          <w:lang w:val="en-US"/>
        </w:rPr>
        <w:t>CrCL</w:t>
      </w:r>
      <w:proofErr w:type="spellEnd"/>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&gt; 20 </w:t>
      </w:r>
      <w:r w:rsidRPr="0093317E">
        <w:rPr>
          <w:rFonts w:eastAsia="Times New Roman" w:cs="Arial"/>
          <w:color w:val="000000"/>
          <w:szCs w:val="20"/>
          <w:lang w:val="en-US"/>
        </w:rPr>
        <w:t>ml</w:t>
      </w:r>
      <w:r w:rsidRPr="00FD4C98">
        <w:rPr>
          <w:rFonts w:eastAsia="Times New Roman" w:cs="Arial"/>
          <w:color w:val="000000"/>
          <w:szCs w:val="20"/>
          <w:lang w:val="ru-RU"/>
        </w:rPr>
        <w:t>/</w:t>
      </w:r>
      <w:r w:rsidRPr="0093317E">
        <w:rPr>
          <w:rFonts w:eastAsia="Times New Roman" w:cs="Arial"/>
          <w:color w:val="000000"/>
          <w:szCs w:val="20"/>
          <w:lang w:val="en-US"/>
        </w:rPr>
        <w:t>min</w:t>
      </w:r>
      <w:r w:rsidRPr="00FD4C98">
        <w:rPr>
          <w:rFonts w:eastAsia="Times New Roman" w:cs="Arial"/>
          <w:color w:val="000000"/>
          <w:szCs w:val="20"/>
          <w:lang w:val="ru-RU"/>
        </w:rPr>
        <w:t xml:space="preserve">/1,73 </w:t>
      </w:r>
      <w:r w:rsidRPr="0093317E">
        <w:rPr>
          <w:rFonts w:eastAsia="Times New Roman" w:cs="Arial"/>
          <w:color w:val="000000"/>
          <w:szCs w:val="20"/>
          <w:lang w:val="en-US"/>
        </w:rPr>
        <w:t>m</w:t>
      </w:r>
      <w:r w:rsidRPr="00FD4C98">
        <w:rPr>
          <w:rFonts w:eastAsia="Times New Roman" w:cs="Arial"/>
          <w:color w:val="000000"/>
          <w:szCs w:val="20"/>
          <w:vertAlign w:val="superscript"/>
          <w:lang w:val="ru-RU"/>
        </w:rPr>
        <w:t>2</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затова не е необходимо адаптиране на дозата при тези пациенти. Не е известно дали фармакокинетиката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се повлиява при пациенти с тежко бъбречно увреждане, които не са подложени на диализа </w:t>
      </w:r>
      <w:r w:rsidRPr="00FD4C98">
        <w:rPr>
          <w:rFonts w:eastAsia="Times New Roman" w:cs="Arial"/>
          <w:color w:val="000000"/>
          <w:szCs w:val="20"/>
          <w:lang w:val="ru-RU"/>
        </w:rPr>
        <w:t>(</w:t>
      </w:r>
      <w:proofErr w:type="spellStart"/>
      <w:r w:rsidRPr="0093317E">
        <w:rPr>
          <w:rFonts w:eastAsia="Times New Roman" w:cs="Arial"/>
          <w:color w:val="000000"/>
          <w:szCs w:val="20"/>
          <w:lang w:val="en-US"/>
        </w:rPr>
        <w:t>CrCL</w:t>
      </w:r>
      <w:proofErr w:type="spellEnd"/>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&lt; 20 </w:t>
      </w:r>
      <w:r w:rsidRPr="0093317E">
        <w:rPr>
          <w:rFonts w:eastAsia="Times New Roman" w:cs="Arial"/>
          <w:color w:val="000000"/>
          <w:szCs w:val="20"/>
          <w:lang w:val="en-US"/>
        </w:rPr>
        <w:t>ml</w:t>
      </w:r>
      <w:r w:rsidRPr="00FD4C98">
        <w:rPr>
          <w:rFonts w:eastAsia="Times New Roman" w:cs="Arial"/>
          <w:color w:val="000000"/>
          <w:szCs w:val="20"/>
          <w:lang w:val="ru-RU"/>
        </w:rPr>
        <w:t>/</w:t>
      </w:r>
      <w:r w:rsidRPr="0093317E">
        <w:rPr>
          <w:rFonts w:eastAsia="Times New Roman" w:cs="Arial"/>
          <w:color w:val="000000"/>
          <w:szCs w:val="20"/>
          <w:lang w:val="en-US"/>
        </w:rPr>
        <w:t>min</w:t>
      </w:r>
      <w:r w:rsidRPr="00FD4C98">
        <w:rPr>
          <w:rFonts w:eastAsia="Times New Roman" w:cs="Arial"/>
          <w:color w:val="000000"/>
          <w:szCs w:val="20"/>
          <w:lang w:val="ru-RU"/>
        </w:rPr>
        <w:t xml:space="preserve">/1,73 </w:t>
      </w:r>
      <w:r w:rsidRPr="0093317E">
        <w:rPr>
          <w:rFonts w:eastAsia="Times New Roman" w:cs="Arial"/>
          <w:color w:val="000000"/>
          <w:szCs w:val="20"/>
          <w:lang w:val="en-US"/>
        </w:rPr>
        <w:t>m</w:t>
      </w:r>
      <w:r w:rsidRPr="00FD4C98">
        <w:rPr>
          <w:rFonts w:eastAsia="Times New Roman" w:cs="Arial"/>
          <w:color w:val="000000"/>
          <w:szCs w:val="20"/>
          <w:vertAlign w:val="superscript"/>
          <w:lang w:val="ru-RU"/>
        </w:rPr>
        <w:t>2</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Тъй като диализата може да понижи концентрациите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той трябва да се прилага след </w:t>
      </w:r>
      <w:proofErr w:type="spellStart"/>
      <w:r w:rsidRPr="0093317E">
        <w:rPr>
          <w:rFonts w:eastAsia="Times New Roman" w:cs="Arial"/>
          <w:color w:val="000000"/>
          <w:szCs w:val="20"/>
          <w:lang w:eastAsia="bg-BG"/>
        </w:rPr>
        <w:t>диализната</w:t>
      </w:r>
      <w:proofErr w:type="spellEnd"/>
      <w:r w:rsidRPr="0093317E">
        <w:rPr>
          <w:rFonts w:eastAsia="Times New Roman" w:cs="Arial"/>
          <w:color w:val="000000"/>
          <w:szCs w:val="20"/>
          <w:lang w:eastAsia="bg-BG"/>
        </w:rPr>
        <w:t xml:space="preserve"> процедура (вж. точка 5.2).</w:t>
      </w:r>
    </w:p>
    <w:p w14:paraId="3F9A7C0E" w14:textId="77777777" w:rsidR="0093317E" w:rsidRPr="0093317E" w:rsidRDefault="0093317E" w:rsidP="0093317E">
      <w:pPr>
        <w:spacing w:line="240" w:lineRule="auto"/>
        <w:rPr>
          <w:rFonts w:eastAsia="Times New Roman" w:cs="Arial"/>
          <w:i/>
          <w:iCs/>
          <w:color w:val="000000"/>
          <w:szCs w:val="20"/>
          <w:lang w:eastAsia="bg-BG"/>
        </w:rPr>
      </w:pPr>
    </w:p>
    <w:p w14:paraId="1A804D8D" w14:textId="01F56E70" w:rsidR="0093317E" w:rsidRPr="0093317E" w:rsidRDefault="0093317E" w:rsidP="0093317E">
      <w:pPr>
        <w:spacing w:line="240" w:lineRule="auto"/>
        <w:rPr>
          <w:rFonts w:eastAsia="Times New Roman" w:cs="Arial"/>
          <w:sz w:val="28"/>
          <w:szCs w:val="24"/>
          <w:lang w:eastAsia="bg-BG"/>
        </w:rPr>
      </w:pPr>
      <w:r w:rsidRPr="0093317E">
        <w:rPr>
          <w:rFonts w:eastAsia="Times New Roman" w:cs="Arial"/>
          <w:i/>
          <w:iCs/>
          <w:color w:val="000000"/>
          <w:szCs w:val="20"/>
          <w:lang w:eastAsia="bg-BG"/>
        </w:rPr>
        <w:t>Педиатрична популация</w:t>
      </w:r>
    </w:p>
    <w:p w14:paraId="15DE19D4" w14:textId="25A9DFC7" w:rsidR="0093317E" w:rsidRDefault="0093317E" w:rsidP="0093317E">
      <w:pPr>
        <w:rPr>
          <w:rFonts w:eastAsia="Times New Roman" w:cs="Arial"/>
          <w:color w:val="000000"/>
          <w:szCs w:val="20"/>
          <w:lang w:eastAsia="bg-BG"/>
        </w:rPr>
      </w:pPr>
      <w:r w:rsidRPr="0093317E">
        <w:rPr>
          <w:rFonts w:eastAsia="Times New Roman" w:cs="Arial"/>
          <w:color w:val="000000"/>
          <w:szCs w:val="20"/>
          <w:lang w:eastAsia="bg-BG"/>
        </w:rPr>
        <w:t xml:space="preserve">Безопасността и ефикасността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при деца на възраст под 18 години не са установени (вж. точка 5.1 и 5.2). Липсват данни.</w:t>
      </w:r>
    </w:p>
    <w:p w14:paraId="00FA968F" w14:textId="286EA772" w:rsidR="0093317E" w:rsidRDefault="0093317E" w:rsidP="0093317E">
      <w:pPr>
        <w:rPr>
          <w:rFonts w:eastAsia="Times New Roman" w:cs="Arial"/>
          <w:color w:val="000000"/>
          <w:szCs w:val="20"/>
          <w:lang w:eastAsia="bg-BG"/>
        </w:rPr>
      </w:pPr>
    </w:p>
    <w:p w14:paraId="764E3313" w14:textId="77777777" w:rsidR="0093317E" w:rsidRPr="0093317E" w:rsidRDefault="0093317E" w:rsidP="0093317E">
      <w:pPr>
        <w:pStyle w:val="Heading3"/>
        <w:rPr>
          <w:rFonts w:eastAsia="Times New Roman"/>
          <w:sz w:val="28"/>
          <w:u w:val="single"/>
          <w:lang w:eastAsia="bg-BG"/>
        </w:rPr>
      </w:pPr>
      <w:r w:rsidRPr="0093317E">
        <w:rPr>
          <w:rFonts w:eastAsia="Times New Roman"/>
          <w:u w:val="single"/>
          <w:lang w:eastAsia="bg-BG"/>
        </w:rPr>
        <w:t>Начин на приложение</w:t>
      </w:r>
    </w:p>
    <w:p w14:paraId="5A55A8D4" w14:textId="77777777" w:rsidR="0093317E" w:rsidRPr="0093317E" w:rsidRDefault="0093317E" w:rsidP="0093317E">
      <w:pPr>
        <w:spacing w:line="240" w:lineRule="auto"/>
        <w:rPr>
          <w:rFonts w:eastAsia="Times New Roman" w:cs="Arial"/>
          <w:color w:val="000000"/>
          <w:szCs w:val="20"/>
          <w:lang w:eastAsia="bg-BG"/>
        </w:rPr>
      </w:pPr>
    </w:p>
    <w:p w14:paraId="310A5F0F" w14:textId="62866ECD" w:rsidR="0093317E" w:rsidRPr="0093317E" w:rsidRDefault="0093317E" w:rsidP="0093317E">
      <w:pPr>
        <w:spacing w:line="240" w:lineRule="auto"/>
        <w:rPr>
          <w:rFonts w:eastAsia="Times New Roman" w:cs="Arial"/>
          <w:sz w:val="28"/>
          <w:szCs w:val="24"/>
          <w:lang w:eastAsia="bg-BG"/>
        </w:rPr>
      </w:pP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3,5 </w:t>
      </w:r>
      <w:r w:rsidRPr="0093317E">
        <w:rPr>
          <w:rFonts w:eastAsia="Times New Roman" w:cs="Arial"/>
          <w:color w:val="000000"/>
          <w:szCs w:val="20"/>
          <w:lang w:val="en-US"/>
        </w:rPr>
        <w:t>mg</w:t>
      </w:r>
      <w:r w:rsidRPr="00FD4C98">
        <w:rPr>
          <w:rFonts w:eastAsia="Times New Roman" w:cs="Arial"/>
          <w:color w:val="000000"/>
          <w:szCs w:val="20"/>
          <w:lang w:val="ru-RU"/>
        </w:rPr>
        <w:t xml:space="preserve"> </w:t>
      </w:r>
      <w:r w:rsidRPr="0093317E">
        <w:rPr>
          <w:rFonts w:eastAsia="Times New Roman" w:cs="Arial"/>
          <w:color w:val="000000"/>
          <w:szCs w:val="20"/>
          <w:lang w:eastAsia="bg-BG"/>
        </w:rPr>
        <w:t>прах за инжекционен разтвор се предлага за интравенозно или подкожно приложение.</w:t>
      </w:r>
    </w:p>
    <w:p w14:paraId="1FAF283D" w14:textId="77777777" w:rsidR="0093317E" w:rsidRPr="0093317E" w:rsidRDefault="0093317E" w:rsidP="0093317E">
      <w:pPr>
        <w:spacing w:line="240" w:lineRule="auto"/>
        <w:rPr>
          <w:rFonts w:eastAsia="Times New Roman" w:cs="Arial"/>
          <w:color w:val="000000"/>
          <w:szCs w:val="20"/>
          <w:lang w:eastAsia="bg-BG"/>
        </w:rPr>
      </w:pPr>
    </w:p>
    <w:p w14:paraId="75ED964A" w14:textId="233ABE9C" w:rsidR="0093317E" w:rsidRPr="0093317E" w:rsidRDefault="0093317E" w:rsidP="0093317E">
      <w:pPr>
        <w:spacing w:line="240" w:lineRule="auto"/>
        <w:rPr>
          <w:rFonts w:eastAsia="Times New Roman" w:cs="Arial"/>
          <w:sz w:val="28"/>
          <w:szCs w:val="24"/>
          <w:lang w:eastAsia="bg-BG"/>
        </w:rPr>
      </w:pP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не трябва да се прилага по други пътища. </w:t>
      </w:r>
      <w:proofErr w:type="spellStart"/>
      <w:r w:rsidRPr="0093317E">
        <w:rPr>
          <w:rFonts w:eastAsia="Times New Roman" w:cs="Arial"/>
          <w:color w:val="000000"/>
          <w:szCs w:val="20"/>
          <w:lang w:eastAsia="bg-BG"/>
        </w:rPr>
        <w:t>Интратекалното</w:t>
      </w:r>
      <w:proofErr w:type="spellEnd"/>
      <w:r w:rsidRPr="0093317E">
        <w:rPr>
          <w:rFonts w:eastAsia="Times New Roman" w:cs="Arial"/>
          <w:color w:val="000000"/>
          <w:szCs w:val="20"/>
          <w:lang w:eastAsia="bg-BG"/>
        </w:rPr>
        <w:t xml:space="preserve"> приложение води до смърт.</w:t>
      </w:r>
    </w:p>
    <w:p w14:paraId="38ADE628" w14:textId="77777777" w:rsidR="0093317E" w:rsidRPr="0093317E" w:rsidRDefault="0093317E" w:rsidP="0093317E">
      <w:pPr>
        <w:spacing w:line="240" w:lineRule="auto"/>
        <w:rPr>
          <w:rFonts w:eastAsia="Times New Roman" w:cs="Arial"/>
          <w:i/>
          <w:iCs/>
          <w:color w:val="000000"/>
          <w:szCs w:val="20"/>
          <w:lang w:eastAsia="bg-BG"/>
        </w:rPr>
      </w:pPr>
    </w:p>
    <w:p w14:paraId="36AB9EE7" w14:textId="1DA75D2A" w:rsidR="0093317E" w:rsidRPr="0093317E" w:rsidRDefault="0093317E" w:rsidP="0093317E">
      <w:pPr>
        <w:spacing w:line="240" w:lineRule="auto"/>
        <w:rPr>
          <w:rFonts w:eastAsia="Times New Roman" w:cs="Arial"/>
          <w:sz w:val="28"/>
          <w:szCs w:val="24"/>
          <w:lang w:eastAsia="bg-BG"/>
        </w:rPr>
      </w:pPr>
      <w:r w:rsidRPr="0093317E">
        <w:rPr>
          <w:rFonts w:eastAsia="Times New Roman" w:cs="Arial"/>
          <w:i/>
          <w:iCs/>
          <w:color w:val="000000"/>
          <w:szCs w:val="20"/>
          <w:lang w:eastAsia="bg-BG"/>
        </w:rPr>
        <w:t>Интравенозна инжекция</w:t>
      </w:r>
    </w:p>
    <w:p w14:paraId="70FBCDDF"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Приготвеният разтвор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3,5 </w:t>
      </w:r>
      <w:r w:rsidRPr="0093317E">
        <w:rPr>
          <w:rFonts w:eastAsia="Times New Roman" w:cs="Arial"/>
          <w:color w:val="000000"/>
          <w:szCs w:val="20"/>
          <w:lang w:val="en-US"/>
        </w:rPr>
        <w:t>mg</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се прилага като </w:t>
      </w:r>
      <w:proofErr w:type="spellStart"/>
      <w:r w:rsidRPr="0093317E">
        <w:rPr>
          <w:rFonts w:eastAsia="Times New Roman" w:cs="Arial"/>
          <w:color w:val="000000"/>
          <w:szCs w:val="20"/>
          <w:lang w:eastAsia="bg-BG"/>
        </w:rPr>
        <w:t>болус</w:t>
      </w:r>
      <w:proofErr w:type="spellEnd"/>
      <w:r w:rsidRPr="0093317E">
        <w:rPr>
          <w:rFonts w:eastAsia="Times New Roman" w:cs="Arial"/>
          <w:color w:val="000000"/>
          <w:szCs w:val="20"/>
          <w:lang w:eastAsia="bg-BG"/>
        </w:rPr>
        <w:t xml:space="preserve"> интравенозна инжекция през периферен или централен интравенозен катетър за 3-5 секунди, последвано от промивка с 9 </w:t>
      </w:r>
      <w:r w:rsidRPr="0093317E">
        <w:rPr>
          <w:rFonts w:eastAsia="Times New Roman" w:cs="Arial"/>
          <w:color w:val="000000"/>
          <w:szCs w:val="20"/>
          <w:lang w:val="en-US"/>
        </w:rPr>
        <w:t>mg</w:t>
      </w:r>
      <w:r w:rsidRPr="00FD4C98">
        <w:rPr>
          <w:rFonts w:eastAsia="Times New Roman" w:cs="Arial"/>
          <w:color w:val="000000"/>
          <w:szCs w:val="20"/>
          <w:lang w:val="ru-RU"/>
        </w:rPr>
        <w:t>/</w:t>
      </w:r>
      <w:r w:rsidRPr="0093317E">
        <w:rPr>
          <w:rFonts w:eastAsia="Times New Roman" w:cs="Arial"/>
          <w:color w:val="000000"/>
          <w:szCs w:val="20"/>
          <w:lang w:val="en-US"/>
        </w:rPr>
        <w:t>ml</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(0,9%) инжекционен разтвор на натриев хлорид. Трябва да изминат най-малко 72 часа между две последователни дози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w:t>
      </w:r>
    </w:p>
    <w:p w14:paraId="211FF854" w14:textId="77777777" w:rsidR="0093317E" w:rsidRPr="0093317E" w:rsidRDefault="0093317E" w:rsidP="0093317E">
      <w:pPr>
        <w:spacing w:line="240" w:lineRule="auto"/>
        <w:rPr>
          <w:rFonts w:eastAsia="Times New Roman" w:cs="Arial"/>
          <w:i/>
          <w:iCs/>
          <w:color w:val="000000"/>
          <w:szCs w:val="20"/>
          <w:lang w:eastAsia="bg-BG"/>
        </w:rPr>
      </w:pPr>
    </w:p>
    <w:p w14:paraId="0715C892" w14:textId="4678BE0E" w:rsidR="0093317E" w:rsidRPr="0093317E" w:rsidRDefault="0093317E" w:rsidP="0093317E">
      <w:pPr>
        <w:spacing w:line="240" w:lineRule="auto"/>
        <w:rPr>
          <w:rFonts w:eastAsia="Times New Roman" w:cs="Arial"/>
          <w:sz w:val="28"/>
          <w:szCs w:val="24"/>
          <w:lang w:eastAsia="bg-BG"/>
        </w:rPr>
      </w:pPr>
      <w:r w:rsidRPr="0093317E">
        <w:rPr>
          <w:rFonts w:eastAsia="Times New Roman" w:cs="Arial"/>
          <w:i/>
          <w:iCs/>
          <w:color w:val="000000"/>
          <w:szCs w:val="20"/>
          <w:lang w:eastAsia="bg-BG"/>
        </w:rPr>
        <w:t>Подкожна инжекция</w:t>
      </w:r>
    </w:p>
    <w:p w14:paraId="69BC3385"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Приготвеният разтвор на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3,5 </w:t>
      </w:r>
      <w:r w:rsidRPr="0093317E">
        <w:rPr>
          <w:rFonts w:eastAsia="Times New Roman" w:cs="Arial"/>
          <w:color w:val="000000"/>
          <w:szCs w:val="20"/>
          <w:lang w:val="en-US"/>
        </w:rPr>
        <w:t>mg</w:t>
      </w:r>
      <w:r w:rsidRPr="00FD4C98">
        <w:rPr>
          <w:rFonts w:eastAsia="Times New Roman" w:cs="Arial"/>
          <w:color w:val="000000"/>
          <w:szCs w:val="20"/>
          <w:lang w:val="ru-RU"/>
        </w:rPr>
        <w:t xml:space="preserve"> </w:t>
      </w:r>
      <w:r w:rsidRPr="0093317E">
        <w:rPr>
          <w:rFonts w:eastAsia="Times New Roman" w:cs="Arial"/>
          <w:color w:val="000000"/>
          <w:szCs w:val="20"/>
          <w:lang w:eastAsia="bg-BG"/>
        </w:rPr>
        <w:t>се прилага подкожно в областта на бедрата (дясно или ляво) или корема (отдясно или отляво). Разтворът трябва да се инжектира подкожно, под ъгъл от 45-90°. Местата на убождане трябва да се редуват при всяка следваща инжекция.</w:t>
      </w:r>
    </w:p>
    <w:p w14:paraId="7B27F1EB" w14:textId="77777777" w:rsidR="0093317E" w:rsidRPr="0093317E" w:rsidRDefault="0093317E" w:rsidP="0093317E">
      <w:pPr>
        <w:rPr>
          <w:rFonts w:eastAsia="Times New Roman" w:cs="Arial"/>
          <w:color w:val="000000"/>
          <w:szCs w:val="20"/>
          <w:lang w:eastAsia="bg-BG"/>
        </w:rPr>
      </w:pPr>
    </w:p>
    <w:p w14:paraId="381A7C6F" w14:textId="5CC7E1A2" w:rsidR="0093317E" w:rsidRPr="0093317E" w:rsidRDefault="0093317E" w:rsidP="0093317E">
      <w:pPr>
        <w:rPr>
          <w:rFonts w:cs="Arial"/>
          <w:sz w:val="28"/>
        </w:rPr>
      </w:pPr>
      <w:r w:rsidRPr="0093317E">
        <w:rPr>
          <w:rFonts w:eastAsia="Times New Roman" w:cs="Arial"/>
          <w:color w:val="000000"/>
          <w:szCs w:val="20"/>
          <w:lang w:eastAsia="bg-BG"/>
        </w:rPr>
        <w:t xml:space="preserve">Ако след подкожно инжектиране на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се появят реакции на мястото на убождане, може да се приложи по-малко концентриран разтвор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(1 </w:t>
      </w:r>
      <w:r w:rsidRPr="0093317E">
        <w:rPr>
          <w:rFonts w:eastAsia="Times New Roman" w:cs="Arial"/>
          <w:color w:val="000000"/>
          <w:szCs w:val="20"/>
          <w:lang w:val="en-US"/>
        </w:rPr>
        <w:t>mg</w:t>
      </w:r>
      <w:r w:rsidRPr="00FD4C98">
        <w:rPr>
          <w:rFonts w:eastAsia="Times New Roman" w:cs="Arial"/>
          <w:color w:val="000000"/>
          <w:szCs w:val="20"/>
          <w:lang w:val="ru-RU"/>
        </w:rPr>
        <w:t>/</w:t>
      </w:r>
      <w:r w:rsidRPr="0093317E">
        <w:rPr>
          <w:rFonts w:eastAsia="Times New Roman" w:cs="Arial"/>
          <w:color w:val="000000"/>
          <w:szCs w:val="20"/>
          <w:lang w:val="en-US"/>
        </w:rPr>
        <w:t>ml</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вместо 2,5 </w:t>
      </w:r>
      <w:r w:rsidRPr="0093317E">
        <w:rPr>
          <w:rFonts w:eastAsia="Times New Roman" w:cs="Arial"/>
          <w:color w:val="000000"/>
          <w:szCs w:val="20"/>
          <w:lang w:val="en-US"/>
        </w:rPr>
        <w:t>mg</w:t>
      </w:r>
      <w:r w:rsidRPr="00FD4C98">
        <w:rPr>
          <w:rFonts w:eastAsia="Times New Roman" w:cs="Arial"/>
          <w:color w:val="000000"/>
          <w:szCs w:val="20"/>
          <w:lang w:val="ru-RU"/>
        </w:rPr>
        <w:t>/</w:t>
      </w:r>
      <w:r w:rsidRPr="0093317E">
        <w:rPr>
          <w:rFonts w:eastAsia="Times New Roman" w:cs="Arial"/>
          <w:color w:val="000000"/>
          <w:szCs w:val="20"/>
          <w:lang w:val="en-US"/>
        </w:rPr>
        <w:t>ml</w:t>
      </w:r>
      <w:r w:rsidRPr="00FD4C98">
        <w:rPr>
          <w:rFonts w:eastAsia="Times New Roman" w:cs="Arial"/>
          <w:color w:val="000000"/>
          <w:szCs w:val="20"/>
          <w:lang w:val="ru-RU"/>
        </w:rPr>
        <w:t xml:space="preserve">) </w:t>
      </w:r>
      <w:r w:rsidRPr="0093317E">
        <w:rPr>
          <w:rFonts w:eastAsia="Times New Roman" w:cs="Arial"/>
          <w:color w:val="000000"/>
          <w:szCs w:val="20"/>
          <w:lang w:eastAsia="bg-BG"/>
        </w:rPr>
        <w:t>или се препоръчва преминаване към интравенозна инжекция.</w:t>
      </w:r>
    </w:p>
    <w:p w14:paraId="4B897110" w14:textId="77777777" w:rsidR="0093317E" w:rsidRPr="0091385D" w:rsidRDefault="0093317E" w:rsidP="0091385D"/>
    <w:p w14:paraId="28C984E8" w14:textId="0756AE28" w:rsidR="008134C8" w:rsidRDefault="002C50EE" w:rsidP="004A448E">
      <w:pPr>
        <w:pStyle w:val="Heading2"/>
      </w:pPr>
      <w:r>
        <w:lastRenderedPageBreak/>
        <w:t>4.3. Противопоказания</w:t>
      </w:r>
    </w:p>
    <w:p w14:paraId="2363D607" w14:textId="619A99CE" w:rsidR="0091385D" w:rsidRDefault="0091385D" w:rsidP="0091385D"/>
    <w:p w14:paraId="246F1EC5" w14:textId="77777777" w:rsidR="0093317E" w:rsidRPr="0093317E" w:rsidRDefault="0093317E" w:rsidP="0093317E">
      <w:pPr>
        <w:pStyle w:val="ListParagraph"/>
        <w:numPr>
          <w:ilvl w:val="0"/>
          <w:numId w:val="37"/>
        </w:numPr>
        <w:spacing w:line="240" w:lineRule="auto"/>
        <w:rPr>
          <w:rFonts w:eastAsia="Times New Roman" w:cs="Arial"/>
          <w:sz w:val="28"/>
          <w:szCs w:val="24"/>
          <w:lang w:eastAsia="bg-BG"/>
        </w:rPr>
      </w:pPr>
      <w:r w:rsidRPr="0093317E">
        <w:rPr>
          <w:rFonts w:eastAsia="Times New Roman" w:cs="Arial"/>
          <w:color w:val="000000"/>
          <w:szCs w:val="20"/>
          <w:lang w:eastAsia="bg-BG"/>
        </w:rPr>
        <w:t>Свръхчувствителност към активното вещество, към бор или към някое от помощните вещества, изброени в точка 6.1.</w:t>
      </w:r>
    </w:p>
    <w:p w14:paraId="564082C4" w14:textId="453F3207" w:rsidR="0093317E" w:rsidRPr="0093317E" w:rsidRDefault="0093317E" w:rsidP="0093317E">
      <w:pPr>
        <w:pStyle w:val="ListParagraph"/>
        <w:numPr>
          <w:ilvl w:val="0"/>
          <w:numId w:val="37"/>
        </w:numPr>
        <w:spacing w:line="240" w:lineRule="auto"/>
        <w:rPr>
          <w:rFonts w:eastAsia="Times New Roman" w:cs="Arial"/>
          <w:sz w:val="28"/>
          <w:szCs w:val="24"/>
          <w:lang w:eastAsia="bg-BG"/>
        </w:rPr>
      </w:pPr>
      <w:r w:rsidRPr="0093317E">
        <w:rPr>
          <w:rFonts w:eastAsia="Times New Roman" w:cs="Arial"/>
          <w:color w:val="000000"/>
          <w:szCs w:val="20"/>
          <w:lang w:eastAsia="bg-BG"/>
        </w:rPr>
        <w:t xml:space="preserve">Остра дифузна </w:t>
      </w:r>
      <w:proofErr w:type="spellStart"/>
      <w:r w:rsidRPr="0093317E">
        <w:rPr>
          <w:rFonts w:eastAsia="Times New Roman" w:cs="Arial"/>
          <w:color w:val="000000"/>
          <w:szCs w:val="20"/>
          <w:lang w:eastAsia="bg-BG"/>
        </w:rPr>
        <w:t>инфилтративна</w:t>
      </w:r>
      <w:proofErr w:type="spellEnd"/>
      <w:r w:rsidRPr="0093317E">
        <w:rPr>
          <w:rFonts w:eastAsia="Times New Roman" w:cs="Arial"/>
          <w:color w:val="000000"/>
          <w:szCs w:val="20"/>
          <w:lang w:eastAsia="bg-BG"/>
        </w:rPr>
        <w:t xml:space="preserve"> болест на белите дробове и </w:t>
      </w:r>
      <w:proofErr w:type="spellStart"/>
      <w:r w:rsidRPr="0093317E">
        <w:rPr>
          <w:rFonts w:eastAsia="Times New Roman" w:cs="Arial"/>
          <w:color w:val="000000"/>
          <w:szCs w:val="20"/>
          <w:lang w:eastAsia="bg-BG"/>
        </w:rPr>
        <w:t>перикарда</w:t>
      </w:r>
      <w:proofErr w:type="spellEnd"/>
      <w:r w:rsidRPr="0093317E">
        <w:rPr>
          <w:rFonts w:eastAsia="Times New Roman" w:cs="Arial"/>
          <w:color w:val="000000"/>
          <w:szCs w:val="20"/>
          <w:lang w:eastAsia="bg-BG"/>
        </w:rPr>
        <w:t>.</w:t>
      </w:r>
    </w:p>
    <w:p w14:paraId="030B6A4D" w14:textId="03E58075" w:rsidR="00EC41ED" w:rsidRPr="0093317E" w:rsidRDefault="0093317E" w:rsidP="0093317E">
      <w:pPr>
        <w:rPr>
          <w:rFonts w:cs="Arial"/>
          <w:sz w:val="24"/>
        </w:rPr>
      </w:pPr>
      <w:r w:rsidRPr="0093317E">
        <w:rPr>
          <w:rFonts w:eastAsia="Times New Roman" w:cs="Arial"/>
          <w:color w:val="000000"/>
          <w:szCs w:val="20"/>
          <w:lang w:eastAsia="bg-BG"/>
        </w:rPr>
        <w:t xml:space="preserve">Когато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се прилага в комбинация с други лекарствени продукти, направете справка с техните Кратки характеристики за допълнителни противопоказания.</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25A68121"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Когато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се прилага в комбинация с други лекарствени продукти, трябва да се направи консултация с Кратките характеристики на тези други лекарствени продукти преди започване на лечението с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При употребата на </w:t>
      </w:r>
      <w:proofErr w:type="spellStart"/>
      <w:r w:rsidRPr="0093317E">
        <w:rPr>
          <w:rFonts w:eastAsia="Times New Roman" w:cs="Arial"/>
          <w:color w:val="000000"/>
          <w:szCs w:val="20"/>
          <w:lang w:eastAsia="bg-BG"/>
        </w:rPr>
        <w:t>талидомид</w:t>
      </w:r>
      <w:proofErr w:type="spellEnd"/>
      <w:r w:rsidRPr="0093317E">
        <w:rPr>
          <w:rFonts w:eastAsia="Times New Roman" w:cs="Arial"/>
          <w:color w:val="000000"/>
          <w:szCs w:val="20"/>
          <w:lang w:eastAsia="bg-BG"/>
        </w:rPr>
        <w:t xml:space="preserve"> трябва да се обърне особено внимание на тестването за бременност и изискванията за превенция (вж. точка 4.6).</w:t>
      </w:r>
    </w:p>
    <w:p w14:paraId="43BC8C2D" w14:textId="77777777" w:rsidR="0093317E" w:rsidRPr="0093317E" w:rsidRDefault="0093317E" w:rsidP="0093317E">
      <w:pPr>
        <w:spacing w:line="240" w:lineRule="auto"/>
        <w:rPr>
          <w:rFonts w:eastAsia="Times New Roman" w:cs="Arial"/>
          <w:color w:val="000000"/>
          <w:szCs w:val="20"/>
          <w:u w:val="single"/>
          <w:lang w:eastAsia="bg-BG"/>
        </w:rPr>
      </w:pPr>
    </w:p>
    <w:p w14:paraId="7FB4A47A" w14:textId="7EF2CD57" w:rsidR="0093317E" w:rsidRPr="0093317E" w:rsidRDefault="0093317E" w:rsidP="0093317E">
      <w:pPr>
        <w:spacing w:line="240" w:lineRule="auto"/>
        <w:rPr>
          <w:rFonts w:eastAsia="Times New Roman" w:cs="Arial"/>
          <w:color w:val="000000"/>
          <w:szCs w:val="20"/>
          <w:u w:val="single"/>
          <w:lang w:eastAsia="bg-BG"/>
        </w:rPr>
      </w:pPr>
      <w:proofErr w:type="spellStart"/>
      <w:r w:rsidRPr="0093317E">
        <w:rPr>
          <w:rFonts w:eastAsia="Times New Roman" w:cs="Arial"/>
          <w:color w:val="000000"/>
          <w:szCs w:val="20"/>
          <w:u w:val="single"/>
          <w:lang w:eastAsia="bg-BG"/>
        </w:rPr>
        <w:t>Интратекално</w:t>
      </w:r>
      <w:proofErr w:type="spellEnd"/>
      <w:r w:rsidRPr="0093317E">
        <w:rPr>
          <w:rFonts w:eastAsia="Times New Roman" w:cs="Arial"/>
          <w:color w:val="000000"/>
          <w:szCs w:val="20"/>
          <w:u w:val="single"/>
          <w:lang w:eastAsia="bg-BG"/>
        </w:rPr>
        <w:t xml:space="preserve"> приложение</w:t>
      </w:r>
    </w:p>
    <w:p w14:paraId="5016E630"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Има случаи с фатален изход при непреднамерено </w:t>
      </w:r>
      <w:proofErr w:type="spellStart"/>
      <w:r w:rsidRPr="0093317E">
        <w:rPr>
          <w:rFonts w:eastAsia="Times New Roman" w:cs="Arial"/>
          <w:color w:val="000000"/>
          <w:szCs w:val="20"/>
          <w:lang w:eastAsia="bg-BG"/>
        </w:rPr>
        <w:t>интратекално</w:t>
      </w:r>
      <w:proofErr w:type="spellEnd"/>
      <w:r w:rsidRPr="0093317E">
        <w:rPr>
          <w:rFonts w:eastAsia="Times New Roman" w:cs="Arial"/>
          <w:color w:val="000000"/>
          <w:szCs w:val="20"/>
          <w:lang w:eastAsia="bg-BG"/>
        </w:rPr>
        <w:t xml:space="preserve"> приложение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w:t>
      </w:r>
    </w:p>
    <w:p w14:paraId="2D3CC8BC" w14:textId="77777777" w:rsidR="0093317E" w:rsidRPr="0093317E" w:rsidRDefault="0093317E" w:rsidP="0093317E">
      <w:pPr>
        <w:spacing w:line="240" w:lineRule="auto"/>
        <w:rPr>
          <w:rFonts w:eastAsia="Times New Roman" w:cs="Arial"/>
          <w:color w:val="000000"/>
          <w:szCs w:val="20"/>
          <w:lang w:eastAsia="bg-BG"/>
        </w:rPr>
      </w:pPr>
    </w:p>
    <w:p w14:paraId="1989A1AC" w14:textId="335A60B5" w:rsidR="0093317E" w:rsidRPr="0093317E" w:rsidRDefault="0093317E" w:rsidP="0093317E">
      <w:pPr>
        <w:spacing w:line="240" w:lineRule="auto"/>
        <w:rPr>
          <w:rFonts w:eastAsia="Times New Roman" w:cs="Arial"/>
          <w:sz w:val="28"/>
          <w:szCs w:val="24"/>
          <w:lang w:eastAsia="bg-BG"/>
        </w:rPr>
      </w:pP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3,5 </w:t>
      </w:r>
      <w:r w:rsidRPr="0093317E">
        <w:rPr>
          <w:rFonts w:eastAsia="Times New Roman" w:cs="Arial"/>
          <w:color w:val="000000"/>
          <w:szCs w:val="20"/>
          <w:lang w:val="en-US"/>
        </w:rPr>
        <w:t>mg</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прах за инжекционен разтвор е за интравенозно или подкожно приложение.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xml:space="preserve"> не трябва да се прилага </w:t>
      </w:r>
      <w:proofErr w:type="spellStart"/>
      <w:r w:rsidRPr="0093317E">
        <w:rPr>
          <w:rFonts w:eastAsia="Times New Roman" w:cs="Arial"/>
          <w:color w:val="000000"/>
          <w:szCs w:val="20"/>
          <w:lang w:eastAsia="bg-BG"/>
        </w:rPr>
        <w:t>интратекално</w:t>
      </w:r>
      <w:proofErr w:type="spellEnd"/>
      <w:r w:rsidRPr="0093317E">
        <w:rPr>
          <w:rFonts w:eastAsia="Times New Roman" w:cs="Arial"/>
          <w:color w:val="000000"/>
          <w:szCs w:val="20"/>
          <w:lang w:eastAsia="bg-BG"/>
        </w:rPr>
        <w:t>.</w:t>
      </w:r>
    </w:p>
    <w:p w14:paraId="258DAB61" w14:textId="77777777" w:rsidR="0093317E" w:rsidRPr="0093317E" w:rsidRDefault="0093317E" w:rsidP="0093317E">
      <w:pPr>
        <w:spacing w:line="240" w:lineRule="auto"/>
        <w:rPr>
          <w:rFonts w:eastAsia="Times New Roman" w:cs="Arial"/>
          <w:color w:val="000000"/>
          <w:szCs w:val="20"/>
          <w:u w:val="single"/>
          <w:lang w:eastAsia="bg-BG"/>
        </w:rPr>
      </w:pPr>
    </w:p>
    <w:p w14:paraId="500BFBFB" w14:textId="3028BAA9"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u w:val="single"/>
          <w:lang w:eastAsia="bg-BG"/>
        </w:rPr>
        <w:t>Стомашно-чревна токсичност</w:t>
      </w:r>
    </w:p>
    <w:p w14:paraId="76CEA45F"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Стомашно-чревна токсичност, включително гадене, диария и констипация са много чести при лечение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Има нечести съобщения за случаи на </w:t>
      </w:r>
      <w:proofErr w:type="spellStart"/>
      <w:r w:rsidRPr="0093317E">
        <w:rPr>
          <w:rFonts w:eastAsia="Times New Roman" w:cs="Arial"/>
          <w:color w:val="000000"/>
          <w:szCs w:val="20"/>
          <w:lang w:eastAsia="bg-BG"/>
        </w:rPr>
        <w:t>илеус</w:t>
      </w:r>
      <w:proofErr w:type="spellEnd"/>
      <w:r w:rsidRPr="0093317E">
        <w:rPr>
          <w:rFonts w:eastAsia="Times New Roman" w:cs="Arial"/>
          <w:color w:val="000000"/>
          <w:szCs w:val="20"/>
          <w:lang w:eastAsia="bg-BG"/>
        </w:rPr>
        <w:t xml:space="preserve"> (вж. точка 4.8), поради което пациентите, които имат констипация трябва да бъдат наблюдавани внимателно.</w:t>
      </w:r>
    </w:p>
    <w:p w14:paraId="05C6A15A" w14:textId="77777777" w:rsidR="0093317E" w:rsidRPr="0093317E" w:rsidRDefault="0093317E" w:rsidP="0093317E">
      <w:pPr>
        <w:spacing w:line="240" w:lineRule="auto"/>
        <w:rPr>
          <w:rFonts w:eastAsia="Times New Roman" w:cs="Arial"/>
          <w:color w:val="000000"/>
          <w:szCs w:val="20"/>
          <w:u w:val="single"/>
          <w:lang w:eastAsia="bg-BG"/>
        </w:rPr>
      </w:pPr>
    </w:p>
    <w:p w14:paraId="7084C8B2" w14:textId="704E4554"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u w:val="single"/>
          <w:lang w:eastAsia="bg-BG"/>
        </w:rPr>
        <w:t>Хематологична токсичност</w:t>
      </w:r>
    </w:p>
    <w:p w14:paraId="150E4E1D" w14:textId="77777777" w:rsidR="0093317E" w:rsidRPr="0093317E" w:rsidRDefault="0093317E" w:rsidP="0093317E">
      <w:pPr>
        <w:rPr>
          <w:rFonts w:eastAsia="Times New Roman" w:cs="Arial"/>
          <w:sz w:val="28"/>
          <w:szCs w:val="24"/>
          <w:lang w:eastAsia="bg-BG"/>
        </w:rPr>
      </w:pPr>
      <w:r w:rsidRPr="0093317E">
        <w:rPr>
          <w:rFonts w:eastAsia="Times New Roman" w:cs="Arial"/>
          <w:color w:val="000000"/>
          <w:szCs w:val="20"/>
          <w:lang w:eastAsia="bg-BG"/>
        </w:rPr>
        <w:t xml:space="preserve">Лечението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много често е свързано с хематологична токсичност (</w:t>
      </w:r>
      <w:proofErr w:type="spellStart"/>
      <w:r w:rsidRPr="0093317E">
        <w:rPr>
          <w:rFonts w:eastAsia="Times New Roman" w:cs="Arial"/>
          <w:color w:val="000000"/>
          <w:szCs w:val="20"/>
          <w:lang w:eastAsia="bg-BG"/>
        </w:rPr>
        <w:t>тромбоцитопения</w:t>
      </w:r>
      <w:proofErr w:type="spellEnd"/>
      <w:r w:rsidRPr="0093317E">
        <w:rPr>
          <w:rFonts w:eastAsia="Times New Roman" w:cs="Arial"/>
          <w:color w:val="000000"/>
          <w:szCs w:val="20"/>
          <w:lang w:eastAsia="bg-BG"/>
        </w:rPr>
        <w:t xml:space="preserve">, </w:t>
      </w:r>
      <w:proofErr w:type="spellStart"/>
      <w:r w:rsidRPr="0093317E">
        <w:rPr>
          <w:rFonts w:eastAsia="Times New Roman" w:cs="Arial"/>
          <w:color w:val="000000"/>
          <w:szCs w:val="20"/>
          <w:lang w:eastAsia="bg-BG"/>
        </w:rPr>
        <w:t>неутропения</w:t>
      </w:r>
      <w:proofErr w:type="spellEnd"/>
      <w:r w:rsidRPr="0093317E">
        <w:rPr>
          <w:rFonts w:eastAsia="Times New Roman" w:cs="Arial"/>
          <w:color w:val="000000"/>
          <w:szCs w:val="20"/>
          <w:lang w:eastAsia="bg-BG"/>
        </w:rPr>
        <w:t xml:space="preserve"> и анемия).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е оценен във Фаза III проучване (инжектиран интравенозно), в сравнение с </w:t>
      </w:r>
      <w:proofErr w:type="spellStart"/>
      <w:r w:rsidRPr="0093317E">
        <w:rPr>
          <w:rFonts w:eastAsia="Times New Roman" w:cs="Arial"/>
          <w:color w:val="000000"/>
          <w:szCs w:val="20"/>
          <w:lang w:eastAsia="bg-BG"/>
        </w:rPr>
        <w:t>дексаметазон</w:t>
      </w:r>
      <w:proofErr w:type="spellEnd"/>
      <w:r w:rsidRPr="0093317E">
        <w:rPr>
          <w:rFonts w:eastAsia="Times New Roman" w:cs="Arial"/>
          <w:color w:val="000000"/>
          <w:szCs w:val="20"/>
          <w:lang w:eastAsia="bg-BG"/>
        </w:rPr>
        <w:t xml:space="preserve">, като най-честата хематологична токсичност е преходната </w:t>
      </w:r>
      <w:proofErr w:type="spellStart"/>
      <w:r w:rsidRPr="0093317E">
        <w:rPr>
          <w:rFonts w:eastAsia="Times New Roman" w:cs="Arial"/>
          <w:color w:val="000000"/>
          <w:szCs w:val="20"/>
          <w:lang w:eastAsia="bg-BG"/>
        </w:rPr>
        <w:t>тромбоцитопения</w:t>
      </w:r>
      <w:proofErr w:type="spellEnd"/>
      <w:r w:rsidRPr="0093317E">
        <w:rPr>
          <w:rFonts w:eastAsia="Times New Roman" w:cs="Arial"/>
          <w:color w:val="000000"/>
          <w:szCs w:val="20"/>
          <w:lang w:eastAsia="bg-BG"/>
        </w:rPr>
        <w:t xml:space="preserve">. В проучване фаза II броят на </w:t>
      </w:r>
      <w:proofErr w:type="spellStart"/>
      <w:r w:rsidRPr="0093317E">
        <w:rPr>
          <w:rFonts w:eastAsia="Times New Roman" w:cs="Arial"/>
          <w:color w:val="000000"/>
          <w:szCs w:val="20"/>
          <w:lang w:eastAsia="bg-BG"/>
        </w:rPr>
        <w:t>тромбоцитите</w:t>
      </w:r>
      <w:proofErr w:type="spellEnd"/>
      <w:r w:rsidRPr="0093317E">
        <w:rPr>
          <w:rFonts w:eastAsia="Times New Roman" w:cs="Arial"/>
          <w:color w:val="000000"/>
          <w:szCs w:val="20"/>
          <w:lang w:eastAsia="bg-BG"/>
        </w:rPr>
        <w:t xml:space="preserve"> е най- нисък на ден </w:t>
      </w:r>
      <w:r w:rsidRPr="00FD4C98">
        <w:rPr>
          <w:rFonts w:eastAsia="Times New Roman" w:cs="Arial"/>
          <w:color w:val="000000"/>
          <w:szCs w:val="20"/>
          <w:lang w:val="ru-RU"/>
        </w:rPr>
        <w:t>1</w:t>
      </w:r>
      <w:r w:rsidRPr="0093317E">
        <w:rPr>
          <w:rFonts w:eastAsia="Times New Roman" w:cs="Arial"/>
          <w:color w:val="000000"/>
          <w:szCs w:val="20"/>
          <w:lang w:eastAsia="bg-BG"/>
        </w:rPr>
        <w:t xml:space="preserve">1 от всеки цикъл на лечението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Няма данни за кумулативна</w:t>
      </w:r>
      <w:r w:rsidRPr="00FD4C98">
        <w:rPr>
          <w:rFonts w:eastAsia="Times New Roman" w:cs="Arial"/>
          <w:color w:val="000000"/>
          <w:szCs w:val="20"/>
          <w:lang w:val="ru-RU" w:eastAsia="bg-BG"/>
        </w:rPr>
        <w:t xml:space="preserve"> </w:t>
      </w:r>
      <w:proofErr w:type="spellStart"/>
      <w:r w:rsidRPr="0093317E">
        <w:rPr>
          <w:rFonts w:eastAsia="Times New Roman" w:cs="Arial"/>
          <w:color w:val="000000"/>
          <w:szCs w:val="20"/>
          <w:lang w:eastAsia="bg-BG"/>
        </w:rPr>
        <w:t>тромбоцито</w:t>
      </w:r>
      <w:proofErr w:type="spellEnd"/>
      <w:r w:rsidRPr="0093317E">
        <w:rPr>
          <w:rFonts w:eastAsia="Times New Roman" w:cs="Arial"/>
          <w:color w:val="000000"/>
          <w:szCs w:val="20"/>
          <w:lang w:eastAsia="bg-BG"/>
        </w:rPr>
        <w:t xml:space="preserve"> пения, включително и през допълнителната фаза II на проучването. Средният спад на броя на </w:t>
      </w:r>
      <w:proofErr w:type="spellStart"/>
      <w:r w:rsidRPr="0093317E">
        <w:rPr>
          <w:rFonts w:eastAsia="Times New Roman" w:cs="Arial"/>
          <w:color w:val="000000"/>
          <w:szCs w:val="20"/>
          <w:lang w:eastAsia="bg-BG"/>
        </w:rPr>
        <w:t>тромбоиитите</w:t>
      </w:r>
      <w:proofErr w:type="spellEnd"/>
      <w:r w:rsidRPr="0093317E">
        <w:rPr>
          <w:rFonts w:eastAsia="Times New Roman" w:cs="Arial"/>
          <w:color w:val="000000"/>
          <w:szCs w:val="20"/>
          <w:lang w:eastAsia="bg-BG"/>
        </w:rPr>
        <w:t xml:space="preserve"> е бил изчислен приблизително на 40% от изходното ниво. При пациенти с напреднал миелом тежестта на </w:t>
      </w:r>
      <w:proofErr w:type="spellStart"/>
      <w:r w:rsidRPr="0093317E">
        <w:rPr>
          <w:rFonts w:eastAsia="Times New Roman" w:cs="Arial"/>
          <w:color w:val="000000"/>
          <w:szCs w:val="20"/>
          <w:lang w:eastAsia="bg-BG"/>
        </w:rPr>
        <w:t>тромбоцитопенията</w:t>
      </w:r>
      <w:proofErr w:type="spellEnd"/>
      <w:r w:rsidRPr="0093317E">
        <w:rPr>
          <w:rFonts w:eastAsia="Times New Roman" w:cs="Arial"/>
          <w:color w:val="000000"/>
          <w:szCs w:val="20"/>
          <w:lang w:eastAsia="bg-BG"/>
        </w:rPr>
        <w:t xml:space="preserve"> е била свързана с броя на </w:t>
      </w:r>
      <w:proofErr w:type="spellStart"/>
      <w:r w:rsidRPr="0093317E">
        <w:rPr>
          <w:rFonts w:eastAsia="Times New Roman" w:cs="Arial"/>
          <w:color w:val="000000"/>
          <w:szCs w:val="20"/>
          <w:lang w:eastAsia="bg-BG"/>
        </w:rPr>
        <w:t>тромбоиитите</w:t>
      </w:r>
      <w:proofErr w:type="spellEnd"/>
      <w:r w:rsidRPr="0093317E">
        <w:rPr>
          <w:rFonts w:eastAsia="Times New Roman" w:cs="Arial"/>
          <w:color w:val="000000"/>
          <w:szCs w:val="20"/>
          <w:lang w:eastAsia="bg-BG"/>
        </w:rPr>
        <w:t xml:space="preserve"> преди лечението: при изходно ниво на </w:t>
      </w:r>
      <w:proofErr w:type="spellStart"/>
      <w:r w:rsidRPr="0093317E">
        <w:rPr>
          <w:rFonts w:eastAsia="Times New Roman" w:cs="Arial"/>
          <w:color w:val="000000"/>
          <w:szCs w:val="20"/>
          <w:lang w:eastAsia="bg-BG"/>
        </w:rPr>
        <w:t>тромбоцитите</w:t>
      </w:r>
      <w:proofErr w:type="spellEnd"/>
      <w:r w:rsidRPr="0093317E">
        <w:rPr>
          <w:rFonts w:eastAsia="Times New Roman" w:cs="Arial"/>
          <w:color w:val="000000"/>
          <w:szCs w:val="20"/>
          <w:lang w:eastAsia="bg-BG"/>
        </w:rPr>
        <w:t xml:space="preserve"> &lt; 75 000/μ</w:t>
      </w:r>
      <w:r w:rsidRPr="0093317E">
        <w:rPr>
          <w:rFonts w:eastAsia="Times New Roman" w:cs="Arial"/>
          <w:color w:val="000000"/>
          <w:szCs w:val="20"/>
          <w:lang w:val="en-US"/>
        </w:rPr>
        <w:t>l</w:t>
      </w:r>
      <w:r w:rsidRPr="0093317E">
        <w:rPr>
          <w:rFonts w:eastAsia="Times New Roman" w:cs="Arial"/>
          <w:color w:val="000000"/>
          <w:szCs w:val="20"/>
          <w:lang w:eastAsia="bg-BG"/>
        </w:rPr>
        <w:t>, 90% от 21 пациенти са имали брой &lt; 25 000/μ</w:t>
      </w:r>
      <w:r w:rsidRPr="0093317E">
        <w:rPr>
          <w:rFonts w:eastAsia="Times New Roman" w:cs="Arial"/>
          <w:color w:val="000000"/>
          <w:szCs w:val="20"/>
          <w:lang w:val="en-US"/>
        </w:rPr>
        <w:t>l</w:t>
      </w:r>
      <w:r w:rsidRPr="0093317E">
        <w:rPr>
          <w:rFonts w:eastAsia="Times New Roman" w:cs="Arial"/>
          <w:color w:val="000000"/>
          <w:szCs w:val="20"/>
          <w:lang w:eastAsia="bg-BG"/>
        </w:rPr>
        <w:t xml:space="preserve"> по време на проучването, включително 14% &lt; 10 000/μ</w:t>
      </w:r>
      <w:r w:rsidRPr="0093317E">
        <w:rPr>
          <w:rFonts w:eastAsia="Times New Roman" w:cs="Arial"/>
          <w:color w:val="000000"/>
          <w:szCs w:val="20"/>
          <w:lang w:val="en-US"/>
        </w:rPr>
        <w:t>l</w:t>
      </w:r>
      <w:r w:rsidRPr="0093317E">
        <w:rPr>
          <w:rFonts w:eastAsia="Times New Roman" w:cs="Arial"/>
          <w:color w:val="000000"/>
          <w:szCs w:val="20"/>
          <w:lang w:eastAsia="bg-BG"/>
        </w:rPr>
        <w:t>; за разлика от тези с изходно ниво &gt; 75 000/μ</w:t>
      </w:r>
      <w:r w:rsidRPr="0093317E">
        <w:rPr>
          <w:rFonts w:eastAsia="Times New Roman" w:cs="Arial"/>
          <w:color w:val="000000"/>
          <w:szCs w:val="20"/>
          <w:lang w:val="en-US"/>
        </w:rPr>
        <w:t>l</w:t>
      </w:r>
      <w:r w:rsidRPr="0093317E">
        <w:rPr>
          <w:rFonts w:eastAsia="Times New Roman" w:cs="Arial"/>
          <w:color w:val="000000"/>
          <w:szCs w:val="20"/>
          <w:lang w:eastAsia="bg-BG"/>
        </w:rPr>
        <w:t xml:space="preserve">, при които само 14% от 309 пациенти са имали брой &lt; </w:t>
      </w:r>
      <w:r w:rsidRPr="00FD4C98">
        <w:rPr>
          <w:rFonts w:eastAsia="Times New Roman" w:cs="Arial"/>
          <w:color w:val="000000"/>
          <w:szCs w:val="20"/>
          <w:lang w:val="ru-RU"/>
        </w:rPr>
        <w:t>25</w:t>
      </w:r>
      <w:r w:rsidRPr="0093317E">
        <w:rPr>
          <w:rFonts w:eastAsia="Times New Roman" w:cs="Arial"/>
          <w:color w:val="000000"/>
          <w:szCs w:val="20"/>
          <w:lang w:val="en-US"/>
        </w:rPr>
        <w:t>X</w:t>
      </w:r>
      <w:r w:rsidRPr="00FD4C98">
        <w:rPr>
          <w:rFonts w:eastAsia="Times New Roman" w:cs="Arial"/>
          <w:color w:val="000000"/>
          <w:szCs w:val="20"/>
          <w:lang w:val="ru-RU"/>
        </w:rPr>
        <w:t>1</w:t>
      </w:r>
      <w:r w:rsidRPr="0093317E">
        <w:rPr>
          <w:rFonts w:eastAsia="Times New Roman" w:cs="Arial"/>
          <w:color w:val="000000"/>
          <w:szCs w:val="20"/>
          <w:lang w:eastAsia="bg-BG"/>
        </w:rPr>
        <w:t>0</w:t>
      </w:r>
      <w:r w:rsidRPr="0093317E">
        <w:rPr>
          <w:rFonts w:eastAsia="Times New Roman" w:cs="Arial"/>
          <w:color w:val="000000"/>
          <w:szCs w:val="20"/>
          <w:vertAlign w:val="superscript"/>
          <w:lang w:eastAsia="bg-BG"/>
        </w:rPr>
        <w:t>9</w:t>
      </w:r>
      <w:r w:rsidRPr="0093317E">
        <w:rPr>
          <w:rFonts w:eastAsia="Times New Roman" w:cs="Arial"/>
          <w:color w:val="000000"/>
          <w:szCs w:val="20"/>
          <w:lang w:eastAsia="bg-BG"/>
        </w:rPr>
        <w:t xml:space="preserve">/1 по време на проучването. Броят на </w:t>
      </w:r>
      <w:proofErr w:type="spellStart"/>
      <w:r w:rsidRPr="0093317E">
        <w:rPr>
          <w:rFonts w:eastAsia="Times New Roman" w:cs="Arial"/>
          <w:color w:val="000000"/>
          <w:szCs w:val="20"/>
          <w:lang w:eastAsia="bg-BG"/>
        </w:rPr>
        <w:t>тромбоцитите</w:t>
      </w:r>
      <w:proofErr w:type="spellEnd"/>
      <w:r w:rsidRPr="0093317E">
        <w:rPr>
          <w:rFonts w:eastAsia="Times New Roman" w:cs="Arial"/>
          <w:color w:val="000000"/>
          <w:szCs w:val="20"/>
          <w:lang w:eastAsia="bg-BG"/>
        </w:rPr>
        <w:t xml:space="preserve"> трябва да се </w:t>
      </w:r>
      <w:proofErr w:type="spellStart"/>
      <w:r w:rsidRPr="0093317E">
        <w:rPr>
          <w:rFonts w:eastAsia="Times New Roman" w:cs="Arial"/>
          <w:color w:val="000000"/>
          <w:szCs w:val="20"/>
          <w:lang w:eastAsia="bg-BG"/>
        </w:rPr>
        <w:t>мониторира</w:t>
      </w:r>
      <w:proofErr w:type="spellEnd"/>
      <w:r w:rsidRPr="0093317E">
        <w:rPr>
          <w:rFonts w:eastAsia="Times New Roman" w:cs="Arial"/>
          <w:color w:val="000000"/>
          <w:szCs w:val="20"/>
          <w:lang w:eastAsia="bg-BG"/>
        </w:rPr>
        <w:t xml:space="preserve"> преди всяка доза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Лечението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трябва да се спре, когато броят на </w:t>
      </w:r>
      <w:proofErr w:type="spellStart"/>
      <w:r w:rsidRPr="0093317E">
        <w:rPr>
          <w:rFonts w:eastAsia="Times New Roman" w:cs="Arial"/>
          <w:color w:val="000000"/>
          <w:szCs w:val="20"/>
          <w:lang w:eastAsia="bg-BG"/>
        </w:rPr>
        <w:t>тромбоцитите</w:t>
      </w:r>
      <w:proofErr w:type="spellEnd"/>
      <w:r w:rsidRPr="0093317E">
        <w:rPr>
          <w:rFonts w:eastAsia="Times New Roman" w:cs="Arial"/>
          <w:color w:val="000000"/>
          <w:szCs w:val="20"/>
          <w:lang w:eastAsia="bg-BG"/>
        </w:rPr>
        <w:t xml:space="preserve"> е &lt; 25 </w:t>
      </w:r>
      <w:r w:rsidRPr="00FD4C98">
        <w:rPr>
          <w:rFonts w:eastAsia="Times New Roman" w:cs="Arial"/>
          <w:color w:val="000000"/>
          <w:szCs w:val="20"/>
          <w:lang w:val="ru-RU"/>
        </w:rPr>
        <w:t>000/</w:t>
      </w:r>
      <w:r w:rsidRPr="0093317E">
        <w:rPr>
          <w:rFonts w:eastAsia="Times New Roman" w:cs="Arial"/>
          <w:color w:val="000000"/>
          <w:szCs w:val="20"/>
          <w:lang w:eastAsia="bg-BG"/>
        </w:rPr>
        <w:t>μ</w:t>
      </w:r>
      <w:r w:rsidRPr="0093317E">
        <w:rPr>
          <w:rFonts w:eastAsia="Times New Roman" w:cs="Arial"/>
          <w:color w:val="000000"/>
          <w:szCs w:val="20"/>
          <w:lang w:val="en-US"/>
        </w:rPr>
        <w:t>l</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или в случай на комбинация с </w:t>
      </w:r>
      <w:proofErr w:type="spellStart"/>
      <w:r w:rsidRPr="0093317E">
        <w:rPr>
          <w:rFonts w:eastAsia="Times New Roman" w:cs="Arial"/>
          <w:color w:val="000000"/>
          <w:szCs w:val="20"/>
          <w:lang w:eastAsia="bg-BG"/>
        </w:rPr>
        <w:t>мелфалан</w:t>
      </w:r>
      <w:proofErr w:type="spellEnd"/>
      <w:r w:rsidRPr="0093317E">
        <w:rPr>
          <w:rFonts w:eastAsia="Times New Roman" w:cs="Arial"/>
          <w:color w:val="000000"/>
          <w:szCs w:val="20"/>
          <w:lang w:eastAsia="bg-BG"/>
        </w:rPr>
        <w:t xml:space="preserve"> и </w:t>
      </w:r>
      <w:proofErr w:type="spellStart"/>
      <w:r w:rsidRPr="0093317E">
        <w:rPr>
          <w:rFonts w:eastAsia="Times New Roman" w:cs="Arial"/>
          <w:color w:val="000000"/>
          <w:szCs w:val="20"/>
          <w:lang w:eastAsia="bg-BG"/>
        </w:rPr>
        <w:t>преднизон</w:t>
      </w:r>
      <w:proofErr w:type="spellEnd"/>
      <w:r w:rsidRPr="0093317E">
        <w:rPr>
          <w:rFonts w:eastAsia="Times New Roman" w:cs="Arial"/>
          <w:color w:val="000000"/>
          <w:szCs w:val="20"/>
          <w:lang w:eastAsia="bg-BG"/>
        </w:rPr>
        <w:t xml:space="preserve">, когато броят на </w:t>
      </w:r>
      <w:proofErr w:type="spellStart"/>
      <w:r w:rsidRPr="0093317E">
        <w:rPr>
          <w:rFonts w:eastAsia="Times New Roman" w:cs="Arial"/>
          <w:color w:val="000000"/>
          <w:szCs w:val="20"/>
          <w:lang w:eastAsia="bg-BG"/>
        </w:rPr>
        <w:t>тробмоцитите</w:t>
      </w:r>
      <w:proofErr w:type="spellEnd"/>
      <w:r w:rsidRPr="0093317E">
        <w:rPr>
          <w:rFonts w:eastAsia="Times New Roman" w:cs="Arial"/>
          <w:color w:val="000000"/>
          <w:szCs w:val="20"/>
          <w:lang w:eastAsia="bg-BG"/>
        </w:rPr>
        <w:t xml:space="preserve"> е &lt; 30 000/μ</w:t>
      </w:r>
      <w:r w:rsidRPr="0093317E">
        <w:rPr>
          <w:rFonts w:eastAsia="Times New Roman" w:cs="Arial"/>
          <w:color w:val="000000"/>
          <w:szCs w:val="20"/>
          <w:lang w:val="en-US"/>
        </w:rPr>
        <w:t>l</w:t>
      </w:r>
      <w:r w:rsidRPr="0093317E">
        <w:rPr>
          <w:rFonts w:eastAsia="Times New Roman" w:cs="Arial"/>
          <w:color w:val="000000"/>
          <w:szCs w:val="20"/>
          <w:lang w:eastAsia="bg-BG"/>
        </w:rPr>
        <w:t xml:space="preserve"> и да се поднови с понижена доза след възстановяването на броя им (вж. точка 4.2). Потенциалната полза спрямо риска от лечението трябва да се </w:t>
      </w:r>
      <w:r w:rsidRPr="0093317E">
        <w:rPr>
          <w:rFonts w:eastAsia="Times New Roman" w:cs="Arial"/>
          <w:color w:val="000000"/>
          <w:szCs w:val="20"/>
          <w:lang w:eastAsia="bg-BG"/>
        </w:rPr>
        <w:lastRenderedPageBreak/>
        <w:t xml:space="preserve">прецени внимателно и, в частност, при случай на умерена до тежка </w:t>
      </w:r>
      <w:proofErr w:type="spellStart"/>
      <w:r w:rsidRPr="0093317E">
        <w:rPr>
          <w:rFonts w:eastAsia="Times New Roman" w:cs="Arial"/>
          <w:color w:val="000000"/>
          <w:szCs w:val="20"/>
          <w:lang w:eastAsia="bg-BG"/>
        </w:rPr>
        <w:t>тромбоцитопения</w:t>
      </w:r>
      <w:proofErr w:type="spellEnd"/>
      <w:r w:rsidRPr="0093317E">
        <w:rPr>
          <w:rFonts w:eastAsia="Times New Roman" w:cs="Arial"/>
          <w:color w:val="000000"/>
          <w:szCs w:val="20"/>
          <w:lang w:eastAsia="bg-BG"/>
        </w:rPr>
        <w:t xml:space="preserve"> и рискови фактори за кървене.</w:t>
      </w:r>
    </w:p>
    <w:p w14:paraId="60D75DAA"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По тази причина по време на лечението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трябва често да се проследява пълната кръвна картина с диференциално броене, включително и броят на </w:t>
      </w:r>
      <w:proofErr w:type="spellStart"/>
      <w:r w:rsidRPr="0093317E">
        <w:rPr>
          <w:rFonts w:eastAsia="Times New Roman" w:cs="Arial"/>
          <w:color w:val="000000"/>
          <w:szCs w:val="20"/>
          <w:lang w:eastAsia="bg-BG"/>
        </w:rPr>
        <w:t>тромбоцитите</w:t>
      </w:r>
      <w:proofErr w:type="spellEnd"/>
      <w:r w:rsidRPr="0093317E">
        <w:rPr>
          <w:rFonts w:eastAsia="Times New Roman" w:cs="Arial"/>
          <w:color w:val="000000"/>
          <w:szCs w:val="20"/>
          <w:lang w:eastAsia="bg-BG"/>
        </w:rPr>
        <w:t>.</w:t>
      </w:r>
    </w:p>
    <w:p w14:paraId="7AE23302" w14:textId="77777777" w:rsidR="0093317E" w:rsidRPr="0093317E" w:rsidRDefault="0093317E" w:rsidP="0093317E">
      <w:pPr>
        <w:spacing w:line="240" w:lineRule="auto"/>
        <w:rPr>
          <w:rFonts w:eastAsia="Times New Roman" w:cs="Arial"/>
          <w:color w:val="000000"/>
          <w:szCs w:val="20"/>
          <w:u w:val="single"/>
          <w:lang w:eastAsia="bg-BG"/>
        </w:rPr>
      </w:pPr>
    </w:p>
    <w:p w14:paraId="41312643" w14:textId="1F6EDB5D" w:rsidR="0093317E" w:rsidRPr="0093317E" w:rsidRDefault="0093317E" w:rsidP="0093317E">
      <w:pPr>
        <w:spacing w:line="240" w:lineRule="auto"/>
        <w:rPr>
          <w:rFonts w:eastAsia="Times New Roman" w:cs="Arial"/>
          <w:sz w:val="28"/>
          <w:szCs w:val="24"/>
          <w:lang w:eastAsia="bg-BG"/>
        </w:rPr>
      </w:pPr>
      <w:proofErr w:type="spellStart"/>
      <w:r w:rsidRPr="0093317E">
        <w:rPr>
          <w:rFonts w:eastAsia="Times New Roman" w:cs="Arial"/>
          <w:color w:val="000000"/>
          <w:szCs w:val="20"/>
          <w:u w:val="single"/>
          <w:lang w:eastAsia="bg-BG"/>
        </w:rPr>
        <w:t>Реактивиране</w:t>
      </w:r>
      <w:proofErr w:type="spellEnd"/>
      <w:r w:rsidRPr="0093317E">
        <w:rPr>
          <w:rFonts w:eastAsia="Times New Roman" w:cs="Arial"/>
          <w:color w:val="000000"/>
          <w:szCs w:val="20"/>
          <w:u w:val="single"/>
          <w:lang w:eastAsia="bg-BG"/>
        </w:rPr>
        <w:t xml:space="preserve"> на херпес зостер вирус</w:t>
      </w:r>
    </w:p>
    <w:p w14:paraId="1595BA93"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При пациенти, лекувани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трябва да се обмисли антивирусна профилактика. При фаза III проучване при пациенти с </w:t>
      </w:r>
      <w:proofErr w:type="spellStart"/>
      <w:r w:rsidRPr="0093317E">
        <w:rPr>
          <w:rFonts w:eastAsia="Times New Roman" w:cs="Arial"/>
          <w:color w:val="000000"/>
          <w:szCs w:val="20"/>
          <w:lang w:eastAsia="bg-BG"/>
        </w:rPr>
        <w:t>нелекуван</w:t>
      </w:r>
      <w:proofErr w:type="spellEnd"/>
      <w:r w:rsidRPr="0093317E">
        <w:rPr>
          <w:rFonts w:eastAsia="Times New Roman" w:cs="Arial"/>
          <w:color w:val="000000"/>
          <w:szCs w:val="20"/>
          <w:lang w:eastAsia="bg-BG"/>
        </w:rPr>
        <w:t xml:space="preserve"> мултиплен миелом, общата честота на </w:t>
      </w:r>
      <w:proofErr w:type="spellStart"/>
      <w:r w:rsidRPr="0093317E">
        <w:rPr>
          <w:rFonts w:eastAsia="Times New Roman" w:cs="Arial"/>
          <w:color w:val="000000"/>
          <w:szCs w:val="20"/>
          <w:lang w:eastAsia="bg-BG"/>
        </w:rPr>
        <w:t>реактивирането</w:t>
      </w:r>
      <w:proofErr w:type="spellEnd"/>
      <w:r w:rsidRPr="0093317E">
        <w:rPr>
          <w:rFonts w:eastAsia="Times New Roman" w:cs="Arial"/>
          <w:color w:val="000000"/>
          <w:szCs w:val="20"/>
          <w:lang w:eastAsia="bg-BG"/>
        </w:rPr>
        <w:t xml:space="preserve"> на херпес зостер е по-честа при пациенти, лекувани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 </w:t>
      </w:r>
      <w:proofErr w:type="spellStart"/>
      <w:r w:rsidRPr="0093317E">
        <w:rPr>
          <w:rFonts w:eastAsia="Times New Roman" w:cs="Arial"/>
          <w:color w:val="000000"/>
          <w:szCs w:val="20"/>
          <w:lang w:eastAsia="bg-BG"/>
        </w:rPr>
        <w:t>мелфалан</w:t>
      </w:r>
      <w:proofErr w:type="spellEnd"/>
      <w:r w:rsidRPr="0093317E">
        <w:rPr>
          <w:rFonts w:eastAsia="Times New Roman" w:cs="Arial"/>
          <w:color w:val="000000"/>
          <w:szCs w:val="20"/>
          <w:lang w:eastAsia="bg-BG"/>
        </w:rPr>
        <w:t xml:space="preserve"> + </w:t>
      </w:r>
      <w:proofErr w:type="spellStart"/>
      <w:r w:rsidRPr="0093317E">
        <w:rPr>
          <w:rFonts w:eastAsia="Times New Roman" w:cs="Arial"/>
          <w:color w:val="000000"/>
          <w:szCs w:val="20"/>
          <w:lang w:eastAsia="bg-BG"/>
        </w:rPr>
        <w:t>преднизон</w:t>
      </w:r>
      <w:proofErr w:type="spellEnd"/>
      <w:r w:rsidRPr="0093317E">
        <w:rPr>
          <w:rFonts w:eastAsia="Times New Roman" w:cs="Arial"/>
          <w:color w:val="000000"/>
          <w:szCs w:val="20"/>
          <w:lang w:eastAsia="bg-BG"/>
        </w:rPr>
        <w:t xml:space="preserve">, в сравнение с тези на </w:t>
      </w:r>
      <w:proofErr w:type="spellStart"/>
      <w:r w:rsidRPr="0093317E">
        <w:rPr>
          <w:rFonts w:eastAsia="Times New Roman" w:cs="Arial"/>
          <w:color w:val="000000"/>
          <w:szCs w:val="20"/>
          <w:lang w:eastAsia="bg-BG"/>
        </w:rPr>
        <w:t>мелфалан</w:t>
      </w:r>
      <w:proofErr w:type="spellEnd"/>
      <w:r w:rsidRPr="0093317E">
        <w:rPr>
          <w:rFonts w:eastAsia="Times New Roman" w:cs="Arial"/>
          <w:color w:val="000000"/>
          <w:szCs w:val="20"/>
          <w:lang w:eastAsia="bg-BG"/>
        </w:rPr>
        <w:t xml:space="preserve"> + </w:t>
      </w:r>
      <w:proofErr w:type="spellStart"/>
      <w:r w:rsidRPr="0093317E">
        <w:rPr>
          <w:rFonts w:eastAsia="Times New Roman" w:cs="Arial"/>
          <w:color w:val="000000"/>
          <w:szCs w:val="20"/>
          <w:lang w:eastAsia="bg-BG"/>
        </w:rPr>
        <w:t>преднизон</w:t>
      </w:r>
      <w:proofErr w:type="spellEnd"/>
      <w:r w:rsidRPr="0093317E">
        <w:rPr>
          <w:rFonts w:eastAsia="Times New Roman" w:cs="Arial"/>
          <w:color w:val="000000"/>
          <w:szCs w:val="20"/>
          <w:lang w:eastAsia="bg-BG"/>
        </w:rPr>
        <w:t xml:space="preserve"> (съответно 14% и 4%).</w:t>
      </w:r>
    </w:p>
    <w:p w14:paraId="1A7F4460" w14:textId="77777777" w:rsidR="0093317E" w:rsidRPr="0093317E" w:rsidRDefault="0093317E" w:rsidP="0093317E">
      <w:pPr>
        <w:spacing w:line="240" w:lineRule="auto"/>
        <w:rPr>
          <w:rFonts w:eastAsia="Times New Roman" w:cs="Arial"/>
          <w:color w:val="000000"/>
          <w:szCs w:val="20"/>
          <w:u w:val="single"/>
          <w:lang w:eastAsia="bg-BG"/>
        </w:rPr>
      </w:pPr>
    </w:p>
    <w:p w14:paraId="2C2351E6" w14:textId="1F0B95D1"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u w:val="single"/>
          <w:lang w:eastAsia="bg-BG"/>
        </w:rPr>
        <w:t xml:space="preserve">Прогресивна </w:t>
      </w:r>
      <w:proofErr w:type="spellStart"/>
      <w:r w:rsidRPr="0093317E">
        <w:rPr>
          <w:rFonts w:eastAsia="Times New Roman" w:cs="Arial"/>
          <w:color w:val="000000"/>
          <w:szCs w:val="20"/>
          <w:u w:val="single"/>
          <w:lang w:eastAsia="bg-BG"/>
        </w:rPr>
        <w:t>мултифокална</w:t>
      </w:r>
      <w:proofErr w:type="spellEnd"/>
      <w:r w:rsidRPr="0093317E">
        <w:rPr>
          <w:rFonts w:eastAsia="Times New Roman" w:cs="Arial"/>
          <w:color w:val="000000"/>
          <w:szCs w:val="20"/>
          <w:u w:val="single"/>
          <w:lang w:eastAsia="bg-BG"/>
        </w:rPr>
        <w:t xml:space="preserve"> </w:t>
      </w:r>
      <w:proofErr w:type="spellStart"/>
      <w:r w:rsidRPr="0093317E">
        <w:rPr>
          <w:rFonts w:eastAsia="Times New Roman" w:cs="Arial"/>
          <w:color w:val="000000"/>
          <w:szCs w:val="20"/>
          <w:u w:val="single"/>
          <w:lang w:eastAsia="bg-BG"/>
        </w:rPr>
        <w:t>лев.коенцефалопатия</w:t>
      </w:r>
      <w:proofErr w:type="spellEnd"/>
      <w:r w:rsidRPr="0093317E">
        <w:rPr>
          <w:rFonts w:eastAsia="Times New Roman" w:cs="Arial"/>
          <w:color w:val="000000"/>
          <w:szCs w:val="20"/>
          <w:u w:val="single"/>
          <w:lang w:eastAsia="bg-BG"/>
        </w:rPr>
        <w:t xml:space="preserve"> (ПМЛ)</w:t>
      </w:r>
    </w:p>
    <w:p w14:paraId="6209BCBE"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Докладвани са много редки случаи на инфекция с вируса на </w:t>
      </w:r>
      <w:r w:rsidRPr="0093317E">
        <w:rPr>
          <w:rFonts w:eastAsia="Times New Roman" w:cs="Arial"/>
          <w:color w:val="000000"/>
          <w:szCs w:val="20"/>
          <w:lang w:val="en-US"/>
        </w:rPr>
        <w:t>John</w:t>
      </w:r>
      <w:r w:rsidRPr="00FD4C98">
        <w:rPr>
          <w:rFonts w:eastAsia="Times New Roman" w:cs="Arial"/>
          <w:color w:val="000000"/>
          <w:szCs w:val="20"/>
          <w:lang w:val="ru-RU"/>
        </w:rPr>
        <w:t xml:space="preserve"> </w:t>
      </w:r>
      <w:r w:rsidRPr="0093317E">
        <w:rPr>
          <w:rFonts w:eastAsia="Times New Roman" w:cs="Arial"/>
          <w:color w:val="000000"/>
          <w:szCs w:val="20"/>
          <w:lang w:val="en-US"/>
        </w:rPr>
        <w:t>Cunningham</w:t>
      </w:r>
      <w:r w:rsidRPr="00FD4C98">
        <w:rPr>
          <w:rFonts w:eastAsia="Times New Roman" w:cs="Arial"/>
          <w:color w:val="000000"/>
          <w:szCs w:val="20"/>
          <w:lang w:val="ru-RU"/>
        </w:rPr>
        <w:t xml:space="preserve"> (</w:t>
      </w:r>
      <w:r w:rsidRPr="0093317E">
        <w:rPr>
          <w:rFonts w:eastAsia="Times New Roman" w:cs="Arial"/>
          <w:color w:val="000000"/>
          <w:szCs w:val="20"/>
          <w:lang w:val="en-US"/>
        </w:rPr>
        <w:t>JC</w:t>
      </w:r>
      <w:r w:rsidRPr="00FD4C98">
        <w:rPr>
          <w:rFonts w:eastAsia="Times New Roman" w:cs="Arial"/>
          <w:color w:val="000000"/>
          <w:szCs w:val="20"/>
          <w:lang w:val="ru-RU"/>
        </w:rPr>
        <w:t xml:space="preserve">), </w:t>
      </w:r>
      <w:r w:rsidRPr="0093317E">
        <w:rPr>
          <w:rFonts w:eastAsia="Times New Roman" w:cs="Arial"/>
          <w:color w:val="000000"/>
          <w:szCs w:val="20"/>
          <w:lang w:eastAsia="bg-BG"/>
        </w:rPr>
        <w:t xml:space="preserve">с неизвестна причинно-следствена връзка, при пациенти, лекувани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с резултат ПМЛ и смърт. Пациентите с диагноза ПМЛ са имали предшестваща или провеждат едновременно </w:t>
      </w:r>
      <w:proofErr w:type="spellStart"/>
      <w:r w:rsidRPr="0093317E">
        <w:rPr>
          <w:rFonts w:eastAsia="Times New Roman" w:cs="Arial"/>
          <w:color w:val="000000"/>
          <w:szCs w:val="20"/>
          <w:lang w:eastAsia="bg-BG"/>
        </w:rPr>
        <w:t>имуносупресивна</w:t>
      </w:r>
      <w:proofErr w:type="spellEnd"/>
      <w:r w:rsidRPr="0093317E">
        <w:rPr>
          <w:rFonts w:eastAsia="Times New Roman" w:cs="Arial"/>
          <w:color w:val="000000"/>
          <w:szCs w:val="20"/>
          <w:lang w:eastAsia="bg-BG"/>
        </w:rPr>
        <w:t xml:space="preserve"> терапия. Повечето случаи на ПМЛ са диагностицирани в рамките на 12 месеца от първата доза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Пациентите трябва да се проследяват на редовни интервали за всички нови или влошаващи се неврологични симптоми или признаци, които могат да бъдат показателни за ПМЛ като част от диференциална диагноза за проблеми с ЦНС. Ако има съмнение за диагноза ПМЛ, пациентите трябва да бъдат консултирани със специалист по ПМЛ и да се предприемат подходящи диагностични мерки за ПМЛ. Прекратете лечението с </w:t>
      </w:r>
      <w:proofErr w:type="spellStart"/>
      <w:r w:rsidRPr="0093317E">
        <w:rPr>
          <w:rFonts w:eastAsia="Times New Roman" w:cs="Arial"/>
          <w:color w:val="000000"/>
          <w:szCs w:val="20"/>
          <w:lang w:eastAsia="bg-BG"/>
        </w:rPr>
        <w:t>Бортезокон</w:t>
      </w:r>
      <w:proofErr w:type="spellEnd"/>
      <w:r w:rsidRPr="0093317E">
        <w:rPr>
          <w:rFonts w:eastAsia="Times New Roman" w:cs="Arial"/>
          <w:color w:val="000000"/>
          <w:szCs w:val="20"/>
          <w:lang w:eastAsia="bg-BG"/>
        </w:rPr>
        <w:t>, ако се диагностицира ПМЛ.</w:t>
      </w:r>
    </w:p>
    <w:p w14:paraId="7322F485" w14:textId="77777777" w:rsidR="0093317E" w:rsidRPr="0093317E" w:rsidRDefault="0093317E" w:rsidP="0093317E">
      <w:pPr>
        <w:spacing w:line="240" w:lineRule="auto"/>
        <w:rPr>
          <w:rFonts w:eastAsia="Times New Roman" w:cs="Arial"/>
          <w:color w:val="000000"/>
          <w:szCs w:val="20"/>
          <w:u w:val="single"/>
          <w:lang w:eastAsia="bg-BG"/>
        </w:rPr>
      </w:pPr>
    </w:p>
    <w:p w14:paraId="2A9ABD36" w14:textId="73E6AA5F"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u w:val="single"/>
          <w:lang w:eastAsia="bg-BG"/>
        </w:rPr>
        <w:t>Периферна невропатия</w:t>
      </w:r>
    </w:p>
    <w:p w14:paraId="0D598195" w14:textId="77777777"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Лечението с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много често се свързва с периферна </w:t>
      </w:r>
      <w:proofErr w:type="spellStart"/>
      <w:r w:rsidRPr="0093317E">
        <w:rPr>
          <w:rFonts w:eastAsia="Times New Roman" w:cs="Arial"/>
          <w:color w:val="000000"/>
          <w:szCs w:val="20"/>
          <w:lang w:eastAsia="bg-BG"/>
        </w:rPr>
        <w:t>невролатия</w:t>
      </w:r>
      <w:proofErr w:type="spellEnd"/>
      <w:r w:rsidRPr="0093317E">
        <w:rPr>
          <w:rFonts w:eastAsia="Times New Roman" w:cs="Arial"/>
          <w:color w:val="000000"/>
          <w:szCs w:val="20"/>
          <w:lang w:eastAsia="bg-BG"/>
        </w:rPr>
        <w:t>, която е предимно сензорна. Има, обаче, докладвани съобщения за случаи на тежка моторна невропатия със или без сензорна периферна невропатия. Честотата на периферната невропатия се увеличава рано при лечението и по време на цикъл 5 е наблюдаван пик.</w:t>
      </w:r>
    </w:p>
    <w:p w14:paraId="0F776EE9" w14:textId="77777777" w:rsidR="0093317E" w:rsidRPr="0093317E" w:rsidRDefault="0093317E" w:rsidP="0093317E">
      <w:pPr>
        <w:spacing w:line="240" w:lineRule="auto"/>
        <w:rPr>
          <w:rFonts w:eastAsia="Times New Roman" w:cs="Arial"/>
          <w:color w:val="000000"/>
          <w:szCs w:val="20"/>
          <w:lang w:eastAsia="bg-BG"/>
        </w:rPr>
      </w:pPr>
    </w:p>
    <w:p w14:paraId="3DCCF71D" w14:textId="38257146"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Препоръчително е пациентите да бъдат внимателно проследявани за симптоми на невропатия, като усещане за парене, </w:t>
      </w:r>
      <w:proofErr w:type="spellStart"/>
      <w:r w:rsidRPr="0093317E">
        <w:rPr>
          <w:rFonts w:eastAsia="Times New Roman" w:cs="Arial"/>
          <w:color w:val="000000"/>
          <w:szCs w:val="20"/>
          <w:lang w:eastAsia="bg-BG"/>
        </w:rPr>
        <w:t>хиперестезия</w:t>
      </w:r>
      <w:proofErr w:type="spellEnd"/>
      <w:r w:rsidRPr="0093317E">
        <w:rPr>
          <w:rFonts w:eastAsia="Times New Roman" w:cs="Arial"/>
          <w:color w:val="000000"/>
          <w:szCs w:val="20"/>
          <w:lang w:eastAsia="bg-BG"/>
        </w:rPr>
        <w:t xml:space="preserve">, </w:t>
      </w:r>
      <w:proofErr w:type="spellStart"/>
      <w:r w:rsidRPr="0093317E">
        <w:rPr>
          <w:rFonts w:eastAsia="Times New Roman" w:cs="Arial"/>
          <w:color w:val="000000"/>
          <w:szCs w:val="20"/>
          <w:lang w:eastAsia="bg-BG"/>
        </w:rPr>
        <w:t>хипоестезия</w:t>
      </w:r>
      <w:proofErr w:type="spellEnd"/>
      <w:r w:rsidRPr="0093317E">
        <w:rPr>
          <w:rFonts w:eastAsia="Times New Roman" w:cs="Arial"/>
          <w:color w:val="000000"/>
          <w:szCs w:val="20"/>
          <w:lang w:eastAsia="bg-BG"/>
        </w:rPr>
        <w:t xml:space="preserve">, </w:t>
      </w:r>
      <w:proofErr w:type="spellStart"/>
      <w:r w:rsidRPr="0093317E">
        <w:rPr>
          <w:rFonts w:eastAsia="Times New Roman" w:cs="Arial"/>
          <w:color w:val="000000"/>
          <w:szCs w:val="20"/>
          <w:lang w:eastAsia="bg-BG"/>
        </w:rPr>
        <w:t>парестезия</w:t>
      </w:r>
      <w:proofErr w:type="spellEnd"/>
      <w:r w:rsidRPr="0093317E">
        <w:rPr>
          <w:rFonts w:eastAsia="Times New Roman" w:cs="Arial"/>
          <w:color w:val="000000"/>
          <w:szCs w:val="20"/>
          <w:lang w:eastAsia="bg-BG"/>
        </w:rPr>
        <w:t xml:space="preserve">, дискомфорт, </w:t>
      </w:r>
      <w:proofErr w:type="spellStart"/>
      <w:r w:rsidRPr="0093317E">
        <w:rPr>
          <w:rFonts w:eastAsia="Times New Roman" w:cs="Arial"/>
          <w:color w:val="000000"/>
          <w:szCs w:val="20"/>
          <w:lang w:eastAsia="bg-BG"/>
        </w:rPr>
        <w:t>невропатична</w:t>
      </w:r>
      <w:proofErr w:type="spellEnd"/>
      <w:r w:rsidRPr="0093317E">
        <w:rPr>
          <w:rFonts w:eastAsia="Times New Roman" w:cs="Arial"/>
          <w:color w:val="000000"/>
          <w:szCs w:val="20"/>
          <w:lang w:eastAsia="bg-BG"/>
        </w:rPr>
        <w:t xml:space="preserve"> болка или слабост,</w:t>
      </w:r>
    </w:p>
    <w:p w14:paraId="22F1FA8B" w14:textId="77777777" w:rsidR="0093317E" w:rsidRPr="0093317E" w:rsidRDefault="0093317E" w:rsidP="0093317E">
      <w:pPr>
        <w:spacing w:line="240" w:lineRule="auto"/>
        <w:rPr>
          <w:rFonts w:eastAsia="Times New Roman" w:cs="Arial"/>
          <w:color w:val="000000"/>
          <w:szCs w:val="20"/>
          <w:lang w:eastAsia="bg-BG"/>
        </w:rPr>
      </w:pPr>
    </w:p>
    <w:p w14:paraId="7B30E009" w14:textId="52A51A62" w:rsidR="0093317E" w:rsidRPr="0093317E" w:rsidRDefault="0093317E" w:rsidP="0093317E">
      <w:pPr>
        <w:spacing w:line="240" w:lineRule="auto"/>
        <w:rPr>
          <w:rFonts w:eastAsia="Times New Roman" w:cs="Arial"/>
          <w:sz w:val="28"/>
          <w:szCs w:val="24"/>
          <w:lang w:eastAsia="bg-BG"/>
        </w:rPr>
      </w:pPr>
      <w:r w:rsidRPr="0093317E">
        <w:rPr>
          <w:rFonts w:eastAsia="Times New Roman" w:cs="Arial"/>
          <w:color w:val="000000"/>
          <w:szCs w:val="20"/>
          <w:lang w:eastAsia="bg-BG"/>
        </w:rPr>
        <w:t xml:space="preserve">В проучване Фаза III, сравняващо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приложен интравенозно и подкожно, честотата на възникване на инциденти с периферна невропатия от степен &gt; 2 е 24% за групата на подкожни инжекции и 41% за групата на венозни инжекции (р=0,0124). Периферна невропатия от степен &gt; 3 е възникнала при 6% от пациентите в групата на подкожно приложение, в сравнение с 16% в групата на интравенозно приложение (р-0,0264). Честотата на периферната невропатия във всички степени, при интравенозно приложение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xml:space="preserve">, в проучвания за интравенозно приложение на </w:t>
      </w:r>
      <w:proofErr w:type="spellStart"/>
      <w:r w:rsidRPr="0093317E">
        <w:rPr>
          <w:rFonts w:eastAsia="Times New Roman" w:cs="Arial"/>
          <w:color w:val="000000"/>
          <w:szCs w:val="20"/>
          <w:lang w:eastAsia="bg-BG"/>
        </w:rPr>
        <w:t>бортезомиб</w:t>
      </w:r>
      <w:proofErr w:type="spellEnd"/>
      <w:r w:rsidRPr="0093317E">
        <w:rPr>
          <w:rFonts w:eastAsia="Times New Roman" w:cs="Arial"/>
          <w:color w:val="000000"/>
          <w:szCs w:val="20"/>
          <w:lang w:eastAsia="bg-BG"/>
        </w:rPr>
        <w:t>, исторически е по-ниска в сравнение с проучването</w:t>
      </w:r>
    </w:p>
    <w:p w14:paraId="1D0FA492" w14:textId="77777777" w:rsidR="0093317E" w:rsidRPr="0093317E" w:rsidRDefault="0093317E" w:rsidP="0093317E">
      <w:pPr>
        <w:spacing w:line="240" w:lineRule="auto"/>
        <w:rPr>
          <w:rFonts w:eastAsia="Times New Roman" w:cs="Arial"/>
          <w:sz w:val="28"/>
          <w:szCs w:val="24"/>
          <w:lang w:eastAsia="bg-BG"/>
        </w:rPr>
      </w:pPr>
    </w:p>
    <w:p w14:paraId="30DB8A2E" w14:textId="77777777" w:rsidR="0093317E" w:rsidRPr="0093317E" w:rsidRDefault="0093317E" w:rsidP="0093317E">
      <w:pPr>
        <w:rPr>
          <w:rFonts w:eastAsia="Times New Roman" w:cs="Arial"/>
          <w:lang w:eastAsia="bg-BG"/>
        </w:rPr>
      </w:pPr>
      <w:r w:rsidRPr="0093317E">
        <w:rPr>
          <w:rFonts w:eastAsia="Times New Roman" w:cs="Arial"/>
          <w:color w:val="000000"/>
          <w:lang w:eastAsia="bg-BG"/>
        </w:rPr>
        <w:t xml:space="preserve">Пациентите с </w:t>
      </w:r>
      <w:proofErr w:type="spellStart"/>
      <w:r w:rsidRPr="0093317E">
        <w:rPr>
          <w:rFonts w:eastAsia="Times New Roman" w:cs="Arial"/>
          <w:color w:val="000000"/>
          <w:lang w:eastAsia="bg-BG"/>
        </w:rPr>
        <w:t>новопроявила</w:t>
      </w:r>
      <w:proofErr w:type="spellEnd"/>
      <w:r w:rsidRPr="0093317E">
        <w:rPr>
          <w:rFonts w:eastAsia="Times New Roman" w:cs="Arial"/>
          <w:color w:val="000000"/>
          <w:lang w:eastAsia="bg-BG"/>
        </w:rPr>
        <w:t xml:space="preserve"> се или влошаваща се периферна невропатия трябва да се подложат  на неврологичен преглед и може да се наложи промяна на дозата, на схемата или преминаване</w:t>
      </w:r>
      <w:r w:rsidRPr="00FD4C98">
        <w:rPr>
          <w:rFonts w:eastAsia="Times New Roman" w:cs="Arial"/>
          <w:color w:val="000000"/>
          <w:lang w:val="ru-RU" w:eastAsia="bg-BG"/>
        </w:rPr>
        <w:t xml:space="preserve"> </w:t>
      </w:r>
      <w:r w:rsidRPr="0093317E">
        <w:rPr>
          <w:rFonts w:eastAsia="Times New Roman" w:cs="Arial"/>
          <w:color w:val="000000"/>
          <w:lang w:eastAsia="bg-BG"/>
        </w:rPr>
        <w:t>към подкожно приложение (вж. точка 4.2). Невропатията се овладява е поддържащи грижи и друга терапия.</w:t>
      </w:r>
    </w:p>
    <w:p w14:paraId="4A6CA43E" w14:textId="77777777" w:rsidR="0093317E" w:rsidRPr="0093317E" w:rsidRDefault="0093317E" w:rsidP="0093317E">
      <w:pPr>
        <w:spacing w:line="240" w:lineRule="auto"/>
        <w:rPr>
          <w:rFonts w:eastAsia="Times New Roman" w:cs="Arial"/>
          <w:color w:val="000000"/>
          <w:lang w:eastAsia="bg-BG"/>
        </w:rPr>
      </w:pPr>
    </w:p>
    <w:p w14:paraId="7150CDD1" w14:textId="38B67328" w:rsidR="0093317E" w:rsidRPr="0093317E" w:rsidRDefault="0093317E" w:rsidP="0093317E">
      <w:pPr>
        <w:spacing w:line="240" w:lineRule="auto"/>
        <w:rPr>
          <w:rFonts w:eastAsia="Times New Roman" w:cs="Arial"/>
          <w:lang w:eastAsia="bg-BG"/>
        </w:rPr>
      </w:pPr>
      <w:r w:rsidRPr="0093317E">
        <w:rPr>
          <w:rFonts w:eastAsia="Times New Roman" w:cs="Arial"/>
          <w:color w:val="000000"/>
          <w:lang w:eastAsia="bg-BG"/>
        </w:rPr>
        <w:lastRenderedPageBreak/>
        <w:t xml:space="preserve">При пациенти, приемащи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в комбинация с лекарствени продукти, за които е установено, че имат връзка с невропатията (напр. </w:t>
      </w:r>
      <w:proofErr w:type="spellStart"/>
      <w:r w:rsidRPr="0093317E">
        <w:rPr>
          <w:rFonts w:eastAsia="Times New Roman" w:cs="Arial"/>
          <w:color w:val="000000"/>
          <w:lang w:eastAsia="bg-BG"/>
        </w:rPr>
        <w:t>талидомид</w:t>
      </w:r>
      <w:proofErr w:type="spellEnd"/>
      <w:r w:rsidRPr="0093317E">
        <w:rPr>
          <w:rFonts w:eastAsia="Times New Roman" w:cs="Arial"/>
          <w:color w:val="000000"/>
          <w:lang w:eastAsia="bg-BG"/>
        </w:rPr>
        <w:t>) трябва да се предвиди ранен и редовен мониторинг за симптоми на невропатия, налагащи спешно лечение, чрез неврологичен преглед и трябва да се обмисли съответно намаляване на дозата или преустановяване на лечението.</w:t>
      </w:r>
    </w:p>
    <w:p w14:paraId="3988B45C" w14:textId="77777777" w:rsidR="0093317E" w:rsidRPr="0093317E" w:rsidRDefault="0093317E" w:rsidP="0093317E">
      <w:pPr>
        <w:spacing w:line="240" w:lineRule="auto"/>
        <w:rPr>
          <w:rFonts w:eastAsia="Times New Roman" w:cs="Arial"/>
          <w:color w:val="000000"/>
          <w:lang w:eastAsia="bg-BG"/>
        </w:rPr>
      </w:pPr>
    </w:p>
    <w:p w14:paraId="43F4B33A" w14:textId="44E5A8C7" w:rsidR="0093317E" w:rsidRPr="0093317E" w:rsidRDefault="0093317E" w:rsidP="0093317E">
      <w:pPr>
        <w:spacing w:line="240" w:lineRule="auto"/>
        <w:rPr>
          <w:rFonts w:eastAsia="Times New Roman" w:cs="Arial"/>
          <w:lang w:eastAsia="bg-BG"/>
        </w:rPr>
      </w:pPr>
      <w:r w:rsidRPr="0093317E">
        <w:rPr>
          <w:rFonts w:eastAsia="Times New Roman" w:cs="Arial"/>
          <w:color w:val="000000"/>
          <w:lang w:eastAsia="bg-BG"/>
        </w:rPr>
        <w:t xml:space="preserve">Като допълнение към периферната невропатия, за някои от нежеланите реакции като </w:t>
      </w:r>
      <w:proofErr w:type="spellStart"/>
      <w:r w:rsidRPr="0093317E">
        <w:rPr>
          <w:rFonts w:eastAsia="Times New Roman" w:cs="Arial"/>
          <w:color w:val="000000"/>
          <w:lang w:eastAsia="bg-BG"/>
        </w:rPr>
        <w:t>постурална</w:t>
      </w:r>
      <w:proofErr w:type="spellEnd"/>
      <w:r w:rsidRPr="0093317E">
        <w:rPr>
          <w:rFonts w:eastAsia="Times New Roman" w:cs="Arial"/>
          <w:color w:val="000000"/>
          <w:lang w:eastAsia="bg-BG"/>
        </w:rPr>
        <w:t xml:space="preserve"> хипотония и тежка констипация с </w:t>
      </w:r>
      <w:proofErr w:type="spellStart"/>
      <w:r w:rsidRPr="0093317E">
        <w:rPr>
          <w:rFonts w:eastAsia="Times New Roman" w:cs="Arial"/>
          <w:color w:val="000000"/>
          <w:lang w:eastAsia="bg-BG"/>
        </w:rPr>
        <w:t>илеус</w:t>
      </w:r>
      <w:proofErr w:type="spellEnd"/>
      <w:r w:rsidRPr="0093317E">
        <w:rPr>
          <w:rFonts w:eastAsia="Times New Roman" w:cs="Arial"/>
          <w:color w:val="000000"/>
          <w:lang w:eastAsia="bg-BG"/>
        </w:rPr>
        <w:t>, може да има принос автономната невропатия. Информацията за автономната невропатия и приноса й за тези нежелани реакции е ограничена.</w:t>
      </w:r>
    </w:p>
    <w:p w14:paraId="365D69F3" w14:textId="77777777" w:rsidR="0093317E" w:rsidRPr="0093317E" w:rsidRDefault="0093317E" w:rsidP="0093317E">
      <w:pPr>
        <w:spacing w:line="240" w:lineRule="auto"/>
        <w:rPr>
          <w:rFonts w:eastAsia="Times New Roman" w:cs="Arial"/>
          <w:color w:val="000000"/>
          <w:u w:val="single"/>
          <w:lang w:eastAsia="bg-BG"/>
        </w:rPr>
      </w:pPr>
    </w:p>
    <w:p w14:paraId="1D8C8BEB" w14:textId="4DEDC9A4" w:rsidR="0093317E" w:rsidRPr="0093317E" w:rsidRDefault="0093317E" w:rsidP="0093317E">
      <w:pPr>
        <w:spacing w:line="240" w:lineRule="auto"/>
        <w:rPr>
          <w:rFonts w:eastAsia="Times New Roman" w:cs="Arial"/>
          <w:lang w:eastAsia="bg-BG"/>
        </w:rPr>
      </w:pPr>
      <w:r w:rsidRPr="0093317E">
        <w:rPr>
          <w:rFonts w:eastAsia="Times New Roman" w:cs="Arial"/>
          <w:color w:val="000000"/>
          <w:u w:val="single"/>
          <w:lang w:eastAsia="bg-BG"/>
        </w:rPr>
        <w:t>Гърчове</w:t>
      </w:r>
    </w:p>
    <w:p w14:paraId="33E073AA" w14:textId="77777777" w:rsidR="0093317E" w:rsidRPr="0093317E" w:rsidRDefault="0093317E" w:rsidP="0093317E">
      <w:pPr>
        <w:spacing w:line="240" w:lineRule="auto"/>
        <w:rPr>
          <w:rFonts w:eastAsia="Times New Roman" w:cs="Arial"/>
          <w:lang w:eastAsia="bg-BG"/>
        </w:rPr>
      </w:pPr>
      <w:r w:rsidRPr="0093317E">
        <w:rPr>
          <w:rFonts w:eastAsia="Times New Roman" w:cs="Arial"/>
          <w:color w:val="000000"/>
          <w:lang w:eastAsia="bg-BG"/>
        </w:rPr>
        <w:t>Има редки съобщения за гърчове при пациенти без предишна анамнеза за епилепсия и гърчове. Специално внимание изисква лечението на пациенти, при които съществуват някакви рискови фактори за гърчове.</w:t>
      </w:r>
    </w:p>
    <w:p w14:paraId="0DCEB476" w14:textId="77777777" w:rsidR="0093317E" w:rsidRPr="0093317E" w:rsidRDefault="0093317E" w:rsidP="0093317E">
      <w:pPr>
        <w:spacing w:line="240" w:lineRule="auto"/>
        <w:rPr>
          <w:rFonts w:eastAsia="Times New Roman" w:cs="Arial"/>
          <w:color w:val="000000"/>
          <w:u w:val="single"/>
          <w:lang w:eastAsia="bg-BG"/>
        </w:rPr>
      </w:pPr>
    </w:p>
    <w:p w14:paraId="44C20A90" w14:textId="7E9AA591" w:rsidR="0093317E" w:rsidRPr="0093317E" w:rsidRDefault="0093317E" w:rsidP="0093317E">
      <w:pPr>
        <w:spacing w:line="240" w:lineRule="auto"/>
        <w:rPr>
          <w:rFonts w:eastAsia="Times New Roman" w:cs="Arial"/>
          <w:lang w:eastAsia="bg-BG"/>
        </w:rPr>
      </w:pPr>
      <w:r w:rsidRPr="0093317E">
        <w:rPr>
          <w:rFonts w:eastAsia="Times New Roman" w:cs="Arial"/>
          <w:color w:val="000000"/>
          <w:u w:val="single"/>
          <w:lang w:eastAsia="bg-BG"/>
        </w:rPr>
        <w:t>Хипотония</w:t>
      </w:r>
    </w:p>
    <w:p w14:paraId="631C0CEE" w14:textId="77777777" w:rsidR="0093317E" w:rsidRPr="0093317E" w:rsidRDefault="0093317E" w:rsidP="0093317E">
      <w:pPr>
        <w:spacing w:line="240" w:lineRule="auto"/>
        <w:rPr>
          <w:rFonts w:eastAsia="Times New Roman" w:cs="Arial"/>
          <w:lang w:eastAsia="bg-BG"/>
        </w:rPr>
      </w:pPr>
      <w:r w:rsidRPr="0093317E">
        <w:rPr>
          <w:rFonts w:eastAsia="Times New Roman" w:cs="Arial"/>
          <w:color w:val="000000"/>
          <w:lang w:eastAsia="bg-BG"/>
        </w:rPr>
        <w:t xml:space="preserve">Лечението с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често се асоциира с ортостатична/</w:t>
      </w:r>
      <w:proofErr w:type="spellStart"/>
      <w:r w:rsidRPr="0093317E">
        <w:rPr>
          <w:rFonts w:eastAsia="Times New Roman" w:cs="Arial"/>
          <w:color w:val="000000"/>
          <w:lang w:eastAsia="bg-BG"/>
        </w:rPr>
        <w:t>постурална</w:t>
      </w:r>
      <w:proofErr w:type="spellEnd"/>
      <w:r w:rsidRPr="0093317E">
        <w:rPr>
          <w:rFonts w:eastAsia="Times New Roman" w:cs="Arial"/>
          <w:color w:val="000000"/>
          <w:lang w:eastAsia="bg-BG"/>
        </w:rPr>
        <w:t xml:space="preserve"> хипотония. Повечето нежелани реакции са леки до умерени по тежест и се наблюдават по време на лечението. Пациенти, които са развили ортостатична хипотония с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(инжектиран интравенозно) не са имали предшестващи лечението данни за ортостатична хипотония. При повечето пациенти се е наложило лечение за тяхната ортостатична хипотония. Малка част от пациентите с ортостатична хипотония са имали </w:t>
      </w:r>
      <w:proofErr w:type="spellStart"/>
      <w:r w:rsidRPr="0093317E">
        <w:rPr>
          <w:rFonts w:eastAsia="Times New Roman" w:cs="Arial"/>
          <w:color w:val="000000"/>
          <w:lang w:eastAsia="bg-BG"/>
        </w:rPr>
        <w:t>синкопни</w:t>
      </w:r>
      <w:proofErr w:type="spellEnd"/>
      <w:r w:rsidRPr="0093317E">
        <w:rPr>
          <w:rFonts w:eastAsia="Times New Roman" w:cs="Arial"/>
          <w:color w:val="000000"/>
          <w:lang w:eastAsia="bg-BG"/>
        </w:rPr>
        <w:t xml:space="preserve"> събития. Ортостатичната/</w:t>
      </w:r>
      <w:proofErr w:type="spellStart"/>
      <w:r w:rsidRPr="0093317E">
        <w:rPr>
          <w:rFonts w:eastAsia="Times New Roman" w:cs="Arial"/>
          <w:color w:val="000000"/>
          <w:lang w:eastAsia="bg-BG"/>
        </w:rPr>
        <w:t>постуралната</w:t>
      </w:r>
      <w:proofErr w:type="spellEnd"/>
      <w:r w:rsidRPr="0093317E">
        <w:rPr>
          <w:rFonts w:eastAsia="Times New Roman" w:cs="Arial"/>
          <w:color w:val="000000"/>
          <w:lang w:eastAsia="bg-BG"/>
        </w:rPr>
        <w:t xml:space="preserve"> хипотония не е пряко свързана с </w:t>
      </w:r>
      <w:proofErr w:type="spellStart"/>
      <w:r w:rsidRPr="0093317E">
        <w:rPr>
          <w:rFonts w:eastAsia="Times New Roman" w:cs="Arial"/>
          <w:color w:val="000000"/>
          <w:lang w:eastAsia="bg-BG"/>
        </w:rPr>
        <w:t>болус</w:t>
      </w:r>
      <w:proofErr w:type="spellEnd"/>
      <w:r w:rsidRPr="0093317E">
        <w:rPr>
          <w:rFonts w:eastAsia="Times New Roman" w:cs="Arial"/>
          <w:color w:val="000000"/>
          <w:lang w:eastAsia="bg-BG"/>
        </w:rPr>
        <w:t xml:space="preserve"> инфузия на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Механизмът </w:t>
      </w:r>
      <w:r w:rsidRPr="0093317E">
        <w:rPr>
          <w:rFonts w:eastAsia="Times New Roman" w:cs="Arial"/>
          <w:i/>
          <w:iCs/>
          <w:color w:val="000000"/>
          <w:lang w:eastAsia="bg-BG"/>
        </w:rPr>
        <w:t>на</w:t>
      </w:r>
      <w:r w:rsidRPr="0093317E">
        <w:rPr>
          <w:rFonts w:eastAsia="Times New Roman" w:cs="Arial"/>
          <w:color w:val="000000"/>
          <w:lang w:eastAsia="bg-BG"/>
        </w:rPr>
        <w:t xml:space="preserve"> тази реакция не е известен, въпреки че отчасти причина може да бъде автономна невропатия. Автономната невропатия може да е свързана с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или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може да влоши основното заболяване, като диабетна или </w:t>
      </w:r>
      <w:proofErr w:type="spellStart"/>
      <w:r w:rsidRPr="0093317E">
        <w:rPr>
          <w:rFonts w:eastAsia="Times New Roman" w:cs="Arial"/>
          <w:color w:val="000000"/>
          <w:lang w:eastAsia="bg-BG"/>
        </w:rPr>
        <w:t>амилоидна</w:t>
      </w:r>
      <w:proofErr w:type="spellEnd"/>
      <w:r w:rsidRPr="0093317E">
        <w:rPr>
          <w:rFonts w:eastAsia="Times New Roman" w:cs="Arial"/>
          <w:color w:val="000000"/>
          <w:lang w:eastAsia="bg-BG"/>
        </w:rPr>
        <w:t xml:space="preserve"> невропатия. Препоръчва се внимание, когато се лекуват пациенти с анамнеза за </w:t>
      </w:r>
      <w:proofErr w:type="spellStart"/>
      <w:r w:rsidRPr="0093317E">
        <w:rPr>
          <w:rFonts w:eastAsia="Times New Roman" w:cs="Arial"/>
          <w:color w:val="000000"/>
          <w:lang w:eastAsia="bg-BG"/>
        </w:rPr>
        <w:t>синкоп</w:t>
      </w:r>
      <w:proofErr w:type="spellEnd"/>
      <w:r w:rsidRPr="0093317E">
        <w:rPr>
          <w:rFonts w:eastAsia="Times New Roman" w:cs="Arial"/>
          <w:color w:val="000000"/>
          <w:lang w:eastAsia="bg-BG"/>
        </w:rPr>
        <w:t xml:space="preserve">, получаващи лекарствени продукти, за които е известно, че се свързват с хипотония; или които са дехидратирани поради </w:t>
      </w:r>
      <w:proofErr w:type="spellStart"/>
      <w:r w:rsidRPr="0093317E">
        <w:rPr>
          <w:rFonts w:eastAsia="Times New Roman" w:cs="Arial"/>
          <w:color w:val="000000"/>
          <w:lang w:eastAsia="bg-BG"/>
        </w:rPr>
        <w:t>рекурентна</w:t>
      </w:r>
      <w:proofErr w:type="spellEnd"/>
      <w:r w:rsidRPr="0093317E">
        <w:rPr>
          <w:rFonts w:eastAsia="Times New Roman" w:cs="Arial"/>
          <w:color w:val="000000"/>
          <w:lang w:eastAsia="bg-BG"/>
        </w:rPr>
        <w:t xml:space="preserve"> диария или повръщане. Лечението на ортостатичната/</w:t>
      </w:r>
      <w:proofErr w:type="spellStart"/>
      <w:r w:rsidRPr="0093317E">
        <w:rPr>
          <w:rFonts w:eastAsia="Times New Roman" w:cs="Arial"/>
          <w:color w:val="000000"/>
          <w:lang w:eastAsia="bg-BG"/>
        </w:rPr>
        <w:t>постурална</w:t>
      </w:r>
      <w:proofErr w:type="spellEnd"/>
      <w:r w:rsidRPr="0093317E">
        <w:rPr>
          <w:rFonts w:eastAsia="Times New Roman" w:cs="Arial"/>
          <w:color w:val="000000"/>
          <w:lang w:eastAsia="bg-BG"/>
        </w:rPr>
        <w:t xml:space="preserve"> хипотония може да включва адаптиране на антихипертензивните лекарствени продукти, </w:t>
      </w:r>
      <w:proofErr w:type="spellStart"/>
      <w:r w:rsidRPr="0093317E">
        <w:rPr>
          <w:rFonts w:eastAsia="Times New Roman" w:cs="Arial"/>
          <w:color w:val="000000"/>
          <w:lang w:eastAsia="bg-BG"/>
        </w:rPr>
        <w:t>рехидратиране</w:t>
      </w:r>
      <w:proofErr w:type="spellEnd"/>
      <w:r w:rsidRPr="0093317E">
        <w:rPr>
          <w:rFonts w:eastAsia="Times New Roman" w:cs="Arial"/>
          <w:color w:val="000000"/>
          <w:lang w:eastAsia="bg-BG"/>
        </w:rPr>
        <w:t xml:space="preserve"> или приложение на </w:t>
      </w:r>
      <w:proofErr w:type="spellStart"/>
      <w:r w:rsidRPr="0093317E">
        <w:rPr>
          <w:rFonts w:eastAsia="Times New Roman" w:cs="Arial"/>
          <w:color w:val="000000"/>
          <w:lang w:eastAsia="bg-BG"/>
        </w:rPr>
        <w:t>минералкортикостероиди</w:t>
      </w:r>
      <w:proofErr w:type="spellEnd"/>
      <w:r w:rsidRPr="0093317E">
        <w:rPr>
          <w:rFonts w:eastAsia="Times New Roman" w:cs="Arial"/>
          <w:color w:val="000000"/>
          <w:lang w:eastAsia="bg-BG"/>
        </w:rPr>
        <w:t xml:space="preserve"> и/или </w:t>
      </w:r>
      <w:proofErr w:type="spellStart"/>
      <w:r w:rsidRPr="0093317E">
        <w:rPr>
          <w:rFonts w:eastAsia="Times New Roman" w:cs="Arial"/>
          <w:color w:val="000000"/>
          <w:lang w:eastAsia="bg-BG"/>
        </w:rPr>
        <w:t>симпатикомиметици</w:t>
      </w:r>
      <w:proofErr w:type="spellEnd"/>
      <w:r w:rsidRPr="0093317E">
        <w:rPr>
          <w:rFonts w:eastAsia="Times New Roman" w:cs="Arial"/>
          <w:color w:val="000000"/>
          <w:lang w:eastAsia="bg-BG"/>
        </w:rPr>
        <w:t>. Пациентите трябва да бъдат инструктирани да търсят лекарски съвет, ако имат симптоми като замайване, световъртеж или загуба на говора.</w:t>
      </w:r>
    </w:p>
    <w:p w14:paraId="130D419B" w14:textId="77777777" w:rsidR="0093317E" w:rsidRPr="0093317E" w:rsidRDefault="0093317E" w:rsidP="0093317E">
      <w:pPr>
        <w:spacing w:line="240" w:lineRule="auto"/>
        <w:rPr>
          <w:rFonts w:eastAsia="Times New Roman" w:cs="Arial"/>
          <w:color w:val="000000"/>
          <w:u w:val="single"/>
          <w:lang w:eastAsia="bg-BG"/>
        </w:rPr>
      </w:pPr>
    </w:p>
    <w:p w14:paraId="4628DF67" w14:textId="3147301B" w:rsidR="0093317E" w:rsidRPr="0093317E" w:rsidRDefault="0093317E" w:rsidP="0093317E">
      <w:pPr>
        <w:spacing w:line="240" w:lineRule="auto"/>
        <w:rPr>
          <w:rFonts w:eastAsia="Times New Roman" w:cs="Arial"/>
          <w:lang w:eastAsia="bg-BG"/>
        </w:rPr>
      </w:pPr>
      <w:r w:rsidRPr="0093317E">
        <w:rPr>
          <w:rFonts w:eastAsia="Times New Roman" w:cs="Arial"/>
          <w:color w:val="000000"/>
          <w:u w:val="single"/>
          <w:lang w:eastAsia="bg-BG"/>
        </w:rPr>
        <w:t xml:space="preserve">Синдром на обратима </w:t>
      </w:r>
      <w:proofErr w:type="spellStart"/>
      <w:r w:rsidRPr="0093317E">
        <w:rPr>
          <w:rFonts w:eastAsia="Times New Roman" w:cs="Arial"/>
          <w:color w:val="000000"/>
          <w:u w:val="single"/>
          <w:lang w:eastAsia="bg-BG"/>
        </w:rPr>
        <w:t>постериорна</w:t>
      </w:r>
      <w:proofErr w:type="spellEnd"/>
      <w:r w:rsidRPr="0093317E">
        <w:rPr>
          <w:rFonts w:eastAsia="Times New Roman" w:cs="Arial"/>
          <w:color w:val="000000"/>
          <w:u w:val="single"/>
          <w:lang w:eastAsia="bg-BG"/>
        </w:rPr>
        <w:t xml:space="preserve"> енцефалопатия </w:t>
      </w:r>
      <w:r w:rsidRPr="00FD4C98">
        <w:rPr>
          <w:rFonts w:eastAsia="Times New Roman" w:cs="Arial"/>
          <w:color w:val="000000"/>
          <w:u w:val="single"/>
          <w:lang w:val="ru-RU"/>
        </w:rPr>
        <w:t>(</w:t>
      </w:r>
      <w:r w:rsidRPr="0093317E">
        <w:rPr>
          <w:rFonts w:eastAsia="Times New Roman" w:cs="Arial"/>
          <w:color w:val="000000"/>
          <w:u w:val="single"/>
          <w:lang w:val="en-US"/>
        </w:rPr>
        <w:t>PRES</w:t>
      </w:r>
      <w:r w:rsidRPr="00FD4C98">
        <w:rPr>
          <w:rFonts w:eastAsia="Times New Roman" w:cs="Arial"/>
          <w:color w:val="000000"/>
          <w:u w:val="single"/>
          <w:lang w:val="ru-RU"/>
        </w:rPr>
        <w:t>)</w:t>
      </w:r>
    </w:p>
    <w:p w14:paraId="290F3D33" w14:textId="77777777" w:rsidR="0093317E" w:rsidRPr="0093317E" w:rsidRDefault="0093317E" w:rsidP="0093317E">
      <w:pPr>
        <w:spacing w:line="240" w:lineRule="auto"/>
        <w:rPr>
          <w:rFonts w:eastAsia="Times New Roman" w:cs="Arial"/>
          <w:lang w:eastAsia="bg-BG"/>
        </w:rPr>
      </w:pPr>
      <w:r w:rsidRPr="0093317E">
        <w:rPr>
          <w:rFonts w:eastAsia="Times New Roman" w:cs="Arial"/>
          <w:color w:val="000000"/>
          <w:lang w:eastAsia="bg-BG"/>
        </w:rPr>
        <w:t xml:space="preserve">Има съобщения за </w:t>
      </w:r>
      <w:r w:rsidRPr="0093317E">
        <w:rPr>
          <w:rFonts w:eastAsia="Times New Roman" w:cs="Arial"/>
          <w:color w:val="000000"/>
          <w:lang w:val="en-US"/>
        </w:rPr>
        <w:t>PRES</w:t>
      </w:r>
      <w:r w:rsidRPr="00FD4C98">
        <w:rPr>
          <w:rFonts w:eastAsia="Times New Roman" w:cs="Arial"/>
          <w:color w:val="000000"/>
          <w:lang w:val="ru-RU"/>
        </w:rPr>
        <w:t xml:space="preserve"> </w:t>
      </w:r>
      <w:r w:rsidRPr="0093317E">
        <w:rPr>
          <w:rFonts w:eastAsia="Times New Roman" w:cs="Arial"/>
          <w:color w:val="000000"/>
          <w:lang w:eastAsia="bg-BG"/>
        </w:rPr>
        <w:t xml:space="preserve">при пациенти, получаващи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w:t>
      </w:r>
      <w:r w:rsidRPr="0093317E">
        <w:rPr>
          <w:rFonts w:eastAsia="Times New Roman" w:cs="Arial"/>
          <w:color w:val="000000"/>
          <w:lang w:val="en-US"/>
        </w:rPr>
        <w:t>PRES</w:t>
      </w:r>
      <w:r w:rsidRPr="00FD4C98">
        <w:rPr>
          <w:rFonts w:eastAsia="Times New Roman" w:cs="Arial"/>
          <w:color w:val="000000"/>
          <w:lang w:val="ru-RU"/>
        </w:rPr>
        <w:t xml:space="preserve"> </w:t>
      </w:r>
      <w:r w:rsidRPr="0093317E">
        <w:rPr>
          <w:rFonts w:eastAsia="Times New Roman" w:cs="Arial"/>
          <w:color w:val="000000"/>
          <w:lang w:eastAsia="bg-BG"/>
        </w:rPr>
        <w:t xml:space="preserve">е рядко, често обратимо, бързо развиващо се неврологично състояние, което може да се прояви с гърчове, хипертония, главоболие, летаргия, объркване, слепота и други очни и неврологични нарушения. За потвърждаване на диагнозата се използва образна диагностика на мозъка, за предпочитане ядрено-магнитен резонанс (ЛМР). При пациенти, които развиват </w:t>
      </w:r>
      <w:r w:rsidRPr="0093317E">
        <w:rPr>
          <w:rFonts w:eastAsia="Times New Roman" w:cs="Arial"/>
          <w:color w:val="000000"/>
          <w:lang w:val="en-US"/>
        </w:rPr>
        <w:t>PRES</w:t>
      </w:r>
      <w:r w:rsidRPr="00FD4C98">
        <w:rPr>
          <w:rFonts w:eastAsia="Times New Roman" w:cs="Arial"/>
          <w:color w:val="000000"/>
          <w:lang w:val="ru-RU"/>
        </w:rPr>
        <w:t xml:space="preserve">,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трябва да се спре.</w:t>
      </w:r>
    </w:p>
    <w:p w14:paraId="24F39FD3" w14:textId="77777777" w:rsidR="0093317E" w:rsidRPr="0093317E" w:rsidRDefault="0093317E" w:rsidP="0093317E">
      <w:pPr>
        <w:spacing w:line="240" w:lineRule="auto"/>
        <w:rPr>
          <w:rFonts w:eastAsia="Times New Roman" w:cs="Arial"/>
          <w:color w:val="000000"/>
          <w:u w:val="single"/>
          <w:lang w:eastAsia="bg-BG"/>
        </w:rPr>
      </w:pPr>
    </w:p>
    <w:p w14:paraId="48AB8BA5" w14:textId="01368E09" w:rsidR="0093317E" w:rsidRPr="0093317E" w:rsidRDefault="0093317E" w:rsidP="0093317E">
      <w:pPr>
        <w:spacing w:line="240" w:lineRule="auto"/>
        <w:rPr>
          <w:rFonts w:eastAsia="Times New Roman" w:cs="Arial"/>
          <w:lang w:eastAsia="bg-BG"/>
        </w:rPr>
      </w:pPr>
      <w:r w:rsidRPr="0093317E">
        <w:rPr>
          <w:rFonts w:eastAsia="Times New Roman" w:cs="Arial"/>
          <w:color w:val="000000"/>
          <w:u w:val="single"/>
          <w:lang w:eastAsia="bg-BG"/>
        </w:rPr>
        <w:t>Сърдечна недостатъчност</w:t>
      </w:r>
    </w:p>
    <w:p w14:paraId="781902AB" w14:textId="77777777" w:rsidR="0093317E" w:rsidRPr="0093317E" w:rsidRDefault="0093317E" w:rsidP="0093317E">
      <w:pPr>
        <w:spacing w:line="240" w:lineRule="auto"/>
        <w:rPr>
          <w:rFonts w:eastAsia="Times New Roman" w:cs="Arial"/>
          <w:lang w:eastAsia="bg-BG"/>
        </w:rPr>
      </w:pPr>
      <w:r w:rsidRPr="0093317E">
        <w:rPr>
          <w:rFonts w:eastAsia="Times New Roman" w:cs="Arial"/>
          <w:color w:val="000000"/>
          <w:lang w:eastAsia="bg-BG"/>
        </w:rPr>
        <w:t xml:space="preserve">По време на лечение с </w:t>
      </w:r>
      <w:proofErr w:type="spellStart"/>
      <w:r w:rsidRPr="0093317E">
        <w:rPr>
          <w:rFonts w:eastAsia="Times New Roman" w:cs="Arial"/>
          <w:color w:val="000000"/>
          <w:lang w:eastAsia="bg-BG"/>
        </w:rPr>
        <w:t>бортезомиб</w:t>
      </w:r>
      <w:proofErr w:type="spellEnd"/>
      <w:r w:rsidRPr="0093317E">
        <w:rPr>
          <w:rFonts w:eastAsia="Times New Roman" w:cs="Arial"/>
          <w:color w:val="000000"/>
          <w:lang w:eastAsia="bg-BG"/>
        </w:rPr>
        <w:t xml:space="preserve"> се съобщава за остро развитие или обостряне на застойна сърдечна недостатъчност и/или поява на намаляване фракцията на изтласкване на лявата камера. Задръжката на течности може да бъде предразполагащ фактор за проява на белези и симптоми на сърдечна недостатъчност. Пациенти с рисков фактор за сърдечно заболяване или съществуващо такова трябва да бъдат внимателно </w:t>
      </w:r>
      <w:proofErr w:type="spellStart"/>
      <w:r w:rsidRPr="0093317E">
        <w:rPr>
          <w:rFonts w:eastAsia="Times New Roman" w:cs="Arial"/>
          <w:color w:val="000000"/>
          <w:lang w:eastAsia="bg-BG"/>
        </w:rPr>
        <w:t>мониторирани</w:t>
      </w:r>
      <w:proofErr w:type="spellEnd"/>
      <w:r w:rsidRPr="0093317E">
        <w:rPr>
          <w:rFonts w:eastAsia="Times New Roman" w:cs="Arial"/>
          <w:color w:val="000000"/>
          <w:lang w:eastAsia="bg-BG"/>
        </w:rPr>
        <w:t>.</w:t>
      </w:r>
    </w:p>
    <w:p w14:paraId="72885021" w14:textId="2600A13E" w:rsidR="0093317E" w:rsidRPr="0093317E" w:rsidRDefault="0093317E" w:rsidP="0093317E">
      <w:pPr>
        <w:spacing w:line="240" w:lineRule="auto"/>
        <w:rPr>
          <w:rFonts w:eastAsia="Times New Roman" w:cs="Arial"/>
          <w:lang w:eastAsia="bg-BG"/>
        </w:rPr>
      </w:pPr>
      <w:r w:rsidRPr="00FD4C98">
        <w:rPr>
          <w:rFonts w:eastAsia="Times New Roman" w:cs="Arial"/>
          <w:color w:val="000000"/>
          <w:lang w:val="ru-RU"/>
        </w:rPr>
        <w:lastRenderedPageBreak/>
        <w:tab/>
      </w:r>
      <w:r w:rsidRPr="0093317E">
        <w:rPr>
          <w:rFonts w:eastAsia="Times New Roman" w:cs="Arial"/>
          <w:color w:val="000000"/>
          <w:lang w:eastAsia="bg-BG"/>
        </w:rPr>
        <w:t>.</w:t>
      </w:r>
    </w:p>
    <w:p w14:paraId="7277057C" w14:textId="77777777" w:rsidR="0093317E" w:rsidRPr="0093317E" w:rsidRDefault="0093317E" w:rsidP="0093317E">
      <w:pPr>
        <w:spacing w:line="240" w:lineRule="auto"/>
        <w:rPr>
          <w:rFonts w:eastAsia="Times New Roman" w:cs="Arial"/>
          <w:lang w:eastAsia="bg-BG"/>
        </w:rPr>
      </w:pPr>
      <w:proofErr w:type="spellStart"/>
      <w:r w:rsidRPr="0093317E">
        <w:rPr>
          <w:rFonts w:eastAsia="Times New Roman" w:cs="Arial"/>
          <w:color w:val="000000"/>
          <w:u w:val="single"/>
          <w:lang w:eastAsia="bg-BG"/>
        </w:rPr>
        <w:t>Електрокардиографски</w:t>
      </w:r>
      <w:proofErr w:type="spellEnd"/>
      <w:r w:rsidRPr="0093317E">
        <w:rPr>
          <w:rFonts w:eastAsia="Times New Roman" w:cs="Arial"/>
          <w:color w:val="000000"/>
          <w:u w:val="single"/>
          <w:lang w:eastAsia="bg-BG"/>
        </w:rPr>
        <w:t xml:space="preserve"> изследвания</w:t>
      </w:r>
    </w:p>
    <w:p w14:paraId="0E28BBDE" w14:textId="36F178AB" w:rsidR="007A2185" w:rsidRDefault="0093317E" w:rsidP="0093317E">
      <w:pPr>
        <w:rPr>
          <w:rFonts w:eastAsia="Times New Roman" w:cs="Arial"/>
          <w:color w:val="000000"/>
          <w:lang w:eastAsia="bg-BG"/>
        </w:rPr>
      </w:pPr>
      <w:r w:rsidRPr="0093317E">
        <w:rPr>
          <w:rFonts w:eastAsia="Times New Roman" w:cs="Arial"/>
          <w:color w:val="000000"/>
          <w:lang w:eastAsia="bg-BG"/>
        </w:rPr>
        <w:t xml:space="preserve">Съществуват изолирани случаи на удължаване на </w:t>
      </w:r>
      <w:r w:rsidRPr="0093317E">
        <w:rPr>
          <w:rFonts w:eastAsia="Times New Roman" w:cs="Arial"/>
          <w:color w:val="000000"/>
          <w:lang w:val="en-US"/>
        </w:rPr>
        <w:t>QT</w:t>
      </w:r>
      <w:r w:rsidRPr="0093317E">
        <w:rPr>
          <w:rFonts w:eastAsia="Times New Roman" w:cs="Arial"/>
          <w:color w:val="000000"/>
          <w:lang w:eastAsia="bg-BG"/>
        </w:rPr>
        <w:t xml:space="preserve">-интервала при </w:t>
      </w:r>
      <w:r w:rsidRPr="00EF6A31">
        <w:rPr>
          <w:rFonts w:eastAsia="Times New Roman" w:cs="Arial"/>
          <w:bCs/>
          <w:color w:val="000000"/>
          <w:lang w:eastAsia="bg-BG"/>
        </w:rPr>
        <w:t>клинични проучвания, но</w:t>
      </w:r>
      <w:r w:rsidRPr="0093317E">
        <w:rPr>
          <w:rFonts w:eastAsia="Times New Roman" w:cs="Arial"/>
          <w:b/>
          <w:bCs/>
          <w:color w:val="000000"/>
          <w:lang w:eastAsia="bg-BG"/>
        </w:rPr>
        <w:t xml:space="preserve"> </w:t>
      </w:r>
      <w:r w:rsidRPr="0093317E">
        <w:rPr>
          <w:rFonts w:eastAsia="Times New Roman" w:cs="Arial"/>
          <w:color w:val="000000"/>
          <w:lang w:eastAsia="bg-BG"/>
        </w:rPr>
        <w:t>не е била установена причинно-следствена връзка.</w:t>
      </w:r>
    </w:p>
    <w:p w14:paraId="68AF0F43" w14:textId="1EE960B2" w:rsidR="00EF6A31" w:rsidRDefault="00EF6A31" w:rsidP="0093317E">
      <w:pPr>
        <w:rPr>
          <w:rFonts w:eastAsia="Times New Roman" w:cs="Arial"/>
          <w:color w:val="000000"/>
          <w:lang w:eastAsia="bg-BG"/>
        </w:rPr>
      </w:pPr>
    </w:p>
    <w:p w14:paraId="2C98B6B4"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Белодробни нарушения</w:t>
      </w:r>
    </w:p>
    <w:p w14:paraId="79A5E5EA"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Рядко се съобщават случаи на остра дифузна </w:t>
      </w:r>
      <w:proofErr w:type="spellStart"/>
      <w:r w:rsidRPr="00723166">
        <w:rPr>
          <w:rFonts w:eastAsia="Times New Roman" w:cs="Arial"/>
          <w:color w:val="000000"/>
          <w:szCs w:val="20"/>
          <w:lang w:eastAsia="bg-BG"/>
        </w:rPr>
        <w:t>инфилтративна</w:t>
      </w:r>
      <w:proofErr w:type="spellEnd"/>
      <w:r w:rsidRPr="00723166">
        <w:rPr>
          <w:rFonts w:eastAsia="Times New Roman" w:cs="Arial"/>
          <w:color w:val="000000"/>
          <w:szCs w:val="20"/>
          <w:lang w:eastAsia="bg-BG"/>
        </w:rPr>
        <w:t xml:space="preserve"> белодробна болест с неизвестна етиология, като </w:t>
      </w:r>
      <w:proofErr w:type="spellStart"/>
      <w:r w:rsidRPr="00723166">
        <w:rPr>
          <w:rFonts w:eastAsia="Times New Roman" w:cs="Arial"/>
          <w:color w:val="000000"/>
          <w:szCs w:val="20"/>
          <w:lang w:eastAsia="bg-BG"/>
        </w:rPr>
        <w:t>пневмонит</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интерстициална</w:t>
      </w:r>
      <w:proofErr w:type="spellEnd"/>
      <w:r w:rsidRPr="00723166">
        <w:rPr>
          <w:rFonts w:eastAsia="Times New Roman" w:cs="Arial"/>
          <w:color w:val="000000"/>
          <w:szCs w:val="20"/>
          <w:lang w:eastAsia="bg-BG"/>
        </w:rPr>
        <w:t xml:space="preserve"> пневмония, белодробна инфилтрация </w:t>
      </w:r>
      <w:r w:rsidRPr="00723166">
        <w:rPr>
          <w:rFonts w:eastAsia="Times New Roman" w:cs="Arial"/>
          <w:i/>
          <w:iCs/>
          <w:color w:val="000000"/>
          <w:szCs w:val="20"/>
          <w:lang w:eastAsia="bg-BG"/>
        </w:rPr>
        <w:t>и</w:t>
      </w:r>
      <w:r w:rsidRPr="00723166">
        <w:rPr>
          <w:rFonts w:eastAsia="Times New Roman" w:cs="Arial"/>
          <w:color w:val="000000"/>
          <w:szCs w:val="20"/>
          <w:lang w:eastAsia="bg-BG"/>
        </w:rPr>
        <w:t xml:space="preserve"> остър респираторен </w:t>
      </w:r>
      <w:proofErr w:type="spellStart"/>
      <w:r w:rsidRPr="00723166">
        <w:rPr>
          <w:rFonts w:eastAsia="Times New Roman" w:cs="Arial"/>
          <w:color w:val="000000"/>
          <w:szCs w:val="20"/>
          <w:lang w:eastAsia="bg-BG"/>
        </w:rPr>
        <w:t>дистрес</w:t>
      </w:r>
      <w:proofErr w:type="spellEnd"/>
      <w:r w:rsidRPr="00723166">
        <w:rPr>
          <w:rFonts w:eastAsia="Times New Roman" w:cs="Arial"/>
          <w:color w:val="000000"/>
          <w:szCs w:val="20"/>
          <w:lang w:eastAsia="bg-BG"/>
        </w:rPr>
        <w:t xml:space="preserve"> синдром (ОРДС) при пациенти получаващи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(вж. точка 4.8). Някои от тези случаи са били с фатален изход. Преди лечението се препоръчва </w:t>
      </w:r>
      <w:proofErr w:type="spellStart"/>
      <w:r w:rsidRPr="00723166">
        <w:rPr>
          <w:rFonts w:eastAsia="Times New Roman" w:cs="Arial"/>
          <w:color w:val="000000"/>
          <w:szCs w:val="20"/>
          <w:lang w:eastAsia="bg-BG"/>
        </w:rPr>
        <w:t>радиография</w:t>
      </w:r>
      <w:proofErr w:type="spellEnd"/>
      <w:r w:rsidRPr="00723166">
        <w:rPr>
          <w:rFonts w:eastAsia="Times New Roman" w:cs="Arial"/>
          <w:color w:val="000000"/>
          <w:szCs w:val="20"/>
          <w:lang w:eastAsia="bg-BG"/>
        </w:rPr>
        <w:t xml:space="preserve"> за да послужи като изходно ниво за установяване на потенциални белодробни промени след лечението.</w:t>
      </w:r>
    </w:p>
    <w:p w14:paraId="289F9353" w14:textId="77777777" w:rsidR="00723166" w:rsidRPr="00723166" w:rsidRDefault="00723166" w:rsidP="00723166">
      <w:pPr>
        <w:spacing w:line="240" w:lineRule="auto"/>
        <w:rPr>
          <w:rFonts w:eastAsia="Times New Roman" w:cs="Arial"/>
          <w:color w:val="000000"/>
          <w:szCs w:val="20"/>
          <w:lang w:eastAsia="bg-BG"/>
        </w:rPr>
      </w:pPr>
    </w:p>
    <w:p w14:paraId="6C7229A2" w14:textId="7F2E271E"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В случай на нови или влошаващи се белодробни симптоми (напр. кашлица, </w:t>
      </w:r>
      <w:proofErr w:type="spellStart"/>
      <w:r w:rsidRPr="00723166">
        <w:rPr>
          <w:rFonts w:eastAsia="Times New Roman" w:cs="Arial"/>
          <w:color w:val="000000"/>
          <w:szCs w:val="20"/>
          <w:lang w:eastAsia="bg-BG"/>
        </w:rPr>
        <w:t>диспнея</w:t>
      </w:r>
      <w:proofErr w:type="spellEnd"/>
      <w:r w:rsidRPr="00723166">
        <w:rPr>
          <w:rFonts w:eastAsia="Times New Roman" w:cs="Arial"/>
          <w:color w:val="000000"/>
          <w:szCs w:val="20"/>
          <w:lang w:eastAsia="bg-BG"/>
        </w:rPr>
        <w:t xml:space="preserve">), трябва бързо да се уточни диагнозата и да се предприеме подходящо лечение. Трябва да се обмисли съотношението полза/риск преди продължаване на лечението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w:t>
      </w:r>
    </w:p>
    <w:p w14:paraId="0EEB97E0" w14:textId="77777777" w:rsidR="00723166" w:rsidRPr="00723166" w:rsidRDefault="00723166" w:rsidP="00723166">
      <w:pPr>
        <w:spacing w:line="240" w:lineRule="auto"/>
        <w:rPr>
          <w:rFonts w:eastAsia="Times New Roman" w:cs="Arial"/>
          <w:color w:val="000000"/>
          <w:szCs w:val="20"/>
          <w:lang w:eastAsia="bg-BG"/>
        </w:rPr>
      </w:pPr>
    </w:p>
    <w:p w14:paraId="72B40DC8" w14:textId="1700A5F6"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При клинично проучване двама пациенти (от 2), получаващи висока доза </w:t>
      </w:r>
      <w:proofErr w:type="spellStart"/>
      <w:r w:rsidRPr="00723166">
        <w:rPr>
          <w:rFonts w:eastAsia="Times New Roman" w:cs="Arial"/>
          <w:color w:val="000000"/>
          <w:szCs w:val="20"/>
          <w:lang w:eastAsia="bg-BG"/>
        </w:rPr>
        <w:t>цитарабин</w:t>
      </w:r>
      <w:proofErr w:type="spellEnd"/>
      <w:r w:rsidRPr="00723166">
        <w:rPr>
          <w:rFonts w:eastAsia="Times New Roman" w:cs="Arial"/>
          <w:color w:val="000000"/>
          <w:szCs w:val="20"/>
          <w:lang w:eastAsia="bg-BG"/>
        </w:rPr>
        <w:t xml:space="preserve"> (2 </w:t>
      </w:r>
      <w:r w:rsidRPr="00723166">
        <w:rPr>
          <w:rFonts w:eastAsia="Times New Roman" w:cs="Arial"/>
          <w:color w:val="000000"/>
          <w:szCs w:val="20"/>
          <w:lang w:val="en-US"/>
        </w:rPr>
        <w:t>g</w:t>
      </w:r>
      <w:r w:rsidRPr="00FD4C98">
        <w:rPr>
          <w:rFonts w:eastAsia="Times New Roman" w:cs="Arial"/>
          <w:color w:val="000000"/>
          <w:szCs w:val="20"/>
          <w:lang w:val="ru-RU"/>
        </w:rPr>
        <w:t>/</w:t>
      </w:r>
      <w:r w:rsidRPr="00723166">
        <w:rPr>
          <w:rFonts w:eastAsia="Times New Roman" w:cs="Arial"/>
          <w:color w:val="000000"/>
          <w:szCs w:val="20"/>
          <w:lang w:val="en-US"/>
        </w:rPr>
        <w:t>m</w:t>
      </w:r>
      <w:r w:rsidRPr="00FD4C98">
        <w:rPr>
          <w:rFonts w:eastAsia="Times New Roman" w:cs="Arial"/>
          <w:color w:val="000000"/>
          <w:szCs w:val="20"/>
          <w:vertAlign w:val="superscript"/>
          <w:lang w:val="ru-RU"/>
        </w:rPr>
        <w:t xml:space="preserve">2 </w:t>
      </w:r>
      <w:r w:rsidRPr="00723166">
        <w:rPr>
          <w:rFonts w:eastAsia="Times New Roman" w:cs="Arial"/>
          <w:color w:val="000000"/>
          <w:szCs w:val="20"/>
          <w:lang w:eastAsia="bg-BG"/>
        </w:rPr>
        <w:t xml:space="preserve">дневно) чрез продължителна инфузия за 24 часа с </w:t>
      </w:r>
      <w:proofErr w:type="spellStart"/>
      <w:r w:rsidRPr="00723166">
        <w:rPr>
          <w:rFonts w:eastAsia="Times New Roman" w:cs="Arial"/>
          <w:color w:val="000000"/>
          <w:szCs w:val="20"/>
          <w:lang w:eastAsia="bg-BG"/>
        </w:rPr>
        <w:t>даунорубицин</w:t>
      </w:r>
      <w:proofErr w:type="spellEnd"/>
      <w:r w:rsidRPr="00723166">
        <w:rPr>
          <w:rFonts w:eastAsia="Times New Roman" w:cs="Arial"/>
          <w:color w:val="000000"/>
          <w:szCs w:val="20"/>
          <w:lang w:eastAsia="bg-BG"/>
        </w:rPr>
        <w:t xml:space="preserve"> и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за остра рецидивираща миелоидна левкемия, са починали от ОРДС в началото на терапията и проучването е прекратено. Ето защо, тази специфична схема с едновременно прилагане на висока доза </w:t>
      </w:r>
      <w:proofErr w:type="spellStart"/>
      <w:r w:rsidRPr="00723166">
        <w:rPr>
          <w:rFonts w:eastAsia="Times New Roman" w:cs="Arial"/>
          <w:color w:val="000000"/>
          <w:szCs w:val="20"/>
          <w:lang w:eastAsia="bg-BG"/>
        </w:rPr>
        <w:t>цитарабин</w:t>
      </w:r>
      <w:proofErr w:type="spellEnd"/>
      <w:r w:rsidRPr="00723166">
        <w:rPr>
          <w:rFonts w:eastAsia="Times New Roman" w:cs="Arial"/>
          <w:color w:val="000000"/>
          <w:szCs w:val="20"/>
          <w:lang w:eastAsia="bg-BG"/>
        </w:rPr>
        <w:t xml:space="preserve"> (2 </w:t>
      </w:r>
      <w:r w:rsidRPr="00723166">
        <w:rPr>
          <w:rFonts w:eastAsia="Times New Roman" w:cs="Arial"/>
          <w:color w:val="000000"/>
          <w:szCs w:val="20"/>
          <w:lang w:val="en-US"/>
        </w:rPr>
        <w:t>g</w:t>
      </w:r>
      <w:r w:rsidRPr="00FD4C98">
        <w:rPr>
          <w:rFonts w:eastAsia="Times New Roman" w:cs="Arial"/>
          <w:color w:val="000000"/>
          <w:szCs w:val="20"/>
          <w:lang w:val="ru-RU"/>
        </w:rPr>
        <w:t>/</w:t>
      </w:r>
      <w:r w:rsidRPr="00723166">
        <w:rPr>
          <w:rFonts w:eastAsia="Times New Roman" w:cs="Arial"/>
          <w:color w:val="000000"/>
          <w:szCs w:val="20"/>
          <w:lang w:val="en-US"/>
        </w:rPr>
        <w:t>m</w:t>
      </w:r>
      <w:r w:rsidRPr="00FD4C98">
        <w:rPr>
          <w:rFonts w:eastAsia="Times New Roman" w:cs="Arial"/>
          <w:color w:val="000000"/>
          <w:szCs w:val="20"/>
          <w:lang w:val="ru-RU"/>
        </w:rPr>
        <w:t xml:space="preserve">2 </w:t>
      </w:r>
      <w:r w:rsidRPr="00723166">
        <w:rPr>
          <w:rFonts w:eastAsia="Times New Roman" w:cs="Arial"/>
          <w:color w:val="000000"/>
          <w:szCs w:val="20"/>
          <w:lang w:eastAsia="bg-BG"/>
        </w:rPr>
        <w:t>дневно) чрез продължителна инфузия за 24 часа не се препоръчва.</w:t>
      </w:r>
    </w:p>
    <w:p w14:paraId="12EC86EB" w14:textId="77777777" w:rsidR="00723166" w:rsidRPr="00723166" w:rsidRDefault="00723166" w:rsidP="00723166">
      <w:pPr>
        <w:spacing w:line="240" w:lineRule="auto"/>
        <w:rPr>
          <w:rFonts w:eastAsia="Times New Roman" w:cs="Arial"/>
          <w:color w:val="000000"/>
          <w:szCs w:val="20"/>
          <w:u w:val="single"/>
          <w:lang w:eastAsia="bg-BG"/>
        </w:rPr>
      </w:pPr>
    </w:p>
    <w:p w14:paraId="00819B16" w14:textId="1AB4534E"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Бъбречно увреждане</w:t>
      </w:r>
    </w:p>
    <w:p w14:paraId="07273DFD"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Бъбречните усложнения са чести при пациенти с мултиплен миелом. Пациентите с бъбречно увреждане трябва да бъдат внимателно проследявани (вж. точка 4.2 и 5.2).</w:t>
      </w:r>
    </w:p>
    <w:p w14:paraId="7304D034" w14:textId="77777777" w:rsidR="00723166" w:rsidRPr="00723166" w:rsidRDefault="00723166" w:rsidP="00723166">
      <w:pPr>
        <w:spacing w:line="240" w:lineRule="auto"/>
        <w:rPr>
          <w:rFonts w:eastAsia="Times New Roman" w:cs="Arial"/>
          <w:color w:val="000000"/>
          <w:szCs w:val="20"/>
          <w:u w:val="single"/>
          <w:lang w:eastAsia="bg-BG"/>
        </w:rPr>
      </w:pPr>
    </w:p>
    <w:p w14:paraId="0781BFB9" w14:textId="726DA2A0"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Чернодробно увреждане</w:t>
      </w:r>
    </w:p>
    <w:p w14:paraId="17A4CCA7" w14:textId="77777777" w:rsidR="00723166" w:rsidRPr="00723166" w:rsidRDefault="00723166" w:rsidP="00723166">
      <w:pPr>
        <w:spacing w:line="240" w:lineRule="auto"/>
        <w:rPr>
          <w:rFonts w:eastAsia="Times New Roman" w:cs="Arial"/>
          <w:sz w:val="28"/>
          <w:szCs w:val="24"/>
          <w:lang w:eastAsia="bg-BG"/>
        </w:rPr>
      </w:pP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се </w:t>
      </w:r>
      <w:proofErr w:type="spellStart"/>
      <w:r w:rsidRPr="00723166">
        <w:rPr>
          <w:rFonts w:eastAsia="Times New Roman" w:cs="Arial"/>
          <w:color w:val="000000"/>
          <w:szCs w:val="20"/>
          <w:lang w:eastAsia="bg-BG"/>
        </w:rPr>
        <w:t>метаболизира</w:t>
      </w:r>
      <w:proofErr w:type="spellEnd"/>
      <w:r w:rsidRPr="00723166">
        <w:rPr>
          <w:rFonts w:eastAsia="Times New Roman" w:cs="Arial"/>
          <w:color w:val="000000"/>
          <w:szCs w:val="20"/>
          <w:lang w:eastAsia="bg-BG"/>
        </w:rPr>
        <w:t xml:space="preserve"> от чернодробните ензими. Експозицията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се повишава при пациенти с умерено или тежко чернодробно увреждане; тези пациенти трябва да се лекуват с намалени дози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при строго проследяване за токсичност (вж. точки 4.2 и 5.2).</w:t>
      </w:r>
    </w:p>
    <w:p w14:paraId="0F595DBC" w14:textId="77777777" w:rsidR="00723166" w:rsidRPr="00723166" w:rsidRDefault="00723166" w:rsidP="00723166">
      <w:pPr>
        <w:spacing w:line="240" w:lineRule="auto"/>
        <w:rPr>
          <w:rFonts w:eastAsia="Times New Roman" w:cs="Arial"/>
          <w:color w:val="000000"/>
          <w:szCs w:val="20"/>
          <w:u w:val="single"/>
          <w:lang w:eastAsia="bg-BG"/>
        </w:rPr>
      </w:pPr>
    </w:p>
    <w:p w14:paraId="284BD37C" w14:textId="67E67668"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Чернодробни реакции</w:t>
      </w:r>
    </w:p>
    <w:p w14:paraId="7FFD0FB3"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При пациенти, получаващи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и съпътстващи лекарствени продукти или имащи сериозни основни заболявания има редки съобщения за чернодробна недостатъчност. Други съобщавани чернодробни реакции включват повишаване нивото на чернодробните ензими, </w:t>
      </w:r>
      <w:proofErr w:type="spellStart"/>
      <w:r w:rsidRPr="00723166">
        <w:rPr>
          <w:rFonts w:eastAsia="Times New Roman" w:cs="Arial"/>
          <w:color w:val="000000"/>
          <w:szCs w:val="20"/>
          <w:lang w:eastAsia="bg-BG"/>
        </w:rPr>
        <w:t>хипербилирубинемия</w:t>
      </w:r>
      <w:proofErr w:type="spellEnd"/>
      <w:r w:rsidRPr="00723166">
        <w:rPr>
          <w:rFonts w:eastAsia="Times New Roman" w:cs="Arial"/>
          <w:color w:val="000000"/>
          <w:szCs w:val="20"/>
          <w:lang w:eastAsia="bg-BG"/>
        </w:rPr>
        <w:t xml:space="preserve"> и хепатит. Тези промени може да бъдат обратими при прекратяване приема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(вж. точка 4.8)</w:t>
      </w:r>
    </w:p>
    <w:p w14:paraId="07F1F23B" w14:textId="77777777" w:rsidR="00723166" w:rsidRPr="00723166" w:rsidRDefault="00723166" w:rsidP="00723166">
      <w:pPr>
        <w:spacing w:line="240" w:lineRule="auto"/>
        <w:rPr>
          <w:rFonts w:eastAsia="Times New Roman" w:cs="Arial"/>
          <w:color w:val="000000"/>
          <w:szCs w:val="20"/>
          <w:u w:val="single"/>
          <w:lang w:eastAsia="bg-BG"/>
        </w:rPr>
      </w:pPr>
    </w:p>
    <w:p w14:paraId="2A5051CF" w14:textId="3D73362B"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Синдром на ту морен разпад</w:t>
      </w:r>
    </w:p>
    <w:p w14:paraId="665F3329"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Тъй като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е </w:t>
      </w:r>
      <w:proofErr w:type="spellStart"/>
      <w:r w:rsidRPr="00723166">
        <w:rPr>
          <w:rFonts w:eastAsia="Times New Roman" w:cs="Arial"/>
          <w:color w:val="000000"/>
          <w:szCs w:val="20"/>
          <w:lang w:eastAsia="bg-BG"/>
        </w:rPr>
        <w:t>цитотоксичен</w:t>
      </w:r>
      <w:proofErr w:type="spellEnd"/>
      <w:r w:rsidRPr="00723166">
        <w:rPr>
          <w:rFonts w:eastAsia="Times New Roman" w:cs="Arial"/>
          <w:color w:val="000000"/>
          <w:szCs w:val="20"/>
          <w:lang w:eastAsia="bg-BG"/>
        </w:rPr>
        <w:t xml:space="preserve"> агент и бързо убива злокачествените плазматични клетки, могат да възникнат усложнения на синдрома на туморен разпад. Пациентите с висок туморен товар преди лечението са с риск за развитие на синдром на туморен разпад. Такива пациенти трябва да бъдат внимателно проследявани и да бъдат взети подходящи предпазни мерки.</w:t>
      </w:r>
    </w:p>
    <w:p w14:paraId="3685935D" w14:textId="77777777" w:rsidR="00723166" w:rsidRPr="00723166" w:rsidRDefault="00723166" w:rsidP="00723166">
      <w:pPr>
        <w:spacing w:line="240" w:lineRule="auto"/>
        <w:rPr>
          <w:rFonts w:eastAsia="Times New Roman" w:cs="Arial"/>
          <w:color w:val="000000"/>
          <w:szCs w:val="20"/>
          <w:u w:val="single"/>
          <w:lang w:eastAsia="bg-BG"/>
        </w:rPr>
      </w:pPr>
    </w:p>
    <w:p w14:paraId="6D3A983D" w14:textId="26737614"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Съпътстващи лекарствени продукти</w:t>
      </w:r>
    </w:p>
    <w:p w14:paraId="7BEF4F06"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lastRenderedPageBreak/>
        <w:t xml:space="preserve">Пациентите трябва да бъдат внимателно проследявани, когато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се прилага в комбинация с мощни СУРЗА4-инхибитори. Повишено внимание изисква комбинирането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 </w:t>
      </w:r>
      <w:r w:rsidRPr="00723166">
        <w:rPr>
          <w:rFonts w:eastAsia="Times New Roman" w:cs="Arial"/>
          <w:color w:val="000000"/>
          <w:szCs w:val="20"/>
          <w:lang w:val="en-US"/>
        </w:rPr>
        <w:t>CYP</w:t>
      </w:r>
      <w:r w:rsidRPr="00FD4C98">
        <w:rPr>
          <w:rFonts w:eastAsia="Times New Roman" w:cs="Arial"/>
          <w:color w:val="000000"/>
          <w:szCs w:val="20"/>
          <w:lang w:val="ru-RU"/>
        </w:rPr>
        <w:t>3</w:t>
      </w:r>
      <w:r w:rsidRPr="00723166">
        <w:rPr>
          <w:rFonts w:eastAsia="Times New Roman" w:cs="Arial"/>
          <w:color w:val="000000"/>
          <w:szCs w:val="20"/>
          <w:lang w:val="en-US"/>
        </w:rPr>
        <w:t>A</w:t>
      </w:r>
      <w:r w:rsidRPr="00FD4C98">
        <w:rPr>
          <w:rFonts w:eastAsia="Times New Roman" w:cs="Arial"/>
          <w:color w:val="000000"/>
          <w:szCs w:val="20"/>
          <w:lang w:val="ru-RU"/>
        </w:rPr>
        <w:t xml:space="preserve">4- </w:t>
      </w:r>
      <w:r w:rsidRPr="00723166">
        <w:rPr>
          <w:rFonts w:eastAsia="Times New Roman" w:cs="Arial"/>
          <w:color w:val="000000"/>
          <w:szCs w:val="20"/>
          <w:lang w:eastAsia="bg-BG"/>
        </w:rPr>
        <w:t xml:space="preserve">или </w:t>
      </w:r>
      <w:r w:rsidRPr="00723166">
        <w:rPr>
          <w:rFonts w:eastAsia="Times New Roman" w:cs="Arial"/>
          <w:color w:val="000000"/>
          <w:szCs w:val="20"/>
          <w:lang w:val="en-US"/>
        </w:rPr>
        <w:t>CYP</w:t>
      </w:r>
      <w:r w:rsidRPr="00FD4C98">
        <w:rPr>
          <w:rFonts w:eastAsia="Times New Roman" w:cs="Arial"/>
          <w:color w:val="000000"/>
          <w:szCs w:val="20"/>
          <w:lang w:val="ru-RU"/>
        </w:rPr>
        <w:t>2</w:t>
      </w:r>
      <w:r w:rsidRPr="00723166">
        <w:rPr>
          <w:rFonts w:eastAsia="Times New Roman" w:cs="Arial"/>
          <w:color w:val="000000"/>
          <w:szCs w:val="20"/>
          <w:lang w:val="en-US"/>
        </w:rPr>
        <w:t>C</w:t>
      </w:r>
      <w:r w:rsidRPr="00FD4C98">
        <w:rPr>
          <w:rFonts w:eastAsia="Times New Roman" w:cs="Arial"/>
          <w:color w:val="000000"/>
          <w:szCs w:val="20"/>
          <w:lang w:val="ru-RU"/>
        </w:rPr>
        <w:t xml:space="preserve">19 </w:t>
      </w:r>
      <w:r w:rsidRPr="00723166">
        <w:rPr>
          <w:rFonts w:eastAsia="Times New Roman" w:cs="Arial"/>
          <w:color w:val="000000"/>
          <w:szCs w:val="20"/>
          <w:lang w:eastAsia="bg-BG"/>
        </w:rPr>
        <w:t>субстрати (вж. точка 4.5).</w:t>
      </w:r>
    </w:p>
    <w:p w14:paraId="14291C1D" w14:textId="77777777" w:rsidR="00723166" w:rsidRPr="00723166" w:rsidRDefault="00723166" w:rsidP="00723166">
      <w:pPr>
        <w:spacing w:line="240" w:lineRule="auto"/>
        <w:rPr>
          <w:rFonts w:eastAsia="Times New Roman" w:cs="Arial"/>
          <w:color w:val="000000"/>
          <w:szCs w:val="20"/>
          <w:lang w:eastAsia="bg-BG"/>
        </w:rPr>
      </w:pPr>
    </w:p>
    <w:p w14:paraId="26B7848E" w14:textId="78D16553"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Пациентите, получаващи перорални хипогликемични лекарствени продукти изискват повишено внимание, като при тях трябва да бъде потвърдена нормална чернодробна функция (</w:t>
      </w:r>
      <w:proofErr w:type="spellStart"/>
      <w:r w:rsidRPr="00723166">
        <w:rPr>
          <w:rFonts w:eastAsia="Times New Roman" w:cs="Arial"/>
          <w:color w:val="000000"/>
          <w:szCs w:val="20"/>
          <w:lang w:eastAsia="bg-BG"/>
        </w:rPr>
        <w:t>вж</w:t>
      </w:r>
      <w:proofErr w:type="spellEnd"/>
      <w:r w:rsidRPr="00723166">
        <w:rPr>
          <w:rFonts w:eastAsia="Times New Roman" w:cs="Arial"/>
          <w:color w:val="000000"/>
          <w:szCs w:val="20"/>
          <w:lang w:eastAsia="bg-BG"/>
        </w:rPr>
        <w:t>, точка 4.5).</w:t>
      </w:r>
    </w:p>
    <w:p w14:paraId="0A66D7DA" w14:textId="77777777" w:rsidR="00723166" w:rsidRPr="00723166" w:rsidRDefault="00723166" w:rsidP="00723166">
      <w:pPr>
        <w:spacing w:line="240" w:lineRule="auto"/>
        <w:rPr>
          <w:rFonts w:eastAsia="Times New Roman" w:cs="Arial"/>
          <w:color w:val="000000"/>
          <w:szCs w:val="20"/>
          <w:u w:val="single"/>
          <w:lang w:eastAsia="bg-BG"/>
        </w:rPr>
      </w:pPr>
    </w:p>
    <w:p w14:paraId="6964FA4C" w14:textId="08283ADD"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 xml:space="preserve">Вероятно </w:t>
      </w:r>
      <w:proofErr w:type="spellStart"/>
      <w:r w:rsidRPr="00723166">
        <w:rPr>
          <w:rFonts w:eastAsia="Times New Roman" w:cs="Arial"/>
          <w:color w:val="000000"/>
          <w:szCs w:val="20"/>
          <w:u w:val="single"/>
          <w:lang w:eastAsia="bg-BG"/>
        </w:rPr>
        <w:t>имунокомплекс-медиирани</w:t>
      </w:r>
      <w:proofErr w:type="spellEnd"/>
      <w:r w:rsidRPr="00723166">
        <w:rPr>
          <w:rFonts w:eastAsia="Times New Roman" w:cs="Arial"/>
          <w:color w:val="000000"/>
          <w:szCs w:val="20"/>
          <w:u w:val="single"/>
          <w:lang w:eastAsia="bg-BG"/>
        </w:rPr>
        <w:t xml:space="preserve"> реакции</w:t>
      </w:r>
    </w:p>
    <w:p w14:paraId="24E3E82F" w14:textId="07BE3458" w:rsidR="0091385D" w:rsidRPr="00C020A8" w:rsidRDefault="00723166" w:rsidP="00C020A8">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Има нечести съобщения за вероятно </w:t>
      </w:r>
      <w:proofErr w:type="spellStart"/>
      <w:r w:rsidRPr="00723166">
        <w:rPr>
          <w:rFonts w:eastAsia="Times New Roman" w:cs="Arial"/>
          <w:color w:val="000000"/>
          <w:szCs w:val="20"/>
          <w:lang w:eastAsia="bg-BG"/>
        </w:rPr>
        <w:t>имунокомплекс-медиирани</w:t>
      </w:r>
      <w:proofErr w:type="spellEnd"/>
      <w:r w:rsidRPr="00723166">
        <w:rPr>
          <w:rFonts w:eastAsia="Times New Roman" w:cs="Arial"/>
          <w:color w:val="000000"/>
          <w:szCs w:val="20"/>
          <w:lang w:eastAsia="bg-BG"/>
        </w:rPr>
        <w:t xml:space="preserve"> реакции, като</w:t>
      </w:r>
      <w:r w:rsidRPr="00FD4C98">
        <w:rPr>
          <w:rFonts w:eastAsia="Times New Roman" w:cs="Arial"/>
          <w:color w:val="000000"/>
          <w:szCs w:val="20"/>
          <w:lang w:val="ru-RU"/>
        </w:rPr>
        <w:t xml:space="preserve"> </w:t>
      </w:r>
      <w:r w:rsidRPr="00723166">
        <w:rPr>
          <w:rFonts w:eastAsia="Times New Roman" w:cs="Arial"/>
          <w:color w:val="000000"/>
          <w:szCs w:val="20"/>
          <w:lang w:eastAsia="bg-BG"/>
        </w:rPr>
        <w:t>серумна болест</w:t>
      </w:r>
      <w:r w:rsidR="00C020A8" w:rsidRPr="00FD4C98">
        <w:rPr>
          <w:rFonts w:eastAsia="Times New Roman" w:cs="Arial"/>
          <w:sz w:val="28"/>
          <w:szCs w:val="24"/>
          <w:lang w:val="ru-RU" w:eastAsia="bg-BG"/>
        </w:rPr>
        <w:t xml:space="preserve"> </w:t>
      </w:r>
      <w:r w:rsidRPr="00723166">
        <w:rPr>
          <w:rFonts w:eastAsia="Times New Roman" w:cs="Arial"/>
          <w:color w:val="000000"/>
          <w:szCs w:val="20"/>
          <w:lang w:eastAsia="bg-BG"/>
        </w:rPr>
        <w:t xml:space="preserve">полиартрит с обрив и </w:t>
      </w:r>
      <w:proofErr w:type="spellStart"/>
      <w:r w:rsidRPr="00723166">
        <w:rPr>
          <w:rFonts w:eastAsia="Times New Roman" w:cs="Arial"/>
          <w:color w:val="000000"/>
          <w:szCs w:val="20"/>
          <w:lang w:eastAsia="bg-BG"/>
        </w:rPr>
        <w:t>пролиферативен</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гломерулонефрит</w:t>
      </w:r>
      <w:proofErr w:type="spellEnd"/>
      <w:r w:rsidRPr="00723166">
        <w:rPr>
          <w:rFonts w:eastAsia="Times New Roman" w:cs="Arial"/>
          <w:color w:val="000000"/>
          <w:szCs w:val="20"/>
          <w:lang w:eastAsia="bg-BG"/>
        </w:rPr>
        <w:t xml:space="preserve">. Приемът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трябва да бъде преустановен, ако се наблюдават сериозни реакции.</w:t>
      </w:r>
    </w:p>
    <w:p w14:paraId="4AD5FFAE" w14:textId="77777777" w:rsidR="00723166" w:rsidRPr="00723166" w:rsidRDefault="00723166" w:rsidP="0091385D">
      <w:pPr>
        <w:rPr>
          <w:rFonts w:ascii="Times New Roman" w:eastAsia="Times New Roman" w:hAnsi="Times New Roman" w:cs="Times New Roman"/>
          <w:color w:val="000000"/>
          <w:sz w:val="20"/>
          <w:szCs w:val="20"/>
          <w:lang w:eastAsia="bg-BG"/>
        </w:rPr>
      </w:pPr>
    </w:p>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72E78DC7"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i/>
          <w:iCs/>
          <w:color w:val="000000"/>
          <w:szCs w:val="20"/>
          <w:lang w:val="en-US"/>
        </w:rPr>
        <w:t>In</w:t>
      </w:r>
      <w:r w:rsidRPr="00FD4C98">
        <w:rPr>
          <w:rFonts w:eastAsia="Times New Roman" w:cs="Arial"/>
          <w:i/>
          <w:iCs/>
          <w:color w:val="000000"/>
          <w:szCs w:val="20"/>
          <w:lang w:val="ru-RU"/>
        </w:rPr>
        <w:t xml:space="preserve"> </w:t>
      </w:r>
      <w:r w:rsidRPr="00723166">
        <w:rPr>
          <w:rFonts w:eastAsia="Times New Roman" w:cs="Arial"/>
          <w:i/>
          <w:iCs/>
          <w:color w:val="000000"/>
          <w:szCs w:val="20"/>
          <w:lang w:val="en-US"/>
        </w:rPr>
        <w:t>vitro</w:t>
      </w:r>
      <w:r w:rsidRPr="00FD4C98">
        <w:rPr>
          <w:rFonts w:eastAsia="Times New Roman" w:cs="Arial"/>
          <w:color w:val="000000"/>
          <w:szCs w:val="20"/>
          <w:lang w:val="ru-RU"/>
        </w:rPr>
        <w:t xml:space="preserve"> </w:t>
      </w:r>
      <w:r w:rsidRPr="00723166">
        <w:rPr>
          <w:rFonts w:eastAsia="Times New Roman" w:cs="Arial"/>
          <w:color w:val="000000"/>
          <w:szCs w:val="20"/>
          <w:lang w:eastAsia="bg-BG"/>
        </w:rPr>
        <w:t xml:space="preserve">проучвания показват, че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е слаб инхибитор на </w:t>
      </w:r>
      <w:proofErr w:type="spellStart"/>
      <w:r w:rsidRPr="00723166">
        <w:rPr>
          <w:rFonts w:eastAsia="Times New Roman" w:cs="Arial"/>
          <w:color w:val="000000"/>
          <w:szCs w:val="20"/>
          <w:lang w:eastAsia="bg-BG"/>
        </w:rPr>
        <w:t>цитохром</w:t>
      </w:r>
      <w:proofErr w:type="spellEnd"/>
      <w:r w:rsidRPr="00723166">
        <w:rPr>
          <w:rFonts w:eastAsia="Times New Roman" w:cs="Arial"/>
          <w:color w:val="000000"/>
          <w:szCs w:val="20"/>
          <w:lang w:eastAsia="bg-BG"/>
        </w:rPr>
        <w:t xml:space="preserve"> Р450 </w:t>
      </w:r>
      <w:r w:rsidRPr="00FD4C98">
        <w:rPr>
          <w:rFonts w:eastAsia="Times New Roman" w:cs="Arial"/>
          <w:color w:val="000000"/>
          <w:szCs w:val="20"/>
          <w:lang w:val="ru-RU"/>
        </w:rPr>
        <w:t>(</w:t>
      </w:r>
      <w:r w:rsidRPr="00723166">
        <w:rPr>
          <w:rFonts w:eastAsia="Times New Roman" w:cs="Arial"/>
          <w:color w:val="000000"/>
          <w:szCs w:val="20"/>
          <w:lang w:val="en-US"/>
        </w:rPr>
        <w:t>CYP</w:t>
      </w:r>
      <w:r w:rsidRPr="00FD4C98">
        <w:rPr>
          <w:rFonts w:eastAsia="Times New Roman" w:cs="Arial"/>
          <w:color w:val="000000"/>
          <w:szCs w:val="20"/>
          <w:lang w:val="ru-RU"/>
        </w:rPr>
        <w:t xml:space="preserve">) </w:t>
      </w:r>
      <w:proofErr w:type="spellStart"/>
      <w:r w:rsidRPr="00723166">
        <w:rPr>
          <w:rFonts w:eastAsia="Times New Roman" w:cs="Arial"/>
          <w:color w:val="000000"/>
          <w:szCs w:val="20"/>
          <w:lang w:eastAsia="bg-BG"/>
        </w:rPr>
        <w:t>изоензимите</w:t>
      </w:r>
      <w:proofErr w:type="spellEnd"/>
      <w:r w:rsidRPr="00723166">
        <w:rPr>
          <w:rFonts w:eastAsia="Times New Roman" w:cs="Arial"/>
          <w:color w:val="000000"/>
          <w:szCs w:val="20"/>
          <w:lang w:eastAsia="bg-BG"/>
        </w:rPr>
        <w:t xml:space="preserve"> 1А2,2С9, 2С19, </w:t>
      </w:r>
      <w:r w:rsidRPr="00FD4C98">
        <w:rPr>
          <w:rFonts w:eastAsia="Times New Roman" w:cs="Arial"/>
          <w:color w:val="000000"/>
          <w:szCs w:val="20"/>
          <w:lang w:val="ru-RU"/>
        </w:rPr>
        <w:t>2</w:t>
      </w:r>
      <w:r w:rsidRPr="00723166">
        <w:rPr>
          <w:rFonts w:eastAsia="Times New Roman" w:cs="Arial"/>
          <w:color w:val="000000"/>
          <w:szCs w:val="20"/>
          <w:lang w:val="en-US"/>
        </w:rPr>
        <w:t>D</w:t>
      </w:r>
      <w:r w:rsidRPr="00FD4C98">
        <w:rPr>
          <w:rFonts w:eastAsia="Times New Roman" w:cs="Arial"/>
          <w:color w:val="000000"/>
          <w:szCs w:val="20"/>
          <w:lang w:val="ru-RU"/>
        </w:rPr>
        <w:t xml:space="preserve">6 </w:t>
      </w:r>
      <w:r w:rsidRPr="00723166">
        <w:rPr>
          <w:rFonts w:eastAsia="Times New Roman" w:cs="Arial"/>
          <w:color w:val="000000"/>
          <w:szCs w:val="20"/>
          <w:lang w:eastAsia="bg-BG"/>
        </w:rPr>
        <w:t xml:space="preserve">и ЗА4. На основание на ограничения принос (7%) на </w:t>
      </w:r>
      <w:r w:rsidRPr="00723166">
        <w:rPr>
          <w:rFonts w:eastAsia="Times New Roman" w:cs="Arial"/>
          <w:color w:val="000000"/>
          <w:szCs w:val="20"/>
          <w:lang w:val="en-US"/>
        </w:rPr>
        <w:t>CYP</w:t>
      </w:r>
      <w:r w:rsidRPr="00FD4C98">
        <w:rPr>
          <w:rFonts w:eastAsia="Times New Roman" w:cs="Arial"/>
          <w:color w:val="000000"/>
          <w:szCs w:val="20"/>
          <w:lang w:val="ru-RU"/>
        </w:rPr>
        <w:t>2</w:t>
      </w:r>
      <w:r w:rsidRPr="00723166">
        <w:rPr>
          <w:rFonts w:eastAsia="Times New Roman" w:cs="Arial"/>
          <w:color w:val="000000"/>
          <w:szCs w:val="20"/>
          <w:lang w:val="en-US"/>
        </w:rPr>
        <w:t>D</w:t>
      </w:r>
      <w:r w:rsidRPr="00FD4C98">
        <w:rPr>
          <w:rFonts w:eastAsia="Times New Roman" w:cs="Arial"/>
          <w:color w:val="000000"/>
          <w:szCs w:val="20"/>
          <w:lang w:val="ru-RU"/>
        </w:rPr>
        <w:t xml:space="preserve">6 </w:t>
      </w:r>
      <w:r w:rsidRPr="00723166">
        <w:rPr>
          <w:rFonts w:eastAsia="Times New Roman" w:cs="Arial"/>
          <w:color w:val="000000"/>
          <w:szCs w:val="20"/>
          <w:lang w:eastAsia="bg-BG"/>
        </w:rPr>
        <w:t xml:space="preserve">за метаболизма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фенотипът</w:t>
      </w:r>
      <w:proofErr w:type="spellEnd"/>
      <w:r w:rsidRPr="00723166">
        <w:rPr>
          <w:rFonts w:eastAsia="Times New Roman" w:cs="Arial"/>
          <w:color w:val="000000"/>
          <w:szCs w:val="20"/>
          <w:lang w:eastAsia="bg-BG"/>
        </w:rPr>
        <w:t xml:space="preserve"> на слабите </w:t>
      </w:r>
      <w:proofErr w:type="spellStart"/>
      <w:r w:rsidRPr="00723166">
        <w:rPr>
          <w:rFonts w:eastAsia="Times New Roman" w:cs="Arial"/>
          <w:color w:val="000000"/>
          <w:szCs w:val="20"/>
          <w:lang w:eastAsia="bg-BG"/>
        </w:rPr>
        <w:t>метаболизатори</w:t>
      </w:r>
      <w:proofErr w:type="spellEnd"/>
      <w:r w:rsidRPr="00723166">
        <w:rPr>
          <w:rFonts w:eastAsia="Times New Roman" w:cs="Arial"/>
          <w:color w:val="000000"/>
          <w:szCs w:val="20"/>
          <w:lang w:eastAsia="bg-BG"/>
        </w:rPr>
        <w:t xml:space="preserve"> на </w:t>
      </w:r>
      <w:r w:rsidRPr="00723166">
        <w:rPr>
          <w:rFonts w:eastAsia="Times New Roman" w:cs="Arial"/>
          <w:color w:val="000000"/>
          <w:szCs w:val="20"/>
          <w:lang w:val="en-US"/>
        </w:rPr>
        <w:t>CYP</w:t>
      </w:r>
      <w:r w:rsidRPr="00FD4C98">
        <w:rPr>
          <w:rFonts w:eastAsia="Times New Roman" w:cs="Arial"/>
          <w:color w:val="000000"/>
          <w:szCs w:val="20"/>
          <w:lang w:val="ru-RU"/>
        </w:rPr>
        <w:t>2</w:t>
      </w:r>
      <w:r w:rsidRPr="00723166">
        <w:rPr>
          <w:rFonts w:eastAsia="Times New Roman" w:cs="Arial"/>
          <w:color w:val="000000"/>
          <w:szCs w:val="20"/>
          <w:lang w:val="en-US"/>
        </w:rPr>
        <w:t>D</w:t>
      </w:r>
      <w:r w:rsidRPr="00FD4C98">
        <w:rPr>
          <w:rFonts w:eastAsia="Times New Roman" w:cs="Arial"/>
          <w:color w:val="000000"/>
          <w:szCs w:val="20"/>
          <w:lang w:val="ru-RU"/>
        </w:rPr>
        <w:t xml:space="preserve">6 </w:t>
      </w:r>
      <w:r w:rsidRPr="00723166">
        <w:rPr>
          <w:rFonts w:eastAsia="Times New Roman" w:cs="Arial"/>
          <w:color w:val="000000"/>
          <w:szCs w:val="20"/>
          <w:lang w:eastAsia="bg-BG"/>
        </w:rPr>
        <w:t xml:space="preserve">не се очаква да повлияе цялостната диспозиция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w:t>
      </w:r>
    </w:p>
    <w:p w14:paraId="7E4EA73A" w14:textId="77777777" w:rsidR="00723166" w:rsidRPr="00723166" w:rsidRDefault="00723166" w:rsidP="00723166">
      <w:pPr>
        <w:spacing w:line="240" w:lineRule="auto"/>
        <w:rPr>
          <w:rFonts w:eastAsia="Times New Roman" w:cs="Arial"/>
          <w:color w:val="000000"/>
          <w:szCs w:val="20"/>
          <w:lang w:eastAsia="bg-BG"/>
        </w:rPr>
      </w:pPr>
    </w:p>
    <w:p w14:paraId="38370640" w14:textId="303F0FD2"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Проучване за лекарствени взаимодействия, оценяващо ефекта на </w:t>
      </w:r>
      <w:proofErr w:type="spellStart"/>
      <w:r w:rsidRPr="00723166">
        <w:rPr>
          <w:rFonts w:eastAsia="Times New Roman" w:cs="Arial"/>
          <w:color w:val="000000"/>
          <w:szCs w:val="20"/>
          <w:lang w:eastAsia="bg-BG"/>
        </w:rPr>
        <w:t>кетоконазол</w:t>
      </w:r>
      <w:proofErr w:type="spellEnd"/>
      <w:r w:rsidRPr="00723166">
        <w:rPr>
          <w:rFonts w:eastAsia="Times New Roman" w:cs="Arial"/>
          <w:color w:val="000000"/>
          <w:szCs w:val="20"/>
          <w:lang w:eastAsia="bg-BG"/>
        </w:rPr>
        <w:t xml:space="preserve">, мощен </w:t>
      </w:r>
      <w:r w:rsidRPr="00723166">
        <w:rPr>
          <w:rFonts w:eastAsia="Times New Roman" w:cs="Arial"/>
          <w:color w:val="000000"/>
          <w:szCs w:val="20"/>
          <w:lang w:val="en-US"/>
        </w:rPr>
        <w:t>CYP</w:t>
      </w:r>
      <w:r w:rsidRPr="00FD4C98">
        <w:rPr>
          <w:rFonts w:eastAsia="Times New Roman" w:cs="Arial"/>
          <w:color w:val="000000"/>
          <w:szCs w:val="20"/>
          <w:lang w:val="ru-RU"/>
        </w:rPr>
        <w:t>3</w:t>
      </w:r>
      <w:r w:rsidRPr="00723166">
        <w:rPr>
          <w:rFonts w:eastAsia="Times New Roman" w:cs="Arial"/>
          <w:color w:val="000000"/>
          <w:szCs w:val="20"/>
          <w:lang w:val="en-US"/>
        </w:rPr>
        <w:t>A</w:t>
      </w:r>
      <w:r w:rsidRPr="00FD4C98">
        <w:rPr>
          <w:rFonts w:eastAsia="Times New Roman" w:cs="Arial"/>
          <w:color w:val="000000"/>
          <w:szCs w:val="20"/>
          <w:lang w:val="ru-RU"/>
        </w:rPr>
        <w:t xml:space="preserve">4 </w:t>
      </w:r>
      <w:r w:rsidRPr="00723166">
        <w:rPr>
          <w:rFonts w:eastAsia="Times New Roman" w:cs="Arial"/>
          <w:color w:val="000000"/>
          <w:szCs w:val="20"/>
          <w:lang w:eastAsia="bg-BG"/>
        </w:rPr>
        <w:t xml:space="preserve">инхибитор, 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(инжектиран интравенозно), показва средно покачване на </w:t>
      </w:r>
      <w:r w:rsidRPr="00723166">
        <w:rPr>
          <w:rFonts w:eastAsia="Times New Roman" w:cs="Arial"/>
          <w:color w:val="000000"/>
          <w:szCs w:val="20"/>
          <w:lang w:val="en-US"/>
        </w:rPr>
        <w:t>AUC</w:t>
      </w:r>
      <w:r w:rsidRPr="00FD4C98">
        <w:rPr>
          <w:rFonts w:eastAsia="Times New Roman" w:cs="Arial"/>
          <w:color w:val="000000"/>
          <w:szCs w:val="20"/>
          <w:lang w:val="ru-RU"/>
        </w:rPr>
        <w:t xml:space="preserve"> </w:t>
      </w:r>
      <w:r w:rsidRPr="00723166">
        <w:rPr>
          <w:rFonts w:eastAsia="Times New Roman" w:cs="Arial"/>
          <w:color w:val="000000"/>
          <w:szCs w:val="20"/>
          <w:lang w:eastAsia="bg-BG"/>
        </w:rPr>
        <w:t xml:space="preserve">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 35% (С</w:t>
      </w:r>
      <w:r w:rsidRPr="00723166">
        <w:rPr>
          <w:rFonts w:eastAsia="Times New Roman" w:cs="Arial"/>
          <w:color w:val="000000"/>
          <w:szCs w:val="20"/>
          <w:lang w:val="en-US"/>
        </w:rPr>
        <w:t>I</w:t>
      </w:r>
      <w:r w:rsidRPr="00FD4C98">
        <w:rPr>
          <w:rFonts w:eastAsia="Times New Roman" w:cs="Arial"/>
          <w:color w:val="000000"/>
          <w:szCs w:val="20"/>
          <w:vertAlign w:val="subscript"/>
          <w:lang w:val="ru-RU"/>
        </w:rPr>
        <w:t>90</w:t>
      </w:r>
      <w:r w:rsidRPr="00723166">
        <w:rPr>
          <w:rFonts w:eastAsia="Times New Roman" w:cs="Arial"/>
          <w:color w:val="000000"/>
          <w:szCs w:val="20"/>
          <w:lang w:eastAsia="bg-BG"/>
        </w:rPr>
        <w:t xml:space="preserve">% [1,032 до 1,772]) основаващо се на данни от 12 пациенти. Следователно, пациентите трябва да бъдат внимателно наблюдавани, когато им се прилага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 комбинация с мощни С</w:t>
      </w:r>
      <w:r w:rsidRPr="00723166">
        <w:rPr>
          <w:rFonts w:eastAsia="Times New Roman" w:cs="Arial"/>
          <w:color w:val="000000"/>
          <w:szCs w:val="20"/>
          <w:lang w:val="en-US"/>
        </w:rPr>
        <w:t>Y</w:t>
      </w:r>
      <w:r w:rsidRPr="00723166">
        <w:rPr>
          <w:rFonts w:eastAsia="Times New Roman" w:cs="Arial"/>
          <w:color w:val="000000"/>
          <w:szCs w:val="20"/>
          <w:lang w:eastAsia="bg-BG"/>
        </w:rPr>
        <w:t xml:space="preserve">РЗА4-инхибитори (напр. </w:t>
      </w:r>
      <w:proofErr w:type="spellStart"/>
      <w:r w:rsidRPr="00723166">
        <w:rPr>
          <w:rFonts w:eastAsia="Times New Roman" w:cs="Arial"/>
          <w:color w:val="000000"/>
          <w:szCs w:val="20"/>
          <w:lang w:eastAsia="bg-BG"/>
        </w:rPr>
        <w:t>кетоконазол</w:t>
      </w:r>
      <w:proofErr w:type="spellEnd"/>
      <w:r w:rsidRPr="00723166">
        <w:rPr>
          <w:rFonts w:eastAsia="Times New Roman" w:cs="Arial"/>
          <w:color w:val="000000"/>
          <w:szCs w:val="20"/>
          <w:lang w:eastAsia="bg-BG"/>
        </w:rPr>
        <w:t>, ритонавир).</w:t>
      </w:r>
    </w:p>
    <w:p w14:paraId="0216A67D" w14:textId="77777777" w:rsidR="00723166" w:rsidRPr="00723166" w:rsidRDefault="00723166" w:rsidP="00723166">
      <w:pPr>
        <w:spacing w:line="240" w:lineRule="auto"/>
        <w:rPr>
          <w:rFonts w:eastAsia="Times New Roman" w:cs="Arial"/>
          <w:color w:val="000000"/>
          <w:szCs w:val="20"/>
          <w:lang w:eastAsia="bg-BG"/>
        </w:rPr>
      </w:pPr>
    </w:p>
    <w:p w14:paraId="31F7A1F0" w14:textId="2A726843"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При проучване за лекарствени взаимодействия, оценяващо ефекта на </w:t>
      </w:r>
      <w:proofErr w:type="spellStart"/>
      <w:r w:rsidRPr="00723166">
        <w:rPr>
          <w:rFonts w:eastAsia="Times New Roman" w:cs="Arial"/>
          <w:color w:val="000000"/>
          <w:szCs w:val="20"/>
          <w:lang w:eastAsia="bg-BG"/>
        </w:rPr>
        <w:t>омепразол</w:t>
      </w:r>
      <w:proofErr w:type="spellEnd"/>
      <w:r w:rsidRPr="00723166">
        <w:rPr>
          <w:rFonts w:eastAsia="Times New Roman" w:cs="Arial"/>
          <w:color w:val="000000"/>
          <w:szCs w:val="20"/>
          <w:lang w:eastAsia="bg-BG"/>
        </w:rPr>
        <w:t xml:space="preserve">, мощен </w:t>
      </w:r>
      <w:r w:rsidRPr="00723166">
        <w:rPr>
          <w:rFonts w:eastAsia="Times New Roman" w:cs="Arial"/>
          <w:color w:val="000000"/>
          <w:szCs w:val="20"/>
          <w:lang w:val="en-US"/>
        </w:rPr>
        <w:t>CYP</w:t>
      </w:r>
      <w:r w:rsidRPr="00FD4C98">
        <w:rPr>
          <w:rFonts w:eastAsia="Times New Roman" w:cs="Arial"/>
          <w:color w:val="000000"/>
          <w:szCs w:val="20"/>
          <w:lang w:val="ru-RU"/>
        </w:rPr>
        <w:t>2</w:t>
      </w:r>
      <w:r w:rsidRPr="00723166">
        <w:rPr>
          <w:rFonts w:eastAsia="Times New Roman" w:cs="Arial"/>
          <w:color w:val="000000"/>
          <w:szCs w:val="20"/>
          <w:lang w:val="en-US"/>
        </w:rPr>
        <w:t>C</w:t>
      </w:r>
      <w:r w:rsidRPr="00723166">
        <w:rPr>
          <w:rFonts w:eastAsia="Times New Roman" w:cs="Arial"/>
          <w:color w:val="000000"/>
          <w:szCs w:val="20"/>
          <w:lang w:eastAsia="bg-BG"/>
        </w:rPr>
        <w:t xml:space="preserve">19-инхибитор, 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(инжектиран интравенозно), не се наблюдава значим ефект 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въз основа на данни от 17 пациенти.</w:t>
      </w:r>
    </w:p>
    <w:p w14:paraId="562A434D" w14:textId="77777777" w:rsidR="00723166" w:rsidRPr="00723166" w:rsidRDefault="00723166" w:rsidP="00723166">
      <w:pPr>
        <w:spacing w:line="240" w:lineRule="auto"/>
        <w:rPr>
          <w:rFonts w:eastAsia="Times New Roman" w:cs="Arial"/>
          <w:color w:val="000000"/>
          <w:szCs w:val="20"/>
          <w:lang w:eastAsia="bg-BG"/>
        </w:rPr>
      </w:pPr>
    </w:p>
    <w:p w14:paraId="040C421E" w14:textId="39FDBC36"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Проучване за лекарствени взаимодействия, оценяващо ефекта от </w:t>
      </w:r>
      <w:proofErr w:type="spellStart"/>
      <w:r w:rsidRPr="00723166">
        <w:rPr>
          <w:rFonts w:eastAsia="Times New Roman" w:cs="Arial"/>
          <w:color w:val="000000"/>
          <w:szCs w:val="20"/>
          <w:lang w:eastAsia="bg-BG"/>
        </w:rPr>
        <w:t>рифампицин</w:t>
      </w:r>
      <w:proofErr w:type="spellEnd"/>
      <w:r w:rsidRPr="00723166">
        <w:rPr>
          <w:rFonts w:eastAsia="Times New Roman" w:cs="Arial"/>
          <w:color w:val="000000"/>
          <w:szCs w:val="20"/>
          <w:lang w:eastAsia="bg-BG"/>
        </w:rPr>
        <w:t xml:space="preserve">, мощен индуктор на </w:t>
      </w:r>
      <w:r w:rsidRPr="00723166">
        <w:rPr>
          <w:rFonts w:eastAsia="Times New Roman" w:cs="Arial"/>
          <w:color w:val="000000"/>
          <w:szCs w:val="20"/>
          <w:lang w:val="en-US"/>
        </w:rPr>
        <w:t>CYP</w:t>
      </w:r>
      <w:r w:rsidRPr="00FD4C98">
        <w:rPr>
          <w:rFonts w:eastAsia="Times New Roman" w:cs="Arial"/>
          <w:color w:val="000000"/>
          <w:szCs w:val="20"/>
          <w:lang w:val="ru-RU"/>
        </w:rPr>
        <w:t>3</w:t>
      </w:r>
      <w:r w:rsidRPr="00723166">
        <w:rPr>
          <w:rFonts w:eastAsia="Times New Roman" w:cs="Arial"/>
          <w:color w:val="000000"/>
          <w:szCs w:val="20"/>
          <w:lang w:val="en-US"/>
        </w:rPr>
        <w:t>A</w:t>
      </w:r>
      <w:r w:rsidRPr="00FD4C98">
        <w:rPr>
          <w:rFonts w:eastAsia="Times New Roman" w:cs="Arial"/>
          <w:color w:val="000000"/>
          <w:szCs w:val="20"/>
          <w:lang w:val="ru-RU"/>
        </w:rPr>
        <w:t xml:space="preserve">4, </w:t>
      </w:r>
      <w:r w:rsidRPr="00723166">
        <w:rPr>
          <w:rFonts w:eastAsia="Times New Roman" w:cs="Arial"/>
          <w:color w:val="000000"/>
          <w:szCs w:val="20"/>
          <w:lang w:eastAsia="bg-BG"/>
        </w:rPr>
        <w:t xml:space="preserve">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(инжектиран интравенозно), показва редукция на </w:t>
      </w:r>
      <w:r w:rsidRPr="00723166">
        <w:rPr>
          <w:rFonts w:eastAsia="Times New Roman" w:cs="Arial"/>
          <w:color w:val="000000"/>
          <w:szCs w:val="20"/>
          <w:lang w:val="en-US"/>
        </w:rPr>
        <w:t>AUC</w:t>
      </w:r>
      <w:r w:rsidRPr="00FD4C98">
        <w:rPr>
          <w:rFonts w:eastAsia="Times New Roman" w:cs="Arial"/>
          <w:color w:val="000000"/>
          <w:szCs w:val="20"/>
          <w:lang w:val="ru-RU"/>
        </w:rPr>
        <w:t xml:space="preserve"> </w:t>
      </w:r>
      <w:r w:rsidRPr="00723166">
        <w:rPr>
          <w:rFonts w:eastAsia="Times New Roman" w:cs="Arial"/>
          <w:color w:val="000000"/>
          <w:szCs w:val="20"/>
          <w:lang w:eastAsia="bg-BG"/>
        </w:rPr>
        <w:t xml:space="preserve">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средно с 45%, въз основа на данните от б пациенти. Затова едновременната употреба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със силни индуктори на </w:t>
      </w:r>
      <w:r w:rsidRPr="00723166">
        <w:rPr>
          <w:rFonts w:eastAsia="Times New Roman" w:cs="Arial"/>
          <w:color w:val="000000"/>
          <w:szCs w:val="20"/>
          <w:lang w:val="en-US"/>
        </w:rPr>
        <w:t>CYP</w:t>
      </w:r>
      <w:r w:rsidRPr="00FD4C98">
        <w:rPr>
          <w:rFonts w:eastAsia="Times New Roman" w:cs="Arial"/>
          <w:color w:val="000000"/>
          <w:szCs w:val="20"/>
          <w:lang w:val="ru-RU"/>
        </w:rPr>
        <w:t>3</w:t>
      </w:r>
      <w:r w:rsidRPr="00723166">
        <w:rPr>
          <w:rFonts w:eastAsia="Times New Roman" w:cs="Arial"/>
          <w:color w:val="000000"/>
          <w:szCs w:val="20"/>
          <w:lang w:val="en-US"/>
        </w:rPr>
        <w:t>A</w:t>
      </w:r>
      <w:r w:rsidRPr="00FD4C98">
        <w:rPr>
          <w:rFonts w:eastAsia="Times New Roman" w:cs="Arial"/>
          <w:color w:val="000000"/>
          <w:szCs w:val="20"/>
          <w:lang w:val="ru-RU"/>
        </w:rPr>
        <w:t xml:space="preserve">4 </w:t>
      </w:r>
      <w:r w:rsidRPr="00723166">
        <w:rPr>
          <w:rFonts w:eastAsia="Times New Roman" w:cs="Arial"/>
          <w:color w:val="000000"/>
          <w:szCs w:val="20"/>
          <w:lang w:eastAsia="bg-BG"/>
        </w:rPr>
        <w:t xml:space="preserve">(напр. </w:t>
      </w:r>
      <w:proofErr w:type="spellStart"/>
      <w:r w:rsidRPr="00723166">
        <w:rPr>
          <w:rFonts w:eastAsia="Times New Roman" w:cs="Arial"/>
          <w:color w:val="000000"/>
          <w:szCs w:val="20"/>
          <w:lang w:eastAsia="bg-BG"/>
        </w:rPr>
        <w:t>рифампицин</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карбамазепин</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фенитоин</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фенобарбитал</w:t>
      </w:r>
      <w:proofErr w:type="spellEnd"/>
      <w:r w:rsidRPr="00723166">
        <w:rPr>
          <w:rFonts w:eastAsia="Times New Roman" w:cs="Arial"/>
          <w:color w:val="000000"/>
          <w:szCs w:val="20"/>
          <w:lang w:eastAsia="bg-BG"/>
        </w:rPr>
        <w:t xml:space="preserve"> и жълт кантарион) не се препоръчва, тъй като ефикасността може да бъде намалена.</w:t>
      </w:r>
    </w:p>
    <w:p w14:paraId="6C8FEA81" w14:textId="77777777" w:rsidR="00723166" w:rsidRPr="00723166" w:rsidRDefault="00723166" w:rsidP="00723166">
      <w:pPr>
        <w:spacing w:line="240" w:lineRule="auto"/>
        <w:rPr>
          <w:rFonts w:eastAsia="Times New Roman" w:cs="Arial"/>
          <w:color w:val="000000"/>
          <w:szCs w:val="20"/>
          <w:lang w:eastAsia="bg-BG"/>
        </w:rPr>
      </w:pPr>
    </w:p>
    <w:p w14:paraId="655128C7" w14:textId="2E64D018"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При същото проучване за лекарствени взаимодействия, оценяващо ефекта на </w:t>
      </w:r>
      <w:proofErr w:type="spellStart"/>
      <w:r w:rsidRPr="00723166">
        <w:rPr>
          <w:rFonts w:eastAsia="Times New Roman" w:cs="Arial"/>
          <w:color w:val="000000"/>
          <w:szCs w:val="20"/>
          <w:lang w:eastAsia="bg-BG"/>
        </w:rPr>
        <w:t>дексаметазон</w:t>
      </w:r>
      <w:proofErr w:type="spellEnd"/>
      <w:r w:rsidRPr="00723166">
        <w:rPr>
          <w:rFonts w:eastAsia="Times New Roman" w:cs="Arial"/>
          <w:color w:val="000000"/>
          <w:szCs w:val="20"/>
          <w:lang w:eastAsia="bg-BG"/>
        </w:rPr>
        <w:t xml:space="preserve">, по- слаб индуктор на </w:t>
      </w:r>
      <w:r w:rsidRPr="00723166">
        <w:rPr>
          <w:rFonts w:eastAsia="Times New Roman" w:cs="Arial"/>
          <w:color w:val="000000"/>
          <w:szCs w:val="20"/>
          <w:lang w:val="en-US"/>
        </w:rPr>
        <w:t>CYP</w:t>
      </w:r>
      <w:r w:rsidRPr="00FD4C98">
        <w:rPr>
          <w:rFonts w:eastAsia="Times New Roman" w:cs="Arial"/>
          <w:color w:val="000000"/>
          <w:szCs w:val="20"/>
          <w:lang w:val="ru-RU"/>
        </w:rPr>
        <w:t>3</w:t>
      </w:r>
      <w:r w:rsidRPr="00723166">
        <w:rPr>
          <w:rFonts w:eastAsia="Times New Roman" w:cs="Arial"/>
          <w:color w:val="000000"/>
          <w:szCs w:val="20"/>
          <w:lang w:val="en-US"/>
        </w:rPr>
        <w:t>A</w:t>
      </w:r>
      <w:r w:rsidRPr="00FD4C98">
        <w:rPr>
          <w:rFonts w:eastAsia="Times New Roman" w:cs="Arial"/>
          <w:color w:val="000000"/>
          <w:szCs w:val="20"/>
          <w:lang w:val="ru-RU"/>
        </w:rPr>
        <w:t xml:space="preserve">4, </w:t>
      </w:r>
      <w:r w:rsidRPr="00723166">
        <w:rPr>
          <w:rFonts w:eastAsia="Times New Roman" w:cs="Arial"/>
          <w:color w:val="000000"/>
          <w:szCs w:val="20"/>
          <w:lang w:eastAsia="bg-BG"/>
        </w:rPr>
        <w:t xml:space="preserve">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(инжектиран интравенозно), няма значим ефект 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въз основа на данни от 7 пациенти.</w:t>
      </w:r>
    </w:p>
    <w:p w14:paraId="52305B53" w14:textId="77777777" w:rsidR="00723166" w:rsidRPr="00723166" w:rsidRDefault="00723166" w:rsidP="00723166">
      <w:pPr>
        <w:spacing w:line="240" w:lineRule="auto"/>
        <w:rPr>
          <w:rFonts w:eastAsia="Times New Roman" w:cs="Arial"/>
          <w:color w:val="000000"/>
          <w:szCs w:val="20"/>
          <w:lang w:eastAsia="bg-BG"/>
        </w:rPr>
      </w:pPr>
    </w:p>
    <w:p w14:paraId="759636C0" w14:textId="68244322"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Едно проучване на лекарствените взаимодействия, оценяващо ефекта на </w:t>
      </w:r>
      <w:proofErr w:type="spellStart"/>
      <w:r w:rsidRPr="00723166">
        <w:rPr>
          <w:rFonts w:eastAsia="Times New Roman" w:cs="Arial"/>
          <w:color w:val="000000"/>
          <w:szCs w:val="20"/>
          <w:lang w:eastAsia="bg-BG"/>
        </w:rPr>
        <w:t>мелфалан-преднизон</w:t>
      </w:r>
      <w:proofErr w:type="spellEnd"/>
      <w:r w:rsidRPr="00723166">
        <w:rPr>
          <w:rFonts w:eastAsia="Times New Roman" w:cs="Arial"/>
          <w:color w:val="000000"/>
          <w:szCs w:val="20"/>
          <w:lang w:eastAsia="bg-BG"/>
        </w:rPr>
        <w:t xml:space="preserve"> върху фармакокинетиката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(инжектиран интравенозно), показва увеличение на средната </w:t>
      </w:r>
      <w:r w:rsidRPr="00723166">
        <w:rPr>
          <w:rFonts w:eastAsia="Times New Roman" w:cs="Arial"/>
          <w:color w:val="000000"/>
          <w:szCs w:val="20"/>
          <w:lang w:val="en-US"/>
        </w:rPr>
        <w:t>AUC</w:t>
      </w:r>
      <w:r w:rsidRPr="00FD4C98">
        <w:rPr>
          <w:rFonts w:eastAsia="Times New Roman" w:cs="Arial"/>
          <w:color w:val="000000"/>
          <w:szCs w:val="20"/>
          <w:lang w:val="ru-RU"/>
        </w:rPr>
        <w:t xml:space="preserve"> </w:t>
      </w:r>
      <w:r w:rsidRPr="00723166">
        <w:rPr>
          <w:rFonts w:eastAsia="Times New Roman" w:cs="Arial"/>
          <w:color w:val="000000"/>
          <w:szCs w:val="20"/>
          <w:lang w:eastAsia="bg-BG"/>
        </w:rPr>
        <w:t xml:space="preserve">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със 17%, въз основа на данни от 21 пациента. Този резултат не се счита за клинично приложим.</w:t>
      </w:r>
    </w:p>
    <w:p w14:paraId="52E64AE3" w14:textId="77777777" w:rsidR="00723166" w:rsidRPr="00723166" w:rsidRDefault="00723166" w:rsidP="00723166">
      <w:pPr>
        <w:rPr>
          <w:rFonts w:eastAsia="Times New Roman" w:cs="Arial"/>
          <w:color w:val="000000"/>
          <w:szCs w:val="20"/>
          <w:lang w:eastAsia="bg-BG"/>
        </w:rPr>
      </w:pPr>
    </w:p>
    <w:p w14:paraId="5B2761C5" w14:textId="67D3C2A0" w:rsidR="0091385D" w:rsidRPr="00723166" w:rsidRDefault="00723166" w:rsidP="00723166">
      <w:pPr>
        <w:rPr>
          <w:rFonts w:eastAsia="Times New Roman" w:cs="Arial"/>
          <w:color w:val="000000"/>
          <w:szCs w:val="20"/>
          <w:lang w:eastAsia="bg-BG"/>
        </w:rPr>
      </w:pPr>
      <w:r w:rsidRPr="00723166">
        <w:rPr>
          <w:rFonts w:eastAsia="Times New Roman" w:cs="Arial"/>
          <w:color w:val="000000"/>
          <w:szCs w:val="20"/>
          <w:lang w:eastAsia="bg-BG"/>
        </w:rPr>
        <w:lastRenderedPageBreak/>
        <w:t xml:space="preserve">По време на клиничните проучвания са съобщени нечесто и често хипогликемия и хипергликемия при диабетици, получаващи перорални хипогликемични лекарствени продукти. При пациенти, приемащи перорални антидиабетни лекарствени продукти и същевременно лекувани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може да се наложи внимателно проследяване на нивата на кръвната захар и адаптиране на дозата на техните антидиабетни продукти.</w:t>
      </w:r>
    </w:p>
    <w:p w14:paraId="5A14A368" w14:textId="45045F51" w:rsidR="00723166" w:rsidRPr="0091385D" w:rsidRDefault="00723166"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293A342B"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Контрацепция при мъже и жени</w:t>
      </w:r>
    </w:p>
    <w:p w14:paraId="38F01F80"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Мъже и жени с детероден потенциал трябва да използват ефективни мерки за контрацепция по време на лечението и в продължение на 3 месеца след лечението.</w:t>
      </w:r>
    </w:p>
    <w:p w14:paraId="29E769B0" w14:textId="77777777" w:rsidR="00723166" w:rsidRPr="00723166" w:rsidRDefault="00723166" w:rsidP="00723166">
      <w:pPr>
        <w:spacing w:line="240" w:lineRule="auto"/>
        <w:rPr>
          <w:rFonts w:eastAsia="Times New Roman" w:cs="Arial"/>
          <w:color w:val="000000"/>
          <w:szCs w:val="20"/>
          <w:u w:val="single"/>
          <w:lang w:eastAsia="bg-BG"/>
        </w:rPr>
      </w:pPr>
    </w:p>
    <w:p w14:paraId="6EF54F15" w14:textId="71B0E252" w:rsidR="00723166" w:rsidRPr="00613F14" w:rsidRDefault="00723166" w:rsidP="00613F14">
      <w:pPr>
        <w:pStyle w:val="Heading3"/>
        <w:rPr>
          <w:rFonts w:eastAsia="Times New Roman"/>
          <w:sz w:val="28"/>
          <w:u w:val="single"/>
          <w:lang w:eastAsia="bg-BG"/>
        </w:rPr>
      </w:pPr>
      <w:r w:rsidRPr="00613F14">
        <w:rPr>
          <w:rFonts w:eastAsia="Times New Roman"/>
          <w:u w:val="single"/>
          <w:lang w:eastAsia="bg-BG"/>
        </w:rPr>
        <w:t>Бременност</w:t>
      </w:r>
    </w:p>
    <w:p w14:paraId="53E7D3CF"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Липсват клинични данни за случаи на експозиция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по време на бременност. Тератогенният потенциал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не е цялостно проучван.</w:t>
      </w:r>
    </w:p>
    <w:p w14:paraId="5EC0E4DD" w14:textId="77777777" w:rsidR="00723166" w:rsidRPr="00723166" w:rsidRDefault="00723166" w:rsidP="00723166">
      <w:pPr>
        <w:spacing w:line="240" w:lineRule="auto"/>
        <w:rPr>
          <w:rFonts w:eastAsia="Times New Roman" w:cs="Arial"/>
          <w:color w:val="000000"/>
          <w:szCs w:val="20"/>
          <w:lang w:eastAsia="bg-BG"/>
        </w:rPr>
      </w:pPr>
    </w:p>
    <w:p w14:paraId="297AF7A7" w14:textId="77777777" w:rsidR="00723166" w:rsidRPr="00723166" w:rsidRDefault="00723166" w:rsidP="00723166">
      <w:pPr>
        <w:rPr>
          <w:rFonts w:eastAsia="Times New Roman" w:cs="Arial"/>
          <w:sz w:val="28"/>
          <w:szCs w:val="24"/>
          <w:lang w:eastAsia="bg-BG"/>
        </w:rPr>
      </w:pPr>
      <w:r w:rsidRPr="00723166">
        <w:rPr>
          <w:rFonts w:eastAsia="Times New Roman" w:cs="Arial"/>
          <w:color w:val="000000"/>
          <w:szCs w:val="20"/>
          <w:lang w:eastAsia="bg-BG"/>
        </w:rPr>
        <w:t xml:space="preserve">В предклинични проучвания,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не е имал ефекти върху </w:t>
      </w:r>
      <w:proofErr w:type="spellStart"/>
      <w:r w:rsidRPr="00723166">
        <w:rPr>
          <w:rFonts w:eastAsia="Times New Roman" w:cs="Arial"/>
          <w:color w:val="000000"/>
          <w:szCs w:val="20"/>
          <w:lang w:eastAsia="bg-BG"/>
        </w:rPr>
        <w:t>ембрио</w:t>
      </w:r>
      <w:proofErr w:type="spellEnd"/>
      <w:r w:rsidRPr="00723166">
        <w:rPr>
          <w:rFonts w:eastAsia="Times New Roman" w:cs="Arial"/>
          <w:color w:val="000000"/>
          <w:szCs w:val="20"/>
          <w:lang w:eastAsia="bg-BG"/>
        </w:rPr>
        <w:t xml:space="preserve">-феталното развитие на плъхове и зайци при най-високите дози толерирани от майката. Не са провеждани проучвания с животни за изследване на влиянието на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върху раждането</w:t>
      </w:r>
      <w:r w:rsidRPr="00FD4C98">
        <w:rPr>
          <w:rFonts w:eastAsia="Times New Roman" w:cs="Arial"/>
          <w:sz w:val="28"/>
          <w:szCs w:val="24"/>
          <w:lang w:val="ru-RU" w:eastAsia="bg-BG"/>
        </w:rPr>
        <w:t xml:space="preserve"> </w:t>
      </w:r>
      <w:proofErr w:type="spellStart"/>
      <w:r w:rsidRPr="00723166">
        <w:rPr>
          <w:rFonts w:eastAsia="Times New Roman" w:cs="Arial"/>
          <w:color w:val="000000"/>
          <w:szCs w:val="20"/>
          <w:lang w:eastAsia="bg-BG"/>
        </w:rPr>
        <w:t>постнаталното</w:t>
      </w:r>
      <w:proofErr w:type="spellEnd"/>
      <w:r w:rsidRPr="00723166">
        <w:rPr>
          <w:rFonts w:eastAsia="Times New Roman" w:cs="Arial"/>
          <w:color w:val="000000"/>
          <w:szCs w:val="20"/>
          <w:lang w:eastAsia="bg-BG"/>
        </w:rPr>
        <w:t xml:space="preserve"> развитие (вж. точка 53).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не трябва да се използва по време на</w:t>
      </w:r>
      <w:r w:rsidRPr="00FD4C98">
        <w:rPr>
          <w:rFonts w:eastAsia="Times New Roman" w:cs="Arial"/>
          <w:color w:val="000000"/>
          <w:szCs w:val="20"/>
          <w:lang w:val="ru-RU" w:eastAsia="bg-BG"/>
        </w:rPr>
        <w:t xml:space="preserve"> </w:t>
      </w:r>
      <w:r w:rsidRPr="00723166">
        <w:rPr>
          <w:rFonts w:eastAsia="Times New Roman" w:cs="Arial"/>
          <w:color w:val="000000"/>
          <w:szCs w:val="20"/>
          <w:lang w:eastAsia="bg-BG"/>
        </w:rPr>
        <w:t xml:space="preserve">бременност, освен когато клиничното състояние на жената изисква лечение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Ако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се използва по време на бременност или ако пациентката забременее, докато получава този лекарствен продукт, тя трябва да бъде информирана за възможните рискове за плода.</w:t>
      </w:r>
    </w:p>
    <w:p w14:paraId="6D7B78BD" w14:textId="77777777" w:rsidR="00723166" w:rsidRPr="00723166" w:rsidRDefault="00723166" w:rsidP="00723166">
      <w:pPr>
        <w:spacing w:line="240" w:lineRule="auto"/>
        <w:rPr>
          <w:rFonts w:eastAsia="Times New Roman" w:cs="Arial"/>
          <w:sz w:val="28"/>
          <w:szCs w:val="24"/>
          <w:lang w:eastAsia="bg-BG"/>
        </w:rPr>
      </w:pPr>
      <w:proofErr w:type="spellStart"/>
      <w:r w:rsidRPr="00723166">
        <w:rPr>
          <w:rFonts w:eastAsia="Times New Roman" w:cs="Arial"/>
          <w:color w:val="000000"/>
          <w:szCs w:val="20"/>
          <w:lang w:eastAsia="bg-BG"/>
        </w:rPr>
        <w:t>Талидомид</w:t>
      </w:r>
      <w:proofErr w:type="spellEnd"/>
      <w:r w:rsidRPr="00723166">
        <w:rPr>
          <w:rFonts w:eastAsia="Times New Roman" w:cs="Arial"/>
          <w:color w:val="000000"/>
          <w:szCs w:val="20"/>
          <w:lang w:eastAsia="bg-BG"/>
        </w:rPr>
        <w:t xml:space="preserve"> е известно тератогенно активно вещество при хора, което причинява тежки животозастрашаващи вродени дефекти. </w:t>
      </w:r>
      <w:proofErr w:type="spellStart"/>
      <w:r w:rsidRPr="00723166">
        <w:rPr>
          <w:rFonts w:eastAsia="Times New Roman" w:cs="Arial"/>
          <w:color w:val="000000"/>
          <w:szCs w:val="20"/>
          <w:lang w:eastAsia="bg-BG"/>
        </w:rPr>
        <w:t>Талидомид</w:t>
      </w:r>
      <w:proofErr w:type="spellEnd"/>
      <w:r w:rsidRPr="00723166">
        <w:rPr>
          <w:rFonts w:eastAsia="Times New Roman" w:cs="Arial"/>
          <w:color w:val="000000"/>
          <w:szCs w:val="20"/>
          <w:lang w:eastAsia="bg-BG"/>
        </w:rPr>
        <w:t xml:space="preserve"> е противопоказан по време на бременност и при жени с детероден потенциал, освен ако са изпълнени всички условия на програмата за превенция на бременността на </w:t>
      </w:r>
      <w:proofErr w:type="spellStart"/>
      <w:r w:rsidRPr="00723166">
        <w:rPr>
          <w:rFonts w:eastAsia="Times New Roman" w:cs="Arial"/>
          <w:color w:val="000000"/>
          <w:szCs w:val="20"/>
          <w:lang w:eastAsia="bg-BG"/>
        </w:rPr>
        <w:t>талидомид</w:t>
      </w:r>
      <w:proofErr w:type="spellEnd"/>
      <w:r w:rsidRPr="00723166">
        <w:rPr>
          <w:rFonts w:eastAsia="Times New Roman" w:cs="Arial"/>
          <w:color w:val="000000"/>
          <w:szCs w:val="20"/>
          <w:lang w:eastAsia="bg-BG"/>
        </w:rPr>
        <w:t xml:space="preserve">. Пациенти, лекувани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 комбинация с </w:t>
      </w:r>
      <w:proofErr w:type="spellStart"/>
      <w:r w:rsidRPr="00723166">
        <w:rPr>
          <w:rFonts w:eastAsia="Times New Roman" w:cs="Arial"/>
          <w:color w:val="000000"/>
          <w:szCs w:val="20"/>
          <w:lang w:eastAsia="bg-BG"/>
        </w:rPr>
        <w:t>талидомид</w:t>
      </w:r>
      <w:proofErr w:type="spellEnd"/>
      <w:r w:rsidRPr="00723166">
        <w:rPr>
          <w:rFonts w:eastAsia="Times New Roman" w:cs="Arial"/>
          <w:color w:val="000000"/>
          <w:szCs w:val="20"/>
          <w:lang w:eastAsia="bg-BG"/>
        </w:rPr>
        <w:t xml:space="preserve">, трябва да следват програмата за превенция на бременността при лечение с </w:t>
      </w:r>
      <w:proofErr w:type="spellStart"/>
      <w:r w:rsidRPr="00723166">
        <w:rPr>
          <w:rFonts w:eastAsia="Times New Roman" w:cs="Arial"/>
          <w:color w:val="000000"/>
          <w:szCs w:val="20"/>
          <w:lang w:eastAsia="bg-BG"/>
        </w:rPr>
        <w:t>талидомид</w:t>
      </w:r>
      <w:proofErr w:type="spellEnd"/>
      <w:r w:rsidRPr="00723166">
        <w:rPr>
          <w:rFonts w:eastAsia="Times New Roman" w:cs="Arial"/>
          <w:color w:val="000000"/>
          <w:szCs w:val="20"/>
          <w:lang w:eastAsia="bg-BG"/>
        </w:rPr>
        <w:t xml:space="preserve">. За допълнителна информация вижте Кратка характеристика на продукта на </w:t>
      </w:r>
      <w:proofErr w:type="spellStart"/>
      <w:r w:rsidRPr="00723166">
        <w:rPr>
          <w:rFonts w:eastAsia="Times New Roman" w:cs="Arial"/>
          <w:color w:val="000000"/>
          <w:szCs w:val="20"/>
          <w:lang w:eastAsia="bg-BG"/>
        </w:rPr>
        <w:t>талидомид</w:t>
      </w:r>
      <w:proofErr w:type="spellEnd"/>
      <w:r w:rsidRPr="00723166">
        <w:rPr>
          <w:rFonts w:eastAsia="Times New Roman" w:cs="Arial"/>
          <w:color w:val="000000"/>
          <w:szCs w:val="20"/>
          <w:lang w:eastAsia="bg-BG"/>
        </w:rPr>
        <w:t>.</w:t>
      </w:r>
    </w:p>
    <w:p w14:paraId="256E3F03" w14:textId="77777777" w:rsidR="00723166" w:rsidRPr="00723166" w:rsidRDefault="00723166" w:rsidP="00723166">
      <w:pPr>
        <w:spacing w:line="240" w:lineRule="auto"/>
        <w:rPr>
          <w:rFonts w:eastAsia="Times New Roman" w:cs="Arial"/>
          <w:color w:val="000000"/>
          <w:szCs w:val="20"/>
          <w:u w:val="single"/>
          <w:lang w:eastAsia="bg-BG"/>
        </w:rPr>
      </w:pPr>
    </w:p>
    <w:p w14:paraId="34D3D7E8" w14:textId="0099C02D" w:rsidR="00723166" w:rsidRPr="00613F14" w:rsidRDefault="00723166" w:rsidP="00613F14">
      <w:pPr>
        <w:pStyle w:val="Heading3"/>
        <w:rPr>
          <w:rFonts w:eastAsia="Times New Roman"/>
          <w:sz w:val="28"/>
          <w:u w:val="single"/>
          <w:lang w:eastAsia="bg-BG"/>
        </w:rPr>
      </w:pPr>
      <w:r w:rsidRPr="00613F14">
        <w:rPr>
          <w:rFonts w:eastAsia="Times New Roman"/>
          <w:u w:val="single"/>
          <w:lang w:eastAsia="bg-BG"/>
        </w:rPr>
        <w:t>Кърмене</w:t>
      </w:r>
    </w:p>
    <w:p w14:paraId="3E0EB2D4"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Не е известно дали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се </w:t>
      </w:r>
      <w:proofErr w:type="spellStart"/>
      <w:r w:rsidRPr="00723166">
        <w:rPr>
          <w:rFonts w:eastAsia="Times New Roman" w:cs="Arial"/>
          <w:color w:val="000000"/>
          <w:szCs w:val="20"/>
          <w:lang w:eastAsia="bg-BG"/>
        </w:rPr>
        <w:t>екскретира</w:t>
      </w:r>
      <w:proofErr w:type="spellEnd"/>
      <w:r w:rsidRPr="00723166">
        <w:rPr>
          <w:rFonts w:eastAsia="Times New Roman" w:cs="Arial"/>
          <w:color w:val="000000"/>
          <w:szCs w:val="20"/>
          <w:lang w:eastAsia="bg-BG"/>
        </w:rPr>
        <w:t xml:space="preserve"> в кърмата. Поради възможността за сериозни нежелани реакции при кърмачето, кърменето трябва да се преустанови по време на лечението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w:t>
      </w:r>
    </w:p>
    <w:p w14:paraId="2FF84ACD" w14:textId="77777777" w:rsidR="00723166" w:rsidRPr="00723166" w:rsidRDefault="00723166" w:rsidP="00723166">
      <w:pPr>
        <w:spacing w:line="240" w:lineRule="auto"/>
        <w:rPr>
          <w:rFonts w:eastAsia="Times New Roman" w:cs="Arial"/>
          <w:color w:val="000000"/>
          <w:szCs w:val="20"/>
          <w:u w:val="single"/>
          <w:lang w:eastAsia="bg-BG"/>
        </w:rPr>
      </w:pPr>
    </w:p>
    <w:p w14:paraId="54EF36CC" w14:textId="11742691" w:rsidR="00723166" w:rsidRPr="00613F14" w:rsidRDefault="00723166" w:rsidP="00613F14">
      <w:pPr>
        <w:pStyle w:val="Heading3"/>
        <w:rPr>
          <w:rFonts w:eastAsia="Times New Roman"/>
          <w:sz w:val="28"/>
          <w:u w:val="single"/>
          <w:lang w:eastAsia="bg-BG"/>
        </w:rPr>
      </w:pPr>
      <w:r w:rsidRPr="00613F14">
        <w:rPr>
          <w:rFonts w:eastAsia="Times New Roman"/>
          <w:u w:val="single"/>
          <w:lang w:eastAsia="bg-BG"/>
        </w:rPr>
        <w:t>Фертилитет</w:t>
      </w:r>
    </w:p>
    <w:p w14:paraId="102F0D07" w14:textId="78160A65" w:rsidR="007A2185" w:rsidRPr="00FD4C98" w:rsidRDefault="00723166" w:rsidP="00723166">
      <w:pPr>
        <w:spacing w:line="240" w:lineRule="auto"/>
        <w:rPr>
          <w:rFonts w:eastAsia="Times New Roman" w:cs="Arial"/>
          <w:sz w:val="28"/>
          <w:szCs w:val="24"/>
          <w:lang w:val="ru-RU" w:eastAsia="bg-BG"/>
        </w:rPr>
      </w:pPr>
      <w:r w:rsidRPr="00723166">
        <w:rPr>
          <w:rFonts w:eastAsia="Times New Roman" w:cs="Arial"/>
          <w:color w:val="000000"/>
          <w:szCs w:val="20"/>
          <w:lang w:eastAsia="bg-BG"/>
        </w:rPr>
        <w:t xml:space="preserve">Не са провеждани проучвания на </w:t>
      </w:r>
      <w:proofErr w:type="spellStart"/>
      <w:r w:rsidRPr="00723166">
        <w:rPr>
          <w:rFonts w:eastAsia="Times New Roman" w:cs="Arial"/>
          <w:color w:val="000000"/>
          <w:szCs w:val="20"/>
          <w:lang w:eastAsia="bg-BG"/>
        </w:rPr>
        <w:t>фертилитета</w:t>
      </w:r>
      <w:proofErr w:type="spellEnd"/>
      <w:r w:rsidRPr="00723166">
        <w:rPr>
          <w:rFonts w:eastAsia="Times New Roman" w:cs="Arial"/>
          <w:color w:val="000000"/>
          <w:szCs w:val="20"/>
          <w:lang w:eastAsia="bg-BG"/>
        </w:rPr>
        <w:t xml:space="preserve">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(вж. точка 5.3).</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7C895E41" w:rsidR="007A2185" w:rsidRPr="00723166" w:rsidRDefault="00723166" w:rsidP="0091385D">
      <w:pPr>
        <w:rPr>
          <w:rFonts w:cs="Arial"/>
          <w:sz w:val="24"/>
        </w:rPr>
      </w:pPr>
      <w:proofErr w:type="spellStart"/>
      <w:r w:rsidRPr="00723166">
        <w:rPr>
          <w:rFonts w:cs="Arial"/>
          <w:szCs w:val="20"/>
        </w:rPr>
        <w:t>Бортезокон</w:t>
      </w:r>
      <w:proofErr w:type="spellEnd"/>
      <w:r w:rsidRPr="00723166">
        <w:rPr>
          <w:rFonts w:cs="Arial"/>
          <w:szCs w:val="20"/>
        </w:rPr>
        <w:t xml:space="preserve"> може да има умерено влияние върху способността за шофиране и работа с машини. </w:t>
      </w:r>
      <w:proofErr w:type="spellStart"/>
      <w:r w:rsidRPr="00723166">
        <w:rPr>
          <w:rFonts w:cs="Arial"/>
          <w:szCs w:val="20"/>
        </w:rPr>
        <w:t>Бортезокон</w:t>
      </w:r>
      <w:proofErr w:type="spellEnd"/>
      <w:r w:rsidRPr="00723166">
        <w:rPr>
          <w:rFonts w:cs="Arial"/>
          <w:szCs w:val="20"/>
        </w:rPr>
        <w:t xml:space="preserve"> може да бъде свързан много често с умора, често със замайване, нечесто със </w:t>
      </w:r>
      <w:proofErr w:type="spellStart"/>
      <w:r w:rsidRPr="00723166">
        <w:rPr>
          <w:rFonts w:cs="Arial"/>
          <w:szCs w:val="20"/>
        </w:rPr>
        <w:t>синкоп</w:t>
      </w:r>
      <w:proofErr w:type="spellEnd"/>
      <w:r w:rsidRPr="00723166">
        <w:rPr>
          <w:rFonts w:cs="Arial"/>
          <w:szCs w:val="20"/>
        </w:rPr>
        <w:t xml:space="preserve"> и често с ортостатична/</w:t>
      </w:r>
      <w:proofErr w:type="spellStart"/>
      <w:r w:rsidRPr="00723166">
        <w:rPr>
          <w:rFonts w:cs="Arial"/>
          <w:szCs w:val="20"/>
        </w:rPr>
        <w:t>постурална</w:t>
      </w:r>
      <w:proofErr w:type="spellEnd"/>
      <w:r w:rsidRPr="00723166">
        <w:rPr>
          <w:rFonts w:cs="Arial"/>
          <w:szCs w:val="20"/>
        </w:rPr>
        <w:t xml:space="preserve"> хипотония или замъглено зрение. Затова пациентите трябва да бъдат внимателни, когато шофират или използват машини (вж. точка 4.8).</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68964EFA"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Обобщение на профила на безопасност</w:t>
      </w:r>
    </w:p>
    <w:p w14:paraId="7D6F532F" w14:textId="77777777" w:rsidR="00723166" w:rsidRPr="00723166" w:rsidRDefault="00723166" w:rsidP="00723166">
      <w:pPr>
        <w:spacing w:line="240" w:lineRule="auto"/>
        <w:rPr>
          <w:rFonts w:eastAsia="Times New Roman" w:cs="Arial"/>
          <w:color w:val="000000"/>
          <w:szCs w:val="20"/>
          <w:lang w:eastAsia="bg-BG"/>
        </w:rPr>
      </w:pPr>
    </w:p>
    <w:p w14:paraId="6960C108" w14:textId="1C80349E"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Нечесто съобщавани сериозни нежелани реакции по време на лечение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включват сърдечна недостатъчност, синдром на туморен разпад, белодробна хипертония, синдром на </w:t>
      </w:r>
      <w:proofErr w:type="spellStart"/>
      <w:r w:rsidRPr="00723166">
        <w:rPr>
          <w:rFonts w:eastAsia="Times New Roman" w:cs="Arial"/>
          <w:color w:val="000000"/>
          <w:szCs w:val="20"/>
          <w:lang w:eastAsia="bg-BG"/>
        </w:rPr>
        <w:t>постериорна</w:t>
      </w:r>
      <w:proofErr w:type="spellEnd"/>
      <w:r w:rsidRPr="00723166">
        <w:rPr>
          <w:rFonts w:eastAsia="Times New Roman" w:cs="Arial"/>
          <w:color w:val="000000"/>
          <w:szCs w:val="20"/>
          <w:lang w:eastAsia="bg-BG"/>
        </w:rPr>
        <w:t xml:space="preserve"> обратима енцефалопатия, остра дифузна </w:t>
      </w:r>
      <w:proofErr w:type="spellStart"/>
      <w:r w:rsidRPr="00723166">
        <w:rPr>
          <w:rFonts w:eastAsia="Times New Roman" w:cs="Arial"/>
          <w:color w:val="000000"/>
          <w:szCs w:val="20"/>
          <w:lang w:eastAsia="bg-BG"/>
        </w:rPr>
        <w:t>инфилтративна</w:t>
      </w:r>
      <w:proofErr w:type="spellEnd"/>
      <w:r w:rsidRPr="00723166">
        <w:rPr>
          <w:rFonts w:eastAsia="Times New Roman" w:cs="Arial"/>
          <w:color w:val="000000"/>
          <w:szCs w:val="20"/>
          <w:lang w:eastAsia="bg-BG"/>
        </w:rPr>
        <w:t xml:space="preserve"> белодробна болест и рядко автономна невропатия. Най-често съобщаваните нежелани лекарствени реакции при лечение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са гадене, диария, запек, повръщане, умора, </w:t>
      </w:r>
      <w:proofErr w:type="spellStart"/>
      <w:r w:rsidRPr="00723166">
        <w:rPr>
          <w:rFonts w:eastAsia="Times New Roman" w:cs="Arial"/>
          <w:color w:val="000000"/>
          <w:szCs w:val="20"/>
          <w:lang w:eastAsia="bg-BG"/>
        </w:rPr>
        <w:t>пирексия</w:t>
      </w:r>
      <w:proofErr w:type="spellEnd"/>
      <w:r w:rsidRPr="00723166">
        <w:rPr>
          <w:rFonts w:eastAsia="Times New Roman" w:cs="Arial"/>
          <w:color w:val="000000"/>
          <w:szCs w:val="20"/>
          <w:lang w:eastAsia="bg-BG"/>
        </w:rPr>
        <w:t xml:space="preserve">, </w:t>
      </w:r>
      <w:proofErr w:type="spellStart"/>
      <w:r w:rsidRPr="00723166">
        <w:rPr>
          <w:rFonts w:eastAsia="Times New Roman" w:cs="Arial"/>
          <w:color w:val="000000"/>
          <w:szCs w:val="20"/>
          <w:lang w:eastAsia="bg-BG"/>
        </w:rPr>
        <w:t>тромбоцитопения</w:t>
      </w:r>
      <w:proofErr w:type="spellEnd"/>
      <w:r w:rsidRPr="00723166">
        <w:rPr>
          <w:rFonts w:eastAsia="Times New Roman" w:cs="Arial"/>
          <w:color w:val="000000"/>
          <w:szCs w:val="20"/>
          <w:lang w:eastAsia="bg-BG"/>
        </w:rPr>
        <w:t xml:space="preserve">, анемия, </w:t>
      </w:r>
      <w:proofErr w:type="spellStart"/>
      <w:r w:rsidRPr="00723166">
        <w:rPr>
          <w:rFonts w:eastAsia="Times New Roman" w:cs="Arial"/>
          <w:color w:val="000000"/>
          <w:szCs w:val="20"/>
          <w:lang w:eastAsia="bg-BG"/>
        </w:rPr>
        <w:t>неутропения</w:t>
      </w:r>
      <w:proofErr w:type="spellEnd"/>
      <w:r w:rsidRPr="00723166">
        <w:rPr>
          <w:rFonts w:eastAsia="Times New Roman" w:cs="Arial"/>
          <w:color w:val="000000"/>
          <w:szCs w:val="20"/>
          <w:lang w:eastAsia="bg-BG"/>
        </w:rPr>
        <w:t xml:space="preserve">, периферна невропатия (включително сетивна), главоболие, </w:t>
      </w:r>
      <w:proofErr w:type="spellStart"/>
      <w:r w:rsidRPr="00723166">
        <w:rPr>
          <w:rFonts w:eastAsia="Times New Roman" w:cs="Arial"/>
          <w:color w:val="000000"/>
          <w:szCs w:val="20"/>
          <w:lang w:eastAsia="bg-BG"/>
        </w:rPr>
        <w:t>парестезия</w:t>
      </w:r>
      <w:proofErr w:type="spellEnd"/>
      <w:r w:rsidRPr="00723166">
        <w:rPr>
          <w:rFonts w:eastAsia="Times New Roman" w:cs="Arial"/>
          <w:color w:val="000000"/>
          <w:szCs w:val="20"/>
          <w:lang w:eastAsia="bg-BG"/>
        </w:rPr>
        <w:t xml:space="preserve">, намален апетит, </w:t>
      </w:r>
      <w:proofErr w:type="spellStart"/>
      <w:r w:rsidRPr="00723166">
        <w:rPr>
          <w:rFonts w:eastAsia="Times New Roman" w:cs="Arial"/>
          <w:color w:val="000000"/>
          <w:szCs w:val="20"/>
          <w:lang w:eastAsia="bg-BG"/>
        </w:rPr>
        <w:t>диепнея</w:t>
      </w:r>
      <w:proofErr w:type="spellEnd"/>
      <w:r w:rsidRPr="00723166">
        <w:rPr>
          <w:rFonts w:eastAsia="Times New Roman" w:cs="Arial"/>
          <w:color w:val="000000"/>
          <w:szCs w:val="20"/>
          <w:lang w:eastAsia="bg-BG"/>
        </w:rPr>
        <w:t xml:space="preserve">, обрив, херпес зостер и </w:t>
      </w:r>
      <w:proofErr w:type="spellStart"/>
      <w:r w:rsidRPr="00723166">
        <w:rPr>
          <w:rFonts w:eastAsia="Times New Roman" w:cs="Arial"/>
          <w:color w:val="000000"/>
          <w:szCs w:val="20"/>
          <w:lang w:eastAsia="bg-BG"/>
        </w:rPr>
        <w:t>миалгия</w:t>
      </w:r>
      <w:proofErr w:type="spellEnd"/>
      <w:r w:rsidRPr="00723166">
        <w:rPr>
          <w:rFonts w:eastAsia="Times New Roman" w:cs="Arial"/>
          <w:color w:val="000000"/>
          <w:szCs w:val="20"/>
          <w:lang w:eastAsia="bg-BG"/>
        </w:rPr>
        <w:t>.</w:t>
      </w:r>
    </w:p>
    <w:p w14:paraId="01B401F2" w14:textId="77777777" w:rsidR="00723166" w:rsidRPr="00723166" w:rsidRDefault="00723166" w:rsidP="00723166">
      <w:pPr>
        <w:spacing w:line="240" w:lineRule="auto"/>
        <w:rPr>
          <w:rFonts w:eastAsia="Times New Roman" w:cs="Arial"/>
          <w:color w:val="000000"/>
          <w:szCs w:val="20"/>
          <w:u w:val="single"/>
          <w:lang w:eastAsia="bg-BG"/>
        </w:rPr>
      </w:pPr>
    </w:p>
    <w:p w14:paraId="3FDA458B" w14:textId="32D71E59"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u w:val="single"/>
          <w:lang w:eastAsia="bg-BG"/>
        </w:rPr>
        <w:t>Обобщение на нежеланите реакции в табличен вид</w:t>
      </w:r>
    </w:p>
    <w:p w14:paraId="33AAC614" w14:textId="77777777"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Нежеланите реакции в Таблица 6 според преценката на изследователите имат най-малко възможна или вероятна причинно-следствена връзка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Тези нежелани реакции се основават на интегриран набор от данни от 5 476 пациенти, от които 3 996 пациенти са лекувани с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от 1,3 </w:t>
      </w:r>
      <w:r w:rsidRPr="00723166">
        <w:rPr>
          <w:rFonts w:eastAsia="Times New Roman" w:cs="Arial"/>
          <w:color w:val="000000"/>
          <w:szCs w:val="20"/>
          <w:lang w:val="en-US"/>
        </w:rPr>
        <w:t>mg</w:t>
      </w:r>
      <w:r w:rsidRPr="00FD4C98">
        <w:rPr>
          <w:rFonts w:eastAsia="Times New Roman" w:cs="Arial"/>
          <w:color w:val="000000"/>
          <w:szCs w:val="20"/>
          <w:lang w:val="ru-RU"/>
        </w:rPr>
        <w:t>/</w:t>
      </w:r>
      <w:r w:rsidRPr="00723166">
        <w:rPr>
          <w:rFonts w:eastAsia="Times New Roman" w:cs="Arial"/>
          <w:color w:val="000000"/>
          <w:szCs w:val="20"/>
          <w:lang w:val="en-US"/>
        </w:rPr>
        <w:t>m</w:t>
      </w:r>
      <w:r w:rsidRPr="00FD4C98">
        <w:rPr>
          <w:rFonts w:eastAsia="Times New Roman" w:cs="Arial"/>
          <w:color w:val="000000"/>
          <w:szCs w:val="20"/>
          <w:vertAlign w:val="superscript"/>
          <w:lang w:val="ru-RU"/>
        </w:rPr>
        <w:t>2</w:t>
      </w:r>
      <w:r w:rsidRPr="00FD4C98">
        <w:rPr>
          <w:rFonts w:eastAsia="Times New Roman" w:cs="Arial"/>
          <w:color w:val="000000"/>
          <w:szCs w:val="20"/>
          <w:lang w:val="ru-RU"/>
        </w:rPr>
        <w:t xml:space="preserve"> </w:t>
      </w:r>
      <w:r w:rsidRPr="00723166">
        <w:rPr>
          <w:rFonts w:eastAsia="Times New Roman" w:cs="Arial"/>
          <w:color w:val="000000"/>
          <w:szCs w:val="20"/>
          <w:lang w:eastAsia="bg-BG"/>
        </w:rPr>
        <w:t>и са включени в Таблица 6.</w:t>
      </w:r>
    </w:p>
    <w:p w14:paraId="7C01D51D" w14:textId="77777777" w:rsidR="00723166" w:rsidRPr="00723166" w:rsidRDefault="00723166" w:rsidP="00723166">
      <w:pPr>
        <w:spacing w:line="240" w:lineRule="auto"/>
        <w:rPr>
          <w:rFonts w:eastAsia="Times New Roman" w:cs="Arial"/>
          <w:color w:val="000000"/>
          <w:szCs w:val="20"/>
          <w:lang w:eastAsia="bg-BG"/>
        </w:rPr>
      </w:pPr>
    </w:p>
    <w:p w14:paraId="397DCC47" w14:textId="22B45A88" w:rsidR="00723166" w:rsidRPr="00723166" w:rsidRDefault="00723166" w:rsidP="00723166">
      <w:pPr>
        <w:spacing w:line="240" w:lineRule="auto"/>
        <w:rPr>
          <w:rFonts w:eastAsia="Times New Roman" w:cs="Arial"/>
          <w:sz w:val="28"/>
          <w:szCs w:val="24"/>
          <w:lang w:eastAsia="bg-BG"/>
        </w:rPr>
      </w:pPr>
      <w:r w:rsidRPr="00723166">
        <w:rPr>
          <w:rFonts w:eastAsia="Times New Roman" w:cs="Arial"/>
          <w:color w:val="000000"/>
          <w:szCs w:val="20"/>
          <w:lang w:eastAsia="bg-BG"/>
        </w:rPr>
        <w:t xml:space="preserve">Като цяло </w:t>
      </w:r>
      <w:proofErr w:type="spellStart"/>
      <w:r w:rsidRPr="00723166">
        <w:rPr>
          <w:rFonts w:eastAsia="Times New Roman" w:cs="Arial"/>
          <w:color w:val="000000"/>
          <w:szCs w:val="20"/>
          <w:lang w:eastAsia="bg-BG"/>
        </w:rPr>
        <w:t>бортезомиб</w:t>
      </w:r>
      <w:proofErr w:type="spellEnd"/>
      <w:r w:rsidRPr="00723166">
        <w:rPr>
          <w:rFonts w:eastAsia="Times New Roman" w:cs="Arial"/>
          <w:color w:val="000000"/>
          <w:szCs w:val="20"/>
          <w:lang w:eastAsia="bg-BG"/>
        </w:rPr>
        <w:t xml:space="preserve"> е приложен при 3 974 пациенти за лечение на мултиплен миелом.</w:t>
      </w:r>
    </w:p>
    <w:p w14:paraId="27EF258C" w14:textId="77777777" w:rsidR="00723166" w:rsidRPr="00723166" w:rsidRDefault="00723166" w:rsidP="00723166">
      <w:pPr>
        <w:rPr>
          <w:rFonts w:eastAsia="Times New Roman" w:cs="Arial"/>
          <w:color w:val="000000"/>
          <w:szCs w:val="20"/>
          <w:lang w:eastAsia="bg-BG"/>
        </w:rPr>
      </w:pPr>
    </w:p>
    <w:p w14:paraId="0254AACC" w14:textId="6D59C533" w:rsidR="007A2185" w:rsidRPr="00723166" w:rsidRDefault="00723166" w:rsidP="00723166">
      <w:pPr>
        <w:rPr>
          <w:rFonts w:cs="Arial"/>
          <w:sz w:val="24"/>
        </w:rPr>
      </w:pPr>
      <w:r w:rsidRPr="00723166">
        <w:rPr>
          <w:rFonts w:eastAsia="Times New Roman" w:cs="Arial"/>
          <w:color w:val="000000"/>
          <w:szCs w:val="20"/>
          <w:lang w:eastAsia="bg-BG"/>
        </w:rPr>
        <w:t xml:space="preserve">Нежеланите реакции са изредени по-долу по </w:t>
      </w:r>
      <w:proofErr w:type="spellStart"/>
      <w:r w:rsidRPr="00723166">
        <w:rPr>
          <w:rFonts w:eastAsia="Times New Roman" w:cs="Arial"/>
          <w:color w:val="000000"/>
          <w:szCs w:val="20"/>
          <w:lang w:eastAsia="bg-BG"/>
        </w:rPr>
        <w:t>системо</w:t>
      </w:r>
      <w:proofErr w:type="spellEnd"/>
      <w:r w:rsidRPr="00723166">
        <w:rPr>
          <w:rFonts w:eastAsia="Times New Roman" w:cs="Arial"/>
          <w:color w:val="000000"/>
          <w:szCs w:val="20"/>
          <w:lang w:eastAsia="bg-BG"/>
        </w:rPr>
        <w:t>-органни класове и по честота. Честотите се определят като: много чести (&gt; 1/10); чести (&gt; 1/100 до &lt; 1/10); нечести (&gt; 1/1 000 до &lt; 1/100); редки (&gt; 1/10 000 до &lt; 1/1 000); много редки (&lt; 1/10 000), с неизвестна честота (от наличните данни не може да бъде направена оценка). При всяко групиране по честота, нежеланите лекарствени реакции са представени в низходящ ред по отношение на тяхната сериозност.</w:t>
      </w:r>
    </w:p>
    <w:p w14:paraId="443BC107" w14:textId="2B243E64" w:rsidR="005B0F27" w:rsidRDefault="005B0F27" w:rsidP="0091385D"/>
    <w:p w14:paraId="5418801E" w14:textId="77777777" w:rsidR="00613F14" w:rsidRPr="00613F14" w:rsidRDefault="00613F14" w:rsidP="00613F14">
      <w:pPr>
        <w:spacing w:line="240" w:lineRule="auto"/>
        <w:rPr>
          <w:rFonts w:eastAsia="Times New Roman" w:cs="Arial"/>
          <w:sz w:val="28"/>
          <w:szCs w:val="24"/>
          <w:lang w:eastAsia="bg-BG"/>
        </w:rPr>
      </w:pPr>
      <w:r w:rsidRPr="00613F14">
        <w:rPr>
          <w:rFonts w:eastAsia="Times New Roman" w:cs="Arial"/>
          <w:color w:val="000000"/>
          <w:szCs w:val="20"/>
          <w:lang w:eastAsia="bg-BG"/>
        </w:rPr>
        <w:t xml:space="preserve">Таблица 6 е създадена чрез използването на Версия 14.1 на </w:t>
      </w:r>
      <w:r w:rsidRPr="00613F14">
        <w:rPr>
          <w:rFonts w:eastAsia="Times New Roman" w:cs="Arial"/>
          <w:color w:val="000000"/>
          <w:szCs w:val="20"/>
          <w:lang w:val="en-US"/>
        </w:rPr>
        <w:t>MedDRA</w:t>
      </w:r>
      <w:r w:rsidRPr="00FD4C98">
        <w:rPr>
          <w:rFonts w:eastAsia="Times New Roman" w:cs="Arial"/>
          <w:color w:val="000000"/>
          <w:szCs w:val="20"/>
          <w:lang w:val="ru-RU"/>
        </w:rPr>
        <w:t xml:space="preserve">. </w:t>
      </w:r>
      <w:proofErr w:type="spellStart"/>
      <w:r w:rsidRPr="00613F14">
        <w:rPr>
          <w:rFonts w:eastAsia="Times New Roman" w:cs="Arial"/>
          <w:color w:val="000000"/>
          <w:szCs w:val="20"/>
          <w:lang w:eastAsia="bg-BG"/>
        </w:rPr>
        <w:t>Постмаркетинговите</w:t>
      </w:r>
      <w:proofErr w:type="spellEnd"/>
      <w:r w:rsidRPr="00613F14">
        <w:rPr>
          <w:rFonts w:eastAsia="Times New Roman" w:cs="Arial"/>
          <w:color w:val="000000"/>
          <w:szCs w:val="20"/>
          <w:lang w:eastAsia="bg-BG"/>
        </w:rPr>
        <w:t xml:space="preserve"> нежелани реакции, които не са наблюдавани при клинични проучвания, също са включени.</w:t>
      </w:r>
    </w:p>
    <w:p w14:paraId="1D15D3B2" w14:textId="77777777" w:rsidR="00613F14" w:rsidRPr="00613F14" w:rsidRDefault="00613F14" w:rsidP="00613F14">
      <w:pPr>
        <w:rPr>
          <w:rFonts w:eastAsia="Times New Roman" w:cs="Arial"/>
          <w:i/>
          <w:iCs/>
          <w:color w:val="000000"/>
          <w:szCs w:val="20"/>
          <w:lang w:eastAsia="bg-BG"/>
        </w:rPr>
      </w:pPr>
    </w:p>
    <w:p w14:paraId="287A54AD" w14:textId="1B607638" w:rsidR="00613F14" w:rsidRDefault="00613F14" w:rsidP="00613F14">
      <w:pPr>
        <w:rPr>
          <w:rFonts w:eastAsia="Times New Roman" w:cs="Arial"/>
          <w:i/>
          <w:iCs/>
          <w:color w:val="000000"/>
          <w:szCs w:val="20"/>
          <w:lang w:eastAsia="bg-BG"/>
        </w:rPr>
      </w:pPr>
      <w:r w:rsidRPr="00613F14">
        <w:rPr>
          <w:rFonts w:eastAsia="Times New Roman" w:cs="Arial"/>
          <w:i/>
          <w:iCs/>
          <w:color w:val="000000"/>
          <w:szCs w:val="20"/>
          <w:lang w:eastAsia="bg-BG"/>
        </w:rPr>
        <w:t xml:space="preserve">Таблица 6: Нежелани реакции при </w:t>
      </w:r>
      <w:proofErr w:type="spellStart"/>
      <w:r w:rsidRPr="00613F14">
        <w:rPr>
          <w:rFonts w:eastAsia="Times New Roman" w:cs="Arial"/>
          <w:i/>
          <w:iCs/>
          <w:color w:val="000000"/>
          <w:szCs w:val="20"/>
          <w:lang w:eastAsia="bg-BG"/>
        </w:rPr>
        <w:t>пагциенти</w:t>
      </w:r>
      <w:proofErr w:type="spellEnd"/>
      <w:r w:rsidRPr="00613F14">
        <w:rPr>
          <w:rFonts w:eastAsia="Times New Roman" w:cs="Arial"/>
          <w:i/>
          <w:iCs/>
          <w:color w:val="000000"/>
          <w:szCs w:val="20"/>
          <w:lang w:eastAsia="bg-BG"/>
        </w:rPr>
        <w:t xml:space="preserve">, лекувани с </w:t>
      </w:r>
      <w:proofErr w:type="spellStart"/>
      <w:r w:rsidRPr="00613F14">
        <w:rPr>
          <w:rFonts w:eastAsia="Times New Roman" w:cs="Arial"/>
          <w:i/>
          <w:iCs/>
          <w:color w:val="000000"/>
          <w:szCs w:val="20"/>
          <w:lang w:eastAsia="bg-BG"/>
        </w:rPr>
        <w:t>бортезамиб</w:t>
      </w:r>
      <w:proofErr w:type="spellEnd"/>
      <w:r w:rsidRPr="00613F14">
        <w:rPr>
          <w:rFonts w:eastAsia="Times New Roman" w:cs="Arial"/>
          <w:i/>
          <w:iCs/>
          <w:color w:val="000000"/>
          <w:szCs w:val="20"/>
          <w:lang w:eastAsia="bg-BG"/>
        </w:rPr>
        <w:t xml:space="preserve"> като самостоятелно средство или в комбинация</w:t>
      </w:r>
    </w:p>
    <w:p w14:paraId="5EA41477" w14:textId="57B1F611" w:rsidR="00613F14" w:rsidRDefault="00613F14" w:rsidP="00613F14">
      <w:pPr>
        <w:rPr>
          <w:rFonts w:eastAsia="Times New Roman" w:cs="Arial"/>
          <w:i/>
          <w:iCs/>
          <w:color w:val="000000"/>
          <w:szCs w:val="20"/>
          <w:lang w:eastAsia="bg-BG"/>
        </w:rPr>
      </w:pPr>
    </w:p>
    <w:tbl>
      <w:tblPr>
        <w:tblStyle w:val="TableGrid"/>
        <w:tblW w:w="0" w:type="auto"/>
        <w:tblLook w:val="04A0" w:firstRow="1" w:lastRow="0" w:firstColumn="1" w:lastColumn="0" w:noHBand="0" w:noVBand="1"/>
      </w:tblPr>
      <w:tblGrid>
        <w:gridCol w:w="3116"/>
        <w:gridCol w:w="3117"/>
        <w:gridCol w:w="3117"/>
      </w:tblGrid>
      <w:tr w:rsidR="00613F14" w14:paraId="1EB41393" w14:textId="77777777" w:rsidTr="00613F14">
        <w:tc>
          <w:tcPr>
            <w:tcW w:w="3116" w:type="dxa"/>
          </w:tcPr>
          <w:p w14:paraId="53D1B464" w14:textId="549CCDCC" w:rsidR="00613F14" w:rsidRPr="00E31EA3" w:rsidRDefault="00613F14" w:rsidP="00613F14">
            <w:pPr>
              <w:rPr>
                <w:rFonts w:cs="Arial"/>
              </w:rPr>
            </w:pPr>
            <w:proofErr w:type="spellStart"/>
            <w:r w:rsidRPr="00E31EA3">
              <w:rPr>
                <w:rFonts w:cs="Arial"/>
                <w:b/>
                <w:bCs/>
              </w:rPr>
              <w:t>Системо</w:t>
            </w:r>
            <w:proofErr w:type="spellEnd"/>
            <w:r w:rsidRPr="00E31EA3">
              <w:rPr>
                <w:rFonts w:cs="Arial"/>
                <w:b/>
                <w:bCs/>
              </w:rPr>
              <w:t>- органни класове</w:t>
            </w:r>
          </w:p>
        </w:tc>
        <w:tc>
          <w:tcPr>
            <w:tcW w:w="3117" w:type="dxa"/>
          </w:tcPr>
          <w:p w14:paraId="2F023779" w14:textId="567F96CF" w:rsidR="00613F14" w:rsidRPr="00E31EA3" w:rsidRDefault="00613F14" w:rsidP="00613F14">
            <w:pPr>
              <w:rPr>
                <w:rFonts w:cs="Arial"/>
              </w:rPr>
            </w:pPr>
            <w:r w:rsidRPr="00E31EA3">
              <w:rPr>
                <w:rFonts w:cs="Arial"/>
                <w:b/>
                <w:bCs/>
              </w:rPr>
              <w:t>Честота</w:t>
            </w:r>
          </w:p>
        </w:tc>
        <w:tc>
          <w:tcPr>
            <w:tcW w:w="3117" w:type="dxa"/>
          </w:tcPr>
          <w:p w14:paraId="0316D9F4" w14:textId="77C95BC3" w:rsidR="00613F14" w:rsidRPr="00E31EA3" w:rsidRDefault="00613F14" w:rsidP="00613F14">
            <w:pPr>
              <w:rPr>
                <w:rFonts w:cs="Arial"/>
              </w:rPr>
            </w:pPr>
            <w:r w:rsidRPr="00E31EA3">
              <w:rPr>
                <w:rFonts w:cs="Arial"/>
                <w:b/>
                <w:bCs/>
              </w:rPr>
              <w:t>Нежелани реакции</w:t>
            </w:r>
          </w:p>
        </w:tc>
      </w:tr>
      <w:tr w:rsidR="00613F14" w14:paraId="7E305D0E" w14:textId="77777777" w:rsidTr="00613F14">
        <w:tc>
          <w:tcPr>
            <w:tcW w:w="3116" w:type="dxa"/>
            <w:vMerge w:val="restart"/>
          </w:tcPr>
          <w:p w14:paraId="7D5FAF24" w14:textId="6BEE6B7D" w:rsidR="00613F14" w:rsidRPr="00E31EA3" w:rsidRDefault="00613F14" w:rsidP="00613F14">
            <w:pPr>
              <w:rPr>
                <w:rFonts w:cs="Arial"/>
              </w:rPr>
            </w:pPr>
            <w:r w:rsidRPr="00E31EA3">
              <w:rPr>
                <w:rFonts w:cs="Arial"/>
              </w:rPr>
              <w:t xml:space="preserve">Инфекции и </w:t>
            </w:r>
            <w:proofErr w:type="spellStart"/>
            <w:r w:rsidRPr="00E31EA3">
              <w:rPr>
                <w:rFonts w:cs="Arial"/>
              </w:rPr>
              <w:t>инфестации</w:t>
            </w:r>
            <w:proofErr w:type="spellEnd"/>
          </w:p>
        </w:tc>
        <w:tc>
          <w:tcPr>
            <w:tcW w:w="3117" w:type="dxa"/>
          </w:tcPr>
          <w:p w14:paraId="5ACEE685" w14:textId="02D23C82" w:rsidR="00613F14" w:rsidRPr="00E31EA3" w:rsidRDefault="00613F14" w:rsidP="00613F14">
            <w:pPr>
              <w:rPr>
                <w:rFonts w:cs="Arial"/>
              </w:rPr>
            </w:pPr>
            <w:r w:rsidRPr="00E31EA3">
              <w:rPr>
                <w:rFonts w:cs="Arial"/>
              </w:rPr>
              <w:t>Чести</w:t>
            </w:r>
          </w:p>
        </w:tc>
        <w:tc>
          <w:tcPr>
            <w:tcW w:w="3117" w:type="dxa"/>
          </w:tcPr>
          <w:p w14:paraId="4E6E72A1" w14:textId="5667F3A8" w:rsidR="00613F14" w:rsidRPr="00E31EA3" w:rsidRDefault="00613F14" w:rsidP="00613F14">
            <w:pPr>
              <w:rPr>
                <w:rFonts w:cs="Arial"/>
              </w:rPr>
            </w:pPr>
            <w:r w:rsidRPr="00E31EA3">
              <w:rPr>
                <w:rFonts w:cs="Arial"/>
              </w:rPr>
              <w:t xml:space="preserve">Херпес зостер (вкл. </w:t>
            </w:r>
            <w:proofErr w:type="spellStart"/>
            <w:r w:rsidRPr="00E31EA3">
              <w:rPr>
                <w:rFonts w:cs="Arial"/>
              </w:rPr>
              <w:t>дисеминиран</w:t>
            </w:r>
            <w:proofErr w:type="spellEnd"/>
            <w:r w:rsidRPr="00E31EA3">
              <w:rPr>
                <w:rFonts w:cs="Arial"/>
              </w:rPr>
              <w:t xml:space="preserve"> и очен), пневмония*, херпес симплекс*, гъбичка инфекция*</w:t>
            </w:r>
          </w:p>
        </w:tc>
      </w:tr>
      <w:tr w:rsidR="00613F14" w14:paraId="1E08D260" w14:textId="77777777" w:rsidTr="00613F14">
        <w:tc>
          <w:tcPr>
            <w:tcW w:w="3116" w:type="dxa"/>
            <w:vMerge/>
          </w:tcPr>
          <w:p w14:paraId="206EE8BC" w14:textId="77777777" w:rsidR="00613F14" w:rsidRPr="00E31EA3" w:rsidRDefault="00613F14" w:rsidP="00613F14">
            <w:pPr>
              <w:rPr>
                <w:rFonts w:cs="Arial"/>
              </w:rPr>
            </w:pPr>
          </w:p>
        </w:tc>
        <w:tc>
          <w:tcPr>
            <w:tcW w:w="3117" w:type="dxa"/>
          </w:tcPr>
          <w:p w14:paraId="59E33782" w14:textId="6CFB6938" w:rsidR="00613F14" w:rsidRPr="00E31EA3" w:rsidRDefault="00613F14" w:rsidP="00613F14">
            <w:pPr>
              <w:rPr>
                <w:rFonts w:cs="Arial"/>
              </w:rPr>
            </w:pPr>
            <w:r w:rsidRPr="00E31EA3">
              <w:rPr>
                <w:rFonts w:cs="Arial"/>
              </w:rPr>
              <w:t>Нечести</w:t>
            </w:r>
          </w:p>
        </w:tc>
        <w:tc>
          <w:tcPr>
            <w:tcW w:w="3117" w:type="dxa"/>
          </w:tcPr>
          <w:p w14:paraId="7CD54D71" w14:textId="04007D7D" w:rsidR="00613F14" w:rsidRPr="00E31EA3" w:rsidRDefault="00613F14" w:rsidP="00613F14">
            <w:pPr>
              <w:rPr>
                <w:rFonts w:cs="Arial"/>
              </w:rPr>
            </w:pPr>
            <w:r w:rsidRPr="00E31EA3">
              <w:rPr>
                <w:rFonts w:cs="Arial"/>
              </w:rPr>
              <w:t xml:space="preserve">Инфекция*, бактериални инфекции*, вирусни инфекции*, сепсис (вкл. септичен шок)*, бронхопневмония, </w:t>
            </w:r>
            <w:proofErr w:type="spellStart"/>
            <w:r w:rsidRPr="00E31EA3">
              <w:rPr>
                <w:rFonts w:cs="Arial"/>
              </w:rPr>
              <w:lastRenderedPageBreak/>
              <w:t>херпесна</w:t>
            </w:r>
            <w:proofErr w:type="spellEnd"/>
            <w:r w:rsidRPr="00E31EA3">
              <w:rPr>
                <w:rFonts w:cs="Arial"/>
              </w:rPr>
              <w:t xml:space="preserve"> инфекция*, </w:t>
            </w:r>
            <w:proofErr w:type="spellStart"/>
            <w:r w:rsidRPr="00E31EA3">
              <w:rPr>
                <w:rFonts w:cs="Arial"/>
              </w:rPr>
              <w:t>херпетичен</w:t>
            </w:r>
            <w:proofErr w:type="spellEnd"/>
            <w:r w:rsidRPr="00E31EA3">
              <w:rPr>
                <w:rFonts w:cs="Arial"/>
              </w:rPr>
              <w:t xml:space="preserve"> менингоенцефалит *, </w:t>
            </w:r>
            <w:proofErr w:type="spellStart"/>
            <w:r w:rsidRPr="00E31EA3">
              <w:rPr>
                <w:rFonts w:cs="Arial"/>
              </w:rPr>
              <w:t>бактериемия</w:t>
            </w:r>
            <w:proofErr w:type="spellEnd"/>
            <w:r w:rsidRPr="00E31EA3">
              <w:rPr>
                <w:rFonts w:cs="Arial"/>
              </w:rPr>
              <w:t xml:space="preserve"> (вкл. </w:t>
            </w:r>
            <w:proofErr w:type="spellStart"/>
            <w:r w:rsidRPr="00E31EA3">
              <w:rPr>
                <w:rFonts w:cs="Arial"/>
              </w:rPr>
              <w:t>стафилококова</w:t>
            </w:r>
            <w:proofErr w:type="spellEnd"/>
            <w:r w:rsidRPr="00E31EA3">
              <w:rPr>
                <w:rFonts w:cs="Arial"/>
              </w:rPr>
              <w:t xml:space="preserve">), </w:t>
            </w:r>
            <w:proofErr w:type="spellStart"/>
            <w:r w:rsidRPr="00E31EA3">
              <w:rPr>
                <w:rFonts w:cs="Arial"/>
              </w:rPr>
              <w:t>хордеолум</w:t>
            </w:r>
            <w:proofErr w:type="spellEnd"/>
            <w:r w:rsidRPr="00E31EA3">
              <w:rPr>
                <w:rFonts w:cs="Arial"/>
              </w:rPr>
              <w:t xml:space="preserve">, грип, целулит, инфекция, свързана с изделие, кожна инфекция*, ушна инфекция*, </w:t>
            </w:r>
            <w:proofErr w:type="spellStart"/>
            <w:r w:rsidRPr="00E31EA3">
              <w:rPr>
                <w:rFonts w:cs="Arial"/>
              </w:rPr>
              <w:t>стафилококова</w:t>
            </w:r>
            <w:proofErr w:type="spellEnd"/>
            <w:r w:rsidRPr="00E31EA3">
              <w:rPr>
                <w:rFonts w:cs="Arial"/>
              </w:rPr>
              <w:t xml:space="preserve"> инфекция, зъбна инфекция* '</w:t>
            </w:r>
          </w:p>
        </w:tc>
      </w:tr>
      <w:tr w:rsidR="00613F14" w14:paraId="6F82BB38" w14:textId="77777777" w:rsidTr="00613F14">
        <w:tc>
          <w:tcPr>
            <w:tcW w:w="3116" w:type="dxa"/>
            <w:vMerge/>
          </w:tcPr>
          <w:p w14:paraId="537B7D1F" w14:textId="77777777" w:rsidR="00613F14" w:rsidRPr="00E31EA3" w:rsidRDefault="00613F14" w:rsidP="00613F14">
            <w:pPr>
              <w:rPr>
                <w:rFonts w:cs="Arial"/>
              </w:rPr>
            </w:pPr>
          </w:p>
        </w:tc>
        <w:tc>
          <w:tcPr>
            <w:tcW w:w="3117" w:type="dxa"/>
          </w:tcPr>
          <w:p w14:paraId="437BFCB5" w14:textId="21DAC681" w:rsidR="00613F14" w:rsidRPr="00E31EA3" w:rsidRDefault="00613F14" w:rsidP="00613F14">
            <w:pPr>
              <w:rPr>
                <w:rFonts w:cs="Arial"/>
              </w:rPr>
            </w:pPr>
            <w:r w:rsidRPr="00E31EA3">
              <w:rPr>
                <w:rFonts w:cs="Arial"/>
              </w:rPr>
              <w:t>Редки</w:t>
            </w:r>
          </w:p>
        </w:tc>
        <w:tc>
          <w:tcPr>
            <w:tcW w:w="3117" w:type="dxa"/>
          </w:tcPr>
          <w:p w14:paraId="069A7B8E" w14:textId="60FE0F23" w:rsidR="00613F14" w:rsidRPr="00E31EA3" w:rsidRDefault="00613F14" w:rsidP="00613F14">
            <w:pPr>
              <w:rPr>
                <w:rFonts w:cs="Arial"/>
              </w:rPr>
            </w:pPr>
            <w:r w:rsidRPr="00E31EA3">
              <w:rPr>
                <w:rFonts w:cs="Arial"/>
              </w:rPr>
              <w:t xml:space="preserve">Менингит (вкл. бактериален), инфекция с вируса на </w:t>
            </w:r>
            <w:r w:rsidRPr="00E31EA3">
              <w:rPr>
                <w:rFonts w:cs="Arial"/>
                <w:lang w:val="en-US"/>
              </w:rPr>
              <w:t>Epstein</w:t>
            </w:r>
            <w:r w:rsidRPr="00FD4C98">
              <w:rPr>
                <w:rFonts w:cs="Arial"/>
                <w:lang w:val="ru-RU"/>
              </w:rPr>
              <w:t xml:space="preserve">- </w:t>
            </w:r>
            <w:r w:rsidRPr="00E31EA3">
              <w:rPr>
                <w:rFonts w:cs="Arial"/>
                <w:lang w:val="en-US"/>
              </w:rPr>
              <w:t>Barr</w:t>
            </w:r>
            <w:r w:rsidRPr="00FD4C98">
              <w:rPr>
                <w:rFonts w:cs="Arial"/>
                <w:lang w:val="ru-RU"/>
              </w:rPr>
              <w:t xml:space="preserve">, </w:t>
            </w:r>
            <w:r w:rsidRPr="00E31EA3">
              <w:rPr>
                <w:rFonts w:cs="Arial"/>
              </w:rPr>
              <w:t xml:space="preserve">генитален херпес, </w:t>
            </w:r>
            <w:proofErr w:type="spellStart"/>
            <w:r w:rsidRPr="00E31EA3">
              <w:rPr>
                <w:rFonts w:cs="Arial"/>
              </w:rPr>
              <w:t>тонзилит</w:t>
            </w:r>
            <w:proofErr w:type="spellEnd"/>
            <w:r w:rsidRPr="00E31EA3">
              <w:rPr>
                <w:rFonts w:cs="Arial"/>
              </w:rPr>
              <w:t xml:space="preserve">, </w:t>
            </w:r>
            <w:proofErr w:type="spellStart"/>
            <w:r w:rsidRPr="00E31EA3">
              <w:rPr>
                <w:rFonts w:cs="Arial"/>
              </w:rPr>
              <w:t>мастоидит</w:t>
            </w:r>
            <w:proofErr w:type="spellEnd"/>
            <w:r w:rsidRPr="00E31EA3">
              <w:rPr>
                <w:rFonts w:cs="Arial"/>
              </w:rPr>
              <w:t xml:space="preserve">, синдром на </w:t>
            </w:r>
            <w:proofErr w:type="spellStart"/>
            <w:r w:rsidRPr="00E31EA3">
              <w:rPr>
                <w:rFonts w:cs="Arial"/>
              </w:rPr>
              <w:t>поствирусна</w:t>
            </w:r>
            <w:proofErr w:type="spellEnd"/>
            <w:r w:rsidRPr="00E31EA3">
              <w:rPr>
                <w:rFonts w:cs="Arial"/>
              </w:rPr>
              <w:t xml:space="preserve"> умора</w:t>
            </w:r>
          </w:p>
        </w:tc>
      </w:tr>
      <w:tr w:rsidR="00613F14" w14:paraId="6294A726" w14:textId="77777777" w:rsidTr="00613F14">
        <w:tc>
          <w:tcPr>
            <w:tcW w:w="3116" w:type="dxa"/>
          </w:tcPr>
          <w:p w14:paraId="05553BDF" w14:textId="349E8D6D" w:rsidR="00613F14" w:rsidRPr="00E31EA3" w:rsidRDefault="00613F14" w:rsidP="00613F14">
            <w:pPr>
              <w:rPr>
                <w:rFonts w:cs="Arial"/>
              </w:rPr>
            </w:pPr>
            <w:proofErr w:type="spellStart"/>
            <w:r w:rsidRPr="00E31EA3">
              <w:rPr>
                <w:rFonts w:cs="Arial"/>
              </w:rPr>
              <w:t>Неоплазми</w:t>
            </w:r>
            <w:proofErr w:type="spellEnd"/>
            <w:r w:rsidRPr="00E31EA3">
              <w:rPr>
                <w:rFonts w:cs="Arial"/>
              </w:rPr>
              <w:t xml:space="preserve"> - доброкачествени, злокачествени и неопределени (вкл. кисти и полипи)</w:t>
            </w:r>
          </w:p>
        </w:tc>
        <w:tc>
          <w:tcPr>
            <w:tcW w:w="3117" w:type="dxa"/>
          </w:tcPr>
          <w:p w14:paraId="31E69C79" w14:textId="0D97AE79" w:rsidR="00613F14" w:rsidRPr="00E31EA3" w:rsidRDefault="00613F14" w:rsidP="00613F14">
            <w:pPr>
              <w:rPr>
                <w:rFonts w:cs="Arial"/>
              </w:rPr>
            </w:pPr>
            <w:r w:rsidRPr="00E31EA3">
              <w:rPr>
                <w:rFonts w:cs="Arial"/>
              </w:rPr>
              <w:t>Редки</w:t>
            </w:r>
          </w:p>
        </w:tc>
        <w:tc>
          <w:tcPr>
            <w:tcW w:w="3117" w:type="dxa"/>
          </w:tcPr>
          <w:p w14:paraId="770DAC37" w14:textId="0F0D1BFF" w:rsidR="00613F14" w:rsidRPr="00E31EA3" w:rsidRDefault="00613F14" w:rsidP="00613F14">
            <w:pPr>
              <w:rPr>
                <w:rFonts w:cs="Arial"/>
              </w:rPr>
            </w:pPr>
            <w:r w:rsidRPr="00E31EA3">
              <w:rPr>
                <w:rFonts w:cs="Arial"/>
              </w:rPr>
              <w:t xml:space="preserve">Злокачествени </w:t>
            </w:r>
            <w:proofErr w:type="spellStart"/>
            <w:r w:rsidRPr="00E31EA3">
              <w:rPr>
                <w:rFonts w:cs="Arial"/>
              </w:rPr>
              <w:t>неоплазми</w:t>
            </w:r>
            <w:proofErr w:type="spellEnd"/>
            <w:r w:rsidRPr="00E31EA3">
              <w:rPr>
                <w:rFonts w:cs="Arial"/>
              </w:rPr>
              <w:t xml:space="preserve">, </w:t>
            </w:r>
            <w:proofErr w:type="spellStart"/>
            <w:r w:rsidRPr="00E31EA3">
              <w:rPr>
                <w:rFonts w:cs="Arial"/>
              </w:rPr>
              <w:t>плазмоцитна</w:t>
            </w:r>
            <w:proofErr w:type="spellEnd"/>
            <w:r w:rsidRPr="00E31EA3">
              <w:rPr>
                <w:rFonts w:cs="Arial"/>
              </w:rPr>
              <w:t xml:space="preserve"> левкемия, бъбречно-клетъчен карцином, бучки, </w:t>
            </w:r>
            <w:proofErr w:type="spellStart"/>
            <w:r w:rsidRPr="00E31EA3">
              <w:rPr>
                <w:rFonts w:cs="Arial"/>
              </w:rPr>
              <w:t>фунгоидна</w:t>
            </w:r>
            <w:proofErr w:type="spellEnd"/>
            <w:r w:rsidRPr="00E31EA3">
              <w:rPr>
                <w:rFonts w:cs="Arial"/>
              </w:rPr>
              <w:t xml:space="preserve"> микоза, доброкачествени </w:t>
            </w:r>
            <w:proofErr w:type="spellStart"/>
            <w:r w:rsidRPr="00E31EA3">
              <w:rPr>
                <w:rFonts w:cs="Arial"/>
              </w:rPr>
              <w:t>неоплазми</w:t>
            </w:r>
            <w:proofErr w:type="spellEnd"/>
            <w:r w:rsidRPr="00E31EA3">
              <w:rPr>
                <w:rFonts w:cs="Arial"/>
              </w:rPr>
              <w:t>*</w:t>
            </w:r>
          </w:p>
        </w:tc>
      </w:tr>
      <w:tr w:rsidR="00613F14" w14:paraId="27BFD8A0" w14:textId="77777777" w:rsidTr="00613F14">
        <w:tc>
          <w:tcPr>
            <w:tcW w:w="3116" w:type="dxa"/>
            <w:vMerge w:val="restart"/>
          </w:tcPr>
          <w:p w14:paraId="7BDD4FAB" w14:textId="41A4618B" w:rsidR="00613F14" w:rsidRPr="00E31EA3" w:rsidRDefault="00613F14" w:rsidP="00613F14">
            <w:pPr>
              <w:rPr>
                <w:rFonts w:cs="Arial"/>
              </w:rPr>
            </w:pPr>
            <w:r w:rsidRPr="00E31EA3">
              <w:rPr>
                <w:rFonts w:cs="Arial"/>
              </w:rPr>
              <w:t>Нарушения на кръвта и лимфната система</w:t>
            </w:r>
          </w:p>
        </w:tc>
        <w:tc>
          <w:tcPr>
            <w:tcW w:w="3117" w:type="dxa"/>
          </w:tcPr>
          <w:p w14:paraId="74463E6A" w14:textId="04F7B66B" w:rsidR="00613F14" w:rsidRPr="00E31EA3" w:rsidRDefault="00613F14" w:rsidP="00613F14">
            <w:pPr>
              <w:rPr>
                <w:rFonts w:cs="Arial"/>
              </w:rPr>
            </w:pPr>
            <w:r w:rsidRPr="00E31EA3">
              <w:rPr>
                <w:rFonts w:cs="Arial"/>
              </w:rPr>
              <w:t>Много чести</w:t>
            </w:r>
          </w:p>
        </w:tc>
        <w:tc>
          <w:tcPr>
            <w:tcW w:w="3117" w:type="dxa"/>
          </w:tcPr>
          <w:p w14:paraId="45D56CE8" w14:textId="2E1DE3DD" w:rsidR="00613F14" w:rsidRPr="00E31EA3" w:rsidRDefault="00613F14" w:rsidP="00613F14">
            <w:pPr>
              <w:rPr>
                <w:rFonts w:cs="Arial"/>
              </w:rPr>
            </w:pPr>
            <w:proofErr w:type="spellStart"/>
            <w:r w:rsidRPr="00E31EA3">
              <w:rPr>
                <w:rFonts w:cs="Arial"/>
              </w:rPr>
              <w:t>Тромбоцитопения</w:t>
            </w:r>
            <w:proofErr w:type="spellEnd"/>
            <w:r w:rsidRPr="00E31EA3">
              <w:rPr>
                <w:rFonts w:cs="Arial"/>
              </w:rPr>
              <w:t xml:space="preserve">*, </w:t>
            </w:r>
            <w:proofErr w:type="spellStart"/>
            <w:r w:rsidRPr="00E31EA3">
              <w:rPr>
                <w:rFonts w:cs="Arial"/>
              </w:rPr>
              <w:t>неутропения</w:t>
            </w:r>
            <w:proofErr w:type="spellEnd"/>
            <w:r w:rsidRPr="00E31EA3">
              <w:rPr>
                <w:rFonts w:cs="Arial"/>
              </w:rPr>
              <w:t>*, анемия*</w:t>
            </w:r>
          </w:p>
        </w:tc>
      </w:tr>
      <w:tr w:rsidR="00613F14" w14:paraId="7B8707A0" w14:textId="77777777" w:rsidTr="00613F14">
        <w:tc>
          <w:tcPr>
            <w:tcW w:w="3116" w:type="dxa"/>
            <w:vMerge/>
          </w:tcPr>
          <w:p w14:paraId="05E62B86" w14:textId="77777777" w:rsidR="00613F14" w:rsidRPr="00E31EA3" w:rsidRDefault="00613F14" w:rsidP="00613F14">
            <w:pPr>
              <w:rPr>
                <w:rFonts w:cs="Arial"/>
              </w:rPr>
            </w:pPr>
          </w:p>
        </w:tc>
        <w:tc>
          <w:tcPr>
            <w:tcW w:w="3117" w:type="dxa"/>
          </w:tcPr>
          <w:p w14:paraId="6A206C66" w14:textId="4BBB6994" w:rsidR="00613F14" w:rsidRPr="00E31EA3" w:rsidRDefault="00613F14" w:rsidP="00613F14">
            <w:pPr>
              <w:rPr>
                <w:rFonts w:cs="Arial"/>
              </w:rPr>
            </w:pPr>
            <w:r w:rsidRPr="00E31EA3">
              <w:rPr>
                <w:rFonts w:cs="Arial"/>
              </w:rPr>
              <w:t>Чести</w:t>
            </w:r>
          </w:p>
        </w:tc>
        <w:tc>
          <w:tcPr>
            <w:tcW w:w="3117" w:type="dxa"/>
          </w:tcPr>
          <w:p w14:paraId="78EB7226" w14:textId="6FCE39DD" w:rsidR="00613F14" w:rsidRPr="00E31EA3" w:rsidRDefault="00613F14" w:rsidP="00613F14">
            <w:pPr>
              <w:rPr>
                <w:rFonts w:cs="Arial"/>
              </w:rPr>
            </w:pPr>
            <w:proofErr w:type="spellStart"/>
            <w:r w:rsidRPr="00E31EA3">
              <w:rPr>
                <w:rFonts w:cs="Arial"/>
              </w:rPr>
              <w:t>Левколения</w:t>
            </w:r>
            <w:proofErr w:type="spellEnd"/>
            <w:r w:rsidRPr="00E31EA3">
              <w:rPr>
                <w:rFonts w:cs="Arial"/>
              </w:rPr>
              <w:t xml:space="preserve">*, </w:t>
            </w:r>
            <w:proofErr w:type="spellStart"/>
            <w:r w:rsidRPr="00E31EA3">
              <w:rPr>
                <w:rFonts w:cs="Arial"/>
              </w:rPr>
              <w:t>лимфопения</w:t>
            </w:r>
            <w:proofErr w:type="spellEnd"/>
            <w:r w:rsidRPr="00E31EA3">
              <w:rPr>
                <w:rFonts w:cs="Arial"/>
              </w:rPr>
              <w:t>*</w:t>
            </w:r>
          </w:p>
        </w:tc>
      </w:tr>
      <w:tr w:rsidR="00613F14" w14:paraId="6DD4E00E" w14:textId="77777777" w:rsidTr="00613F14">
        <w:tc>
          <w:tcPr>
            <w:tcW w:w="3116" w:type="dxa"/>
            <w:vMerge/>
          </w:tcPr>
          <w:p w14:paraId="063C6DA7" w14:textId="77777777" w:rsidR="00613F14" w:rsidRPr="00E31EA3" w:rsidRDefault="00613F14" w:rsidP="00613F14">
            <w:pPr>
              <w:rPr>
                <w:rFonts w:cs="Arial"/>
              </w:rPr>
            </w:pPr>
          </w:p>
        </w:tc>
        <w:tc>
          <w:tcPr>
            <w:tcW w:w="3117" w:type="dxa"/>
          </w:tcPr>
          <w:p w14:paraId="57476221" w14:textId="558ED117" w:rsidR="00613F14" w:rsidRPr="00E31EA3" w:rsidRDefault="00613F14" w:rsidP="00613F14">
            <w:pPr>
              <w:rPr>
                <w:rFonts w:cs="Arial"/>
              </w:rPr>
            </w:pPr>
            <w:r w:rsidRPr="00E31EA3">
              <w:rPr>
                <w:rFonts w:cs="Arial"/>
              </w:rPr>
              <w:t>Нечести</w:t>
            </w:r>
          </w:p>
        </w:tc>
        <w:tc>
          <w:tcPr>
            <w:tcW w:w="3117" w:type="dxa"/>
          </w:tcPr>
          <w:p w14:paraId="688C6A3F" w14:textId="62F8384B" w:rsidR="00613F14" w:rsidRPr="00E31EA3" w:rsidRDefault="00613F14" w:rsidP="00613F14">
            <w:pPr>
              <w:rPr>
                <w:rFonts w:cs="Arial"/>
              </w:rPr>
            </w:pPr>
            <w:proofErr w:type="spellStart"/>
            <w:r w:rsidRPr="00E31EA3">
              <w:rPr>
                <w:rFonts w:cs="Arial"/>
              </w:rPr>
              <w:t>Панцитопения</w:t>
            </w:r>
            <w:proofErr w:type="spellEnd"/>
            <w:r w:rsidRPr="00E31EA3">
              <w:rPr>
                <w:rFonts w:cs="Arial"/>
              </w:rPr>
              <w:t xml:space="preserve">*, </w:t>
            </w:r>
            <w:proofErr w:type="spellStart"/>
            <w:r w:rsidRPr="00E31EA3">
              <w:rPr>
                <w:rFonts w:cs="Arial"/>
              </w:rPr>
              <w:t>фебрилна</w:t>
            </w:r>
            <w:proofErr w:type="spellEnd"/>
            <w:r w:rsidRPr="00E31EA3">
              <w:rPr>
                <w:rFonts w:cs="Arial"/>
              </w:rPr>
              <w:t xml:space="preserve"> </w:t>
            </w:r>
            <w:proofErr w:type="spellStart"/>
            <w:r w:rsidRPr="00E31EA3">
              <w:rPr>
                <w:rFonts w:cs="Arial"/>
              </w:rPr>
              <w:t>неутропения</w:t>
            </w:r>
            <w:proofErr w:type="spellEnd"/>
            <w:r w:rsidRPr="00E31EA3">
              <w:rPr>
                <w:rFonts w:cs="Arial"/>
              </w:rPr>
              <w:t xml:space="preserve">, </w:t>
            </w:r>
            <w:proofErr w:type="spellStart"/>
            <w:r w:rsidRPr="00E31EA3">
              <w:rPr>
                <w:rFonts w:cs="Arial"/>
              </w:rPr>
              <w:t>коагулопатия</w:t>
            </w:r>
            <w:proofErr w:type="spellEnd"/>
            <w:r w:rsidRPr="00E31EA3">
              <w:rPr>
                <w:rFonts w:cs="Arial"/>
              </w:rPr>
              <w:t xml:space="preserve">*, </w:t>
            </w:r>
            <w:proofErr w:type="spellStart"/>
            <w:r w:rsidRPr="00E31EA3">
              <w:rPr>
                <w:rFonts w:cs="Arial"/>
              </w:rPr>
              <w:t>левкоцитоза</w:t>
            </w:r>
            <w:proofErr w:type="spellEnd"/>
            <w:r w:rsidRPr="00E31EA3">
              <w:rPr>
                <w:rFonts w:cs="Arial"/>
              </w:rPr>
              <w:t xml:space="preserve">*, </w:t>
            </w:r>
            <w:proofErr w:type="spellStart"/>
            <w:r w:rsidRPr="00E31EA3">
              <w:rPr>
                <w:rFonts w:cs="Arial"/>
              </w:rPr>
              <w:t>лимфаденопатия</w:t>
            </w:r>
            <w:proofErr w:type="spellEnd"/>
            <w:r w:rsidRPr="00E31EA3">
              <w:rPr>
                <w:rFonts w:cs="Arial"/>
              </w:rPr>
              <w:t xml:space="preserve">, </w:t>
            </w:r>
            <w:proofErr w:type="spellStart"/>
            <w:r w:rsidRPr="00E31EA3">
              <w:rPr>
                <w:rFonts w:cs="Arial"/>
              </w:rPr>
              <w:t>хемолитична</w:t>
            </w:r>
            <w:proofErr w:type="spellEnd"/>
            <w:r w:rsidRPr="00E31EA3">
              <w:rPr>
                <w:rFonts w:cs="Arial"/>
              </w:rPr>
              <w:t xml:space="preserve"> анемия#</w:t>
            </w:r>
          </w:p>
        </w:tc>
      </w:tr>
      <w:tr w:rsidR="00613F14" w14:paraId="7BC755BF" w14:textId="77777777" w:rsidTr="00613F14">
        <w:tc>
          <w:tcPr>
            <w:tcW w:w="3116" w:type="dxa"/>
            <w:vMerge/>
          </w:tcPr>
          <w:p w14:paraId="1AA46BE1" w14:textId="77777777" w:rsidR="00613F14" w:rsidRPr="00E31EA3" w:rsidRDefault="00613F14" w:rsidP="00613F14">
            <w:pPr>
              <w:rPr>
                <w:rFonts w:cs="Arial"/>
              </w:rPr>
            </w:pPr>
          </w:p>
        </w:tc>
        <w:tc>
          <w:tcPr>
            <w:tcW w:w="3117" w:type="dxa"/>
          </w:tcPr>
          <w:p w14:paraId="30CB54B5" w14:textId="530F435C" w:rsidR="00613F14" w:rsidRPr="00E31EA3" w:rsidRDefault="00613F14" w:rsidP="00613F14">
            <w:pPr>
              <w:rPr>
                <w:rFonts w:cs="Arial"/>
              </w:rPr>
            </w:pPr>
            <w:r w:rsidRPr="00E31EA3">
              <w:rPr>
                <w:rFonts w:cs="Arial"/>
              </w:rPr>
              <w:t>Редки</w:t>
            </w:r>
          </w:p>
        </w:tc>
        <w:tc>
          <w:tcPr>
            <w:tcW w:w="3117" w:type="dxa"/>
          </w:tcPr>
          <w:p w14:paraId="037D5F8D" w14:textId="0B97F0F9" w:rsidR="00613F14" w:rsidRPr="00E31EA3" w:rsidRDefault="00613F14" w:rsidP="00613F14">
            <w:pPr>
              <w:rPr>
                <w:rFonts w:cs="Arial"/>
              </w:rPr>
            </w:pPr>
            <w:proofErr w:type="spellStart"/>
            <w:r w:rsidRPr="00E31EA3">
              <w:rPr>
                <w:rFonts w:cs="Arial"/>
              </w:rPr>
              <w:t>Дисеминирана</w:t>
            </w:r>
            <w:proofErr w:type="spellEnd"/>
            <w:r w:rsidRPr="00E31EA3">
              <w:rPr>
                <w:rFonts w:cs="Arial"/>
              </w:rPr>
              <w:t xml:space="preserve"> </w:t>
            </w:r>
            <w:proofErr w:type="spellStart"/>
            <w:r w:rsidRPr="00E31EA3">
              <w:rPr>
                <w:rFonts w:cs="Arial"/>
              </w:rPr>
              <w:t>интравазална</w:t>
            </w:r>
            <w:proofErr w:type="spellEnd"/>
            <w:r w:rsidRPr="00E31EA3">
              <w:rPr>
                <w:rFonts w:cs="Arial"/>
              </w:rPr>
              <w:t xml:space="preserve"> коагулация, </w:t>
            </w:r>
            <w:proofErr w:type="spellStart"/>
            <w:r w:rsidRPr="00E31EA3">
              <w:rPr>
                <w:rFonts w:cs="Arial"/>
              </w:rPr>
              <w:t>тромбоцитоза</w:t>
            </w:r>
            <w:proofErr w:type="spellEnd"/>
            <w:r w:rsidRPr="00E31EA3">
              <w:rPr>
                <w:rFonts w:cs="Arial"/>
              </w:rPr>
              <w:t xml:space="preserve">*, </w:t>
            </w:r>
            <w:proofErr w:type="spellStart"/>
            <w:r w:rsidRPr="00E31EA3">
              <w:rPr>
                <w:rFonts w:cs="Arial"/>
              </w:rPr>
              <w:t>хипервискозитетен</w:t>
            </w:r>
            <w:proofErr w:type="spellEnd"/>
            <w:r w:rsidRPr="00E31EA3">
              <w:rPr>
                <w:rFonts w:cs="Arial"/>
              </w:rPr>
              <w:t xml:space="preserve"> синдром, нарушения на </w:t>
            </w:r>
            <w:proofErr w:type="spellStart"/>
            <w:r w:rsidRPr="00E31EA3">
              <w:rPr>
                <w:rFonts w:cs="Arial"/>
              </w:rPr>
              <w:t>тромбоцитите</w:t>
            </w:r>
            <w:proofErr w:type="spellEnd"/>
            <w:r w:rsidRPr="00E31EA3">
              <w:rPr>
                <w:rFonts w:cs="Arial"/>
              </w:rPr>
              <w:t xml:space="preserve"> </w:t>
            </w:r>
            <w:r w:rsidRPr="00E31EA3">
              <w:rPr>
                <w:rFonts w:cs="Arial"/>
                <w:lang w:val="en-US"/>
              </w:rPr>
              <w:t>NOS</w:t>
            </w:r>
            <w:r w:rsidRPr="00FD4C98">
              <w:rPr>
                <w:rFonts w:cs="Arial"/>
                <w:lang w:val="ru-RU"/>
              </w:rPr>
              <w:t xml:space="preserve">, </w:t>
            </w:r>
            <w:proofErr w:type="spellStart"/>
            <w:r w:rsidRPr="00E31EA3">
              <w:rPr>
                <w:rFonts w:cs="Arial"/>
              </w:rPr>
              <w:t>тромбоцитопенична</w:t>
            </w:r>
            <w:proofErr w:type="spellEnd"/>
            <w:r w:rsidRPr="00E31EA3">
              <w:rPr>
                <w:rFonts w:cs="Arial"/>
              </w:rPr>
              <w:t xml:space="preserve"> пурпура, нарушения на кръвта </w:t>
            </w:r>
            <w:r w:rsidRPr="00E31EA3">
              <w:rPr>
                <w:rFonts w:cs="Arial"/>
                <w:lang w:val="en-US"/>
              </w:rPr>
              <w:t>NOS</w:t>
            </w:r>
            <w:r w:rsidRPr="00FD4C98">
              <w:rPr>
                <w:rFonts w:cs="Arial"/>
                <w:lang w:val="ru-RU"/>
              </w:rPr>
              <w:t xml:space="preserve">, </w:t>
            </w:r>
            <w:r w:rsidRPr="00E31EA3">
              <w:rPr>
                <w:rFonts w:cs="Arial"/>
              </w:rPr>
              <w:t xml:space="preserve">хеморагична </w:t>
            </w:r>
            <w:proofErr w:type="spellStart"/>
            <w:r w:rsidRPr="00E31EA3">
              <w:rPr>
                <w:rFonts w:cs="Arial"/>
              </w:rPr>
              <w:t>диатеза</w:t>
            </w:r>
            <w:proofErr w:type="spellEnd"/>
            <w:r w:rsidRPr="00E31EA3">
              <w:rPr>
                <w:rFonts w:cs="Arial"/>
              </w:rPr>
              <w:t>, лимфоцитна инфилтрация</w:t>
            </w:r>
          </w:p>
        </w:tc>
      </w:tr>
      <w:tr w:rsidR="00613F14" w14:paraId="4DE60D64" w14:textId="77777777" w:rsidTr="00613F14">
        <w:tc>
          <w:tcPr>
            <w:tcW w:w="3116" w:type="dxa"/>
            <w:vMerge w:val="restart"/>
          </w:tcPr>
          <w:p w14:paraId="29318310" w14:textId="5A3EEE42" w:rsidR="00613F14" w:rsidRPr="00E31EA3" w:rsidRDefault="00613F14" w:rsidP="00613F14">
            <w:pPr>
              <w:rPr>
                <w:rFonts w:cs="Arial"/>
              </w:rPr>
            </w:pPr>
            <w:r w:rsidRPr="00E31EA3">
              <w:rPr>
                <w:rFonts w:cs="Arial"/>
              </w:rPr>
              <w:t>Нарушения на имунната система</w:t>
            </w:r>
          </w:p>
        </w:tc>
        <w:tc>
          <w:tcPr>
            <w:tcW w:w="3117" w:type="dxa"/>
          </w:tcPr>
          <w:p w14:paraId="6B7DCE42" w14:textId="5F043E0C" w:rsidR="00613F14" w:rsidRPr="00E31EA3" w:rsidRDefault="00613F14" w:rsidP="00613F14">
            <w:pPr>
              <w:rPr>
                <w:rFonts w:cs="Arial"/>
              </w:rPr>
            </w:pPr>
            <w:r w:rsidRPr="00E31EA3">
              <w:rPr>
                <w:rFonts w:cs="Arial"/>
              </w:rPr>
              <w:t>Нечести</w:t>
            </w:r>
          </w:p>
        </w:tc>
        <w:tc>
          <w:tcPr>
            <w:tcW w:w="3117" w:type="dxa"/>
          </w:tcPr>
          <w:p w14:paraId="545EA4D3" w14:textId="40CD380A" w:rsidR="00613F14" w:rsidRPr="00E31EA3" w:rsidRDefault="00613F14" w:rsidP="00613F14">
            <w:pPr>
              <w:rPr>
                <w:rFonts w:cs="Arial"/>
              </w:rPr>
            </w:pPr>
            <w:r w:rsidRPr="00E31EA3">
              <w:rPr>
                <w:rFonts w:cs="Arial"/>
              </w:rPr>
              <w:t>Ангиоедем</w:t>
            </w:r>
            <w:r w:rsidRPr="00E31EA3">
              <w:rPr>
                <w:rFonts w:cs="Arial"/>
                <w:vertAlign w:val="superscript"/>
              </w:rPr>
              <w:t>#</w:t>
            </w:r>
            <w:r w:rsidRPr="00E31EA3">
              <w:rPr>
                <w:rFonts w:cs="Arial"/>
              </w:rPr>
              <w:t>, свръхчувствителност*</w:t>
            </w:r>
          </w:p>
        </w:tc>
      </w:tr>
      <w:tr w:rsidR="00613F14" w14:paraId="36754BFE" w14:textId="77777777" w:rsidTr="00613F14">
        <w:tc>
          <w:tcPr>
            <w:tcW w:w="3116" w:type="dxa"/>
            <w:vMerge/>
          </w:tcPr>
          <w:p w14:paraId="0D9C8DE6" w14:textId="77777777" w:rsidR="00613F14" w:rsidRPr="00E31EA3" w:rsidRDefault="00613F14" w:rsidP="00613F14">
            <w:pPr>
              <w:rPr>
                <w:rFonts w:cs="Arial"/>
              </w:rPr>
            </w:pPr>
          </w:p>
        </w:tc>
        <w:tc>
          <w:tcPr>
            <w:tcW w:w="3117" w:type="dxa"/>
          </w:tcPr>
          <w:p w14:paraId="49FC587E" w14:textId="1BEB9DC5" w:rsidR="00613F14" w:rsidRPr="00E31EA3" w:rsidRDefault="00613F14" w:rsidP="00613F14">
            <w:pPr>
              <w:rPr>
                <w:rFonts w:cs="Arial"/>
              </w:rPr>
            </w:pPr>
            <w:r w:rsidRPr="00E31EA3">
              <w:rPr>
                <w:rFonts w:cs="Arial"/>
              </w:rPr>
              <w:t>Редки</w:t>
            </w:r>
          </w:p>
        </w:tc>
        <w:tc>
          <w:tcPr>
            <w:tcW w:w="3117" w:type="dxa"/>
          </w:tcPr>
          <w:p w14:paraId="70DBAC7E" w14:textId="391042A4" w:rsidR="00613F14" w:rsidRPr="00E31EA3" w:rsidRDefault="00613F14" w:rsidP="00613F14">
            <w:pPr>
              <w:rPr>
                <w:rFonts w:cs="Arial"/>
              </w:rPr>
            </w:pPr>
            <w:proofErr w:type="spellStart"/>
            <w:r w:rsidRPr="00E31EA3">
              <w:rPr>
                <w:rFonts w:cs="Arial"/>
              </w:rPr>
              <w:t>Анафилактичен</w:t>
            </w:r>
            <w:proofErr w:type="spellEnd"/>
            <w:r w:rsidRPr="00E31EA3">
              <w:rPr>
                <w:rFonts w:cs="Arial"/>
              </w:rPr>
              <w:t xml:space="preserve"> шок, </w:t>
            </w:r>
            <w:proofErr w:type="spellStart"/>
            <w:r w:rsidRPr="00E31EA3">
              <w:rPr>
                <w:rFonts w:cs="Arial"/>
              </w:rPr>
              <w:t>амилоидоза</w:t>
            </w:r>
            <w:proofErr w:type="spellEnd"/>
            <w:r w:rsidRPr="00E31EA3">
              <w:rPr>
                <w:rFonts w:cs="Arial"/>
              </w:rPr>
              <w:t xml:space="preserve">, тип III </w:t>
            </w:r>
            <w:proofErr w:type="spellStart"/>
            <w:r w:rsidRPr="00E31EA3">
              <w:rPr>
                <w:rFonts w:cs="Arial"/>
              </w:rPr>
              <w:t>имунокомплекс</w:t>
            </w:r>
            <w:proofErr w:type="spellEnd"/>
            <w:r w:rsidRPr="00E31EA3">
              <w:rPr>
                <w:rFonts w:cs="Arial"/>
              </w:rPr>
              <w:t xml:space="preserve"> </w:t>
            </w:r>
            <w:proofErr w:type="spellStart"/>
            <w:r w:rsidRPr="00E31EA3">
              <w:rPr>
                <w:rFonts w:cs="Arial"/>
              </w:rPr>
              <w:t>медиирана</w:t>
            </w:r>
            <w:proofErr w:type="spellEnd"/>
            <w:r w:rsidRPr="00E31EA3">
              <w:rPr>
                <w:rFonts w:cs="Arial"/>
              </w:rPr>
              <w:t xml:space="preserve"> реакция</w:t>
            </w:r>
          </w:p>
        </w:tc>
      </w:tr>
      <w:tr w:rsidR="00613F14" w14:paraId="47B80571" w14:textId="77777777" w:rsidTr="00613F14">
        <w:tc>
          <w:tcPr>
            <w:tcW w:w="3116" w:type="dxa"/>
            <w:vMerge w:val="restart"/>
          </w:tcPr>
          <w:p w14:paraId="4CF1309B" w14:textId="3B472EDF" w:rsidR="00613F14" w:rsidRPr="00E31EA3" w:rsidRDefault="00613F14" w:rsidP="00613F14">
            <w:pPr>
              <w:rPr>
                <w:rFonts w:cs="Arial"/>
              </w:rPr>
            </w:pPr>
            <w:r w:rsidRPr="00E31EA3">
              <w:rPr>
                <w:rFonts w:cs="Arial"/>
              </w:rPr>
              <w:t>Нарушения на ендокринната система</w:t>
            </w:r>
          </w:p>
        </w:tc>
        <w:tc>
          <w:tcPr>
            <w:tcW w:w="3117" w:type="dxa"/>
          </w:tcPr>
          <w:p w14:paraId="5BE28246" w14:textId="3FD970A2" w:rsidR="00613F14" w:rsidRPr="00E31EA3" w:rsidRDefault="00613F14" w:rsidP="00613F14">
            <w:pPr>
              <w:rPr>
                <w:rFonts w:cs="Arial"/>
              </w:rPr>
            </w:pPr>
            <w:r w:rsidRPr="00E31EA3">
              <w:rPr>
                <w:rFonts w:cs="Arial"/>
              </w:rPr>
              <w:t>Нечести</w:t>
            </w:r>
          </w:p>
        </w:tc>
        <w:tc>
          <w:tcPr>
            <w:tcW w:w="3117" w:type="dxa"/>
          </w:tcPr>
          <w:p w14:paraId="1BAC9AB6" w14:textId="13C2D5A4" w:rsidR="00613F14" w:rsidRPr="00E31EA3" w:rsidRDefault="00613F14" w:rsidP="00613F14">
            <w:pPr>
              <w:rPr>
                <w:rFonts w:cs="Arial"/>
              </w:rPr>
            </w:pPr>
            <w:r w:rsidRPr="00E31EA3">
              <w:rPr>
                <w:rFonts w:cs="Arial"/>
              </w:rPr>
              <w:t xml:space="preserve">Синдром на </w:t>
            </w:r>
            <w:r w:rsidRPr="00E31EA3">
              <w:rPr>
                <w:rFonts w:cs="Arial"/>
                <w:lang w:val="en-US"/>
              </w:rPr>
              <w:t>Cushing</w:t>
            </w:r>
            <w:r w:rsidRPr="00FD4C98">
              <w:rPr>
                <w:rFonts w:cs="Arial"/>
                <w:lang w:val="ru-RU"/>
              </w:rPr>
              <w:t xml:space="preserve">*, </w:t>
            </w:r>
            <w:proofErr w:type="spellStart"/>
            <w:r w:rsidRPr="00E31EA3">
              <w:rPr>
                <w:rFonts w:cs="Arial"/>
              </w:rPr>
              <w:t>хипертироидизъм</w:t>
            </w:r>
            <w:proofErr w:type="spellEnd"/>
            <w:r w:rsidRPr="00E31EA3">
              <w:rPr>
                <w:rFonts w:cs="Arial"/>
              </w:rPr>
              <w:t>*, неадекватна секреция на антидиуретичен хормон</w:t>
            </w:r>
          </w:p>
        </w:tc>
      </w:tr>
      <w:tr w:rsidR="00613F14" w14:paraId="1B0DCBD7" w14:textId="77777777" w:rsidTr="00613F14">
        <w:tc>
          <w:tcPr>
            <w:tcW w:w="3116" w:type="dxa"/>
            <w:vMerge/>
          </w:tcPr>
          <w:p w14:paraId="79B5AB45" w14:textId="77777777" w:rsidR="00613F14" w:rsidRPr="00E31EA3" w:rsidRDefault="00613F14" w:rsidP="00613F14">
            <w:pPr>
              <w:rPr>
                <w:rFonts w:cs="Arial"/>
              </w:rPr>
            </w:pPr>
          </w:p>
        </w:tc>
        <w:tc>
          <w:tcPr>
            <w:tcW w:w="3117" w:type="dxa"/>
          </w:tcPr>
          <w:p w14:paraId="4978737F" w14:textId="348A9F70" w:rsidR="00613F14" w:rsidRPr="00E31EA3" w:rsidRDefault="00613F14" w:rsidP="00613F14">
            <w:pPr>
              <w:rPr>
                <w:rFonts w:cs="Arial"/>
              </w:rPr>
            </w:pPr>
            <w:r w:rsidRPr="00E31EA3">
              <w:rPr>
                <w:rFonts w:cs="Arial"/>
              </w:rPr>
              <w:t>Редки</w:t>
            </w:r>
          </w:p>
        </w:tc>
        <w:tc>
          <w:tcPr>
            <w:tcW w:w="3117" w:type="dxa"/>
          </w:tcPr>
          <w:p w14:paraId="2CF3ABAD" w14:textId="451361A1" w:rsidR="00613F14" w:rsidRPr="00E31EA3" w:rsidRDefault="00613F14" w:rsidP="00613F14">
            <w:pPr>
              <w:rPr>
                <w:rFonts w:cs="Arial"/>
              </w:rPr>
            </w:pPr>
            <w:proofErr w:type="spellStart"/>
            <w:r w:rsidRPr="00E31EA3">
              <w:rPr>
                <w:rFonts w:cs="Arial"/>
              </w:rPr>
              <w:t>Хипотироидизъм</w:t>
            </w:r>
            <w:proofErr w:type="spellEnd"/>
          </w:p>
        </w:tc>
      </w:tr>
      <w:tr w:rsidR="00E811D7" w14:paraId="6D546514" w14:textId="77777777" w:rsidTr="00613F14">
        <w:tc>
          <w:tcPr>
            <w:tcW w:w="3116" w:type="dxa"/>
            <w:vMerge w:val="restart"/>
          </w:tcPr>
          <w:p w14:paraId="7B51AF39" w14:textId="34DDF322" w:rsidR="00E811D7" w:rsidRPr="00E31EA3" w:rsidRDefault="00E811D7" w:rsidP="00613F14">
            <w:pPr>
              <w:rPr>
                <w:rFonts w:cs="Arial"/>
              </w:rPr>
            </w:pPr>
            <w:r w:rsidRPr="00E31EA3">
              <w:rPr>
                <w:rFonts w:cs="Arial"/>
              </w:rPr>
              <w:t>Нарушения на метаболизма и храненето</w:t>
            </w:r>
          </w:p>
        </w:tc>
        <w:tc>
          <w:tcPr>
            <w:tcW w:w="3117" w:type="dxa"/>
          </w:tcPr>
          <w:p w14:paraId="07BC1FC9" w14:textId="13954471" w:rsidR="00E811D7" w:rsidRPr="00E31EA3" w:rsidRDefault="00E811D7" w:rsidP="00613F14">
            <w:pPr>
              <w:rPr>
                <w:rFonts w:cs="Arial"/>
              </w:rPr>
            </w:pPr>
            <w:r w:rsidRPr="00E31EA3">
              <w:rPr>
                <w:rFonts w:cs="Arial"/>
              </w:rPr>
              <w:t>Много чести</w:t>
            </w:r>
          </w:p>
        </w:tc>
        <w:tc>
          <w:tcPr>
            <w:tcW w:w="3117" w:type="dxa"/>
          </w:tcPr>
          <w:p w14:paraId="571C2215" w14:textId="606F6C8E" w:rsidR="00E811D7" w:rsidRPr="00E31EA3" w:rsidRDefault="00E811D7" w:rsidP="00613F14">
            <w:pPr>
              <w:rPr>
                <w:rFonts w:cs="Arial"/>
              </w:rPr>
            </w:pPr>
            <w:r w:rsidRPr="00E31EA3">
              <w:rPr>
                <w:rFonts w:cs="Arial"/>
              </w:rPr>
              <w:t>Понижаване на апетита</w:t>
            </w:r>
          </w:p>
        </w:tc>
      </w:tr>
      <w:tr w:rsidR="00E811D7" w14:paraId="6ED971C0" w14:textId="77777777" w:rsidTr="00613F14">
        <w:tc>
          <w:tcPr>
            <w:tcW w:w="3116" w:type="dxa"/>
            <w:vMerge/>
          </w:tcPr>
          <w:p w14:paraId="59B6AE38" w14:textId="77777777" w:rsidR="00E811D7" w:rsidRPr="00E31EA3" w:rsidRDefault="00E811D7" w:rsidP="00613F14">
            <w:pPr>
              <w:rPr>
                <w:rFonts w:cs="Arial"/>
              </w:rPr>
            </w:pPr>
          </w:p>
        </w:tc>
        <w:tc>
          <w:tcPr>
            <w:tcW w:w="3117" w:type="dxa"/>
          </w:tcPr>
          <w:p w14:paraId="50468138" w14:textId="241B0180" w:rsidR="00E811D7" w:rsidRPr="00E31EA3" w:rsidRDefault="00E811D7" w:rsidP="00613F14">
            <w:pPr>
              <w:rPr>
                <w:rFonts w:cs="Arial"/>
              </w:rPr>
            </w:pPr>
            <w:r w:rsidRPr="00E31EA3">
              <w:rPr>
                <w:rFonts w:cs="Arial"/>
              </w:rPr>
              <w:t>Чести</w:t>
            </w:r>
          </w:p>
        </w:tc>
        <w:tc>
          <w:tcPr>
            <w:tcW w:w="3117" w:type="dxa"/>
          </w:tcPr>
          <w:p w14:paraId="3BD82A3E" w14:textId="3B15627E" w:rsidR="00E811D7" w:rsidRPr="00E31EA3" w:rsidRDefault="00E811D7" w:rsidP="00613F14">
            <w:pPr>
              <w:rPr>
                <w:rFonts w:cs="Arial"/>
              </w:rPr>
            </w:pPr>
            <w:r w:rsidRPr="00E31EA3">
              <w:rPr>
                <w:rFonts w:cs="Arial"/>
              </w:rPr>
              <w:t xml:space="preserve">Дехидратация, хипокалиемия*, </w:t>
            </w:r>
            <w:proofErr w:type="spellStart"/>
            <w:r w:rsidRPr="00E31EA3">
              <w:rPr>
                <w:rFonts w:cs="Arial"/>
              </w:rPr>
              <w:t>хипонатриемия</w:t>
            </w:r>
            <w:proofErr w:type="spellEnd"/>
            <w:r w:rsidRPr="00E31EA3">
              <w:rPr>
                <w:rFonts w:cs="Arial"/>
              </w:rPr>
              <w:t xml:space="preserve">*, </w:t>
            </w:r>
            <w:proofErr w:type="spellStart"/>
            <w:r w:rsidRPr="00E31EA3">
              <w:rPr>
                <w:rFonts w:cs="Arial"/>
              </w:rPr>
              <w:t>абнормна</w:t>
            </w:r>
            <w:proofErr w:type="spellEnd"/>
            <w:r w:rsidRPr="00E31EA3">
              <w:rPr>
                <w:rFonts w:cs="Arial"/>
              </w:rPr>
              <w:t xml:space="preserve"> кръвна захар*, </w:t>
            </w:r>
            <w:proofErr w:type="spellStart"/>
            <w:r w:rsidRPr="00E31EA3">
              <w:rPr>
                <w:rFonts w:cs="Arial"/>
              </w:rPr>
              <w:t>хипокалциемия</w:t>
            </w:r>
            <w:proofErr w:type="spellEnd"/>
            <w:r w:rsidRPr="00E31EA3">
              <w:rPr>
                <w:rFonts w:cs="Arial"/>
              </w:rPr>
              <w:t xml:space="preserve">*, </w:t>
            </w:r>
            <w:proofErr w:type="spellStart"/>
            <w:r w:rsidRPr="00E31EA3">
              <w:rPr>
                <w:rFonts w:cs="Arial"/>
              </w:rPr>
              <w:t>абнормни</w:t>
            </w:r>
            <w:proofErr w:type="spellEnd"/>
            <w:r w:rsidRPr="00E31EA3">
              <w:rPr>
                <w:rFonts w:cs="Arial"/>
              </w:rPr>
              <w:t xml:space="preserve"> ензими*</w:t>
            </w:r>
          </w:p>
        </w:tc>
      </w:tr>
      <w:tr w:rsidR="00E811D7" w14:paraId="162CFF7F" w14:textId="77777777" w:rsidTr="00613F14">
        <w:tc>
          <w:tcPr>
            <w:tcW w:w="3116" w:type="dxa"/>
            <w:vMerge/>
          </w:tcPr>
          <w:p w14:paraId="26EDBBCD" w14:textId="77777777" w:rsidR="00E811D7" w:rsidRPr="00E31EA3" w:rsidRDefault="00E811D7" w:rsidP="00613F14">
            <w:pPr>
              <w:rPr>
                <w:rFonts w:cs="Arial"/>
              </w:rPr>
            </w:pPr>
          </w:p>
        </w:tc>
        <w:tc>
          <w:tcPr>
            <w:tcW w:w="3117" w:type="dxa"/>
          </w:tcPr>
          <w:p w14:paraId="094A746D" w14:textId="3E705131" w:rsidR="00E811D7" w:rsidRPr="00E31EA3" w:rsidRDefault="00E811D7" w:rsidP="00613F14">
            <w:pPr>
              <w:rPr>
                <w:rFonts w:cs="Arial"/>
              </w:rPr>
            </w:pPr>
            <w:r w:rsidRPr="00E31EA3">
              <w:rPr>
                <w:rFonts w:cs="Arial"/>
              </w:rPr>
              <w:t>Нечести</w:t>
            </w:r>
          </w:p>
        </w:tc>
        <w:tc>
          <w:tcPr>
            <w:tcW w:w="3117" w:type="dxa"/>
          </w:tcPr>
          <w:p w14:paraId="086141FB" w14:textId="75E7A156" w:rsidR="00E811D7" w:rsidRPr="00E31EA3" w:rsidRDefault="00E811D7" w:rsidP="00613F14">
            <w:pPr>
              <w:rPr>
                <w:rFonts w:cs="Arial"/>
              </w:rPr>
            </w:pPr>
            <w:r w:rsidRPr="00E31EA3">
              <w:rPr>
                <w:rFonts w:cs="Arial"/>
              </w:rPr>
              <w:t xml:space="preserve">Синдром на туморен разпад, забавен растеж*, </w:t>
            </w:r>
            <w:proofErr w:type="spellStart"/>
            <w:r w:rsidRPr="00E31EA3">
              <w:rPr>
                <w:rFonts w:cs="Arial"/>
              </w:rPr>
              <w:t>хипомагнезиемия</w:t>
            </w:r>
            <w:proofErr w:type="spellEnd"/>
            <w:r w:rsidRPr="00E31EA3">
              <w:rPr>
                <w:rFonts w:cs="Arial"/>
              </w:rPr>
              <w:t xml:space="preserve">*, </w:t>
            </w:r>
            <w:proofErr w:type="spellStart"/>
            <w:r w:rsidRPr="00E31EA3">
              <w:rPr>
                <w:rFonts w:cs="Arial"/>
              </w:rPr>
              <w:t>хипофосфатемия</w:t>
            </w:r>
            <w:proofErr w:type="spellEnd"/>
            <w:r w:rsidRPr="00E31EA3">
              <w:rPr>
                <w:rFonts w:cs="Arial"/>
              </w:rPr>
              <w:t xml:space="preserve">*, </w:t>
            </w:r>
            <w:proofErr w:type="spellStart"/>
            <w:r w:rsidRPr="00E31EA3">
              <w:rPr>
                <w:rFonts w:cs="Arial"/>
              </w:rPr>
              <w:t>хиперкалиемия</w:t>
            </w:r>
            <w:proofErr w:type="spellEnd"/>
            <w:r w:rsidRPr="00E31EA3">
              <w:rPr>
                <w:rFonts w:cs="Arial"/>
              </w:rPr>
              <w:t xml:space="preserve">*, </w:t>
            </w:r>
            <w:proofErr w:type="spellStart"/>
            <w:r w:rsidRPr="00E31EA3">
              <w:rPr>
                <w:rFonts w:cs="Arial"/>
              </w:rPr>
              <w:t>хиперкалцемия</w:t>
            </w:r>
            <w:proofErr w:type="spellEnd"/>
            <w:r w:rsidRPr="00E31EA3">
              <w:rPr>
                <w:rFonts w:cs="Arial"/>
              </w:rPr>
              <w:t xml:space="preserve">*, </w:t>
            </w:r>
            <w:proofErr w:type="spellStart"/>
            <w:r w:rsidRPr="00E31EA3">
              <w:rPr>
                <w:rFonts w:cs="Arial"/>
              </w:rPr>
              <w:t>хипернатриемия</w:t>
            </w:r>
            <w:proofErr w:type="spellEnd"/>
            <w:r w:rsidRPr="00E31EA3">
              <w:rPr>
                <w:rFonts w:cs="Arial"/>
              </w:rPr>
              <w:t xml:space="preserve">*, </w:t>
            </w:r>
            <w:proofErr w:type="spellStart"/>
            <w:r w:rsidRPr="00E31EA3">
              <w:rPr>
                <w:rFonts w:cs="Arial"/>
              </w:rPr>
              <w:t>абнормна</w:t>
            </w:r>
            <w:proofErr w:type="spellEnd"/>
            <w:r w:rsidRPr="00E31EA3">
              <w:rPr>
                <w:rFonts w:cs="Arial"/>
              </w:rPr>
              <w:t xml:space="preserve"> пикочна киселина*, захарен диабет*, задържане на течности</w:t>
            </w:r>
          </w:p>
        </w:tc>
      </w:tr>
      <w:tr w:rsidR="00E811D7" w14:paraId="59C98E7D" w14:textId="77777777" w:rsidTr="00613F14">
        <w:tc>
          <w:tcPr>
            <w:tcW w:w="3116" w:type="dxa"/>
            <w:vMerge/>
          </w:tcPr>
          <w:p w14:paraId="57525F49" w14:textId="77777777" w:rsidR="00E811D7" w:rsidRPr="00E31EA3" w:rsidRDefault="00E811D7" w:rsidP="00613F14">
            <w:pPr>
              <w:rPr>
                <w:rFonts w:cs="Arial"/>
              </w:rPr>
            </w:pPr>
          </w:p>
        </w:tc>
        <w:tc>
          <w:tcPr>
            <w:tcW w:w="3117" w:type="dxa"/>
          </w:tcPr>
          <w:p w14:paraId="0E1E5D8C" w14:textId="52254698" w:rsidR="00E811D7" w:rsidRPr="00E31EA3" w:rsidRDefault="00E811D7" w:rsidP="00613F14">
            <w:pPr>
              <w:rPr>
                <w:rFonts w:cs="Arial"/>
              </w:rPr>
            </w:pPr>
            <w:r w:rsidRPr="00E31EA3">
              <w:rPr>
                <w:rFonts w:cs="Arial"/>
              </w:rPr>
              <w:t>Редки</w:t>
            </w:r>
          </w:p>
        </w:tc>
        <w:tc>
          <w:tcPr>
            <w:tcW w:w="3117" w:type="dxa"/>
            <w:vAlign w:val="bottom"/>
          </w:tcPr>
          <w:p w14:paraId="3DF77829" w14:textId="7B1213DA" w:rsidR="00E811D7" w:rsidRPr="00E31EA3" w:rsidRDefault="00E811D7" w:rsidP="00613F14">
            <w:pPr>
              <w:rPr>
                <w:rFonts w:cs="Arial"/>
              </w:rPr>
            </w:pPr>
            <w:proofErr w:type="spellStart"/>
            <w:r w:rsidRPr="00E31EA3">
              <w:rPr>
                <w:rFonts w:cs="Arial"/>
              </w:rPr>
              <w:t>Хипермагнезиемия</w:t>
            </w:r>
            <w:proofErr w:type="spellEnd"/>
            <w:r w:rsidRPr="00E31EA3">
              <w:rPr>
                <w:rFonts w:cs="Arial"/>
              </w:rPr>
              <w:t xml:space="preserve">*, </w:t>
            </w:r>
            <w:proofErr w:type="spellStart"/>
            <w:r w:rsidRPr="00E31EA3">
              <w:rPr>
                <w:rFonts w:cs="Arial"/>
              </w:rPr>
              <w:t>ацидоза</w:t>
            </w:r>
            <w:proofErr w:type="spellEnd"/>
            <w:r w:rsidRPr="00E31EA3">
              <w:rPr>
                <w:rFonts w:cs="Arial"/>
              </w:rPr>
              <w:t xml:space="preserve">, електролитен дисбаланс*, претоварване с течности, </w:t>
            </w:r>
            <w:proofErr w:type="spellStart"/>
            <w:r w:rsidRPr="00E31EA3">
              <w:rPr>
                <w:rFonts w:cs="Arial"/>
              </w:rPr>
              <w:t>хипохлоремия</w:t>
            </w:r>
            <w:proofErr w:type="spellEnd"/>
            <w:r w:rsidRPr="00E31EA3">
              <w:rPr>
                <w:rFonts w:cs="Arial"/>
              </w:rPr>
              <w:t xml:space="preserve">*, </w:t>
            </w:r>
            <w:proofErr w:type="spellStart"/>
            <w:r w:rsidRPr="00E31EA3">
              <w:rPr>
                <w:rFonts w:cs="Arial"/>
              </w:rPr>
              <w:t>хмповолемия</w:t>
            </w:r>
            <w:proofErr w:type="spellEnd"/>
            <w:r w:rsidRPr="00E31EA3">
              <w:rPr>
                <w:rFonts w:cs="Arial"/>
              </w:rPr>
              <w:t xml:space="preserve">, </w:t>
            </w:r>
            <w:proofErr w:type="spellStart"/>
            <w:r w:rsidRPr="00E31EA3">
              <w:rPr>
                <w:rFonts w:cs="Arial"/>
              </w:rPr>
              <w:t>хиперхлоремия</w:t>
            </w:r>
            <w:proofErr w:type="spellEnd"/>
            <w:r w:rsidRPr="00E31EA3">
              <w:rPr>
                <w:rFonts w:cs="Arial"/>
              </w:rPr>
              <w:t xml:space="preserve">*, </w:t>
            </w:r>
            <w:proofErr w:type="spellStart"/>
            <w:r w:rsidRPr="00E31EA3">
              <w:rPr>
                <w:rFonts w:cs="Arial"/>
              </w:rPr>
              <w:t>хиперфосфатемия</w:t>
            </w:r>
            <w:proofErr w:type="spellEnd"/>
            <w:r w:rsidRPr="00E31EA3">
              <w:rPr>
                <w:rFonts w:cs="Arial"/>
              </w:rPr>
              <w:t>*, метаболитно нарушение, витамин В комплексен дефицит, дефицит на витамин В 12, подагра, повишен апетит, непоносимост към алкохола ...</w:t>
            </w:r>
          </w:p>
        </w:tc>
      </w:tr>
      <w:tr w:rsidR="00E811D7" w14:paraId="05F17799" w14:textId="77777777" w:rsidTr="00613F14">
        <w:tc>
          <w:tcPr>
            <w:tcW w:w="3116" w:type="dxa"/>
            <w:vMerge w:val="restart"/>
          </w:tcPr>
          <w:p w14:paraId="246C4A32" w14:textId="4BA563BF" w:rsidR="00E811D7" w:rsidRPr="00E31EA3" w:rsidRDefault="00E811D7" w:rsidP="00E811D7">
            <w:pPr>
              <w:rPr>
                <w:rFonts w:cs="Arial"/>
              </w:rPr>
            </w:pPr>
            <w:r w:rsidRPr="00E31EA3">
              <w:rPr>
                <w:rFonts w:cs="Arial"/>
              </w:rPr>
              <w:t>Психични нарушения</w:t>
            </w:r>
          </w:p>
        </w:tc>
        <w:tc>
          <w:tcPr>
            <w:tcW w:w="3117" w:type="dxa"/>
          </w:tcPr>
          <w:p w14:paraId="69673282" w14:textId="7F907BD7" w:rsidR="00E811D7" w:rsidRPr="00E31EA3" w:rsidRDefault="00E811D7" w:rsidP="00E811D7">
            <w:pPr>
              <w:rPr>
                <w:rFonts w:cs="Arial"/>
              </w:rPr>
            </w:pPr>
            <w:r w:rsidRPr="00E31EA3">
              <w:rPr>
                <w:rFonts w:cs="Arial"/>
              </w:rPr>
              <w:t>Чести</w:t>
            </w:r>
          </w:p>
        </w:tc>
        <w:tc>
          <w:tcPr>
            <w:tcW w:w="3117" w:type="dxa"/>
          </w:tcPr>
          <w:p w14:paraId="370996F8" w14:textId="64EBEBCD" w:rsidR="00E811D7" w:rsidRPr="00E31EA3" w:rsidRDefault="00E811D7" w:rsidP="00E811D7">
            <w:pPr>
              <w:rPr>
                <w:rFonts w:cs="Arial"/>
              </w:rPr>
            </w:pPr>
            <w:r w:rsidRPr="00E31EA3">
              <w:rPr>
                <w:rFonts w:cs="Arial"/>
              </w:rPr>
              <w:t>Нарушения и разстройства на настроението*, тревожно разстройство*, нарушения и разстройства на съня*</w:t>
            </w:r>
          </w:p>
        </w:tc>
      </w:tr>
      <w:tr w:rsidR="00E811D7" w14:paraId="3072730C" w14:textId="77777777" w:rsidTr="00613F14">
        <w:tc>
          <w:tcPr>
            <w:tcW w:w="3116" w:type="dxa"/>
            <w:vMerge/>
          </w:tcPr>
          <w:p w14:paraId="1B85D158" w14:textId="77777777" w:rsidR="00E811D7" w:rsidRPr="00E31EA3" w:rsidRDefault="00E811D7" w:rsidP="00E811D7">
            <w:pPr>
              <w:rPr>
                <w:rFonts w:cs="Arial"/>
              </w:rPr>
            </w:pPr>
          </w:p>
        </w:tc>
        <w:tc>
          <w:tcPr>
            <w:tcW w:w="3117" w:type="dxa"/>
          </w:tcPr>
          <w:p w14:paraId="77BCEF9D" w14:textId="49C20BB0" w:rsidR="00E811D7" w:rsidRPr="00E31EA3" w:rsidRDefault="00E811D7" w:rsidP="00E811D7">
            <w:pPr>
              <w:rPr>
                <w:rFonts w:cs="Arial"/>
              </w:rPr>
            </w:pPr>
            <w:r w:rsidRPr="00E31EA3">
              <w:rPr>
                <w:rFonts w:cs="Arial"/>
              </w:rPr>
              <w:t>Нечести</w:t>
            </w:r>
          </w:p>
        </w:tc>
        <w:tc>
          <w:tcPr>
            <w:tcW w:w="3117" w:type="dxa"/>
          </w:tcPr>
          <w:p w14:paraId="2641414A" w14:textId="34472E36" w:rsidR="00E811D7" w:rsidRPr="00E31EA3" w:rsidRDefault="00E811D7" w:rsidP="00E811D7">
            <w:pPr>
              <w:rPr>
                <w:rFonts w:cs="Arial"/>
              </w:rPr>
            </w:pPr>
            <w:r w:rsidRPr="00E31EA3">
              <w:rPr>
                <w:rFonts w:cs="Arial"/>
              </w:rPr>
              <w:t xml:space="preserve">Психично разстройство*, халюцинации*, психотично </w:t>
            </w:r>
            <w:r w:rsidRPr="00E31EA3">
              <w:rPr>
                <w:rFonts w:cs="Arial"/>
              </w:rPr>
              <w:lastRenderedPageBreak/>
              <w:t>разстройство*, объркване*, безпокойство</w:t>
            </w:r>
          </w:p>
        </w:tc>
      </w:tr>
      <w:tr w:rsidR="00E811D7" w14:paraId="78D3F25E" w14:textId="77777777" w:rsidTr="00613F14">
        <w:tc>
          <w:tcPr>
            <w:tcW w:w="3116" w:type="dxa"/>
            <w:vMerge/>
          </w:tcPr>
          <w:p w14:paraId="31B471EC" w14:textId="77777777" w:rsidR="00E811D7" w:rsidRPr="00E31EA3" w:rsidRDefault="00E811D7" w:rsidP="00E811D7">
            <w:pPr>
              <w:rPr>
                <w:rFonts w:cs="Arial"/>
              </w:rPr>
            </w:pPr>
          </w:p>
        </w:tc>
        <w:tc>
          <w:tcPr>
            <w:tcW w:w="3117" w:type="dxa"/>
          </w:tcPr>
          <w:p w14:paraId="7283270D" w14:textId="29C4AE34" w:rsidR="00E811D7" w:rsidRPr="00E31EA3" w:rsidRDefault="00E811D7" w:rsidP="00E811D7">
            <w:pPr>
              <w:rPr>
                <w:rFonts w:cs="Arial"/>
              </w:rPr>
            </w:pPr>
            <w:r w:rsidRPr="00E31EA3">
              <w:rPr>
                <w:rFonts w:cs="Arial"/>
              </w:rPr>
              <w:t>Редки</w:t>
            </w:r>
          </w:p>
        </w:tc>
        <w:tc>
          <w:tcPr>
            <w:tcW w:w="3117" w:type="dxa"/>
          </w:tcPr>
          <w:p w14:paraId="2C7E0008" w14:textId="795BB989" w:rsidR="00E811D7" w:rsidRPr="00E31EA3" w:rsidRDefault="00E811D7" w:rsidP="00E811D7">
            <w:pPr>
              <w:rPr>
                <w:rFonts w:cs="Arial"/>
              </w:rPr>
            </w:pPr>
            <w:r w:rsidRPr="00E31EA3">
              <w:rPr>
                <w:rFonts w:cs="Arial"/>
              </w:rPr>
              <w:t xml:space="preserve">Суицидна </w:t>
            </w:r>
            <w:proofErr w:type="spellStart"/>
            <w:r w:rsidRPr="00E31EA3">
              <w:rPr>
                <w:rFonts w:cs="Arial"/>
              </w:rPr>
              <w:t>идеация</w:t>
            </w:r>
            <w:proofErr w:type="spellEnd"/>
            <w:r w:rsidRPr="00E31EA3">
              <w:rPr>
                <w:rFonts w:cs="Arial"/>
              </w:rPr>
              <w:t>*, адаптивни разстройства, делириум, намалено либидо</w:t>
            </w:r>
          </w:p>
        </w:tc>
      </w:tr>
      <w:tr w:rsidR="00E811D7" w14:paraId="355B2166" w14:textId="77777777" w:rsidTr="00613F14">
        <w:tc>
          <w:tcPr>
            <w:tcW w:w="3116" w:type="dxa"/>
            <w:vMerge w:val="restart"/>
          </w:tcPr>
          <w:p w14:paraId="7605FA94" w14:textId="22F073C0" w:rsidR="00E811D7" w:rsidRPr="00E31EA3" w:rsidRDefault="00E811D7" w:rsidP="00E811D7">
            <w:pPr>
              <w:rPr>
                <w:rFonts w:cs="Arial"/>
              </w:rPr>
            </w:pPr>
            <w:r w:rsidRPr="00E31EA3">
              <w:rPr>
                <w:rFonts w:cs="Arial"/>
              </w:rPr>
              <w:t>Нарушения на нервната система</w:t>
            </w:r>
          </w:p>
        </w:tc>
        <w:tc>
          <w:tcPr>
            <w:tcW w:w="3117" w:type="dxa"/>
          </w:tcPr>
          <w:p w14:paraId="5E6AF879" w14:textId="4EE9A2E5" w:rsidR="00E811D7" w:rsidRPr="00E31EA3" w:rsidRDefault="00E811D7" w:rsidP="00E811D7">
            <w:pPr>
              <w:rPr>
                <w:rFonts w:cs="Arial"/>
              </w:rPr>
            </w:pPr>
            <w:r w:rsidRPr="00E31EA3">
              <w:rPr>
                <w:rFonts w:cs="Arial"/>
              </w:rPr>
              <w:t>Много чести</w:t>
            </w:r>
          </w:p>
        </w:tc>
        <w:tc>
          <w:tcPr>
            <w:tcW w:w="3117" w:type="dxa"/>
          </w:tcPr>
          <w:p w14:paraId="48CB2BC6" w14:textId="741B1B35" w:rsidR="00E811D7" w:rsidRPr="00E31EA3" w:rsidRDefault="00E811D7" w:rsidP="00E811D7">
            <w:pPr>
              <w:rPr>
                <w:rFonts w:cs="Arial"/>
              </w:rPr>
            </w:pPr>
            <w:r w:rsidRPr="00E31EA3">
              <w:rPr>
                <w:rFonts w:cs="Arial"/>
              </w:rPr>
              <w:t xml:space="preserve">Невропатии*, периферна сензорна невропатия, </w:t>
            </w:r>
            <w:proofErr w:type="spellStart"/>
            <w:r w:rsidRPr="00E31EA3">
              <w:rPr>
                <w:rFonts w:cs="Arial"/>
              </w:rPr>
              <w:t>дисестезия</w:t>
            </w:r>
            <w:proofErr w:type="spellEnd"/>
            <w:r w:rsidRPr="00E31EA3">
              <w:rPr>
                <w:rFonts w:cs="Arial"/>
              </w:rPr>
              <w:t>*, невралгия*</w:t>
            </w:r>
          </w:p>
        </w:tc>
      </w:tr>
      <w:tr w:rsidR="00613F14" w14:paraId="2462BAED" w14:textId="77777777" w:rsidTr="00613F14">
        <w:tc>
          <w:tcPr>
            <w:tcW w:w="3116" w:type="dxa"/>
            <w:vMerge/>
          </w:tcPr>
          <w:p w14:paraId="041D1110" w14:textId="77777777" w:rsidR="00613F14" w:rsidRPr="00E31EA3" w:rsidRDefault="00613F14" w:rsidP="00613F14">
            <w:pPr>
              <w:rPr>
                <w:rFonts w:cs="Arial"/>
              </w:rPr>
            </w:pPr>
          </w:p>
        </w:tc>
        <w:tc>
          <w:tcPr>
            <w:tcW w:w="3117" w:type="dxa"/>
          </w:tcPr>
          <w:p w14:paraId="6A243F78" w14:textId="4EEFAF4C" w:rsidR="00613F14" w:rsidRPr="00E31EA3" w:rsidRDefault="00613F14" w:rsidP="00613F14">
            <w:pPr>
              <w:rPr>
                <w:rFonts w:cs="Arial"/>
              </w:rPr>
            </w:pPr>
            <w:r w:rsidRPr="00E31EA3">
              <w:rPr>
                <w:rFonts w:cs="Arial"/>
              </w:rPr>
              <w:t>Чести</w:t>
            </w:r>
          </w:p>
        </w:tc>
        <w:tc>
          <w:tcPr>
            <w:tcW w:w="3117" w:type="dxa"/>
          </w:tcPr>
          <w:p w14:paraId="0BA3C254" w14:textId="5C24D7F1" w:rsidR="00613F14" w:rsidRPr="00E31EA3" w:rsidRDefault="00613F14" w:rsidP="00613F14">
            <w:pPr>
              <w:rPr>
                <w:rFonts w:cs="Arial"/>
              </w:rPr>
            </w:pPr>
            <w:r w:rsidRPr="00E31EA3">
              <w:rPr>
                <w:rFonts w:cs="Arial"/>
              </w:rPr>
              <w:t xml:space="preserve">Моторна невропатия, загуба на съзнание (вкл. </w:t>
            </w:r>
            <w:proofErr w:type="spellStart"/>
            <w:r w:rsidRPr="00E31EA3">
              <w:rPr>
                <w:rFonts w:cs="Arial"/>
              </w:rPr>
              <w:t>синкоп</w:t>
            </w:r>
            <w:proofErr w:type="spellEnd"/>
            <w:r w:rsidRPr="00E31EA3">
              <w:rPr>
                <w:rFonts w:cs="Arial"/>
              </w:rPr>
              <w:t xml:space="preserve">), замаяност*, </w:t>
            </w:r>
            <w:proofErr w:type="spellStart"/>
            <w:r w:rsidRPr="00E31EA3">
              <w:rPr>
                <w:rFonts w:cs="Arial"/>
              </w:rPr>
              <w:t>дисгеузия</w:t>
            </w:r>
            <w:proofErr w:type="spellEnd"/>
            <w:r w:rsidRPr="00E31EA3">
              <w:rPr>
                <w:rFonts w:cs="Arial"/>
              </w:rPr>
              <w:t>*, летаргия, главоболие*</w:t>
            </w:r>
          </w:p>
        </w:tc>
      </w:tr>
      <w:tr w:rsidR="00613F14" w14:paraId="3E8BB76B" w14:textId="77777777" w:rsidTr="00613F14">
        <w:tc>
          <w:tcPr>
            <w:tcW w:w="3116" w:type="dxa"/>
            <w:vMerge/>
          </w:tcPr>
          <w:p w14:paraId="7AA9E897" w14:textId="77777777" w:rsidR="00613F14" w:rsidRPr="00E31EA3" w:rsidRDefault="00613F14" w:rsidP="00613F14">
            <w:pPr>
              <w:rPr>
                <w:rFonts w:cs="Arial"/>
              </w:rPr>
            </w:pPr>
          </w:p>
        </w:tc>
        <w:tc>
          <w:tcPr>
            <w:tcW w:w="3117" w:type="dxa"/>
          </w:tcPr>
          <w:p w14:paraId="634CE888" w14:textId="0C7D1085" w:rsidR="00613F14" w:rsidRPr="00E31EA3" w:rsidRDefault="00613F14" w:rsidP="00613F14">
            <w:pPr>
              <w:rPr>
                <w:rFonts w:cs="Arial"/>
              </w:rPr>
            </w:pPr>
            <w:r w:rsidRPr="00E31EA3">
              <w:rPr>
                <w:rFonts w:cs="Arial"/>
              </w:rPr>
              <w:t>Нечести</w:t>
            </w:r>
          </w:p>
        </w:tc>
        <w:tc>
          <w:tcPr>
            <w:tcW w:w="3117" w:type="dxa"/>
            <w:vAlign w:val="bottom"/>
          </w:tcPr>
          <w:p w14:paraId="18819707" w14:textId="34EF7B3C" w:rsidR="00613F14" w:rsidRPr="00E31EA3" w:rsidRDefault="00613F14" w:rsidP="00613F14">
            <w:pPr>
              <w:rPr>
                <w:rFonts w:cs="Arial"/>
              </w:rPr>
            </w:pPr>
            <w:r w:rsidRPr="00E31EA3">
              <w:rPr>
                <w:rFonts w:cs="Arial"/>
              </w:rPr>
              <w:t xml:space="preserve">Тремор, периферна </w:t>
            </w:r>
            <w:proofErr w:type="spellStart"/>
            <w:r w:rsidRPr="00E31EA3">
              <w:rPr>
                <w:rFonts w:cs="Arial"/>
              </w:rPr>
              <w:t>сензомоторна</w:t>
            </w:r>
            <w:proofErr w:type="spellEnd"/>
            <w:r w:rsidRPr="00E31EA3">
              <w:rPr>
                <w:rFonts w:cs="Arial"/>
              </w:rPr>
              <w:t xml:space="preserve"> невропатия, дискинезия*, нарушение на церебралната координация и равновесието*, загуба на паметта (без деменция)*, </w:t>
            </w:r>
            <w:proofErr w:type="spellStart"/>
            <w:r w:rsidRPr="00E31EA3">
              <w:rPr>
                <w:rFonts w:cs="Arial"/>
              </w:rPr>
              <w:t>енцефадопатия</w:t>
            </w:r>
            <w:proofErr w:type="spellEnd"/>
            <w:r w:rsidRPr="00E31EA3">
              <w:rPr>
                <w:rFonts w:cs="Arial"/>
              </w:rPr>
              <w:t xml:space="preserve">#, синдром на </w:t>
            </w:r>
            <w:proofErr w:type="spellStart"/>
            <w:r w:rsidRPr="00E31EA3">
              <w:rPr>
                <w:rFonts w:cs="Arial"/>
              </w:rPr>
              <w:t>постериорна</w:t>
            </w:r>
            <w:proofErr w:type="spellEnd"/>
            <w:r w:rsidRPr="00E31EA3">
              <w:rPr>
                <w:rFonts w:cs="Arial"/>
              </w:rPr>
              <w:t xml:space="preserve"> обратима енцефалопатия*, </w:t>
            </w:r>
            <w:proofErr w:type="spellStart"/>
            <w:r w:rsidRPr="00E31EA3">
              <w:rPr>
                <w:rFonts w:cs="Arial"/>
              </w:rPr>
              <w:t>невротоксичност</w:t>
            </w:r>
            <w:proofErr w:type="spellEnd"/>
            <w:r w:rsidRPr="00E31EA3">
              <w:rPr>
                <w:rFonts w:cs="Arial"/>
              </w:rPr>
              <w:t xml:space="preserve">, припадъци*, пост </w:t>
            </w:r>
            <w:proofErr w:type="spellStart"/>
            <w:r w:rsidRPr="00E31EA3">
              <w:rPr>
                <w:rFonts w:cs="Arial"/>
              </w:rPr>
              <w:t>херпетична</w:t>
            </w:r>
            <w:proofErr w:type="spellEnd"/>
            <w:r w:rsidRPr="00E31EA3">
              <w:rPr>
                <w:rFonts w:cs="Arial"/>
              </w:rPr>
              <w:t xml:space="preserve"> невралгия, нарушение в говора*, синдром на неспокойните крака, мигрена, ишиас, нарушение на вниманието, </w:t>
            </w:r>
            <w:proofErr w:type="spellStart"/>
            <w:r w:rsidRPr="00E31EA3">
              <w:rPr>
                <w:rFonts w:cs="Arial"/>
              </w:rPr>
              <w:t>абнормни</w:t>
            </w:r>
            <w:proofErr w:type="spellEnd"/>
            <w:r w:rsidRPr="00E31EA3">
              <w:rPr>
                <w:rFonts w:cs="Arial"/>
              </w:rPr>
              <w:t xml:space="preserve"> рефлекси*, </w:t>
            </w:r>
            <w:proofErr w:type="spellStart"/>
            <w:r w:rsidRPr="00E31EA3">
              <w:rPr>
                <w:rFonts w:cs="Arial"/>
              </w:rPr>
              <w:t>паросмия</w:t>
            </w:r>
            <w:proofErr w:type="spellEnd"/>
          </w:p>
        </w:tc>
      </w:tr>
      <w:tr w:rsidR="00613F14" w14:paraId="06EBB9A2" w14:textId="77777777" w:rsidTr="00613F14">
        <w:tc>
          <w:tcPr>
            <w:tcW w:w="3116" w:type="dxa"/>
            <w:vMerge/>
          </w:tcPr>
          <w:p w14:paraId="11084F7A" w14:textId="77777777" w:rsidR="00613F14" w:rsidRPr="00E31EA3" w:rsidRDefault="00613F14" w:rsidP="00613F14">
            <w:pPr>
              <w:rPr>
                <w:rFonts w:cs="Arial"/>
              </w:rPr>
            </w:pPr>
          </w:p>
        </w:tc>
        <w:tc>
          <w:tcPr>
            <w:tcW w:w="3117" w:type="dxa"/>
          </w:tcPr>
          <w:p w14:paraId="06DDB95D" w14:textId="62577A1F" w:rsidR="00613F14" w:rsidRPr="00E31EA3" w:rsidRDefault="00613F14" w:rsidP="00613F14">
            <w:pPr>
              <w:rPr>
                <w:rFonts w:cs="Arial"/>
              </w:rPr>
            </w:pPr>
            <w:r w:rsidRPr="00E31EA3">
              <w:rPr>
                <w:rFonts w:cs="Arial"/>
              </w:rPr>
              <w:t>Редки</w:t>
            </w:r>
          </w:p>
        </w:tc>
        <w:tc>
          <w:tcPr>
            <w:tcW w:w="3117" w:type="dxa"/>
          </w:tcPr>
          <w:p w14:paraId="031CE78D" w14:textId="50F4E27C" w:rsidR="00613F14" w:rsidRPr="00E31EA3" w:rsidRDefault="00613F14" w:rsidP="00613F14">
            <w:pPr>
              <w:rPr>
                <w:rFonts w:cs="Arial"/>
              </w:rPr>
            </w:pPr>
            <w:r w:rsidRPr="00E31EA3">
              <w:rPr>
                <w:rFonts w:cs="Arial"/>
              </w:rPr>
              <w:t xml:space="preserve">Церебрална хеморагия*, </w:t>
            </w:r>
            <w:proofErr w:type="spellStart"/>
            <w:r w:rsidRPr="00E31EA3">
              <w:rPr>
                <w:rFonts w:cs="Arial"/>
              </w:rPr>
              <w:t>интракраниална</w:t>
            </w:r>
            <w:proofErr w:type="spellEnd"/>
            <w:r w:rsidRPr="00E31EA3">
              <w:rPr>
                <w:rFonts w:cs="Arial"/>
              </w:rPr>
              <w:t xml:space="preserve"> хеморагия (вкл. </w:t>
            </w:r>
            <w:proofErr w:type="spellStart"/>
            <w:r w:rsidRPr="00E31EA3">
              <w:rPr>
                <w:rFonts w:cs="Arial"/>
              </w:rPr>
              <w:t>субарахноидална</w:t>
            </w:r>
            <w:proofErr w:type="spellEnd"/>
            <w:r w:rsidRPr="00E31EA3">
              <w:rPr>
                <w:rFonts w:cs="Arial"/>
              </w:rPr>
              <w:t xml:space="preserve">)*, мозъчен оток, преходна исхемична атака, кома, дисбаланс на вегетативната нервна система, невропатия на вегетативната нервна система, парализа на черепно-мозъчен нерв*, парализа*, пареза*, </w:t>
            </w:r>
            <w:proofErr w:type="spellStart"/>
            <w:r w:rsidRPr="00E31EA3">
              <w:rPr>
                <w:rFonts w:cs="Arial"/>
              </w:rPr>
              <w:t>пресинкоп</w:t>
            </w:r>
            <w:proofErr w:type="spellEnd"/>
            <w:r w:rsidRPr="00E31EA3">
              <w:rPr>
                <w:rFonts w:cs="Arial"/>
              </w:rPr>
              <w:t xml:space="preserve">, синдром на мозъчния ствол, </w:t>
            </w:r>
            <w:proofErr w:type="spellStart"/>
            <w:r w:rsidRPr="00E31EA3">
              <w:rPr>
                <w:rFonts w:cs="Arial"/>
              </w:rPr>
              <w:t>мозъчносъдово</w:t>
            </w:r>
            <w:proofErr w:type="spellEnd"/>
            <w:r w:rsidRPr="00E31EA3">
              <w:rPr>
                <w:rFonts w:cs="Arial"/>
              </w:rPr>
              <w:t xml:space="preserve"> нарушение, </w:t>
            </w:r>
            <w:r w:rsidRPr="00E31EA3">
              <w:rPr>
                <w:rFonts w:cs="Arial"/>
              </w:rPr>
              <w:lastRenderedPageBreak/>
              <w:t xml:space="preserve">лезия на нервно коренче, психомоторна хиперактивност, компресия на гръбначния мозък, когнитивни разстройства </w:t>
            </w:r>
            <w:r w:rsidRPr="00E31EA3">
              <w:rPr>
                <w:rFonts w:cs="Arial"/>
                <w:lang w:val="en-US"/>
              </w:rPr>
              <w:t>NOS</w:t>
            </w:r>
            <w:r w:rsidRPr="00FD4C98">
              <w:rPr>
                <w:rFonts w:cs="Arial"/>
                <w:lang w:val="ru-RU"/>
              </w:rPr>
              <w:t xml:space="preserve">, </w:t>
            </w:r>
            <w:r w:rsidRPr="00E31EA3">
              <w:rPr>
                <w:rFonts w:cs="Arial"/>
              </w:rPr>
              <w:t xml:space="preserve">двигателна дисфункция, разстройства на нервната система </w:t>
            </w:r>
            <w:r w:rsidRPr="00E31EA3">
              <w:rPr>
                <w:rFonts w:cs="Arial"/>
                <w:lang w:val="en-US"/>
              </w:rPr>
              <w:t>NOS</w:t>
            </w:r>
            <w:r w:rsidRPr="00FD4C98">
              <w:rPr>
                <w:rFonts w:cs="Arial"/>
                <w:lang w:val="ru-RU"/>
              </w:rPr>
              <w:t xml:space="preserve">, </w:t>
            </w:r>
            <w:r w:rsidRPr="00E31EA3">
              <w:rPr>
                <w:rFonts w:cs="Arial"/>
              </w:rPr>
              <w:t>радикулит, падане, хипотония</w:t>
            </w:r>
          </w:p>
        </w:tc>
      </w:tr>
      <w:tr w:rsidR="00E811D7" w14:paraId="50913B3D" w14:textId="77777777" w:rsidTr="00613F14">
        <w:tc>
          <w:tcPr>
            <w:tcW w:w="3116" w:type="dxa"/>
            <w:vMerge w:val="restart"/>
          </w:tcPr>
          <w:p w14:paraId="1C3D322E" w14:textId="1B563EBB" w:rsidR="00E811D7" w:rsidRPr="00E31EA3" w:rsidRDefault="00E811D7" w:rsidP="00E811D7">
            <w:pPr>
              <w:rPr>
                <w:rFonts w:cs="Arial"/>
              </w:rPr>
            </w:pPr>
            <w:r w:rsidRPr="00E31EA3">
              <w:rPr>
                <w:rFonts w:cs="Arial"/>
              </w:rPr>
              <w:lastRenderedPageBreak/>
              <w:t>Нарушения на очите</w:t>
            </w:r>
          </w:p>
        </w:tc>
        <w:tc>
          <w:tcPr>
            <w:tcW w:w="3117" w:type="dxa"/>
          </w:tcPr>
          <w:p w14:paraId="72BACD44" w14:textId="5041E741" w:rsidR="00E811D7" w:rsidRPr="00E31EA3" w:rsidRDefault="00E811D7" w:rsidP="00E811D7">
            <w:pPr>
              <w:rPr>
                <w:rFonts w:cs="Arial"/>
              </w:rPr>
            </w:pPr>
            <w:r w:rsidRPr="00E31EA3">
              <w:rPr>
                <w:rFonts w:cs="Arial"/>
              </w:rPr>
              <w:t>Чести</w:t>
            </w:r>
          </w:p>
        </w:tc>
        <w:tc>
          <w:tcPr>
            <w:tcW w:w="3117" w:type="dxa"/>
          </w:tcPr>
          <w:p w14:paraId="03618E00" w14:textId="0B517B90" w:rsidR="00E811D7" w:rsidRPr="00E31EA3" w:rsidRDefault="00E811D7" w:rsidP="00E811D7">
            <w:pPr>
              <w:rPr>
                <w:rFonts w:cs="Arial"/>
              </w:rPr>
            </w:pPr>
            <w:r w:rsidRPr="00E31EA3">
              <w:rPr>
                <w:rFonts w:cs="Arial"/>
              </w:rPr>
              <w:t xml:space="preserve">Подуване на очите*, </w:t>
            </w:r>
            <w:proofErr w:type="spellStart"/>
            <w:r w:rsidRPr="00E31EA3">
              <w:rPr>
                <w:rFonts w:cs="Arial"/>
              </w:rPr>
              <w:t>абнормно</w:t>
            </w:r>
            <w:proofErr w:type="spellEnd"/>
            <w:r w:rsidRPr="00E31EA3">
              <w:rPr>
                <w:rFonts w:cs="Arial"/>
              </w:rPr>
              <w:t xml:space="preserve"> зрение*, конюнктивит*</w:t>
            </w:r>
          </w:p>
        </w:tc>
      </w:tr>
      <w:tr w:rsidR="00E811D7" w14:paraId="4C64690F" w14:textId="77777777" w:rsidTr="00AC443D">
        <w:tc>
          <w:tcPr>
            <w:tcW w:w="3116" w:type="dxa"/>
            <w:vMerge/>
          </w:tcPr>
          <w:p w14:paraId="6E9A7790" w14:textId="77777777" w:rsidR="00E811D7" w:rsidRPr="00E31EA3" w:rsidRDefault="00E811D7" w:rsidP="00E811D7">
            <w:pPr>
              <w:rPr>
                <w:rFonts w:cs="Arial"/>
              </w:rPr>
            </w:pPr>
          </w:p>
        </w:tc>
        <w:tc>
          <w:tcPr>
            <w:tcW w:w="3117" w:type="dxa"/>
          </w:tcPr>
          <w:p w14:paraId="36E9B870" w14:textId="4FFDF9B6" w:rsidR="00E811D7" w:rsidRPr="00E31EA3" w:rsidRDefault="00E811D7" w:rsidP="00E811D7">
            <w:pPr>
              <w:rPr>
                <w:rFonts w:cs="Arial"/>
              </w:rPr>
            </w:pPr>
            <w:r w:rsidRPr="00E31EA3">
              <w:rPr>
                <w:rFonts w:cs="Arial"/>
              </w:rPr>
              <w:t>Нечести</w:t>
            </w:r>
          </w:p>
        </w:tc>
        <w:tc>
          <w:tcPr>
            <w:tcW w:w="3117" w:type="dxa"/>
            <w:vAlign w:val="bottom"/>
          </w:tcPr>
          <w:p w14:paraId="3F557488" w14:textId="5D619002" w:rsidR="00E811D7" w:rsidRPr="00E31EA3" w:rsidRDefault="00E811D7" w:rsidP="00E811D7">
            <w:pPr>
              <w:rPr>
                <w:rFonts w:cs="Arial"/>
              </w:rPr>
            </w:pPr>
            <w:r w:rsidRPr="00E31EA3">
              <w:rPr>
                <w:rFonts w:cs="Arial"/>
              </w:rPr>
              <w:t>Очна хеморагия*, инфекция на клепача*,</w:t>
            </w:r>
            <w:r w:rsidRPr="00FD4C98">
              <w:rPr>
                <w:rFonts w:cs="Arial"/>
                <w:lang w:val="ru-RU"/>
              </w:rPr>
              <w:t xml:space="preserve"> </w:t>
            </w:r>
            <w:r w:rsidRPr="00E31EA3">
              <w:rPr>
                <w:rFonts w:cs="Arial"/>
              </w:rPr>
              <w:t xml:space="preserve">очно възпаление, </w:t>
            </w:r>
            <w:proofErr w:type="spellStart"/>
            <w:r w:rsidRPr="00E31EA3">
              <w:rPr>
                <w:rFonts w:cs="Arial"/>
              </w:rPr>
              <w:t>диплопия</w:t>
            </w:r>
            <w:proofErr w:type="spellEnd"/>
            <w:r w:rsidRPr="00E31EA3">
              <w:rPr>
                <w:rFonts w:cs="Arial"/>
              </w:rPr>
              <w:t xml:space="preserve">, сухо око*, очно дразнене*, болка в очите повишено </w:t>
            </w:r>
            <w:proofErr w:type="spellStart"/>
            <w:r w:rsidRPr="00E31EA3">
              <w:rPr>
                <w:rFonts w:cs="Arial"/>
              </w:rPr>
              <w:t>сълзенс</w:t>
            </w:r>
            <w:proofErr w:type="spellEnd"/>
            <w:r w:rsidRPr="00E31EA3">
              <w:rPr>
                <w:rFonts w:cs="Arial"/>
              </w:rPr>
              <w:t>, очна секреция</w:t>
            </w:r>
          </w:p>
        </w:tc>
      </w:tr>
      <w:tr w:rsidR="00E811D7" w14:paraId="34469F79" w14:textId="77777777" w:rsidTr="00AC443D">
        <w:trPr>
          <w:trHeight w:val="2218"/>
        </w:trPr>
        <w:tc>
          <w:tcPr>
            <w:tcW w:w="3116" w:type="dxa"/>
            <w:vMerge/>
          </w:tcPr>
          <w:p w14:paraId="431F549E" w14:textId="77777777" w:rsidR="00E811D7" w:rsidRPr="00E31EA3" w:rsidRDefault="00E811D7" w:rsidP="00E811D7">
            <w:pPr>
              <w:rPr>
                <w:rFonts w:cs="Arial"/>
              </w:rPr>
            </w:pPr>
          </w:p>
        </w:tc>
        <w:tc>
          <w:tcPr>
            <w:tcW w:w="3117" w:type="dxa"/>
          </w:tcPr>
          <w:p w14:paraId="23FE0805" w14:textId="02DE9537" w:rsidR="00E811D7" w:rsidRPr="00E31EA3" w:rsidRDefault="00E811D7" w:rsidP="00E811D7">
            <w:pPr>
              <w:rPr>
                <w:rFonts w:cs="Arial"/>
              </w:rPr>
            </w:pPr>
            <w:r w:rsidRPr="00E31EA3">
              <w:rPr>
                <w:rFonts w:cs="Arial"/>
              </w:rPr>
              <w:t>Редки</w:t>
            </w:r>
          </w:p>
        </w:tc>
        <w:tc>
          <w:tcPr>
            <w:tcW w:w="3117" w:type="dxa"/>
          </w:tcPr>
          <w:p w14:paraId="4453844E" w14:textId="77777777" w:rsidR="00E811D7" w:rsidRPr="00E31EA3" w:rsidRDefault="00E811D7" w:rsidP="00E811D7">
            <w:pPr>
              <w:rPr>
                <w:rFonts w:cs="Arial"/>
              </w:rPr>
            </w:pPr>
            <w:proofErr w:type="spellStart"/>
            <w:r w:rsidRPr="00E31EA3">
              <w:rPr>
                <w:rFonts w:cs="Arial"/>
              </w:rPr>
              <w:t>Корнеална</w:t>
            </w:r>
            <w:proofErr w:type="spellEnd"/>
            <w:r w:rsidRPr="00E31EA3">
              <w:rPr>
                <w:rFonts w:cs="Arial"/>
              </w:rPr>
              <w:t xml:space="preserve"> лезия*, </w:t>
            </w:r>
            <w:proofErr w:type="spellStart"/>
            <w:r w:rsidRPr="00E31EA3">
              <w:rPr>
                <w:rFonts w:cs="Arial"/>
              </w:rPr>
              <w:t>екзофталм</w:t>
            </w:r>
            <w:proofErr w:type="spellEnd"/>
            <w:r w:rsidRPr="00E31EA3">
              <w:rPr>
                <w:rFonts w:cs="Arial"/>
              </w:rPr>
              <w:t xml:space="preserve">, </w:t>
            </w:r>
            <w:proofErr w:type="spellStart"/>
            <w:r w:rsidRPr="00E31EA3">
              <w:rPr>
                <w:rFonts w:cs="Arial"/>
              </w:rPr>
              <w:t>ретинит</w:t>
            </w:r>
            <w:proofErr w:type="spellEnd"/>
            <w:r w:rsidRPr="00E31EA3">
              <w:rPr>
                <w:rFonts w:cs="Arial"/>
              </w:rPr>
              <w:t xml:space="preserve">,, </w:t>
            </w:r>
            <w:proofErr w:type="spellStart"/>
            <w:r w:rsidRPr="00E31EA3">
              <w:rPr>
                <w:rFonts w:cs="Arial"/>
              </w:rPr>
              <w:t>скотома</w:t>
            </w:r>
            <w:proofErr w:type="spellEnd"/>
            <w:r w:rsidRPr="00E31EA3">
              <w:rPr>
                <w:rFonts w:cs="Arial"/>
              </w:rPr>
              <w:t>, очни</w:t>
            </w:r>
          </w:p>
          <w:p w14:paraId="63865A64" w14:textId="530772C9" w:rsidR="00E811D7" w:rsidRPr="00E31EA3" w:rsidRDefault="00E811D7" w:rsidP="00E811D7">
            <w:pPr>
              <w:rPr>
                <w:rFonts w:cs="Arial"/>
              </w:rPr>
            </w:pPr>
            <w:r w:rsidRPr="00E31EA3">
              <w:rPr>
                <w:rFonts w:cs="Arial"/>
              </w:rPr>
              <w:t xml:space="preserve">нарушения (вкл. клепачите) </w:t>
            </w:r>
            <w:r w:rsidRPr="00E31EA3">
              <w:rPr>
                <w:rFonts w:cs="Arial"/>
                <w:lang w:val="en-US"/>
              </w:rPr>
              <w:t>NOS</w:t>
            </w:r>
            <w:r w:rsidRPr="00FD4C98">
              <w:rPr>
                <w:rFonts w:cs="Arial"/>
                <w:lang w:val="ru-RU"/>
              </w:rPr>
              <w:t xml:space="preserve">, </w:t>
            </w:r>
            <w:r w:rsidRPr="00E31EA3">
              <w:rPr>
                <w:rFonts w:cs="Arial"/>
              </w:rPr>
              <w:t xml:space="preserve">придобити </w:t>
            </w:r>
            <w:proofErr w:type="spellStart"/>
            <w:r w:rsidRPr="00E31EA3">
              <w:rPr>
                <w:rFonts w:cs="Arial"/>
              </w:rPr>
              <w:t>дакриоаденити</w:t>
            </w:r>
            <w:proofErr w:type="spellEnd"/>
            <w:r w:rsidRPr="00E31EA3">
              <w:rPr>
                <w:rFonts w:cs="Arial"/>
              </w:rPr>
              <w:t xml:space="preserve">, </w:t>
            </w:r>
            <w:proofErr w:type="spellStart"/>
            <w:r w:rsidRPr="00E31EA3">
              <w:rPr>
                <w:rFonts w:cs="Arial"/>
              </w:rPr>
              <w:t>фотофобия</w:t>
            </w:r>
            <w:proofErr w:type="spellEnd"/>
            <w:r w:rsidRPr="00E31EA3">
              <w:rPr>
                <w:rFonts w:cs="Arial"/>
              </w:rPr>
              <w:t xml:space="preserve">, </w:t>
            </w:r>
            <w:proofErr w:type="spellStart"/>
            <w:r w:rsidRPr="00E31EA3">
              <w:rPr>
                <w:rFonts w:cs="Arial"/>
              </w:rPr>
              <w:t>фотопсия</w:t>
            </w:r>
            <w:proofErr w:type="spellEnd"/>
            <w:r w:rsidRPr="00E31EA3">
              <w:rPr>
                <w:rFonts w:cs="Arial"/>
              </w:rPr>
              <w:t>, оптична невропатия</w:t>
            </w:r>
            <w:r w:rsidRPr="00E31EA3">
              <w:rPr>
                <w:rFonts w:cs="Arial"/>
                <w:vertAlign w:val="superscript"/>
              </w:rPr>
              <w:t>#</w:t>
            </w:r>
            <w:r w:rsidRPr="00E31EA3">
              <w:rPr>
                <w:rFonts w:cs="Arial"/>
              </w:rPr>
              <w:t>, различна степен на зрително увреждане (до слепота)*</w:t>
            </w:r>
          </w:p>
        </w:tc>
      </w:tr>
      <w:tr w:rsidR="00E811D7" w14:paraId="7618DA97" w14:textId="77777777" w:rsidTr="00613F14">
        <w:tc>
          <w:tcPr>
            <w:tcW w:w="3116" w:type="dxa"/>
            <w:vMerge w:val="restart"/>
          </w:tcPr>
          <w:p w14:paraId="7B1CE0B7" w14:textId="527EB11D" w:rsidR="00E811D7" w:rsidRPr="00E31EA3" w:rsidRDefault="00E811D7" w:rsidP="00E811D7">
            <w:pPr>
              <w:rPr>
                <w:rFonts w:cs="Arial"/>
              </w:rPr>
            </w:pPr>
            <w:r w:rsidRPr="00E31EA3">
              <w:rPr>
                <w:rFonts w:cs="Arial"/>
              </w:rPr>
              <w:t>Нарушения на ухото и лабиринта</w:t>
            </w:r>
          </w:p>
        </w:tc>
        <w:tc>
          <w:tcPr>
            <w:tcW w:w="3117" w:type="dxa"/>
          </w:tcPr>
          <w:p w14:paraId="1DE5B47C" w14:textId="637AB672" w:rsidR="00E811D7" w:rsidRPr="00E31EA3" w:rsidRDefault="00E811D7" w:rsidP="00E811D7">
            <w:pPr>
              <w:rPr>
                <w:rFonts w:cs="Arial"/>
              </w:rPr>
            </w:pPr>
            <w:r w:rsidRPr="00E31EA3">
              <w:rPr>
                <w:rFonts w:cs="Arial"/>
              </w:rPr>
              <w:t>Чести</w:t>
            </w:r>
          </w:p>
        </w:tc>
        <w:tc>
          <w:tcPr>
            <w:tcW w:w="3117" w:type="dxa"/>
          </w:tcPr>
          <w:p w14:paraId="1049B106" w14:textId="75B6247A" w:rsidR="00E811D7" w:rsidRPr="00E31EA3" w:rsidRDefault="00E811D7" w:rsidP="00E811D7">
            <w:pPr>
              <w:rPr>
                <w:rFonts w:cs="Arial"/>
              </w:rPr>
            </w:pPr>
            <w:proofErr w:type="spellStart"/>
            <w:r w:rsidRPr="00E31EA3">
              <w:rPr>
                <w:rFonts w:cs="Arial"/>
              </w:rPr>
              <w:t>Вертито</w:t>
            </w:r>
            <w:proofErr w:type="spellEnd"/>
            <w:r w:rsidRPr="00E31EA3">
              <w:rPr>
                <w:rFonts w:cs="Arial"/>
              </w:rPr>
              <w:t>*</w:t>
            </w:r>
          </w:p>
        </w:tc>
      </w:tr>
      <w:tr w:rsidR="00E811D7" w14:paraId="3B952D56" w14:textId="77777777" w:rsidTr="00613F14">
        <w:tc>
          <w:tcPr>
            <w:tcW w:w="3116" w:type="dxa"/>
            <w:vMerge/>
          </w:tcPr>
          <w:p w14:paraId="3286C187" w14:textId="77777777" w:rsidR="00E811D7" w:rsidRPr="00E31EA3" w:rsidRDefault="00E811D7" w:rsidP="00E811D7">
            <w:pPr>
              <w:rPr>
                <w:rFonts w:cs="Arial"/>
              </w:rPr>
            </w:pPr>
          </w:p>
        </w:tc>
        <w:tc>
          <w:tcPr>
            <w:tcW w:w="3117" w:type="dxa"/>
          </w:tcPr>
          <w:p w14:paraId="76BB1675" w14:textId="67A26031" w:rsidR="00E811D7" w:rsidRPr="00E31EA3" w:rsidRDefault="00E811D7" w:rsidP="00E811D7">
            <w:pPr>
              <w:rPr>
                <w:rFonts w:cs="Arial"/>
              </w:rPr>
            </w:pPr>
            <w:r w:rsidRPr="00E31EA3">
              <w:rPr>
                <w:rFonts w:cs="Arial"/>
              </w:rPr>
              <w:t>Нечести</w:t>
            </w:r>
          </w:p>
        </w:tc>
        <w:tc>
          <w:tcPr>
            <w:tcW w:w="3117" w:type="dxa"/>
          </w:tcPr>
          <w:p w14:paraId="02596C1C" w14:textId="5B512C03" w:rsidR="00E811D7" w:rsidRPr="00E31EA3" w:rsidRDefault="00E811D7" w:rsidP="00E811D7">
            <w:pPr>
              <w:rPr>
                <w:rFonts w:cs="Arial"/>
              </w:rPr>
            </w:pPr>
            <w:proofErr w:type="spellStart"/>
            <w:r w:rsidRPr="00E31EA3">
              <w:rPr>
                <w:rFonts w:cs="Arial"/>
              </w:rPr>
              <w:t>Дисакузис</w:t>
            </w:r>
            <w:proofErr w:type="spellEnd"/>
            <w:r w:rsidRPr="00E31EA3">
              <w:rPr>
                <w:rFonts w:cs="Arial"/>
              </w:rPr>
              <w:t xml:space="preserve"> (вкл. </w:t>
            </w:r>
            <w:proofErr w:type="spellStart"/>
            <w:r w:rsidRPr="00E31EA3">
              <w:rPr>
                <w:rFonts w:cs="Arial"/>
              </w:rPr>
              <w:t>тинитус</w:t>
            </w:r>
            <w:proofErr w:type="spellEnd"/>
            <w:r w:rsidRPr="00E31EA3">
              <w:rPr>
                <w:rFonts w:cs="Arial"/>
              </w:rPr>
              <w:t>)*, увреждане на слуха (до и вкл. глухота), ушен дискомфорт*</w:t>
            </w:r>
          </w:p>
        </w:tc>
      </w:tr>
      <w:tr w:rsidR="00E811D7" w14:paraId="25D2CB38" w14:textId="77777777" w:rsidTr="00613F14">
        <w:tc>
          <w:tcPr>
            <w:tcW w:w="3116" w:type="dxa"/>
            <w:vMerge/>
          </w:tcPr>
          <w:p w14:paraId="64F91ACD" w14:textId="77777777" w:rsidR="00E811D7" w:rsidRPr="00E31EA3" w:rsidRDefault="00E811D7" w:rsidP="00E811D7">
            <w:pPr>
              <w:rPr>
                <w:rFonts w:cs="Arial"/>
              </w:rPr>
            </w:pPr>
          </w:p>
        </w:tc>
        <w:tc>
          <w:tcPr>
            <w:tcW w:w="3117" w:type="dxa"/>
          </w:tcPr>
          <w:p w14:paraId="43862428" w14:textId="541264BA" w:rsidR="00E811D7" w:rsidRPr="00E31EA3" w:rsidRDefault="00E811D7" w:rsidP="00E811D7">
            <w:pPr>
              <w:rPr>
                <w:rFonts w:cs="Arial"/>
              </w:rPr>
            </w:pPr>
            <w:r w:rsidRPr="00E31EA3">
              <w:rPr>
                <w:rFonts w:cs="Arial"/>
              </w:rPr>
              <w:t>Редки</w:t>
            </w:r>
          </w:p>
        </w:tc>
        <w:tc>
          <w:tcPr>
            <w:tcW w:w="3117" w:type="dxa"/>
          </w:tcPr>
          <w:p w14:paraId="0C25EBC6" w14:textId="60AF1427" w:rsidR="00E811D7" w:rsidRPr="00E31EA3" w:rsidRDefault="00E811D7" w:rsidP="00E811D7">
            <w:pPr>
              <w:rPr>
                <w:rFonts w:cs="Arial"/>
              </w:rPr>
            </w:pPr>
            <w:r w:rsidRPr="00E31EA3">
              <w:rPr>
                <w:rFonts w:cs="Arial"/>
              </w:rPr>
              <w:t xml:space="preserve">Ушна хеморагия, вестибуларен </w:t>
            </w:r>
            <w:proofErr w:type="spellStart"/>
            <w:r w:rsidRPr="00E31EA3">
              <w:rPr>
                <w:rFonts w:cs="Arial"/>
              </w:rPr>
              <w:t>невронит</w:t>
            </w:r>
            <w:proofErr w:type="spellEnd"/>
            <w:r w:rsidRPr="00E31EA3">
              <w:rPr>
                <w:rFonts w:cs="Arial"/>
              </w:rPr>
              <w:t xml:space="preserve">, нарушения на ухото </w:t>
            </w:r>
            <w:r w:rsidRPr="00E31EA3">
              <w:rPr>
                <w:rFonts w:cs="Arial"/>
                <w:lang w:val="en-US"/>
              </w:rPr>
              <w:t>NOS</w:t>
            </w:r>
          </w:p>
        </w:tc>
      </w:tr>
      <w:tr w:rsidR="00E811D7" w14:paraId="7A6D75B3" w14:textId="77777777" w:rsidTr="00613F14">
        <w:tc>
          <w:tcPr>
            <w:tcW w:w="3116" w:type="dxa"/>
            <w:vMerge w:val="restart"/>
          </w:tcPr>
          <w:p w14:paraId="22CAF757" w14:textId="615D787B" w:rsidR="00E811D7" w:rsidRPr="00E31EA3" w:rsidRDefault="00E811D7" w:rsidP="00E811D7">
            <w:pPr>
              <w:rPr>
                <w:rFonts w:cs="Arial"/>
              </w:rPr>
            </w:pPr>
            <w:r w:rsidRPr="00E31EA3">
              <w:rPr>
                <w:rFonts w:cs="Arial"/>
              </w:rPr>
              <w:t>Сърдечни нарушения</w:t>
            </w:r>
          </w:p>
        </w:tc>
        <w:tc>
          <w:tcPr>
            <w:tcW w:w="3117" w:type="dxa"/>
          </w:tcPr>
          <w:p w14:paraId="5F7F8FD5" w14:textId="37A4FB2E" w:rsidR="00E811D7" w:rsidRPr="00E31EA3" w:rsidRDefault="00E811D7" w:rsidP="00E811D7">
            <w:pPr>
              <w:rPr>
                <w:rFonts w:cs="Arial"/>
              </w:rPr>
            </w:pPr>
            <w:r w:rsidRPr="00E31EA3">
              <w:rPr>
                <w:rFonts w:cs="Arial"/>
              </w:rPr>
              <w:t>Нечести</w:t>
            </w:r>
          </w:p>
        </w:tc>
        <w:tc>
          <w:tcPr>
            <w:tcW w:w="3117" w:type="dxa"/>
          </w:tcPr>
          <w:p w14:paraId="3BBDC64E" w14:textId="4F44D379" w:rsidR="00E811D7" w:rsidRPr="00E31EA3" w:rsidRDefault="00E811D7" w:rsidP="00E811D7">
            <w:pPr>
              <w:rPr>
                <w:rFonts w:cs="Arial"/>
              </w:rPr>
            </w:pPr>
            <w:r w:rsidRPr="00E31EA3">
              <w:rPr>
                <w:rFonts w:cs="Arial"/>
              </w:rPr>
              <w:t xml:space="preserve">Сърдечна там пои ада*, </w:t>
            </w:r>
            <w:proofErr w:type="spellStart"/>
            <w:r w:rsidRPr="00E31EA3">
              <w:rPr>
                <w:rFonts w:cs="Arial"/>
              </w:rPr>
              <w:t>кардио-пулмонален</w:t>
            </w:r>
            <w:proofErr w:type="spellEnd"/>
            <w:r w:rsidRPr="00E31EA3">
              <w:rPr>
                <w:rFonts w:cs="Arial"/>
              </w:rPr>
              <w:t xml:space="preserve"> арест*, сърдечни </w:t>
            </w:r>
            <w:proofErr w:type="spellStart"/>
            <w:r w:rsidRPr="00E31EA3">
              <w:rPr>
                <w:rFonts w:cs="Arial"/>
              </w:rPr>
              <w:t>фибрилации</w:t>
            </w:r>
            <w:proofErr w:type="spellEnd"/>
            <w:r w:rsidRPr="00E31EA3">
              <w:rPr>
                <w:rFonts w:cs="Arial"/>
              </w:rPr>
              <w:t xml:space="preserve"> (вкл. </w:t>
            </w:r>
            <w:proofErr w:type="spellStart"/>
            <w:r w:rsidRPr="00E31EA3">
              <w:rPr>
                <w:rFonts w:cs="Arial"/>
              </w:rPr>
              <w:t>предсърдни</w:t>
            </w:r>
            <w:proofErr w:type="spellEnd"/>
            <w:r w:rsidRPr="00E31EA3">
              <w:rPr>
                <w:rFonts w:cs="Arial"/>
              </w:rPr>
              <w:t xml:space="preserve">), сърдечна недостатъчност (вкл. </w:t>
            </w:r>
            <w:proofErr w:type="spellStart"/>
            <w:r w:rsidRPr="00E31EA3">
              <w:rPr>
                <w:rFonts w:cs="Arial"/>
              </w:rPr>
              <w:t>левокамерна</w:t>
            </w:r>
            <w:proofErr w:type="spellEnd"/>
            <w:r w:rsidRPr="00E31EA3">
              <w:rPr>
                <w:rFonts w:cs="Arial"/>
              </w:rPr>
              <w:t xml:space="preserve"> и </w:t>
            </w:r>
            <w:proofErr w:type="spellStart"/>
            <w:r w:rsidRPr="00E31EA3">
              <w:rPr>
                <w:rFonts w:cs="Arial"/>
              </w:rPr>
              <w:t>деснокамерна</w:t>
            </w:r>
            <w:proofErr w:type="spellEnd"/>
            <w:r w:rsidRPr="00E31EA3">
              <w:rPr>
                <w:rFonts w:cs="Arial"/>
              </w:rPr>
              <w:t xml:space="preserve">)*, аритмия*, тахикардия*, </w:t>
            </w:r>
            <w:proofErr w:type="spellStart"/>
            <w:r w:rsidRPr="00E31EA3">
              <w:rPr>
                <w:rFonts w:cs="Arial"/>
              </w:rPr>
              <w:t>палпитации</w:t>
            </w:r>
            <w:proofErr w:type="spellEnd"/>
            <w:r w:rsidRPr="00E31EA3">
              <w:rPr>
                <w:rFonts w:cs="Arial"/>
              </w:rPr>
              <w:t xml:space="preserve">, ангина </w:t>
            </w:r>
            <w:proofErr w:type="spellStart"/>
            <w:r w:rsidRPr="00E31EA3">
              <w:rPr>
                <w:rFonts w:cs="Arial"/>
              </w:rPr>
              <w:t>пекторис</w:t>
            </w:r>
            <w:proofErr w:type="spellEnd"/>
            <w:r w:rsidRPr="00E31EA3">
              <w:rPr>
                <w:rFonts w:cs="Arial"/>
              </w:rPr>
              <w:t xml:space="preserve">, </w:t>
            </w:r>
            <w:r w:rsidRPr="00E31EA3">
              <w:rPr>
                <w:rFonts w:cs="Arial"/>
                <w:i/>
                <w:iCs/>
              </w:rPr>
              <w:lastRenderedPageBreak/>
              <w:t xml:space="preserve">перикардит </w:t>
            </w:r>
            <w:r w:rsidRPr="00E31EA3">
              <w:rPr>
                <w:rFonts w:cs="Arial"/>
              </w:rPr>
              <w:t xml:space="preserve">(вкл. </w:t>
            </w:r>
            <w:proofErr w:type="spellStart"/>
            <w:r w:rsidRPr="00E31EA3">
              <w:rPr>
                <w:rFonts w:cs="Arial"/>
              </w:rPr>
              <w:t>перикарден</w:t>
            </w:r>
            <w:proofErr w:type="spellEnd"/>
            <w:r w:rsidRPr="00E31EA3">
              <w:rPr>
                <w:rFonts w:cs="Arial"/>
              </w:rPr>
              <w:t xml:space="preserve"> излив)?, кардиомиопатия*, камерна дисфункция*, брадикардия</w:t>
            </w:r>
          </w:p>
        </w:tc>
      </w:tr>
      <w:tr w:rsidR="00E811D7" w14:paraId="06B82D27" w14:textId="77777777" w:rsidTr="00613F14">
        <w:tc>
          <w:tcPr>
            <w:tcW w:w="3116" w:type="dxa"/>
            <w:vMerge/>
          </w:tcPr>
          <w:p w14:paraId="54494C49" w14:textId="77777777" w:rsidR="00E811D7" w:rsidRPr="00E31EA3" w:rsidRDefault="00E811D7" w:rsidP="00E811D7">
            <w:pPr>
              <w:rPr>
                <w:rFonts w:cs="Arial"/>
              </w:rPr>
            </w:pPr>
          </w:p>
        </w:tc>
        <w:tc>
          <w:tcPr>
            <w:tcW w:w="3117" w:type="dxa"/>
          </w:tcPr>
          <w:p w14:paraId="1B007AE4" w14:textId="1E71B8E7" w:rsidR="00E811D7" w:rsidRPr="00E31EA3" w:rsidRDefault="00E811D7" w:rsidP="00E811D7">
            <w:pPr>
              <w:rPr>
                <w:rFonts w:cs="Arial"/>
              </w:rPr>
            </w:pPr>
            <w:r w:rsidRPr="00E31EA3">
              <w:rPr>
                <w:rFonts w:cs="Arial"/>
              </w:rPr>
              <w:t>Редки</w:t>
            </w:r>
          </w:p>
        </w:tc>
        <w:tc>
          <w:tcPr>
            <w:tcW w:w="3117" w:type="dxa"/>
          </w:tcPr>
          <w:p w14:paraId="7C7745A8" w14:textId="0BCF37A2" w:rsidR="00E811D7" w:rsidRPr="00E31EA3" w:rsidRDefault="00E811D7" w:rsidP="00E811D7">
            <w:pPr>
              <w:rPr>
                <w:rFonts w:cs="Arial"/>
              </w:rPr>
            </w:pPr>
            <w:proofErr w:type="spellStart"/>
            <w:r w:rsidRPr="00E31EA3">
              <w:rPr>
                <w:rFonts w:cs="Arial"/>
              </w:rPr>
              <w:t>Предсърдно</w:t>
            </w:r>
            <w:proofErr w:type="spellEnd"/>
            <w:r w:rsidRPr="00E31EA3">
              <w:rPr>
                <w:rFonts w:cs="Arial"/>
              </w:rPr>
              <w:t xml:space="preserve"> трептене, миокарден инфаркт*, </w:t>
            </w:r>
            <w:proofErr w:type="spellStart"/>
            <w:r w:rsidRPr="00E31EA3">
              <w:rPr>
                <w:rFonts w:cs="Arial"/>
              </w:rPr>
              <w:t>атриовентрикуларен</w:t>
            </w:r>
            <w:proofErr w:type="spellEnd"/>
            <w:r w:rsidRPr="00E31EA3">
              <w:rPr>
                <w:rFonts w:cs="Arial"/>
              </w:rPr>
              <w:t xml:space="preserve"> блок*, </w:t>
            </w:r>
            <w:proofErr w:type="spellStart"/>
            <w:r w:rsidRPr="00E31EA3">
              <w:rPr>
                <w:rFonts w:cs="Arial"/>
              </w:rPr>
              <w:t>кардиоваскуларни</w:t>
            </w:r>
            <w:proofErr w:type="spellEnd"/>
            <w:r w:rsidRPr="00E31EA3">
              <w:rPr>
                <w:rFonts w:cs="Arial"/>
              </w:rPr>
              <w:t xml:space="preserve"> нарушения (вкл. </w:t>
            </w:r>
            <w:proofErr w:type="spellStart"/>
            <w:r w:rsidRPr="00E31EA3">
              <w:rPr>
                <w:rFonts w:cs="Arial"/>
              </w:rPr>
              <w:t>кардиогенен</w:t>
            </w:r>
            <w:proofErr w:type="spellEnd"/>
            <w:r w:rsidRPr="00E31EA3">
              <w:rPr>
                <w:rFonts w:cs="Arial"/>
              </w:rPr>
              <w:t xml:space="preserve"> шок), </w:t>
            </w:r>
            <w:r w:rsidRPr="00E31EA3">
              <w:rPr>
                <w:rFonts w:cs="Arial"/>
                <w:lang w:val="en-US"/>
              </w:rPr>
              <w:t>Torsade</w:t>
            </w:r>
            <w:r w:rsidRPr="00FD4C98">
              <w:rPr>
                <w:rFonts w:cs="Arial"/>
                <w:lang w:val="ru-RU"/>
              </w:rPr>
              <w:t xml:space="preserve"> </w:t>
            </w:r>
            <w:r w:rsidRPr="00E31EA3">
              <w:rPr>
                <w:rFonts w:cs="Arial"/>
                <w:lang w:val="en-US"/>
              </w:rPr>
              <w:t>de</w:t>
            </w:r>
            <w:r w:rsidRPr="00FD4C98">
              <w:rPr>
                <w:rFonts w:cs="Arial"/>
                <w:lang w:val="ru-RU"/>
              </w:rPr>
              <w:t xml:space="preserve"> </w:t>
            </w:r>
            <w:r w:rsidRPr="00E31EA3">
              <w:rPr>
                <w:rFonts w:cs="Arial"/>
                <w:lang w:val="en-US"/>
              </w:rPr>
              <w:t>pointes</w:t>
            </w:r>
            <w:r w:rsidRPr="00FD4C98">
              <w:rPr>
                <w:rFonts w:cs="Arial"/>
                <w:lang w:val="ru-RU"/>
              </w:rPr>
              <w:t xml:space="preserve">, </w:t>
            </w:r>
            <w:r w:rsidRPr="00E31EA3">
              <w:rPr>
                <w:rFonts w:cs="Arial"/>
              </w:rPr>
              <w:t>нестабилна стенокардия, нарушения на сърдечните клапи, недостатъчност на коронарна артерия, синусов арест</w:t>
            </w:r>
          </w:p>
        </w:tc>
      </w:tr>
      <w:tr w:rsidR="00E811D7" w14:paraId="5F55C1C1" w14:textId="77777777" w:rsidTr="00AC443D">
        <w:tc>
          <w:tcPr>
            <w:tcW w:w="3116" w:type="dxa"/>
            <w:vMerge w:val="restart"/>
            <w:vAlign w:val="bottom"/>
          </w:tcPr>
          <w:p w14:paraId="1536E5D3" w14:textId="77777777" w:rsidR="00E811D7" w:rsidRPr="00E31EA3" w:rsidRDefault="00E811D7" w:rsidP="00E811D7">
            <w:pPr>
              <w:rPr>
                <w:rFonts w:cs="Arial"/>
              </w:rPr>
            </w:pPr>
            <w:r w:rsidRPr="00E31EA3">
              <w:rPr>
                <w:rFonts w:cs="Arial"/>
              </w:rPr>
              <w:t>Съдови нарушения</w:t>
            </w:r>
          </w:p>
          <w:p w14:paraId="18F5557D" w14:textId="77777777" w:rsidR="00E811D7" w:rsidRPr="00E31EA3" w:rsidRDefault="00E811D7" w:rsidP="00E811D7">
            <w:pPr>
              <w:rPr>
                <w:rFonts w:cs="Arial"/>
              </w:rPr>
            </w:pPr>
          </w:p>
          <w:p w14:paraId="474DDB19" w14:textId="77777777" w:rsidR="00E811D7" w:rsidRPr="00E31EA3" w:rsidRDefault="00E811D7" w:rsidP="00E811D7">
            <w:pPr>
              <w:rPr>
                <w:rFonts w:cs="Arial"/>
              </w:rPr>
            </w:pPr>
          </w:p>
          <w:p w14:paraId="4121AB38" w14:textId="77777777" w:rsidR="00E811D7" w:rsidRPr="00E31EA3" w:rsidRDefault="00E811D7" w:rsidP="00E811D7">
            <w:pPr>
              <w:rPr>
                <w:rFonts w:cs="Arial"/>
              </w:rPr>
            </w:pPr>
          </w:p>
          <w:p w14:paraId="2C68A8DA" w14:textId="77777777" w:rsidR="00E811D7" w:rsidRPr="00E31EA3" w:rsidRDefault="00E811D7" w:rsidP="00E811D7">
            <w:pPr>
              <w:rPr>
                <w:rFonts w:cs="Arial"/>
              </w:rPr>
            </w:pPr>
          </w:p>
          <w:p w14:paraId="340B40A7" w14:textId="77777777" w:rsidR="00E811D7" w:rsidRPr="00E31EA3" w:rsidRDefault="00E811D7" w:rsidP="00E811D7">
            <w:pPr>
              <w:rPr>
                <w:rFonts w:cs="Arial"/>
              </w:rPr>
            </w:pPr>
          </w:p>
          <w:p w14:paraId="014677C4" w14:textId="77777777" w:rsidR="00E811D7" w:rsidRPr="00E31EA3" w:rsidRDefault="00E811D7" w:rsidP="00E811D7">
            <w:pPr>
              <w:rPr>
                <w:rFonts w:cs="Arial"/>
              </w:rPr>
            </w:pPr>
          </w:p>
          <w:p w14:paraId="075B1D1D" w14:textId="77777777" w:rsidR="00E811D7" w:rsidRPr="00E31EA3" w:rsidRDefault="00E811D7" w:rsidP="00E811D7">
            <w:pPr>
              <w:rPr>
                <w:rFonts w:cs="Arial"/>
              </w:rPr>
            </w:pPr>
          </w:p>
          <w:p w14:paraId="23ECCD5E" w14:textId="77777777" w:rsidR="00E811D7" w:rsidRPr="00E31EA3" w:rsidRDefault="00E811D7" w:rsidP="00E811D7">
            <w:pPr>
              <w:rPr>
                <w:rFonts w:cs="Arial"/>
              </w:rPr>
            </w:pPr>
          </w:p>
          <w:p w14:paraId="6982DFB7" w14:textId="77777777" w:rsidR="00E811D7" w:rsidRPr="00E31EA3" w:rsidRDefault="00E811D7" w:rsidP="00E811D7">
            <w:pPr>
              <w:rPr>
                <w:rFonts w:cs="Arial"/>
              </w:rPr>
            </w:pPr>
          </w:p>
          <w:p w14:paraId="4FE94241" w14:textId="77777777" w:rsidR="00E811D7" w:rsidRPr="00E31EA3" w:rsidRDefault="00E811D7" w:rsidP="00E811D7">
            <w:pPr>
              <w:rPr>
                <w:rFonts w:cs="Arial"/>
              </w:rPr>
            </w:pPr>
          </w:p>
          <w:p w14:paraId="00706BBD" w14:textId="77777777" w:rsidR="00E811D7" w:rsidRPr="00E31EA3" w:rsidRDefault="00E811D7" w:rsidP="00E811D7">
            <w:pPr>
              <w:rPr>
                <w:rFonts w:cs="Arial"/>
              </w:rPr>
            </w:pPr>
          </w:p>
          <w:p w14:paraId="3920C3EB" w14:textId="77777777" w:rsidR="00E811D7" w:rsidRPr="00E31EA3" w:rsidRDefault="00E811D7" w:rsidP="00E811D7">
            <w:pPr>
              <w:rPr>
                <w:rFonts w:cs="Arial"/>
              </w:rPr>
            </w:pPr>
          </w:p>
          <w:p w14:paraId="2598F31A" w14:textId="77777777" w:rsidR="00E811D7" w:rsidRPr="00E31EA3" w:rsidRDefault="00E811D7" w:rsidP="00E811D7">
            <w:pPr>
              <w:rPr>
                <w:rFonts w:cs="Arial"/>
              </w:rPr>
            </w:pPr>
          </w:p>
          <w:p w14:paraId="271991D1" w14:textId="77777777" w:rsidR="00E811D7" w:rsidRPr="00E31EA3" w:rsidRDefault="00E811D7" w:rsidP="00E811D7">
            <w:pPr>
              <w:rPr>
                <w:rFonts w:cs="Arial"/>
              </w:rPr>
            </w:pPr>
          </w:p>
          <w:p w14:paraId="4A44AE0C" w14:textId="77777777" w:rsidR="00E811D7" w:rsidRPr="00E31EA3" w:rsidRDefault="00E811D7" w:rsidP="00E811D7">
            <w:pPr>
              <w:rPr>
                <w:rFonts w:cs="Arial"/>
              </w:rPr>
            </w:pPr>
          </w:p>
          <w:p w14:paraId="74110F51" w14:textId="77777777" w:rsidR="00E811D7" w:rsidRPr="00E31EA3" w:rsidRDefault="00E811D7" w:rsidP="00E811D7">
            <w:pPr>
              <w:rPr>
                <w:rFonts w:cs="Arial"/>
              </w:rPr>
            </w:pPr>
          </w:p>
          <w:p w14:paraId="14F11E47" w14:textId="77777777" w:rsidR="00E811D7" w:rsidRPr="00E31EA3" w:rsidRDefault="00E811D7" w:rsidP="00E811D7">
            <w:pPr>
              <w:rPr>
                <w:rFonts w:cs="Arial"/>
              </w:rPr>
            </w:pPr>
          </w:p>
          <w:p w14:paraId="62A8F307" w14:textId="4D857BF4" w:rsidR="00E811D7" w:rsidRPr="00E31EA3" w:rsidRDefault="00E811D7" w:rsidP="00E811D7">
            <w:pPr>
              <w:rPr>
                <w:rFonts w:cs="Arial"/>
              </w:rPr>
            </w:pPr>
          </w:p>
        </w:tc>
        <w:tc>
          <w:tcPr>
            <w:tcW w:w="3117" w:type="dxa"/>
          </w:tcPr>
          <w:p w14:paraId="068046C9" w14:textId="279600CB" w:rsidR="00E811D7" w:rsidRPr="00E31EA3" w:rsidRDefault="00E811D7" w:rsidP="00E811D7">
            <w:pPr>
              <w:rPr>
                <w:rFonts w:cs="Arial"/>
              </w:rPr>
            </w:pPr>
            <w:r w:rsidRPr="00E31EA3">
              <w:rPr>
                <w:rFonts w:cs="Arial"/>
              </w:rPr>
              <w:t>Чести</w:t>
            </w:r>
          </w:p>
        </w:tc>
        <w:tc>
          <w:tcPr>
            <w:tcW w:w="3117" w:type="dxa"/>
          </w:tcPr>
          <w:p w14:paraId="02284E70" w14:textId="40A93567" w:rsidR="00E811D7" w:rsidRPr="00E31EA3" w:rsidRDefault="00E811D7" w:rsidP="00E811D7">
            <w:pPr>
              <w:rPr>
                <w:rFonts w:cs="Arial"/>
              </w:rPr>
            </w:pPr>
            <w:r w:rsidRPr="00E31EA3">
              <w:rPr>
                <w:rFonts w:cs="Arial"/>
              </w:rPr>
              <w:t>Хипотония*, ортостатична хипотония, хипертония*</w:t>
            </w:r>
          </w:p>
        </w:tc>
      </w:tr>
      <w:tr w:rsidR="00E811D7" w14:paraId="5A0F677B" w14:textId="77777777" w:rsidTr="00613F14">
        <w:tc>
          <w:tcPr>
            <w:tcW w:w="3116" w:type="dxa"/>
            <w:vMerge/>
          </w:tcPr>
          <w:p w14:paraId="77F6E340" w14:textId="77777777" w:rsidR="00E811D7" w:rsidRPr="00E31EA3" w:rsidRDefault="00E811D7" w:rsidP="00E811D7">
            <w:pPr>
              <w:rPr>
                <w:rFonts w:cs="Arial"/>
              </w:rPr>
            </w:pPr>
          </w:p>
        </w:tc>
        <w:tc>
          <w:tcPr>
            <w:tcW w:w="3117" w:type="dxa"/>
          </w:tcPr>
          <w:p w14:paraId="557912CC" w14:textId="36727919" w:rsidR="00E811D7" w:rsidRPr="00E31EA3" w:rsidRDefault="00E811D7" w:rsidP="00E811D7">
            <w:pPr>
              <w:rPr>
                <w:rFonts w:cs="Arial"/>
              </w:rPr>
            </w:pPr>
            <w:r w:rsidRPr="00E31EA3">
              <w:rPr>
                <w:rFonts w:cs="Arial"/>
              </w:rPr>
              <w:t>Нечести</w:t>
            </w:r>
          </w:p>
        </w:tc>
        <w:tc>
          <w:tcPr>
            <w:tcW w:w="3117" w:type="dxa"/>
          </w:tcPr>
          <w:p w14:paraId="20D30264" w14:textId="609C9543" w:rsidR="00E811D7" w:rsidRPr="00E31EA3" w:rsidRDefault="00E811D7" w:rsidP="00E811D7">
            <w:pPr>
              <w:rPr>
                <w:rFonts w:cs="Arial"/>
              </w:rPr>
            </w:pPr>
            <w:proofErr w:type="spellStart"/>
            <w:r w:rsidRPr="00E31EA3">
              <w:rPr>
                <w:rFonts w:cs="Arial"/>
              </w:rPr>
              <w:t>Мозъчносъдов</w:t>
            </w:r>
            <w:proofErr w:type="spellEnd"/>
            <w:r w:rsidRPr="00E31EA3">
              <w:rPr>
                <w:rFonts w:cs="Arial"/>
              </w:rPr>
              <w:t xml:space="preserve"> инцидент*, </w:t>
            </w:r>
            <w:r w:rsidRPr="00E31EA3">
              <w:rPr>
                <w:rFonts w:cs="Arial"/>
                <w:i/>
                <w:iCs/>
              </w:rPr>
              <w:t>дълбока</w:t>
            </w:r>
            <w:r w:rsidRPr="00E31EA3">
              <w:rPr>
                <w:rFonts w:cs="Arial"/>
              </w:rPr>
              <w:t xml:space="preserve"> венозна тромбоза*, хеморагии*, тромбофлебит (вкл. повърхностен), </w:t>
            </w:r>
            <w:proofErr w:type="spellStart"/>
            <w:r w:rsidRPr="00E31EA3">
              <w:rPr>
                <w:rFonts w:cs="Arial"/>
              </w:rPr>
              <w:t>циркулаторен</w:t>
            </w:r>
            <w:proofErr w:type="spellEnd"/>
            <w:r w:rsidRPr="00E31EA3">
              <w:rPr>
                <w:rFonts w:cs="Arial"/>
              </w:rPr>
              <w:t xml:space="preserve"> колапс (вкл. </w:t>
            </w:r>
            <w:proofErr w:type="spellStart"/>
            <w:r w:rsidRPr="00E31EA3">
              <w:rPr>
                <w:rFonts w:cs="Arial"/>
              </w:rPr>
              <w:t>хиповолемичен</w:t>
            </w:r>
            <w:proofErr w:type="spellEnd"/>
            <w:r w:rsidRPr="00E31EA3">
              <w:rPr>
                <w:rFonts w:cs="Arial"/>
              </w:rPr>
              <w:t xml:space="preserve"> шок), флебит, зачервяване*, хематом (вкл. </w:t>
            </w:r>
            <w:proofErr w:type="spellStart"/>
            <w:r w:rsidRPr="00E31EA3">
              <w:rPr>
                <w:rFonts w:cs="Arial"/>
              </w:rPr>
              <w:t>периренален</w:t>
            </w:r>
            <w:proofErr w:type="spellEnd"/>
            <w:r w:rsidRPr="00E31EA3">
              <w:rPr>
                <w:rFonts w:cs="Arial"/>
              </w:rPr>
              <w:t xml:space="preserve">)*, слаба периферна циркулация*, </w:t>
            </w:r>
            <w:proofErr w:type="spellStart"/>
            <w:r w:rsidRPr="00E31EA3">
              <w:rPr>
                <w:rFonts w:cs="Arial"/>
              </w:rPr>
              <w:t>васкулит</w:t>
            </w:r>
            <w:proofErr w:type="spellEnd"/>
            <w:r w:rsidRPr="00E31EA3">
              <w:rPr>
                <w:rFonts w:cs="Arial"/>
              </w:rPr>
              <w:t xml:space="preserve">, </w:t>
            </w:r>
            <w:proofErr w:type="spellStart"/>
            <w:r w:rsidRPr="00E31EA3">
              <w:rPr>
                <w:rFonts w:cs="Arial"/>
              </w:rPr>
              <w:t>хиперемия</w:t>
            </w:r>
            <w:proofErr w:type="spellEnd"/>
            <w:r w:rsidRPr="00E31EA3">
              <w:rPr>
                <w:rFonts w:cs="Arial"/>
              </w:rPr>
              <w:t xml:space="preserve"> (вкл. очна)*</w:t>
            </w:r>
          </w:p>
        </w:tc>
      </w:tr>
      <w:tr w:rsidR="00E811D7" w14:paraId="7DC17D6F" w14:textId="77777777" w:rsidTr="00613F14">
        <w:tc>
          <w:tcPr>
            <w:tcW w:w="3116" w:type="dxa"/>
            <w:vMerge/>
          </w:tcPr>
          <w:p w14:paraId="1C01B985" w14:textId="77777777" w:rsidR="00E811D7" w:rsidRPr="00E31EA3" w:rsidRDefault="00E811D7" w:rsidP="00E811D7">
            <w:pPr>
              <w:rPr>
                <w:rFonts w:cs="Arial"/>
              </w:rPr>
            </w:pPr>
          </w:p>
        </w:tc>
        <w:tc>
          <w:tcPr>
            <w:tcW w:w="3117" w:type="dxa"/>
          </w:tcPr>
          <w:p w14:paraId="0936E302" w14:textId="72171BBB" w:rsidR="00E811D7" w:rsidRPr="00E31EA3" w:rsidRDefault="00E811D7" w:rsidP="00E811D7">
            <w:pPr>
              <w:rPr>
                <w:rFonts w:cs="Arial"/>
              </w:rPr>
            </w:pPr>
            <w:r w:rsidRPr="00E31EA3">
              <w:rPr>
                <w:rFonts w:cs="Arial"/>
              </w:rPr>
              <w:t>Редки</w:t>
            </w:r>
          </w:p>
        </w:tc>
        <w:tc>
          <w:tcPr>
            <w:tcW w:w="3117" w:type="dxa"/>
          </w:tcPr>
          <w:p w14:paraId="19AF8657" w14:textId="7B8FC074" w:rsidR="00E811D7" w:rsidRPr="00E31EA3" w:rsidRDefault="00E811D7" w:rsidP="00E811D7">
            <w:pPr>
              <w:rPr>
                <w:rFonts w:cs="Arial"/>
              </w:rPr>
            </w:pPr>
            <w:r w:rsidRPr="00E31EA3">
              <w:rPr>
                <w:rFonts w:cs="Arial"/>
              </w:rPr>
              <w:t xml:space="preserve">Периферен </w:t>
            </w:r>
            <w:proofErr w:type="spellStart"/>
            <w:r w:rsidRPr="00E31EA3">
              <w:rPr>
                <w:rFonts w:cs="Arial"/>
              </w:rPr>
              <w:t>емболизъм</w:t>
            </w:r>
            <w:proofErr w:type="spellEnd"/>
            <w:r w:rsidRPr="00E31EA3">
              <w:rPr>
                <w:rFonts w:cs="Arial"/>
              </w:rPr>
              <w:t xml:space="preserve">, </w:t>
            </w:r>
            <w:proofErr w:type="spellStart"/>
            <w:r w:rsidRPr="00E31EA3">
              <w:rPr>
                <w:rFonts w:cs="Arial"/>
              </w:rPr>
              <w:t>лимфедем</w:t>
            </w:r>
            <w:proofErr w:type="spellEnd"/>
            <w:r w:rsidRPr="00E31EA3">
              <w:rPr>
                <w:rFonts w:cs="Arial"/>
              </w:rPr>
              <w:t xml:space="preserve">, бледност, </w:t>
            </w:r>
            <w:proofErr w:type="spellStart"/>
            <w:r w:rsidRPr="00E31EA3">
              <w:rPr>
                <w:rFonts w:cs="Arial"/>
              </w:rPr>
              <w:t>еритромелалгия</w:t>
            </w:r>
            <w:proofErr w:type="spellEnd"/>
            <w:r w:rsidRPr="00E31EA3">
              <w:rPr>
                <w:rFonts w:cs="Arial"/>
              </w:rPr>
              <w:t xml:space="preserve">, </w:t>
            </w:r>
            <w:proofErr w:type="spellStart"/>
            <w:r w:rsidRPr="00E31EA3">
              <w:rPr>
                <w:rFonts w:cs="Arial"/>
              </w:rPr>
              <w:t>вазодилатация</w:t>
            </w:r>
            <w:proofErr w:type="spellEnd"/>
            <w:r w:rsidRPr="00E31EA3">
              <w:rPr>
                <w:rFonts w:cs="Arial"/>
              </w:rPr>
              <w:t>, промяна в цвета на вените, венозна недостатъчност</w:t>
            </w:r>
          </w:p>
        </w:tc>
      </w:tr>
      <w:tr w:rsidR="00E811D7" w14:paraId="48A6CC24" w14:textId="77777777" w:rsidTr="00613F14">
        <w:tc>
          <w:tcPr>
            <w:tcW w:w="3116" w:type="dxa"/>
            <w:vMerge w:val="restart"/>
          </w:tcPr>
          <w:p w14:paraId="02F6169F" w14:textId="75E83836" w:rsidR="00E811D7" w:rsidRPr="00E31EA3" w:rsidRDefault="00E811D7" w:rsidP="00E811D7">
            <w:pPr>
              <w:rPr>
                <w:rFonts w:cs="Arial"/>
              </w:rPr>
            </w:pPr>
            <w:r w:rsidRPr="00E31EA3">
              <w:rPr>
                <w:rFonts w:cs="Arial"/>
              </w:rPr>
              <w:t xml:space="preserve">Респираторни, гръдни и </w:t>
            </w:r>
            <w:proofErr w:type="spellStart"/>
            <w:r w:rsidRPr="00E31EA3">
              <w:rPr>
                <w:rFonts w:cs="Arial"/>
              </w:rPr>
              <w:t>медиастинални</w:t>
            </w:r>
            <w:proofErr w:type="spellEnd"/>
            <w:r w:rsidRPr="00E31EA3">
              <w:rPr>
                <w:rFonts w:cs="Arial"/>
              </w:rPr>
              <w:t xml:space="preserve"> нарушения</w:t>
            </w:r>
          </w:p>
        </w:tc>
        <w:tc>
          <w:tcPr>
            <w:tcW w:w="3117" w:type="dxa"/>
          </w:tcPr>
          <w:p w14:paraId="35CE78A7" w14:textId="7532F299" w:rsidR="00E811D7" w:rsidRPr="00E31EA3" w:rsidRDefault="00E811D7" w:rsidP="00E811D7">
            <w:pPr>
              <w:rPr>
                <w:rFonts w:cs="Arial"/>
              </w:rPr>
            </w:pPr>
            <w:r w:rsidRPr="00E31EA3">
              <w:rPr>
                <w:rFonts w:cs="Arial"/>
              </w:rPr>
              <w:t>Чести</w:t>
            </w:r>
          </w:p>
        </w:tc>
        <w:tc>
          <w:tcPr>
            <w:tcW w:w="3117" w:type="dxa"/>
          </w:tcPr>
          <w:p w14:paraId="4CF75C90" w14:textId="3E91D77C" w:rsidR="00E811D7" w:rsidRPr="00E31EA3" w:rsidRDefault="00E811D7" w:rsidP="00E811D7">
            <w:pPr>
              <w:rPr>
                <w:rFonts w:cs="Arial"/>
              </w:rPr>
            </w:pPr>
            <w:proofErr w:type="spellStart"/>
            <w:r w:rsidRPr="00E31EA3">
              <w:rPr>
                <w:rFonts w:cs="Arial"/>
              </w:rPr>
              <w:t>Диспнея</w:t>
            </w:r>
            <w:proofErr w:type="spellEnd"/>
            <w:r w:rsidRPr="00E31EA3">
              <w:rPr>
                <w:rFonts w:cs="Arial"/>
              </w:rPr>
              <w:t xml:space="preserve">*, </w:t>
            </w:r>
            <w:proofErr w:type="spellStart"/>
            <w:r w:rsidRPr="00E31EA3">
              <w:rPr>
                <w:rFonts w:cs="Arial"/>
              </w:rPr>
              <w:t>епистаксис</w:t>
            </w:r>
            <w:proofErr w:type="spellEnd"/>
            <w:r w:rsidRPr="00E31EA3">
              <w:rPr>
                <w:rFonts w:cs="Arial"/>
              </w:rPr>
              <w:t>, инфекция на горните/долните дихателни пътища*, кашлица*</w:t>
            </w:r>
          </w:p>
        </w:tc>
      </w:tr>
      <w:tr w:rsidR="00E811D7" w14:paraId="3B34C789" w14:textId="77777777" w:rsidTr="00AC443D">
        <w:tc>
          <w:tcPr>
            <w:tcW w:w="3116" w:type="dxa"/>
            <w:vMerge/>
          </w:tcPr>
          <w:p w14:paraId="41F25406" w14:textId="77777777" w:rsidR="00E811D7" w:rsidRPr="00E31EA3" w:rsidRDefault="00E811D7" w:rsidP="00E811D7">
            <w:pPr>
              <w:rPr>
                <w:rFonts w:cs="Arial"/>
              </w:rPr>
            </w:pPr>
          </w:p>
        </w:tc>
        <w:tc>
          <w:tcPr>
            <w:tcW w:w="3117" w:type="dxa"/>
          </w:tcPr>
          <w:p w14:paraId="088E46F2" w14:textId="7C048C48" w:rsidR="00E811D7" w:rsidRPr="00E31EA3" w:rsidRDefault="00E811D7" w:rsidP="00E811D7">
            <w:pPr>
              <w:rPr>
                <w:rFonts w:cs="Arial"/>
              </w:rPr>
            </w:pPr>
            <w:r w:rsidRPr="00E31EA3">
              <w:rPr>
                <w:rFonts w:cs="Arial"/>
              </w:rPr>
              <w:t>Нечести</w:t>
            </w:r>
          </w:p>
        </w:tc>
        <w:tc>
          <w:tcPr>
            <w:tcW w:w="3117" w:type="dxa"/>
            <w:vAlign w:val="bottom"/>
          </w:tcPr>
          <w:p w14:paraId="55446072" w14:textId="558696FF" w:rsidR="00E811D7" w:rsidRPr="00E31EA3" w:rsidRDefault="00E811D7" w:rsidP="00E811D7">
            <w:pPr>
              <w:rPr>
                <w:rFonts w:cs="Arial"/>
              </w:rPr>
            </w:pPr>
            <w:r w:rsidRPr="00E31EA3">
              <w:rPr>
                <w:rFonts w:cs="Arial"/>
              </w:rPr>
              <w:t xml:space="preserve">Белодробен </w:t>
            </w:r>
            <w:proofErr w:type="spellStart"/>
            <w:r w:rsidRPr="00E31EA3">
              <w:rPr>
                <w:rFonts w:cs="Arial"/>
              </w:rPr>
              <w:t>емболизъм</w:t>
            </w:r>
            <w:proofErr w:type="spellEnd"/>
            <w:r w:rsidRPr="00E31EA3">
              <w:rPr>
                <w:rFonts w:cs="Arial"/>
              </w:rPr>
              <w:t xml:space="preserve">, </w:t>
            </w:r>
            <w:proofErr w:type="spellStart"/>
            <w:r w:rsidRPr="00E31EA3">
              <w:rPr>
                <w:rFonts w:cs="Arial"/>
              </w:rPr>
              <w:t>плеврален</w:t>
            </w:r>
            <w:proofErr w:type="spellEnd"/>
            <w:r w:rsidRPr="00E31EA3">
              <w:rPr>
                <w:rFonts w:cs="Arial"/>
              </w:rPr>
              <w:t xml:space="preserve"> излив, белодробен оток (вкл. остър), </w:t>
            </w:r>
            <w:proofErr w:type="spellStart"/>
            <w:r w:rsidRPr="00E31EA3">
              <w:rPr>
                <w:rFonts w:cs="Arial"/>
              </w:rPr>
              <w:t>бронхоспазъм</w:t>
            </w:r>
            <w:proofErr w:type="spellEnd"/>
            <w:r w:rsidRPr="00E31EA3">
              <w:rPr>
                <w:rFonts w:cs="Arial"/>
              </w:rPr>
              <w:t>, белодробна алвеоларна хеморагия</w:t>
            </w:r>
            <w:r w:rsidRPr="00E31EA3">
              <w:rPr>
                <w:rFonts w:cs="Arial"/>
                <w:vertAlign w:val="superscript"/>
              </w:rPr>
              <w:t>#</w:t>
            </w:r>
            <w:r w:rsidRPr="00E31EA3">
              <w:rPr>
                <w:rFonts w:cs="Arial"/>
              </w:rPr>
              <w:t xml:space="preserve">,, хронична </w:t>
            </w:r>
            <w:proofErr w:type="spellStart"/>
            <w:r w:rsidRPr="00E31EA3">
              <w:rPr>
                <w:rFonts w:cs="Arial"/>
              </w:rPr>
              <w:lastRenderedPageBreak/>
              <w:t>обструктивна</w:t>
            </w:r>
            <w:proofErr w:type="spellEnd"/>
            <w:r w:rsidRPr="00E31EA3">
              <w:rPr>
                <w:rFonts w:cs="Arial"/>
              </w:rPr>
              <w:t xml:space="preserve"> белодробна болест*, </w:t>
            </w:r>
            <w:proofErr w:type="spellStart"/>
            <w:r w:rsidRPr="00E31EA3">
              <w:rPr>
                <w:rFonts w:cs="Arial"/>
              </w:rPr>
              <w:t>хипоксемия</w:t>
            </w:r>
            <w:proofErr w:type="spellEnd"/>
            <w:r w:rsidRPr="00E31EA3">
              <w:rPr>
                <w:rFonts w:cs="Arial"/>
              </w:rPr>
              <w:t xml:space="preserve">*, конгестия на дихателния тракт*, хипоксия, плеврит*, белодробна фиброза, хълцане, </w:t>
            </w:r>
            <w:proofErr w:type="spellStart"/>
            <w:r w:rsidRPr="00E31EA3">
              <w:rPr>
                <w:rFonts w:cs="Arial"/>
              </w:rPr>
              <w:t>ринорея</w:t>
            </w:r>
            <w:proofErr w:type="spellEnd"/>
            <w:r w:rsidRPr="00E31EA3">
              <w:rPr>
                <w:rFonts w:cs="Arial"/>
              </w:rPr>
              <w:t xml:space="preserve">, </w:t>
            </w:r>
            <w:proofErr w:type="spellStart"/>
            <w:r w:rsidRPr="00E31EA3">
              <w:rPr>
                <w:rFonts w:cs="Arial"/>
              </w:rPr>
              <w:t>дисфония</w:t>
            </w:r>
            <w:proofErr w:type="spellEnd"/>
            <w:r w:rsidRPr="00E31EA3">
              <w:rPr>
                <w:rFonts w:cs="Arial"/>
              </w:rPr>
              <w:t>, хрипове</w:t>
            </w:r>
          </w:p>
        </w:tc>
      </w:tr>
      <w:tr w:rsidR="00E811D7" w14:paraId="2BC3C280" w14:textId="77777777" w:rsidTr="00AC443D">
        <w:trPr>
          <w:trHeight w:val="4671"/>
        </w:trPr>
        <w:tc>
          <w:tcPr>
            <w:tcW w:w="3116" w:type="dxa"/>
            <w:vMerge/>
          </w:tcPr>
          <w:p w14:paraId="72D7AF9A" w14:textId="77777777" w:rsidR="00E811D7" w:rsidRPr="00E31EA3" w:rsidRDefault="00E811D7" w:rsidP="00E811D7">
            <w:pPr>
              <w:rPr>
                <w:rFonts w:cs="Arial"/>
              </w:rPr>
            </w:pPr>
          </w:p>
        </w:tc>
        <w:tc>
          <w:tcPr>
            <w:tcW w:w="3117" w:type="dxa"/>
          </w:tcPr>
          <w:p w14:paraId="5778A92B" w14:textId="275BA3C2" w:rsidR="00E811D7" w:rsidRPr="00E31EA3" w:rsidRDefault="00E811D7" w:rsidP="00E811D7">
            <w:pPr>
              <w:rPr>
                <w:rFonts w:cs="Arial"/>
              </w:rPr>
            </w:pPr>
            <w:r w:rsidRPr="00E31EA3">
              <w:rPr>
                <w:rFonts w:cs="Arial"/>
              </w:rPr>
              <w:t>Редки</w:t>
            </w:r>
          </w:p>
        </w:tc>
        <w:tc>
          <w:tcPr>
            <w:tcW w:w="3117" w:type="dxa"/>
            <w:vAlign w:val="bottom"/>
          </w:tcPr>
          <w:p w14:paraId="01A60B45" w14:textId="77777777" w:rsidR="00E811D7" w:rsidRPr="00E31EA3" w:rsidRDefault="00E811D7" w:rsidP="00E811D7">
            <w:pPr>
              <w:rPr>
                <w:rFonts w:cs="Arial"/>
              </w:rPr>
            </w:pPr>
            <w:r w:rsidRPr="00E31EA3">
              <w:rPr>
                <w:rFonts w:cs="Arial"/>
              </w:rPr>
              <w:t xml:space="preserve">Дихателна недостатъчност, остър респираторен </w:t>
            </w:r>
            <w:proofErr w:type="spellStart"/>
            <w:r w:rsidRPr="00E31EA3">
              <w:rPr>
                <w:rFonts w:cs="Arial"/>
              </w:rPr>
              <w:t>дистрес</w:t>
            </w:r>
            <w:proofErr w:type="spellEnd"/>
            <w:r w:rsidRPr="00E31EA3">
              <w:rPr>
                <w:rFonts w:cs="Arial"/>
              </w:rPr>
              <w:t xml:space="preserve"> синдром, апнея, </w:t>
            </w:r>
            <w:proofErr w:type="spellStart"/>
            <w:r w:rsidRPr="00E31EA3">
              <w:rPr>
                <w:rFonts w:cs="Arial"/>
              </w:rPr>
              <w:t>пневмоторакс</w:t>
            </w:r>
            <w:proofErr w:type="spellEnd"/>
            <w:r w:rsidRPr="00E31EA3">
              <w:rPr>
                <w:rFonts w:cs="Arial"/>
              </w:rPr>
              <w:t xml:space="preserve">, </w:t>
            </w:r>
            <w:proofErr w:type="spellStart"/>
            <w:r w:rsidRPr="00E31EA3">
              <w:rPr>
                <w:rFonts w:cs="Arial"/>
              </w:rPr>
              <w:t>ателектази</w:t>
            </w:r>
            <w:proofErr w:type="spellEnd"/>
            <w:r w:rsidRPr="00E31EA3">
              <w:rPr>
                <w:rFonts w:cs="Arial"/>
              </w:rPr>
              <w:t xml:space="preserve">, белодробна хипертония, </w:t>
            </w:r>
            <w:proofErr w:type="spellStart"/>
            <w:r w:rsidRPr="00E31EA3">
              <w:rPr>
                <w:rFonts w:cs="Arial"/>
              </w:rPr>
              <w:t>хемоптоза</w:t>
            </w:r>
            <w:proofErr w:type="spellEnd"/>
            <w:r w:rsidRPr="00E31EA3">
              <w:rPr>
                <w:rFonts w:cs="Arial"/>
              </w:rPr>
              <w:t xml:space="preserve">, хипервентилация, </w:t>
            </w:r>
            <w:proofErr w:type="spellStart"/>
            <w:r w:rsidRPr="00E31EA3">
              <w:rPr>
                <w:rFonts w:cs="Arial"/>
              </w:rPr>
              <w:t>ортопнея</w:t>
            </w:r>
            <w:proofErr w:type="spellEnd"/>
            <w:r w:rsidRPr="00E31EA3">
              <w:rPr>
                <w:rFonts w:cs="Arial"/>
              </w:rPr>
              <w:t xml:space="preserve"> </w:t>
            </w:r>
            <w:proofErr w:type="spellStart"/>
            <w:r w:rsidRPr="00E31EA3">
              <w:rPr>
                <w:rFonts w:cs="Arial"/>
              </w:rPr>
              <w:t>пневмонит</w:t>
            </w:r>
            <w:proofErr w:type="spellEnd"/>
            <w:r w:rsidRPr="00E31EA3">
              <w:rPr>
                <w:rFonts w:cs="Arial"/>
              </w:rPr>
              <w:t xml:space="preserve">, респираторна </w:t>
            </w:r>
            <w:proofErr w:type="spellStart"/>
            <w:r w:rsidRPr="00E31EA3">
              <w:rPr>
                <w:rFonts w:cs="Arial"/>
              </w:rPr>
              <w:t>алкалоза</w:t>
            </w:r>
            <w:proofErr w:type="spellEnd"/>
            <w:r w:rsidRPr="00E31EA3">
              <w:rPr>
                <w:rFonts w:cs="Arial"/>
              </w:rPr>
              <w:t xml:space="preserve">, </w:t>
            </w:r>
            <w:proofErr w:type="spellStart"/>
            <w:r w:rsidRPr="00E31EA3">
              <w:rPr>
                <w:rFonts w:cs="Arial"/>
              </w:rPr>
              <w:t>тахипнея</w:t>
            </w:r>
            <w:proofErr w:type="spellEnd"/>
            <w:r w:rsidRPr="00E31EA3">
              <w:rPr>
                <w:rFonts w:cs="Arial"/>
              </w:rPr>
              <w:t>, белодробна</w:t>
            </w:r>
          </w:p>
          <w:p w14:paraId="5A0AF59C" w14:textId="77777777" w:rsidR="00E811D7" w:rsidRPr="00E31EA3" w:rsidRDefault="00E811D7" w:rsidP="00E811D7">
            <w:pPr>
              <w:rPr>
                <w:rFonts w:cs="Arial"/>
              </w:rPr>
            </w:pPr>
            <w:r w:rsidRPr="00E31EA3">
              <w:rPr>
                <w:rFonts w:cs="Arial"/>
              </w:rPr>
              <w:t xml:space="preserve">фиброза, бронхиално нарушение*, </w:t>
            </w:r>
            <w:proofErr w:type="spellStart"/>
            <w:r w:rsidRPr="00E31EA3">
              <w:rPr>
                <w:rFonts w:cs="Arial"/>
              </w:rPr>
              <w:t>хипокапния</w:t>
            </w:r>
            <w:proofErr w:type="spellEnd"/>
            <w:r w:rsidRPr="00E31EA3">
              <w:rPr>
                <w:rFonts w:cs="Arial"/>
              </w:rPr>
              <w:t xml:space="preserve">* </w:t>
            </w:r>
            <w:proofErr w:type="spellStart"/>
            <w:r w:rsidRPr="00E31EA3">
              <w:rPr>
                <w:rFonts w:cs="Arial"/>
              </w:rPr>
              <w:t>интерстициална</w:t>
            </w:r>
            <w:proofErr w:type="spellEnd"/>
            <w:r w:rsidRPr="00E31EA3">
              <w:rPr>
                <w:rFonts w:cs="Arial"/>
              </w:rPr>
              <w:t xml:space="preserve"> белодробна болест,</w:t>
            </w:r>
            <w:r w:rsidRPr="00FD4C98">
              <w:rPr>
                <w:rFonts w:cs="Arial"/>
                <w:lang w:val="ru-RU"/>
              </w:rPr>
              <w:t xml:space="preserve"> </w:t>
            </w:r>
            <w:r w:rsidRPr="00E31EA3">
              <w:rPr>
                <w:rFonts w:cs="Arial"/>
              </w:rPr>
              <w:t>белодробна</w:t>
            </w:r>
          </w:p>
          <w:p w14:paraId="5C45CAC4" w14:textId="77777777" w:rsidR="00E811D7" w:rsidRPr="00E31EA3" w:rsidRDefault="00E811D7" w:rsidP="00E811D7">
            <w:pPr>
              <w:rPr>
                <w:rFonts w:cs="Arial"/>
              </w:rPr>
            </w:pPr>
            <w:r w:rsidRPr="00E31EA3">
              <w:rPr>
                <w:rFonts w:cs="Arial"/>
              </w:rPr>
              <w:t>инфилтрация, стягане в гърлото, сухота в гърлото,</w:t>
            </w:r>
          </w:p>
          <w:p w14:paraId="4AFECB22" w14:textId="7C80B616" w:rsidR="00E811D7" w:rsidRPr="00E31EA3" w:rsidRDefault="00E811D7" w:rsidP="00E811D7">
            <w:pPr>
              <w:rPr>
                <w:rFonts w:cs="Arial"/>
              </w:rPr>
            </w:pPr>
            <w:r w:rsidRPr="00E31EA3">
              <w:rPr>
                <w:rFonts w:cs="Arial"/>
              </w:rPr>
              <w:t xml:space="preserve">повишена секреция на горните дихателни пътища, дразнене в гърлото, </w:t>
            </w:r>
            <w:proofErr w:type="spellStart"/>
            <w:r w:rsidRPr="00E31EA3">
              <w:rPr>
                <w:rFonts w:cs="Arial"/>
              </w:rPr>
              <w:t>кашличен</w:t>
            </w:r>
            <w:proofErr w:type="spellEnd"/>
            <w:r w:rsidRPr="00E31EA3">
              <w:rPr>
                <w:rFonts w:cs="Arial"/>
              </w:rPr>
              <w:t xml:space="preserve"> синдром на горните дихателни пътища</w:t>
            </w:r>
          </w:p>
        </w:tc>
      </w:tr>
      <w:tr w:rsidR="00E811D7" w14:paraId="167AE78B" w14:textId="77777777" w:rsidTr="00613F14">
        <w:tc>
          <w:tcPr>
            <w:tcW w:w="3116" w:type="dxa"/>
            <w:vMerge w:val="restart"/>
          </w:tcPr>
          <w:p w14:paraId="4C3B5AC1" w14:textId="1A5D96A3" w:rsidR="00E811D7" w:rsidRPr="00E31EA3" w:rsidRDefault="00E811D7" w:rsidP="00E811D7">
            <w:pPr>
              <w:rPr>
                <w:rFonts w:cs="Arial"/>
              </w:rPr>
            </w:pPr>
            <w:r w:rsidRPr="00E31EA3">
              <w:rPr>
                <w:rFonts w:cs="Arial"/>
              </w:rPr>
              <w:t>Стомашно- чревни нарушения</w:t>
            </w:r>
          </w:p>
        </w:tc>
        <w:tc>
          <w:tcPr>
            <w:tcW w:w="3117" w:type="dxa"/>
          </w:tcPr>
          <w:p w14:paraId="1C1589B6" w14:textId="3F09F8DC" w:rsidR="00E811D7" w:rsidRPr="00E31EA3" w:rsidRDefault="00E811D7" w:rsidP="00E811D7">
            <w:pPr>
              <w:rPr>
                <w:rFonts w:cs="Arial"/>
              </w:rPr>
            </w:pPr>
            <w:r w:rsidRPr="00E31EA3">
              <w:rPr>
                <w:rFonts w:cs="Arial"/>
              </w:rPr>
              <w:t>Много чести</w:t>
            </w:r>
          </w:p>
        </w:tc>
        <w:tc>
          <w:tcPr>
            <w:tcW w:w="3117" w:type="dxa"/>
          </w:tcPr>
          <w:p w14:paraId="0150DEAB" w14:textId="7C9CD54D" w:rsidR="00E811D7" w:rsidRPr="00E31EA3" w:rsidRDefault="00E811D7" w:rsidP="00E811D7">
            <w:pPr>
              <w:rPr>
                <w:rFonts w:cs="Arial"/>
              </w:rPr>
            </w:pPr>
            <w:r w:rsidRPr="00E31EA3">
              <w:rPr>
                <w:rFonts w:cs="Arial"/>
              </w:rPr>
              <w:t>Симптоми на гадене и повръщане*, диария*, запек</w:t>
            </w:r>
          </w:p>
        </w:tc>
      </w:tr>
      <w:tr w:rsidR="00E811D7" w14:paraId="2E9461E6" w14:textId="77777777" w:rsidTr="00613F14">
        <w:tc>
          <w:tcPr>
            <w:tcW w:w="3116" w:type="dxa"/>
            <w:vMerge/>
          </w:tcPr>
          <w:p w14:paraId="0411736D" w14:textId="77777777" w:rsidR="00E811D7" w:rsidRPr="00E31EA3" w:rsidRDefault="00E811D7" w:rsidP="00E811D7">
            <w:pPr>
              <w:rPr>
                <w:rFonts w:cs="Arial"/>
              </w:rPr>
            </w:pPr>
          </w:p>
        </w:tc>
        <w:tc>
          <w:tcPr>
            <w:tcW w:w="3117" w:type="dxa"/>
          </w:tcPr>
          <w:p w14:paraId="2C85D6DB" w14:textId="27AFF2D2" w:rsidR="00E811D7" w:rsidRPr="00E31EA3" w:rsidRDefault="00E811D7" w:rsidP="00E811D7">
            <w:pPr>
              <w:rPr>
                <w:rFonts w:cs="Arial"/>
              </w:rPr>
            </w:pPr>
            <w:r w:rsidRPr="00E31EA3">
              <w:rPr>
                <w:rFonts w:cs="Arial"/>
              </w:rPr>
              <w:t>Чести</w:t>
            </w:r>
          </w:p>
        </w:tc>
        <w:tc>
          <w:tcPr>
            <w:tcW w:w="3117" w:type="dxa"/>
          </w:tcPr>
          <w:p w14:paraId="25905EDF" w14:textId="240321E8" w:rsidR="00E811D7" w:rsidRPr="00E31EA3" w:rsidRDefault="00E811D7" w:rsidP="00E811D7">
            <w:pPr>
              <w:rPr>
                <w:rFonts w:cs="Arial"/>
              </w:rPr>
            </w:pPr>
            <w:r w:rsidRPr="00E31EA3">
              <w:rPr>
                <w:rFonts w:cs="Arial"/>
              </w:rPr>
              <w:t xml:space="preserve">Гастроинтестинална хеморагия (вкл. </w:t>
            </w:r>
            <w:proofErr w:type="spellStart"/>
            <w:r w:rsidRPr="00E31EA3">
              <w:rPr>
                <w:rFonts w:cs="Arial"/>
              </w:rPr>
              <w:t>лигавична</w:t>
            </w:r>
            <w:proofErr w:type="spellEnd"/>
            <w:r w:rsidRPr="00E31EA3">
              <w:rPr>
                <w:rFonts w:cs="Arial"/>
              </w:rPr>
              <w:t xml:space="preserve">)*, диспепсия, стоматит*, подуване на корема, </w:t>
            </w:r>
            <w:proofErr w:type="spellStart"/>
            <w:r w:rsidRPr="00E31EA3">
              <w:rPr>
                <w:rFonts w:cs="Arial"/>
              </w:rPr>
              <w:t>орофарингеална</w:t>
            </w:r>
            <w:proofErr w:type="spellEnd"/>
            <w:r w:rsidRPr="00E31EA3">
              <w:rPr>
                <w:rFonts w:cs="Arial"/>
              </w:rPr>
              <w:t xml:space="preserve"> болка*, коремна болка (вкл. стомашно-чревна и болка в </w:t>
            </w:r>
            <w:proofErr w:type="spellStart"/>
            <w:r w:rsidRPr="00E31EA3">
              <w:rPr>
                <w:rFonts w:cs="Arial"/>
              </w:rPr>
              <w:t>слезката</w:t>
            </w:r>
            <w:proofErr w:type="spellEnd"/>
            <w:r w:rsidRPr="00E31EA3">
              <w:rPr>
                <w:rFonts w:cs="Arial"/>
              </w:rPr>
              <w:t xml:space="preserve">)*, нарушения на устната кухина*, </w:t>
            </w:r>
            <w:proofErr w:type="spellStart"/>
            <w:r w:rsidRPr="00E31EA3">
              <w:rPr>
                <w:rFonts w:cs="Arial"/>
              </w:rPr>
              <w:t>флатуленция</w:t>
            </w:r>
            <w:proofErr w:type="spellEnd"/>
          </w:p>
        </w:tc>
      </w:tr>
      <w:tr w:rsidR="00E811D7" w14:paraId="7EA8B830" w14:textId="77777777" w:rsidTr="00613F14">
        <w:tc>
          <w:tcPr>
            <w:tcW w:w="3116" w:type="dxa"/>
            <w:vMerge/>
          </w:tcPr>
          <w:p w14:paraId="0D7C7E53" w14:textId="77777777" w:rsidR="00E811D7" w:rsidRPr="00E31EA3" w:rsidRDefault="00E811D7" w:rsidP="00E811D7">
            <w:pPr>
              <w:rPr>
                <w:rFonts w:cs="Arial"/>
              </w:rPr>
            </w:pPr>
          </w:p>
        </w:tc>
        <w:tc>
          <w:tcPr>
            <w:tcW w:w="3117" w:type="dxa"/>
          </w:tcPr>
          <w:p w14:paraId="7C06F61A" w14:textId="27387CED" w:rsidR="00E811D7" w:rsidRPr="00E31EA3" w:rsidRDefault="00E811D7" w:rsidP="00E811D7">
            <w:pPr>
              <w:rPr>
                <w:rFonts w:cs="Arial"/>
              </w:rPr>
            </w:pPr>
            <w:r w:rsidRPr="00E31EA3">
              <w:rPr>
                <w:rFonts w:cs="Arial"/>
              </w:rPr>
              <w:t>Нечести</w:t>
            </w:r>
          </w:p>
        </w:tc>
        <w:tc>
          <w:tcPr>
            <w:tcW w:w="3117" w:type="dxa"/>
          </w:tcPr>
          <w:p w14:paraId="321C31A1" w14:textId="3D1D5A0D" w:rsidR="00E811D7" w:rsidRPr="00E31EA3" w:rsidRDefault="00E811D7" w:rsidP="00E811D7">
            <w:pPr>
              <w:rPr>
                <w:rFonts w:cs="Arial"/>
              </w:rPr>
            </w:pPr>
            <w:proofErr w:type="spellStart"/>
            <w:r w:rsidRPr="00E31EA3">
              <w:rPr>
                <w:rFonts w:cs="Arial"/>
              </w:rPr>
              <w:t>Панкреатит</w:t>
            </w:r>
            <w:proofErr w:type="spellEnd"/>
            <w:r w:rsidRPr="00E31EA3">
              <w:rPr>
                <w:rFonts w:cs="Arial"/>
              </w:rPr>
              <w:t xml:space="preserve"> (вкл. хроничен)*, </w:t>
            </w:r>
            <w:proofErr w:type="spellStart"/>
            <w:r w:rsidRPr="00E31EA3">
              <w:rPr>
                <w:rFonts w:cs="Arial"/>
              </w:rPr>
              <w:t>хематемеза</w:t>
            </w:r>
            <w:proofErr w:type="spellEnd"/>
            <w:r w:rsidRPr="00E31EA3">
              <w:rPr>
                <w:rFonts w:cs="Arial"/>
              </w:rPr>
              <w:t xml:space="preserve">, подуване на устните*, стомашно-чревна обструкция (вкл. </w:t>
            </w:r>
            <w:proofErr w:type="spellStart"/>
            <w:r w:rsidRPr="00E31EA3">
              <w:rPr>
                <w:rFonts w:cs="Arial"/>
              </w:rPr>
              <w:t>илеус</w:t>
            </w:r>
            <w:proofErr w:type="spellEnd"/>
            <w:r w:rsidRPr="00E31EA3">
              <w:rPr>
                <w:rFonts w:cs="Arial"/>
              </w:rPr>
              <w:t xml:space="preserve">)*, коремен дискомфорт, </w:t>
            </w:r>
            <w:proofErr w:type="spellStart"/>
            <w:r w:rsidRPr="00E31EA3">
              <w:rPr>
                <w:rFonts w:cs="Arial"/>
              </w:rPr>
              <w:lastRenderedPageBreak/>
              <w:t>улцерации</w:t>
            </w:r>
            <w:proofErr w:type="spellEnd"/>
            <w:r w:rsidRPr="00E31EA3">
              <w:rPr>
                <w:rFonts w:cs="Arial"/>
              </w:rPr>
              <w:t xml:space="preserve"> на устата*, ентерит*, гастрит*, кървене от венците, </w:t>
            </w:r>
            <w:proofErr w:type="spellStart"/>
            <w:r w:rsidRPr="00E31EA3">
              <w:rPr>
                <w:rFonts w:cs="Arial"/>
              </w:rPr>
              <w:t>гастроезофагеална</w:t>
            </w:r>
            <w:proofErr w:type="spellEnd"/>
            <w:r w:rsidRPr="00E31EA3">
              <w:rPr>
                <w:rFonts w:cs="Arial"/>
              </w:rPr>
              <w:t xml:space="preserve"> </w:t>
            </w:r>
            <w:proofErr w:type="spellStart"/>
            <w:r w:rsidRPr="00E31EA3">
              <w:rPr>
                <w:rFonts w:cs="Arial"/>
              </w:rPr>
              <w:t>рефлуксна</w:t>
            </w:r>
            <w:proofErr w:type="spellEnd"/>
            <w:r w:rsidRPr="00E31EA3">
              <w:rPr>
                <w:rFonts w:cs="Arial"/>
              </w:rPr>
              <w:t xml:space="preserve"> болест*, колит (вкл. </w:t>
            </w:r>
            <w:r w:rsidRPr="00E31EA3">
              <w:rPr>
                <w:rFonts w:cs="Arial"/>
                <w:i/>
                <w:iCs/>
                <w:lang w:val="en-US"/>
              </w:rPr>
              <w:t>Clostridium</w:t>
            </w:r>
            <w:r w:rsidRPr="00FD4C98">
              <w:rPr>
                <w:rFonts w:cs="Arial"/>
                <w:i/>
                <w:iCs/>
                <w:lang w:val="ru-RU"/>
              </w:rPr>
              <w:t xml:space="preserve"> </w:t>
            </w:r>
            <w:proofErr w:type="gramStart"/>
            <w:r w:rsidRPr="00E31EA3">
              <w:rPr>
                <w:rFonts w:cs="Arial"/>
                <w:i/>
                <w:iCs/>
                <w:lang w:val="en-US"/>
              </w:rPr>
              <w:t>difficile</w:t>
            </w:r>
            <w:r w:rsidRPr="00FD4C98">
              <w:rPr>
                <w:rFonts w:cs="Arial"/>
                <w:i/>
                <w:iCs/>
                <w:lang w:val="ru-RU"/>
              </w:rPr>
              <w:t>}*</w:t>
            </w:r>
            <w:proofErr w:type="gramEnd"/>
            <w:r w:rsidRPr="00FD4C98">
              <w:rPr>
                <w:rFonts w:cs="Arial"/>
                <w:i/>
                <w:iCs/>
                <w:lang w:val="ru-RU"/>
              </w:rPr>
              <w:t>,</w:t>
            </w:r>
            <w:r w:rsidRPr="00FD4C98">
              <w:rPr>
                <w:rFonts w:cs="Arial"/>
                <w:lang w:val="ru-RU"/>
              </w:rPr>
              <w:t xml:space="preserve"> </w:t>
            </w:r>
            <w:r w:rsidRPr="00E31EA3">
              <w:rPr>
                <w:rFonts w:cs="Arial"/>
              </w:rPr>
              <w:t xml:space="preserve">исхемичен колит#, гастроинтестинално възпаление*, </w:t>
            </w:r>
            <w:proofErr w:type="spellStart"/>
            <w:r w:rsidRPr="00E31EA3">
              <w:rPr>
                <w:rFonts w:cs="Arial"/>
              </w:rPr>
              <w:t>дисфагия</w:t>
            </w:r>
            <w:proofErr w:type="spellEnd"/>
            <w:r w:rsidRPr="00E31EA3">
              <w:rPr>
                <w:rFonts w:cs="Arial"/>
              </w:rPr>
              <w:t xml:space="preserve">, синдром на дразнимото черво, гастроинтестинални нарушения </w:t>
            </w:r>
            <w:r w:rsidRPr="00E31EA3">
              <w:rPr>
                <w:rFonts w:cs="Arial"/>
                <w:lang w:val="en-US"/>
              </w:rPr>
              <w:t>NOS</w:t>
            </w:r>
            <w:r w:rsidRPr="00FD4C98">
              <w:rPr>
                <w:rFonts w:cs="Arial"/>
                <w:lang w:val="ru-RU"/>
              </w:rPr>
              <w:t xml:space="preserve">, </w:t>
            </w:r>
            <w:r w:rsidRPr="00E31EA3">
              <w:rPr>
                <w:rFonts w:cs="Arial"/>
              </w:rPr>
              <w:t xml:space="preserve">обложен език, нарушения на гастроинтестиналния </w:t>
            </w:r>
            <w:proofErr w:type="spellStart"/>
            <w:r w:rsidRPr="00E31EA3">
              <w:rPr>
                <w:rFonts w:cs="Arial"/>
              </w:rPr>
              <w:t>мотилитет</w:t>
            </w:r>
            <w:proofErr w:type="spellEnd"/>
            <w:r w:rsidRPr="00E31EA3">
              <w:rPr>
                <w:rFonts w:cs="Arial"/>
              </w:rPr>
              <w:t>*, нарушения на слюнчените жлези*</w:t>
            </w:r>
          </w:p>
        </w:tc>
      </w:tr>
      <w:tr w:rsidR="00E811D7" w14:paraId="29E7E5BE" w14:textId="77777777" w:rsidTr="00613F14">
        <w:tc>
          <w:tcPr>
            <w:tcW w:w="3116" w:type="dxa"/>
            <w:vMerge/>
          </w:tcPr>
          <w:p w14:paraId="29AF0D50" w14:textId="77777777" w:rsidR="00E811D7" w:rsidRPr="00E31EA3" w:rsidRDefault="00E811D7" w:rsidP="00E811D7">
            <w:pPr>
              <w:rPr>
                <w:rFonts w:cs="Arial"/>
              </w:rPr>
            </w:pPr>
          </w:p>
        </w:tc>
        <w:tc>
          <w:tcPr>
            <w:tcW w:w="3117" w:type="dxa"/>
          </w:tcPr>
          <w:p w14:paraId="3B9E83EA" w14:textId="2A148947" w:rsidR="00E811D7" w:rsidRPr="00E31EA3" w:rsidRDefault="00E811D7" w:rsidP="00E811D7">
            <w:pPr>
              <w:rPr>
                <w:rFonts w:cs="Arial"/>
              </w:rPr>
            </w:pPr>
            <w:r w:rsidRPr="00E31EA3">
              <w:rPr>
                <w:rFonts w:cs="Arial"/>
              </w:rPr>
              <w:t>Редки</w:t>
            </w:r>
          </w:p>
        </w:tc>
        <w:tc>
          <w:tcPr>
            <w:tcW w:w="3117" w:type="dxa"/>
          </w:tcPr>
          <w:p w14:paraId="4B377748" w14:textId="70E3397D" w:rsidR="00E811D7" w:rsidRPr="00E31EA3" w:rsidRDefault="00E811D7" w:rsidP="00E811D7">
            <w:pPr>
              <w:rPr>
                <w:rFonts w:cs="Arial"/>
              </w:rPr>
            </w:pPr>
            <w:r w:rsidRPr="00E31EA3">
              <w:rPr>
                <w:rFonts w:cs="Arial"/>
              </w:rPr>
              <w:t xml:space="preserve">Остър </w:t>
            </w:r>
            <w:proofErr w:type="spellStart"/>
            <w:r w:rsidRPr="00E31EA3">
              <w:rPr>
                <w:rFonts w:cs="Arial"/>
              </w:rPr>
              <w:t>панкреатит</w:t>
            </w:r>
            <w:proofErr w:type="spellEnd"/>
            <w:r w:rsidRPr="00E31EA3">
              <w:rPr>
                <w:rFonts w:cs="Arial"/>
              </w:rPr>
              <w:t xml:space="preserve">, перитонит*, оток на езика*, </w:t>
            </w:r>
            <w:proofErr w:type="spellStart"/>
            <w:r w:rsidRPr="00E31EA3">
              <w:rPr>
                <w:rFonts w:cs="Arial"/>
              </w:rPr>
              <w:t>асцит</w:t>
            </w:r>
            <w:proofErr w:type="spellEnd"/>
            <w:r w:rsidRPr="00E31EA3">
              <w:rPr>
                <w:rFonts w:cs="Arial"/>
              </w:rPr>
              <w:t xml:space="preserve">, </w:t>
            </w:r>
            <w:proofErr w:type="spellStart"/>
            <w:r w:rsidRPr="00E31EA3">
              <w:rPr>
                <w:rFonts w:cs="Arial"/>
              </w:rPr>
              <w:t>езофагит</w:t>
            </w:r>
            <w:proofErr w:type="spellEnd"/>
            <w:r w:rsidRPr="00E31EA3">
              <w:rPr>
                <w:rFonts w:cs="Arial"/>
              </w:rPr>
              <w:t xml:space="preserve">, </w:t>
            </w:r>
            <w:proofErr w:type="spellStart"/>
            <w:r w:rsidRPr="00E31EA3">
              <w:rPr>
                <w:rFonts w:cs="Arial"/>
              </w:rPr>
              <w:t>хеилит</w:t>
            </w:r>
            <w:proofErr w:type="spellEnd"/>
            <w:r w:rsidRPr="00E31EA3">
              <w:rPr>
                <w:rFonts w:cs="Arial"/>
              </w:rPr>
              <w:t xml:space="preserve">, </w:t>
            </w:r>
            <w:proofErr w:type="spellStart"/>
            <w:r w:rsidRPr="00E31EA3">
              <w:rPr>
                <w:rFonts w:cs="Arial"/>
              </w:rPr>
              <w:t>незадържане</w:t>
            </w:r>
            <w:proofErr w:type="spellEnd"/>
            <w:r w:rsidRPr="00E31EA3">
              <w:rPr>
                <w:rFonts w:cs="Arial"/>
              </w:rPr>
              <w:t xml:space="preserve"> на фекалии, </w:t>
            </w:r>
            <w:proofErr w:type="spellStart"/>
            <w:r w:rsidRPr="00E31EA3">
              <w:rPr>
                <w:rFonts w:cs="Arial"/>
              </w:rPr>
              <w:t>атония</w:t>
            </w:r>
            <w:proofErr w:type="spellEnd"/>
            <w:r w:rsidRPr="00E31EA3">
              <w:rPr>
                <w:rFonts w:cs="Arial"/>
              </w:rPr>
              <w:t xml:space="preserve"> на аналния </w:t>
            </w:r>
            <w:proofErr w:type="spellStart"/>
            <w:r w:rsidRPr="00E31EA3">
              <w:rPr>
                <w:rFonts w:cs="Arial"/>
              </w:rPr>
              <w:t>сфинктер</w:t>
            </w:r>
            <w:proofErr w:type="spellEnd"/>
            <w:r w:rsidRPr="00E31EA3">
              <w:rPr>
                <w:rFonts w:cs="Arial"/>
              </w:rPr>
              <w:t xml:space="preserve">, </w:t>
            </w:r>
            <w:proofErr w:type="spellStart"/>
            <w:r w:rsidRPr="00E31EA3">
              <w:rPr>
                <w:rFonts w:cs="Arial"/>
              </w:rPr>
              <w:t>фекалом</w:t>
            </w:r>
            <w:proofErr w:type="spellEnd"/>
            <w:r w:rsidRPr="00E31EA3">
              <w:rPr>
                <w:rFonts w:cs="Arial"/>
              </w:rPr>
              <w:t xml:space="preserve">, гастроинтестинална </w:t>
            </w:r>
            <w:proofErr w:type="spellStart"/>
            <w:r w:rsidRPr="00E31EA3">
              <w:rPr>
                <w:rFonts w:cs="Arial"/>
              </w:rPr>
              <w:t>улцерация</w:t>
            </w:r>
            <w:proofErr w:type="spellEnd"/>
            <w:r w:rsidRPr="00E31EA3">
              <w:rPr>
                <w:rFonts w:cs="Arial"/>
              </w:rPr>
              <w:t xml:space="preserve"> и перфорация*, </w:t>
            </w:r>
            <w:proofErr w:type="spellStart"/>
            <w:r w:rsidRPr="00E31EA3">
              <w:rPr>
                <w:rFonts w:cs="Arial"/>
              </w:rPr>
              <w:t>гингивапна</w:t>
            </w:r>
            <w:proofErr w:type="spellEnd"/>
            <w:r w:rsidRPr="00E31EA3">
              <w:rPr>
                <w:rFonts w:cs="Arial"/>
              </w:rPr>
              <w:t xml:space="preserve"> хипертрофия, </w:t>
            </w:r>
            <w:proofErr w:type="spellStart"/>
            <w:r w:rsidRPr="00E31EA3">
              <w:rPr>
                <w:rFonts w:cs="Arial"/>
              </w:rPr>
              <w:t>мегаколон</w:t>
            </w:r>
            <w:proofErr w:type="spellEnd"/>
            <w:r w:rsidRPr="00E31EA3">
              <w:rPr>
                <w:rFonts w:cs="Arial"/>
              </w:rPr>
              <w:t xml:space="preserve">, </w:t>
            </w:r>
            <w:proofErr w:type="spellStart"/>
            <w:r w:rsidRPr="00E31EA3">
              <w:rPr>
                <w:rFonts w:cs="Arial"/>
              </w:rPr>
              <w:t>ректална</w:t>
            </w:r>
            <w:proofErr w:type="spellEnd"/>
            <w:r w:rsidRPr="00E31EA3">
              <w:rPr>
                <w:rFonts w:cs="Arial"/>
              </w:rPr>
              <w:t xml:space="preserve"> секреция, </w:t>
            </w:r>
            <w:proofErr w:type="spellStart"/>
            <w:r w:rsidRPr="00E31EA3">
              <w:rPr>
                <w:rFonts w:cs="Arial"/>
              </w:rPr>
              <w:t>орофарингеални</w:t>
            </w:r>
            <w:proofErr w:type="spellEnd"/>
            <w:r w:rsidRPr="00E31EA3">
              <w:rPr>
                <w:rFonts w:cs="Arial"/>
              </w:rPr>
              <w:t xml:space="preserve"> мехури*, болка в устните, </w:t>
            </w:r>
            <w:proofErr w:type="spellStart"/>
            <w:r w:rsidRPr="00E31EA3">
              <w:rPr>
                <w:rFonts w:cs="Arial"/>
              </w:rPr>
              <w:t>периодонтит</w:t>
            </w:r>
            <w:proofErr w:type="spellEnd"/>
            <w:r w:rsidRPr="00E31EA3">
              <w:rPr>
                <w:rFonts w:cs="Arial"/>
              </w:rPr>
              <w:t xml:space="preserve">, анална </w:t>
            </w:r>
            <w:proofErr w:type="spellStart"/>
            <w:r w:rsidRPr="00E31EA3">
              <w:rPr>
                <w:rFonts w:cs="Arial"/>
              </w:rPr>
              <w:t>фисура</w:t>
            </w:r>
            <w:proofErr w:type="spellEnd"/>
            <w:r w:rsidRPr="00E31EA3">
              <w:rPr>
                <w:rFonts w:cs="Arial"/>
              </w:rPr>
              <w:t xml:space="preserve">, промяна на режима на изхождане, </w:t>
            </w:r>
            <w:proofErr w:type="spellStart"/>
            <w:r w:rsidRPr="00E31EA3">
              <w:rPr>
                <w:rFonts w:cs="Arial"/>
              </w:rPr>
              <w:t>прокталгия</w:t>
            </w:r>
            <w:proofErr w:type="spellEnd"/>
            <w:r w:rsidRPr="00E31EA3">
              <w:rPr>
                <w:rFonts w:cs="Arial"/>
              </w:rPr>
              <w:t xml:space="preserve">, </w:t>
            </w:r>
            <w:proofErr w:type="spellStart"/>
            <w:r w:rsidRPr="00E31EA3">
              <w:rPr>
                <w:rFonts w:cs="Arial"/>
              </w:rPr>
              <w:t>абнормен</w:t>
            </w:r>
            <w:proofErr w:type="spellEnd"/>
            <w:r w:rsidRPr="00E31EA3">
              <w:rPr>
                <w:rFonts w:cs="Arial"/>
              </w:rPr>
              <w:t xml:space="preserve"> </w:t>
            </w:r>
            <w:proofErr w:type="spellStart"/>
            <w:r w:rsidRPr="00E31EA3">
              <w:rPr>
                <w:rFonts w:cs="Arial"/>
              </w:rPr>
              <w:t>фецес</w:t>
            </w:r>
            <w:proofErr w:type="spellEnd"/>
          </w:p>
        </w:tc>
      </w:tr>
      <w:tr w:rsidR="00E811D7" w14:paraId="3D45AD17" w14:textId="77777777" w:rsidTr="00613F14">
        <w:tc>
          <w:tcPr>
            <w:tcW w:w="3116" w:type="dxa"/>
            <w:vMerge w:val="restart"/>
          </w:tcPr>
          <w:p w14:paraId="406562AB" w14:textId="13689806" w:rsidR="00E811D7" w:rsidRPr="00E31EA3" w:rsidRDefault="00E811D7" w:rsidP="00E811D7">
            <w:pPr>
              <w:rPr>
                <w:rFonts w:cs="Arial"/>
              </w:rPr>
            </w:pPr>
            <w:proofErr w:type="spellStart"/>
            <w:r w:rsidRPr="00E31EA3">
              <w:rPr>
                <w:rFonts w:cs="Arial"/>
              </w:rPr>
              <w:t>Хепатобилиарни</w:t>
            </w:r>
            <w:proofErr w:type="spellEnd"/>
            <w:r w:rsidRPr="00E31EA3">
              <w:rPr>
                <w:rFonts w:cs="Arial"/>
              </w:rPr>
              <w:t xml:space="preserve"> нарушения</w:t>
            </w:r>
          </w:p>
        </w:tc>
        <w:tc>
          <w:tcPr>
            <w:tcW w:w="3117" w:type="dxa"/>
          </w:tcPr>
          <w:p w14:paraId="0C872040" w14:textId="5821624D" w:rsidR="00E811D7" w:rsidRPr="00E31EA3" w:rsidRDefault="00E811D7" w:rsidP="00E811D7">
            <w:pPr>
              <w:rPr>
                <w:rFonts w:cs="Arial"/>
              </w:rPr>
            </w:pPr>
            <w:r w:rsidRPr="00E31EA3">
              <w:rPr>
                <w:rFonts w:cs="Arial"/>
              </w:rPr>
              <w:t>Чести</w:t>
            </w:r>
          </w:p>
        </w:tc>
        <w:tc>
          <w:tcPr>
            <w:tcW w:w="3117" w:type="dxa"/>
          </w:tcPr>
          <w:p w14:paraId="36ED00D5" w14:textId="13C50169" w:rsidR="00E811D7" w:rsidRPr="00E31EA3" w:rsidRDefault="00E811D7" w:rsidP="00E811D7">
            <w:pPr>
              <w:rPr>
                <w:rFonts w:cs="Arial"/>
              </w:rPr>
            </w:pPr>
            <w:r w:rsidRPr="00E31EA3">
              <w:rPr>
                <w:rFonts w:cs="Arial"/>
              </w:rPr>
              <w:t>Отклонения в стойностите на чернодробните ензими*</w:t>
            </w:r>
          </w:p>
        </w:tc>
      </w:tr>
      <w:tr w:rsidR="00E811D7" w14:paraId="6554F4BF" w14:textId="77777777" w:rsidTr="00613F14">
        <w:tc>
          <w:tcPr>
            <w:tcW w:w="3116" w:type="dxa"/>
            <w:vMerge/>
          </w:tcPr>
          <w:p w14:paraId="350E30A9" w14:textId="77777777" w:rsidR="00E811D7" w:rsidRPr="00E31EA3" w:rsidRDefault="00E811D7" w:rsidP="00E811D7">
            <w:pPr>
              <w:rPr>
                <w:rFonts w:cs="Arial"/>
              </w:rPr>
            </w:pPr>
          </w:p>
        </w:tc>
        <w:tc>
          <w:tcPr>
            <w:tcW w:w="3117" w:type="dxa"/>
          </w:tcPr>
          <w:p w14:paraId="7C6D8D0C" w14:textId="07D3E008" w:rsidR="00E811D7" w:rsidRPr="00E31EA3" w:rsidRDefault="00E811D7" w:rsidP="00E811D7">
            <w:pPr>
              <w:rPr>
                <w:rFonts w:cs="Arial"/>
              </w:rPr>
            </w:pPr>
            <w:r w:rsidRPr="00E31EA3">
              <w:rPr>
                <w:rFonts w:cs="Arial"/>
              </w:rPr>
              <w:t>Нечести</w:t>
            </w:r>
          </w:p>
        </w:tc>
        <w:tc>
          <w:tcPr>
            <w:tcW w:w="3117" w:type="dxa"/>
          </w:tcPr>
          <w:p w14:paraId="11C8F468" w14:textId="66463FF0" w:rsidR="00E811D7" w:rsidRPr="00E31EA3" w:rsidRDefault="00E811D7" w:rsidP="00E811D7">
            <w:pPr>
              <w:rPr>
                <w:rFonts w:cs="Arial"/>
              </w:rPr>
            </w:pPr>
            <w:proofErr w:type="spellStart"/>
            <w:r w:rsidRPr="00E31EA3">
              <w:rPr>
                <w:rFonts w:cs="Arial"/>
              </w:rPr>
              <w:t>Хепатотоксичност</w:t>
            </w:r>
            <w:proofErr w:type="spellEnd"/>
            <w:r w:rsidRPr="00E31EA3">
              <w:rPr>
                <w:rFonts w:cs="Arial"/>
              </w:rPr>
              <w:t xml:space="preserve"> (вкл. чернодробно нарушение), хепатит*, </w:t>
            </w:r>
            <w:proofErr w:type="spellStart"/>
            <w:r w:rsidRPr="00E31EA3">
              <w:rPr>
                <w:rFonts w:cs="Arial"/>
              </w:rPr>
              <w:t>холестаза</w:t>
            </w:r>
            <w:proofErr w:type="spellEnd"/>
          </w:p>
        </w:tc>
      </w:tr>
      <w:tr w:rsidR="00E811D7" w14:paraId="1633B07C" w14:textId="77777777" w:rsidTr="00613F14">
        <w:tc>
          <w:tcPr>
            <w:tcW w:w="3116" w:type="dxa"/>
            <w:vMerge/>
          </w:tcPr>
          <w:p w14:paraId="073E41B8" w14:textId="77777777" w:rsidR="00E811D7" w:rsidRPr="00E31EA3" w:rsidRDefault="00E811D7" w:rsidP="00E811D7">
            <w:pPr>
              <w:rPr>
                <w:rFonts w:cs="Arial"/>
              </w:rPr>
            </w:pPr>
          </w:p>
        </w:tc>
        <w:tc>
          <w:tcPr>
            <w:tcW w:w="3117" w:type="dxa"/>
          </w:tcPr>
          <w:p w14:paraId="7A6BECC2" w14:textId="300FBA66" w:rsidR="00E811D7" w:rsidRPr="00E31EA3" w:rsidRDefault="00E811D7" w:rsidP="00E811D7">
            <w:pPr>
              <w:rPr>
                <w:rFonts w:cs="Arial"/>
              </w:rPr>
            </w:pPr>
            <w:r w:rsidRPr="00E31EA3">
              <w:rPr>
                <w:rFonts w:cs="Arial"/>
              </w:rPr>
              <w:t>Редки</w:t>
            </w:r>
          </w:p>
        </w:tc>
        <w:tc>
          <w:tcPr>
            <w:tcW w:w="3117" w:type="dxa"/>
          </w:tcPr>
          <w:p w14:paraId="1966C22B" w14:textId="666E9738" w:rsidR="00E811D7" w:rsidRPr="00E31EA3" w:rsidRDefault="00E811D7" w:rsidP="00E811D7">
            <w:pPr>
              <w:rPr>
                <w:rFonts w:cs="Arial"/>
              </w:rPr>
            </w:pPr>
            <w:r w:rsidRPr="00E31EA3">
              <w:rPr>
                <w:rFonts w:cs="Arial"/>
              </w:rPr>
              <w:t xml:space="preserve">Чернодробна недостатъчност, </w:t>
            </w:r>
            <w:proofErr w:type="spellStart"/>
            <w:r w:rsidRPr="00E31EA3">
              <w:rPr>
                <w:rFonts w:cs="Arial"/>
              </w:rPr>
              <w:t>хепатомегалия</w:t>
            </w:r>
            <w:proofErr w:type="spellEnd"/>
            <w:r w:rsidRPr="00E31EA3">
              <w:rPr>
                <w:rFonts w:cs="Arial"/>
              </w:rPr>
              <w:t xml:space="preserve">, синдром на </w:t>
            </w:r>
            <w:r w:rsidRPr="00E31EA3">
              <w:rPr>
                <w:rFonts w:cs="Arial"/>
                <w:lang w:val="en-US"/>
              </w:rPr>
              <w:t>Budd</w:t>
            </w:r>
            <w:r w:rsidRPr="00FD4C98">
              <w:rPr>
                <w:rFonts w:cs="Arial"/>
                <w:lang w:val="ru-RU"/>
              </w:rPr>
              <w:t>-</w:t>
            </w:r>
            <w:r w:rsidRPr="00E31EA3">
              <w:rPr>
                <w:rFonts w:cs="Arial"/>
                <w:lang w:val="en-US"/>
              </w:rPr>
              <w:t>Chiari</w:t>
            </w:r>
            <w:r w:rsidRPr="00FD4C98">
              <w:rPr>
                <w:rFonts w:cs="Arial"/>
                <w:lang w:val="ru-RU"/>
              </w:rPr>
              <w:t xml:space="preserve">, </w:t>
            </w:r>
            <w:proofErr w:type="spellStart"/>
            <w:r w:rsidRPr="00E31EA3">
              <w:rPr>
                <w:rFonts w:cs="Arial"/>
              </w:rPr>
              <w:t>цитомегаловирусен</w:t>
            </w:r>
            <w:proofErr w:type="spellEnd"/>
            <w:r w:rsidRPr="00E31EA3">
              <w:rPr>
                <w:rFonts w:cs="Arial"/>
              </w:rPr>
              <w:t xml:space="preserve"> хепатит, чернодробна хеморагия, </w:t>
            </w:r>
            <w:proofErr w:type="spellStart"/>
            <w:r w:rsidRPr="00E31EA3">
              <w:rPr>
                <w:rFonts w:cs="Arial"/>
              </w:rPr>
              <w:t>холелитиаза</w:t>
            </w:r>
            <w:proofErr w:type="spellEnd"/>
          </w:p>
        </w:tc>
      </w:tr>
      <w:tr w:rsidR="00E811D7" w14:paraId="4EDF6EB7" w14:textId="77777777" w:rsidTr="00613F14">
        <w:tc>
          <w:tcPr>
            <w:tcW w:w="3116" w:type="dxa"/>
            <w:vMerge w:val="restart"/>
          </w:tcPr>
          <w:p w14:paraId="580635C0" w14:textId="2E9CE97C" w:rsidR="00E811D7" w:rsidRPr="00E31EA3" w:rsidRDefault="00E811D7" w:rsidP="00E811D7">
            <w:pPr>
              <w:rPr>
                <w:rFonts w:cs="Arial"/>
              </w:rPr>
            </w:pPr>
            <w:r w:rsidRPr="00E31EA3">
              <w:rPr>
                <w:rFonts w:cs="Arial"/>
              </w:rPr>
              <w:t>Нарушения на кожата и подкожната тъкан</w:t>
            </w:r>
          </w:p>
        </w:tc>
        <w:tc>
          <w:tcPr>
            <w:tcW w:w="3117" w:type="dxa"/>
          </w:tcPr>
          <w:p w14:paraId="0148E324" w14:textId="3BAC3A14" w:rsidR="00E811D7" w:rsidRPr="00E31EA3" w:rsidRDefault="00E811D7" w:rsidP="00E811D7">
            <w:pPr>
              <w:rPr>
                <w:rFonts w:cs="Arial"/>
              </w:rPr>
            </w:pPr>
            <w:r w:rsidRPr="00E31EA3">
              <w:rPr>
                <w:rFonts w:cs="Arial"/>
              </w:rPr>
              <w:t>Чести</w:t>
            </w:r>
          </w:p>
        </w:tc>
        <w:tc>
          <w:tcPr>
            <w:tcW w:w="3117" w:type="dxa"/>
          </w:tcPr>
          <w:p w14:paraId="643E8E21" w14:textId="593CD8F9" w:rsidR="00E811D7" w:rsidRPr="00E31EA3" w:rsidRDefault="00E811D7" w:rsidP="00E811D7">
            <w:pPr>
              <w:rPr>
                <w:rFonts w:cs="Arial"/>
              </w:rPr>
            </w:pPr>
            <w:r w:rsidRPr="00E31EA3">
              <w:rPr>
                <w:rFonts w:cs="Arial"/>
              </w:rPr>
              <w:t>Обрив*, сърбеж*, еритема, суха кожа</w:t>
            </w:r>
          </w:p>
        </w:tc>
      </w:tr>
      <w:tr w:rsidR="00E811D7" w14:paraId="5641DB02" w14:textId="77777777" w:rsidTr="00613F14">
        <w:tc>
          <w:tcPr>
            <w:tcW w:w="3116" w:type="dxa"/>
            <w:vMerge/>
          </w:tcPr>
          <w:p w14:paraId="6CA748E8" w14:textId="77777777" w:rsidR="00E811D7" w:rsidRPr="00E31EA3" w:rsidRDefault="00E811D7" w:rsidP="00E811D7">
            <w:pPr>
              <w:rPr>
                <w:rFonts w:cs="Arial"/>
              </w:rPr>
            </w:pPr>
          </w:p>
        </w:tc>
        <w:tc>
          <w:tcPr>
            <w:tcW w:w="3117" w:type="dxa"/>
          </w:tcPr>
          <w:p w14:paraId="68A4D1BB" w14:textId="0E5C9BC8" w:rsidR="00E811D7" w:rsidRPr="00E31EA3" w:rsidRDefault="00E811D7" w:rsidP="00E811D7">
            <w:pPr>
              <w:rPr>
                <w:rFonts w:cs="Arial"/>
              </w:rPr>
            </w:pPr>
            <w:r w:rsidRPr="00E31EA3">
              <w:rPr>
                <w:rFonts w:cs="Arial"/>
              </w:rPr>
              <w:t>Нечести</w:t>
            </w:r>
          </w:p>
        </w:tc>
        <w:tc>
          <w:tcPr>
            <w:tcW w:w="3117" w:type="dxa"/>
          </w:tcPr>
          <w:p w14:paraId="160EF10A" w14:textId="11D0FA89" w:rsidR="00E811D7" w:rsidRPr="00E31EA3" w:rsidRDefault="00E811D7" w:rsidP="00E811D7">
            <w:pPr>
              <w:rPr>
                <w:rFonts w:cs="Arial"/>
              </w:rPr>
            </w:pPr>
            <w:r w:rsidRPr="00E31EA3">
              <w:rPr>
                <w:rFonts w:cs="Arial"/>
              </w:rPr>
              <w:t xml:space="preserve">Еритема </w:t>
            </w:r>
            <w:proofErr w:type="spellStart"/>
            <w:r w:rsidRPr="00E31EA3">
              <w:rPr>
                <w:rFonts w:cs="Arial"/>
              </w:rPr>
              <w:t>мултиформе</w:t>
            </w:r>
            <w:proofErr w:type="spellEnd"/>
            <w:r w:rsidRPr="00E31EA3">
              <w:rPr>
                <w:rFonts w:cs="Arial"/>
              </w:rPr>
              <w:t xml:space="preserve">, уртикария, остра </w:t>
            </w:r>
            <w:proofErr w:type="spellStart"/>
            <w:r w:rsidRPr="00E31EA3">
              <w:rPr>
                <w:rFonts w:cs="Arial"/>
              </w:rPr>
              <w:t>фебрилна</w:t>
            </w:r>
            <w:proofErr w:type="spellEnd"/>
            <w:r w:rsidRPr="00E31EA3">
              <w:rPr>
                <w:rFonts w:cs="Arial"/>
              </w:rPr>
              <w:t xml:space="preserve"> </w:t>
            </w:r>
            <w:proofErr w:type="spellStart"/>
            <w:r w:rsidRPr="00E31EA3">
              <w:rPr>
                <w:rFonts w:cs="Arial"/>
              </w:rPr>
              <w:t>неутрофилна</w:t>
            </w:r>
            <w:proofErr w:type="spellEnd"/>
            <w:r w:rsidRPr="00E31EA3">
              <w:rPr>
                <w:rFonts w:cs="Arial"/>
              </w:rPr>
              <w:t xml:space="preserve"> </w:t>
            </w:r>
            <w:proofErr w:type="spellStart"/>
            <w:r w:rsidRPr="00E31EA3">
              <w:rPr>
                <w:rFonts w:cs="Arial"/>
              </w:rPr>
              <w:t>дерматоза</w:t>
            </w:r>
            <w:proofErr w:type="spellEnd"/>
            <w:r w:rsidRPr="00E31EA3">
              <w:rPr>
                <w:rFonts w:cs="Arial"/>
              </w:rPr>
              <w:t xml:space="preserve">, токсичен кожен обрив, токсична епидермална </w:t>
            </w:r>
            <w:proofErr w:type="spellStart"/>
            <w:r w:rsidRPr="00E31EA3">
              <w:rPr>
                <w:rFonts w:cs="Arial"/>
              </w:rPr>
              <w:t>некролиза</w:t>
            </w:r>
            <w:proofErr w:type="spellEnd"/>
            <w:r w:rsidRPr="00E31EA3">
              <w:rPr>
                <w:rFonts w:cs="Arial"/>
              </w:rPr>
              <w:t xml:space="preserve">*, синдром на </w:t>
            </w:r>
            <w:r w:rsidRPr="00E31EA3">
              <w:rPr>
                <w:rFonts w:cs="Arial"/>
                <w:lang w:val="en-US"/>
              </w:rPr>
              <w:t>Stevens</w:t>
            </w:r>
            <w:r w:rsidRPr="00FD4C98">
              <w:rPr>
                <w:rFonts w:cs="Arial"/>
              </w:rPr>
              <w:t>-</w:t>
            </w:r>
            <w:r w:rsidRPr="00E31EA3">
              <w:rPr>
                <w:rFonts w:cs="Arial"/>
                <w:lang w:val="en-US"/>
              </w:rPr>
              <w:t>Johnson</w:t>
            </w:r>
            <w:r w:rsidRPr="00FD4C98">
              <w:rPr>
                <w:rFonts w:cs="Arial"/>
              </w:rPr>
              <w:t xml:space="preserve">#, </w:t>
            </w:r>
            <w:r w:rsidRPr="00E31EA3">
              <w:rPr>
                <w:rFonts w:cs="Arial"/>
              </w:rPr>
              <w:t xml:space="preserve">дерматит*, нарушения на косата*, </w:t>
            </w:r>
            <w:proofErr w:type="spellStart"/>
            <w:r w:rsidRPr="00E31EA3">
              <w:rPr>
                <w:rFonts w:cs="Arial"/>
              </w:rPr>
              <w:t>петехии</w:t>
            </w:r>
            <w:proofErr w:type="spellEnd"/>
            <w:r w:rsidRPr="00E31EA3">
              <w:rPr>
                <w:rFonts w:cs="Arial"/>
              </w:rPr>
              <w:t xml:space="preserve">, </w:t>
            </w:r>
            <w:proofErr w:type="spellStart"/>
            <w:r w:rsidRPr="00E31EA3">
              <w:rPr>
                <w:rFonts w:cs="Arial"/>
              </w:rPr>
              <w:t>екхимози</w:t>
            </w:r>
            <w:proofErr w:type="spellEnd"/>
            <w:r w:rsidRPr="00E31EA3">
              <w:rPr>
                <w:rFonts w:cs="Arial"/>
              </w:rPr>
              <w:t xml:space="preserve">, кожни лезии, пурпура, кожни бучки, псориазис, </w:t>
            </w:r>
            <w:proofErr w:type="spellStart"/>
            <w:r w:rsidRPr="00E31EA3">
              <w:rPr>
                <w:rFonts w:cs="Arial"/>
              </w:rPr>
              <w:t>хиперхидроза</w:t>
            </w:r>
            <w:proofErr w:type="spellEnd"/>
            <w:r w:rsidRPr="00E31EA3">
              <w:rPr>
                <w:rFonts w:cs="Arial"/>
              </w:rPr>
              <w:t xml:space="preserve">, нощни изпотявания, </w:t>
            </w:r>
            <w:proofErr w:type="spellStart"/>
            <w:r w:rsidRPr="00E31EA3">
              <w:rPr>
                <w:rFonts w:cs="Arial"/>
              </w:rPr>
              <w:t>декубитапна</w:t>
            </w:r>
            <w:proofErr w:type="spellEnd"/>
            <w:r w:rsidRPr="00E31EA3">
              <w:rPr>
                <w:rFonts w:cs="Arial"/>
              </w:rPr>
              <w:t xml:space="preserve"> язва#, акне*, мехури, нарушения на пигментацията*</w:t>
            </w:r>
          </w:p>
        </w:tc>
      </w:tr>
      <w:tr w:rsidR="00E811D7" w14:paraId="7D5B6F06" w14:textId="77777777" w:rsidTr="00AC443D">
        <w:trPr>
          <w:trHeight w:val="2954"/>
        </w:trPr>
        <w:tc>
          <w:tcPr>
            <w:tcW w:w="3116" w:type="dxa"/>
            <w:vMerge/>
          </w:tcPr>
          <w:p w14:paraId="377BB56B" w14:textId="77777777" w:rsidR="00E811D7" w:rsidRPr="00E31EA3" w:rsidRDefault="00E811D7" w:rsidP="00E811D7">
            <w:pPr>
              <w:rPr>
                <w:rFonts w:cs="Arial"/>
              </w:rPr>
            </w:pPr>
          </w:p>
        </w:tc>
        <w:tc>
          <w:tcPr>
            <w:tcW w:w="3117" w:type="dxa"/>
          </w:tcPr>
          <w:p w14:paraId="1FEB8D9C" w14:textId="19281A10" w:rsidR="00E811D7" w:rsidRPr="00E31EA3" w:rsidRDefault="00E811D7" w:rsidP="00E811D7">
            <w:pPr>
              <w:rPr>
                <w:rFonts w:cs="Arial"/>
              </w:rPr>
            </w:pPr>
            <w:r w:rsidRPr="00E31EA3">
              <w:rPr>
                <w:rFonts w:cs="Arial"/>
              </w:rPr>
              <w:t>Редки</w:t>
            </w:r>
          </w:p>
        </w:tc>
        <w:tc>
          <w:tcPr>
            <w:tcW w:w="3117" w:type="dxa"/>
          </w:tcPr>
          <w:p w14:paraId="7E159B30" w14:textId="6A801898" w:rsidR="00E811D7" w:rsidRPr="00E31EA3" w:rsidRDefault="00E811D7" w:rsidP="00E811D7">
            <w:pPr>
              <w:rPr>
                <w:rFonts w:cs="Arial"/>
              </w:rPr>
            </w:pPr>
            <w:r w:rsidRPr="00E31EA3">
              <w:rPr>
                <w:rFonts w:cs="Arial"/>
              </w:rPr>
              <w:t xml:space="preserve">Кожна реакция, лимфоцитен инфилтрат </w:t>
            </w:r>
            <w:r w:rsidRPr="00E31EA3">
              <w:rPr>
                <w:rFonts w:cs="Arial"/>
                <w:lang w:val="en-US"/>
              </w:rPr>
              <w:t>Jessmer</w:t>
            </w:r>
            <w:r w:rsidRPr="00FD4C98">
              <w:rPr>
                <w:rFonts w:cs="Arial"/>
                <w:lang w:val="ru-RU"/>
              </w:rPr>
              <w:t xml:space="preserve">, </w:t>
            </w:r>
            <w:r w:rsidRPr="00E31EA3">
              <w:rPr>
                <w:rFonts w:cs="Arial"/>
              </w:rPr>
              <w:t xml:space="preserve">синдром на </w:t>
            </w:r>
            <w:proofErr w:type="spellStart"/>
            <w:r w:rsidRPr="00E31EA3">
              <w:rPr>
                <w:rFonts w:cs="Arial"/>
              </w:rPr>
              <w:t>палмарно-плантарна</w:t>
            </w:r>
            <w:proofErr w:type="spellEnd"/>
            <w:r w:rsidRPr="00E31EA3">
              <w:rPr>
                <w:rFonts w:cs="Arial"/>
              </w:rPr>
              <w:t xml:space="preserve"> </w:t>
            </w:r>
            <w:proofErr w:type="spellStart"/>
            <w:r w:rsidRPr="00E31EA3">
              <w:rPr>
                <w:rFonts w:cs="Arial"/>
              </w:rPr>
              <w:t>еритродизестезия</w:t>
            </w:r>
            <w:proofErr w:type="spellEnd"/>
            <w:r w:rsidRPr="00E31EA3">
              <w:rPr>
                <w:rFonts w:cs="Arial"/>
              </w:rPr>
              <w:t xml:space="preserve">, подкожни хеморагии, </w:t>
            </w:r>
            <w:proofErr w:type="spellStart"/>
            <w:r w:rsidRPr="00E31EA3">
              <w:rPr>
                <w:rFonts w:cs="Arial"/>
              </w:rPr>
              <w:t>ливедо</w:t>
            </w:r>
            <w:proofErr w:type="spellEnd"/>
            <w:r w:rsidRPr="00E31EA3">
              <w:rPr>
                <w:rFonts w:cs="Arial"/>
              </w:rPr>
              <w:t xml:space="preserve"> </w:t>
            </w:r>
            <w:proofErr w:type="spellStart"/>
            <w:r w:rsidRPr="00E31EA3">
              <w:rPr>
                <w:rFonts w:cs="Arial"/>
              </w:rPr>
              <w:t>ретикуларис</w:t>
            </w:r>
            <w:proofErr w:type="spellEnd"/>
            <w:r w:rsidRPr="00E31EA3">
              <w:rPr>
                <w:rFonts w:cs="Arial"/>
              </w:rPr>
              <w:t xml:space="preserve">, втърдяване на кожата, </w:t>
            </w:r>
            <w:proofErr w:type="spellStart"/>
            <w:r w:rsidRPr="00E31EA3">
              <w:rPr>
                <w:rFonts w:cs="Arial"/>
              </w:rPr>
              <w:t>папули</w:t>
            </w:r>
            <w:proofErr w:type="spellEnd"/>
            <w:r w:rsidRPr="00E31EA3">
              <w:rPr>
                <w:rFonts w:cs="Arial"/>
              </w:rPr>
              <w:t>, фоточувствителна реакция, себорея, студена пот,</w:t>
            </w:r>
          </w:p>
          <w:p w14:paraId="2AA454F1" w14:textId="1DEF7A46" w:rsidR="00E811D7" w:rsidRPr="00E31EA3" w:rsidRDefault="00E811D7" w:rsidP="00E811D7">
            <w:pPr>
              <w:rPr>
                <w:rFonts w:cs="Arial"/>
              </w:rPr>
            </w:pPr>
            <w:r w:rsidRPr="00E31EA3">
              <w:rPr>
                <w:rFonts w:cs="Arial"/>
              </w:rPr>
              <w:t xml:space="preserve">кожни нарушения </w:t>
            </w:r>
            <w:r w:rsidRPr="00E31EA3">
              <w:rPr>
                <w:rFonts w:cs="Arial"/>
                <w:lang w:val="en-US"/>
              </w:rPr>
              <w:t>NOS</w:t>
            </w:r>
            <w:r w:rsidRPr="00FD4C98">
              <w:rPr>
                <w:rFonts w:cs="Arial"/>
                <w:lang w:val="ru-RU"/>
              </w:rPr>
              <w:t xml:space="preserve">, </w:t>
            </w:r>
            <w:proofErr w:type="spellStart"/>
            <w:r w:rsidRPr="00E31EA3">
              <w:rPr>
                <w:rFonts w:cs="Arial"/>
              </w:rPr>
              <w:t>еритроза</w:t>
            </w:r>
            <w:proofErr w:type="spellEnd"/>
            <w:r w:rsidRPr="00E31EA3">
              <w:rPr>
                <w:rFonts w:cs="Arial"/>
              </w:rPr>
              <w:t>, кожни язви, нарушения на ноктите</w:t>
            </w:r>
          </w:p>
        </w:tc>
      </w:tr>
      <w:tr w:rsidR="00E811D7" w14:paraId="1A35359D" w14:textId="77777777" w:rsidTr="00613F14">
        <w:tc>
          <w:tcPr>
            <w:tcW w:w="3116" w:type="dxa"/>
            <w:vMerge w:val="restart"/>
          </w:tcPr>
          <w:p w14:paraId="3505D139" w14:textId="4BC91C38" w:rsidR="00E811D7" w:rsidRPr="00E31EA3" w:rsidRDefault="00E811D7" w:rsidP="00E811D7">
            <w:pPr>
              <w:rPr>
                <w:rFonts w:cs="Arial"/>
              </w:rPr>
            </w:pPr>
            <w:r w:rsidRPr="00E31EA3">
              <w:rPr>
                <w:rFonts w:cs="Arial"/>
              </w:rPr>
              <w:t>Нарушения на мускулно- скелетната система и съединителната тъкан</w:t>
            </w:r>
          </w:p>
        </w:tc>
        <w:tc>
          <w:tcPr>
            <w:tcW w:w="3117" w:type="dxa"/>
          </w:tcPr>
          <w:p w14:paraId="3B38530C" w14:textId="0C01E5D9" w:rsidR="00E811D7" w:rsidRPr="00E31EA3" w:rsidRDefault="00E811D7" w:rsidP="00E811D7">
            <w:pPr>
              <w:rPr>
                <w:rFonts w:cs="Arial"/>
              </w:rPr>
            </w:pPr>
            <w:r w:rsidRPr="00E31EA3">
              <w:rPr>
                <w:rFonts w:cs="Arial"/>
              </w:rPr>
              <w:t>Много чести</w:t>
            </w:r>
          </w:p>
        </w:tc>
        <w:tc>
          <w:tcPr>
            <w:tcW w:w="3117" w:type="dxa"/>
          </w:tcPr>
          <w:p w14:paraId="7AD6B6F1" w14:textId="3FDB5E85" w:rsidR="00E811D7" w:rsidRPr="00E31EA3" w:rsidRDefault="00E811D7" w:rsidP="00E811D7">
            <w:pPr>
              <w:rPr>
                <w:rFonts w:cs="Arial"/>
              </w:rPr>
            </w:pPr>
            <w:r w:rsidRPr="00E31EA3">
              <w:rPr>
                <w:rFonts w:cs="Arial"/>
              </w:rPr>
              <w:t>Мускулно-скелетна болка*</w:t>
            </w:r>
          </w:p>
        </w:tc>
      </w:tr>
      <w:tr w:rsidR="00E811D7" w14:paraId="453C1236" w14:textId="77777777" w:rsidTr="00613F14">
        <w:tc>
          <w:tcPr>
            <w:tcW w:w="3116" w:type="dxa"/>
            <w:vMerge/>
          </w:tcPr>
          <w:p w14:paraId="06567778" w14:textId="77777777" w:rsidR="00E811D7" w:rsidRPr="00E31EA3" w:rsidRDefault="00E811D7" w:rsidP="00E811D7">
            <w:pPr>
              <w:rPr>
                <w:rFonts w:cs="Arial"/>
              </w:rPr>
            </w:pPr>
          </w:p>
        </w:tc>
        <w:tc>
          <w:tcPr>
            <w:tcW w:w="3117" w:type="dxa"/>
          </w:tcPr>
          <w:p w14:paraId="3E31E93F" w14:textId="5DC5DFFE" w:rsidR="00E811D7" w:rsidRPr="00E31EA3" w:rsidRDefault="00E811D7" w:rsidP="00E811D7">
            <w:pPr>
              <w:rPr>
                <w:rFonts w:cs="Arial"/>
              </w:rPr>
            </w:pPr>
            <w:r w:rsidRPr="00E31EA3">
              <w:rPr>
                <w:rFonts w:cs="Arial"/>
              </w:rPr>
              <w:t>Чести</w:t>
            </w:r>
          </w:p>
        </w:tc>
        <w:tc>
          <w:tcPr>
            <w:tcW w:w="3117" w:type="dxa"/>
          </w:tcPr>
          <w:p w14:paraId="1BCDE7A3" w14:textId="0B2EFEA6" w:rsidR="00E811D7" w:rsidRPr="00E31EA3" w:rsidRDefault="00E811D7" w:rsidP="00E811D7">
            <w:pPr>
              <w:rPr>
                <w:rFonts w:cs="Arial"/>
              </w:rPr>
            </w:pPr>
            <w:r w:rsidRPr="00E31EA3">
              <w:rPr>
                <w:rFonts w:cs="Arial"/>
              </w:rPr>
              <w:t>Мускулни спазми*, болка в крайниците, мускулна слабост</w:t>
            </w:r>
          </w:p>
        </w:tc>
      </w:tr>
      <w:tr w:rsidR="00E811D7" w14:paraId="7657424D" w14:textId="77777777" w:rsidTr="00613F14">
        <w:tc>
          <w:tcPr>
            <w:tcW w:w="3116" w:type="dxa"/>
            <w:vMerge/>
          </w:tcPr>
          <w:p w14:paraId="2C936BB9" w14:textId="77777777" w:rsidR="00E811D7" w:rsidRPr="00E31EA3" w:rsidRDefault="00E811D7" w:rsidP="00E811D7">
            <w:pPr>
              <w:rPr>
                <w:rFonts w:cs="Arial"/>
              </w:rPr>
            </w:pPr>
          </w:p>
        </w:tc>
        <w:tc>
          <w:tcPr>
            <w:tcW w:w="3117" w:type="dxa"/>
          </w:tcPr>
          <w:p w14:paraId="2E986456" w14:textId="24EBE4F2" w:rsidR="00E811D7" w:rsidRPr="00E31EA3" w:rsidRDefault="00E811D7" w:rsidP="00E811D7">
            <w:pPr>
              <w:rPr>
                <w:rFonts w:cs="Arial"/>
              </w:rPr>
            </w:pPr>
            <w:r w:rsidRPr="00E31EA3">
              <w:rPr>
                <w:rFonts w:cs="Arial"/>
              </w:rPr>
              <w:t>Нечести</w:t>
            </w:r>
          </w:p>
        </w:tc>
        <w:tc>
          <w:tcPr>
            <w:tcW w:w="3117" w:type="dxa"/>
          </w:tcPr>
          <w:p w14:paraId="274DFFB3" w14:textId="08BAEC10" w:rsidR="00E811D7" w:rsidRPr="00E31EA3" w:rsidRDefault="00E811D7" w:rsidP="00E811D7">
            <w:pPr>
              <w:rPr>
                <w:rFonts w:cs="Arial"/>
              </w:rPr>
            </w:pPr>
            <w:r w:rsidRPr="00E31EA3">
              <w:rPr>
                <w:rFonts w:cs="Arial"/>
              </w:rPr>
              <w:t xml:space="preserve">Мускулни потрепвания, подуване на ставите, артрит*, скованост на ставите, </w:t>
            </w:r>
            <w:proofErr w:type="spellStart"/>
            <w:r w:rsidRPr="00E31EA3">
              <w:rPr>
                <w:rFonts w:cs="Arial"/>
              </w:rPr>
              <w:t>миопатии</w:t>
            </w:r>
            <w:proofErr w:type="spellEnd"/>
            <w:r w:rsidRPr="00E31EA3">
              <w:rPr>
                <w:rFonts w:cs="Arial"/>
              </w:rPr>
              <w:t>*, усещане за тежест</w:t>
            </w:r>
          </w:p>
        </w:tc>
      </w:tr>
      <w:tr w:rsidR="00E811D7" w14:paraId="580CF90B" w14:textId="77777777" w:rsidTr="00613F14">
        <w:tc>
          <w:tcPr>
            <w:tcW w:w="3116" w:type="dxa"/>
            <w:vMerge/>
          </w:tcPr>
          <w:p w14:paraId="0C9780BB" w14:textId="77777777" w:rsidR="00E811D7" w:rsidRPr="00E31EA3" w:rsidRDefault="00E811D7" w:rsidP="00E811D7">
            <w:pPr>
              <w:rPr>
                <w:rFonts w:cs="Arial"/>
              </w:rPr>
            </w:pPr>
          </w:p>
        </w:tc>
        <w:tc>
          <w:tcPr>
            <w:tcW w:w="3117" w:type="dxa"/>
          </w:tcPr>
          <w:p w14:paraId="2B324A0C" w14:textId="05FED49E" w:rsidR="00E811D7" w:rsidRPr="00E31EA3" w:rsidRDefault="00E811D7" w:rsidP="00E811D7">
            <w:pPr>
              <w:rPr>
                <w:rFonts w:cs="Arial"/>
              </w:rPr>
            </w:pPr>
            <w:r w:rsidRPr="00E31EA3">
              <w:rPr>
                <w:rFonts w:cs="Arial"/>
              </w:rPr>
              <w:t>Редки</w:t>
            </w:r>
          </w:p>
        </w:tc>
        <w:tc>
          <w:tcPr>
            <w:tcW w:w="3117" w:type="dxa"/>
          </w:tcPr>
          <w:p w14:paraId="434F661B" w14:textId="1C2F6AB9" w:rsidR="00E811D7" w:rsidRPr="00E31EA3" w:rsidRDefault="00E811D7" w:rsidP="00E811D7">
            <w:pPr>
              <w:rPr>
                <w:rFonts w:cs="Arial"/>
              </w:rPr>
            </w:pPr>
            <w:proofErr w:type="spellStart"/>
            <w:r w:rsidRPr="00E31EA3">
              <w:rPr>
                <w:rFonts w:cs="Arial"/>
              </w:rPr>
              <w:t>Рабдомиолиза</w:t>
            </w:r>
            <w:proofErr w:type="spellEnd"/>
            <w:r w:rsidRPr="00E31EA3">
              <w:rPr>
                <w:rFonts w:cs="Arial"/>
              </w:rPr>
              <w:t xml:space="preserve">, синдром на </w:t>
            </w:r>
            <w:proofErr w:type="spellStart"/>
            <w:r w:rsidRPr="00E31EA3">
              <w:rPr>
                <w:rFonts w:cs="Arial"/>
              </w:rPr>
              <w:t>темпоромандибупарната</w:t>
            </w:r>
            <w:proofErr w:type="spellEnd"/>
            <w:r w:rsidRPr="00E31EA3">
              <w:rPr>
                <w:rFonts w:cs="Arial"/>
              </w:rPr>
              <w:t xml:space="preserve"> става, фистула, ставен излив, болка в челюстта, костни нарушения, инфекции </w:t>
            </w:r>
            <w:r w:rsidRPr="00E31EA3">
              <w:rPr>
                <w:rFonts w:cs="Arial"/>
                <w:i/>
                <w:iCs/>
              </w:rPr>
              <w:t>и</w:t>
            </w:r>
            <w:r w:rsidRPr="00E31EA3">
              <w:rPr>
                <w:rFonts w:cs="Arial"/>
              </w:rPr>
              <w:t xml:space="preserve"> възпаления на мускулно-скелетната </w:t>
            </w:r>
            <w:r w:rsidRPr="00E31EA3">
              <w:rPr>
                <w:rFonts w:cs="Arial"/>
              </w:rPr>
              <w:lastRenderedPageBreak/>
              <w:t xml:space="preserve">система и съединителната тъкан, </w:t>
            </w:r>
            <w:proofErr w:type="spellStart"/>
            <w:r w:rsidRPr="00E31EA3">
              <w:rPr>
                <w:rFonts w:cs="Arial"/>
              </w:rPr>
              <w:t>синовиална</w:t>
            </w:r>
            <w:proofErr w:type="spellEnd"/>
            <w:r w:rsidRPr="00E31EA3">
              <w:rPr>
                <w:rFonts w:cs="Arial"/>
              </w:rPr>
              <w:t xml:space="preserve"> киста</w:t>
            </w:r>
          </w:p>
        </w:tc>
      </w:tr>
      <w:tr w:rsidR="00E811D7" w14:paraId="6DEB95C9" w14:textId="77777777" w:rsidTr="00613F14">
        <w:tc>
          <w:tcPr>
            <w:tcW w:w="3116" w:type="dxa"/>
            <w:vMerge w:val="restart"/>
          </w:tcPr>
          <w:p w14:paraId="04BAEFAB" w14:textId="7D4C5DBE" w:rsidR="00E811D7" w:rsidRPr="00E31EA3" w:rsidRDefault="00E811D7" w:rsidP="00E811D7">
            <w:pPr>
              <w:rPr>
                <w:rFonts w:cs="Arial"/>
              </w:rPr>
            </w:pPr>
            <w:r w:rsidRPr="00E31EA3">
              <w:rPr>
                <w:rFonts w:cs="Arial"/>
              </w:rPr>
              <w:lastRenderedPageBreak/>
              <w:t>Нарушения на бъбреците и пикочните пътища</w:t>
            </w:r>
          </w:p>
        </w:tc>
        <w:tc>
          <w:tcPr>
            <w:tcW w:w="3117" w:type="dxa"/>
          </w:tcPr>
          <w:p w14:paraId="12893057" w14:textId="621DECF5" w:rsidR="00E811D7" w:rsidRPr="00E31EA3" w:rsidRDefault="00E811D7" w:rsidP="00E811D7">
            <w:pPr>
              <w:rPr>
                <w:rFonts w:cs="Arial"/>
              </w:rPr>
            </w:pPr>
            <w:r w:rsidRPr="00E31EA3">
              <w:rPr>
                <w:rFonts w:cs="Arial"/>
              </w:rPr>
              <w:t>Чести</w:t>
            </w:r>
          </w:p>
        </w:tc>
        <w:tc>
          <w:tcPr>
            <w:tcW w:w="3117" w:type="dxa"/>
          </w:tcPr>
          <w:p w14:paraId="34103C71" w14:textId="31186439" w:rsidR="00E811D7" w:rsidRPr="00E31EA3" w:rsidRDefault="00E811D7" w:rsidP="00E811D7">
            <w:pPr>
              <w:rPr>
                <w:rFonts w:cs="Arial"/>
              </w:rPr>
            </w:pPr>
            <w:r w:rsidRPr="00E31EA3">
              <w:rPr>
                <w:rFonts w:cs="Arial"/>
              </w:rPr>
              <w:t>Бъбречно увреждане*</w:t>
            </w:r>
          </w:p>
        </w:tc>
      </w:tr>
      <w:tr w:rsidR="00E811D7" w14:paraId="41279C0D" w14:textId="77777777" w:rsidTr="00613F14">
        <w:tc>
          <w:tcPr>
            <w:tcW w:w="3116" w:type="dxa"/>
            <w:vMerge/>
          </w:tcPr>
          <w:p w14:paraId="01DE3EF4" w14:textId="77777777" w:rsidR="00E811D7" w:rsidRPr="00E31EA3" w:rsidRDefault="00E811D7" w:rsidP="00E811D7">
            <w:pPr>
              <w:rPr>
                <w:rFonts w:cs="Arial"/>
              </w:rPr>
            </w:pPr>
          </w:p>
        </w:tc>
        <w:tc>
          <w:tcPr>
            <w:tcW w:w="3117" w:type="dxa"/>
          </w:tcPr>
          <w:p w14:paraId="4621BEBA" w14:textId="0FC9A3CB" w:rsidR="00E811D7" w:rsidRPr="00E31EA3" w:rsidRDefault="00E811D7" w:rsidP="00E811D7">
            <w:pPr>
              <w:rPr>
                <w:rFonts w:cs="Arial"/>
              </w:rPr>
            </w:pPr>
            <w:r w:rsidRPr="00E31EA3">
              <w:rPr>
                <w:rFonts w:cs="Arial"/>
              </w:rPr>
              <w:t>Нечести</w:t>
            </w:r>
          </w:p>
        </w:tc>
        <w:tc>
          <w:tcPr>
            <w:tcW w:w="3117" w:type="dxa"/>
          </w:tcPr>
          <w:p w14:paraId="179EC63C" w14:textId="459D685B" w:rsidR="00E811D7" w:rsidRPr="00E31EA3" w:rsidRDefault="00E811D7" w:rsidP="00E811D7">
            <w:pPr>
              <w:rPr>
                <w:rFonts w:cs="Arial"/>
              </w:rPr>
            </w:pPr>
            <w:r w:rsidRPr="00E31EA3">
              <w:rPr>
                <w:rFonts w:cs="Arial"/>
              </w:rPr>
              <w:t xml:space="preserve">Остра бъбречна недостатъчност, хронична бъбречна недостатъчност*, инфекция на пикочните пътища*, признаци и симптоми, свързани с пикочните пътища*, </w:t>
            </w:r>
            <w:proofErr w:type="spellStart"/>
            <w:r w:rsidRPr="00E31EA3">
              <w:rPr>
                <w:rFonts w:cs="Arial"/>
              </w:rPr>
              <w:t>хематурия</w:t>
            </w:r>
            <w:proofErr w:type="spellEnd"/>
            <w:r w:rsidRPr="00E31EA3">
              <w:rPr>
                <w:rFonts w:cs="Arial"/>
              </w:rPr>
              <w:t xml:space="preserve">*, </w:t>
            </w:r>
            <w:proofErr w:type="spellStart"/>
            <w:r w:rsidRPr="00E31EA3">
              <w:rPr>
                <w:rFonts w:cs="Arial"/>
              </w:rPr>
              <w:t>ретенция</w:t>
            </w:r>
            <w:proofErr w:type="spellEnd"/>
            <w:r w:rsidRPr="00E31EA3">
              <w:rPr>
                <w:rFonts w:cs="Arial"/>
              </w:rPr>
              <w:t xml:space="preserve"> на урина, </w:t>
            </w:r>
            <w:proofErr w:type="spellStart"/>
            <w:r w:rsidRPr="00E31EA3">
              <w:rPr>
                <w:rFonts w:cs="Arial"/>
              </w:rPr>
              <w:t>микционни</w:t>
            </w:r>
            <w:proofErr w:type="spellEnd"/>
            <w:r w:rsidRPr="00E31EA3">
              <w:rPr>
                <w:rFonts w:cs="Arial"/>
              </w:rPr>
              <w:t xml:space="preserve"> нарушения *, </w:t>
            </w:r>
            <w:proofErr w:type="spellStart"/>
            <w:r w:rsidRPr="00E31EA3">
              <w:rPr>
                <w:rFonts w:cs="Arial"/>
              </w:rPr>
              <w:t>протеинурия</w:t>
            </w:r>
            <w:proofErr w:type="spellEnd"/>
            <w:r w:rsidRPr="00E31EA3">
              <w:rPr>
                <w:rFonts w:cs="Arial"/>
              </w:rPr>
              <w:t xml:space="preserve">, </w:t>
            </w:r>
            <w:proofErr w:type="spellStart"/>
            <w:r w:rsidRPr="00E31EA3">
              <w:rPr>
                <w:rFonts w:cs="Arial"/>
              </w:rPr>
              <w:t>азотемия</w:t>
            </w:r>
            <w:proofErr w:type="spellEnd"/>
            <w:r w:rsidRPr="00E31EA3">
              <w:rPr>
                <w:rFonts w:cs="Arial"/>
              </w:rPr>
              <w:t xml:space="preserve">, </w:t>
            </w:r>
            <w:proofErr w:type="spellStart"/>
            <w:r w:rsidRPr="00E31EA3">
              <w:rPr>
                <w:rFonts w:cs="Arial"/>
              </w:rPr>
              <w:t>олигурия</w:t>
            </w:r>
            <w:proofErr w:type="spellEnd"/>
            <w:r w:rsidRPr="00E31EA3">
              <w:rPr>
                <w:rFonts w:cs="Arial"/>
              </w:rPr>
              <w:t xml:space="preserve">*, </w:t>
            </w:r>
            <w:proofErr w:type="spellStart"/>
            <w:r w:rsidRPr="00E31EA3">
              <w:rPr>
                <w:rFonts w:cs="Arial"/>
              </w:rPr>
              <w:t>полакиурия</w:t>
            </w:r>
            <w:proofErr w:type="spellEnd"/>
          </w:p>
        </w:tc>
      </w:tr>
      <w:tr w:rsidR="00E811D7" w14:paraId="417E540E" w14:textId="77777777" w:rsidTr="00613F14">
        <w:tc>
          <w:tcPr>
            <w:tcW w:w="3116" w:type="dxa"/>
            <w:vMerge/>
          </w:tcPr>
          <w:p w14:paraId="279A77AA" w14:textId="77777777" w:rsidR="00E811D7" w:rsidRPr="00E31EA3" w:rsidRDefault="00E811D7" w:rsidP="00E811D7">
            <w:pPr>
              <w:rPr>
                <w:rFonts w:cs="Arial"/>
              </w:rPr>
            </w:pPr>
          </w:p>
        </w:tc>
        <w:tc>
          <w:tcPr>
            <w:tcW w:w="3117" w:type="dxa"/>
          </w:tcPr>
          <w:p w14:paraId="6BED7F89" w14:textId="42B93B15" w:rsidR="00E811D7" w:rsidRPr="00E31EA3" w:rsidRDefault="00E811D7" w:rsidP="00E811D7">
            <w:pPr>
              <w:rPr>
                <w:rFonts w:cs="Arial"/>
              </w:rPr>
            </w:pPr>
            <w:r w:rsidRPr="00E31EA3">
              <w:rPr>
                <w:rFonts w:cs="Arial"/>
              </w:rPr>
              <w:t>Редки</w:t>
            </w:r>
          </w:p>
        </w:tc>
        <w:tc>
          <w:tcPr>
            <w:tcW w:w="3117" w:type="dxa"/>
          </w:tcPr>
          <w:p w14:paraId="11428F40" w14:textId="571C6E2B" w:rsidR="00E811D7" w:rsidRPr="00E31EA3" w:rsidRDefault="00E811D7" w:rsidP="00E811D7">
            <w:pPr>
              <w:rPr>
                <w:rFonts w:cs="Arial"/>
              </w:rPr>
            </w:pPr>
            <w:r w:rsidRPr="00E31EA3">
              <w:rPr>
                <w:rFonts w:cs="Arial"/>
              </w:rPr>
              <w:t>Дразнене на пикочния мехур</w:t>
            </w:r>
          </w:p>
        </w:tc>
      </w:tr>
      <w:tr w:rsidR="00E811D7" w14:paraId="1EB53D84" w14:textId="77777777" w:rsidTr="00613F14">
        <w:tc>
          <w:tcPr>
            <w:tcW w:w="3116" w:type="dxa"/>
            <w:vMerge w:val="restart"/>
          </w:tcPr>
          <w:p w14:paraId="266B73B4" w14:textId="75B53436" w:rsidR="00E811D7" w:rsidRPr="00E31EA3" w:rsidRDefault="00E811D7" w:rsidP="00E811D7">
            <w:pPr>
              <w:rPr>
                <w:rFonts w:cs="Arial"/>
              </w:rPr>
            </w:pPr>
            <w:r w:rsidRPr="00E31EA3">
              <w:rPr>
                <w:rFonts w:cs="Arial"/>
              </w:rPr>
              <w:t>Нарушения на въз производител пата система и гърдата</w:t>
            </w:r>
          </w:p>
        </w:tc>
        <w:tc>
          <w:tcPr>
            <w:tcW w:w="3117" w:type="dxa"/>
          </w:tcPr>
          <w:p w14:paraId="03429956" w14:textId="78BB43C8" w:rsidR="00E811D7" w:rsidRPr="00E31EA3" w:rsidRDefault="00E811D7" w:rsidP="00E811D7">
            <w:pPr>
              <w:rPr>
                <w:rFonts w:cs="Arial"/>
              </w:rPr>
            </w:pPr>
            <w:r w:rsidRPr="00E31EA3">
              <w:rPr>
                <w:rFonts w:cs="Arial"/>
              </w:rPr>
              <w:t>Нечести</w:t>
            </w:r>
          </w:p>
        </w:tc>
        <w:tc>
          <w:tcPr>
            <w:tcW w:w="3117" w:type="dxa"/>
          </w:tcPr>
          <w:p w14:paraId="2D011CA9" w14:textId="43243988" w:rsidR="00E811D7" w:rsidRPr="00E31EA3" w:rsidRDefault="00E811D7" w:rsidP="00E811D7">
            <w:pPr>
              <w:rPr>
                <w:rFonts w:cs="Arial"/>
              </w:rPr>
            </w:pPr>
            <w:r w:rsidRPr="00E31EA3">
              <w:rPr>
                <w:rFonts w:cs="Arial"/>
              </w:rPr>
              <w:t>Вагинална хеморагия, генитална болка*, еректилна дисфункция</w:t>
            </w:r>
          </w:p>
        </w:tc>
      </w:tr>
      <w:tr w:rsidR="00E811D7" w14:paraId="6ED63467" w14:textId="77777777" w:rsidTr="00613F14">
        <w:tc>
          <w:tcPr>
            <w:tcW w:w="3116" w:type="dxa"/>
            <w:vMerge/>
          </w:tcPr>
          <w:p w14:paraId="2A05AB53" w14:textId="77777777" w:rsidR="00E811D7" w:rsidRPr="00E31EA3" w:rsidRDefault="00E811D7" w:rsidP="00E811D7">
            <w:pPr>
              <w:rPr>
                <w:rFonts w:cs="Arial"/>
              </w:rPr>
            </w:pPr>
          </w:p>
        </w:tc>
        <w:tc>
          <w:tcPr>
            <w:tcW w:w="3117" w:type="dxa"/>
          </w:tcPr>
          <w:p w14:paraId="368A55BC" w14:textId="5FBFE335" w:rsidR="00E811D7" w:rsidRPr="00E31EA3" w:rsidRDefault="00E811D7" w:rsidP="00E811D7">
            <w:pPr>
              <w:rPr>
                <w:rFonts w:cs="Arial"/>
              </w:rPr>
            </w:pPr>
            <w:r w:rsidRPr="00E31EA3">
              <w:rPr>
                <w:rFonts w:cs="Arial"/>
              </w:rPr>
              <w:t>Редки</w:t>
            </w:r>
          </w:p>
        </w:tc>
        <w:tc>
          <w:tcPr>
            <w:tcW w:w="3117" w:type="dxa"/>
          </w:tcPr>
          <w:p w14:paraId="7407EB2E" w14:textId="5F7C490F" w:rsidR="00E811D7" w:rsidRPr="00E31EA3" w:rsidRDefault="00E811D7" w:rsidP="00E811D7">
            <w:pPr>
              <w:rPr>
                <w:rFonts w:cs="Arial"/>
              </w:rPr>
            </w:pPr>
            <w:r w:rsidRPr="00E31EA3">
              <w:rPr>
                <w:rFonts w:cs="Arial"/>
              </w:rPr>
              <w:t xml:space="preserve">Нарушение на тестисите*, </w:t>
            </w:r>
            <w:proofErr w:type="spellStart"/>
            <w:r w:rsidRPr="00E31EA3">
              <w:rPr>
                <w:rFonts w:cs="Arial"/>
              </w:rPr>
              <w:t>простатит</w:t>
            </w:r>
            <w:proofErr w:type="spellEnd"/>
            <w:r w:rsidRPr="00E31EA3">
              <w:rPr>
                <w:rFonts w:cs="Arial"/>
              </w:rPr>
              <w:t xml:space="preserve">, нарушения на гърдите при жени, чувствителност на </w:t>
            </w:r>
            <w:proofErr w:type="spellStart"/>
            <w:r w:rsidRPr="00E31EA3">
              <w:rPr>
                <w:rFonts w:cs="Arial"/>
              </w:rPr>
              <w:t>епидидима</w:t>
            </w:r>
            <w:proofErr w:type="spellEnd"/>
            <w:r w:rsidRPr="00E31EA3">
              <w:rPr>
                <w:rFonts w:cs="Arial"/>
              </w:rPr>
              <w:t xml:space="preserve">, </w:t>
            </w:r>
            <w:proofErr w:type="spellStart"/>
            <w:r w:rsidRPr="00E31EA3">
              <w:rPr>
                <w:rFonts w:cs="Arial"/>
              </w:rPr>
              <w:t>епидидимит</w:t>
            </w:r>
            <w:proofErr w:type="spellEnd"/>
            <w:r w:rsidRPr="00E31EA3">
              <w:rPr>
                <w:rFonts w:cs="Arial"/>
              </w:rPr>
              <w:t xml:space="preserve">, болка в таза, язви по </w:t>
            </w:r>
            <w:proofErr w:type="spellStart"/>
            <w:r w:rsidRPr="00E31EA3">
              <w:rPr>
                <w:rFonts w:cs="Arial"/>
              </w:rPr>
              <w:t>вулвата</w:t>
            </w:r>
            <w:proofErr w:type="spellEnd"/>
          </w:p>
        </w:tc>
      </w:tr>
      <w:tr w:rsidR="00E811D7" w14:paraId="470D2B3F" w14:textId="77777777" w:rsidTr="00AC443D">
        <w:tc>
          <w:tcPr>
            <w:tcW w:w="3116" w:type="dxa"/>
            <w:vAlign w:val="bottom"/>
          </w:tcPr>
          <w:p w14:paraId="2AA53474" w14:textId="43A0F4ED" w:rsidR="00E811D7" w:rsidRPr="00E31EA3" w:rsidRDefault="00E811D7" w:rsidP="00E811D7">
            <w:pPr>
              <w:rPr>
                <w:rFonts w:cs="Arial"/>
              </w:rPr>
            </w:pPr>
            <w:r w:rsidRPr="00E31EA3">
              <w:rPr>
                <w:rFonts w:cs="Arial"/>
              </w:rPr>
              <w:t>Вродени, фамилни и генетични нарушения</w:t>
            </w:r>
          </w:p>
        </w:tc>
        <w:tc>
          <w:tcPr>
            <w:tcW w:w="3117" w:type="dxa"/>
          </w:tcPr>
          <w:p w14:paraId="1EDA024F" w14:textId="3E0BB85D" w:rsidR="00E811D7" w:rsidRPr="00E31EA3" w:rsidRDefault="00E811D7" w:rsidP="00E811D7">
            <w:pPr>
              <w:rPr>
                <w:rFonts w:cs="Arial"/>
              </w:rPr>
            </w:pPr>
            <w:r w:rsidRPr="00E31EA3">
              <w:rPr>
                <w:rFonts w:cs="Arial"/>
              </w:rPr>
              <w:t>Редки</w:t>
            </w:r>
          </w:p>
        </w:tc>
        <w:tc>
          <w:tcPr>
            <w:tcW w:w="3117" w:type="dxa"/>
          </w:tcPr>
          <w:p w14:paraId="2C976512" w14:textId="62ACA18C" w:rsidR="00E811D7" w:rsidRPr="00E31EA3" w:rsidRDefault="00E811D7" w:rsidP="00E811D7">
            <w:pPr>
              <w:rPr>
                <w:rFonts w:cs="Arial"/>
              </w:rPr>
            </w:pPr>
            <w:proofErr w:type="spellStart"/>
            <w:r w:rsidRPr="00E31EA3">
              <w:rPr>
                <w:rFonts w:cs="Arial"/>
              </w:rPr>
              <w:t>Аплазия</w:t>
            </w:r>
            <w:proofErr w:type="spellEnd"/>
            <w:r w:rsidRPr="00E31EA3">
              <w:rPr>
                <w:rFonts w:cs="Arial"/>
              </w:rPr>
              <w:t xml:space="preserve">, гастроинтестинални малформации, </w:t>
            </w:r>
            <w:proofErr w:type="spellStart"/>
            <w:r w:rsidRPr="00E31EA3">
              <w:rPr>
                <w:rFonts w:cs="Arial"/>
              </w:rPr>
              <w:t>ихтиоза</w:t>
            </w:r>
            <w:proofErr w:type="spellEnd"/>
          </w:p>
        </w:tc>
      </w:tr>
      <w:tr w:rsidR="00E811D7" w14:paraId="2669DA98" w14:textId="77777777" w:rsidTr="00613F14">
        <w:tc>
          <w:tcPr>
            <w:tcW w:w="3116" w:type="dxa"/>
            <w:vMerge w:val="restart"/>
          </w:tcPr>
          <w:p w14:paraId="5F40E335" w14:textId="36F41F72" w:rsidR="00E811D7" w:rsidRPr="00E31EA3" w:rsidRDefault="00E811D7" w:rsidP="00E811D7">
            <w:pPr>
              <w:rPr>
                <w:rFonts w:cs="Arial"/>
              </w:rPr>
            </w:pPr>
            <w:r w:rsidRPr="00E31EA3">
              <w:rPr>
                <w:rFonts w:cs="Arial"/>
              </w:rPr>
              <w:t>Общи нарушения и ефекти на мястото на приложение</w:t>
            </w:r>
          </w:p>
        </w:tc>
        <w:tc>
          <w:tcPr>
            <w:tcW w:w="3117" w:type="dxa"/>
          </w:tcPr>
          <w:p w14:paraId="5759417E" w14:textId="4D68A1C2" w:rsidR="00E811D7" w:rsidRPr="00E31EA3" w:rsidRDefault="00E811D7" w:rsidP="00E811D7">
            <w:pPr>
              <w:rPr>
                <w:rFonts w:cs="Arial"/>
              </w:rPr>
            </w:pPr>
            <w:r w:rsidRPr="00E31EA3">
              <w:rPr>
                <w:rFonts w:cs="Arial"/>
              </w:rPr>
              <w:t>Много чести</w:t>
            </w:r>
          </w:p>
        </w:tc>
        <w:tc>
          <w:tcPr>
            <w:tcW w:w="3117" w:type="dxa"/>
          </w:tcPr>
          <w:p w14:paraId="1632656E" w14:textId="4212718F" w:rsidR="00E811D7" w:rsidRPr="00E31EA3" w:rsidRDefault="00E811D7" w:rsidP="00E811D7">
            <w:pPr>
              <w:rPr>
                <w:rFonts w:cs="Arial"/>
              </w:rPr>
            </w:pPr>
            <w:proofErr w:type="spellStart"/>
            <w:r w:rsidRPr="00E31EA3">
              <w:rPr>
                <w:rFonts w:cs="Arial"/>
              </w:rPr>
              <w:t>Пирексия</w:t>
            </w:r>
            <w:proofErr w:type="spellEnd"/>
            <w:r w:rsidRPr="00E31EA3">
              <w:rPr>
                <w:rFonts w:cs="Arial"/>
              </w:rPr>
              <w:t xml:space="preserve">*, умора, </w:t>
            </w:r>
            <w:proofErr w:type="spellStart"/>
            <w:r w:rsidRPr="00E31EA3">
              <w:rPr>
                <w:rFonts w:cs="Arial"/>
              </w:rPr>
              <w:t>астения</w:t>
            </w:r>
            <w:proofErr w:type="spellEnd"/>
          </w:p>
        </w:tc>
      </w:tr>
      <w:tr w:rsidR="00E811D7" w14:paraId="570FFB5A" w14:textId="77777777" w:rsidTr="00613F14">
        <w:tc>
          <w:tcPr>
            <w:tcW w:w="3116" w:type="dxa"/>
            <w:vMerge/>
          </w:tcPr>
          <w:p w14:paraId="45F3C472" w14:textId="77777777" w:rsidR="00E811D7" w:rsidRPr="00E31EA3" w:rsidRDefault="00E811D7" w:rsidP="00E811D7">
            <w:pPr>
              <w:rPr>
                <w:rFonts w:cs="Arial"/>
              </w:rPr>
            </w:pPr>
          </w:p>
        </w:tc>
        <w:tc>
          <w:tcPr>
            <w:tcW w:w="3117" w:type="dxa"/>
          </w:tcPr>
          <w:p w14:paraId="33C43157" w14:textId="589B4BDF" w:rsidR="00E811D7" w:rsidRPr="00E31EA3" w:rsidRDefault="00E811D7" w:rsidP="00E811D7">
            <w:pPr>
              <w:rPr>
                <w:rFonts w:cs="Arial"/>
              </w:rPr>
            </w:pPr>
            <w:r w:rsidRPr="00E31EA3">
              <w:rPr>
                <w:rFonts w:cs="Arial"/>
              </w:rPr>
              <w:t>Чести</w:t>
            </w:r>
          </w:p>
        </w:tc>
        <w:tc>
          <w:tcPr>
            <w:tcW w:w="3117" w:type="dxa"/>
          </w:tcPr>
          <w:p w14:paraId="08A5ADFA" w14:textId="58BA8A71" w:rsidR="00E811D7" w:rsidRPr="00E31EA3" w:rsidRDefault="00E811D7" w:rsidP="00E811D7">
            <w:pPr>
              <w:rPr>
                <w:rFonts w:cs="Arial"/>
              </w:rPr>
            </w:pPr>
            <w:r w:rsidRPr="00E31EA3">
              <w:rPr>
                <w:rFonts w:cs="Arial"/>
              </w:rPr>
              <w:t>Едем (</w:t>
            </w:r>
            <w:proofErr w:type="spellStart"/>
            <w:r w:rsidRPr="00E31EA3">
              <w:rPr>
                <w:rFonts w:cs="Arial"/>
              </w:rPr>
              <w:t>вкл</w:t>
            </w:r>
            <w:proofErr w:type="spellEnd"/>
            <w:r w:rsidRPr="00E31EA3">
              <w:rPr>
                <w:rFonts w:cs="Arial"/>
              </w:rPr>
              <w:t>, периферен), втрисане, болка*, неразположение*</w:t>
            </w:r>
          </w:p>
        </w:tc>
      </w:tr>
      <w:tr w:rsidR="00E811D7" w14:paraId="16A166A2" w14:textId="77777777" w:rsidTr="00AC443D">
        <w:trPr>
          <w:trHeight w:val="3935"/>
        </w:trPr>
        <w:tc>
          <w:tcPr>
            <w:tcW w:w="3116" w:type="dxa"/>
            <w:vMerge/>
          </w:tcPr>
          <w:p w14:paraId="1B2A99FE" w14:textId="77777777" w:rsidR="00E811D7" w:rsidRPr="00E31EA3" w:rsidRDefault="00E811D7" w:rsidP="00E811D7">
            <w:pPr>
              <w:rPr>
                <w:rFonts w:cs="Arial"/>
              </w:rPr>
            </w:pPr>
          </w:p>
        </w:tc>
        <w:tc>
          <w:tcPr>
            <w:tcW w:w="3117" w:type="dxa"/>
          </w:tcPr>
          <w:p w14:paraId="4C626723" w14:textId="075E087E" w:rsidR="00E811D7" w:rsidRPr="00E31EA3" w:rsidRDefault="00E811D7" w:rsidP="00E811D7">
            <w:pPr>
              <w:rPr>
                <w:rFonts w:cs="Arial"/>
              </w:rPr>
            </w:pPr>
            <w:r w:rsidRPr="00E31EA3">
              <w:rPr>
                <w:rFonts w:cs="Arial"/>
              </w:rPr>
              <w:t>Нечести</w:t>
            </w:r>
          </w:p>
        </w:tc>
        <w:tc>
          <w:tcPr>
            <w:tcW w:w="3117" w:type="dxa"/>
            <w:vAlign w:val="bottom"/>
          </w:tcPr>
          <w:p w14:paraId="3D786B6B" w14:textId="77777777" w:rsidR="00E811D7" w:rsidRPr="00E31EA3" w:rsidRDefault="00E811D7" w:rsidP="00E811D7">
            <w:pPr>
              <w:rPr>
                <w:rFonts w:cs="Arial"/>
              </w:rPr>
            </w:pPr>
            <w:r w:rsidRPr="00E31EA3">
              <w:rPr>
                <w:rFonts w:cs="Arial"/>
              </w:rPr>
              <w:t>Общо влошаване на физическото здраве*, оток на лицето*, реакция на мястото на приложение*, нарушения на лигавицата*, гръдна болка, нарушения на походката,</w:t>
            </w:r>
          </w:p>
          <w:p w14:paraId="59F71A4E" w14:textId="42F098E6" w:rsidR="00E811D7" w:rsidRPr="00E31EA3" w:rsidRDefault="00E811D7" w:rsidP="00E811D7">
            <w:pPr>
              <w:rPr>
                <w:rFonts w:cs="Arial"/>
              </w:rPr>
            </w:pPr>
            <w:r w:rsidRPr="00E31EA3">
              <w:rPr>
                <w:rFonts w:cs="Arial"/>
              </w:rPr>
              <w:t xml:space="preserve">усещане за студ, </w:t>
            </w:r>
            <w:proofErr w:type="spellStart"/>
            <w:r w:rsidRPr="00E31EA3">
              <w:rPr>
                <w:rFonts w:cs="Arial"/>
              </w:rPr>
              <w:t>екстравазация</w:t>
            </w:r>
            <w:proofErr w:type="spellEnd"/>
            <w:r w:rsidRPr="00E31EA3">
              <w:rPr>
                <w:rFonts w:cs="Arial"/>
              </w:rPr>
              <w:t>*, усложнения, свързани с катетъра*, променено усещане за жажда, дискомфорт в</w:t>
            </w:r>
          </w:p>
          <w:p w14:paraId="77B90F94" w14:textId="77777777" w:rsidR="00E811D7" w:rsidRPr="00E31EA3" w:rsidRDefault="00E811D7" w:rsidP="00E811D7">
            <w:pPr>
              <w:rPr>
                <w:rFonts w:cs="Arial"/>
              </w:rPr>
            </w:pPr>
            <w:r w:rsidRPr="00E31EA3">
              <w:rPr>
                <w:rFonts w:cs="Arial"/>
              </w:rPr>
              <w:t>областта на</w:t>
            </w:r>
          </w:p>
          <w:p w14:paraId="761B7697" w14:textId="11979A87" w:rsidR="00E811D7" w:rsidRPr="00E31EA3" w:rsidRDefault="00E811D7" w:rsidP="00E811D7">
            <w:pPr>
              <w:rPr>
                <w:rFonts w:cs="Arial"/>
              </w:rPr>
            </w:pPr>
            <w:r w:rsidRPr="00E31EA3">
              <w:rPr>
                <w:rFonts w:cs="Arial"/>
              </w:rPr>
              <w:t>гръдния кош, усещане за промяна на температурата на тялото, болка на мястото на инжектиране*</w:t>
            </w:r>
          </w:p>
        </w:tc>
      </w:tr>
      <w:tr w:rsidR="00E811D7" w14:paraId="11F80AD8" w14:textId="77777777" w:rsidTr="00613F14">
        <w:tc>
          <w:tcPr>
            <w:tcW w:w="3116" w:type="dxa"/>
            <w:vMerge/>
          </w:tcPr>
          <w:p w14:paraId="69CA1DA1" w14:textId="77777777" w:rsidR="00E811D7" w:rsidRPr="00E31EA3" w:rsidRDefault="00E811D7" w:rsidP="00E811D7">
            <w:pPr>
              <w:rPr>
                <w:rFonts w:cs="Arial"/>
              </w:rPr>
            </w:pPr>
          </w:p>
        </w:tc>
        <w:tc>
          <w:tcPr>
            <w:tcW w:w="3117" w:type="dxa"/>
          </w:tcPr>
          <w:p w14:paraId="09DF9B4F" w14:textId="3E3586E5" w:rsidR="00E811D7" w:rsidRPr="00E31EA3" w:rsidRDefault="00E811D7" w:rsidP="00E811D7">
            <w:pPr>
              <w:rPr>
                <w:rFonts w:cs="Arial"/>
              </w:rPr>
            </w:pPr>
            <w:r w:rsidRPr="00E31EA3">
              <w:rPr>
                <w:rFonts w:cs="Arial"/>
              </w:rPr>
              <w:t>Редки</w:t>
            </w:r>
          </w:p>
        </w:tc>
        <w:tc>
          <w:tcPr>
            <w:tcW w:w="3117" w:type="dxa"/>
          </w:tcPr>
          <w:p w14:paraId="6255D5CD" w14:textId="2684C6E6" w:rsidR="00E811D7" w:rsidRPr="00E31EA3" w:rsidRDefault="00E811D7" w:rsidP="00E811D7">
            <w:pPr>
              <w:rPr>
                <w:rFonts w:cs="Arial"/>
              </w:rPr>
            </w:pPr>
            <w:r w:rsidRPr="00E31EA3">
              <w:rPr>
                <w:rFonts w:cs="Arial"/>
              </w:rPr>
              <w:t xml:space="preserve">Смърт (вкл. внезапна), мултиорганна недостатъчност, хеморагия на мястото на инжектиране*, херния (вкл. </w:t>
            </w:r>
            <w:proofErr w:type="spellStart"/>
            <w:r w:rsidRPr="00E31EA3">
              <w:rPr>
                <w:rFonts w:cs="Arial"/>
              </w:rPr>
              <w:t>хиатус</w:t>
            </w:r>
            <w:proofErr w:type="spellEnd"/>
            <w:r w:rsidRPr="00E31EA3">
              <w:rPr>
                <w:rFonts w:cs="Arial"/>
              </w:rPr>
              <w:t xml:space="preserve">)*, забавено зарастване на рани*, възпаление, флебит на мястото на инжектиране*, чувствителност, язва, раздразнителност, некардиологична болка в областта на гръдния кош, болка в областта на </w:t>
            </w:r>
            <w:proofErr w:type="spellStart"/>
            <w:r w:rsidRPr="00E31EA3">
              <w:rPr>
                <w:rFonts w:cs="Arial"/>
              </w:rPr>
              <w:t>катетера</w:t>
            </w:r>
            <w:proofErr w:type="spellEnd"/>
            <w:r w:rsidRPr="00E31EA3">
              <w:rPr>
                <w:rFonts w:cs="Arial"/>
              </w:rPr>
              <w:t>, усещане за чуждо тяло</w:t>
            </w:r>
          </w:p>
        </w:tc>
      </w:tr>
      <w:tr w:rsidR="00E31EA3" w14:paraId="41F22CBF" w14:textId="77777777" w:rsidTr="00613F14">
        <w:tc>
          <w:tcPr>
            <w:tcW w:w="3116" w:type="dxa"/>
            <w:vMerge w:val="restart"/>
          </w:tcPr>
          <w:p w14:paraId="73C4AD20" w14:textId="6399D9C7" w:rsidR="00E31EA3" w:rsidRPr="00E31EA3" w:rsidRDefault="00E31EA3" w:rsidP="00E31EA3">
            <w:pPr>
              <w:rPr>
                <w:rFonts w:cs="Arial"/>
              </w:rPr>
            </w:pPr>
            <w:r w:rsidRPr="00E31EA3">
              <w:rPr>
                <w:rFonts w:cs="Arial"/>
              </w:rPr>
              <w:t>Изследвания</w:t>
            </w:r>
          </w:p>
        </w:tc>
        <w:tc>
          <w:tcPr>
            <w:tcW w:w="3117" w:type="dxa"/>
          </w:tcPr>
          <w:p w14:paraId="5B32885A" w14:textId="26C8D431" w:rsidR="00E31EA3" w:rsidRPr="00E31EA3" w:rsidRDefault="00E31EA3" w:rsidP="00E31EA3">
            <w:pPr>
              <w:rPr>
                <w:rFonts w:cs="Arial"/>
              </w:rPr>
            </w:pPr>
            <w:r w:rsidRPr="00E31EA3">
              <w:rPr>
                <w:rFonts w:cs="Arial"/>
              </w:rPr>
              <w:t>Чести</w:t>
            </w:r>
          </w:p>
        </w:tc>
        <w:tc>
          <w:tcPr>
            <w:tcW w:w="3117" w:type="dxa"/>
          </w:tcPr>
          <w:p w14:paraId="3CA5DBE8" w14:textId="018122E9" w:rsidR="00E31EA3" w:rsidRPr="00E31EA3" w:rsidRDefault="00E31EA3" w:rsidP="00E31EA3">
            <w:pPr>
              <w:rPr>
                <w:rFonts w:cs="Arial"/>
              </w:rPr>
            </w:pPr>
            <w:r w:rsidRPr="00E31EA3">
              <w:rPr>
                <w:rFonts w:cs="Arial"/>
              </w:rPr>
              <w:t>Намаляване на тегло</w:t>
            </w:r>
          </w:p>
        </w:tc>
      </w:tr>
      <w:tr w:rsidR="00E31EA3" w14:paraId="616E8027" w14:textId="77777777" w:rsidTr="00613F14">
        <w:tc>
          <w:tcPr>
            <w:tcW w:w="3116" w:type="dxa"/>
            <w:vMerge/>
          </w:tcPr>
          <w:p w14:paraId="02AB7096" w14:textId="77777777" w:rsidR="00E31EA3" w:rsidRPr="00E31EA3" w:rsidRDefault="00E31EA3" w:rsidP="00E31EA3">
            <w:pPr>
              <w:rPr>
                <w:rFonts w:cs="Arial"/>
              </w:rPr>
            </w:pPr>
          </w:p>
        </w:tc>
        <w:tc>
          <w:tcPr>
            <w:tcW w:w="3117" w:type="dxa"/>
          </w:tcPr>
          <w:p w14:paraId="060ACBC4" w14:textId="52250695" w:rsidR="00E31EA3" w:rsidRPr="00E31EA3" w:rsidRDefault="00E31EA3" w:rsidP="00E31EA3">
            <w:pPr>
              <w:rPr>
                <w:rFonts w:cs="Arial"/>
              </w:rPr>
            </w:pPr>
            <w:r w:rsidRPr="00E31EA3">
              <w:rPr>
                <w:rFonts w:cs="Arial"/>
              </w:rPr>
              <w:t>Нечести</w:t>
            </w:r>
          </w:p>
        </w:tc>
        <w:tc>
          <w:tcPr>
            <w:tcW w:w="3117" w:type="dxa"/>
          </w:tcPr>
          <w:p w14:paraId="6737C431" w14:textId="717A55F9" w:rsidR="00E31EA3" w:rsidRPr="00E31EA3" w:rsidRDefault="00E31EA3" w:rsidP="00E31EA3">
            <w:pPr>
              <w:rPr>
                <w:rFonts w:cs="Arial"/>
              </w:rPr>
            </w:pPr>
            <w:proofErr w:type="spellStart"/>
            <w:r w:rsidRPr="00E31EA3">
              <w:rPr>
                <w:rFonts w:cs="Arial"/>
              </w:rPr>
              <w:t>Хипербилирубинемия</w:t>
            </w:r>
            <w:proofErr w:type="spellEnd"/>
            <w:r w:rsidRPr="00E31EA3">
              <w:rPr>
                <w:rFonts w:cs="Arial"/>
              </w:rPr>
              <w:t xml:space="preserve">*, отклонения в анализа на белтъка*, покачване на тегло, </w:t>
            </w:r>
            <w:proofErr w:type="spellStart"/>
            <w:r w:rsidRPr="00E31EA3">
              <w:rPr>
                <w:rFonts w:cs="Arial"/>
              </w:rPr>
              <w:t>абнормни</w:t>
            </w:r>
            <w:proofErr w:type="spellEnd"/>
            <w:r w:rsidRPr="00E31EA3">
              <w:rPr>
                <w:rFonts w:cs="Arial"/>
              </w:rPr>
              <w:t xml:space="preserve"> кръвни изследвания*, повишаване нивото на С-реактивния протеин</w:t>
            </w:r>
          </w:p>
        </w:tc>
      </w:tr>
      <w:tr w:rsidR="00E31EA3" w14:paraId="55335D37" w14:textId="77777777" w:rsidTr="00613F14">
        <w:tc>
          <w:tcPr>
            <w:tcW w:w="3116" w:type="dxa"/>
            <w:vMerge/>
          </w:tcPr>
          <w:p w14:paraId="67374C74" w14:textId="77777777" w:rsidR="00E31EA3" w:rsidRPr="00E31EA3" w:rsidRDefault="00E31EA3" w:rsidP="00E31EA3">
            <w:pPr>
              <w:rPr>
                <w:rFonts w:cs="Arial"/>
              </w:rPr>
            </w:pPr>
          </w:p>
        </w:tc>
        <w:tc>
          <w:tcPr>
            <w:tcW w:w="3117" w:type="dxa"/>
          </w:tcPr>
          <w:p w14:paraId="4F7CFABF" w14:textId="7D412093" w:rsidR="00E31EA3" w:rsidRPr="00E31EA3" w:rsidRDefault="00E31EA3" w:rsidP="00E31EA3">
            <w:pPr>
              <w:rPr>
                <w:rFonts w:cs="Arial"/>
              </w:rPr>
            </w:pPr>
            <w:r w:rsidRPr="00E31EA3">
              <w:rPr>
                <w:rFonts w:cs="Arial"/>
              </w:rPr>
              <w:t>Редки</w:t>
            </w:r>
          </w:p>
        </w:tc>
        <w:tc>
          <w:tcPr>
            <w:tcW w:w="3117" w:type="dxa"/>
          </w:tcPr>
          <w:p w14:paraId="08AC4DDA" w14:textId="468B8FA1" w:rsidR="00E31EA3" w:rsidRPr="00E31EA3" w:rsidRDefault="00E31EA3" w:rsidP="00E31EA3">
            <w:pPr>
              <w:rPr>
                <w:rFonts w:cs="Arial"/>
              </w:rPr>
            </w:pPr>
            <w:proofErr w:type="spellStart"/>
            <w:r w:rsidRPr="00E31EA3">
              <w:rPr>
                <w:rFonts w:cs="Arial"/>
              </w:rPr>
              <w:t>Абнормни</w:t>
            </w:r>
            <w:proofErr w:type="spellEnd"/>
            <w:r w:rsidRPr="00E31EA3">
              <w:rPr>
                <w:rFonts w:cs="Arial"/>
              </w:rPr>
              <w:t xml:space="preserve"> кръвни газове*, отклонения в електрокардиограмата (вкл. удължаване на </w:t>
            </w:r>
            <w:r w:rsidRPr="00E31EA3">
              <w:rPr>
                <w:rFonts w:cs="Arial"/>
                <w:lang w:val="en-US"/>
              </w:rPr>
              <w:t>QT</w:t>
            </w:r>
            <w:r w:rsidRPr="00FD4C98">
              <w:rPr>
                <w:rFonts w:cs="Arial"/>
                <w:lang w:val="ru-RU"/>
              </w:rPr>
              <w:t>-</w:t>
            </w:r>
            <w:r w:rsidRPr="00E31EA3">
              <w:rPr>
                <w:rFonts w:cs="Arial"/>
              </w:rPr>
              <w:t xml:space="preserve">интервала)*, </w:t>
            </w:r>
            <w:proofErr w:type="spellStart"/>
            <w:r w:rsidRPr="00E31EA3">
              <w:rPr>
                <w:rFonts w:cs="Arial"/>
                <w:i/>
                <w:iCs/>
              </w:rPr>
              <w:t>абнормна</w:t>
            </w:r>
            <w:proofErr w:type="spellEnd"/>
            <w:r w:rsidRPr="00E31EA3">
              <w:rPr>
                <w:rFonts w:cs="Arial"/>
              </w:rPr>
              <w:t xml:space="preserve"> </w:t>
            </w:r>
            <w:r w:rsidRPr="00E31EA3">
              <w:rPr>
                <w:rFonts w:cs="Arial"/>
              </w:rPr>
              <w:lastRenderedPageBreak/>
              <w:t xml:space="preserve">Международно нормализирано съотношение*, понижаване на </w:t>
            </w:r>
            <w:r w:rsidRPr="00E31EA3">
              <w:rPr>
                <w:rFonts w:cs="Arial"/>
                <w:lang w:val="en-US"/>
              </w:rPr>
              <w:t>pH</w:t>
            </w:r>
            <w:r w:rsidRPr="00FD4C98">
              <w:rPr>
                <w:rFonts w:cs="Arial"/>
                <w:lang w:val="ru-RU"/>
              </w:rPr>
              <w:t xml:space="preserve"> </w:t>
            </w:r>
            <w:r w:rsidRPr="00E31EA3">
              <w:rPr>
                <w:rFonts w:cs="Arial"/>
              </w:rPr>
              <w:t xml:space="preserve">на стомаха, повишена агрегация на </w:t>
            </w:r>
            <w:proofErr w:type="spellStart"/>
            <w:r w:rsidRPr="00E31EA3">
              <w:rPr>
                <w:rFonts w:cs="Arial"/>
              </w:rPr>
              <w:t>тромбоцитите</w:t>
            </w:r>
            <w:proofErr w:type="spellEnd"/>
            <w:r w:rsidRPr="00E31EA3">
              <w:rPr>
                <w:rFonts w:cs="Arial"/>
              </w:rPr>
              <w:t xml:space="preserve">, повишаване нивото на </w:t>
            </w:r>
            <w:r w:rsidRPr="00E31EA3">
              <w:rPr>
                <w:rFonts w:cs="Arial"/>
                <w:lang w:val="en-US"/>
              </w:rPr>
              <w:t>Troponin</w:t>
            </w:r>
            <w:r w:rsidRPr="00FD4C98">
              <w:rPr>
                <w:rFonts w:cs="Arial"/>
                <w:lang w:val="ru-RU"/>
              </w:rPr>
              <w:t xml:space="preserve"> </w:t>
            </w:r>
            <w:r w:rsidRPr="00E31EA3">
              <w:rPr>
                <w:rFonts w:cs="Arial"/>
              </w:rPr>
              <w:t>I, вирусна идентификация и серология*, отклонения в анализа на урината*</w:t>
            </w:r>
          </w:p>
        </w:tc>
      </w:tr>
      <w:tr w:rsidR="00E31EA3" w14:paraId="2D83576D" w14:textId="77777777" w:rsidTr="00613F14">
        <w:tc>
          <w:tcPr>
            <w:tcW w:w="3116" w:type="dxa"/>
            <w:vMerge w:val="restart"/>
          </w:tcPr>
          <w:p w14:paraId="2E8BE996" w14:textId="20449045" w:rsidR="00E31EA3" w:rsidRPr="00E31EA3" w:rsidRDefault="00E31EA3" w:rsidP="00E31EA3">
            <w:pPr>
              <w:rPr>
                <w:rFonts w:cs="Arial"/>
              </w:rPr>
            </w:pPr>
            <w:r w:rsidRPr="00E31EA3">
              <w:rPr>
                <w:rFonts w:cs="Arial"/>
              </w:rPr>
              <w:lastRenderedPageBreak/>
              <w:t>Наранявания, отравяния и усложнения, възникнали в резултат на интервенции</w:t>
            </w:r>
          </w:p>
        </w:tc>
        <w:tc>
          <w:tcPr>
            <w:tcW w:w="3117" w:type="dxa"/>
          </w:tcPr>
          <w:p w14:paraId="488CFAD4" w14:textId="7311E070" w:rsidR="00E31EA3" w:rsidRPr="00E31EA3" w:rsidRDefault="00E31EA3" w:rsidP="00E31EA3">
            <w:pPr>
              <w:rPr>
                <w:rFonts w:cs="Arial"/>
              </w:rPr>
            </w:pPr>
            <w:r w:rsidRPr="00E31EA3">
              <w:rPr>
                <w:rFonts w:cs="Arial"/>
              </w:rPr>
              <w:t>Нечести</w:t>
            </w:r>
          </w:p>
        </w:tc>
        <w:tc>
          <w:tcPr>
            <w:tcW w:w="3117" w:type="dxa"/>
          </w:tcPr>
          <w:p w14:paraId="637F80F6" w14:textId="0FDC176F" w:rsidR="00E31EA3" w:rsidRPr="00E31EA3" w:rsidRDefault="00E31EA3" w:rsidP="00E31EA3">
            <w:pPr>
              <w:rPr>
                <w:rFonts w:cs="Arial"/>
              </w:rPr>
            </w:pPr>
            <w:r w:rsidRPr="00E31EA3">
              <w:rPr>
                <w:rFonts w:cs="Arial"/>
              </w:rPr>
              <w:t>Падане, контузия</w:t>
            </w:r>
          </w:p>
        </w:tc>
      </w:tr>
      <w:tr w:rsidR="00E31EA3" w14:paraId="2EF474A3" w14:textId="77777777" w:rsidTr="00613F14">
        <w:tc>
          <w:tcPr>
            <w:tcW w:w="3116" w:type="dxa"/>
            <w:vMerge/>
          </w:tcPr>
          <w:p w14:paraId="22BDC651" w14:textId="77777777" w:rsidR="00E31EA3" w:rsidRPr="00E31EA3" w:rsidRDefault="00E31EA3" w:rsidP="00E31EA3">
            <w:pPr>
              <w:rPr>
                <w:rFonts w:cs="Arial"/>
              </w:rPr>
            </w:pPr>
          </w:p>
        </w:tc>
        <w:tc>
          <w:tcPr>
            <w:tcW w:w="3117" w:type="dxa"/>
          </w:tcPr>
          <w:p w14:paraId="656DE378" w14:textId="097BC2C9" w:rsidR="00E31EA3" w:rsidRPr="00E31EA3" w:rsidRDefault="00E31EA3" w:rsidP="00E31EA3">
            <w:pPr>
              <w:rPr>
                <w:rFonts w:cs="Arial"/>
              </w:rPr>
            </w:pPr>
            <w:r w:rsidRPr="00E31EA3">
              <w:rPr>
                <w:rFonts w:cs="Arial"/>
              </w:rPr>
              <w:t>Редки</w:t>
            </w:r>
          </w:p>
        </w:tc>
        <w:tc>
          <w:tcPr>
            <w:tcW w:w="3117" w:type="dxa"/>
          </w:tcPr>
          <w:p w14:paraId="43BC6ED3" w14:textId="6BEC5B1B" w:rsidR="00E31EA3" w:rsidRPr="00E31EA3" w:rsidRDefault="00E31EA3" w:rsidP="00E31EA3">
            <w:pPr>
              <w:rPr>
                <w:rFonts w:cs="Arial"/>
              </w:rPr>
            </w:pPr>
            <w:r w:rsidRPr="00E31EA3">
              <w:rPr>
                <w:rFonts w:cs="Arial"/>
              </w:rPr>
              <w:t>Реакция след трансфузия, фрактури*, скованост*, лицево увреждане, ставно увреждане*, изгаряния*, разкъсване, болка при интервенцията, радиационно увреждане*</w:t>
            </w:r>
          </w:p>
        </w:tc>
      </w:tr>
      <w:tr w:rsidR="00E31EA3" w14:paraId="4C9F11B1" w14:textId="77777777" w:rsidTr="00613F14">
        <w:tc>
          <w:tcPr>
            <w:tcW w:w="3116" w:type="dxa"/>
          </w:tcPr>
          <w:p w14:paraId="732B5ED6" w14:textId="015F6CE7" w:rsidR="00E31EA3" w:rsidRPr="00E31EA3" w:rsidRDefault="00E31EA3" w:rsidP="00E31EA3">
            <w:pPr>
              <w:rPr>
                <w:rFonts w:cs="Arial"/>
              </w:rPr>
            </w:pPr>
            <w:r w:rsidRPr="00E31EA3">
              <w:rPr>
                <w:rFonts w:cs="Arial"/>
              </w:rPr>
              <w:t>Хирургически и медицински интервенции</w:t>
            </w:r>
          </w:p>
        </w:tc>
        <w:tc>
          <w:tcPr>
            <w:tcW w:w="3117" w:type="dxa"/>
          </w:tcPr>
          <w:p w14:paraId="61E23ED6" w14:textId="656FFC97" w:rsidR="00E31EA3" w:rsidRPr="00E31EA3" w:rsidRDefault="00E31EA3" w:rsidP="00E31EA3">
            <w:pPr>
              <w:rPr>
                <w:rFonts w:cs="Arial"/>
              </w:rPr>
            </w:pPr>
            <w:r w:rsidRPr="00E31EA3">
              <w:rPr>
                <w:rFonts w:cs="Arial"/>
              </w:rPr>
              <w:t>Редки</w:t>
            </w:r>
          </w:p>
        </w:tc>
        <w:tc>
          <w:tcPr>
            <w:tcW w:w="3117" w:type="dxa"/>
          </w:tcPr>
          <w:p w14:paraId="3F9184C3" w14:textId="143A0859" w:rsidR="00E31EA3" w:rsidRPr="00E31EA3" w:rsidRDefault="00E31EA3" w:rsidP="00E31EA3">
            <w:pPr>
              <w:rPr>
                <w:rFonts w:cs="Arial"/>
              </w:rPr>
            </w:pPr>
            <w:r w:rsidRPr="00E31EA3">
              <w:rPr>
                <w:rFonts w:cs="Arial"/>
              </w:rPr>
              <w:t xml:space="preserve">Активиране на </w:t>
            </w:r>
            <w:proofErr w:type="spellStart"/>
            <w:r w:rsidRPr="00E31EA3">
              <w:rPr>
                <w:rFonts w:cs="Arial"/>
              </w:rPr>
              <w:t>макрофагите</w:t>
            </w:r>
            <w:proofErr w:type="spellEnd"/>
          </w:p>
        </w:tc>
      </w:tr>
    </w:tbl>
    <w:p w14:paraId="6139C609" w14:textId="28F2465A" w:rsidR="00613F14" w:rsidRDefault="00613F14" w:rsidP="00613F14">
      <w:pPr>
        <w:rPr>
          <w:rFonts w:cs="Arial"/>
          <w:sz w:val="24"/>
        </w:rPr>
      </w:pPr>
    </w:p>
    <w:p w14:paraId="2A2B1C06" w14:textId="77777777" w:rsidR="00E31EA3" w:rsidRPr="00E31EA3" w:rsidRDefault="00E31EA3" w:rsidP="00E31EA3">
      <w:pPr>
        <w:spacing w:line="240" w:lineRule="auto"/>
        <w:rPr>
          <w:rFonts w:eastAsia="Times New Roman" w:cs="Arial"/>
          <w:sz w:val="28"/>
          <w:szCs w:val="24"/>
          <w:lang w:eastAsia="bg-BG"/>
        </w:rPr>
      </w:pPr>
      <w:r w:rsidRPr="00E31EA3">
        <w:rPr>
          <w:rFonts w:eastAsia="Times New Roman" w:cs="Arial"/>
          <w:color w:val="000000"/>
          <w:szCs w:val="20"/>
          <w:lang w:val="en-US"/>
        </w:rPr>
        <w:t xml:space="preserve">NOS= </w:t>
      </w:r>
      <w:r w:rsidRPr="00E31EA3">
        <w:rPr>
          <w:rFonts w:eastAsia="Times New Roman" w:cs="Arial"/>
          <w:color w:val="000000"/>
          <w:szCs w:val="20"/>
          <w:lang w:eastAsia="bg-BG"/>
        </w:rPr>
        <w:t>не е посочено друго</w:t>
      </w:r>
    </w:p>
    <w:p w14:paraId="52DEE6C6" w14:textId="77777777" w:rsidR="00E31EA3" w:rsidRPr="00E31EA3" w:rsidRDefault="00E31EA3" w:rsidP="00E31EA3">
      <w:pPr>
        <w:spacing w:line="240" w:lineRule="auto"/>
        <w:rPr>
          <w:rFonts w:eastAsia="Times New Roman" w:cs="Arial"/>
          <w:sz w:val="28"/>
          <w:szCs w:val="24"/>
          <w:lang w:eastAsia="bg-BG"/>
        </w:rPr>
      </w:pPr>
      <w:r w:rsidRPr="00E31EA3">
        <w:rPr>
          <w:rFonts w:eastAsia="Times New Roman" w:cs="Arial"/>
          <w:color w:val="000000"/>
          <w:szCs w:val="20"/>
          <w:lang w:eastAsia="bg-BG"/>
        </w:rPr>
        <w:t xml:space="preserve">* Групиране по повече от един предпочитан термин по </w:t>
      </w:r>
      <w:r w:rsidRPr="00E31EA3">
        <w:rPr>
          <w:rFonts w:eastAsia="Times New Roman" w:cs="Arial"/>
          <w:color w:val="000000"/>
          <w:szCs w:val="20"/>
          <w:lang w:val="en-US"/>
        </w:rPr>
        <w:t>MedDRA</w:t>
      </w:r>
    </w:p>
    <w:p w14:paraId="4C48168A" w14:textId="77777777" w:rsidR="00E31EA3" w:rsidRPr="00E31EA3" w:rsidRDefault="00E31EA3" w:rsidP="00E31EA3">
      <w:pPr>
        <w:spacing w:line="240" w:lineRule="auto"/>
        <w:rPr>
          <w:rFonts w:eastAsia="Times New Roman" w:cs="Arial"/>
          <w:sz w:val="28"/>
          <w:szCs w:val="24"/>
          <w:lang w:eastAsia="bg-BG"/>
        </w:rPr>
      </w:pPr>
      <w:r w:rsidRPr="00E31EA3">
        <w:rPr>
          <w:rFonts w:eastAsia="Times New Roman" w:cs="Arial"/>
          <w:color w:val="000000"/>
          <w:szCs w:val="20"/>
          <w:lang w:eastAsia="bg-BG"/>
        </w:rPr>
        <w:t xml:space="preserve"># </w:t>
      </w:r>
      <w:proofErr w:type="spellStart"/>
      <w:r w:rsidRPr="00E31EA3">
        <w:rPr>
          <w:rFonts w:eastAsia="Times New Roman" w:cs="Arial"/>
          <w:color w:val="000000"/>
          <w:szCs w:val="20"/>
          <w:lang w:eastAsia="bg-BG"/>
        </w:rPr>
        <w:t>Постмаркетингова</w:t>
      </w:r>
      <w:proofErr w:type="spellEnd"/>
      <w:r w:rsidRPr="00E31EA3">
        <w:rPr>
          <w:rFonts w:eastAsia="Times New Roman" w:cs="Arial"/>
          <w:color w:val="000000"/>
          <w:szCs w:val="20"/>
          <w:lang w:eastAsia="bg-BG"/>
        </w:rPr>
        <w:t xml:space="preserve"> нежелана реакция</w:t>
      </w:r>
    </w:p>
    <w:p w14:paraId="302F97A1" w14:textId="77777777" w:rsidR="00E31EA3" w:rsidRPr="00E31EA3" w:rsidRDefault="00E31EA3" w:rsidP="00E31EA3">
      <w:pPr>
        <w:spacing w:line="240" w:lineRule="auto"/>
        <w:rPr>
          <w:rFonts w:eastAsia="Times New Roman" w:cs="Arial"/>
          <w:color w:val="000000"/>
          <w:szCs w:val="20"/>
          <w:u w:val="single"/>
          <w:lang w:eastAsia="bg-BG"/>
        </w:rPr>
      </w:pPr>
    </w:p>
    <w:p w14:paraId="04959975" w14:textId="5230AB7C" w:rsidR="00E31EA3" w:rsidRPr="00E31EA3" w:rsidRDefault="00E31EA3" w:rsidP="00E31EA3">
      <w:pPr>
        <w:spacing w:line="240" w:lineRule="auto"/>
        <w:rPr>
          <w:rFonts w:eastAsia="Times New Roman" w:cs="Arial"/>
          <w:sz w:val="28"/>
          <w:szCs w:val="24"/>
          <w:lang w:eastAsia="bg-BG"/>
        </w:rPr>
      </w:pPr>
      <w:r w:rsidRPr="00E31EA3">
        <w:rPr>
          <w:rFonts w:eastAsia="Times New Roman" w:cs="Arial"/>
          <w:color w:val="000000"/>
          <w:szCs w:val="20"/>
          <w:u w:val="single"/>
          <w:lang w:eastAsia="bg-BG"/>
        </w:rPr>
        <w:t>Описание на избрани нежелани реакции</w:t>
      </w:r>
    </w:p>
    <w:p w14:paraId="46700305" w14:textId="77777777" w:rsidR="00E31EA3" w:rsidRPr="00E31EA3" w:rsidRDefault="00E31EA3" w:rsidP="00E31EA3">
      <w:pPr>
        <w:spacing w:line="240" w:lineRule="auto"/>
        <w:rPr>
          <w:rFonts w:eastAsia="Times New Roman" w:cs="Arial"/>
          <w:i/>
          <w:iCs/>
          <w:color w:val="000000"/>
          <w:szCs w:val="20"/>
          <w:lang w:eastAsia="bg-BG"/>
        </w:rPr>
      </w:pPr>
    </w:p>
    <w:p w14:paraId="7A2CD180" w14:textId="3A6EC45D" w:rsidR="00E31EA3" w:rsidRPr="00E31EA3" w:rsidRDefault="00E31EA3" w:rsidP="00E31EA3">
      <w:pPr>
        <w:spacing w:line="240" w:lineRule="auto"/>
        <w:rPr>
          <w:rFonts w:eastAsia="Times New Roman" w:cs="Arial"/>
          <w:sz w:val="28"/>
          <w:szCs w:val="24"/>
          <w:lang w:eastAsia="bg-BG"/>
        </w:rPr>
      </w:pPr>
      <w:proofErr w:type="spellStart"/>
      <w:r w:rsidRPr="00E31EA3">
        <w:rPr>
          <w:rFonts w:eastAsia="Times New Roman" w:cs="Arial"/>
          <w:i/>
          <w:iCs/>
          <w:color w:val="000000"/>
          <w:szCs w:val="20"/>
          <w:lang w:eastAsia="bg-BG"/>
        </w:rPr>
        <w:t>Реактивиране</w:t>
      </w:r>
      <w:proofErr w:type="spellEnd"/>
      <w:r w:rsidRPr="00E31EA3">
        <w:rPr>
          <w:rFonts w:eastAsia="Times New Roman" w:cs="Arial"/>
          <w:i/>
          <w:iCs/>
          <w:color w:val="000000"/>
          <w:szCs w:val="20"/>
          <w:lang w:eastAsia="bg-BG"/>
        </w:rPr>
        <w:t xml:space="preserve"> на херпес зостер вирус</w:t>
      </w:r>
    </w:p>
    <w:p w14:paraId="246E1DF4" w14:textId="77777777" w:rsidR="00E31EA3" w:rsidRPr="00E31EA3" w:rsidRDefault="00E31EA3" w:rsidP="00E31EA3">
      <w:pPr>
        <w:spacing w:line="240" w:lineRule="auto"/>
        <w:rPr>
          <w:rFonts w:eastAsia="Times New Roman" w:cs="Arial"/>
          <w:sz w:val="28"/>
          <w:szCs w:val="24"/>
          <w:lang w:eastAsia="bg-BG"/>
        </w:rPr>
      </w:pPr>
      <w:r w:rsidRPr="00E31EA3">
        <w:rPr>
          <w:rFonts w:eastAsia="Times New Roman" w:cs="Arial"/>
          <w:color w:val="000000"/>
          <w:szCs w:val="20"/>
          <w:lang w:eastAsia="bg-BG"/>
        </w:rPr>
        <w:t xml:space="preserve">Антивирусна профилактика е назначавана на 26% от пациентите в рамото </w:t>
      </w:r>
      <w:proofErr w:type="spellStart"/>
      <w:r w:rsidRPr="00E31EA3">
        <w:rPr>
          <w:rFonts w:eastAsia="Times New Roman" w:cs="Arial"/>
          <w:color w:val="000000"/>
          <w:szCs w:val="20"/>
          <w:lang w:val="en-US"/>
        </w:rPr>
        <w:t>Vc</w:t>
      </w:r>
      <w:proofErr w:type="spellEnd"/>
      <w:r w:rsidRPr="00FD4C98">
        <w:rPr>
          <w:rFonts w:eastAsia="Times New Roman" w:cs="Arial"/>
          <w:color w:val="000000"/>
          <w:szCs w:val="20"/>
          <w:lang w:val="ru-RU"/>
        </w:rPr>
        <w:t>+</w:t>
      </w:r>
      <w:r w:rsidRPr="00E31EA3">
        <w:rPr>
          <w:rFonts w:eastAsia="Times New Roman" w:cs="Arial"/>
          <w:color w:val="000000"/>
          <w:szCs w:val="20"/>
          <w:lang w:val="en-US"/>
        </w:rPr>
        <w:t>M</w:t>
      </w:r>
      <w:r w:rsidRPr="00FD4C98">
        <w:rPr>
          <w:rFonts w:eastAsia="Times New Roman" w:cs="Arial"/>
          <w:color w:val="000000"/>
          <w:szCs w:val="20"/>
          <w:lang w:val="ru-RU"/>
        </w:rPr>
        <w:t>+</w:t>
      </w:r>
      <w:r w:rsidRPr="00E31EA3">
        <w:rPr>
          <w:rFonts w:eastAsia="Times New Roman" w:cs="Arial"/>
          <w:color w:val="000000"/>
          <w:szCs w:val="20"/>
          <w:lang w:val="en-US"/>
        </w:rPr>
        <w:t>P</w:t>
      </w:r>
      <w:r w:rsidRPr="00FD4C98">
        <w:rPr>
          <w:rFonts w:eastAsia="Times New Roman" w:cs="Arial"/>
          <w:color w:val="000000"/>
          <w:szCs w:val="20"/>
          <w:lang w:val="ru-RU"/>
        </w:rPr>
        <w:t xml:space="preserve">. </w:t>
      </w:r>
      <w:r w:rsidRPr="00E31EA3">
        <w:rPr>
          <w:rFonts w:eastAsia="Times New Roman" w:cs="Arial"/>
          <w:color w:val="000000"/>
          <w:szCs w:val="20"/>
          <w:lang w:eastAsia="bg-BG"/>
        </w:rPr>
        <w:t xml:space="preserve">Честотата на херпес зостер за пациентите в терапевтичната група </w:t>
      </w:r>
      <w:proofErr w:type="spellStart"/>
      <w:r w:rsidRPr="00E31EA3">
        <w:rPr>
          <w:rFonts w:eastAsia="Times New Roman" w:cs="Arial"/>
          <w:color w:val="000000"/>
          <w:szCs w:val="20"/>
          <w:lang w:val="en-US"/>
        </w:rPr>
        <w:t>Vc</w:t>
      </w:r>
      <w:proofErr w:type="spellEnd"/>
      <w:r w:rsidRPr="00FD4C98">
        <w:rPr>
          <w:rFonts w:eastAsia="Times New Roman" w:cs="Arial"/>
          <w:color w:val="000000"/>
          <w:szCs w:val="20"/>
          <w:lang w:val="ru-RU"/>
        </w:rPr>
        <w:t>+</w:t>
      </w:r>
      <w:r w:rsidRPr="00E31EA3">
        <w:rPr>
          <w:rFonts w:eastAsia="Times New Roman" w:cs="Arial"/>
          <w:color w:val="000000"/>
          <w:szCs w:val="20"/>
          <w:lang w:val="en-US"/>
        </w:rPr>
        <w:t>M</w:t>
      </w:r>
      <w:r w:rsidRPr="00FD4C98">
        <w:rPr>
          <w:rFonts w:eastAsia="Times New Roman" w:cs="Arial"/>
          <w:color w:val="000000"/>
          <w:szCs w:val="20"/>
          <w:lang w:val="ru-RU"/>
        </w:rPr>
        <w:t>+</w:t>
      </w:r>
      <w:r w:rsidRPr="00E31EA3">
        <w:rPr>
          <w:rFonts w:eastAsia="Times New Roman" w:cs="Arial"/>
          <w:color w:val="000000"/>
          <w:szCs w:val="20"/>
          <w:lang w:val="en-US"/>
        </w:rPr>
        <w:t>P</w:t>
      </w:r>
      <w:r w:rsidRPr="00FD4C98">
        <w:rPr>
          <w:rFonts w:eastAsia="Times New Roman" w:cs="Arial"/>
          <w:color w:val="000000"/>
          <w:szCs w:val="20"/>
          <w:lang w:val="ru-RU"/>
        </w:rPr>
        <w:t xml:space="preserve"> </w:t>
      </w:r>
      <w:r w:rsidRPr="00E31EA3">
        <w:rPr>
          <w:rFonts w:eastAsia="Times New Roman" w:cs="Arial"/>
          <w:color w:val="000000"/>
          <w:szCs w:val="20"/>
          <w:lang w:eastAsia="bg-BG"/>
        </w:rPr>
        <w:t>е била 17% сред пациентите, на които не е била назначена антивирусна профилактика, в сравнение с 3% сред пациентите, на които е била назначена антивирусна профилактика,</w:t>
      </w:r>
    </w:p>
    <w:p w14:paraId="7E987934" w14:textId="77777777" w:rsidR="00E31EA3" w:rsidRPr="00E31EA3" w:rsidRDefault="00E31EA3" w:rsidP="00E31EA3">
      <w:pPr>
        <w:spacing w:line="240" w:lineRule="auto"/>
        <w:rPr>
          <w:rFonts w:eastAsia="Times New Roman" w:cs="Arial"/>
          <w:i/>
          <w:iCs/>
          <w:color w:val="000000"/>
          <w:szCs w:val="20"/>
          <w:lang w:eastAsia="bg-BG"/>
        </w:rPr>
      </w:pPr>
    </w:p>
    <w:p w14:paraId="2F7FD642" w14:textId="2603E5ED" w:rsidR="00E31EA3" w:rsidRPr="00E31EA3" w:rsidRDefault="00E31EA3" w:rsidP="00E31EA3">
      <w:pPr>
        <w:spacing w:line="240" w:lineRule="auto"/>
        <w:rPr>
          <w:rFonts w:eastAsia="Times New Roman" w:cs="Arial"/>
          <w:sz w:val="28"/>
          <w:szCs w:val="24"/>
          <w:lang w:eastAsia="bg-BG"/>
        </w:rPr>
      </w:pPr>
      <w:r w:rsidRPr="00E31EA3">
        <w:rPr>
          <w:rFonts w:eastAsia="Times New Roman" w:cs="Arial"/>
          <w:i/>
          <w:iCs/>
          <w:color w:val="000000"/>
          <w:szCs w:val="20"/>
          <w:lang w:eastAsia="bg-BG"/>
        </w:rPr>
        <w:t>Периферна невропатия при комбинирани схеми на лечение</w:t>
      </w:r>
    </w:p>
    <w:p w14:paraId="41FA5620" w14:textId="77777777" w:rsidR="000C2F42" w:rsidRPr="000C2F42" w:rsidRDefault="00E31EA3" w:rsidP="000C2F42">
      <w:pPr>
        <w:rPr>
          <w:rFonts w:eastAsia="Times New Roman" w:cs="Arial"/>
          <w:lang w:eastAsia="bg-BG"/>
        </w:rPr>
      </w:pPr>
      <w:r w:rsidRPr="00E31EA3">
        <w:rPr>
          <w:rFonts w:eastAsia="Times New Roman" w:cs="Arial"/>
          <w:color w:val="000000"/>
          <w:lang w:eastAsia="bg-BG"/>
        </w:rPr>
        <w:t xml:space="preserve">При изпитвания, в които </w:t>
      </w:r>
      <w:proofErr w:type="spellStart"/>
      <w:r w:rsidRPr="00E31EA3">
        <w:rPr>
          <w:rFonts w:eastAsia="Times New Roman" w:cs="Arial"/>
          <w:color w:val="000000"/>
          <w:lang w:eastAsia="bg-BG"/>
        </w:rPr>
        <w:t>бортезомиб</w:t>
      </w:r>
      <w:proofErr w:type="spellEnd"/>
      <w:r w:rsidRPr="00E31EA3">
        <w:rPr>
          <w:rFonts w:eastAsia="Times New Roman" w:cs="Arial"/>
          <w:color w:val="000000"/>
          <w:lang w:eastAsia="bg-BG"/>
        </w:rPr>
        <w:t xml:space="preserve"> се прилага като индукционно лечение в комбинация с</w:t>
      </w:r>
      <w:r w:rsidRPr="00FD4C98">
        <w:rPr>
          <w:rFonts w:eastAsia="Times New Roman" w:cs="Arial"/>
          <w:lang w:val="ru-RU" w:eastAsia="bg-BG"/>
        </w:rPr>
        <w:t xml:space="preserve"> </w:t>
      </w:r>
      <w:proofErr w:type="spellStart"/>
      <w:r w:rsidRPr="000C2F42">
        <w:rPr>
          <w:rFonts w:eastAsia="Times New Roman" w:cs="Arial"/>
          <w:color w:val="000000"/>
          <w:lang w:eastAsia="bg-BG"/>
        </w:rPr>
        <w:t>дексаметазон</w:t>
      </w:r>
      <w:proofErr w:type="spellEnd"/>
      <w:r w:rsidRPr="000C2F42">
        <w:rPr>
          <w:rFonts w:eastAsia="Times New Roman" w:cs="Arial"/>
          <w:color w:val="000000"/>
          <w:lang w:eastAsia="bg-BG"/>
        </w:rPr>
        <w:t xml:space="preserve"> (проучване </w:t>
      </w:r>
      <w:r w:rsidRPr="000C2F42">
        <w:rPr>
          <w:rFonts w:eastAsia="Times New Roman" w:cs="Arial"/>
          <w:color w:val="000000"/>
          <w:lang w:val="en-US"/>
        </w:rPr>
        <w:t>IFM</w:t>
      </w:r>
      <w:r w:rsidRPr="00FD4C98">
        <w:rPr>
          <w:rFonts w:eastAsia="Times New Roman" w:cs="Arial"/>
          <w:color w:val="000000"/>
          <w:lang w:val="ru-RU"/>
        </w:rPr>
        <w:t xml:space="preserve">-2005-01) </w:t>
      </w:r>
      <w:r w:rsidRPr="000C2F42">
        <w:rPr>
          <w:rFonts w:eastAsia="Times New Roman" w:cs="Arial"/>
          <w:color w:val="000000"/>
          <w:lang w:eastAsia="bg-BG"/>
        </w:rPr>
        <w:t xml:space="preserve">или </w:t>
      </w:r>
      <w:proofErr w:type="spellStart"/>
      <w:r w:rsidRPr="000C2F42">
        <w:rPr>
          <w:rFonts w:eastAsia="Times New Roman" w:cs="Arial"/>
          <w:color w:val="000000"/>
          <w:lang w:eastAsia="bg-BG"/>
        </w:rPr>
        <w:t>дексаметазон-талидомид</w:t>
      </w:r>
      <w:proofErr w:type="spellEnd"/>
      <w:r w:rsidRPr="000C2F42">
        <w:rPr>
          <w:rFonts w:eastAsia="Times New Roman" w:cs="Arial"/>
          <w:color w:val="000000"/>
          <w:lang w:eastAsia="bg-BG"/>
        </w:rPr>
        <w:t xml:space="preserve"> (проучване </w:t>
      </w:r>
      <w:r w:rsidRPr="000C2F42">
        <w:rPr>
          <w:rFonts w:eastAsia="Times New Roman" w:cs="Arial"/>
          <w:color w:val="000000"/>
          <w:lang w:val="en-US"/>
        </w:rPr>
        <w:t>MMY</w:t>
      </w:r>
      <w:r w:rsidRPr="00FD4C98">
        <w:rPr>
          <w:rFonts w:eastAsia="Times New Roman" w:cs="Arial"/>
          <w:color w:val="000000"/>
          <w:lang w:val="ru-RU"/>
        </w:rPr>
        <w:t xml:space="preserve"> - 3010), </w:t>
      </w:r>
      <w:r w:rsidR="000C2F42" w:rsidRPr="000C2F42">
        <w:rPr>
          <w:rFonts w:eastAsia="Times New Roman" w:cs="Arial"/>
          <w:color w:val="000000"/>
          <w:lang w:eastAsia="bg-BG"/>
        </w:rPr>
        <w:t>честотата на възникване на периферна невропатия при комбинираните схеми е представена в таблицата по-долу:</w:t>
      </w:r>
    </w:p>
    <w:p w14:paraId="05D7632D" w14:textId="77777777" w:rsidR="000C2F42" w:rsidRPr="000C2F42" w:rsidRDefault="000C2F42" w:rsidP="000C2F42">
      <w:pPr>
        <w:spacing w:line="240" w:lineRule="auto"/>
        <w:rPr>
          <w:rFonts w:eastAsia="Times New Roman" w:cs="Arial"/>
          <w:i/>
          <w:iCs/>
          <w:color w:val="000000"/>
          <w:lang w:eastAsia="bg-BG"/>
        </w:rPr>
      </w:pPr>
    </w:p>
    <w:p w14:paraId="7181AAAE" w14:textId="5A082745" w:rsidR="00E31EA3" w:rsidRPr="000C2F42" w:rsidRDefault="000C2F42" w:rsidP="000C2F42">
      <w:pPr>
        <w:spacing w:line="240" w:lineRule="auto"/>
        <w:rPr>
          <w:rFonts w:eastAsia="Times New Roman" w:cs="Arial"/>
          <w:lang w:eastAsia="bg-BG"/>
        </w:rPr>
      </w:pPr>
      <w:r w:rsidRPr="000C2F42">
        <w:rPr>
          <w:rFonts w:eastAsia="Times New Roman" w:cs="Arial"/>
          <w:i/>
          <w:iCs/>
          <w:color w:val="000000"/>
          <w:lang w:eastAsia="bg-BG"/>
        </w:rPr>
        <w:t>Таблица 7: Честота на възникване на периферна невропатия по време на индукционно лечение, класифицирана по токсичност и преустановяване на лечението поради периферна невропатия</w:t>
      </w:r>
    </w:p>
    <w:p w14:paraId="6B976C57" w14:textId="33047869" w:rsidR="00613F14" w:rsidRDefault="00613F14" w:rsidP="0091385D"/>
    <w:tbl>
      <w:tblPr>
        <w:tblStyle w:val="TableGrid"/>
        <w:tblW w:w="0" w:type="auto"/>
        <w:tblLook w:val="04A0" w:firstRow="1" w:lastRow="0" w:firstColumn="1" w:lastColumn="0" w:noHBand="0" w:noVBand="1"/>
      </w:tblPr>
      <w:tblGrid>
        <w:gridCol w:w="2025"/>
        <w:gridCol w:w="1833"/>
        <w:gridCol w:w="1833"/>
        <w:gridCol w:w="1833"/>
        <w:gridCol w:w="1826"/>
      </w:tblGrid>
      <w:tr w:rsidR="000C2F42" w14:paraId="5E42201F" w14:textId="77777777" w:rsidTr="00AC443D">
        <w:tc>
          <w:tcPr>
            <w:tcW w:w="2025" w:type="dxa"/>
          </w:tcPr>
          <w:p w14:paraId="56C25364" w14:textId="77777777" w:rsidR="000C2F42" w:rsidRDefault="000C2F42" w:rsidP="000C2F42"/>
        </w:tc>
        <w:tc>
          <w:tcPr>
            <w:tcW w:w="3666" w:type="dxa"/>
            <w:gridSpan w:val="2"/>
          </w:tcPr>
          <w:p w14:paraId="1B0A328F" w14:textId="3B792437" w:rsidR="000C2F42" w:rsidRPr="000C2F42" w:rsidRDefault="000C2F42" w:rsidP="000C2F42">
            <w:r w:rsidRPr="000C2F42">
              <w:rPr>
                <w:szCs w:val="20"/>
                <w:lang w:eastAsia="bg-BG"/>
              </w:rPr>
              <w:tab/>
            </w:r>
            <w:r w:rsidRPr="000C2F42">
              <w:rPr>
                <w:szCs w:val="20"/>
              </w:rPr>
              <w:t>IFM-2005-01</w:t>
            </w:r>
          </w:p>
        </w:tc>
        <w:tc>
          <w:tcPr>
            <w:tcW w:w="3659" w:type="dxa"/>
            <w:gridSpan w:val="2"/>
          </w:tcPr>
          <w:p w14:paraId="1ADAFDAA" w14:textId="316F2FF1" w:rsidR="000C2F42" w:rsidRPr="000C2F42" w:rsidRDefault="000C2F42" w:rsidP="000C2F42">
            <w:r w:rsidRPr="000C2F42">
              <w:rPr>
                <w:szCs w:val="20"/>
              </w:rPr>
              <w:t>MMY-3010</w:t>
            </w:r>
          </w:p>
        </w:tc>
      </w:tr>
      <w:tr w:rsidR="000C2F42" w14:paraId="6637087E" w14:textId="77777777" w:rsidTr="000C2F42">
        <w:tc>
          <w:tcPr>
            <w:tcW w:w="2025" w:type="dxa"/>
          </w:tcPr>
          <w:p w14:paraId="29D73C66" w14:textId="77777777" w:rsidR="000C2F42" w:rsidRPr="000C2F42" w:rsidRDefault="000C2F42" w:rsidP="000C2F42"/>
        </w:tc>
        <w:tc>
          <w:tcPr>
            <w:tcW w:w="1833" w:type="dxa"/>
          </w:tcPr>
          <w:p w14:paraId="4134E78D" w14:textId="6703E65F" w:rsidR="000C2F42" w:rsidRPr="000C2F42" w:rsidRDefault="000C2F42" w:rsidP="000C2F42">
            <w:proofErr w:type="spellStart"/>
            <w:r w:rsidRPr="000C2F42">
              <w:rPr>
                <w:szCs w:val="20"/>
                <w:lang w:val="en-US"/>
              </w:rPr>
              <w:t>VDDx</w:t>
            </w:r>
            <w:proofErr w:type="spellEnd"/>
          </w:p>
        </w:tc>
        <w:tc>
          <w:tcPr>
            <w:tcW w:w="1833" w:type="dxa"/>
          </w:tcPr>
          <w:p w14:paraId="25A3E58A" w14:textId="1BA9B523" w:rsidR="000C2F42" w:rsidRPr="000C2F42" w:rsidRDefault="000C2F42" w:rsidP="000C2F42">
            <w:proofErr w:type="spellStart"/>
            <w:r w:rsidRPr="000C2F42">
              <w:rPr>
                <w:szCs w:val="20"/>
                <w:lang w:val="en-US"/>
              </w:rPr>
              <w:t>BrDx</w:t>
            </w:r>
            <w:proofErr w:type="spellEnd"/>
          </w:p>
        </w:tc>
        <w:tc>
          <w:tcPr>
            <w:tcW w:w="1833" w:type="dxa"/>
          </w:tcPr>
          <w:p w14:paraId="1BA9A664" w14:textId="5896C566" w:rsidR="000C2F42" w:rsidRPr="000C2F42" w:rsidRDefault="000C2F42" w:rsidP="000C2F42">
            <w:proofErr w:type="spellStart"/>
            <w:r w:rsidRPr="000C2F42">
              <w:rPr>
                <w:szCs w:val="20"/>
                <w:lang w:val="en-US"/>
              </w:rPr>
              <w:t>TDx</w:t>
            </w:r>
            <w:proofErr w:type="spellEnd"/>
          </w:p>
        </w:tc>
        <w:tc>
          <w:tcPr>
            <w:tcW w:w="1826" w:type="dxa"/>
          </w:tcPr>
          <w:p w14:paraId="56611A33" w14:textId="2B1FB10C" w:rsidR="000C2F42" w:rsidRPr="000C2F42" w:rsidRDefault="000C2F42" w:rsidP="000C2F42">
            <w:proofErr w:type="spellStart"/>
            <w:r w:rsidRPr="000C2F42">
              <w:rPr>
                <w:szCs w:val="20"/>
                <w:lang w:val="en-US"/>
              </w:rPr>
              <w:t>BrTDx</w:t>
            </w:r>
            <w:proofErr w:type="spellEnd"/>
          </w:p>
        </w:tc>
      </w:tr>
      <w:tr w:rsidR="000C2F42" w14:paraId="636F7307" w14:textId="77777777" w:rsidTr="000C2F42">
        <w:tc>
          <w:tcPr>
            <w:tcW w:w="2025" w:type="dxa"/>
          </w:tcPr>
          <w:p w14:paraId="684DAE2D" w14:textId="77777777" w:rsidR="000C2F42" w:rsidRPr="000C2F42" w:rsidRDefault="000C2F42" w:rsidP="000C2F42"/>
        </w:tc>
        <w:tc>
          <w:tcPr>
            <w:tcW w:w="1833" w:type="dxa"/>
          </w:tcPr>
          <w:p w14:paraId="071FDD7A" w14:textId="79D7EEC6" w:rsidR="000C2F42" w:rsidRPr="000C2F42" w:rsidRDefault="000C2F42" w:rsidP="000C2F42">
            <w:r w:rsidRPr="000C2F42">
              <w:rPr>
                <w:szCs w:val="20"/>
                <w:lang w:val="en-US"/>
              </w:rPr>
              <w:t>(N=239)</w:t>
            </w:r>
          </w:p>
        </w:tc>
        <w:tc>
          <w:tcPr>
            <w:tcW w:w="1833" w:type="dxa"/>
          </w:tcPr>
          <w:p w14:paraId="6C803EB9" w14:textId="6BF024D4" w:rsidR="000C2F42" w:rsidRPr="000C2F42" w:rsidRDefault="000C2F42" w:rsidP="000C2F42">
            <w:r w:rsidRPr="000C2F42">
              <w:rPr>
                <w:szCs w:val="20"/>
                <w:lang w:val="en-US"/>
              </w:rPr>
              <w:t>(N=239)</w:t>
            </w:r>
          </w:p>
        </w:tc>
        <w:tc>
          <w:tcPr>
            <w:tcW w:w="1833" w:type="dxa"/>
          </w:tcPr>
          <w:p w14:paraId="0EF34243" w14:textId="76C1BF71" w:rsidR="000C2F42" w:rsidRPr="000C2F42" w:rsidRDefault="000C2F42" w:rsidP="000C2F42">
            <w:r w:rsidRPr="000C2F42">
              <w:rPr>
                <w:szCs w:val="20"/>
                <w:lang w:val="en-US"/>
              </w:rPr>
              <w:t>(N=126)</w:t>
            </w:r>
          </w:p>
        </w:tc>
        <w:tc>
          <w:tcPr>
            <w:tcW w:w="1826" w:type="dxa"/>
          </w:tcPr>
          <w:p w14:paraId="2541ABFB" w14:textId="01DA3795" w:rsidR="000C2F42" w:rsidRPr="000C2F42" w:rsidRDefault="000C2F42" w:rsidP="000C2F42">
            <w:r w:rsidRPr="000C2F42">
              <w:rPr>
                <w:szCs w:val="20"/>
                <w:lang w:val="en-US"/>
              </w:rPr>
              <w:t>(=130)</w:t>
            </w:r>
          </w:p>
        </w:tc>
      </w:tr>
      <w:tr w:rsidR="000C2F42" w14:paraId="3DE106C7" w14:textId="77777777" w:rsidTr="000C2F42">
        <w:tc>
          <w:tcPr>
            <w:tcW w:w="2025" w:type="dxa"/>
          </w:tcPr>
          <w:p w14:paraId="2B930767" w14:textId="77777777" w:rsidR="000C2F42" w:rsidRPr="000C2F42" w:rsidRDefault="000C2F42" w:rsidP="000C2F42">
            <w:r w:rsidRPr="000C2F42">
              <w:rPr>
                <w:szCs w:val="20"/>
              </w:rPr>
              <w:lastRenderedPageBreak/>
              <w:t>Честота на възникване на ПН (%)</w:t>
            </w:r>
          </w:p>
          <w:p w14:paraId="459CD23F" w14:textId="428FBDB5" w:rsidR="000C2F42" w:rsidRPr="000C2F42" w:rsidRDefault="000C2F42" w:rsidP="000C2F42">
            <w:r w:rsidRPr="000C2F42">
              <w:rPr>
                <w:szCs w:val="20"/>
              </w:rPr>
              <w:t>Всички степени на ПН</w:t>
            </w:r>
          </w:p>
        </w:tc>
        <w:tc>
          <w:tcPr>
            <w:tcW w:w="1833" w:type="dxa"/>
          </w:tcPr>
          <w:p w14:paraId="2C3A9AA6" w14:textId="1F6D9795" w:rsidR="000C2F42" w:rsidRPr="000C2F42" w:rsidRDefault="000C2F42" w:rsidP="000C2F42">
            <w:r w:rsidRPr="000C2F42">
              <w:rPr>
                <w:szCs w:val="20"/>
              </w:rPr>
              <w:t>3</w:t>
            </w:r>
          </w:p>
        </w:tc>
        <w:tc>
          <w:tcPr>
            <w:tcW w:w="1833" w:type="dxa"/>
          </w:tcPr>
          <w:p w14:paraId="5F4B8B06" w14:textId="4A5CE5E7" w:rsidR="000C2F42" w:rsidRPr="000C2F42" w:rsidRDefault="000C2F42" w:rsidP="000C2F42">
            <w:r w:rsidRPr="000C2F42">
              <w:rPr>
                <w:szCs w:val="20"/>
                <w:lang w:val="en-US"/>
              </w:rPr>
              <w:t>15</w:t>
            </w:r>
          </w:p>
        </w:tc>
        <w:tc>
          <w:tcPr>
            <w:tcW w:w="1833" w:type="dxa"/>
          </w:tcPr>
          <w:p w14:paraId="70215246" w14:textId="68ECA04A" w:rsidR="000C2F42" w:rsidRPr="000C2F42" w:rsidRDefault="000C2F42" w:rsidP="000C2F42">
            <w:r w:rsidRPr="000C2F42">
              <w:rPr>
                <w:szCs w:val="20"/>
                <w:lang w:val="en-US"/>
              </w:rPr>
              <w:t>12</w:t>
            </w:r>
          </w:p>
        </w:tc>
        <w:tc>
          <w:tcPr>
            <w:tcW w:w="1826" w:type="dxa"/>
          </w:tcPr>
          <w:p w14:paraId="495E3340" w14:textId="58CE1AC3" w:rsidR="000C2F42" w:rsidRPr="000C2F42" w:rsidRDefault="000C2F42" w:rsidP="000C2F42">
            <w:r w:rsidRPr="000C2F42">
              <w:rPr>
                <w:szCs w:val="20"/>
                <w:lang w:val="en-US"/>
              </w:rPr>
              <w:t>45</w:t>
            </w:r>
          </w:p>
        </w:tc>
      </w:tr>
      <w:tr w:rsidR="000C2F42" w14:paraId="65C6CADB" w14:textId="77777777" w:rsidTr="000C2F42">
        <w:tc>
          <w:tcPr>
            <w:tcW w:w="2025" w:type="dxa"/>
          </w:tcPr>
          <w:p w14:paraId="7CCDC2AD" w14:textId="75E5898C" w:rsidR="000C2F42" w:rsidRPr="000C2F42" w:rsidRDefault="000C2F42" w:rsidP="000C2F42">
            <w:r w:rsidRPr="000C2F42">
              <w:rPr>
                <w:szCs w:val="20"/>
              </w:rPr>
              <w:t>ПН степен 2</w:t>
            </w:r>
          </w:p>
        </w:tc>
        <w:tc>
          <w:tcPr>
            <w:tcW w:w="1833" w:type="dxa"/>
          </w:tcPr>
          <w:p w14:paraId="7CB26480" w14:textId="01DAB07B" w:rsidR="000C2F42" w:rsidRPr="000C2F42" w:rsidRDefault="000C2F42" w:rsidP="000C2F42">
            <w:r w:rsidRPr="000C2F42">
              <w:rPr>
                <w:szCs w:val="20"/>
              </w:rPr>
              <w:t>1</w:t>
            </w:r>
          </w:p>
        </w:tc>
        <w:tc>
          <w:tcPr>
            <w:tcW w:w="1833" w:type="dxa"/>
          </w:tcPr>
          <w:p w14:paraId="62C673DD" w14:textId="3DB11276" w:rsidR="000C2F42" w:rsidRPr="000C2F42" w:rsidRDefault="000C2F42" w:rsidP="000C2F42">
            <w:r w:rsidRPr="000C2F42">
              <w:rPr>
                <w:szCs w:val="20"/>
                <w:lang w:val="en-US"/>
              </w:rPr>
              <w:t>10</w:t>
            </w:r>
          </w:p>
        </w:tc>
        <w:tc>
          <w:tcPr>
            <w:tcW w:w="1833" w:type="dxa"/>
          </w:tcPr>
          <w:p w14:paraId="7257DEBE" w14:textId="4D1E000D" w:rsidR="000C2F42" w:rsidRPr="000C2F42" w:rsidRDefault="000C2F42" w:rsidP="000C2F42">
            <w:r w:rsidRPr="000C2F42">
              <w:rPr>
                <w:szCs w:val="20"/>
                <w:lang w:val="en-US"/>
              </w:rPr>
              <w:t>2</w:t>
            </w:r>
          </w:p>
        </w:tc>
        <w:tc>
          <w:tcPr>
            <w:tcW w:w="1826" w:type="dxa"/>
          </w:tcPr>
          <w:p w14:paraId="300909B9" w14:textId="12F4D2A2" w:rsidR="000C2F42" w:rsidRPr="000C2F42" w:rsidRDefault="000C2F42" w:rsidP="000C2F42">
            <w:r w:rsidRPr="000C2F42">
              <w:rPr>
                <w:szCs w:val="20"/>
                <w:lang w:val="en-US"/>
              </w:rPr>
              <w:t>31</w:t>
            </w:r>
          </w:p>
        </w:tc>
      </w:tr>
      <w:tr w:rsidR="000C2F42" w14:paraId="5BBFC63B" w14:textId="77777777" w:rsidTr="000C2F42">
        <w:tc>
          <w:tcPr>
            <w:tcW w:w="2025" w:type="dxa"/>
          </w:tcPr>
          <w:p w14:paraId="16612CCC" w14:textId="55415782" w:rsidR="000C2F42" w:rsidRPr="000C2F42" w:rsidRDefault="000C2F42" w:rsidP="000C2F42">
            <w:r w:rsidRPr="000C2F42">
              <w:rPr>
                <w:szCs w:val="20"/>
              </w:rPr>
              <w:t>ПН степен 3</w:t>
            </w:r>
          </w:p>
        </w:tc>
        <w:tc>
          <w:tcPr>
            <w:tcW w:w="1833" w:type="dxa"/>
          </w:tcPr>
          <w:p w14:paraId="29003D8A" w14:textId="46C6FB14" w:rsidR="000C2F42" w:rsidRPr="000C2F42" w:rsidRDefault="000C2F42" w:rsidP="000C2F42">
            <w:r w:rsidRPr="000C2F42">
              <w:rPr>
                <w:szCs w:val="20"/>
              </w:rPr>
              <w:t>&lt;1</w:t>
            </w:r>
          </w:p>
        </w:tc>
        <w:tc>
          <w:tcPr>
            <w:tcW w:w="1833" w:type="dxa"/>
          </w:tcPr>
          <w:p w14:paraId="0945B027" w14:textId="5A9B1AD6" w:rsidR="000C2F42" w:rsidRPr="000C2F42" w:rsidRDefault="000C2F42" w:rsidP="000C2F42">
            <w:r w:rsidRPr="000C2F42">
              <w:rPr>
                <w:szCs w:val="20"/>
                <w:lang w:val="en-US"/>
              </w:rPr>
              <w:t>5</w:t>
            </w:r>
          </w:p>
        </w:tc>
        <w:tc>
          <w:tcPr>
            <w:tcW w:w="1833" w:type="dxa"/>
          </w:tcPr>
          <w:p w14:paraId="5183738D" w14:textId="0B616527" w:rsidR="000C2F42" w:rsidRPr="000C2F42" w:rsidRDefault="000C2F42" w:rsidP="000C2F42">
            <w:r w:rsidRPr="000C2F42">
              <w:rPr>
                <w:szCs w:val="20"/>
                <w:lang w:val="en-US"/>
              </w:rPr>
              <w:t>0</w:t>
            </w:r>
          </w:p>
        </w:tc>
        <w:tc>
          <w:tcPr>
            <w:tcW w:w="1826" w:type="dxa"/>
          </w:tcPr>
          <w:p w14:paraId="3AF4C895" w14:textId="327241BD" w:rsidR="000C2F42" w:rsidRPr="000C2F42" w:rsidRDefault="000C2F42" w:rsidP="000C2F42">
            <w:r w:rsidRPr="000C2F42">
              <w:rPr>
                <w:szCs w:val="20"/>
                <w:lang w:val="en-US"/>
              </w:rPr>
              <w:t>5</w:t>
            </w:r>
          </w:p>
        </w:tc>
      </w:tr>
      <w:tr w:rsidR="000C2F42" w14:paraId="523ACD07" w14:textId="77777777" w:rsidTr="000C2F42">
        <w:tc>
          <w:tcPr>
            <w:tcW w:w="2025" w:type="dxa"/>
          </w:tcPr>
          <w:p w14:paraId="6724B7EC" w14:textId="6450CED1" w:rsidR="000C2F42" w:rsidRPr="000C2F42" w:rsidRDefault="000C2F42" w:rsidP="000C2F42">
            <w:r w:rsidRPr="000C2F42">
              <w:rPr>
                <w:szCs w:val="20"/>
              </w:rPr>
              <w:t>Преустановяване на лечението поради ПН (%)</w:t>
            </w:r>
          </w:p>
        </w:tc>
        <w:tc>
          <w:tcPr>
            <w:tcW w:w="1833" w:type="dxa"/>
          </w:tcPr>
          <w:p w14:paraId="06B0C78F" w14:textId="0B1B1BFE" w:rsidR="000C2F42" w:rsidRPr="000C2F42" w:rsidRDefault="000C2F42" w:rsidP="000C2F42">
            <w:r w:rsidRPr="000C2F42">
              <w:rPr>
                <w:szCs w:val="20"/>
              </w:rPr>
              <w:t>&lt;1</w:t>
            </w:r>
          </w:p>
        </w:tc>
        <w:tc>
          <w:tcPr>
            <w:tcW w:w="1833" w:type="dxa"/>
          </w:tcPr>
          <w:p w14:paraId="46E45EDD" w14:textId="2A0DA09D" w:rsidR="000C2F42" w:rsidRPr="000C2F42" w:rsidRDefault="000C2F42" w:rsidP="000C2F42">
            <w:r w:rsidRPr="000C2F42">
              <w:rPr>
                <w:szCs w:val="20"/>
                <w:lang w:val="en-US"/>
              </w:rPr>
              <w:t>2</w:t>
            </w:r>
          </w:p>
        </w:tc>
        <w:tc>
          <w:tcPr>
            <w:tcW w:w="1833" w:type="dxa"/>
          </w:tcPr>
          <w:p w14:paraId="42181AAD" w14:textId="67D7697F" w:rsidR="000C2F42" w:rsidRPr="000C2F42" w:rsidRDefault="000C2F42" w:rsidP="000C2F42">
            <w:r w:rsidRPr="000C2F42">
              <w:rPr>
                <w:szCs w:val="20"/>
                <w:lang w:val="en-US"/>
              </w:rPr>
              <w:t>1</w:t>
            </w:r>
          </w:p>
        </w:tc>
        <w:tc>
          <w:tcPr>
            <w:tcW w:w="1826" w:type="dxa"/>
          </w:tcPr>
          <w:p w14:paraId="31C4493F" w14:textId="4DF70B65" w:rsidR="000C2F42" w:rsidRPr="000C2F42" w:rsidRDefault="000C2F42" w:rsidP="000C2F42">
            <w:r w:rsidRPr="000C2F42">
              <w:rPr>
                <w:szCs w:val="20"/>
                <w:lang w:val="en-US"/>
              </w:rPr>
              <w:t>5</w:t>
            </w:r>
          </w:p>
        </w:tc>
      </w:tr>
    </w:tbl>
    <w:p w14:paraId="4D8C1D6D" w14:textId="1351AACE" w:rsidR="000C2F42" w:rsidRDefault="000C2F42" w:rsidP="0091385D"/>
    <w:p w14:paraId="074BDBA3" w14:textId="77777777" w:rsidR="000C2F42" w:rsidRPr="000C2F42" w:rsidRDefault="000C2F42" w:rsidP="000C2F42">
      <w:pPr>
        <w:spacing w:line="240" w:lineRule="auto"/>
        <w:rPr>
          <w:rFonts w:eastAsia="Times New Roman" w:cs="Arial"/>
          <w:sz w:val="28"/>
          <w:szCs w:val="24"/>
          <w:lang w:eastAsia="bg-BG"/>
        </w:rPr>
      </w:pPr>
      <w:r w:rsidRPr="000C2F42">
        <w:rPr>
          <w:rFonts w:eastAsia="Times New Roman" w:cs="Arial"/>
          <w:color w:val="000000"/>
          <w:szCs w:val="20"/>
          <w:lang w:val="en-US"/>
        </w:rPr>
        <w:t>VDD</w:t>
      </w:r>
      <w:r w:rsidRPr="000C2F42">
        <w:rPr>
          <w:rFonts w:eastAsia="Times New Roman" w:cs="Arial"/>
          <w:color w:val="000000"/>
          <w:szCs w:val="20"/>
          <w:lang w:eastAsia="bg-BG"/>
        </w:rPr>
        <w:t>х=</w:t>
      </w:r>
      <w:proofErr w:type="spellStart"/>
      <w:r w:rsidRPr="000C2F42">
        <w:rPr>
          <w:rFonts w:eastAsia="Times New Roman" w:cs="Arial"/>
          <w:color w:val="000000"/>
          <w:szCs w:val="20"/>
          <w:lang w:eastAsia="bg-BG"/>
        </w:rPr>
        <w:t>винкристин</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доксорубицин</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дексаметазон</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val="en-US"/>
        </w:rPr>
        <w:t>BrDx</w:t>
      </w:r>
      <w:proofErr w:type="spellEnd"/>
      <w:r w:rsidRPr="000C2F42">
        <w:rPr>
          <w:rFonts w:eastAsia="Times New Roman" w:cs="Arial"/>
          <w:color w:val="000000"/>
          <w:szCs w:val="20"/>
          <w:lang w:eastAsia="bg-BG"/>
        </w:rPr>
        <w:t>-</w:t>
      </w:r>
      <w:proofErr w:type="spellStart"/>
      <w:r w:rsidRPr="000C2F42">
        <w:rPr>
          <w:rFonts w:eastAsia="Times New Roman" w:cs="Arial"/>
          <w:color w:val="000000"/>
          <w:szCs w:val="20"/>
          <w:lang w:eastAsia="bg-BG"/>
        </w:rPr>
        <w:t>бортезомиб</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дексаметазон</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val="en-US"/>
        </w:rPr>
        <w:t>TDx</w:t>
      </w:r>
      <w:proofErr w:type="spellEnd"/>
      <w:r w:rsidRPr="00FD4C98">
        <w:rPr>
          <w:rFonts w:eastAsia="Times New Roman" w:cs="Arial"/>
          <w:color w:val="000000"/>
          <w:szCs w:val="20"/>
        </w:rPr>
        <w:t xml:space="preserve">= </w:t>
      </w:r>
      <w:proofErr w:type="spellStart"/>
      <w:r w:rsidRPr="000C2F42">
        <w:rPr>
          <w:rFonts w:eastAsia="Times New Roman" w:cs="Arial"/>
          <w:color w:val="000000"/>
          <w:szCs w:val="20"/>
          <w:lang w:eastAsia="bg-BG"/>
        </w:rPr>
        <w:t>талидомид</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дексаметазон</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ВгТ</w:t>
      </w:r>
      <w:proofErr w:type="spellEnd"/>
      <w:r w:rsidRPr="000C2F42">
        <w:rPr>
          <w:rFonts w:eastAsia="Times New Roman" w:cs="Arial"/>
          <w:color w:val="000000"/>
          <w:szCs w:val="20"/>
          <w:lang w:val="en-US"/>
        </w:rPr>
        <w:t>D</w:t>
      </w:r>
      <w:r w:rsidRPr="000C2F42">
        <w:rPr>
          <w:rFonts w:eastAsia="Times New Roman" w:cs="Arial"/>
          <w:color w:val="000000"/>
          <w:szCs w:val="20"/>
          <w:lang w:eastAsia="bg-BG"/>
        </w:rPr>
        <w:t>х=</w:t>
      </w:r>
      <w:proofErr w:type="spellStart"/>
      <w:r w:rsidRPr="000C2F42">
        <w:rPr>
          <w:rFonts w:eastAsia="Times New Roman" w:cs="Arial"/>
          <w:color w:val="000000"/>
          <w:szCs w:val="20"/>
          <w:lang w:eastAsia="bg-BG"/>
        </w:rPr>
        <w:t>бортезомиб</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талидомид</w:t>
      </w:r>
      <w:proofErr w:type="spellEnd"/>
      <w:r w:rsidRPr="000C2F42">
        <w:rPr>
          <w:rFonts w:eastAsia="Times New Roman" w:cs="Arial"/>
          <w:color w:val="000000"/>
          <w:szCs w:val="20"/>
          <w:lang w:eastAsia="bg-BG"/>
        </w:rPr>
        <w:t xml:space="preserve">, </w:t>
      </w:r>
      <w:proofErr w:type="spellStart"/>
      <w:r w:rsidRPr="000C2F42">
        <w:rPr>
          <w:rFonts w:eastAsia="Times New Roman" w:cs="Arial"/>
          <w:color w:val="000000"/>
          <w:szCs w:val="20"/>
          <w:lang w:eastAsia="bg-BG"/>
        </w:rPr>
        <w:t>дексаметазон</w:t>
      </w:r>
      <w:proofErr w:type="spellEnd"/>
      <w:r w:rsidRPr="000C2F42">
        <w:rPr>
          <w:rFonts w:eastAsia="Times New Roman" w:cs="Arial"/>
          <w:color w:val="000000"/>
          <w:szCs w:val="20"/>
          <w:lang w:eastAsia="bg-BG"/>
        </w:rPr>
        <w:t xml:space="preserve">; ПН=периферна </w:t>
      </w:r>
      <w:proofErr w:type="spellStart"/>
      <w:r w:rsidRPr="000C2F42">
        <w:rPr>
          <w:rFonts w:eastAsia="Times New Roman" w:cs="Arial"/>
          <w:color w:val="000000"/>
          <w:szCs w:val="20"/>
          <w:lang w:eastAsia="bg-BG"/>
        </w:rPr>
        <w:t>невронатия</w:t>
      </w:r>
      <w:proofErr w:type="spellEnd"/>
    </w:p>
    <w:p w14:paraId="0435B16C" w14:textId="77777777" w:rsidR="000C2F42" w:rsidRPr="000C2F42" w:rsidRDefault="000C2F42" w:rsidP="000C2F42">
      <w:pPr>
        <w:spacing w:line="240" w:lineRule="auto"/>
        <w:rPr>
          <w:rFonts w:eastAsia="Times New Roman" w:cs="Arial"/>
          <w:sz w:val="28"/>
          <w:szCs w:val="24"/>
          <w:lang w:eastAsia="bg-BG"/>
        </w:rPr>
      </w:pPr>
      <w:r w:rsidRPr="000C2F42">
        <w:rPr>
          <w:rFonts w:eastAsia="Times New Roman" w:cs="Arial"/>
          <w:color w:val="000000"/>
          <w:szCs w:val="20"/>
          <w:lang w:eastAsia="bg-BG"/>
        </w:rPr>
        <w:t xml:space="preserve">Бележка: Периферната невропатия включва предпочитани термини: периферна невропатия, периферна моторна невропатия, периферна сензорна невропатия и </w:t>
      </w:r>
      <w:proofErr w:type="spellStart"/>
      <w:r w:rsidRPr="000C2F42">
        <w:rPr>
          <w:rFonts w:eastAsia="Times New Roman" w:cs="Arial"/>
          <w:color w:val="000000"/>
          <w:szCs w:val="20"/>
          <w:lang w:eastAsia="bg-BG"/>
        </w:rPr>
        <w:t>полиневропатия</w:t>
      </w:r>
      <w:proofErr w:type="spellEnd"/>
      <w:r w:rsidRPr="000C2F42">
        <w:rPr>
          <w:rFonts w:eastAsia="Times New Roman" w:cs="Arial"/>
          <w:color w:val="000000"/>
          <w:szCs w:val="20"/>
          <w:lang w:eastAsia="bg-BG"/>
        </w:rPr>
        <w:t>.</w:t>
      </w:r>
    </w:p>
    <w:p w14:paraId="737F2443" w14:textId="77777777" w:rsidR="000C2F42" w:rsidRPr="000C2F42" w:rsidRDefault="000C2F42" w:rsidP="000C2F42">
      <w:pPr>
        <w:spacing w:line="240" w:lineRule="auto"/>
        <w:rPr>
          <w:rFonts w:eastAsia="Times New Roman" w:cs="Arial"/>
          <w:i/>
          <w:iCs/>
          <w:color w:val="000000"/>
          <w:szCs w:val="20"/>
          <w:lang w:eastAsia="bg-BG"/>
        </w:rPr>
      </w:pPr>
    </w:p>
    <w:p w14:paraId="1AE41EFF" w14:textId="4764723B" w:rsidR="000C2F42" w:rsidRPr="000C2F42" w:rsidRDefault="000C2F42" w:rsidP="000C2F42">
      <w:pPr>
        <w:spacing w:line="240" w:lineRule="auto"/>
        <w:rPr>
          <w:rFonts w:eastAsia="Times New Roman" w:cs="Arial"/>
          <w:sz w:val="28"/>
          <w:szCs w:val="24"/>
          <w:lang w:eastAsia="bg-BG"/>
        </w:rPr>
      </w:pPr>
      <w:r w:rsidRPr="000C2F42">
        <w:rPr>
          <w:rFonts w:eastAsia="Times New Roman" w:cs="Arial"/>
          <w:i/>
          <w:iCs/>
          <w:color w:val="000000"/>
          <w:szCs w:val="20"/>
          <w:lang w:eastAsia="bg-BG"/>
        </w:rPr>
        <w:t xml:space="preserve">Значими разлики в профила на безопасност на </w:t>
      </w:r>
      <w:proofErr w:type="spellStart"/>
      <w:r w:rsidRPr="000C2F42">
        <w:rPr>
          <w:rFonts w:eastAsia="Times New Roman" w:cs="Arial"/>
          <w:i/>
          <w:iCs/>
          <w:color w:val="000000"/>
          <w:szCs w:val="20"/>
          <w:lang w:eastAsia="bg-BG"/>
        </w:rPr>
        <w:t>бортезомиб</w:t>
      </w:r>
      <w:proofErr w:type="spellEnd"/>
      <w:r w:rsidRPr="000C2F42">
        <w:rPr>
          <w:rFonts w:eastAsia="Times New Roman" w:cs="Arial"/>
          <w:i/>
          <w:iCs/>
          <w:color w:val="000000"/>
          <w:szCs w:val="20"/>
          <w:lang w:eastAsia="bg-BG"/>
        </w:rPr>
        <w:t>, приложен подкожно, в сравнение с интравенозно приложение като самостоятелно средство</w:t>
      </w:r>
    </w:p>
    <w:p w14:paraId="3C85CBA5" w14:textId="77777777" w:rsidR="000C2F42" w:rsidRPr="000C2F42" w:rsidRDefault="000C2F42" w:rsidP="000C2F42">
      <w:pPr>
        <w:spacing w:line="240" w:lineRule="auto"/>
        <w:rPr>
          <w:rFonts w:eastAsia="Times New Roman" w:cs="Arial"/>
          <w:sz w:val="28"/>
          <w:szCs w:val="24"/>
          <w:lang w:eastAsia="bg-BG"/>
        </w:rPr>
      </w:pPr>
      <w:r w:rsidRPr="000C2F42">
        <w:rPr>
          <w:rFonts w:eastAsia="Times New Roman" w:cs="Arial"/>
          <w:color w:val="000000"/>
          <w:szCs w:val="20"/>
          <w:lang w:eastAsia="bg-BG"/>
        </w:rPr>
        <w:t xml:space="preserve">Във Фаза Ш на проучването общата честота на възникналите по време на лечение нежелани реакции със степен на токсичност 3 или повече е с 13% по-ниска при пациентите, приемащи </w:t>
      </w:r>
      <w:proofErr w:type="spellStart"/>
      <w:r w:rsidRPr="000C2F42">
        <w:rPr>
          <w:rFonts w:eastAsia="Times New Roman" w:cs="Arial"/>
          <w:color w:val="000000"/>
          <w:szCs w:val="20"/>
          <w:lang w:eastAsia="bg-BG"/>
        </w:rPr>
        <w:t>бортезомиб</w:t>
      </w:r>
      <w:proofErr w:type="spellEnd"/>
      <w:r w:rsidRPr="000C2F42">
        <w:rPr>
          <w:rFonts w:eastAsia="Times New Roman" w:cs="Arial"/>
          <w:color w:val="000000"/>
          <w:szCs w:val="20"/>
          <w:lang w:eastAsia="bg-BG"/>
        </w:rPr>
        <w:t xml:space="preserve"> подкожно, в сравнение с интравенозното приложение, а случаите на прекратяване на терапията с </w:t>
      </w:r>
      <w:proofErr w:type="spellStart"/>
      <w:r w:rsidRPr="000C2F42">
        <w:rPr>
          <w:rFonts w:eastAsia="Times New Roman" w:cs="Arial"/>
          <w:color w:val="000000"/>
          <w:szCs w:val="20"/>
          <w:lang w:eastAsia="bg-BG"/>
        </w:rPr>
        <w:t>бортезомиб</w:t>
      </w:r>
      <w:proofErr w:type="spellEnd"/>
      <w:r w:rsidRPr="000C2F42">
        <w:rPr>
          <w:rFonts w:eastAsia="Times New Roman" w:cs="Arial"/>
          <w:color w:val="000000"/>
          <w:szCs w:val="20"/>
          <w:lang w:eastAsia="bg-BG"/>
        </w:rPr>
        <w:t xml:space="preserve"> са с 5% по-малко. Общата честота на възникване на диария, стомашно-чревни и коремни болки, </w:t>
      </w:r>
      <w:proofErr w:type="spellStart"/>
      <w:r w:rsidRPr="000C2F42">
        <w:rPr>
          <w:rFonts w:eastAsia="Times New Roman" w:cs="Arial"/>
          <w:color w:val="000000"/>
          <w:szCs w:val="20"/>
          <w:lang w:eastAsia="bg-BG"/>
        </w:rPr>
        <w:t>астенични</w:t>
      </w:r>
      <w:proofErr w:type="spellEnd"/>
      <w:r w:rsidRPr="000C2F42">
        <w:rPr>
          <w:rFonts w:eastAsia="Times New Roman" w:cs="Arial"/>
          <w:color w:val="000000"/>
          <w:szCs w:val="20"/>
          <w:lang w:eastAsia="bg-BG"/>
        </w:rPr>
        <w:t xml:space="preserve"> състояния, инфекции на горните дихателни пътища и периферни невропатии е с 12-15% по-ниска в групата на подкожно приложение, отколкото в тази на интравенозно приложение. Също така честотата на възникване на периферни невропатии със степен на токсичност 3 или повече е с 10% по-ниска, а случаите на прекратяване на терапията в резултат на периферни невропатии са с 8% по-малко в групата на подкожно приложение.</w:t>
      </w:r>
    </w:p>
    <w:p w14:paraId="5ECBB17A" w14:textId="77777777" w:rsidR="000C2F42" w:rsidRPr="000C2F42" w:rsidRDefault="000C2F42" w:rsidP="000C2F42">
      <w:pPr>
        <w:spacing w:line="240" w:lineRule="auto"/>
        <w:rPr>
          <w:rFonts w:eastAsia="Times New Roman" w:cs="Arial"/>
          <w:color w:val="000000"/>
          <w:szCs w:val="20"/>
          <w:lang w:eastAsia="bg-BG"/>
        </w:rPr>
      </w:pPr>
    </w:p>
    <w:p w14:paraId="73E255ED" w14:textId="0FA24207" w:rsidR="000C2F42" w:rsidRPr="000C2F42" w:rsidRDefault="000C2F42" w:rsidP="000C2F42">
      <w:pPr>
        <w:spacing w:line="240" w:lineRule="auto"/>
        <w:rPr>
          <w:rFonts w:eastAsia="Times New Roman" w:cs="Arial"/>
          <w:sz w:val="28"/>
          <w:szCs w:val="24"/>
          <w:lang w:eastAsia="bg-BG"/>
        </w:rPr>
      </w:pPr>
      <w:r w:rsidRPr="000C2F42">
        <w:rPr>
          <w:rFonts w:eastAsia="Times New Roman" w:cs="Arial"/>
          <w:color w:val="000000"/>
          <w:szCs w:val="20"/>
          <w:lang w:eastAsia="bg-BG"/>
        </w:rPr>
        <w:t>Нежелана реакция на мястото на подкожно приложение, предимно зачервяване, се съобщава при 6% от пациентите. Случаите са преминали средно за 6 дни, като при двама пациенти се е наложила промяна на дозата. Двама (1%) от пациентите са имали тежки реакции; 1 случай на сърбеж и 1 случай на зачервяване.</w:t>
      </w:r>
    </w:p>
    <w:p w14:paraId="22C764C8" w14:textId="77777777" w:rsidR="000C2F42" w:rsidRPr="000C2F42" w:rsidRDefault="000C2F42" w:rsidP="000C2F42">
      <w:pPr>
        <w:spacing w:line="240" w:lineRule="auto"/>
        <w:rPr>
          <w:rFonts w:eastAsia="Times New Roman" w:cs="Arial"/>
          <w:color w:val="000000"/>
          <w:szCs w:val="20"/>
          <w:lang w:eastAsia="bg-BG"/>
        </w:rPr>
      </w:pPr>
    </w:p>
    <w:p w14:paraId="4D074EE5" w14:textId="3374CC1E" w:rsidR="000C2F42" w:rsidRPr="000C2F42" w:rsidRDefault="000C2F42" w:rsidP="000C2F42">
      <w:pPr>
        <w:spacing w:line="240" w:lineRule="auto"/>
        <w:rPr>
          <w:rFonts w:eastAsia="Times New Roman" w:cs="Arial"/>
          <w:sz w:val="28"/>
          <w:szCs w:val="24"/>
          <w:lang w:eastAsia="bg-BG"/>
        </w:rPr>
      </w:pPr>
      <w:r w:rsidRPr="000C2F42">
        <w:rPr>
          <w:rFonts w:eastAsia="Times New Roman" w:cs="Arial"/>
          <w:color w:val="000000"/>
          <w:szCs w:val="20"/>
          <w:lang w:eastAsia="bg-BG"/>
        </w:rPr>
        <w:t>Честотата на смъртните случаи при лечение е 5% в групата пациенти на подкожно лечение и 7% в групата пациенти на интравенозно лечение. Честотата на смърт от „прогресиращо заболяване" е 18% в групата на подкожно приложение и 9% в групата на интравенозно приложение.</w:t>
      </w:r>
    </w:p>
    <w:p w14:paraId="43FF47DD" w14:textId="77777777" w:rsidR="000C2F42" w:rsidRPr="000C2F42" w:rsidRDefault="000C2F42" w:rsidP="000C2F42">
      <w:pPr>
        <w:rPr>
          <w:rFonts w:eastAsia="Times New Roman" w:cs="Arial"/>
          <w:i/>
          <w:iCs/>
          <w:color w:val="000000"/>
          <w:szCs w:val="20"/>
          <w:u w:val="single"/>
          <w:lang w:eastAsia="bg-BG"/>
        </w:rPr>
      </w:pPr>
    </w:p>
    <w:p w14:paraId="3F1249E6" w14:textId="2C8E701B" w:rsidR="000C2F42" w:rsidRDefault="000C2F42" w:rsidP="000C2F42">
      <w:pPr>
        <w:rPr>
          <w:rFonts w:eastAsia="Times New Roman" w:cs="Arial"/>
          <w:color w:val="000000"/>
          <w:szCs w:val="20"/>
          <w:lang w:eastAsia="bg-BG"/>
        </w:rPr>
      </w:pPr>
      <w:r w:rsidRPr="000C2F42">
        <w:rPr>
          <w:rFonts w:eastAsia="Times New Roman" w:cs="Arial"/>
          <w:i/>
          <w:iCs/>
          <w:color w:val="000000"/>
          <w:szCs w:val="20"/>
          <w:u w:val="single"/>
          <w:lang w:eastAsia="bg-BG"/>
        </w:rPr>
        <w:t>Повторно лечение на пациенти с рецидивирал мултиплен миелом</w:t>
      </w:r>
      <w:r w:rsidRPr="000C2F42">
        <w:rPr>
          <w:rFonts w:eastAsia="Times New Roman" w:cs="Arial"/>
          <w:color w:val="000000"/>
          <w:szCs w:val="20"/>
          <w:lang w:eastAsia="bg-BG"/>
        </w:rPr>
        <w:t xml:space="preserve"> При проучване, в което се прилага повторно лечение с </w:t>
      </w:r>
      <w:proofErr w:type="spellStart"/>
      <w:r w:rsidRPr="000C2F42">
        <w:rPr>
          <w:rFonts w:eastAsia="Times New Roman" w:cs="Arial"/>
          <w:color w:val="000000"/>
          <w:szCs w:val="20"/>
          <w:lang w:eastAsia="bg-BG"/>
        </w:rPr>
        <w:t>бортезомиб</w:t>
      </w:r>
      <w:proofErr w:type="spellEnd"/>
      <w:r w:rsidRPr="000C2F42">
        <w:rPr>
          <w:rFonts w:eastAsia="Times New Roman" w:cs="Arial"/>
          <w:color w:val="000000"/>
          <w:szCs w:val="20"/>
          <w:lang w:eastAsia="bg-BG"/>
        </w:rPr>
        <w:t xml:space="preserve"> на 130 пациенти с рецидивирал </w:t>
      </w:r>
      <w:proofErr w:type="spellStart"/>
      <w:r w:rsidRPr="000C2F42">
        <w:rPr>
          <w:rFonts w:eastAsia="Times New Roman" w:cs="Arial"/>
          <w:color w:val="000000"/>
          <w:szCs w:val="20"/>
          <w:lang w:eastAsia="bg-BG"/>
        </w:rPr>
        <w:t>мулиплен</w:t>
      </w:r>
      <w:proofErr w:type="spellEnd"/>
      <w:r w:rsidRPr="000C2F42">
        <w:rPr>
          <w:rFonts w:eastAsia="Times New Roman" w:cs="Arial"/>
          <w:color w:val="000000"/>
          <w:szCs w:val="20"/>
          <w:lang w:eastAsia="bg-BG"/>
        </w:rPr>
        <w:t xml:space="preserve"> миелом, които са показали попе частичен отговор към предходна </w:t>
      </w:r>
      <w:proofErr w:type="spellStart"/>
      <w:r w:rsidRPr="000C2F42">
        <w:rPr>
          <w:rFonts w:eastAsia="Times New Roman" w:cs="Arial"/>
          <w:color w:val="000000"/>
          <w:szCs w:val="20"/>
          <w:lang w:eastAsia="bg-BG"/>
        </w:rPr>
        <w:t>бортезомиб</w:t>
      </w:r>
      <w:proofErr w:type="spellEnd"/>
      <w:r w:rsidRPr="000C2F42">
        <w:rPr>
          <w:rFonts w:eastAsia="Times New Roman" w:cs="Arial"/>
          <w:color w:val="000000"/>
          <w:szCs w:val="20"/>
          <w:lang w:eastAsia="bg-BG"/>
        </w:rPr>
        <w:t xml:space="preserve">-съдържаща терапевтична схема, най-често срещаните нежелани събития от всякаква степен, наблюдавани при минимум 25% </w:t>
      </w:r>
      <w:proofErr w:type="spellStart"/>
      <w:r w:rsidRPr="000C2F42">
        <w:rPr>
          <w:rFonts w:eastAsia="Times New Roman" w:cs="Arial"/>
          <w:color w:val="000000"/>
          <w:szCs w:val="20"/>
          <w:lang w:eastAsia="bg-BG"/>
        </w:rPr>
        <w:t>оз</w:t>
      </w:r>
      <w:proofErr w:type="spellEnd"/>
      <w:r w:rsidRPr="000C2F42">
        <w:rPr>
          <w:rFonts w:eastAsia="Times New Roman" w:cs="Arial"/>
          <w:color w:val="000000"/>
          <w:szCs w:val="20"/>
          <w:lang w:eastAsia="bg-BG"/>
        </w:rPr>
        <w:t xml:space="preserve">' пациентите, са </w:t>
      </w:r>
      <w:proofErr w:type="spellStart"/>
      <w:r w:rsidRPr="000C2F42">
        <w:rPr>
          <w:rFonts w:eastAsia="Times New Roman" w:cs="Arial"/>
          <w:color w:val="000000"/>
          <w:szCs w:val="20"/>
          <w:lang w:eastAsia="bg-BG"/>
        </w:rPr>
        <w:t>тромбоцитопения</w:t>
      </w:r>
      <w:proofErr w:type="spellEnd"/>
      <w:r w:rsidRPr="000C2F42">
        <w:rPr>
          <w:rFonts w:eastAsia="Times New Roman" w:cs="Arial"/>
          <w:color w:val="000000"/>
          <w:szCs w:val="20"/>
          <w:lang w:eastAsia="bg-BG"/>
        </w:rPr>
        <w:t xml:space="preserve"> (55%), невропатия (40%), анемия </w:t>
      </w:r>
      <w:r w:rsidRPr="00FD4C98">
        <w:rPr>
          <w:rFonts w:eastAsia="Times New Roman" w:cs="Arial"/>
          <w:color w:val="000000"/>
          <w:szCs w:val="20"/>
          <w:lang w:val="ru-RU"/>
        </w:rPr>
        <w:t>(37%),</w:t>
      </w:r>
      <w:r w:rsidRPr="000C2F42">
        <w:rPr>
          <w:rFonts w:eastAsia="Times New Roman" w:cs="Arial"/>
          <w:color w:val="000000"/>
          <w:szCs w:val="20"/>
          <w:lang w:eastAsia="bg-BG"/>
        </w:rPr>
        <w:t xml:space="preserve"> диария(3</w:t>
      </w:r>
      <w:r w:rsidRPr="00FD4C98">
        <w:rPr>
          <w:rFonts w:eastAsia="Times New Roman" w:cs="Arial"/>
          <w:color w:val="000000"/>
          <w:szCs w:val="20"/>
          <w:lang w:val="ru-RU"/>
        </w:rPr>
        <w:t xml:space="preserve">5%) </w:t>
      </w:r>
      <w:r w:rsidRPr="000C2F42">
        <w:rPr>
          <w:rFonts w:eastAsia="Times New Roman" w:cs="Arial"/>
          <w:color w:val="000000"/>
          <w:szCs w:val="20"/>
          <w:lang w:eastAsia="bg-BG"/>
        </w:rPr>
        <w:t>и запек (28%). Периферна невропатия от всякаква степен и периферна невропатия &gt;</w:t>
      </w:r>
      <w:r w:rsidRPr="00FD4C98">
        <w:rPr>
          <w:rFonts w:eastAsia="Times New Roman" w:cs="Arial"/>
          <w:color w:val="000000"/>
          <w:szCs w:val="20"/>
          <w:lang w:val="ru-RU"/>
        </w:rPr>
        <w:t xml:space="preserve"> 3</w:t>
      </w:r>
      <w:r w:rsidRPr="000C2F42">
        <w:rPr>
          <w:rFonts w:eastAsia="Times New Roman" w:cs="Arial"/>
          <w:color w:val="000000"/>
          <w:szCs w:val="20"/>
          <w:lang w:eastAsia="bg-BG"/>
        </w:rPr>
        <w:t xml:space="preserve"> са наблюдавани съответно при 40% и 8,5% от пациентите.</w:t>
      </w:r>
    </w:p>
    <w:p w14:paraId="6F6F767A" w14:textId="222108C7" w:rsidR="000C2F42" w:rsidRDefault="000C2F42" w:rsidP="000C2F42">
      <w:pPr>
        <w:rPr>
          <w:rFonts w:eastAsia="Times New Roman" w:cs="Arial"/>
          <w:color w:val="000000"/>
          <w:szCs w:val="20"/>
          <w:lang w:eastAsia="bg-BG"/>
        </w:rPr>
      </w:pPr>
    </w:p>
    <w:p w14:paraId="75B7C42D" w14:textId="77777777" w:rsidR="000C2F42" w:rsidRPr="000C2F42" w:rsidRDefault="000C2F42" w:rsidP="000C2F42">
      <w:pPr>
        <w:spacing w:line="240" w:lineRule="auto"/>
        <w:rPr>
          <w:rFonts w:eastAsia="Times New Roman" w:cs="Arial"/>
          <w:lang w:eastAsia="bg-BG"/>
        </w:rPr>
      </w:pPr>
      <w:r w:rsidRPr="000C2F42">
        <w:rPr>
          <w:rFonts w:eastAsia="Times New Roman" w:cs="Arial"/>
          <w:color w:val="000000"/>
          <w:u w:val="single"/>
          <w:lang w:eastAsia="bg-BG"/>
        </w:rPr>
        <w:t>Съобщаване на подозирани нежелани реакции</w:t>
      </w:r>
    </w:p>
    <w:p w14:paraId="25EDD927" w14:textId="77777777" w:rsidR="000C2F42" w:rsidRPr="000C2F42" w:rsidRDefault="000C2F42" w:rsidP="000C2F42">
      <w:pPr>
        <w:spacing w:line="240" w:lineRule="auto"/>
        <w:rPr>
          <w:rFonts w:eastAsia="Times New Roman" w:cs="Arial"/>
          <w:lang w:eastAsia="bg-BG"/>
        </w:rPr>
      </w:pPr>
      <w:r w:rsidRPr="000C2F4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062F3D8C" w14:textId="77777777" w:rsidR="000C2F42" w:rsidRPr="000C2F42" w:rsidRDefault="000C2F42" w:rsidP="000C2F42">
      <w:pPr>
        <w:spacing w:line="240" w:lineRule="auto"/>
        <w:rPr>
          <w:rFonts w:eastAsia="Times New Roman" w:cs="Arial"/>
          <w:color w:val="000000"/>
          <w:lang w:eastAsia="bg-BG"/>
        </w:rPr>
      </w:pPr>
    </w:p>
    <w:p w14:paraId="30B068BD" w14:textId="02335422" w:rsidR="000C2F42" w:rsidRPr="000C2F42" w:rsidRDefault="000C2F42" w:rsidP="000C2F42">
      <w:pPr>
        <w:spacing w:line="240" w:lineRule="auto"/>
        <w:rPr>
          <w:rFonts w:eastAsia="Times New Roman" w:cs="Arial"/>
          <w:lang w:eastAsia="bg-BG"/>
        </w:rPr>
      </w:pPr>
      <w:r w:rsidRPr="000C2F42">
        <w:rPr>
          <w:rFonts w:eastAsia="Times New Roman" w:cs="Arial"/>
          <w:color w:val="000000"/>
          <w:lang w:eastAsia="bg-BG"/>
        </w:rPr>
        <w:t>Изпълнителна агенция по лекарствата</w:t>
      </w:r>
    </w:p>
    <w:p w14:paraId="7AAEDDA5" w14:textId="77777777" w:rsidR="000C2F42" w:rsidRPr="000C2F42" w:rsidRDefault="000C2F42" w:rsidP="000C2F42">
      <w:pPr>
        <w:spacing w:line="240" w:lineRule="auto"/>
        <w:rPr>
          <w:rFonts w:eastAsia="Times New Roman" w:cs="Arial"/>
          <w:lang w:eastAsia="bg-BG"/>
        </w:rPr>
      </w:pPr>
      <w:r w:rsidRPr="000C2F42">
        <w:rPr>
          <w:rFonts w:eastAsia="Times New Roman" w:cs="Arial"/>
          <w:color w:val="000000"/>
          <w:lang w:eastAsia="bg-BG"/>
        </w:rPr>
        <w:t>ул. „Дамян Груев” № 8</w:t>
      </w:r>
    </w:p>
    <w:p w14:paraId="2179EB9E" w14:textId="77777777" w:rsidR="000C2F42" w:rsidRPr="000C2F42" w:rsidRDefault="000C2F42" w:rsidP="000C2F42">
      <w:pPr>
        <w:spacing w:line="240" w:lineRule="auto"/>
        <w:rPr>
          <w:rFonts w:eastAsia="Times New Roman" w:cs="Arial"/>
          <w:lang w:eastAsia="bg-BG"/>
        </w:rPr>
      </w:pPr>
      <w:r w:rsidRPr="000C2F42">
        <w:rPr>
          <w:rFonts w:eastAsia="Times New Roman" w:cs="Arial"/>
          <w:color w:val="000000"/>
          <w:lang w:eastAsia="bg-BG"/>
        </w:rPr>
        <w:t>1303 София</w:t>
      </w:r>
    </w:p>
    <w:p w14:paraId="685A87D7" w14:textId="5D50DCCC" w:rsidR="000C2F42" w:rsidRPr="000C2F42" w:rsidRDefault="000C2F42" w:rsidP="000C2F42">
      <w:pPr>
        <w:rPr>
          <w:rFonts w:cs="Arial"/>
        </w:rPr>
      </w:pPr>
      <w:r w:rsidRPr="000C2F42">
        <w:rPr>
          <w:rFonts w:eastAsia="Times New Roman" w:cs="Arial"/>
          <w:color w:val="000000"/>
          <w:lang w:eastAsia="bg-BG"/>
        </w:rPr>
        <w:t xml:space="preserve">тел.:+359 2 8903417 уебсайт: </w:t>
      </w:r>
      <w:hyperlink r:id="rId5" w:history="1">
        <w:r w:rsidRPr="000C2F42">
          <w:rPr>
            <w:rFonts w:eastAsia="Times New Roman" w:cs="Arial"/>
            <w:color w:val="000000"/>
            <w:lang w:val="en-US"/>
          </w:rPr>
          <w:t>www</w:t>
        </w:r>
        <w:r w:rsidRPr="00FD4C98">
          <w:rPr>
            <w:rFonts w:eastAsia="Times New Roman" w:cs="Arial"/>
            <w:color w:val="000000"/>
            <w:lang w:val="ru-RU"/>
          </w:rPr>
          <w:t>.</w:t>
        </w:r>
        <w:proofErr w:type="spellStart"/>
        <w:r w:rsidRPr="000C2F42">
          <w:rPr>
            <w:rFonts w:eastAsia="Times New Roman" w:cs="Arial"/>
            <w:color w:val="000000"/>
            <w:lang w:val="en-US"/>
          </w:rPr>
          <w:t>bda</w:t>
        </w:r>
        <w:proofErr w:type="spellEnd"/>
        <w:r w:rsidRPr="00FD4C98">
          <w:rPr>
            <w:rFonts w:eastAsia="Times New Roman" w:cs="Arial"/>
            <w:color w:val="000000"/>
            <w:lang w:val="ru-RU"/>
          </w:rPr>
          <w:t>.</w:t>
        </w:r>
        <w:proofErr w:type="spellStart"/>
        <w:r w:rsidRPr="000C2F42">
          <w:rPr>
            <w:rFonts w:eastAsia="Times New Roman" w:cs="Arial"/>
            <w:color w:val="000000"/>
            <w:lang w:val="en-US"/>
          </w:rPr>
          <w:t>bg</w:t>
        </w:r>
        <w:proofErr w:type="spellEnd"/>
      </w:hyperlink>
    </w:p>
    <w:p w14:paraId="3646BEBE" w14:textId="77777777" w:rsidR="000C2F42" w:rsidRPr="0091385D" w:rsidRDefault="000C2F42"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251C3564" w14:textId="77777777" w:rsidR="000C2F42" w:rsidRPr="000C2F42" w:rsidRDefault="000C2F42" w:rsidP="000C2F42">
      <w:pPr>
        <w:spacing w:line="240" w:lineRule="auto"/>
        <w:rPr>
          <w:rFonts w:eastAsia="Times New Roman" w:cs="Arial"/>
          <w:lang w:eastAsia="bg-BG"/>
        </w:rPr>
      </w:pPr>
      <w:r w:rsidRPr="000C2F42">
        <w:rPr>
          <w:rFonts w:eastAsia="Times New Roman" w:cs="Arial"/>
          <w:color w:val="000000"/>
          <w:lang w:eastAsia="bg-BG"/>
        </w:rPr>
        <w:t xml:space="preserve">Предозиране при пациентите, превишаващо препоръчваната доза повече от два пъти, е свързано с поява на остра симптоматична хипотония и </w:t>
      </w:r>
      <w:proofErr w:type="spellStart"/>
      <w:r w:rsidRPr="000C2F42">
        <w:rPr>
          <w:rFonts w:eastAsia="Times New Roman" w:cs="Arial"/>
          <w:color w:val="000000"/>
          <w:lang w:eastAsia="bg-BG"/>
        </w:rPr>
        <w:t>тромбоцитопения</w:t>
      </w:r>
      <w:proofErr w:type="spellEnd"/>
      <w:r w:rsidRPr="000C2F42">
        <w:rPr>
          <w:rFonts w:eastAsia="Times New Roman" w:cs="Arial"/>
          <w:color w:val="000000"/>
          <w:lang w:eastAsia="bg-BG"/>
        </w:rPr>
        <w:t xml:space="preserve"> с фатален изход. За сърдечно-съдови предклинични фармакологични изследвания за безопасност, вижте точка 5.3.</w:t>
      </w:r>
    </w:p>
    <w:p w14:paraId="3BC46326" w14:textId="77777777" w:rsidR="000C2F42" w:rsidRPr="000C2F42" w:rsidRDefault="000C2F42" w:rsidP="000C2F42">
      <w:pPr>
        <w:rPr>
          <w:rFonts w:eastAsia="Times New Roman" w:cs="Arial"/>
          <w:color w:val="000000"/>
          <w:lang w:eastAsia="bg-BG"/>
        </w:rPr>
      </w:pPr>
    </w:p>
    <w:p w14:paraId="6A43B8F3" w14:textId="120A9A0B" w:rsidR="007A2185" w:rsidRPr="000C2F42" w:rsidRDefault="000C2F42" w:rsidP="000C2F42">
      <w:pPr>
        <w:rPr>
          <w:rFonts w:cs="Arial"/>
        </w:rPr>
      </w:pPr>
      <w:r w:rsidRPr="000C2F42">
        <w:rPr>
          <w:rFonts w:eastAsia="Times New Roman" w:cs="Arial"/>
          <w:color w:val="000000"/>
          <w:lang w:eastAsia="bg-BG"/>
        </w:rPr>
        <w:t xml:space="preserve">Не е известен специфичен антидот при предозиране на </w:t>
      </w:r>
      <w:proofErr w:type="spellStart"/>
      <w:r w:rsidRPr="000C2F42">
        <w:rPr>
          <w:rFonts w:eastAsia="Times New Roman" w:cs="Arial"/>
          <w:color w:val="000000"/>
          <w:lang w:eastAsia="bg-BG"/>
        </w:rPr>
        <w:t>бортезомиб</w:t>
      </w:r>
      <w:proofErr w:type="spellEnd"/>
      <w:r w:rsidRPr="000C2F42">
        <w:rPr>
          <w:rFonts w:eastAsia="Times New Roman" w:cs="Arial"/>
          <w:color w:val="000000"/>
          <w:lang w:eastAsia="bg-BG"/>
        </w:rPr>
        <w:t xml:space="preserve">. В случай на предозиране жизнените показатели на пациентите трябва да се </w:t>
      </w:r>
      <w:proofErr w:type="spellStart"/>
      <w:r w:rsidRPr="000C2F42">
        <w:rPr>
          <w:rFonts w:eastAsia="Times New Roman" w:cs="Arial"/>
          <w:color w:val="000000"/>
          <w:lang w:eastAsia="bg-BG"/>
        </w:rPr>
        <w:t>мониторират</w:t>
      </w:r>
      <w:proofErr w:type="spellEnd"/>
      <w:r w:rsidRPr="000C2F42">
        <w:rPr>
          <w:rFonts w:eastAsia="Times New Roman" w:cs="Arial"/>
          <w:color w:val="000000"/>
          <w:lang w:eastAsia="bg-BG"/>
        </w:rPr>
        <w:t xml:space="preserve"> внимателно и да се оказват подходящи грижи за поддържане на кръвното налягане (като вливане на течности, </w:t>
      </w:r>
      <w:proofErr w:type="spellStart"/>
      <w:r w:rsidRPr="000C2F42">
        <w:rPr>
          <w:rFonts w:eastAsia="Times New Roman" w:cs="Arial"/>
          <w:color w:val="000000"/>
          <w:lang w:eastAsia="bg-BG"/>
        </w:rPr>
        <w:t>пресорни</w:t>
      </w:r>
      <w:proofErr w:type="spellEnd"/>
      <w:r w:rsidRPr="000C2F42">
        <w:rPr>
          <w:rFonts w:eastAsia="Times New Roman" w:cs="Arial"/>
          <w:color w:val="000000"/>
          <w:lang w:eastAsia="bg-BG"/>
        </w:rPr>
        <w:t xml:space="preserve"> и/или </w:t>
      </w:r>
      <w:proofErr w:type="spellStart"/>
      <w:r w:rsidRPr="000C2F42">
        <w:rPr>
          <w:rFonts w:eastAsia="Times New Roman" w:cs="Arial"/>
          <w:color w:val="000000"/>
          <w:lang w:eastAsia="bg-BG"/>
        </w:rPr>
        <w:t>инотропни</w:t>
      </w:r>
      <w:proofErr w:type="spellEnd"/>
      <w:r w:rsidRPr="000C2F42">
        <w:rPr>
          <w:rFonts w:eastAsia="Times New Roman" w:cs="Arial"/>
          <w:color w:val="000000"/>
          <w:lang w:eastAsia="bg-BG"/>
        </w:rPr>
        <w:t xml:space="preserve"> агенти) </w:t>
      </w:r>
      <w:r w:rsidRPr="000C2F42">
        <w:rPr>
          <w:rFonts w:eastAsia="Times New Roman" w:cs="Arial"/>
          <w:i/>
          <w:iCs/>
          <w:color w:val="000000"/>
          <w:lang w:eastAsia="bg-BG"/>
        </w:rPr>
        <w:t>и</w:t>
      </w:r>
      <w:r w:rsidRPr="000C2F42">
        <w:rPr>
          <w:rFonts w:eastAsia="Times New Roman" w:cs="Arial"/>
          <w:color w:val="000000"/>
          <w:lang w:eastAsia="bg-BG"/>
        </w:rPr>
        <w:t xml:space="preserve"> на телесната температура (вж. точки 4.2 и 4.4).</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 xml:space="preserve">5.1. </w:t>
      </w:r>
      <w:proofErr w:type="spellStart"/>
      <w:r>
        <w:t>Фармакодинамични</w:t>
      </w:r>
      <w:proofErr w:type="spellEnd"/>
      <w:r>
        <w:t xml:space="preserve"> свойства</w:t>
      </w:r>
    </w:p>
    <w:p w14:paraId="58DD7DEA" w14:textId="73F11A6B" w:rsidR="0091385D" w:rsidRDefault="0091385D" w:rsidP="0091385D"/>
    <w:p w14:paraId="53A612D6" w14:textId="77777777" w:rsidR="000C2F42" w:rsidRPr="000C2F42" w:rsidRDefault="000C2F42" w:rsidP="000C2F42">
      <w:pPr>
        <w:spacing w:line="240" w:lineRule="auto"/>
        <w:rPr>
          <w:rFonts w:eastAsia="Times New Roman" w:cs="Arial"/>
          <w:lang w:eastAsia="bg-BG"/>
        </w:rPr>
      </w:pPr>
      <w:r w:rsidRPr="000C2F42">
        <w:rPr>
          <w:rFonts w:eastAsia="Times New Roman" w:cs="Arial"/>
          <w:color w:val="000000"/>
          <w:lang w:eastAsia="bg-BG"/>
        </w:rPr>
        <w:t xml:space="preserve">Фармакотерапевтична група: </w:t>
      </w:r>
      <w:proofErr w:type="spellStart"/>
      <w:r w:rsidRPr="000C2F42">
        <w:rPr>
          <w:rFonts w:eastAsia="Times New Roman" w:cs="Arial"/>
          <w:color w:val="000000"/>
          <w:lang w:eastAsia="bg-BG"/>
        </w:rPr>
        <w:t>Антинеопластични</w:t>
      </w:r>
      <w:proofErr w:type="spellEnd"/>
      <w:r w:rsidRPr="000C2F42">
        <w:rPr>
          <w:rFonts w:eastAsia="Times New Roman" w:cs="Arial"/>
          <w:color w:val="000000"/>
          <w:lang w:eastAsia="bg-BG"/>
        </w:rPr>
        <w:t xml:space="preserve"> средства, други </w:t>
      </w:r>
      <w:proofErr w:type="spellStart"/>
      <w:r w:rsidRPr="000C2F42">
        <w:rPr>
          <w:rFonts w:eastAsia="Times New Roman" w:cs="Arial"/>
          <w:color w:val="000000"/>
          <w:lang w:eastAsia="bg-BG"/>
        </w:rPr>
        <w:t>антинеопластични</w:t>
      </w:r>
      <w:proofErr w:type="spellEnd"/>
      <w:r w:rsidRPr="000C2F42">
        <w:rPr>
          <w:rFonts w:eastAsia="Times New Roman" w:cs="Arial"/>
          <w:color w:val="000000"/>
          <w:lang w:eastAsia="bg-BG"/>
        </w:rPr>
        <w:t xml:space="preserve"> средства, АТС код: </w:t>
      </w:r>
      <w:r w:rsidRPr="000C2F42">
        <w:rPr>
          <w:rFonts w:eastAsia="Times New Roman" w:cs="Arial"/>
          <w:color w:val="000000"/>
          <w:lang w:val="en-US"/>
        </w:rPr>
        <w:t>L</w:t>
      </w:r>
      <w:r w:rsidRPr="00FD4C98">
        <w:rPr>
          <w:rFonts w:eastAsia="Times New Roman" w:cs="Arial"/>
          <w:color w:val="000000"/>
          <w:lang w:val="ru-RU"/>
        </w:rPr>
        <w:t>01</w:t>
      </w:r>
      <w:r w:rsidRPr="000C2F42">
        <w:rPr>
          <w:rFonts w:eastAsia="Times New Roman" w:cs="Arial"/>
          <w:color w:val="000000"/>
          <w:lang w:val="en-US"/>
        </w:rPr>
        <w:t>XG</w:t>
      </w:r>
      <w:r w:rsidRPr="00FD4C98">
        <w:rPr>
          <w:rFonts w:eastAsia="Times New Roman" w:cs="Arial"/>
          <w:color w:val="000000"/>
          <w:lang w:val="ru-RU"/>
        </w:rPr>
        <w:t>01</w:t>
      </w:r>
      <w:r w:rsidRPr="000C2F42">
        <w:rPr>
          <w:rFonts w:eastAsia="Times New Roman" w:cs="Arial"/>
          <w:color w:val="000000"/>
          <w:lang w:eastAsia="bg-BG"/>
        </w:rPr>
        <w:t>.</w:t>
      </w:r>
    </w:p>
    <w:p w14:paraId="25F1C4DF" w14:textId="77777777" w:rsidR="000C2F42" w:rsidRPr="000C2F42" w:rsidRDefault="000C2F42" w:rsidP="000C2F42">
      <w:pPr>
        <w:spacing w:line="240" w:lineRule="auto"/>
        <w:rPr>
          <w:rFonts w:eastAsia="Times New Roman" w:cs="Arial"/>
          <w:color w:val="000000"/>
          <w:u w:val="single"/>
          <w:lang w:eastAsia="bg-BG"/>
        </w:rPr>
      </w:pPr>
    </w:p>
    <w:p w14:paraId="252D7BCD" w14:textId="0363C7B9" w:rsidR="000C2F42" w:rsidRPr="000C2F42" w:rsidRDefault="000C2F42" w:rsidP="000C2F42">
      <w:pPr>
        <w:spacing w:line="240" w:lineRule="auto"/>
        <w:rPr>
          <w:rFonts w:eastAsia="Times New Roman" w:cs="Arial"/>
          <w:lang w:eastAsia="bg-BG"/>
        </w:rPr>
      </w:pPr>
      <w:r w:rsidRPr="000C2F42">
        <w:rPr>
          <w:rFonts w:eastAsia="Times New Roman" w:cs="Arial"/>
          <w:color w:val="000000"/>
          <w:u w:val="single"/>
          <w:lang w:eastAsia="bg-BG"/>
        </w:rPr>
        <w:t>Механизъм на действие</w:t>
      </w:r>
    </w:p>
    <w:p w14:paraId="5CF33C11" w14:textId="77777777" w:rsidR="000C2F42" w:rsidRPr="000C2F42" w:rsidRDefault="000C2F42" w:rsidP="000C2F42">
      <w:pPr>
        <w:spacing w:line="240" w:lineRule="auto"/>
        <w:rPr>
          <w:rFonts w:eastAsia="Times New Roman" w:cs="Arial"/>
          <w:lang w:eastAsia="bg-BG"/>
        </w:rPr>
      </w:pPr>
      <w:proofErr w:type="spellStart"/>
      <w:r w:rsidRPr="000C2F42">
        <w:rPr>
          <w:rFonts w:eastAsia="Times New Roman" w:cs="Arial"/>
          <w:color w:val="000000"/>
          <w:lang w:eastAsia="bg-BG"/>
        </w:rPr>
        <w:t>Бортезомиб</w:t>
      </w:r>
      <w:proofErr w:type="spellEnd"/>
      <w:r w:rsidRPr="000C2F42">
        <w:rPr>
          <w:rFonts w:eastAsia="Times New Roman" w:cs="Arial"/>
          <w:color w:val="000000"/>
          <w:lang w:eastAsia="bg-BG"/>
        </w:rPr>
        <w:t xml:space="preserve"> е </w:t>
      </w:r>
      <w:proofErr w:type="spellStart"/>
      <w:r w:rsidRPr="000C2F42">
        <w:rPr>
          <w:rFonts w:eastAsia="Times New Roman" w:cs="Arial"/>
          <w:color w:val="000000"/>
          <w:lang w:eastAsia="bg-BG"/>
        </w:rPr>
        <w:t>протеазомен</w:t>
      </w:r>
      <w:proofErr w:type="spellEnd"/>
      <w:r w:rsidRPr="000C2F42">
        <w:rPr>
          <w:rFonts w:eastAsia="Times New Roman" w:cs="Arial"/>
          <w:color w:val="000000"/>
          <w:lang w:eastAsia="bg-BG"/>
        </w:rPr>
        <w:t xml:space="preserve"> инхибитор. Той е създаден специално да инхибира подобната на </w:t>
      </w:r>
      <w:proofErr w:type="spellStart"/>
      <w:r w:rsidRPr="000C2F42">
        <w:rPr>
          <w:rFonts w:eastAsia="Times New Roman" w:cs="Arial"/>
          <w:color w:val="000000"/>
          <w:lang w:eastAsia="bg-BG"/>
        </w:rPr>
        <w:t>хммотрипсин</w:t>
      </w:r>
      <w:proofErr w:type="spellEnd"/>
      <w:r w:rsidRPr="000C2F42">
        <w:rPr>
          <w:rFonts w:eastAsia="Times New Roman" w:cs="Arial"/>
          <w:color w:val="000000"/>
          <w:lang w:eastAsia="bg-BG"/>
        </w:rPr>
        <w:t xml:space="preserve"> активност на </w:t>
      </w:r>
      <w:r w:rsidRPr="00FD4C98">
        <w:rPr>
          <w:rFonts w:eastAsia="Times New Roman" w:cs="Arial"/>
          <w:color w:val="000000"/>
          <w:lang w:val="ru-RU"/>
        </w:rPr>
        <w:t>26</w:t>
      </w:r>
      <w:r w:rsidRPr="000C2F42">
        <w:rPr>
          <w:rFonts w:eastAsia="Times New Roman" w:cs="Arial"/>
          <w:color w:val="000000"/>
          <w:lang w:val="en-US"/>
        </w:rPr>
        <w:t>S</w:t>
      </w:r>
      <w:r w:rsidRPr="00FD4C98">
        <w:rPr>
          <w:rFonts w:eastAsia="Times New Roman" w:cs="Arial"/>
          <w:color w:val="000000"/>
          <w:lang w:val="ru-RU"/>
        </w:rPr>
        <w:t xml:space="preserve"> </w:t>
      </w:r>
      <w:proofErr w:type="spellStart"/>
      <w:r w:rsidRPr="000C2F42">
        <w:rPr>
          <w:rFonts w:eastAsia="Times New Roman" w:cs="Arial"/>
          <w:color w:val="000000"/>
          <w:lang w:eastAsia="bg-BG"/>
        </w:rPr>
        <w:t>протеазомата</w:t>
      </w:r>
      <w:proofErr w:type="spellEnd"/>
      <w:r w:rsidRPr="000C2F42">
        <w:rPr>
          <w:rFonts w:eastAsia="Times New Roman" w:cs="Arial"/>
          <w:color w:val="000000"/>
          <w:lang w:eastAsia="bg-BG"/>
        </w:rPr>
        <w:t xml:space="preserve"> в клетки на бозайници. </w:t>
      </w:r>
      <w:r w:rsidRPr="00FD4C98">
        <w:rPr>
          <w:rFonts w:eastAsia="Times New Roman" w:cs="Arial"/>
          <w:color w:val="000000"/>
          <w:lang w:val="ru-RU"/>
        </w:rPr>
        <w:t>26</w:t>
      </w:r>
      <w:r w:rsidRPr="000C2F42">
        <w:rPr>
          <w:rFonts w:eastAsia="Times New Roman" w:cs="Arial"/>
          <w:color w:val="000000"/>
          <w:lang w:val="en-US"/>
        </w:rPr>
        <w:t>S</w:t>
      </w:r>
      <w:r w:rsidRPr="00FD4C98">
        <w:rPr>
          <w:rFonts w:eastAsia="Times New Roman" w:cs="Arial"/>
          <w:color w:val="000000"/>
          <w:lang w:val="ru-RU"/>
        </w:rPr>
        <w:t xml:space="preserve"> </w:t>
      </w:r>
      <w:proofErr w:type="spellStart"/>
      <w:r w:rsidRPr="000C2F42">
        <w:rPr>
          <w:rFonts w:eastAsia="Times New Roman" w:cs="Arial"/>
          <w:color w:val="000000"/>
          <w:lang w:eastAsia="bg-BG"/>
        </w:rPr>
        <w:t>протеазомата</w:t>
      </w:r>
      <w:proofErr w:type="spellEnd"/>
      <w:r w:rsidRPr="000C2F42">
        <w:rPr>
          <w:rFonts w:eastAsia="Times New Roman" w:cs="Arial"/>
          <w:color w:val="000000"/>
          <w:lang w:eastAsia="bg-BG"/>
        </w:rPr>
        <w:t xml:space="preserve"> е голям </w:t>
      </w:r>
      <w:proofErr w:type="spellStart"/>
      <w:r w:rsidRPr="000C2F42">
        <w:rPr>
          <w:rFonts w:eastAsia="Times New Roman" w:cs="Arial"/>
          <w:color w:val="000000"/>
          <w:lang w:eastAsia="bg-BG"/>
        </w:rPr>
        <w:t>протеинен</w:t>
      </w:r>
      <w:proofErr w:type="spellEnd"/>
      <w:r w:rsidRPr="000C2F42">
        <w:rPr>
          <w:rFonts w:eastAsia="Times New Roman" w:cs="Arial"/>
          <w:color w:val="000000"/>
          <w:lang w:eastAsia="bg-BG"/>
        </w:rPr>
        <w:t xml:space="preserve"> комплекс, който разгражда </w:t>
      </w:r>
      <w:proofErr w:type="spellStart"/>
      <w:r w:rsidRPr="000C2F42">
        <w:rPr>
          <w:rFonts w:eastAsia="Times New Roman" w:cs="Arial"/>
          <w:color w:val="000000"/>
          <w:lang w:eastAsia="bg-BG"/>
        </w:rPr>
        <w:t>убиквитинираните</w:t>
      </w:r>
      <w:proofErr w:type="spellEnd"/>
      <w:r w:rsidRPr="000C2F42">
        <w:rPr>
          <w:rFonts w:eastAsia="Times New Roman" w:cs="Arial"/>
          <w:color w:val="000000"/>
          <w:lang w:eastAsia="bg-BG"/>
        </w:rPr>
        <w:t xml:space="preserve"> протеини. Пътят </w:t>
      </w:r>
      <w:proofErr w:type="spellStart"/>
      <w:r w:rsidRPr="000C2F42">
        <w:rPr>
          <w:rFonts w:eastAsia="Times New Roman" w:cs="Arial"/>
          <w:color w:val="000000"/>
          <w:lang w:eastAsia="bg-BG"/>
        </w:rPr>
        <w:t>убиквитин</w:t>
      </w:r>
      <w:proofErr w:type="spellEnd"/>
      <w:r w:rsidRPr="000C2F42">
        <w:rPr>
          <w:rFonts w:eastAsia="Times New Roman" w:cs="Arial"/>
          <w:color w:val="000000"/>
          <w:lang w:eastAsia="bg-BG"/>
        </w:rPr>
        <w:t xml:space="preserve">- </w:t>
      </w:r>
      <w:proofErr w:type="spellStart"/>
      <w:r w:rsidRPr="000C2F42">
        <w:rPr>
          <w:rFonts w:eastAsia="Times New Roman" w:cs="Arial"/>
          <w:color w:val="000000"/>
          <w:lang w:eastAsia="bg-BG"/>
        </w:rPr>
        <w:t>протеазома</w:t>
      </w:r>
      <w:proofErr w:type="spellEnd"/>
      <w:r w:rsidRPr="000C2F42">
        <w:rPr>
          <w:rFonts w:eastAsia="Times New Roman" w:cs="Arial"/>
          <w:color w:val="000000"/>
          <w:lang w:eastAsia="bg-BG"/>
        </w:rPr>
        <w:t xml:space="preserve"> играе съществена роля в регулирането на кръговрата на специфични протеини и така се поддържа </w:t>
      </w:r>
      <w:proofErr w:type="spellStart"/>
      <w:r w:rsidRPr="000C2F42">
        <w:rPr>
          <w:rFonts w:eastAsia="Times New Roman" w:cs="Arial"/>
          <w:color w:val="000000"/>
          <w:lang w:eastAsia="bg-BG"/>
        </w:rPr>
        <w:t>хомеостазата</w:t>
      </w:r>
      <w:proofErr w:type="spellEnd"/>
      <w:r w:rsidRPr="000C2F42">
        <w:rPr>
          <w:rFonts w:eastAsia="Times New Roman" w:cs="Arial"/>
          <w:color w:val="000000"/>
          <w:lang w:eastAsia="bg-BG"/>
        </w:rPr>
        <w:t xml:space="preserve"> в клетките. Инхибирането на </w:t>
      </w:r>
      <w:r w:rsidRPr="00FD4C98">
        <w:rPr>
          <w:rFonts w:eastAsia="Times New Roman" w:cs="Arial"/>
          <w:color w:val="000000"/>
          <w:lang w:val="ru-RU"/>
        </w:rPr>
        <w:t>26</w:t>
      </w:r>
      <w:r w:rsidRPr="000C2F42">
        <w:rPr>
          <w:rFonts w:eastAsia="Times New Roman" w:cs="Arial"/>
          <w:color w:val="000000"/>
          <w:lang w:val="en-US"/>
        </w:rPr>
        <w:t>S</w:t>
      </w:r>
      <w:r w:rsidRPr="00FD4C98">
        <w:rPr>
          <w:rFonts w:eastAsia="Times New Roman" w:cs="Arial"/>
          <w:color w:val="000000"/>
          <w:lang w:val="ru-RU"/>
        </w:rPr>
        <w:t xml:space="preserve"> </w:t>
      </w:r>
      <w:proofErr w:type="spellStart"/>
      <w:r w:rsidRPr="000C2F42">
        <w:rPr>
          <w:rFonts w:eastAsia="Times New Roman" w:cs="Arial"/>
          <w:color w:val="000000"/>
          <w:lang w:eastAsia="bg-BG"/>
        </w:rPr>
        <w:t>протеазомата</w:t>
      </w:r>
      <w:proofErr w:type="spellEnd"/>
      <w:r w:rsidRPr="000C2F42">
        <w:rPr>
          <w:rFonts w:eastAsia="Times New Roman" w:cs="Arial"/>
          <w:color w:val="000000"/>
          <w:lang w:eastAsia="bg-BG"/>
        </w:rPr>
        <w:t xml:space="preserve"> предотвратява тази прицелна </w:t>
      </w:r>
      <w:proofErr w:type="spellStart"/>
      <w:r w:rsidRPr="000C2F42">
        <w:rPr>
          <w:rFonts w:eastAsia="Times New Roman" w:cs="Arial"/>
          <w:color w:val="000000"/>
          <w:lang w:eastAsia="bg-BG"/>
        </w:rPr>
        <w:t>протеолиза</w:t>
      </w:r>
      <w:proofErr w:type="spellEnd"/>
      <w:r w:rsidRPr="000C2F42">
        <w:rPr>
          <w:rFonts w:eastAsia="Times New Roman" w:cs="Arial"/>
          <w:color w:val="000000"/>
          <w:lang w:eastAsia="bg-BG"/>
        </w:rPr>
        <w:t xml:space="preserve"> и засяга множество сигнализиращи каскади в клетките, като накрая води до смърт на раковата клетка.</w:t>
      </w:r>
    </w:p>
    <w:p w14:paraId="6ED52E72" w14:textId="77777777" w:rsidR="000C2F42" w:rsidRPr="000C2F42" w:rsidRDefault="000C2F42" w:rsidP="000C2F42">
      <w:pPr>
        <w:spacing w:line="240" w:lineRule="auto"/>
        <w:rPr>
          <w:rFonts w:eastAsia="Times New Roman" w:cs="Arial"/>
          <w:color w:val="000000"/>
          <w:lang w:eastAsia="bg-BG"/>
        </w:rPr>
      </w:pPr>
    </w:p>
    <w:p w14:paraId="7A5434C9" w14:textId="65364A81" w:rsidR="000C2F42" w:rsidRPr="000C2F42" w:rsidRDefault="000C2F42" w:rsidP="000C2F42">
      <w:pPr>
        <w:spacing w:line="240" w:lineRule="auto"/>
        <w:rPr>
          <w:rFonts w:eastAsia="Times New Roman" w:cs="Arial"/>
          <w:lang w:eastAsia="bg-BG"/>
        </w:rPr>
      </w:pPr>
      <w:proofErr w:type="spellStart"/>
      <w:r w:rsidRPr="000C2F42">
        <w:rPr>
          <w:rFonts w:eastAsia="Times New Roman" w:cs="Arial"/>
          <w:color w:val="000000"/>
          <w:lang w:eastAsia="bg-BG"/>
        </w:rPr>
        <w:t>Бортезомиб</w:t>
      </w:r>
      <w:proofErr w:type="spellEnd"/>
      <w:r w:rsidRPr="000C2F42">
        <w:rPr>
          <w:rFonts w:eastAsia="Times New Roman" w:cs="Arial"/>
          <w:color w:val="000000"/>
          <w:lang w:eastAsia="bg-BG"/>
        </w:rPr>
        <w:t xml:space="preserve"> е високо селективен за </w:t>
      </w:r>
      <w:proofErr w:type="spellStart"/>
      <w:r w:rsidRPr="000C2F42">
        <w:rPr>
          <w:rFonts w:eastAsia="Times New Roman" w:cs="Arial"/>
          <w:color w:val="000000"/>
          <w:lang w:eastAsia="bg-BG"/>
        </w:rPr>
        <w:t>протеазомата</w:t>
      </w:r>
      <w:proofErr w:type="spellEnd"/>
      <w:r w:rsidRPr="000C2F42">
        <w:rPr>
          <w:rFonts w:eastAsia="Times New Roman" w:cs="Arial"/>
          <w:color w:val="000000"/>
          <w:lang w:eastAsia="bg-BG"/>
        </w:rPr>
        <w:t xml:space="preserve">. В концентрации 10 </w:t>
      </w:r>
      <w:proofErr w:type="spellStart"/>
      <w:r w:rsidRPr="000C2F42">
        <w:rPr>
          <w:rFonts w:eastAsia="Times New Roman" w:cs="Arial"/>
          <w:color w:val="000000"/>
          <w:lang w:eastAsia="bg-BG"/>
        </w:rPr>
        <w:t>μМ</w:t>
      </w:r>
      <w:proofErr w:type="spellEnd"/>
      <w:r w:rsidRPr="000C2F42">
        <w:rPr>
          <w:rFonts w:eastAsia="Times New Roman" w:cs="Arial"/>
          <w:color w:val="000000"/>
          <w:lang w:eastAsia="bg-BG"/>
        </w:rPr>
        <w:t xml:space="preserve"> </w:t>
      </w:r>
      <w:proofErr w:type="spellStart"/>
      <w:r w:rsidRPr="000C2F42">
        <w:rPr>
          <w:rFonts w:eastAsia="Times New Roman" w:cs="Arial"/>
          <w:color w:val="000000"/>
          <w:lang w:eastAsia="bg-BG"/>
        </w:rPr>
        <w:t>бортезомиб</w:t>
      </w:r>
      <w:proofErr w:type="spellEnd"/>
      <w:r w:rsidRPr="000C2F42">
        <w:rPr>
          <w:rFonts w:eastAsia="Times New Roman" w:cs="Arial"/>
          <w:color w:val="000000"/>
          <w:lang w:eastAsia="bg-BG"/>
        </w:rPr>
        <w:t xml:space="preserve"> не инхибира нито един от множеството проучени рецептори и </w:t>
      </w:r>
      <w:proofErr w:type="spellStart"/>
      <w:r w:rsidRPr="000C2F42">
        <w:rPr>
          <w:rFonts w:eastAsia="Times New Roman" w:cs="Arial"/>
          <w:color w:val="000000"/>
          <w:lang w:eastAsia="bg-BG"/>
        </w:rPr>
        <w:t>протеази</w:t>
      </w:r>
      <w:proofErr w:type="spellEnd"/>
      <w:r w:rsidRPr="000C2F42">
        <w:rPr>
          <w:rFonts w:eastAsia="Times New Roman" w:cs="Arial"/>
          <w:color w:val="000000"/>
          <w:lang w:eastAsia="bg-BG"/>
        </w:rPr>
        <w:t xml:space="preserve"> и е повече от 1500 пъти по-селективен за </w:t>
      </w:r>
      <w:proofErr w:type="spellStart"/>
      <w:r w:rsidRPr="000C2F42">
        <w:rPr>
          <w:rFonts w:eastAsia="Times New Roman" w:cs="Arial"/>
          <w:color w:val="000000"/>
          <w:lang w:eastAsia="bg-BG"/>
        </w:rPr>
        <w:t>протеазома</w:t>
      </w:r>
      <w:proofErr w:type="spellEnd"/>
      <w:r w:rsidRPr="000C2F42">
        <w:rPr>
          <w:rFonts w:eastAsia="Times New Roman" w:cs="Arial"/>
          <w:color w:val="000000"/>
          <w:lang w:eastAsia="bg-BG"/>
        </w:rPr>
        <w:t xml:space="preserve">, отколкото някои от следващите предпочитани ензими. Кинетиката на </w:t>
      </w:r>
      <w:proofErr w:type="spellStart"/>
      <w:r w:rsidRPr="000C2F42">
        <w:rPr>
          <w:rFonts w:eastAsia="Times New Roman" w:cs="Arial"/>
          <w:color w:val="000000"/>
          <w:lang w:eastAsia="bg-BG"/>
        </w:rPr>
        <w:t>протеазомното</w:t>
      </w:r>
      <w:proofErr w:type="spellEnd"/>
      <w:r w:rsidRPr="000C2F42">
        <w:rPr>
          <w:rFonts w:eastAsia="Times New Roman" w:cs="Arial"/>
          <w:color w:val="000000"/>
          <w:lang w:eastAsia="bg-BG"/>
        </w:rPr>
        <w:t xml:space="preserve"> инхибиране е проучвана </w:t>
      </w:r>
      <w:r w:rsidRPr="000C2F42">
        <w:rPr>
          <w:rFonts w:eastAsia="Times New Roman" w:cs="Arial"/>
          <w:i/>
          <w:iCs/>
          <w:color w:val="000000"/>
          <w:lang w:val="en-US"/>
        </w:rPr>
        <w:t>in</w:t>
      </w:r>
      <w:r w:rsidRPr="00FD4C98">
        <w:rPr>
          <w:rFonts w:eastAsia="Times New Roman" w:cs="Arial"/>
          <w:i/>
          <w:iCs/>
          <w:color w:val="000000"/>
          <w:lang w:val="ru-RU"/>
        </w:rPr>
        <w:t xml:space="preserve"> </w:t>
      </w:r>
      <w:r w:rsidRPr="000C2F42">
        <w:rPr>
          <w:rFonts w:eastAsia="Times New Roman" w:cs="Arial"/>
          <w:i/>
          <w:iCs/>
          <w:color w:val="000000"/>
          <w:lang w:val="en-US"/>
        </w:rPr>
        <w:t>vitro</w:t>
      </w:r>
      <w:r w:rsidRPr="00FD4C98">
        <w:rPr>
          <w:rFonts w:eastAsia="Times New Roman" w:cs="Arial"/>
          <w:color w:val="000000"/>
          <w:lang w:val="ru-RU"/>
        </w:rPr>
        <w:t xml:space="preserve"> </w:t>
      </w:r>
      <w:r w:rsidRPr="000C2F42">
        <w:rPr>
          <w:rFonts w:eastAsia="Times New Roman" w:cs="Arial"/>
          <w:color w:val="000000"/>
          <w:lang w:eastAsia="bg-BG"/>
        </w:rPr>
        <w:t xml:space="preserve">и е показано, че </w:t>
      </w:r>
      <w:proofErr w:type="spellStart"/>
      <w:r w:rsidRPr="000C2F42">
        <w:rPr>
          <w:rFonts w:eastAsia="Times New Roman" w:cs="Arial"/>
          <w:color w:val="000000"/>
          <w:lang w:eastAsia="bg-BG"/>
        </w:rPr>
        <w:lastRenderedPageBreak/>
        <w:t>бортезомиб</w:t>
      </w:r>
      <w:proofErr w:type="spellEnd"/>
      <w:r w:rsidRPr="000C2F42">
        <w:rPr>
          <w:rFonts w:eastAsia="Times New Roman" w:cs="Arial"/>
          <w:color w:val="000000"/>
          <w:lang w:eastAsia="bg-BG"/>
        </w:rPr>
        <w:t xml:space="preserve"> се отделя от </w:t>
      </w:r>
      <w:proofErr w:type="spellStart"/>
      <w:r w:rsidRPr="000C2F42">
        <w:rPr>
          <w:rFonts w:eastAsia="Times New Roman" w:cs="Arial"/>
          <w:color w:val="000000"/>
          <w:lang w:eastAsia="bg-BG"/>
        </w:rPr>
        <w:t>протеазома</w:t>
      </w:r>
      <w:proofErr w:type="spellEnd"/>
      <w:r w:rsidRPr="000C2F42">
        <w:rPr>
          <w:rFonts w:eastAsia="Times New Roman" w:cs="Arial"/>
          <w:color w:val="000000"/>
          <w:lang w:eastAsia="bg-BG"/>
        </w:rPr>
        <w:t xml:space="preserve"> за </w:t>
      </w:r>
      <w:r w:rsidRPr="000C2F42">
        <w:rPr>
          <w:rFonts w:eastAsia="Times New Roman" w:cs="Arial"/>
          <w:color w:val="000000"/>
          <w:lang w:val="en-US"/>
        </w:rPr>
        <w:t>t</w:t>
      </w:r>
      <w:r w:rsidRPr="000C2F42">
        <w:rPr>
          <w:rFonts w:eastAsia="Times New Roman" w:cs="Arial"/>
          <w:color w:val="000000"/>
          <w:vertAlign w:val="subscript"/>
          <w:lang w:eastAsia="bg-BG"/>
        </w:rPr>
        <w:t>/2</w:t>
      </w:r>
      <w:r w:rsidRPr="000C2F42">
        <w:rPr>
          <w:rFonts w:eastAsia="Times New Roman" w:cs="Arial"/>
          <w:color w:val="000000"/>
          <w:lang w:eastAsia="bg-BG"/>
        </w:rPr>
        <w:t xml:space="preserve"> от 20 минути, което показва, че </w:t>
      </w:r>
      <w:proofErr w:type="spellStart"/>
      <w:r w:rsidRPr="000C2F42">
        <w:rPr>
          <w:rFonts w:eastAsia="Times New Roman" w:cs="Arial"/>
          <w:color w:val="000000"/>
          <w:lang w:eastAsia="bg-BG"/>
        </w:rPr>
        <w:t>протеазомното</w:t>
      </w:r>
      <w:proofErr w:type="spellEnd"/>
      <w:r w:rsidRPr="000C2F42">
        <w:rPr>
          <w:rFonts w:eastAsia="Times New Roman" w:cs="Arial"/>
          <w:color w:val="000000"/>
          <w:lang w:eastAsia="bg-BG"/>
        </w:rPr>
        <w:t xml:space="preserve"> инхибиране от </w:t>
      </w:r>
      <w:proofErr w:type="spellStart"/>
      <w:r w:rsidRPr="000C2F42">
        <w:rPr>
          <w:rFonts w:eastAsia="Times New Roman" w:cs="Arial"/>
          <w:color w:val="000000"/>
          <w:lang w:eastAsia="bg-BG"/>
        </w:rPr>
        <w:t>бортезомиб</w:t>
      </w:r>
      <w:proofErr w:type="spellEnd"/>
      <w:r w:rsidRPr="000C2F42">
        <w:rPr>
          <w:rFonts w:eastAsia="Times New Roman" w:cs="Arial"/>
          <w:color w:val="000000"/>
          <w:lang w:eastAsia="bg-BG"/>
        </w:rPr>
        <w:t xml:space="preserve"> е обратимо.</w:t>
      </w:r>
    </w:p>
    <w:p w14:paraId="643BCD0D" w14:textId="77777777" w:rsidR="000C2F42" w:rsidRPr="000C2F42" w:rsidRDefault="000C2F42" w:rsidP="000C2F42">
      <w:pPr>
        <w:rPr>
          <w:rFonts w:eastAsia="Times New Roman" w:cs="Arial"/>
          <w:color w:val="000000"/>
          <w:lang w:eastAsia="bg-BG"/>
        </w:rPr>
      </w:pPr>
    </w:p>
    <w:p w14:paraId="038F692B" w14:textId="001680CD" w:rsidR="007A2185" w:rsidRDefault="000C2F42" w:rsidP="000C2F42">
      <w:pPr>
        <w:rPr>
          <w:rFonts w:eastAsia="Times New Roman" w:cs="Arial"/>
          <w:color w:val="000000"/>
          <w:lang w:eastAsia="bg-BG"/>
        </w:rPr>
      </w:pPr>
      <w:proofErr w:type="spellStart"/>
      <w:r w:rsidRPr="000C2F42">
        <w:rPr>
          <w:rFonts w:eastAsia="Times New Roman" w:cs="Arial"/>
          <w:color w:val="000000"/>
          <w:lang w:eastAsia="bg-BG"/>
        </w:rPr>
        <w:t>Медиираната</w:t>
      </w:r>
      <w:proofErr w:type="spellEnd"/>
      <w:r w:rsidRPr="000C2F42">
        <w:rPr>
          <w:rFonts w:eastAsia="Times New Roman" w:cs="Arial"/>
          <w:color w:val="000000"/>
          <w:lang w:eastAsia="bg-BG"/>
        </w:rPr>
        <w:t xml:space="preserve"> от </w:t>
      </w:r>
      <w:proofErr w:type="spellStart"/>
      <w:r w:rsidRPr="000C2F42">
        <w:rPr>
          <w:rFonts w:eastAsia="Times New Roman" w:cs="Arial"/>
          <w:color w:val="000000"/>
          <w:lang w:eastAsia="bg-BG"/>
        </w:rPr>
        <w:t>бортезомиб</w:t>
      </w:r>
      <w:proofErr w:type="spellEnd"/>
      <w:r w:rsidRPr="000C2F42">
        <w:rPr>
          <w:rFonts w:eastAsia="Times New Roman" w:cs="Arial"/>
          <w:color w:val="000000"/>
          <w:lang w:eastAsia="bg-BG"/>
        </w:rPr>
        <w:t xml:space="preserve"> </w:t>
      </w:r>
      <w:proofErr w:type="spellStart"/>
      <w:r w:rsidRPr="000C2F42">
        <w:rPr>
          <w:rFonts w:eastAsia="Times New Roman" w:cs="Arial"/>
          <w:color w:val="000000"/>
          <w:lang w:eastAsia="bg-BG"/>
        </w:rPr>
        <w:t>протеазомна</w:t>
      </w:r>
      <w:proofErr w:type="spellEnd"/>
      <w:r w:rsidRPr="000C2F42">
        <w:rPr>
          <w:rFonts w:eastAsia="Times New Roman" w:cs="Arial"/>
          <w:color w:val="000000"/>
          <w:lang w:eastAsia="bg-BG"/>
        </w:rPr>
        <w:t xml:space="preserve"> </w:t>
      </w:r>
      <w:proofErr w:type="spellStart"/>
      <w:r w:rsidRPr="000C2F42">
        <w:rPr>
          <w:rFonts w:eastAsia="Times New Roman" w:cs="Arial"/>
          <w:color w:val="000000"/>
          <w:lang w:eastAsia="bg-BG"/>
        </w:rPr>
        <w:t>инхибиция</w:t>
      </w:r>
      <w:proofErr w:type="spellEnd"/>
      <w:r w:rsidRPr="000C2F42">
        <w:rPr>
          <w:rFonts w:eastAsia="Times New Roman" w:cs="Arial"/>
          <w:color w:val="000000"/>
          <w:lang w:eastAsia="bg-BG"/>
        </w:rPr>
        <w:t xml:space="preserve"> засяга раковите клетки по много пътища, включително, но </w:t>
      </w:r>
      <w:proofErr w:type="spellStart"/>
      <w:r w:rsidRPr="000C2F42">
        <w:rPr>
          <w:rFonts w:eastAsia="Times New Roman" w:cs="Arial"/>
          <w:color w:val="000000"/>
          <w:lang w:eastAsia="bg-BG"/>
        </w:rPr>
        <w:t>неограничаващо</w:t>
      </w:r>
      <w:proofErr w:type="spellEnd"/>
      <w:r w:rsidRPr="000C2F42">
        <w:rPr>
          <w:rFonts w:eastAsia="Times New Roman" w:cs="Arial"/>
          <w:color w:val="000000"/>
          <w:lang w:eastAsia="bg-BG"/>
        </w:rPr>
        <w:t xml:space="preserve"> се само до увреждане на регулаторните протеини, които регулират прогресията по етапите на </w:t>
      </w:r>
      <w:proofErr w:type="spellStart"/>
      <w:r w:rsidRPr="000C2F42">
        <w:rPr>
          <w:rFonts w:eastAsia="Times New Roman" w:cs="Arial"/>
          <w:color w:val="000000"/>
          <w:lang w:eastAsia="bg-BG"/>
        </w:rPr>
        <w:t>клетьчния</w:t>
      </w:r>
      <w:proofErr w:type="spellEnd"/>
      <w:r w:rsidRPr="000C2F42">
        <w:rPr>
          <w:rFonts w:eastAsia="Times New Roman" w:cs="Arial"/>
          <w:color w:val="000000"/>
          <w:lang w:eastAsia="bg-BG"/>
        </w:rPr>
        <w:t xml:space="preserve"> цикъл и активирането на нуклеарния клетъчен фактор капа-В </w:t>
      </w:r>
      <w:r w:rsidRPr="00FD4C98">
        <w:rPr>
          <w:rFonts w:eastAsia="Times New Roman" w:cs="Arial"/>
          <w:color w:val="000000"/>
          <w:lang w:val="ru-RU"/>
        </w:rPr>
        <w:t>(</w:t>
      </w:r>
      <w:r w:rsidRPr="000C2F42">
        <w:rPr>
          <w:rFonts w:eastAsia="Times New Roman" w:cs="Arial"/>
          <w:color w:val="000000"/>
          <w:lang w:val="en-US"/>
        </w:rPr>
        <w:t>NF</w:t>
      </w:r>
      <w:r w:rsidRPr="00FD4C98">
        <w:rPr>
          <w:rFonts w:eastAsia="Times New Roman" w:cs="Arial"/>
          <w:color w:val="000000"/>
          <w:lang w:val="ru-RU"/>
        </w:rPr>
        <w:t>-</w:t>
      </w:r>
      <w:r w:rsidRPr="000C2F42">
        <w:rPr>
          <w:rFonts w:eastAsia="Times New Roman" w:cs="Arial"/>
          <w:color w:val="000000"/>
          <w:lang w:val="en-US"/>
        </w:rPr>
        <w:t>kB</w:t>
      </w:r>
      <w:r w:rsidRPr="00FD4C98">
        <w:rPr>
          <w:rFonts w:eastAsia="Times New Roman" w:cs="Arial"/>
          <w:color w:val="000000"/>
          <w:lang w:val="ru-RU"/>
        </w:rPr>
        <w:t xml:space="preserve">). </w:t>
      </w:r>
      <w:r w:rsidRPr="000C2F42">
        <w:rPr>
          <w:rFonts w:eastAsia="Times New Roman" w:cs="Arial"/>
          <w:color w:val="000000"/>
          <w:lang w:eastAsia="bg-BG"/>
        </w:rPr>
        <w:t xml:space="preserve">Инхибирането на </w:t>
      </w:r>
      <w:proofErr w:type="spellStart"/>
      <w:r w:rsidRPr="000C2F42">
        <w:rPr>
          <w:rFonts w:eastAsia="Times New Roman" w:cs="Arial"/>
          <w:color w:val="000000"/>
          <w:lang w:eastAsia="bg-BG"/>
        </w:rPr>
        <w:t>протеазомата</w:t>
      </w:r>
      <w:proofErr w:type="spellEnd"/>
      <w:r w:rsidRPr="000C2F42">
        <w:rPr>
          <w:rFonts w:eastAsia="Times New Roman" w:cs="Arial"/>
          <w:color w:val="000000"/>
          <w:lang w:eastAsia="bg-BG"/>
        </w:rPr>
        <w:t xml:space="preserve"> води до блокиране на клетъчния цикъл и апоптоза. Нуклеарният фактор </w:t>
      </w:r>
      <w:r w:rsidRPr="000C2F42">
        <w:rPr>
          <w:rFonts w:eastAsia="Times New Roman" w:cs="Arial"/>
          <w:color w:val="000000"/>
          <w:lang w:val="en-US"/>
        </w:rPr>
        <w:t>NF</w:t>
      </w:r>
      <w:r w:rsidRPr="00FD4C98">
        <w:rPr>
          <w:rFonts w:eastAsia="Times New Roman" w:cs="Arial"/>
          <w:color w:val="000000"/>
          <w:lang w:val="ru-RU"/>
        </w:rPr>
        <w:t>-</w:t>
      </w:r>
      <w:r w:rsidRPr="000C2F42">
        <w:rPr>
          <w:rFonts w:eastAsia="Times New Roman" w:cs="Arial"/>
          <w:color w:val="000000"/>
          <w:lang w:val="en-US"/>
        </w:rPr>
        <w:t>kB</w:t>
      </w:r>
      <w:r w:rsidRPr="00FD4C98">
        <w:rPr>
          <w:rFonts w:eastAsia="Times New Roman" w:cs="Arial"/>
          <w:color w:val="000000"/>
          <w:lang w:val="ru-RU"/>
        </w:rPr>
        <w:t xml:space="preserve"> </w:t>
      </w:r>
      <w:r w:rsidRPr="000C2F42">
        <w:rPr>
          <w:rFonts w:eastAsia="Times New Roman" w:cs="Arial"/>
          <w:color w:val="000000"/>
          <w:lang w:eastAsia="bg-BG"/>
        </w:rPr>
        <w:t xml:space="preserve">е фактор на транскрипция, чиято активация се изисква за много етапи на </w:t>
      </w:r>
      <w:proofErr w:type="spellStart"/>
      <w:r w:rsidRPr="000C2F42">
        <w:rPr>
          <w:rFonts w:eastAsia="Times New Roman" w:cs="Arial"/>
          <w:color w:val="000000"/>
          <w:lang w:eastAsia="bg-BG"/>
        </w:rPr>
        <w:t>туморогенезата</w:t>
      </w:r>
      <w:proofErr w:type="spellEnd"/>
      <w:r w:rsidRPr="000C2F42">
        <w:rPr>
          <w:rFonts w:eastAsia="Times New Roman" w:cs="Arial"/>
          <w:color w:val="000000"/>
          <w:lang w:eastAsia="bg-BG"/>
        </w:rPr>
        <w:t xml:space="preserve">, включително </w:t>
      </w:r>
      <w:proofErr w:type="spellStart"/>
      <w:r w:rsidRPr="000C2F42">
        <w:rPr>
          <w:rFonts w:eastAsia="Times New Roman" w:cs="Arial"/>
          <w:color w:val="000000"/>
          <w:lang w:eastAsia="bg-BG"/>
        </w:rPr>
        <w:t>клетьчния</w:t>
      </w:r>
      <w:proofErr w:type="spellEnd"/>
      <w:r w:rsidRPr="000C2F42">
        <w:rPr>
          <w:rFonts w:eastAsia="Times New Roman" w:cs="Arial"/>
          <w:color w:val="000000"/>
          <w:lang w:eastAsia="bg-BG"/>
        </w:rPr>
        <w:t xml:space="preserve"> растеж и преживяване, </w:t>
      </w:r>
      <w:proofErr w:type="spellStart"/>
      <w:r w:rsidRPr="000C2F42">
        <w:rPr>
          <w:rFonts w:eastAsia="Times New Roman" w:cs="Arial"/>
          <w:color w:val="000000"/>
          <w:lang w:eastAsia="bg-BG"/>
        </w:rPr>
        <w:t>ангиогенезата</w:t>
      </w:r>
      <w:proofErr w:type="spellEnd"/>
      <w:r w:rsidRPr="000C2F42">
        <w:rPr>
          <w:rFonts w:eastAsia="Times New Roman" w:cs="Arial"/>
          <w:color w:val="000000"/>
          <w:lang w:eastAsia="bg-BG"/>
        </w:rPr>
        <w:t xml:space="preserve">, взаимодействието клетка/клетка и метастазите. При миелом </w:t>
      </w:r>
      <w:proofErr w:type="spellStart"/>
      <w:r w:rsidRPr="000C2F42">
        <w:rPr>
          <w:rFonts w:eastAsia="Times New Roman" w:cs="Arial"/>
          <w:color w:val="000000"/>
          <w:lang w:eastAsia="bg-BG"/>
        </w:rPr>
        <w:t>бортозомиб</w:t>
      </w:r>
      <w:proofErr w:type="spellEnd"/>
      <w:r w:rsidRPr="000C2F42">
        <w:rPr>
          <w:rFonts w:eastAsia="Times New Roman" w:cs="Arial"/>
          <w:color w:val="000000"/>
          <w:lang w:eastAsia="bg-BG"/>
        </w:rPr>
        <w:t xml:space="preserve"> засяга способността на </w:t>
      </w:r>
      <w:proofErr w:type="spellStart"/>
      <w:r w:rsidRPr="000C2F42">
        <w:rPr>
          <w:rFonts w:eastAsia="Times New Roman" w:cs="Arial"/>
          <w:color w:val="000000"/>
          <w:lang w:eastAsia="bg-BG"/>
        </w:rPr>
        <w:t>миеломните</w:t>
      </w:r>
      <w:proofErr w:type="spellEnd"/>
      <w:r w:rsidRPr="000C2F42">
        <w:rPr>
          <w:rFonts w:eastAsia="Times New Roman" w:cs="Arial"/>
          <w:color w:val="000000"/>
          <w:lang w:eastAsia="bg-BG"/>
        </w:rPr>
        <w:t xml:space="preserve"> клетки да взаимодействат с микросредата на костния мозък.</w:t>
      </w:r>
    </w:p>
    <w:p w14:paraId="7A57EFB1" w14:textId="1A93547D" w:rsidR="00BA0ABF" w:rsidRDefault="00BA0ABF" w:rsidP="000C2F42">
      <w:pPr>
        <w:rPr>
          <w:rFonts w:eastAsia="Times New Roman" w:cs="Arial"/>
          <w:color w:val="000000"/>
          <w:lang w:eastAsia="bg-BG"/>
        </w:rPr>
      </w:pPr>
    </w:p>
    <w:p w14:paraId="1EFAF06E" w14:textId="77777777" w:rsidR="00BA0ABF" w:rsidRPr="00BA0ABF" w:rsidRDefault="00BA0ABF" w:rsidP="00BA0ABF">
      <w:pPr>
        <w:spacing w:line="240" w:lineRule="auto"/>
        <w:rPr>
          <w:rFonts w:eastAsia="Times New Roman" w:cs="Arial"/>
          <w:lang w:eastAsia="bg-BG"/>
        </w:rPr>
      </w:pPr>
      <w:r w:rsidRPr="00BA0ABF">
        <w:rPr>
          <w:rFonts w:eastAsia="Times New Roman" w:cs="Arial"/>
          <w:color w:val="000000"/>
          <w:lang w:eastAsia="bg-BG"/>
        </w:rPr>
        <w:t xml:space="preserve">Експерименти показват, че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 xml:space="preserve"> е </w:t>
      </w:r>
      <w:proofErr w:type="spellStart"/>
      <w:r w:rsidRPr="00BA0ABF">
        <w:rPr>
          <w:rFonts w:eastAsia="Times New Roman" w:cs="Arial"/>
          <w:color w:val="000000"/>
          <w:lang w:eastAsia="bg-BG"/>
        </w:rPr>
        <w:t>цитотоксичен</w:t>
      </w:r>
      <w:proofErr w:type="spellEnd"/>
      <w:r w:rsidRPr="00BA0ABF">
        <w:rPr>
          <w:rFonts w:eastAsia="Times New Roman" w:cs="Arial"/>
          <w:color w:val="000000"/>
          <w:lang w:eastAsia="bg-BG"/>
        </w:rPr>
        <w:t xml:space="preserve"> за множество типове туморни клетки и че туморните клетки са по-чувствителни към </w:t>
      </w:r>
      <w:proofErr w:type="spellStart"/>
      <w:r w:rsidRPr="00BA0ABF">
        <w:rPr>
          <w:rFonts w:eastAsia="Times New Roman" w:cs="Arial"/>
          <w:color w:val="000000"/>
          <w:lang w:eastAsia="bg-BG"/>
        </w:rPr>
        <w:t>проапоптозни</w:t>
      </w:r>
      <w:proofErr w:type="spellEnd"/>
      <w:r w:rsidRPr="00BA0ABF">
        <w:rPr>
          <w:rFonts w:eastAsia="Times New Roman" w:cs="Arial"/>
          <w:color w:val="000000"/>
          <w:lang w:eastAsia="bg-BG"/>
        </w:rPr>
        <w:t xml:space="preserve"> ефекти на </w:t>
      </w:r>
      <w:proofErr w:type="spellStart"/>
      <w:r w:rsidRPr="00BA0ABF">
        <w:rPr>
          <w:rFonts w:eastAsia="Times New Roman" w:cs="Arial"/>
          <w:color w:val="000000"/>
          <w:lang w:eastAsia="bg-BG"/>
        </w:rPr>
        <w:t>протеазомната</w:t>
      </w:r>
      <w:proofErr w:type="spellEnd"/>
      <w:r w:rsidRPr="00BA0ABF">
        <w:rPr>
          <w:rFonts w:eastAsia="Times New Roman" w:cs="Arial"/>
          <w:color w:val="000000"/>
          <w:lang w:eastAsia="bg-BG"/>
        </w:rPr>
        <w:t xml:space="preserve"> </w:t>
      </w:r>
      <w:proofErr w:type="spellStart"/>
      <w:r w:rsidRPr="00BA0ABF">
        <w:rPr>
          <w:rFonts w:eastAsia="Times New Roman" w:cs="Arial"/>
          <w:color w:val="000000"/>
          <w:lang w:eastAsia="bg-BG"/>
        </w:rPr>
        <w:t>инхибиция</w:t>
      </w:r>
      <w:proofErr w:type="spellEnd"/>
      <w:r w:rsidRPr="00BA0ABF">
        <w:rPr>
          <w:rFonts w:eastAsia="Times New Roman" w:cs="Arial"/>
          <w:color w:val="000000"/>
          <w:lang w:eastAsia="bg-BG"/>
        </w:rPr>
        <w:t xml:space="preserve">, в сравнение с нормалните клетки.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 xml:space="preserve"> води до намаляване на туморния растеж </w:t>
      </w:r>
      <w:r w:rsidRPr="00BA0ABF">
        <w:rPr>
          <w:rFonts w:eastAsia="Times New Roman" w:cs="Arial"/>
          <w:i/>
          <w:iCs/>
          <w:color w:val="000000"/>
          <w:lang w:val="en-US"/>
        </w:rPr>
        <w:t>in</w:t>
      </w:r>
      <w:r w:rsidRPr="00FD4C98">
        <w:rPr>
          <w:rFonts w:eastAsia="Times New Roman" w:cs="Arial"/>
          <w:i/>
          <w:iCs/>
          <w:color w:val="000000"/>
          <w:lang w:val="ru-RU"/>
        </w:rPr>
        <w:t xml:space="preserve"> </w:t>
      </w:r>
      <w:r w:rsidRPr="00BA0ABF">
        <w:rPr>
          <w:rFonts w:eastAsia="Times New Roman" w:cs="Arial"/>
          <w:i/>
          <w:iCs/>
          <w:color w:val="000000"/>
          <w:lang w:val="en-US"/>
        </w:rPr>
        <w:t>vivo</w:t>
      </w:r>
      <w:r w:rsidRPr="00FD4C98">
        <w:rPr>
          <w:rFonts w:eastAsia="Times New Roman" w:cs="Arial"/>
          <w:color w:val="000000"/>
          <w:lang w:val="ru-RU"/>
        </w:rPr>
        <w:t xml:space="preserve"> </w:t>
      </w:r>
      <w:r w:rsidRPr="00BA0ABF">
        <w:rPr>
          <w:rFonts w:eastAsia="Times New Roman" w:cs="Arial"/>
          <w:color w:val="000000"/>
          <w:lang w:eastAsia="bg-BG"/>
        </w:rPr>
        <w:t>в много предклинични туморни модели, включително мултиплен миелом.</w:t>
      </w:r>
    </w:p>
    <w:p w14:paraId="424177D2" w14:textId="77777777" w:rsidR="00BA0ABF" w:rsidRPr="006E0383" w:rsidRDefault="00BA0ABF" w:rsidP="00BA0ABF">
      <w:pPr>
        <w:spacing w:line="240" w:lineRule="auto"/>
        <w:rPr>
          <w:rFonts w:eastAsia="Times New Roman" w:cs="Arial"/>
          <w:color w:val="000000"/>
          <w:lang w:eastAsia="bg-BG"/>
        </w:rPr>
      </w:pPr>
    </w:p>
    <w:p w14:paraId="1BE66B94" w14:textId="18BA6856" w:rsidR="00BA0ABF" w:rsidRPr="00BA0ABF" w:rsidRDefault="00BA0ABF" w:rsidP="00BA0ABF">
      <w:pPr>
        <w:spacing w:line="240" w:lineRule="auto"/>
        <w:rPr>
          <w:rFonts w:eastAsia="Times New Roman" w:cs="Arial"/>
          <w:lang w:eastAsia="bg-BG"/>
        </w:rPr>
      </w:pPr>
      <w:r w:rsidRPr="00BA0ABF">
        <w:rPr>
          <w:rFonts w:eastAsia="Times New Roman" w:cs="Arial"/>
          <w:color w:val="000000"/>
          <w:lang w:eastAsia="bg-BG"/>
        </w:rPr>
        <w:t xml:space="preserve">Данните от </w:t>
      </w:r>
      <w:r w:rsidRPr="00BA0ABF">
        <w:rPr>
          <w:rFonts w:eastAsia="Times New Roman" w:cs="Arial"/>
          <w:i/>
          <w:iCs/>
          <w:color w:val="000000"/>
          <w:lang w:val="en-US"/>
        </w:rPr>
        <w:t>in</w:t>
      </w:r>
      <w:r w:rsidRPr="00FD4C98">
        <w:rPr>
          <w:rFonts w:eastAsia="Times New Roman" w:cs="Arial"/>
          <w:i/>
          <w:iCs/>
          <w:color w:val="000000"/>
          <w:lang w:val="ru-RU"/>
        </w:rPr>
        <w:t xml:space="preserve"> </w:t>
      </w:r>
      <w:r w:rsidRPr="00BA0ABF">
        <w:rPr>
          <w:rFonts w:eastAsia="Times New Roman" w:cs="Arial"/>
          <w:i/>
          <w:iCs/>
          <w:color w:val="000000"/>
          <w:lang w:val="en-US"/>
        </w:rPr>
        <w:t>vitro</w:t>
      </w:r>
      <w:r w:rsidRPr="00FD4C98">
        <w:rPr>
          <w:rFonts w:eastAsia="Times New Roman" w:cs="Arial"/>
          <w:i/>
          <w:iCs/>
          <w:color w:val="000000"/>
          <w:lang w:val="ru-RU"/>
        </w:rPr>
        <w:t xml:space="preserve">, </w:t>
      </w:r>
      <w:r w:rsidRPr="00BA0ABF">
        <w:rPr>
          <w:rFonts w:eastAsia="Times New Roman" w:cs="Arial"/>
          <w:i/>
          <w:iCs/>
          <w:color w:val="000000"/>
          <w:lang w:val="en-US"/>
        </w:rPr>
        <w:t>ex</w:t>
      </w:r>
      <w:r w:rsidRPr="00FD4C98">
        <w:rPr>
          <w:rFonts w:eastAsia="Times New Roman" w:cs="Arial"/>
          <w:i/>
          <w:iCs/>
          <w:color w:val="000000"/>
          <w:lang w:val="ru-RU"/>
        </w:rPr>
        <w:t>-</w:t>
      </w:r>
      <w:r w:rsidRPr="00BA0ABF">
        <w:rPr>
          <w:rFonts w:eastAsia="Times New Roman" w:cs="Arial"/>
          <w:i/>
          <w:iCs/>
          <w:color w:val="000000"/>
          <w:lang w:val="en-US"/>
        </w:rPr>
        <w:t>vivo</w:t>
      </w:r>
      <w:r w:rsidRPr="00FD4C98">
        <w:rPr>
          <w:rFonts w:eastAsia="Times New Roman" w:cs="Arial"/>
          <w:color w:val="000000"/>
          <w:lang w:val="ru-RU"/>
        </w:rPr>
        <w:t xml:space="preserve"> </w:t>
      </w:r>
      <w:r w:rsidRPr="00BA0ABF">
        <w:rPr>
          <w:rFonts w:eastAsia="Times New Roman" w:cs="Arial"/>
          <w:color w:val="000000"/>
          <w:lang w:eastAsia="bg-BG"/>
        </w:rPr>
        <w:t xml:space="preserve">и животински модели с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 xml:space="preserve"> предполагат, че той увеличава диференциацията и </w:t>
      </w:r>
      <w:proofErr w:type="spellStart"/>
      <w:r w:rsidRPr="00BA0ABF">
        <w:rPr>
          <w:rFonts w:eastAsia="Times New Roman" w:cs="Arial"/>
          <w:color w:val="000000"/>
          <w:lang w:eastAsia="bg-BG"/>
        </w:rPr>
        <w:t>актйвността</w:t>
      </w:r>
      <w:proofErr w:type="spellEnd"/>
      <w:r w:rsidRPr="00BA0ABF">
        <w:rPr>
          <w:rFonts w:eastAsia="Times New Roman" w:cs="Arial"/>
          <w:color w:val="000000"/>
          <w:lang w:eastAsia="bg-BG"/>
        </w:rPr>
        <w:t xml:space="preserve"> на </w:t>
      </w:r>
      <w:proofErr w:type="spellStart"/>
      <w:r w:rsidRPr="00BA0ABF">
        <w:rPr>
          <w:rFonts w:eastAsia="Times New Roman" w:cs="Arial"/>
          <w:color w:val="000000"/>
          <w:lang w:eastAsia="bg-BG"/>
        </w:rPr>
        <w:t>остеобластите</w:t>
      </w:r>
      <w:proofErr w:type="spellEnd"/>
      <w:r w:rsidRPr="00BA0ABF">
        <w:rPr>
          <w:rFonts w:eastAsia="Times New Roman" w:cs="Arial"/>
          <w:color w:val="000000"/>
          <w:lang w:eastAsia="bg-BG"/>
        </w:rPr>
        <w:t xml:space="preserve"> и инхибира функцията на </w:t>
      </w:r>
      <w:proofErr w:type="spellStart"/>
      <w:r w:rsidRPr="00BA0ABF">
        <w:rPr>
          <w:rFonts w:eastAsia="Times New Roman" w:cs="Arial"/>
          <w:color w:val="000000"/>
          <w:lang w:eastAsia="bg-BG"/>
        </w:rPr>
        <w:t>остеокластите</w:t>
      </w:r>
      <w:proofErr w:type="spellEnd"/>
      <w:r w:rsidRPr="00BA0ABF">
        <w:rPr>
          <w:rFonts w:eastAsia="Times New Roman" w:cs="Arial"/>
          <w:color w:val="000000"/>
          <w:lang w:eastAsia="bg-BG"/>
        </w:rPr>
        <w:t xml:space="preserve">. Тези ефекти са наблюдавани при пациенти с мултиплен миелом, с напреднала </w:t>
      </w:r>
      <w:proofErr w:type="spellStart"/>
      <w:r w:rsidRPr="00BA0ABF">
        <w:rPr>
          <w:rFonts w:eastAsia="Times New Roman" w:cs="Arial"/>
          <w:color w:val="000000"/>
          <w:lang w:eastAsia="bg-BG"/>
        </w:rPr>
        <w:t>остеолитична</w:t>
      </w:r>
      <w:proofErr w:type="spellEnd"/>
      <w:r w:rsidRPr="00BA0ABF">
        <w:rPr>
          <w:rFonts w:eastAsia="Times New Roman" w:cs="Arial"/>
          <w:color w:val="000000"/>
          <w:lang w:eastAsia="bg-BG"/>
        </w:rPr>
        <w:t xml:space="preserve"> болест и лекувани с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w:t>
      </w:r>
    </w:p>
    <w:p w14:paraId="2E980311" w14:textId="77777777" w:rsidR="00BA0ABF" w:rsidRPr="006E0383" w:rsidRDefault="00BA0ABF" w:rsidP="00BA0ABF">
      <w:pPr>
        <w:spacing w:line="240" w:lineRule="auto"/>
        <w:rPr>
          <w:rFonts w:eastAsia="Times New Roman" w:cs="Arial"/>
          <w:color w:val="000000"/>
          <w:u w:val="single"/>
          <w:lang w:eastAsia="bg-BG"/>
        </w:rPr>
      </w:pPr>
    </w:p>
    <w:p w14:paraId="71B9D3E8" w14:textId="70635A9C" w:rsidR="00BA0ABF" w:rsidRPr="00BA0ABF" w:rsidRDefault="00BA0ABF" w:rsidP="00BA0ABF">
      <w:pPr>
        <w:spacing w:line="240" w:lineRule="auto"/>
        <w:rPr>
          <w:rFonts w:eastAsia="Times New Roman" w:cs="Arial"/>
          <w:lang w:eastAsia="bg-BG"/>
        </w:rPr>
      </w:pPr>
      <w:r w:rsidRPr="00BA0ABF">
        <w:rPr>
          <w:rFonts w:eastAsia="Times New Roman" w:cs="Arial"/>
          <w:color w:val="000000"/>
          <w:u w:val="single"/>
          <w:lang w:eastAsia="bg-BG"/>
        </w:rPr>
        <w:t xml:space="preserve">Клинична ефикасност при </w:t>
      </w:r>
      <w:proofErr w:type="spellStart"/>
      <w:r w:rsidRPr="00BA0ABF">
        <w:rPr>
          <w:rFonts w:eastAsia="Times New Roman" w:cs="Arial"/>
          <w:color w:val="000000"/>
          <w:u w:val="single"/>
          <w:lang w:eastAsia="bg-BG"/>
        </w:rPr>
        <w:t>нелекуван</w:t>
      </w:r>
      <w:proofErr w:type="spellEnd"/>
      <w:r w:rsidRPr="00BA0ABF">
        <w:rPr>
          <w:rFonts w:eastAsia="Times New Roman" w:cs="Arial"/>
          <w:color w:val="000000"/>
          <w:u w:val="single"/>
          <w:lang w:eastAsia="bg-BG"/>
        </w:rPr>
        <w:t xml:space="preserve"> мултиплен миелом:</w:t>
      </w:r>
    </w:p>
    <w:p w14:paraId="2F8254B7" w14:textId="77777777" w:rsidR="00BA0ABF" w:rsidRPr="006E0383" w:rsidRDefault="00BA0ABF" w:rsidP="00BA0ABF">
      <w:pPr>
        <w:spacing w:line="240" w:lineRule="auto"/>
        <w:rPr>
          <w:rFonts w:eastAsia="Times New Roman" w:cs="Arial"/>
          <w:color w:val="000000"/>
          <w:lang w:eastAsia="bg-BG"/>
        </w:rPr>
      </w:pPr>
    </w:p>
    <w:p w14:paraId="01036A40" w14:textId="649E7F31" w:rsidR="00BA0ABF" w:rsidRPr="00BA0ABF" w:rsidRDefault="00BA0ABF" w:rsidP="00BA0ABF">
      <w:pPr>
        <w:spacing w:line="240" w:lineRule="auto"/>
        <w:rPr>
          <w:rFonts w:eastAsia="Times New Roman" w:cs="Arial"/>
          <w:lang w:eastAsia="bg-BG"/>
        </w:rPr>
      </w:pPr>
      <w:r w:rsidRPr="00BA0ABF">
        <w:rPr>
          <w:rFonts w:eastAsia="Times New Roman" w:cs="Arial"/>
          <w:color w:val="000000"/>
          <w:lang w:eastAsia="bg-BG"/>
        </w:rPr>
        <w:t xml:space="preserve">Проведено е </w:t>
      </w:r>
      <w:proofErr w:type="spellStart"/>
      <w:r w:rsidRPr="00BA0ABF">
        <w:rPr>
          <w:rFonts w:eastAsia="Times New Roman" w:cs="Arial"/>
          <w:color w:val="000000"/>
          <w:lang w:eastAsia="bg-BG"/>
        </w:rPr>
        <w:t>проспективно</w:t>
      </w:r>
      <w:proofErr w:type="spellEnd"/>
      <w:r w:rsidRPr="00BA0ABF">
        <w:rPr>
          <w:rFonts w:eastAsia="Times New Roman" w:cs="Arial"/>
          <w:color w:val="000000"/>
          <w:lang w:eastAsia="bg-BG"/>
        </w:rPr>
        <w:t xml:space="preserve">, международно, рандомизирано (1:1), открито клинично проучване фаза III </w:t>
      </w:r>
      <w:r w:rsidRPr="00FD4C98">
        <w:rPr>
          <w:rFonts w:eastAsia="Times New Roman" w:cs="Arial"/>
          <w:color w:val="000000"/>
          <w:lang w:val="ru-RU"/>
        </w:rPr>
        <w:t>(</w:t>
      </w:r>
      <w:r w:rsidRPr="00BA0ABF">
        <w:rPr>
          <w:rFonts w:eastAsia="Times New Roman" w:cs="Arial"/>
          <w:color w:val="000000"/>
          <w:lang w:val="en-US"/>
        </w:rPr>
        <w:t>MMY</w:t>
      </w:r>
      <w:r w:rsidRPr="00FD4C98">
        <w:rPr>
          <w:rFonts w:eastAsia="Times New Roman" w:cs="Arial"/>
          <w:color w:val="000000"/>
          <w:lang w:val="ru-RU"/>
        </w:rPr>
        <w:t xml:space="preserve">-3002 </w:t>
      </w:r>
      <w:r w:rsidRPr="00BA0ABF">
        <w:rPr>
          <w:rFonts w:eastAsia="Times New Roman" w:cs="Arial"/>
          <w:color w:val="000000"/>
          <w:lang w:val="en-US"/>
        </w:rPr>
        <w:t>VISTA</w:t>
      </w:r>
      <w:r w:rsidRPr="00FD4C98">
        <w:rPr>
          <w:rFonts w:eastAsia="Times New Roman" w:cs="Arial"/>
          <w:color w:val="000000"/>
          <w:lang w:val="ru-RU"/>
        </w:rPr>
        <w:t xml:space="preserve">) </w:t>
      </w:r>
      <w:r w:rsidRPr="00BA0ABF">
        <w:rPr>
          <w:rFonts w:eastAsia="Times New Roman" w:cs="Arial"/>
          <w:color w:val="000000"/>
          <w:lang w:eastAsia="bg-BG"/>
        </w:rPr>
        <w:t xml:space="preserve">при 682 пациенти, за да се оцени дали терапията с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 xml:space="preserve"> (1,3 </w:t>
      </w:r>
      <w:r w:rsidRPr="00BA0ABF">
        <w:rPr>
          <w:rFonts w:eastAsia="Times New Roman" w:cs="Arial"/>
          <w:color w:val="000000"/>
          <w:lang w:val="en-US"/>
        </w:rPr>
        <w:t>mg</w:t>
      </w:r>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BA0ABF">
        <w:rPr>
          <w:rFonts w:eastAsia="Times New Roman" w:cs="Arial"/>
          <w:color w:val="000000"/>
          <w:lang w:eastAsia="bg-BG"/>
        </w:rPr>
        <w:t xml:space="preserve">инжектиран интравенозно) в комбинация с </w:t>
      </w:r>
      <w:proofErr w:type="spellStart"/>
      <w:r w:rsidRPr="00BA0ABF">
        <w:rPr>
          <w:rFonts w:eastAsia="Times New Roman" w:cs="Arial"/>
          <w:color w:val="000000"/>
          <w:lang w:eastAsia="bg-BG"/>
        </w:rPr>
        <w:t>мелфалан</w:t>
      </w:r>
      <w:proofErr w:type="spellEnd"/>
      <w:r w:rsidRPr="00BA0ABF">
        <w:rPr>
          <w:rFonts w:eastAsia="Times New Roman" w:cs="Arial"/>
          <w:color w:val="000000"/>
          <w:lang w:eastAsia="bg-BG"/>
        </w:rPr>
        <w:t xml:space="preserve"> (9 </w:t>
      </w:r>
      <w:r w:rsidRPr="00BA0ABF">
        <w:rPr>
          <w:rFonts w:eastAsia="Times New Roman" w:cs="Arial"/>
          <w:color w:val="000000"/>
          <w:lang w:val="en-US"/>
        </w:rPr>
        <w:t>mg</w:t>
      </w:r>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BA0ABF">
        <w:rPr>
          <w:rFonts w:eastAsia="Times New Roman" w:cs="Arial"/>
          <w:color w:val="000000"/>
          <w:lang w:eastAsia="bg-BG"/>
        </w:rPr>
        <w:t xml:space="preserve">и </w:t>
      </w:r>
      <w:proofErr w:type="spellStart"/>
      <w:r w:rsidRPr="00BA0ABF">
        <w:rPr>
          <w:rFonts w:eastAsia="Times New Roman" w:cs="Arial"/>
          <w:color w:val="000000"/>
          <w:lang w:eastAsia="bg-BG"/>
        </w:rPr>
        <w:t>преднизон</w:t>
      </w:r>
      <w:proofErr w:type="spellEnd"/>
      <w:r w:rsidRPr="00BA0ABF">
        <w:rPr>
          <w:rFonts w:eastAsia="Times New Roman" w:cs="Arial"/>
          <w:color w:val="000000"/>
          <w:lang w:eastAsia="bg-BG"/>
        </w:rPr>
        <w:t xml:space="preserve"> (60 </w:t>
      </w:r>
      <w:r w:rsidRPr="00BA0ABF">
        <w:rPr>
          <w:rFonts w:eastAsia="Times New Roman" w:cs="Arial"/>
          <w:color w:val="000000"/>
          <w:lang w:val="en-US"/>
        </w:rPr>
        <w:t>mg</w:t>
      </w:r>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BA0ABF">
        <w:rPr>
          <w:rFonts w:eastAsia="Times New Roman" w:cs="Arial"/>
          <w:color w:val="000000"/>
          <w:lang w:eastAsia="bg-BG"/>
        </w:rPr>
        <w:t xml:space="preserve">води до подобряване на времето до прогресия (ВДП) в сравнение с терапията с </w:t>
      </w:r>
      <w:proofErr w:type="spellStart"/>
      <w:r w:rsidRPr="00BA0ABF">
        <w:rPr>
          <w:rFonts w:eastAsia="Times New Roman" w:cs="Arial"/>
          <w:color w:val="000000"/>
          <w:lang w:eastAsia="bg-BG"/>
        </w:rPr>
        <w:t>мелфалан</w:t>
      </w:r>
      <w:proofErr w:type="spellEnd"/>
      <w:r w:rsidRPr="00BA0ABF">
        <w:rPr>
          <w:rFonts w:eastAsia="Times New Roman" w:cs="Arial"/>
          <w:color w:val="000000"/>
          <w:lang w:eastAsia="bg-BG"/>
        </w:rPr>
        <w:t xml:space="preserve"> (9 </w:t>
      </w:r>
      <w:r w:rsidRPr="00BA0ABF">
        <w:rPr>
          <w:rFonts w:eastAsia="Times New Roman" w:cs="Arial"/>
          <w:color w:val="000000"/>
          <w:lang w:val="en-US"/>
        </w:rPr>
        <w:t>mg</w:t>
      </w:r>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BA0ABF">
        <w:rPr>
          <w:rFonts w:eastAsia="Times New Roman" w:cs="Arial"/>
          <w:color w:val="000000"/>
          <w:lang w:eastAsia="bg-BG"/>
        </w:rPr>
        <w:t xml:space="preserve">и </w:t>
      </w:r>
      <w:proofErr w:type="spellStart"/>
      <w:r w:rsidRPr="00BA0ABF">
        <w:rPr>
          <w:rFonts w:eastAsia="Times New Roman" w:cs="Arial"/>
          <w:color w:val="000000"/>
          <w:lang w:eastAsia="bg-BG"/>
        </w:rPr>
        <w:t>преднизон</w:t>
      </w:r>
      <w:proofErr w:type="spellEnd"/>
      <w:r w:rsidRPr="00BA0ABF">
        <w:rPr>
          <w:rFonts w:eastAsia="Times New Roman" w:cs="Arial"/>
          <w:color w:val="000000"/>
          <w:lang w:eastAsia="bg-BG"/>
        </w:rPr>
        <w:t xml:space="preserve"> (60 </w:t>
      </w:r>
      <w:r w:rsidRPr="00BA0ABF">
        <w:rPr>
          <w:rFonts w:eastAsia="Times New Roman" w:cs="Arial"/>
          <w:color w:val="000000"/>
          <w:lang w:val="en-US"/>
        </w:rPr>
        <w:t>mg</w:t>
      </w:r>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BA0ABF">
        <w:rPr>
          <w:rFonts w:eastAsia="Times New Roman" w:cs="Arial"/>
          <w:color w:val="000000"/>
          <w:lang w:eastAsia="bg-BG"/>
        </w:rPr>
        <w:t xml:space="preserve">при пациенти с </w:t>
      </w:r>
      <w:proofErr w:type="spellStart"/>
      <w:r w:rsidRPr="00BA0ABF">
        <w:rPr>
          <w:rFonts w:eastAsia="Times New Roman" w:cs="Arial"/>
          <w:color w:val="000000"/>
          <w:lang w:eastAsia="bg-BG"/>
        </w:rPr>
        <w:t>нелекуван</w:t>
      </w:r>
      <w:proofErr w:type="spellEnd"/>
      <w:r w:rsidRPr="00BA0ABF">
        <w:rPr>
          <w:rFonts w:eastAsia="Times New Roman" w:cs="Arial"/>
          <w:color w:val="000000"/>
          <w:lang w:eastAsia="bg-BG"/>
        </w:rPr>
        <w:t xml:space="preserve"> мултиплен миелом.</w:t>
      </w:r>
    </w:p>
    <w:p w14:paraId="7B0FD7F6" w14:textId="77777777" w:rsidR="00BA0ABF" w:rsidRPr="00BA0ABF" w:rsidRDefault="00BA0ABF" w:rsidP="00BA0ABF">
      <w:pPr>
        <w:spacing w:line="240" w:lineRule="auto"/>
        <w:rPr>
          <w:rFonts w:eastAsia="Times New Roman" w:cs="Arial"/>
          <w:lang w:eastAsia="bg-BG"/>
        </w:rPr>
      </w:pPr>
      <w:r w:rsidRPr="00BA0ABF">
        <w:rPr>
          <w:rFonts w:eastAsia="Times New Roman" w:cs="Arial"/>
          <w:color w:val="000000"/>
          <w:lang w:eastAsia="bg-BG"/>
        </w:rPr>
        <w:t xml:space="preserve">Лечението е прилагано за максимална продължителност от 9 цикъла (приблизително 54 седмици) и е прекъснато рано поради прогресиране на болестта или недопустимо ниво на токсичност. Средната възраст на пациентите в проучването е 71 години, 50% са мъже, 88% са от бялата раса и средната оценка на качеството на живот на пациентите по скалата на </w:t>
      </w:r>
      <w:proofErr w:type="spellStart"/>
      <w:r w:rsidRPr="00BA0ABF">
        <w:rPr>
          <w:rFonts w:eastAsia="Times New Roman" w:cs="Arial"/>
          <w:color w:val="000000"/>
          <w:lang w:val="en-US"/>
        </w:rPr>
        <w:t>Karnofsky</w:t>
      </w:r>
      <w:proofErr w:type="spellEnd"/>
      <w:r w:rsidRPr="00FD4C98">
        <w:rPr>
          <w:rFonts w:eastAsia="Times New Roman" w:cs="Arial"/>
          <w:color w:val="000000"/>
          <w:lang w:val="ru-RU"/>
        </w:rPr>
        <w:t xml:space="preserve"> </w:t>
      </w:r>
      <w:r w:rsidRPr="00BA0ABF">
        <w:rPr>
          <w:rFonts w:eastAsia="Times New Roman" w:cs="Arial"/>
          <w:color w:val="000000"/>
          <w:lang w:eastAsia="bg-BG"/>
        </w:rPr>
        <w:t xml:space="preserve">е 80. Пациентите са имали </w:t>
      </w:r>
      <w:r w:rsidRPr="00BA0ABF">
        <w:rPr>
          <w:rFonts w:eastAsia="Times New Roman" w:cs="Arial"/>
          <w:color w:val="000000"/>
          <w:lang w:val="en-US"/>
        </w:rPr>
        <w:t>IgG</w:t>
      </w:r>
      <w:r w:rsidRPr="00FD4C98">
        <w:rPr>
          <w:rFonts w:eastAsia="Times New Roman" w:cs="Arial"/>
          <w:color w:val="000000"/>
          <w:lang w:val="ru-RU"/>
        </w:rPr>
        <w:t>/</w:t>
      </w:r>
      <w:r w:rsidRPr="00BA0ABF">
        <w:rPr>
          <w:rFonts w:eastAsia="Times New Roman" w:cs="Arial"/>
          <w:color w:val="000000"/>
          <w:lang w:val="en-US"/>
        </w:rPr>
        <w:t>IgA</w:t>
      </w:r>
      <w:r w:rsidRPr="00BA0ABF">
        <w:rPr>
          <w:rFonts w:eastAsia="Times New Roman" w:cs="Arial"/>
          <w:color w:val="000000"/>
          <w:lang w:eastAsia="bg-BG"/>
        </w:rPr>
        <w:t>/</w:t>
      </w:r>
      <w:proofErr w:type="spellStart"/>
      <w:r w:rsidRPr="00BA0ABF">
        <w:rPr>
          <w:rFonts w:eastAsia="Times New Roman" w:cs="Arial"/>
          <w:color w:val="000000"/>
          <w:lang w:eastAsia="bg-BG"/>
        </w:rPr>
        <w:t>лековерижен</w:t>
      </w:r>
      <w:proofErr w:type="spellEnd"/>
      <w:r w:rsidRPr="00BA0ABF">
        <w:rPr>
          <w:rFonts w:eastAsia="Times New Roman" w:cs="Arial"/>
          <w:color w:val="000000"/>
          <w:lang w:eastAsia="bg-BG"/>
        </w:rPr>
        <w:t xml:space="preserve"> миелом в </w:t>
      </w:r>
      <w:r w:rsidRPr="00FD4C98">
        <w:rPr>
          <w:rFonts w:eastAsia="Times New Roman" w:cs="Arial"/>
          <w:color w:val="000000"/>
          <w:lang w:val="ru-RU"/>
        </w:rPr>
        <w:t xml:space="preserve">63%/25%/8% </w:t>
      </w:r>
      <w:r w:rsidRPr="00BA0ABF">
        <w:rPr>
          <w:rFonts w:eastAsia="Times New Roman" w:cs="Arial"/>
          <w:color w:val="000000"/>
          <w:lang w:eastAsia="bg-BG"/>
        </w:rPr>
        <w:t xml:space="preserve">от случаите, средна стойност на хемоглобина -105 </w:t>
      </w:r>
      <w:r w:rsidRPr="00BA0ABF">
        <w:rPr>
          <w:rFonts w:eastAsia="Times New Roman" w:cs="Arial"/>
          <w:color w:val="000000"/>
          <w:lang w:val="en-US"/>
        </w:rPr>
        <w:t>g</w:t>
      </w:r>
      <w:r w:rsidRPr="00FD4C98">
        <w:rPr>
          <w:rFonts w:eastAsia="Times New Roman" w:cs="Arial"/>
          <w:color w:val="000000"/>
          <w:lang w:val="ru-RU"/>
        </w:rPr>
        <w:t>/</w:t>
      </w:r>
      <w:r w:rsidRPr="00BA0ABF">
        <w:rPr>
          <w:rFonts w:eastAsia="Times New Roman" w:cs="Arial"/>
          <w:color w:val="000000"/>
          <w:lang w:val="en-US"/>
        </w:rPr>
        <w:t>l</w:t>
      </w:r>
      <w:r w:rsidRPr="00FD4C98">
        <w:rPr>
          <w:rFonts w:eastAsia="Times New Roman" w:cs="Arial"/>
          <w:color w:val="000000"/>
          <w:lang w:val="ru-RU"/>
        </w:rPr>
        <w:t xml:space="preserve"> </w:t>
      </w:r>
      <w:r w:rsidRPr="00BA0ABF">
        <w:rPr>
          <w:rFonts w:eastAsia="Times New Roman" w:cs="Arial"/>
          <w:color w:val="000000"/>
          <w:lang w:eastAsia="bg-BG"/>
        </w:rPr>
        <w:t xml:space="preserve">и среден брой на </w:t>
      </w:r>
      <w:proofErr w:type="spellStart"/>
      <w:r w:rsidRPr="00BA0ABF">
        <w:rPr>
          <w:rFonts w:eastAsia="Times New Roman" w:cs="Arial"/>
          <w:color w:val="000000"/>
          <w:lang w:eastAsia="bg-BG"/>
        </w:rPr>
        <w:t>тромбоцитите</w:t>
      </w:r>
      <w:proofErr w:type="spellEnd"/>
      <w:r w:rsidRPr="00BA0ABF">
        <w:rPr>
          <w:rFonts w:eastAsia="Times New Roman" w:cs="Arial"/>
          <w:color w:val="000000"/>
          <w:lang w:eastAsia="bg-BG"/>
        </w:rPr>
        <w:t xml:space="preserve"> - 221,5 х 10/</w:t>
      </w:r>
      <w:r w:rsidRPr="00BA0ABF">
        <w:rPr>
          <w:rFonts w:eastAsia="Times New Roman" w:cs="Arial"/>
          <w:color w:val="000000"/>
          <w:lang w:val="en-US"/>
        </w:rPr>
        <w:t>l</w:t>
      </w:r>
      <w:r w:rsidRPr="00BA0ABF">
        <w:rPr>
          <w:rFonts w:eastAsia="Times New Roman" w:cs="Arial"/>
          <w:color w:val="000000"/>
          <w:lang w:eastAsia="bg-BG"/>
        </w:rPr>
        <w:t xml:space="preserve">. Сходен е и процентът на пациентите с </w:t>
      </w:r>
      <w:proofErr w:type="spellStart"/>
      <w:r w:rsidRPr="00BA0ABF">
        <w:rPr>
          <w:rFonts w:eastAsia="Times New Roman" w:cs="Arial"/>
          <w:color w:val="000000"/>
          <w:lang w:eastAsia="bg-BG"/>
        </w:rPr>
        <w:t>креатининов</w:t>
      </w:r>
      <w:proofErr w:type="spellEnd"/>
      <w:r w:rsidRPr="00BA0ABF">
        <w:rPr>
          <w:rFonts w:eastAsia="Times New Roman" w:cs="Arial"/>
          <w:color w:val="000000"/>
          <w:lang w:eastAsia="bg-BG"/>
        </w:rPr>
        <w:t xml:space="preserve"> клирънс &lt; 30 </w:t>
      </w:r>
      <w:r w:rsidRPr="00BA0ABF">
        <w:rPr>
          <w:rFonts w:eastAsia="Times New Roman" w:cs="Arial"/>
          <w:color w:val="000000"/>
          <w:lang w:val="en-US"/>
        </w:rPr>
        <w:t>ml</w:t>
      </w:r>
      <w:r w:rsidRPr="00FD4C98">
        <w:rPr>
          <w:rFonts w:eastAsia="Times New Roman" w:cs="Arial"/>
          <w:color w:val="000000"/>
          <w:lang w:val="ru-RU"/>
        </w:rPr>
        <w:t>/</w:t>
      </w:r>
      <w:r w:rsidRPr="00BA0ABF">
        <w:rPr>
          <w:rFonts w:eastAsia="Times New Roman" w:cs="Arial"/>
          <w:color w:val="000000"/>
          <w:lang w:val="en-US"/>
        </w:rPr>
        <w:t>min</w:t>
      </w:r>
      <w:r w:rsidRPr="00FD4C98">
        <w:rPr>
          <w:rFonts w:eastAsia="Times New Roman" w:cs="Arial"/>
          <w:color w:val="000000"/>
          <w:lang w:val="ru-RU"/>
        </w:rPr>
        <w:t xml:space="preserve"> </w:t>
      </w:r>
      <w:r w:rsidRPr="00BA0ABF">
        <w:rPr>
          <w:rFonts w:eastAsia="Times New Roman" w:cs="Arial"/>
          <w:color w:val="000000"/>
          <w:lang w:eastAsia="bg-BG"/>
        </w:rPr>
        <w:t>(3% във всяко рамо).</w:t>
      </w:r>
    </w:p>
    <w:p w14:paraId="10732D10" w14:textId="77777777" w:rsidR="00BA0ABF" w:rsidRPr="006E0383" w:rsidRDefault="00BA0ABF" w:rsidP="00BA0ABF">
      <w:pPr>
        <w:spacing w:line="240" w:lineRule="auto"/>
        <w:rPr>
          <w:rFonts w:eastAsia="Times New Roman" w:cs="Arial"/>
          <w:color w:val="000000"/>
          <w:lang w:eastAsia="bg-BG"/>
        </w:rPr>
      </w:pPr>
    </w:p>
    <w:p w14:paraId="29DCF9D9" w14:textId="7B2D35BA" w:rsidR="00BA0ABF" w:rsidRPr="00BA0ABF" w:rsidRDefault="00BA0ABF" w:rsidP="00BA0ABF">
      <w:pPr>
        <w:spacing w:line="240" w:lineRule="auto"/>
        <w:rPr>
          <w:rFonts w:eastAsia="Times New Roman" w:cs="Arial"/>
          <w:lang w:eastAsia="bg-BG"/>
        </w:rPr>
      </w:pPr>
      <w:r w:rsidRPr="00BA0ABF">
        <w:rPr>
          <w:rFonts w:eastAsia="Times New Roman" w:cs="Arial"/>
          <w:color w:val="000000"/>
          <w:lang w:eastAsia="bg-BG"/>
        </w:rPr>
        <w:t xml:space="preserve">В периода на предварително планирания междинен анализ, първичната крайна точка, времето до прогресия е спазено, и пациентите в групата на </w:t>
      </w:r>
      <w:proofErr w:type="spellStart"/>
      <w:r w:rsidRPr="00BA0ABF">
        <w:rPr>
          <w:rFonts w:eastAsia="Times New Roman" w:cs="Arial"/>
          <w:color w:val="000000"/>
          <w:lang w:eastAsia="bg-BG"/>
        </w:rPr>
        <w:t>мелфалан</w:t>
      </w:r>
      <w:proofErr w:type="spellEnd"/>
      <w:r w:rsidRPr="00BA0ABF">
        <w:rPr>
          <w:rFonts w:eastAsia="Times New Roman" w:cs="Arial"/>
          <w:color w:val="000000"/>
          <w:lang w:eastAsia="bg-BG"/>
        </w:rPr>
        <w:t xml:space="preserve"> и </w:t>
      </w:r>
      <w:proofErr w:type="spellStart"/>
      <w:r w:rsidRPr="00BA0ABF">
        <w:rPr>
          <w:rFonts w:eastAsia="Times New Roman" w:cs="Arial"/>
          <w:color w:val="000000"/>
          <w:lang w:eastAsia="bg-BG"/>
        </w:rPr>
        <w:t>преднизон</w:t>
      </w:r>
      <w:proofErr w:type="spellEnd"/>
      <w:r w:rsidRPr="00BA0ABF">
        <w:rPr>
          <w:rFonts w:eastAsia="Times New Roman" w:cs="Arial"/>
          <w:color w:val="000000"/>
          <w:lang w:eastAsia="bg-BG"/>
        </w:rPr>
        <w:t xml:space="preserve"> (М+Р) са преминали на лечение с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 xml:space="preserve"> в комбинация с </w:t>
      </w:r>
      <w:proofErr w:type="spellStart"/>
      <w:r w:rsidRPr="00BA0ABF">
        <w:rPr>
          <w:rFonts w:eastAsia="Times New Roman" w:cs="Arial"/>
          <w:color w:val="000000"/>
          <w:lang w:eastAsia="bg-BG"/>
        </w:rPr>
        <w:t>мелфалан</w:t>
      </w:r>
      <w:proofErr w:type="spellEnd"/>
      <w:r w:rsidRPr="00BA0ABF">
        <w:rPr>
          <w:rFonts w:eastAsia="Times New Roman" w:cs="Arial"/>
          <w:color w:val="000000"/>
          <w:lang w:eastAsia="bg-BG"/>
        </w:rPr>
        <w:t xml:space="preserve"> и </w:t>
      </w:r>
      <w:proofErr w:type="spellStart"/>
      <w:r w:rsidRPr="00BA0ABF">
        <w:rPr>
          <w:rFonts w:eastAsia="Times New Roman" w:cs="Arial"/>
          <w:color w:val="000000"/>
          <w:lang w:eastAsia="bg-BG"/>
        </w:rPr>
        <w:t>преднизон</w:t>
      </w:r>
      <w:proofErr w:type="spellEnd"/>
      <w:r w:rsidRPr="00BA0ABF">
        <w:rPr>
          <w:rFonts w:eastAsia="Times New Roman" w:cs="Arial"/>
          <w:color w:val="000000"/>
          <w:lang w:eastAsia="bg-BG"/>
        </w:rPr>
        <w:t xml:space="preserve"> </w:t>
      </w:r>
      <w:r w:rsidRPr="00FD4C98">
        <w:rPr>
          <w:rFonts w:eastAsia="Times New Roman" w:cs="Arial"/>
          <w:color w:val="000000"/>
          <w:lang w:val="ru-RU"/>
        </w:rPr>
        <w:t>(</w:t>
      </w:r>
      <w:proofErr w:type="spellStart"/>
      <w:r w:rsidRPr="00BA0ABF">
        <w:rPr>
          <w:rFonts w:eastAsia="Times New Roman" w:cs="Arial"/>
          <w:color w:val="000000"/>
          <w:lang w:val="en-US"/>
        </w:rPr>
        <w:t>Vc</w:t>
      </w:r>
      <w:proofErr w:type="spellEnd"/>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lang w:val="ru-RU"/>
        </w:rPr>
        <w:t>+</w:t>
      </w:r>
      <w:r w:rsidRPr="00BA0ABF">
        <w:rPr>
          <w:rFonts w:eastAsia="Times New Roman" w:cs="Arial"/>
          <w:color w:val="000000"/>
          <w:lang w:val="en-US"/>
        </w:rPr>
        <w:t>P</w:t>
      </w:r>
      <w:r w:rsidRPr="00FD4C98">
        <w:rPr>
          <w:rFonts w:eastAsia="Times New Roman" w:cs="Arial"/>
          <w:color w:val="000000"/>
          <w:lang w:val="ru-RU"/>
        </w:rPr>
        <w:t xml:space="preserve">). </w:t>
      </w:r>
      <w:r w:rsidRPr="00BA0ABF">
        <w:rPr>
          <w:rFonts w:eastAsia="Times New Roman" w:cs="Arial"/>
          <w:color w:val="000000"/>
          <w:lang w:eastAsia="bg-BG"/>
        </w:rPr>
        <w:t xml:space="preserve">Медианата на периода на проследяване е 16,3 месеца. Крайното актуализиране на данните за преживяемост е извършено с медиана на периода на проследяване 60,1 месеца. Наблюдава се статистически значимо подобрение на преживяемостта в групата на лечение с </w:t>
      </w:r>
      <w:proofErr w:type="spellStart"/>
      <w:r w:rsidRPr="00BA0ABF">
        <w:rPr>
          <w:rFonts w:eastAsia="Times New Roman" w:cs="Arial"/>
          <w:color w:val="000000"/>
          <w:lang w:val="en-US"/>
        </w:rPr>
        <w:t>Vc</w:t>
      </w:r>
      <w:proofErr w:type="spellEnd"/>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lang w:val="ru-RU"/>
        </w:rPr>
        <w:t>+</w:t>
      </w:r>
      <w:r w:rsidRPr="00BA0ABF">
        <w:rPr>
          <w:rFonts w:eastAsia="Times New Roman" w:cs="Arial"/>
          <w:color w:val="000000"/>
          <w:lang w:val="en-US"/>
        </w:rPr>
        <w:t>P</w:t>
      </w:r>
      <w:r w:rsidRPr="00FD4C98">
        <w:rPr>
          <w:rFonts w:eastAsia="Times New Roman" w:cs="Arial"/>
          <w:color w:val="000000"/>
          <w:lang w:val="ru-RU"/>
        </w:rPr>
        <w:t xml:space="preserve"> (</w:t>
      </w:r>
      <w:r w:rsidRPr="00BA0ABF">
        <w:rPr>
          <w:rFonts w:eastAsia="Times New Roman" w:cs="Arial"/>
          <w:color w:val="000000"/>
          <w:lang w:val="en-US"/>
        </w:rPr>
        <w:t>HR</w:t>
      </w:r>
      <w:r w:rsidRPr="00FD4C98">
        <w:rPr>
          <w:rFonts w:eastAsia="Times New Roman" w:cs="Arial"/>
          <w:color w:val="000000"/>
          <w:lang w:val="ru-RU"/>
        </w:rPr>
        <w:t xml:space="preserve">=0,695; </w:t>
      </w:r>
      <w:r w:rsidRPr="00BA0ABF">
        <w:rPr>
          <w:rFonts w:eastAsia="Times New Roman" w:cs="Arial"/>
          <w:color w:val="000000"/>
          <w:lang w:val="en-US"/>
        </w:rPr>
        <w:t>p</w:t>
      </w:r>
      <w:r w:rsidRPr="00FD4C98">
        <w:rPr>
          <w:rFonts w:eastAsia="Times New Roman" w:cs="Arial"/>
          <w:color w:val="000000"/>
          <w:lang w:val="ru-RU"/>
        </w:rPr>
        <w:t>-0,</w:t>
      </w:r>
      <w:r w:rsidRPr="00BA0ABF">
        <w:rPr>
          <w:rFonts w:eastAsia="Times New Roman" w:cs="Arial"/>
          <w:color w:val="000000"/>
          <w:lang w:eastAsia="bg-BG"/>
        </w:rPr>
        <w:t xml:space="preserve">00043), въпреки последващи терапевтични курсове, включително схеми, базирани на </w:t>
      </w:r>
      <w:proofErr w:type="spellStart"/>
      <w:r w:rsidRPr="00BA0ABF">
        <w:rPr>
          <w:rFonts w:eastAsia="Times New Roman" w:cs="Arial"/>
          <w:color w:val="000000"/>
          <w:lang w:eastAsia="bg-BG"/>
        </w:rPr>
        <w:t>бортезомиб</w:t>
      </w:r>
      <w:proofErr w:type="spellEnd"/>
      <w:r w:rsidRPr="00BA0ABF">
        <w:rPr>
          <w:rFonts w:eastAsia="Times New Roman" w:cs="Arial"/>
          <w:color w:val="000000"/>
          <w:lang w:eastAsia="bg-BG"/>
        </w:rPr>
        <w:t xml:space="preserve">. Медианата на преживяемост в групата на </w:t>
      </w:r>
      <w:r w:rsidRPr="00BA0ABF">
        <w:rPr>
          <w:rFonts w:eastAsia="Times New Roman" w:cs="Arial"/>
          <w:color w:val="000000"/>
          <w:lang w:eastAsia="bg-BG"/>
        </w:rPr>
        <w:lastRenderedPageBreak/>
        <w:t xml:space="preserve">лечение с </w:t>
      </w:r>
      <w:proofErr w:type="spellStart"/>
      <w:r w:rsidRPr="00BA0ABF">
        <w:rPr>
          <w:rFonts w:eastAsia="Times New Roman" w:cs="Arial"/>
          <w:color w:val="000000"/>
          <w:lang w:val="en-US"/>
        </w:rPr>
        <w:t>Vc</w:t>
      </w:r>
      <w:proofErr w:type="spellEnd"/>
      <w:r w:rsidRPr="00FD4C98">
        <w:rPr>
          <w:rFonts w:eastAsia="Times New Roman" w:cs="Arial"/>
          <w:color w:val="000000"/>
          <w:lang w:val="ru-RU"/>
        </w:rPr>
        <w:t>+</w:t>
      </w:r>
      <w:r w:rsidRPr="00BA0ABF">
        <w:rPr>
          <w:rFonts w:eastAsia="Times New Roman" w:cs="Arial"/>
          <w:color w:val="000000"/>
          <w:lang w:val="en-US"/>
        </w:rPr>
        <w:t>M</w:t>
      </w:r>
      <w:r w:rsidRPr="00FD4C98">
        <w:rPr>
          <w:rFonts w:eastAsia="Times New Roman" w:cs="Arial"/>
          <w:color w:val="000000"/>
          <w:lang w:val="ru-RU"/>
        </w:rPr>
        <w:t>+</w:t>
      </w:r>
      <w:r w:rsidRPr="00BA0ABF">
        <w:rPr>
          <w:rFonts w:eastAsia="Times New Roman" w:cs="Arial"/>
          <w:color w:val="000000"/>
          <w:lang w:val="en-US"/>
        </w:rPr>
        <w:t>P</w:t>
      </w:r>
      <w:r w:rsidRPr="00FD4C98">
        <w:rPr>
          <w:rFonts w:eastAsia="Times New Roman" w:cs="Arial"/>
          <w:color w:val="000000"/>
          <w:lang w:val="ru-RU"/>
        </w:rPr>
        <w:t xml:space="preserve"> </w:t>
      </w:r>
      <w:r w:rsidRPr="00BA0ABF">
        <w:rPr>
          <w:rFonts w:eastAsia="Times New Roman" w:cs="Arial"/>
          <w:color w:val="000000"/>
          <w:lang w:eastAsia="bg-BG"/>
        </w:rPr>
        <w:t>е 56,4 месеца, в сравнение с 43,1 за групата на лечение с М+Р. Резултатите за ефикасността са представени в Таблица 8:</w:t>
      </w:r>
    </w:p>
    <w:p w14:paraId="36442C46" w14:textId="77777777" w:rsidR="00BA0ABF" w:rsidRPr="006E0383" w:rsidRDefault="00BA0ABF" w:rsidP="00BA0ABF">
      <w:pPr>
        <w:rPr>
          <w:rFonts w:eastAsia="Times New Roman" w:cs="Arial"/>
          <w:i/>
          <w:iCs/>
          <w:color w:val="000000"/>
          <w:lang w:eastAsia="bg-BG"/>
        </w:rPr>
      </w:pPr>
    </w:p>
    <w:p w14:paraId="211CF1FD" w14:textId="2D948878" w:rsidR="00BA0ABF" w:rsidRPr="006E0383" w:rsidRDefault="00BA0ABF" w:rsidP="00BA0ABF">
      <w:pPr>
        <w:rPr>
          <w:rFonts w:cs="Arial"/>
        </w:rPr>
      </w:pPr>
      <w:r w:rsidRPr="006E0383">
        <w:rPr>
          <w:rFonts w:eastAsia="Times New Roman" w:cs="Arial"/>
          <w:i/>
          <w:iCs/>
          <w:color w:val="000000"/>
          <w:lang w:eastAsia="bg-BG"/>
        </w:rPr>
        <w:t>Таблица 8: Резултати за ефикасност след крайното актуализиране на данните за преживяемост</w:t>
      </w:r>
    </w:p>
    <w:p w14:paraId="36152471" w14:textId="35F8C91F" w:rsidR="0091385D" w:rsidRPr="006E0383" w:rsidRDefault="0091385D" w:rsidP="0091385D">
      <w:pPr>
        <w:rPr>
          <w:rFonts w:cs="Arial"/>
        </w:rPr>
      </w:pPr>
    </w:p>
    <w:tbl>
      <w:tblPr>
        <w:tblStyle w:val="TableGrid"/>
        <w:tblW w:w="0" w:type="auto"/>
        <w:tblLook w:val="04A0" w:firstRow="1" w:lastRow="0" w:firstColumn="1" w:lastColumn="0" w:noHBand="0" w:noVBand="1"/>
      </w:tblPr>
      <w:tblGrid>
        <w:gridCol w:w="3116"/>
        <w:gridCol w:w="3117"/>
        <w:gridCol w:w="3117"/>
      </w:tblGrid>
      <w:tr w:rsidR="006E0383" w:rsidRPr="006E0383" w14:paraId="75DD0C73" w14:textId="77777777" w:rsidTr="00BA0ABF">
        <w:tc>
          <w:tcPr>
            <w:tcW w:w="3116" w:type="dxa"/>
          </w:tcPr>
          <w:p w14:paraId="03DAE006" w14:textId="77777777" w:rsidR="006E0383" w:rsidRPr="006E0383" w:rsidRDefault="006E0383" w:rsidP="006E0383">
            <w:pPr>
              <w:rPr>
                <w:rFonts w:cs="Arial"/>
              </w:rPr>
            </w:pPr>
            <w:r w:rsidRPr="006E0383">
              <w:rPr>
                <w:rFonts w:cs="Arial"/>
                <w:b/>
                <w:bCs/>
              </w:rPr>
              <w:t>Крайна</w:t>
            </w:r>
            <w:r w:rsidRPr="006E0383">
              <w:rPr>
                <w:rFonts w:cs="Arial"/>
                <w:b/>
                <w:bCs/>
              </w:rPr>
              <w:tab/>
              <w:t>точка</w:t>
            </w:r>
            <w:r w:rsidRPr="006E0383">
              <w:rPr>
                <w:rFonts w:cs="Arial"/>
                <w:b/>
                <w:bCs/>
              </w:rPr>
              <w:tab/>
              <w:t>за</w:t>
            </w:r>
          </w:p>
          <w:p w14:paraId="5E32C94B" w14:textId="7ED0FB3A" w:rsidR="006E0383" w:rsidRPr="006E0383" w:rsidRDefault="006E0383" w:rsidP="006E0383">
            <w:pPr>
              <w:rPr>
                <w:rFonts w:cs="Arial"/>
                <w:lang w:val="en-US"/>
              </w:rPr>
            </w:pPr>
            <w:r w:rsidRPr="006E0383">
              <w:rPr>
                <w:rFonts w:cs="Arial"/>
                <w:b/>
                <w:bCs/>
              </w:rPr>
              <w:t>ефикасност</w:t>
            </w:r>
          </w:p>
        </w:tc>
        <w:tc>
          <w:tcPr>
            <w:tcW w:w="3117" w:type="dxa"/>
          </w:tcPr>
          <w:p w14:paraId="5D612DB1" w14:textId="3242D0FD" w:rsidR="006E0383" w:rsidRPr="006E0383" w:rsidRDefault="006E0383" w:rsidP="006E0383">
            <w:pPr>
              <w:rPr>
                <w:rFonts w:cs="Arial"/>
                <w:lang w:val="en-US"/>
              </w:rPr>
            </w:pPr>
            <w:proofErr w:type="spellStart"/>
            <w:r w:rsidRPr="006E0383">
              <w:rPr>
                <w:rFonts w:cs="Arial"/>
                <w:b/>
                <w:bCs/>
                <w:lang w:val="en-US"/>
              </w:rPr>
              <w:t>Vc+M+P</w:t>
            </w:r>
            <w:proofErr w:type="spellEnd"/>
            <w:r w:rsidRPr="006E0383">
              <w:rPr>
                <w:rFonts w:cs="Arial"/>
                <w:b/>
                <w:bCs/>
                <w:lang w:val="en-US"/>
              </w:rPr>
              <w:t xml:space="preserve"> n</w:t>
            </w:r>
            <w:r w:rsidRPr="006E0383">
              <w:rPr>
                <w:rFonts w:cs="Arial"/>
                <w:b/>
                <w:bCs/>
              </w:rPr>
              <w:t>=344</w:t>
            </w:r>
          </w:p>
        </w:tc>
        <w:tc>
          <w:tcPr>
            <w:tcW w:w="3117" w:type="dxa"/>
          </w:tcPr>
          <w:p w14:paraId="7422CB45" w14:textId="4858498F" w:rsidR="006E0383" w:rsidRPr="006E0383" w:rsidRDefault="006E0383" w:rsidP="006E0383">
            <w:pPr>
              <w:rPr>
                <w:rFonts w:cs="Arial"/>
                <w:lang w:val="en-US"/>
              </w:rPr>
            </w:pPr>
            <w:r w:rsidRPr="006E0383">
              <w:rPr>
                <w:rFonts w:cs="Arial"/>
                <w:b/>
                <w:bCs/>
              </w:rPr>
              <w:t xml:space="preserve"> М+Р </w:t>
            </w:r>
            <w:r w:rsidRPr="006E0383">
              <w:rPr>
                <w:rFonts w:cs="Arial"/>
                <w:b/>
                <w:bCs/>
                <w:lang w:val="en-US"/>
              </w:rPr>
              <w:t>n</w:t>
            </w:r>
            <w:r w:rsidRPr="006E0383">
              <w:rPr>
                <w:rFonts w:cs="Arial"/>
                <w:b/>
                <w:bCs/>
              </w:rPr>
              <w:t>=338</w:t>
            </w:r>
          </w:p>
        </w:tc>
      </w:tr>
      <w:tr w:rsidR="006E0383" w:rsidRPr="006E0383" w14:paraId="3AE17495" w14:textId="77777777" w:rsidTr="00BA0ABF">
        <w:tc>
          <w:tcPr>
            <w:tcW w:w="3116" w:type="dxa"/>
          </w:tcPr>
          <w:p w14:paraId="7E0AD002" w14:textId="77777777" w:rsidR="006E0383" w:rsidRPr="006E0383" w:rsidRDefault="006E0383" w:rsidP="006E0383">
            <w:pPr>
              <w:rPr>
                <w:rFonts w:cs="Arial"/>
              </w:rPr>
            </w:pPr>
            <w:r w:rsidRPr="006E0383">
              <w:rPr>
                <w:rFonts w:cs="Arial"/>
                <w:b/>
                <w:bCs/>
              </w:rPr>
              <w:t>Време до прогресии —</w:t>
            </w:r>
          </w:p>
          <w:p w14:paraId="3C3397AE" w14:textId="7FDACD7D" w:rsidR="006E0383" w:rsidRPr="006E0383" w:rsidRDefault="006E0383" w:rsidP="006E0383">
            <w:pPr>
              <w:rPr>
                <w:rFonts w:cs="Arial"/>
                <w:lang w:val="en-US"/>
              </w:rPr>
            </w:pPr>
            <w:r w:rsidRPr="006E0383">
              <w:rPr>
                <w:rFonts w:cs="Arial"/>
              </w:rPr>
              <w:t>Събития бр. (%)</w:t>
            </w:r>
          </w:p>
        </w:tc>
        <w:tc>
          <w:tcPr>
            <w:tcW w:w="3117" w:type="dxa"/>
          </w:tcPr>
          <w:p w14:paraId="224ECA73" w14:textId="080A42DA" w:rsidR="006E0383" w:rsidRPr="006E0383" w:rsidRDefault="006E0383" w:rsidP="006E0383">
            <w:pPr>
              <w:rPr>
                <w:rFonts w:cs="Arial"/>
                <w:lang w:val="en-US"/>
              </w:rPr>
            </w:pPr>
            <w:r w:rsidRPr="006E0383">
              <w:rPr>
                <w:rFonts w:cs="Arial"/>
              </w:rPr>
              <w:t>101 (29)</w:t>
            </w:r>
          </w:p>
        </w:tc>
        <w:tc>
          <w:tcPr>
            <w:tcW w:w="3117" w:type="dxa"/>
          </w:tcPr>
          <w:p w14:paraId="43B96842" w14:textId="0CB36437" w:rsidR="006E0383" w:rsidRPr="006E0383" w:rsidRDefault="006E0383" w:rsidP="006E0383">
            <w:pPr>
              <w:rPr>
                <w:rFonts w:cs="Arial"/>
                <w:lang w:val="en-US"/>
              </w:rPr>
            </w:pPr>
            <w:r w:rsidRPr="006E0383">
              <w:rPr>
                <w:rFonts w:cs="Arial"/>
              </w:rPr>
              <w:t>152 (45)</w:t>
            </w:r>
          </w:p>
        </w:tc>
      </w:tr>
      <w:tr w:rsidR="006E0383" w:rsidRPr="006E0383" w14:paraId="356B0654" w14:textId="77777777" w:rsidTr="00BA0ABF">
        <w:tc>
          <w:tcPr>
            <w:tcW w:w="3116" w:type="dxa"/>
          </w:tcPr>
          <w:p w14:paraId="76425257" w14:textId="59183C3D" w:rsidR="006E0383" w:rsidRPr="006E0383" w:rsidRDefault="006E0383" w:rsidP="006E0383">
            <w:pPr>
              <w:rPr>
                <w:rFonts w:cs="Arial"/>
                <w:lang w:val="en-US"/>
              </w:rPr>
            </w:pPr>
            <w:r w:rsidRPr="006E0383">
              <w:rPr>
                <w:rFonts w:cs="Arial"/>
              </w:rPr>
              <w:t xml:space="preserve">Медиана </w:t>
            </w:r>
            <w:r w:rsidRPr="006E0383">
              <w:rPr>
                <w:rFonts w:cs="Arial"/>
                <w:vertAlign w:val="superscript"/>
              </w:rPr>
              <w:t>а</w:t>
            </w:r>
            <w:r w:rsidRPr="006E0383">
              <w:rPr>
                <w:rFonts w:cs="Arial"/>
              </w:rPr>
              <w:t xml:space="preserve"> (95% </w:t>
            </w:r>
            <w:r w:rsidRPr="006E0383">
              <w:rPr>
                <w:rFonts w:cs="Arial"/>
                <w:lang w:val="en-US"/>
              </w:rPr>
              <w:t>CI)</w:t>
            </w:r>
          </w:p>
        </w:tc>
        <w:tc>
          <w:tcPr>
            <w:tcW w:w="3117" w:type="dxa"/>
          </w:tcPr>
          <w:p w14:paraId="695DC81E" w14:textId="11CBDB16" w:rsidR="006E0383" w:rsidRPr="006E0383" w:rsidRDefault="006E0383" w:rsidP="006E0383">
            <w:pPr>
              <w:rPr>
                <w:rFonts w:cs="Arial"/>
                <w:lang w:val="en-US"/>
              </w:rPr>
            </w:pPr>
            <w:r w:rsidRPr="006E0383">
              <w:rPr>
                <w:rFonts w:cs="Arial"/>
              </w:rPr>
              <w:t xml:space="preserve">20,7 </w:t>
            </w:r>
            <w:r w:rsidRPr="006E0383">
              <w:rPr>
                <w:rFonts w:cs="Arial"/>
                <w:lang w:val="en-US"/>
              </w:rPr>
              <w:t>m</w:t>
            </w:r>
            <w:r w:rsidRPr="006E0383">
              <w:rPr>
                <w:rFonts w:cs="Arial"/>
              </w:rPr>
              <w:t>о (17,6; 24,7)</w:t>
            </w:r>
          </w:p>
        </w:tc>
        <w:tc>
          <w:tcPr>
            <w:tcW w:w="3117" w:type="dxa"/>
          </w:tcPr>
          <w:p w14:paraId="4DD3121F" w14:textId="54A0962F" w:rsidR="006E0383" w:rsidRPr="006E0383" w:rsidRDefault="006E0383" w:rsidP="006E0383">
            <w:pPr>
              <w:rPr>
                <w:rFonts w:cs="Arial"/>
                <w:lang w:val="en-US"/>
              </w:rPr>
            </w:pPr>
            <w:r w:rsidRPr="006E0383">
              <w:rPr>
                <w:rFonts w:cs="Arial"/>
              </w:rPr>
              <w:t xml:space="preserve">15,0 </w:t>
            </w:r>
            <w:r w:rsidRPr="006E0383">
              <w:rPr>
                <w:rFonts w:cs="Arial"/>
                <w:lang w:val="en-US"/>
              </w:rPr>
              <w:t>m</w:t>
            </w:r>
            <w:r w:rsidRPr="006E0383">
              <w:rPr>
                <w:rFonts w:cs="Arial"/>
              </w:rPr>
              <w:t>о (14,1; 17,9)</w:t>
            </w:r>
          </w:p>
        </w:tc>
      </w:tr>
      <w:tr w:rsidR="006E0383" w:rsidRPr="006E0383" w14:paraId="78611245" w14:textId="77777777" w:rsidTr="00AC443D">
        <w:tc>
          <w:tcPr>
            <w:tcW w:w="3116" w:type="dxa"/>
          </w:tcPr>
          <w:p w14:paraId="65DEA0E6" w14:textId="017C3E6F" w:rsidR="006E0383" w:rsidRPr="006E0383" w:rsidRDefault="006E0383" w:rsidP="006E0383">
            <w:pPr>
              <w:rPr>
                <w:rFonts w:cs="Arial"/>
                <w:lang w:val="en-US"/>
              </w:rPr>
            </w:pPr>
            <w:r w:rsidRPr="006E0383">
              <w:rPr>
                <w:rFonts w:cs="Arial"/>
              </w:rPr>
              <w:t xml:space="preserve">Коефициент на </w:t>
            </w:r>
            <w:proofErr w:type="spellStart"/>
            <w:r w:rsidRPr="006E0383">
              <w:rPr>
                <w:rFonts w:cs="Arial"/>
              </w:rPr>
              <w:t>риск</w:t>
            </w:r>
            <w:r w:rsidRPr="006E0383">
              <w:rPr>
                <w:rFonts w:cs="Arial"/>
                <w:vertAlign w:val="superscript"/>
              </w:rPr>
              <w:t>б</w:t>
            </w:r>
            <w:proofErr w:type="spellEnd"/>
            <w:r w:rsidRPr="006E0383">
              <w:rPr>
                <w:rFonts w:cs="Arial"/>
                <w:vertAlign w:val="superscript"/>
              </w:rPr>
              <w:t xml:space="preserve"> </w:t>
            </w:r>
            <w:r w:rsidRPr="006E0383">
              <w:rPr>
                <w:rFonts w:cs="Arial"/>
              </w:rPr>
              <w:t>(95%С1)</w:t>
            </w:r>
          </w:p>
        </w:tc>
        <w:tc>
          <w:tcPr>
            <w:tcW w:w="6234" w:type="dxa"/>
            <w:gridSpan w:val="2"/>
          </w:tcPr>
          <w:p w14:paraId="3EC7219B" w14:textId="00C39ABD" w:rsidR="006E0383" w:rsidRPr="006E0383" w:rsidRDefault="006E0383" w:rsidP="006E0383">
            <w:pPr>
              <w:rPr>
                <w:rFonts w:cs="Arial"/>
                <w:lang w:val="en-US"/>
              </w:rPr>
            </w:pPr>
            <w:r w:rsidRPr="006E0383">
              <w:rPr>
                <w:rFonts w:cs="Arial"/>
              </w:rPr>
              <w:t>0,54 (0,42, 0,70)</w:t>
            </w:r>
          </w:p>
        </w:tc>
      </w:tr>
      <w:tr w:rsidR="006E0383" w:rsidRPr="006E0383" w14:paraId="0EECA127" w14:textId="77777777" w:rsidTr="00AC443D">
        <w:tc>
          <w:tcPr>
            <w:tcW w:w="3116" w:type="dxa"/>
          </w:tcPr>
          <w:p w14:paraId="3F06CE89" w14:textId="753FDF17" w:rsidR="006E0383" w:rsidRPr="006E0383" w:rsidRDefault="006E0383" w:rsidP="006E0383">
            <w:pPr>
              <w:rPr>
                <w:rFonts w:cs="Arial"/>
                <w:lang w:val="en-US"/>
              </w:rPr>
            </w:pPr>
            <w:r w:rsidRPr="006E0383">
              <w:rPr>
                <w:rFonts w:cs="Arial"/>
              </w:rPr>
              <w:t>р-</w:t>
            </w:r>
            <w:proofErr w:type="spellStart"/>
            <w:r w:rsidRPr="006E0383">
              <w:rPr>
                <w:rFonts w:cs="Arial"/>
              </w:rPr>
              <w:t>стойност</w:t>
            </w:r>
            <w:r w:rsidRPr="006E0383">
              <w:rPr>
                <w:rFonts w:cs="Arial"/>
                <w:vertAlign w:val="superscript"/>
              </w:rPr>
              <w:t>в</w:t>
            </w:r>
            <w:proofErr w:type="spellEnd"/>
          </w:p>
        </w:tc>
        <w:tc>
          <w:tcPr>
            <w:tcW w:w="6234" w:type="dxa"/>
            <w:gridSpan w:val="2"/>
          </w:tcPr>
          <w:p w14:paraId="2145D442" w14:textId="5F7FA331" w:rsidR="006E0383" w:rsidRPr="006E0383" w:rsidRDefault="006E0383" w:rsidP="006E0383">
            <w:pPr>
              <w:rPr>
                <w:rFonts w:cs="Arial"/>
                <w:lang w:val="en-US"/>
              </w:rPr>
            </w:pPr>
            <w:r w:rsidRPr="006E0383">
              <w:rPr>
                <w:rFonts w:cs="Arial"/>
              </w:rPr>
              <w:t>0,000002</w:t>
            </w:r>
          </w:p>
        </w:tc>
      </w:tr>
      <w:tr w:rsidR="006E0383" w:rsidRPr="006E0383" w14:paraId="76CF02B1" w14:textId="77777777" w:rsidTr="00BA0ABF">
        <w:tc>
          <w:tcPr>
            <w:tcW w:w="3116" w:type="dxa"/>
          </w:tcPr>
          <w:p w14:paraId="05D9B51D" w14:textId="77777777" w:rsidR="006E0383" w:rsidRPr="006E0383" w:rsidRDefault="006E0383" w:rsidP="006E0383">
            <w:pPr>
              <w:rPr>
                <w:rFonts w:cs="Arial"/>
              </w:rPr>
            </w:pPr>
            <w:r w:rsidRPr="006E0383">
              <w:rPr>
                <w:rFonts w:cs="Arial"/>
                <w:b/>
                <w:bCs/>
              </w:rPr>
              <w:t>Преживяемост</w:t>
            </w:r>
            <w:r w:rsidRPr="00FD4C98">
              <w:rPr>
                <w:rFonts w:cs="Arial"/>
                <w:b/>
                <w:bCs/>
                <w:lang w:val="ru-RU"/>
              </w:rPr>
              <w:t xml:space="preserve"> </w:t>
            </w:r>
            <w:r w:rsidRPr="006E0383">
              <w:rPr>
                <w:rFonts w:cs="Arial"/>
                <w:b/>
                <w:bCs/>
              </w:rPr>
              <w:t>без</w:t>
            </w:r>
          </w:p>
          <w:p w14:paraId="26EF0FFD" w14:textId="0C05CA18" w:rsidR="006E0383" w:rsidRPr="006E0383" w:rsidRDefault="006E0383" w:rsidP="006E0383">
            <w:pPr>
              <w:rPr>
                <w:rFonts w:cs="Arial"/>
                <w:lang w:val="en-US"/>
              </w:rPr>
            </w:pPr>
            <w:r w:rsidRPr="006E0383">
              <w:rPr>
                <w:rFonts w:cs="Arial"/>
                <w:b/>
                <w:bCs/>
              </w:rPr>
              <w:t xml:space="preserve">прогресия </w:t>
            </w:r>
            <w:r w:rsidRPr="006E0383">
              <w:rPr>
                <w:rFonts w:cs="Arial"/>
              </w:rPr>
              <w:t>Събития бр. (%)</w:t>
            </w:r>
          </w:p>
        </w:tc>
        <w:tc>
          <w:tcPr>
            <w:tcW w:w="3117" w:type="dxa"/>
          </w:tcPr>
          <w:p w14:paraId="3C4526F1" w14:textId="5526A2CE" w:rsidR="006E0383" w:rsidRPr="006E0383" w:rsidRDefault="006E0383" w:rsidP="006E0383">
            <w:pPr>
              <w:rPr>
                <w:rFonts w:cs="Arial"/>
                <w:lang w:val="en-US"/>
              </w:rPr>
            </w:pPr>
            <w:r w:rsidRPr="006E0383">
              <w:rPr>
                <w:rFonts w:cs="Arial"/>
              </w:rPr>
              <w:t>135 (39)</w:t>
            </w:r>
          </w:p>
        </w:tc>
        <w:tc>
          <w:tcPr>
            <w:tcW w:w="3117" w:type="dxa"/>
          </w:tcPr>
          <w:p w14:paraId="43F3B0B6" w14:textId="4640997E" w:rsidR="006E0383" w:rsidRPr="006E0383" w:rsidRDefault="006E0383" w:rsidP="006E0383">
            <w:pPr>
              <w:rPr>
                <w:rFonts w:cs="Arial"/>
                <w:lang w:val="en-US"/>
              </w:rPr>
            </w:pPr>
            <w:r w:rsidRPr="006E0383">
              <w:rPr>
                <w:rFonts w:cs="Arial"/>
              </w:rPr>
              <w:t>190 (56)</w:t>
            </w:r>
          </w:p>
        </w:tc>
      </w:tr>
      <w:tr w:rsidR="006E0383" w:rsidRPr="006E0383" w14:paraId="39004A3E" w14:textId="77777777" w:rsidTr="00BA0ABF">
        <w:tc>
          <w:tcPr>
            <w:tcW w:w="3116" w:type="dxa"/>
          </w:tcPr>
          <w:p w14:paraId="7EA73290" w14:textId="374D5CC0" w:rsidR="006E0383" w:rsidRPr="006E0383" w:rsidRDefault="006E0383" w:rsidP="006E0383">
            <w:pPr>
              <w:rPr>
                <w:rFonts w:cs="Arial"/>
                <w:lang w:val="en-US"/>
              </w:rPr>
            </w:pPr>
            <w:r w:rsidRPr="006E0383">
              <w:rPr>
                <w:rFonts w:cs="Arial"/>
              </w:rPr>
              <w:t>Медиана</w:t>
            </w:r>
            <w:r w:rsidRPr="006E0383">
              <w:rPr>
                <w:rFonts w:cs="Arial"/>
                <w:vertAlign w:val="superscript"/>
              </w:rPr>
              <w:t>0</w:t>
            </w:r>
            <w:r w:rsidRPr="006E0383">
              <w:rPr>
                <w:rFonts w:cs="Arial"/>
              </w:rPr>
              <w:t xml:space="preserve"> (95% </w:t>
            </w:r>
            <w:r w:rsidRPr="006E0383">
              <w:rPr>
                <w:rFonts w:cs="Arial"/>
                <w:lang w:val="en-US"/>
              </w:rPr>
              <w:t>CI)</w:t>
            </w:r>
          </w:p>
        </w:tc>
        <w:tc>
          <w:tcPr>
            <w:tcW w:w="3117" w:type="dxa"/>
          </w:tcPr>
          <w:p w14:paraId="6F4BBEA9" w14:textId="2DEC13C2" w:rsidR="006E0383" w:rsidRPr="006E0383" w:rsidRDefault="006E0383" w:rsidP="006E0383">
            <w:pPr>
              <w:rPr>
                <w:rFonts w:cs="Arial"/>
                <w:lang w:val="en-US"/>
              </w:rPr>
            </w:pPr>
            <w:r w:rsidRPr="006E0383">
              <w:rPr>
                <w:rFonts w:cs="Arial"/>
              </w:rPr>
              <w:t xml:space="preserve">18,3 </w:t>
            </w:r>
            <w:r w:rsidRPr="006E0383">
              <w:rPr>
                <w:rFonts w:cs="Arial"/>
                <w:lang w:val="en-US"/>
              </w:rPr>
              <w:t>m</w:t>
            </w:r>
            <w:r w:rsidRPr="006E0383">
              <w:rPr>
                <w:rFonts w:cs="Arial"/>
              </w:rPr>
              <w:t>о (16,6; 21,7)</w:t>
            </w:r>
          </w:p>
        </w:tc>
        <w:tc>
          <w:tcPr>
            <w:tcW w:w="3117" w:type="dxa"/>
          </w:tcPr>
          <w:p w14:paraId="47DE5F71" w14:textId="54BEC36E" w:rsidR="006E0383" w:rsidRPr="006E0383" w:rsidRDefault="006E0383" w:rsidP="006E0383">
            <w:pPr>
              <w:rPr>
                <w:rFonts w:cs="Arial"/>
                <w:lang w:val="en-US"/>
              </w:rPr>
            </w:pPr>
            <w:r w:rsidRPr="006E0383">
              <w:rPr>
                <w:rFonts w:cs="Arial"/>
              </w:rPr>
              <w:t xml:space="preserve">14,0 </w:t>
            </w:r>
            <w:r w:rsidRPr="006E0383">
              <w:rPr>
                <w:rFonts w:cs="Arial"/>
                <w:lang w:val="en-US"/>
              </w:rPr>
              <w:t>m</w:t>
            </w:r>
            <w:r w:rsidRPr="006E0383">
              <w:rPr>
                <w:rFonts w:cs="Arial"/>
              </w:rPr>
              <w:t>о (11,1; 15,0)</w:t>
            </w:r>
          </w:p>
        </w:tc>
      </w:tr>
      <w:tr w:rsidR="006E0383" w:rsidRPr="006E0383" w14:paraId="04C87DB9" w14:textId="77777777" w:rsidTr="00AC443D">
        <w:tc>
          <w:tcPr>
            <w:tcW w:w="3116" w:type="dxa"/>
          </w:tcPr>
          <w:p w14:paraId="5B2CFE58" w14:textId="3F392826" w:rsidR="006E0383" w:rsidRPr="006E0383" w:rsidRDefault="006E0383" w:rsidP="006E0383">
            <w:pPr>
              <w:rPr>
                <w:rFonts w:cs="Arial"/>
                <w:lang w:val="en-US"/>
              </w:rPr>
            </w:pPr>
            <w:r w:rsidRPr="006E0383">
              <w:rPr>
                <w:rFonts w:cs="Arial"/>
              </w:rPr>
              <w:t>Коефициент на риск</w:t>
            </w:r>
            <w:r w:rsidRPr="006E0383">
              <w:rPr>
                <w:rFonts w:cs="Arial"/>
                <w:vertAlign w:val="superscript"/>
              </w:rPr>
              <w:t xml:space="preserve">6 </w:t>
            </w:r>
            <w:r w:rsidRPr="006E0383">
              <w:rPr>
                <w:rFonts w:cs="Arial"/>
              </w:rPr>
              <w:t xml:space="preserve">(95% </w:t>
            </w:r>
            <w:r w:rsidRPr="006E0383">
              <w:rPr>
                <w:rFonts w:cs="Arial"/>
                <w:lang w:val="en-US"/>
              </w:rPr>
              <w:t>CI)</w:t>
            </w:r>
          </w:p>
        </w:tc>
        <w:tc>
          <w:tcPr>
            <w:tcW w:w="6234" w:type="dxa"/>
            <w:gridSpan w:val="2"/>
          </w:tcPr>
          <w:p w14:paraId="0EC604F6" w14:textId="77777777" w:rsidR="006E0383" w:rsidRPr="006E0383" w:rsidRDefault="006E0383" w:rsidP="006E0383">
            <w:pPr>
              <w:rPr>
                <w:rFonts w:cs="Arial"/>
              </w:rPr>
            </w:pPr>
            <w:r w:rsidRPr="006E0383">
              <w:rPr>
                <w:rFonts w:cs="Arial"/>
              </w:rPr>
              <w:t>0.61</w:t>
            </w:r>
          </w:p>
          <w:p w14:paraId="22D5F298" w14:textId="5DB90BF6" w:rsidR="006E0383" w:rsidRPr="006E0383" w:rsidRDefault="006E0383" w:rsidP="006E0383">
            <w:pPr>
              <w:rPr>
                <w:rFonts w:cs="Arial"/>
                <w:lang w:val="en-US"/>
              </w:rPr>
            </w:pPr>
            <w:r w:rsidRPr="006E0383">
              <w:rPr>
                <w:rFonts w:cs="Arial"/>
              </w:rPr>
              <w:t>(0,49;</w:t>
            </w:r>
            <w:r w:rsidRPr="006E0383">
              <w:rPr>
                <w:rFonts w:cs="Arial"/>
                <w:lang w:val="en-US"/>
              </w:rPr>
              <w:t xml:space="preserve"> 0,76)</w:t>
            </w:r>
          </w:p>
        </w:tc>
      </w:tr>
      <w:tr w:rsidR="006E0383" w:rsidRPr="006E0383" w14:paraId="6D8B1F43" w14:textId="77777777" w:rsidTr="00AC443D">
        <w:tc>
          <w:tcPr>
            <w:tcW w:w="3116" w:type="dxa"/>
          </w:tcPr>
          <w:p w14:paraId="1A8BE725" w14:textId="1F0CB7DB" w:rsidR="006E0383" w:rsidRPr="006E0383" w:rsidRDefault="006E0383" w:rsidP="006E0383">
            <w:pPr>
              <w:rPr>
                <w:rFonts w:cs="Arial"/>
                <w:lang w:val="en-US"/>
              </w:rPr>
            </w:pPr>
            <w:r w:rsidRPr="006E0383">
              <w:rPr>
                <w:rFonts w:cs="Arial"/>
              </w:rPr>
              <w:t>р-</w:t>
            </w:r>
            <w:proofErr w:type="spellStart"/>
            <w:r w:rsidRPr="006E0383">
              <w:rPr>
                <w:rFonts w:cs="Arial"/>
              </w:rPr>
              <w:t>стойност</w:t>
            </w:r>
            <w:r w:rsidRPr="006E0383">
              <w:rPr>
                <w:rFonts w:cs="Arial"/>
                <w:vertAlign w:val="superscript"/>
              </w:rPr>
              <w:t>в</w:t>
            </w:r>
            <w:proofErr w:type="spellEnd"/>
          </w:p>
        </w:tc>
        <w:tc>
          <w:tcPr>
            <w:tcW w:w="6234" w:type="dxa"/>
            <w:gridSpan w:val="2"/>
          </w:tcPr>
          <w:p w14:paraId="2108E6CE" w14:textId="45F61E15" w:rsidR="006E0383" w:rsidRPr="006E0383" w:rsidRDefault="006E0383" w:rsidP="006E0383">
            <w:pPr>
              <w:rPr>
                <w:rFonts w:cs="Arial"/>
                <w:lang w:val="en-US"/>
              </w:rPr>
            </w:pPr>
            <w:r w:rsidRPr="006E0383">
              <w:rPr>
                <w:rFonts w:cs="Arial"/>
              </w:rPr>
              <w:t>0,00001</w:t>
            </w:r>
          </w:p>
        </w:tc>
      </w:tr>
      <w:tr w:rsidR="006E0383" w:rsidRPr="006E0383" w14:paraId="5E1E18D8" w14:textId="77777777" w:rsidTr="00BA0ABF">
        <w:tc>
          <w:tcPr>
            <w:tcW w:w="3116" w:type="dxa"/>
          </w:tcPr>
          <w:p w14:paraId="69CB660F" w14:textId="77777777" w:rsidR="006E0383" w:rsidRPr="006E0383" w:rsidRDefault="006E0383" w:rsidP="006E0383">
            <w:pPr>
              <w:rPr>
                <w:rFonts w:cs="Arial"/>
              </w:rPr>
            </w:pPr>
            <w:r w:rsidRPr="006E0383">
              <w:rPr>
                <w:rFonts w:cs="Arial"/>
                <w:b/>
                <w:bCs/>
              </w:rPr>
              <w:t>Обща преживяемост*</w:t>
            </w:r>
          </w:p>
          <w:p w14:paraId="0D3B308C" w14:textId="3B174A35" w:rsidR="006E0383" w:rsidRPr="006E0383" w:rsidRDefault="006E0383" w:rsidP="006E0383">
            <w:pPr>
              <w:rPr>
                <w:rFonts w:cs="Arial"/>
                <w:lang w:val="en-US"/>
              </w:rPr>
            </w:pPr>
            <w:r w:rsidRPr="006E0383">
              <w:rPr>
                <w:rFonts w:cs="Arial"/>
              </w:rPr>
              <w:t>Събития бр. (%)</w:t>
            </w:r>
          </w:p>
        </w:tc>
        <w:tc>
          <w:tcPr>
            <w:tcW w:w="3117" w:type="dxa"/>
          </w:tcPr>
          <w:p w14:paraId="32C23138" w14:textId="0786974B" w:rsidR="006E0383" w:rsidRPr="006E0383" w:rsidRDefault="006E0383" w:rsidP="006E0383">
            <w:pPr>
              <w:rPr>
                <w:rFonts w:cs="Arial"/>
                <w:lang w:val="en-US"/>
              </w:rPr>
            </w:pPr>
            <w:r w:rsidRPr="006E0383">
              <w:rPr>
                <w:rFonts w:cs="Arial"/>
              </w:rPr>
              <w:t>176 (51,2)</w:t>
            </w:r>
          </w:p>
        </w:tc>
        <w:tc>
          <w:tcPr>
            <w:tcW w:w="3117" w:type="dxa"/>
          </w:tcPr>
          <w:p w14:paraId="5EE6FA53" w14:textId="5166C906" w:rsidR="006E0383" w:rsidRPr="006E0383" w:rsidRDefault="006E0383" w:rsidP="006E0383">
            <w:pPr>
              <w:rPr>
                <w:rFonts w:cs="Arial"/>
                <w:lang w:val="en-US"/>
              </w:rPr>
            </w:pPr>
            <w:r w:rsidRPr="006E0383">
              <w:rPr>
                <w:rFonts w:cs="Arial"/>
              </w:rPr>
              <w:t>211 (62,4)</w:t>
            </w:r>
          </w:p>
        </w:tc>
      </w:tr>
      <w:tr w:rsidR="006E0383" w:rsidRPr="006E0383" w14:paraId="4C890591" w14:textId="77777777" w:rsidTr="00BA0ABF">
        <w:tc>
          <w:tcPr>
            <w:tcW w:w="3116" w:type="dxa"/>
          </w:tcPr>
          <w:p w14:paraId="43ABF661" w14:textId="6F3ACE88" w:rsidR="006E0383" w:rsidRPr="006E0383" w:rsidRDefault="006E0383" w:rsidP="006E0383">
            <w:pPr>
              <w:rPr>
                <w:rFonts w:cs="Arial"/>
                <w:lang w:val="en-US"/>
              </w:rPr>
            </w:pPr>
            <w:r w:rsidRPr="006E0383">
              <w:rPr>
                <w:rFonts w:cs="Arial"/>
              </w:rPr>
              <w:t>Медиана</w:t>
            </w:r>
            <w:r w:rsidRPr="006E0383">
              <w:rPr>
                <w:rFonts w:cs="Arial"/>
                <w:vertAlign w:val="superscript"/>
                <w:lang w:val="en-US"/>
              </w:rPr>
              <w:t>a</w:t>
            </w:r>
            <w:r w:rsidRPr="006E0383">
              <w:rPr>
                <w:rFonts w:cs="Arial"/>
              </w:rPr>
              <w:t xml:space="preserve"> (95% </w:t>
            </w:r>
            <w:r w:rsidRPr="006E0383">
              <w:rPr>
                <w:rFonts w:cs="Arial"/>
                <w:lang w:val="en-US"/>
              </w:rPr>
              <w:t>CI)</w:t>
            </w:r>
          </w:p>
        </w:tc>
        <w:tc>
          <w:tcPr>
            <w:tcW w:w="3117" w:type="dxa"/>
          </w:tcPr>
          <w:p w14:paraId="3717ADE6" w14:textId="3E123210" w:rsidR="006E0383" w:rsidRPr="006E0383" w:rsidRDefault="006E0383" w:rsidP="006E0383">
            <w:pPr>
              <w:rPr>
                <w:rFonts w:cs="Arial"/>
                <w:lang w:val="en-US"/>
              </w:rPr>
            </w:pPr>
            <w:r w:rsidRPr="006E0383">
              <w:rPr>
                <w:rFonts w:cs="Arial"/>
              </w:rPr>
              <w:t>56,4 то (52,8; 60,9)</w:t>
            </w:r>
          </w:p>
        </w:tc>
        <w:tc>
          <w:tcPr>
            <w:tcW w:w="3117" w:type="dxa"/>
          </w:tcPr>
          <w:p w14:paraId="22770F0C" w14:textId="5B1776FD" w:rsidR="006E0383" w:rsidRPr="006E0383" w:rsidRDefault="006E0383" w:rsidP="006E0383">
            <w:pPr>
              <w:rPr>
                <w:rFonts w:cs="Arial"/>
                <w:lang w:val="en-US"/>
              </w:rPr>
            </w:pPr>
            <w:r w:rsidRPr="006E0383">
              <w:rPr>
                <w:rFonts w:cs="Arial"/>
              </w:rPr>
              <w:t>43,1 то (35,3; 483)</w:t>
            </w:r>
          </w:p>
        </w:tc>
      </w:tr>
      <w:tr w:rsidR="006E0383" w:rsidRPr="006E0383" w14:paraId="04A8FBA9" w14:textId="77777777" w:rsidTr="00AC443D">
        <w:tc>
          <w:tcPr>
            <w:tcW w:w="3116" w:type="dxa"/>
          </w:tcPr>
          <w:p w14:paraId="3FA76D15" w14:textId="6BF584B0" w:rsidR="006E0383" w:rsidRPr="006E0383" w:rsidRDefault="006E0383" w:rsidP="006E0383">
            <w:pPr>
              <w:rPr>
                <w:rFonts w:cs="Arial"/>
                <w:lang w:val="en-US"/>
              </w:rPr>
            </w:pPr>
            <w:r w:rsidRPr="006E0383">
              <w:rPr>
                <w:rFonts w:cs="Arial"/>
              </w:rPr>
              <w:t>Коефициент на риск</w:t>
            </w:r>
            <w:r w:rsidRPr="006E0383">
              <w:rPr>
                <w:rFonts w:cs="Arial"/>
                <w:vertAlign w:val="superscript"/>
              </w:rPr>
              <w:t xml:space="preserve">6 </w:t>
            </w:r>
            <w:r w:rsidRPr="006E0383">
              <w:rPr>
                <w:rFonts w:cs="Arial"/>
              </w:rPr>
              <w:t xml:space="preserve">(95% </w:t>
            </w:r>
            <w:r w:rsidRPr="006E0383">
              <w:rPr>
                <w:rFonts w:cs="Arial"/>
                <w:lang w:val="en-US"/>
              </w:rPr>
              <w:t>CI)</w:t>
            </w:r>
          </w:p>
        </w:tc>
        <w:tc>
          <w:tcPr>
            <w:tcW w:w="6234" w:type="dxa"/>
            <w:gridSpan w:val="2"/>
          </w:tcPr>
          <w:p w14:paraId="02B6A1FA" w14:textId="77777777" w:rsidR="006E0383" w:rsidRPr="006E0383" w:rsidRDefault="006E0383" w:rsidP="006E0383">
            <w:pPr>
              <w:rPr>
                <w:rFonts w:cs="Arial"/>
              </w:rPr>
            </w:pPr>
            <w:r w:rsidRPr="006E0383">
              <w:rPr>
                <w:rFonts w:cs="Arial"/>
              </w:rPr>
              <w:t>0,695</w:t>
            </w:r>
          </w:p>
          <w:p w14:paraId="39797C79" w14:textId="337097B6" w:rsidR="006E0383" w:rsidRPr="006E0383" w:rsidRDefault="006E0383" w:rsidP="006E0383">
            <w:pPr>
              <w:rPr>
                <w:rFonts w:cs="Arial"/>
                <w:lang w:val="en-US"/>
              </w:rPr>
            </w:pPr>
            <w:r w:rsidRPr="006E0383">
              <w:rPr>
                <w:rFonts w:cs="Arial"/>
              </w:rPr>
              <w:t>(0,567; 0,852)</w:t>
            </w:r>
          </w:p>
        </w:tc>
      </w:tr>
      <w:tr w:rsidR="006E0383" w:rsidRPr="006E0383" w14:paraId="3E2E7678" w14:textId="77777777" w:rsidTr="00AC443D">
        <w:tc>
          <w:tcPr>
            <w:tcW w:w="3116" w:type="dxa"/>
          </w:tcPr>
          <w:p w14:paraId="61CB43BB" w14:textId="405B2159" w:rsidR="006E0383" w:rsidRPr="006E0383" w:rsidRDefault="006E0383" w:rsidP="006E0383">
            <w:pPr>
              <w:rPr>
                <w:rFonts w:cs="Arial"/>
                <w:lang w:val="en-US"/>
              </w:rPr>
            </w:pPr>
            <w:r w:rsidRPr="006E0383">
              <w:rPr>
                <w:rFonts w:cs="Arial"/>
              </w:rPr>
              <w:t>р-стойност“</w:t>
            </w:r>
          </w:p>
        </w:tc>
        <w:tc>
          <w:tcPr>
            <w:tcW w:w="6234" w:type="dxa"/>
            <w:gridSpan w:val="2"/>
          </w:tcPr>
          <w:p w14:paraId="626B01BC" w14:textId="5C51B439" w:rsidR="006E0383" w:rsidRPr="006E0383" w:rsidRDefault="006E0383" w:rsidP="006E0383">
            <w:pPr>
              <w:rPr>
                <w:rFonts w:cs="Arial"/>
                <w:lang w:val="en-US"/>
              </w:rPr>
            </w:pPr>
            <w:r w:rsidRPr="006E0383">
              <w:rPr>
                <w:rFonts w:cs="Arial"/>
              </w:rPr>
              <w:t>0,00043</w:t>
            </w:r>
          </w:p>
        </w:tc>
      </w:tr>
      <w:tr w:rsidR="006E0383" w:rsidRPr="006E0383" w14:paraId="7A0F6078" w14:textId="77777777" w:rsidTr="00BA0ABF">
        <w:tc>
          <w:tcPr>
            <w:tcW w:w="3116" w:type="dxa"/>
          </w:tcPr>
          <w:p w14:paraId="7945394E" w14:textId="77777777" w:rsidR="006E0383" w:rsidRPr="006E0383" w:rsidRDefault="006E0383" w:rsidP="006E0383">
            <w:pPr>
              <w:rPr>
                <w:rFonts w:cs="Arial"/>
              </w:rPr>
            </w:pPr>
            <w:r w:rsidRPr="006E0383">
              <w:rPr>
                <w:rFonts w:cs="Arial"/>
                <w:b/>
                <w:bCs/>
              </w:rPr>
              <w:t>Степен на повлияване</w:t>
            </w:r>
          </w:p>
          <w:p w14:paraId="1783A606" w14:textId="6FB465D6" w:rsidR="006E0383" w:rsidRPr="006E0383" w:rsidRDefault="006E0383" w:rsidP="006E0383">
            <w:pPr>
              <w:rPr>
                <w:rFonts w:cs="Arial"/>
                <w:lang w:val="en-US"/>
              </w:rPr>
            </w:pPr>
            <w:proofErr w:type="spellStart"/>
            <w:r w:rsidRPr="006E0383">
              <w:rPr>
                <w:rFonts w:cs="Arial"/>
              </w:rPr>
              <w:t>Популация</w:t>
            </w:r>
            <w:r w:rsidRPr="006E0383">
              <w:rPr>
                <w:rFonts w:cs="Arial"/>
                <w:vertAlign w:val="superscript"/>
              </w:rPr>
              <w:t>д</w:t>
            </w:r>
            <w:proofErr w:type="spellEnd"/>
            <w:r w:rsidRPr="006E0383">
              <w:rPr>
                <w:rFonts w:cs="Arial"/>
              </w:rPr>
              <w:t xml:space="preserve"> бр. = 668</w:t>
            </w:r>
          </w:p>
        </w:tc>
        <w:tc>
          <w:tcPr>
            <w:tcW w:w="3117" w:type="dxa"/>
          </w:tcPr>
          <w:p w14:paraId="3084F226" w14:textId="7C775B06" w:rsidR="006E0383" w:rsidRPr="006E0383" w:rsidRDefault="006E0383" w:rsidP="006E0383">
            <w:pPr>
              <w:rPr>
                <w:rFonts w:cs="Arial"/>
                <w:lang w:val="en-US"/>
              </w:rPr>
            </w:pPr>
            <w:r w:rsidRPr="006E0383">
              <w:rPr>
                <w:rFonts w:cs="Arial"/>
                <w:lang w:val="en-US"/>
              </w:rPr>
              <w:t>n</w:t>
            </w:r>
            <w:r w:rsidRPr="006E0383">
              <w:rPr>
                <w:rFonts w:cs="Arial"/>
              </w:rPr>
              <w:t xml:space="preserve"> = 337</w:t>
            </w:r>
          </w:p>
        </w:tc>
        <w:tc>
          <w:tcPr>
            <w:tcW w:w="3117" w:type="dxa"/>
          </w:tcPr>
          <w:p w14:paraId="774A5798" w14:textId="09EBEE7E" w:rsidR="006E0383" w:rsidRPr="006E0383" w:rsidRDefault="006E0383" w:rsidP="006E0383">
            <w:pPr>
              <w:rPr>
                <w:rFonts w:cs="Arial"/>
                <w:lang w:val="en-US"/>
              </w:rPr>
            </w:pPr>
            <w:r w:rsidRPr="006E0383">
              <w:rPr>
                <w:rFonts w:cs="Arial"/>
                <w:lang w:val="en-US"/>
              </w:rPr>
              <w:t>n</w:t>
            </w:r>
            <w:r w:rsidRPr="006E0383">
              <w:rPr>
                <w:rFonts w:cs="Arial"/>
              </w:rPr>
              <w:t xml:space="preserve"> = 331</w:t>
            </w:r>
          </w:p>
        </w:tc>
      </w:tr>
      <w:tr w:rsidR="006E0383" w:rsidRPr="006E0383" w14:paraId="6039F75E" w14:textId="77777777" w:rsidTr="00BA0ABF">
        <w:tc>
          <w:tcPr>
            <w:tcW w:w="3116" w:type="dxa"/>
          </w:tcPr>
          <w:p w14:paraId="3AF4DE58" w14:textId="76B3B05C" w:rsidR="006E0383" w:rsidRPr="006E0383" w:rsidRDefault="006E0383" w:rsidP="006E0383">
            <w:pPr>
              <w:rPr>
                <w:rFonts w:cs="Arial"/>
                <w:lang w:val="en-US"/>
              </w:rPr>
            </w:pPr>
            <w:proofErr w:type="spellStart"/>
            <w:r w:rsidRPr="006E0383">
              <w:rPr>
                <w:rFonts w:cs="Arial"/>
                <w:lang w:val="en-US"/>
              </w:rPr>
              <w:t>CR</w:t>
            </w:r>
            <w:r w:rsidRPr="006E0383">
              <w:rPr>
                <w:rFonts w:cs="Arial"/>
                <w:vertAlign w:val="superscript"/>
                <w:lang w:val="en-US"/>
              </w:rPr>
              <w:t>e</w:t>
            </w:r>
            <w:proofErr w:type="spellEnd"/>
            <w:r w:rsidRPr="006E0383">
              <w:rPr>
                <w:rFonts w:cs="Arial"/>
                <w:vertAlign w:val="superscript"/>
              </w:rPr>
              <w:t xml:space="preserve"> </w:t>
            </w:r>
            <w:r w:rsidRPr="006E0383">
              <w:rPr>
                <w:rFonts w:cs="Arial"/>
              </w:rPr>
              <w:t>б</w:t>
            </w:r>
            <w:r w:rsidRPr="006E0383">
              <w:rPr>
                <w:rFonts w:cs="Arial"/>
                <w:lang w:val="en-US"/>
              </w:rPr>
              <w:t xml:space="preserve">p. </w:t>
            </w:r>
            <w:r w:rsidRPr="006E0383">
              <w:rPr>
                <w:rFonts w:cs="Arial"/>
              </w:rPr>
              <w:t>(%)</w:t>
            </w:r>
          </w:p>
        </w:tc>
        <w:tc>
          <w:tcPr>
            <w:tcW w:w="3117" w:type="dxa"/>
          </w:tcPr>
          <w:p w14:paraId="5F02AE75" w14:textId="3B290E3F" w:rsidR="006E0383" w:rsidRPr="006E0383" w:rsidRDefault="006E0383" w:rsidP="006E0383">
            <w:pPr>
              <w:rPr>
                <w:rFonts w:cs="Arial"/>
                <w:lang w:val="en-US"/>
              </w:rPr>
            </w:pPr>
            <w:r w:rsidRPr="006E0383">
              <w:rPr>
                <w:rFonts w:cs="Arial"/>
              </w:rPr>
              <w:t>102 (30)</w:t>
            </w:r>
          </w:p>
        </w:tc>
        <w:tc>
          <w:tcPr>
            <w:tcW w:w="3117" w:type="dxa"/>
          </w:tcPr>
          <w:p w14:paraId="04EBAC34" w14:textId="311462C0" w:rsidR="006E0383" w:rsidRPr="006E0383" w:rsidRDefault="006E0383" w:rsidP="006E0383">
            <w:pPr>
              <w:rPr>
                <w:rFonts w:cs="Arial"/>
                <w:lang w:val="en-US"/>
              </w:rPr>
            </w:pPr>
            <w:r w:rsidRPr="006E0383">
              <w:rPr>
                <w:rFonts w:cs="Arial"/>
              </w:rPr>
              <w:t>12(4)</w:t>
            </w:r>
          </w:p>
        </w:tc>
      </w:tr>
      <w:tr w:rsidR="006E0383" w:rsidRPr="006E0383" w14:paraId="4503E0AE" w14:textId="77777777" w:rsidTr="00BA0ABF">
        <w:tc>
          <w:tcPr>
            <w:tcW w:w="3116" w:type="dxa"/>
          </w:tcPr>
          <w:p w14:paraId="2AD3BEFF" w14:textId="6681AFBB" w:rsidR="006E0383" w:rsidRPr="006E0383" w:rsidRDefault="006E0383" w:rsidP="006E0383">
            <w:pPr>
              <w:rPr>
                <w:rFonts w:cs="Arial"/>
                <w:lang w:val="en-US"/>
              </w:rPr>
            </w:pPr>
            <w:r w:rsidRPr="006E0383">
              <w:rPr>
                <w:rFonts w:cs="Arial"/>
                <w:lang w:val="en-US"/>
              </w:rPr>
              <w:t>PR</w:t>
            </w:r>
            <w:r w:rsidRPr="006E0383">
              <w:rPr>
                <w:rFonts w:cs="Arial"/>
                <w:vertAlign w:val="superscript"/>
              </w:rPr>
              <w:t xml:space="preserve">е </w:t>
            </w:r>
            <w:r w:rsidRPr="006E0383">
              <w:rPr>
                <w:rFonts w:cs="Arial"/>
              </w:rPr>
              <w:t>бр. (%)</w:t>
            </w:r>
          </w:p>
        </w:tc>
        <w:tc>
          <w:tcPr>
            <w:tcW w:w="3117" w:type="dxa"/>
          </w:tcPr>
          <w:p w14:paraId="1852FB0E" w14:textId="761D2DBF" w:rsidR="006E0383" w:rsidRPr="006E0383" w:rsidRDefault="006E0383" w:rsidP="006E0383">
            <w:pPr>
              <w:rPr>
                <w:rFonts w:cs="Arial"/>
                <w:lang w:val="en-US"/>
              </w:rPr>
            </w:pPr>
            <w:r w:rsidRPr="006E0383">
              <w:rPr>
                <w:rFonts w:cs="Arial"/>
              </w:rPr>
              <w:t>136 (40)</w:t>
            </w:r>
          </w:p>
        </w:tc>
        <w:tc>
          <w:tcPr>
            <w:tcW w:w="3117" w:type="dxa"/>
          </w:tcPr>
          <w:p w14:paraId="42760753" w14:textId="5870FBF6" w:rsidR="006E0383" w:rsidRPr="006E0383" w:rsidRDefault="006E0383" w:rsidP="006E0383">
            <w:pPr>
              <w:rPr>
                <w:rFonts w:cs="Arial"/>
                <w:lang w:val="en-US"/>
              </w:rPr>
            </w:pPr>
            <w:r w:rsidRPr="006E0383">
              <w:rPr>
                <w:rFonts w:cs="Arial"/>
              </w:rPr>
              <w:t>103 (31)</w:t>
            </w:r>
          </w:p>
        </w:tc>
      </w:tr>
      <w:tr w:rsidR="006E0383" w:rsidRPr="006E0383" w14:paraId="7BEAA1A0" w14:textId="77777777" w:rsidTr="00BA0ABF">
        <w:tc>
          <w:tcPr>
            <w:tcW w:w="3116" w:type="dxa"/>
          </w:tcPr>
          <w:p w14:paraId="40CF51C5" w14:textId="183F91F2" w:rsidR="006E0383" w:rsidRPr="006E0383" w:rsidRDefault="006E0383" w:rsidP="006E0383">
            <w:pPr>
              <w:rPr>
                <w:rFonts w:cs="Arial"/>
                <w:lang w:val="en-US"/>
              </w:rPr>
            </w:pPr>
            <w:proofErr w:type="spellStart"/>
            <w:r w:rsidRPr="006E0383">
              <w:rPr>
                <w:rFonts w:cs="Arial"/>
                <w:lang w:val="en-US"/>
              </w:rPr>
              <w:t>nCR</w:t>
            </w:r>
            <w:proofErr w:type="spellEnd"/>
            <w:r w:rsidRPr="006E0383">
              <w:rPr>
                <w:rFonts w:cs="Arial"/>
              </w:rPr>
              <w:t xml:space="preserve"> б</w:t>
            </w:r>
            <w:r w:rsidRPr="006E0383">
              <w:rPr>
                <w:rFonts w:cs="Arial"/>
                <w:lang w:val="en-US"/>
              </w:rPr>
              <w:t xml:space="preserve">p. </w:t>
            </w:r>
            <w:r w:rsidRPr="006E0383">
              <w:rPr>
                <w:rFonts w:cs="Arial"/>
              </w:rPr>
              <w:t>(%)</w:t>
            </w:r>
          </w:p>
        </w:tc>
        <w:tc>
          <w:tcPr>
            <w:tcW w:w="3117" w:type="dxa"/>
          </w:tcPr>
          <w:p w14:paraId="6C80D53F" w14:textId="017EE4B6" w:rsidR="006E0383" w:rsidRPr="006E0383" w:rsidRDefault="006E0383" w:rsidP="006E0383">
            <w:pPr>
              <w:rPr>
                <w:rFonts w:cs="Arial"/>
                <w:lang w:val="en-US"/>
              </w:rPr>
            </w:pPr>
            <w:r w:rsidRPr="006E0383">
              <w:rPr>
                <w:rFonts w:cs="Arial"/>
              </w:rPr>
              <w:t>5(1)</w:t>
            </w:r>
          </w:p>
        </w:tc>
        <w:tc>
          <w:tcPr>
            <w:tcW w:w="3117" w:type="dxa"/>
          </w:tcPr>
          <w:p w14:paraId="2581B432" w14:textId="7C18D382" w:rsidR="006E0383" w:rsidRPr="006E0383" w:rsidRDefault="006E0383" w:rsidP="006E0383">
            <w:pPr>
              <w:rPr>
                <w:rFonts w:cs="Arial"/>
                <w:lang w:val="en-US"/>
              </w:rPr>
            </w:pPr>
            <w:r w:rsidRPr="006E0383">
              <w:rPr>
                <w:rFonts w:cs="Arial"/>
              </w:rPr>
              <w:t>0</w:t>
            </w:r>
          </w:p>
        </w:tc>
      </w:tr>
      <w:tr w:rsidR="006E0383" w:rsidRPr="006E0383" w14:paraId="14A3C448" w14:textId="77777777" w:rsidTr="00BA0ABF">
        <w:tc>
          <w:tcPr>
            <w:tcW w:w="3116" w:type="dxa"/>
          </w:tcPr>
          <w:p w14:paraId="7347718E" w14:textId="59CEB1CD" w:rsidR="006E0383" w:rsidRPr="006E0383" w:rsidRDefault="006E0383" w:rsidP="006E0383">
            <w:pPr>
              <w:rPr>
                <w:rFonts w:cs="Arial"/>
                <w:lang w:val="en-US"/>
              </w:rPr>
            </w:pPr>
            <w:r w:rsidRPr="006E0383">
              <w:rPr>
                <w:rFonts w:cs="Arial"/>
                <w:lang w:val="en-US"/>
              </w:rPr>
              <w:t>CR+PR</w:t>
            </w:r>
            <w:r w:rsidRPr="006E0383">
              <w:rPr>
                <w:rFonts w:cs="Arial"/>
                <w:vertAlign w:val="superscript"/>
              </w:rPr>
              <w:t>е</w:t>
            </w:r>
            <w:r w:rsidRPr="006E0383">
              <w:rPr>
                <w:rFonts w:cs="Arial"/>
                <w:lang w:val="en-US"/>
              </w:rPr>
              <w:t xml:space="preserve"> </w:t>
            </w:r>
            <w:r w:rsidRPr="006E0383">
              <w:rPr>
                <w:rFonts w:cs="Arial"/>
              </w:rPr>
              <w:t>бр. (%)</w:t>
            </w:r>
          </w:p>
        </w:tc>
        <w:tc>
          <w:tcPr>
            <w:tcW w:w="3117" w:type="dxa"/>
          </w:tcPr>
          <w:p w14:paraId="16DC4D4C" w14:textId="5F7727AC" w:rsidR="006E0383" w:rsidRPr="006E0383" w:rsidRDefault="006E0383" w:rsidP="006E0383">
            <w:pPr>
              <w:rPr>
                <w:rFonts w:cs="Arial"/>
                <w:lang w:val="en-US"/>
              </w:rPr>
            </w:pPr>
            <w:r w:rsidRPr="006E0383">
              <w:rPr>
                <w:rFonts w:cs="Arial"/>
              </w:rPr>
              <w:t>238(71)</w:t>
            </w:r>
          </w:p>
        </w:tc>
        <w:tc>
          <w:tcPr>
            <w:tcW w:w="3117" w:type="dxa"/>
          </w:tcPr>
          <w:p w14:paraId="1C8E2811" w14:textId="7939EA31" w:rsidR="006E0383" w:rsidRPr="006E0383" w:rsidRDefault="006E0383" w:rsidP="006E0383">
            <w:pPr>
              <w:rPr>
                <w:rFonts w:cs="Arial"/>
                <w:lang w:val="en-US"/>
              </w:rPr>
            </w:pPr>
            <w:r w:rsidRPr="006E0383">
              <w:rPr>
                <w:rFonts w:cs="Arial"/>
              </w:rPr>
              <w:t>115 (35)</w:t>
            </w:r>
          </w:p>
        </w:tc>
      </w:tr>
      <w:tr w:rsidR="006E0383" w:rsidRPr="006E0383" w14:paraId="2578A36F" w14:textId="77777777" w:rsidTr="00AC443D">
        <w:tc>
          <w:tcPr>
            <w:tcW w:w="3116" w:type="dxa"/>
          </w:tcPr>
          <w:p w14:paraId="69ADC928" w14:textId="6987EAD9" w:rsidR="006E0383" w:rsidRPr="006E0383" w:rsidRDefault="006E0383" w:rsidP="006E0383">
            <w:pPr>
              <w:rPr>
                <w:rFonts w:cs="Arial"/>
                <w:lang w:val="en-US"/>
              </w:rPr>
            </w:pPr>
            <w:r w:rsidRPr="006E0383">
              <w:rPr>
                <w:rFonts w:cs="Arial"/>
              </w:rPr>
              <w:t>р-стойност“</w:t>
            </w:r>
          </w:p>
        </w:tc>
        <w:tc>
          <w:tcPr>
            <w:tcW w:w="6234" w:type="dxa"/>
            <w:gridSpan w:val="2"/>
          </w:tcPr>
          <w:p w14:paraId="7F9580BC" w14:textId="77777777" w:rsidR="006E0383" w:rsidRPr="006E0383" w:rsidRDefault="006E0383" w:rsidP="006E0383">
            <w:pPr>
              <w:rPr>
                <w:rFonts w:cs="Arial"/>
                <w:lang w:val="en-US"/>
              </w:rPr>
            </w:pPr>
          </w:p>
        </w:tc>
      </w:tr>
      <w:tr w:rsidR="006E0383" w:rsidRPr="006E0383" w14:paraId="79D37807" w14:textId="77777777" w:rsidTr="00BA0ABF">
        <w:tc>
          <w:tcPr>
            <w:tcW w:w="3116" w:type="dxa"/>
          </w:tcPr>
          <w:p w14:paraId="1E497DD2" w14:textId="77777777" w:rsidR="006E0383" w:rsidRPr="006E0383" w:rsidRDefault="006E0383" w:rsidP="006E0383">
            <w:pPr>
              <w:rPr>
                <w:rFonts w:cs="Arial"/>
              </w:rPr>
            </w:pPr>
            <w:r w:rsidRPr="006E0383">
              <w:rPr>
                <w:rFonts w:cs="Arial"/>
                <w:b/>
                <w:bCs/>
              </w:rPr>
              <w:t xml:space="preserve">Намаляване на серумен М- </w:t>
            </w:r>
            <w:proofErr w:type="spellStart"/>
            <w:r w:rsidRPr="006E0383">
              <w:rPr>
                <w:rFonts w:cs="Arial"/>
                <w:b/>
                <w:bCs/>
              </w:rPr>
              <w:t>нротеин</w:t>
            </w:r>
            <w:proofErr w:type="spellEnd"/>
          </w:p>
          <w:p w14:paraId="2022ABF9" w14:textId="046CA5DA" w:rsidR="006E0383" w:rsidRPr="006E0383" w:rsidRDefault="006E0383" w:rsidP="006E0383">
            <w:pPr>
              <w:rPr>
                <w:rFonts w:cs="Arial"/>
                <w:lang w:val="en-US"/>
              </w:rPr>
            </w:pPr>
            <w:proofErr w:type="spellStart"/>
            <w:r w:rsidRPr="006E0383">
              <w:rPr>
                <w:rFonts w:cs="Arial"/>
              </w:rPr>
              <w:t>Популация</w:t>
            </w:r>
            <w:r w:rsidRPr="006E0383">
              <w:rPr>
                <w:rFonts w:cs="Arial"/>
                <w:vertAlign w:val="superscript"/>
              </w:rPr>
              <w:t>ж</w:t>
            </w:r>
            <w:proofErr w:type="spellEnd"/>
            <w:r w:rsidRPr="006E0383">
              <w:rPr>
                <w:rFonts w:cs="Arial"/>
              </w:rPr>
              <w:t xml:space="preserve"> бр. = 667</w:t>
            </w:r>
          </w:p>
        </w:tc>
        <w:tc>
          <w:tcPr>
            <w:tcW w:w="3117" w:type="dxa"/>
          </w:tcPr>
          <w:p w14:paraId="6D2C3058" w14:textId="7316019D" w:rsidR="006E0383" w:rsidRPr="006E0383" w:rsidRDefault="006E0383" w:rsidP="006E0383">
            <w:pPr>
              <w:rPr>
                <w:rFonts w:cs="Arial"/>
                <w:lang w:val="en-US"/>
              </w:rPr>
            </w:pPr>
            <w:r w:rsidRPr="006E0383">
              <w:rPr>
                <w:rFonts w:cs="Arial"/>
              </w:rPr>
              <w:t>336 пациенти</w:t>
            </w:r>
          </w:p>
        </w:tc>
        <w:tc>
          <w:tcPr>
            <w:tcW w:w="3117" w:type="dxa"/>
          </w:tcPr>
          <w:p w14:paraId="53478559" w14:textId="2E48D913" w:rsidR="006E0383" w:rsidRPr="006E0383" w:rsidRDefault="006E0383" w:rsidP="006E0383">
            <w:pPr>
              <w:rPr>
                <w:rFonts w:cs="Arial"/>
                <w:lang w:val="en-US"/>
              </w:rPr>
            </w:pPr>
            <w:r w:rsidRPr="006E0383">
              <w:rPr>
                <w:rFonts w:cs="Arial"/>
              </w:rPr>
              <w:t>331 пациенти</w:t>
            </w:r>
          </w:p>
        </w:tc>
      </w:tr>
      <w:tr w:rsidR="006E0383" w:rsidRPr="006E0383" w14:paraId="61D2D49A" w14:textId="77777777" w:rsidTr="00BA0ABF">
        <w:tc>
          <w:tcPr>
            <w:tcW w:w="3116" w:type="dxa"/>
          </w:tcPr>
          <w:p w14:paraId="40B0966F" w14:textId="57235763" w:rsidR="006E0383" w:rsidRPr="006E0383" w:rsidRDefault="006E0383" w:rsidP="006E0383">
            <w:pPr>
              <w:rPr>
                <w:rFonts w:cs="Arial"/>
                <w:lang w:val="en-US"/>
              </w:rPr>
            </w:pPr>
            <w:r w:rsidRPr="006E0383">
              <w:rPr>
                <w:rFonts w:cs="Arial"/>
              </w:rPr>
              <w:t>&gt; =90% бр. (%)</w:t>
            </w:r>
          </w:p>
        </w:tc>
        <w:tc>
          <w:tcPr>
            <w:tcW w:w="3117" w:type="dxa"/>
          </w:tcPr>
          <w:p w14:paraId="5187FDC2" w14:textId="3BBC7D41" w:rsidR="006E0383" w:rsidRPr="006E0383" w:rsidRDefault="006E0383" w:rsidP="006E0383">
            <w:pPr>
              <w:rPr>
                <w:rFonts w:cs="Arial"/>
                <w:lang w:val="en-US"/>
              </w:rPr>
            </w:pPr>
            <w:r w:rsidRPr="006E0383">
              <w:rPr>
                <w:rFonts w:cs="Arial"/>
              </w:rPr>
              <w:t>151 (45)</w:t>
            </w:r>
          </w:p>
        </w:tc>
        <w:tc>
          <w:tcPr>
            <w:tcW w:w="3117" w:type="dxa"/>
          </w:tcPr>
          <w:p w14:paraId="691EE8B8" w14:textId="491DE7CD" w:rsidR="006E0383" w:rsidRPr="006E0383" w:rsidRDefault="006E0383" w:rsidP="006E0383">
            <w:pPr>
              <w:rPr>
                <w:rFonts w:cs="Arial"/>
                <w:lang w:val="en-US"/>
              </w:rPr>
            </w:pPr>
            <w:r w:rsidRPr="006E0383">
              <w:rPr>
                <w:rFonts w:cs="Arial"/>
              </w:rPr>
              <w:t>34(10)</w:t>
            </w:r>
          </w:p>
        </w:tc>
      </w:tr>
      <w:tr w:rsidR="006E0383" w:rsidRPr="006E0383" w14:paraId="21157DB5" w14:textId="77777777" w:rsidTr="00AC443D">
        <w:tc>
          <w:tcPr>
            <w:tcW w:w="3116" w:type="dxa"/>
          </w:tcPr>
          <w:p w14:paraId="7032F827" w14:textId="01DC5DD7" w:rsidR="006E0383" w:rsidRPr="00FD4C98" w:rsidRDefault="006E0383" w:rsidP="006E0383">
            <w:pPr>
              <w:rPr>
                <w:rFonts w:cs="Arial"/>
                <w:lang w:val="ru-RU"/>
              </w:rPr>
            </w:pPr>
            <w:r w:rsidRPr="006E0383">
              <w:rPr>
                <w:rFonts w:cs="Arial"/>
                <w:b/>
                <w:bCs/>
              </w:rPr>
              <w:t xml:space="preserve">Време до начало па повлияване при </w:t>
            </w:r>
            <w:r w:rsidRPr="006E0383">
              <w:rPr>
                <w:rFonts w:cs="Arial"/>
                <w:b/>
                <w:bCs/>
                <w:lang w:val="en-US"/>
              </w:rPr>
              <w:t>CR</w:t>
            </w:r>
            <w:r w:rsidRPr="00FD4C98">
              <w:rPr>
                <w:rFonts w:cs="Arial"/>
                <w:b/>
                <w:bCs/>
                <w:lang w:val="ru-RU"/>
              </w:rPr>
              <w:t xml:space="preserve"> </w:t>
            </w:r>
            <w:r w:rsidRPr="006E0383">
              <w:rPr>
                <w:rFonts w:cs="Arial"/>
                <w:b/>
                <w:bCs/>
              </w:rPr>
              <w:t xml:space="preserve">+ </w:t>
            </w:r>
            <w:r w:rsidRPr="006E0383">
              <w:rPr>
                <w:rFonts w:cs="Arial"/>
                <w:b/>
                <w:bCs/>
                <w:lang w:val="en-US"/>
              </w:rPr>
              <w:t>PR</w:t>
            </w:r>
          </w:p>
        </w:tc>
        <w:tc>
          <w:tcPr>
            <w:tcW w:w="6234" w:type="dxa"/>
            <w:gridSpan w:val="2"/>
          </w:tcPr>
          <w:p w14:paraId="79ADF178" w14:textId="77777777" w:rsidR="006E0383" w:rsidRPr="00FD4C98" w:rsidRDefault="006E0383" w:rsidP="006E0383">
            <w:pPr>
              <w:rPr>
                <w:rFonts w:cs="Arial"/>
                <w:lang w:val="ru-RU"/>
              </w:rPr>
            </w:pPr>
          </w:p>
        </w:tc>
      </w:tr>
      <w:tr w:rsidR="006E0383" w:rsidRPr="006E0383" w14:paraId="1AC2DED7" w14:textId="77777777" w:rsidTr="00BA0ABF">
        <w:tc>
          <w:tcPr>
            <w:tcW w:w="3116" w:type="dxa"/>
          </w:tcPr>
          <w:p w14:paraId="50845EFF" w14:textId="7E08B1A8" w:rsidR="006E0383" w:rsidRPr="006E0383" w:rsidRDefault="006E0383" w:rsidP="006E0383">
            <w:pPr>
              <w:rPr>
                <w:rFonts w:cs="Arial"/>
                <w:lang w:val="en-US"/>
              </w:rPr>
            </w:pPr>
            <w:r w:rsidRPr="006E0383">
              <w:rPr>
                <w:rFonts w:cs="Arial"/>
              </w:rPr>
              <w:t>Медиана</w:t>
            </w:r>
          </w:p>
        </w:tc>
        <w:tc>
          <w:tcPr>
            <w:tcW w:w="3117" w:type="dxa"/>
          </w:tcPr>
          <w:p w14:paraId="013D391A" w14:textId="645E84A0" w:rsidR="006E0383" w:rsidRPr="006E0383" w:rsidRDefault="006E0383" w:rsidP="006E0383">
            <w:pPr>
              <w:rPr>
                <w:rFonts w:cs="Arial"/>
                <w:lang w:val="en-US"/>
              </w:rPr>
            </w:pPr>
            <w:r w:rsidRPr="006E0383">
              <w:rPr>
                <w:rFonts w:cs="Arial"/>
              </w:rPr>
              <w:t xml:space="preserve">1,4 </w:t>
            </w:r>
            <w:proofErr w:type="spellStart"/>
            <w:r w:rsidRPr="006E0383">
              <w:rPr>
                <w:rFonts w:cs="Arial"/>
              </w:rPr>
              <w:t>mо</w:t>
            </w:r>
            <w:proofErr w:type="spellEnd"/>
          </w:p>
        </w:tc>
        <w:tc>
          <w:tcPr>
            <w:tcW w:w="3117" w:type="dxa"/>
          </w:tcPr>
          <w:p w14:paraId="24C45378" w14:textId="27F7E2D9" w:rsidR="006E0383" w:rsidRPr="006E0383" w:rsidRDefault="006E0383" w:rsidP="006E0383">
            <w:pPr>
              <w:rPr>
                <w:rFonts w:cs="Arial"/>
                <w:lang w:val="en-US"/>
              </w:rPr>
            </w:pPr>
            <w:r w:rsidRPr="006E0383">
              <w:rPr>
                <w:rFonts w:cs="Arial"/>
              </w:rPr>
              <w:t xml:space="preserve">4,2 </w:t>
            </w:r>
            <w:proofErr w:type="spellStart"/>
            <w:r w:rsidRPr="006E0383">
              <w:rPr>
                <w:rFonts w:cs="Arial"/>
              </w:rPr>
              <w:t>mо</w:t>
            </w:r>
            <w:proofErr w:type="spellEnd"/>
          </w:p>
        </w:tc>
      </w:tr>
      <w:tr w:rsidR="006E0383" w:rsidRPr="006E0383" w14:paraId="1A8966C2" w14:textId="77777777" w:rsidTr="00AC443D">
        <w:tc>
          <w:tcPr>
            <w:tcW w:w="3116" w:type="dxa"/>
          </w:tcPr>
          <w:p w14:paraId="056D5278" w14:textId="77777777" w:rsidR="006E0383" w:rsidRPr="006E0383" w:rsidRDefault="006E0383" w:rsidP="006E0383">
            <w:pPr>
              <w:rPr>
                <w:rFonts w:cs="Arial"/>
              </w:rPr>
            </w:pPr>
            <w:r w:rsidRPr="006E0383">
              <w:rPr>
                <w:rFonts w:cs="Arial"/>
                <w:b/>
                <w:bCs/>
              </w:rPr>
              <w:t>Медиана</w:t>
            </w:r>
            <w:r w:rsidRPr="006E0383">
              <w:rPr>
                <w:rFonts w:cs="Arial"/>
                <w:b/>
                <w:bCs/>
                <w:vertAlign w:val="superscript"/>
                <w:lang w:val="en-US"/>
              </w:rPr>
              <w:t>a</w:t>
            </w:r>
            <w:r w:rsidRPr="006E0383">
              <w:rPr>
                <w:rFonts w:cs="Arial"/>
                <w:b/>
                <w:bCs/>
              </w:rPr>
              <w:tab/>
              <w:t>на</w:t>
            </w:r>
          </w:p>
          <w:p w14:paraId="40EB9E95" w14:textId="4E0180F0" w:rsidR="006E0383" w:rsidRPr="00FD4C98" w:rsidRDefault="006E0383" w:rsidP="006E0383">
            <w:pPr>
              <w:rPr>
                <w:rFonts w:cs="Arial"/>
                <w:lang w:val="ru-RU"/>
              </w:rPr>
            </w:pPr>
            <w:r w:rsidRPr="006E0383">
              <w:rPr>
                <w:rFonts w:cs="Arial"/>
                <w:b/>
                <w:bCs/>
              </w:rPr>
              <w:t>продължителност на повлияването</w:t>
            </w:r>
          </w:p>
        </w:tc>
        <w:tc>
          <w:tcPr>
            <w:tcW w:w="6234" w:type="dxa"/>
            <w:gridSpan w:val="2"/>
          </w:tcPr>
          <w:p w14:paraId="7D289FDA" w14:textId="77777777" w:rsidR="006E0383" w:rsidRPr="00FD4C98" w:rsidRDefault="006E0383" w:rsidP="006E0383">
            <w:pPr>
              <w:rPr>
                <w:rFonts w:cs="Arial"/>
                <w:lang w:val="ru-RU"/>
              </w:rPr>
            </w:pPr>
          </w:p>
        </w:tc>
      </w:tr>
      <w:tr w:rsidR="00BA0ABF" w:rsidRPr="006E0383" w14:paraId="04E8FA8A" w14:textId="77777777" w:rsidTr="00BA0ABF">
        <w:tc>
          <w:tcPr>
            <w:tcW w:w="3116" w:type="dxa"/>
          </w:tcPr>
          <w:p w14:paraId="2437DDFF" w14:textId="774C3A01" w:rsidR="00BA0ABF" w:rsidRPr="006E0383" w:rsidRDefault="00BA0ABF" w:rsidP="00BA0ABF">
            <w:pPr>
              <w:rPr>
                <w:rFonts w:cs="Arial"/>
                <w:lang w:val="en-US"/>
              </w:rPr>
            </w:pPr>
            <w:proofErr w:type="spellStart"/>
            <w:r w:rsidRPr="006E0383">
              <w:rPr>
                <w:rFonts w:cs="Arial"/>
                <w:lang w:val="en-US"/>
              </w:rPr>
              <w:t>CR</w:t>
            </w:r>
            <w:r w:rsidRPr="006E0383">
              <w:rPr>
                <w:rFonts w:cs="Arial"/>
                <w:vertAlign w:val="superscript"/>
                <w:lang w:val="en-US"/>
              </w:rPr>
              <w:t>e</w:t>
            </w:r>
            <w:proofErr w:type="spellEnd"/>
          </w:p>
        </w:tc>
        <w:tc>
          <w:tcPr>
            <w:tcW w:w="3117" w:type="dxa"/>
          </w:tcPr>
          <w:p w14:paraId="0E4C37FC" w14:textId="425A1D38" w:rsidR="00BA0ABF" w:rsidRPr="006E0383" w:rsidRDefault="00BA0ABF" w:rsidP="00BA0ABF">
            <w:pPr>
              <w:rPr>
                <w:rFonts w:cs="Arial"/>
                <w:lang w:val="en-US"/>
              </w:rPr>
            </w:pPr>
            <w:r w:rsidRPr="006E0383">
              <w:rPr>
                <w:rFonts w:cs="Arial"/>
              </w:rPr>
              <w:t>24,0 то</w:t>
            </w:r>
          </w:p>
        </w:tc>
        <w:tc>
          <w:tcPr>
            <w:tcW w:w="3117" w:type="dxa"/>
          </w:tcPr>
          <w:p w14:paraId="1D0C88CE" w14:textId="161FB3B4" w:rsidR="00BA0ABF" w:rsidRPr="006E0383" w:rsidRDefault="00BA0ABF" w:rsidP="00BA0ABF">
            <w:pPr>
              <w:rPr>
                <w:rFonts w:cs="Arial"/>
                <w:lang w:val="en-US"/>
              </w:rPr>
            </w:pPr>
            <w:r w:rsidRPr="006E0383">
              <w:rPr>
                <w:rFonts w:cs="Arial"/>
              </w:rPr>
              <w:t>12,8 то</w:t>
            </w:r>
          </w:p>
        </w:tc>
      </w:tr>
      <w:tr w:rsidR="00BA0ABF" w:rsidRPr="006E0383" w14:paraId="6521601E" w14:textId="77777777" w:rsidTr="00BA0ABF">
        <w:tc>
          <w:tcPr>
            <w:tcW w:w="3116" w:type="dxa"/>
          </w:tcPr>
          <w:p w14:paraId="78E04058" w14:textId="593DC95F" w:rsidR="00BA0ABF" w:rsidRPr="006E0383" w:rsidRDefault="00BA0ABF" w:rsidP="00BA0ABF">
            <w:pPr>
              <w:rPr>
                <w:rFonts w:cs="Arial"/>
                <w:lang w:val="en-US"/>
              </w:rPr>
            </w:pPr>
            <w:r w:rsidRPr="006E0383">
              <w:rPr>
                <w:rFonts w:cs="Arial"/>
                <w:lang w:val="en-US"/>
              </w:rPr>
              <w:t>CR+PR</w:t>
            </w:r>
            <w:r w:rsidRPr="006E0383">
              <w:rPr>
                <w:rFonts w:cs="Arial"/>
                <w:vertAlign w:val="superscript"/>
              </w:rPr>
              <w:t>е</w:t>
            </w:r>
          </w:p>
        </w:tc>
        <w:tc>
          <w:tcPr>
            <w:tcW w:w="3117" w:type="dxa"/>
          </w:tcPr>
          <w:p w14:paraId="4E11635C" w14:textId="32631834" w:rsidR="00BA0ABF" w:rsidRPr="006E0383" w:rsidRDefault="00BA0ABF" w:rsidP="00BA0ABF">
            <w:pPr>
              <w:rPr>
                <w:rFonts w:cs="Arial"/>
                <w:lang w:val="en-US"/>
              </w:rPr>
            </w:pPr>
            <w:r w:rsidRPr="006E0383">
              <w:rPr>
                <w:rFonts w:cs="Arial"/>
              </w:rPr>
              <w:t>19,9 то</w:t>
            </w:r>
          </w:p>
        </w:tc>
        <w:tc>
          <w:tcPr>
            <w:tcW w:w="3117" w:type="dxa"/>
          </w:tcPr>
          <w:p w14:paraId="0C1D8FC6" w14:textId="1EA462CD" w:rsidR="00BA0ABF" w:rsidRPr="006E0383" w:rsidRDefault="00BA0ABF" w:rsidP="00BA0ABF">
            <w:pPr>
              <w:rPr>
                <w:rFonts w:cs="Arial"/>
                <w:lang w:val="en-US"/>
              </w:rPr>
            </w:pPr>
            <w:r w:rsidRPr="006E0383">
              <w:rPr>
                <w:rFonts w:cs="Arial"/>
              </w:rPr>
              <w:t>13,1 то</w:t>
            </w:r>
          </w:p>
        </w:tc>
      </w:tr>
      <w:tr w:rsidR="00BA0ABF" w:rsidRPr="006E0383" w14:paraId="16AA6222" w14:textId="77777777" w:rsidTr="00BA0ABF">
        <w:tc>
          <w:tcPr>
            <w:tcW w:w="3116" w:type="dxa"/>
          </w:tcPr>
          <w:p w14:paraId="236F1922" w14:textId="77777777" w:rsidR="00BA0ABF" w:rsidRPr="006E0383" w:rsidRDefault="00BA0ABF" w:rsidP="00BA0ABF">
            <w:pPr>
              <w:rPr>
                <w:rFonts w:cs="Arial"/>
              </w:rPr>
            </w:pPr>
            <w:r w:rsidRPr="006E0383">
              <w:rPr>
                <w:rFonts w:cs="Arial"/>
                <w:b/>
                <w:bCs/>
              </w:rPr>
              <w:t>Време до следваща терапия</w:t>
            </w:r>
          </w:p>
          <w:p w14:paraId="4C7139C9" w14:textId="7823EBD7" w:rsidR="00BA0ABF" w:rsidRPr="006E0383" w:rsidRDefault="00BA0ABF" w:rsidP="00BA0ABF">
            <w:pPr>
              <w:rPr>
                <w:rFonts w:cs="Arial"/>
                <w:lang w:val="en-US"/>
              </w:rPr>
            </w:pPr>
            <w:r w:rsidRPr="006E0383">
              <w:rPr>
                <w:rFonts w:cs="Arial"/>
              </w:rPr>
              <w:lastRenderedPageBreak/>
              <w:t>Събития бр. (%)</w:t>
            </w:r>
          </w:p>
        </w:tc>
        <w:tc>
          <w:tcPr>
            <w:tcW w:w="3117" w:type="dxa"/>
          </w:tcPr>
          <w:p w14:paraId="2EC2BA86" w14:textId="151B83AE" w:rsidR="00BA0ABF" w:rsidRPr="006E0383" w:rsidRDefault="00BA0ABF" w:rsidP="00BA0ABF">
            <w:pPr>
              <w:rPr>
                <w:rFonts w:cs="Arial"/>
                <w:lang w:val="en-US"/>
              </w:rPr>
            </w:pPr>
            <w:r w:rsidRPr="006E0383">
              <w:rPr>
                <w:rFonts w:cs="Arial"/>
              </w:rPr>
              <w:lastRenderedPageBreak/>
              <w:t>224 (65,1)</w:t>
            </w:r>
          </w:p>
        </w:tc>
        <w:tc>
          <w:tcPr>
            <w:tcW w:w="3117" w:type="dxa"/>
          </w:tcPr>
          <w:p w14:paraId="7F7A6CBC" w14:textId="5B976554" w:rsidR="00BA0ABF" w:rsidRPr="006E0383" w:rsidRDefault="00BA0ABF" w:rsidP="00BA0ABF">
            <w:pPr>
              <w:rPr>
                <w:rFonts w:cs="Arial"/>
                <w:lang w:val="en-US"/>
              </w:rPr>
            </w:pPr>
            <w:r w:rsidRPr="006E0383">
              <w:rPr>
                <w:rFonts w:cs="Arial"/>
              </w:rPr>
              <w:t>260 (76,9)</w:t>
            </w:r>
          </w:p>
        </w:tc>
      </w:tr>
      <w:tr w:rsidR="00BA0ABF" w:rsidRPr="006E0383" w14:paraId="54B03D3D" w14:textId="77777777" w:rsidTr="00BA0ABF">
        <w:tc>
          <w:tcPr>
            <w:tcW w:w="3116" w:type="dxa"/>
          </w:tcPr>
          <w:p w14:paraId="21837351" w14:textId="2A9C3EA7" w:rsidR="00BA0ABF" w:rsidRPr="006E0383" w:rsidRDefault="00BA0ABF" w:rsidP="00BA0ABF">
            <w:pPr>
              <w:rPr>
                <w:rFonts w:cs="Arial"/>
                <w:lang w:val="en-US"/>
              </w:rPr>
            </w:pPr>
            <w:r w:rsidRPr="006E0383">
              <w:rPr>
                <w:rFonts w:cs="Arial"/>
              </w:rPr>
              <w:t>Медиана</w:t>
            </w:r>
            <w:r w:rsidRPr="006E0383">
              <w:rPr>
                <w:rFonts w:cs="Arial"/>
                <w:vertAlign w:val="superscript"/>
                <w:lang w:val="en-US"/>
              </w:rPr>
              <w:t>a</w:t>
            </w:r>
            <w:r w:rsidR="006E0383" w:rsidRPr="006E0383">
              <w:rPr>
                <w:rFonts w:cs="Arial"/>
              </w:rPr>
              <w:t>(95% С</w:t>
            </w:r>
            <w:r w:rsidR="006E0383" w:rsidRPr="006E0383">
              <w:rPr>
                <w:rFonts w:cs="Arial"/>
                <w:lang w:val="en-US"/>
              </w:rPr>
              <w:t>I</w:t>
            </w:r>
            <w:r w:rsidRPr="006E0383">
              <w:rPr>
                <w:rFonts w:cs="Arial"/>
              </w:rPr>
              <w:t>)</w:t>
            </w:r>
          </w:p>
        </w:tc>
        <w:tc>
          <w:tcPr>
            <w:tcW w:w="3117" w:type="dxa"/>
          </w:tcPr>
          <w:p w14:paraId="4AEBB069" w14:textId="46363CE9" w:rsidR="00BA0ABF" w:rsidRPr="006E0383" w:rsidRDefault="00BA0ABF" w:rsidP="00BA0ABF">
            <w:pPr>
              <w:rPr>
                <w:rFonts w:cs="Arial"/>
                <w:lang w:val="en-US"/>
              </w:rPr>
            </w:pPr>
            <w:r w:rsidRPr="006E0383">
              <w:rPr>
                <w:rFonts w:cs="Arial"/>
              </w:rPr>
              <w:t>27,0 то (24,7;31,1)</w:t>
            </w:r>
          </w:p>
        </w:tc>
        <w:tc>
          <w:tcPr>
            <w:tcW w:w="3117" w:type="dxa"/>
          </w:tcPr>
          <w:p w14:paraId="4EDB78A5" w14:textId="29CB84B9" w:rsidR="00BA0ABF" w:rsidRPr="006E0383" w:rsidRDefault="00BA0ABF" w:rsidP="00BA0ABF">
            <w:pPr>
              <w:rPr>
                <w:rFonts w:cs="Arial"/>
                <w:lang w:val="en-US"/>
              </w:rPr>
            </w:pPr>
            <w:r w:rsidRPr="006E0383">
              <w:rPr>
                <w:rFonts w:cs="Arial"/>
              </w:rPr>
              <w:t>19,2 то (17,0;21,0)</w:t>
            </w:r>
          </w:p>
        </w:tc>
      </w:tr>
      <w:tr w:rsidR="006E0383" w:rsidRPr="006E0383" w14:paraId="4B2989F4" w14:textId="77777777" w:rsidTr="00AC443D">
        <w:tc>
          <w:tcPr>
            <w:tcW w:w="3116" w:type="dxa"/>
          </w:tcPr>
          <w:p w14:paraId="082A2B33" w14:textId="56667741" w:rsidR="006E0383" w:rsidRPr="006E0383" w:rsidRDefault="006E0383" w:rsidP="006E0383">
            <w:pPr>
              <w:rPr>
                <w:rFonts w:cs="Arial"/>
                <w:lang w:val="en-US"/>
              </w:rPr>
            </w:pPr>
            <w:r w:rsidRPr="006E0383">
              <w:rPr>
                <w:rFonts w:cs="Arial"/>
              </w:rPr>
              <w:t xml:space="preserve">Коефициент на </w:t>
            </w:r>
            <w:proofErr w:type="spellStart"/>
            <w:r w:rsidRPr="006E0383">
              <w:rPr>
                <w:rFonts w:cs="Arial"/>
              </w:rPr>
              <w:t>риск</w:t>
            </w:r>
            <w:r w:rsidRPr="006E0383">
              <w:rPr>
                <w:rFonts w:cs="Arial"/>
                <w:vertAlign w:val="superscript"/>
              </w:rPr>
              <w:t>б</w:t>
            </w:r>
            <w:proofErr w:type="spellEnd"/>
            <w:r w:rsidRPr="006E0383">
              <w:rPr>
                <w:rFonts w:cs="Arial"/>
                <w:vertAlign w:val="superscript"/>
              </w:rPr>
              <w:t xml:space="preserve"> </w:t>
            </w:r>
            <w:r w:rsidRPr="006E0383">
              <w:rPr>
                <w:rFonts w:cs="Arial"/>
              </w:rPr>
              <w:t xml:space="preserve">(95% </w:t>
            </w:r>
            <w:r w:rsidRPr="006E0383">
              <w:rPr>
                <w:rFonts w:cs="Arial"/>
                <w:lang w:val="en-US"/>
              </w:rPr>
              <w:t>CI)</w:t>
            </w:r>
          </w:p>
        </w:tc>
        <w:tc>
          <w:tcPr>
            <w:tcW w:w="6234" w:type="dxa"/>
            <w:gridSpan w:val="2"/>
            <w:vMerge w:val="restart"/>
          </w:tcPr>
          <w:p w14:paraId="50D2956E"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lang w:eastAsia="bg-BG"/>
              </w:rPr>
              <w:t>0,557</w:t>
            </w:r>
          </w:p>
          <w:p w14:paraId="6B3620B3" w14:textId="77777777" w:rsidR="006E0383" w:rsidRPr="006E0383" w:rsidRDefault="006E0383" w:rsidP="006E0383">
            <w:pPr>
              <w:rPr>
                <w:rFonts w:cs="Arial"/>
                <w:lang w:val="en-US"/>
              </w:rPr>
            </w:pPr>
            <w:r w:rsidRPr="006E0383">
              <w:rPr>
                <w:rFonts w:eastAsia="Times New Roman" w:cs="Arial"/>
                <w:color w:val="000000"/>
                <w:lang w:eastAsia="bg-BG"/>
              </w:rPr>
              <w:t>(0,462; 0,671)</w:t>
            </w:r>
          </w:p>
          <w:p w14:paraId="161F55C1" w14:textId="1691557C" w:rsidR="006E0383" w:rsidRPr="006E0383" w:rsidRDefault="006E0383" w:rsidP="006E0383">
            <w:pPr>
              <w:rPr>
                <w:rFonts w:cs="Arial"/>
                <w:lang w:val="en-US"/>
              </w:rPr>
            </w:pPr>
            <w:r w:rsidRPr="006E0383">
              <w:rPr>
                <w:rFonts w:cs="Arial"/>
              </w:rPr>
              <w:t>&lt; 0,000001</w:t>
            </w:r>
          </w:p>
        </w:tc>
      </w:tr>
      <w:tr w:rsidR="006E0383" w14:paraId="72DC3419" w14:textId="77777777" w:rsidTr="00AC443D">
        <w:tc>
          <w:tcPr>
            <w:tcW w:w="3116" w:type="dxa"/>
          </w:tcPr>
          <w:p w14:paraId="139E425D" w14:textId="33F9DBBF" w:rsidR="006E0383" w:rsidRDefault="006E0383" w:rsidP="006E0383">
            <w:pPr>
              <w:rPr>
                <w:lang w:val="en-US"/>
              </w:rPr>
            </w:pPr>
            <w:r w:rsidRPr="006E0383">
              <w:rPr>
                <w:szCs w:val="20"/>
              </w:rPr>
              <w:t>р-</w:t>
            </w:r>
            <w:proofErr w:type="spellStart"/>
            <w:r w:rsidRPr="006E0383">
              <w:rPr>
                <w:szCs w:val="20"/>
              </w:rPr>
              <w:t>стойност</w:t>
            </w:r>
            <w:r w:rsidRPr="006E0383">
              <w:rPr>
                <w:szCs w:val="20"/>
                <w:vertAlign w:val="superscript"/>
              </w:rPr>
              <w:t>в</w:t>
            </w:r>
            <w:proofErr w:type="spellEnd"/>
          </w:p>
        </w:tc>
        <w:tc>
          <w:tcPr>
            <w:tcW w:w="6234" w:type="dxa"/>
            <w:gridSpan w:val="2"/>
            <w:vMerge/>
          </w:tcPr>
          <w:p w14:paraId="672ADFE5" w14:textId="5BB884FC" w:rsidR="006E0383" w:rsidRDefault="006E0383" w:rsidP="006E0383">
            <w:pPr>
              <w:rPr>
                <w:lang w:val="en-US"/>
              </w:rPr>
            </w:pPr>
          </w:p>
        </w:tc>
      </w:tr>
    </w:tbl>
    <w:p w14:paraId="24487F88" w14:textId="016D66D3" w:rsidR="00BA0ABF" w:rsidRDefault="00BA0ABF" w:rsidP="0091385D">
      <w:pPr>
        <w:rPr>
          <w:lang w:val="en-US"/>
        </w:rPr>
      </w:pPr>
    </w:p>
    <w:p w14:paraId="0FE13752"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vertAlign w:val="superscript"/>
          <w:lang w:eastAsia="bg-BG"/>
        </w:rPr>
        <w:t>а</w:t>
      </w:r>
      <w:r w:rsidRPr="006E0383">
        <w:rPr>
          <w:rFonts w:eastAsia="Times New Roman" w:cs="Arial"/>
          <w:color w:val="000000"/>
          <w:lang w:eastAsia="bg-BG"/>
        </w:rPr>
        <w:t xml:space="preserve"> Изчислена по метода на </w:t>
      </w:r>
      <w:r w:rsidRPr="006E0383">
        <w:rPr>
          <w:rFonts w:eastAsia="Times New Roman" w:cs="Arial"/>
          <w:color w:val="000000"/>
          <w:lang w:val="en-US"/>
        </w:rPr>
        <w:t>Kaplan</w:t>
      </w:r>
      <w:r w:rsidRPr="00FD4C98">
        <w:rPr>
          <w:rFonts w:eastAsia="Times New Roman" w:cs="Arial"/>
          <w:color w:val="000000"/>
          <w:lang w:val="ru-RU"/>
        </w:rPr>
        <w:t>-</w:t>
      </w:r>
      <w:r w:rsidRPr="006E0383">
        <w:rPr>
          <w:rFonts w:eastAsia="Times New Roman" w:cs="Arial"/>
          <w:color w:val="000000"/>
          <w:lang w:val="en-US"/>
        </w:rPr>
        <w:t>Meier</w:t>
      </w:r>
    </w:p>
    <w:p w14:paraId="4E13F33E"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vertAlign w:val="superscript"/>
          <w:lang w:eastAsia="bg-BG"/>
        </w:rPr>
        <w:t>6</w:t>
      </w:r>
      <w:r w:rsidRPr="006E0383">
        <w:rPr>
          <w:rFonts w:eastAsia="Times New Roman" w:cs="Arial"/>
          <w:color w:val="000000"/>
          <w:lang w:eastAsia="bg-BG"/>
        </w:rPr>
        <w:t xml:space="preserve"> Коефициентът на риск е изчислен на базата на пропорционално-рисковия модел на </w:t>
      </w:r>
      <w:proofErr w:type="spellStart"/>
      <w:r w:rsidRPr="006E0383">
        <w:rPr>
          <w:rFonts w:eastAsia="Times New Roman" w:cs="Arial"/>
          <w:color w:val="000000"/>
          <w:lang w:eastAsia="bg-BG"/>
        </w:rPr>
        <w:t>Сох</w:t>
      </w:r>
      <w:proofErr w:type="spellEnd"/>
      <w:r w:rsidRPr="006E0383">
        <w:rPr>
          <w:rFonts w:eastAsia="Times New Roman" w:cs="Arial"/>
          <w:color w:val="000000"/>
          <w:lang w:eastAsia="bg-BG"/>
        </w:rPr>
        <w:t xml:space="preserve">, адаптиран за </w:t>
      </w:r>
      <w:proofErr w:type="spellStart"/>
      <w:r w:rsidRPr="006E0383">
        <w:rPr>
          <w:rFonts w:eastAsia="Times New Roman" w:cs="Arial"/>
          <w:color w:val="000000"/>
          <w:lang w:eastAsia="bg-BG"/>
        </w:rPr>
        <w:t>стратификационни</w:t>
      </w:r>
      <w:proofErr w:type="spellEnd"/>
      <w:r w:rsidRPr="006E0383">
        <w:rPr>
          <w:rFonts w:eastAsia="Times New Roman" w:cs="Arial"/>
          <w:color w:val="000000"/>
          <w:lang w:eastAsia="bg-BG"/>
        </w:rPr>
        <w:t xml:space="preserve"> фактори; (β2-микроглобулик, албумин и район. Коефициентът на риск, по-нисък от I, сочи предимство </w:t>
      </w:r>
      <w:r w:rsidRPr="006E0383">
        <w:rPr>
          <w:rFonts w:eastAsia="Times New Roman" w:cs="Arial"/>
          <w:color w:val="000000"/>
          <w:lang w:val="en-US"/>
        </w:rPr>
        <w:t>VMP</w:t>
      </w:r>
    </w:p>
    <w:p w14:paraId="6E67830A"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vertAlign w:val="superscript"/>
          <w:lang w:eastAsia="bg-BG"/>
        </w:rPr>
        <w:t>в</w:t>
      </w:r>
      <w:r w:rsidRPr="006E0383">
        <w:rPr>
          <w:rFonts w:eastAsia="Times New Roman" w:cs="Arial"/>
          <w:color w:val="000000"/>
          <w:lang w:eastAsia="bg-BG"/>
        </w:rPr>
        <w:t xml:space="preserve"> Номинална р-стойност на базата на стратифициран логаритмично трансформиран </w:t>
      </w:r>
      <w:proofErr w:type="spellStart"/>
      <w:r w:rsidRPr="006E0383">
        <w:rPr>
          <w:rFonts w:eastAsia="Times New Roman" w:cs="Arial"/>
          <w:color w:val="000000"/>
          <w:lang w:eastAsia="bg-BG"/>
        </w:rPr>
        <w:t>ренков</w:t>
      </w:r>
      <w:proofErr w:type="spellEnd"/>
      <w:r w:rsidRPr="006E0383">
        <w:rPr>
          <w:rFonts w:eastAsia="Times New Roman" w:cs="Arial"/>
          <w:color w:val="000000"/>
          <w:lang w:eastAsia="bg-BG"/>
        </w:rPr>
        <w:t xml:space="preserve"> </w:t>
      </w:r>
      <w:r w:rsidRPr="00FD4C98">
        <w:rPr>
          <w:rFonts w:eastAsia="Times New Roman" w:cs="Arial"/>
          <w:color w:val="000000"/>
          <w:lang w:val="ru-RU"/>
        </w:rPr>
        <w:t>(</w:t>
      </w:r>
      <w:r w:rsidRPr="006E0383">
        <w:rPr>
          <w:rFonts w:eastAsia="Times New Roman" w:cs="Arial"/>
          <w:color w:val="000000"/>
          <w:lang w:val="en-US"/>
        </w:rPr>
        <w:t>log</w:t>
      </w:r>
      <w:r w:rsidRPr="00FD4C98">
        <w:rPr>
          <w:rFonts w:eastAsia="Times New Roman" w:cs="Arial"/>
          <w:color w:val="000000"/>
          <w:lang w:val="ru-RU"/>
        </w:rPr>
        <w:t>-</w:t>
      </w:r>
      <w:r w:rsidRPr="006E0383">
        <w:rPr>
          <w:rFonts w:eastAsia="Times New Roman" w:cs="Arial"/>
          <w:color w:val="000000"/>
          <w:lang w:val="en-US"/>
        </w:rPr>
        <w:t>rank</w:t>
      </w:r>
      <w:r w:rsidRPr="00FD4C98">
        <w:rPr>
          <w:rFonts w:eastAsia="Times New Roman" w:cs="Arial"/>
          <w:color w:val="000000"/>
          <w:lang w:val="ru-RU"/>
        </w:rPr>
        <w:t xml:space="preserve">) </w:t>
      </w:r>
      <w:r w:rsidRPr="006E0383">
        <w:rPr>
          <w:rFonts w:eastAsia="Times New Roman" w:cs="Arial"/>
          <w:color w:val="000000"/>
          <w:lang w:eastAsia="bg-BG"/>
        </w:rPr>
        <w:t xml:space="preserve">тест, адаптиран за </w:t>
      </w:r>
      <w:proofErr w:type="spellStart"/>
      <w:r w:rsidRPr="006E0383">
        <w:rPr>
          <w:rFonts w:eastAsia="Times New Roman" w:cs="Arial"/>
          <w:color w:val="000000"/>
          <w:lang w:eastAsia="bg-BG"/>
        </w:rPr>
        <w:t>стратификационни</w:t>
      </w:r>
      <w:proofErr w:type="spellEnd"/>
      <w:r w:rsidRPr="006E0383">
        <w:rPr>
          <w:rFonts w:eastAsia="Times New Roman" w:cs="Arial"/>
          <w:color w:val="000000"/>
          <w:lang w:eastAsia="bg-BG"/>
        </w:rPr>
        <w:t xml:space="preserve"> фактори: β2-микроглобулин, албумин и район</w:t>
      </w:r>
    </w:p>
    <w:p w14:paraId="141AF798"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vertAlign w:val="superscript"/>
          <w:lang w:eastAsia="bg-BG"/>
        </w:rPr>
        <w:t>г</w:t>
      </w:r>
      <w:r w:rsidRPr="006E0383">
        <w:rPr>
          <w:rFonts w:eastAsia="Times New Roman" w:cs="Arial"/>
          <w:color w:val="000000"/>
          <w:lang w:eastAsia="bg-BG"/>
        </w:rPr>
        <w:t xml:space="preserve"> р-стойност на честотата на отговор </w:t>
      </w:r>
      <w:r w:rsidRPr="00FD4C98">
        <w:rPr>
          <w:rFonts w:eastAsia="Times New Roman" w:cs="Arial"/>
          <w:color w:val="000000"/>
          <w:lang w:val="ru-RU"/>
        </w:rPr>
        <w:t>(</w:t>
      </w:r>
      <w:r w:rsidRPr="006E0383">
        <w:rPr>
          <w:rFonts w:eastAsia="Times New Roman" w:cs="Arial"/>
          <w:color w:val="000000"/>
          <w:lang w:val="en-US"/>
        </w:rPr>
        <w:t>CR</w:t>
      </w:r>
      <w:r w:rsidRPr="00FD4C98">
        <w:rPr>
          <w:rFonts w:eastAsia="Times New Roman" w:cs="Arial"/>
          <w:color w:val="000000"/>
          <w:lang w:val="ru-RU"/>
        </w:rPr>
        <w:t>+</w:t>
      </w:r>
      <w:r w:rsidRPr="006E0383">
        <w:rPr>
          <w:rFonts w:eastAsia="Times New Roman" w:cs="Arial"/>
          <w:color w:val="000000"/>
          <w:lang w:val="en-US"/>
        </w:rPr>
        <w:t>PR</w:t>
      </w:r>
      <w:r w:rsidRPr="00FD4C98">
        <w:rPr>
          <w:rFonts w:eastAsia="Times New Roman" w:cs="Arial"/>
          <w:color w:val="000000"/>
          <w:lang w:val="ru-RU"/>
        </w:rPr>
        <w:t xml:space="preserve">) </w:t>
      </w:r>
      <w:r w:rsidRPr="006E0383">
        <w:rPr>
          <w:rFonts w:eastAsia="Times New Roman" w:cs="Arial"/>
          <w:color w:val="000000"/>
          <w:lang w:eastAsia="bg-BG"/>
        </w:rPr>
        <w:t xml:space="preserve">от Хи-квадрат теста на </w:t>
      </w:r>
      <w:r w:rsidRPr="006E0383">
        <w:rPr>
          <w:rFonts w:eastAsia="Times New Roman" w:cs="Arial"/>
          <w:color w:val="000000"/>
          <w:lang w:val="en-US"/>
        </w:rPr>
        <w:t>Cochran</w:t>
      </w:r>
      <w:r w:rsidRPr="00FD4C98">
        <w:rPr>
          <w:rFonts w:eastAsia="Times New Roman" w:cs="Arial"/>
          <w:color w:val="000000"/>
          <w:lang w:val="ru-RU"/>
        </w:rPr>
        <w:t>-</w:t>
      </w:r>
      <w:r w:rsidRPr="006E0383">
        <w:rPr>
          <w:rFonts w:eastAsia="Times New Roman" w:cs="Arial"/>
          <w:color w:val="000000"/>
          <w:lang w:val="en-US"/>
        </w:rPr>
        <w:t>Mantel</w:t>
      </w:r>
      <w:r w:rsidRPr="00FD4C98">
        <w:rPr>
          <w:rFonts w:eastAsia="Times New Roman" w:cs="Arial"/>
          <w:color w:val="000000"/>
          <w:lang w:val="ru-RU"/>
        </w:rPr>
        <w:t>-</w:t>
      </w:r>
      <w:r w:rsidRPr="006E0383">
        <w:rPr>
          <w:rFonts w:eastAsia="Times New Roman" w:cs="Arial"/>
          <w:color w:val="000000"/>
          <w:lang w:val="en-US"/>
        </w:rPr>
        <w:t>Haenszel</w:t>
      </w:r>
      <w:r w:rsidRPr="00FD4C98">
        <w:rPr>
          <w:rFonts w:eastAsia="Times New Roman" w:cs="Arial"/>
          <w:color w:val="000000"/>
          <w:lang w:val="ru-RU"/>
        </w:rPr>
        <w:t xml:space="preserve">, </w:t>
      </w:r>
      <w:r w:rsidRPr="006E0383">
        <w:rPr>
          <w:rFonts w:eastAsia="Times New Roman" w:cs="Arial"/>
          <w:color w:val="000000"/>
          <w:lang w:eastAsia="bg-BG"/>
        </w:rPr>
        <w:t xml:space="preserve">адаптиран за </w:t>
      </w:r>
      <w:proofErr w:type="spellStart"/>
      <w:r w:rsidRPr="006E0383">
        <w:rPr>
          <w:rFonts w:eastAsia="Times New Roman" w:cs="Arial"/>
          <w:color w:val="000000"/>
          <w:lang w:eastAsia="bg-BG"/>
        </w:rPr>
        <w:t>стратификационни</w:t>
      </w:r>
      <w:proofErr w:type="spellEnd"/>
      <w:r w:rsidRPr="006E0383">
        <w:rPr>
          <w:rFonts w:eastAsia="Times New Roman" w:cs="Arial"/>
          <w:color w:val="000000"/>
          <w:lang w:eastAsia="bg-BG"/>
        </w:rPr>
        <w:t xml:space="preserve"> фактори</w:t>
      </w:r>
    </w:p>
    <w:p w14:paraId="6999377E"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vertAlign w:val="superscript"/>
          <w:lang w:eastAsia="bg-BG"/>
        </w:rPr>
        <w:t>д</w:t>
      </w:r>
      <w:r w:rsidRPr="006E0383">
        <w:rPr>
          <w:rFonts w:eastAsia="Times New Roman" w:cs="Arial"/>
          <w:color w:val="000000"/>
          <w:lang w:eastAsia="bg-BG"/>
        </w:rPr>
        <w:t xml:space="preserve"> Популацията с отговор включва пациентите с измеримо заболяване в началото на проучването </w:t>
      </w:r>
      <w:r w:rsidRPr="006E0383">
        <w:rPr>
          <w:rFonts w:eastAsia="Times New Roman" w:cs="Arial"/>
          <w:color w:val="000000"/>
          <w:vertAlign w:val="superscript"/>
          <w:lang w:eastAsia="bg-BG"/>
        </w:rPr>
        <w:t>е</w:t>
      </w:r>
      <w:r w:rsidRPr="006E0383">
        <w:rPr>
          <w:rFonts w:eastAsia="Times New Roman" w:cs="Arial"/>
          <w:color w:val="000000"/>
          <w:lang w:eastAsia="bg-BG"/>
        </w:rPr>
        <w:t xml:space="preserve"> </w:t>
      </w:r>
      <w:r w:rsidRPr="006E0383">
        <w:rPr>
          <w:rFonts w:eastAsia="Times New Roman" w:cs="Arial"/>
          <w:color w:val="000000"/>
          <w:lang w:val="en-US"/>
        </w:rPr>
        <w:t>CR</w:t>
      </w:r>
      <w:r w:rsidRPr="00FD4C98">
        <w:rPr>
          <w:rFonts w:eastAsia="Times New Roman" w:cs="Arial"/>
          <w:color w:val="000000"/>
          <w:lang w:val="ru-RU"/>
        </w:rPr>
        <w:t xml:space="preserve"> </w:t>
      </w:r>
      <w:r w:rsidRPr="006E0383">
        <w:rPr>
          <w:rFonts w:eastAsia="Times New Roman" w:cs="Arial"/>
          <w:color w:val="000000"/>
          <w:lang w:eastAsia="bg-BG"/>
        </w:rPr>
        <w:t xml:space="preserve">= Пълен отговор; </w:t>
      </w:r>
      <w:r w:rsidRPr="006E0383">
        <w:rPr>
          <w:rFonts w:eastAsia="Times New Roman" w:cs="Arial"/>
          <w:color w:val="000000"/>
          <w:lang w:val="en-US"/>
        </w:rPr>
        <w:t>PR</w:t>
      </w:r>
      <w:r w:rsidRPr="00FD4C98">
        <w:rPr>
          <w:rFonts w:eastAsia="Times New Roman" w:cs="Arial"/>
          <w:color w:val="000000"/>
          <w:lang w:val="ru-RU"/>
        </w:rPr>
        <w:t xml:space="preserve"> </w:t>
      </w:r>
      <w:r w:rsidRPr="006E0383">
        <w:rPr>
          <w:rFonts w:eastAsia="Times New Roman" w:cs="Arial"/>
          <w:color w:val="000000"/>
          <w:lang w:eastAsia="bg-BG"/>
        </w:rPr>
        <w:t xml:space="preserve">= Частичен отговор; </w:t>
      </w:r>
      <w:proofErr w:type="spellStart"/>
      <w:r w:rsidRPr="006E0383">
        <w:rPr>
          <w:rFonts w:eastAsia="Times New Roman" w:cs="Arial"/>
          <w:color w:val="000000"/>
          <w:lang w:val="en-US"/>
        </w:rPr>
        <w:t>nCR</w:t>
      </w:r>
      <w:proofErr w:type="spellEnd"/>
      <w:r w:rsidRPr="00FD4C98">
        <w:rPr>
          <w:rFonts w:eastAsia="Times New Roman" w:cs="Arial"/>
          <w:color w:val="000000"/>
          <w:lang w:val="ru-RU"/>
        </w:rPr>
        <w:t xml:space="preserve">= </w:t>
      </w:r>
      <w:r w:rsidRPr="006E0383">
        <w:rPr>
          <w:rFonts w:eastAsia="Times New Roman" w:cs="Arial"/>
          <w:color w:val="000000"/>
          <w:lang w:eastAsia="bg-BG"/>
        </w:rPr>
        <w:t xml:space="preserve">Близо до пълен отговор. Критерии на ЕВМТ (Европейска група за кръвни и </w:t>
      </w:r>
      <w:proofErr w:type="spellStart"/>
      <w:r w:rsidRPr="006E0383">
        <w:rPr>
          <w:rFonts w:eastAsia="Times New Roman" w:cs="Arial"/>
          <w:color w:val="000000"/>
          <w:lang w:eastAsia="bg-BG"/>
        </w:rPr>
        <w:t>костномозъчни</w:t>
      </w:r>
      <w:proofErr w:type="spellEnd"/>
      <w:r w:rsidRPr="006E0383">
        <w:rPr>
          <w:rFonts w:eastAsia="Times New Roman" w:cs="Arial"/>
          <w:color w:val="000000"/>
          <w:lang w:eastAsia="bg-BG"/>
        </w:rPr>
        <w:t xml:space="preserve"> трансплантации) </w:t>
      </w:r>
      <w:r w:rsidRPr="006E0383">
        <w:rPr>
          <w:rFonts w:eastAsia="Times New Roman" w:cs="Arial"/>
          <w:color w:val="000000"/>
          <w:vertAlign w:val="superscript"/>
          <w:lang w:eastAsia="bg-BG"/>
        </w:rPr>
        <w:t>ж</w:t>
      </w:r>
      <w:r w:rsidRPr="006E0383">
        <w:rPr>
          <w:rFonts w:eastAsia="Times New Roman" w:cs="Arial"/>
          <w:color w:val="000000"/>
          <w:lang w:eastAsia="bg-BG"/>
        </w:rPr>
        <w:t xml:space="preserve"> Всички рандомизирани пациенти със заболяване на отделителната система</w:t>
      </w:r>
    </w:p>
    <w:p w14:paraId="35F2BC3C" w14:textId="77777777" w:rsidR="006E0383" w:rsidRPr="006E0383" w:rsidRDefault="006E0383" w:rsidP="006E0383">
      <w:pPr>
        <w:spacing w:line="240" w:lineRule="auto"/>
        <w:rPr>
          <w:rFonts w:eastAsia="Times New Roman" w:cs="Arial"/>
          <w:lang w:eastAsia="bg-BG"/>
        </w:rPr>
      </w:pPr>
      <w:r w:rsidRPr="006E0383">
        <w:rPr>
          <w:rFonts w:eastAsia="Times New Roman" w:cs="Arial"/>
          <w:color w:val="000000"/>
          <w:lang w:eastAsia="bg-BG"/>
        </w:rPr>
        <w:t xml:space="preserve">* Данните за </w:t>
      </w:r>
      <w:proofErr w:type="spellStart"/>
      <w:r w:rsidRPr="006E0383">
        <w:rPr>
          <w:rFonts w:eastAsia="Times New Roman" w:cs="Arial"/>
          <w:color w:val="000000"/>
          <w:lang w:eastAsia="bg-BG"/>
        </w:rPr>
        <w:t>прежиняемостта</w:t>
      </w:r>
      <w:proofErr w:type="spellEnd"/>
      <w:r w:rsidRPr="006E0383">
        <w:rPr>
          <w:rFonts w:eastAsia="Times New Roman" w:cs="Arial"/>
          <w:color w:val="000000"/>
          <w:lang w:eastAsia="bg-BG"/>
        </w:rPr>
        <w:t xml:space="preserve"> са актуализирани е медиана на периода на проследяване 60,1 месеца </w:t>
      </w:r>
      <w:r w:rsidRPr="006E0383">
        <w:rPr>
          <w:rFonts w:eastAsia="Times New Roman" w:cs="Arial"/>
          <w:color w:val="000000"/>
          <w:lang w:val="en-US"/>
        </w:rPr>
        <w:t>m</w:t>
      </w:r>
      <w:r w:rsidRPr="006E0383">
        <w:rPr>
          <w:rFonts w:eastAsia="Times New Roman" w:cs="Arial"/>
          <w:color w:val="000000"/>
          <w:lang w:eastAsia="bg-BG"/>
        </w:rPr>
        <w:t>о: месеци</w:t>
      </w:r>
    </w:p>
    <w:p w14:paraId="3C2C0D02" w14:textId="77777777" w:rsidR="006E0383" w:rsidRPr="006E0383" w:rsidRDefault="006E0383" w:rsidP="006E0383">
      <w:pPr>
        <w:spacing w:line="240" w:lineRule="auto"/>
        <w:rPr>
          <w:rFonts w:eastAsia="Times New Roman" w:cs="Arial"/>
          <w:lang w:eastAsia="bg-BG"/>
        </w:rPr>
      </w:pPr>
      <w:r w:rsidRPr="006E0383">
        <w:rPr>
          <w:rFonts w:eastAsia="Times New Roman" w:cs="Arial"/>
          <w:i/>
          <w:iCs/>
          <w:color w:val="000000"/>
          <w:lang w:val="en-US"/>
        </w:rPr>
        <w:t>CI</w:t>
      </w:r>
      <w:r w:rsidRPr="00FD4C98">
        <w:rPr>
          <w:rFonts w:eastAsia="Times New Roman" w:cs="Arial"/>
          <w:i/>
          <w:iCs/>
          <w:color w:val="000000"/>
          <w:lang w:val="ru-RU"/>
        </w:rPr>
        <w:t>-</w:t>
      </w:r>
      <w:r w:rsidRPr="00FD4C98">
        <w:rPr>
          <w:rFonts w:eastAsia="Times New Roman" w:cs="Arial"/>
          <w:color w:val="000000"/>
          <w:lang w:val="ru-RU"/>
        </w:rPr>
        <w:t xml:space="preserve"> </w:t>
      </w:r>
      <w:r w:rsidRPr="006E0383">
        <w:rPr>
          <w:rFonts w:eastAsia="Times New Roman" w:cs="Arial"/>
          <w:color w:val="000000"/>
          <w:lang w:eastAsia="bg-BG"/>
        </w:rPr>
        <w:t>доверителен интервал</w:t>
      </w:r>
    </w:p>
    <w:p w14:paraId="31438560" w14:textId="77777777" w:rsidR="006E0383" w:rsidRPr="006E0383" w:rsidRDefault="006E0383" w:rsidP="006E0383">
      <w:pPr>
        <w:spacing w:line="240" w:lineRule="auto"/>
        <w:rPr>
          <w:rFonts w:eastAsia="Times New Roman" w:cs="Arial"/>
          <w:i/>
          <w:iCs/>
          <w:color w:val="000000"/>
          <w:lang w:eastAsia="bg-BG"/>
        </w:rPr>
      </w:pPr>
    </w:p>
    <w:p w14:paraId="00FBDCF3" w14:textId="3ED5F5CD" w:rsidR="006E0383" w:rsidRPr="006E0383" w:rsidRDefault="006E0383" w:rsidP="006E0383">
      <w:pPr>
        <w:spacing w:line="240" w:lineRule="auto"/>
        <w:rPr>
          <w:rFonts w:eastAsia="Times New Roman" w:cs="Arial"/>
          <w:lang w:eastAsia="bg-BG"/>
        </w:rPr>
      </w:pPr>
      <w:r w:rsidRPr="006E0383">
        <w:rPr>
          <w:rFonts w:eastAsia="Times New Roman" w:cs="Arial"/>
          <w:i/>
          <w:iCs/>
          <w:color w:val="000000"/>
          <w:lang w:eastAsia="bg-BG"/>
        </w:rPr>
        <w:t xml:space="preserve">Пациенти, </w:t>
      </w:r>
      <w:proofErr w:type="spellStart"/>
      <w:r w:rsidRPr="006E0383">
        <w:rPr>
          <w:rFonts w:eastAsia="Times New Roman" w:cs="Arial"/>
          <w:i/>
          <w:iCs/>
          <w:color w:val="000000"/>
          <w:lang w:eastAsia="bg-BG"/>
        </w:rPr>
        <w:t>подходягци</w:t>
      </w:r>
      <w:proofErr w:type="spellEnd"/>
      <w:r w:rsidRPr="006E0383">
        <w:rPr>
          <w:rFonts w:eastAsia="Times New Roman" w:cs="Arial"/>
          <w:i/>
          <w:iCs/>
          <w:color w:val="000000"/>
          <w:lang w:eastAsia="bg-BG"/>
        </w:rPr>
        <w:t xml:space="preserve"> за трансплантация на </w:t>
      </w:r>
      <w:proofErr w:type="spellStart"/>
      <w:r w:rsidRPr="006E0383">
        <w:rPr>
          <w:rFonts w:eastAsia="Times New Roman" w:cs="Arial"/>
          <w:i/>
          <w:iCs/>
          <w:color w:val="000000"/>
          <w:lang w:eastAsia="bg-BG"/>
        </w:rPr>
        <w:t>етволови</w:t>
      </w:r>
      <w:proofErr w:type="spellEnd"/>
      <w:r w:rsidRPr="006E0383">
        <w:rPr>
          <w:rFonts w:eastAsia="Times New Roman" w:cs="Arial"/>
          <w:i/>
          <w:iCs/>
          <w:color w:val="000000"/>
          <w:lang w:eastAsia="bg-BG"/>
        </w:rPr>
        <w:t xml:space="preserve"> клетки</w:t>
      </w:r>
    </w:p>
    <w:p w14:paraId="5D0E6E10" w14:textId="2D8D4F59" w:rsidR="006E0383" w:rsidRPr="006E0383" w:rsidRDefault="006E0383" w:rsidP="006E0383">
      <w:pPr>
        <w:spacing w:line="240" w:lineRule="auto"/>
        <w:rPr>
          <w:rFonts w:eastAsia="Times New Roman" w:cs="Arial"/>
          <w:lang w:eastAsia="bg-BG"/>
        </w:rPr>
      </w:pPr>
      <w:r w:rsidRPr="006E0383">
        <w:rPr>
          <w:rFonts w:eastAsia="Times New Roman" w:cs="Arial"/>
          <w:color w:val="000000"/>
          <w:lang w:eastAsia="bg-BG"/>
        </w:rPr>
        <w:t xml:space="preserve">Проведени са две рандомизирани, открити, </w:t>
      </w:r>
      <w:proofErr w:type="spellStart"/>
      <w:r w:rsidRPr="006E0383">
        <w:rPr>
          <w:rFonts w:eastAsia="Times New Roman" w:cs="Arial"/>
          <w:color w:val="000000"/>
          <w:lang w:eastAsia="bg-BG"/>
        </w:rPr>
        <w:t>многоцентрови</w:t>
      </w:r>
      <w:proofErr w:type="spellEnd"/>
      <w:r w:rsidRPr="006E0383">
        <w:rPr>
          <w:rFonts w:eastAsia="Times New Roman" w:cs="Arial"/>
          <w:color w:val="000000"/>
          <w:lang w:eastAsia="bg-BG"/>
        </w:rPr>
        <w:t xml:space="preserve"> Фаза III проучвани (</w:t>
      </w:r>
      <w:r w:rsidRPr="006E0383">
        <w:rPr>
          <w:rFonts w:eastAsia="Times New Roman" w:cs="Arial"/>
          <w:color w:val="000000"/>
          <w:lang w:val="en-US"/>
        </w:rPr>
        <w:t>IFM</w:t>
      </w:r>
      <w:r w:rsidRPr="00FD4C98">
        <w:rPr>
          <w:rFonts w:eastAsia="Times New Roman" w:cs="Arial"/>
          <w:color w:val="000000"/>
          <w:lang w:val="ru-RU"/>
        </w:rPr>
        <w:t>-2005-01,</w:t>
      </w:r>
      <w:r w:rsidRPr="00FD4C98">
        <w:rPr>
          <w:rFonts w:eastAsia="Times New Roman" w:cs="Arial"/>
          <w:lang w:val="ru-RU" w:eastAsia="bg-BG"/>
        </w:rPr>
        <w:t xml:space="preserve"> </w:t>
      </w:r>
      <w:r w:rsidRPr="006E0383">
        <w:rPr>
          <w:rFonts w:eastAsia="Times New Roman" w:cs="Arial"/>
          <w:color w:val="000000"/>
          <w:lang w:val="en-US"/>
        </w:rPr>
        <w:t>MMY</w:t>
      </w:r>
      <w:r w:rsidRPr="00FD4C98">
        <w:rPr>
          <w:rFonts w:eastAsia="Times New Roman" w:cs="Arial"/>
          <w:color w:val="000000"/>
          <w:lang w:val="ru-RU"/>
        </w:rPr>
        <w:t xml:space="preserve">-3010) </w:t>
      </w:r>
      <w:r w:rsidRPr="006E0383">
        <w:rPr>
          <w:rFonts w:eastAsia="Times New Roman" w:cs="Arial"/>
          <w:color w:val="000000"/>
          <w:lang w:eastAsia="bg-BG"/>
        </w:rPr>
        <w:t xml:space="preserve">за оценка на безопасността и ефикасността на </w:t>
      </w:r>
      <w:proofErr w:type="spellStart"/>
      <w:r w:rsidRPr="006E0383">
        <w:rPr>
          <w:rFonts w:eastAsia="Times New Roman" w:cs="Arial"/>
          <w:color w:val="000000"/>
          <w:lang w:eastAsia="bg-BG"/>
        </w:rPr>
        <w:t>бортезомиб</w:t>
      </w:r>
      <w:proofErr w:type="spellEnd"/>
      <w:r w:rsidRPr="006E0383">
        <w:rPr>
          <w:rFonts w:eastAsia="Times New Roman" w:cs="Arial"/>
          <w:color w:val="000000"/>
          <w:lang w:eastAsia="bg-BG"/>
        </w:rPr>
        <w:t xml:space="preserve"> в двойни и тройни комбинации с други </w:t>
      </w:r>
      <w:proofErr w:type="spellStart"/>
      <w:r w:rsidRPr="006E0383">
        <w:rPr>
          <w:rFonts w:eastAsia="Times New Roman" w:cs="Arial"/>
          <w:color w:val="000000"/>
          <w:lang w:eastAsia="bg-BG"/>
        </w:rPr>
        <w:t>химиотерапевтични</w:t>
      </w:r>
      <w:proofErr w:type="spellEnd"/>
      <w:r w:rsidRPr="006E0383">
        <w:rPr>
          <w:rFonts w:eastAsia="Times New Roman" w:cs="Arial"/>
          <w:color w:val="000000"/>
          <w:lang w:eastAsia="bg-BG"/>
        </w:rPr>
        <w:t xml:space="preserve"> средства като индукционна терапия преди трансплантация на </w:t>
      </w:r>
      <w:proofErr w:type="spellStart"/>
      <w:r w:rsidRPr="006E0383">
        <w:rPr>
          <w:rFonts w:eastAsia="Times New Roman" w:cs="Arial"/>
          <w:color w:val="000000"/>
          <w:lang w:eastAsia="bg-BG"/>
        </w:rPr>
        <w:t>етволови</w:t>
      </w:r>
      <w:proofErr w:type="spellEnd"/>
      <w:r w:rsidRPr="006E0383">
        <w:rPr>
          <w:rFonts w:eastAsia="Times New Roman" w:cs="Arial"/>
          <w:color w:val="000000"/>
          <w:lang w:eastAsia="bg-BG"/>
        </w:rPr>
        <w:t xml:space="preserve"> клетки при пациенти с </w:t>
      </w:r>
      <w:proofErr w:type="spellStart"/>
      <w:r w:rsidRPr="006E0383">
        <w:rPr>
          <w:rFonts w:eastAsia="Times New Roman" w:cs="Arial"/>
          <w:color w:val="000000"/>
          <w:lang w:eastAsia="bg-BG"/>
        </w:rPr>
        <w:t>нелекуван</w:t>
      </w:r>
      <w:proofErr w:type="spellEnd"/>
      <w:r w:rsidRPr="006E0383">
        <w:rPr>
          <w:rFonts w:eastAsia="Times New Roman" w:cs="Arial"/>
          <w:color w:val="000000"/>
          <w:lang w:eastAsia="bg-BG"/>
        </w:rPr>
        <w:t xml:space="preserve"> мултиплен миелом.</w:t>
      </w:r>
    </w:p>
    <w:p w14:paraId="26EA3BF6" w14:textId="1F1616A5" w:rsidR="00BA0ABF" w:rsidRDefault="00BA0ABF" w:rsidP="0091385D"/>
    <w:p w14:paraId="25C4027D"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lang w:eastAsia="bg-BG"/>
        </w:rPr>
        <w:t xml:space="preserve">В проучване </w:t>
      </w:r>
      <w:r w:rsidRPr="00AC443D">
        <w:rPr>
          <w:rFonts w:eastAsia="Times New Roman" w:cs="Arial"/>
          <w:color w:val="000000"/>
          <w:szCs w:val="20"/>
          <w:lang w:val="en-US"/>
        </w:rPr>
        <w:t>IFM</w:t>
      </w:r>
      <w:r w:rsidRPr="00FD4C98">
        <w:rPr>
          <w:rFonts w:eastAsia="Times New Roman" w:cs="Arial"/>
          <w:color w:val="000000"/>
          <w:szCs w:val="20"/>
          <w:lang w:val="ru-RU"/>
        </w:rPr>
        <w:t xml:space="preserve">-2005-01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в комбинация с </w:t>
      </w:r>
      <w:proofErr w:type="spellStart"/>
      <w:r w:rsidRPr="00AC443D">
        <w:rPr>
          <w:rFonts w:eastAsia="Times New Roman" w:cs="Arial"/>
          <w:color w:val="000000"/>
          <w:szCs w:val="20"/>
          <w:lang w:eastAsia="bg-BG"/>
        </w:rPr>
        <w:t>дексаметазон</w:t>
      </w:r>
      <w:proofErr w:type="spellEnd"/>
      <w:r w:rsidRPr="00AC443D">
        <w:rPr>
          <w:rFonts w:eastAsia="Times New Roman" w:cs="Arial"/>
          <w:color w:val="000000"/>
          <w:szCs w:val="20"/>
          <w:lang w:eastAsia="bg-BG"/>
        </w:rPr>
        <w:t xml:space="preserve"> </w:t>
      </w:r>
      <w:r w:rsidRPr="00FD4C98">
        <w:rPr>
          <w:rFonts w:eastAsia="Times New Roman" w:cs="Arial"/>
          <w:color w:val="000000"/>
          <w:szCs w:val="20"/>
          <w:lang w:val="ru-RU"/>
        </w:rPr>
        <w:t>[</w:t>
      </w:r>
      <w:proofErr w:type="spellStart"/>
      <w:r w:rsidRPr="00AC443D">
        <w:rPr>
          <w:rFonts w:eastAsia="Times New Roman" w:cs="Arial"/>
          <w:color w:val="000000"/>
          <w:szCs w:val="20"/>
          <w:lang w:val="en-US"/>
        </w:rPr>
        <w:t>VcDx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val="en-US"/>
        </w:rPr>
        <w:t>n</w:t>
      </w:r>
      <w:r w:rsidRPr="00AC443D">
        <w:rPr>
          <w:rFonts w:eastAsia="Times New Roman" w:cs="Arial"/>
          <w:color w:val="000000"/>
          <w:szCs w:val="20"/>
          <w:lang w:eastAsia="bg-BG"/>
        </w:rPr>
        <w:t xml:space="preserve">=240] е сравнен с </w:t>
      </w:r>
      <w:proofErr w:type="spellStart"/>
      <w:r w:rsidRPr="00AC443D">
        <w:rPr>
          <w:rFonts w:eastAsia="Times New Roman" w:cs="Arial"/>
          <w:color w:val="000000"/>
          <w:szCs w:val="20"/>
          <w:lang w:eastAsia="bg-BG"/>
        </w:rPr>
        <w:t>винристин-доксорубицин-дексаметазон</w:t>
      </w:r>
      <w:proofErr w:type="spellEnd"/>
      <w:r w:rsidRPr="00AC443D">
        <w:rPr>
          <w:rFonts w:eastAsia="Times New Roman" w:cs="Arial"/>
          <w:color w:val="000000"/>
          <w:szCs w:val="20"/>
          <w:lang w:eastAsia="bg-BG"/>
        </w:rPr>
        <w:t xml:space="preserve"> </w:t>
      </w:r>
      <w:r w:rsidRPr="00FD4C98">
        <w:rPr>
          <w:rFonts w:eastAsia="Times New Roman" w:cs="Arial"/>
          <w:color w:val="000000"/>
          <w:szCs w:val="20"/>
          <w:lang w:val="ru-RU"/>
        </w:rPr>
        <w:t>[</w:t>
      </w:r>
      <w:proofErr w:type="spellStart"/>
      <w:r w:rsidRPr="00AC443D">
        <w:rPr>
          <w:rFonts w:eastAsia="Times New Roman" w:cs="Arial"/>
          <w:color w:val="000000"/>
          <w:szCs w:val="20"/>
          <w:lang w:val="en-US"/>
        </w:rPr>
        <w:t>VDDx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п-242]. Пациентите в групата на </w:t>
      </w:r>
      <w:proofErr w:type="spellStart"/>
      <w:r w:rsidRPr="00AC443D">
        <w:rPr>
          <w:rFonts w:eastAsia="Times New Roman" w:cs="Arial"/>
          <w:color w:val="000000"/>
          <w:szCs w:val="20"/>
          <w:lang w:val="en-US"/>
        </w:rPr>
        <w:t>VcDx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са преминали четири 21-дневни </w:t>
      </w:r>
      <w:r w:rsidRPr="00AC443D">
        <w:rPr>
          <w:rFonts w:eastAsia="Times New Roman" w:cs="Arial"/>
          <w:i/>
          <w:iCs/>
          <w:color w:val="000000"/>
          <w:szCs w:val="20"/>
          <w:lang w:eastAsia="bg-BG"/>
        </w:rPr>
        <w:t>цикъла, всеки от</w:t>
      </w:r>
      <w:r w:rsidRPr="00AC443D">
        <w:rPr>
          <w:rFonts w:eastAsia="Times New Roman" w:cs="Arial"/>
          <w:color w:val="000000"/>
          <w:szCs w:val="20"/>
          <w:lang w:eastAsia="bg-BG"/>
        </w:rPr>
        <w:t xml:space="preserve"> които включва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(1,3 </w:t>
      </w:r>
      <w:r w:rsidRPr="00AC443D">
        <w:rPr>
          <w:rFonts w:eastAsia="Times New Roman" w:cs="Arial"/>
          <w:color w:val="000000"/>
          <w:szCs w:val="20"/>
          <w:lang w:val="en-US"/>
        </w:rPr>
        <w:t>mg</w:t>
      </w:r>
      <w:r w:rsidRPr="00FD4C98">
        <w:rPr>
          <w:rFonts w:eastAsia="Times New Roman" w:cs="Arial"/>
          <w:color w:val="000000"/>
          <w:szCs w:val="20"/>
          <w:lang w:val="ru-RU"/>
        </w:rPr>
        <w:t>/</w:t>
      </w:r>
      <w:r w:rsidRPr="00AC443D">
        <w:rPr>
          <w:rFonts w:eastAsia="Times New Roman" w:cs="Arial"/>
          <w:color w:val="000000"/>
          <w:szCs w:val="20"/>
          <w:lang w:val="en-US"/>
        </w:rPr>
        <w:t>m</w:t>
      </w:r>
      <w:r w:rsidRPr="00FD4C98">
        <w:rPr>
          <w:rFonts w:eastAsia="Times New Roman" w:cs="Arial"/>
          <w:color w:val="000000"/>
          <w:szCs w:val="20"/>
          <w:vertAlign w:val="superscript"/>
          <w:lang w:val="ru-RU"/>
        </w:rPr>
        <w:t>2</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приложен венозно два пъти седмично на ден 1, 4, 8 и </w:t>
      </w:r>
      <w:r w:rsidRPr="00FD4C98">
        <w:rPr>
          <w:rFonts w:eastAsia="Times New Roman" w:cs="Arial"/>
          <w:color w:val="000000"/>
          <w:szCs w:val="20"/>
          <w:lang w:val="ru-RU"/>
        </w:rPr>
        <w:t>1</w:t>
      </w:r>
      <w:r w:rsidRPr="00AC443D">
        <w:rPr>
          <w:rFonts w:eastAsia="Times New Roman" w:cs="Arial"/>
          <w:color w:val="000000"/>
          <w:szCs w:val="20"/>
          <w:lang w:eastAsia="bg-BG"/>
        </w:rPr>
        <w:t xml:space="preserve">1) и перорално приложен </w:t>
      </w:r>
      <w:proofErr w:type="spellStart"/>
      <w:r w:rsidRPr="00AC443D">
        <w:rPr>
          <w:rFonts w:eastAsia="Times New Roman" w:cs="Arial"/>
          <w:color w:val="000000"/>
          <w:szCs w:val="20"/>
          <w:lang w:eastAsia="bg-BG"/>
        </w:rPr>
        <w:t>дексаметазон</w:t>
      </w:r>
      <w:proofErr w:type="spellEnd"/>
      <w:r w:rsidRPr="00AC443D">
        <w:rPr>
          <w:rFonts w:eastAsia="Times New Roman" w:cs="Arial"/>
          <w:color w:val="000000"/>
          <w:szCs w:val="20"/>
          <w:lang w:eastAsia="bg-BG"/>
        </w:rPr>
        <w:t xml:space="preserve"> (40 </w:t>
      </w:r>
      <w:r w:rsidRPr="00AC443D">
        <w:rPr>
          <w:rFonts w:eastAsia="Times New Roman" w:cs="Arial"/>
          <w:color w:val="000000"/>
          <w:szCs w:val="20"/>
          <w:lang w:val="en-US"/>
        </w:rPr>
        <w:t>mg</w:t>
      </w:r>
      <w:r w:rsidRPr="00AC443D">
        <w:rPr>
          <w:rFonts w:eastAsia="Times New Roman" w:cs="Arial"/>
          <w:color w:val="000000"/>
          <w:szCs w:val="20"/>
          <w:lang w:eastAsia="bg-BG"/>
        </w:rPr>
        <w:t>/ден в дните 1 до 4 и в дните 1 до 12 в цикли 1 и 2, както в дните от 1 до 4 в цикли 3 и 4).</w:t>
      </w:r>
    </w:p>
    <w:p w14:paraId="6BA02C55" w14:textId="77777777" w:rsidR="00AC443D" w:rsidRPr="00AC443D" w:rsidRDefault="00AC443D" w:rsidP="00AC443D">
      <w:pPr>
        <w:spacing w:line="240" w:lineRule="auto"/>
        <w:rPr>
          <w:rFonts w:eastAsia="Times New Roman" w:cs="Arial"/>
          <w:sz w:val="28"/>
          <w:szCs w:val="24"/>
          <w:lang w:eastAsia="bg-BG"/>
        </w:rPr>
      </w:pPr>
      <w:proofErr w:type="spellStart"/>
      <w:r w:rsidRPr="00AC443D">
        <w:rPr>
          <w:rFonts w:eastAsia="Times New Roman" w:cs="Arial"/>
          <w:color w:val="000000"/>
          <w:szCs w:val="20"/>
          <w:lang w:eastAsia="bg-BG"/>
        </w:rPr>
        <w:t>Автоложна</w:t>
      </w:r>
      <w:proofErr w:type="spellEnd"/>
      <w:r w:rsidRPr="00AC443D">
        <w:rPr>
          <w:rFonts w:eastAsia="Times New Roman" w:cs="Arial"/>
          <w:color w:val="000000"/>
          <w:szCs w:val="20"/>
          <w:lang w:eastAsia="bg-BG"/>
        </w:rPr>
        <w:t xml:space="preserve"> трансплантация на стволови клетки е направена 198 (82%) и 208 (87%) пациенти съответно в групите на лечение с </w:t>
      </w:r>
      <w:proofErr w:type="spellStart"/>
      <w:r w:rsidRPr="00AC443D">
        <w:rPr>
          <w:rFonts w:eastAsia="Times New Roman" w:cs="Arial"/>
          <w:color w:val="000000"/>
          <w:szCs w:val="20"/>
          <w:lang w:val="en-US"/>
        </w:rPr>
        <w:t>VDDx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и </w:t>
      </w:r>
      <w:proofErr w:type="spellStart"/>
      <w:r w:rsidRPr="00AC443D">
        <w:rPr>
          <w:rFonts w:eastAsia="Times New Roman" w:cs="Arial"/>
          <w:color w:val="000000"/>
          <w:szCs w:val="20"/>
          <w:lang w:val="en-US"/>
        </w:rPr>
        <w:t>VcDx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болшинството от пациентите са преминали една </w:t>
      </w:r>
      <w:proofErr w:type="spellStart"/>
      <w:r w:rsidRPr="00AC443D">
        <w:rPr>
          <w:rFonts w:eastAsia="Times New Roman" w:cs="Arial"/>
          <w:color w:val="000000"/>
          <w:szCs w:val="20"/>
          <w:lang w:eastAsia="bg-BG"/>
        </w:rPr>
        <w:t>трансплантационна</w:t>
      </w:r>
      <w:proofErr w:type="spellEnd"/>
      <w:r w:rsidRPr="00AC443D">
        <w:rPr>
          <w:rFonts w:eastAsia="Times New Roman" w:cs="Arial"/>
          <w:color w:val="000000"/>
          <w:szCs w:val="20"/>
          <w:lang w:eastAsia="bg-BG"/>
        </w:rPr>
        <w:t xml:space="preserve"> процедура. Демографските характеристики на пациентите и изходните характеристики на заболяването са сходни в двете терапевтични групи. Медианата на възрастта на пациентите в проучването е 57 години, 55% са мъже и 48% от пациентите са с високорискови </w:t>
      </w:r>
      <w:proofErr w:type="spellStart"/>
      <w:r w:rsidRPr="00AC443D">
        <w:rPr>
          <w:rFonts w:eastAsia="Times New Roman" w:cs="Arial"/>
          <w:color w:val="000000"/>
          <w:szCs w:val="20"/>
          <w:lang w:eastAsia="bg-BG"/>
        </w:rPr>
        <w:t>цитогенетични</w:t>
      </w:r>
      <w:proofErr w:type="spellEnd"/>
      <w:r w:rsidRPr="00AC443D">
        <w:rPr>
          <w:rFonts w:eastAsia="Times New Roman" w:cs="Arial"/>
          <w:color w:val="000000"/>
          <w:szCs w:val="20"/>
          <w:lang w:eastAsia="bg-BG"/>
        </w:rPr>
        <w:t xml:space="preserve"> маркери. Медианата на продължителността на лечението е 13 седмици за групата на </w:t>
      </w:r>
      <w:proofErr w:type="spellStart"/>
      <w:r w:rsidRPr="00AC443D">
        <w:rPr>
          <w:rFonts w:eastAsia="Times New Roman" w:cs="Arial"/>
          <w:color w:val="000000"/>
          <w:szCs w:val="20"/>
          <w:lang w:val="en-US"/>
        </w:rPr>
        <w:t>VDDx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и 11 седмици за тази на </w:t>
      </w:r>
      <w:proofErr w:type="spellStart"/>
      <w:r w:rsidRPr="00AC443D">
        <w:rPr>
          <w:rFonts w:eastAsia="Times New Roman" w:cs="Arial"/>
          <w:color w:val="000000"/>
          <w:szCs w:val="20"/>
          <w:lang w:val="en-US"/>
        </w:rPr>
        <w:t>VcDx</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Медианата на броя на циклите, които са получили двете групи, е 4 цикъла.</w:t>
      </w:r>
    </w:p>
    <w:p w14:paraId="12AB0D8A" w14:textId="77777777" w:rsidR="00AC443D" w:rsidRPr="00AC443D" w:rsidRDefault="00AC443D" w:rsidP="00AC443D">
      <w:pPr>
        <w:spacing w:line="240" w:lineRule="auto"/>
        <w:rPr>
          <w:rFonts w:eastAsia="Times New Roman" w:cs="Arial"/>
          <w:color w:val="000000"/>
          <w:szCs w:val="20"/>
          <w:lang w:eastAsia="bg-BG"/>
        </w:rPr>
      </w:pPr>
    </w:p>
    <w:p w14:paraId="7AD1982F" w14:textId="7C98F2E4"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lang w:eastAsia="bg-BG"/>
        </w:rPr>
        <w:t xml:space="preserve">Първичната крайна точка за ефикасност на проучването е </w:t>
      </w:r>
      <w:proofErr w:type="spellStart"/>
      <w:r w:rsidRPr="00AC443D">
        <w:rPr>
          <w:rFonts w:eastAsia="Times New Roman" w:cs="Arial"/>
          <w:color w:val="000000"/>
          <w:szCs w:val="20"/>
          <w:lang w:eastAsia="bg-BG"/>
        </w:rPr>
        <w:t>постиндукционната</w:t>
      </w:r>
      <w:proofErr w:type="spellEnd"/>
      <w:r w:rsidRPr="00AC443D">
        <w:rPr>
          <w:rFonts w:eastAsia="Times New Roman" w:cs="Arial"/>
          <w:color w:val="000000"/>
          <w:szCs w:val="20"/>
          <w:lang w:eastAsia="bg-BG"/>
        </w:rPr>
        <w:t xml:space="preserve"> честота на </w:t>
      </w:r>
      <w:r w:rsidRPr="00AC443D">
        <w:rPr>
          <w:rFonts w:eastAsia="Times New Roman" w:cs="Arial"/>
          <w:i/>
          <w:iCs/>
          <w:color w:val="000000"/>
          <w:szCs w:val="20"/>
          <w:lang w:eastAsia="bg-BG"/>
        </w:rPr>
        <w:t xml:space="preserve">отговор </w:t>
      </w:r>
      <w:r w:rsidRPr="00FD4C98">
        <w:rPr>
          <w:rFonts w:eastAsia="Times New Roman" w:cs="Arial"/>
          <w:i/>
          <w:iCs/>
          <w:color w:val="000000"/>
          <w:szCs w:val="20"/>
          <w:lang w:val="ru-RU"/>
        </w:rPr>
        <w:t>(</w:t>
      </w:r>
      <w:r w:rsidRPr="00AC443D">
        <w:rPr>
          <w:rFonts w:eastAsia="Times New Roman" w:cs="Arial"/>
          <w:i/>
          <w:iCs/>
          <w:color w:val="000000"/>
          <w:szCs w:val="20"/>
          <w:lang w:val="en-US"/>
        </w:rPr>
        <w:t>CR</w:t>
      </w:r>
      <w:r w:rsidRPr="00FD4C98">
        <w:rPr>
          <w:rFonts w:eastAsia="Times New Roman" w:cs="Arial"/>
          <w:i/>
          <w:iCs/>
          <w:color w:val="000000"/>
          <w:szCs w:val="20"/>
          <w:lang w:val="ru-RU"/>
        </w:rPr>
        <w:t>+</w:t>
      </w:r>
      <w:proofErr w:type="spellStart"/>
      <w:r w:rsidRPr="00AC443D">
        <w:rPr>
          <w:rFonts w:eastAsia="Times New Roman" w:cs="Arial"/>
          <w:i/>
          <w:iCs/>
          <w:color w:val="000000"/>
          <w:szCs w:val="20"/>
          <w:lang w:val="en-US"/>
        </w:rPr>
        <w:t>nCR</w:t>
      </w:r>
      <w:proofErr w:type="spellEnd"/>
      <w:r w:rsidRPr="00FD4C98">
        <w:rPr>
          <w:rFonts w:eastAsia="Times New Roman" w:cs="Arial"/>
          <w:i/>
          <w:iCs/>
          <w:color w:val="000000"/>
          <w:szCs w:val="20"/>
          <w:lang w:val="ru-RU"/>
        </w:rPr>
        <w:t>).</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Наблюдава се статистически значима разлика при пълна </w:t>
      </w:r>
      <w:proofErr w:type="spellStart"/>
      <w:r w:rsidRPr="00AC443D">
        <w:rPr>
          <w:rFonts w:eastAsia="Times New Roman" w:cs="Arial"/>
          <w:color w:val="000000"/>
          <w:szCs w:val="20"/>
          <w:lang w:eastAsia="bg-BG"/>
        </w:rPr>
        <w:t>ремисия+почти</w:t>
      </w:r>
      <w:proofErr w:type="spellEnd"/>
      <w:r w:rsidRPr="00AC443D">
        <w:rPr>
          <w:rFonts w:eastAsia="Times New Roman" w:cs="Arial"/>
          <w:color w:val="000000"/>
          <w:szCs w:val="20"/>
          <w:lang w:eastAsia="bg-BG"/>
        </w:rPr>
        <w:t xml:space="preserve"> пълна ремисия </w:t>
      </w:r>
      <w:r w:rsidRPr="00FD4C98">
        <w:rPr>
          <w:rFonts w:eastAsia="Times New Roman" w:cs="Arial"/>
          <w:color w:val="000000"/>
          <w:szCs w:val="20"/>
          <w:lang w:val="ru-RU"/>
        </w:rPr>
        <w:t>(</w:t>
      </w:r>
      <w:r w:rsidRPr="00AC443D">
        <w:rPr>
          <w:rFonts w:eastAsia="Times New Roman" w:cs="Arial"/>
          <w:color w:val="000000"/>
          <w:szCs w:val="20"/>
          <w:lang w:val="en-US"/>
        </w:rPr>
        <w:t>CR</w:t>
      </w:r>
      <w:r w:rsidRPr="00FD4C98">
        <w:rPr>
          <w:rFonts w:eastAsia="Times New Roman" w:cs="Arial"/>
          <w:color w:val="000000"/>
          <w:szCs w:val="20"/>
          <w:lang w:val="ru-RU"/>
        </w:rPr>
        <w:t>+</w:t>
      </w:r>
      <w:proofErr w:type="spellStart"/>
      <w:r w:rsidRPr="00AC443D">
        <w:rPr>
          <w:rFonts w:eastAsia="Times New Roman" w:cs="Arial"/>
          <w:color w:val="000000"/>
          <w:szCs w:val="20"/>
          <w:lang w:val="en-US"/>
        </w:rPr>
        <w:t>nCR</w:t>
      </w:r>
      <w:proofErr w:type="spellEnd"/>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в полза на групата на лечение с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в </w:t>
      </w:r>
      <w:proofErr w:type="spellStart"/>
      <w:r w:rsidRPr="00AC443D">
        <w:rPr>
          <w:rFonts w:eastAsia="Times New Roman" w:cs="Arial"/>
          <w:color w:val="000000"/>
          <w:szCs w:val="20"/>
          <w:lang w:eastAsia="bg-BG"/>
        </w:rPr>
        <w:t>комбинаця</w:t>
      </w:r>
      <w:proofErr w:type="spellEnd"/>
      <w:r w:rsidRPr="00AC443D">
        <w:rPr>
          <w:rFonts w:eastAsia="Times New Roman" w:cs="Arial"/>
          <w:color w:val="000000"/>
          <w:szCs w:val="20"/>
          <w:lang w:eastAsia="bg-BG"/>
        </w:rPr>
        <w:t xml:space="preserve"> с </w:t>
      </w:r>
      <w:proofErr w:type="spellStart"/>
      <w:r w:rsidRPr="00AC443D">
        <w:rPr>
          <w:rFonts w:eastAsia="Times New Roman" w:cs="Arial"/>
          <w:color w:val="000000"/>
          <w:szCs w:val="20"/>
          <w:lang w:eastAsia="bg-BG"/>
        </w:rPr>
        <w:t>дексаметазон</w:t>
      </w:r>
      <w:proofErr w:type="spellEnd"/>
      <w:r w:rsidRPr="00AC443D">
        <w:rPr>
          <w:rFonts w:eastAsia="Times New Roman" w:cs="Arial"/>
          <w:color w:val="000000"/>
          <w:szCs w:val="20"/>
          <w:lang w:eastAsia="bg-BG"/>
        </w:rPr>
        <w:t xml:space="preserve">. Вторичните крайни точки за ефикасност включват честота на отговор след трансплантация </w:t>
      </w:r>
      <w:r w:rsidRPr="00FD4C98">
        <w:rPr>
          <w:rFonts w:eastAsia="Times New Roman" w:cs="Arial"/>
          <w:color w:val="000000"/>
          <w:szCs w:val="20"/>
          <w:lang w:val="ru-RU"/>
        </w:rPr>
        <w:t>(</w:t>
      </w:r>
      <w:r w:rsidRPr="00AC443D">
        <w:rPr>
          <w:rFonts w:eastAsia="Times New Roman" w:cs="Arial"/>
          <w:color w:val="000000"/>
          <w:szCs w:val="20"/>
          <w:lang w:val="en-US"/>
        </w:rPr>
        <w:t>CR</w:t>
      </w:r>
      <w:r w:rsidRPr="00FD4C98">
        <w:rPr>
          <w:rFonts w:eastAsia="Times New Roman" w:cs="Arial"/>
          <w:color w:val="000000"/>
          <w:szCs w:val="20"/>
          <w:lang w:val="ru-RU"/>
        </w:rPr>
        <w:t>+</w:t>
      </w:r>
      <w:proofErr w:type="spellStart"/>
      <w:r w:rsidRPr="00AC443D">
        <w:rPr>
          <w:rFonts w:eastAsia="Times New Roman" w:cs="Arial"/>
          <w:color w:val="000000"/>
          <w:szCs w:val="20"/>
          <w:lang w:val="en-US"/>
        </w:rPr>
        <w:t>nCR</w:t>
      </w:r>
      <w:proofErr w:type="spellEnd"/>
      <w:r w:rsidRPr="00FD4C98">
        <w:rPr>
          <w:rFonts w:eastAsia="Times New Roman" w:cs="Arial"/>
          <w:color w:val="000000"/>
          <w:szCs w:val="20"/>
          <w:lang w:val="ru-RU"/>
        </w:rPr>
        <w:t xml:space="preserve">, </w:t>
      </w:r>
      <w:r w:rsidRPr="00AC443D">
        <w:rPr>
          <w:rFonts w:eastAsia="Times New Roman" w:cs="Arial"/>
          <w:color w:val="000000"/>
          <w:szCs w:val="20"/>
          <w:lang w:val="en-US"/>
        </w:rPr>
        <w:t>CR</w:t>
      </w:r>
      <w:r w:rsidRPr="00FD4C98">
        <w:rPr>
          <w:rFonts w:eastAsia="Times New Roman" w:cs="Arial"/>
          <w:color w:val="000000"/>
          <w:szCs w:val="20"/>
          <w:lang w:val="ru-RU"/>
        </w:rPr>
        <w:t>+</w:t>
      </w:r>
      <w:proofErr w:type="spellStart"/>
      <w:r w:rsidRPr="00AC443D">
        <w:rPr>
          <w:rFonts w:eastAsia="Times New Roman" w:cs="Arial"/>
          <w:color w:val="000000"/>
          <w:szCs w:val="20"/>
          <w:lang w:val="en-US"/>
        </w:rPr>
        <w:t>nCR</w:t>
      </w:r>
      <w:proofErr w:type="spellEnd"/>
      <w:r w:rsidRPr="00FD4C98">
        <w:rPr>
          <w:rFonts w:eastAsia="Times New Roman" w:cs="Arial"/>
          <w:color w:val="000000"/>
          <w:szCs w:val="20"/>
          <w:lang w:val="ru-RU"/>
        </w:rPr>
        <w:t>+</w:t>
      </w:r>
      <w:r w:rsidRPr="00AC443D">
        <w:rPr>
          <w:rFonts w:eastAsia="Times New Roman" w:cs="Arial"/>
          <w:color w:val="000000"/>
          <w:szCs w:val="20"/>
          <w:lang w:val="en-US"/>
        </w:rPr>
        <w:t>VGPR</w:t>
      </w:r>
      <w:r w:rsidRPr="00FD4C98">
        <w:rPr>
          <w:rFonts w:eastAsia="Times New Roman" w:cs="Arial"/>
          <w:color w:val="000000"/>
          <w:szCs w:val="20"/>
          <w:lang w:val="ru-RU"/>
        </w:rPr>
        <w:t>+</w:t>
      </w:r>
      <w:r w:rsidRPr="00AC443D">
        <w:rPr>
          <w:rFonts w:eastAsia="Times New Roman" w:cs="Arial"/>
          <w:color w:val="000000"/>
          <w:szCs w:val="20"/>
          <w:lang w:val="en-US"/>
        </w:rPr>
        <w:t>PR</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преживяемост без </w:t>
      </w:r>
      <w:r w:rsidRPr="00AC443D">
        <w:rPr>
          <w:rFonts w:eastAsia="Times New Roman" w:cs="Arial"/>
          <w:color w:val="000000"/>
          <w:szCs w:val="20"/>
          <w:lang w:eastAsia="bg-BG"/>
        </w:rPr>
        <w:lastRenderedPageBreak/>
        <w:t>прогресия и обща преживяемост. Основните резултати за ефикасност са представени в таблица 9.</w:t>
      </w:r>
    </w:p>
    <w:p w14:paraId="755297DD" w14:textId="77777777" w:rsidR="00AC443D" w:rsidRPr="00AC443D" w:rsidRDefault="00AC443D" w:rsidP="00AC443D">
      <w:pPr>
        <w:rPr>
          <w:rFonts w:eastAsia="Times New Roman" w:cs="Arial"/>
          <w:i/>
          <w:iCs/>
          <w:color w:val="000000"/>
          <w:szCs w:val="20"/>
          <w:lang w:eastAsia="bg-BG"/>
        </w:rPr>
      </w:pPr>
    </w:p>
    <w:p w14:paraId="2D6F8365" w14:textId="7F0EC96F" w:rsidR="00AC443D" w:rsidRDefault="00AC443D" w:rsidP="00AC443D">
      <w:r w:rsidRPr="00AC443D">
        <w:rPr>
          <w:rFonts w:eastAsia="Times New Roman" w:cs="Arial"/>
          <w:i/>
          <w:iCs/>
          <w:color w:val="000000"/>
          <w:szCs w:val="20"/>
          <w:lang w:eastAsia="bg-BG"/>
        </w:rPr>
        <w:t xml:space="preserve">Таблица 9: Резултати за ефикасност от проучване </w:t>
      </w:r>
      <w:r w:rsidRPr="00AC443D">
        <w:rPr>
          <w:rFonts w:eastAsia="Times New Roman" w:cs="Arial"/>
          <w:i/>
          <w:iCs/>
          <w:color w:val="000000"/>
          <w:szCs w:val="20"/>
          <w:lang w:val="en-US"/>
        </w:rPr>
        <w:t>IFM</w:t>
      </w:r>
      <w:r w:rsidRPr="00FD4C98">
        <w:rPr>
          <w:rFonts w:eastAsia="Times New Roman" w:cs="Arial"/>
          <w:i/>
          <w:iCs/>
          <w:color w:val="000000"/>
          <w:szCs w:val="20"/>
          <w:lang w:val="ru-RU"/>
        </w:rPr>
        <w:t>-2005-01</w:t>
      </w:r>
    </w:p>
    <w:p w14:paraId="2AC9E9AB" w14:textId="47333296" w:rsidR="00AC443D" w:rsidRDefault="00AC443D" w:rsidP="0091385D"/>
    <w:tbl>
      <w:tblPr>
        <w:tblStyle w:val="TableGrid"/>
        <w:tblW w:w="0" w:type="auto"/>
        <w:tblLook w:val="04A0" w:firstRow="1" w:lastRow="0" w:firstColumn="1" w:lastColumn="0" w:noHBand="0" w:noVBand="1"/>
      </w:tblPr>
      <w:tblGrid>
        <w:gridCol w:w="2337"/>
        <w:gridCol w:w="2337"/>
        <w:gridCol w:w="2338"/>
        <w:gridCol w:w="2338"/>
      </w:tblGrid>
      <w:tr w:rsidR="00AC443D" w14:paraId="4873C424" w14:textId="77777777" w:rsidTr="00AC443D">
        <w:tc>
          <w:tcPr>
            <w:tcW w:w="2337" w:type="dxa"/>
          </w:tcPr>
          <w:p w14:paraId="0BA6D9FC" w14:textId="15258E30" w:rsidR="00AC443D" w:rsidRPr="00AC443D" w:rsidRDefault="00AC443D" w:rsidP="00AC443D">
            <w:r w:rsidRPr="00AC443D">
              <w:rPr>
                <w:b/>
                <w:bCs/>
                <w:szCs w:val="20"/>
                <w:lang w:eastAsia="bg-BG"/>
              </w:rPr>
              <w:t>Крайна точка</w:t>
            </w:r>
          </w:p>
        </w:tc>
        <w:tc>
          <w:tcPr>
            <w:tcW w:w="2337" w:type="dxa"/>
          </w:tcPr>
          <w:p w14:paraId="1B05625B" w14:textId="5CCC7AC3" w:rsidR="00AC443D" w:rsidRPr="00AC443D" w:rsidRDefault="00AC443D" w:rsidP="00AC443D">
            <w:proofErr w:type="spellStart"/>
            <w:r w:rsidRPr="00AC443D">
              <w:rPr>
                <w:b/>
                <w:bCs/>
                <w:szCs w:val="20"/>
              </w:rPr>
              <w:t>BrDx</w:t>
            </w:r>
            <w:proofErr w:type="spellEnd"/>
          </w:p>
        </w:tc>
        <w:tc>
          <w:tcPr>
            <w:tcW w:w="2338" w:type="dxa"/>
          </w:tcPr>
          <w:p w14:paraId="389AED50" w14:textId="2B8E74F1" w:rsidR="00AC443D" w:rsidRPr="00AC443D" w:rsidRDefault="00AC443D" w:rsidP="00AC443D">
            <w:proofErr w:type="spellStart"/>
            <w:r w:rsidRPr="00AC443D">
              <w:rPr>
                <w:b/>
                <w:bCs/>
                <w:szCs w:val="20"/>
              </w:rPr>
              <w:t>VDDx</w:t>
            </w:r>
            <w:proofErr w:type="spellEnd"/>
          </w:p>
        </w:tc>
        <w:tc>
          <w:tcPr>
            <w:tcW w:w="2338" w:type="dxa"/>
          </w:tcPr>
          <w:p w14:paraId="2A8EEF01" w14:textId="1328FCD2" w:rsidR="00AC443D" w:rsidRPr="00AC443D" w:rsidRDefault="00AC443D" w:rsidP="00AC443D">
            <w:r w:rsidRPr="00AC443D">
              <w:rPr>
                <w:b/>
                <w:bCs/>
                <w:szCs w:val="20"/>
              </w:rPr>
              <w:t xml:space="preserve">OR; 95% CI; P </w:t>
            </w:r>
            <w:r w:rsidRPr="00AC443D">
              <w:rPr>
                <w:b/>
                <w:bCs/>
                <w:szCs w:val="20"/>
                <w:lang w:eastAsia="bg-BG"/>
              </w:rPr>
              <w:t>стойност“</w:t>
            </w:r>
          </w:p>
        </w:tc>
      </w:tr>
      <w:tr w:rsidR="00AC443D" w14:paraId="68BE23F3" w14:textId="77777777" w:rsidTr="00AC443D">
        <w:tc>
          <w:tcPr>
            <w:tcW w:w="2337" w:type="dxa"/>
          </w:tcPr>
          <w:p w14:paraId="1C387D8F" w14:textId="2677D1C4" w:rsidR="00AC443D" w:rsidRPr="00AC443D" w:rsidRDefault="00AC443D" w:rsidP="00AC443D">
            <w:r w:rsidRPr="00AC443D">
              <w:rPr>
                <w:b/>
                <w:bCs/>
                <w:szCs w:val="20"/>
              </w:rPr>
              <w:t>IFM-2005-01</w:t>
            </w:r>
          </w:p>
        </w:tc>
        <w:tc>
          <w:tcPr>
            <w:tcW w:w="2337" w:type="dxa"/>
          </w:tcPr>
          <w:p w14:paraId="3E35A0AE" w14:textId="5DB71EFF" w:rsidR="00AC443D" w:rsidRPr="00AC443D" w:rsidRDefault="00AC443D" w:rsidP="00AC443D">
            <w:r w:rsidRPr="00AC443D">
              <w:rPr>
                <w:szCs w:val="20"/>
              </w:rPr>
              <w:t xml:space="preserve">N=240 (ITT </w:t>
            </w:r>
            <w:r w:rsidRPr="00AC443D">
              <w:rPr>
                <w:szCs w:val="20"/>
                <w:lang w:eastAsia="bg-BG"/>
              </w:rPr>
              <w:t>популация)</w:t>
            </w:r>
          </w:p>
        </w:tc>
        <w:tc>
          <w:tcPr>
            <w:tcW w:w="2338" w:type="dxa"/>
          </w:tcPr>
          <w:p w14:paraId="2A6202DD" w14:textId="552D11D3" w:rsidR="00AC443D" w:rsidRPr="00AC443D" w:rsidRDefault="00AC443D" w:rsidP="00AC443D">
            <w:r w:rsidRPr="00AC443D">
              <w:rPr>
                <w:szCs w:val="20"/>
              </w:rPr>
              <w:t xml:space="preserve">N=242 (ITT </w:t>
            </w:r>
            <w:r w:rsidRPr="00AC443D">
              <w:rPr>
                <w:szCs w:val="20"/>
                <w:lang w:eastAsia="bg-BG"/>
              </w:rPr>
              <w:t>популация)</w:t>
            </w:r>
          </w:p>
        </w:tc>
        <w:tc>
          <w:tcPr>
            <w:tcW w:w="2338" w:type="dxa"/>
          </w:tcPr>
          <w:p w14:paraId="0D148EFC" w14:textId="77777777" w:rsidR="00AC443D" w:rsidRPr="00AC443D" w:rsidRDefault="00AC443D" w:rsidP="00AC443D"/>
        </w:tc>
      </w:tr>
      <w:tr w:rsidR="00AC443D" w14:paraId="512E64EE" w14:textId="77777777" w:rsidTr="00AC443D">
        <w:tc>
          <w:tcPr>
            <w:tcW w:w="2337" w:type="dxa"/>
          </w:tcPr>
          <w:p w14:paraId="61760947" w14:textId="3D11A8CA" w:rsidR="00AC443D" w:rsidRPr="00AC443D" w:rsidRDefault="00AC443D" w:rsidP="00AC443D">
            <w:r w:rsidRPr="00AC443D">
              <w:rPr>
                <w:i/>
                <w:iCs/>
                <w:szCs w:val="20"/>
              </w:rPr>
              <w:t xml:space="preserve">RR </w:t>
            </w:r>
            <w:r w:rsidRPr="00AC443D">
              <w:rPr>
                <w:i/>
                <w:iCs/>
                <w:szCs w:val="20"/>
                <w:lang w:eastAsia="bg-BG"/>
              </w:rPr>
              <w:t xml:space="preserve">(след индукция) </w:t>
            </w:r>
            <w:r w:rsidRPr="00AC443D">
              <w:rPr>
                <w:szCs w:val="20"/>
                <w:lang w:eastAsia="bg-BG"/>
              </w:rPr>
              <w:t xml:space="preserve">* </w:t>
            </w:r>
            <w:proofErr w:type="spellStart"/>
            <w:r w:rsidRPr="00AC443D">
              <w:rPr>
                <w:szCs w:val="20"/>
              </w:rPr>
              <w:t>CR+nCR</w:t>
            </w:r>
            <w:proofErr w:type="spellEnd"/>
            <w:r w:rsidRPr="00AC443D">
              <w:rPr>
                <w:szCs w:val="20"/>
              </w:rPr>
              <w:t xml:space="preserve"> </w:t>
            </w:r>
            <w:proofErr w:type="spellStart"/>
            <w:r w:rsidRPr="00AC443D">
              <w:rPr>
                <w:szCs w:val="20"/>
              </w:rPr>
              <w:t>CR+nCR+VGPR+PR</w:t>
            </w:r>
            <w:proofErr w:type="spellEnd"/>
            <w:r w:rsidRPr="00AC443D">
              <w:rPr>
                <w:szCs w:val="20"/>
              </w:rPr>
              <w:t xml:space="preserve"> </w:t>
            </w:r>
            <w:r w:rsidRPr="00AC443D">
              <w:rPr>
                <w:szCs w:val="20"/>
                <w:lang w:eastAsia="bg-BG"/>
              </w:rPr>
              <w:t xml:space="preserve">% (95% </w:t>
            </w:r>
            <w:r w:rsidRPr="00AC443D">
              <w:rPr>
                <w:szCs w:val="20"/>
              </w:rPr>
              <w:t>CI)</w:t>
            </w:r>
          </w:p>
        </w:tc>
        <w:tc>
          <w:tcPr>
            <w:tcW w:w="2337" w:type="dxa"/>
          </w:tcPr>
          <w:p w14:paraId="69851EC1" w14:textId="77777777" w:rsidR="00AC443D" w:rsidRPr="00AC443D" w:rsidRDefault="00AC443D" w:rsidP="00AC443D">
            <w:pPr>
              <w:rPr>
                <w:lang w:eastAsia="bg-BG"/>
              </w:rPr>
            </w:pPr>
            <w:r w:rsidRPr="00AC443D">
              <w:rPr>
                <w:szCs w:val="20"/>
              </w:rPr>
              <w:t>14,6(10,4; 19,7)</w:t>
            </w:r>
          </w:p>
          <w:p w14:paraId="084EC722" w14:textId="32F9B5FE" w:rsidR="00AC443D" w:rsidRPr="00AC443D" w:rsidRDefault="00AC443D" w:rsidP="00AC443D">
            <w:r w:rsidRPr="00AC443D">
              <w:rPr>
                <w:szCs w:val="20"/>
              </w:rPr>
              <w:t>77,1 (71,2; 82,2)</w:t>
            </w:r>
          </w:p>
        </w:tc>
        <w:tc>
          <w:tcPr>
            <w:tcW w:w="2338" w:type="dxa"/>
          </w:tcPr>
          <w:p w14:paraId="30C7AFFC" w14:textId="77777777" w:rsidR="00AC443D" w:rsidRPr="00AC443D" w:rsidRDefault="00AC443D" w:rsidP="00AC443D">
            <w:pPr>
              <w:rPr>
                <w:lang w:eastAsia="bg-BG"/>
              </w:rPr>
            </w:pPr>
            <w:r w:rsidRPr="00AC443D">
              <w:rPr>
                <w:szCs w:val="20"/>
              </w:rPr>
              <w:t>6,2 (3,5; 10,0)</w:t>
            </w:r>
          </w:p>
          <w:p w14:paraId="513A0AC3" w14:textId="77B720CC" w:rsidR="00AC443D" w:rsidRPr="00AC443D" w:rsidRDefault="00AC443D" w:rsidP="00AC443D">
            <w:r w:rsidRPr="00AC443D">
              <w:rPr>
                <w:szCs w:val="20"/>
              </w:rPr>
              <w:t>60,7 (54,3; 66,9)</w:t>
            </w:r>
          </w:p>
        </w:tc>
        <w:tc>
          <w:tcPr>
            <w:tcW w:w="2338" w:type="dxa"/>
          </w:tcPr>
          <w:p w14:paraId="47723289" w14:textId="77777777" w:rsidR="00AC443D" w:rsidRPr="00AC443D" w:rsidRDefault="00AC443D" w:rsidP="00AC443D">
            <w:pPr>
              <w:rPr>
                <w:lang w:eastAsia="bg-BG"/>
              </w:rPr>
            </w:pPr>
            <w:r w:rsidRPr="00AC443D">
              <w:rPr>
                <w:szCs w:val="20"/>
              </w:rPr>
              <w:t>2,58</w:t>
            </w:r>
            <w:r w:rsidRPr="00AC443D">
              <w:rPr>
                <w:szCs w:val="20"/>
              </w:rPr>
              <w:tab/>
              <w:t>(1,37; 4,85);</w:t>
            </w:r>
          </w:p>
          <w:p w14:paraId="03099880" w14:textId="77777777" w:rsidR="00AC443D" w:rsidRPr="00AC443D" w:rsidRDefault="00AC443D" w:rsidP="00AC443D">
            <w:pPr>
              <w:rPr>
                <w:lang w:eastAsia="bg-BG"/>
              </w:rPr>
            </w:pPr>
            <w:r w:rsidRPr="00AC443D">
              <w:rPr>
                <w:szCs w:val="20"/>
              </w:rPr>
              <w:t>0,003</w:t>
            </w:r>
          </w:p>
          <w:p w14:paraId="222C1B1A" w14:textId="77777777" w:rsidR="00AC443D" w:rsidRPr="00AC443D" w:rsidRDefault="00AC443D" w:rsidP="00AC443D">
            <w:pPr>
              <w:rPr>
                <w:lang w:eastAsia="bg-BG"/>
              </w:rPr>
            </w:pPr>
            <w:r w:rsidRPr="00AC443D">
              <w:rPr>
                <w:szCs w:val="20"/>
              </w:rPr>
              <w:t>2,18 (1,46; 3,24);</w:t>
            </w:r>
          </w:p>
          <w:p w14:paraId="3ABBC982" w14:textId="11187B8F" w:rsidR="00AC443D" w:rsidRPr="00AC443D" w:rsidRDefault="00AC443D" w:rsidP="00AC443D">
            <w:r w:rsidRPr="00AC443D">
              <w:rPr>
                <w:szCs w:val="20"/>
              </w:rPr>
              <w:t>&lt;0,001</w:t>
            </w:r>
          </w:p>
        </w:tc>
      </w:tr>
      <w:tr w:rsidR="00AC443D" w14:paraId="76708BF5" w14:textId="77777777" w:rsidTr="00AC443D">
        <w:tc>
          <w:tcPr>
            <w:tcW w:w="2337" w:type="dxa"/>
          </w:tcPr>
          <w:p w14:paraId="7BE2DD18" w14:textId="7348CF86" w:rsidR="00AC443D" w:rsidRPr="00AC443D" w:rsidRDefault="00AC443D" w:rsidP="00AC443D">
            <w:r w:rsidRPr="00AC443D">
              <w:rPr>
                <w:i/>
                <w:iCs/>
                <w:szCs w:val="20"/>
                <w:lang w:eastAsia="bg-BG"/>
              </w:rPr>
              <w:t xml:space="preserve">КР(след </w:t>
            </w:r>
            <w:proofErr w:type="spellStart"/>
            <w:r w:rsidRPr="00AC443D">
              <w:rPr>
                <w:i/>
                <w:iCs/>
                <w:szCs w:val="20"/>
                <w:lang w:eastAsia="bg-BG"/>
              </w:rPr>
              <w:t>трансппантация</w:t>
            </w:r>
            <w:proofErr w:type="spellEnd"/>
            <w:r w:rsidRPr="00AC443D">
              <w:rPr>
                <w:i/>
                <w:iCs/>
                <w:szCs w:val="20"/>
                <w:lang w:eastAsia="bg-BG"/>
              </w:rPr>
              <w:t>)</w:t>
            </w:r>
            <w:r w:rsidRPr="00AC443D">
              <w:rPr>
                <w:i/>
                <w:iCs/>
                <w:szCs w:val="20"/>
                <w:vertAlign w:val="superscript"/>
                <w:lang w:eastAsia="bg-BG"/>
              </w:rPr>
              <w:t xml:space="preserve">ь </w:t>
            </w:r>
            <w:proofErr w:type="spellStart"/>
            <w:r w:rsidRPr="00AC443D">
              <w:rPr>
                <w:szCs w:val="20"/>
              </w:rPr>
              <w:t>CR+nCR</w:t>
            </w:r>
            <w:proofErr w:type="spellEnd"/>
            <w:r w:rsidRPr="00AC443D">
              <w:rPr>
                <w:szCs w:val="20"/>
              </w:rPr>
              <w:t xml:space="preserve"> </w:t>
            </w:r>
            <w:proofErr w:type="spellStart"/>
            <w:r w:rsidRPr="00AC443D">
              <w:rPr>
                <w:szCs w:val="20"/>
              </w:rPr>
              <w:t>CR+nCR+VGPR+PR</w:t>
            </w:r>
            <w:proofErr w:type="spellEnd"/>
            <w:r w:rsidRPr="00AC443D">
              <w:rPr>
                <w:szCs w:val="20"/>
              </w:rPr>
              <w:t xml:space="preserve"> % (95% CI)</w:t>
            </w:r>
          </w:p>
        </w:tc>
        <w:tc>
          <w:tcPr>
            <w:tcW w:w="2337" w:type="dxa"/>
          </w:tcPr>
          <w:p w14:paraId="4B4E38D2" w14:textId="77777777" w:rsidR="00AC443D" w:rsidRPr="00AC443D" w:rsidRDefault="00AC443D" w:rsidP="00AC443D">
            <w:pPr>
              <w:rPr>
                <w:lang w:eastAsia="bg-BG"/>
              </w:rPr>
            </w:pPr>
            <w:r w:rsidRPr="00AC443D">
              <w:rPr>
                <w:szCs w:val="20"/>
              </w:rPr>
              <w:t>37,5 (31,4; 44,0)</w:t>
            </w:r>
          </w:p>
          <w:p w14:paraId="4948CB5E" w14:textId="12E6B4EC" w:rsidR="00AC443D" w:rsidRPr="00AC443D" w:rsidRDefault="00AC443D" w:rsidP="00AC443D">
            <w:r w:rsidRPr="00AC443D">
              <w:rPr>
                <w:szCs w:val="20"/>
              </w:rPr>
              <w:t>79,6 (73,9; 84,5)</w:t>
            </w:r>
          </w:p>
        </w:tc>
        <w:tc>
          <w:tcPr>
            <w:tcW w:w="2338" w:type="dxa"/>
          </w:tcPr>
          <w:p w14:paraId="37B7730A" w14:textId="77777777" w:rsidR="00AC443D" w:rsidRPr="00AC443D" w:rsidRDefault="00AC443D" w:rsidP="00AC443D">
            <w:pPr>
              <w:rPr>
                <w:lang w:eastAsia="bg-BG"/>
              </w:rPr>
            </w:pPr>
            <w:r w:rsidRPr="00AC443D">
              <w:rPr>
                <w:szCs w:val="20"/>
              </w:rPr>
              <w:t>23,1 (18,0; 29,0)</w:t>
            </w:r>
          </w:p>
          <w:p w14:paraId="08AEB37D" w14:textId="13C50E0B" w:rsidR="00AC443D" w:rsidRPr="00AC443D" w:rsidRDefault="00AC443D" w:rsidP="00AC443D">
            <w:r w:rsidRPr="00AC443D">
              <w:rPr>
                <w:szCs w:val="20"/>
              </w:rPr>
              <w:t>74,4 (68,4; 79,8)</w:t>
            </w:r>
          </w:p>
        </w:tc>
        <w:tc>
          <w:tcPr>
            <w:tcW w:w="2338" w:type="dxa"/>
          </w:tcPr>
          <w:p w14:paraId="09B87372" w14:textId="77777777" w:rsidR="00AC443D" w:rsidRPr="00AC443D" w:rsidRDefault="00AC443D" w:rsidP="00AC443D">
            <w:pPr>
              <w:rPr>
                <w:lang w:eastAsia="bg-BG"/>
              </w:rPr>
            </w:pPr>
            <w:r w:rsidRPr="00AC443D">
              <w:rPr>
                <w:szCs w:val="20"/>
              </w:rPr>
              <w:t>1,98</w:t>
            </w:r>
            <w:r w:rsidRPr="00AC443D">
              <w:rPr>
                <w:szCs w:val="20"/>
              </w:rPr>
              <w:tab/>
              <w:t>(1,33;</w:t>
            </w:r>
            <w:r w:rsidRPr="00AC443D">
              <w:rPr>
                <w:szCs w:val="20"/>
              </w:rPr>
              <w:tab/>
              <w:t>2,95);</w:t>
            </w:r>
          </w:p>
          <w:p w14:paraId="04319FC7" w14:textId="77777777" w:rsidR="00AC443D" w:rsidRPr="00AC443D" w:rsidRDefault="00AC443D" w:rsidP="00AC443D">
            <w:pPr>
              <w:rPr>
                <w:lang w:eastAsia="bg-BG"/>
              </w:rPr>
            </w:pPr>
            <w:r w:rsidRPr="00AC443D">
              <w:rPr>
                <w:szCs w:val="20"/>
              </w:rPr>
              <w:t>0,001</w:t>
            </w:r>
          </w:p>
          <w:p w14:paraId="7ECB5414" w14:textId="77777777" w:rsidR="00AC443D" w:rsidRPr="00AC443D" w:rsidRDefault="00AC443D" w:rsidP="00AC443D">
            <w:pPr>
              <w:rPr>
                <w:lang w:eastAsia="bg-BG"/>
              </w:rPr>
            </w:pPr>
            <w:r w:rsidRPr="00AC443D">
              <w:rPr>
                <w:szCs w:val="20"/>
              </w:rPr>
              <w:t>1,34</w:t>
            </w:r>
            <w:r w:rsidRPr="00AC443D">
              <w:rPr>
                <w:szCs w:val="20"/>
              </w:rPr>
              <w:tab/>
              <w:t>(0,87;</w:t>
            </w:r>
            <w:r w:rsidRPr="00AC443D">
              <w:rPr>
                <w:szCs w:val="20"/>
              </w:rPr>
              <w:tab/>
              <w:t>2,05);</w:t>
            </w:r>
          </w:p>
          <w:p w14:paraId="312869D3" w14:textId="59658BB5" w:rsidR="00AC443D" w:rsidRPr="00AC443D" w:rsidRDefault="00AC443D" w:rsidP="00AC443D">
            <w:r w:rsidRPr="00AC443D">
              <w:rPr>
                <w:szCs w:val="20"/>
              </w:rPr>
              <w:t>0,179</w:t>
            </w:r>
          </w:p>
        </w:tc>
      </w:tr>
    </w:tbl>
    <w:p w14:paraId="12287AF6" w14:textId="3601FA5F" w:rsidR="00AC443D" w:rsidRDefault="00AC443D" w:rsidP="0091385D"/>
    <w:p w14:paraId="6B947972"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val="en-US"/>
        </w:rPr>
        <w:t>CI</w:t>
      </w:r>
      <w:r w:rsidRPr="00FD4C98">
        <w:rPr>
          <w:rFonts w:eastAsia="Times New Roman" w:cs="Arial"/>
          <w:color w:val="000000"/>
        </w:rPr>
        <w:t xml:space="preserve"> </w:t>
      </w:r>
      <w:r w:rsidRPr="00AC443D">
        <w:rPr>
          <w:rFonts w:eastAsia="Times New Roman" w:cs="Arial"/>
          <w:i/>
          <w:iCs/>
          <w:color w:val="000000"/>
          <w:lang w:eastAsia="bg-BG"/>
        </w:rPr>
        <w:t>-доверителен</w:t>
      </w:r>
      <w:r w:rsidRPr="00AC443D">
        <w:rPr>
          <w:rFonts w:eastAsia="Times New Roman" w:cs="Arial"/>
          <w:color w:val="000000"/>
          <w:lang w:eastAsia="bg-BG"/>
        </w:rPr>
        <w:t xml:space="preserve"> интервал; </w:t>
      </w:r>
      <w:r w:rsidRPr="00AC443D">
        <w:rPr>
          <w:rFonts w:eastAsia="Times New Roman" w:cs="Arial"/>
          <w:color w:val="000000"/>
          <w:lang w:val="en-US"/>
        </w:rPr>
        <w:t>CR</w:t>
      </w:r>
      <w:r w:rsidRPr="00FD4C98">
        <w:rPr>
          <w:rFonts w:eastAsia="Times New Roman" w:cs="Arial"/>
          <w:color w:val="000000"/>
        </w:rPr>
        <w:t>=</w:t>
      </w:r>
      <w:r w:rsidRPr="00AC443D">
        <w:rPr>
          <w:rFonts w:eastAsia="Times New Roman" w:cs="Arial"/>
          <w:color w:val="000000"/>
          <w:lang w:eastAsia="bg-BG"/>
        </w:rPr>
        <w:t xml:space="preserve">пълен отговор; </w:t>
      </w:r>
      <w:r w:rsidRPr="00AC443D">
        <w:rPr>
          <w:rFonts w:eastAsia="Times New Roman" w:cs="Arial"/>
          <w:color w:val="000000"/>
          <w:lang w:val="en-US"/>
        </w:rPr>
        <w:t>n</w:t>
      </w:r>
      <w:r w:rsidRPr="00AC443D">
        <w:rPr>
          <w:rFonts w:eastAsia="Times New Roman" w:cs="Arial"/>
          <w:color w:val="000000"/>
          <w:lang w:eastAsia="bg-BG"/>
        </w:rPr>
        <w:t>С</w:t>
      </w:r>
      <w:r w:rsidRPr="00AC443D">
        <w:rPr>
          <w:rFonts w:eastAsia="Times New Roman" w:cs="Arial"/>
          <w:color w:val="000000"/>
          <w:lang w:val="en-US"/>
        </w:rPr>
        <w:t>R</w:t>
      </w:r>
      <w:r w:rsidRPr="00AC443D">
        <w:rPr>
          <w:rFonts w:eastAsia="Times New Roman" w:cs="Arial"/>
          <w:color w:val="000000"/>
          <w:lang w:eastAsia="bg-BG"/>
        </w:rPr>
        <w:t xml:space="preserve">=-близо до пълен отговор; </w:t>
      </w:r>
      <w:r w:rsidRPr="00AC443D">
        <w:rPr>
          <w:rFonts w:eastAsia="Times New Roman" w:cs="Arial"/>
          <w:color w:val="000000"/>
          <w:lang w:val="en-US"/>
        </w:rPr>
        <w:t>ITT</w:t>
      </w:r>
      <w:r w:rsidRPr="00FD4C98">
        <w:rPr>
          <w:rFonts w:eastAsia="Times New Roman" w:cs="Arial"/>
          <w:color w:val="000000"/>
        </w:rPr>
        <w:t>-</w:t>
      </w:r>
      <w:r w:rsidRPr="00AC443D">
        <w:rPr>
          <w:rFonts w:eastAsia="Times New Roman" w:cs="Arial"/>
          <w:color w:val="000000"/>
          <w:lang w:val="en-US"/>
        </w:rPr>
        <w:t>Intent</w:t>
      </w:r>
      <w:r w:rsidRPr="00FD4C98">
        <w:rPr>
          <w:rFonts w:eastAsia="Times New Roman" w:cs="Arial"/>
          <w:color w:val="000000"/>
        </w:rPr>
        <w:t xml:space="preserve"> </w:t>
      </w:r>
      <w:r w:rsidRPr="00AC443D">
        <w:rPr>
          <w:rFonts w:eastAsia="Times New Roman" w:cs="Arial"/>
          <w:color w:val="000000"/>
          <w:lang w:val="en-US"/>
        </w:rPr>
        <w:t>to</w:t>
      </w:r>
      <w:r w:rsidRPr="00FD4C98">
        <w:rPr>
          <w:rFonts w:eastAsia="Times New Roman" w:cs="Arial"/>
          <w:color w:val="000000"/>
        </w:rPr>
        <w:t xml:space="preserve"> </w:t>
      </w:r>
      <w:r w:rsidRPr="00AC443D">
        <w:rPr>
          <w:rFonts w:eastAsia="Times New Roman" w:cs="Arial"/>
          <w:color w:val="000000"/>
          <w:lang w:val="en-US"/>
        </w:rPr>
        <w:t>treat</w:t>
      </w:r>
      <w:r w:rsidRPr="00FD4C98">
        <w:rPr>
          <w:rFonts w:eastAsia="Times New Roman" w:cs="Arial"/>
          <w:color w:val="000000"/>
        </w:rPr>
        <w:t xml:space="preserve">; </w:t>
      </w:r>
      <w:r w:rsidRPr="00AC443D">
        <w:rPr>
          <w:rFonts w:eastAsia="Times New Roman" w:cs="Arial"/>
          <w:color w:val="000000"/>
          <w:lang w:val="en-US"/>
        </w:rPr>
        <w:t>RR</w:t>
      </w:r>
      <w:r w:rsidRPr="00AC443D">
        <w:rPr>
          <w:rFonts w:eastAsia="Times New Roman" w:cs="Arial"/>
          <w:color w:val="000000"/>
          <w:lang w:eastAsia="bg-BG"/>
        </w:rPr>
        <w:t xml:space="preserve">-честота </w:t>
      </w:r>
      <w:proofErr w:type="gramStart"/>
      <w:r w:rsidRPr="00AC443D">
        <w:rPr>
          <w:rFonts w:eastAsia="Times New Roman" w:cs="Arial"/>
          <w:color w:val="000000"/>
          <w:lang w:eastAsia="bg-BG"/>
        </w:rPr>
        <w:t>на .</w:t>
      </w:r>
      <w:proofErr w:type="gramEnd"/>
      <w:r w:rsidRPr="00AC443D">
        <w:rPr>
          <w:rFonts w:eastAsia="Times New Roman" w:cs="Arial"/>
          <w:color w:val="000000"/>
          <w:lang w:eastAsia="bg-BG"/>
        </w:rPr>
        <w:t xml:space="preserve"> отговора; </w:t>
      </w:r>
      <w:proofErr w:type="spellStart"/>
      <w:r w:rsidRPr="00AC443D">
        <w:rPr>
          <w:rFonts w:eastAsia="Times New Roman" w:cs="Arial"/>
          <w:color w:val="000000"/>
          <w:lang w:eastAsia="bg-BG"/>
        </w:rPr>
        <w:t>Вг</w:t>
      </w:r>
      <w:proofErr w:type="spellEnd"/>
      <w:r w:rsidRPr="00AC443D">
        <w:rPr>
          <w:rFonts w:eastAsia="Times New Roman" w:cs="Arial"/>
          <w:color w:val="000000"/>
          <w:lang w:eastAsia="bg-BG"/>
        </w:rPr>
        <w:t xml:space="preserve">=6ортезомиб; </w:t>
      </w:r>
      <w:proofErr w:type="spellStart"/>
      <w:r w:rsidRPr="00AC443D">
        <w:rPr>
          <w:rFonts w:eastAsia="Times New Roman" w:cs="Arial"/>
          <w:color w:val="000000"/>
          <w:lang w:eastAsia="bg-BG"/>
        </w:rPr>
        <w:t>Вг</w:t>
      </w:r>
      <w:proofErr w:type="spellEnd"/>
      <w:r w:rsidRPr="00AC443D">
        <w:rPr>
          <w:rFonts w:eastAsia="Times New Roman" w:cs="Arial"/>
          <w:color w:val="000000"/>
          <w:lang w:val="en-US"/>
        </w:rPr>
        <w:t>D</w:t>
      </w:r>
      <w:r w:rsidRPr="00AC443D">
        <w:rPr>
          <w:rFonts w:eastAsia="Times New Roman" w:cs="Arial"/>
          <w:color w:val="000000"/>
          <w:lang w:eastAsia="bg-BG"/>
        </w:rPr>
        <w:t>х=</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w:t>
      </w:r>
      <w:proofErr w:type="spellStart"/>
      <w:r w:rsidRPr="00AC443D">
        <w:rPr>
          <w:rFonts w:eastAsia="Times New Roman" w:cs="Arial"/>
          <w:smallCaps/>
          <w:color w:val="000000"/>
          <w:lang w:val="en-US"/>
        </w:rPr>
        <w:t>VDDx</w:t>
      </w:r>
      <w:proofErr w:type="spellEnd"/>
      <w:r w:rsidRPr="00FD4C98">
        <w:rPr>
          <w:rFonts w:eastAsia="Times New Roman" w:cs="Arial"/>
          <w:smallCaps/>
          <w:color w:val="000000"/>
        </w:rPr>
        <w:t>=</w:t>
      </w:r>
      <w:proofErr w:type="spellStart"/>
      <w:r w:rsidRPr="00AC443D">
        <w:rPr>
          <w:rFonts w:eastAsia="Times New Roman" w:cs="Arial"/>
          <w:smallCaps/>
          <w:color w:val="000000"/>
          <w:lang w:eastAsia="bg-BG"/>
        </w:rPr>
        <w:t>вин</w:t>
      </w:r>
      <w:r w:rsidRPr="00AC443D">
        <w:rPr>
          <w:rFonts w:eastAsia="Times New Roman" w:cs="Arial"/>
          <w:color w:val="000000"/>
          <w:lang w:eastAsia="bg-BG"/>
        </w:rPr>
        <w:t>кристин</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доксорубицин</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w:t>
      </w:r>
      <w:r w:rsidRPr="00AC443D">
        <w:rPr>
          <w:rFonts w:eastAsia="Times New Roman" w:cs="Arial"/>
          <w:color w:val="000000"/>
          <w:lang w:val="en-US"/>
        </w:rPr>
        <w:t>VGPR</w:t>
      </w:r>
      <w:r w:rsidRPr="00FD4C98">
        <w:rPr>
          <w:rFonts w:eastAsia="Times New Roman" w:cs="Arial"/>
          <w:color w:val="000000"/>
        </w:rPr>
        <w:t>=</w:t>
      </w:r>
      <w:r w:rsidRPr="00AC443D">
        <w:rPr>
          <w:rFonts w:eastAsia="Times New Roman" w:cs="Arial"/>
          <w:color w:val="000000"/>
          <w:lang w:eastAsia="bg-BG"/>
        </w:rPr>
        <w:t>много добър частичен отговор; Р</w:t>
      </w:r>
      <w:r w:rsidRPr="00AC443D">
        <w:rPr>
          <w:rFonts w:eastAsia="Times New Roman" w:cs="Arial"/>
          <w:color w:val="000000"/>
          <w:lang w:val="en-US"/>
        </w:rPr>
        <w:t>R</w:t>
      </w:r>
      <w:r w:rsidRPr="00AC443D">
        <w:rPr>
          <w:rFonts w:eastAsia="Times New Roman" w:cs="Arial"/>
          <w:color w:val="000000"/>
          <w:lang w:eastAsia="bg-BG"/>
        </w:rPr>
        <w:t xml:space="preserve">=частичен отговор; </w:t>
      </w:r>
      <w:r w:rsidRPr="00AC443D">
        <w:rPr>
          <w:rFonts w:eastAsia="Times New Roman" w:cs="Arial"/>
          <w:color w:val="000000"/>
          <w:lang w:val="en-US"/>
        </w:rPr>
        <w:t>OR</w:t>
      </w:r>
      <w:r w:rsidRPr="00FD4C98">
        <w:rPr>
          <w:rFonts w:eastAsia="Times New Roman" w:cs="Arial"/>
          <w:color w:val="000000"/>
        </w:rPr>
        <w:t>=</w:t>
      </w:r>
      <w:r w:rsidRPr="00AC443D">
        <w:rPr>
          <w:rFonts w:eastAsia="Times New Roman" w:cs="Arial"/>
          <w:color w:val="000000"/>
          <w:lang w:eastAsia="bg-BG"/>
        </w:rPr>
        <w:t>съотношение на шансовете;</w:t>
      </w:r>
    </w:p>
    <w:p w14:paraId="3A040167"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Първична крайна точка</w:t>
      </w:r>
    </w:p>
    <w:p w14:paraId="46B690FA"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vertAlign w:val="superscript"/>
          <w:lang w:eastAsia="bg-BG"/>
        </w:rPr>
        <w:t>0</w:t>
      </w:r>
      <w:r w:rsidRPr="00AC443D">
        <w:rPr>
          <w:rFonts w:eastAsia="Times New Roman" w:cs="Arial"/>
          <w:color w:val="000000"/>
          <w:lang w:eastAsia="bg-BG"/>
        </w:rPr>
        <w:t xml:space="preserve"> Съотношение на шансовете за честоти на отговора на базата на общото съотношение на шансовете изчислено по </w:t>
      </w:r>
      <w:r w:rsidRPr="00AC443D">
        <w:rPr>
          <w:rFonts w:eastAsia="Times New Roman" w:cs="Arial"/>
          <w:color w:val="000000"/>
          <w:lang w:val="en-US"/>
        </w:rPr>
        <w:t>Mantel</w:t>
      </w:r>
      <w:r w:rsidRPr="00FD4C98">
        <w:rPr>
          <w:rFonts w:eastAsia="Times New Roman" w:cs="Arial"/>
          <w:color w:val="000000"/>
          <w:lang w:val="ru-RU"/>
        </w:rPr>
        <w:t>-</w:t>
      </w:r>
      <w:r w:rsidRPr="00AC443D">
        <w:rPr>
          <w:rFonts w:eastAsia="Times New Roman" w:cs="Arial"/>
          <w:color w:val="000000"/>
          <w:lang w:val="en-US"/>
        </w:rPr>
        <w:t>Haenszel</w:t>
      </w:r>
      <w:r w:rsidRPr="00FD4C98">
        <w:rPr>
          <w:rFonts w:eastAsia="Times New Roman" w:cs="Arial"/>
          <w:color w:val="000000"/>
          <w:lang w:val="ru-RU"/>
        </w:rPr>
        <w:t xml:space="preserve"> </w:t>
      </w:r>
      <w:r w:rsidRPr="00AC443D">
        <w:rPr>
          <w:rFonts w:eastAsia="Times New Roman" w:cs="Arial"/>
          <w:color w:val="000000"/>
          <w:lang w:eastAsia="bg-BG"/>
        </w:rPr>
        <w:t xml:space="preserve">за стратифицирани таблици; р-стойности по теста на </w:t>
      </w:r>
      <w:r w:rsidRPr="00AC443D">
        <w:rPr>
          <w:rFonts w:eastAsia="Times New Roman" w:cs="Arial"/>
          <w:color w:val="000000"/>
          <w:lang w:val="en-US"/>
        </w:rPr>
        <w:t>Cochran</w:t>
      </w:r>
      <w:r w:rsidRPr="00FD4C98">
        <w:rPr>
          <w:rFonts w:eastAsia="Times New Roman" w:cs="Arial"/>
          <w:color w:val="000000"/>
          <w:lang w:val="ru-RU"/>
        </w:rPr>
        <w:t xml:space="preserve"> </w:t>
      </w:r>
      <w:r w:rsidRPr="00AC443D">
        <w:rPr>
          <w:rFonts w:eastAsia="Times New Roman" w:cs="Arial"/>
          <w:color w:val="000000"/>
          <w:lang w:val="en-US"/>
        </w:rPr>
        <w:t>Mantel</w:t>
      </w:r>
      <w:r w:rsidRPr="00FD4C98">
        <w:rPr>
          <w:rFonts w:eastAsia="Times New Roman" w:cs="Arial"/>
          <w:color w:val="000000"/>
          <w:lang w:val="ru-RU"/>
        </w:rPr>
        <w:t xml:space="preserve">- </w:t>
      </w:r>
      <w:r w:rsidRPr="00AC443D">
        <w:rPr>
          <w:rFonts w:eastAsia="Times New Roman" w:cs="Arial"/>
          <w:i/>
          <w:iCs/>
          <w:color w:val="000000"/>
          <w:lang w:val="en-US"/>
        </w:rPr>
        <w:t>Haenszel</w:t>
      </w:r>
      <w:r w:rsidRPr="00FD4C98">
        <w:rPr>
          <w:rFonts w:eastAsia="Times New Roman" w:cs="Arial"/>
          <w:i/>
          <w:iCs/>
          <w:color w:val="000000"/>
          <w:lang w:val="ru-RU"/>
        </w:rPr>
        <w:t>.</w:t>
      </w:r>
    </w:p>
    <w:p w14:paraId="64E4A860"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vertAlign w:val="superscript"/>
          <w:lang w:eastAsia="bg-BG"/>
        </w:rPr>
        <w:t>ь</w:t>
      </w:r>
      <w:r w:rsidRPr="00AC443D">
        <w:rPr>
          <w:rFonts w:eastAsia="Times New Roman" w:cs="Arial"/>
          <w:color w:val="000000"/>
          <w:lang w:eastAsia="bg-BG"/>
        </w:rPr>
        <w:t xml:space="preserve"> Отнася се за честота на отговор след втора трансплантация при пациенти, получили втора трансплантация (42/240 [18%] в групата на </w:t>
      </w:r>
      <w:proofErr w:type="spellStart"/>
      <w:r w:rsidRPr="00AC443D">
        <w:rPr>
          <w:rFonts w:eastAsia="Times New Roman" w:cs="Arial"/>
          <w:color w:val="000000"/>
          <w:lang w:val="en-US"/>
        </w:rPr>
        <w:t>VcDx</w:t>
      </w:r>
      <w:proofErr w:type="spellEnd"/>
      <w:r w:rsidRPr="00FD4C98">
        <w:rPr>
          <w:rFonts w:eastAsia="Times New Roman" w:cs="Arial"/>
          <w:color w:val="000000"/>
          <w:lang w:val="ru-RU"/>
        </w:rPr>
        <w:t xml:space="preserve"> </w:t>
      </w:r>
      <w:r w:rsidRPr="00AC443D">
        <w:rPr>
          <w:rFonts w:eastAsia="Times New Roman" w:cs="Arial"/>
          <w:color w:val="000000"/>
          <w:lang w:eastAsia="bg-BG"/>
        </w:rPr>
        <w:t>и 52/242 [21 %] в групата</w:t>
      </w:r>
      <w:r w:rsidRPr="00FD4C98">
        <w:rPr>
          <w:rFonts w:eastAsia="Times New Roman" w:cs="Arial"/>
          <w:color w:val="000000"/>
          <w:lang w:val="ru-RU"/>
        </w:rPr>
        <w:t xml:space="preserve"> </w:t>
      </w:r>
      <w:r w:rsidRPr="00AC443D">
        <w:rPr>
          <w:rFonts w:eastAsia="Times New Roman" w:cs="Arial"/>
          <w:color w:val="000000"/>
          <w:lang w:eastAsia="bg-BG"/>
        </w:rPr>
        <w:t xml:space="preserve">на </w:t>
      </w:r>
      <w:proofErr w:type="spellStart"/>
      <w:r w:rsidRPr="00AC443D">
        <w:rPr>
          <w:rFonts w:eastAsia="Times New Roman" w:cs="Arial"/>
          <w:color w:val="000000"/>
          <w:lang w:val="en-US"/>
        </w:rPr>
        <w:t>VDDx</w:t>
      </w:r>
      <w:proofErr w:type="spellEnd"/>
      <w:r w:rsidRPr="00FD4C98">
        <w:rPr>
          <w:rFonts w:eastAsia="Times New Roman" w:cs="Arial"/>
          <w:color w:val="000000"/>
          <w:lang w:val="ru-RU"/>
        </w:rPr>
        <w:t>).</w:t>
      </w:r>
    </w:p>
    <w:p w14:paraId="331C57BF"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Бележка: Съотношение на шансовете &gt;1 сочи предимство за индукционната терапия, съдържаща </w:t>
      </w:r>
      <w:proofErr w:type="spellStart"/>
      <w:r w:rsidRPr="00AC443D">
        <w:rPr>
          <w:rFonts w:eastAsia="Times New Roman" w:cs="Arial"/>
          <w:color w:val="000000"/>
          <w:lang w:eastAsia="bg-BG"/>
        </w:rPr>
        <w:t>винкристин</w:t>
      </w:r>
      <w:proofErr w:type="spellEnd"/>
      <w:r w:rsidRPr="00AC443D">
        <w:rPr>
          <w:rFonts w:eastAsia="Times New Roman" w:cs="Arial"/>
          <w:color w:val="000000"/>
          <w:lang w:eastAsia="bg-BG"/>
        </w:rPr>
        <w:t>.</w:t>
      </w:r>
    </w:p>
    <w:p w14:paraId="67F61EAD" w14:textId="77777777" w:rsidR="00AC443D" w:rsidRPr="00AC443D" w:rsidRDefault="00AC443D" w:rsidP="00AC443D">
      <w:pPr>
        <w:rPr>
          <w:rFonts w:eastAsia="Times New Roman" w:cs="Arial"/>
          <w:color w:val="000000"/>
          <w:lang w:eastAsia="bg-BG"/>
        </w:rPr>
      </w:pPr>
    </w:p>
    <w:p w14:paraId="22F7CC44" w14:textId="77777777" w:rsidR="00AC443D" w:rsidRPr="00AC443D" w:rsidRDefault="00AC443D" w:rsidP="00AC443D">
      <w:pPr>
        <w:rPr>
          <w:rFonts w:eastAsia="Times New Roman" w:cs="Arial"/>
          <w:lang w:eastAsia="bg-BG"/>
        </w:rPr>
      </w:pPr>
      <w:r w:rsidRPr="00AC443D">
        <w:rPr>
          <w:rFonts w:eastAsia="Times New Roman" w:cs="Arial"/>
          <w:color w:val="000000"/>
          <w:lang w:eastAsia="bg-BG"/>
        </w:rPr>
        <w:t xml:space="preserve">В проучване </w:t>
      </w:r>
      <w:r w:rsidRPr="00AC443D">
        <w:rPr>
          <w:rFonts w:eastAsia="Times New Roman" w:cs="Arial"/>
          <w:color w:val="000000"/>
          <w:lang w:val="en-US"/>
        </w:rPr>
        <w:t>MMY</w:t>
      </w:r>
      <w:r w:rsidRPr="00FD4C98">
        <w:rPr>
          <w:rFonts w:eastAsia="Times New Roman" w:cs="Arial"/>
          <w:color w:val="000000"/>
          <w:lang w:val="ru-RU"/>
        </w:rPr>
        <w:t xml:space="preserve">-3010 </w:t>
      </w:r>
      <w:r w:rsidRPr="00AC443D">
        <w:rPr>
          <w:rFonts w:eastAsia="Times New Roman" w:cs="Arial"/>
          <w:color w:val="000000"/>
          <w:lang w:eastAsia="bg-BG"/>
        </w:rPr>
        <w:t xml:space="preserve">индукционното лечение е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в комбинация с </w:t>
      </w:r>
      <w:proofErr w:type="spellStart"/>
      <w:r w:rsidRPr="00AC443D">
        <w:rPr>
          <w:rFonts w:eastAsia="Times New Roman" w:cs="Arial"/>
          <w:color w:val="000000"/>
          <w:lang w:eastAsia="bg-BG"/>
        </w:rPr>
        <w:t>талидомид</w:t>
      </w:r>
      <w:proofErr w:type="spellEnd"/>
      <w:r w:rsidRPr="00AC443D">
        <w:rPr>
          <w:rFonts w:eastAsia="Times New Roman" w:cs="Arial"/>
          <w:color w:val="000000"/>
          <w:lang w:eastAsia="bg-BG"/>
        </w:rPr>
        <w:t xml:space="preserve"> и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w:t>
      </w:r>
      <w:r w:rsidRPr="00FD4C98">
        <w:rPr>
          <w:rFonts w:eastAsia="Times New Roman" w:cs="Arial"/>
          <w:color w:val="000000"/>
          <w:lang w:val="ru-RU"/>
        </w:rPr>
        <w:t>[</w:t>
      </w:r>
      <w:proofErr w:type="spellStart"/>
      <w:r w:rsidRPr="00AC443D">
        <w:rPr>
          <w:rFonts w:eastAsia="Times New Roman" w:cs="Arial"/>
          <w:color w:val="000000"/>
          <w:lang w:val="en-US"/>
        </w:rPr>
        <w:t>VcTDx</w:t>
      </w:r>
      <w:proofErr w:type="spellEnd"/>
      <w:r w:rsidRPr="00FD4C98">
        <w:rPr>
          <w:rFonts w:eastAsia="Times New Roman" w:cs="Arial"/>
          <w:color w:val="000000"/>
          <w:lang w:val="ru-RU"/>
        </w:rPr>
        <w:t xml:space="preserve">, </w:t>
      </w:r>
      <w:r w:rsidRPr="00AC443D">
        <w:rPr>
          <w:rFonts w:eastAsia="Times New Roman" w:cs="Arial"/>
          <w:color w:val="000000"/>
          <w:lang w:val="en-US"/>
        </w:rPr>
        <w:t>n</w:t>
      </w:r>
      <w:r w:rsidRPr="00AC443D">
        <w:rPr>
          <w:rFonts w:eastAsia="Times New Roman" w:cs="Arial"/>
          <w:color w:val="000000"/>
          <w:lang w:eastAsia="bg-BG"/>
        </w:rPr>
        <w:t xml:space="preserve">=130] е сравнено с </w:t>
      </w:r>
      <w:proofErr w:type="spellStart"/>
      <w:r w:rsidRPr="00AC443D">
        <w:rPr>
          <w:rFonts w:eastAsia="Times New Roman" w:cs="Arial"/>
          <w:color w:val="000000"/>
          <w:lang w:eastAsia="bg-BG"/>
        </w:rPr>
        <w:t>талидомид-дексаметазон</w:t>
      </w:r>
      <w:proofErr w:type="spellEnd"/>
      <w:r w:rsidRPr="00AC443D">
        <w:rPr>
          <w:rFonts w:eastAsia="Times New Roman" w:cs="Arial"/>
          <w:color w:val="000000"/>
          <w:lang w:eastAsia="bg-BG"/>
        </w:rPr>
        <w:t xml:space="preserve"> </w:t>
      </w:r>
      <w:r w:rsidRPr="00FD4C98">
        <w:rPr>
          <w:rFonts w:eastAsia="Times New Roman" w:cs="Arial"/>
          <w:color w:val="000000"/>
          <w:lang w:val="ru-RU"/>
        </w:rPr>
        <w:t>[</w:t>
      </w:r>
      <w:proofErr w:type="spellStart"/>
      <w:r w:rsidRPr="00AC443D">
        <w:rPr>
          <w:rFonts w:eastAsia="Times New Roman" w:cs="Arial"/>
          <w:color w:val="000000"/>
          <w:lang w:val="en-US"/>
        </w:rPr>
        <w:t>TDx</w:t>
      </w:r>
      <w:proofErr w:type="spellEnd"/>
      <w:r w:rsidRPr="00FD4C98">
        <w:rPr>
          <w:rFonts w:eastAsia="Times New Roman" w:cs="Arial"/>
          <w:color w:val="000000"/>
          <w:lang w:val="ru-RU"/>
        </w:rPr>
        <w:t xml:space="preserve">, </w:t>
      </w:r>
      <w:r w:rsidRPr="00AC443D">
        <w:rPr>
          <w:rFonts w:eastAsia="Times New Roman" w:cs="Arial"/>
          <w:color w:val="000000"/>
          <w:lang w:val="en-US"/>
        </w:rPr>
        <w:t>n</w:t>
      </w:r>
      <w:r w:rsidRPr="00AC443D">
        <w:rPr>
          <w:rFonts w:eastAsia="Times New Roman" w:cs="Arial"/>
          <w:color w:val="000000"/>
          <w:lang w:eastAsia="bg-BG"/>
        </w:rPr>
        <w:t xml:space="preserve">=127]. Пациентите в групата на </w:t>
      </w:r>
      <w:proofErr w:type="spellStart"/>
      <w:r w:rsidRPr="00AC443D">
        <w:rPr>
          <w:rFonts w:eastAsia="Times New Roman" w:cs="Arial"/>
          <w:color w:val="000000"/>
          <w:lang w:val="en-US"/>
        </w:rPr>
        <w:t>VcTDx</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са преминали шест 4-седмични цикъла, всеки от които включва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(1,3 </w:t>
      </w:r>
      <w:r w:rsidRPr="00AC443D">
        <w:rPr>
          <w:rFonts w:eastAsia="Times New Roman" w:cs="Arial"/>
          <w:color w:val="000000"/>
          <w:lang w:val="en-US"/>
        </w:rPr>
        <w:t>mg</w:t>
      </w:r>
      <w:r w:rsidRPr="00FD4C98">
        <w:rPr>
          <w:rFonts w:eastAsia="Times New Roman" w:cs="Arial"/>
          <w:color w:val="000000"/>
          <w:lang w:val="ru-RU"/>
        </w:rPr>
        <w:t>/</w:t>
      </w:r>
      <w:r w:rsidRPr="00AC443D">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AC443D">
        <w:rPr>
          <w:rFonts w:eastAsia="Times New Roman" w:cs="Arial"/>
          <w:color w:val="000000"/>
          <w:lang w:eastAsia="bg-BG"/>
        </w:rPr>
        <w:t xml:space="preserve">приложен два пъти седмично на ден 1, 4, 8 и 11, последван 17-дневен период на почивка от ден 12 до ден 28),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(40 </w:t>
      </w:r>
      <w:r w:rsidRPr="00AC443D">
        <w:rPr>
          <w:rFonts w:eastAsia="Times New Roman" w:cs="Arial"/>
          <w:color w:val="000000"/>
          <w:lang w:val="en-US"/>
        </w:rPr>
        <w:t>mg</w:t>
      </w:r>
      <w:r w:rsidRPr="00FD4C98">
        <w:rPr>
          <w:rFonts w:eastAsia="Times New Roman" w:cs="Arial"/>
          <w:color w:val="000000"/>
          <w:lang w:val="ru-RU"/>
        </w:rPr>
        <w:t xml:space="preserve"> </w:t>
      </w:r>
      <w:r w:rsidRPr="00AC443D">
        <w:rPr>
          <w:rFonts w:eastAsia="Times New Roman" w:cs="Arial"/>
          <w:color w:val="000000"/>
          <w:lang w:eastAsia="bg-BG"/>
        </w:rPr>
        <w:t xml:space="preserve">приложен перорално в дните от 1 до 4 и в дните от 8 до 11) и </w:t>
      </w:r>
      <w:proofErr w:type="spellStart"/>
      <w:r w:rsidRPr="00AC443D">
        <w:rPr>
          <w:rFonts w:eastAsia="Times New Roman" w:cs="Arial"/>
          <w:color w:val="000000"/>
          <w:lang w:eastAsia="bg-BG"/>
        </w:rPr>
        <w:t>талидомид</w:t>
      </w:r>
      <w:proofErr w:type="spellEnd"/>
      <w:r w:rsidRPr="00AC443D">
        <w:rPr>
          <w:rFonts w:eastAsia="Times New Roman" w:cs="Arial"/>
          <w:color w:val="000000"/>
          <w:lang w:eastAsia="bg-BG"/>
        </w:rPr>
        <w:t xml:space="preserve"> (приложен перорално в доза от 50 </w:t>
      </w:r>
      <w:r w:rsidRPr="00AC443D">
        <w:rPr>
          <w:rFonts w:eastAsia="Times New Roman" w:cs="Arial"/>
          <w:color w:val="000000"/>
          <w:lang w:val="en-US"/>
        </w:rPr>
        <w:t>mg</w:t>
      </w:r>
      <w:r w:rsidRPr="00FD4C98">
        <w:rPr>
          <w:rFonts w:eastAsia="Times New Roman" w:cs="Arial"/>
          <w:color w:val="000000"/>
          <w:lang w:val="ru-RU"/>
        </w:rPr>
        <w:t xml:space="preserve"> </w:t>
      </w:r>
      <w:r w:rsidRPr="00AC443D">
        <w:rPr>
          <w:rFonts w:eastAsia="Times New Roman" w:cs="Arial"/>
          <w:color w:val="000000"/>
          <w:lang w:eastAsia="bg-BG"/>
        </w:rPr>
        <w:t>дневно в дните 1-14,</w:t>
      </w:r>
      <w:r w:rsidRPr="00AC443D">
        <w:rPr>
          <w:rFonts w:eastAsia="Times New Roman" w:cs="Arial"/>
          <w:i/>
          <w:iCs/>
          <w:color w:val="000000"/>
          <w:lang w:eastAsia="bg-BG"/>
        </w:rPr>
        <w:t xml:space="preserve"> </w:t>
      </w:r>
      <w:r w:rsidRPr="00AC443D">
        <w:rPr>
          <w:rFonts w:eastAsia="Times New Roman" w:cs="Arial"/>
          <w:color w:val="000000"/>
          <w:lang w:eastAsia="bg-BG"/>
        </w:rPr>
        <w:t xml:space="preserve">увеличена на 100 </w:t>
      </w:r>
      <w:r w:rsidRPr="00AC443D">
        <w:rPr>
          <w:rFonts w:eastAsia="Times New Roman" w:cs="Arial"/>
          <w:color w:val="000000"/>
          <w:lang w:val="en-US"/>
        </w:rPr>
        <w:t>mg</w:t>
      </w:r>
      <w:r w:rsidRPr="00FD4C98">
        <w:rPr>
          <w:rFonts w:eastAsia="Times New Roman" w:cs="Arial"/>
          <w:color w:val="000000"/>
          <w:lang w:val="ru-RU"/>
        </w:rPr>
        <w:t xml:space="preserve"> </w:t>
      </w:r>
      <w:r w:rsidRPr="00AC443D">
        <w:rPr>
          <w:rFonts w:eastAsia="Times New Roman" w:cs="Arial"/>
          <w:color w:val="000000"/>
          <w:lang w:eastAsia="bg-BG"/>
        </w:rPr>
        <w:t xml:space="preserve">в дните от 15-28, след което на 200 </w:t>
      </w:r>
      <w:r w:rsidRPr="00AC443D">
        <w:rPr>
          <w:rFonts w:eastAsia="Times New Roman" w:cs="Arial"/>
          <w:color w:val="000000"/>
          <w:lang w:val="en-US"/>
        </w:rPr>
        <w:t>mg</w:t>
      </w:r>
      <w:r w:rsidRPr="00AC443D">
        <w:rPr>
          <w:rFonts w:eastAsia="Times New Roman" w:cs="Arial"/>
          <w:color w:val="000000"/>
          <w:lang w:eastAsia="bg-BG"/>
        </w:rPr>
        <w:t xml:space="preserve"> дневно. Една </w:t>
      </w:r>
      <w:proofErr w:type="spellStart"/>
      <w:r w:rsidRPr="00AC443D">
        <w:rPr>
          <w:rFonts w:eastAsia="Times New Roman" w:cs="Arial"/>
          <w:color w:val="000000"/>
          <w:lang w:eastAsia="bg-BG"/>
        </w:rPr>
        <w:t>автоложна</w:t>
      </w:r>
      <w:proofErr w:type="spellEnd"/>
      <w:r w:rsidRPr="00AC443D">
        <w:rPr>
          <w:rFonts w:eastAsia="Times New Roman" w:cs="Arial"/>
          <w:color w:val="000000"/>
          <w:lang w:eastAsia="bg-BG"/>
        </w:rPr>
        <w:t xml:space="preserve"> трансплантация на стволови клетки е направена на 105 (81%) и 78 (61%) от пациентите съответно в групите на </w:t>
      </w:r>
      <w:proofErr w:type="spellStart"/>
      <w:r w:rsidRPr="00AC443D">
        <w:rPr>
          <w:rFonts w:eastAsia="Times New Roman" w:cs="Arial"/>
          <w:color w:val="000000"/>
          <w:lang w:val="en-US"/>
        </w:rPr>
        <w:t>VcTDx</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и </w:t>
      </w:r>
      <w:proofErr w:type="spellStart"/>
      <w:r w:rsidRPr="00AC443D">
        <w:rPr>
          <w:rFonts w:eastAsia="Times New Roman" w:cs="Arial"/>
          <w:color w:val="000000"/>
          <w:lang w:val="en-US"/>
        </w:rPr>
        <w:t>TDx</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Демографските характеристики на пациентите и изходните характеристики на заболяването са сходни в двете терапевтични групи. Медианата на възрастта на пациентите в групите на </w:t>
      </w:r>
      <w:proofErr w:type="spellStart"/>
      <w:r w:rsidRPr="00AC443D">
        <w:rPr>
          <w:rFonts w:eastAsia="Times New Roman" w:cs="Arial"/>
          <w:color w:val="000000"/>
          <w:lang w:val="en-US"/>
        </w:rPr>
        <w:t>VcTDx</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и </w:t>
      </w:r>
      <w:proofErr w:type="spellStart"/>
      <w:r w:rsidRPr="00AC443D">
        <w:rPr>
          <w:rFonts w:eastAsia="Times New Roman" w:cs="Arial"/>
          <w:color w:val="000000"/>
          <w:lang w:val="en-US"/>
        </w:rPr>
        <w:t>TDx</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е съответно 57 спрямо 56 години, 99% спрямо 98% са от бели и 58% спрямо 54% са мъже. В групата на </w:t>
      </w:r>
      <w:proofErr w:type="spellStart"/>
      <w:r w:rsidRPr="00AC443D">
        <w:rPr>
          <w:rFonts w:eastAsia="Times New Roman" w:cs="Arial"/>
          <w:color w:val="000000"/>
          <w:lang w:val="en-US"/>
        </w:rPr>
        <w:t>VcTDx</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12% от пациентите са </w:t>
      </w:r>
      <w:proofErr w:type="spellStart"/>
      <w:r w:rsidRPr="00AC443D">
        <w:rPr>
          <w:rFonts w:eastAsia="Times New Roman" w:cs="Arial"/>
          <w:color w:val="000000"/>
          <w:lang w:eastAsia="bg-BG"/>
        </w:rPr>
        <w:t>цитогенетично</w:t>
      </w:r>
      <w:proofErr w:type="spellEnd"/>
      <w:r w:rsidRPr="00AC443D">
        <w:rPr>
          <w:rFonts w:eastAsia="Times New Roman" w:cs="Arial"/>
          <w:color w:val="000000"/>
          <w:lang w:eastAsia="bg-BG"/>
        </w:rPr>
        <w:t xml:space="preserve"> класифицирани като високорискови спрямо 16% от пациентите в групата на </w:t>
      </w:r>
      <w:proofErr w:type="spellStart"/>
      <w:r w:rsidRPr="00AC443D">
        <w:rPr>
          <w:rFonts w:eastAsia="Times New Roman" w:cs="Arial"/>
          <w:color w:val="000000"/>
          <w:lang w:val="en-US"/>
        </w:rPr>
        <w:t>TDx</w:t>
      </w:r>
      <w:proofErr w:type="spellEnd"/>
      <w:r w:rsidRPr="00FD4C98">
        <w:rPr>
          <w:rFonts w:eastAsia="Times New Roman" w:cs="Arial"/>
          <w:color w:val="000000"/>
          <w:lang w:val="ru-RU"/>
        </w:rPr>
        <w:t xml:space="preserve">. </w:t>
      </w:r>
      <w:r w:rsidRPr="00AC443D">
        <w:rPr>
          <w:rFonts w:eastAsia="Times New Roman" w:cs="Arial"/>
          <w:color w:val="000000"/>
          <w:lang w:eastAsia="bg-BG"/>
        </w:rPr>
        <w:t>Медианата на продължителността на лечението е 24,0 седмици, а медианата на броя преминати цикли на лечение е 6,0 и те са сходни за всички терапевтични групи.</w:t>
      </w:r>
    </w:p>
    <w:p w14:paraId="28D6F26C" w14:textId="77777777" w:rsidR="00AC443D" w:rsidRPr="00AC443D" w:rsidRDefault="00AC443D" w:rsidP="00AC443D">
      <w:pPr>
        <w:spacing w:line="240" w:lineRule="auto"/>
        <w:rPr>
          <w:rFonts w:eastAsia="Times New Roman" w:cs="Arial"/>
          <w:color w:val="000000"/>
          <w:lang w:eastAsia="bg-BG"/>
        </w:rPr>
      </w:pPr>
    </w:p>
    <w:p w14:paraId="1764068D" w14:textId="1538385D"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Първичните крайни точки за ефикасност в проучването са степените на повлияване след индукция и след трансплантация </w:t>
      </w:r>
      <w:r w:rsidRPr="00FD4C98">
        <w:rPr>
          <w:rFonts w:eastAsia="Times New Roman" w:cs="Arial"/>
          <w:color w:val="000000"/>
          <w:lang w:val="ru-RU"/>
        </w:rPr>
        <w:t>(</w:t>
      </w:r>
      <w:r w:rsidRPr="00AC443D">
        <w:rPr>
          <w:rFonts w:eastAsia="Times New Roman" w:cs="Arial"/>
          <w:color w:val="000000"/>
          <w:lang w:val="en-US"/>
        </w:rPr>
        <w:t>CR</w:t>
      </w:r>
      <w:r w:rsidRPr="00FD4C98">
        <w:rPr>
          <w:rFonts w:eastAsia="Times New Roman" w:cs="Arial"/>
          <w:color w:val="000000"/>
          <w:lang w:val="ru-RU"/>
        </w:rPr>
        <w:t>+</w:t>
      </w:r>
      <w:proofErr w:type="spellStart"/>
      <w:r w:rsidRPr="00AC443D">
        <w:rPr>
          <w:rFonts w:eastAsia="Times New Roman" w:cs="Arial"/>
          <w:color w:val="000000"/>
          <w:lang w:val="en-US"/>
        </w:rPr>
        <w:t>nCR</w:t>
      </w:r>
      <w:proofErr w:type="spellEnd"/>
      <w:r w:rsidRPr="00FD4C98">
        <w:rPr>
          <w:rFonts w:eastAsia="Times New Roman" w:cs="Arial"/>
          <w:color w:val="000000"/>
          <w:lang w:val="ru-RU"/>
        </w:rPr>
        <w:t xml:space="preserve">). </w:t>
      </w:r>
      <w:proofErr w:type="spellStart"/>
      <w:r w:rsidRPr="00AC443D">
        <w:rPr>
          <w:rFonts w:eastAsia="Times New Roman" w:cs="Arial"/>
          <w:color w:val="000000"/>
          <w:lang w:eastAsia="bg-BG"/>
        </w:rPr>
        <w:t>Статистиченски</w:t>
      </w:r>
      <w:proofErr w:type="spellEnd"/>
      <w:r w:rsidRPr="00AC443D">
        <w:rPr>
          <w:rFonts w:eastAsia="Times New Roman" w:cs="Arial"/>
          <w:color w:val="000000"/>
          <w:lang w:eastAsia="bg-BG"/>
        </w:rPr>
        <w:t xml:space="preserve"> значима разлика при </w:t>
      </w:r>
      <w:r w:rsidRPr="00AC443D">
        <w:rPr>
          <w:rFonts w:eastAsia="Times New Roman" w:cs="Arial"/>
          <w:color w:val="000000"/>
          <w:lang w:val="en-US"/>
        </w:rPr>
        <w:t>CR</w:t>
      </w:r>
      <w:r w:rsidRPr="00FD4C98">
        <w:rPr>
          <w:rFonts w:eastAsia="Times New Roman" w:cs="Arial"/>
          <w:color w:val="000000"/>
          <w:lang w:val="ru-RU"/>
        </w:rPr>
        <w:t>+</w:t>
      </w:r>
      <w:proofErr w:type="spellStart"/>
      <w:r w:rsidRPr="00AC443D">
        <w:rPr>
          <w:rFonts w:eastAsia="Times New Roman" w:cs="Arial"/>
          <w:color w:val="000000"/>
          <w:lang w:val="en-US"/>
        </w:rPr>
        <w:t>nCR</w:t>
      </w:r>
      <w:proofErr w:type="spellEnd"/>
      <w:r w:rsidRPr="00FD4C98">
        <w:rPr>
          <w:rFonts w:eastAsia="Times New Roman" w:cs="Arial"/>
          <w:color w:val="000000"/>
          <w:lang w:val="ru-RU"/>
        </w:rPr>
        <w:t xml:space="preserve"> </w:t>
      </w:r>
      <w:r w:rsidRPr="00AC443D">
        <w:rPr>
          <w:rFonts w:eastAsia="Times New Roman" w:cs="Arial"/>
          <w:color w:val="000000"/>
          <w:lang w:eastAsia="bg-BG"/>
        </w:rPr>
        <w:t xml:space="preserve">е наблюдавана в полза на групата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в комбинация с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и </w:t>
      </w:r>
      <w:proofErr w:type="spellStart"/>
      <w:r w:rsidRPr="00AC443D">
        <w:rPr>
          <w:rFonts w:eastAsia="Times New Roman" w:cs="Arial"/>
          <w:color w:val="000000"/>
          <w:lang w:eastAsia="bg-BG"/>
        </w:rPr>
        <w:t>талидомид</w:t>
      </w:r>
      <w:proofErr w:type="spellEnd"/>
      <w:r w:rsidRPr="00AC443D">
        <w:rPr>
          <w:rFonts w:eastAsia="Times New Roman" w:cs="Arial"/>
          <w:color w:val="000000"/>
          <w:lang w:eastAsia="bg-BG"/>
        </w:rPr>
        <w:t>. Вторичните крайни точки за ефикасност включват преживяемост без прогресия и обща преживяемост. Основните резултати за ефикасност са представени в таблица 10,</w:t>
      </w:r>
    </w:p>
    <w:p w14:paraId="5185CDE2" w14:textId="77777777" w:rsidR="00AC443D" w:rsidRPr="00AC443D" w:rsidRDefault="00AC443D" w:rsidP="00AC443D">
      <w:pPr>
        <w:rPr>
          <w:rFonts w:eastAsia="Times New Roman" w:cs="Arial"/>
          <w:i/>
          <w:iCs/>
          <w:color w:val="000000"/>
          <w:lang w:eastAsia="bg-BG"/>
        </w:rPr>
      </w:pPr>
    </w:p>
    <w:p w14:paraId="04EEE189" w14:textId="2D2DCFB3" w:rsidR="00AC443D" w:rsidRPr="00AC443D" w:rsidRDefault="00AC443D" w:rsidP="00AC443D">
      <w:pPr>
        <w:rPr>
          <w:rFonts w:cs="Arial"/>
        </w:rPr>
      </w:pPr>
      <w:r w:rsidRPr="00AC443D">
        <w:rPr>
          <w:rFonts w:eastAsia="Times New Roman" w:cs="Arial"/>
          <w:i/>
          <w:iCs/>
          <w:color w:val="000000"/>
          <w:lang w:eastAsia="bg-BG"/>
        </w:rPr>
        <w:t xml:space="preserve">Таблица 10: Резултати за ефикасност от проучване </w:t>
      </w:r>
      <w:r w:rsidRPr="00AC443D">
        <w:rPr>
          <w:rFonts w:eastAsia="Times New Roman" w:cs="Arial"/>
          <w:i/>
          <w:iCs/>
          <w:color w:val="000000"/>
          <w:lang w:val="en-US"/>
        </w:rPr>
        <w:t>MMY</w:t>
      </w:r>
      <w:r w:rsidRPr="00FD4C98">
        <w:rPr>
          <w:rFonts w:eastAsia="Times New Roman" w:cs="Arial"/>
          <w:i/>
          <w:iCs/>
          <w:color w:val="000000"/>
          <w:lang w:val="ru-RU"/>
        </w:rPr>
        <w:t>-3010</w:t>
      </w:r>
    </w:p>
    <w:p w14:paraId="3B82C676" w14:textId="4DB883FB" w:rsidR="00AC443D" w:rsidRPr="00AC443D" w:rsidRDefault="00AC443D" w:rsidP="0091385D">
      <w:pPr>
        <w:rPr>
          <w:rFonts w:cs="Arial"/>
        </w:rPr>
      </w:pPr>
    </w:p>
    <w:tbl>
      <w:tblPr>
        <w:tblStyle w:val="TableGrid"/>
        <w:tblW w:w="0" w:type="auto"/>
        <w:tblLook w:val="04A0" w:firstRow="1" w:lastRow="0" w:firstColumn="1" w:lastColumn="0" w:noHBand="0" w:noVBand="1"/>
      </w:tblPr>
      <w:tblGrid>
        <w:gridCol w:w="2337"/>
        <w:gridCol w:w="2337"/>
        <w:gridCol w:w="2338"/>
        <w:gridCol w:w="2338"/>
      </w:tblGrid>
      <w:tr w:rsidR="00AC443D" w:rsidRPr="00AC443D" w14:paraId="1C456D01" w14:textId="77777777" w:rsidTr="00AC443D">
        <w:tc>
          <w:tcPr>
            <w:tcW w:w="2337" w:type="dxa"/>
          </w:tcPr>
          <w:p w14:paraId="2BBEC73A" w14:textId="1E479DD7" w:rsidR="00AC443D" w:rsidRPr="00AC443D" w:rsidRDefault="00AC443D" w:rsidP="00AC443D">
            <w:pPr>
              <w:rPr>
                <w:rFonts w:cs="Arial"/>
              </w:rPr>
            </w:pPr>
            <w:r w:rsidRPr="00AC443D">
              <w:rPr>
                <w:rFonts w:cs="Arial"/>
                <w:b/>
                <w:bCs/>
                <w:lang w:eastAsia="bg-BG"/>
              </w:rPr>
              <w:t>Крайни точки</w:t>
            </w:r>
          </w:p>
        </w:tc>
        <w:tc>
          <w:tcPr>
            <w:tcW w:w="2337" w:type="dxa"/>
          </w:tcPr>
          <w:p w14:paraId="50EDB6D0" w14:textId="3C7EF688" w:rsidR="00AC443D" w:rsidRPr="00AC443D" w:rsidRDefault="00AC443D" w:rsidP="00AC443D">
            <w:pPr>
              <w:rPr>
                <w:rFonts w:cs="Arial"/>
              </w:rPr>
            </w:pPr>
            <w:proofErr w:type="spellStart"/>
            <w:r w:rsidRPr="00AC443D">
              <w:rPr>
                <w:rFonts w:cs="Arial"/>
                <w:b/>
                <w:bCs/>
              </w:rPr>
              <w:t>BrDx</w:t>
            </w:r>
            <w:proofErr w:type="spellEnd"/>
          </w:p>
        </w:tc>
        <w:tc>
          <w:tcPr>
            <w:tcW w:w="2338" w:type="dxa"/>
          </w:tcPr>
          <w:p w14:paraId="4A8B32FC" w14:textId="6DC48670" w:rsidR="00AC443D" w:rsidRPr="00AC443D" w:rsidRDefault="00AC443D" w:rsidP="00AC443D">
            <w:pPr>
              <w:rPr>
                <w:rFonts w:cs="Arial"/>
              </w:rPr>
            </w:pPr>
            <w:proofErr w:type="spellStart"/>
            <w:r w:rsidRPr="00AC443D">
              <w:rPr>
                <w:rFonts w:cs="Arial"/>
                <w:b/>
                <w:bCs/>
              </w:rPr>
              <w:t>VDDx</w:t>
            </w:r>
            <w:proofErr w:type="spellEnd"/>
          </w:p>
        </w:tc>
        <w:tc>
          <w:tcPr>
            <w:tcW w:w="2338" w:type="dxa"/>
          </w:tcPr>
          <w:p w14:paraId="592FDD30" w14:textId="27665805" w:rsidR="00AC443D" w:rsidRPr="00AC443D" w:rsidRDefault="00AC443D" w:rsidP="00AC443D">
            <w:pPr>
              <w:rPr>
                <w:rFonts w:cs="Arial"/>
              </w:rPr>
            </w:pPr>
            <w:r w:rsidRPr="00AC443D">
              <w:rPr>
                <w:rFonts w:cs="Arial"/>
                <w:b/>
                <w:bCs/>
              </w:rPr>
              <w:t xml:space="preserve">OR; 95% CI; P </w:t>
            </w:r>
            <w:r w:rsidRPr="00AC443D">
              <w:rPr>
                <w:rFonts w:cs="Arial"/>
                <w:b/>
                <w:bCs/>
                <w:lang w:eastAsia="bg-BG"/>
              </w:rPr>
              <w:t>стойност*</w:t>
            </w:r>
          </w:p>
        </w:tc>
      </w:tr>
      <w:tr w:rsidR="00AC443D" w:rsidRPr="00AC443D" w14:paraId="16835DDD" w14:textId="77777777" w:rsidTr="00AC443D">
        <w:tc>
          <w:tcPr>
            <w:tcW w:w="2337" w:type="dxa"/>
          </w:tcPr>
          <w:p w14:paraId="2E738ECA" w14:textId="1C4B8FDC" w:rsidR="00AC443D" w:rsidRPr="00AC443D" w:rsidRDefault="00AC443D" w:rsidP="00AC443D">
            <w:pPr>
              <w:rPr>
                <w:rFonts w:cs="Arial"/>
              </w:rPr>
            </w:pPr>
            <w:r w:rsidRPr="00AC443D">
              <w:rPr>
                <w:rFonts w:cs="Arial"/>
              </w:rPr>
              <w:t>MMY-3010</w:t>
            </w:r>
          </w:p>
        </w:tc>
        <w:tc>
          <w:tcPr>
            <w:tcW w:w="2337" w:type="dxa"/>
          </w:tcPr>
          <w:p w14:paraId="2239A38A" w14:textId="19DAAECF" w:rsidR="00AC443D" w:rsidRPr="00AC443D" w:rsidRDefault="00AC443D" w:rsidP="00AC443D">
            <w:pPr>
              <w:rPr>
                <w:rFonts w:cs="Arial"/>
              </w:rPr>
            </w:pPr>
            <w:r w:rsidRPr="00AC443D">
              <w:rPr>
                <w:rFonts w:cs="Arial"/>
              </w:rPr>
              <w:t xml:space="preserve">N=130 (ITT </w:t>
            </w:r>
            <w:r w:rsidRPr="00AC443D">
              <w:rPr>
                <w:rFonts w:cs="Arial"/>
                <w:lang w:eastAsia="bg-BG"/>
              </w:rPr>
              <w:t>популация)</w:t>
            </w:r>
          </w:p>
        </w:tc>
        <w:tc>
          <w:tcPr>
            <w:tcW w:w="2338" w:type="dxa"/>
          </w:tcPr>
          <w:p w14:paraId="1843BBE7" w14:textId="75710467" w:rsidR="00AC443D" w:rsidRPr="00AC443D" w:rsidRDefault="00AC443D" w:rsidP="00AC443D">
            <w:pPr>
              <w:rPr>
                <w:rFonts w:cs="Arial"/>
              </w:rPr>
            </w:pPr>
            <w:r w:rsidRPr="00AC443D">
              <w:rPr>
                <w:rFonts w:cs="Arial"/>
              </w:rPr>
              <w:t xml:space="preserve">N-127 (ITT </w:t>
            </w:r>
            <w:r w:rsidRPr="00AC443D">
              <w:rPr>
                <w:rFonts w:cs="Arial"/>
                <w:lang w:eastAsia="bg-BG"/>
              </w:rPr>
              <w:t>популация)</w:t>
            </w:r>
          </w:p>
        </w:tc>
        <w:tc>
          <w:tcPr>
            <w:tcW w:w="2338" w:type="dxa"/>
          </w:tcPr>
          <w:p w14:paraId="798C4D6E" w14:textId="77777777" w:rsidR="00AC443D" w:rsidRPr="00AC443D" w:rsidRDefault="00AC443D" w:rsidP="00AC443D">
            <w:pPr>
              <w:rPr>
                <w:rFonts w:cs="Arial"/>
              </w:rPr>
            </w:pPr>
          </w:p>
        </w:tc>
      </w:tr>
      <w:tr w:rsidR="00AC443D" w:rsidRPr="00AC443D" w14:paraId="176AFCFD" w14:textId="77777777" w:rsidTr="00AC443D">
        <w:tc>
          <w:tcPr>
            <w:tcW w:w="2337" w:type="dxa"/>
          </w:tcPr>
          <w:p w14:paraId="48B4A626" w14:textId="0BC2CF05" w:rsidR="00AC443D" w:rsidRPr="00AC443D" w:rsidRDefault="00AC443D" w:rsidP="00AC443D">
            <w:pPr>
              <w:rPr>
                <w:rFonts w:cs="Arial"/>
              </w:rPr>
            </w:pPr>
            <w:r w:rsidRPr="00AC443D">
              <w:rPr>
                <w:rFonts w:cs="Arial"/>
                <w:i/>
                <w:iCs/>
              </w:rPr>
              <w:t xml:space="preserve">RR </w:t>
            </w:r>
            <w:r w:rsidRPr="00AC443D">
              <w:rPr>
                <w:rFonts w:cs="Arial"/>
                <w:i/>
                <w:iCs/>
                <w:lang w:eastAsia="bg-BG"/>
              </w:rPr>
              <w:t xml:space="preserve">(след индукция) </w:t>
            </w:r>
            <w:r w:rsidRPr="00AC443D">
              <w:rPr>
                <w:rFonts w:cs="Arial"/>
                <w:lang w:eastAsia="bg-BG"/>
              </w:rPr>
              <w:t xml:space="preserve">* </w:t>
            </w:r>
            <w:proofErr w:type="spellStart"/>
            <w:r w:rsidRPr="00AC443D">
              <w:rPr>
                <w:rFonts w:cs="Arial"/>
              </w:rPr>
              <w:t>CR+nCR</w:t>
            </w:r>
            <w:proofErr w:type="spellEnd"/>
            <w:r w:rsidRPr="00AC443D">
              <w:rPr>
                <w:rFonts w:cs="Arial"/>
              </w:rPr>
              <w:t xml:space="preserve"> </w:t>
            </w:r>
            <w:proofErr w:type="spellStart"/>
            <w:r w:rsidRPr="00AC443D">
              <w:rPr>
                <w:rFonts w:cs="Arial"/>
              </w:rPr>
              <w:t>CR+nCR+VGPR+PR</w:t>
            </w:r>
            <w:proofErr w:type="spellEnd"/>
            <w:r w:rsidRPr="00AC443D">
              <w:rPr>
                <w:rFonts w:cs="Arial"/>
              </w:rPr>
              <w:t xml:space="preserve"> </w:t>
            </w:r>
            <w:r w:rsidRPr="00AC443D">
              <w:rPr>
                <w:rFonts w:cs="Arial"/>
                <w:lang w:eastAsia="bg-BG"/>
              </w:rPr>
              <w:t xml:space="preserve">% (95% </w:t>
            </w:r>
            <w:proofErr w:type="spellStart"/>
            <w:r w:rsidRPr="00AC443D">
              <w:rPr>
                <w:rFonts w:cs="Arial"/>
              </w:rPr>
              <w:t>Cl</w:t>
            </w:r>
            <w:proofErr w:type="spellEnd"/>
            <w:r w:rsidRPr="00AC443D">
              <w:rPr>
                <w:rFonts w:cs="Arial"/>
              </w:rPr>
              <w:t>)</w:t>
            </w:r>
          </w:p>
        </w:tc>
        <w:tc>
          <w:tcPr>
            <w:tcW w:w="2337" w:type="dxa"/>
          </w:tcPr>
          <w:p w14:paraId="4B8C9FFF" w14:textId="77777777" w:rsidR="00AC443D" w:rsidRPr="00AC443D" w:rsidRDefault="00AC443D" w:rsidP="00AC443D">
            <w:pPr>
              <w:rPr>
                <w:rFonts w:cs="Arial"/>
                <w:lang w:eastAsia="bg-BG"/>
              </w:rPr>
            </w:pPr>
            <w:r w:rsidRPr="00AC443D">
              <w:rPr>
                <w:rFonts w:cs="Arial"/>
              </w:rPr>
              <w:t>49,2 (40,4; 58,1)</w:t>
            </w:r>
          </w:p>
          <w:p w14:paraId="5556E8DA" w14:textId="6CE2E7C7" w:rsidR="00AC443D" w:rsidRPr="00AC443D" w:rsidRDefault="00AC443D" w:rsidP="00AC443D">
            <w:pPr>
              <w:rPr>
                <w:rFonts w:cs="Arial"/>
              </w:rPr>
            </w:pPr>
            <w:r w:rsidRPr="00AC443D">
              <w:rPr>
                <w:rFonts w:cs="Arial"/>
              </w:rPr>
              <w:t>84,6 (77,2; 90,3)</w:t>
            </w:r>
          </w:p>
        </w:tc>
        <w:tc>
          <w:tcPr>
            <w:tcW w:w="2338" w:type="dxa"/>
          </w:tcPr>
          <w:p w14:paraId="57E2BDF2" w14:textId="77777777" w:rsidR="00AC443D" w:rsidRPr="00AC443D" w:rsidRDefault="00AC443D" w:rsidP="00AC443D">
            <w:pPr>
              <w:rPr>
                <w:rFonts w:cs="Arial"/>
                <w:lang w:eastAsia="bg-BG"/>
              </w:rPr>
            </w:pPr>
            <w:r w:rsidRPr="00AC443D">
              <w:rPr>
                <w:rFonts w:cs="Arial"/>
              </w:rPr>
              <w:t>17,3(11,2; 25,0)</w:t>
            </w:r>
          </w:p>
          <w:p w14:paraId="022FE65D" w14:textId="309DC21C" w:rsidR="00AC443D" w:rsidRPr="00AC443D" w:rsidRDefault="00AC443D" w:rsidP="00AC443D">
            <w:pPr>
              <w:rPr>
                <w:rFonts w:cs="Arial"/>
              </w:rPr>
            </w:pPr>
            <w:r w:rsidRPr="00AC443D">
              <w:rPr>
                <w:rFonts w:cs="Arial"/>
              </w:rPr>
              <w:t>61,4 (52,4; 69,9)</w:t>
            </w:r>
          </w:p>
        </w:tc>
        <w:tc>
          <w:tcPr>
            <w:tcW w:w="2338" w:type="dxa"/>
          </w:tcPr>
          <w:p w14:paraId="2F2C73CE" w14:textId="77777777" w:rsidR="00AC443D" w:rsidRPr="00AC443D" w:rsidRDefault="00AC443D" w:rsidP="00AC443D">
            <w:pPr>
              <w:rPr>
                <w:rFonts w:cs="Arial"/>
                <w:lang w:eastAsia="bg-BG"/>
              </w:rPr>
            </w:pPr>
            <w:r w:rsidRPr="00AC443D">
              <w:rPr>
                <w:rFonts w:cs="Arial"/>
              </w:rPr>
              <w:t>4,63 (2,61; 8,22);</w:t>
            </w:r>
          </w:p>
          <w:p w14:paraId="57637230" w14:textId="77777777" w:rsidR="00AC443D" w:rsidRPr="00AC443D" w:rsidRDefault="00AC443D" w:rsidP="00AC443D">
            <w:pPr>
              <w:rPr>
                <w:rFonts w:cs="Arial"/>
                <w:lang w:eastAsia="bg-BG"/>
              </w:rPr>
            </w:pPr>
            <w:r w:rsidRPr="00AC443D">
              <w:rPr>
                <w:rFonts w:cs="Arial"/>
                <w:i/>
                <w:iCs/>
              </w:rPr>
              <w:t>&lt; 0,00V</w:t>
            </w:r>
          </w:p>
          <w:p w14:paraId="1D2078CD" w14:textId="77777777" w:rsidR="00AC443D" w:rsidRPr="00AC443D" w:rsidRDefault="00AC443D" w:rsidP="00AC443D">
            <w:pPr>
              <w:rPr>
                <w:rFonts w:cs="Arial"/>
                <w:lang w:eastAsia="bg-BG"/>
              </w:rPr>
            </w:pPr>
            <w:r w:rsidRPr="00AC443D">
              <w:rPr>
                <w:rFonts w:cs="Arial"/>
              </w:rPr>
              <w:t>3,46 (1,90; 6,27); &lt;</w:t>
            </w:r>
          </w:p>
          <w:p w14:paraId="02A5383C" w14:textId="01C71064" w:rsidR="00AC443D" w:rsidRPr="00AC443D" w:rsidRDefault="00AC443D" w:rsidP="00AC443D">
            <w:pPr>
              <w:rPr>
                <w:rFonts w:cs="Arial"/>
              </w:rPr>
            </w:pPr>
            <w:r w:rsidRPr="00AC443D">
              <w:rPr>
                <w:rFonts w:cs="Arial"/>
              </w:rPr>
              <w:t>0,001a</w:t>
            </w:r>
          </w:p>
        </w:tc>
      </w:tr>
      <w:tr w:rsidR="00AC443D" w:rsidRPr="00AC443D" w14:paraId="55B5E367" w14:textId="77777777" w:rsidTr="00AC443D">
        <w:tc>
          <w:tcPr>
            <w:tcW w:w="2337" w:type="dxa"/>
          </w:tcPr>
          <w:p w14:paraId="7E78404E" w14:textId="4CCC7D7B" w:rsidR="00AC443D" w:rsidRPr="00AC443D" w:rsidRDefault="00AC443D" w:rsidP="00AC443D">
            <w:pPr>
              <w:rPr>
                <w:rFonts w:cs="Arial"/>
              </w:rPr>
            </w:pPr>
            <w:r w:rsidRPr="00AC443D">
              <w:rPr>
                <w:rFonts w:cs="Arial"/>
                <w:i/>
                <w:iCs/>
              </w:rPr>
              <w:t>RR(</w:t>
            </w:r>
            <w:proofErr w:type="spellStart"/>
            <w:r w:rsidRPr="00AC443D">
              <w:rPr>
                <w:rFonts w:cs="Arial"/>
                <w:i/>
                <w:iCs/>
              </w:rPr>
              <w:t>cned</w:t>
            </w:r>
            <w:proofErr w:type="spellEnd"/>
            <w:r w:rsidRPr="00AC443D">
              <w:rPr>
                <w:rFonts w:cs="Arial"/>
                <w:i/>
                <w:iCs/>
              </w:rPr>
              <w:t xml:space="preserve"> </w:t>
            </w:r>
            <w:r w:rsidRPr="00AC443D">
              <w:rPr>
                <w:rFonts w:cs="Arial"/>
                <w:i/>
                <w:iCs/>
                <w:lang w:eastAsia="bg-BG"/>
              </w:rPr>
              <w:t xml:space="preserve">трансплантация) </w:t>
            </w:r>
            <w:proofErr w:type="spellStart"/>
            <w:r w:rsidRPr="00AC443D">
              <w:rPr>
                <w:rFonts w:cs="Arial"/>
              </w:rPr>
              <w:t>CR+nCR</w:t>
            </w:r>
            <w:proofErr w:type="spellEnd"/>
            <w:r w:rsidRPr="00AC443D">
              <w:rPr>
                <w:rFonts w:cs="Arial"/>
              </w:rPr>
              <w:t xml:space="preserve"> </w:t>
            </w:r>
            <w:proofErr w:type="spellStart"/>
            <w:r w:rsidRPr="00AC443D">
              <w:rPr>
                <w:rFonts w:cs="Arial"/>
              </w:rPr>
              <w:t>CR+nCR+VGPR+PR</w:t>
            </w:r>
            <w:proofErr w:type="spellEnd"/>
            <w:r w:rsidRPr="00AC443D">
              <w:rPr>
                <w:rFonts w:cs="Arial"/>
              </w:rPr>
              <w:t xml:space="preserve"> % (95% CI)</w:t>
            </w:r>
          </w:p>
        </w:tc>
        <w:tc>
          <w:tcPr>
            <w:tcW w:w="2337" w:type="dxa"/>
          </w:tcPr>
          <w:p w14:paraId="5BF6B785" w14:textId="77777777" w:rsidR="00AC443D" w:rsidRPr="00AC443D" w:rsidRDefault="00AC443D" w:rsidP="00AC443D">
            <w:pPr>
              <w:rPr>
                <w:rFonts w:cs="Arial"/>
                <w:lang w:eastAsia="bg-BG"/>
              </w:rPr>
            </w:pPr>
            <w:r w:rsidRPr="00AC443D">
              <w:rPr>
                <w:rFonts w:cs="Arial"/>
              </w:rPr>
              <w:t>55,4 (46,4; 64,1)</w:t>
            </w:r>
          </w:p>
          <w:p w14:paraId="6647F713" w14:textId="22EB4003" w:rsidR="00AC443D" w:rsidRPr="00AC443D" w:rsidRDefault="00AC443D" w:rsidP="00AC443D">
            <w:pPr>
              <w:rPr>
                <w:rFonts w:cs="Arial"/>
              </w:rPr>
            </w:pPr>
            <w:r w:rsidRPr="00AC443D">
              <w:rPr>
                <w:rFonts w:cs="Arial"/>
              </w:rPr>
              <w:t>77,7 (69,6; 84,5)</w:t>
            </w:r>
          </w:p>
        </w:tc>
        <w:tc>
          <w:tcPr>
            <w:tcW w:w="2338" w:type="dxa"/>
          </w:tcPr>
          <w:p w14:paraId="36036CA3" w14:textId="77777777" w:rsidR="00AC443D" w:rsidRPr="00AC443D" w:rsidRDefault="00AC443D" w:rsidP="00AC443D">
            <w:pPr>
              <w:rPr>
                <w:rFonts w:cs="Arial"/>
                <w:lang w:eastAsia="bg-BG"/>
              </w:rPr>
            </w:pPr>
            <w:r w:rsidRPr="00AC443D">
              <w:rPr>
                <w:rFonts w:cs="Arial"/>
              </w:rPr>
              <w:t>34,6 (26,4; 43,6)</w:t>
            </w:r>
          </w:p>
          <w:p w14:paraId="71DE7C93" w14:textId="3C6B6FDF" w:rsidR="00AC443D" w:rsidRPr="00AC443D" w:rsidRDefault="00AC443D" w:rsidP="00AC443D">
            <w:pPr>
              <w:rPr>
                <w:rFonts w:cs="Arial"/>
              </w:rPr>
            </w:pPr>
            <w:r w:rsidRPr="00AC443D">
              <w:rPr>
                <w:rFonts w:cs="Arial"/>
              </w:rPr>
              <w:t>56,7 (47,6; 65,5)</w:t>
            </w:r>
          </w:p>
        </w:tc>
        <w:tc>
          <w:tcPr>
            <w:tcW w:w="2338" w:type="dxa"/>
          </w:tcPr>
          <w:p w14:paraId="00AFA2DF" w14:textId="77777777" w:rsidR="00AC443D" w:rsidRPr="00AC443D" w:rsidRDefault="00AC443D" w:rsidP="00AC443D">
            <w:pPr>
              <w:rPr>
                <w:rFonts w:cs="Arial"/>
                <w:lang w:eastAsia="bg-BG"/>
              </w:rPr>
            </w:pPr>
            <w:r w:rsidRPr="00AC443D">
              <w:rPr>
                <w:rFonts w:cs="Arial"/>
              </w:rPr>
              <w:t>2,34 (1,42; 3,87); 0.001a</w:t>
            </w:r>
          </w:p>
          <w:p w14:paraId="6D07E4DB" w14:textId="77777777" w:rsidR="00AC443D" w:rsidRPr="00AC443D" w:rsidRDefault="00AC443D" w:rsidP="00AC443D">
            <w:pPr>
              <w:rPr>
                <w:rFonts w:cs="Arial"/>
                <w:lang w:eastAsia="bg-BG"/>
              </w:rPr>
            </w:pPr>
            <w:r w:rsidRPr="00AC443D">
              <w:rPr>
                <w:rFonts w:cs="Arial"/>
              </w:rPr>
              <w:t>2,66 (1,55; 4,57);</w:t>
            </w:r>
          </w:p>
          <w:p w14:paraId="7F5E0A16" w14:textId="62E386F7" w:rsidR="00AC443D" w:rsidRPr="00AC443D" w:rsidRDefault="00AC443D" w:rsidP="00AC443D">
            <w:pPr>
              <w:rPr>
                <w:rFonts w:cs="Arial"/>
              </w:rPr>
            </w:pPr>
            <w:r w:rsidRPr="00AC443D">
              <w:rPr>
                <w:rFonts w:cs="Arial"/>
              </w:rPr>
              <w:t>&lt; 0,001</w:t>
            </w:r>
            <w:r w:rsidRPr="00AC443D">
              <w:rPr>
                <w:rFonts w:cs="Arial"/>
                <w:vertAlign w:val="superscript"/>
              </w:rPr>
              <w:t>a</w:t>
            </w:r>
          </w:p>
        </w:tc>
      </w:tr>
    </w:tbl>
    <w:p w14:paraId="3AAC1FDB" w14:textId="4DBD9C34" w:rsidR="00AC443D" w:rsidRPr="00AC443D" w:rsidRDefault="00AC443D" w:rsidP="0091385D">
      <w:pPr>
        <w:rPr>
          <w:rFonts w:cs="Arial"/>
        </w:rPr>
      </w:pPr>
    </w:p>
    <w:p w14:paraId="321E0747"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С1=доверителен интервал; СК=пълен отговор; п</w:t>
      </w:r>
      <w:r w:rsidRPr="00AC443D">
        <w:rPr>
          <w:rFonts w:eastAsia="Times New Roman" w:cs="Arial"/>
          <w:color w:val="000000"/>
          <w:lang w:val="en-US"/>
        </w:rPr>
        <w:t>CR</w:t>
      </w:r>
      <w:r w:rsidRPr="00AC443D">
        <w:rPr>
          <w:rFonts w:eastAsia="Times New Roman" w:cs="Arial"/>
          <w:color w:val="000000"/>
          <w:lang w:eastAsia="bg-BG"/>
        </w:rPr>
        <w:t xml:space="preserve">-близо до пълен отговор; </w:t>
      </w:r>
      <w:r w:rsidRPr="00AC443D">
        <w:rPr>
          <w:rFonts w:eastAsia="Times New Roman" w:cs="Arial"/>
          <w:color w:val="000000"/>
          <w:lang w:val="en-US"/>
        </w:rPr>
        <w:t>ITT</w:t>
      </w:r>
      <w:r w:rsidRPr="00FD4C98">
        <w:rPr>
          <w:rFonts w:eastAsia="Times New Roman" w:cs="Arial"/>
          <w:color w:val="000000"/>
        </w:rPr>
        <w:t>-</w:t>
      </w:r>
      <w:r w:rsidRPr="00AC443D">
        <w:rPr>
          <w:rFonts w:eastAsia="Times New Roman" w:cs="Arial"/>
          <w:color w:val="000000"/>
          <w:lang w:val="en-US"/>
        </w:rPr>
        <w:t>Intent</w:t>
      </w:r>
      <w:r w:rsidRPr="00FD4C98">
        <w:rPr>
          <w:rFonts w:eastAsia="Times New Roman" w:cs="Arial"/>
          <w:color w:val="000000"/>
        </w:rPr>
        <w:t xml:space="preserve"> </w:t>
      </w:r>
      <w:r w:rsidRPr="00AC443D">
        <w:rPr>
          <w:rFonts w:eastAsia="Times New Roman" w:cs="Arial"/>
          <w:color w:val="000000"/>
          <w:lang w:val="en-US"/>
        </w:rPr>
        <w:t>to</w:t>
      </w:r>
      <w:r w:rsidRPr="00FD4C98">
        <w:rPr>
          <w:rFonts w:eastAsia="Times New Roman" w:cs="Arial"/>
          <w:color w:val="000000"/>
        </w:rPr>
        <w:t xml:space="preserve"> </w:t>
      </w:r>
      <w:r w:rsidRPr="00AC443D">
        <w:rPr>
          <w:rFonts w:eastAsia="Times New Roman" w:cs="Arial"/>
          <w:color w:val="000000"/>
          <w:lang w:val="en-US"/>
        </w:rPr>
        <w:t>treat</w:t>
      </w:r>
      <w:r w:rsidRPr="00FD4C98">
        <w:rPr>
          <w:rFonts w:eastAsia="Times New Roman" w:cs="Arial"/>
          <w:color w:val="000000"/>
        </w:rPr>
        <w:t xml:space="preserve">; </w:t>
      </w:r>
      <w:r w:rsidRPr="00AC443D">
        <w:rPr>
          <w:rFonts w:eastAsia="Times New Roman" w:cs="Arial"/>
          <w:color w:val="000000"/>
          <w:lang w:val="en-US"/>
        </w:rPr>
        <w:t>RR</w:t>
      </w:r>
      <w:r w:rsidRPr="00FD4C98">
        <w:rPr>
          <w:rFonts w:eastAsia="Times New Roman" w:cs="Arial"/>
          <w:color w:val="000000"/>
        </w:rPr>
        <w:t xml:space="preserve">- </w:t>
      </w:r>
      <w:r w:rsidRPr="00AC443D">
        <w:rPr>
          <w:rFonts w:eastAsia="Times New Roman" w:cs="Arial"/>
          <w:color w:val="000000"/>
          <w:lang w:eastAsia="bg-BG"/>
        </w:rPr>
        <w:t xml:space="preserve">честота на отговора; </w:t>
      </w:r>
      <w:proofErr w:type="spellStart"/>
      <w:r w:rsidRPr="00AC443D">
        <w:rPr>
          <w:rFonts w:eastAsia="Times New Roman" w:cs="Arial"/>
          <w:color w:val="000000"/>
          <w:lang w:eastAsia="bg-BG"/>
        </w:rPr>
        <w:t>Вг</w:t>
      </w:r>
      <w:proofErr w:type="spellEnd"/>
      <w:r w:rsidRPr="00AC443D">
        <w:rPr>
          <w:rFonts w:eastAsia="Times New Roman" w:cs="Arial"/>
          <w:color w:val="000000"/>
          <w:lang w:eastAsia="bg-BG"/>
        </w:rPr>
        <w:t>=</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ВгОх</w:t>
      </w:r>
      <w:proofErr w:type="spellEnd"/>
      <w:r w:rsidRPr="00AC443D">
        <w:rPr>
          <w:rFonts w:eastAsia="Times New Roman" w:cs="Arial"/>
          <w:color w:val="000000"/>
          <w:lang w:eastAsia="bg-BG"/>
        </w:rPr>
        <w:t>=</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val="en-US"/>
        </w:rPr>
        <w:t>VDDx</w:t>
      </w:r>
      <w:proofErr w:type="spellEnd"/>
      <w:r w:rsidRPr="00FD4C98">
        <w:rPr>
          <w:rFonts w:eastAsia="Times New Roman" w:cs="Arial"/>
          <w:color w:val="000000"/>
        </w:rPr>
        <w:t xml:space="preserve">= </w:t>
      </w:r>
      <w:r w:rsidRPr="00AC443D">
        <w:rPr>
          <w:rFonts w:eastAsia="Times New Roman" w:cs="Arial"/>
          <w:color w:val="000000"/>
          <w:lang w:eastAsia="bg-BG"/>
        </w:rPr>
        <w:t xml:space="preserve">ви н </w:t>
      </w:r>
      <w:proofErr w:type="spellStart"/>
      <w:r w:rsidRPr="00AC443D">
        <w:rPr>
          <w:rFonts w:eastAsia="Times New Roman" w:cs="Arial"/>
          <w:color w:val="000000"/>
          <w:lang w:eastAsia="bg-BG"/>
        </w:rPr>
        <w:t>кристин</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доксорубицин</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w:t>
      </w:r>
      <w:r w:rsidRPr="00AC443D">
        <w:rPr>
          <w:rFonts w:eastAsia="Times New Roman" w:cs="Arial"/>
          <w:smallCaps/>
          <w:color w:val="000000"/>
          <w:lang w:val="en-US"/>
        </w:rPr>
        <w:t>VGPR</w:t>
      </w:r>
      <w:r w:rsidRPr="00FD4C98">
        <w:rPr>
          <w:rFonts w:eastAsia="Times New Roman" w:cs="Arial"/>
          <w:smallCaps/>
          <w:color w:val="000000"/>
        </w:rPr>
        <w:t>=</w:t>
      </w:r>
      <w:proofErr w:type="spellStart"/>
      <w:r w:rsidRPr="00AC443D">
        <w:rPr>
          <w:rFonts w:eastAsia="Times New Roman" w:cs="Arial"/>
          <w:smallCaps/>
          <w:color w:val="000000"/>
          <w:lang w:val="en-US"/>
        </w:rPr>
        <w:t>mhoixj</w:t>
      </w:r>
      <w:proofErr w:type="spellEnd"/>
      <w:r w:rsidRPr="00FD4C98">
        <w:rPr>
          <w:rFonts w:eastAsia="Times New Roman" w:cs="Arial"/>
          <w:color w:val="000000"/>
        </w:rPr>
        <w:t xml:space="preserve"> </w:t>
      </w:r>
      <w:r w:rsidRPr="00AC443D">
        <w:rPr>
          <w:rFonts w:eastAsia="Times New Roman" w:cs="Arial"/>
          <w:color w:val="000000"/>
          <w:lang w:eastAsia="bg-BG"/>
        </w:rPr>
        <w:t>добър частичен отговор; РК=частичен отговор; ОК=съотношение на шансовете;</w:t>
      </w:r>
    </w:p>
    <w:p w14:paraId="4509FBF8"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Първична крайна точка</w:t>
      </w:r>
    </w:p>
    <w:p w14:paraId="2B143662"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vertAlign w:val="superscript"/>
          <w:lang w:eastAsia="bg-BG"/>
        </w:rPr>
        <w:t>а</w:t>
      </w:r>
      <w:r w:rsidRPr="00AC443D">
        <w:rPr>
          <w:rFonts w:eastAsia="Times New Roman" w:cs="Arial"/>
          <w:color w:val="000000"/>
          <w:lang w:eastAsia="bg-BG"/>
        </w:rPr>
        <w:t xml:space="preserve"> Съотношение на шансовете за честоти на отговора на базата на общото съотношение на шансовете изчислено по </w:t>
      </w:r>
      <w:r w:rsidRPr="00AC443D">
        <w:rPr>
          <w:rFonts w:eastAsia="Times New Roman" w:cs="Arial"/>
          <w:color w:val="000000"/>
          <w:lang w:val="en-US"/>
        </w:rPr>
        <w:t>Mantel</w:t>
      </w:r>
      <w:r w:rsidRPr="00FD4C98">
        <w:rPr>
          <w:rFonts w:eastAsia="Times New Roman" w:cs="Arial"/>
          <w:color w:val="000000"/>
          <w:lang w:val="ru-RU"/>
        </w:rPr>
        <w:t>-</w:t>
      </w:r>
      <w:r w:rsidRPr="00AC443D">
        <w:rPr>
          <w:rFonts w:eastAsia="Times New Roman" w:cs="Arial"/>
          <w:color w:val="000000"/>
          <w:lang w:val="en-US"/>
        </w:rPr>
        <w:t>Haenszel</w:t>
      </w:r>
      <w:r w:rsidRPr="00FD4C98">
        <w:rPr>
          <w:rFonts w:eastAsia="Times New Roman" w:cs="Arial"/>
          <w:color w:val="000000"/>
          <w:lang w:val="ru-RU"/>
        </w:rPr>
        <w:t xml:space="preserve"> </w:t>
      </w:r>
      <w:r w:rsidRPr="00AC443D">
        <w:rPr>
          <w:rFonts w:eastAsia="Times New Roman" w:cs="Arial"/>
          <w:color w:val="000000"/>
          <w:lang w:eastAsia="bg-BG"/>
        </w:rPr>
        <w:t xml:space="preserve">за стратифицирани таблици; р-стойности по теста на </w:t>
      </w:r>
      <w:r w:rsidRPr="00AC443D">
        <w:rPr>
          <w:rFonts w:eastAsia="Times New Roman" w:cs="Arial"/>
          <w:color w:val="000000"/>
          <w:lang w:val="en-US"/>
        </w:rPr>
        <w:t>Cochran</w:t>
      </w:r>
      <w:r w:rsidRPr="00FD4C98">
        <w:rPr>
          <w:rFonts w:eastAsia="Times New Roman" w:cs="Arial"/>
          <w:color w:val="000000"/>
          <w:lang w:val="ru-RU"/>
        </w:rPr>
        <w:t xml:space="preserve"> </w:t>
      </w:r>
      <w:r w:rsidRPr="00AC443D">
        <w:rPr>
          <w:rFonts w:eastAsia="Times New Roman" w:cs="Arial"/>
          <w:color w:val="000000"/>
          <w:lang w:val="en-US"/>
        </w:rPr>
        <w:t>Mantel</w:t>
      </w:r>
      <w:r w:rsidRPr="00FD4C98">
        <w:rPr>
          <w:rFonts w:eastAsia="Times New Roman" w:cs="Arial"/>
          <w:color w:val="000000"/>
          <w:lang w:val="ru-RU"/>
        </w:rPr>
        <w:t xml:space="preserve">- </w:t>
      </w:r>
      <w:r w:rsidRPr="00AC443D">
        <w:rPr>
          <w:rFonts w:eastAsia="Times New Roman" w:cs="Arial"/>
          <w:color w:val="000000"/>
          <w:lang w:val="en-US"/>
        </w:rPr>
        <w:t>Haenszel</w:t>
      </w:r>
      <w:r w:rsidRPr="00FD4C98">
        <w:rPr>
          <w:rFonts w:eastAsia="Times New Roman" w:cs="Arial"/>
          <w:color w:val="000000"/>
          <w:lang w:val="ru-RU"/>
        </w:rPr>
        <w:t>.</w:t>
      </w:r>
    </w:p>
    <w:p w14:paraId="4177068C"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Бележка: Съотношение на шансовете &gt;1 сочи предимство за индукционната терапия, съдържаща </w:t>
      </w:r>
      <w:proofErr w:type="spellStart"/>
      <w:r w:rsidRPr="00AC443D">
        <w:rPr>
          <w:rFonts w:eastAsia="Times New Roman" w:cs="Arial"/>
          <w:color w:val="000000"/>
          <w:lang w:eastAsia="bg-BG"/>
        </w:rPr>
        <w:t>винкристин</w:t>
      </w:r>
      <w:proofErr w:type="spellEnd"/>
      <w:r w:rsidRPr="00AC443D">
        <w:rPr>
          <w:rFonts w:eastAsia="Times New Roman" w:cs="Arial"/>
          <w:color w:val="000000"/>
          <w:lang w:eastAsia="bg-BG"/>
        </w:rPr>
        <w:t>.</w:t>
      </w:r>
    </w:p>
    <w:p w14:paraId="413CD93F" w14:textId="77777777" w:rsidR="00AC443D" w:rsidRPr="00AC443D" w:rsidRDefault="00AC443D" w:rsidP="00AC443D">
      <w:pPr>
        <w:spacing w:line="240" w:lineRule="auto"/>
        <w:rPr>
          <w:rFonts w:eastAsia="Times New Roman" w:cs="Arial"/>
          <w:color w:val="000000"/>
          <w:u w:val="single"/>
          <w:lang w:eastAsia="bg-BG"/>
        </w:rPr>
      </w:pPr>
    </w:p>
    <w:p w14:paraId="0E430480" w14:textId="1780BF70" w:rsidR="00AC443D" w:rsidRPr="00AC443D" w:rsidRDefault="00AC443D" w:rsidP="00AC443D">
      <w:pPr>
        <w:spacing w:line="240" w:lineRule="auto"/>
        <w:rPr>
          <w:rFonts w:eastAsia="Times New Roman" w:cs="Arial"/>
          <w:lang w:eastAsia="bg-BG"/>
        </w:rPr>
      </w:pPr>
      <w:r w:rsidRPr="00AC443D">
        <w:rPr>
          <w:rFonts w:eastAsia="Times New Roman" w:cs="Arial"/>
          <w:color w:val="000000"/>
          <w:u w:val="single"/>
          <w:lang w:eastAsia="bg-BG"/>
        </w:rPr>
        <w:t xml:space="preserve">Клинична ефикасност при рецидивирал или </w:t>
      </w:r>
      <w:proofErr w:type="spellStart"/>
      <w:r w:rsidRPr="00AC443D">
        <w:rPr>
          <w:rFonts w:eastAsia="Times New Roman" w:cs="Arial"/>
          <w:color w:val="000000"/>
          <w:u w:val="single"/>
          <w:lang w:eastAsia="bg-BG"/>
        </w:rPr>
        <w:t>рефрактерен</w:t>
      </w:r>
      <w:proofErr w:type="spellEnd"/>
      <w:r w:rsidRPr="00AC443D">
        <w:rPr>
          <w:rFonts w:eastAsia="Times New Roman" w:cs="Arial"/>
          <w:color w:val="000000"/>
          <w:u w:val="single"/>
          <w:lang w:eastAsia="bg-BG"/>
        </w:rPr>
        <w:t xml:space="preserve"> мултиплен миелом</w:t>
      </w:r>
    </w:p>
    <w:p w14:paraId="3C105B99"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Безопасността и ефикасността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(инжектиран интравенозно) са били оценявани в 2 проучвания при препоръчителна доза 1,3 </w:t>
      </w:r>
      <w:r w:rsidRPr="00AC443D">
        <w:rPr>
          <w:rFonts w:eastAsia="Times New Roman" w:cs="Arial"/>
          <w:color w:val="000000"/>
          <w:lang w:val="en-US"/>
        </w:rPr>
        <w:t>mg</w:t>
      </w:r>
      <w:r w:rsidRPr="00FD4C98">
        <w:rPr>
          <w:rFonts w:eastAsia="Times New Roman" w:cs="Arial"/>
          <w:color w:val="000000"/>
          <w:lang w:val="ru-RU"/>
        </w:rPr>
        <w:t>/</w:t>
      </w:r>
      <w:r w:rsidRPr="00AC443D">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AC443D">
        <w:rPr>
          <w:rFonts w:eastAsia="Times New Roman" w:cs="Arial"/>
          <w:color w:val="000000"/>
          <w:lang w:eastAsia="bg-BG"/>
        </w:rPr>
        <w:t xml:space="preserve">в рандомизирано, сравнително проучване фаза </w:t>
      </w:r>
      <w:r w:rsidRPr="00AC443D">
        <w:rPr>
          <w:rFonts w:eastAsia="Times New Roman" w:cs="Arial"/>
          <w:color w:val="000000"/>
          <w:lang w:val="en-US"/>
        </w:rPr>
        <w:t>III</w:t>
      </w:r>
      <w:r w:rsidRPr="00FD4C98">
        <w:rPr>
          <w:rFonts w:eastAsia="Times New Roman" w:cs="Arial"/>
          <w:color w:val="000000"/>
          <w:lang w:val="ru-RU"/>
        </w:rPr>
        <w:t xml:space="preserve"> (</w:t>
      </w:r>
      <w:r w:rsidRPr="00AC443D">
        <w:rPr>
          <w:rFonts w:eastAsia="Times New Roman" w:cs="Arial"/>
          <w:color w:val="000000"/>
          <w:lang w:val="en-US"/>
        </w:rPr>
        <w:t>APEX</w:t>
      </w:r>
      <w:r w:rsidRPr="00FD4C98">
        <w:rPr>
          <w:rFonts w:eastAsia="Times New Roman" w:cs="Arial"/>
          <w:color w:val="000000"/>
          <w:lang w:val="ru-RU"/>
        </w:rPr>
        <w:t xml:space="preserve">) </w:t>
      </w:r>
      <w:r w:rsidRPr="00AC443D">
        <w:rPr>
          <w:rFonts w:eastAsia="Times New Roman" w:cs="Arial"/>
          <w:color w:val="000000"/>
          <w:lang w:eastAsia="bg-BG"/>
        </w:rPr>
        <w:t xml:space="preserve">спрямо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при 669 пациенти с рецидив или </w:t>
      </w:r>
      <w:proofErr w:type="spellStart"/>
      <w:r w:rsidRPr="00AC443D">
        <w:rPr>
          <w:rFonts w:eastAsia="Times New Roman" w:cs="Arial"/>
          <w:color w:val="000000"/>
          <w:lang w:eastAsia="bg-BG"/>
        </w:rPr>
        <w:t>рефрактерен</w:t>
      </w:r>
      <w:proofErr w:type="spellEnd"/>
      <w:r w:rsidRPr="00AC443D">
        <w:rPr>
          <w:rFonts w:eastAsia="Times New Roman" w:cs="Arial"/>
          <w:color w:val="000000"/>
          <w:lang w:eastAsia="bg-BG"/>
        </w:rPr>
        <w:t xml:space="preserve"> мултиплен миелом, които са получавали 1-3 предишни терапевтични линии и е </w:t>
      </w:r>
      <w:proofErr w:type="spellStart"/>
      <w:r w:rsidRPr="00AC443D">
        <w:rPr>
          <w:rFonts w:eastAsia="Times New Roman" w:cs="Arial"/>
          <w:color w:val="000000"/>
          <w:lang w:eastAsia="bg-BG"/>
        </w:rPr>
        <w:t>едвд</w:t>
      </w:r>
      <w:proofErr w:type="spellEnd"/>
      <w:r w:rsidRPr="00AC443D">
        <w:rPr>
          <w:rFonts w:eastAsia="Times New Roman" w:cs="Arial"/>
          <w:color w:val="000000"/>
          <w:lang w:eastAsia="bg-BG"/>
        </w:rPr>
        <w:t xml:space="preserve"> проучване фаза II с едно рамо при 202 пациенти с рецидив или </w:t>
      </w:r>
      <w:proofErr w:type="spellStart"/>
      <w:r w:rsidRPr="00AC443D">
        <w:rPr>
          <w:rFonts w:eastAsia="Times New Roman" w:cs="Arial"/>
          <w:color w:val="000000"/>
          <w:lang w:eastAsia="bg-BG"/>
        </w:rPr>
        <w:t>рефрактерен</w:t>
      </w:r>
      <w:proofErr w:type="spellEnd"/>
      <w:r w:rsidRPr="00AC443D">
        <w:rPr>
          <w:rFonts w:eastAsia="Times New Roman" w:cs="Arial"/>
          <w:color w:val="000000"/>
          <w:lang w:eastAsia="bg-BG"/>
        </w:rPr>
        <w:t xml:space="preserve"> мултиплен миелом, които са получавали най-малко 2 предишни терапевтични линии и при които заболяването е прогресирало при последната им терапия.</w:t>
      </w:r>
    </w:p>
    <w:p w14:paraId="59A12E79" w14:textId="77777777" w:rsidR="00AC443D" w:rsidRPr="00AC443D" w:rsidRDefault="00AC443D" w:rsidP="00AC443D">
      <w:pPr>
        <w:spacing w:line="240" w:lineRule="auto"/>
        <w:rPr>
          <w:rFonts w:eastAsia="Times New Roman" w:cs="Arial"/>
          <w:color w:val="000000"/>
          <w:lang w:eastAsia="bg-BG"/>
        </w:rPr>
      </w:pPr>
    </w:p>
    <w:p w14:paraId="7CE0A565" w14:textId="77777777" w:rsidR="00AC443D" w:rsidRPr="00AC443D" w:rsidRDefault="00AC443D" w:rsidP="00AC443D">
      <w:pPr>
        <w:rPr>
          <w:rFonts w:eastAsia="Times New Roman" w:cs="Arial"/>
          <w:lang w:eastAsia="bg-BG"/>
        </w:rPr>
      </w:pPr>
      <w:r w:rsidRPr="00AC443D">
        <w:rPr>
          <w:rFonts w:eastAsia="Times New Roman" w:cs="Arial"/>
          <w:color w:val="000000"/>
          <w:lang w:eastAsia="bg-BG"/>
        </w:rPr>
        <w:t>В</w:t>
      </w:r>
      <w:r w:rsidRPr="00FD4C98">
        <w:rPr>
          <w:rFonts w:eastAsia="Times New Roman" w:cs="Arial"/>
          <w:color w:val="000000"/>
          <w:lang w:val="ru-RU"/>
        </w:rPr>
        <w:t xml:space="preserve"> </w:t>
      </w:r>
      <w:r w:rsidRPr="00AC443D">
        <w:rPr>
          <w:rFonts w:eastAsia="Times New Roman" w:cs="Arial"/>
          <w:color w:val="000000"/>
          <w:lang w:eastAsia="bg-BG"/>
        </w:rPr>
        <w:t xml:space="preserve">проучването фаза III лечението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е довело до значимо удължаване времето до прогресия, значимо удължаване на </w:t>
      </w:r>
      <w:proofErr w:type="spellStart"/>
      <w:r w:rsidRPr="00AC443D">
        <w:rPr>
          <w:rFonts w:eastAsia="Times New Roman" w:cs="Arial"/>
          <w:color w:val="000000"/>
          <w:lang w:eastAsia="bg-BG"/>
        </w:rPr>
        <w:t>преживяемостга</w:t>
      </w:r>
      <w:proofErr w:type="spellEnd"/>
      <w:r w:rsidRPr="00AC443D">
        <w:rPr>
          <w:rFonts w:eastAsia="Times New Roman" w:cs="Arial"/>
          <w:color w:val="000000"/>
          <w:lang w:eastAsia="bg-BG"/>
        </w:rPr>
        <w:t xml:space="preserve"> и значимо по-висока степен на </w:t>
      </w:r>
      <w:proofErr w:type="spellStart"/>
      <w:r w:rsidRPr="00AC443D">
        <w:rPr>
          <w:rFonts w:eastAsia="Times New Roman" w:cs="Arial"/>
          <w:color w:val="000000"/>
          <w:lang w:eastAsia="bg-BG"/>
        </w:rPr>
        <w:t>ртговор</w:t>
      </w:r>
      <w:proofErr w:type="spellEnd"/>
      <w:r w:rsidRPr="00AC443D">
        <w:rPr>
          <w:rFonts w:eastAsia="Times New Roman" w:cs="Arial"/>
          <w:color w:val="000000"/>
          <w:lang w:eastAsia="bg-BG"/>
        </w:rPr>
        <w:t xml:space="preserve"> в сравнение с лечението с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(вж. таблица 11) при всички пациенти, както и при</w:t>
      </w:r>
      <w:r>
        <w:rPr>
          <w:rFonts w:eastAsia="Times New Roman" w:cs="Arial"/>
          <w:lang w:eastAsia="bg-BG"/>
        </w:rPr>
        <w:t xml:space="preserve"> </w:t>
      </w:r>
      <w:r w:rsidRPr="00AC443D">
        <w:rPr>
          <w:rFonts w:eastAsia="Times New Roman" w:cs="Arial"/>
          <w:color w:val="000000"/>
          <w:lang w:eastAsia="bg-BG"/>
        </w:rPr>
        <w:t xml:space="preserve">пациентите, които са получавали 1 предишна терапевтична линия. </w:t>
      </w:r>
      <w:r w:rsidRPr="00AC443D">
        <w:rPr>
          <w:rFonts w:eastAsia="Times New Roman" w:cs="Arial"/>
          <w:color w:val="000000"/>
          <w:lang w:eastAsia="bg-BG"/>
        </w:rPr>
        <w:lastRenderedPageBreak/>
        <w:t xml:space="preserve">Като резултат от предварително планирания междинен анализ, лечението с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е било прекъснато по  </w:t>
      </w:r>
      <w:r w:rsidRPr="00AC443D">
        <w:rPr>
          <w:rFonts w:eastAsia="Times New Roman" w:cs="Arial"/>
          <w:i/>
          <w:iCs/>
          <w:color w:val="000000"/>
          <w:lang w:eastAsia="bg-BG"/>
        </w:rPr>
        <w:t>препоръка</w:t>
      </w:r>
      <w:r w:rsidRPr="00AC443D">
        <w:rPr>
          <w:rFonts w:eastAsia="Times New Roman" w:cs="Arial"/>
          <w:color w:val="000000"/>
          <w:lang w:eastAsia="bg-BG"/>
        </w:rPr>
        <w:t xml:space="preserve"> от комитета за мониторинг на данните и на всички пациенти, рандомизирани на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е бил предложен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в зависимост от статуса на заболяването. Поради това ранно преминаване, средната продължителност на проследяване за преживяемост на пациентите е 8,3 месеца. Както при пациентите, които са били </w:t>
      </w:r>
      <w:proofErr w:type="spellStart"/>
      <w:r w:rsidRPr="00AC443D">
        <w:rPr>
          <w:rFonts w:eastAsia="Times New Roman" w:cs="Arial"/>
          <w:color w:val="000000"/>
          <w:lang w:eastAsia="bg-BG"/>
        </w:rPr>
        <w:t>рефрактерни</w:t>
      </w:r>
      <w:proofErr w:type="spellEnd"/>
      <w:r w:rsidRPr="00AC443D">
        <w:rPr>
          <w:rFonts w:eastAsia="Times New Roman" w:cs="Arial"/>
          <w:color w:val="000000"/>
          <w:lang w:eastAsia="bg-BG"/>
        </w:rPr>
        <w:t xml:space="preserve"> на последната си терапевтична линия, така и при тези, които не са били </w:t>
      </w:r>
      <w:proofErr w:type="spellStart"/>
      <w:r w:rsidRPr="00AC443D">
        <w:rPr>
          <w:rFonts w:eastAsia="Times New Roman" w:cs="Arial"/>
          <w:color w:val="000000"/>
          <w:lang w:eastAsia="bg-BG"/>
        </w:rPr>
        <w:t>рефрактерни</w:t>
      </w:r>
      <w:proofErr w:type="spellEnd"/>
      <w:r w:rsidRPr="00AC443D">
        <w:rPr>
          <w:rFonts w:eastAsia="Times New Roman" w:cs="Arial"/>
          <w:color w:val="000000"/>
          <w:lang w:eastAsia="bg-BG"/>
        </w:rPr>
        <w:t xml:space="preserve">, общата преживяемост е била значително по-дълга и степента на отговор е била значимо по-висока при групата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w:t>
      </w:r>
    </w:p>
    <w:p w14:paraId="1988382C" w14:textId="77777777" w:rsidR="00AC443D" w:rsidRPr="00AC443D" w:rsidRDefault="00AC443D" w:rsidP="00AC443D">
      <w:pPr>
        <w:spacing w:line="240" w:lineRule="auto"/>
        <w:rPr>
          <w:rFonts w:eastAsia="Times New Roman" w:cs="Arial"/>
          <w:color w:val="000000"/>
          <w:lang w:eastAsia="bg-BG"/>
        </w:rPr>
      </w:pPr>
    </w:p>
    <w:p w14:paraId="51361804" w14:textId="698B2145"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От 669 включени пациенти 245 (37%) са били на възраст 65 години и по-възрастни. Параметрите на отговора както и ТТР остават значително по-добри за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независимо от възрастта. Въпреки изходните нива на р</w:t>
      </w:r>
      <w:r w:rsidRPr="00AC443D">
        <w:rPr>
          <w:rFonts w:eastAsia="Times New Roman" w:cs="Arial"/>
          <w:color w:val="000000"/>
          <w:vertAlign w:val="subscript"/>
          <w:lang w:eastAsia="bg-BG"/>
        </w:rPr>
        <w:t>2</w:t>
      </w:r>
      <w:r w:rsidRPr="00AC443D">
        <w:rPr>
          <w:rFonts w:eastAsia="Times New Roman" w:cs="Arial"/>
          <w:color w:val="000000"/>
          <w:lang w:eastAsia="bg-BG"/>
        </w:rPr>
        <w:t xml:space="preserve">-микроглобулина, всички параметри на ефикасността (време до прогресията и пределната преживяемост, както и степента на отговор) са били значително подобрени при пациентите, лекувани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w:t>
      </w:r>
    </w:p>
    <w:p w14:paraId="5E7FD7EA" w14:textId="77777777" w:rsidR="00AC443D" w:rsidRPr="00AC443D" w:rsidRDefault="00AC443D" w:rsidP="00AC443D">
      <w:pPr>
        <w:spacing w:line="240" w:lineRule="auto"/>
        <w:rPr>
          <w:rFonts w:eastAsia="Times New Roman" w:cs="Arial"/>
          <w:color w:val="000000"/>
          <w:lang w:eastAsia="bg-BG"/>
        </w:rPr>
      </w:pPr>
    </w:p>
    <w:p w14:paraId="234422E7" w14:textId="08E89A9B"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При популацията </w:t>
      </w:r>
      <w:proofErr w:type="spellStart"/>
      <w:r w:rsidRPr="00AC443D">
        <w:rPr>
          <w:rFonts w:eastAsia="Times New Roman" w:cs="Arial"/>
          <w:color w:val="000000"/>
          <w:lang w:eastAsia="bg-BG"/>
        </w:rPr>
        <w:t>рефрактерни</w:t>
      </w:r>
      <w:proofErr w:type="spellEnd"/>
      <w:r w:rsidRPr="00AC443D">
        <w:rPr>
          <w:rFonts w:eastAsia="Times New Roman" w:cs="Arial"/>
          <w:color w:val="000000"/>
          <w:lang w:eastAsia="bg-BG"/>
        </w:rPr>
        <w:t xml:space="preserve"> пациенти в проучването фаза И отговорите се определят от независим комитет за оценка, а критериите за отговор са тези на Европейската група за костно- мозъчна трансплантация. Средната преживяемост на всички включени пациенти е 17 месеца (&lt; 1 до 36+ месеца). Тази преживяемост е по-голяма от средната 6 до 9-месечна преживяемост, очаквана за подобна популация пациенти от консултиращите клинични изследователи. Чрез мултивариационен анализ получената степен на отговор е независима от типа миелом, статуса на изява, статуса на </w:t>
      </w:r>
      <w:proofErr w:type="spellStart"/>
      <w:r w:rsidRPr="00AC443D">
        <w:rPr>
          <w:rFonts w:eastAsia="Times New Roman" w:cs="Arial"/>
          <w:color w:val="000000"/>
          <w:lang w:eastAsia="bg-BG"/>
        </w:rPr>
        <w:t>делеция</w:t>
      </w:r>
      <w:proofErr w:type="spellEnd"/>
      <w:r w:rsidRPr="00AC443D">
        <w:rPr>
          <w:rFonts w:eastAsia="Times New Roman" w:cs="Arial"/>
          <w:color w:val="000000"/>
          <w:lang w:eastAsia="bg-BG"/>
        </w:rPr>
        <w:t xml:space="preserve"> на хромозома 13, или броя, или типа на предишните лечения. Пациентите, които са получили 2 до 3 предишни терапевтични режима имат степен на отговор от 32% (10/32), а пациентите, които са получили повече от 7 терапевтични режима имат степен на отговор от 31% (21/67).</w:t>
      </w:r>
    </w:p>
    <w:p w14:paraId="09C2955C" w14:textId="77777777" w:rsidR="00AC443D" w:rsidRPr="00AC443D" w:rsidRDefault="00AC443D" w:rsidP="00AC443D">
      <w:pPr>
        <w:spacing w:line="240" w:lineRule="auto"/>
        <w:rPr>
          <w:rFonts w:eastAsia="Times New Roman" w:cs="Arial"/>
          <w:i/>
          <w:iCs/>
          <w:color w:val="000000"/>
          <w:lang w:eastAsia="bg-BG"/>
        </w:rPr>
      </w:pPr>
    </w:p>
    <w:p w14:paraId="7E1E54FF" w14:textId="5F779601" w:rsidR="00AC443D" w:rsidRPr="00AC443D" w:rsidRDefault="00AC443D" w:rsidP="00AC443D">
      <w:pPr>
        <w:spacing w:line="240" w:lineRule="auto"/>
        <w:rPr>
          <w:rFonts w:eastAsia="Times New Roman" w:cs="Arial"/>
          <w:lang w:eastAsia="bg-BG"/>
        </w:rPr>
      </w:pPr>
      <w:r w:rsidRPr="00AC443D">
        <w:rPr>
          <w:rFonts w:eastAsia="Times New Roman" w:cs="Arial"/>
          <w:i/>
          <w:iCs/>
          <w:color w:val="000000"/>
          <w:lang w:eastAsia="bg-BG"/>
        </w:rPr>
        <w:t xml:space="preserve">Таблица 11: Изход на заболяването при проучвания Фаза </w:t>
      </w:r>
      <w:r w:rsidRPr="00FD4C98">
        <w:rPr>
          <w:rFonts w:eastAsia="Times New Roman" w:cs="Arial"/>
          <w:i/>
          <w:iCs/>
          <w:color w:val="000000"/>
          <w:lang w:val="ru-RU"/>
        </w:rPr>
        <w:t>111 (</w:t>
      </w:r>
      <w:r w:rsidRPr="00AC443D">
        <w:rPr>
          <w:rFonts w:eastAsia="Times New Roman" w:cs="Arial"/>
          <w:i/>
          <w:iCs/>
          <w:color w:val="000000"/>
          <w:lang w:val="en-US"/>
        </w:rPr>
        <w:t>APEX</w:t>
      </w:r>
      <w:r w:rsidRPr="00FD4C98">
        <w:rPr>
          <w:rFonts w:eastAsia="Times New Roman" w:cs="Arial"/>
          <w:i/>
          <w:iCs/>
          <w:color w:val="000000"/>
          <w:lang w:val="ru-RU"/>
        </w:rPr>
        <w:t xml:space="preserve">) </w:t>
      </w:r>
      <w:r w:rsidRPr="00AC443D">
        <w:rPr>
          <w:rFonts w:eastAsia="Times New Roman" w:cs="Arial"/>
          <w:i/>
          <w:iCs/>
          <w:color w:val="000000"/>
          <w:lang w:eastAsia="bg-BG"/>
        </w:rPr>
        <w:t>и Фаза 11</w:t>
      </w:r>
    </w:p>
    <w:p w14:paraId="0FA87C62" w14:textId="19DFBD3D" w:rsidR="00AC443D" w:rsidRDefault="00AC443D" w:rsidP="0091385D"/>
    <w:tbl>
      <w:tblPr>
        <w:tblStyle w:val="TableGrid"/>
        <w:tblW w:w="0" w:type="auto"/>
        <w:tblLook w:val="04A0" w:firstRow="1" w:lastRow="0" w:firstColumn="1" w:lastColumn="0" w:noHBand="0" w:noVBand="1"/>
      </w:tblPr>
      <w:tblGrid>
        <w:gridCol w:w="1631"/>
        <w:gridCol w:w="1195"/>
        <w:gridCol w:w="1059"/>
        <w:gridCol w:w="1032"/>
        <w:gridCol w:w="1032"/>
        <w:gridCol w:w="1032"/>
        <w:gridCol w:w="1032"/>
        <w:gridCol w:w="1337"/>
      </w:tblGrid>
      <w:tr w:rsidR="00AC443D" w14:paraId="7D630513" w14:textId="77777777" w:rsidTr="00AC443D">
        <w:tc>
          <w:tcPr>
            <w:tcW w:w="1631" w:type="dxa"/>
          </w:tcPr>
          <w:p w14:paraId="16A963E8" w14:textId="77777777" w:rsidR="00AC443D" w:rsidRDefault="00AC443D" w:rsidP="00AC443D"/>
        </w:tc>
        <w:tc>
          <w:tcPr>
            <w:tcW w:w="2286" w:type="dxa"/>
            <w:gridSpan w:val="2"/>
          </w:tcPr>
          <w:p w14:paraId="3E194F49" w14:textId="07F1FDE1" w:rsidR="00AC443D" w:rsidRPr="00AC443D" w:rsidRDefault="00AC443D" w:rsidP="00AC443D">
            <w:r w:rsidRPr="00AC443D">
              <w:rPr>
                <w:b/>
                <w:bCs/>
              </w:rPr>
              <w:t xml:space="preserve">Фаза </w:t>
            </w:r>
            <w:r w:rsidRPr="00AC443D">
              <w:rPr>
                <w:b/>
                <w:bCs/>
                <w:lang w:val="en-US"/>
              </w:rPr>
              <w:t>II</w:t>
            </w:r>
            <w:r w:rsidRPr="00AC443D">
              <w:rPr>
                <w:b/>
                <w:bCs/>
              </w:rPr>
              <w:t>I</w:t>
            </w:r>
          </w:p>
        </w:tc>
        <w:tc>
          <w:tcPr>
            <w:tcW w:w="2142" w:type="dxa"/>
            <w:gridSpan w:val="2"/>
          </w:tcPr>
          <w:p w14:paraId="5CBF0629" w14:textId="69A55EA0" w:rsidR="00AC443D" w:rsidRPr="00AC443D" w:rsidRDefault="00AC443D" w:rsidP="00AC443D">
            <w:r w:rsidRPr="00AC443D">
              <w:rPr>
                <w:b/>
                <w:bCs/>
              </w:rPr>
              <w:t>Фаза III</w:t>
            </w:r>
          </w:p>
        </w:tc>
        <w:tc>
          <w:tcPr>
            <w:tcW w:w="2142" w:type="dxa"/>
            <w:gridSpan w:val="2"/>
          </w:tcPr>
          <w:p w14:paraId="1A434AE6" w14:textId="082C21AE" w:rsidR="00AC443D" w:rsidRPr="00AC443D" w:rsidRDefault="00AC443D" w:rsidP="00AC443D">
            <w:r w:rsidRPr="00AC443D">
              <w:rPr>
                <w:b/>
                <w:bCs/>
              </w:rPr>
              <w:t>Фаза III</w:t>
            </w:r>
          </w:p>
        </w:tc>
        <w:tc>
          <w:tcPr>
            <w:tcW w:w="1149" w:type="dxa"/>
          </w:tcPr>
          <w:p w14:paraId="229D08B0" w14:textId="2014C5DD" w:rsidR="00AC443D" w:rsidRPr="00AC443D" w:rsidRDefault="00AC443D" w:rsidP="00AC443D">
            <w:r w:rsidRPr="00AC443D">
              <w:rPr>
                <w:b/>
                <w:bCs/>
              </w:rPr>
              <w:t>Фаза II</w:t>
            </w:r>
          </w:p>
        </w:tc>
      </w:tr>
      <w:tr w:rsidR="00AC443D" w14:paraId="073D74EE" w14:textId="77777777" w:rsidTr="00AC443D">
        <w:tc>
          <w:tcPr>
            <w:tcW w:w="1631" w:type="dxa"/>
          </w:tcPr>
          <w:p w14:paraId="5AC6B27F" w14:textId="77777777" w:rsidR="00AC443D" w:rsidRDefault="00AC443D" w:rsidP="00AC443D"/>
        </w:tc>
        <w:tc>
          <w:tcPr>
            <w:tcW w:w="2286" w:type="dxa"/>
            <w:gridSpan w:val="2"/>
          </w:tcPr>
          <w:p w14:paraId="775C3EB2" w14:textId="57F764DC" w:rsidR="00AC443D" w:rsidRPr="00AC443D" w:rsidRDefault="00AC443D" w:rsidP="00AC443D">
            <w:r w:rsidRPr="00AC443D">
              <w:t>Всички пациенти</w:t>
            </w:r>
          </w:p>
        </w:tc>
        <w:tc>
          <w:tcPr>
            <w:tcW w:w="2142" w:type="dxa"/>
            <w:gridSpan w:val="2"/>
          </w:tcPr>
          <w:p w14:paraId="6D809558" w14:textId="48E520E4" w:rsidR="00AC443D" w:rsidRPr="00AC443D" w:rsidRDefault="00AC443D" w:rsidP="00AC443D">
            <w:r w:rsidRPr="00AC443D">
              <w:rPr>
                <w:b/>
                <w:bCs/>
                <w:lang w:val="en-US"/>
              </w:rPr>
              <w:t xml:space="preserve">1 </w:t>
            </w:r>
            <w:r w:rsidRPr="00AC443D">
              <w:rPr>
                <w:b/>
                <w:bCs/>
              </w:rPr>
              <w:t xml:space="preserve">предишна терапевти </w:t>
            </w:r>
            <w:proofErr w:type="spellStart"/>
            <w:r w:rsidRPr="00AC443D">
              <w:rPr>
                <w:b/>
                <w:bCs/>
              </w:rPr>
              <w:t>чна</w:t>
            </w:r>
            <w:proofErr w:type="spellEnd"/>
            <w:r w:rsidRPr="00AC443D">
              <w:rPr>
                <w:b/>
                <w:bCs/>
              </w:rPr>
              <w:t xml:space="preserve"> линия</w:t>
            </w:r>
          </w:p>
        </w:tc>
        <w:tc>
          <w:tcPr>
            <w:tcW w:w="2142" w:type="dxa"/>
            <w:gridSpan w:val="2"/>
          </w:tcPr>
          <w:p w14:paraId="673752FA" w14:textId="192BA3EC" w:rsidR="00AC443D" w:rsidRPr="00AC443D" w:rsidRDefault="00AC443D" w:rsidP="00AC443D">
            <w:r w:rsidRPr="00AC443D">
              <w:rPr>
                <w:b/>
                <w:bCs/>
              </w:rPr>
              <w:t xml:space="preserve">&gt;1 предишна </w:t>
            </w:r>
            <w:proofErr w:type="spellStart"/>
            <w:r w:rsidRPr="00AC443D">
              <w:rPr>
                <w:b/>
                <w:bCs/>
              </w:rPr>
              <w:t>теравтична</w:t>
            </w:r>
            <w:proofErr w:type="spellEnd"/>
            <w:r w:rsidRPr="00AC443D">
              <w:rPr>
                <w:b/>
                <w:bCs/>
              </w:rPr>
              <w:t xml:space="preserve"> линия</w:t>
            </w:r>
          </w:p>
        </w:tc>
        <w:tc>
          <w:tcPr>
            <w:tcW w:w="1149" w:type="dxa"/>
          </w:tcPr>
          <w:p w14:paraId="3A3C4716" w14:textId="77777777" w:rsidR="00AC443D" w:rsidRPr="00AC443D" w:rsidRDefault="00AC443D" w:rsidP="00AC443D">
            <w:r w:rsidRPr="00AC443D">
              <w:rPr>
                <w:b/>
                <w:bCs/>
              </w:rPr>
              <w:t>≥2</w:t>
            </w:r>
          </w:p>
          <w:p w14:paraId="357FF33B" w14:textId="77777777" w:rsidR="00AC443D" w:rsidRPr="00AC443D" w:rsidRDefault="00AC443D" w:rsidP="00AC443D">
            <w:r w:rsidRPr="00AC443D">
              <w:rPr>
                <w:b/>
                <w:bCs/>
              </w:rPr>
              <w:t>предишни терапевти чии</w:t>
            </w:r>
          </w:p>
          <w:p w14:paraId="50772E71" w14:textId="08A2E8EB" w:rsidR="00AC443D" w:rsidRPr="00AC443D" w:rsidRDefault="00AC443D" w:rsidP="00AC443D">
            <w:r w:rsidRPr="00AC443D">
              <w:rPr>
                <w:b/>
                <w:bCs/>
              </w:rPr>
              <w:t>линии</w:t>
            </w:r>
          </w:p>
        </w:tc>
      </w:tr>
      <w:tr w:rsidR="00AC443D" w14:paraId="7C1785C6" w14:textId="77777777" w:rsidTr="00AC443D">
        <w:tc>
          <w:tcPr>
            <w:tcW w:w="1631" w:type="dxa"/>
          </w:tcPr>
          <w:p w14:paraId="5BBB73B3" w14:textId="54E4E7CF" w:rsidR="00AC443D" w:rsidRPr="00AC443D" w:rsidRDefault="00AC443D" w:rsidP="00AC443D">
            <w:pPr>
              <w:rPr>
                <w:rFonts w:cs="Arial"/>
              </w:rPr>
            </w:pPr>
            <w:r w:rsidRPr="00AC443D">
              <w:rPr>
                <w:rFonts w:cs="Arial"/>
                <w:b/>
                <w:bCs/>
              </w:rPr>
              <w:t>Събития, свързани с времето</w:t>
            </w:r>
          </w:p>
        </w:tc>
        <w:tc>
          <w:tcPr>
            <w:tcW w:w="1195" w:type="dxa"/>
          </w:tcPr>
          <w:p w14:paraId="41527E6E" w14:textId="6C9DDB45" w:rsidR="00AC443D" w:rsidRPr="00AC443D" w:rsidRDefault="00AC443D" w:rsidP="00AC443D">
            <w:pPr>
              <w:rPr>
                <w:rFonts w:cs="Arial"/>
              </w:rPr>
            </w:pPr>
            <w:r w:rsidRPr="00AC443D">
              <w:rPr>
                <w:rFonts w:cs="Arial"/>
                <w:lang w:val="en-US"/>
              </w:rPr>
              <w:t>Br</w:t>
            </w:r>
          </w:p>
        </w:tc>
        <w:tc>
          <w:tcPr>
            <w:tcW w:w="1091" w:type="dxa"/>
          </w:tcPr>
          <w:p w14:paraId="14C92B17" w14:textId="7EF1D58E" w:rsidR="00AC443D" w:rsidRPr="00AC443D" w:rsidRDefault="00AC443D" w:rsidP="00AC443D">
            <w:pPr>
              <w:rPr>
                <w:rFonts w:cs="Arial"/>
              </w:rPr>
            </w:pPr>
            <w:proofErr w:type="spellStart"/>
            <w:r w:rsidRPr="00AC443D">
              <w:rPr>
                <w:rFonts w:cs="Arial"/>
                <w:b/>
                <w:bCs/>
                <w:lang w:val="en-US"/>
              </w:rPr>
              <w:t>Dex</w:t>
            </w:r>
            <w:proofErr w:type="spellEnd"/>
          </w:p>
        </w:tc>
        <w:tc>
          <w:tcPr>
            <w:tcW w:w="1071" w:type="dxa"/>
          </w:tcPr>
          <w:p w14:paraId="0486BEC4" w14:textId="1E9AB395" w:rsidR="00AC443D" w:rsidRPr="00AC443D" w:rsidRDefault="00AC443D" w:rsidP="00AC443D">
            <w:pPr>
              <w:rPr>
                <w:rFonts w:cs="Arial"/>
              </w:rPr>
            </w:pPr>
            <w:r w:rsidRPr="00AC443D">
              <w:rPr>
                <w:rFonts w:cs="Arial"/>
                <w:b/>
                <w:bCs/>
                <w:lang w:val="en-US"/>
              </w:rPr>
              <w:t>Br</w:t>
            </w:r>
          </w:p>
        </w:tc>
        <w:tc>
          <w:tcPr>
            <w:tcW w:w="1071" w:type="dxa"/>
          </w:tcPr>
          <w:p w14:paraId="40511B87" w14:textId="2FE80C82" w:rsidR="00AC443D" w:rsidRPr="00AC443D" w:rsidRDefault="00AC443D" w:rsidP="00AC443D">
            <w:pPr>
              <w:rPr>
                <w:rFonts w:cs="Arial"/>
              </w:rPr>
            </w:pPr>
            <w:proofErr w:type="spellStart"/>
            <w:r w:rsidRPr="00AC443D">
              <w:rPr>
                <w:rFonts w:cs="Arial"/>
                <w:b/>
                <w:bCs/>
                <w:lang w:val="en-US"/>
              </w:rPr>
              <w:t>Dex</w:t>
            </w:r>
            <w:proofErr w:type="spellEnd"/>
          </w:p>
        </w:tc>
        <w:tc>
          <w:tcPr>
            <w:tcW w:w="1071" w:type="dxa"/>
          </w:tcPr>
          <w:p w14:paraId="0299D7F9" w14:textId="7434A599" w:rsidR="00AC443D" w:rsidRPr="00AC443D" w:rsidRDefault="00AC443D" w:rsidP="00AC443D">
            <w:pPr>
              <w:rPr>
                <w:rFonts w:cs="Arial"/>
              </w:rPr>
            </w:pPr>
            <w:proofErr w:type="spellStart"/>
            <w:r w:rsidRPr="00AC443D">
              <w:rPr>
                <w:rFonts w:cs="Arial"/>
                <w:b/>
                <w:bCs/>
              </w:rPr>
              <w:t>Вг</w:t>
            </w:r>
            <w:proofErr w:type="spellEnd"/>
          </w:p>
        </w:tc>
        <w:tc>
          <w:tcPr>
            <w:tcW w:w="1071" w:type="dxa"/>
          </w:tcPr>
          <w:p w14:paraId="62FF1B56" w14:textId="22C1DEA3" w:rsidR="00AC443D" w:rsidRPr="00AC443D" w:rsidRDefault="00AC443D" w:rsidP="00AC443D">
            <w:pPr>
              <w:rPr>
                <w:rFonts w:cs="Arial"/>
              </w:rPr>
            </w:pPr>
            <w:proofErr w:type="spellStart"/>
            <w:r w:rsidRPr="00AC443D">
              <w:rPr>
                <w:rFonts w:cs="Arial"/>
                <w:b/>
                <w:bCs/>
                <w:lang w:val="en-US"/>
              </w:rPr>
              <w:t>Dex</w:t>
            </w:r>
            <w:proofErr w:type="spellEnd"/>
          </w:p>
        </w:tc>
        <w:tc>
          <w:tcPr>
            <w:tcW w:w="1149" w:type="dxa"/>
          </w:tcPr>
          <w:p w14:paraId="6FC88EB4" w14:textId="0286D707" w:rsidR="00AC443D" w:rsidRPr="00AC443D" w:rsidRDefault="00AC443D" w:rsidP="00AC443D">
            <w:pPr>
              <w:rPr>
                <w:rFonts w:cs="Arial"/>
              </w:rPr>
            </w:pPr>
            <w:proofErr w:type="spellStart"/>
            <w:r w:rsidRPr="00AC443D">
              <w:rPr>
                <w:rFonts w:cs="Arial"/>
                <w:b/>
                <w:bCs/>
              </w:rPr>
              <w:t>Вг</w:t>
            </w:r>
            <w:proofErr w:type="spellEnd"/>
          </w:p>
        </w:tc>
      </w:tr>
      <w:tr w:rsidR="00AC443D" w14:paraId="73ECE41C" w14:textId="77777777" w:rsidTr="00AC443D">
        <w:tc>
          <w:tcPr>
            <w:tcW w:w="1631" w:type="dxa"/>
          </w:tcPr>
          <w:p w14:paraId="09F3E9C9" w14:textId="77777777" w:rsidR="00AC443D" w:rsidRPr="00AC443D" w:rsidRDefault="00AC443D" w:rsidP="00AC443D">
            <w:pPr>
              <w:rPr>
                <w:rFonts w:cs="Arial"/>
              </w:rPr>
            </w:pPr>
            <w:r w:rsidRPr="00AC443D">
              <w:rPr>
                <w:rFonts w:cs="Arial"/>
              </w:rPr>
              <w:t>ТТР, дни</w:t>
            </w:r>
          </w:p>
          <w:p w14:paraId="2D73FCD5" w14:textId="6D5C6703" w:rsidR="00AC443D" w:rsidRPr="00AC443D" w:rsidRDefault="00AC443D" w:rsidP="00AC443D">
            <w:pPr>
              <w:rPr>
                <w:rFonts w:cs="Arial"/>
              </w:rPr>
            </w:pPr>
            <w:r w:rsidRPr="00AC443D">
              <w:rPr>
                <w:rFonts w:cs="Arial"/>
              </w:rPr>
              <w:t>Г95% С</w:t>
            </w:r>
            <w:r w:rsidRPr="00AC443D">
              <w:rPr>
                <w:rFonts w:cs="Arial"/>
                <w:lang w:val="en-US"/>
              </w:rPr>
              <w:t>I]</w:t>
            </w:r>
          </w:p>
        </w:tc>
        <w:tc>
          <w:tcPr>
            <w:tcW w:w="1195" w:type="dxa"/>
          </w:tcPr>
          <w:p w14:paraId="55B7539D" w14:textId="0CE8C842" w:rsidR="00AC443D" w:rsidRPr="00AC443D" w:rsidRDefault="00AC443D" w:rsidP="00AC443D">
            <w:pPr>
              <w:rPr>
                <w:rFonts w:cs="Arial"/>
              </w:rPr>
            </w:pPr>
            <w:r w:rsidRPr="00AC443D">
              <w:rPr>
                <w:rFonts w:cs="Arial"/>
              </w:rPr>
              <w:t>189</w:t>
            </w:r>
            <w:r w:rsidRPr="00AC443D">
              <w:rPr>
                <w:rFonts w:cs="Arial"/>
                <w:vertAlign w:val="superscript"/>
              </w:rPr>
              <w:t xml:space="preserve">б </w:t>
            </w:r>
            <w:r w:rsidRPr="00AC443D">
              <w:rPr>
                <w:rFonts w:cs="Arial"/>
                <w:lang w:val="en-US"/>
              </w:rPr>
              <w:t>[148,2111</w:t>
            </w:r>
          </w:p>
        </w:tc>
        <w:tc>
          <w:tcPr>
            <w:tcW w:w="1091" w:type="dxa"/>
          </w:tcPr>
          <w:p w14:paraId="59573F00" w14:textId="77777777" w:rsidR="00AC443D" w:rsidRPr="00AC443D" w:rsidRDefault="00AC443D" w:rsidP="00AC443D">
            <w:pPr>
              <w:rPr>
                <w:rFonts w:cs="Arial"/>
              </w:rPr>
            </w:pPr>
            <w:r w:rsidRPr="00AC443D">
              <w:rPr>
                <w:rFonts w:cs="Arial"/>
                <w:lang w:val="en-US"/>
              </w:rPr>
              <w:t>106</w:t>
            </w:r>
            <w:r w:rsidRPr="00AC443D">
              <w:rPr>
                <w:rFonts w:cs="Arial"/>
                <w:vertAlign w:val="superscript"/>
                <w:lang w:val="en-US"/>
              </w:rPr>
              <w:t>6</w:t>
            </w:r>
          </w:p>
          <w:p w14:paraId="750F9EE0" w14:textId="0318D798" w:rsidR="00AC443D" w:rsidRPr="00AC443D" w:rsidRDefault="00AC443D" w:rsidP="00AC443D">
            <w:pPr>
              <w:rPr>
                <w:rFonts w:cs="Arial"/>
              </w:rPr>
            </w:pPr>
            <w:r w:rsidRPr="00AC443D">
              <w:rPr>
                <w:rFonts w:cs="Arial"/>
                <w:lang w:val="en-US"/>
              </w:rPr>
              <w:t>[86, 128]</w:t>
            </w:r>
          </w:p>
        </w:tc>
        <w:tc>
          <w:tcPr>
            <w:tcW w:w="1071" w:type="dxa"/>
          </w:tcPr>
          <w:p w14:paraId="734EE657" w14:textId="6B13879B" w:rsidR="00AC443D" w:rsidRPr="00AC443D" w:rsidRDefault="00AC443D" w:rsidP="00AC443D">
            <w:pPr>
              <w:rPr>
                <w:rFonts w:cs="Arial"/>
              </w:rPr>
            </w:pPr>
            <w:r w:rsidRPr="00AC443D">
              <w:rPr>
                <w:rFonts w:cs="Arial"/>
              </w:rPr>
              <w:t>212</w:t>
            </w:r>
            <w:r w:rsidRPr="00AC443D">
              <w:rPr>
                <w:rFonts w:cs="Arial"/>
                <w:vertAlign w:val="superscript"/>
              </w:rPr>
              <w:t xml:space="preserve">г </w:t>
            </w:r>
            <w:r w:rsidRPr="00AC443D">
              <w:rPr>
                <w:rFonts w:cs="Arial"/>
              </w:rPr>
              <w:t>[188, 267]</w:t>
            </w:r>
          </w:p>
        </w:tc>
        <w:tc>
          <w:tcPr>
            <w:tcW w:w="1071" w:type="dxa"/>
          </w:tcPr>
          <w:p w14:paraId="674637A6" w14:textId="77777777" w:rsidR="00AC443D" w:rsidRPr="00AC443D" w:rsidRDefault="00AC443D" w:rsidP="00AC443D">
            <w:pPr>
              <w:rPr>
                <w:rFonts w:cs="Arial"/>
              </w:rPr>
            </w:pPr>
            <w:r w:rsidRPr="00AC443D">
              <w:rPr>
                <w:rFonts w:cs="Arial"/>
              </w:rPr>
              <w:t>169</w:t>
            </w:r>
            <w:r w:rsidRPr="00AC443D">
              <w:rPr>
                <w:rFonts w:cs="Arial"/>
                <w:vertAlign w:val="superscript"/>
              </w:rPr>
              <w:t>г</w:t>
            </w:r>
          </w:p>
          <w:p w14:paraId="34E79842" w14:textId="0BD1D345" w:rsidR="00AC443D" w:rsidRPr="00AC443D" w:rsidRDefault="00AC443D" w:rsidP="00AC443D">
            <w:pPr>
              <w:rPr>
                <w:rFonts w:cs="Arial"/>
              </w:rPr>
            </w:pPr>
            <w:r w:rsidRPr="00AC443D">
              <w:rPr>
                <w:rFonts w:cs="Arial"/>
              </w:rPr>
              <w:t>[105, 191]</w:t>
            </w:r>
          </w:p>
        </w:tc>
        <w:tc>
          <w:tcPr>
            <w:tcW w:w="1071" w:type="dxa"/>
          </w:tcPr>
          <w:p w14:paraId="0BA2AA21" w14:textId="77777777" w:rsidR="00AC443D" w:rsidRPr="00AC443D" w:rsidRDefault="00AC443D" w:rsidP="00AC443D">
            <w:pPr>
              <w:rPr>
                <w:rFonts w:cs="Arial"/>
              </w:rPr>
            </w:pPr>
            <w:r w:rsidRPr="00AC443D">
              <w:rPr>
                <w:rFonts w:cs="Arial"/>
              </w:rPr>
              <w:t>148</w:t>
            </w:r>
            <w:r w:rsidRPr="00AC443D">
              <w:rPr>
                <w:rFonts w:cs="Arial"/>
                <w:vertAlign w:val="superscript"/>
              </w:rPr>
              <w:t>6</w:t>
            </w:r>
          </w:p>
          <w:p w14:paraId="33C8F12C" w14:textId="7A655FF8" w:rsidR="00AC443D" w:rsidRPr="00AC443D" w:rsidRDefault="00AC443D" w:rsidP="00AC443D">
            <w:pPr>
              <w:rPr>
                <w:rFonts w:cs="Arial"/>
              </w:rPr>
            </w:pPr>
            <w:r w:rsidRPr="00AC443D">
              <w:rPr>
                <w:rFonts w:cs="Arial"/>
              </w:rPr>
              <w:t>[129, 192]</w:t>
            </w:r>
          </w:p>
        </w:tc>
        <w:tc>
          <w:tcPr>
            <w:tcW w:w="1071" w:type="dxa"/>
          </w:tcPr>
          <w:p w14:paraId="3ED8EC9E" w14:textId="1E1F9ED6" w:rsidR="00AC443D" w:rsidRPr="00AC443D" w:rsidRDefault="00AC443D" w:rsidP="00AC443D">
            <w:pPr>
              <w:rPr>
                <w:rFonts w:cs="Arial"/>
              </w:rPr>
            </w:pPr>
            <w:r w:rsidRPr="00AC443D">
              <w:rPr>
                <w:rFonts w:cs="Arial"/>
              </w:rPr>
              <w:t>87</w:t>
            </w:r>
            <w:r w:rsidRPr="00AC443D">
              <w:rPr>
                <w:rFonts w:cs="Arial"/>
                <w:vertAlign w:val="superscript"/>
              </w:rPr>
              <w:t xml:space="preserve">б </w:t>
            </w:r>
            <w:r w:rsidRPr="00AC443D">
              <w:rPr>
                <w:rFonts w:cs="Arial"/>
              </w:rPr>
              <w:t>[84, 1071</w:t>
            </w:r>
          </w:p>
        </w:tc>
        <w:tc>
          <w:tcPr>
            <w:tcW w:w="1149" w:type="dxa"/>
          </w:tcPr>
          <w:p w14:paraId="22FA35C1" w14:textId="3E1D4764" w:rsidR="00AC443D" w:rsidRPr="00AC443D" w:rsidRDefault="00AC443D" w:rsidP="00AC443D">
            <w:pPr>
              <w:rPr>
                <w:rFonts w:cs="Arial"/>
              </w:rPr>
            </w:pPr>
            <w:r w:rsidRPr="00AC443D">
              <w:rPr>
                <w:rFonts w:cs="Arial"/>
              </w:rPr>
              <w:t>210 [154,28Ц</w:t>
            </w:r>
          </w:p>
        </w:tc>
      </w:tr>
      <w:tr w:rsidR="00AC443D" w14:paraId="687688F9" w14:textId="77777777" w:rsidTr="00AC443D">
        <w:tc>
          <w:tcPr>
            <w:tcW w:w="1631" w:type="dxa"/>
          </w:tcPr>
          <w:p w14:paraId="61F7EC72" w14:textId="0448A465" w:rsidR="00AC443D" w:rsidRPr="00AC443D" w:rsidRDefault="00AC443D" w:rsidP="00AC443D">
            <w:pPr>
              <w:rPr>
                <w:rFonts w:cs="Arial"/>
              </w:rPr>
            </w:pPr>
            <w:proofErr w:type="spellStart"/>
            <w:r w:rsidRPr="00AC443D">
              <w:rPr>
                <w:rFonts w:cs="Arial"/>
              </w:rPr>
              <w:t>Преживяемос</w:t>
            </w:r>
            <w:proofErr w:type="spellEnd"/>
            <w:r w:rsidRPr="00AC443D">
              <w:rPr>
                <w:rFonts w:cs="Arial"/>
              </w:rPr>
              <w:t xml:space="preserve"> т 1 година, % [95% С</w:t>
            </w:r>
            <w:r w:rsidRPr="00AC443D">
              <w:rPr>
                <w:rFonts w:cs="Arial"/>
                <w:lang w:val="en-US"/>
              </w:rPr>
              <w:t>I]</w:t>
            </w:r>
          </w:p>
        </w:tc>
        <w:tc>
          <w:tcPr>
            <w:tcW w:w="1195" w:type="dxa"/>
          </w:tcPr>
          <w:p w14:paraId="7F36CF5D" w14:textId="71D75ABB" w:rsidR="00AC443D" w:rsidRPr="00AC443D" w:rsidRDefault="00AC443D" w:rsidP="00AC443D">
            <w:pPr>
              <w:rPr>
                <w:rFonts w:cs="Arial"/>
              </w:rPr>
            </w:pPr>
            <w:r w:rsidRPr="00AC443D">
              <w:rPr>
                <w:rFonts w:cs="Arial"/>
                <w:lang w:val="en-US"/>
              </w:rPr>
              <w:t>80</w:t>
            </w:r>
            <w:r w:rsidRPr="00AC443D">
              <w:rPr>
                <w:rFonts w:cs="Arial"/>
                <w:vertAlign w:val="superscript"/>
              </w:rPr>
              <w:t>г</w:t>
            </w:r>
          </w:p>
        </w:tc>
        <w:tc>
          <w:tcPr>
            <w:tcW w:w="1091" w:type="dxa"/>
          </w:tcPr>
          <w:p w14:paraId="74BE2FF2" w14:textId="6DC09FEE" w:rsidR="00AC443D" w:rsidRPr="00AC443D" w:rsidRDefault="00AC443D" w:rsidP="00AC443D">
            <w:pPr>
              <w:rPr>
                <w:rFonts w:cs="Arial"/>
              </w:rPr>
            </w:pPr>
            <w:r w:rsidRPr="00AC443D">
              <w:rPr>
                <w:rFonts w:cs="Arial"/>
                <w:lang w:val="en-US"/>
              </w:rPr>
              <w:t>66</w:t>
            </w:r>
            <w:r w:rsidRPr="00AC443D">
              <w:rPr>
                <w:rFonts w:cs="Arial"/>
                <w:vertAlign w:val="superscript"/>
              </w:rPr>
              <w:t>г</w:t>
            </w:r>
          </w:p>
        </w:tc>
        <w:tc>
          <w:tcPr>
            <w:tcW w:w="1071" w:type="dxa"/>
          </w:tcPr>
          <w:p w14:paraId="3F425F36" w14:textId="11C47229" w:rsidR="00AC443D" w:rsidRPr="00AC443D" w:rsidRDefault="00AC443D" w:rsidP="00AC443D">
            <w:pPr>
              <w:rPr>
                <w:rFonts w:cs="Arial"/>
              </w:rPr>
            </w:pPr>
            <w:r w:rsidRPr="00AC443D">
              <w:rPr>
                <w:rFonts w:cs="Arial"/>
                <w:b/>
                <w:bCs/>
              </w:rPr>
              <w:t>89</w:t>
            </w:r>
            <w:r w:rsidRPr="00AC443D">
              <w:rPr>
                <w:rFonts w:cs="Arial"/>
                <w:b/>
                <w:bCs/>
                <w:vertAlign w:val="superscript"/>
              </w:rPr>
              <w:t>г</w:t>
            </w:r>
          </w:p>
        </w:tc>
        <w:tc>
          <w:tcPr>
            <w:tcW w:w="1071" w:type="dxa"/>
          </w:tcPr>
          <w:p w14:paraId="704B5DAD" w14:textId="385C5CBF" w:rsidR="00AC443D" w:rsidRPr="00AC443D" w:rsidRDefault="00AC443D" w:rsidP="00AC443D">
            <w:pPr>
              <w:rPr>
                <w:rFonts w:cs="Arial"/>
              </w:rPr>
            </w:pPr>
            <w:r w:rsidRPr="00AC443D">
              <w:rPr>
                <w:rFonts w:cs="Arial"/>
                <w:b/>
                <w:bCs/>
              </w:rPr>
              <w:t>72</w:t>
            </w:r>
            <w:r w:rsidRPr="00AC443D">
              <w:rPr>
                <w:rFonts w:cs="Arial"/>
                <w:b/>
                <w:bCs/>
                <w:vertAlign w:val="superscript"/>
              </w:rPr>
              <w:t>г</w:t>
            </w:r>
          </w:p>
        </w:tc>
        <w:tc>
          <w:tcPr>
            <w:tcW w:w="1071" w:type="dxa"/>
          </w:tcPr>
          <w:p w14:paraId="1655A57E" w14:textId="4A5EDAA9" w:rsidR="00AC443D" w:rsidRPr="00AC443D" w:rsidRDefault="00AC443D" w:rsidP="00AC443D">
            <w:pPr>
              <w:rPr>
                <w:rFonts w:cs="Arial"/>
              </w:rPr>
            </w:pPr>
            <w:r w:rsidRPr="00AC443D">
              <w:rPr>
                <w:rFonts w:cs="Arial"/>
              </w:rPr>
              <w:t>73</w:t>
            </w:r>
          </w:p>
        </w:tc>
        <w:tc>
          <w:tcPr>
            <w:tcW w:w="1071" w:type="dxa"/>
          </w:tcPr>
          <w:p w14:paraId="6EBA9F1F" w14:textId="33F765FA" w:rsidR="00AC443D" w:rsidRPr="00AC443D" w:rsidRDefault="00AC443D" w:rsidP="00AC443D">
            <w:pPr>
              <w:rPr>
                <w:rFonts w:cs="Arial"/>
              </w:rPr>
            </w:pPr>
            <w:r w:rsidRPr="00AC443D">
              <w:rPr>
                <w:rFonts w:cs="Arial"/>
              </w:rPr>
              <w:t>62</w:t>
            </w:r>
          </w:p>
        </w:tc>
        <w:tc>
          <w:tcPr>
            <w:tcW w:w="1149" w:type="dxa"/>
          </w:tcPr>
          <w:p w14:paraId="08776BFD" w14:textId="351006D5" w:rsidR="00AC443D" w:rsidRPr="00AC443D" w:rsidRDefault="00AC443D" w:rsidP="00AC443D">
            <w:pPr>
              <w:rPr>
                <w:rFonts w:cs="Arial"/>
              </w:rPr>
            </w:pPr>
            <w:r w:rsidRPr="00AC443D">
              <w:rPr>
                <w:rFonts w:cs="Arial"/>
                <w:b/>
                <w:bCs/>
              </w:rPr>
              <w:t>60</w:t>
            </w:r>
          </w:p>
        </w:tc>
      </w:tr>
      <w:tr w:rsidR="00AC443D" w14:paraId="46316908" w14:textId="77777777" w:rsidTr="00AC443D">
        <w:tc>
          <w:tcPr>
            <w:tcW w:w="1631" w:type="dxa"/>
          </w:tcPr>
          <w:p w14:paraId="26719DE9" w14:textId="77777777" w:rsidR="00AC443D" w:rsidRPr="00AC443D" w:rsidRDefault="00AC443D" w:rsidP="00AC443D">
            <w:pPr>
              <w:rPr>
                <w:rFonts w:cs="Arial"/>
              </w:rPr>
            </w:pPr>
          </w:p>
        </w:tc>
        <w:tc>
          <w:tcPr>
            <w:tcW w:w="1195" w:type="dxa"/>
          </w:tcPr>
          <w:p w14:paraId="6FC3CB3C" w14:textId="42E2D925" w:rsidR="00AC443D" w:rsidRPr="00AC443D" w:rsidRDefault="00AC443D" w:rsidP="00AC443D">
            <w:pPr>
              <w:rPr>
                <w:rFonts w:cs="Arial"/>
              </w:rPr>
            </w:pPr>
            <w:r w:rsidRPr="00AC443D">
              <w:rPr>
                <w:rFonts w:cs="Arial"/>
                <w:lang w:val="en-US"/>
              </w:rPr>
              <w:t>[74,85]</w:t>
            </w:r>
          </w:p>
        </w:tc>
        <w:tc>
          <w:tcPr>
            <w:tcW w:w="1091" w:type="dxa"/>
          </w:tcPr>
          <w:p w14:paraId="4558A399" w14:textId="13B12A06" w:rsidR="00AC443D" w:rsidRPr="00AC443D" w:rsidRDefault="00AC443D" w:rsidP="00AC443D">
            <w:pPr>
              <w:rPr>
                <w:rFonts w:cs="Arial"/>
              </w:rPr>
            </w:pPr>
            <w:r w:rsidRPr="00AC443D">
              <w:rPr>
                <w:rFonts w:cs="Arial"/>
                <w:lang w:val="en-US"/>
              </w:rPr>
              <w:t>[59,72]</w:t>
            </w:r>
          </w:p>
        </w:tc>
        <w:tc>
          <w:tcPr>
            <w:tcW w:w="1071" w:type="dxa"/>
          </w:tcPr>
          <w:p w14:paraId="74890683" w14:textId="0EA5E9E5" w:rsidR="00AC443D" w:rsidRPr="00AC443D" w:rsidRDefault="00AC443D" w:rsidP="00AC443D">
            <w:pPr>
              <w:rPr>
                <w:rFonts w:cs="Arial"/>
              </w:rPr>
            </w:pPr>
            <w:r w:rsidRPr="00AC443D">
              <w:rPr>
                <w:rFonts w:cs="Arial"/>
              </w:rPr>
              <w:t>[82,95]</w:t>
            </w:r>
          </w:p>
        </w:tc>
        <w:tc>
          <w:tcPr>
            <w:tcW w:w="1071" w:type="dxa"/>
          </w:tcPr>
          <w:p w14:paraId="47CBB8F0" w14:textId="0E0AB522" w:rsidR="00AC443D" w:rsidRPr="00AC443D" w:rsidRDefault="00AC443D" w:rsidP="00AC443D">
            <w:pPr>
              <w:rPr>
                <w:rFonts w:cs="Arial"/>
              </w:rPr>
            </w:pPr>
            <w:r w:rsidRPr="00AC443D">
              <w:rPr>
                <w:rFonts w:cs="Arial"/>
              </w:rPr>
              <w:t>[62,83]</w:t>
            </w:r>
          </w:p>
        </w:tc>
        <w:tc>
          <w:tcPr>
            <w:tcW w:w="1071" w:type="dxa"/>
          </w:tcPr>
          <w:p w14:paraId="6D82B802" w14:textId="4BD3A301" w:rsidR="00AC443D" w:rsidRPr="00AC443D" w:rsidRDefault="00AC443D" w:rsidP="00AC443D">
            <w:pPr>
              <w:rPr>
                <w:rFonts w:cs="Arial"/>
              </w:rPr>
            </w:pPr>
            <w:r w:rsidRPr="00AC443D">
              <w:rPr>
                <w:rFonts w:cs="Arial"/>
              </w:rPr>
              <w:t>[64,82]</w:t>
            </w:r>
          </w:p>
        </w:tc>
        <w:tc>
          <w:tcPr>
            <w:tcW w:w="1071" w:type="dxa"/>
          </w:tcPr>
          <w:p w14:paraId="4ADA2959" w14:textId="11214C69" w:rsidR="00AC443D" w:rsidRPr="00AC443D" w:rsidRDefault="00AC443D" w:rsidP="00AC443D">
            <w:pPr>
              <w:rPr>
                <w:rFonts w:cs="Arial"/>
              </w:rPr>
            </w:pPr>
            <w:r w:rsidRPr="00AC443D">
              <w:rPr>
                <w:rFonts w:cs="Arial"/>
              </w:rPr>
              <w:t>[53,71]</w:t>
            </w:r>
          </w:p>
        </w:tc>
        <w:tc>
          <w:tcPr>
            <w:tcW w:w="1149" w:type="dxa"/>
          </w:tcPr>
          <w:p w14:paraId="2E7128A7" w14:textId="77777777" w:rsidR="00AC443D" w:rsidRPr="00AC443D" w:rsidRDefault="00AC443D" w:rsidP="00AC443D">
            <w:pPr>
              <w:rPr>
                <w:rFonts w:cs="Arial"/>
              </w:rPr>
            </w:pPr>
          </w:p>
        </w:tc>
      </w:tr>
      <w:tr w:rsidR="00AC443D" w14:paraId="656306DD" w14:textId="77777777" w:rsidTr="00AC443D">
        <w:tc>
          <w:tcPr>
            <w:tcW w:w="1631" w:type="dxa"/>
          </w:tcPr>
          <w:p w14:paraId="709733FE" w14:textId="457D12F7" w:rsidR="00AC443D" w:rsidRPr="00AC443D" w:rsidRDefault="00AC443D" w:rsidP="00AC443D">
            <w:pPr>
              <w:rPr>
                <w:rFonts w:cs="Arial"/>
              </w:rPr>
            </w:pPr>
            <w:r w:rsidRPr="00AC443D">
              <w:rPr>
                <w:rFonts w:cs="Arial"/>
                <w:b/>
                <w:bCs/>
              </w:rPr>
              <w:t>Най-добър</w:t>
            </w:r>
          </w:p>
        </w:tc>
        <w:tc>
          <w:tcPr>
            <w:tcW w:w="1195" w:type="dxa"/>
          </w:tcPr>
          <w:p w14:paraId="73B27A2D" w14:textId="6A4D57C2" w:rsidR="00AC443D" w:rsidRPr="00AC443D" w:rsidRDefault="00AC443D" w:rsidP="00AC443D">
            <w:pPr>
              <w:rPr>
                <w:rFonts w:cs="Arial"/>
              </w:rPr>
            </w:pPr>
            <w:r w:rsidRPr="00AC443D">
              <w:rPr>
                <w:rFonts w:cs="Arial"/>
                <w:lang w:val="en-US"/>
              </w:rPr>
              <w:t>Br</w:t>
            </w:r>
          </w:p>
        </w:tc>
        <w:tc>
          <w:tcPr>
            <w:tcW w:w="1091" w:type="dxa"/>
          </w:tcPr>
          <w:p w14:paraId="21060790" w14:textId="342C9900" w:rsidR="00AC443D" w:rsidRPr="00AC443D" w:rsidRDefault="00AC443D" w:rsidP="00AC443D">
            <w:pPr>
              <w:rPr>
                <w:rFonts w:cs="Arial"/>
              </w:rPr>
            </w:pPr>
            <w:proofErr w:type="spellStart"/>
            <w:r w:rsidRPr="00AC443D">
              <w:rPr>
                <w:rFonts w:cs="Arial"/>
                <w:b/>
                <w:bCs/>
                <w:lang w:val="en-US"/>
              </w:rPr>
              <w:t>Dex</w:t>
            </w:r>
            <w:proofErr w:type="spellEnd"/>
          </w:p>
        </w:tc>
        <w:tc>
          <w:tcPr>
            <w:tcW w:w="1071" w:type="dxa"/>
          </w:tcPr>
          <w:p w14:paraId="7F5CD27C" w14:textId="2DF66194" w:rsidR="00AC443D" w:rsidRPr="00AC443D" w:rsidRDefault="00AC443D" w:rsidP="00AC443D">
            <w:pPr>
              <w:rPr>
                <w:rFonts w:cs="Arial"/>
              </w:rPr>
            </w:pPr>
            <w:proofErr w:type="spellStart"/>
            <w:r w:rsidRPr="00AC443D">
              <w:rPr>
                <w:rFonts w:cs="Arial"/>
                <w:b/>
                <w:bCs/>
              </w:rPr>
              <w:t>Вг</w:t>
            </w:r>
            <w:proofErr w:type="spellEnd"/>
          </w:p>
        </w:tc>
        <w:tc>
          <w:tcPr>
            <w:tcW w:w="1071" w:type="dxa"/>
          </w:tcPr>
          <w:p w14:paraId="2703E193" w14:textId="600A36AB" w:rsidR="00AC443D" w:rsidRPr="00AC443D" w:rsidRDefault="00AC443D" w:rsidP="00AC443D">
            <w:pPr>
              <w:rPr>
                <w:rFonts w:cs="Arial"/>
              </w:rPr>
            </w:pPr>
            <w:proofErr w:type="spellStart"/>
            <w:r w:rsidRPr="00AC443D">
              <w:rPr>
                <w:rFonts w:cs="Arial"/>
                <w:b/>
                <w:bCs/>
                <w:lang w:val="en-US"/>
              </w:rPr>
              <w:t>Dex</w:t>
            </w:r>
            <w:proofErr w:type="spellEnd"/>
          </w:p>
        </w:tc>
        <w:tc>
          <w:tcPr>
            <w:tcW w:w="1071" w:type="dxa"/>
          </w:tcPr>
          <w:p w14:paraId="5AF18810" w14:textId="02E0180A" w:rsidR="00AC443D" w:rsidRPr="00AC443D" w:rsidRDefault="00AC443D" w:rsidP="00AC443D">
            <w:pPr>
              <w:rPr>
                <w:rFonts w:cs="Arial"/>
              </w:rPr>
            </w:pPr>
            <w:proofErr w:type="spellStart"/>
            <w:r w:rsidRPr="00AC443D">
              <w:rPr>
                <w:rFonts w:cs="Arial"/>
                <w:b/>
                <w:bCs/>
              </w:rPr>
              <w:t>Вг</w:t>
            </w:r>
            <w:proofErr w:type="spellEnd"/>
          </w:p>
        </w:tc>
        <w:tc>
          <w:tcPr>
            <w:tcW w:w="1071" w:type="dxa"/>
          </w:tcPr>
          <w:p w14:paraId="7EFDA879" w14:textId="6A06E9E8" w:rsidR="00AC443D" w:rsidRPr="00AC443D" w:rsidRDefault="00AC443D" w:rsidP="00AC443D">
            <w:pPr>
              <w:rPr>
                <w:rFonts w:cs="Arial"/>
              </w:rPr>
            </w:pPr>
            <w:proofErr w:type="spellStart"/>
            <w:r w:rsidRPr="00AC443D">
              <w:rPr>
                <w:rFonts w:cs="Arial"/>
                <w:b/>
                <w:bCs/>
                <w:lang w:val="en-US"/>
              </w:rPr>
              <w:t>Dex</w:t>
            </w:r>
            <w:proofErr w:type="spellEnd"/>
          </w:p>
        </w:tc>
        <w:tc>
          <w:tcPr>
            <w:tcW w:w="1149" w:type="dxa"/>
          </w:tcPr>
          <w:p w14:paraId="643521EA" w14:textId="264864EB" w:rsidR="00AC443D" w:rsidRPr="00AC443D" w:rsidRDefault="00AC443D" w:rsidP="00AC443D">
            <w:pPr>
              <w:rPr>
                <w:rFonts w:cs="Arial"/>
              </w:rPr>
            </w:pPr>
            <w:proofErr w:type="spellStart"/>
            <w:r w:rsidRPr="00AC443D">
              <w:rPr>
                <w:rFonts w:cs="Arial"/>
                <w:b/>
                <w:bCs/>
              </w:rPr>
              <w:t>Вг</w:t>
            </w:r>
            <w:proofErr w:type="spellEnd"/>
          </w:p>
        </w:tc>
      </w:tr>
      <w:tr w:rsidR="00AC443D" w14:paraId="109A0E75" w14:textId="77777777" w:rsidTr="00AC443D">
        <w:tc>
          <w:tcPr>
            <w:tcW w:w="1631" w:type="dxa"/>
          </w:tcPr>
          <w:p w14:paraId="230B4BF7" w14:textId="42544A9C" w:rsidR="00AC443D" w:rsidRPr="00AC443D" w:rsidRDefault="00AC443D" w:rsidP="00AC443D">
            <w:pPr>
              <w:rPr>
                <w:rFonts w:cs="Arial"/>
              </w:rPr>
            </w:pPr>
            <w:r w:rsidRPr="00AC443D">
              <w:rPr>
                <w:rFonts w:cs="Arial"/>
                <w:b/>
                <w:bCs/>
              </w:rPr>
              <w:t>отговор (%)</w:t>
            </w:r>
          </w:p>
        </w:tc>
        <w:tc>
          <w:tcPr>
            <w:tcW w:w="1195" w:type="dxa"/>
          </w:tcPr>
          <w:p w14:paraId="036E09FE" w14:textId="36BF2833" w:rsidR="00AC443D" w:rsidRPr="00AC443D" w:rsidRDefault="00AC443D" w:rsidP="00AC443D">
            <w:pPr>
              <w:rPr>
                <w:rFonts w:cs="Arial"/>
              </w:rPr>
            </w:pPr>
            <w:r w:rsidRPr="00AC443D">
              <w:rPr>
                <w:rFonts w:cs="Arial"/>
                <w:lang w:val="en-US"/>
              </w:rPr>
              <w:t>n=315</w:t>
            </w:r>
            <w:r w:rsidRPr="00AC443D">
              <w:rPr>
                <w:rFonts w:cs="Arial"/>
                <w:vertAlign w:val="superscript"/>
                <w:lang w:val="en-US"/>
              </w:rPr>
              <w:t>n</w:t>
            </w:r>
          </w:p>
        </w:tc>
        <w:tc>
          <w:tcPr>
            <w:tcW w:w="1091" w:type="dxa"/>
          </w:tcPr>
          <w:p w14:paraId="2F81FEC9" w14:textId="5E760B16" w:rsidR="00AC443D" w:rsidRPr="00AC443D" w:rsidRDefault="00AC443D" w:rsidP="00AC443D">
            <w:pPr>
              <w:rPr>
                <w:rFonts w:cs="Arial"/>
              </w:rPr>
            </w:pPr>
            <w:r w:rsidRPr="00AC443D">
              <w:rPr>
                <w:rFonts w:cs="Arial"/>
                <w:b/>
                <w:bCs/>
                <w:lang w:val="en-US"/>
              </w:rPr>
              <w:t>n=312</w:t>
            </w:r>
            <w:r w:rsidRPr="00AC443D">
              <w:rPr>
                <w:rFonts w:cs="Arial"/>
                <w:b/>
                <w:bCs/>
                <w:vertAlign w:val="superscript"/>
                <w:lang w:val="en-US"/>
              </w:rPr>
              <w:t>B</w:t>
            </w:r>
          </w:p>
        </w:tc>
        <w:tc>
          <w:tcPr>
            <w:tcW w:w="1071" w:type="dxa"/>
          </w:tcPr>
          <w:p w14:paraId="291830A0" w14:textId="71942DAC" w:rsidR="00AC443D" w:rsidRPr="00AC443D" w:rsidRDefault="00AC443D" w:rsidP="00AC443D">
            <w:pPr>
              <w:rPr>
                <w:rFonts w:cs="Arial"/>
              </w:rPr>
            </w:pPr>
            <w:r w:rsidRPr="00AC443D">
              <w:rPr>
                <w:rFonts w:cs="Arial"/>
                <w:b/>
                <w:bCs/>
                <w:lang w:val="en-US"/>
              </w:rPr>
              <w:t>n</w:t>
            </w:r>
            <w:r w:rsidRPr="00AC443D">
              <w:rPr>
                <w:rFonts w:cs="Arial"/>
                <w:b/>
                <w:bCs/>
              </w:rPr>
              <w:t>=128</w:t>
            </w:r>
          </w:p>
        </w:tc>
        <w:tc>
          <w:tcPr>
            <w:tcW w:w="1071" w:type="dxa"/>
          </w:tcPr>
          <w:p w14:paraId="200E282B" w14:textId="5CA901CA" w:rsidR="00AC443D" w:rsidRPr="00AC443D" w:rsidRDefault="00AC443D" w:rsidP="00AC443D">
            <w:pPr>
              <w:rPr>
                <w:rFonts w:cs="Arial"/>
              </w:rPr>
            </w:pPr>
            <w:r w:rsidRPr="00AC443D">
              <w:rPr>
                <w:rFonts w:cs="Arial"/>
                <w:b/>
                <w:bCs/>
                <w:lang w:val="en-US"/>
              </w:rPr>
              <w:t>n</w:t>
            </w:r>
            <w:r w:rsidRPr="00AC443D">
              <w:rPr>
                <w:rFonts w:cs="Arial"/>
                <w:b/>
                <w:bCs/>
              </w:rPr>
              <w:t>=100</w:t>
            </w:r>
          </w:p>
        </w:tc>
        <w:tc>
          <w:tcPr>
            <w:tcW w:w="1071" w:type="dxa"/>
          </w:tcPr>
          <w:p w14:paraId="5A27BC62" w14:textId="5AB68836" w:rsidR="00AC443D" w:rsidRPr="00AC443D" w:rsidRDefault="00AC443D" w:rsidP="00AC443D">
            <w:pPr>
              <w:rPr>
                <w:rFonts w:cs="Arial"/>
              </w:rPr>
            </w:pPr>
            <w:r w:rsidRPr="00AC443D">
              <w:rPr>
                <w:rFonts w:cs="Arial"/>
                <w:b/>
                <w:bCs/>
                <w:lang w:val="en-US"/>
              </w:rPr>
              <w:t>n</w:t>
            </w:r>
            <w:r w:rsidRPr="00AC443D">
              <w:rPr>
                <w:rFonts w:cs="Arial"/>
                <w:b/>
                <w:bCs/>
              </w:rPr>
              <w:t>=187</w:t>
            </w:r>
          </w:p>
        </w:tc>
        <w:tc>
          <w:tcPr>
            <w:tcW w:w="1071" w:type="dxa"/>
          </w:tcPr>
          <w:p w14:paraId="4172CF5F" w14:textId="279453B0" w:rsidR="00AC443D" w:rsidRPr="00AC443D" w:rsidRDefault="00AC443D" w:rsidP="00AC443D">
            <w:pPr>
              <w:rPr>
                <w:rFonts w:cs="Arial"/>
              </w:rPr>
            </w:pPr>
            <w:r w:rsidRPr="00AC443D">
              <w:rPr>
                <w:rFonts w:cs="Arial"/>
                <w:b/>
                <w:bCs/>
                <w:lang w:val="en-US"/>
              </w:rPr>
              <w:t>n=</w:t>
            </w:r>
            <w:r w:rsidRPr="00AC443D">
              <w:rPr>
                <w:rFonts w:cs="Arial"/>
                <w:b/>
                <w:bCs/>
              </w:rPr>
              <w:t>202</w:t>
            </w:r>
          </w:p>
        </w:tc>
        <w:tc>
          <w:tcPr>
            <w:tcW w:w="1149" w:type="dxa"/>
          </w:tcPr>
          <w:p w14:paraId="6C8A4C32" w14:textId="005B5923" w:rsidR="00AC443D" w:rsidRPr="00AC443D" w:rsidRDefault="00AC443D" w:rsidP="00AC443D">
            <w:pPr>
              <w:rPr>
                <w:rFonts w:cs="Arial"/>
              </w:rPr>
            </w:pPr>
            <w:r w:rsidRPr="00AC443D">
              <w:rPr>
                <w:rFonts w:cs="Arial"/>
                <w:b/>
                <w:bCs/>
                <w:lang w:val="en-US"/>
              </w:rPr>
              <w:t>n</w:t>
            </w:r>
            <w:r w:rsidRPr="00AC443D">
              <w:rPr>
                <w:rFonts w:cs="Arial"/>
                <w:b/>
                <w:bCs/>
              </w:rPr>
              <w:t>=193</w:t>
            </w:r>
          </w:p>
        </w:tc>
      </w:tr>
      <w:tr w:rsidR="00AC443D" w14:paraId="05024B3A" w14:textId="77777777" w:rsidTr="00AC443D">
        <w:tc>
          <w:tcPr>
            <w:tcW w:w="1631" w:type="dxa"/>
          </w:tcPr>
          <w:p w14:paraId="01294E63" w14:textId="4B775128" w:rsidR="00AC443D" w:rsidRPr="00AC443D" w:rsidRDefault="00AC443D" w:rsidP="00AC443D">
            <w:pPr>
              <w:rPr>
                <w:rFonts w:cs="Arial"/>
              </w:rPr>
            </w:pPr>
            <w:r w:rsidRPr="00AC443D">
              <w:rPr>
                <w:rFonts w:cs="Arial"/>
                <w:lang w:val="en-US"/>
              </w:rPr>
              <w:lastRenderedPageBreak/>
              <w:t>CR</w:t>
            </w:r>
          </w:p>
        </w:tc>
        <w:tc>
          <w:tcPr>
            <w:tcW w:w="1195" w:type="dxa"/>
          </w:tcPr>
          <w:p w14:paraId="28B0E211" w14:textId="3B714346" w:rsidR="00AC443D" w:rsidRPr="00AC443D" w:rsidRDefault="00AC443D" w:rsidP="00AC443D">
            <w:pPr>
              <w:rPr>
                <w:rFonts w:cs="Arial"/>
              </w:rPr>
            </w:pPr>
            <w:r w:rsidRPr="00AC443D">
              <w:rPr>
                <w:rFonts w:cs="Arial"/>
                <w:lang w:val="en-US"/>
              </w:rPr>
              <w:t xml:space="preserve">20 (6) </w:t>
            </w:r>
            <w:r w:rsidRPr="00AC443D">
              <w:rPr>
                <w:rFonts w:cs="Arial"/>
                <w:vertAlign w:val="superscript"/>
                <w:lang w:val="en-US"/>
              </w:rPr>
              <w:t>6</w:t>
            </w:r>
          </w:p>
        </w:tc>
        <w:tc>
          <w:tcPr>
            <w:tcW w:w="1091" w:type="dxa"/>
          </w:tcPr>
          <w:p w14:paraId="24DD5F33" w14:textId="032EB132" w:rsidR="00AC443D" w:rsidRPr="00AC443D" w:rsidRDefault="00AC443D" w:rsidP="00AC443D">
            <w:pPr>
              <w:rPr>
                <w:rFonts w:cs="Arial"/>
              </w:rPr>
            </w:pPr>
            <w:r w:rsidRPr="00AC443D">
              <w:rPr>
                <w:rFonts w:cs="Arial"/>
                <w:lang w:val="en-US"/>
              </w:rPr>
              <w:t>2(&lt;1)</w:t>
            </w:r>
            <w:r w:rsidRPr="00AC443D">
              <w:rPr>
                <w:rFonts w:cs="Arial"/>
                <w:vertAlign w:val="superscript"/>
                <w:lang w:val="en-US"/>
              </w:rPr>
              <w:t>6</w:t>
            </w:r>
          </w:p>
        </w:tc>
        <w:tc>
          <w:tcPr>
            <w:tcW w:w="1071" w:type="dxa"/>
          </w:tcPr>
          <w:p w14:paraId="5B99EF45" w14:textId="315079B2" w:rsidR="00AC443D" w:rsidRPr="00AC443D" w:rsidRDefault="00AC443D" w:rsidP="00AC443D">
            <w:pPr>
              <w:rPr>
                <w:rFonts w:cs="Arial"/>
              </w:rPr>
            </w:pPr>
            <w:r w:rsidRPr="00AC443D">
              <w:rPr>
                <w:rFonts w:cs="Arial"/>
                <w:b/>
                <w:bCs/>
              </w:rPr>
              <w:t>8(6)</w:t>
            </w:r>
          </w:p>
        </w:tc>
        <w:tc>
          <w:tcPr>
            <w:tcW w:w="1071" w:type="dxa"/>
          </w:tcPr>
          <w:p w14:paraId="3B7D140E" w14:textId="775973C9" w:rsidR="00AC443D" w:rsidRPr="00AC443D" w:rsidRDefault="00AC443D" w:rsidP="00AC443D">
            <w:pPr>
              <w:rPr>
                <w:rFonts w:cs="Arial"/>
              </w:rPr>
            </w:pPr>
            <w:r w:rsidRPr="00AC443D">
              <w:rPr>
                <w:rFonts w:cs="Arial"/>
              </w:rPr>
              <w:t>2(2)</w:t>
            </w:r>
          </w:p>
        </w:tc>
        <w:tc>
          <w:tcPr>
            <w:tcW w:w="1071" w:type="dxa"/>
          </w:tcPr>
          <w:p w14:paraId="4877211F" w14:textId="3DBBD9DC" w:rsidR="00AC443D" w:rsidRPr="00AC443D" w:rsidRDefault="00AC443D" w:rsidP="00AC443D">
            <w:pPr>
              <w:rPr>
                <w:rFonts w:cs="Arial"/>
              </w:rPr>
            </w:pPr>
            <w:r w:rsidRPr="00AC443D">
              <w:rPr>
                <w:rFonts w:cs="Arial"/>
              </w:rPr>
              <w:t>12(6)</w:t>
            </w:r>
          </w:p>
        </w:tc>
        <w:tc>
          <w:tcPr>
            <w:tcW w:w="1071" w:type="dxa"/>
          </w:tcPr>
          <w:p w14:paraId="1D3E7968" w14:textId="6AA19FDD" w:rsidR="00AC443D" w:rsidRPr="00AC443D" w:rsidRDefault="00AC443D" w:rsidP="00AC443D">
            <w:pPr>
              <w:rPr>
                <w:rFonts w:cs="Arial"/>
              </w:rPr>
            </w:pPr>
            <w:r w:rsidRPr="00AC443D">
              <w:rPr>
                <w:rFonts w:cs="Arial"/>
              </w:rPr>
              <w:t>0(0)</w:t>
            </w:r>
          </w:p>
        </w:tc>
        <w:tc>
          <w:tcPr>
            <w:tcW w:w="1149" w:type="dxa"/>
          </w:tcPr>
          <w:p w14:paraId="00C447C7" w14:textId="557EE469" w:rsidR="00AC443D" w:rsidRPr="00AC443D" w:rsidRDefault="00AC443D" w:rsidP="00AC443D">
            <w:pPr>
              <w:rPr>
                <w:rFonts w:cs="Arial"/>
              </w:rPr>
            </w:pPr>
            <w:r w:rsidRPr="00AC443D">
              <w:rPr>
                <w:rFonts w:cs="Arial"/>
                <w:b/>
                <w:bCs/>
              </w:rPr>
              <w:t>(4)**</w:t>
            </w:r>
          </w:p>
        </w:tc>
      </w:tr>
      <w:tr w:rsidR="00AC443D" w14:paraId="578E529F" w14:textId="77777777" w:rsidTr="00AC443D">
        <w:tc>
          <w:tcPr>
            <w:tcW w:w="1631" w:type="dxa"/>
          </w:tcPr>
          <w:p w14:paraId="440CB0CF" w14:textId="000D650B" w:rsidR="00AC443D" w:rsidRPr="00AC443D" w:rsidRDefault="00AC443D" w:rsidP="00AC443D">
            <w:pPr>
              <w:rPr>
                <w:rFonts w:cs="Arial"/>
              </w:rPr>
            </w:pPr>
            <w:r w:rsidRPr="00AC443D">
              <w:rPr>
                <w:rFonts w:cs="Arial"/>
                <w:lang w:val="en-US"/>
              </w:rPr>
              <w:t xml:space="preserve">CR </w:t>
            </w:r>
            <w:r w:rsidRPr="00AC443D">
              <w:rPr>
                <w:rFonts w:cs="Arial"/>
              </w:rPr>
              <w:t xml:space="preserve">+ </w:t>
            </w:r>
            <w:proofErr w:type="spellStart"/>
            <w:r w:rsidRPr="00AC443D">
              <w:rPr>
                <w:rFonts w:cs="Arial"/>
                <w:lang w:val="en-US"/>
              </w:rPr>
              <w:t>nCR</w:t>
            </w:r>
            <w:proofErr w:type="spellEnd"/>
          </w:p>
        </w:tc>
        <w:tc>
          <w:tcPr>
            <w:tcW w:w="1195" w:type="dxa"/>
          </w:tcPr>
          <w:p w14:paraId="35E7D823" w14:textId="1CEA02C2" w:rsidR="00AC443D" w:rsidRPr="00AC443D" w:rsidRDefault="00AC443D" w:rsidP="00AC443D">
            <w:pPr>
              <w:rPr>
                <w:rFonts w:cs="Arial"/>
              </w:rPr>
            </w:pPr>
            <w:r w:rsidRPr="00AC443D">
              <w:rPr>
                <w:rFonts w:cs="Arial"/>
                <w:lang w:val="en-US"/>
              </w:rPr>
              <w:t>41 (13)</w:t>
            </w:r>
            <w:r w:rsidRPr="00AC443D">
              <w:rPr>
                <w:rFonts w:cs="Arial"/>
                <w:vertAlign w:val="superscript"/>
                <w:lang w:val="en-US"/>
              </w:rPr>
              <w:t>6</w:t>
            </w:r>
          </w:p>
        </w:tc>
        <w:tc>
          <w:tcPr>
            <w:tcW w:w="1091" w:type="dxa"/>
          </w:tcPr>
          <w:p w14:paraId="1A5B96A0" w14:textId="587882F3" w:rsidR="00AC443D" w:rsidRPr="00AC443D" w:rsidRDefault="00AC443D" w:rsidP="00AC443D">
            <w:pPr>
              <w:rPr>
                <w:rFonts w:cs="Arial"/>
              </w:rPr>
            </w:pPr>
            <w:r w:rsidRPr="00AC443D">
              <w:rPr>
                <w:rFonts w:cs="Arial"/>
                <w:lang w:val="en-US"/>
              </w:rPr>
              <w:t>5 (2)</w:t>
            </w:r>
            <w:r w:rsidRPr="00AC443D">
              <w:rPr>
                <w:rFonts w:cs="Arial"/>
                <w:vertAlign w:val="superscript"/>
                <w:lang w:val="en-US"/>
              </w:rPr>
              <w:t>6</w:t>
            </w:r>
          </w:p>
        </w:tc>
        <w:tc>
          <w:tcPr>
            <w:tcW w:w="1071" w:type="dxa"/>
          </w:tcPr>
          <w:p w14:paraId="46AE3EC8" w14:textId="22448DC7" w:rsidR="00AC443D" w:rsidRPr="00AC443D" w:rsidRDefault="00AC443D" w:rsidP="00AC443D">
            <w:pPr>
              <w:rPr>
                <w:rFonts w:cs="Arial"/>
              </w:rPr>
            </w:pPr>
            <w:r w:rsidRPr="00AC443D">
              <w:rPr>
                <w:rFonts w:cs="Arial"/>
              </w:rPr>
              <w:t>16(13)</w:t>
            </w:r>
          </w:p>
        </w:tc>
        <w:tc>
          <w:tcPr>
            <w:tcW w:w="1071" w:type="dxa"/>
          </w:tcPr>
          <w:p w14:paraId="25AB6383" w14:textId="3AFFDB8B" w:rsidR="00AC443D" w:rsidRPr="00AC443D" w:rsidRDefault="00AC443D" w:rsidP="00AC443D">
            <w:pPr>
              <w:rPr>
                <w:rFonts w:cs="Arial"/>
              </w:rPr>
            </w:pPr>
            <w:r w:rsidRPr="00AC443D">
              <w:rPr>
                <w:rFonts w:cs="Arial"/>
              </w:rPr>
              <w:t>4(4)</w:t>
            </w:r>
          </w:p>
        </w:tc>
        <w:tc>
          <w:tcPr>
            <w:tcW w:w="1071" w:type="dxa"/>
          </w:tcPr>
          <w:p w14:paraId="3B155ECC" w14:textId="04962B95" w:rsidR="00AC443D" w:rsidRPr="00AC443D" w:rsidRDefault="00AC443D" w:rsidP="00AC443D">
            <w:pPr>
              <w:rPr>
                <w:rFonts w:cs="Arial"/>
              </w:rPr>
            </w:pPr>
            <w:r w:rsidRPr="00AC443D">
              <w:rPr>
                <w:rFonts w:cs="Arial"/>
              </w:rPr>
              <w:t>25(13)</w:t>
            </w:r>
          </w:p>
        </w:tc>
        <w:tc>
          <w:tcPr>
            <w:tcW w:w="1071" w:type="dxa"/>
          </w:tcPr>
          <w:p w14:paraId="3DE29984" w14:textId="10129C91" w:rsidR="00AC443D" w:rsidRPr="00AC443D" w:rsidRDefault="00AC443D" w:rsidP="00AC443D">
            <w:pPr>
              <w:rPr>
                <w:rFonts w:cs="Arial"/>
              </w:rPr>
            </w:pPr>
            <w:r w:rsidRPr="00AC443D">
              <w:rPr>
                <w:rFonts w:cs="Arial"/>
              </w:rPr>
              <w:t>И&lt;1)</w:t>
            </w:r>
          </w:p>
        </w:tc>
        <w:tc>
          <w:tcPr>
            <w:tcW w:w="1149" w:type="dxa"/>
          </w:tcPr>
          <w:p w14:paraId="39283BE3" w14:textId="350D2B50" w:rsidR="00AC443D" w:rsidRPr="00AC443D" w:rsidRDefault="00AC443D" w:rsidP="00AC443D">
            <w:pPr>
              <w:rPr>
                <w:rFonts w:cs="Arial"/>
              </w:rPr>
            </w:pPr>
            <w:r w:rsidRPr="00AC443D">
              <w:rPr>
                <w:rFonts w:cs="Arial"/>
                <w:b/>
                <w:bCs/>
              </w:rPr>
              <w:t>(10)**</w:t>
            </w:r>
          </w:p>
        </w:tc>
      </w:tr>
      <w:tr w:rsidR="00AC443D" w14:paraId="463A8AD2" w14:textId="77777777" w:rsidTr="00AC443D">
        <w:tc>
          <w:tcPr>
            <w:tcW w:w="1631" w:type="dxa"/>
          </w:tcPr>
          <w:p w14:paraId="0A0491D4" w14:textId="55435E39" w:rsidR="00AC443D" w:rsidRPr="00AC443D" w:rsidRDefault="00AC443D" w:rsidP="00AC443D">
            <w:pPr>
              <w:rPr>
                <w:rFonts w:cs="Arial"/>
              </w:rPr>
            </w:pPr>
            <w:r w:rsidRPr="00AC443D">
              <w:rPr>
                <w:rFonts w:cs="Arial"/>
                <w:lang w:val="en-US"/>
              </w:rPr>
              <w:t xml:space="preserve">CR+ </w:t>
            </w:r>
            <w:proofErr w:type="spellStart"/>
            <w:r w:rsidRPr="00AC443D">
              <w:rPr>
                <w:rFonts w:cs="Arial"/>
                <w:lang w:val="en-US"/>
              </w:rPr>
              <w:t>nCR</w:t>
            </w:r>
            <w:proofErr w:type="spellEnd"/>
            <w:r w:rsidRPr="00AC443D">
              <w:rPr>
                <w:rFonts w:cs="Arial"/>
                <w:lang w:val="en-US"/>
              </w:rPr>
              <w:t xml:space="preserve"> </w:t>
            </w:r>
            <w:r w:rsidRPr="00AC443D">
              <w:rPr>
                <w:rFonts w:cs="Arial"/>
              </w:rPr>
              <w:t xml:space="preserve">+ </w:t>
            </w:r>
            <w:r w:rsidRPr="00AC443D">
              <w:rPr>
                <w:rFonts w:cs="Arial"/>
                <w:lang w:val="en-US"/>
              </w:rPr>
              <w:t>PR</w:t>
            </w:r>
          </w:p>
        </w:tc>
        <w:tc>
          <w:tcPr>
            <w:tcW w:w="1195" w:type="dxa"/>
          </w:tcPr>
          <w:p w14:paraId="6C5B335A" w14:textId="14829976" w:rsidR="00AC443D" w:rsidRPr="00AC443D" w:rsidRDefault="00AC443D" w:rsidP="00AC443D">
            <w:pPr>
              <w:rPr>
                <w:rFonts w:cs="Arial"/>
              </w:rPr>
            </w:pPr>
            <w:r w:rsidRPr="00AC443D">
              <w:rPr>
                <w:rFonts w:cs="Arial"/>
                <w:lang w:val="en-US"/>
              </w:rPr>
              <w:t>121 (38)</w:t>
            </w:r>
            <w:r w:rsidRPr="00AC443D">
              <w:rPr>
                <w:rFonts w:cs="Arial"/>
                <w:vertAlign w:val="superscript"/>
                <w:lang w:val="en-US"/>
              </w:rPr>
              <w:t>6</w:t>
            </w:r>
          </w:p>
        </w:tc>
        <w:tc>
          <w:tcPr>
            <w:tcW w:w="1091" w:type="dxa"/>
          </w:tcPr>
          <w:p w14:paraId="01CDEC86" w14:textId="7145F4CB" w:rsidR="00AC443D" w:rsidRPr="00AC443D" w:rsidRDefault="00AC443D" w:rsidP="00AC443D">
            <w:pPr>
              <w:rPr>
                <w:rFonts w:cs="Arial"/>
              </w:rPr>
            </w:pPr>
            <w:r w:rsidRPr="00AC443D">
              <w:rPr>
                <w:rFonts w:cs="Arial"/>
                <w:lang w:val="en-US"/>
              </w:rPr>
              <w:t xml:space="preserve">56 (18) </w:t>
            </w:r>
            <w:r w:rsidRPr="00AC443D">
              <w:rPr>
                <w:rFonts w:cs="Arial"/>
                <w:vertAlign w:val="superscript"/>
                <w:lang w:val="en-US"/>
              </w:rPr>
              <w:t>6</w:t>
            </w:r>
          </w:p>
        </w:tc>
        <w:tc>
          <w:tcPr>
            <w:tcW w:w="1071" w:type="dxa"/>
          </w:tcPr>
          <w:p w14:paraId="53F788A6" w14:textId="23CD010A" w:rsidR="00AC443D" w:rsidRPr="00AC443D" w:rsidRDefault="00AC443D" w:rsidP="00AC443D">
            <w:pPr>
              <w:rPr>
                <w:rFonts w:cs="Arial"/>
              </w:rPr>
            </w:pPr>
            <w:r w:rsidRPr="00AC443D">
              <w:rPr>
                <w:rFonts w:cs="Arial"/>
                <w:b/>
                <w:bCs/>
              </w:rPr>
              <w:t>57 (45)</w:t>
            </w:r>
            <w:r w:rsidRPr="00AC443D">
              <w:rPr>
                <w:rFonts w:cs="Arial"/>
                <w:b/>
                <w:bCs/>
                <w:vertAlign w:val="superscript"/>
              </w:rPr>
              <w:t>г</w:t>
            </w:r>
          </w:p>
        </w:tc>
        <w:tc>
          <w:tcPr>
            <w:tcW w:w="1071" w:type="dxa"/>
          </w:tcPr>
          <w:p w14:paraId="5A423C72" w14:textId="0AADA8B0" w:rsidR="00AC443D" w:rsidRPr="00AC443D" w:rsidRDefault="00AC443D" w:rsidP="00AC443D">
            <w:pPr>
              <w:rPr>
                <w:rFonts w:cs="Arial"/>
              </w:rPr>
            </w:pPr>
            <w:r w:rsidRPr="00AC443D">
              <w:rPr>
                <w:rFonts w:cs="Arial"/>
              </w:rPr>
              <w:t>29 (26)</w:t>
            </w:r>
            <w:r w:rsidRPr="00AC443D">
              <w:rPr>
                <w:rFonts w:cs="Arial"/>
                <w:vertAlign w:val="superscript"/>
              </w:rPr>
              <w:t>г</w:t>
            </w:r>
          </w:p>
        </w:tc>
        <w:tc>
          <w:tcPr>
            <w:tcW w:w="1071" w:type="dxa"/>
          </w:tcPr>
          <w:p w14:paraId="3A15C0B9" w14:textId="432D296D" w:rsidR="00AC443D" w:rsidRPr="00AC443D" w:rsidRDefault="00AC443D" w:rsidP="00AC443D">
            <w:pPr>
              <w:rPr>
                <w:rFonts w:cs="Arial"/>
              </w:rPr>
            </w:pPr>
            <w:r w:rsidRPr="00AC443D">
              <w:rPr>
                <w:rFonts w:cs="Arial"/>
              </w:rPr>
              <w:t>64 (34)</w:t>
            </w:r>
            <w:r w:rsidRPr="00AC443D">
              <w:rPr>
                <w:rFonts w:cs="Arial"/>
                <w:vertAlign w:val="superscript"/>
              </w:rPr>
              <w:t>6</w:t>
            </w:r>
          </w:p>
        </w:tc>
        <w:tc>
          <w:tcPr>
            <w:tcW w:w="1071" w:type="dxa"/>
          </w:tcPr>
          <w:p w14:paraId="6F8F54D7" w14:textId="369B0AFF" w:rsidR="00AC443D" w:rsidRPr="00AC443D" w:rsidRDefault="00AC443D" w:rsidP="00AC443D">
            <w:pPr>
              <w:rPr>
                <w:rFonts w:cs="Arial"/>
              </w:rPr>
            </w:pPr>
            <w:r w:rsidRPr="00AC443D">
              <w:rPr>
                <w:rFonts w:cs="Arial"/>
              </w:rPr>
              <w:t>27 (13)</w:t>
            </w:r>
            <w:r w:rsidRPr="00AC443D">
              <w:rPr>
                <w:rFonts w:cs="Arial"/>
                <w:vertAlign w:val="superscript"/>
              </w:rPr>
              <w:t>6</w:t>
            </w:r>
          </w:p>
        </w:tc>
        <w:tc>
          <w:tcPr>
            <w:tcW w:w="1149" w:type="dxa"/>
          </w:tcPr>
          <w:p w14:paraId="68B6C1ED" w14:textId="7501AEA7" w:rsidR="00AC443D" w:rsidRPr="00AC443D" w:rsidRDefault="00AC443D" w:rsidP="00AC443D">
            <w:pPr>
              <w:rPr>
                <w:rFonts w:cs="Arial"/>
              </w:rPr>
            </w:pPr>
            <w:r w:rsidRPr="00AC443D">
              <w:rPr>
                <w:rFonts w:cs="Arial"/>
              </w:rPr>
              <w:t>(27)**</w:t>
            </w:r>
          </w:p>
        </w:tc>
      </w:tr>
      <w:tr w:rsidR="00AC443D" w14:paraId="500030A6" w14:textId="77777777" w:rsidTr="00AC443D">
        <w:tc>
          <w:tcPr>
            <w:tcW w:w="1631" w:type="dxa"/>
          </w:tcPr>
          <w:p w14:paraId="4EEC7F71" w14:textId="5C962A96" w:rsidR="00AC443D" w:rsidRPr="00AC443D" w:rsidRDefault="00AC443D" w:rsidP="00AC443D">
            <w:pPr>
              <w:rPr>
                <w:rFonts w:cs="Arial"/>
              </w:rPr>
            </w:pPr>
            <w:r w:rsidRPr="00AC443D">
              <w:rPr>
                <w:rFonts w:cs="Arial"/>
                <w:lang w:val="en-US"/>
              </w:rPr>
              <w:t xml:space="preserve">CR + </w:t>
            </w:r>
            <w:proofErr w:type="spellStart"/>
            <w:r w:rsidRPr="00AC443D">
              <w:rPr>
                <w:rFonts w:cs="Arial"/>
                <w:lang w:val="en-US"/>
              </w:rPr>
              <w:t>nCR</w:t>
            </w:r>
            <w:proofErr w:type="spellEnd"/>
            <w:r w:rsidRPr="00AC443D">
              <w:rPr>
                <w:rFonts w:cs="Arial"/>
                <w:lang w:val="en-US"/>
              </w:rPr>
              <w:t>+ PR+MR</w:t>
            </w:r>
          </w:p>
        </w:tc>
        <w:tc>
          <w:tcPr>
            <w:tcW w:w="1195" w:type="dxa"/>
          </w:tcPr>
          <w:p w14:paraId="61E1F421" w14:textId="07ECA851" w:rsidR="00AC443D" w:rsidRPr="00AC443D" w:rsidRDefault="00AC443D" w:rsidP="00AC443D">
            <w:pPr>
              <w:rPr>
                <w:rFonts w:cs="Arial"/>
              </w:rPr>
            </w:pPr>
            <w:r w:rsidRPr="00AC443D">
              <w:rPr>
                <w:rFonts w:cs="Arial"/>
                <w:lang w:val="en-US"/>
              </w:rPr>
              <w:t>146 (46)</w:t>
            </w:r>
          </w:p>
        </w:tc>
        <w:tc>
          <w:tcPr>
            <w:tcW w:w="1091" w:type="dxa"/>
          </w:tcPr>
          <w:p w14:paraId="345F8D46" w14:textId="1D01ED84" w:rsidR="00AC443D" w:rsidRPr="00AC443D" w:rsidRDefault="00AC443D" w:rsidP="00AC443D">
            <w:pPr>
              <w:rPr>
                <w:rFonts w:cs="Arial"/>
              </w:rPr>
            </w:pPr>
            <w:r w:rsidRPr="00AC443D">
              <w:rPr>
                <w:rFonts w:cs="Arial"/>
                <w:lang w:val="en-US"/>
              </w:rPr>
              <w:t>108 (35)</w:t>
            </w:r>
          </w:p>
        </w:tc>
        <w:tc>
          <w:tcPr>
            <w:tcW w:w="1071" w:type="dxa"/>
          </w:tcPr>
          <w:p w14:paraId="50BB96DD" w14:textId="6E019C5E" w:rsidR="00AC443D" w:rsidRPr="00AC443D" w:rsidRDefault="00AC443D" w:rsidP="00AC443D">
            <w:pPr>
              <w:rPr>
                <w:rFonts w:cs="Arial"/>
              </w:rPr>
            </w:pPr>
            <w:r w:rsidRPr="00AC443D">
              <w:rPr>
                <w:rFonts w:cs="Arial"/>
              </w:rPr>
              <w:t>66 (52)</w:t>
            </w:r>
          </w:p>
        </w:tc>
        <w:tc>
          <w:tcPr>
            <w:tcW w:w="1071" w:type="dxa"/>
          </w:tcPr>
          <w:p w14:paraId="47976D5C" w14:textId="4ED8C3EC" w:rsidR="00AC443D" w:rsidRPr="00AC443D" w:rsidRDefault="00AC443D" w:rsidP="00AC443D">
            <w:pPr>
              <w:rPr>
                <w:rFonts w:cs="Arial"/>
              </w:rPr>
            </w:pPr>
            <w:r w:rsidRPr="00AC443D">
              <w:rPr>
                <w:rFonts w:cs="Arial"/>
              </w:rPr>
              <w:t>45 (41)</w:t>
            </w:r>
          </w:p>
        </w:tc>
        <w:tc>
          <w:tcPr>
            <w:tcW w:w="1071" w:type="dxa"/>
          </w:tcPr>
          <w:p w14:paraId="174B2A6E" w14:textId="6CE125A6" w:rsidR="00AC443D" w:rsidRPr="00AC443D" w:rsidRDefault="00AC443D" w:rsidP="00AC443D">
            <w:pPr>
              <w:rPr>
                <w:rFonts w:cs="Arial"/>
              </w:rPr>
            </w:pPr>
            <w:r w:rsidRPr="00AC443D">
              <w:rPr>
                <w:rFonts w:cs="Arial"/>
              </w:rPr>
              <w:t>80 (43)</w:t>
            </w:r>
          </w:p>
        </w:tc>
        <w:tc>
          <w:tcPr>
            <w:tcW w:w="1071" w:type="dxa"/>
          </w:tcPr>
          <w:p w14:paraId="39A786CB" w14:textId="146E473F" w:rsidR="00AC443D" w:rsidRPr="00AC443D" w:rsidRDefault="00AC443D" w:rsidP="00AC443D">
            <w:pPr>
              <w:rPr>
                <w:rFonts w:cs="Arial"/>
              </w:rPr>
            </w:pPr>
            <w:r w:rsidRPr="00AC443D">
              <w:rPr>
                <w:rFonts w:cs="Arial"/>
              </w:rPr>
              <w:t>63 (31)</w:t>
            </w:r>
          </w:p>
        </w:tc>
        <w:tc>
          <w:tcPr>
            <w:tcW w:w="1149" w:type="dxa"/>
          </w:tcPr>
          <w:p w14:paraId="6AEAE280" w14:textId="65AFEBC4" w:rsidR="00AC443D" w:rsidRPr="00AC443D" w:rsidRDefault="00AC443D" w:rsidP="00AC443D">
            <w:pPr>
              <w:rPr>
                <w:rFonts w:cs="Arial"/>
              </w:rPr>
            </w:pPr>
            <w:r w:rsidRPr="00AC443D">
              <w:rPr>
                <w:rFonts w:cs="Arial"/>
              </w:rPr>
              <w:t>(35)**</w:t>
            </w:r>
          </w:p>
        </w:tc>
      </w:tr>
    </w:tbl>
    <w:p w14:paraId="376B8B0D" w14:textId="06633D6B" w:rsidR="00AC443D" w:rsidRDefault="00AC443D" w:rsidP="0091385D"/>
    <w:p w14:paraId="37536740"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vertAlign w:val="superscript"/>
          <w:lang w:eastAsia="bg-BG"/>
        </w:rPr>
        <w:t>а</w:t>
      </w:r>
      <w:r w:rsidRPr="00AC443D">
        <w:rPr>
          <w:rFonts w:eastAsia="Times New Roman" w:cs="Arial"/>
          <w:color w:val="000000"/>
          <w:lang w:eastAsia="bg-BG"/>
        </w:rPr>
        <w:t xml:space="preserve"> група </w:t>
      </w:r>
      <w:r w:rsidRPr="00AC443D">
        <w:rPr>
          <w:rFonts w:eastAsia="Times New Roman" w:cs="Arial"/>
          <w:color w:val="000000"/>
          <w:lang w:val="en-US"/>
        </w:rPr>
        <w:t>ITT</w:t>
      </w:r>
      <w:r w:rsidRPr="00FD4C98">
        <w:rPr>
          <w:rFonts w:eastAsia="Times New Roman" w:cs="Arial"/>
          <w:color w:val="000000"/>
          <w:lang w:val="ru-RU"/>
        </w:rPr>
        <w:t xml:space="preserve"> </w:t>
      </w:r>
      <w:r w:rsidRPr="00AC443D">
        <w:rPr>
          <w:rFonts w:eastAsia="Times New Roman" w:cs="Arial"/>
          <w:color w:val="000000"/>
          <w:lang w:eastAsia="bg-BG"/>
        </w:rPr>
        <w:t>- група на включване на терапия</w:t>
      </w:r>
    </w:p>
    <w:p w14:paraId="15ACD666"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vertAlign w:val="superscript"/>
          <w:lang w:eastAsia="bg-BG"/>
        </w:rPr>
        <w:t>6</w:t>
      </w:r>
      <w:r w:rsidRPr="00AC443D">
        <w:rPr>
          <w:rFonts w:eastAsia="Times New Roman" w:cs="Arial"/>
          <w:color w:val="000000"/>
          <w:lang w:eastAsia="bg-BG"/>
        </w:rPr>
        <w:t xml:space="preserve"> стойност на Р от стратифициран </w:t>
      </w:r>
      <w:r w:rsidRPr="00AC443D">
        <w:rPr>
          <w:rFonts w:eastAsia="Times New Roman" w:cs="Arial"/>
          <w:color w:val="000000"/>
          <w:lang w:val="en-US"/>
        </w:rPr>
        <w:t>log</w:t>
      </w:r>
      <w:r w:rsidRPr="00FD4C98">
        <w:rPr>
          <w:rFonts w:eastAsia="Times New Roman" w:cs="Arial"/>
          <w:color w:val="000000"/>
          <w:lang w:val="ru-RU"/>
        </w:rPr>
        <w:t>-</w:t>
      </w:r>
      <w:r w:rsidRPr="00AC443D">
        <w:rPr>
          <w:rFonts w:eastAsia="Times New Roman" w:cs="Arial"/>
          <w:color w:val="000000"/>
          <w:lang w:val="en-US"/>
        </w:rPr>
        <w:t>rank</w:t>
      </w:r>
      <w:r w:rsidRPr="00FD4C98">
        <w:rPr>
          <w:rFonts w:eastAsia="Times New Roman" w:cs="Arial"/>
          <w:color w:val="000000"/>
          <w:lang w:val="ru-RU"/>
        </w:rPr>
        <w:t xml:space="preserve"> </w:t>
      </w:r>
      <w:r w:rsidRPr="00AC443D">
        <w:rPr>
          <w:rFonts w:eastAsia="Times New Roman" w:cs="Arial"/>
          <w:color w:val="000000"/>
          <w:lang w:eastAsia="bg-BG"/>
        </w:rPr>
        <w:t>тест; анализът по линии на терапия изключва стратификация за историята на лечение; р = 0.0001</w:t>
      </w:r>
    </w:p>
    <w:p w14:paraId="22A9B9DC"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vertAlign w:val="superscript"/>
          <w:lang w:eastAsia="bg-BG"/>
        </w:rPr>
        <w:t>в</w:t>
      </w:r>
      <w:r w:rsidRPr="00AC443D">
        <w:rPr>
          <w:rFonts w:eastAsia="Times New Roman" w:cs="Arial"/>
          <w:color w:val="000000"/>
          <w:lang w:eastAsia="bg-BG"/>
        </w:rPr>
        <w:t xml:space="preserve"> група на отговор, включваща пациенти, които имат измеримо заболяване на изходно ниво и са получили най- малко 1 доза от изпитвания лекарствен продукт</w:t>
      </w:r>
    </w:p>
    <w:p w14:paraId="2837F60F" w14:textId="18E88B67" w:rsidR="00AC443D" w:rsidRDefault="00AC443D" w:rsidP="00AC443D">
      <w:pPr>
        <w:spacing w:line="240" w:lineRule="auto"/>
        <w:rPr>
          <w:rFonts w:eastAsia="Times New Roman" w:cs="Arial"/>
          <w:color w:val="000000"/>
          <w:lang w:eastAsia="bg-BG"/>
        </w:rPr>
      </w:pPr>
      <w:r w:rsidRPr="00AC443D">
        <w:rPr>
          <w:rFonts w:eastAsia="Times New Roman" w:cs="Arial"/>
          <w:color w:val="000000"/>
          <w:vertAlign w:val="superscript"/>
          <w:lang w:eastAsia="bg-BG"/>
        </w:rPr>
        <w:t>г</w:t>
      </w:r>
      <w:r w:rsidRPr="00AC443D">
        <w:rPr>
          <w:rFonts w:eastAsia="Times New Roman" w:cs="Arial"/>
          <w:color w:val="000000"/>
          <w:lang w:eastAsia="bg-BG"/>
        </w:rPr>
        <w:t xml:space="preserve"> стойност на Р от теста </w:t>
      </w:r>
      <w:r w:rsidRPr="00AC443D">
        <w:rPr>
          <w:rFonts w:eastAsia="Times New Roman" w:cs="Arial"/>
          <w:color w:val="000000"/>
          <w:lang w:val="en-US"/>
        </w:rPr>
        <w:t>Cochran</w:t>
      </w:r>
      <w:r w:rsidRPr="00FD4C98">
        <w:rPr>
          <w:rFonts w:eastAsia="Times New Roman" w:cs="Arial"/>
          <w:color w:val="000000"/>
          <w:lang w:val="ru-RU"/>
        </w:rPr>
        <w:t>-</w:t>
      </w:r>
      <w:r w:rsidRPr="00AC443D">
        <w:rPr>
          <w:rFonts w:eastAsia="Times New Roman" w:cs="Arial"/>
          <w:color w:val="000000"/>
          <w:lang w:val="en-US"/>
        </w:rPr>
        <w:t>Mantel</w:t>
      </w:r>
      <w:r w:rsidRPr="00FD4C98">
        <w:rPr>
          <w:rFonts w:eastAsia="Times New Roman" w:cs="Arial"/>
          <w:color w:val="000000"/>
          <w:lang w:val="ru-RU"/>
        </w:rPr>
        <w:t>-</w:t>
      </w:r>
      <w:r w:rsidRPr="00AC443D">
        <w:rPr>
          <w:rFonts w:eastAsia="Times New Roman" w:cs="Arial"/>
          <w:color w:val="000000"/>
          <w:lang w:val="en-US"/>
        </w:rPr>
        <w:t>Haenszel</w:t>
      </w:r>
      <w:r w:rsidRPr="00FD4C98">
        <w:rPr>
          <w:rFonts w:eastAsia="Times New Roman" w:cs="Arial"/>
          <w:color w:val="000000"/>
          <w:lang w:val="ru-RU"/>
        </w:rPr>
        <w:t xml:space="preserve"> </w:t>
      </w:r>
      <w:r w:rsidRPr="00AC443D">
        <w:rPr>
          <w:rFonts w:eastAsia="Times New Roman" w:cs="Arial"/>
          <w:color w:val="000000"/>
          <w:lang w:eastAsia="bg-BG"/>
        </w:rPr>
        <w:t xml:space="preserve">Хи-квадрат тест, адаптиран за </w:t>
      </w:r>
      <w:proofErr w:type="spellStart"/>
      <w:r w:rsidRPr="00AC443D">
        <w:rPr>
          <w:rFonts w:eastAsia="Times New Roman" w:cs="Arial"/>
          <w:color w:val="000000"/>
          <w:lang w:eastAsia="bg-BG"/>
        </w:rPr>
        <w:t>стратификационни</w:t>
      </w:r>
      <w:proofErr w:type="spellEnd"/>
      <w:r>
        <w:rPr>
          <w:rFonts w:eastAsia="Times New Roman" w:cs="Arial"/>
          <w:lang w:eastAsia="bg-BG"/>
        </w:rPr>
        <w:t xml:space="preserve"> </w:t>
      </w:r>
      <w:r w:rsidRPr="00AC443D">
        <w:rPr>
          <w:rFonts w:eastAsia="Times New Roman" w:cs="Arial"/>
          <w:color w:val="000000"/>
          <w:lang w:eastAsia="bg-BG"/>
        </w:rPr>
        <w:t>фактори; анализът по линии на терапия изключва стратификация за историята на лечение</w:t>
      </w:r>
    </w:p>
    <w:p w14:paraId="2C38B334" w14:textId="163FA1FE" w:rsidR="00AC443D" w:rsidRDefault="00AC443D" w:rsidP="00AC443D">
      <w:pPr>
        <w:spacing w:line="240" w:lineRule="auto"/>
        <w:rPr>
          <w:rFonts w:eastAsia="Times New Roman" w:cs="Arial"/>
          <w:color w:val="000000"/>
          <w:lang w:eastAsia="bg-BG"/>
        </w:rPr>
      </w:pPr>
    </w:p>
    <w:p w14:paraId="1C0C4196"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 </w:t>
      </w:r>
      <w:r w:rsidRPr="00AC443D">
        <w:rPr>
          <w:rFonts w:eastAsia="Times New Roman" w:cs="Arial"/>
          <w:color w:val="000000"/>
          <w:lang w:val="en-US"/>
        </w:rPr>
        <w:t xml:space="preserve">CR </w:t>
      </w:r>
      <w:r w:rsidRPr="00AC443D">
        <w:rPr>
          <w:rFonts w:eastAsia="Times New Roman" w:cs="Arial"/>
          <w:color w:val="000000"/>
          <w:lang w:eastAsia="bg-BG"/>
        </w:rPr>
        <w:t xml:space="preserve">+ </w:t>
      </w:r>
      <w:r w:rsidRPr="00AC443D">
        <w:rPr>
          <w:rFonts w:eastAsia="Times New Roman" w:cs="Arial"/>
          <w:color w:val="000000"/>
          <w:lang w:val="en-US"/>
        </w:rPr>
        <w:t xml:space="preserve">PR </w:t>
      </w:r>
      <w:r w:rsidRPr="00AC443D">
        <w:rPr>
          <w:rFonts w:eastAsia="Times New Roman" w:cs="Arial"/>
          <w:color w:val="000000"/>
          <w:lang w:eastAsia="bg-BG"/>
        </w:rPr>
        <w:t xml:space="preserve">+ </w:t>
      </w:r>
      <w:r w:rsidRPr="00AC443D">
        <w:rPr>
          <w:rFonts w:eastAsia="Times New Roman" w:cs="Arial"/>
          <w:color w:val="000000"/>
          <w:lang w:val="en-US"/>
        </w:rPr>
        <w:t xml:space="preserve">MR *CR = CR, (IF -); </w:t>
      </w:r>
      <w:proofErr w:type="spellStart"/>
      <w:r w:rsidRPr="00AC443D">
        <w:rPr>
          <w:rFonts w:eastAsia="Times New Roman" w:cs="Arial"/>
          <w:color w:val="000000"/>
          <w:lang w:val="en-US"/>
        </w:rPr>
        <w:t>nCR</w:t>
      </w:r>
      <w:proofErr w:type="spellEnd"/>
      <w:r w:rsidRPr="00AC443D">
        <w:rPr>
          <w:rFonts w:eastAsia="Times New Roman" w:cs="Arial"/>
          <w:color w:val="000000"/>
          <w:lang w:val="en-US"/>
        </w:rPr>
        <w:t xml:space="preserve"> = CR (IF +)</w:t>
      </w:r>
    </w:p>
    <w:p w14:paraId="1D3CE75E"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val="en-US"/>
        </w:rPr>
        <w:t>NA</w:t>
      </w:r>
      <w:r w:rsidRPr="00FD4C98">
        <w:rPr>
          <w:rFonts w:eastAsia="Times New Roman" w:cs="Arial"/>
          <w:color w:val="000000"/>
          <w:lang w:val="ru-RU"/>
        </w:rPr>
        <w:t xml:space="preserve"> = </w:t>
      </w:r>
      <w:r w:rsidRPr="00AC443D">
        <w:rPr>
          <w:rFonts w:eastAsia="Times New Roman" w:cs="Arial"/>
          <w:color w:val="000000"/>
          <w:lang w:eastAsia="bg-BG"/>
        </w:rPr>
        <w:t xml:space="preserve">не е приложено, </w:t>
      </w:r>
      <w:r w:rsidRPr="00AC443D">
        <w:rPr>
          <w:rFonts w:eastAsia="Times New Roman" w:cs="Arial"/>
          <w:color w:val="000000"/>
          <w:lang w:val="en-US"/>
        </w:rPr>
        <w:t>NE</w:t>
      </w:r>
      <w:r w:rsidRPr="00FD4C98">
        <w:rPr>
          <w:rFonts w:eastAsia="Times New Roman" w:cs="Arial"/>
          <w:color w:val="000000"/>
          <w:lang w:val="ru-RU"/>
        </w:rPr>
        <w:t xml:space="preserve"> = </w:t>
      </w:r>
      <w:r w:rsidRPr="00AC443D">
        <w:rPr>
          <w:rFonts w:eastAsia="Times New Roman" w:cs="Arial"/>
          <w:color w:val="000000"/>
          <w:lang w:eastAsia="bg-BG"/>
        </w:rPr>
        <w:t>не е оценявано</w:t>
      </w:r>
    </w:p>
    <w:p w14:paraId="4484CCC0" w14:textId="77777777" w:rsidR="00AC443D" w:rsidRPr="00AC443D" w:rsidRDefault="00AC443D" w:rsidP="00AC443D">
      <w:pPr>
        <w:spacing w:line="240" w:lineRule="auto"/>
        <w:rPr>
          <w:rFonts w:eastAsia="Times New Roman" w:cs="Arial"/>
          <w:lang w:eastAsia="bg-BG"/>
        </w:rPr>
      </w:pPr>
      <w:r w:rsidRPr="00FD4C98">
        <w:rPr>
          <w:rFonts w:eastAsia="Times New Roman" w:cs="Arial"/>
          <w:color w:val="000000"/>
          <w:lang w:val="ru-RU"/>
        </w:rPr>
        <w:t>'</w:t>
      </w:r>
      <w:r w:rsidRPr="00AC443D">
        <w:rPr>
          <w:rFonts w:eastAsia="Times New Roman" w:cs="Arial"/>
          <w:color w:val="000000"/>
          <w:lang w:val="en-US"/>
        </w:rPr>
        <w:t>FTP</w:t>
      </w:r>
      <w:r w:rsidRPr="00FD4C98">
        <w:rPr>
          <w:rFonts w:eastAsia="Times New Roman" w:cs="Arial"/>
          <w:color w:val="000000"/>
          <w:lang w:val="ru-RU"/>
        </w:rPr>
        <w:t xml:space="preserve"> - </w:t>
      </w:r>
      <w:r w:rsidRPr="00AC443D">
        <w:rPr>
          <w:rFonts w:eastAsia="Times New Roman" w:cs="Arial"/>
          <w:color w:val="000000"/>
          <w:lang w:eastAsia="bg-BG"/>
        </w:rPr>
        <w:t>време до прогресия</w:t>
      </w:r>
    </w:p>
    <w:p w14:paraId="35AFC628"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val="en-US"/>
        </w:rPr>
        <w:t>CI</w:t>
      </w:r>
      <w:r w:rsidRPr="00FD4C98">
        <w:rPr>
          <w:rFonts w:eastAsia="Times New Roman" w:cs="Arial"/>
          <w:color w:val="000000"/>
          <w:lang w:val="ru-RU"/>
        </w:rPr>
        <w:t xml:space="preserve"> = </w:t>
      </w:r>
      <w:r w:rsidRPr="00AC443D">
        <w:rPr>
          <w:rFonts w:eastAsia="Times New Roman" w:cs="Arial"/>
          <w:color w:val="000000"/>
          <w:lang w:eastAsia="bg-BG"/>
        </w:rPr>
        <w:t>доверителен интервал</w:t>
      </w:r>
    </w:p>
    <w:p w14:paraId="3351AF4B"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В</w:t>
      </w:r>
      <w:r w:rsidRPr="00AC443D">
        <w:rPr>
          <w:rFonts w:eastAsia="Times New Roman" w:cs="Arial"/>
          <w:color w:val="000000"/>
          <w:lang w:val="en-US"/>
        </w:rPr>
        <w:t>r</w:t>
      </w:r>
      <w:r w:rsidRPr="00AC443D">
        <w:rPr>
          <w:rFonts w:eastAsia="Times New Roman" w:cs="Arial"/>
          <w:color w:val="000000"/>
          <w:lang w:eastAsia="bg-BG"/>
        </w:rPr>
        <w:t xml:space="preserve">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w:t>
      </w:r>
      <w:proofErr w:type="spellStart"/>
      <w:r w:rsidRPr="00AC443D">
        <w:rPr>
          <w:rFonts w:eastAsia="Times New Roman" w:cs="Arial"/>
          <w:color w:val="000000"/>
          <w:lang w:val="en-US"/>
        </w:rPr>
        <w:t>Dex</w:t>
      </w:r>
      <w:proofErr w:type="spellEnd"/>
      <w:r w:rsidRPr="00FD4C98">
        <w:rPr>
          <w:rFonts w:eastAsia="Times New Roman" w:cs="Arial"/>
          <w:color w:val="000000"/>
        </w:rPr>
        <w:t xml:space="preserve"> </w:t>
      </w:r>
      <w:r w:rsidRPr="00AC443D">
        <w:rPr>
          <w:rFonts w:eastAsia="Times New Roman" w:cs="Arial"/>
          <w:color w:val="000000"/>
          <w:lang w:eastAsia="bg-BG"/>
        </w:rPr>
        <w:t xml:space="preserve">= </w:t>
      </w:r>
      <w:proofErr w:type="spellStart"/>
      <w:r w:rsidRPr="00AC443D">
        <w:rPr>
          <w:rFonts w:eastAsia="Times New Roman" w:cs="Arial"/>
          <w:color w:val="000000"/>
          <w:lang w:eastAsia="bg-BG"/>
        </w:rPr>
        <w:t>дексаметазон</w:t>
      </w:r>
      <w:proofErr w:type="spellEnd"/>
    </w:p>
    <w:p w14:paraId="5FBEA404"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val="en-US"/>
        </w:rPr>
        <w:t>CR</w:t>
      </w:r>
      <w:r w:rsidRPr="00FD4C98">
        <w:rPr>
          <w:rFonts w:eastAsia="Times New Roman" w:cs="Arial"/>
          <w:color w:val="000000"/>
        </w:rPr>
        <w:t xml:space="preserve"> </w:t>
      </w:r>
      <w:r w:rsidRPr="00AC443D">
        <w:rPr>
          <w:rFonts w:eastAsia="Times New Roman" w:cs="Arial"/>
          <w:color w:val="000000"/>
          <w:lang w:eastAsia="bg-BG"/>
        </w:rPr>
        <w:t xml:space="preserve">= пълен отговор; </w:t>
      </w:r>
      <w:proofErr w:type="spellStart"/>
      <w:r w:rsidRPr="00AC443D">
        <w:rPr>
          <w:rFonts w:eastAsia="Times New Roman" w:cs="Arial"/>
          <w:color w:val="000000"/>
          <w:lang w:val="en-US"/>
        </w:rPr>
        <w:t>nCR</w:t>
      </w:r>
      <w:proofErr w:type="spellEnd"/>
      <w:r w:rsidRPr="00FD4C98">
        <w:rPr>
          <w:rFonts w:eastAsia="Times New Roman" w:cs="Arial"/>
          <w:color w:val="000000"/>
        </w:rPr>
        <w:t xml:space="preserve"> </w:t>
      </w:r>
      <w:r w:rsidRPr="00AC443D">
        <w:rPr>
          <w:rFonts w:eastAsia="Times New Roman" w:cs="Arial"/>
          <w:color w:val="000000"/>
          <w:lang w:eastAsia="bg-BG"/>
        </w:rPr>
        <w:t>= близо до пълен отговор</w:t>
      </w:r>
    </w:p>
    <w:p w14:paraId="2FA70A24"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val="en-US"/>
        </w:rPr>
        <w:t>PR</w:t>
      </w:r>
      <w:r w:rsidRPr="00FD4C98">
        <w:rPr>
          <w:rFonts w:eastAsia="Times New Roman" w:cs="Arial"/>
          <w:color w:val="000000"/>
          <w:lang w:val="ru-RU"/>
        </w:rPr>
        <w:t xml:space="preserve"> =</w:t>
      </w:r>
      <w:r w:rsidRPr="00AC443D">
        <w:rPr>
          <w:rFonts w:eastAsia="Times New Roman" w:cs="Arial"/>
          <w:color w:val="000000"/>
          <w:lang w:eastAsia="bg-BG"/>
        </w:rPr>
        <w:t xml:space="preserve"> частичен отговор; </w:t>
      </w:r>
      <w:r w:rsidRPr="00AC443D">
        <w:rPr>
          <w:rFonts w:eastAsia="Times New Roman" w:cs="Arial"/>
          <w:color w:val="000000"/>
          <w:lang w:val="en-US"/>
        </w:rPr>
        <w:t>MR</w:t>
      </w:r>
      <w:r w:rsidRPr="00FD4C98">
        <w:rPr>
          <w:rFonts w:eastAsia="Times New Roman" w:cs="Arial"/>
          <w:color w:val="000000"/>
          <w:lang w:val="ru-RU"/>
        </w:rPr>
        <w:t xml:space="preserve"> </w:t>
      </w:r>
      <w:r w:rsidRPr="00AC443D">
        <w:rPr>
          <w:rFonts w:eastAsia="Times New Roman" w:cs="Arial"/>
          <w:color w:val="000000"/>
          <w:lang w:eastAsia="bg-BG"/>
        </w:rPr>
        <w:t>= минимален отговор</w:t>
      </w:r>
    </w:p>
    <w:p w14:paraId="29E3A688" w14:textId="77777777" w:rsidR="00AC443D" w:rsidRPr="00AC443D" w:rsidRDefault="00AC443D" w:rsidP="00AC443D">
      <w:pPr>
        <w:spacing w:line="240" w:lineRule="auto"/>
        <w:rPr>
          <w:rFonts w:eastAsia="Times New Roman" w:cs="Arial"/>
          <w:color w:val="000000"/>
          <w:lang w:eastAsia="bg-BG"/>
        </w:rPr>
      </w:pPr>
    </w:p>
    <w:p w14:paraId="363CD501" w14:textId="64B5B4BD"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При проучване фаза II пациентите, които не са получили оптимален отговор от самостоятелно лечение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са имали възможност да получат високи дози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съвместно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Протоколът позволява пациентите да получават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ако са имали по- малък от оптималния отговор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самостоятелно. Общо на 74 оценими пациенти е прилаган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в комбинация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18% от пациентите постигат или имат подобрен отговор </w:t>
      </w:r>
      <w:r w:rsidRPr="00FD4C98">
        <w:rPr>
          <w:rFonts w:eastAsia="Times New Roman" w:cs="Arial"/>
          <w:color w:val="000000"/>
          <w:lang w:val="ru-RU"/>
        </w:rPr>
        <w:t>[</w:t>
      </w:r>
      <w:r w:rsidRPr="00AC443D">
        <w:rPr>
          <w:rFonts w:eastAsia="Times New Roman" w:cs="Arial"/>
          <w:color w:val="000000"/>
          <w:lang w:val="en-US"/>
        </w:rPr>
        <w:t>MR</w:t>
      </w:r>
      <w:r w:rsidRPr="00FD4C98">
        <w:rPr>
          <w:rFonts w:eastAsia="Times New Roman" w:cs="Arial"/>
          <w:color w:val="000000"/>
          <w:lang w:val="ru-RU"/>
        </w:rPr>
        <w:t xml:space="preserve"> </w:t>
      </w:r>
      <w:r w:rsidRPr="00AC443D">
        <w:rPr>
          <w:rFonts w:eastAsia="Times New Roman" w:cs="Arial"/>
          <w:color w:val="000000"/>
          <w:lang w:eastAsia="bg-BG"/>
        </w:rPr>
        <w:t xml:space="preserve">(11%) или </w:t>
      </w:r>
      <w:r w:rsidRPr="00AC443D">
        <w:rPr>
          <w:rFonts w:eastAsia="Times New Roman" w:cs="Arial"/>
          <w:color w:val="000000"/>
          <w:lang w:val="en-US"/>
        </w:rPr>
        <w:t>PR</w:t>
      </w:r>
      <w:r w:rsidRPr="00FD4C98">
        <w:rPr>
          <w:rFonts w:eastAsia="Times New Roman" w:cs="Arial"/>
          <w:color w:val="000000"/>
          <w:lang w:val="ru-RU"/>
        </w:rPr>
        <w:t xml:space="preserve"> </w:t>
      </w:r>
      <w:r w:rsidRPr="00AC443D">
        <w:rPr>
          <w:rFonts w:eastAsia="Times New Roman" w:cs="Arial"/>
          <w:color w:val="000000"/>
          <w:lang w:eastAsia="bg-BG"/>
        </w:rPr>
        <w:t>(7%)] с комбинираното лечение.</w:t>
      </w:r>
    </w:p>
    <w:p w14:paraId="14BE5453" w14:textId="77777777" w:rsidR="00AC443D" w:rsidRPr="00AC443D" w:rsidRDefault="00AC443D" w:rsidP="00AC443D">
      <w:pPr>
        <w:spacing w:line="240" w:lineRule="auto"/>
        <w:rPr>
          <w:rFonts w:eastAsia="Times New Roman" w:cs="Arial"/>
          <w:i/>
          <w:iCs/>
          <w:color w:val="000000"/>
          <w:lang w:eastAsia="bg-BG"/>
        </w:rPr>
      </w:pPr>
    </w:p>
    <w:p w14:paraId="56C45D9B" w14:textId="3738AFD5" w:rsidR="00AC443D" w:rsidRPr="00AC443D" w:rsidRDefault="00AC443D" w:rsidP="00AC443D">
      <w:pPr>
        <w:spacing w:line="240" w:lineRule="auto"/>
        <w:rPr>
          <w:rFonts w:eastAsia="Times New Roman" w:cs="Arial"/>
          <w:lang w:eastAsia="bg-BG"/>
        </w:rPr>
      </w:pPr>
      <w:r w:rsidRPr="00AC443D">
        <w:rPr>
          <w:rFonts w:eastAsia="Times New Roman" w:cs="Arial"/>
          <w:i/>
          <w:iCs/>
          <w:color w:val="000000"/>
          <w:lang w:eastAsia="bg-BG"/>
        </w:rPr>
        <w:t xml:space="preserve">Клинична ефикасност на </w:t>
      </w:r>
      <w:proofErr w:type="spellStart"/>
      <w:r w:rsidRPr="00AC443D">
        <w:rPr>
          <w:rFonts w:eastAsia="Times New Roman" w:cs="Arial"/>
          <w:i/>
          <w:iCs/>
          <w:color w:val="000000"/>
          <w:lang w:eastAsia="bg-BG"/>
        </w:rPr>
        <w:t>бортезомиб</w:t>
      </w:r>
      <w:proofErr w:type="spellEnd"/>
      <w:r w:rsidRPr="00AC443D">
        <w:rPr>
          <w:rFonts w:eastAsia="Times New Roman" w:cs="Arial"/>
          <w:i/>
          <w:iCs/>
          <w:color w:val="000000"/>
          <w:lang w:eastAsia="bg-BG"/>
        </w:rPr>
        <w:t xml:space="preserve">, приложен подкожно, при пациенти с </w:t>
      </w:r>
      <w:proofErr w:type="spellStart"/>
      <w:r w:rsidRPr="00AC443D">
        <w:rPr>
          <w:rFonts w:eastAsia="Times New Roman" w:cs="Arial"/>
          <w:i/>
          <w:iCs/>
          <w:color w:val="000000"/>
          <w:lang w:eastAsia="bg-BG"/>
        </w:rPr>
        <w:t>регщдивирал</w:t>
      </w:r>
      <w:proofErr w:type="spellEnd"/>
      <w:r w:rsidRPr="00AC443D">
        <w:rPr>
          <w:rFonts w:eastAsia="Times New Roman" w:cs="Arial"/>
          <w:i/>
          <w:iCs/>
          <w:color w:val="000000"/>
          <w:lang w:eastAsia="bg-BG"/>
        </w:rPr>
        <w:t xml:space="preserve">/ </w:t>
      </w:r>
      <w:proofErr w:type="spellStart"/>
      <w:r w:rsidRPr="00AC443D">
        <w:rPr>
          <w:rFonts w:eastAsia="Times New Roman" w:cs="Arial"/>
          <w:i/>
          <w:iCs/>
          <w:color w:val="000000"/>
          <w:lang w:eastAsia="bg-BG"/>
        </w:rPr>
        <w:t>рефрактерен</w:t>
      </w:r>
      <w:proofErr w:type="spellEnd"/>
      <w:r w:rsidRPr="00AC443D">
        <w:rPr>
          <w:rFonts w:eastAsia="Times New Roman" w:cs="Arial"/>
          <w:i/>
          <w:iCs/>
          <w:color w:val="000000"/>
          <w:lang w:eastAsia="bg-BG"/>
        </w:rPr>
        <w:t xml:space="preserve"> мултиплен миелом</w:t>
      </w:r>
    </w:p>
    <w:p w14:paraId="4647DFC5" w14:textId="77777777"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Безопасността и ефикасността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са оценени в открито, рандомизирано, Фаза Ш проучване за съпоставимост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приложен подкожно в сравнение с интравенозно приложение. В проучването са взели участие 222 пациенти с рецидивирал/</w:t>
      </w:r>
      <w:proofErr w:type="spellStart"/>
      <w:r w:rsidRPr="00AC443D">
        <w:rPr>
          <w:rFonts w:eastAsia="Times New Roman" w:cs="Arial"/>
          <w:color w:val="000000"/>
          <w:lang w:eastAsia="bg-BG"/>
        </w:rPr>
        <w:t>рефрактерен</w:t>
      </w:r>
      <w:proofErr w:type="spellEnd"/>
      <w:r w:rsidRPr="00AC443D">
        <w:rPr>
          <w:rFonts w:eastAsia="Times New Roman" w:cs="Arial"/>
          <w:color w:val="000000"/>
          <w:lang w:eastAsia="bg-BG"/>
        </w:rPr>
        <w:t xml:space="preserve"> мултиплен миелом, рандомизирани в съотношение 2:1 да приемат 1,3 </w:t>
      </w:r>
      <w:r w:rsidRPr="00AC443D">
        <w:rPr>
          <w:rFonts w:eastAsia="Times New Roman" w:cs="Arial"/>
          <w:color w:val="000000"/>
          <w:lang w:val="en-US"/>
        </w:rPr>
        <w:t>mg</w:t>
      </w:r>
      <w:r w:rsidRPr="00FD4C98">
        <w:rPr>
          <w:rFonts w:eastAsia="Times New Roman" w:cs="Arial"/>
          <w:color w:val="000000"/>
          <w:lang w:val="ru-RU"/>
        </w:rPr>
        <w:t>/</w:t>
      </w:r>
      <w:r w:rsidRPr="00AC443D">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по подкожен или интравенозен път на приложение за 8 цикъла. На пациентите, които не са получили оптимален отговор (по-малко от пълен отговор </w:t>
      </w:r>
      <w:r w:rsidRPr="00FD4C98">
        <w:rPr>
          <w:rFonts w:eastAsia="Times New Roman" w:cs="Arial"/>
          <w:color w:val="000000"/>
          <w:lang w:val="ru-RU"/>
        </w:rPr>
        <w:t>[</w:t>
      </w:r>
      <w:r w:rsidRPr="00AC443D">
        <w:rPr>
          <w:rFonts w:eastAsia="Times New Roman" w:cs="Arial"/>
          <w:color w:val="000000"/>
          <w:lang w:val="en-US"/>
        </w:rPr>
        <w:t>CR</w:t>
      </w:r>
      <w:r w:rsidRPr="00FD4C98">
        <w:rPr>
          <w:rFonts w:eastAsia="Times New Roman" w:cs="Arial"/>
          <w:color w:val="000000"/>
          <w:lang w:val="ru-RU"/>
        </w:rPr>
        <w:t xml:space="preserve">]) </w:t>
      </w:r>
      <w:r w:rsidRPr="00AC443D">
        <w:rPr>
          <w:rFonts w:eastAsia="Times New Roman" w:cs="Arial"/>
          <w:color w:val="000000"/>
          <w:lang w:eastAsia="bg-BG"/>
        </w:rPr>
        <w:t xml:space="preserve">на терапията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след 4 цикъла, е позволено да приемат </w:t>
      </w:r>
      <w:proofErr w:type="spellStart"/>
      <w:r w:rsidRPr="00AC443D">
        <w:rPr>
          <w:rFonts w:eastAsia="Times New Roman" w:cs="Arial"/>
          <w:color w:val="000000"/>
          <w:lang w:eastAsia="bg-BG"/>
        </w:rPr>
        <w:t>дексаметазон</w:t>
      </w:r>
      <w:proofErr w:type="spellEnd"/>
      <w:r w:rsidRPr="00AC443D">
        <w:rPr>
          <w:rFonts w:eastAsia="Times New Roman" w:cs="Arial"/>
          <w:color w:val="000000"/>
          <w:lang w:eastAsia="bg-BG"/>
        </w:rPr>
        <w:t xml:space="preserve"> 20 </w:t>
      </w:r>
      <w:r w:rsidRPr="00AC443D">
        <w:rPr>
          <w:rFonts w:eastAsia="Times New Roman" w:cs="Arial"/>
          <w:color w:val="000000"/>
          <w:lang w:val="en-US"/>
        </w:rPr>
        <w:t>mg</w:t>
      </w:r>
      <w:r w:rsidRPr="00FD4C98">
        <w:rPr>
          <w:rFonts w:eastAsia="Times New Roman" w:cs="Arial"/>
          <w:color w:val="000000"/>
          <w:lang w:val="ru-RU"/>
        </w:rPr>
        <w:t xml:space="preserve"> </w:t>
      </w:r>
      <w:r w:rsidRPr="00AC443D">
        <w:rPr>
          <w:rFonts w:eastAsia="Times New Roman" w:cs="Arial"/>
          <w:color w:val="000000"/>
          <w:lang w:eastAsia="bg-BG"/>
        </w:rPr>
        <w:t xml:space="preserve">дневно в деня на приложение на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и на следващия ден. Пациентите с изходна степен на периферна невропатия &gt; 2 или брой на </w:t>
      </w:r>
      <w:proofErr w:type="spellStart"/>
      <w:r w:rsidRPr="00AC443D">
        <w:rPr>
          <w:rFonts w:eastAsia="Times New Roman" w:cs="Arial"/>
          <w:color w:val="000000"/>
          <w:lang w:eastAsia="bg-BG"/>
        </w:rPr>
        <w:t>тромбоцитите</w:t>
      </w:r>
      <w:proofErr w:type="spellEnd"/>
      <w:r w:rsidRPr="00AC443D">
        <w:rPr>
          <w:rFonts w:eastAsia="Times New Roman" w:cs="Arial"/>
          <w:color w:val="000000"/>
          <w:lang w:eastAsia="bg-BG"/>
        </w:rPr>
        <w:t xml:space="preserve"> &lt; 50 000/μ1 са изключени. Общо 218 пациенти са подлежали на оценка на отговора.</w:t>
      </w:r>
    </w:p>
    <w:p w14:paraId="6D1AC65C" w14:textId="77777777" w:rsidR="00AC443D" w:rsidRPr="00AC443D" w:rsidRDefault="00AC443D" w:rsidP="00AC443D">
      <w:pPr>
        <w:spacing w:line="240" w:lineRule="auto"/>
        <w:rPr>
          <w:rFonts w:eastAsia="Times New Roman" w:cs="Arial"/>
          <w:color w:val="000000"/>
          <w:lang w:eastAsia="bg-BG"/>
        </w:rPr>
      </w:pPr>
    </w:p>
    <w:p w14:paraId="4E6067F3" w14:textId="101ABEEA" w:rsidR="00AC443D" w:rsidRPr="00AC443D" w:rsidRDefault="00AC443D" w:rsidP="00AC443D">
      <w:pPr>
        <w:spacing w:line="240" w:lineRule="auto"/>
        <w:rPr>
          <w:rFonts w:eastAsia="Times New Roman" w:cs="Arial"/>
          <w:lang w:eastAsia="bg-BG"/>
        </w:rPr>
      </w:pPr>
      <w:r w:rsidRPr="00AC443D">
        <w:rPr>
          <w:rFonts w:eastAsia="Times New Roman" w:cs="Arial"/>
          <w:color w:val="000000"/>
          <w:lang w:eastAsia="bg-BG"/>
        </w:rPr>
        <w:t xml:space="preserve">Проучването е постигнало основната си цел за съпоставимост на общия отговор </w:t>
      </w:r>
      <w:r w:rsidRPr="00FD4C98">
        <w:rPr>
          <w:rFonts w:eastAsia="Times New Roman" w:cs="Arial"/>
          <w:color w:val="000000"/>
          <w:lang w:val="ru-RU"/>
        </w:rPr>
        <w:t>(</w:t>
      </w:r>
      <w:r w:rsidRPr="00AC443D">
        <w:rPr>
          <w:rFonts w:eastAsia="Times New Roman" w:cs="Arial"/>
          <w:color w:val="000000"/>
          <w:lang w:val="en-US"/>
        </w:rPr>
        <w:t>CR</w:t>
      </w:r>
      <w:r w:rsidRPr="00FD4C98">
        <w:rPr>
          <w:rFonts w:eastAsia="Times New Roman" w:cs="Arial"/>
          <w:color w:val="000000"/>
          <w:lang w:val="ru-RU"/>
        </w:rPr>
        <w:t>+</w:t>
      </w:r>
      <w:r w:rsidRPr="00AC443D">
        <w:rPr>
          <w:rFonts w:eastAsia="Times New Roman" w:cs="Arial"/>
          <w:color w:val="000000"/>
          <w:lang w:val="en-US"/>
        </w:rPr>
        <w:t>PR</w:t>
      </w:r>
      <w:r w:rsidRPr="00FD4C98">
        <w:rPr>
          <w:rFonts w:eastAsia="Times New Roman" w:cs="Arial"/>
          <w:color w:val="000000"/>
          <w:lang w:val="ru-RU"/>
        </w:rPr>
        <w:t xml:space="preserve">) </w:t>
      </w:r>
      <w:r w:rsidRPr="00AC443D">
        <w:rPr>
          <w:rFonts w:eastAsia="Times New Roman" w:cs="Arial"/>
          <w:color w:val="000000"/>
          <w:lang w:eastAsia="bg-BG"/>
        </w:rPr>
        <w:t xml:space="preserve">след 4 цикъла на терапия с </w:t>
      </w:r>
      <w:proofErr w:type="spellStart"/>
      <w:r w:rsidRPr="00AC443D">
        <w:rPr>
          <w:rFonts w:eastAsia="Times New Roman" w:cs="Arial"/>
          <w:color w:val="000000"/>
          <w:lang w:eastAsia="bg-BG"/>
        </w:rPr>
        <w:t>бортезомиб</w:t>
      </w:r>
      <w:proofErr w:type="spellEnd"/>
      <w:r w:rsidRPr="00AC443D">
        <w:rPr>
          <w:rFonts w:eastAsia="Times New Roman" w:cs="Arial"/>
          <w:color w:val="000000"/>
          <w:lang w:eastAsia="bg-BG"/>
        </w:rPr>
        <w:t xml:space="preserve"> като самостоятелно средство с подкожен и интравенозен път на приложение, 42% и в двете групи. Също така вторичните резултати за ефикасност, свързана с отговора и с времето до събитие, показват съвместими резултати за подкожно и интравенозно приложение (Таблица 12).</w:t>
      </w:r>
    </w:p>
    <w:p w14:paraId="1AB796A4" w14:textId="77777777" w:rsidR="00AC443D" w:rsidRPr="00AC443D" w:rsidRDefault="00AC443D" w:rsidP="00AC443D">
      <w:pPr>
        <w:spacing w:line="240" w:lineRule="auto"/>
        <w:rPr>
          <w:rFonts w:eastAsia="Times New Roman" w:cs="Arial"/>
          <w:i/>
          <w:iCs/>
          <w:color w:val="000000"/>
          <w:lang w:eastAsia="bg-BG"/>
        </w:rPr>
      </w:pPr>
    </w:p>
    <w:p w14:paraId="2236476C" w14:textId="5C1B3470" w:rsidR="00AC443D" w:rsidRPr="00AC443D" w:rsidRDefault="00AC443D" w:rsidP="00AC443D">
      <w:pPr>
        <w:spacing w:line="240" w:lineRule="auto"/>
        <w:rPr>
          <w:rFonts w:eastAsia="Times New Roman" w:cs="Arial"/>
          <w:lang w:eastAsia="bg-BG"/>
        </w:rPr>
      </w:pPr>
      <w:r w:rsidRPr="00AC443D">
        <w:rPr>
          <w:rFonts w:eastAsia="Times New Roman" w:cs="Arial"/>
          <w:i/>
          <w:iCs/>
          <w:color w:val="000000"/>
          <w:lang w:eastAsia="bg-BG"/>
        </w:rPr>
        <w:t xml:space="preserve">Таблица 12:Обобщение на анализите на ефикасност, сравняващи подкожно и интравенозно </w:t>
      </w:r>
      <w:r w:rsidRPr="00AC443D">
        <w:rPr>
          <w:rFonts w:eastAsia="Times New Roman" w:cs="Arial"/>
          <w:i/>
          <w:iCs/>
          <w:color w:val="000000"/>
          <w:u w:val="single"/>
          <w:lang w:eastAsia="bg-BG"/>
        </w:rPr>
        <w:t xml:space="preserve">приложение на </w:t>
      </w:r>
      <w:proofErr w:type="spellStart"/>
      <w:r w:rsidRPr="00AC443D">
        <w:rPr>
          <w:rFonts w:eastAsia="Times New Roman" w:cs="Arial"/>
          <w:i/>
          <w:iCs/>
          <w:color w:val="000000"/>
          <w:u w:val="single"/>
          <w:lang w:eastAsia="bg-BG"/>
        </w:rPr>
        <w:t>бортезомиб</w:t>
      </w:r>
      <w:proofErr w:type="spellEnd"/>
    </w:p>
    <w:p w14:paraId="400D62A8" w14:textId="1D786A27" w:rsidR="00AC443D" w:rsidRDefault="00AC443D" w:rsidP="0091385D"/>
    <w:tbl>
      <w:tblPr>
        <w:tblStyle w:val="TableGrid"/>
        <w:tblW w:w="0" w:type="auto"/>
        <w:tblLook w:val="04A0" w:firstRow="1" w:lastRow="0" w:firstColumn="1" w:lastColumn="0" w:noHBand="0" w:noVBand="1"/>
      </w:tblPr>
      <w:tblGrid>
        <w:gridCol w:w="3116"/>
        <w:gridCol w:w="3117"/>
        <w:gridCol w:w="3117"/>
      </w:tblGrid>
      <w:tr w:rsidR="00AC443D" w14:paraId="2EB576FC" w14:textId="77777777" w:rsidTr="00AC443D">
        <w:tc>
          <w:tcPr>
            <w:tcW w:w="3116" w:type="dxa"/>
          </w:tcPr>
          <w:p w14:paraId="78E8EA7F" w14:textId="77777777" w:rsidR="00AC443D" w:rsidRPr="00AC443D" w:rsidRDefault="00AC443D" w:rsidP="00AC443D">
            <w:pPr>
              <w:rPr>
                <w:rFonts w:cs="Arial"/>
              </w:rPr>
            </w:pPr>
          </w:p>
        </w:tc>
        <w:tc>
          <w:tcPr>
            <w:tcW w:w="3117" w:type="dxa"/>
          </w:tcPr>
          <w:p w14:paraId="1A78F942" w14:textId="539CA869" w:rsidR="00AC443D" w:rsidRPr="00AC443D" w:rsidRDefault="00AC443D" w:rsidP="00AC443D">
            <w:pPr>
              <w:rPr>
                <w:rFonts w:cs="Arial"/>
              </w:rPr>
            </w:pPr>
            <w:r w:rsidRPr="00AC443D">
              <w:rPr>
                <w:rFonts w:cs="Arial"/>
                <w:b/>
                <w:bCs/>
              </w:rPr>
              <w:t xml:space="preserve">Рамо на интравенозно приложен </w:t>
            </w:r>
            <w:proofErr w:type="spellStart"/>
            <w:r w:rsidRPr="00AC443D">
              <w:rPr>
                <w:rFonts w:cs="Arial"/>
                <w:b/>
                <w:bCs/>
              </w:rPr>
              <w:t>бортезомиб</w:t>
            </w:r>
            <w:proofErr w:type="spellEnd"/>
          </w:p>
        </w:tc>
        <w:tc>
          <w:tcPr>
            <w:tcW w:w="3117" w:type="dxa"/>
          </w:tcPr>
          <w:p w14:paraId="2DFF1AD7" w14:textId="3BF59E95" w:rsidR="00AC443D" w:rsidRPr="00AC443D" w:rsidRDefault="00AC443D" w:rsidP="00AC443D">
            <w:pPr>
              <w:rPr>
                <w:rFonts w:cs="Arial"/>
              </w:rPr>
            </w:pPr>
            <w:r w:rsidRPr="00AC443D">
              <w:rPr>
                <w:rFonts w:cs="Arial"/>
                <w:b/>
                <w:bCs/>
              </w:rPr>
              <w:t xml:space="preserve">Рамо на подкожно приложен </w:t>
            </w:r>
            <w:proofErr w:type="spellStart"/>
            <w:r w:rsidRPr="00AC443D">
              <w:rPr>
                <w:rFonts w:cs="Arial"/>
                <w:b/>
                <w:bCs/>
              </w:rPr>
              <w:t>бортезомиб</w:t>
            </w:r>
            <w:proofErr w:type="spellEnd"/>
          </w:p>
        </w:tc>
      </w:tr>
      <w:tr w:rsidR="00AC443D" w14:paraId="7729F16F" w14:textId="77777777" w:rsidTr="00AC443D">
        <w:tc>
          <w:tcPr>
            <w:tcW w:w="3116" w:type="dxa"/>
          </w:tcPr>
          <w:p w14:paraId="02A262F7" w14:textId="58D19D2F" w:rsidR="00AC443D" w:rsidRPr="00AC443D" w:rsidRDefault="00AC443D" w:rsidP="00AC443D">
            <w:pPr>
              <w:rPr>
                <w:rFonts w:cs="Arial"/>
              </w:rPr>
            </w:pPr>
            <w:r w:rsidRPr="00AC443D">
              <w:rPr>
                <w:rFonts w:cs="Arial"/>
                <w:b/>
                <w:bCs/>
              </w:rPr>
              <w:t>Популация, подлежаща на оценка на отговора</w:t>
            </w:r>
          </w:p>
        </w:tc>
        <w:tc>
          <w:tcPr>
            <w:tcW w:w="3117" w:type="dxa"/>
          </w:tcPr>
          <w:p w14:paraId="2ABB40CC" w14:textId="7C87F2DB" w:rsidR="00AC443D" w:rsidRPr="00AC443D" w:rsidRDefault="00AC443D" w:rsidP="00AC443D">
            <w:pPr>
              <w:rPr>
                <w:rFonts w:cs="Arial"/>
              </w:rPr>
            </w:pPr>
            <w:r w:rsidRPr="00AC443D">
              <w:rPr>
                <w:rFonts w:cs="Arial"/>
                <w:b/>
                <w:bCs/>
                <w:lang w:val="en-US"/>
              </w:rPr>
              <w:t>n</w:t>
            </w:r>
            <w:r w:rsidRPr="00AC443D">
              <w:rPr>
                <w:rFonts w:cs="Arial"/>
                <w:b/>
                <w:bCs/>
              </w:rPr>
              <w:t>=73</w:t>
            </w:r>
          </w:p>
        </w:tc>
        <w:tc>
          <w:tcPr>
            <w:tcW w:w="3117" w:type="dxa"/>
          </w:tcPr>
          <w:p w14:paraId="6CB1AC40" w14:textId="067CB326" w:rsidR="00AC443D" w:rsidRPr="00AC443D" w:rsidRDefault="00AC443D" w:rsidP="00AC443D">
            <w:pPr>
              <w:rPr>
                <w:rFonts w:cs="Arial"/>
              </w:rPr>
            </w:pPr>
            <w:r w:rsidRPr="00AC443D">
              <w:rPr>
                <w:rFonts w:cs="Arial"/>
                <w:b/>
                <w:bCs/>
                <w:lang w:val="en-US"/>
              </w:rPr>
              <w:t>n</w:t>
            </w:r>
            <w:r w:rsidRPr="00AC443D">
              <w:rPr>
                <w:rFonts w:cs="Arial"/>
                <w:b/>
                <w:bCs/>
              </w:rPr>
              <w:t>=145</w:t>
            </w:r>
          </w:p>
        </w:tc>
      </w:tr>
      <w:tr w:rsidR="00AC443D" w14:paraId="1056A4F9" w14:textId="77777777" w:rsidTr="00AC443D">
        <w:tc>
          <w:tcPr>
            <w:tcW w:w="3116" w:type="dxa"/>
          </w:tcPr>
          <w:p w14:paraId="1F20159B" w14:textId="78F16862" w:rsidR="00AC443D" w:rsidRPr="00AC443D" w:rsidRDefault="00AC443D" w:rsidP="00AC443D">
            <w:pPr>
              <w:rPr>
                <w:rFonts w:cs="Arial"/>
              </w:rPr>
            </w:pPr>
            <w:r w:rsidRPr="00AC443D">
              <w:rPr>
                <w:rFonts w:cs="Arial"/>
                <w:b/>
                <w:bCs/>
              </w:rPr>
              <w:t xml:space="preserve">Честота на отговорите при 4 цикъла </w:t>
            </w:r>
            <w:r w:rsidRPr="00AC443D">
              <w:rPr>
                <w:rFonts w:cs="Arial"/>
                <w:b/>
                <w:bCs/>
                <w:lang w:val="en-US"/>
              </w:rPr>
              <w:t>n</w:t>
            </w:r>
            <w:r w:rsidRPr="00AC443D">
              <w:rPr>
                <w:rFonts w:cs="Arial"/>
                <w:b/>
                <w:bCs/>
              </w:rPr>
              <w:t xml:space="preserve"> (%)</w:t>
            </w:r>
          </w:p>
        </w:tc>
        <w:tc>
          <w:tcPr>
            <w:tcW w:w="3117" w:type="dxa"/>
          </w:tcPr>
          <w:p w14:paraId="2CE98C8A" w14:textId="77777777" w:rsidR="00AC443D" w:rsidRPr="00AC443D" w:rsidRDefault="00AC443D" w:rsidP="00AC443D">
            <w:pPr>
              <w:rPr>
                <w:rFonts w:cs="Arial"/>
              </w:rPr>
            </w:pPr>
          </w:p>
        </w:tc>
        <w:tc>
          <w:tcPr>
            <w:tcW w:w="3117" w:type="dxa"/>
          </w:tcPr>
          <w:p w14:paraId="16C14A93" w14:textId="77777777" w:rsidR="00AC443D" w:rsidRPr="00AC443D" w:rsidRDefault="00AC443D" w:rsidP="00AC443D">
            <w:pPr>
              <w:rPr>
                <w:rFonts w:cs="Arial"/>
              </w:rPr>
            </w:pPr>
          </w:p>
        </w:tc>
      </w:tr>
      <w:tr w:rsidR="00AC443D" w14:paraId="40A3C53E" w14:textId="77777777" w:rsidTr="00AC443D">
        <w:tc>
          <w:tcPr>
            <w:tcW w:w="3116" w:type="dxa"/>
          </w:tcPr>
          <w:p w14:paraId="6703A771" w14:textId="603E5E8D" w:rsidR="00AC443D" w:rsidRPr="00AC443D" w:rsidRDefault="00AC443D" w:rsidP="00AC443D">
            <w:pPr>
              <w:rPr>
                <w:rFonts w:cs="Arial"/>
              </w:rPr>
            </w:pPr>
            <w:r w:rsidRPr="00AC443D">
              <w:rPr>
                <w:rFonts w:cs="Arial"/>
              </w:rPr>
              <w:t xml:space="preserve">Общ отговор </w:t>
            </w:r>
            <w:r w:rsidRPr="00AC443D">
              <w:rPr>
                <w:rFonts w:cs="Arial"/>
                <w:lang w:val="en-US"/>
              </w:rPr>
              <w:t>(CR+PR)</w:t>
            </w:r>
          </w:p>
        </w:tc>
        <w:tc>
          <w:tcPr>
            <w:tcW w:w="3117" w:type="dxa"/>
          </w:tcPr>
          <w:p w14:paraId="123B82BB" w14:textId="53BE373D" w:rsidR="00AC443D" w:rsidRPr="00AC443D" w:rsidRDefault="00AC443D" w:rsidP="00AC443D">
            <w:pPr>
              <w:rPr>
                <w:rFonts w:cs="Arial"/>
              </w:rPr>
            </w:pPr>
            <w:r w:rsidRPr="00AC443D">
              <w:rPr>
                <w:rFonts w:cs="Arial"/>
              </w:rPr>
              <w:t>31(42)</w:t>
            </w:r>
          </w:p>
        </w:tc>
        <w:tc>
          <w:tcPr>
            <w:tcW w:w="3117" w:type="dxa"/>
          </w:tcPr>
          <w:p w14:paraId="1012E9E6" w14:textId="435A0E34" w:rsidR="00AC443D" w:rsidRPr="00AC443D" w:rsidRDefault="00AC443D" w:rsidP="00AC443D">
            <w:pPr>
              <w:rPr>
                <w:rFonts w:cs="Arial"/>
              </w:rPr>
            </w:pPr>
            <w:r w:rsidRPr="00AC443D">
              <w:rPr>
                <w:rFonts w:cs="Arial"/>
              </w:rPr>
              <w:t>61(42)</w:t>
            </w:r>
            <w:r w:rsidRPr="00AC443D">
              <w:rPr>
                <w:rFonts w:cs="Arial"/>
              </w:rPr>
              <w:tab/>
            </w:r>
          </w:p>
        </w:tc>
      </w:tr>
      <w:tr w:rsidR="00AC443D" w14:paraId="594B3818" w14:textId="77777777" w:rsidTr="00AC443D">
        <w:tc>
          <w:tcPr>
            <w:tcW w:w="3116" w:type="dxa"/>
          </w:tcPr>
          <w:p w14:paraId="65D2A733" w14:textId="74E35CFE" w:rsidR="00AC443D" w:rsidRPr="00AC443D" w:rsidRDefault="00AC443D" w:rsidP="00AC443D">
            <w:pPr>
              <w:rPr>
                <w:rFonts w:cs="Arial"/>
              </w:rPr>
            </w:pPr>
            <w:r w:rsidRPr="00AC443D">
              <w:rPr>
                <w:rFonts w:cs="Arial"/>
              </w:rPr>
              <w:t>р-</w:t>
            </w:r>
            <w:proofErr w:type="spellStart"/>
            <w:r w:rsidRPr="00AC443D">
              <w:rPr>
                <w:rFonts w:cs="Arial"/>
              </w:rPr>
              <w:t>стойноста</w:t>
            </w:r>
            <w:proofErr w:type="spellEnd"/>
          </w:p>
        </w:tc>
        <w:tc>
          <w:tcPr>
            <w:tcW w:w="6234" w:type="dxa"/>
            <w:gridSpan w:val="2"/>
          </w:tcPr>
          <w:p w14:paraId="0F916E90" w14:textId="69F181A7" w:rsidR="00AC443D" w:rsidRPr="00AC443D" w:rsidRDefault="00AC443D" w:rsidP="00AC443D">
            <w:pPr>
              <w:rPr>
                <w:rFonts w:cs="Arial"/>
              </w:rPr>
            </w:pPr>
            <w:r w:rsidRPr="00AC443D">
              <w:rPr>
                <w:rFonts w:cs="Arial"/>
              </w:rPr>
              <w:t>0,00201</w:t>
            </w:r>
          </w:p>
        </w:tc>
      </w:tr>
      <w:tr w:rsidR="00AC443D" w14:paraId="631E1691" w14:textId="77777777" w:rsidTr="00AC443D">
        <w:tc>
          <w:tcPr>
            <w:tcW w:w="3116" w:type="dxa"/>
          </w:tcPr>
          <w:p w14:paraId="35B3C9E2" w14:textId="6464501C" w:rsidR="00AC443D" w:rsidRPr="00AC443D" w:rsidRDefault="00AC443D" w:rsidP="00AC443D">
            <w:pPr>
              <w:rPr>
                <w:rFonts w:cs="Arial"/>
              </w:rPr>
            </w:pPr>
            <w:r w:rsidRPr="00AC443D">
              <w:rPr>
                <w:rFonts w:cs="Arial"/>
                <w:lang w:val="en-US"/>
              </w:rPr>
              <w:t>CR n</w:t>
            </w:r>
            <w:r w:rsidRPr="00AC443D">
              <w:rPr>
                <w:rFonts w:cs="Arial"/>
              </w:rPr>
              <w:t xml:space="preserve"> (%)</w:t>
            </w:r>
          </w:p>
        </w:tc>
        <w:tc>
          <w:tcPr>
            <w:tcW w:w="3117" w:type="dxa"/>
          </w:tcPr>
          <w:p w14:paraId="4D54C2C9" w14:textId="77623AE1" w:rsidR="00AC443D" w:rsidRPr="00AC443D" w:rsidRDefault="00AC443D" w:rsidP="00AC443D">
            <w:pPr>
              <w:rPr>
                <w:rFonts w:cs="Arial"/>
              </w:rPr>
            </w:pPr>
            <w:r w:rsidRPr="00AC443D">
              <w:rPr>
                <w:rFonts w:cs="Arial"/>
              </w:rPr>
              <w:t>6 (8)</w:t>
            </w:r>
          </w:p>
        </w:tc>
        <w:tc>
          <w:tcPr>
            <w:tcW w:w="3117" w:type="dxa"/>
          </w:tcPr>
          <w:p w14:paraId="47C17123" w14:textId="0E79BB7C" w:rsidR="00AC443D" w:rsidRPr="00AC443D" w:rsidRDefault="00AC443D" w:rsidP="00AC443D">
            <w:pPr>
              <w:rPr>
                <w:rFonts w:cs="Arial"/>
              </w:rPr>
            </w:pPr>
            <w:r w:rsidRPr="00AC443D">
              <w:rPr>
                <w:rFonts w:cs="Arial"/>
              </w:rPr>
              <w:t>9(6)</w:t>
            </w:r>
          </w:p>
        </w:tc>
      </w:tr>
      <w:tr w:rsidR="00AC443D" w14:paraId="4824D7D4" w14:textId="77777777" w:rsidTr="00AC443D">
        <w:tc>
          <w:tcPr>
            <w:tcW w:w="3116" w:type="dxa"/>
          </w:tcPr>
          <w:p w14:paraId="1454A420" w14:textId="6F1A2D54" w:rsidR="00AC443D" w:rsidRPr="00AC443D" w:rsidRDefault="00AC443D" w:rsidP="00AC443D">
            <w:pPr>
              <w:rPr>
                <w:rFonts w:cs="Arial"/>
              </w:rPr>
            </w:pPr>
            <w:r w:rsidRPr="00AC443D">
              <w:rPr>
                <w:rFonts w:cs="Arial"/>
                <w:b/>
                <w:bCs/>
                <w:lang w:val="en-US"/>
              </w:rPr>
              <w:t>PR n</w:t>
            </w:r>
            <w:r w:rsidRPr="00AC443D">
              <w:rPr>
                <w:rFonts w:cs="Arial"/>
                <w:b/>
                <w:bCs/>
              </w:rPr>
              <w:t xml:space="preserve"> (%)</w:t>
            </w:r>
          </w:p>
        </w:tc>
        <w:tc>
          <w:tcPr>
            <w:tcW w:w="3117" w:type="dxa"/>
          </w:tcPr>
          <w:p w14:paraId="0E29253D" w14:textId="5A49F2F0" w:rsidR="00AC443D" w:rsidRPr="00AC443D" w:rsidRDefault="00AC443D" w:rsidP="00AC443D">
            <w:pPr>
              <w:rPr>
                <w:rFonts w:cs="Arial"/>
              </w:rPr>
            </w:pPr>
            <w:r w:rsidRPr="00AC443D">
              <w:rPr>
                <w:rFonts w:cs="Arial"/>
              </w:rPr>
              <w:t>25 (34)</w:t>
            </w:r>
          </w:p>
        </w:tc>
        <w:tc>
          <w:tcPr>
            <w:tcW w:w="3117" w:type="dxa"/>
          </w:tcPr>
          <w:p w14:paraId="5B863ED2" w14:textId="61F9D21A" w:rsidR="00AC443D" w:rsidRPr="00AC443D" w:rsidRDefault="00AC443D" w:rsidP="00AC443D">
            <w:pPr>
              <w:rPr>
                <w:rFonts w:cs="Arial"/>
              </w:rPr>
            </w:pPr>
            <w:r w:rsidRPr="00AC443D">
              <w:rPr>
                <w:rFonts w:cs="Arial"/>
              </w:rPr>
              <w:t>52 (36)</w:t>
            </w:r>
          </w:p>
        </w:tc>
      </w:tr>
      <w:tr w:rsidR="00AC443D" w14:paraId="6B7AAB29" w14:textId="77777777" w:rsidTr="00AC443D">
        <w:tc>
          <w:tcPr>
            <w:tcW w:w="3116" w:type="dxa"/>
          </w:tcPr>
          <w:p w14:paraId="4878BC2D" w14:textId="47FE2562" w:rsidR="00AC443D" w:rsidRPr="00AC443D" w:rsidRDefault="00AC443D" w:rsidP="00AC443D">
            <w:pPr>
              <w:rPr>
                <w:rFonts w:cs="Arial"/>
              </w:rPr>
            </w:pPr>
            <w:proofErr w:type="spellStart"/>
            <w:r w:rsidRPr="00AC443D">
              <w:rPr>
                <w:rFonts w:cs="Arial"/>
                <w:lang w:val="en-US"/>
              </w:rPr>
              <w:t>nCR</w:t>
            </w:r>
            <w:proofErr w:type="spellEnd"/>
            <w:r w:rsidRPr="00AC443D">
              <w:rPr>
                <w:rFonts w:cs="Arial"/>
                <w:lang w:val="en-US"/>
              </w:rPr>
              <w:t xml:space="preserve"> n</w:t>
            </w:r>
            <w:r w:rsidRPr="00AC443D">
              <w:rPr>
                <w:rFonts w:cs="Arial"/>
              </w:rPr>
              <w:t xml:space="preserve"> (%)</w:t>
            </w:r>
          </w:p>
        </w:tc>
        <w:tc>
          <w:tcPr>
            <w:tcW w:w="3117" w:type="dxa"/>
          </w:tcPr>
          <w:p w14:paraId="5AD7F438" w14:textId="7BECF6B1" w:rsidR="00AC443D" w:rsidRPr="00AC443D" w:rsidRDefault="00AC443D" w:rsidP="00AC443D">
            <w:pPr>
              <w:rPr>
                <w:rFonts w:cs="Arial"/>
              </w:rPr>
            </w:pPr>
            <w:r w:rsidRPr="00AC443D">
              <w:rPr>
                <w:rFonts w:cs="Arial"/>
              </w:rPr>
              <w:t>4 (5)</w:t>
            </w:r>
          </w:p>
        </w:tc>
        <w:tc>
          <w:tcPr>
            <w:tcW w:w="3117" w:type="dxa"/>
          </w:tcPr>
          <w:p w14:paraId="29C0FB6F" w14:textId="4CC0D930" w:rsidR="00AC443D" w:rsidRPr="00AC443D" w:rsidRDefault="00AC443D" w:rsidP="00AC443D">
            <w:pPr>
              <w:rPr>
                <w:rFonts w:cs="Arial"/>
              </w:rPr>
            </w:pPr>
            <w:r w:rsidRPr="00AC443D">
              <w:rPr>
                <w:rFonts w:cs="Arial"/>
              </w:rPr>
              <w:t>9(6)</w:t>
            </w:r>
          </w:p>
        </w:tc>
      </w:tr>
      <w:tr w:rsidR="00AC443D" w14:paraId="0124C5C6" w14:textId="77777777" w:rsidTr="00AC443D">
        <w:tc>
          <w:tcPr>
            <w:tcW w:w="3116" w:type="dxa"/>
          </w:tcPr>
          <w:p w14:paraId="5C053BEE" w14:textId="1D58EE11" w:rsidR="00AC443D" w:rsidRPr="00AC443D" w:rsidRDefault="00AC443D" w:rsidP="00AC443D">
            <w:pPr>
              <w:rPr>
                <w:rFonts w:cs="Arial"/>
              </w:rPr>
            </w:pPr>
            <w:r w:rsidRPr="00AC443D">
              <w:rPr>
                <w:rFonts w:cs="Arial"/>
                <w:b/>
                <w:bCs/>
              </w:rPr>
              <w:t xml:space="preserve">Честота на отговорите при 8 цикъла </w:t>
            </w:r>
            <w:r w:rsidRPr="00AC443D">
              <w:rPr>
                <w:rFonts w:cs="Arial"/>
                <w:b/>
                <w:bCs/>
                <w:lang w:val="en-US"/>
              </w:rPr>
              <w:t>n</w:t>
            </w:r>
            <w:r w:rsidRPr="00AC443D">
              <w:rPr>
                <w:rFonts w:cs="Arial"/>
                <w:b/>
                <w:bCs/>
              </w:rPr>
              <w:t xml:space="preserve"> (%)</w:t>
            </w:r>
          </w:p>
        </w:tc>
        <w:tc>
          <w:tcPr>
            <w:tcW w:w="3117" w:type="dxa"/>
          </w:tcPr>
          <w:p w14:paraId="4FD8F300" w14:textId="77777777" w:rsidR="00AC443D" w:rsidRPr="00AC443D" w:rsidRDefault="00AC443D" w:rsidP="00AC443D">
            <w:pPr>
              <w:rPr>
                <w:rFonts w:cs="Arial"/>
              </w:rPr>
            </w:pPr>
          </w:p>
        </w:tc>
        <w:tc>
          <w:tcPr>
            <w:tcW w:w="3117" w:type="dxa"/>
          </w:tcPr>
          <w:p w14:paraId="50EF2329" w14:textId="77777777" w:rsidR="00AC443D" w:rsidRPr="00AC443D" w:rsidRDefault="00AC443D" w:rsidP="00AC443D">
            <w:pPr>
              <w:rPr>
                <w:rFonts w:cs="Arial"/>
              </w:rPr>
            </w:pPr>
          </w:p>
        </w:tc>
      </w:tr>
      <w:tr w:rsidR="00AC443D" w14:paraId="161CE61B" w14:textId="77777777" w:rsidTr="00AC443D">
        <w:tc>
          <w:tcPr>
            <w:tcW w:w="3116" w:type="dxa"/>
          </w:tcPr>
          <w:p w14:paraId="7AC3E34A" w14:textId="77B1BDAA" w:rsidR="00AC443D" w:rsidRPr="00AC443D" w:rsidRDefault="00AC443D" w:rsidP="00AC443D">
            <w:pPr>
              <w:rPr>
                <w:rFonts w:cs="Arial"/>
              </w:rPr>
            </w:pPr>
            <w:r w:rsidRPr="00AC443D">
              <w:rPr>
                <w:rFonts w:cs="Arial"/>
              </w:rPr>
              <w:t xml:space="preserve">Общ отговор </w:t>
            </w:r>
            <w:r w:rsidRPr="00AC443D">
              <w:rPr>
                <w:rFonts w:cs="Arial"/>
                <w:lang w:val="en-US"/>
              </w:rPr>
              <w:t>(CR+PR)</w:t>
            </w:r>
          </w:p>
        </w:tc>
        <w:tc>
          <w:tcPr>
            <w:tcW w:w="3117" w:type="dxa"/>
          </w:tcPr>
          <w:p w14:paraId="47F38E16" w14:textId="78C62B80" w:rsidR="00AC443D" w:rsidRPr="00AC443D" w:rsidRDefault="00AC443D" w:rsidP="00AC443D">
            <w:pPr>
              <w:rPr>
                <w:rFonts w:cs="Arial"/>
              </w:rPr>
            </w:pPr>
            <w:r w:rsidRPr="00AC443D">
              <w:rPr>
                <w:rFonts w:cs="Arial"/>
              </w:rPr>
              <w:t>38 (52)</w:t>
            </w:r>
          </w:p>
        </w:tc>
        <w:tc>
          <w:tcPr>
            <w:tcW w:w="3117" w:type="dxa"/>
          </w:tcPr>
          <w:p w14:paraId="659EBF47" w14:textId="657FBA5E" w:rsidR="00AC443D" w:rsidRPr="00AC443D" w:rsidRDefault="00AC443D" w:rsidP="00AC443D">
            <w:pPr>
              <w:rPr>
                <w:rFonts w:cs="Arial"/>
              </w:rPr>
            </w:pPr>
            <w:r w:rsidRPr="00AC443D">
              <w:rPr>
                <w:rFonts w:cs="Arial"/>
              </w:rPr>
              <w:t>76 (52)</w:t>
            </w:r>
          </w:p>
        </w:tc>
      </w:tr>
      <w:tr w:rsidR="00AC443D" w14:paraId="456C0AA2" w14:textId="77777777" w:rsidTr="00AC443D">
        <w:tc>
          <w:tcPr>
            <w:tcW w:w="3116" w:type="dxa"/>
          </w:tcPr>
          <w:p w14:paraId="6DB44F15" w14:textId="4EBEA2C5" w:rsidR="00AC443D" w:rsidRPr="00AC443D" w:rsidRDefault="00AC443D" w:rsidP="00AC443D">
            <w:pPr>
              <w:rPr>
                <w:rFonts w:cs="Arial"/>
              </w:rPr>
            </w:pPr>
            <w:r w:rsidRPr="00AC443D">
              <w:rPr>
                <w:rFonts w:cs="Arial"/>
              </w:rPr>
              <w:t>р-</w:t>
            </w:r>
            <w:proofErr w:type="spellStart"/>
            <w:r w:rsidRPr="00AC443D">
              <w:rPr>
                <w:rFonts w:cs="Arial"/>
              </w:rPr>
              <w:t>стойноста</w:t>
            </w:r>
            <w:proofErr w:type="spellEnd"/>
          </w:p>
        </w:tc>
        <w:tc>
          <w:tcPr>
            <w:tcW w:w="6234" w:type="dxa"/>
            <w:gridSpan w:val="2"/>
          </w:tcPr>
          <w:p w14:paraId="02850DB8" w14:textId="59A4ED33" w:rsidR="00AC443D" w:rsidRPr="00AC443D" w:rsidRDefault="00AC443D" w:rsidP="00AC443D">
            <w:pPr>
              <w:rPr>
                <w:rFonts w:cs="Arial"/>
              </w:rPr>
            </w:pPr>
            <w:r w:rsidRPr="00AC443D">
              <w:rPr>
                <w:rFonts w:cs="Arial"/>
              </w:rPr>
              <w:t>0,0001</w:t>
            </w:r>
          </w:p>
        </w:tc>
      </w:tr>
      <w:tr w:rsidR="00AC443D" w14:paraId="2BC9C3CC" w14:textId="77777777" w:rsidTr="00AC443D">
        <w:tc>
          <w:tcPr>
            <w:tcW w:w="3116" w:type="dxa"/>
          </w:tcPr>
          <w:p w14:paraId="5CE0CAEF" w14:textId="32FCD46E" w:rsidR="00AC443D" w:rsidRPr="00AC443D" w:rsidRDefault="00AC443D" w:rsidP="00AC443D">
            <w:pPr>
              <w:rPr>
                <w:rFonts w:cs="Arial"/>
              </w:rPr>
            </w:pPr>
            <w:r w:rsidRPr="00AC443D">
              <w:rPr>
                <w:rFonts w:cs="Arial"/>
                <w:lang w:val="en-US"/>
              </w:rPr>
              <w:t>CR n</w:t>
            </w:r>
            <w:r w:rsidRPr="00AC443D">
              <w:rPr>
                <w:rFonts w:cs="Arial"/>
              </w:rPr>
              <w:t xml:space="preserve"> (%)</w:t>
            </w:r>
          </w:p>
        </w:tc>
        <w:tc>
          <w:tcPr>
            <w:tcW w:w="3117" w:type="dxa"/>
          </w:tcPr>
          <w:p w14:paraId="36D61AC0" w14:textId="286E3D1B" w:rsidR="00AC443D" w:rsidRPr="00AC443D" w:rsidRDefault="00AC443D" w:rsidP="00AC443D">
            <w:pPr>
              <w:rPr>
                <w:rFonts w:cs="Arial"/>
              </w:rPr>
            </w:pPr>
            <w:r w:rsidRPr="00AC443D">
              <w:rPr>
                <w:rFonts w:cs="Arial"/>
              </w:rPr>
              <w:t>9(12)</w:t>
            </w:r>
          </w:p>
        </w:tc>
        <w:tc>
          <w:tcPr>
            <w:tcW w:w="3117" w:type="dxa"/>
          </w:tcPr>
          <w:p w14:paraId="4ECD0F1E" w14:textId="282AF0AE" w:rsidR="00AC443D" w:rsidRPr="00AC443D" w:rsidRDefault="00AC443D" w:rsidP="00AC443D">
            <w:pPr>
              <w:rPr>
                <w:rFonts w:cs="Arial"/>
              </w:rPr>
            </w:pPr>
            <w:r w:rsidRPr="00AC443D">
              <w:rPr>
                <w:rFonts w:cs="Arial"/>
              </w:rPr>
              <w:t>15(10)</w:t>
            </w:r>
          </w:p>
        </w:tc>
      </w:tr>
      <w:tr w:rsidR="00AC443D" w14:paraId="609661C1" w14:textId="77777777" w:rsidTr="00AC443D">
        <w:tc>
          <w:tcPr>
            <w:tcW w:w="3116" w:type="dxa"/>
          </w:tcPr>
          <w:p w14:paraId="7669310A" w14:textId="125FFBB6" w:rsidR="00AC443D" w:rsidRPr="00AC443D" w:rsidRDefault="00AC443D" w:rsidP="00AC443D">
            <w:pPr>
              <w:rPr>
                <w:rFonts w:cs="Arial"/>
              </w:rPr>
            </w:pPr>
            <w:r w:rsidRPr="00AC443D">
              <w:rPr>
                <w:rFonts w:cs="Arial"/>
                <w:lang w:val="en-US"/>
              </w:rPr>
              <w:t>PR n</w:t>
            </w:r>
            <w:r w:rsidRPr="00AC443D">
              <w:rPr>
                <w:rFonts w:cs="Arial"/>
              </w:rPr>
              <w:t xml:space="preserve"> (%)</w:t>
            </w:r>
          </w:p>
        </w:tc>
        <w:tc>
          <w:tcPr>
            <w:tcW w:w="3117" w:type="dxa"/>
          </w:tcPr>
          <w:p w14:paraId="3C8B34DC" w14:textId="074826F3" w:rsidR="00AC443D" w:rsidRPr="00AC443D" w:rsidRDefault="00AC443D" w:rsidP="00AC443D">
            <w:pPr>
              <w:rPr>
                <w:rFonts w:cs="Arial"/>
              </w:rPr>
            </w:pPr>
            <w:r w:rsidRPr="00AC443D">
              <w:rPr>
                <w:rFonts w:cs="Arial"/>
              </w:rPr>
              <w:t>29(40)</w:t>
            </w:r>
          </w:p>
        </w:tc>
        <w:tc>
          <w:tcPr>
            <w:tcW w:w="3117" w:type="dxa"/>
          </w:tcPr>
          <w:p w14:paraId="4377A8E0" w14:textId="760AE3BC" w:rsidR="00AC443D" w:rsidRPr="00AC443D" w:rsidRDefault="00AC443D" w:rsidP="00AC443D">
            <w:pPr>
              <w:rPr>
                <w:rFonts w:cs="Arial"/>
              </w:rPr>
            </w:pPr>
            <w:r w:rsidRPr="00AC443D">
              <w:rPr>
                <w:rFonts w:cs="Arial"/>
              </w:rPr>
              <w:t>61(42)</w:t>
            </w:r>
          </w:p>
        </w:tc>
      </w:tr>
      <w:tr w:rsidR="00AC443D" w14:paraId="257F7AA0" w14:textId="77777777" w:rsidTr="00AC443D">
        <w:tc>
          <w:tcPr>
            <w:tcW w:w="3116" w:type="dxa"/>
          </w:tcPr>
          <w:p w14:paraId="043114CA" w14:textId="1ACF8AA0" w:rsidR="00AC443D" w:rsidRPr="00AC443D" w:rsidRDefault="00AC443D" w:rsidP="00AC443D">
            <w:pPr>
              <w:rPr>
                <w:rFonts w:cs="Arial"/>
              </w:rPr>
            </w:pPr>
            <w:proofErr w:type="spellStart"/>
            <w:r w:rsidRPr="00AC443D">
              <w:rPr>
                <w:rFonts w:cs="Arial"/>
                <w:lang w:val="en-US"/>
              </w:rPr>
              <w:t>nCR</w:t>
            </w:r>
            <w:proofErr w:type="spellEnd"/>
            <w:r w:rsidRPr="00AC443D">
              <w:rPr>
                <w:rFonts w:cs="Arial"/>
                <w:lang w:val="en-US"/>
              </w:rPr>
              <w:t xml:space="preserve"> </w:t>
            </w:r>
            <w:r w:rsidRPr="00AC443D">
              <w:rPr>
                <w:rFonts w:cs="Arial"/>
              </w:rPr>
              <w:t>п (%)</w:t>
            </w:r>
          </w:p>
        </w:tc>
        <w:tc>
          <w:tcPr>
            <w:tcW w:w="3117" w:type="dxa"/>
          </w:tcPr>
          <w:p w14:paraId="69F73D88" w14:textId="2705E22F" w:rsidR="00AC443D" w:rsidRPr="00AC443D" w:rsidRDefault="00AC443D" w:rsidP="00AC443D">
            <w:pPr>
              <w:rPr>
                <w:rFonts w:cs="Arial"/>
              </w:rPr>
            </w:pPr>
            <w:r w:rsidRPr="00AC443D">
              <w:rPr>
                <w:rFonts w:cs="Arial"/>
                <w:b/>
                <w:bCs/>
              </w:rPr>
              <w:t>7</w:t>
            </w:r>
            <w:r w:rsidRPr="00AC443D">
              <w:rPr>
                <w:rFonts w:cs="Arial"/>
                <w:b/>
                <w:bCs/>
                <w:lang w:val="en-US"/>
              </w:rPr>
              <w:t xml:space="preserve"> (10)</w:t>
            </w:r>
          </w:p>
        </w:tc>
        <w:tc>
          <w:tcPr>
            <w:tcW w:w="3117" w:type="dxa"/>
          </w:tcPr>
          <w:p w14:paraId="4D00746E" w14:textId="27C2F88C" w:rsidR="00AC443D" w:rsidRPr="00AC443D" w:rsidRDefault="00AC443D" w:rsidP="00AC443D">
            <w:pPr>
              <w:rPr>
                <w:rFonts w:cs="Arial"/>
              </w:rPr>
            </w:pPr>
            <w:r w:rsidRPr="00AC443D">
              <w:rPr>
                <w:rFonts w:cs="Arial"/>
              </w:rPr>
              <w:t>14(10)</w:t>
            </w:r>
          </w:p>
        </w:tc>
      </w:tr>
      <w:tr w:rsidR="00AC443D" w14:paraId="28717B20" w14:textId="77777777" w:rsidTr="00AC443D">
        <w:tc>
          <w:tcPr>
            <w:tcW w:w="3116" w:type="dxa"/>
          </w:tcPr>
          <w:p w14:paraId="26901DB9" w14:textId="7DC5D3AB" w:rsidR="00AC443D" w:rsidRPr="00AC443D" w:rsidRDefault="00AC443D" w:rsidP="00AC443D">
            <w:pPr>
              <w:rPr>
                <w:rFonts w:cs="Arial"/>
              </w:rPr>
            </w:pPr>
            <w:r w:rsidRPr="00AC443D">
              <w:rPr>
                <w:rFonts w:cs="Arial"/>
                <w:b/>
                <w:bCs/>
                <w:lang w:val="en-US"/>
              </w:rPr>
              <w:t xml:space="preserve">ITT </w:t>
            </w:r>
            <w:r w:rsidRPr="00AC443D">
              <w:rPr>
                <w:rFonts w:cs="Arial"/>
                <w:b/>
                <w:bCs/>
              </w:rPr>
              <w:t>популация</w:t>
            </w:r>
            <w:r w:rsidRPr="00AC443D">
              <w:rPr>
                <w:rFonts w:cs="Arial"/>
                <w:b/>
                <w:bCs/>
                <w:vertAlign w:val="superscript"/>
                <w:lang w:val="en-US"/>
              </w:rPr>
              <w:t>b</w:t>
            </w:r>
          </w:p>
        </w:tc>
        <w:tc>
          <w:tcPr>
            <w:tcW w:w="3117" w:type="dxa"/>
          </w:tcPr>
          <w:p w14:paraId="01D114A2" w14:textId="29564BE5" w:rsidR="00AC443D" w:rsidRPr="00AC443D" w:rsidRDefault="00AC443D" w:rsidP="00AC443D">
            <w:pPr>
              <w:rPr>
                <w:rFonts w:cs="Arial"/>
              </w:rPr>
            </w:pPr>
            <w:r w:rsidRPr="00AC443D">
              <w:rPr>
                <w:rFonts w:cs="Arial"/>
                <w:b/>
                <w:bCs/>
                <w:lang w:val="en-US"/>
              </w:rPr>
              <w:t>n=</w:t>
            </w:r>
            <w:r w:rsidRPr="00AC443D">
              <w:rPr>
                <w:rFonts w:cs="Arial"/>
                <w:b/>
                <w:bCs/>
              </w:rPr>
              <w:t>74</w:t>
            </w:r>
          </w:p>
        </w:tc>
        <w:tc>
          <w:tcPr>
            <w:tcW w:w="3117" w:type="dxa"/>
          </w:tcPr>
          <w:p w14:paraId="4D1136D6" w14:textId="6EAA64EF" w:rsidR="00AC443D" w:rsidRPr="00AC443D" w:rsidRDefault="00AC443D" w:rsidP="00AC443D">
            <w:pPr>
              <w:rPr>
                <w:rFonts w:cs="Arial"/>
              </w:rPr>
            </w:pPr>
            <w:r w:rsidRPr="00AC443D">
              <w:rPr>
                <w:rFonts w:cs="Arial"/>
                <w:b/>
                <w:bCs/>
                <w:lang w:val="en-US"/>
              </w:rPr>
              <w:t>n=148</w:t>
            </w:r>
          </w:p>
        </w:tc>
      </w:tr>
      <w:tr w:rsidR="00AC443D" w14:paraId="21EE7A53" w14:textId="77777777" w:rsidTr="00AC443D">
        <w:tc>
          <w:tcPr>
            <w:tcW w:w="3116" w:type="dxa"/>
          </w:tcPr>
          <w:p w14:paraId="28F1B5EC" w14:textId="2C1DBD1A" w:rsidR="00AC443D" w:rsidRPr="00FD4C98" w:rsidRDefault="00AC443D" w:rsidP="00AC443D">
            <w:pPr>
              <w:rPr>
                <w:rFonts w:cs="Arial"/>
                <w:b/>
                <w:bCs/>
                <w:lang w:val="ru-RU"/>
              </w:rPr>
            </w:pPr>
            <w:r w:rsidRPr="00AC443D">
              <w:rPr>
                <w:rFonts w:cs="Arial"/>
                <w:b/>
                <w:bCs/>
              </w:rPr>
              <w:t>Време до прогресия (ТТР), месеци</w:t>
            </w:r>
          </w:p>
        </w:tc>
        <w:tc>
          <w:tcPr>
            <w:tcW w:w="3117" w:type="dxa"/>
          </w:tcPr>
          <w:p w14:paraId="5BDCF02C" w14:textId="0BEC5A93" w:rsidR="00AC443D" w:rsidRPr="00AC443D" w:rsidRDefault="00AC443D" w:rsidP="00AC443D">
            <w:pPr>
              <w:rPr>
                <w:rFonts w:cs="Arial"/>
                <w:b/>
                <w:bCs/>
                <w:lang w:val="en-US"/>
              </w:rPr>
            </w:pPr>
            <w:r w:rsidRPr="00AC443D">
              <w:rPr>
                <w:rFonts w:cs="Arial"/>
              </w:rPr>
              <w:t>9,4</w:t>
            </w:r>
          </w:p>
        </w:tc>
        <w:tc>
          <w:tcPr>
            <w:tcW w:w="3117" w:type="dxa"/>
          </w:tcPr>
          <w:p w14:paraId="45F6A396" w14:textId="055B81DD" w:rsidR="00AC443D" w:rsidRPr="00AC443D" w:rsidRDefault="00AC443D" w:rsidP="00AC443D">
            <w:pPr>
              <w:rPr>
                <w:rFonts w:cs="Arial"/>
                <w:b/>
                <w:bCs/>
                <w:lang w:val="en-US"/>
              </w:rPr>
            </w:pPr>
            <w:r w:rsidRPr="00AC443D">
              <w:rPr>
                <w:rFonts w:cs="Arial"/>
              </w:rPr>
              <w:t>10,4</w:t>
            </w:r>
          </w:p>
        </w:tc>
      </w:tr>
      <w:tr w:rsidR="00AC443D" w14:paraId="7B66D109" w14:textId="77777777" w:rsidTr="00AC443D">
        <w:tc>
          <w:tcPr>
            <w:tcW w:w="3116" w:type="dxa"/>
          </w:tcPr>
          <w:p w14:paraId="7AA44967" w14:textId="2291A133" w:rsidR="00AC443D" w:rsidRPr="00AC443D" w:rsidRDefault="00AC443D" w:rsidP="00AC443D">
            <w:pPr>
              <w:rPr>
                <w:rFonts w:cs="Arial"/>
                <w:b/>
                <w:bCs/>
                <w:lang w:val="en-US"/>
              </w:rPr>
            </w:pPr>
            <w:r w:rsidRPr="00AC443D">
              <w:rPr>
                <w:rFonts w:cs="Arial"/>
              </w:rPr>
              <w:t xml:space="preserve">(95% </w:t>
            </w:r>
            <w:r w:rsidRPr="00AC443D">
              <w:rPr>
                <w:rFonts w:cs="Arial"/>
                <w:lang w:val="en-US"/>
              </w:rPr>
              <w:t>CI)</w:t>
            </w:r>
          </w:p>
        </w:tc>
        <w:tc>
          <w:tcPr>
            <w:tcW w:w="3117" w:type="dxa"/>
          </w:tcPr>
          <w:p w14:paraId="0BA0EACF" w14:textId="47E1F7EB" w:rsidR="00AC443D" w:rsidRPr="00AC443D" w:rsidRDefault="00AC443D" w:rsidP="00AC443D">
            <w:pPr>
              <w:rPr>
                <w:rFonts w:cs="Arial"/>
                <w:b/>
                <w:bCs/>
                <w:lang w:val="en-US"/>
              </w:rPr>
            </w:pPr>
            <w:r w:rsidRPr="00AC443D">
              <w:rPr>
                <w:rFonts w:cs="Arial"/>
              </w:rPr>
              <w:t>(7,6; 10,6)</w:t>
            </w:r>
          </w:p>
        </w:tc>
        <w:tc>
          <w:tcPr>
            <w:tcW w:w="3117" w:type="dxa"/>
          </w:tcPr>
          <w:p w14:paraId="375CBA60" w14:textId="42F0DCC5" w:rsidR="00AC443D" w:rsidRPr="00AC443D" w:rsidRDefault="00AC443D" w:rsidP="00AC443D">
            <w:pPr>
              <w:rPr>
                <w:rFonts w:cs="Arial"/>
                <w:b/>
                <w:bCs/>
                <w:lang w:val="en-US"/>
              </w:rPr>
            </w:pPr>
            <w:r w:rsidRPr="00AC443D">
              <w:rPr>
                <w:rFonts w:cs="Arial"/>
              </w:rPr>
              <w:t>(8,5; 11,7)</w:t>
            </w:r>
          </w:p>
        </w:tc>
      </w:tr>
      <w:tr w:rsidR="00AC443D" w14:paraId="2B3C38D5" w14:textId="77777777" w:rsidTr="00AC443D">
        <w:tc>
          <w:tcPr>
            <w:tcW w:w="3116" w:type="dxa"/>
          </w:tcPr>
          <w:p w14:paraId="528F316E" w14:textId="330F94A7" w:rsidR="00AC443D" w:rsidRPr="00FD4C98" w:rsidRDefault="00AC443D" w:rsidP="00AC443D">
            <w:pPr>
              <w:rPr>
                <w:rFonts w:cs="Arial"/>
                <w:b/>
                <w:bCs/>
                <w:lang w:val="ru-RU"/>
              </w:rPr>
            </w:pPr>
            <w:r w:rsidRPr="00AC443D">
              <w:rPr>
                <w:rFonts w:cs="Arial"/>
              </w:rPr>
              <w:t>Коефициент на риск (95% С1)</w:t>
            </w:r>
            <w:r w:rsidRPr="00AC443D">
              <w:rPr>
                <w:rFonts w:cs="Arial"/>
                <w:vertAlign w:val="superscript"/>
                <w:lang w:val="en-US"/>
              </w:rPr>
              <w:t>c</w:t>
            </w:r>
          </w:p>
        </w:tc>
        <w:tc>
          <w:tcPr>
            <w:tcW w:w="6234" w:type="dxa"/>
            <w:gridSpan w:val="2"/>
          </w:tcPr>
          <w:p w14:paraId="680BE424" w14:textId="77C686FB" w:rsidR="00AC443D" w:rsidRPr="00AC443D" w:rsidRDefault="00AC443D" w:rsidP="00AC443D">
            <w:pPr>
              <w:rPr>
                <w:rFonts w:cs="Arial"/>
                <w:b/>
                <w:bCs/>
                <w:lang w:val="en-US"/>
              </w:rPr>
            </w:pPr>
            <w:r w:rsidRPr="00AC443D">
              <w:rPr>
                <w:rFonts w:cs="Arial"/>
              </w:rPr>
              <w:t>0,839(0,564; 1,249)</w:t>
            </w:r>
          </w:p>
        </w:tc>
      </w:tr>
      <w:tr w:rsidR="00AC443D" w14:paraId="65300AC6" w14:textId="77777777" w:rsidTr="00AC443D">
        <w:tc>
          <w:tcPr>
            <w:tcW w:w="3116" w:type="dxa"/>
          </w:tcPr>
          <w:p w14:paraId="0CC5FE45" w14:textId="163553DB" w:rsidR="00AC443D" w:rsidRPr="00AC443D" w:rsidRDefault="00AC443D" w:rsidP="00AC443D">
            <w:pPr>
              <w:rPr>
                <w:rFonts w:cs="Arial"/>
                <w:b/>
                <w:bCs/>
                <w:lang w:val="en-US"/>
              </w:rPr>
            </w:pPr>
            <w:r w:rsidRPr="00AC443D">
              <w:rPr>
                <w:rFonts w:cs="Arial"/>
                <w:u w:val="single"/>
              </w:rPr>
              <w:t>р-стойност</w:t>
            </w:r>
            <w:r w:rsidRPr="00AC443D">
              <w:rPr>
                <w:rFonts w:cs="Arial"/>
                <w:u w:val="single"/>
                <w:vertAlign w:val="superscript"/>
                <w:lang w:val="en-US"/>
              </w:rPr>
              <w:t>d</w:t>
            </w:r>
          </w:p>
        </w:tc>
        <w:tc>
          <w:tcPr>
            <w:tcW w:w="6234" w:type="dxa"/>
            <w:gridSpan w:val="2"/>
          </w:tcPr>
          <w:p w14:paraId="132A9F5A" w14:textId="16DEB807" w:rsidR="00AC443D" w:rsidRPr="00AC443D" w:rsidRDefault="00AC443D" w:rsidP="00AC443D">
            <w:pPr>
              <w:rPr>
                <w:rFonts w:cs="Arial"/>
                <w:b/>
                <w:bCs/>
                <w:lang w:val="en-US"/>
              </w:rPr>
            </w:pPr>
            <w:r w:rsidRPr="00AC443D">
              <w:rPr>
                <w:rFonts w:cs="Arial"/>
              </w:rPr>
              <w:t>0,38657</w:t>
            </w:r>
          </w:p>
        </w:tc>
      </w:tr>
      <w:tr w:rsidR="00AC443D" w14:paraId="71337ACA" w14:textId="77777777" w:rsidTr="00AC443D">
        <w:tc>
          <w:tcPr>
            <w:tcW w:w="3116" w:type="dxa"/>
          </w:tcPr>
          <w:p w14:paraId="3AB6F4DC" w14:textId="77777777" w:rsidR="00AC443D" w:rsidRPr="00AC443D" w:rsidRDefault="00AC443D" w:rsidP="00AC443D">
            <w:pPr>
              <w:rPr>
                <w:rFonts w:cs="Arial"/>
              </w:rPr>
            </w:pPr>
            <w:r w:rsidRPr="00AC443D">
              <w:rPr>
                <w:rFonts w:cs="Arial"/>
                <w:b/>
                <w:bCs/>
              </w:rPr>
              <w:t>Преживяемост</w:t>
            </w:r>
            <w:r w:rsidRPr="00AC443D">
              <w:rPr>
                <w:rFonts w:cs="Arial"/>
                <w:b/>
                <w:bCs/>
              </w:rPr>
              <w:tab/>
              <w:t>без</w:t>
            </w:r>
          </w:p>
          <w:p w14:paraId="4AB98ADA" w14:textId="17DC5FBC" w:rsidR="00AC443D" w:rsidRPr="00AC443D" w:rsidRDefault="00AC443D" w:rsidP="00AC443D">
            <w:pPr>
              <w:rPr>
                <w:rFonts w:cs="Arial"/>
                <w:b/>
                <w:bCs/>
                <w:lang w:val="en-US"/>
              </w:rPr>
            </w:pPr>
            <w:r w:rsidRPr="00AC443D">
              <w:rPr>
                <w:rFonts w:cs="Arial"/>
                <w:b/>
                <w:bCs/>
              </w:rPr>
              <w:t>прогресия, месеци</w:t>
            </w:r>
          </w:p>
        </w:tc>
        <w:tc>
          <w:tcPr>
            <w:tcW w:w="3117" w:type="dxa"/>
          </w:tcPr>
          <w:p w14:paraId="4B10B844" w14:textId="77777777" w:rsidR="00AC443D" w:rsidRPr="00AC443D" w:rsidRDefault="00AC443D" w:rsidP="00AC443D">
            <w:pPr>
              <w:rPr>
                <w:rFonts w:cs="Arial"/>
                <w:b/>
                <w:bCs/>
                <w:lang w:val="en-US"/>
              </w:rPr>
            </w:pPr>
          </w:p>
        </w:tc>
        <w:tc>
          <w:tcPr>
            <w:tcW w:w="3117" w:type="dxa"/>
          </w:tcPr>
          <w:p w14:paraId="5B79F832" w14:textId="77777777" w:rsidR="00AC443D" w:rsidRPr="00AC443D" w:rsidRDefault="00AC443D" w:rsidP="00AC443D">
            <w:pPr>
              <w:rPr>
                <w:rFonts w:cs="Arial"/>
                <w:b/>
                <w:bCs/>
                <w:lang w:val="en-US"/>
              </w:rPr>
            </w:pPr>
          </w:p>
        </w:tc>
      </w:tr>
      <w:tr w:rsidR="00AC443D" w14:paraId="641FC0FD" w14:textId="77777777" w:rsidTr="00AC443D">
        <w:tc>
          <w:tcPr>
            <w:tcW w:w="3116" w:type="dxa"/>
          </w:tcPr>
          <w:p w14:paraId="6D091F6E" w14:textId="7C517188" w:rsidR="00AC443D" w:rsidRPr="00AC443D" w:rsidRDefault="00AC443D" w:rsidP="00AC443D">
            <w:pPr>
              <w:rPr>
                <w:rFonts w:cs="Arial"/>
                <w:b/>
                <w:bCs/>
                <w:lang w:val="en-US"/>
              </w:rPr>
            </w:pPr>
            <w:r w:rsidRPr="00AC443D">
              <w:rPr>
                <w:rFonts w:cs="Arial"/>
              </w:rPr>
              <w:t xml:space="preserve">(95% </w:t>
            </w:r>
            <w:r w:rsidRPr="00AC443D">
              <w:rPr>
                <w:rFonts w:cs="Arial"/>
                <w:lang w:val="en-US"/>
              </w:rPr>
              <w:t>CI)</w:t>
            </w:r>
          </w:p>
        </w:tc>
        <w:tc>
          <w:tcPr>
            <w:tcW w:w="3117" w:type="dxa"/>
          </w:tcPr>
          <w:p w14:paraId="1207A4F1" w14:textId="5B7D5E1F" w:rsidR="00AC443D" w:rsidRPr="00AC443D" w:rsidRDefault="00AC443D" w:rsidP="00AC443D">
            <w:pPr>
              <w:rPr>
                <w:rFonts w:cs="Arial"/>
                <w:b/>
                <w:bCs/>
                <w:lang w:val="en-US"/>
              </w:rPr>
            </w:pPr>
            <w:r w:rsidRPr="00AC443D">
              <w:rPr>
                <w:rFonts w:cs="Arial"/>
              </w:rPr>
              <w:t>(6,7; 9,8)</w:t>
            </w:r>
          </w:p>
        </w:tc>
        <w:tc>
          <w:tcPr>
            <w:tcW w:w="3117" w:type="dxa"/>
          </w:tcPr>
          <w:p w14:paraId="4A4F6D45" w14:textId="7390C4DE" w:rsidR="00AC443D" w:rsidRPr="00AC443D" w:rsidRDefault="00AC443D" w:rsidP="00AC443D">
            <w:pPr>
              <w:rPr>
                <w:rFonts w:cs="Arial"/>
                <w:b/>
                <w:bCs/>
                <w:lang w:val="en-US"/>
              </w:rPr>
            </w:pPr>
            <w:r w:rsidRPr="00AC443D">
              <w:rPr>
                <w:rFonts w:cs="Arial"/>
                <w:lang w:val="en-US"/>
              </w:rPr>
              <w:t xml:space="preserve">(8J; </w:t>
            </w:r>
            <w:r w:rsidRPr="00AC443D">
              <w:rPr>
                <w:rFonts w:cs="Arial"/>
              </w:rPr>
              <w:t>10,8)</w:t>
            </w:r>
          </w:p>
        </w:tc>
      </w:tr>
      <w:tr w:rsidR="00AC443D" w14:paraId="1790F397" w14:textId="77777777" w:rsidTr="00AC443D">
        <w:tc>
          <w:tcPr>
            <w:tcW w:w="3116" w:type="dxa"/>
          </w:tcPr>
          <w:p w14:paraId="04C06033" w14:textId="40E5DF37" w:rsidR="00AC443D" w:rsidRPr="00FD4C98" w:rsidRDefault="00AC443D" w:rsidP="00AC443D">
            <w:pPr>
              <w:rPr>
                <w:rFonts w:cs="Arial"/>
                <w:b/>
                <w:bCs/>
                <w:lang w:val="ru-RU"/>
              </w:rPr>
            </w:pPr>
            <w:r w:rsidRPr="00AC443D">
              <w:rPr>
                <w:rFonts w:cs="Arial"/>
              </w:rPr>
              <w:t>Коефициент на риск (95% С1)</w:t>
            </w:r>
            <w:r w:rsidRPr="00AC443D">
              <w:rPr>
                <w:rFonts w:cs="Arial"/>
                <w:vertAlign w:val="superscript"/>
              </w:rPr>
              <w:t>с</w:t>
            </w:r>
          </w:p>
        </w:tc>
        <w:tc>
          <w:tcPr>
            <w:tcW w:w="6234" w:type="dxa"/>
            <w:gridSpan w:val="2"/>
          </w:tcPr>
          <w:p w14:paraId="55DCED85" w14:textId="4DB1125A" w:rsidR="00AC443D" w:rsidRPr="00AC443D" w:rsidRDefault="00AC443D" w:rsidP="00AC443D">
            <w:pPr>
              <w:rPr>
                <w:rFonts w:cs="Arial"/>
                <w:b/>
                <w:bCs/>
                <w:lang w:val="en-US"/>
              </w:rPr>
            </w:pPr>
            <w:r w:rsidRPr="00AC443D">
              <w:rPr>
                <w:rFonts w:cs="Arial"/>
              </w:rPr>
              <w:t>0,824 (0,574; 1,183)</w:t>
            </w:r>
          </w:p>
        </w:tc>
      </w:tr>
      <w:tr w:rsidR="00AC443D" w14:paraId="1B5E28C6" w14:textId="77777777" w:rsidTr="00AC443D">
        <w:tc>
          <w:tcPr>
            <w:tcW w:w="3116" w:type="dxa"/>
          </w:tcPr>
          <w:p w14:paraId="7FC22D20" w14:textId="67C9D959" w:rsidR="00AC443D" w:rsidRPr="00AC443D" w:rsidRDefault="00AC443D" w:rsidP="00AC443D">
            <w:pPr>
              <w:rPr>
                <w:rFonts w:cs="Arial"/>
                <w:b/>
                <w:bCs/>
                <w:lang w:val="en-US"/>
              </w:rPr>
            </w:pPr>
            <w:r w:rsidRPr="00AC443D">
              <w:rPr>
                <w:rFonts w:cs="Arial"/>
              </w:rPr>
              <w:t>р-стойност</w:t>
            </w:r>
            <w:r w:rsidRPr="00AC443D">
              <w:rPr>
                <w:rFonts w:cs="Arial"/>
                <w:vertAlign w:val="superscript"/>
                <w:lang w:val="en-US"/>
              </w:rPr>
              <w:t>d</w:t>
            </w:r>
          </w:p>
        </w:tc>
        <w:tc>
          <w:tcPr>
            <w:tcW w:w="6234" w:type="dxa"/>
            <w:gridSpan w:val="2"/>
          </w:tcPr>
          <w:p w14:paraId="4FA22B26" w14:textId="45A42BC2" w:rsidR="00AC443D" w:rsidRPr="00AC443D" w:rsidRDefault="00AC443D" w:rsidP="00AC443D">
            <w:pPr>
              <w:rPr>
                <w:rFonts w:cs="Arial"/>
                <w:b/>
                <w:bCs/>
                <w:lang w:val="en-US"/>
              </w:rPr>
            </w:pPr>
            <w:r w:rsidRPr="00AC443D">
              <w:rPr>
                <w:rFonts w:cs="Arial"/>
              </w:rPr>
              <w:t>0,295</w:t>
            </w:r>
          </w:p>
        </w:tc>
      </w:tr>
      <w:tr w:rsidR="00AC443D" w14:paraId="6F5788A4" w14:textId="77777777" w:rsidTr="00AC443D">
        <w:tc>
          <w:tcPr>
            <w:tcW w:w="3116" w:type="dxa"/>
          </w:tcPr>
          <w:p w14:paraId="1D53AE8E" w14:textId="77777777" w:rsidR="00AC443D" w:rsidRPr="00AC443D" w:rsidRDefault="00AC443D" w:rsidP="00AC443D">
            <w:pPr>
              <w:rPr>
                <w:rFonts w:cs="Arial"/>
              </w:rPr>
            </w:pPr>
            <w:r w:rsidRPr="00AC443D">
              <w:rPr>
                <w:rFonts w:cs="Arial"/>
                <w:b/>
                <w:bCs/>
              </w:rPr>
              <w:t>1-годишна</w:t>
            </w:r>
            <w:r w:rsidRPr="00AC443D">
              <w:rPr>
                <w:rFonts w:cs="Arial"/>
                <w:b/>
                <w:bCs/>
              </w:rPr>
              <w:tab/>
              <w:t>обща</w:t>
            </w:r>
          </w:p>
          <w:p w14:paraId="54C87A2E" w14:textId="2E5C4A2A" w:rsidR="00AC443D" w:rsidRPr="00AC443D" w:rsidRDefault="00AC443D" w:rsidP="00AC443D">
            <w:pPr>
              <w:rPr>
                <w:rFonts w:cs="Arial"/>
                <w:b/>
                <w:bCs/>
                <w:lang w:val="en-US"/>
              </w:rPr>
            </w:pPr>
            <w:r w:rsidRPr="00AC443D">
              <w:rPr>
                <w:rFonts w:cs="Arial"/>
                <w:b/>
                <w:bCs/>
              </w:rPr>
              <w:t>преживяемост (%)</w:t>
            </w:r>
            <w:r w:rsidRPr="00AC443D">
              <w:rPr>
                <w:rFonts w:cs="Arial"/>
                <w:b/>
                <w:bCs/>
                <w:vertAlign w:val="superscript"/>
                <w:lang w:val="en-US"/>
              </w:rPr>
              <w:t>e</w:t>
            </w:r>
          </w:p>
        </w:tc>
        <w:tc>
          <w:tcPr>
            <w:tcW w:w="3117" w:type="dxa"/>
          </w:tcPr>
          <w:p w14:paraId="2A041340" w14:textId="2595F92A" w:rsidR="00AC443D" w:rsidRPr="00AC443D" w:rsidRDefault="00AC443D" w:rsidP="00AC443D">
            <w:pPr>
              <w:rPr>
                <w:rFonts w:cs="Arial"/>
                <w:b/>
                <w:bCs/>
                <w:lang w:val="en-US"/>
              </w:rPr>
            </w:pPr>
            <w:r w:rsidRPr="00AC443D">
              <w:rPr>
                <w:rFonts w:cs="Arial"/>
              </w:rPr>
              <w:t>76,7</w:t>
            </w:r>
          </w:p>
        </w:tc>
        <w:tc>
          <w:tcPr>
            <w:tcW w:w="3117" w:type="dxa"/>
          </w:tcPr>
          <w:p w14:paraId="79633E3C" w14:textId="058473D0" w:rsidR="00AC443D" w:rsidRPr="00AC443D" w:rsidRDefault="00AC443D" w:rsidP="00AC443D">
            <w:pPr>
              <w:rPr>
                <w:rFonts w:cs="Arial"/>
                <w:b/>
                <w:bCs/>
                <w:lang w:val="en-US"/>
              </w:rPr>
            </w:pPr>
            <w:r w:rsidRPr="00AC443D">
              <w:rPr>
                <w:rFonts w:cs="Arial"/>
              </w:rPr>
              <w:t>72,6</w:t>
            </w:r>
          </w:p>
        </w:tc>
      </w:tr>
      <w:tr w:rsidR="00AC443D" w14:paraId="6F20E5B3" w14:textId="77777777" w:rsidTr="00AC443D">
        <w:tc>
          <w:tcPr>
            <w:tcW w:w="3116" w:type="dxa"/>
          </w:tcPr>
          <w:p w14:paraId="4969F5AB" w14:textId="455BA4D7" w:rsidR="00AC443D" w:rsidRPr="00AC443D" w:rsidRDefault="00AC443D" w:rsidP="00AC443D">
            <w:pPr>
              <w:rPr>
                <w:rFonts w:cs="Arial"/>
                <w:b/>
                <w:bCs/>
                <w:lang w:val="en-US"/>
              </w:rPr>
            </w:pPr>
            <w:r w:rsidRPr="00AC443D">
              <w:rPr>
                <w:rFonts w:cs="Arial"/>
              </w:rPr>
              <w:t xml:space="preserve">(95% </w:t>
            </w:r>
            <w:r w:rsidRPr="00AC443D">
              <w:rPr>
                <w:rFonts w:cs="Arial"/>
                <w:lang w:val="en-US"/>
              </w:rPr>
              <w:t>CI)</w:t>
            </w:r>
          </w:p>
        </w:tc>
        <w:tc>
          <w:tcPr>
            <w:tcW w:w="3117" w:type="dxa"/>
          </w:tcPr>
          <w:p w14:paraId="010284C8" w14:textId="67CFA15F" w:rsidR="00AC443D" w:rsidRPr="00AC443D" w:rsidRDefault="00AC443D" w:rsidP="00AC443D">
            <w:pPr>
              <w:rPr>
                <w:rFonts w:cs="Arial"/>
                <w:b/>
                <w:bCs/>
                <w:lang w:val="en-US"/>
              </w:rPr>
            </w:pPr>
            <w:r w:rsidRPr="00AC443D">
              <w:rPr>
                <w:rFonts w:cs="Arial"/>
              </w:rPr>
              <w:t>(64,1,85,4)</w:t>
            </w:r>
          </w:p>
        </w:tc>
        <w:tc>
          <w:tcPr>
            <w:tcW w:w="3117" w:type="dxa"/>
          </w:tcPr>
          <w:p w14:paraId="58AC9019" w14:textId="236EAE7A" w:rsidR="00AC443D" w:rsidRPr="00AC443D" w:rsidRDefault="00AC443D" w:rsidP="00AC443D">
            <w:pPr>
              <w:rPr>
                <w:rFonts w:cs="Arial"/>
                <w:b/>
                <w:bCs/>
                <w:lang w:val="en-US"/>
              </w:rPr>
            </w:pPr>
            <w:r w:rsidRPr="00AC443D">
              <w:rPr>
                <w:rFonts w:cs="Arial"/>
              </w:rPr>
              <w:t>(63,1, 80,0)</w:t>
            </w:r>
          </w:p>
        </w:tc>
      </w:tr>
    </w:tbl>
    <w:p w14:paraId="2F8D1D3B" w14:textId="53A729B6" w:rsidR="00AC443D" w:rsidRDefault="00AC443D" w:rsidP="0091385D"/>
    <w:p w14:paraId="7152FF3E"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vertAlign w:val="superscript"/>
          <w:lang w:eastAsia="bg-BG"/>
        </w:rPr>
        <w:t>а</w:t>
      </w:r>
      <w:r w:rsidRPr="00AC443D">
        <w:rPr>
          <w:rFonts w:eastAsia="Times New Roman" w:cs="Arial"/>
          <w:color w:val="000000"/>
          <w:szCs w:val="20"/>
          <w:lang w:eastAsia="bg-BG"/>
        </w:rPr>
        <w:t xml:space="preserve"> р-стойността се отнася до хипотезата за съпоставимост </w:t>
      </w:r>
      <w:r w:rsidRPr="00FD4C98">
        <w:rPr>
          <w:rFonts w:eastAsia="Times New Roman" w:cs="Arial"/>
          <w:color w:val="000000"/>
          <w:szCs w:val="20"/>
          <w:lang w:val="ru-RU"/>
        </w:rPr>
        <w:t>(</w:t>
      </w:r>
      <w:r w:rsidRPr="00AC443D">
        <w:rPr>
          <w:rFonts w:eastAsia="Times New Roman" w:cs="Arial"/>
          <w:color w:val="000000"/>
          <w:szCs w:val="20"/>
          <w:lang w:val="en-US"/>
        </w:rPr>
        <w:t>non</w:t>
      </w:r>
      <w:r w:rsidRPr="00FD4C98">
        <w:rPr>
          <w:rFonts w:eastAsia="Times New Roman" w:cs="Arial"/>
          <w:color w:val="000000"/>
          <w:szCs w:val="20"/>
          <w:lang w:val="ru-RU"/>
        </w:rPr>
        <w:t>-</w:t>
      </w:r>
      <w:r w:rsidRPr="00AC443D">
        <w:rPr>
          <w:rFonts w:eastAsia="Times New Roman" w:cs="Arial"/>
          <w:color w:val="000000"/>
          <w:szCs w:val="20"/>
          <w:lang w:val="en-US"/>
        </w:rPr>
        <w:t>inferiority</w:t>
      </w:r>
      <w:r w:rsidRPr="00FD4C98">
        <w:rPr>
          <w:rFonts w:eastAsia="Times New Roman" w:cs="Arial"/>
          <w:color w:val="000000"/>
          <w:szCs w:val="20"/>
          <w:lang w:val="ru-RU"/>
        </w:rPr>
        <w:t xml:space="preserve">), </w:t>
      </w:r>
      <w:r w:rsidRPr="00AC443D">
        <w:rPr>
          <w:rFonts w:eastAsia="Times New Roman" w:cs="Arial"/>
          <w:color w:val="000000"/>
          <w:szCs w:val="20"/>
          <w:lang w:eastAsia="bg-BG"/>
        </w:rPr>
        <w:t>съгласно която рамото на подкожно приложение поддържа минимум 60% от честотата на отговорите в рамото на интравенозно приложение,</w:t>
      </w:r>
    </w:p>
    <w:p w14:paraId="1816D168"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vertAlign w:val="superscript"/>
          <w:lang w:val="en-US"/>
        </w:rPr>
        <w:t>b</w:t>
      </w:r>
      <w:r w:rsidRPr="00AC443D">
        <w:rPr>
          <w:rFonts w:eastAsia="Times New Roman" w:cs="Arial"/>
          <w:color w:val="000000"/>
          <w:szCs w:val="20"/>
          <w:lang w:eastAsia="bg-BG"/>
        </w:rPr>
        <w:t xml:space="preserve"> 222 пациенти са се записали за участие в проучването; 221 пациенти са лекувани с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w:t>
      </w:r>
      <w:r w:rsidRPr="00AC443D">
        <w:rPr>
          <w:rFonts w:eastAsia="Times New Roman" w:cs="Arial"/>
          <w:color w:val="000000"/>
          <w:szCs w:val="20"/>
          <w:vertAlign w:val="superscript"/>
          <w:lang w:eastAsia="bg-BG"/>
        </w:rPr>
        <w:t>с</w:t>
      </w:r>
      <w:r w:rsidRPr="00AC443D">
        <w:rPr>
          <w:rFonts w:eastAsia="Times New Roman" w:cs="Arial"/>
          <w:color w:val="000000"/>
          <w:szCs w:val="20"/>
          <w:lang w:eastAsia="bg-BG"/>
        </w:rPr>
        <w:t xml:space="preserve"> Коефициентът на риск е изчислен на базата на модела на </w:t>
      </w:r>
      <w:proofErr w:type="spellStart"/>
      <w:r w:rsidRPr="00AC443D">
        <w:rPr>
          <w:rFonts w:eastAsia="Times New Roman" w:cs="Arial"/>
          <w:color w:val="000000"/>
          <w:szCs w:val="20"/>
          <w:lang w:eastAsia="bg-BG"/>
        </w:rPr>
        <w:t>Сох</w:t>
      </w:r>
      <w:proofErr w:type="spellEnd"/>
      <w:r w:rsidRPr="00AC443D">
        <w:rPr>
          <w:rFonts w:eastAsia="Times New Roman" w:cs="Arial"/>
          <w:color w:val="000000"/>
          <w:szCs w:val="20"/>
          <w:lang w:eastAsia="bg-BG"/>
        </w:rPr>
        <w:t xml:space="preserve">, адаптиран за </w:t>
      </w:r>
      <w:proofErr w:type="spellStart"/>
      <w:r w:rsidRPr="00AC443D">
        <w:rPr>
          <w:rFonts w:eastAsia="Times New Roman" w:cs="Arial"/>
          <w:color w:val="000000"/>
          <w:szCs w:val="20"/>
          <w:lang w:eastAsia="bg-BG"/>
        </w:rPr>
        <w:t>стратификационни</w:t>
      </w:r>
      <w:proofErr w:type="spellEnd"/>
      <w:r w:rsidRPr="00AC443D">
        <w:rPr>
          <w:rFonts w:eastAsia="Times New Roman" w:cs="Arial"/>
          <w:color w:val="000000"/>
          <w:szCs w:val="20"/>
          <w:lang w:eastAsia="bg-BG"/>
        </w:rPr>
        <w:t xml:space="preserve"> фактори:</w:t>
      </w:r>
    </w:p>
    <w:p w14:paraId="3E6C3B34" w14:textId="77777777" w:rsidR="00AC443D" w:rsidRPr="00AC443D" w:rsidRDefault="00AC443D" w:rsidP="00AC443D">
      <w:pPr>
        <w:spacing w:line="240" w:lineRule="auto"/>
        <w:rPr>
          <w:rFonts w:eastAsia="Times New Roman" w:cs="Arial"/>
          <w:sz w:val="28"/>
          <w:szCs w:val="24"/>
          <w:lang w:eastAsia="bg-BG"/>
        </w:rPr>
      </w:pPr>
      <w:proofErr w:type="spellStart"/>
      <w:r w:rsidRPr="00AC443D">
        <w:rPr>
          <w:rFonts w:eastAsia="Times New Roman" w:cs="Arial"/>
          <w:color w:val="000000"/>
          <w:szCs w:val="20"/>
          <w:lang w:eastAsia="bg-BG"/>
        </w:rPr>
        <w:t>стадиране</w:t>
      </w:r>
      <w:proofErr w:type="spellEnd"/>
      <w:r w:rsidRPr="00AC443D">
        <w:rPr>
          <w:rFonts w:eastAsia="Times New Roman" w:cs="Arial"/>
          <w:color w:val="000000"/>
          <w:szCs w:val="20"/>
          <w:lang w:eastAsia="bg-BG"/>
        </w:rPr>
        <w:t xml:space="preserve"> по Международната </w:t>
      </w:r>
      <w:proofErr w:type="spellStart"/>
      <w:r w:rsidRPr="00AC443D">
        <w:rPr>
          <w:rFonts w:eastAsia="Times New Roman" w:cs="Arial"/>
          <w:color w:val="000000"/>
          <w:szCs w:val="20"/>
          <w:lang w:eastAsia="bg-BG"/>
        </w:rPr>
        <w:t>стадираща</w:t>
      </w:r>
      <w:proofErr w:type="spellEnd"/>
      <w:r w:rsidRPr="00AC443D">
        <w:rPr>
          <w:rFonts w:eastAsia="Times New Roman" w:cs="Arial"/>
          <w:color w:val="000000"/>
          <w:szCs w:val="20"/>
          <w:lang w:eastAsia="bg-BG"/>
        </w:rPr>
        <w:t xml:space="preserve"> система </w:t>
      </w:r>
      <w:r w:rsidRPr="00FD4C98">
        <w:rPr>
          <w:rFonts w:eastAsia="Times New Roman" w:cs="Arial"/>
          <w:color w:val="000000"/>
          <w:szCs w:val="20"/>
          <w:lang w:val="ru-RU"/>
        </w:rPr>
        <w:t>(</w:t>
      </w:r>
      <w:r w:rsidRPr="00AC443D">
        <w:rPr>
          <w:rFonts w:eastAsia="Times New Roman" w:cs="Arial"/>
          <w:color w:val="000000"/>
          <w:szCs w:val="20"/>
          <w:lang w:val="en-US"/>
        </w:rPr>
        <w:t>ISS</w:t>
      </w:r>
      <w:r w:rsidRPr="00FD4C98">
        <w:rPr>
          <w:rFonts w:eastAsia="Times New Roman" w:cs="Arial"/>
          <w:color w:val="000000"/>
          <w:szCs w:val="20"/>
          <w:lang w:val="ru-RU"/>
        </w:rPr>
        <w:t xml:space="preserve">) </w:t>
      </w:r>
      <w:r w:rsidRPr="00AC443D">
        <w:rPr>
          <w:rFonts w:eastAsia="Times New Roman" w:cs="Arial"/>
          <w:color w:val="000000"/>
          <w:szCs w:val="20"/>
          <w:lang w:eastAsia="bg-BG"/>
        </w:rPr>
        <w:t>и брой на предишните терапевтични линии.</w:t>
      </w:r>
    </w:p>
    <w:p w14:paraId="59280B1D"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vertAlign w:val="superscript"/>
          <w:lang w:val="en-US"/>
        </w:rPr>
        <w:lastRenderedPageBreak/>
        <w:t>d</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Логаритмично трансформиран </w:t>
      </w:r>
      <w:proofErr w:type="spellStart"/>
      <w:r w:rsidRPr="00AC443D">
        <w:rPr>
          <w:rFonts w:eastAsia="Times New Roman" w:cs="Arial"/>
          <w:color w:val="000000"/>
          <w:szCs w:val="20"/>
          <w:lang w:eastAsia="bg-BG"/>
        </w:rPr>
        <w:t>ранков</w:t>
      </w:r>
      <w:proofErr w:type="spellEnd"/>
      <w:r w:rsidRPr="00AC443D">
        <w:rPr>
          <w:rFonts w:eastAsia="Times New Roman" w:cs="Arial"/>
          <w:color w:val="000000"/>
          <w:szCs w:val="20"/>
          <w:lang w:eastAsia="bg-BG"/>
        </w:rPr>
        <w:t xml:space="preserve"> тест, адаптиран за </w:t>
      </w:r>
      <w:proofErr w:type="spellStart"/>
      <w:r w:rsidRPr="00AC443D">
        <w:rPr>
          <w:rFonts w:eastAsia="Times New Roman" w:cs="Arial"/>
          <w:color w:val="000000"/>
          <w:szCs w:val="20"/>
          <w:lang w:eastAsia="bg-BG"/>
        </w:rPr>
        <w:t>стратификационни</w:t>
      </w:r>
      <w:proofErr w:type="spellEnd"/>
      <w:r w:rsidRPr="00AC443D">
        <w:rPr>
          <w:rFonts w:eastAsia="Times New Roman" w:cs="Arial"/>
          <w:color w:val="000000"/>
          <w:szCs w:val="20"/>
          <w:lang w:eastAsia="bg-BG"/>
        </w:rPr>
        <w:t xml:space="preserve"> фактори: </w:t>
      </w:r>
      <w:proofErr w:type="spellStart"/>
      <w:r w:rsidRPr="00AC443D">
        <w:rPr>
          <w:rFonts w:eastAsia="Times New Roman" w:cs="Arial"/>
          <w:color w:val="000000"/>
          <w:szCs w:val="20"/>
          <w:lang w:eastAsia="bg-BG"/>
        </w:rPr>
        <w:t>стадиране</w:t>
      </w:r>
      <w:proofErr w:type="spellEnd"/>
      <w:r w:rsidRPr="00AC443D">
        <w:rPr>
          <w:rFonts w:eastAsia="Times New Roman" w:cs="Arial"/>
          <w:color w:val="000000"/>
          <w:szCs w:val="20"/>
          <w:lang w:eastAsia="bg-BG"/>
        </w:rPr>
        <w:t xml:space="preserve"> по </w:t>
      </w:r>
      <w:r w:rsidRPr="00AC443D">
        <w:rPr>
          <w:rFonts w:eastAsia="Times New Roman" w:cs="Arial"/>
          <w:color w:val="000000"/>
          <w:szCs w:val="20"/>
          <w:lang w:val="en-US"/>
        </w:rPr>
        <w:t>ISS</w:t>
      </w:r>
      <w:r w:rsidRPr="00FD4C98">
        <w:rPr>
          <w:rFonts w:eastAsia="Times New Roman" w:cs="Arial"/>
          <w:color w:val="000000"/>
          <w:szCs w:val="20"/>
          <w:lang w:val="ru-RU"/>
        </w:rPr>
        <w:t xml:space="preserve"> </w:t>
      </w:r>
      <w:r w:rsidRPr="00AC443D">
        <w:rPr>
          <w:rFonts w:eastAsia="Times New Roman" w:cs="Arial"/>
          <w:color w:val="000000"/>
          <w:szCs w:val="20"/>
          <w:lang w:eastAsia="bg-BG"/>
        </w:rPr>
        <w:t>и брой на предишните терапевтични линии.</w:t>
      </w:r>
    </w:p>
    <w:p w14:paraId="703F2D7A"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vertAlign w:val="superscript"/>
          <w:lang w:eastAsia="bg-BG"/>
        </w:rPr>
        <w:t>е</w:t>
      </w:r>
      <w:r w:rsidRPr="00AC443D">
        <w:rPr>
          <w:rFonts w:eastAsia="Times New Roman" w:cs="Arial"/>
          <w:color w:val="000000"/>
          <w:szCs w:val="20"/>
          <w:lang w:eastAsia="bg-BG"/>
        </w:rPr>
        <w:t xml:space="preserve"> Средната продължителност на проследяването е 11,8 месеца</w:t>
      </w:r>
    </w:p>
    <w:p w14:paraId="52E0C61C" w14:textId="77777777" w:rsidR="00AC443D" w:rsidRPr="00AC443D" w:rsidRDefault="00AC443D" w:rsidP="00AC443D">
      <w:pPr>
        <w:spacing w:line="240" w:lineRule="auto"/>
        <w:rPr>
          <w:rFonts w:eastAsia="Times New Roman" w:cs="Arial"/>
          <w:i/>
          <w:iCs/>
          <w:color w:val="000000"/>
          <w:szCs w:val="20"/>
          <w:lang w:eastAsia="bg-BG"/>
        </w:rPr>
      </w:pPr>
    </w:p>
    <w:p w14:paraId="42C08846" w14:textId="4ADE72A3" w:rsidR="00AC443D" w:rsidRPr="00AC443D" w:rsidRDefault="00AC443D" w:rsidP="00AC443D">
      <w:pPr>
        <w:spacing w:line="240" w:lineRule="auto"/>
        <w:rPr>
          <w:rFonts w:eastAsia="Times New Roman" w:cs="Arial"/>
          <w:sz w:val="28"/>
          <w:szCs w:val="24"/>
          <w:lang w:eastAsia="bg-BG"/>
        </w:rPr>
      </w:pPr>
      <w:r w:rsidRPr="00AC443D">
        <w:rPr>
          <w:rFonts w:eastAsia="Times New Roman" w:cs="Arial"/>
          <w:i/>
          <w:iCs/>
          <w:color w:val="000000"/>
          <w:szCs w:val="20"/>
          <w:lang w:eastAsia="bg-BG"/>
        </w:rPr>
        <w:t xml:space="preserve">Комбинирано лечение на </w:t>
      </w:r>
      <w:proofErr w:type="spellStart"/>
      <w:r w:rsidRPr="00AC443D">
        <w:rPr>
          <w:rFonts w:eastAsia="Times New Roman" w:cs="Arial"/>
          <w:i/>
          <w:iCs/>
          <w:color w:val="000000"/>
          <w:szCs w:val="20"/>
          <w:lang w:eastAsia="bg-BG"/>
        </w:rPr>
        <w:t>бортезомиб</w:t>
      </w:r>
      <w:proofErr w:type="spellEnd"/>
      <w:r w:rsidRPr="00AC443D">
        <w:rPr>
          <w:rFonts w:eastAsia="Times New Roman" w:cs="Arial"/>
          <w:i/>
          <w:iCs/>
          <w:color w:val="000000"/>
          <w:szCs w:val="20"/>
          <w:lang w:eastAsia="bg-BG"/>
        </w:rPr>
        <w:t xml:space="preserve"> с </w:t>
      </w:r>
      <w:proofErr w:type="spellStart"/>
      <w:r w:rsidRPr="00AC443D">
        <w:rPr>
          <w:rFonts w:eastAsia="Times New Roman" w:cs="Arial"/>
          <w:i/>
          <w:iCs/>
          <w:color w:val="000000"/>
          <w:szCs w:val="20"/>
          <w:lang w:eastAsia="bg-BG"/>
        </w:rPr>
        <w:t>пегилиран</w:t>
      </w:r>
      <w:proofErr w:type="spellEnd"/>
      <w:r w:rsidRPr="00AC443D">
        <w:rPr>
          <w:rFonts w:eastAsia="Times New Roman" w:cs="Arial"/>
          <w:i/>
          <w:iCs/>
          <w:color w:val="000000"/>
          <w:szCs w:val="20"/>
          <w:lang w:eastAsia="bg-BG"/>
        </w:rPr>
        <w:t xml:space="preserve"> </w:t>
      </w:r>
      <w:proofErr w:type="spellStart"/>
      <w:r w:rsidRPr="00AC443D">
        <w:rPr>
          <w:rFonts w:eastAsia="Times New Roman" w:cs="Arial"/>
          <w:i/>
          <w:iCs/>
          <w:color w:val="000000"/>
          <w:szCs w:val="20"/>
          <w:lang w:eastAsia="bg-BG"/>
        </w:rPr>
        <w:t>липозомен</w:t>
      </w:r>
      <w:proofErr w:type="spellEnd"/>
      <w:r w:rsidRPr="00AC443D">
        <w:rPr>
          <w:rFonts w:eastAsia="Times New Roman" w:cs="Arial"/>
          <w:i/>
          <w:iCs/>
          <w:color w:val="000000"/>
          <w:szCs w:val="20"/>
          <w:lang w:eastAsia="bg-BG"/>
        </w:rPr>
        <w:t xml:space="preserve"> </w:t>
      </w:r>
      <w:proofErr w:type="spellStart"/>
      <w:r w:rsidRPr="00AC443D">
        <w:rPr>
          <w:rFonts w:eastAsia="Times New Roman" w:cs="Arial"/>
          <w:i/>
          <w:iCs/>
          <w:color w:val="000000"/>
          <w:szCs w:val="20"/>
          <w:lang w:eastAsia="bg-BG"/>
        </w:rPr>
        <w:t>доксорубицин</w:t>
      </w:r>
      <w:proofErr w:type="spellEnd"/>
      <w:r w:rsidRPr="00AC443D">
        <w:rPr>
          <w:rFonts w:eastAsia="Times New Roman" w:cs="Arial"/>
          <w:i/>
          <w:iCs/>
          <w:color w:val="000000"/>
          <w:szCs w:val="20"/>
          <w:lang w:eastAsia="bg-BG"/>
        </w:rPr>
        <w:t xml:space="preserve"> (проучване </w:t>
      </w:r>
      <w:r w:rsidRPr="00AC443D">
        <w:rPr>
          <w:rFonts w:eastAsia="Times New Roman" w:cs="Arial"/>
          <w:i/>
          <w:iCs/>
          <w:color w:val="000000"/>
          <w:szCs w:val="20"/>
          <w:lang w:val="en-US"/>
        </w:rPr>
        <w:t>DOXIL</w:t>
      </w:r>
      <w:r w:rsidRPr="00FD4C98">
        <w:rPr>
          <w:rFonts w:eastAsia="Times New Roman" w:cs="Arial"/>
          <w:i/>
          <w:iCs/>
          <w:color w:val="000000"/>
          <w:szCs w:val="20"/>
          <w:lang w:val="ru-RU"/>
        </w:rPr>
        <w:t xml:space="preserve">- </w:t>
      </w:r>
      <w:r w:rsidRPr="00AC443D">
        <w:rPr>
          <w:rFonts w:eastAsia="Times New Roman" w:cs="Arial"/>
          <w:i/>
          <w:iCs/>
          <w:color w:val="000000"/>
          <w:szCs w:val="20"/>
          <w:lang w:val="en-US"/>
        </w:rPr>
        <w:t>MMY</w:t>
      </w:r>
      <w:r w:rsidRPr="00FD4C98">
        <w:rPr>
          <w:rFonts w:eastAsia="Times New Roman" w:cs="Arial"/>
          <w:i/>
          <w:iCs/>
          <w:color w:val="000000"/>
          <w:szCs w:val="20"/>
          <w:lang w:val="ru-RU"/>
        </w:rPr>
        <w:t>-3001)</w:t>
      </w:r>
    </w:p>
    <w:p w14:paraId="6F38AF15"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lang w:eastAsia="bg-BG"/>
        </w:rPr>
        <w:t xml:space="preserve">При 646 пациенти е проведено рандомизирано проучване фаза III, с паралелни групи, открито, </w:t>
      </w:r>
      <w:proofErr w:type="spellStart"/>
      <w:r w:rsidRPr="00AC443D">
        <w:rPr>
          <w:rFonts w:eastAsia="Times New Roman" w:cs="Arial"/>
          <w:color w:val="000000"/>
          <w:szCs w:val="20"/>
          <w:lang w:eastAsia="bg-BG"/>
        </w:rPr>
        <w:t>многоцентрово</w:t>
      </w:r>
      <w:proofErr w:type="spellEnd"/>
      <w:r w:rsidRPr="00AC443D">
        <w:rPr>
          <w:rFonts w:eastAsia="Times New Roman" w:cs="Arial"/>
          <w:color w:val="000000"/>
          <w:szCs w:val="20"/>
          <w:lang w:eastAsia="bg-BG"/>
        </w:rPr>
        <w:t xml:space="preserve"> за сравнение на безопасността и ефикасността на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прилаган в комбинация с </w:t>
      </w:r>
      <w:proofErr w:type="spellStart"/>
      <w:r w:rsidRPr="00AC443D">
        <w:rPr>
          <w:rFonts w:eastAsia="Times New Roman" w:cs="Arial"/>
          <w:color w:val="000000"/>
          <w:szCs w:val="20"/>
          <w:lang w:eastAsia="bg-BG"/>
        </w:rPr>
        <w:t>пегилиран</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липозомен</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доксорубицин</w:t>
      </w:r>
      <w:proofErr w:type="spellEnd"/>
      <w:r w:rsidRPr="00AC443D">
        <w:rPr>
          <w:rFonts w:eastAsia="Times New Roman" w:cs="Arial"/>
          <w:color w:val="000000"/>
          <w:szCs w:val="20"/>
          <w:lang w:eastAsia="bg-BG"/>
        </w:rPr>
        <w:t xml:space="preserve">, в сравнение с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монотерапия</w:t>
      </w:r>
      <w:proofErr w:type="spellEnd"/>
      <w:r w:rsidRPr="00AC443D">
        <w:rPr>
          <w:rFonts w:eastAsia="Times New Roman" w:cs="Arial"/>
          <w:color w:val="000000"/>
          <w:szCs w:val="20"/>
          <w:lang w:eastAsia="bg-BG"/>
        </w:rPr>
        <w:t xml:space="preserve"> при пациенти с мултиплен миелом, които са получили най-малко едно предшестващо лечение и не са прогресирали, докато са получавали </w:t>
      </w:r>
      <w:proofErr w:type="spellStart"/>
      <w:r w:rsidRPr="00AC443D">
        <w:rPr>
          <w:rFonts w:eastAsia="Times New Roman" w:cs="Arial"/>
          <w:color w:val="000000"/>
          <w:szCs w:val="20"/>
          <w:lang w:eastAsia="bg-BG"/>
        </w:rPr>
        <w:t>антрациклин</w:t>
      </w:r>
      <w:proofErr w:type="spellEnd"/>
      <w:r w:rsidRPr="00AC443D">
        <w:rPr>
          <w:rFonts w:eastAsia="Times New Roman" w:cs="Arial"/>
          <w:color w:val="000000"/>
          <w:szCs w:val="20"/>
          <w:lang w:eastAsia="bg-BG"/>
        </w:rPr>
        <w:t xml:space="preserve"> базирана терапия, Първичната крайна точка за ефикасност е ТТР, докато вторичните крайни точки за ефикасност са </w:t>
      </w:r>
      <w:r w:rsidRPr="00AC443D">
        <w:rPr>
          <w:rFonts w:eastAsia="Times New Roman" w:cs="Arial"/>
          <w:color w:val="000000"/>
          <w:szCs w:val="20"/>
          <w:lang w:val="en-US"/>
        </w:rPr>
        <w:t>OS</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и </w:t>
      </w:r>
      <w:r w:rsidRPr="00AC443D">
        <w:rPr>
          <w:rFonts w:eastAsia="Times New Roman" w:cs="Arial"/>
          <w:color w:val="000000"/>
          <w:szCs w:val="20"/>
          <w:lang w:val="en-US"/>
        </w:rPr>
        <w:t>ORR</w:t>
      </w:r>
      <w:r w:rsidRPr="00FD4C98">
        <w:rPr>
          <w:rFonts w:eastAsia="Times New Roman" w:cs="Arial"/>
          <w:color w:val="000000"/>
          <w:szCs w:val="20"/>
          <w:lang w:val="ru-RU"/>
        </w:rPr>
        <w:t xml:space="preserve"> (</w:t>
      </w:r>
      <w:r w:rsidRPr="00AC443D">
        <w:rPr>
          <w:rFonts w:eastAsia="Times New Roman" w:cs="Arial"/>
          <w:color w:val="000000"/>
          <w:szCs w:val="20"/>
          <w:lang w:val="en-US"/>
        </w:rPr>
        <w:t>CR</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 </w:t>
      </w:r>
      <w:r w:rsidRPr="00AC443D">
        <w:rPr>
          <w:rFonts w:eastAsia="Times New Roman" w:cs="Arial"/>
          <w:color w:val="000000"/>
          <w:szCs w:val="20"/>
          <w:lang w:val="en-US"/>
        </w:rPr>
        <w:t>PR</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базирайки се на критериите на Европейската група за кръвни и </w:t>
      </w:r>
      <w:proofErr w:type="spellStart"/>
      <w:r w:rsidRPr="00AC443D">
        <w:rPr>
          <w:rFonts w:eastAsia="Times New Roman" w:cs="Arial"/>
          <w:color w:val="000000"/>
          <w:szCs w:val="20"/>
          <w:lang w:eastAsia="bg-BG"/>
        </w:rPr>
        <w:t>костномозъчни</w:t>
      </w:r>
      <w:proofErr w:type="spellEnd"/>
      <w:r w:rsidRPr="00AC443D">
        <w:rPr>
          <w:rFonts w:eastAsia="Times New Roman" w:cs="Arial"/>
          <w:color w:val="000000"/>
          <w:szCs w:val="20"/>
          <w:lang w:eastAsia="bg-BG"/>
        </w:rPr>
        <w:t xml:space="preserve"> трансплантации (ЕВМТ).</w:t>
      </w:r>
    </w:p>
    <w:p w14:paraId="6CA1A7AC" w14:textId="77777777" w:rsidR="00AC443D" w:rsidRPr="00AC443D" w:rsidRDefault="00AC443D" w:rsidP="00AC443D">
      <w:pPr>
        <w:spacing w:line="240" w:lineRule="auto"/>
        <w:rPr>
          <w:rFonts w:eastAsia="Times New Roman" w:cs="Arial"/>
          <w:sz w:val="28"/>
          <w:szCs w:val="24"/>
          <w:lang w:eastAsia="bg-BG"/>
        </w:rPr>
      </w:pPr>
      <w:r w:rsidRPr="00AC443D">
        <w:rPr>
          <w:rFonts w:eastAsia="Times New Roman" w:cs="Arial"/>
          <w:color w:val="000000"/>
          <w:szCs w:val="20"/>
          <w:lang w:eastAsia="bg-BG"/>
        </w:rPr>
        <w:t xml:space="preserve">Междинен анализ, определен по протокол (базиран на 249 ТТР случая) предизвиква преждевременното приключване на проучването по отношение на ефикасността. Този междинен анализ показва ТТР намаляване на риска с 45% (95% </w:t>
      </w:r>
      <w:r w:rsidRPr="00AC443D">
        <w:rPr>
          <w:rFonts w:eastAsia="Times New Roman" w:cs="Arial"/>
          <w:color w:val="000000"/>
          <w:szCs w:val="20"/>
          <w:lang w:val="en-US"/>
        </w:rPr>
        <w:t>CI</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29 57%, р &lt; 0,0001) при пациенти, лекувани с комбинирана терапия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и </w:t>
      </w:r>
      <w:proofErr w:type="spellStart"/>
      <w:r w:rsidRPr="00AC443D">
        <w:rPr>
          <w:rFonts w:eastAsia="Times New Roman" w:cs="Arial"/>
          <w:color w:val="000000"/>
          <w:szCs w:val="20"/>
          <w:lang w:eastAsia="bg-BG"/>
        </w:rPr>
        <w:t>пегилиран</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липозомен</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доксорубицин</w:t>
      </w:r>
      <w:proofErr w:type="spellEnd"/>
      <w:r w:rsidRPr="00AC443D">
        <w:rPr>
          <w:rFonts w:eastAsia="Times New Roman" w:cs="Arial"/>
          <w:color w:val="000000"/>
          <w:szCs w:val="20"/>
          <w:lang w:eastAsia="bg-BG"/>
        </w:rPr>
        <w:t xml:space="preserve">. Средното ТТР е било 6,5 месеца при пациентите, лекувани с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монотерапия</w:t>
      </w:r>
      <w:proofErr w:type="spellEnd"/>
      <w:r w:rsidRPr="00AC443D">
        <w:rPr>
          <w:rFonts w:eastAsia="Times New Roman" w:cs="Arial"/>
          <w:color w:val="000000"/>
          <w:szCs w:val="20"/>
          <w:lang w:eastAsia="bg-BG"/>
        </w:rPr>
        <w:t xml:space="preserve">, в сравнение с 9,3 месеца при пациенти на комбинирана терапия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и </w:t>
      </w:r>
      <w:proofErr w:type="spellStart"/>
      <w:r w:rsidRPr="00AC443D">
        <w:rPr>
          <w:rFonts w:eastAsia="Times New Roman" w:cs="Arial"/>
          <w:color w:val="000000"/>
          <w:szCs w:val="20"/>
          <w:lang w:eastAsia="bg-BG"/>
        </w:rPr>
        <w:t>пегилиран</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липозомен</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доксорубицин</w:t>
      </w:r>
      <w:proofErr w:type="spellEnd"/>
      <w:r w:rsidRPr="00AC443D">
        <w:rPr>
          <w:rFonts w:eastAsia="Times New Roman" w:cs="Arial"/>
          <w:color w:val="000000"/>
          <w:szCs w:val="20"/>
          <w:lang w:eastAsia="bg-BG"/>
        </w:rPr>
        <w:t>. Тези резултати, макар и непълни, представляват окончателния анализ, дефиниран по протокол.</w:t>
      </w:r>
    </w:p>
    <w:p w14:paraId="35B0634E" w14:textId="77777777" w:rsidR="00AC443D" w:rsidRPr="00AC443D" w:rsidRDefault="00AC443D" w:rsidP="00AC443D">
      <w:pPr>
        <w:spacing w:line="240" w:lineRule="auto"/>
        <w:rPr>
          <w:rFonts w:eastAsia="Times New Roman" w:cs="Arial"/>
          <w:i/>
          <w:iCs/>
          <w:color w:val="000000"/>
          <w:szCs w:val="20"/>
          <w:lang w:eastAsia="bg-BG"/>
        </w:rPr>
      </w:pPr>
    </w:p>
    <w:p w14:paraId="10AA52D2" w14:textId="65D84A89" w:rsidR="00AC443D" w:rsidRPr="00AC443D" w:rsidRDefault="00AC443D" w:rsidP="00AC443D">
      <w:pPr>
        <w:spacing w:line="240" w:lineRule="auto"/>
        <w:rPr>
          <w:rFonts w:eastAsia="Times New Roman" w:cs="Arial"/>
          <w:sz w:val="28"/>
          <w:szCs w:val="24"/>
          <w:lang w:eastAsia="bg-BG"/>
        </w:rPr>
      </w:pPr>
      <w:r w:rsidRPr="00AC443D">
        <w:rPr>
          <w:rFonts w:eastAsia="Times New Roman" w:cs="Arial"/>
          <w:i/>
          <w:iCs/>
          <w:color w:val="000000"/>
          <w:szCs w:val="20"/>
          <w:lang w:eastAsia="bg-BG"/>
        </w:rPr>
        <w:t xml:space="preserve">Комбинирана терапия на </w:t>
      </w:r>
      <w:proofErr w:type="spellStart"/>
      <w:r w:rsidRPr="00AC443D">
        <w:rPr>
          <w:rFonts w:eastAsia="Times New Roman" w:cs="Arial"/>
          <w:i/>
          <w:iCs/>
          <w:color w:val="000000"/>
          <w:szCs w:val="20"/>
          <w:lang w:eastAsia="bg-BG"/>
        </w:rPr>
        <w:t>бортезомиб</w:t>
      </w:r>
      <w:proofErr w:type="spellEnd"/>
      <w:r w:rsidRPr="00AC443D">
        <w:rPr>
          <w:rFonts w:eastAsia="Times New Roman" w:cs="Arial"/>
          <w:i/>
          <w:iCs/>
          <w:color w:val="000000"/>
          <w:szCs w:val="20"/>
          <w:lang w:eastAsia="bg-BG"/>
        </w:rPr>
        <w:t xml:space="preserve"> с </w:t>
      </w:r>
      <w:proofErr w:type="spellStart"/>
      <w:r w:rsidRPr="00AC443D">
        <w:rPr>
          <w:rFonts w:eastAsia="Times New Roman" w:cs="Arial"/>
          <w:i/>
          <w:iCs/>
          <w:color w:val="000000"/>
          <w:szCs w:val="20"/>
          <w:lang w:eastAsia="bg-BG"/>
        </w:rPr>
        <w:t>дексаметазон</w:t>
      </w:r>
      <w:proofErr w:type="spellEnd"/>
    </w:p>
    <w:p w14:paraId="11B4CFDE" w14:textId="77777777" w:rsidR="00910270" w:rsidRPr="00910270" w:rsidRDefault="00AC443D" w:rsidP="00910270">
      <w:pPr>
        <w:rPr>
          <w:rFonts w:eastAsia="Times New Roman" w:cs="Arial"/>
          <w:lang w:eastAsia="bg-BG"/>
        </w:rPr>
      </w:pPr>
      <w:r w:rsidRPr="00AC443D">
        <w:rPr>
          <w:rFonts w:eastAsia="Times New Roman" w:cs="Arial"/>
          <w:color w:val="000000"/>
          <w:szCs w:val="20"/>
          <w:lang w:eastAsia="bg-BG"/>
        </w:rPr>
        <w:t xml:space="preserve">Поради липсата на пряко сравнение между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и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в комбинация с </w:t>
      </w:r>
      <w:proofErr w:type="spellStart"/>
      <w:r w:rsidRPr="00AC443D">
        <w:rPr>
          <w:rFonts w:eastAsia="Times New Roman" w:cs="Arial"/>
          <w:color w:val="000000"/>
          <w:szCs w:val="20"/>
          <w:lang w:eastAsia="bg-BG"/>
        </w:rPr>
        <w:t>дексаметазон</w:t>
      </w:r>
      <w:proofErr w:type="spellEnd"/>
      <w:r w:rsidRPr="00AC443D">
        <w:rPr>
          <w:rFonts w:eastAsia="Times New Roman" w:cs="Arial"/>
          <w:color w:val="000000"/>
          <w:szCs w:val="20"/>
          <w:lang w:eastAsia="bg-BG"/>
        </w:rPr>
        <w:t xml:space="preserve"> при пациенти с прогресиращ мултиплен миелом е проведен статистически анализ на съответните двойки, с цел да се сравнят резултатите от рамото без </w:t>
      </w:r>
      <w:proofErr w:type="spellStart"/>
      <w:r w:rsidRPr="00AC443D">
        <w:rPr>
          <w:rFonts w:eastAsia="Times New Roman" w:cs="Arial"/>
          <w:color w:val="000000"/>
          <w:szCs w:val="20"/>
          <w:lang w:eastAsia="bg-BG"/>
        </w:rPr>
        <w:t>ранпомизация</w:t>
      </w:r>
      <w:proofErr w:type="spellEnd"/>
      <w:r w:rsidRPr="00AC443D">
        <w:rPr>
          <w:rFonts w:eastAsia="Times New Roman" w:cs="Arial"/>
          <w:color w:val="000000"/>
          <w:szCs w:val="20"/>
          <w:lang w:eastAsia="bg-BG"/>
        </w:rPr>
        <w:t xml:space="preserve"> на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в комбинация с </w:t>
      </w:r>
      <w:proofErr w:type="spellStart"/>
      <w:r w:rsidRPr="00AC443D">
        <w:rPr>
          <w:rFonts w:eastAsia="Times New Roman" w:cs="Arial"/>
          <w:color w:val="000000"/>
          <w:szCs w:val="20"/>
          <w:lang w:eastAsia="bg-BG"/>
        </w:rPr>
        <w:t>дексаметазон</w:t>
      </w:r>
      <w:proofErr w:type="spellEnd"/>
      <w:r w:rsidRPr="00AC443D">
        <w:rPr>
          <w:rFonts w:eastAsia="Times New Roman" w:cs="Arial"/>
          <w:color w:val="000000"/>
          <w:szCs w:val="20"/>
          <w:lang w:eastAsia="bg-BG"/>
        </w:rPr>
        <w:t xml:space="preserve"> (Фаза II открито проучване </w:t>
      </w:r>
      <w:r w:rsidRPr="00AC443D">
        <w:rPr>
          <w:rFonts w:eastAsia="Times New Roman" w:cs="Arial"/>
          <w:color w:val="000000"/>
          <w:szCs w:val="20"/>
          <w:lang w:val="en-US"/>
        </w:rPr>
        <w:t>MMY</w:t>
      </w:r>
      <w:r w:rsidRPr="00FD4C98">
        <w:rPr>
          <w:rFonts w:eastAsia="Times New Roman" w:cs="Arial"/>
          <w:color w:val="000000"/>
          <w:szCs w:val="20"/>
          <w:lang w:val="ru-RU"/>
        </w:rPr>
        <w:t xml:space="preserve"> 2045),</w:t>
      </w:r>
      <w:r w:rsidRPr="00AC443D">
        <w:rPr>
          <w:rFonts w:eastAsia="Times New Roman" w:cs="Arial"/>
          <w:color w:val="000000"/>
          <w:szCs w:val="20"/>
          <w:lang w:eastAsia="bg-BG"/>
        </w:rPr>
        <w:t xml:space="preserve"> спрямо</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резултатите, получени от рамената с </w:t>
      </w:r>
      <w:proofErr w:type="spellStart"/>
      <w:r w:rsidRPr="00AC443D">
        <w:rPr>
          <w:rFonts w:eastAsia="Times New Roman" w:cs="Arial"/>
          <w:color w:val="000000"/>
          <w:szCs w:val="20"/>
          <w:lang w:eastAsia="bg-BG"/>
        </w:rPr>
        <w:t>монотерапия</w:t>
      </w:r>
      <w:proofErr w:type="spellEnd"/>
      <w:r w:rsidRPr="00AC443D">
        <w:rPr>
          <w:rFonts w:eastAsia="Times New Roman" w:cs="Arial"/>
          <w:color w:val="000000"/>
          <w:szCs w:val="20"/>
          <w:lang w:eastAsia="bg-BG"/>
        </w:rPr>
        <w:t xml:space="preserve"> </w:t>
      </w:r>
      <w:proofErr w:type="spellStart"/>
      <w:r w:rsidRPr="00AC443D">
        <w:rPr>
          <w:rFonts w:eastAsia="Times New Roman" w:cs="Arial"/>
          <w:color w:val="000000"/>
          <w:szCs w:val="20"/>
          <w:lang w:eastAsia="bg-BG"/>
        </w:rPr>
        <w:t>бортезомиб</w:t>
      </w:r>
      <w:proofErr w:type="spellEnd"/>
      <w:r w:rsidRPr="00AC443D">
        <w:rPr>
          <w:rFonts w:eastAsia="Times New Roman" w:cs="Arial"/>
          <w:color w:val="000000"/>
          <w:szCs w:val="20"/>
          <w:lang w:eastAsia="bg-BG"/>
        </w:rPr>
        <w:t xml:space="preserve"> при различни рандомизирани</w:t>
      </w:r>
      <w:r w:rsidRPr="00AC443D">
        <w:rPr>
          <w:rFonts w:eastAsia="Times New Roman" w:cs="Arial"/>
          <w:b/>
          <w:bCs/>
          <w:color w:val="000000"/>
          <w:szCs w:val="20"/>
          <w:lang w:eastAsia="bg-BG"/>
        </w:rPr>
        <w:t xml:space="preserve"> </w:t>
      </w:r>
      <w:r w:rsidRPr="00AC443D">
        <w:rPr>
          <w:rFonts w:eastAsia="Times New Roman" w:cs="Arial"/>
          <w:color w:val="000000"/>
          <w:szCs w:val="20"/>
          <w:lang w:eastAsia="bg-BG"/>
        </w:rPr>
        <w:t xml:space="preserve">проучвания, фаза Ш (M34101-039 </w:t>
      </w:r>
      <w:r w:rsidRPr="00FD4C98">
        <w:rPr>
          <w:rFonts w:eastAsia="Times New Roman" w:cs="Arial"/>
          <w:color w:val="000000"/>
          <w:szCs w:val="20"/>
          <w:lang w:val="ru-RU"/>
        </w:rPr>
        <w:t>[</w:t>
      </w:r>
      <w:r w:rsidRPr="00AC443D">
        <w:rPr>
          <w:rFonts w:eastAsia="Times New Roman" w:cs="Arial"/>
          <w:color w:val="000000"/>
          <w:szCs w:val="20"/>
          <w:lang w:val="en-US"/>
        </w:rPr>
        <w:t>APEX</w:t>
      </w:r>
      <w:r w:rsidRPr="00FD4C98">
        <w:rPr>
          <w:rFonts w:eastAsia="Times New Roman" w:cs="Arial"/>
          <w:color w:val="000000"/>
          <w:szCs w:val="20"/>
          <w:lang w:val="ru-RU"/>
        </w:rPr>
        <w:t xml:space="preserve">] </w:t>
      </w:r>
      <w:r w:rsidRPr="00AC443D">
        <w:rPr>
          <w:rFonts w:eastAsia="Times New Roman" w:cs="Arial"/>
          <w:color w:val="000000"/>
          <w:szCs w:val="20"/>
          <w:lang w:eastAsia="bg-BG"/>
        </w:rPr>
        <w:t xml:space="preserve">и </w:t>
      </w:r>
      <w:r w:rsidRPr="00AC443D">
        <w:rPr>
          <w:rFonts w:eastAsia="Times New Roman" w:cs="Arial"/>
          <w:color w:val="000000"/>
          <w:szCs w:val="20"/>
          <w:lang w:val="en-US"/>
        </w:rPr>
        <w:t>DOXIL</w:t>
      </w:r>
      <w:r w:rsidRPr="00FD4C98">
        <w:rPr>
          <w:rFonts w:eastAsia="Times New Roman" w:cs="Arial"/>
          <w:color w:val="000000"/>
          <w:szCs w:val="20"/>
          <w:lang w:val="ru-RU"/>
        </w:rPr>
        <w:t xml:space="preserve"> </w:t>
      </w:r>
      <w:r w:rsidRPr="00AC443D">
        <w:rPr>
          <w:rFonts w:eastAsia="Times New Roman" w:cs="Arial"/>
          <w:color w:val="000000"/>
          <w:szCs w:val="20"/>
          <w:lang w:val="en-US"/>
        </w:rPr>
        <w:t>MMY</w:t>
      </w:r>
      <w:r w:rsidRPr="00FD4C98">
        <w:rPr>
          <w:rFonts w:eastAsia="Times New Roman" w:cs="Arial"/>
          <w:color w:val="000000"/>
          <w:szCs w:val="20"/>
          <w:lang w:val="ru-RU"/>
        </w:rPr>
        <w:t xml:space="preserve">-3001) </w:t>
      </w:r>
      <w:r w:rsidRPr="00AC443D">
        <w:rPr>
          <w:rFonts w:eastAsia="Times New Roman" w:cs="Arial"/>
          <w:color w:val="000000"/>
          <w:szCs w:val="20"/>
          <w:lang w:eastAsia="bg-BG"/>
        </w:rPr>
        <w:t>при същата индикация.</w:t>
      </w:r>
      <w:r w:rsidRPr="00AC443D">
        <w:rPr>
          <w:rFonts w:eastAsia="Times New Roman" w:cs="Arial"/>
          <w:b/>
          <w:bCs/>
          <w:color w:val="000000"/>
          <w:szCs w:val="20"/>
          <w:lang w:eastAsia="bg-BG"/>
        </w:rPr>
        <w:t xml:space="preserve"> </w:t>
      </w:r>
      <w:r w:rsidRPr="00AC443D">
        <w:rPr>
          <w:rFonts w:eastAsia="Times New Roman" w:cs="Arial"/>
          <w:color w:val="000000"/>
          <w:szCs w:val="20"/>
          <w:lang w:eastAsia="bg-BG"/>
        </w:rPr>
        <w:t xml:space="preserve">Анализът на съответните двойки е статистически метод, при </w:t>
      </w:r>
      <w:r w:rsidRPr="00910270">
        <w:rPr>
          <w:rFonts w:eastAsia="Times New Roman" w:cs="Arial"/>
          <w:color w:val="000000"/>
          <w:lang w:eastAsia="bg-BG"/>
        </w:rPr>
        <w:t xml:space="preserve">който пациентите, в групата на  лечение (напр.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в комбинация с </w:t>
      </w:r>
      <w:proofErr w:type="spellStart"/>
      <w:r w:rsidRPr="00910270">
        <w:rPr>
          <w:rFonts w:eastAsia="Times New Roman" w:cs="Arial"/>
          <w:color w:val="000000"/>
          <w:lang w:eastAsia="bg-BG"/>
        </w:rPr>
        <w:t>дексаметазон</w:t>
      </w:r>
      <w:proofErr w:type="spellEnd"/>
      <w:r w:rsidRPr="00910270">
        <w:rPr>
          <w:rFonts w:eastAsia="Times New Roman" w:cs="Arial"/>
          <w:color w:val="000000"/>
          <w:lang w:eastAsia="bg-BG"/>
        </w:rPr>
        <w:t>) и пациентите в контролната група</w:t>
      </w:r>
      <w:r w:rsidR="00910270" w:rsidRPr="00910270">
        <w:rPr>
          <w:rFonts w:eastAsia="Times New Roman" w:cs="Arial"/>
          <w:color w:val="000000"/>
          <w:lang w:eastAsia="bg-BG"/>
        </w:rPr>
        <w:t xml:space="preserve"> (напр. </w:t>
      </w:r>
      <w:proofErr w:type="spellStart"/>
      <w:r w:rsidR="00910270" w:rsidRPr="00910270">
        <w:rPr>
          <w:rFonts w:eastAsia="Times New Roman" w:cs="Arial"/>
          <w:color w:val="000000"/>
          <w:lang w:eastAsia="bg-BG"/>
        </w:rPr>
        <w:t>бортезомиб</w:t>
      </w:r>
      <w:proofErr w:type="spellEnd"/>
      <w:r w:rsidR="00910270" w:rsidRPr="00910270">
        <w:rPr>
          <w:rFonts w:eastAsia="Times New Roman" w:cs="Arial"/>
          <w:color w:val="000000"/>
          <w:lang w:eastAsia="bg-BG"/>
        </w:rPr>
        <w:t>) са сравними по отношение на влияещи фактори, чрез подбор на подходящи двойки участници в клиничното проучване. Това</w:t>
      </w:r>
      <w:r w:rsidR="00910270" w:rsidRPr="00FD4C98">
        <w:rPr>
          <w:rFonts w:eastAsia="Times New Roman" w:cs="Arial"/>
          <w:color w:val="000000"/>
          <w:lang w:val="ru-RU"/>
        </w:rPr>
        <w:t xml:space="preserve"> </w:t>
      </w:r>
      <w:r w:rsidR="00910270" w:rsidRPr="00910270">
        <w:rPr>
          <w:rFonts w:eastAsia="Times New Roman" w:cs="Arial"/>
          <w:color w:val="000000"/>
          <w:lang w:eastAsia="bg-BG"/>
        </w:rPr>
        <w:t>свежда до минимум ефектите от наблюдаваните изходни несъответствия при оценка на ефектите от лечението, използвайки методи на не-рандомизирани данни.</w:t>
      </w:r>
    </w:p>
    <w:p w14:paraId="0A8F2E9C" w14:textId="77777777" w:rsidR="00910270" w:rsidRPr="00910270" w:rsidRDefault="00910270" w:rsidP="00910270">
      <w:pPr>
        <w:spacing w:line="240" w:lineRule="auto"/>
        <w:rPr>
          <w:rFonts w:eastAsia="Times New Roman" w:cs="Arial"/>
          <w:color w:val="000000"/>
          <w:lang w:eastAsia="bg-BG"/>
        </w:rPr>
      </w:pPr>
    </w:p>
    <w:p w14:paraId="6097402D" w14:textId="2C6A7174"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Сто двадесет и седем двойки от подобни пациенти са били идентифицирани. Анализът показа подобрена </w:t>
      </w:r>
      <w:r w:rsidRPr="00910270">
        <w:rPr>
          <w:rFonts w:eastAsia="Times New Roman" w:cs="Arial"/>
          <w:color w:val="000000"/>
          <w:lang w:val="en-US"/>
        </w:rPr>
        <w:t>ORR</w:t>
      </w:r>
      <w:r w:rsidRPr="00FD4C98">
        <w:rPr>
          <w:rFonts w:eastAsia="Times New Roman" w:cs="Arial"/>
          <w:color w:val="000000"/>
          <w:lang w:val="ru-RU"/>
        </w:rPr>
        <w:t xml:space="preserve"> (</w:t>
      </w:r>
      <w:r w:rsidRPr="00910270">
        <w:rPr>
          <w:rFonts w:eastAsia="Times New Roman" w:cs="Arial"/>
          <w:color w:val="000000"/>
          <w:lang w:val="en-US"/>
        </w:rPr>
        <w:t>CR</w:t>
      </w:r>
      <w:r w:rsidRPr="00FD4C98">
        <w:rPr>
          <w:rFonts w:eastAsia="Times New Roman" w:cs="Arial"/>
          <w:color w:val="000000"/>
          <w:lang w:val="ru-RU"/>
        </w:rPr>
        <w:t xml:space="preserve"> </w:t>
      </w:r>
      <w:r w:rsidRPr="00910270">
        <w:rPr>
          <w:rFonts w:eastAsia="Times New Roman" w:cs="Arial"/>
          <w:color w:val="000000"/>
          <w:lang w:eastAsia="bg-BG"/>
        </w:rPr>
        <w:t xml:space="preserve">+ </w:t>
      </w:r>
      <w:r w:rsidRPr="00910270">
        <w:rPr>
          <w:rFonts w:eastAsia="Times New Roman" w:cs="Arial"/>
          <w:color w:val="000000"/>
          <w:lang w:val="en-US"/>
        </w:rPr>
        <w:t>PR</w:t>
      </w:r>
      <w:r w:rsidRPr="00FD4C98">
        <w:rPr>
          <w:rFonts w:eastAsia="Times New Roman" w:cs="Arial"/>
          <w:color w:val="000000"/>
          <w:lang w:val="ru-RU"/>
        </w:rPr>
        <w:t xml:space="preserve">) </w:t>
      </w:r>
      <w:r w:rsidRPr="00910270">
        <w:rPr>
          <w:rFonts w:eastAsia="Times New Roman" w:cs="Arial"/>
          <w:color w:val="000000"/>
          <w:lang w:eastAsia="bg-BG"/>
        </w:rPr>
        <w:t xml:space="preserve">(съотношение на риск 3,769; 95% </w:t>
      </w:r>
      <w:r w:rsidRPr="00910270">
        <w:rPr>
          <w:rFonts w:eastAsia="Times New Roman" w:cs="Arial"/>
          <w:color w:val="000000"/>
          <w:lang w:val="en-US"/>
        </w:rPr>
        <w:t>CI</w:t>
      </w:r>
      <w:r w:rsidRPr="00FD4C98">
        <w:rPr>
          <w:rFonts w:eastAsia="Times New Roman" w:cs="Arial"/>
          <w:color w:val="000000"/>
          <w:lang w:val="ru-RU"/>
        </w:rPr>
        <w:t xml:space="preserve"> </w:t>
      </w:r>
      <w:r w:rsidRPr="00910270">
        <w:rPr>
          <w:rFonts w:eastAsia="Times New Roman" w:cs="Arial"/>
          <w:color w:val="000000"/>
          <w:lang w:eastAsia="bg-BG"/>
        </w:rPr>
        <w:t xml:space="preserve">2,045-6 947, р &lt;0,001), </w:t>
      </w:r>
      <w:r w:rsidRPr="00910270">
        <w:rPr>
          <w:rFonts w:eastAsia="Times New Roman" w:cs="Arial"/>
          <w:color w:val="000000"/>
          <w:lang w:val="en-US"/>
        </w:rPr>
        <w:t>PFS</w:t>
      </w:r>
      <w:r w:rsidRPr="00FD4C98">
        <w:rPr>
          <w:rFonts w:eastAsia="Times New Roman" w:cs="Arial"/>
          <w:color w:val="000000"/>
          <w:lang w:val="ru-RU"/>
        </w:rPr>
        <w:t xml:space="preserve"> </w:t>
      </w:r>
      <w:r w:rsidRPr="00910270">
        <w:rPr>
          <w:rFonts w:eastAsia="Times New Roman" w:cs="Arial"/>
          <w:color w:val="000000"/>
          <w:lang w:eastAsia="bg-BG"/>
        </w:rPr>
        <w:t xml:space="preserve">(коефициент на риска 0,511; 95% </w:t>
      </w:r>
      <w:r w:rsidRPr="00910270">
        <w:rPr>
          <w:rFonts w:eastAsia="Times New Roman" w:cs="Arial"/>
          <w:color w:val="000000"/>
          <w:lang w:val="en-US"/>
        </w:rPr>
        <w:t>CI</w:t>
      </w:r>
      <w:r w:rsidRPr="00FD4C98">
        <w:rPr>
          <w:rFonts w:eastAsia="Times New Roman" w:cs="Arial"/>
          <w:color w:val="000000"/>
          <w:lang w:val="ru-RU"/>
        </w:rPr>
        <w:t xml:space="preserve"> </w:t>
      </w:r>
      <w:r w:rsidRPr="00910270">
        <w:rPr>
          <w:rFonts w:eastAsia="Times New Roman" w:cs="Arial"/>
          <w:color w:val="000000"/>
          <w:lang w:eastAsia="bg-BG"/>
        </w:rPr>
        <w:t xml:space="preserve">0,309 0,845, р = 0,008), ТТР (коефициент на риска 0,385; 95% </w:t>
      </w:r>
      <w:r w:rsidRPr="00910270">
        <w:rPr>
          <w:rFonts w:eastAsia="Times New Roman" w:cs="Arial"/>
          <w:color w:val="000000"/>
          <w:lang w:val="en-US"/>
        </w:rPr>
        <w:t>CI</w:t>
      </w:r>
      <w:r w:rsidRPr="00FD4C98">
        <w:rPr>
          <w:rFonts w:eastAsia="Times New Roman" w:cs="Arial"/>
          <w:color w:val="000000"/>
          <w:lang w:val="ru-RU"/>
        </w:rPr>
        <w:t xml:space="preserve"> </w:t>
      </w:r>
      <w:r w:rsidRPr="00910270">
        <w:rPr>
          <w:rFonts w:eastAsia="Times New Roman" w:cs="Arial"/>
          <w:color w:val="000000"/>
          <w:lang w:eastAsia="bg-BG"/>
        </w:rPr>
        <w:t xml:space="preserve">0,212 0.698, р = 0,001), за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в комбинация с </w:t>
      </w:r>
      <w:proofErr w:type="spellStart"/>
      <w:r w:rsidRPr="00910270">
        <w:rPr>
          <w:rFonts w:eastAsia="Times New Roman" w:cs="Arial"/>
          <w:color w:val="000000"/>
          <w:lang w:eastAsia="bg-BG"/>
        </w:rPr>
        <w:t>дексаметазон</w:t>
      </w:r>
      <w:proofErr w:type="spellEnd"/>
      <w:r w:rsidRPr="00910270">
        <w:rPr>
          <w:rFonts w:eastAsia="Times New Roman" w:cs="Arial"/>
          <w:color w:val="000000"/>
          <w:lang w:eastAsia="bg-BG"/>
        </w:rPr>
        <w:t xml:space="preserve"> спрямо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w:t>
      </w:r>
      <w:proofErr w:type="spellStart"/>
      <w:r w:rsidRPr="00910270">
        <w:rPr>
          <w:rFonts w:eastAsia="Times New Roman" w:cs="Arial"/>
          <w:color w:val="000000"/>
          <w:lang w:eastAsia="bg-BG"/>
        </w:rPr>
        <w:t>монотерапия</w:t>
      </w:r>
      <w:proofErr w:type="spellEnd"/>
      <w:r w:rsidRPr="00910270">
        <w:rPr>
          <w:rFonts w:eastAsia="Times New Roman" w:cs="Arial"/>
          <w:color w:val="000000"/>
          <w:lang w:eastAsia="bg-BG"/>
        </w:rPr>
        <w:t>.</w:t>
      </w:r>
    </w:p>
    <w:p w14:paraId="22A98F70" w14:textId="77777777" w:rsidR="00910270" w:rsidRPr="00910270" w:rsidRDefault="00910270" w:rsidP="00910270">
      <w:pPr>
        <w:spacing w:line="240" w:lineRule="auto"/>
        <w:rPr>
          <w:rFonts w:eastAsia="Times New Roman" w:cs="Arial"/>
          <w:color w:val="000000"/>
          <w:lang w:eastAsia="bg-BG"/>
        </w:rPr>
      </w:pPr>
    </w:p>
    <w:p w14:paraId="2585F7F5" w14:textId="31FBC461"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Налична е ограничена информация за повторно лечение с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при пациенти с рецидивирал мултиплен миелом.</w:t>
      </w:r>
    </w:p>
    <w:p w14:paraId="6D63BEBA" w14:textId="77777777" w:rsidR="00910270" w:rsidRPr="00910270" w:rsidRDefault="00910270" w:rsidP="00910270">
      <w:pPr>
        <w:spacing w:line="240" w:lineRule="auto"/>
        <w:rPr>
          <w:rFonts w:eastAsia="Times New Roman" w:cs="Arial"/>
          <w:color w:val="000000"/>
          <w:lang w:eastAsia="bg-BG"/>
        </w:rPr>
      </w:pPr>
    </w:p>
    <w:p w14:paraId="1F864447" w14:textId="5DF07921"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Проведено е открито, Фаза II проучване </w:t>
      </w:r>
      <w:r w:rsidRPr="00910270">
        <w:rPr>
          <w:rFonts w:eastAsia="Times New Roman" w:cs="Arial"/>
          <w:color w:val="000000"/>
          <w:lang w:val="en-US"/>
        </w:rPr>
        <w:t>MMY</w:t>
      </w:r>
      <w:r w:rsidRPr="00FD4C98">
        <w:rPr>
          <w:rFonts w:eastAsia="Times New Roman" w:cs="Arial"/>
          <w:color w:val="000000"/>
          <w:lang w:val="ru-RU"/>
        </w:rPr>
        <w:t>-2036 (</w:t>
      </w:r>
      <w:r w:rsidRPr="00910270">
        <w:rPr>
          <w:rFonts w:eastAsia="Times New Roman" w:cs="Arial"/>
          <w:color w:val="000000"/>
          <w:lang w:val="en-US"/>
        </w:rPr>
        <w:t>RETRIEVE</w:t>
      </w:r>
      <w:r w:rsidRPr="00FD4C98">
        <w:rPr>
          <w:rFonts w:eastAsia="Times New Roman" w:cs="Arial"/>
          <w:color w:val="000000"/>
          <w:lang w:val="ru-RU"/>
        </w:rPr>
        <w:t xml:space="preserve">) </w:t>
      </w:r>
      <w:r w:rsidRPr="00910270">
        <w:rPr>
          <w:rFonts w:eastAsia="Times New Roman" w:cs="Arial"/>
          <w:color w:val="000000"/>
          <w:lang w:eastAsia="bg-BG"/>
        </w:rPr>
        <w:t xml:space="preserve">с едно рамо, за оценка на ефикасността и безопасността на повторното лечение с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Сто и тридесет пациенти (&gt; 18 години) с мултиплен миелом, които са постигнали поне частичен отговор към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съдържаща схема, са лекувани повторно при прогресия. Лечението с </w:t>
      </w:r>
      <w:proofErr w:type="spellStart"/>
      <w:r w:rsidRPr="00910270">
        <w:rPr>
          <w:rFonts w:eastAsia="Times New Roman" w:cs="Arial"/>
          <w:color w:val="000000"/>
          <w:lang w:eastAsia="bg-BG"/>
        </w:rPr>
        <w:lastRenderedPageBreak/>
        <w:t>бортезомиб</w:t>
      </w:r>
      <w:proofErr w:type="spellEnd"/>
      <w:r w:rsidRPr="00910270">
        <w:rPr>
          <w:rFonts w:eastAsia="Times New Roman" w:cs="Arial"/>
          <w:color w:val="000000"/>
          <w:lang w:eastAsia="bg-BG"/>
        </w:rPr>
        <w:t xml:space="preserve"> започва най- малко 6 месеца след края на предходната терапия с последната поносима доза от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 xml:space="preserve">2 </w:t>
      </w:r>
      <w:r w:rsidRPr="00910270">
        <w:rPr>
          <w:rFonts w:eastAsia="Times New Roman" w:cs="Arial"/>
          <w:color w:val="000000"/>
          <w:lang w:eastAsia="bg-BG"/>
        </w:rPr>
        <w:t>(</w:t>
      </w:r>
      <w:r w:rsidRPr="00910270">
        <w:rPr>
          <w:rFonts w:eastAsia="Times New Roman" w:cs="Arial"/>
          <w:color w:val="000000"/>
          <w:lang w:val="en-US"/>
        </w:rPr>
        <w:t>n</w:t>
      </w:r>
      <w:r w:rsidRPr="00910270">
        <w:rPr>
          <w:rFonts w:eastAsia="Times New Roman" w:cs="Arial"/>
          <w:color w:val="000000"/>
          <w:lang w:eastAsia="bg-BG"/>
        </w:rPr>
        <w:t xml:space="preserve">=93) или &lt; 1,0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w:t>
      </w:r>
      <w:r w:rsidRPr="00910270">
        <w:rPr>
          <w:rFonts w:eastAsia="Times New Roman" w:cs="Arial"/>
          <w:color w:val="000000"/>
          <w:lang w:val="en-US"/>
        </w:rPr>
        <w:t>n</w:t>
      </w:r>
      <w:r w:rsidRPr="00910270">
        <w:rPr>
          <w:rFonts w:eastAsia="Times New Roman" w:cs="Arial"/>
          <w:color w:val="000000"/>
          <w:lang w:eastAsia="bg-BG"/>
        </w:rPr>
        <w:t xml:space="preserve">=37) и се прилага в дни 1, 4, 8 и </w:t>
      </w:r>
      <w:r w:rsidRPr="00FD4C98">
        <w:rPr>
          <w:rFonts w:eastAsia="Times New Roman" w:cs="Arial"/>
          <w:color w:val="000000"/>
          <w:lang w:val="ru-RU"/>
        </w:rPr>
        <w:t>1</w:t>
      </w:r>
      <w:r w:rsidRPr="00910270">
        <w:rPr>
          <w:rFonts w:eastAsia="Times New Roman" w:cs="Arial"/>
          <w:color w:val="000000"/>
          <w:lang w:eastAsia="bg-BG"/>
        </w:rPr>
        <w:t xml:space="preserve">1 на всеки 3 седмици в продължение на максимум от 8 цикъла като самостоятелно средство или в комбинация с </w:t>
      </w:r>
      <w:proofErr w:type="spellStart"/>
      <w:r w:rsidRPr="00910270">
        <w:rPr>
          <w:rFonts w:eastAsia="Times New Roman" w:cs="Arial"/>
          <w:color w:val="000000"/>
          <w:lang w:eastAsia="bg-BG"/>
        </w:rPr>
        <w:t>дексаметазон</w:t>
      </w:r>
      <w:proofErr w:type="spellEnd"/>
      <w:r w:rsidRPr="00910270">
        <w:rPr>
          <w:rFonts w:eastAsia="Times New Roman" w:cs="Arial"/>
          <w:color w:val="000000"/>
          <w:lang w:eastAsia="bg-BG"/>
        </w:rPr>
        <w:t xml:space="preserve"> в съответствие със стандарта на лечение. </w:t>
      </w:r>
      <w:proofErr w:type="spellStart"/>
      <w:r w:rsidRPr="00910270">
        <w:rPr>
          <w:rFonts w:eastAsia="Times New Roman" w:cs="Arial"/>
          <w:color w:val="000000"/>
          <w:lang w:eastAsia="bg-BG"/>
        </w:rPr>
        <w:t>Дексаметазон</w:t>
      </w:r>
      <w:proofErr w:type="spellEnd"/>
      <w:r w:rsidRPr="00910270">
        <w:rPr>
          <w:rFonts w:eastAsia="Times New Roman" w:cs="Arial"/>
          <w:color w:val="000000"/>
          <w:lang w:eastAsia="bg-BG"/>
        </w:rPr>
        <w:t xml:space="preserve"> е приложен в комбинация с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при 83 пациенти в цикъл 1, като за всички цикли на повторно лечение с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w:t>
      </w:r>
      <w:proofErr w:type="spellStart"/>
      <w:r w:rsidRPr="00910270">
        <w:rPr>
          <w:rFonts w:eastAsia="Times New Roman" w:cs="Arial"/>
          <w:color w:val="000000"/>
          <w:lang w:eastAsia="bg-BG"/>
        </w:rPr>
        <w:t>дексаметазон</w:t>
      </w:r>
      <w:proofErr w:type="spellEnd"/>
      <w:r w:rsidRPr="00910270">
        <w:rPr>
          <w:rFonts w:eastAsia="Times New Roman" w:cs="Arial"/>
          <w:color w:val="000000"/>
          <w:lang w:eastAsia="bg-BG"/>
        </w:rPr>
        <w:t xml:space="preserve"> са получили и още 11 пациенти.</w:t>
      </w:r>
    </w:p>
    <w:p w14:paraId="50FBE28A" w14:textId="77777777" w:rsidR="00910270" w:rsidRPr="00910270" w:rsidRDefault="00910270" w:rsidP="00910270">
      <w:pPr>
        <w:spacing w:line="240" w:lineRule="auto"/>
        <w:rPr>
          <w:rFonts w:eastAsia="Times New Roman" w:cs="Arial"/>
          <w:color w:val="000000"/>
          <w:lang w:eastAsia="bg-BG"/>
        </w:rPr>
      </w:pPr>
    </w:p>
    <w:p w14:paraId="7CF61C33" w14:textId="2698DA4F"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Първичната крайна точка е най-добрият потвърден отговор към повторно лечение, оценен съгласно критериите на Европейската група за костно-мозъчна транс плантация </w:t>
      </w:r>
      <w:r w:rsidRPr="00FD4C98">
        <w:rPr>
          <w:rFonts w:eastAsia="Times New Roman" w:cs="Arial"/>
          <w:color w:val="000000"/>
        </w:rPr>
        <w:t>(</w:t>
      </w:r>
      <w:r w:rsidRPr="00910270">
        <w:rPr>
          <w:rFonts w:eastAsia="Times New Roman" w:cs="Arial"/>
          <w:color w:val="000000"/>
          <w:lang w:val="en-US"/>
        </w:rPr>
        <w:t>European</w:t>
      </w:r>
      <w:r w:rsidRPr="00FD4C98">
        <w:rPr>
          <w:rFonts w:eastAsia="Times New Roman" w:cs="Arial"/>
          <w:color w:val="000000"/>
        </w:rPr>
        <w:t xml:space="preserve"> </w:t>
      </w:r>
      <w:r w:rsidRPr="00910270">
        <w:rPr>
          <w:rFonts w:eastAsia="Times New Roman" w:cs="Arial"/>
          <w:color w:val="000000"/>
          <w:lang w:val="en-US"/>
        </w:rPr>
        <w:t>Group</w:t>
      </w:r>
      <w:r w:rsidRPr="00FD4C98">
        <w:rPr>
          <w:rFonts w:eastAsia="Times New Roman" w:cs="Arial"/>
          <w:color w:val="000000"/>
        </w:rPr>
        <w:t xml:space="preserve"> </w:t>
      </w:r>
      <w:r w:rsidRPr="00910270">
        <w:rPr>
          <w:rFonts w:eastAsia="Times New Roman" w:cs="Arial"/>
          <w:color w:val="000000"/>
          <w:lang w:val="en-US"/>
        </w:rPr>
        <w:t>for</w:t>
      </w:r>
      <w:r w:rsidRPr="00FD4C98">
        <w:rPr>
          <w:rFonts w:eastAsia="Times New Roman" w:cs="Arial"/>
          <w:color w:val="000000"/>
        </w:rPr>
        <w:t xml:space="preserve"> </w:t>
      </w:r>
      <w:r w:rsidRPr="00910270">
        <w:rPr>
          <w:rFonts w:eastAsia="Times New Roman" w:cs="Arial"/>
          <w:color w:val="000000"/>
          <w:lang w:val="en-US"/>
        </w:rPr>
        <w:t>Blood</w:t>
      </w:r>
      <w:r w:rsidRPr="00FD4C98">
        <w:rPr>
          <w:rFonts w:eastAsia="Times New Roman" w:cs="Arial"/>
          <w:color w:val="000000"/>
        </w:rPr>
        <w:t xml:space="preserve"> </w:t>
      </w:r>
      <w:r w:rsidRPr="00910270">
        <w:rPr>
          <w:rFonts w:eastAsia="Times New Roman" w:cs="Arial"/>
          <w:color w:val="000000"/>
          <w:lang w:val="en-US"/>
        </w:rPr>
        <w:t>and</w:t>
      </w:r>
      <w:r w:rsidRPr="00FD4C98">
        <w:rPr>
          <w:rFonts w:eastAsia="Times New Roman" w:cs="Arial"/>
          <w:color w:val="000000"/>
        </w:rPr>
        <w:t xml:space="preserve"> </w:t>
      </w:r>
      <w:r w:rsidRPr="00910270">
        <w:rPr>
          <w:rFonts w:eastAsia="Times New Roman" w:cs="Arial"/>
          <w:color w:val="000000"/>
          <w:lang w:val="en-US"/>
        </w:rPr>
        <w:t>Marrow</w:t>
      </w:r>
      <w:r w:rsidRPr="00FD4C98">
        <w:rPr>
          <w:rFonts w:eastAsia="Times New Roman" w:cs="Arial"/>
          <w:color w:val="000000"/>
        </w:rPr>
        <w:t xml:space="preserve"> </w:t>
      </w:r>
      <w:r w:rsidRPr="00910270">
        <w:rPr>
          <w:rFonts w:eastAsia="Times New Roman" w:cs="Arial"/>
          <w:color w:val="000000"/>
          <w:lang w:val="en-US"/>
        </w:rPr>
        <w:t>Transplantation</w:t>
      </w:r>
      <w:r w:rsidRPr="00FD4C98">
        <w:rPr>
          <w:rFonts w:eastAsia="Times New Roman" w:cs="Arial"/>
          <w:color w:val="000000"/>
        </w:rPr>
        <w:t xml:space="preserve">, </w:t>
      </w:r>
      <w:r w:rsidRPr="00910270">
        <w:rPr>
          <w:rFonts w:eastAsia="Times New Roman" w:cs="Arial"/>
          <w:color w:val="000000"/>
          <w:lang w:val="en-US"/>
        </w:rPr>
        <w:t>EBMT</w:t>
      </w:r>
      <w:r w:rsidRPr="00FD4C98">
        <w:rPr>
          <w:rFonts w:eastAsia="Times New Roman" w:cs="Arial"/>
          <w:color w:val="000000"/>
        </w:rPr>
        <w:t xml:space="preserve">). </w:t>
      </w:r>
      <w:r w:rsidRPr="00910270">
        <w:rPr>
          <w:rFonts w:eastAsia="Times New Roman" w:cs="Arial"/>
          <w:color w:val="000000"/>
          <w:lang w:eastAsia="bg-BG"/>
        </w:rPr>
        <w:t xml:space="preserve">Общата най-добра честота на отговор </w:t>
      </w:r>
      <w:r w:rsidRPr="00FD4C98">
        <w:rPr>
          <w:rFonts w:eastAsia="Times New Roman" w:cs="Arial"/>
          <w:color w:val="000000"/>
          <w:lang w:val="ru-RU"/>
        </w:rPr>
        <w:t>(</w:t>
      </w:r>
      <w:r w:rsidRPr="00910270">
        <w:rPr>
          <w:rFonts w:eastAsia="Times New Roman" w:cs="Arial"/>
          <w:color w:val="000000"/>
          <w:lang w:val="en-US"/>
        </w:rPr>
        <w:t>CR</w:t>
      </w:r>
      <w:r w:rsidRPr="00FD4C98">
        <w:rPr>
          <w:rFonts w:eastAsia="Times New Roman" w:cs="Arial"/>
          <w:color w:val="000000"/>
          <w:lang w:val="ru-RU"/>
        </w:rPr>
        <w:t>+</w:t>
      </w:r>
      <w:r w:rsidRPr="00910270">
        <w:rPr>
          <w:rFonts w:eastAsia="Times New Roman" w:cs="Arial"/>
          <w:color w:val="000000"/>
          <w:lang w:val="en-US"/>
        </w:rPr>
        <w:t>PR</w:t>
      </w:r>
      <w:r w:rsidRPr="00FD4C98">
        <w:rPr>
          <w:rFonts w:eastAsia="Times New Roman" w:cs="Arial"/>
          <w:color w:val="000000"/>
          <w:lang w:val="ru-RU"/>
        </w:rPr>
        <w:t xml:space="preserve">) </w:t>
      </w:r>
      <w:r w:rsidRPr="00910270">
        <w:rPr>
          <w:rFonts w:eastAsia="Times New Roman" w:cs="Arial"/>
          <w:color w:val="000000"/>
          <w:lang w:eastAsia="bg-BG"/>
        </w:rPr>
        <w:t xml:space="preserve">към повторно лечение при 130 пациенти е 38,5% (95% </w:t>
      </w:r>
      <w:r w:rsidRPr="00910270">
        <w:rPr>
          <w:rFonts w:eastAsia="Times New Roman" w:cs="Arial"/>
          <w:color w:val="000000"/>
          <w:lang w:val="en-US"/>
        </w:rPr>
        <w:t>CI</w:t>
      </w:r>
      <w:r w:rsidRPr="00FD4C98">
        <w:rPr>
          <w:rFonts w:eastAsia="Times New Roman" w:cs="Arial"/>
          <w:color w:val="000000"/>
          <w:lang w:val="ru-RU"/>
        </w:rPr>
        <w:t xml:space="preserve">: </w:t>
      </w:r>
      <w:r w:rsidRPr="00910270">
        <w:rPr>
          <w:rFonts w:eastAsia="Times New Roman" w:cs="Arial"/>
          <w:color w:val="000000"/>
          <w:lang w:eastAsia="bg-BG"/>
        </w:rPr>
        <w:t>30,1, 47,4).</w:t>
      </w:r>
    </w:p>
    <w:p w14:paraId="6B4E0D8B" w14:textId="77777777" w:rsidR="00910270" w:rsidRPr="00910270" w:rsidRDefault="00910270" w:rsidP="00910270">
      <w:pPr>
        <w:spacing w:line="240" w:lineRule="auto"/>
        <w:rPr>
          <w:rFonts w:eastAsia="Times New Roman" w:cs="Arial"/>
          <w:color w:val="000000"/>
          <w:u w:val="single"/>
          <w:lang w:eastAsia="bg-BG"/>
        </w:rPr>
      </w:pPr>
    </w:p>
    <w:p w14:paraId="08A4CA84" w14:textId="6936830A" w:rsidR="00910270" w:rsidRPr="00910270" w:rsidRDefault="00910270" w:rsidP="00910270">
      <w:pPr>
        <w:spacing w:line="240" w:lineRule="auto"/>
        <w:rPr>
          <w:rFonts w:eastAsia="Times New Roman" w:cs="Arial"/>
          <w:lang w:eastAsia="bg-BG"/>
        </w:rPr>
      </w:pPr>
      <w:r w:rsidRPr="00910270">
        <w:rPr>
          <w:rFonts w:eastAsia="Times New Roman" w:cs="Arial"/>
          <w:color w:val="000000"/>
          <w:u w:val="single"/>
          <w:lang w:eastAsia="bg-BG"/>
        </w:rPr>
        <w:t xml:space="preserve">Пациенти, лекувани преди това за </w:t>
      </w:r>
      <w:proofErr w:type="spellStart"/>
      <w:r w:rsidRPr="00910270">
        <w:rPr>
          <w:rFonts w:eastAsia="Times New Roman" w:cs="Arial"/>
          <w:color w:val="000000"/>
          <w:u w:val="single"/>
          <w:lang w:eastAsia="bg-BG"/>
        </w:rPr>
        <w:t>амилоидоидоза</w:t>
      </w:r>
      <w:proofErr w:type="spellEnd"/>
      <w:r w:rsidRPr="00910270">
        <w:rPr>
          <w:rFonts w:eastAsia="Times New Roman" w:cs="Arial"/>
          <w:color w:val="000000"/>
          <w:u w:val="single"/>
          <w:lang w:eastAsia="bg-BG"/>
        </w:rPr>
        <w:t xml:space="preserve"> на леките вериги</w:t>
      </w:r>
    </w:p>
    <w:p w14:paraId="34F9D257" w14:textId="77777777"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Проведено е отворено, </w:t>
      </w:r>
      <w:proofErr w:type="spellStart"/>
      <w:r w:rsidRPr="00910270">
        <w:rPr>
          <w:rFonts w:eastAsia="Times New Roman" w:cs="Arial"/>
          <w:color w:val="000000"/>
          <w:lang w:eastAsia="bg-BG"/>
        </w:rPr>
        <w:t>нерандомизирано</w:t>
      </w:r>
      <w:proofErr w:type="spellEnd"/>
      <w:r w:rsidRPr="00910270">
        <w:rPr>
          <w:rFonts w:eastAsia="Times New Roman" w:cs="Arial"/>
          <w:color w:val="000000"/>
          <w:lang w:eastAsia="bg-BG"/>
        </w:rPr>
        <w:t xml:space="preserve"> Фаза </w:t>
      </w:r>
      <w:r w:rsidRPr="00910270">
        <w:rPr>
          <w:rFonts w:eastAsia="Times New Roman" w:cs="Arial"/>
          <w:color w:val="000000"/>
          <w:lang w:val="en-US"/>
        </w:rPr>
        <w:t>I</w:t>
      </w:r>
      <w:r w:rsidRPr="00FD4C98">
        <w:rPr>
          <w:rFonts w:eastAsia="Times New Roman" w:cs="Arial"/>
          <w:color w:val="000000"/>
          <w:lang w:val="ru-RU"/>
        </w:rPr>
        <w:t>/</w:t>
      </w:r>
      <w:r w:rsidRPr="00910270">
        <w:rPr>
          <w:rFonts w:eastAsia="Times New Roman" w:cs="Arial"/>
          <w:color w:val="000000"/>
          <w:lang w:val="en-US"/>
        </w:rPr>
        <w:t>I</w:t>
      </w:r>
      <w:r w:rsidRPr="00FD4C98">
        <w:rPr>
          <w:rFonts w:eastAsia="Times New Roman" w:cs="Arial"/>
          <w:color w:val="000000"/>
          <w:lang w:val="ru-RU"/>
        </w:rPr>
        <w:t xml:space="preserve">1 </w:t>
      </w:r>
      <w:r w:rsidRPr="00910270">
        <w:rPr>
          <w:rFonts w:eastAsia="Times New Roman" w:cs="Arial"/>
          <w:color w:val="000000"/>
          <w:lang w:eastAsia="bg-BG"/>
        </w:rPr>
        <w:t xml:space="preserve">проучване за определяне на безопасността и ефикасността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при пациенти, лекувани преди това за </w:t>
      </w:r>
      <w:proofErr w:type="spellStart"/>
      <w:r w:rsidRPr="00910270">
        <w:rPr>
          <w:rFonts w:eastAsia="Times New Roman" w:cs="Arial"/>
          <w:color w:val="000000"/>
          <w:lang w:eastAsia="bg-BG"/>
        </w:rPr>
        <w:t>амилоидоза</w:t>
      </w:r>
      <w:proofErr w:type="spellEnd"/>
      <w:r w:rsidRPr="00910270">
        <w:rPr>
          <w:rFonts w:eastAsia="Times New Roman" w:cs="Arial"/>
          <w:color w:val="000000"/>
          <w:lang w:eastAsia="bg-BG"/>
        </w:rPr>
        <w:t xml:space="preserve"> на леките вериги. По време на проучването не са наблюдавани нови съображения по отношение на безопасността, по-специално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не обостря уврежданията на таргетните органи (сърце, бъбреци и черен дроб). При изследователски анализ на ефикасността се съобщава 67,3% отговор (включително 28,6% пълен отговор) измерен по хематологичен отговор (М-протеин) при 49 оценени пациенти, лекувани с максимално допустимите дози от 1,6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седмично и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два пъти седмично. За кохортите на тези дози, комбинираната едногодишна преживяемост е 88,1%.</w:t>
      </w:r>
    </w:p>
    <w:p w14:paraId="482FB4C3" w14:textId="77777777" w:rsidR="00910270" w:rsidRPr="00910270" w:rsidRDefault="00910270" w:rsidP="00910270">
      <w:pPr>
        <w:spacing w:line="240" w:lineRule="auto"/>
        <w:rPr>
          <w:rFonts w:eastAsia="Times New Roman" w:cs="Arial"/>
          <w:color w:val="000000"/>
          <w:u w:val="single"/>
          <w:lang w:eastAsia="bg-BG"/>
        </w:rPr>
      </w:pPr>
    </w:p>
    <w:p w14:paraId="6F0729C5" w14:textId="559820D0" w:rsidR="00910270" w:rsidRPr="00910270" w:rsidRDefault="00910270" w:rsidP="00910270">
      <w:pPr>
        <w:spacing w:line="240" w:lineRule="auto"/>
        <w:rPr>
          <w:rFonts w:eastAsia="Times New Roman" w:cs="Arial"/>
          <w:lang w:eastAsia="bg-BG"/>
        </w:rPr>
      </w:pPr>
      <w:r w:rsidRPr="00910270">
        <w:rPr>
          <w:rFonts w:eastAsia="Times New Roman" w:cs="Arial"/>
          <w:color w:val="000000"/>
          <w:u w:val="single"/>
          <w:lang w:eastAsia="bg-BG"/>
        </w:rPr>
        <w:t>Педиатрична популация</w:t>
      </w:r>
    </w:p>
    <w:p w14:paraId="4EF81DAF" w14:textId="00DA666D" w:rsidR="00AC443D"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Европейската агенция по лекарствата освобождава от задължението за предоставяне на резултати от проучвания с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във всички подгрупи на педиатричната популация с мултиплен миелом (вж. точка 4.2 за информация относно употреба в педиатрията).</w:t>
      </w:r>
    </w:p>
    <w:p w14:paraId="59143743" w14:textId="77777777" w:rsidR="00AC443D" w:rsidRPr="0091385D" w:rsidRDefault="00AC443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2907F60E" w14:textId="77777777" w:rsidR="00910270" w:rsidRPr="00910270" w:rsidRDefault="00910270" w:rsidP="00910270">
      <w:pPr>
        <w:pStyle w:val="Heading3"/>
        <w:rPr>
          <w:rFonts w:eastAsia="Times New Roman"/>
          <w:u w:val="single"/>
          <w:lang w:eastAsia="bg-BG"/>
        </w:rPr>
      </w:pPr>
      <w:r w:rsidRPr="00910270">
        <w:rPr>
          <w:rFonts w:eastAsia="Times New Roman"/>
          <w:u w:val="single"/>
          <w:lang w:eastAsia="bg-BG"/>
        </w:rPr>
        <w:t>Абсорбция</w:t>
      </w:r>
    </w:p>
    <w:p w14:paraId="45551830" w14:textId="4D32E27C" w:rsidR="007A2185" w:rsidRPr="00910270" w:rsidRDefault="00910270" w:rsidP="00910270">
      <w:pPr>
        <w:rPr>
          <w:rFonts w:eastAsia="Times New Roman" w:cs="Arial"/>
          <w:color w:val="000000"/>
        </w:rPr>
      </w:pPr>
      <w:r w:rsidRPr="00910270">
        <w:rPr>
          <w:rFonts w:eastAsia="Times New Roman" w:cs="Arial"/>
          <w:color w:val="000000"/>
          <w:lang w:eastAsia="bg-BG"/>
        </w:rPr>
        <w:t xml:space="preserve">След интравенозно </w:t>
      </w:r>
      <w:proofErr w:type="spellStart"/>
      <w:r w:rsidRPr="00910270">
        <w:rPr>
          <w:rFonts w:eastAsia="Times New Roman" w:cs="Arial"/>
          <w:color w:val="000000"/>
          <w:lang w:eastAsia="bg-BG"/>
        </w:rPr>
        <w:t>болус</w:t>
      </w:r>
      <w:proofErr w:type="spellEnd"/>
      <w:r w:rsidRPr="00910270">
        <w:rPr>
          <w:rFonts w:eastAsia="Times New Roman" w:cs="Arial"/>
          <w:color w:val="000000"/>
          <w:lang w:eastAsia="bg-BG"/>
        </w:rPr>
        <w:t xml:space="preserve"> приложение на дози от 1,0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и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на 11 пациенти с мултиплен миелом и стойности на </w:t>
      </w:r>
      <w:proofErr w:type="spellStart"/>
      <w:r w:rsidRPr="00910270">
        <w:rPr>
          <w:rFonts w:eastAsia="Times New Roman" w:cs="Arial"/>
          <w:color w:val="000000"/>
          <w:lang w:eastAsia="bg-BG"/>
        </w:rPr>
        <w:t>креатипиновия</w:t>
      </w:r>
      <w:proofErr w:type="spellEnd"/>
      <w:r w:rsidRPr="00910270">
        <w:rPr>
          <w:rFonts w:eastAsia="Times New Roman" w:cs="Arial"/>
          <w:color w:val="000000"/>
          <w:lang w:eastAsia="bg-BG"/>
        </w:rPr>
        <w:t xml:space="preserve"> клирънс по-високи от 50 </w:t>
      </w:r>
      <w:r w:rsidRPr="00910270">
        <w:rPr>
          <w:rFonts w:eastAsia="Times New Roman" w:cs="Arial"/>
          <w:color w:val="000000"/>
          <w:lang w:val="en-US"/>
        </w:rPr>
        <w:t>ml</w:t>
      </w:r>
      <w:r w:rsidRPr="00FD4C98">
        <w:rPr>
          <w:rFonts w:eastAsia="Times New Roman" w:cs="Arial"/>
          <w:color w:val="000000"/>
          <w:lang w:val="ru-RU"/>
        </w:rPr>
        <w:t>/</w:t>
      </w:r>
      <w:r w:rsidRPr="00910270">
        <w:rPr>
          <w:rFonts w:eastAsia="Times New Roman" w:cs="Arial"/>
          <w:color w:val="000000"/>
          <w:lang w:val="en-US"/>
        </w:rPr>
        <w:t>min</w:t>
      </w:r>
      <w:r w:rsidRPr="00FD4C98">
        <w:rPr>
          <w:rFonts w:eastAsia="Times New Roman" w:cs="Arial"/>
          <w:color w:val="000000"/>
          <w:lang w:val="ru-RU"/>
        </w:rPr>
        <w:t xml:space="preserve">, </w:t>
      </w:r>
      <w:r w:rsidRPr="00910270">
        <w:rPr>
          <w:rFonts w:eastAsia="Times New Roman" w:cs="Arial"/>
          <w:color w:val="000000"/>
          <w:lang w:eastAsia="bg-BG"/>
        </w:rPr>
        <w:t xml:space="preserve">средните максимални плазмени концентрации след първата доза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са били съответно 57 и 112 </w:t>
      </w:r>
      <w:r w:rsidRPr="00910270">
        <w:rPr>
          <w:rFonts w:eastAsia="Times New Roman" w:cs="Arial"/>
          <w:color w:val="000000"/>
          <w:lang w:val="en-US"/>
        </w:rPr>
        <w:t>ng</w:t>
      </w:r>
      <w:r w:rsidRPr="00FD4C98">
        <w:rPr>
          <w:rFonts w:eastAsia="Times New Roman" w:cs="Arial"/>
          <w:color w:val="000000"/>
          <w:lang w:val="ru-RU"/>
        </w:rPr>
        <w:t>/</w:t>
      </w:r>
      <w:r w:rsidRPr="00910270">
        <w:rPr>
          <w:rFonts w:eastAsia="Times New Roman" w:cs="Arial"/>
          <w:color w:val="000000"/>
          <w:lang w:val="en-US"/>
        </w:rPr>
        <w:t>ml</w:t>
      </w:r>
      <w:r w:rsidRPr="00FD4C98">
        <w:rPr>
          <w:rFonts w:eastAsia="Times New Roman" w:cs="Arial"/>
          <w:color w:val="000000"/>
          <w:lang w:val="ru-RU"/>
        </w:rPr>
        <w:t xml:space="preserve">. </w:t>
      </w:r>
      <w:r w:rsidRPr="00910270">
        <w:rPr>
          <w:rFonts w:eastAsia="Times New Roman" w:cs="Arial"/>
          <w:color w:val="000000"/>
          <w:lang w:eastAsia="bg-BG"/>
        </w:rPr>
        <w:t xml:space="preserve">При последващи дози, наблюдаваната средни максимални плазмени концентрации варират от 67 до 106 </w:t>
      </w:r>
      <w:r w:rsidRPr="00910270">
        <w:rPr>
          <w:rFonts w:eastAsia="Times New Roman" w:cs="Arial"/>
          <w:color w:val="000000"/>
          <w:lang w:val="en-US"/>
        </w:rPr>
        <w:t>ng</w:t>
      </w:r>
      <w:r w:rsidRPr="00FD4C98">
        <w:rPr>
          <w:rFonts w:eastAsia="Times New Roman" w:cs="Arial"/>
          <w:color w:val="000000"/>
          <w:lang w:val="ru-RU"/>
        </w:rPr>
        <w:t>/</w:t>
      </w:r>
      <w:r w:rsidRPr="00910270">
        <w:rPr>
          <w:rFonts w:eastAsia="Times New Roman" w:cs="Arial"/>
          <w:color w:val="000000"/>
          <w:lang w:val="en-US"/>
        </w:rPr>
        <w:t>ml</w:t>
      </w:r>
      <w:r w:rsidRPr="00FD4C98">
        <w:rPr>
          <w:rFonts w:eastAsia="Times New Roman" w:cs="Arial"/>
          <w:color w:val="000000"/>
          <w:lang w:val="ru-RU"/>
        </w:rPr>
        <w:t xml:space="preserve"> </w:t>
      </w:r>
      <w:r w:rsidRPr="00910270">
        <w:rPr>
          <w:rFonts w:eastAsia="Times New Roman" w:cs="Arial"/>
          <w:color w:val="000000"/>
          <w:lang w:eastAsia="bg-BG"/>
        </w:rPr>
        <w:t xml:space="preserve">за доза от 1,0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и от 89 до 120 </w:t>
      </w:r>
      <w:r w:rsidRPr="00910270">
        <w:rPr>
          <w:rFonts w:eastAsia="Times New Roman" w:cs="Arial"/>
          <w:color w:val="000000"/>
          <w:lang w:val="en-US"/>
        </w:rPr>
        <w:t>ng</w:t>
      </w:r>
      <w:r w:rsidRPr="00FD4C98">
        <w:rPr>
          <w:rFonts w:eastAsia="Times New Roman" w:cs="Arial"/>
          <w:color w:val="000000"/>
          <w:lang w:val="ru-RU"/>
        </w:rPr>
        <w:t>/</w:t>
      </w:r>
      <w:r w:rsidRPr="00910270">
        <w:rPr>
          <w:rFonts w:eastAsia="Times New Roman" w:cs="Arial"/>
          <w:color w:val="000000"/>
          <w:lang w:val="en-US"/>
        </w:rPr>
        <w:t>ml</w:t>
      </w:r>
      <w:r w:rsidRPr="00FD4C98">
        <w:rPr>
          <w:rFonts w:eastAsia="Times New Roman" w:cs="Arial"/>
          <w:color w:val="000000"/>
          <w:lang w:val="ru-RU"/>
        </w:rPr>
        <w:t xml:space="preserve"> </w:t>
      </w:r>
      <w:r w:rsidRPr="00910270">
        <w:rPr>
          <w:rFonts w:eastAsia="Times New Roman" w:cs="Arial"/>
          <w:color w:val="000000"/>
          <w:lang w:eastAsia="bg-BG"/>
        </w:rPr>
        <w:t xml:space="preserve">за доза от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910270">
        <w:rPr>
          <w:rFonts w:eastAsia="Times New Roman" w:cs="Arial"/>
          <w:color w:val="000000"/>
          <w:vertAlign w:val="superscript"/>
        </w:rPr>
        <w:t xml:space="preserve"> </w:t>
      </w:r>
      <w:r w:rsidRPr="00910270">
        <w:rPr>
          <w:rFonts w:eastAsia="Times New Roman" w:cs="Arial"/>
          <w:color w:val="000000"/>
        </w:rPr>
        <w:t>.</w:t>
      </w:r>
    </w:p>
    <w:p w14:paraId="34278717" w14:textId="6B76413D" w:rsidR="00910270" w:rsidRPr="00910270" w:rsidRDefault="00910270" w:rsidP="00910270">
      <w:pPr>
        <w:rPr>
          <w:rFonts w:eastAsia="Times New Roman" w:cs="Arial"/>
          <w:color w:val="000000"/>
        </w:rPr>
      </w:pPr>
    </w:p>
    <w:p w14:paraId="4CA15C58" w14:textId="4F6070A2" w:rsidR="00910270" w:rsidRDefault="00910270" w:rsidP="00910270">
      <w:pPr>
        <w:spacing w:line="240" w:lineRule="auto"/>
        <w:rPr>
          <w:rFonts w:eastAsia="Times New Roman" w:cs="Arial"/>
          <w:color w:val="000000"/>
          <w:lang w:eastAsia="bg-BG"/>
        </w:rPr>
      </w:pPr>
      <w:r w:rsidRPr="00910270">
        <w:rPr>
          <w:rFonts w:eastAsia="Times New Roman" w:cs="Arial"/>
          <w:color w:val="000000"/>
          <w:lang w:eastAsia="bg-BG"/>
        </w:rPr>
        <w:t xml:space="preserve">При приложение на интравенозна </w:t>
      </w:r>
      <w:proofErr w:type="spellStart"/>
      <w:r w:rsidRPr="00910270">
        <w:rPr>
          <w:rFonts w:eastAsia="Times New Roman" w:cs="Arial"/>
          <w:color w:val="000000"/>
          <w:lang w:eastAsia="bg-BG"/>
        </w:rPr>
        <w:t>болус</w:t>
      </w:r>
      <w:proofErr w:type="spellEnd"/>
      <w:r w:rsidRPr="00910270">
        <w:rPr>
          <w:rFonts w:eastAsia="Times New Roman" w:cs="Arial"/>
          <w:color w:val="000000"/>
          <w:lang w:eastAsia="bg-BG"/>
        </w:rPr>
        <w:t xml:space="preserve"> или подкожна инжекция от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при пациенти с мултиплен миелом (</w:t>
      </w:r>
      <w:r w:rsidRPr="00910270">
        <w:rPr>
          <w:rFonts w:eastAsia="Times New Roman" w:cs="Arial"/>
          <w:color w:val="000000"/>
          <w:lang w:val="en-US"/>
        </w:rPr>
        <w:t>n</w:t>
      </w:r>
      <w:r w:rsidRPr="00FD4C98">
        <w:rPr>
          <w:rFonts w:eastAsia="Times New Roman" w:cs="Arial"/>
          <w:color w:val="000000"/>
          <w:lang w:val="ru-RU"/>
        </w:rPr>
        <w:t xml:space="preserve"> =</w:t>
      </w:r>
      <w:r w:rsidRPr="00910270">
        <w:rPr>
          <w:rFonts w:eastAsia="Times New Roman" w:cs="Arial"/>
          <w:color w:val="000000"/>
          <w:lang w:eastAsia="bg-BG"/>
        </w:rPr>
        <w:t xml:space="preserve"> 14 в групата на интравенозно приложение, </w:t>
      </w:r>
      <w:r w:rsidRPr="00910270">
        <w:rPr>
          <w:rFonts w:eastAsia="Times New Roman" w:cs="Arial"/>
          <w:color w:val="000000"/>
          <w:lang w:val="en-US"/>
        </w:rPr>
        <w:t>n</w:t>
      </w:r>
      <w:r w:rsidRPr="00910270">
        <w:rPr>
          <w:rFonts w:eastAsia="Times New Roman" w:cs="Arial"/>
          <w:color w:val="000000"/>
          <w:lang w:eastAsia="bg-BG"/>
        </w:rPr>
        <w:t xml:space="preserve"> = 17 в групата на подкожно приложение), общата системна експозиция след многократно дозиране </w:t>
      </w:r>
      <w:r w:rsidRPr="00FD4C98">
        <w:rPr>
          <w:rFonts w:eastAsia="Times New Roman" w:cs="Arial"/>
          <w:color w:val="000000"/>
          <w:lang w:val="ru-RU"/>
        </w:rPr>
        <w:t>(</w:t>
      </w:r>
      <w:r w:rsidRPr="00910270">
        <w:rPr>
          <w:rFonts w:eastAsia="Times New Roman" w:cs="Arial"/>
          <w:color w:val="000000"/>
          <w:lang w:val="en-US"/>
        </w:rPr>
        <w:t>AUC</w:t>
      </w:r>
      <w:r w:rsidRPr="00FD4C98">
        <w:rPr>
          <w:rFonts w:eastAsia="Times New Roman" w:cs="Arial"/>
          <w:color w:val="000000"/>
          <w:lang w:val="ru-RU"/>
        </w:rPr>
        <w:t>|</w:t>
      </w:r>
      <w:r w:rsidRPr="00910270">
        <w:rPr>
          <w:rFonts w:eastAsia="Times New Roman" w:cs="Arial"/>
          <w:color w:val="000000"/>
          <w:vertAlign w:val="subscript"/>
          <w:lang w:val="en-US"/>
        </w:rPr>
        <w:t>last</w:t>
      </w:r>
      <w:r w:rsidRPr="00FD4C98">
        <w:rPr>
          <w:rFonts w:eastAsia="Times New Roman" w:cs="Arial"/>
          <w:color w:val="000000"/>
          <w:lang w:val="ru-RU"/>
        </w:rPr>
        <w:t xml:space="preserve">) </w:t>
      </w:r>
      <w:r w:rsidRPr="00910270">
        <w:rPr>
          <w:rFonts w:eastAsia="Times New Roman" w:cs="Arial"/>
          <w:color w:val="000000"/>
          <w:lang w:eastAsia="bg-BG"/>
        </w:rPr>
        <w:t>е еднаква при подкожното и интравенозното приложение. След подкожно приложение С</w:t>
      </w:r>
      <w:r w:rsidRPr="00910270">
        <w:rPr>
          <w:rFonts w:eastAsia="Times New Roman" w:cs="Arial"/>
          <w:color w:val="000000"/>
          <w:vertAlign w:val="subscript"/>
          <w:lang w:val="en-US"/>
        </w:rPr>
        <w:t>max</w:t>
      </w:r>
      <w:r w:rsidRPr="00910270">
        <w:rPr>
          <w:rFonts w:eastAsia="Times New Roman" w:cs="Arial"/>
          <w:color w:val="000000"/>
          <w:lang w:eastAsia="bg-BG"/>
        </w:rPr>
        <w:t xml:space="preserve"> (20,4 </w:t>
      </w:r>
      <w:r w:rsidRPr="00910270">
        <w:rPr>
          <w:rFonts w:eastAsia="Times New Roman" w:cs="Arial"/>
          <w:color w:val="000000"/>
          <w:lang w:val="en-US"/>
        </w:rPr>
        <w:t>ng</w:t>
      </w:r>
      <w:r w:rsidRPr="00FD4C98">
        <w:rPr>
          <w:rFonts w:eastAsia="Times New Roman" w:cs="Arial"/>
          <w:color w:val="000000"/>
          <w:lang w:val="ru-RU"/>
        </w:rPr>
        <w:t>/</w:t>
      </w:r>
      <w:r w:rsidRPr="00910270">
        <w:rPr>
          <w:rFonts w:eastAsia="Times New Roman" w:cs="Arial"/>
          <w:color w:val="000000"/>
          <w:lang w:val="en-US"/>
        </w:rPr>
        <w:t>ml</w:t>
      </w:r>
      <w:r w:rsidRPr="00FD4C98">
        <w:rPr>
          <w:rFonts w:eastAsia="Times New Roman" w:cs="Arial"/>
          <w:color w:val="000000"/>
          <w:lang w:val="ru-RU"/>
        </w:rPr>
        <w:t xml:space="preserve">) </w:t>
      </w:r>
      <w:r w:rsidRPr="00910270">
        <w:rPr>
          <w:rFonts w:eastAsia="Times New Roman" w:cs="Arial"/>
          <w:color w:val="000000"/>
          <w:lang w:eastAsia="bg-BG"/>
        </w:rPr>
        <w:t xml:space="preserve">е по-ниска от тази при интравенозно приложение (223 </w:t>
      </w:r>
      <w:r w:rsidRPr="00910270">
        <w:rPr>
          <w:rFonts w:eastAsia="Times New Roman" w:cs="Arial"/>
          <w:color w:val="000000"/>
          <w:lang w:val="en-US"/>
        </w:rPr>
        <w:t>ng</w:t>
      </w:r>
      <w:r w:rsidRPr="00FD4C98">
        <w:rPr>
          <w:rFonts w:eastAsia="Times New Roman" w:cs="Arial"/>
          <w:color w:val="000000"/>
          <w:lang w:val="ru-RU"/>
        </w:rPr>
        <w:t>/</w:t>
      </w:r>
      <w:r w:rsidRPr="00910270">
        <w:rPr>
          <w:rFonts w:eastAsia="Times New Roman" w:cs="Arial"/>
          <w:color w:val="000000"/>
          <w:lang w:val="en-US"/>
        </w:rPr>
        <w:t>ml</w:t>
      </w:r>
      <w:r w:rsidRPr="00FD4C98">
        <w:rPr>
          <w:rFonts w:eastAsia="Times New Roman" w:cs="Arial"/>
          <w:color w:val="000000"/>
          <w:lang w:val="ru-RU"/>
        </w:rPr>
        <w:t xml:space="preserve">). </w:t>
      </w:r>
      <w:r w:rsidRPr="00910270">
        <w:rPr>
          <w:rFonts w:eastAsia="Times New Roman" w:cs="Arial"/>
          <w:color w:val="000000"/>
          <w:lang w:eastAsia="bg-BG"/>
        </w:rPr>
        <w:t xml:space="preserve">Геометричната средна стойност на </w:t>
      </w:r>
      <w:proofErr w:type="spellStart"/>
      <w:r w:rsidRPr="00910270">
        <w:rPr>
          <w:rFonts w:eastAsia="Times New Roman" w:cs="Arial"/>
          <w:color w:val="000000"/>
          <w:lang w:val="en-US"/>
        </w:rPr>
        <w:t>AUC</w:t>
      </w:r>
      <w:r w:rsidRPr="00910270">
        <w:rPr>
          <w:rFonts w:eastAsia="Times New Roman" w:cs="Arial"/>
          <w:color w:val="000000"/>
          <w:vertAlign w:val="subscript"/>
          <w:lang w:val="en-US"/>
        </w:rPr>
        <w:t>last</w:t>
      </w:r>
      <w:proofErr w:type="spellEnd"/>
      <w:r w:rsidRPr="00FD4C98">
        <w:rPr>
          <w:rFonts w:eastAsia="Times New Roman" w:cs="Arial"/>
          <w:color w:val="000000"/>
          <w:lang w:val="ru-RU"/>
        </w:rPr>
        <w:t xml:space="preserve"> </w:t>
      </w:r>
      <w:r w:rsidRPr="00910270">
        <w:rPr>
          <w:rFonts w:eastAsia="Times New Roman" w:cs="Arial"/>
          <w:color w:val="000000"/>
          <w:lang w:eastAsia="bg-BG"/>
        </w:rPr>
        <w:t>е 0,99, а 90% доверителни интервали са в границите 80,18% -122,80%.</w:t>
      </w:r>
    </w:p>
    <w:p w14:paraId="41CDC753" w14:textId="77777777" w:rsidR="00910270" w:rsidRPr="00910270" w:rsidRDefault="00910270" w:rsidP="00910270">
      <w:pPr>
        <w:spacing w:line="240" w:lineRule="auto"/>
        <w:rPr>
          <w:rFonts w:eastAsia="Times New Roman" w:cs="Arial"/>
          <w:lang w:eastAsia="bg-BG"/>
        </w:rPr>
      </w:pPr>
    </w:p>
    <w:p w14:paraId="65607E0C" w14:textId="77777777" w:rsidR="00910270" w:rsidRPr="00910270" w:rsidRDefault="00910270" w:rsidP="00910270">
      <w:pPr>
        <w:pStyle w:val="Heading3"/>
        <w:rPr>
          <w:rFonts w:eastAsia="Times New Roman"/>
          <w:u w:val="single"/>
          <w:lang w:eastAsia="bg-BG"/>
        </w:rPr>
      </w:pPr>
      <w:r w:rsidRPr="00910270">
        <w:rPr>
          <w:rFonts w:eastAsia="Times New Roman"/>
          <w:u w:val="single"/>
          <w:lang w:eastAsia="bg-BG"/>
        </w:rPr>
        <w:lastRenderedPageBreak/>
        <w:t>Разпределение</w:t>
      </w:r>
    </w:p>
    <w:p w14:paraId="41D089A5" w14:textId="77777777"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Средният обем на разпределение </w:t>
      </w:r>
      <w:r w:rsidRPr="00FD4C98">
        <w:rPr>
          <w:rFonts w:eastAsia="Times New Roman" w:cs="Arial"/>
          <w:color w:val="000000"/>
          <w:lang w:val="ru-RU"/>
        </w:rPr>
        <w:t>(</w:t>
      </w:r>
      <w:proofErr w:type="spellStart"/>
      <w:r w:rsidRPr="00910270">
        <w:rPr>
          <w:rFonts w:eastAsia="Times New Roman" w:cs="Arial"/>
          <w:color w:val="000000"/>
          <w:lang w:val="en-US"/>
        </w:rPr>
        <w:t>Vd</w:t>
      </w:r>
      <w:proofErr w:type="spellEnd"/>
      <w:r w:rsidRPr="00FD4C98">
        <w:rPr>
          <w:rFonts w:eastAsia="Times New Roman" w:cs="Arial"/>
          <w:color w:val="000000"/>
          <w:lang w:val="ru-RU"/>
        </w:rPr>
        <w:t xml:space="preserve">) </w:t>
      </w:r>
      <w:r w:rsidRPr="00910270">
        <w:rPr>
          <w:rFonts w:eastAsia="Times New Roman" w:cs="Arial"/>
          <w:color w:val="000000"/>
          <w:lang w:eastAsia="bg-BG"/>
        </w:rPr>
        <w:t xml:space="preserve">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варира от 1 659 1 до 3 294 1 след еднократно или многократно интравенозно приложение на доза 1,0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или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при пациенти с мултиплен миелом. Това означава, че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се разпределя широко към периферните тъкани. При концентрации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над диапазона 0,01 до 1,0 μ</w:t>
      </w:r>
      <w:r w:rsidRPr="00910270">
        <w:rPr>
          <w:rFonts w:eastAsia="Times New Roman" w:cs="Arial"/>
          <w:color w:val="000000"/>
          <w:lang w:val="en-US"/>
        </w:rPr>
        <w:t>g</w:t>
      </w:r>
      <w:r w:rsidRPr="00FD4C98">
        <w:rPr>
          <w:rFonts w:eastAsia="Times New Roman" w:cs="Arial"/>
          <w:color w:val="000000"/>
          <w:lang w:val="ru-RU"/>
        </w:rPr>
        <w:t xml:space="preserve"> /</w:t>
      </w:r>
      <w:r w:rsidRPr="00910270">
        <w:rPr>
          <w:rFonts w:eastAsia="Times New Roman" w:cs="Arial"/>
          <w:color w:val="000000"/>
          <w:lang w:val="en-US"/>
        </w:rPr>
        <w:t>ml</w:t>
      </w:r>
      <w:r w:rsidRPr="00FD4C98">
        <w:rPr>
          <w:rFonts w:eastAsia="Times New Roman" w:cs="Arial"/>
          <w:color w:val="000000"/>
          <w:lang w:val="ru-RU"/>
        </w:rPr>
        <w:t xml:space="preserve"> </w:t>
      </w:r>
      <w:r w:rsidRPr="00910270">
        <w:rPr>
          <w:rFonts w:eastAsia="Times New Roman" w:cs="Arial"/>
          <w:color w:val="000000"/>
          <w:lang w:eastAsia="bg-BG"/>
        </w:rPr>
        <w:t xml:space="preserve">свързването </w:t>
      </w:r>
      <w:r w:rsidRPr="00910270">
        <w:rPr>
          <w:rFonts w:eastAsia="Times New Roman" w:cs="Arial"/>
          <w:i/>
          <w:iCs/>
          <w:color w:val="000000"/>
          <w:lang w:val="en-US"/>
        </w:rPr>
        <w:t>in</w:t>
      </w:r>
      <w:r w:rsidRPr="00FD4C98">
        <w:rPr>
          <w:rFonts w:eastAsia="Times New Roman" w:cs="Arial"/>
          <w:i/>
          <w:iCs/>
          <w:color w:val="000000"/>
          <w:lang w:val="ru-RU"/>
        </w:rPr>
        <w:t xml:space="preserve"> </w:t>
      </w:r>
      <w:r w:rsidRPr="00910270">
        <w:rPr>
          <w:rFonts w:eastAsia="Times New Roman" w:cs="Arial"/>
          <w:i/>
          <w:iCs/>
          <w:color w:val="000000"/>
          <w:lang w:val="en-US"/>
        </w:rPr>
        <w:t>vitro</w:t>
      </w:r>
      <w:r w:rsidRPr="00FD4C98">
        <w:rPr>
          <w:rFonts w:eastAsia="Times New Roman" w:cs="Arial"/>
          <w:color w:val="000000"/>
          <w:lang w:val="ru-RU"/>
        </w:rPr>
        <w:t xml:space="preserve"> </w:t>
      </w:r>
      <w:r w:rsidRPr="00910270">
        <w:rPr>
          <w:rFonts w:eastAsia="Times New Roman" w:cs="Arial"/>
          <w:color w:val="000000"/>
          <w:lang w:eastAsia="bg-BG"/>
        </w:rPr>
        <w:t xml:space="preserve">с плазмените протеини е средно 82,9% за човешка плазма. Фракцията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свързана с плазмените протеини не е зависима от концентрацията.</w:t>
      </w:r>
    </w:p>
    <w:p w14:paraId="62EED5A2" w14:textId="77777777" w:rsidR="00910270" w:rsidRPr="00910270" w:rsidRDefault="00910270" w:rsidP="00910270">
      <w:pPr>
        <w:spacing w:line="240" w:lineRule="auto"/>
        <w:rPr>
          <w:rFonts w:eastAsia="Times New Roman" w:cs="Arial"/>
          <w:color w:val="000000"/>
          <w:u w:val="single"/>
          <w:lang w:eastAsia="bg-BG"/>
        </w:rPr>
      </w:pPr>
    </w:p>
    <w:p w14:paraId="783D5F5F" w14:textId="0ACFDA1A" w:rsidR="00910270" w:rsidRPr="00910270" w:rsidRDefault="00910270" w:rsidP="00910270">
      <w:pPr>
        <w:pStyle w:val="Heading3"/>
        <w:rPr>
          <w:rFonts w:eastAsia="Times New Roman"/>
          <w:u w:val="single"/>
          <w:lang w:eastAsia="bg-BG"/>
        </w:rPr>
      </w:pPr>
      <w:r w:rsidRPr="00910270">
        <w:rPr>
          <w:rFonts w:eastAsia="Times New Roman"/>
          <w:u w:val="single"/>
          <w:lang w:eastAsia="bg-BG"/>
        </w:rPr>
        <w:t>Биотрансформация</w:t>
      </w:r>
    </w:p>
    <w:p w14:paraId="6580B6F2" w14:textId="5CB5AC6D" w:rsidR="00910270" w:rsidRPr="00910270" w:rsidRDefault="00910270" w:rsidP="00910270">
      <w:pPr>
        <w:spacing w:line="240" w:lineRule="auto"/>
        <w:rPr>
          <w:rFonts w:eastAsia="Times New Roman" w:cs="Arial"/>
          <w:color w:val="000000"/>
          <w:lang w:eastAsia="bg-BG"/>
        </w:rPr>
      </w:pPr>
      <w:r w:rsidRPr="00910270">
        <w:rPr>
          <w:rFonts w:eastAsia="Times New Roman" w:cs="Arial"/>
          <w:color w:val="000000"/>
          <w:lang w:eastAsia="bg-BG"/>
        </w:rPr>
        <w:t xml:space="preserve">Проучвания </w:t>
      </w:r>
      <w:r w:rsidRPr="00910270">
        <w:rPr>
          <w:rFonts w:eastAsia="Times New Roman" w:cs="Arial"/>
          <w:i/>
          <w:iCs/>
          <w:color w:val="000000"/>
          <w:lang w:val="en-US"/>
        </w:rPr>
        <w:t>in</w:t>
      </w:r>
      <w:r w:rsidRPr="00FD4C98">
        <w:rPr>
          <w:rFonts w:eastAsia="Times New Roman" w:cs="Arial"/>
          <w:i/>
          <w:iCs/>
          <w:color w:val="000000"/>
          <w:lang w:val="ru-RU"/>
        </w:rPr>
        <w:t xml:space="preserve"> </w:t>
      </w:r>
      <w:r w:rsidRPr="00910270">
        <w:rPr>
          <w:rFonts w:eastAsia="Times New Roman" w:cs="Arial"/>
          <w:i/>
          <w:iCs/>
          <w:color w:val="000000"/>
          <w:lang w:val="en-US"/>
        </w:rPr>
        <w:t>vitro</w:t>
      </w:r>
      <w:r w:rsidRPr="00FD4C98">
        <w:rPr>
          <w:rFonts w:eastAsia="Times New Roman" w:cs="Arial"/>
          <w:color w:val="000000"/>
          <w:lang w:val="ru-RU"/>
        </w:rPr>
        <w:t xml:space="preserve"> </w:t>
      </w:r>
      <w:r w:rsidRPr="00910270">
        <w:rPr>
          <w:rFonts w:eastAsia="Times New Roman" w:cs="Arial"/>
          <w:color w:val="000000"/>
          <w:lang w:eastAsia="bg-BG"/>
        </w:rPr>
        <w:t xml:space="preserve">с човешки чернодробни </w:t>
      </w:r>
      <w:proofErr w:type="spellStart"/>
      <w:r w:rsidRPr="00910270">
        <w:rPr>
          <w:rFonts w:eastAsia="Times New Roman" w:cs="Arial"/>
          <w:color w:val="000000"/>
          <w:lang w:eastAsia="bg-BG"/>
        </w:rPr>
        <w:t>микрозоми</w:t>
      </w:r>
      <w:proofErr w:type="spellEnd"/>
      <w:r w:rsidRPr="00910270">
        <w:rPr>
          <w:rFonts w:eastAsia="Times New Roman" w:cs="Arial"/>
          <w:color w:val="000000"/>
          <w:lang w:eastAsia="bg-BG"/>
        </w:rPr>
        <w:t xml:space="preserve"> и човешки </w:t>
      </w:r>
      <w:proofErr w:type="spellStart"/>
      <w:r w:rsidRPr="00910270">
        <w:rPr>
          <w:rFonts w:eastAsia="Times New Roman" w:cs="Arial"/>
          <w:color w:val="000000"/>
          <w:lang w:eastAsia="bg-BG"/>
        </w:rPr>
        <w:t>сДНК-експресирани</w:t>
      </w:r>
      <w:proofErr w:type="spellEnd"/>
      <w:r w:rsidRPr="00910270">
        <w:rPr>
          <w:rFonts w:eastAsia="Times New Roman" w:cs="Arial"/>
          <w:color w:val="000000"/>
          <w:lang w:eastAsia="bg-BG"/>
        </w:rPr>
        <w:t xml:space="preserve"> </w:t>
      </w:r>
      <w:proofErr w:type="spellStart"/>
      <w:r w:rsidRPr="00910270">
        <w:rPr>
          <w:rFonts w:eastAsia="Times New Roman" w:cs="Arial"/>
          <w:color w:val="000000"/>
          <w:lang w:eastAsia="bg-BG"/>
        </w:rPr>
        <w:t>цитохром</w:t>
      </w:r>
      <w:proofErr w:type="spellEnd"/>
      <w:r w:rsidRPr="00910270">
        <w:rPr>
          <w:rFonts w:eastAsia="Times New Roman" w:cs="Arial"/>
          <w:color w:val="000000"/>
          <w:lang w:eastAsia="bg-BG"/>
        </w:rPr>
        <w:t xml:space="preserve"> Р450 </w:t>
      </w:r>
      <w:proofErr w:type="spellStart"/>
      <w:r w:rsidRPr="00910270">
        <w:rPr>
          <w:rFonts w:eastAsia="Times New Roman" w:cs="Arial"/>
          <w:color w:val="000000"/>
          <w:lang w:eastAsia="bg-BG"/>
        </w:rPr>
        <w:t>изоензими</w:t>
      </w:r>
      <w:proofErr w:type="spellEnd"/>
      <w:r w:rsidRPr="00910270">
        <w:rPr>
          <w:rFonts w:eastAsia="Times New Roman" w:cs="Arial"/>
          <w:color w:val="000000"/>
          <w:lang w:eastAsia="bg-BG"/>
        </w:rPr>
        <w:t xml:space="preserve"> показват, че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се </w:t>
      </w:r>
      <w:proofErr w:type="spellStart"/>
      <w:r w:rsidRPr="00910270">
        <w:rPr>
          <w:rFonts w:eastAsia="Times New Roman" w:cs="Arial"/>
          <w:color w:val="000000"/>
          <w:lang w:eastAsia="bg-BG"/>
        </w:rPr>
        <w:t>метаболизира</w:t>
      </w:r>
      <w:proofErr w:type="spellEnd"/>
      <w:r w:rsidRPr="00910270">
        <w:rPr>
          <w:rFonts w:eastAsia="Times New Roman" w:cs="Arial"/>
          <w:color w:val="000000"/>
          <w:lang w:eastAsia="bg-BG"/>
        </w:rPr>
        <w:t xml:space="preserve"> главно </w:t>
      </w:r>
      <w:proofErr w:type="spellStart"/>
      <w:r w:rsidRPr="00910270">
        <w:rPr>
          <w:rFonts w:eastAsia="Times New Roman" w:cs="Arial"/>
          <w:color w:val="000000"/>
          <w:lang w:eastAsia="bg-BG"/>
        </w:rPr>
        <w:t>оксидативно</w:t>
      </w:r>
      <w:proofErr w:type="spellEnd"/>
      <w:r w:rsidRPr="00910270">
        <w:rPr>
          <w:rFonts w:eastAsia="Times New Roman" w:cs="Arial"/>
          <w:color w:val="000000"/>
          <w:lang w:eastAsia="bg-BG"/>
        </w:rPr>
        <w:t xml:space="preserve"> чрез </w:t>
      </w:r>
      <w:proofErr w:type="spellStart"/>
      <w:r w:rsidRPr="00910270">
        <w:rPr>
          <w:rFonts w:eastAsia="Times New Roman" w:cs="Arial"/>
          <w:color w:val="000000"/>
          <w:lang w:eastAsia="bg-BG"/>
        </w:rPr>
        <w:t>цитохром</w:t>
      </w:r>
      <w:proofErr w:type="spellEnd"/>
      <w:r w:rsidRPr="00910270">
        <w:rPr>
          <w:rFonts w:eastAsia="Times New Roman" w:cs="Arial"/>
          <w:color w:val="000000"/>
          <w:lang w:eastAsia="bg-BG"/>
        </w:rPr>
        <w:t xml:space="preserve"> Р450 ензими, 3А4, 2С19 и 1А2. Основният метаболитен път е </w:t>
      </w:r>
      <w:proofErr w:type="spellStart"/>
      <w:r w:rsidRPr="00910270">
        <w:rPr>
          <w:rFonts w:eastAsia="Times New Roman" w:cs="Arial"/>
          <w:color w:val="000000"/>
          <w:lang w:eastAsia="bg-BG"/>
        </w:rPr>
        <w:t>деборонизация</w:t>
      </w:r>
      <w:proofErr w:type="spellEnd"/>
      <w:r w:rsidRPr="00910270">
        <w:rPr>
          <w:rFonts w:eastAsia="Times New Roman" w:cs="Arial"/>
          <w:color w:val="000000"/>
          <w:lang w:eastAsia="bg-BG"/>
        </w:rPr>
        <w:t xml:space="preserve"> и формиране на два </w:t>
      </w:r>
      <w:proofErr w:type="spellStart"/>
      <w:r w:rsidRPr="00910270">
        <w:rPr>
          <w:rFonts w:eastAsia="Times New Roman" w:cs="Arial"/>
          <w:color w:val="000000"/>
          <w:lang w:eastAsia="bg-BG"/>
        </w:rPr>
        <w:t>деборонизирани</w:t>
      </w:r>
      <w:proofErr w:type="spellEnd"/>
      <w:r w:rsidRPr="00910270">
        <w:rPr>
          <w:rFonts w:eastAsia="Times New Roman" w:cs="Arial"/>
          <w:color w:val="000000"/>
          <w:lang w:eastAsia="bg-BG"/>
        </w:rPr>
        <w:t xml:space="preserve"> метаболита, които в последствие претърпяват </w:t>
      </w:r>
      <w:proofErr w:type="spellStart"/>
      <w:r w:rsidRPr="00910270">
        <w:rPr>
          <w:rFonts w:eastAsia="Times New Roman" w:cs="Arial"/>
          <w:color w:val="000000"/>
          <w:lang w:eastAsia="bg-BG"/>
        </w:rPr>
        <w:t>хидроксилиране</w:t>
      </w:r>
      <w:proofErr w:type="spellEnd"/>
      <w:r w:rsidRPr="00910270">
        <w:rPr>
          <w:rFonts w:eastAsia="Times New Roman" w:cs="Arial"/>
          <w:color w:val="000000"/>
          <w:lang w:eastAsia="bg-BG"/>
        </w:rPr>
        <w:t xml:space="preserve"> до няколко метаболити. </w:t>
      </w:r>
      <w:proofErr w:type="spellStart"/>
      <w:r w:rsidRPr="00910270">
        <w:rPr>
          <w:rFonts w:eastAsia="Times New Roman" w:cs="Arial"/>
          <w:color w:val="000000"/>
          <w:lang w:eastAsia="bg-BG"/>
        </w:rPr>
        <w:t>Деборонизираните</w:t>
      </w:r>
      <w:proofErr w:type="spellEnd"/>
      <w:r w:rsidRPr="00910270">
        <w:rPr>
          <w:rFonts w:eastAsia="Times New Roman" w:cs="Arial"/>
          <w:color w:val="000000"/>
          <w:lang w:eastAsia="bg-BG"/>
        </w:rPr>
        <w:t xml:space="preserve"> метаболити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са неактивни като </w:t>
      </w:r>
      <w:r w:rsidRPr="00FD4C98">
        <w:rPr>
          <w:rFonts w:eastAsia="Times New Roman" w:cs="Arial"/>
          <w:color w:val="000000"/>
          <w:lang w:val="ru-RU"/>
        </w:rPr>
        <w:t>26</w:t>
      </w:r>
      <w:r w:rsidRPr="00910270">
        <w:rPr>
          <w:rFonts w:eastAsia="Times New Roman" w:cs="Arial"/>
          <w:color w:val="000000"/>
          <w:lang w:val="en-US"/>
        </w:rPr>
        <w:t>S</w:t>
      </w:r>
      <w:r w:rsidRPr="00FD4C98">
        <w:rPr>
          <w:rFonts w:eastAsia="Times New Roman" w:cs="Arial"/>
          <w:color w:val="000000"/>
          <w:lang w:val="ru-RU"/>
        </w:rPr>
        <w:t xml:space="preserve"> </w:t>
      </w:r>
      <w:proofErr w:type="spellStart"/>
      <w:r w:rsidRPr="00910270">
        <w:rPr>
          <w:rFonts w:eastAsia="Times New Roman" w:cs="Arial"/>
          <w:color w:val="000000"/>
          <w:lang w:eastAsia="bg-BG"/>
        </w:rPr>
        <w:t>протеозомни</w:t>
      </w:r>
      <w:proofErr w:type="spellEnd"/>
      <w:r w:rsidRPr="00910270">
        <w:rPr>
          <w:rFonts w:eastAsia="Times New Roman" w:cs="Arial"/>
          <w:color w:val="000000"/>
          <w:lang w:eastAsia="bg-BG"/>
        </w:rPr>
        <w:t xml:space="preserve"> инхибитори.</w:t>
      </w:r>
    </w:p>
    <w:p w14:paraId="0A23646A" w14:textId="77777777" w:rsidR="00910270" w:rsidRPr="00910270" w:rsidRDefault="00910270" w:rsidP="00910270">
      <w:pPr>
        <w:spacing w:line="240" w:lineRule="auto"/>
        <w:rPr>
          <w:rFonts w:eastAsia="Times New Roman" w:cs="Arial"/>
          <w:color w:val="000000"/>
          <w:u w:val="single"/>
          <w:lang w:eastAsia="bg-BG"/>
        </w:rPr>
      </w:pPr>
    </w:p>
    <w:p w14:paraId="15F75070" w14:textId="40A4B793" w:rsidR="00910270" w:rsidRPr="00910270" w:rsidRDefault="00910270" w:rsidP="00910270">
      <w:pPr>
        <w:pStyle w:val="Heading3"/>
        <w:rPr>
          <w:rFonts w:eastAsia="Times New Roman"/>
          <w:u w:val="single"/>
          <w:lang w:eastAsia="bg-BG"/>
        </w:rPr>
      </w:pPr>
      <w:r w:rsidRPr="00910270">
        <w:rPr>
          <w:rFonts w:eastAsia="Times New Roman"/>
          <w:u w:val="single"/>
          <w:lang w:eastAsia="bg-BG"/>
        </w:rPr>
        <w:t>Елиминиране</w:t>
      </w:r>
    </w:p>
    <w:p w14:paraId="4BD58917" w14:textId="77777777"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Средният елиминационен полуживот </w:t>
      </w:r>
      <w:r w:rsidRPr="00FD4C98">
        <w:rPr>
          <w:rFonts w:eastAsia="Times New Roman" w:cs="Arial"/>
          <w:color w:val="000000"/>
          <w:lang w:val="ru-RU"/>
        </w:rPr>
        <w:t>(</w:t>
      </w:r>
      <w:r w:rsidRPr="00910270">
        <w:rPr>
          <w:rFonts w:eastAsia="Times New Roman" w:cs="Arial"/>
          <w:color w:val="000000"/>
          <w:lang w:val="en-US"/>
        </w:rPr>
        <w:t>t</w:t>
      </w:r>
      <w:r w:rsidRPr="00FD4C98">
        <w:rPr>
          <w:rFonts w:eastAsia="Times New Roman" w:cs="Arial"/>
          <w:color w:val="000000"/>
          <w:vertAlign w:val="subscript"/>
          <w:lang w:val="ru-RU"/>
        </w:rPr>
        <w:t>1/2</w:t>
      </w:r>
      <w:r w:rsidRPr="00910270">
        <w:rPr>
          <w:rFonts w:eastAsia="Times New Roman" w:cs="Arial"/>
          <w:color w:val="000000"/>
          <w:lang w:eastAsia="bg-BG"/>
        </w:rPr>
        <w:t xml:space="preserve">)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след многократно прилагане варира от 40 до 193 часа.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се елиминира по-бързо след първата доза в сравнение със следващите дози. Средният тотален телесен клирънс е 102 и 112 </w:t>
      </w:r>
      <w:r w:rsidRPr="00910270">
        <w:rPr>
          <w:rFonts w:eastAsia="Times New Roman" w:cs="Arial"/>
          <w:color w:val="000000"/>
          <w:lang w:val="en-US"/>
        </w:rPr>
        <w:t>l</w:t>
      </w:r>
      <w:r w:rsidRPr="00910270">
        <w:rPr>
          <w:rFonts w:eastAsia="Times New Roman" w:cs="Arial"/>
          <w:color w:val="000000"/>
          <w:lang w:eastAsia="bg-BG"/>
        </w:rPr>
        <w:t xml:space="preserve">/час след прилагане на първа доза при дози съответно 1,0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и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и варира от 15 до 32 </w:t>
      </w:r>
      <w:r w:rsidRPr="00910270">
        <w:rPr>
          <w:rFonts w:eastAsia="Times New Roman" w:cs="Arial"/>
          <w:color w:val="000000"/>
          <w:lang w:val="en-US"/>
        </w:rPr>
        <w:t>l</w:t>
      </w:r>
      <w:r w:rsidRPr="00910270">
        <w:rPr>
          <w:rFonts w:eastAsia="Times New Roman" w:cs="Arial"/>
          <w:color w:val="000000"/>
          <w:lang w:eastAsia="bg-BG"/>
        </w:rPr>
        <w:t xml:space="preserve">/ час и от 18 до 32 1/ час, след последващо прилагане на дози съответно 1,0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 xml:space="preserve"> </w:t>
      </w:r>
      <w:r w:rsidRPr="00910270">
        <w:rPr>
          <w:rFonts w:eastAsia="Times New Roman" w:cs="Arial"/>
          <w:color w:val="000000"/>
          <w:lang w:eastAsia="bg-BG"/>
        </w:rPr>
        <w:t xml:space="preserve">и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w:t>
      </w:r>
    </w:p>
    <w:p w14:paraId="0345E557" w14:textId="77777777" w:rsidR="00910270" w:rsidRPr="00910270" w:rsidRDefault="00910270" w:rsidP="00910270">
      <w:pPr>
        <w:spacing w:line="240" w:lineRule="auto"/>
        <w:rPr>
          <w:rFonts w:eastAsia="Times New Roman" w:cs="Arial"/>
          <w:color w:val="000000"/>
          <w:u w:val="single"/>
          <w:lang w:eastAsia="bg-BG"/>
        </w:rPr>
      </w:pPr>
    </w:p>
    <w:p w14:paraId="59F91E3B" w14:textId="423EEE39" w:rsidR="00910270" w:rsidRPr="00910270" w:rsidRDefault="00910270" w:rsidP="00910270">
      <w:pPr>
        <w:spacing w:line="240" w:lineRule="auto"/>
        <w:rPr>
          <w:rFonts w:eastAsia="Times New Roman" w:cs="Arial"/>
          <w:lang w:eastAsia="bg-BG"/>
        </w:rPr>
      </w:pPr>
      <w:r w:rsidRPr="00910270">
        <w:rPr>
          <w:rFonts w:eastAsia="Times New Roman" w:cs="Arial"/>
          <w:color w:val="000000"/>
          <w:u w:val="single"/>
          <w:lang w:eastAsia="bg-BG"/>
        </w:rPr>
        <w:t>Специални популации</w:t>
      </w:r>
    </w:p>
    <w:p w14:paraId="2F1B37F8" w14:textId="77777777" w:rsidR="00910270" w:rsidRPr="00910270" w:rsidRDefault="00910270" w:rsidP="00910270">
      <w:pPr>
        <w:spacing w:line="240" w:lineRule="auto"/>
        <w:rPr>
          <w:rFonts w:eastAsia="Times New Roman" w:cs="Arial"/>
          <w:i/>
          <w:iCs/>
          <w:color w:val="000000"/>
          <w:lang w:eastAsia="bg-BG"/>
        </w:rPr>
      </w:pPr>
    </w:p>
    <w:p w14:paraId="4509A655" w14:textId="5E564829" w:rsidR="00910270" w:rsidRPr="00910270" w:rsidRDefault="00910270" w:rsidP="00910270">
      <w:pPr>
        <w:spacing w:line="240" w:lineRule="auto"/>
        <w:rPr>
          <w:rFonts w:eastAsia="Times New Roman" w:cs="Arial"/>
          <w:lang w:eastAsia="bg-BG"/>
        </w:rPr>
      </w:pPr>
      <w:r w:rsidRPr="00910270">
        <w:rPr>
          <w:rFonts w:eastAsia="Times New Roman" w:cs="Arial"/>
          <w:i/>
          <w:iCs/>
          <w:color w:val="000000"/>
          <w:lang w:eastAsia="bg-BG"/>
        </w:rPr>
        <w:t>Чернодробно увреждане</w:t>
      </w:r>
    </w:p>
    <w:p w14:paraId="1E3EF01C" w14:textId="77777777"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Ефектът на чернодробното увреждане върху фармакокинетиката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е оценен в проучване фаза I по време на първия терапевтичен цикъл, включващо 61 пациенти предимно със солидни тумори и различна степен на чернодробно увреждане, при дози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между 0,5 до 1,3 </w:t>
      </w:r>
      <w:r w:rsidRPr="00910270">
        <w:rPr>
          <w:rFonts w:eastAsia="Times New Roman" w:cs="Arial"/>
          <w:color w:val="000000"/>
          <w:lang w:val="en-US"/>
        </w:rPr>
        <w:t>mg</w:t>
      </w:r>
      <w:r w:rsidRPr="00FD4C98">
        <w:rPr>
          <w:rFonts w:eastAsia="Times New Roman" w:cs="Arial"/>
          <w:color w:val="000000"/>
          <w:lang w:val="ru-RU"/>
        </w:rPr>
        <w:t>/</w:t>
      </w:r>
      <w:r w:rsidRPr="00910270">
        <w:rPr>
          <w:rFonts w:eastAsia="Times New Roman" w:cs="Arial"/>
          <w:color w:val="000000"/>
          <w:lang w:val="en-US"/>
        </w:rPr>
        <w:t>m</w:t>
      </w:r>
      <w:r w:rsidRPr="00FD4C98">
        <w:rPr>
          <w:rFonts w:eastAsia="Times New Roman" w:cs="Arial"/>
          <w:color w:val="000000"/>
          <w:vertAlign w:val="superscript"/>
          <w:lang w:val="ru-RU"/>
        </w:rPr>
        <w:t>2</w:t>
      </w:r>
      <w:r w:rsidRPr="00FD4C98">
        <w:rPr>
          <w:rFonts w:eastAsia="Times New Roman" w:cs="Arial"/>
          <w:color w:val="000000"/>
          <w:lang w:val="ru-RU"/>
        </w:rPr>
        <w:t>.</w:t>
      </w:r>
    </w:p>
    <w:p w14:paraId="661F6AEF" w14:textId="77777777" w:rsidR="00910270" w:rsidRPr="00910270" w:rsidRDefault="00910270" w:rsidP="00910270">
      <w:pPr>
        <w:spacing w:line="240" w:lineRule="auto"/>
        <w:rPr>
          <w:rFonts w:eastAsia="Times New Roman" w:cs="Arial"/>
          <w:color w:val="000000"/>
          <w:lang w:eastAsia="bg-BG"/>
        </w:rPr>
      </w:pPr>
    </w:p>
    <w:p w14:paraId="6F8E24DB" w14:textId="101A9053"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В сравнение с пациентите с нормална чернодробна функция, лекото чернодробно увреждане не променя </w:t>
      </w:r>
      <w:proofErr w:type="spellStart"/>
      <w:r w:rsidRPr="00910270">
        <w:rPr>
          <w:rFonts w:eastAsia="Times New Roman" w:cs="Arial"/>
          <w:color w:val="000000"/>
          <w:lang w:eastAsia="bg-BG"/>
        </w:rPr>
        <w:t>дозо</w:t>
      </w:r>
      <w:proofErr w:type="spellEnd"/>
      <w:r w:rsidRPr="00910270">
        <w:rPr>
          <w:rFonts w:eastAsia="Times New Roman" w:cs="Arial"/>
          <w:color w:val="000000"/>
          <w:lang w:eastAsia="bg-BG"/>
        </w:rPr>
        <w:t xml:space="preserve">- нормализираната </w:t>
      </w:r>
      <w:r w:rsidRPr="00910270">
        <w:rPr>
          <w:rFonts w:eastAsia="Times New Roman" w:cs="Arial"/>
          <w:color w:val="000000"/>
          <w:lang w:val="en-US"/>
        </w:rPr>
        <w:t>AUC</w:t>
      </w:r>
      <w:r w:rsidRPr="00FD4C98">
        <w:rPr>
          <w:rFonts w:eastAsia="Times New Roman" w:cs="Arial"/>
          <w:color w:val="000000"/>
          <w:lang w:val="ru-RU"/>
        </w:rPr>
        <w:t xml:space="preserve"> </w:t>
      </w:r>
      <w:r w:rsidRPr="00910270">
        <w:rPr>
          <w:rFonts w:eastAsia="Times New Roman" w:cs="Arial"/>
          <w:color w:val="000000"/>
          <w:lang w:eastAsia="bg-BG"/>
        </w:rPr>
        <w:t xml:space="preserve">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Въпреки това, средните стойности на </w:t>
      </w:r>
      <w:proofErr w:type="spellStart"/>
      <w:r w:rsidRPr="00910270">
        <w:rPr>
          <w:rFonts w:eastAsia="Times New Roman" w:cs="Arial"/>
          <w:color w:val="000000"/>
          <w:lang w:eastAsia="bg-BG"/>
        </w:rPr>
        <w:t>дозо</w:t>
      </w:r>
      <w:proofErr w:type="spellEnd"/>
      <w:r w:rsidRPr="00910270">
        <w:rPr>
          <w:rFonts w:eastAsia="Times New Roman" w:cs="Arial"/>
          <w:color w:val="000000"/>
          <w:lang w:eastAsia="bg-BG"/>
        </w:rPr>
        <w:t xml:space="preserve">-нормализираната </w:t>
      </w:r>
      <w:r w:rsidRPr="00910270">
        <w:rPr>
          <w:rFonts w:eastAsia="Times New Roman" w:cs="Arial"/>
          <w:color w:val="000000"/>
          <w:lang w:val="en-US"/>
        </w:rPr>
        <w:t>AUC</w:t>
      </w:r>
      <w:r w:rsidRPr="00FD4C98">
        <w:rPr>
          <w:rFonts w:eastAsia="Times New Roman" w:cs="Arial"/>
          <w:color w:val="000000"/>
          <w:lang w:val="ru-RU"/>
        </w:rPr>
        <w:t xml:space="preserve"> </w:t>
      </w:r>
      <w:r w:rsidRPr="00910270">
        <w:rPr>
          <w:rFonts w:eastAsia="Times New Roman" w:cs="Arial"/>
          <w:color w:val="000000"/>
          <w:lang w:eastAsia="bg-BG"/>
        </w:rPr>
        <w:t>са се повишили с около 60% при пациенти с умерено до тежко чернодробно увреждане. По-ниска начална доза се препоръчва при пациенти с умерено до тежко чернодробно увреждане, като тези пациенти трябва стриктно да се проследяват (вж. точка 4.2, таблица 5).</w:t>
      </w:r>
    </w:p>
    <w:p w14:paraId="299D3C2F" w14:textId="77777777" w:rsidR="00910270" w:rsidRPr="00910270" w:rsidRDefault="00910270" w:rsidP="00910270">
      <w:pPr>
        <w:spacing w:line="240" w:lineRule="auto"/>
        <w:rPr>
          <w:rFonts w:eastAsia="Times New Roman" w:cs="Arial"/>
          <w:i/>
          <w:iCs/>
          <w:color w:val="000000"/>
          <w:lang w:eastAsia="bg-BG"/>
        </w:rPr>
      </w:pPr>
    </w:p>
    <w:p w14:paraId="3B28D8B9" w14:textId="450345E5" w:rsidR="00910270" w:rsidRPr="00910270" w:rsidRDefault="00910270" w:rsidP="00910270">
      <w:pPr>
        <w:spacing w:line="240" w:lineRule="auto"/>
        <w:rPr>
          <w:rFonts w:eastAsia="Times New Roman" w:cs="Arial"/>
          <w:lang w:eastAsia="bg-BG"/>
        </w:rPr>
      </w:pPr>
      <w:r w:rsidRPr="00910270">
        <w:rPr>
          <w:rFonts w:eastAsia="Times New Roman" w:cs="Arial"/>
          <w:i/>
          <w:iCs/>
          <w:color w:val="000000"/>
          <w:lang w:eastAsia="bg-BG"/>
        </w:rPr>
        <w:t>Бъбречно увреждане</w:t>
      </w:r>
    </w:p>
    <w:p w14:paraId="290F1217" w14:textId="77777777" w:rsidR="00910270" w:rsidRPr="00910270" w:rsidRDefault="00910270" w:rsidP="00910270">
      <w:pPr>
        <w:spacing w:line="240" w:lineRule="auto"/>
        <w:rPr>
          <w:rFonts w:eastAsia="Times New Roman" w:cs="Arial"/>
          <w:lang w:eastAsia="bg-BG"/>
        </w:rPr>
      </w:pPr>
      <w:proofErr w:type="spellStart"/>
      <w:r w:rsidRPr="00910270">
        <w:rPr>
          <w:rFonts w:eastAsia="Times New Roman" w:cs="Arial"/>
          <w:color w:val="000000"/>
          <w:lang w:eastAsia="bg-BG"/>
        </w:rPr>
        <w:t>Фармакокинетично</w:t>
      </w:r>
      <w:proofErr w:type="spellEnd"/>
      <w:r w:rsidRPr="00910270">
        <w:rPr>
          <w:rFonts w:eastAsia="Times New Roman" w:cs="Arial"/>
          <w:color w:val="000000"/>
          <w:lang w:eastAsia="bg-BG"/>
        </w:rPr>
        <w:t xml:space="preserve"> проучване е провеждано при пациенти с различни степени на бъбречно увреждане, които се класифицират съобразно техните стойности па </w:t>
      </w:r>
      <w:proofErr w:type="spellStart"/>
      <w:r w:rsidRPr="00910270">
        <w:rPr>
          <w:rFonts w:eastAsia="Times New Roman" w:cs="Arial"/>
          <w:color w:val="000000"/>
          <w:lang w:eastAsia="bg-BG"/>
        </w:rPr>
        <w:t>креатининовия</w:t>
      </w:r>
      <w:proofErr w:type="spellEnd"/>
      <w:r w:rsidRPr="00910270">
        <w:rPr>
          <w:rFonts w:eastAsia="Times New Roman" w:cs="Arial"/>
          <w:color w:val="000000"/>
          <w:lang w:eastAsia="bg-BG"/>
        </w:rPr>
        <w:t xml:space="preserve"> клирънс </w:t>
      </w:r>
      <w:r w:rsidRPr="00FD4C98">
        <w:rPr>
          <w:rFonts w:eastAsia="Times New Roman" w:cs="Arial"/>
          <w:color w:val="000000"/>
          <w:lang w:val="ru-RU"/>
        </w:rPr>
        <w:t>(</w:t>
      </w:r>
      <w:proofErr w:type="spellStart"/>
      <w:r w:rsidRPr="00910270">
        <w:rPr>
          <w:rFonts w:eastAsia="Times New Roman" w:cs="Arial"/>
          <w:color w:val="000000"/>
          <w:lang w:val="en-US"/>
        </w:rPr>
        <w:t>CrCL</w:t>
      </w:r>
      <w:proofErr w:type="spellEnd"/>
      <w:r w:rsidRPr="00FD4C98">
        <w:rPr>
          <w:rFonts w:eastAsia="Times New Roman" w:cs="Arial"/>
          <w:color w:val="000000"/>
          <w:lang w:val="ru-RU"/>
        </w:rPr>
        <w:t xml:space="preserve">) </w:t>
      </w:r>
      <w:r w:rsidRPr="00910270">
        <w:rPr>
          <w:rFonts w:eastAsia="Times New Roman" w:cs="Arial"/>
          <w:color w:val="000000"/>
          <w:lang w:eastAsia="bg-BG"/>
        </w:rPr>
        <w:t>в следните групи:</w:t>
      </w:r>
    </w:p>
    <w:p w14:paraId="32B1B0BB" w14:textId="0E649824" w:rsidR="00910270" w:rsidRPr="00910270" w:rsidRDefault="00910270" w:rsidP="00910270">
      <w:pPr>
        <w:spacing w:line="240" w:lineRule="auto"/>
        <w:rPr>
          <w:rFonts w:eastAsia="Times New Roman" w:cs="Arial"/>
          <w:lang w:eastAsia="bg-BG"/>
        </w:rPr>
      </w:pPr>
      <w:r w:rsidRPr="00910270">
        <w:rPr>
          <w:rFonts w:eastAsia="Times New Roman" w:cs="Arial"/>
          <w:color w:val="000000"/>
          <w:lang w:eastAsia="bg-BG"/>
        </w:rPr>
        <w:t xml:space="preserve">Нормално </w:t>
      </w:r>
      <w:r w:rsidRPr="00284CCB">
        <w:rPr>
          <w:rFonts w:eastAsia="Times New Roman" w:cs="Arial"/>
          <w:color w:val="000000"/>
        </w:rPr>
        <w:t>(</w:t>
      </w:r>
      <w:proofErr w:type="spellStart"/>
      <w:r w:rsidRPr="00910270">
        <w:rPr>
          <w:rFonts w:eastAsia="Times New Roman" w:cs="Arial"/>
          <w:color w:val="000000"/>
          <w:lang w:val="en-US"/>
        </w:rPr>
        <w:t>CrCL</w:t>
      </w:r>
      <w:proofErr w:type="spellEnd"/>
      <w:r w:rsidRPr="00284CCB">
        <w:rPr>
          <w:rFonts w:eastAsia="Times New Roman" w:cs="Arial"/>
          <w:color w:val="000000"/>
        </w:rPr>
        <w:t xml:space="preserve"> </w:t>
      </w:r>
      <w:r w:rsidRPr="00910270">
        <w:rPr>
          <w:rFonts w:eastAsia="Times New Roman" w:cs="Arial"/>
          <w:color w:val="000000"/>
          <w:lang w:eastAsia="bg-BG"/>
        </w:rPr>
        <w:t xml:space="preserve">&gt; 60 </w:t>
      </w:r>
      <w:r w:rsidRPr="00910270">
        <w:rPr>
          <w:rFonts w:eastAsia="Times New Roman" w:cs="Arial"/>
          <w:color w:val="000000"/>
          <w:lang w:val="en-US"/>
        </w:rPr>
        <w:t>ml</w:t>
      </w:r>
      <w:r w:rsidRPr="00284CCB">
        <w:rPr>
          <w:rFonts w:eastAsia="Times New Roman" w:cs="Arial"/>
          <w:color w:val="000000"/>
        </w:rPr>
        <w:t>/</w:t>
      </w:r>
      <w:r w:rsidRPr="00910270">
        <w:rPr>
          <w:rFonts w:eastAsia="Times New Roman" w:cs="Arial"/>
          <w:color w:val="000000"/>
          <w:lang w:val="en-US"/>
        </w:rPr>
        <w:t>min</w:t>
      </w:r>
      <w:r w:rsidRPr="00284CCB">
        <w:rPr>
          <w:rFonts w:eastAsia="Times New Roman" w:cs="Arial"/>
          <w:color w:val="000000"/>
        </w:rPr>
        <w:t xml:space="preserve">/1,73 </w:t>
      </w:r>
      <w:r w:rsidRPr="00910270">
        <w:rPr>
          <w:rFonts w:eastAsia="Times New Roman" w:cs="Arial"/>
          <w:color w:val="000000"/>
          <w:lang w:val="en-US"/>
        </w:rPr>
        <w:t>m</w:t>
      </w:r>
      <w:r w:rsidRPr="00284CCB">
        <w:rPr>
          <w:rFonts w:eastAsia="Times New Roman" w:cs="Arial"/>
          <w:color w:val="000000"/>
          <w:vertAlign w:val="superscript"/>
        </w:rPr>
        <w:t>2</w:t>
      </w:r>
      <w:r w:rsidRPr="00284CCB">
        <w:rPr>
          <w:rFonts w:eastAsia="Times New Roman" w:cs="Arial"/>
          <w:color w:val="000000"/>
        </w:rPr>
        <w:t xml:space="preserve">, </w:t>
      </w:r>
      <w:r w:rsidRPr="00910270">
        <w:rPr>
          <w:rFonts w:eastAsia="Times New Roman" w:cs="Arial"/>
          <w:color w:val="000000"/>
          <w:lang w:val="en-US"/>
        </w:rPr>
        <w:t>n</w:t>
      </w:r>
      <w:r w:rsidRPr="00910270">
        <w:rPr>
          <w:rFonts w:eastAsia="Times New Roman" w:cs="Arial"/>
          <w:color w:val="000000"/>
          <w:lang w:eastAsia="bg-BG"/>
        </w:rPr>
        <w:t xml:space="preserve">=12), леко </w:t>
      </w:r>
      <w:r w:rsidRPr="00284CCB">
        <w:rPr>
          <w:rFonts w:eastAsia="Times New Roman" w:cs="Arial"/>
          <w:color w:val="000000"/>
        </w:rPr>
        <w:t>(</w:t>
      </w:r>
      <w:proofErr w:type="spellStart"/>
      <w:r w:rsidRPr="00910270">
        <w:rPr>
          <w:rFonts w:eastAsia="Times New Roman" w:cs="Arial"/>
          <w:color w:val="000000"/>
          <w:lang w:val="en-US"/>
        </w:rPr>
        <w:t>CrCL</w:t>
      </w:r>
      <w:proofErr w:type="spellEnd"/>
      <w:r w:rsidRPr="00284CCB">
        <w:rPr>
          <w:rFonts w:eastAsia="Times New Roman" w:cs="Arial"/>
          <w:color w:val="000000"/>
        </w:rPr>
        <w:t xml:space="preserve"> = 40-59 </w:t>
      </w:r>
      <w:r w:rsidRPr="00910270">
        <w:rPr>
          <w:rFonts w:eastAsia="Times New Roman" w:cs="Arial"/>
          <w:color w:val="000000"/>
          <w:lang w:val="en-US"/>
        </w:rPr>
        <w:t>ml</w:t>
      </w:r>
      <w:r w:rsidRPr="00284CCB">
        <w:rPr>
          <w:rFonts w:eastAsia="Times New Roman" w:cs="Arial"/>
          <w:color w:val="000000"/>
        </w:rPr>
        <w:t>/</w:t>
      </w:r>
      <w:r w:rsidRPr="00910270">
        <w:rPr>
          <w:rFonts w:eastAsia="Times New Roman" w:cs="Arial"/>
          <w:color w:val="000000"/>
          <w:lang w:val="en-US"/>
        </w:rPr>
        <w:t>min</w:t>
      </w:r>
      <w:r w:rsidRPr="00284CCB">
        <w:rPr>
          <w:rFonts w:eastAsia="Times New Roman" w:cs="Arial"/>
          <w:color w:val="000000"/>
        </w:rPr>
        <w:t xml:space="preserve">/1,73 </w:t>
      </w:r>
      <w:r w:rsidRPr="00910270">
        <w:rPr>
          <w:rFonts w:eastAsia="Times New Roman" w:cs="Arial"/>
          <w:color w:val="000000"/>
          <w:lang w:val="en-US"/>
        </w:rPr>
        <w:t>m</w:t>
      </w:r>
      <w:r w:rsidRPr="00284CCB">
        <w:rPr>
          <w:rFonts w:eastAsia="Times New Roman" w:cs="Arial"/>
          <w:color w:val="000000"/>
          <w:vertAlign w:val="superscript"/>
        </w:rPr>
        <w:t>2</w:t>
      </w:r>
      <w:r w:rsidRPr="00284CCB">
        <w:rPr>
          <w:rFonts w:eastAsia="Times New Roman" w:cs="Arial"/>
          <w:color w:val="000000"/>
        </w:rPr>
        <w:t xml:space="preserve">, </w:t>
      </w:r>
      <w:r w:rsidRPr="00910270">
        <w:rPr>
          <w:rFonts w:eastAsia="Times New Roman" w:cs="Arial"/>
          <w:color w:val="000000"/>
          <w:lang w:val="en-US"/>
        </w:rPr>
        <w:t>n</w:t>
      </w:r>
      <w:r w:rsidRPr="00284CCB">
        <w:rPr>
          <w:rFonts w:eastAsia="Times New Roman" w:cs="Arial"/>
          <w:color w:val="000000"/>
        </w:rPr>
        <w:t xml:space="preserve">=10), </w:t>
      </w:r>
      <w:r w:rsidRPr="00910270">
        <w:rPr>
          <w:rFonts w:eastAsia="Times New Roman" w:cs="Arial"/>
          <w:color w:val="000000"/>
          <w:lang w:eastAsia="bg-BG"/>
        </w:rPr>
        <w:t xml:space="preserve">умерено </w:t>
      </w:r>
      <w:r w:rsidRPr="00284CCB">
        <w:rPr>
          <w:rFonts w:eastAsia="Times New Roman" w:cs="Arial"/>
          <w:color w:val="000000"/>
        </w:rPr>
        <w:t>(</w:t>
      </w:r>
      <w:proofErr w:type="spellStart"/>
      <w:r w:rsidRPr="00910270">
        <w:rPr>
          <w:rFonts w:eastAsia="Times New Roman" w:cs="Arial"/>
          <w:color w:val="000000"/>
          <w:lang w:val="en-US"/>
        </w:rPr>
        <w:t>CrCL</w:t>
      </w:r>
      <w:proofErr w:type="spellEnd"/>
      <w:r w:rsidRPr="00284CCB">
        <w:rPr>
          <w:rFonts w:eastAsia="Times New Roman" w:cs="Arial"/>
          <w:color w:val="000000"/>
        </w:rPr>
        <w:t xml:space="preserve"> = 20-39 </w:t>
      </w:r>
      <w:r w:rsidRPr="00910270">
        <w:rPr>
          <w:rFonts w:eastAsia="Times New Roman" w:cs="Arial"/>
          <w:color w:val="000000"/>
          <w:lang w:val="en-US"/>
        </w:rPr>
        <w:t>ml</w:t>
      </w:r>
      <w:r w:rsidRPr="00284CCB">
        <w:rPr>
          <w:rFonts w:eastAsia="Times New Roman" w:cs="Arial"/>
          <w:color w:val="000000"/>
        </w:rPr>
        <w:t>/</w:t>
      </w:r>
      <w:r w:rsidRPr="00910270">
        <w:rPr>
          <w:rFonts w:eastAsia="Times New Roman" w:cs="Arial"/>
          <w:color w:val="000000"/>
          <w:lang w:val="en-US"/>
        </w:rPr>
        <w:t>min</w:t>
      </w:r>
      <w:r w:rsidRPr="00284CCB">
        <w:rPr>
          <w:rFonts w:eastAsia="Times New Roman" w:cs="Arial"/>
          <w:color w:val="000000"/>
        </w:rPr>
        <w:t xml:space="preserve">/1,73 </w:t>
      </w:r>
      <w:r w:rsidRPr="00910270">
        <w:rPr>
          <w:rFonts w:eastAsia="Times New Roman" w:cs="Arial"/>
          <w:color w:val="000000"/>
          <w:lang w:val="en-US"/>
        </w:rPr>
        <w:t>m</w:t>
      </w:r>
      <w:r w:rsidRPr="00284CCB">
        <w:rPr>
          <w:rFonts w:eastAsia="Times New Roman" w:cs="Arial"/>
          <w:color w:val="000000"/>
          <w:vertAlign w:val="superscript"/>
        </w:rPr>
        <w:t>2</w:t>
      </w:r>
      <w:r w:rsidRPr="00284CCB">
        <w:rPr>
          <w:rFonts w:eastAsia="Times New Roman" w:cs="Arial"/>
          <w:color w:val="000000"/>
        </w:rPr>
        <w:t xml:space="preserve">, </w:t>
      </w:r>
      <w:r w:rsidRPr="00910270">
        <w:rPr>
          <w:rFonts w:eastAsia="Times New Roman" w:cs="Arial"/>
          <w:color w:val="000000"/>
          <w:lang w:val="en-US"/>
        </w:rPr>
        <w:t>n</w:t>
      </w:r>
      <w:r w:rsidRPr="00284CCB">
        <w:rPr>
          <w:rFonts w:eastAsia="Times New Roman" w:cs="Arial"/>
          <w:color w:val="000000"/>
        </w:rPr>
        <w:t xml:space="preserve">=9) </w:t>
      </w:r>
      <w:r w:rsidRPr="00910270">
        <w:rPr>
          <w:rFonts w:eastAsia="Times New Roman" w:cs="Arial"/>
          <w:color w:val="000000"/>
          <w:lang w:eastAsia="bg-BG"/>
        </w:rPr>
        <w:t xml:space="preserve">и тежко </w:t>
      </w:r>
      <w:r w:rsidRPr="00284CCB">
        <w:rPr>
          <w:rFonts w:eastAsia="Times New Roman" w:cs="Arial"/>
          <w:color w:val="000000"/>
        </w:rPr>
        <w:t>(</w:t>
      </w:r>
      <w:proofErr w:type="spellStart"/>
      <w:r w:rsidRPr="00910270">
        <w:rPr>
          <w:rFonts w:eastAsia="Times New Roman" w:cs="Arial"/>
          <w:color w:val="000000"/>
          <w:lang w:val="en-US"/>
        </w:rPr>
        <w:t>CrCL</w:t>
      </w:r>
      <w:proofErr w:type="spellEnd"/>
      <w:r w:rsidRPr="00284CCB">
        <w:rPr>
          <w:rFonts w:eastAsia="Times New Roman" w:cs="Arial"/>
          <w:color w:val="000000"/>
        </w:rPr>
        <w:t xml:space="preserve">&lt; 20 </w:t>
      </w:r>
      <w:r w:rsidRPr="00910270">
        <w:rPr>
          <w:rFonts w:eastAsia="Times New Roman" w:cs="Arial"/>
          <w:color w:val="000000"/>
          <w:lang w:val="en-US"/>
        </w:rPr>
        <w:t>ml</w:t>
      </w:r>
      <w:r w:rsidRPr="00284CCB">
        <w:rPr>
          <w:rFonts w:eastAsia="Times New Roman" w:cs="Arial"/>
          <w:color w:val="000000"/>
        </w:rPr>
        <w:t>/</w:t>
      </w:r>
      <w:r w:rsidRPr="00910270">
        <w:rPr>
          <w:rFonts w:eastAsia="Times New Roman" w:cs="Arial"/>
          <w:color w:val="000000"/>
          <w:lang w:val="en-US"/>
        </w:rPr>
        <w:t>min</w:t>
      </w:r>
      <w:r w:rsidRPr="00284CCB">
        <w:rPr>
          <w:rFonts w:eastAsia="Times New Roman" w:cs="Arial"/>
          <w:color w:val="000000"/>
        </w:rPr>
        <w:t xml:space="preserve">/1,73 </w:t>
      </w:r>
      <w:r w:rsidRPr="00910270">
        <w:rPr>
          <w:rFonts w:eastAsia="Times New Roman" w:cs="Arial"/>
          <w:color w:val="000000"/>
          <w:lang w:val="en-US"/>
        </w:rPr>
        <w:t>m</w:t>
      </w:r>
      <w:r w:rsidRPr="00284CCB">
        <w:rPr>
          <w:rFonts w:eastAsia="Times New Roman" w:cs="Arial"/>
          <w:color w:val="000000"/>
          <w:vertAlign w:val="superscript"/>
        </w:rPr>
        <w:t>2</w:t>
      </w:r>
      <w:r w:rsidRPr="00284CCB">
        <w:rPr>
          <w:rFonts w:eastAsia="Times New Roman" w:cs="Arial"/>
          <w:color w:val="000000"/>
        </w:rPr>
        <w:t xml:space="preserve">, </w:t>
      </w:r>
      <w:r w:rsidRPr="00910270">
        <w:rPr>
          <w:rFonts w:eastAsia="Times New Roman" w:cs="Arial"/>
          <w:color w:val="000000"/>
          <w:lang w:val="en-US"/>
        </w:rPr>
        <w:t>n</w:t>
      </w:r>
      <w:r w:rsidRPr="00284CCB">
        <w:rPr>
          <w:rFonts w:eastAsia="Times New Roman" w:cs="Arial"/>
          <w:color w:val="000000"/>
        </w:rPr>
        <w:t xml:space="preserve">=3). </w:t>
      </w:r>
      <w:r w:rsidRPr="00910270">
        <w:rPr>
          <w:rFonts w:eastAsia="Times New Roman" w:cs="Arial"/>
          <w:color w:val="000000"/>
          <w:lang w:eastAsia="bg-BG"/>
        </w:rPr>
        <w:t xml:space="preserve">Група </w:t>
      </w:r>
      <w:proofErr w:type="spellStart"/>
      <w:r w:rsidRPr="00910270">
        <w:rPr>
          <w:rFonts w:eastAsia="Times New Roman" w:cs="Arial"/>
          <w:color w:val="000000"/>
          <w:lang w:eastAsia="bg-BG"/>
        </w:rPr>
        <w:t>диализирани</w:t>
      </w:r>
      <w:proofErr w:type="spellEnd"/>
      <w:r w:rsidRPr="00910270">
        <w:rPr>
          <w:rFonts w:eastAsia="Times New Roman" w:cs="Arial"/>
          <w:color w:val="000000"/>
          <w:lang w:eastAsia="bg-BG"/>
        </w:rPr>
        <w:t xml:space="preserve"> пациенти, които са дозирани след диализа, също е включена в проучването (</w:t>
      </w:r>
      <w:r w:rsidRPr="00910270">
        <w:rPr>
          <w:rFonts w:eastAsia="Times New Roman" w:cs="Arial"/>
          <w:color w:val="000000"/>
          <w:lang w:val="en-US"/>
        </w:rPr>
        <w:t>n</w:t>
      </w:r>
      <w:r w:rsidRPr="00284CCB">
        <w:rPr>
          <w:rFonts w:eastAsia="Times New Roman" w:cs="Arial"/>
          <w:color w:val="000000"/>
          <w:lang w:val="ru-RU"/>
        </w:rPr>
        <w:t>=8</w:t>
      </w:r>
      <w:r w:rsidRPr="00910270">
        <w:rPr>
          <w:rFonts w:eastAsia="Times New Roman" w:cs="Arial"/>
          <w:color w:val="000000"/>
          <w:lang w:eastAsia="bg-BG"/>
        </w:rPr>
        <w:t>).</w:t>
      </w:r>
      <w:r w:rsidRPr="00284CCB">
        <w:rPr>
          <w:rFonts w:eastAsia="Times New Roman" w:cs="Arial"/>
          <w:color w:val="000000"/>
          <w:lang w:val="ru-RU"/>
        </w:rPr>
        <w:t xml:space="preserve"> </w:t>
      </w:r>
      <w:r w:rsidRPr="00910270">
        <w:rPr>
          <w:rFonts w:eastAsia="Times New Roman" w:cs="Arial"/>
          <w:color w:val="000000"/>
          <w:lang w:eastAsia="bg-BG"/>
        </w:rPr>
        <w:t xml:space="preserve">На пациентите са прилагани интравенозни дози от 0,7 до 1,3 </w:t>
      </w:r>
      <w:r w:rsidRPr="00910270">
        <w:rPr>
          <w:rFonts w:eastAsia="Times New Roman" w:cs="Arial"/>
          <w:color w:val="000000"/>
          <w:lang w:val="en-US"/>
        </w:rPr>
        <w:t>mg</w:t>
      </w:r>
      <w:r w:rsidRPr="00284CCB">
        <w:rPr>
          <w:rFonts w:eastAsia="Times New Roman" w:cs="Arial"/>
          <w:color w:val="000000"/>
          <w:lang w:val="ru-RU"/>
        </w:rPr>
        <w:t>/</w:t>
      </w:r>
      <w:r w:rsidRPr="00910270">
        <w:rPr>
          <w:rFonts w:eastAsia="Times New Roman" w:cs="Arial"/>
          <w:color w:val="000000"/>
          <w:lang w:val="en-US"/>
        </w:rPr>
        <w:t>m</w:t>
      </w:r>
      <w:r w:rsidRPr="00284CCB">
        <w:rPr>
          <w:rFonts w:eastAsia="Times New Roman" w:cs="Arial"/>
          <w:color w:val="000000"/>
          <w:vertAlign w:val="superscript"/>
          <w:lang w:val="ru-RU"/>
        </w:rPr>
        <w:t>2</w:t>
      </w:r>
      <w:r w:rsidRPr="00284CCB">
        <w:rPr>
          <w:rFonts w:eastAsia="Times New Roman" w:cs="Arial"/>
          <w:color w:val="000000"/>
          <w:lang w:val="ru-RU"/>
        </w:rPr>
        <w:t xml:space="preserve">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два пъти седмично.</w:t>
      </w:r>
      <w:r w:rsidRPr="00910270">
        <w:rPr>
          <w:rFonts w:eastAsia="Times New Roman" w:cs="Arial"/>
          <w:lang w:eastAsia="bg-BG"/>
        </w:rPr>
        <w:t xml:space="preserve"> </w:t>
      </w:r>
      <w:r w:rsidRPr="00910270">
        <w:rPr>
          <w:rFonts w:eastAsia="Times New Roman" w:cs="Arial"/>
          <w:color w:val="000000"/>
          <w:lang w:eastAsia="bg-BG"/>
        </w:rPr>
        <w:t xml:space="preserve">Експозицията на </w:t>
      </w:r>
      <w:proofErr w:type="spellStart"/>
      <w:r w:rsidRPr="00910270">
        <w:rPr>
          <w:rFonts w:eastAsia="Times New Roman" w:cs="Arial"/>
          <w:color w:val="000000"/>
          <w:lang w:eastAsia="bg-BG"/>
        </w:rPr>
        <w:t>бортезомиб</w:t>
      </w:r>
      <w:proofErr w:type="spellEnd"/>
      <w:r w:rsidRPr="00910270">
        <w:rPr>
          <w:rFonts w:eastAsia="Times New Roman" w:cs="Arial"/>
          <w:color w:val="000000"/>
          <w:lang w:eastAsia="bg-BG"/>
        </w:rPr>
        <w:t xml:space="preserve"> (доза-нормализиран и </w:t>
      </w:r>
      <w:r w:rsidRPr="00910270">
        <w:rPr>
          <w:rFonts w:eastAsia="Times New Roman" w:cs="Arial"/>
          <w:color w:val="000000"/>
          <w:lang w:val="en-US"/>
        </w:rPr>
        <w:t>AUC</w:t>
      </w:r>
      <w:r w:rsidRPr="00284CCB">
        <w:rPr>
          <w:rFonts w:eastAsia="Times New Roman" w:cs="Arial"/>
          <w:color w:val="000000"/>
          <w:lang w:val="ru-RU"/>
        </w:rPr>
        <w:t xml:space="preserve"> </w:t>
      </w:r>
      <w:r w:rsidRPr="00910270">
        <w:rPr>
          <w:rFonts w:eastAsia="Times New Roman" w:cs="Arial"/>
          <w:color w:val="000000"/>
          <w:lang w:eastAsia="bg-BG"/>
        </w:rPr>
        <w:t xml:space="preserve">и </w:t>
      </w:r>
      <w:proofErr w:type="spellStart"/>
      <w:r w:rsidRPr="00910270">
        <w:rPr>
          <w:rFonts w:eastAsia="Times New Roman" w:cs="Arial"/>
          <w:color w:val="000000"/>
          <w:lang w:val="en-US"/>
        </w:rPr>
        <w:t>C</w:t>
      </w:r>
      <w:r w:rsidRPr="00910270">
        <w:rPr>
          <w:rFonts w:eastAsia="Times New Roman" w:cs="Arial"/>
          <w:color w:val="000000"/>
          <w:vertAlign w:val="subscript"/>
          <w:lang w:val="en-US"/>
        </w:rPr>
        <w:t>max</w:t>
      </w:r>
      <w:proofErr w:type="spellEnd"/>
      <w:r w:rsidRPr="00284CCB">
        <w:rPr>
          <w:rFonts w:eastAsia="Times New Roman" w:cs="Arial"/>
          <w:color w:val="000000"/>
          <w:lang w:val="ru-RU"/>
        </w:rPr>
        <w:t xml:space="preserve">) </w:t>
      </w:r>
      <w:r w:rsidRPr="00910270">
        <w:rPr>
          <w:rFonts w:eastAsia="Times New Roman" w:cs="Arial"/>
          <w:color w:val="000000"/>
          <w:lang w:eastAsia="bg-BG"/>
        </w:rPr>
        <w:t xml:space="preserve">е </w:t>
      </w:r>
      <w:proofErr w:type="spellStart"/>
      <w:r w:rsidRPr="00910270">
        <w:rPr>
          <w:rFonts w:eastAsia="Times New Roman" w:cs="Arial"/>
          <w:color w:val="000000"/>
          <w:lang w:val="en-US"/>
        </w:rPr>
        <w:t>cpa</w:t>
      </w:r>
      <w:r w:rsidRPr="00910270">
        <w:rPr>
          <w:rFonts w:eastAsia="Times New Roman" w:cs="Arial"/>
          <w:color w:val="000000"/>
          <w:lang w:eastAsia="bg-BG"/>
        </w:rPr>
        <w:t>внима</w:t>
      </w:r>
      <w:proofErr w:type="spellEnd"/>
      <w:r w:rsidRPr="00910270">
        <w:rPr>
          <w:rFonts w:eastAsia="Times New Roman" w:cs="Arial"/>
          <w:color w:val="000000"/>
          <w:lang w:eastAsia="bg-BG"/>
        </w:rPr>
        <w:t xml:space="preserve"> във всички групи (вж. точка 4.2)</w:t>
      </w:r>
      <w:r>
        <w:rPr>
          <w:rFonts w:eastAsia="Times New Roman" w:cs="Arial"/>
          <w:color w:val="000000"/>
          <w:lang w:eastAsia="bg-BG"/>
        </w:rPr>
        <w:t>.</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707D91CD" w14:textId="77777777" w:rsidR="00910270" w:rsidRPr="00910270" w:rsidRDefault="00910270" w:rsidP="00910270">
      <w:pPr>
        <w:spacing w:line="240" w:lineRule="auto"/>
        <w:rPr>
          <w:rFonts w:eastAsia="Times New Roman" w:cs="Arial"/>
          <w:sz w:val="28"/>
          <w:szCs w:val="24"/>
          <w:lang w:eastAsia="bg-BG"/>
        </w:rPr>
      </w:pPr>
      <w:proofErr w:type="spellStart"/>
      <w:r w:rsidRPr="00910270">
        <w:rPr>
          <w:rFonts w:eastAsia="Times New Roman" w:cs="Arial"/>
          <w:color w:val="000000"/>
          <w:szCs w:val="20"/>
          <w:lang w:eastAsia="bg-BG"/>
        </w:rPr>
        <w:t>Бортезомиб</w:t>
      </w:r>
      <w:proofErr w:type="spellEnd"/>
      <w:r w:rsidRPr="00910270">
        <w:rPr>
          <w:rFonts w:eastAsia="Times New Roman" w:cs="Arial"/>
          <w:color w:val="000000"/>
          <w:szCs w:val="20"/>
          <w:lang w:eastAsia="bg-BG"/>
        </w:rPr>
        <w:t xml:space="preserve"> е положителен за </w:t>
      </w:r>
      <w:proofErr w:type="spellStart"/>
      <w:r w:rsidRPr="00910270">
        <w:rPr>
          <w:rFonts w:eastAsia="Times New Roman" w:cs="Arial"/>
          <w:color w:val="000000"/>
          <w:szCs w:val="20"/>
          <w:lang w:eastAsia="bg-BG"/>
        </w:rPr>
        <w:t>кластогенна</w:t>
      </w:r>
      <w:proofErr w:type="spellEnd"/>
      <w:r w:rsidRPr="00910270">
        <w:rPr>
          <w:rFonts w:eastAsia="Times New Roman" w:cs="Arial"/>
          <w:color w:val="000000"/>
          <w:szCs w:val="20"/>
          <w:lang w:eastAsia="bg-BG"/>
        </w:rPr>
        <w:t xml:space="preserve"> активност (структурни хромозомни аберации) при </w:t>
      </w:r>
      <w:r w:rsidRPr="00910270">
        <w:rPr>
          <w:rFonts w:eastAsia="Times New Roman" w:cs="Arial"/>
          <w:i/>
          <w:iCs/>
          <w:color w:val="000000"/>
          <w:szCs w:val="20"/>
          <w:lang w:val="en-US"/>
        </w:rPr>
        <w:t>in</w:t>
      </w:r>
      <w:r w:rsidRPr="00284CCB">
        <w:rPr>
          <w:rFonts w:eastAsia="Times New Roman" w:cs="Arial"/>
          <w:i/>
          <w:iCs/>
          <w:color w:val="000000"/>
          <w:szCs w:val="20"/>
          <w:lang w:val="ru-RU"/>
        </w:rPr>
        <w:t xml:space="preserve"> </w:t>
      </w:r>
      <w:r w:rsidRPr="00910270">
        <w:rPr>
          <w:rFonts w:eastAsia="Times New Roman" w:cs="Arial"/>
          <w:i/>
          <w:iCs/>
          <w:color w:val="000000"/>
          <w:szCs w:val="20"/>
          <w:lang w:val="en-US"/>
        </w:rPr>
        <w:t>vitro</w:t>
      </w:r>
      <w:r w:rsidRPr="00284CCB">
        <w:rPr>
          <w:rFonts w:eastAsia="Times New Roman" w:cs="Arial"/>
          <w:color w:val="000000"/>
          <w:szCs w:val="20"/>
          <w:lang w:val="ru-RU"/>
        </w:rPr>
        <w:t xml:space="preserve"> </w:t>
      </w:r>
      <w:r w:rsidRPr="00910270">
        <w:rPr>
          <w:rFonts w:eastAsia="Times New Roman" w:cs="Arial"/>
          <w:color w:val="000000"/>
          <w:szCs w:val="20"/>
          <w:lang w:eastAsia="bg-BG"/>
        </w:rPr>
        <w:t xml:space="preserve">проучване за хромозомни аберации с клетки от яйчник на китайски хамстер (СНО) при концентрации от порядъка на 3,125 </w:t>
      </w:r>
      <w:r w:rsidRPr="00910270">
        <w:rPr>
          <w:rFonts w:eastAsia="Times New Roman" w:cs="Arial"/>
          <w:color w:val="000000"/>
          <w:szCs w:val="20"/>
          <w:lang w:val="en-US"/>
        </w:rPr>
        <w:t>ug</w:t>
      </w:r>
      <w:r w:rsidRPr="00284CCB">
        <w:rPr>
          <w:rFonts w:eastAsia="Times New Roman" w:cs="Arial"/>
          <w:color w:val="000000"/>
          <w:szCs w:val="20"/>
          <w:lang w:val="ru-RU"/>
        </w:rPr>
        <w:t>/</w:t>
      </w:r>
      <w:r w:rsidRPr="00910270">
        <w:rPr>
          <w:rFonts w:eastAsia="Times New Roman" w:cs="Arial"/>
          <w:color w:val="000000"/>
          <w:szCs w:val="20"/>
          <w:lang w:val="en-US"/>
        </w:rPr>
        <w:t>ml</w:t>
      </w:r>
      <w:r w:rsidRPr="00284CCB">
        <w:rPr>
          <w:rFonts w:eastAsia="Times New Roman" w:cs="Arial"/>
          <w:color w:val="000000"/>
          <w:szCs w:val="20"/>
          <w:lang w:val="ru-RU"/>
        </w:rPr>
        <w:t xml:space="preserve">, </w:t>
      </w:r>
      <w:r w:rsidRPr="00910270">
        <w:rPr>
          <w:rFonts w:eastAsia="Times New Roman" w:cs="Arial"/>
          <w:color w:val="000000"/>
          <w:szCs w:val="20"/>
          <w:lang w:eastAsia="bg-BG"/>
        </w:rPr>
        <w:t xml:space="preserve">която е най-ниската оценявана концентрация. </w:t>
      </w:r>
      <w:proofErr w:type="spellStart"/>
      <w:r w:rsidRPr="00910270">
        <w:rPr>
          <w:rFonts w:eastAsia="Times New Roman" w:cs="Arial"/>
          <w:color w:val="000000"/>
          <w:szCs w:val="20"/>
          <w:lang w:eastAsia="bg-BG"/>
        </w:rPr>
        <w:t>Бортезомиб</w:t>
      </w:r>
      <w:proofErr w:type="spellEnd"/>
      <w:r w:rsidRPr="00910270">
        <w:rPr>
          <w:rFonts w:eastAsia="Times New Roman" w:cs="Arial"/>
          <w:color w:val="000000"/>
          <w:szCs w:val="20"/>
          <w:lang w:eastAsia="bg-BG"/>
        </w:rPr>
        <w:t xml:space="preserve"> не е </w:t>
      </w:r>
      <w:proofErr w:type="spellStart"/>
      <w:r w:rsidRPr="00910270">
        <w:rPr>
          <w:rFonts w:eastAsia="Times New Roman" w:cs="Arial"/>
          <w:color w:val="000000"/>
          <w:szCs w:val="20"/>
          <w:lang w:eastAsia="bg-BG"/>
        </w:rPr>
        <w:t>генотоксичен</w:t>
      </w:r>
      <w:proofErr w:type="spellEnd"/>
      <w:r w:rsidRPr="00910270">
        <w:rPr>
          <w:rFonts w:eastAsia="Times New Roman" w:cs="Arial"/>
          <w:color w:val="000000"/>
          <w:szCs w:val="20"/>
          <w:lang w:eastAsia="bg-BG"/>
        </w:rPr>
        <w:t xml:space="preserve">, при </w:t>
      </w:r>
      <w:r w:rsidRPr="00910270">
        <w:rPr>
          <w:rFonts w:eastAsia="Times New Roman" w:cs="Arial"/>
          <w:i/>
          <w:iCs/>
          <w:color w:val="000000"/>
          <w:szCs w:val="20"/>
          <w:lang w:val="en-US"/>
        </w:rPr>
        <w:t>in</w:t>
      </w:r>
      <w:r w:rsidRPr="00284CCB">
        <w:rPr>
          <w:rFonts w:eastAsia="Times New Roman" w:cs="Arial"/>
          <w:i/>
          <w:iCs/>
          <w:color w:val="000000"/>
          <w:szCs w:val="20"/>
        </w:rPr>
        <w:t xml:space="preserve"> </w:t>
      </w:r>
      <w:r w:rsidRPr="00910270">
        <w:rPr>
          <w:rFonts w:eastAsia="Times New Roman" w:cs="Arial"/>
          <w:i/>
          <w:iCs/>
          <w:color w:val="000000"/>
          <w:szCs w:val="20"/>
          <w:lang w:val="en-US"/>
        </w:rPr>
        <w:t>vitro</w:t>
      </w:r>
      <w:r w:rsidRPr="00284CCB">
        <w:rPr>
          <w:rFonts w:eastAsia="Times New Roman" w:cs="Arial"/>
          <w:color w:val="000000"/>
          <w:szCs w:val="20"/>
        </w:rPr>
        <w:t xml:space="preserve"> </w:t>
      </w:r>
      <w:r w:rsidRPr="00910270">
        <w:rPr>
          <w:rFonts w:eastAsia="Times New Roman" w:cs="Arial"/>
          <w:color w:val="000000"/>
          <w:szCs w:val="20"/>
          <w:lang w:eastAsia="bg-BG"/>
        </w:rPr>
        <w:t xml:space="preserve">проучване за </w:t>
      </w:r>
      <w:proofErr w:type="spellStart"/>
      <w:r w:rsidRPr="00910270">
        <w:rPr>
          <w:rFonts w:eastAsia="Times New Roman" w:cs="Arial"/>
          <w:color w:val="000000"/>
          <w:szCs w:val="20"/>
          <w:lang w:eastAsia="bg-BG"/>
        </w:rPr>
        <w:t>мутагенност</w:t>
      </w:r>
      <w:proofErr w:type="spellEnd"/>
      <w:r w:rsidRPr="00910270">
        <w:rPr>
          <w:rFonts w:eastAsia="Times New Roman" w:cs="Arial"/>
          <w:color w:val="000000"/>
          <w:szCs w:val="20"/>
          <w:lang w:eastAsia="bg-BG"/>
        </w:rPr>
        <w:t xml:space="preserve"> </w:t>
      </w:r>
      <w:r w:rsidRPr="00284CCB">
        <w:rPr>
          <w:rFonts w:eastAsia="Times New Roman" w:cs="Arial"/>
          <w:color w:val="000000"/>
          <w:szCs w:val="20"/>
        </w:rPr>
        <w:t>(</w:t>
      </w:r>
      <w:r w:rsidRPr="00910270">
        <w:rPr>
          <w:rFonts w:eastAsia="Times New Roman" w:cs="Arial"/>
          <w:color w:val="000000"/>
          <w:szCs w:val="20"/>
          <w:lang w:val="en-US"/>
        </w:rPr>
        <w:t>Ames</w:t>
      </w:r>
      <w:r w:rsidRPr="00284CCB">
        <w:rPr>
          <w:rFonts w:eastAsia="Times New Roman" w:cs="Arial"/>
          <w:color w:val="000000"/>
          <w:szCs w:val="20"/>
        </w:rPr>
        <w:t xml:space="preserve"> </w:t>
      </w:r>
      <w:r w:rsidRPr="00910270">
        <w:rPr>
          <w:rFonts w:eastAsia="Times New Roman" w:cs="Arial"/>
          <w:color w:val="000000"/>
          <w:szCs w:val="20"/>
          <w:lang w:eastAsia="bg-BG"/>
        </w:rPr>
        <w:t xml:space="preserve">тест) и </w:t>
      </w:r>
      <w:r w:rsidRPr="00910270">
        <w:rPr>
          <w:rFonts w:eastAsia="Times New Roman" w:cs="Arial"/>
          <w:i/>
          <w:iCs/>
          <w:color w:val="000000"/>
          <w:szCs w:val="20"/>
          <w:lang w:val="en-US"/>
        </w:rPr>
        <w:t>in</w:t>
      </w:r>
      <w:r w:rsidRPr="00284CCB">
        <w:rPr>
          <w:rFonts w:eastAsia="Times New Roman" w:cs="Arial"/>
          <w:i/>
          <w:iCs/>
          <w:color w:val="000000"/>
          <w:szCs w:val="20"/>
        </w:rPr>
        <w:t xml:space="preserve"> </w:t>
      </w:r>
      <w:r w:rsidRPr="00910270">
        <w:rPr>
          <w:rFonts w:eastAsia="Times New Roman" w:cs="Arial"/>
          <w:i/>
          <w:iCs/>
          <w:color w:val="000000"/>
          <w:szCs w:val="20"/>
          <w:lang w:val="en-US"/>
        </w:rPr>
        <w:t>vivo</w:t>
      </w:r>
      <w:r w:rsidRPr="00284CCB">
        <w:rPr>
          <w:rFonts w:eastAsia="Times New Roman" w:cs="Arial"/>
          <w:i/>
          <w:iCs/>
          <w:color w:val="000000"/>
          <w:szCs w:val="20"/>
        </w:rPr>
        <w:t xml:space="preserve"> </w:t>
      </w:r>
      <w:proofErr w:type="spellStart"/>
      <w:r w:rsidRPr="00910270">
        <w:rPr>
          <w:rFonts w:eastAsia="Times New Roman" w:cs="Arial"/>
          <w:color w:val="000000"/>
          <w:szCs w:val="20"/>
          <w:lang w:eastAsia="bg-BG"/>
        </w:rPr>
        <w:t>микронуклеусен</w:t>
      </w:r>
      <w:proofErr w:type="spellEnd"/>
      <w:r w:rsidRPr="00910270">
        <w:rPr>
          <w:rFonts w:eastAsia="Times New Roman" w:cs="Arial"/>
          <w:color w:val="000000"/>
          <w:szCs w:val="20"/>
          <w:lang w:eastAsia="bg-BG"/>
        </w:rPr>
        <w:t xml:space="preserve"> тест при мишки.</w:t>
      </w:r>
    </w:p>
    <w:p w14:paraId="1A8F94A9" w14:textId="77777777" w:rsidR="00910270" w:rsidRPr="00910270" w:rsidRDefault="00910270" w:rsidP="00910270">
      <w:pPr>
        <w:spacing w:line="240" w:lineRule="auto"/>
        <w:rPr>
          <w:rFonts w:eastAsia="Times New Roman" w:cs="Arial"/>
          <w:color w:val="000000"/>
          <w:szCs w:val="20"/>
          <w:lang w:eastAsia="bg-BG"/>
        </w:rPr>
      </w:pPr>
    </w:p>
    <w:p w14:paraId="1C4F4981" w14:textId="3A3EE979"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 xml:space="preserve">Проучвания за токсичност на развитието при плъхове и зайци са показали </w:t>
      </w:r>
      <w:proofErr w:type="spellStart"/>
      <w:r w:rsidRPr="00910270">
        <w:rPr>
          <w:rFonts w:eastAsia="Times New Roman" w:cs="Arial"/>
          <w:color w:val="000000"/>
          <w:szCs w:val="20"/>
          <w:lang w:eastAsia="bg-BG"/>
        </w:rPr>
        <w:t>ембрио</w:t>
      </w:r>
      <w:proofErr w:type="spellEnd"/>
      <w:r w:rsidRPr="00910270">
        <w:rPr>
          <w:rFonts w:eastAsia="Times New Roman" w:cs="Arial"/>
          <w:color w:val="000000"/>
          <w:szCs w:val="20"/>
          <w:lang w:eastAsia="bg-BG"/>
        </w:rPr>
        <w:t xml:space="preserve">-фетална смъртност при дози, токсични за майката, но липса на директна </w:t>
      </w:r>
      <w:proofErr w:type="spellStart"/>
      <w:r w:rsidRPr="00910270">
        <w:rPr>
          <w:rFonts w:eastAsia="Times New Roman" w:cs="Arial"/>
          <w:color w:val="000000"/>
          <w:szCs w:val="20"/>
          <w:lang w:eastAsia="bg-BG"/>
        </w:rPr>
        <w:t>ембрио</w:t>
      </w:r>
      <w:proofErr w:type="spellEnd"/>
      <w:r w:rsidRPr="00910270">
        <w:rPr>
          <w:rFonts w:eastAsia="Times New Roman" w:cs="Arial"/>
          <w:color w:val="000000"/>
          <w:szCs w:val="20"/>
          <w:lang w:eastAsia="bg-BG"/>
        </w:rPr>
        <w:t xml:space="preserve">-фетална токсичност при дози под токсичните за майката. Проучвания за </w:t>
      </w:r>
      <w:proofErr w:type="spellStart"/>
      <w:r w:rsidRPr="00910270">
        <w:rPr>
          <w:rFonts w:eastAsia="Times New Roman" w:cs="Arial"/>
          <w:color w:val="000000"/>
          <w:szCs w:val="20"/>
          <w:lang w:eastAsia="bg-BG"/>
        </w:rPr>
        <w:t>фертилитет</w:t>
      </w:r>
      <w:proofErr w:type="spellEnd"/>
      <w:r w:rsidRPr="00910270">
        <w:rPr>
          <w:rFonts w:eastAsia="Times New Roman" w:cs="Arial"/>
          <w:color w:val="000000"/>
          <w:szCs w:val="20"/>
          <w:lang w:eastAsia="bg-BG"/>
        </w:rPr>
        <w:t xml:space="preserve"> не са провеждани, но е извършена оценка на репродуктивните тъкани, при проучванията за обща токсичност. Наблюдавани са дегенеративни ефекти върху тестисите и яйчниците при 6-месечно проучване при плъхове. Затова е вероятно </w:t>
      </w:r>
      <w:proofErr w:type="spellStart"/>
      <w:r w:rsidRPr="00910270">
        <w:rPr>
          <w:rFonts w:eastAsia="Times New Roman" w:cs="Arial"/>
          <w:color w:val="000000"/>
          <w:szCs w:val="20"/>
          <w:lang w:eastAsia="bg-BG"/>
        </w:rPr>
        <w:t>бортезомиб</w:t>
      </w:r>
      <w:proofErr w:type="spellEnd"/>
      <w:r w:rsidRPr="00910270">
        <w:rPr>
          <w:rFonts w:eastAsia="Times New Roman" w:cs="Arial"/>
          <w:color w:val="000000"/>
          <w:szCs w:val="20"/>
          <w:lang w:eastAsia="bg-BG"/>
        </w:rPr>
        <w:t xml:space="preserve"> да има потенциални ефекти и върху мъжкия и женски </w:t>
      </w:r>
      <w:proofErr w:type="spellStart"/>
      <w:r w:rsidRPr="00910270">
        <w:rPr>
          <w:rFonts w:eastAsia="Times New Roman" w:cs="Arial"/>
          <w:color w:val="000000"/>
          <w:szCs w:val="20"/>
          <w:lang w:eastAsia="bg-BG"/>
        </w:rPr>
        <w:t>фертилитет</w:t>
      </w:r>
      <w:proofErr w:type="spellEnd"/>
      <w:r w:rsidRPr="00910270">
        <w:rPr>
          <w:rFonts w:eastAsia="Times New Roman" w:cs="Arial"/>
          <w:color w:val="000000"/>
          <w:szCs w:val="20"/>
          <w:lang w:eastAsia="bg-BG"/>
        </w:rPr>
        <w:t xml:space="preserve">. Проучвания на пери- и </w:t>
      </w:r>
      <w:proofErr w:type="spellStart"/>
      <w:r w:rsidRPr="00910270">
        <w:rPr>
          <w:rFonts w:eastAsia="Times New Roman" w:cs="Arial"/>
          <w:color w:val="000000"/>
          <w:szCs w:val="20"/>
          <w:lang w:eastAsia="bg-BG"/>
        </w:rPr>
        <w:t>постнаталното</w:t>
      </w:r>
      <w:proofErr w:type="spellEnd"/>
      <w:r w:rsidRPr="00910270">
        <w:rPr>
          <w:rFonts w:eastAsia="Times New Roman" w:cs="Arial"/>
          <w:color w:val="000000"/>
          <w:szCs w:val="20"/>
          <w:lang w:eastAsia="bg-BG"/>
        </w:rPr>
        <w:t xml:space="preserve"> развитие не са провеждани.</w:t>
      </w:r>
    </w:p>
    <w:p w14:paraId="65F566C2" w14:textId="77777777" w:rsidR="00910270" w:rsidRPr="00910270" w:rsidRDefault="00910270" w:rsidP="00910270">
      <w:pPr>
        <w:spacing w:line="240" w:lineRule="auto"/>
        <w:rPr>
          <w:rFonts w:eastAsia="Times New Roman" w:cs="Arial"/>
          <w:color w:val="000000"/>
          <w:szCs w:val="20"/>
          <w:lang w:eastAsia="bg-BG"/>
        </w:rPr>
      </w:pPr>
    </w:p>
    <w:p w14:paraId="28C3A039" w14:textId="1146D8BC"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 xml:space="preserve">При мултициклични проучвания за обща токсичност, проведени с плъхове и маймуни, основните прицелни органи включват стомашно-чревен тракт, което довежда до повръщане и/или диария, </w:t>
      </w:r>
      <w:proofErr w:type="spellStart"/>
      <w:r w:rsidRPr="00910270">
        <w:rPr>
          <w:rFonts w:eastAsia="Times New Roman" w:cs="Arial"/>
          <w:color w:val="000000"/>
          <w:szCs w:val="20"/>
          <w:lang w:eastAsia="bg-BG"/>
        </w:rPr>
        <w:t>хемопоетична</w:t>
      </w:r>
      <w:proofErr w:type="spellEnd"/>
      <w:r w:rsidRPr="00910270">
        <w:rPr>
          <w:rFonts w:eastAsia="Times New Roman" w:cs="Arial"/>
          <w:color w:val="000000"/>
          <w:szCs w:val="20"/>
          <w:lang w:eastAsia="bg-BG"/>
        </w:rPr>
        <w:t xml:space="preserve"> и лимфна тъкани, водещо до </w:t>
      </w:r>
      <w:proofErr w:type="spellStart"/>
      <w:r w:rsidRPr="00910270">
        <w:rPr>
          <w:rFonts w:eastAsia="Times New Roman" w:cs="Arial"/>
          <w:color w:val="000000"/>
          <w:szCs w:val="20"/>
          <w:lang w:eastAsia="bg-BG"/>
        </w:rPr>
        <w:t>цитопении</w:t>
      </w:r>
      <w:proofErr w:type="spellEnd"/>
      <w:r w:rsidRPr="00910270">
        <w:rPr>
          <w:rFonts w:eastAsia="Times New Roman" w:cs="Arial"/>
          <w:color w:val="000000"/>
          <w:szCs w:val="20"/>
          <w:lang w:eastAsia="bg-BG"/>
        </w:rPr>
        <w:t xml:space="preserve"> в периферната кръв, атрофия на </w:t>
      </w:r>
      <w:proofErr w:type="spellStart"/>
      <w:r w:rsidRPr="00910270">
        <w:rPr>
          <w:rFonts w:eastAsia="Times New Roman" w:cs="Arial"/>
          <w:color w:val="000000"/>
          <w:szCs w:val="20"/>
          <w:lang w:eastAsia="bg-BG"/>
        </w:rPr>
        <w:t>лимфоидната</w:t>
      </w:r>
      <w:proofErr w:type="spellEnd"/>
      <w:r w:rsidRPr="00910270">
        <w:rPr>
          <w:rFonts w:eastAsia="Times New Roman" w:cs="Arial"/>
          <w:color w:val="000000"/>
          <w:szCs w:val="20"/>
          <w:lang w:eastAsia="bg-BG"/>
        </w:rPr>
        <w:t xml:space="preserve"> тъкан </w:t>
      </w:r>
      <w:r w:rsidRPr="00910270">
        <w:rPr>
          <w:rFonts w:eastAsia="Times New Roman" w:cs="Arial"/>
          <w:i/>
          <w:iCs/>
          <w:color w:val="000000"/>
          <w:szCs w:val="20"/>
          <w:lang w:eastAsia="bg-BG"/>
        </w:rPr>
        <w:t>и</w:t>
      </w:r>
      <w:r w:rsidRPr="00910270">
        <w:rPr>
          <w:rFonts w:eastAsia="Times New Roman" w:cs="Arial"/>
          <w:color w:val="000000"/>
          <w:szCs w:val="20"/>
          <w:lang w:eastAsia="bg-BG"/>
        </w:rPr>
        <w:t xml:space="preserve"> </w:t>
      </w:r>
      <w:proofErr w:type="spellStart"/>
      <w:r w:rsidRPr="00910270">
        <w:rPr>
          <w:rFonts w:eastAsia="Times New Roman" w:cs="Arial"/>
          <w:color w:val="000000"/>
          <w:szCs w:val="20"/>
          <w:lang w:eastAsia="bg-BG"/>
        </w:rPr>
        <w:t>хипоцелуларност</w:t>
      </w:r>
      <w:proofErr w:type="spellEnd"/>
      <w:r w:rsidRPr="00910270">
        <w:rPr>
          <w:rFonts w:eastAsia="Times New Roman" w:cs="Arial"/>
          <w:color w:val="000000"/>
          <w:szCs w:val="20"/>
          <w:lang w:eastAsia="bg-BG"/>
        </w:rPr>
        <w:t xml:space="preserve"> в </w:t>
      </w:r>
      <w:proofErr w:type="spellStart"/>
      <w:r w:rsidRPr="00910270">
        <w:rPr>
          <w:rFonts w:eastAsia="Times New Roman" w:cs="Arial"/>
          <w:color w:val="000000"/>
          <w:szCs w:val="20"/>
          <w:lang w:eastAsia="bg-BG"/>
        </w:rPr>
        <w:t>хемопоеткчния</w:t>
      </w:r>
      <w:proofErr w:type="spellEnd"/>
      <w:r w:rsidRPr="00910270">
        <w:rPr>
          <w:rFonts w:eastAsia="Times New Roman" w:cs="Arial"/>
          <w:color w:val="000000"/>
          <w:szCs w:val="20"/>
          <w:lang w:eastAsia="bg-BG"/>
        </w:rPr>
        <w:t xml:space="preserve"> костен мозък, периферна невропатия (наблюдавана при маймуни, мишки и кучета), засягаща </w:t>
      </w:r>
      <w:proofErr w:type="spellStart"/>
      <w:r w:rsidRPr="00910270">
        <w:rPr>
          <w:rFonts w:eastAsia="Times New Roman" w:cs="Arial"/>
          <w:color w:val="000000"/>
          <w:szCs w:val="20"/>
          <w:lang w:eastAsia="bg-BG"/>
        </w:rPr>
        <w:t>аксоните</w:t>
      </w:r>
      <w:proofErr w:type="spellEnd"/>
      <w:r w:rsidRPr="00910270">
        <w:rPr>
          <w:rFonts w:eastAsia="Times New Roman" w:cs="Arial"/>
          <w:color w:val="000000"/>
          <w:szCs w:val="20"/>
          <w:lang w:eastAsia="bg-BG"/>
        </w:rPr>
        <w:t xml:space="preserve"> на сензорните нерви и леки промени в бъбреците. Всички тези таргетни органи са показали частично до пълно възстановяване след спиране на лечението.</w:t>
      </w:r>
    </w:p>
    <w:p w14:paraId="07005F79" w14:textId="77777777" w:rsidR="00910270" w:rsidRPr="00910270" w:rsidRDefault="00910270" w:rsidP="00910270">
      <w:pPr>
        <w:spacing w:line="240" w:lineRule="auto"/>
        <w:rPr>
          <w:rFonts w:eastAsia="Times New Roman" w:cs="Arial"/>
          <w:color w:val="000000"/>
          <w:szCs w:val="20"/>
          <w:lang w:eastAsia="bg-BG"/>
        </w:rPr>
      </w:pPr>
    </w:p>
    <w:p w14:paraId="73E673AF" w14:textId="1273FEBD"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 xml:space="preserve">На базата на проучвания при животни, ако има някакво преминаване на </w:t>
      </w:r>
      <w:proofErr w:type="spellStart"/>
      <w:r w:rsidRPr="00910270">
        <w:rPr>
          <w:rFonts w:eastAsia="Times New Roman" w:cs="Arial"/>
          <w:color w:val="000000"/>
          <w:szCs w:val="20"/>
          <w:lang w:eastAsia="bg-BG"/>
        </w:rPr>
        <w:t>бортезомиб</w:t>
      </w:r>
      <w:proofErr w:type="spellEnd"/>
      <w:r w:rsidRPr="00910270">
        <w:rPr>
          <w:rFonts w:eastAsia="Times New Roman" w:cs="Arial"/>
          <w:color w:val="000000"/>
          <w:szCs w:val="20"/>
          <w:lang w:eastAsia="bg-BG"/>
        </w:rPr>
        <w:t xml:space="preserve"> през кръвно-мозъчната бариера, то изглежда е ограничено, и значимостта му при хората е неизвестно.</w:t>
      </w:r>
    </w:p>
    <w:p w14:paraId="2D59E326" w14:textId="77777777" w:rsidR="00910270" w:rsidRPr="00910270" w:rsidRDefault="00910270" w:rsidP="00910270">
      <w:pPr>
        <w:rPr>
          <w:rFonts w:eastAsia="Times New Roman" w:cs="Arial"/>
          <w:color w:val="000000"/>
          <w:szCs w:val="20"/>
          <w:lang w:eastAsia="bg-BG"/>
        </w:rPr>
      </w:pPr>
    </w:p>
    <w:p w14:paraId="13A7B62A" w14:textId="345B4B06" w:rsidR="007A2185" w:rsidRPr="00910270" w:rsidRDefault="00910270" w:rsidP="00910270">
      <w:pPr>
        <w:rPr>
          <w:rFonts w:cs="Arial"/>
          <w:sz w:val="24"/>
        </w:rPr>
      </w:pPr>
      <w:r w:rsidRPr="00910270">
        <w:rPr>
          <w:rFonts w:eastAsia="Times New Roman" w:cs="Arial"/>
          <w:color w:val="000000"/>
          <w:szCs w:val="20"/>
          <w:lang w:eastAsia="bg-BG"/>
        </w:rPr>
        <w:t xml:space="preserve">Фармакологични сърдечно-съдови изследвания за безопасност, проведени при маймуни и кучета показват, че интравенозни дози, превишаващи приблизително два до три пъти препоръчваната клинична доза в </w:t>
      </w:r>
      <w:r w:rsidRPr="00910270">
        <w:rPr>
          <w:rFonts w:eastAsia="Times New Roman" w:cs="Arial"/>
          <w:color w:val="000000"/>
          <w:szCs w:val="20"/>
          <w:lang w:val="en-US"/>
        </w:rPr>
        <w:t>mg</w:t>
      </w:r>
      <w:r w:rsidRPr="00284CCB">
        <w:rPr>
          <w:rFonts w:eastAsia="Times New Roman" w:cs="Arial"/>
          <w:color w:val="000000"/>
          <w:szCs w:val="20"/>
          <w:lang w:val="ru-RU"/>
        </w:rPr>
        <w:t>/</w:t>
      </w:r>
      <w:r w:rsidRPr="00910270">
        <w:rPr>
          <w:rFonts w:eastAsia="Times New Roman" w:cs="Arial"/>
          <w:color w:val="000000"/>
          <w:szCs w:val="20"/>
          <w:lang w:val="en-US"/>
        </w:rPr>
        <w:t>m</w:t>
      </w:r>
      <w:r w:rsidRPr="00284CCB">
        <w:rPr>
          <w:rFonts w:eastAsia="Times New Roman" w:cs="Arial"/>
          <w:color w:val="000000"/>
          <w:szCs w:val="20"/>
          <w:vertAlign w:val="superscript"/>
          <w:lang w:val="ru-RU"/>
        </w:rPr>
        <w:t>2</w:t>
      </w:r>
      <w:r w:rsidRPr="00284CCB">
        <w:rPr>
          <w:rFonts w:eastAsia="Times New Roman" w:cs="Arial"/>
          <w:color w:val="000000"/>
          <w:szCs w:val="20"/>
          <w:lang w:val="ru-RU"/>
        </w:rPr>
        <w:t xml:space="preserve">, </w:t>
      </w:r>
      <w:r w:rsidRPr="00910270">
        <w:rPr>
          <w:rFonts w:eastAsia="Times New Roman" w:cs="Arial"/>
          <w:color w:val="000000"/>
          <w:szCs w:val="20"/>
          <w:lang w:eastAsia="bg-BG"/>
        </w:rPr>
        <w:t xml:space="preserve">са свързани с повишаване на сърдечната честота, понижаване на </w:t>
      </w:r>
      <w:proofErr w:type="spellStart"/>
      <w:r w:rsidRPr="00910270">
        <w:rPr>
          <w:rFonts w:eastAsia="Times New Roman" w:cs="Arial"/>
          <w:color w:val="000000"/>
          <w:szCs w:val="20"/>
          <w:lang w:eastAsia="bg-BG"/>
        </w:rPr>
        <w:t>контрактилитета</w:t>
      </w:r>
      <w:proofErr w:type="spellEnd"/>
      <w:r w:rsidRPr="00910270">
        <w:rPr>
          <w:rFonts w:eastAsia="Times New Roman" w:cs="Arial"/>
          <w:color w:val="000000"/>
          <w:szCs w:val="20"/>
          <w:lang w:eastAsia="bg-BG"/>
        </w:rPr>
        <w:t xml:space="preserve">, хипотония и смърт. При кучета понижаването на сърдечния </w:t>
      </w:r>
      <w:proofErr w:type="spellStart"/>
      <w:r w:rsidRPr="00910270">
        <w:rPr>
          <w:rFonts w:eastAsia="Times New Roman" w:cs="Arial"/>
          <w:color w:val="000000"/>
          <w:szCs w:val="20"/>
          <w:lang w:eastAsia="bg-BG"/>
        </w:rPr>
        <w:t>контрактилитет</w:t>
      </w:r>
      <w:proofErr w:type="spellEnd"/>
      <w:r w:rsidRPr="00910270">
        <w:rPr>
          <w:rFonts w:eastAsia="Times New Roman" w:cs="Arial"/>
          <w:color w:val="000000"/>
          <w:szCs w:val="20"/>
          <w:lang w:eastAsia="bg-BG"/>
        </w:rPr>
        <w:t xml:space="preserve"> и хипотония са свързани с остро въвеждане на положителни </w:t>
      </w:r>
      <w:proofErr w:type="spellStart"/>
      <w:r w:rsidRPr="00910270">
        <w:rPr>
          <w:rFonts w:eastAsia="Times New Roman" w:cs="Arial"/>
          <w:color w:val="000000"/>
          <w:szCs w:val="20"/>
          <w:lang w:eastAsia="bg-BG"/>
        </w:rPr>
        <w:t>икотропни</w:t>
      </w:r>
      <w:proofErr w:type="spellEnd"/>
      <w:r w:rsidRPr="00910270">
        <w:rPr>
          <w:rFonts w:eastAsia="Times New Roman" w:cs="Arial"/>
          <w:color w:val="000000"/>
          <w:szCs w:val="20"/>
          <w:lang w:eastAsia="bg-BG"/>
        </w:rPr>
        <w:t xml:space="preserve"> или </w:t>
      </w:r>
      <w:proofErr w:type="spellStart"/>
      <w:r w:rsidRPr="00910270">
        <w:rPr>
          <w:rFonts w:eastAsia="Times New Roman" w:cs="Arial"/>
          <w:color w:val="000000"/>
          <w:szCs w:val="20"/>
          <w:lang w:eastAsia="bg-BG"/>
        </w:rPr>
        <w:t>пресорни</w:t>
      </w:r>
      <w:proofErr w:type="spellEnd"/>
      <w:r w:rsidRPr="00910270">
        <w:rPr>
          <w:rFonts w:eastAsia="Times New Roman" w:cs="Arial"/>
          <w:color w:val="000000"/>
          <w:szCs w:val="20"/>
          <w:lang w:eastAsia="bg-BG"/>
        </w:rPr>
        <w:t xml:space="preserve"> агенти. Освен това, при изследванията при кучета е било наблюдавано слабо увеличаване на нормалния </w:t>
      </w:r>
      <w:r w:rsidRPr="00910270">
        <w:rPr>
          <w:rFonts w:eastAsia="Times New Roman" w:cs="Arial"/>
          <w:color w:val="000000"/>
          <w:szCs w:val="20"/>
          <w:lang w:val="en-US"/>
        </w:rPr>
        <w:t>QT</w:t>
      </w:r>
      <w:r w:rsidRPr="00910270">
        <w:rPr>
          <w:rFonts w:eastAsia="Times New Roman" w:cs="Arial"/>
          <w:color w:val="000000"/>
          <w:szCs w:val="20"/>
          <w:lang w:eastAsia="bg-BG"/>
        </w:rPr>
        <w:t>-интервал.</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7EEE0EE" w14:textId="77777777"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ФАРМАКОНС АД</w:t>
      </w:r>
    </w:p>
    <w:p w14:paraId="3237E2A7" w14:textId="77777777"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бул.</w:t>
      </w:r>
      <w:r w:rsidRPr="00284CCB">
        <w:rPr>
          <w:rFonts w:eastAsia="Times New Roman" w:cs="Arial"/>
          <w:color w:val="000000"/>
          <w:szCs w:val="20"/>
          <w:lang w:val="ru-RU"/>
        </w:rPr>
        <w:t xml:space="preserve"> "</w:t>
      </w:r>
      <w:r w:rsidRPr="00910270">
        <w:rPr>
          <w:rFonts w:eastAsia="Times New Roman" w:cs="Arial"/>
          <w:color w:val="000000"/>
          <w:szCs w:val="20"/>
          <w:lang w:eastAsia="bg-BG"/>
        </w:rPr>
        <w:t xml:space="preserve">Пейо К. Яворов” № 44, </w:t>
      </w:r>
      <w:r w:rsidRPr="00910270">
        <w:rPr>
          <w:rFonts w:eastAsia="Times New Roman" w:cs="Arial"/>
          <w:b/>
          <w:bCs/>
          <w:i/>
          <w:iCs/>
          <w:color w:val="000000"/>
          <w:szCs w:val="20"/>
          <w:lang w:eastAsia="bg-BG"/>
        </w:rPr>
        <w:t>ет.</w:t>
      </w:r>
      <w:r w:rsidRPr="00910270">
        <w:rPr>
          <w:rFonts w:eastAsia="Times New Roman" w:cs="Arial"/>
          <w:color w:val="000000"/>
          <w:szCs w:val="20"/>
          <w:lang w:eastAsia="bg-BG"/>
        </w:rPr>
        <w:t xml:space="preserve"> 1,</w:t>
      </w:r>
    </w:p>
    <w:p w14:paraId="24FEF27E" w14:textId="77777777"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София 1164</w:t>
      </w:r>
    </w:p>
    <w:p w14:paraId="4F02909F" w14:textId="63A98CBC" w:rsidR="007A2185" w:rsidRPr="00910270" w:rsidRDefault="00910270" w:rsidP="00910270">
      <w:pPr>
        <w:rPr>
          <w:rFonts w:cs="Arial"/>
          <w:sz w:val="24"/>
        </w:rPr>
      </w:pPr>
      <w:r w:rsidRPr="00910270">
        <w:rPr>
          <w:rFonts w:eastAsia="Times New Roman" w:cs="Arial"/>
          <w:color w:val="000000"/>
          <w:szCs w:val="20"/>
          <w:lang w:eastAsia="bg-BG"/>
        </w:rPr>
        <w:t>България</w:t>
      </w:r>
    </w:p>
    <w:p w14:paraId="129C7566" w14:textId="77777777" w:rsidR="0091385D" w:rsidRPr="0091385D" w:rsidRDefault="0091385D" w:rsidP="0091385D"/>
    <w:p w14:paraId="7BA1BA64" w14:textId="17509450" w:rsidR="00CF77F7" w:rsidRDefault="002C50EE" w:rsidP="004A448E">
      <w:pPr>
        <w:pStyle w:val="Heading1"/>
      </w:pPr>
      <w:r>
        <w:lastRenderedPageBreak/>
        <w:t>8. НОМЕР НА РАЗРЕШЕНИЕТО ЗА УПОТРЕБА</w:t>
      </w:r>
    </w:p>
    <w:p w14:paraId="095674C4" w14:textId="3072FB0E" w:rsidR="0091385D" w:rsidRDefault="0091385D" w:rsidP="0091385D"/>
    <w:p w14:paraId="46161304" w14:textId="642D2C15" w:rsidR="007A2185" w:rsidRPr="00910270" w:rsidRDefault="00910270" w:rsidP="0091385D">
      <w:pPr>
        <w:rPr>
          <w:rFonts w:cs="Arial"/>
          <w:sz w:val="24"/>
        </w:rPr>
      </w:pPr>
      <w:r w:rsidRPr="00910270">
        <w:rPr>
          <w:rFonts w:cs="Arial"/>
          <w:szCs w:val="20"/>
          <w:lang w:val="en-US"/>
        </w:rPr>
        <w:t>Pe</w:t>
      </w:r>
      <w:r w:rsidRPr="00910270">
        <w:rPr>
          <w:rFonts w:cs="Arial"/>
          <w:szCs w:val="20"/>
        </w:rPr>
        <w:t>г</w:t>
      </w:r>
      <w:r w:rsidRPr="00284CCB">
        <w:rPr>
          <w:rFonts w:cs="Arial"/>
          <w:szCs w:val="20"/>
          <w:lang w:val="ru-RU"/>
        </w:rPr>
        <w:t xml:space="preserve">. </w:t>
      </w:r>
      <w:r w:rsidRPr="00910270">
        <w:rPr>
          <w:rFonts w:cs="Arial"/>
          <w:szCs w:val="20"/>
        </w:rPr>
        <w:t>№20170302</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160B7C7F" w14:textId="77777777" w:rsidR="00910270" w:rsidRPr="00910270" w:rsidRDefault="00910270" w:rsidP="00910270">
      <w:pPr>
        <w:spacing w:line="240" w:lineRule="auto"/>
        <w:rPr>
          <w:rFonts w:eastAsia="Times New Roman" w:cs="Arial"/>
          <w:sz w:val="28"/>
          <w:szCs w:val="24"/>
          <w:lang w:eastAsia="bg-BG"/>
        </w:rPr>
      </w:pPr>
      <w:r w:rsidRPr="00910270">
        <w:rPr>
          <w:rFonts w:eastAsia="Times New Roman" w:cs="Arial"/>
          <w:color w:val="000000"/>
          <w:szCs w:val="20"/>
          <w:lang w:eastAsia="bg-BG"/>
        </w:rPr>
        <w:t>Дата на първо разрешаване: 23 октомври 2017</w:t>
      </w:r>
    </w:p>
    <w:p w14:paraId="6C57D8B6" w14:textId="51B3D074" w:rsidR="007A2185" w:rsidRPr="00910270" w:rsidRDefault="00910270" w:rsidP="00910270">
      <w:pPr>
        <w:rPr>
          <w:rFonts w:cs="Arial"/>
          <w:sz w:val="24"/>
        </w:rPr>
      </w:pPr>
      <w:r w:rsidRPr="00910270">
        <w:rPr>
          <w:rFonts w:eastAsia="Times New Roman" w:cs="Arial"/>
          <w:color w:val="000000"/>
          <w:szCs w:val="20"/>
          <w:lang w:eastAsia="bg-BG"/>
        </w:rPr>
        <w:t>Дата на последно подновяване:</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674D4C65" w:rsidR="007A2185" w:rsidRPr="00910270" w:rsidRDefault="00910270" w:rsidP="0091385D">
      <w:pPr>
        <w:rPr>
          <w:rFonts w:cs="Arial"/>
          <w:sz w:val="24"/>
        </w:rPr>
      </w:pPr>
      <w:r w:rsidRPr="00910270">
        <w:rPr>
          <w:rFonts w:cs="Arial"/>
          <w:szCs w:val="20"/>
        </w:rPr>
        <w:t>07/2022</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5FC470D"/>
    <w:multiLevelType w:val="hybridMultilevel"/>
    <w:tmpl w:val="15CC770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4A2FBB"/>
    <w:multiLevelType w:val="hybridMultilevel"/>
    <w:tmpl w:val="8C3EC1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949578671">
    <w:abstractNumId w:val="29"/>
  </w:num>
  <w:num w:numId="2" w16cid:durableId="256792100">
    <w:abstractNumId w:val="0"/>
  </w:num>
  <w:num w:numId="3" w16cid:durableId="1104228084">
    <w:abstractNumId w:val="12"/>
  </w:num>
  <w:num w:numId="4" w16cid:durableId="1110198167">
    <w:abstractNumId w:val="3"/>
  </w:num>
  <w:num w:numId="5" w16cid:durableId="331101514">
    <w:abstractNumId w:val="1"/>
  </w:num>
  <w:num w:numId="6" w16cid:durableId="309293855">
    <w:abstractNumId w:val="18"/>
  </w:num>
  <w:num w:numId="7" w16cid:durableId="352727963">
    <w:abstractNumId w:val="10"/>
  </w:num>
  <w:num w:numId="8" w16cid:durableId="1014040080">
    <w:abstractNumId w:val="17"/>
  </w:num>
  <w:num w:numId="9" w16cid:durableId="1991521599">
    <w:abstractNumId w:val="2"/>
  </w:num>
  <w:num w:numId="10" w16cid:durableId="724716858">
    <w:abstractNumId w:val="4"/>
  </w:num>
  <w:num w:numId="11" w16cid:durableId="1756629536">
    <w:abstractNumId w:val="32"/>
  </w:num>
  <w:num w:numId="12" w16cid:durableId="889263986">
    <w:abstractNumId w:val="16"/>
  </w:num>
  <w:num w:numId="13" w16cid:durableId="1124272789">
    <w:abstractNumId w:val="21"/>
  </w:num>
  <w:num w:numId="14" w16cid:durableId="681589722">
    <w:abstractNumId w:val="11"/>
  </w:num>
  <w:num w:numId="15" w16cid:durableId="553779992">
    <w:abstractNumId w:val="31"/>
  </w:num>
  <w:num w:numId="16" w16cid:durableId="29502303">
    <w:abstractNumId w:val="9"/>
  </w:num>
  <w:num w:numId="17" w16cid:durableId="92744083">
    <w:abstractNumId w:val="26"/>
  </w:num>
  <w:num w:numId="18" w16cid:durableId="675109312">
    <w:abstractNumId w:val="7"/>
  </w:num>
  <w:num w:numId="19" w16cid:durableId="1103068110">
    <w:abstractNumId w:val="28"/>
  </w:num>
  <w:num w:numId="20" w16cid:durableId="1953324015">
    <w:abstractNumId w:val="25"/>
  </w:num>
  <w:num w:numId="21" w16cid:durableId="244799516">
    <w:abstractNumId w:val="19"/>
  </w:num>
  <w:num w:numId="22" w16cid:durableId="804199351">
    <w:abstractNumId w:val="27"/>
  </w:num>
  <w:num w:numId="23" w16cid:durableId="2017222227">
    <w:abstractNumId w:val="20"/>
  </w:num>
  <w:num w:numId="24" w16cid:durableId="933322308">
    <w:abstractNumId w:val="8"/>
  </w:num>
  <w:num w:numId="25" w16cid:durableId="918322789">
    <w:abstractNumId w:val="24"/>
  </w:num>
  <w:num w:numId="26" w16cid:durableId="2013600351">
    <w:abstractNumId w:val="23"/>
  </w:num>
  <w:num w:numId="27" w16cid:durableId="1506019303">
    <w:abstractNumId w:val="33"/>
  </w:num>
  <w:num w:numId="28" w16cid:durableId="1260917501">
    <w:abstractNumId w:val="6"/>
  </w:num>
  <w:num w:numId="29" w16cid:durableId="1657302878">
    <w:abstractNumId w:val="22"/>
  </w:num>
  <w:num w:numId="30" w16cid:durableId="807864256">
    <w:abstractNumId w:val="36"/>
  </w:num>
  <w:num w:numId="31" w16cid:durableId="787091086">
    <w:abstractNumId w:val="5"/>
  </w:num>
  <w:num w:numId="32" w16cid:durableId="328485648">
    <w:abstractNumId w:val="35"/>
  </w:num>
  <w:num w:numId="33" w16cid:durableId="1156645505">
    <w:abstractNumId w:val="30"/>
  </w:num>
  <w:num w:numId="34" w16cid:durableId="932854694">
    <w:abstractNumId w:val="34"/>
  </w:num>
  <w:num w:numId="35" w16cid:durableId="2047414097">
    <w:abstractNumId w:val="13"/>
  </w:num>
  <w:num w:numId="36" w16cid:durableId="592006879">
    <w:abstractNumId w:val="15"/>
  </w:num>
  <w:num w:numId="37" w16cid:durableId="102459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C2F42"/>
    <w:rsid w:val="00185A46"/>
    <w:rsid w:val="001915B6"/>
    <w:rsid w:val="001D1B23"/>
    <w:rsid w:val="00284CCB"/>
    <w:rsid w:val="00297F0D"/>
    <w:rsid w:val="002B3C38"/>
    <w:rsid w:val="002B4DBB"/>
    <w:rsid w:val="002C50EE"/>
    <w:rsid w:val="00340A0A"/>
    <w:rsid w:val="003765DC"/>
    <w:rsid w:val="00395555"/>
    <w:rsid w:val="003E3126"/>
    <w:rsid w:val="00426E5F"/>
    <w:rsid w:val="004A448E"/>
    <w:rsid w:val="004D4D6B"/>
    <w:rsid w:val="004F1CE7"/>
    <w:rsid w:val="004F498A"/>
    <w:rsid w:val="00517A5B"/>
    <w:rsid w:val="00567514"/>
    <w:rsid w:val="00593A00"/>
    <w:rsid w:val="005A66D9"/>
    <w:rsid w:val="005B0F27"/>
    <w:rsid w:val="00605BCA"/>
    <w:rsid w:val="00613F14"/>
    <w:rsid w:val="006158A1"/>
    <w:rsid w:val="00617B1F"/>
    <w:rsid w:val="00672487"/>
    <w:rsid w:val="00672600"/>
    <w:rsid w:val="00681D4A"/>
    <w:rsid w:val="00682341"/>
    <w:rsid w:val="00685882"/>
    <w:rsid w:val="006E0383"/>
    <w:rsid w:val="00723166"/>
    <w:rsid w:val="0075649D"/>
    <w:rsid w:val="00772215"/>
    <w:rsid w:val="007A2185"/>
    <w:rsid w:val="007C605B"/>
    <w:rsid w:val="008134C8"/>
    <w:rsid w:val="00814073"/>
    <w:rsid w:val="00826F0D"/>
    <w:rsid w:val="00893B92"/>
    <w:rsid w:val="00896384"/>
    <w:rsid w:val="008A6AF2"/>
    <w:rsid w:val="008C70A2"/>
    <w:rsid w:val="008F1AF3"/>
    <w:rsid w:val="00910270"/>
    <w:rsid w:val="0091385D"/>
    <w:rsid w:val="0093317E"/>
    <w:rsid w:val="009773E4"/>
    <w:rsid w:val="009B171C"/>
    <w:rsid w:val="009F1313"/>
    <w:rsid w:val="00A20351"/>
    <w:rsid w:val="00A65A81"/>
    <w:rsid w:val="00A73575"/>
    <w:rsid w:val="00A76FF9"/>
    <w:rsid w:val="00AA23EC"/>
    <w:rsid w:val="00AC443D"/>
    <w:rsid w:val="00AC63CE"/>
    <w:rsid w:val="00AE2107"/>
    <w:rsid w:val="00B275A8"/>
    <w:rsid w:val="00BA0ABF"/>
    <w:rsid w:val="00BB3B9C"/>
    <w:rsid w:val="00BF2600"/>
    <w:rsid w:val="00C0049F"/>
    <w:rsid w:val="00C020A8"/>
    <w:rsid w:val="00C07B84"/>
    <w:rsid w:val="00C33464"/>
    <w:rsid w:val="00C40420"/>
    <w:rsid w:val="00C809A7"/>
    <w:rsid w:val="00C83063"/>
    <w:rsid w:val="00C87E90"/>
    <w:rsid w:val="00CA1B57"/>
    <w:rsid w:val="00CF77F7"/>
    <w:rsid w:val="00D86297"/>
    <w:rsid w:val="00DD466D"/>
    <w:rsid w:val="00E31EA3"/>
    <w:rsid w:val="00E811D7"/>
    <w:rsid w:val="00EB6364"/>
    <w:rsid w:val="00EC41ED"/>
    <w:rsid w:val="00EF6A31"/>
    <w:rsid w:val="00F37B64"/>
    <w:rsid w:val="00FD4C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12592</Words>
  <Characters>71780</Characters>
  <Application>Microsoft Office Word</Application>
  <DocSecurity>0</DocSecurity>
  <Lines>598</Lines>
  <Paragraphs>168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6</cp:revision>
  <dcterms:created xsi:type="dcterms:W3CDTF">2023-01-24T11:33:00Z</dcterms:created>
  <dcterms:modified xsi:type="dcterms:W3CDTF">2023-01-25T07:51:00Z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