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7DAE2A04" w:rsidR="002C50EE" w:rsidRDefault="002C50EE" w:rsidP="002C50EE">
      <w:pPr>
        <w:pStyle w:val="Heading1"/>
        <w:jc w:val="center"/>
      </w:pPr>
      <w:bookmarkStart w:id="0" w:name="_Hlk63124480"/>
      <w:r>
        <w:t>КРАТКА ХАРАКТЕРИСТИКА НА ПРОДУКТА</w:t>
      </w:r>
    </w:p>
    <w:p w14:paraId="1D8EE360" w14:textId="77777777" w:rsidR="00EE4ADB" w:rsidRPr="00EE4ADB" w:rsidRDefault="00EE4ADB" w:rsidP="00EE4ADB"/>
    <w:p w14:paraId="3320F4BE" w14:textId="0DB5A089" w:rsidR="00C40420" w:rsidRDefault="00DD466D" w:rsidP="004A448E">
      <w:pPr>
        <w:pStyle w:val="Heading1"/>
      </w:pPr>
      <w:r>
        <w:t>1.ИМЕ НА ЛЕКАРСТВЕНИЯ ПРОДУКТ</w:t>
      </w:r>
    </w:p>
    <w:p w14:paraId="0BDC6643" w14:textId="214BDE8D" w:rsidR="00EE4ADB" w:rsidRDefault="00EE4ADB" w:rsidP="00EE4ADB"/>
    <w:p w14:paraId="510EB9F6"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Бралтус 10 микрограма на доставена доза прах за инхалация, твърда капсула</w:t>
      </w:r>
    </w:p>
    <w:p w14:paraId="76A58243" w14:textId="3D00F25A" w:rsidR="00EE4ADB" w:rsidRPr="00EE4ADB" w:rsidRDefault="00EE4ADB" w:rsidP="00EE4ADB">
      <w:proofErr w:type="spellStart"/>
      <w:r w:rsidRPr="00EE4ADB">
        <w:rPr>
          <w:rFonts w:eastAsia="Times New Roman" w:cs="Arial"/>
          <w:bCs/>
          <w:color w:val="000000"/>
          <w:szCs w:val="20"/>
          <w:lang w:val="en-US"/>
        </w:rPr>
        <w:t>Braltus</w:t>
      </w:r>
      <w:proofErr w:type="spellEnd"/>
      <w:r w:rsidRPr="00EE4ADB">
        <w:rPr>
          <w:rFonts w:eastAsia="Times New Roman" w:cs="Arial"/>
          <w:bCs/>
          <w:color w:val="000000"/>
          <w:szCs w:val="20"/>
          <w:lang w:val="en-US"/>
        </w:rPr>
        <w:t xml:space="preserve"> </w:t>
      </w:r>
      <w:r w:rsidRPr="00EE4ADB">
        <w:rPr>
          <w:rFonts w:eastAsia="Times New Roman" w:cs="Arial"/>
          <w:bCs/>
          <w:color w:val="000000"/>
          <w:szCs w:val="20"/>
          <w:lang w:eastAsia="bg-BG"/>
        </w:rPr>
        <w:t xml:space="preserve">10 </w:t>
      </w:r>
      <w:r w:rsidRPr="00EE4ADB">
        <w:rPr>
          <w:rFonts w:eastAsia="Times New Roman" w:cs="Arial"/>
          <w:bCs/>
          <w:color w:val="000000"/>
          <w:szCs w:val="20"/>
          <w:lang w:val="en-US"/>
        </w:rPr>
        <w:t>micrograms per delivered dose inhalation powder, hard capsule</w:t>
      </w:r>
    </w:p>
    <w:p w14:paraId="35ACD173" w14:textId="77777777" w:rsidR="00EE4ADB" w:rsidRPr="00EE4ADB" w:rsidRDefault="00EE4ADB" w:rsidP="00EE4ADB"/>
    <w:p w14:paraId="6920A680" w14:textId="41EBFD72" w:rsidR="00C40420" w:rsidRDefault="00DD466D" w:rsidP="004A448E">
      <w:pPr>
        <w:pStyle w:val="Heading1"/>
      </w:pPr>
      <w:r>
        <w:t>2. КАЧЕСТВЕН И КОЛИЧЕСТВЕН СЪСТАВ</w:t>
      </w:r>
    </w:p>
    <w:p w14:paraId="1566E1FF" w14:textId="26F8B67A" w:rsidR="00EE4ADB" w:rsidRDefault="00EE4ADB" w:rsidP="00EE4ADB"/>
    <w:p w14:paraId="0174B550"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 xml:space="preserve">Всяка капсула съдържа 16 микрограма тиотропиев бромид </w:t>
      </w:r>
      <w:r w:rsidRPr="00EE4ADB">
        <w:rPr>
          <w:rFonts w:eastAsia="Times New Roman" w:cs="Arial"/>
          <w:bCs/>
          <w:i/>
          <w:iCs/>
          <w:color w:val="000000"/>
          <w:szCs w:val="20"/>
          <w:lang w:val="en-US"/>
        </w:rPr>
        <w:t>(</w:t>
      </w:r>
      <w:proofErr w:type="spellStart"/>
      <w:r w:rsidRPr="00EE4ADB">
        <w:rPr>
          <w:rFonts w:eastAsia="Times New Roman" w:cs="Arial"/>
          <w:bCs/>
          <w:i/>
          <w:iCs/>
          <w:color w:val="000000"/>
          <w:szCs w:val="20"/>
          <w:lang w:val="en-US"/>
        </w:rPr>
        <w:t>tiotropium</w:t>
      </w:r>
      <w:proofErr w:type="spellEnd"/>
      <w:r w:rsidRPr="00EE4ADB">
        <w:rPr>
          <w:rFonts w:eastAsia="Times New Roman" w:cs="Arial"/>
          <w:bCs/>
          <w:i/>
          <w:iCs/>
          <w:color w:val="000000"/>
          <w:szCs w:val="20"/>
          <w:lang w:val="en-US"/>
        </w:rPr>
        <w:t xml:space="preserve"> bromide),</w:t>
      </w:r>
      <w:r w:rsidRPr="00EE4ADB">
        <w:rPr>
          <w:rFonts w:eastAsia="Times New Roman" w:cs="Arial"/>
          <w:bCs/>
          <w:color w:val="000000"/>
          <w:szCs w:val="20"/>
          <w:lang w:val="en-US"/>
        </w:rPr>
        <w:t xml:space="preserve"> </w:t>
      </w:r>
      <w:r w:rsidRPr="00EE4ADB">
        <w:rPr>
          <w:rFonts w:eastAsia="Times New Roman" w:cs="Arial"/>
          <w:bCs/>
          <w:color w:val="000000"/>
          <w:szCs w:val="20"/>
          <w:lang w:eastAsia="bg-BG"/>
        </w:rPr>
        <w:t xml:space="preserve">еквивалентни на 13 микрограма тиотропиум </w:t>
      </w:r>
      <w:r w:rsidRPr="00EE4ADB">
        <w:rPr>
          <w:rFonts w:eastAsia="Times New Roman" w:cs="Arial"/>
          <w:bCs/>
          <w:i/>
          <w:iCs/>
          <w:color w:val="000000"/>
          <w:szCs w:val="20"/>
          <w:lang w:val="en-US"/>
        </w:rPr>
        <w:t>(</w:t>
      </w:r>
      <w:proofErr w:type="spellStart"/>
      <w:r w:rsidRPr="00EE4ADB">
        <w:rPr>
          <w:rFonts w:eastAsia="Times New Roman" w:cs="Arial"/>
          <w:bCs/>
          <w:i/>
          <w:iCs/>
          <w:color w:val="000000"/>
          <w:szCs w:val="20"/>
          <w:lang w:val="en-US"/>
        </w:rPr>
        <w:t>tiotropium</w:t>
      </w:r>
      <w:proofErr w:type="spellEnd"/>
      <w:r w:rsidRPr="00EE4ADB">
        <w:rPr>
          <w:rFonts w:eastAsia="Times New Roman" w:cs="Arial"/>
          <w:bCs/>
          <w:i/>
          <w:iCs/>
          <w:color w:val="000000"/>
          <w:szCs w:val="20"/>
          <w:lang w:val="en-US"/>
        </w:rPr>
        <w:t>).</w:t>
      </w:r>
    </w:p>
    <w:p w14:paraId="755C67DF"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 xml:space="preserve">Доставената доза (дозата, която излиза от мундщука на инхалатора </w:t>
      </w:r>
      <w:proofErr w:type="spellStart"/>
      <w:r w:rsidRPr="00EE4ADB">
        <w:rPr>
          <w:rFonts w:eastAsia="Times New Roman" w:cs="Arial"/>
          <w:bCs/>
          <w:color w:val="000000"/>
          <w:szCs w:val="20"/>
          <w:lang w:val="en-US"/>
        </w:rPr>
        <w:t>Zonda</w:t>
      </w:r>
      <w:proofErr w:type="spellEnd"/>
      <w:r w:rsidRPr="00EE4ADB">
        <w:rPr>
          <w:rFonts w:eastAsia="Times New Roman" w:cs="Arial"/>
          <w:bCs/>
          <w:color w:val="000000"/>
          <w:szCs w:val="20"/>
          <w:lang w:val="en-US"/>
        </w:rPr>
        <w:t xml:space="preserve">) </w:t>
      </w:r>
      <w:r w:rsidRPr="00EE4ADB">
        <w:rPr>
          <w:rFonts w:eastAsia="Times New Roman" w:cs="Arial"/>
          <w:bCs/>
          <w:color w:val="000000"/>
          <w:szCs w:val="20"/>
          <w:lang w:eastAsia="bg-BG"/>
        </w:rPr>
        <w:t>е 10 микрограма тиотропиум на капсула.</w:t>
      </w:r>
    </w:p>
    <w:p w14:paraId="0F11AC28" w14:textId="77777777" w:rsidR="00EE4ADB" w:rsidRPr="00EE4ADB" w:rsidRDefault="00EE4ADB" w:rsidP="00EE4ADB">
      <w:pPr>
        <w:spacing w:line="240" w:lineRule="auto"/>
        <w:rPr>
          <w:rFonts w:eastAsia="Times New Roman" w:cs="Arial"/>
          <w:bCs/>
          <w:color w:val="000000"/>
          <w:szCs w:val="20"/>
          <w:u w:val="single"/>
          <w:lang w:eastAsia="bg-BG"/>
        </w:rPr>
      </w:pPr>
    </w:p>
    <w:p w14:paraId="7509BD7C" w14:textId="6D4B31A4"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u w:val="single"/>
          <w:lang w:eastAsia="bg-BG"/>
        </w:rPr>
        <w:t>Пом</w:t>
      </w:r>
      <w:r>
        <w:rPr>
          <w:rFonts w:eastAsia="Times New Roman" w:cs="Arial"/>
          <w:bCs/>
          <w:color w:val="000000"/>
          <w:szCs w:val="20"/>
          <w:u w:val="single"/>
          <w:lang w:eastAsia="bg-BG"/>
        </w:rPr>
        <w:t>ощ</w:t>
      </w:r>
      <w:r w:rsidRPr="00EE4ADB">
        <w:rPr>
          <w:rFonts w:eastAsia="Times New Roman" w:cs="Arial"/>
          <w:bCs/>
          <w:color w:val="000000"/>
          <w:szCs w:val="20"/>
          <w:u w:val="single"/>
          <w:lang w:eastAsia="bg-BG"/>
        </w:rPr>
        <w:t>но(и) вещество(а) с известно действие:</w:t>
      </w:r>
    </w:p>
    <w:p w14:paraId="11B743F2"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 xml:space="preserve">Всяка капсула съдържа 18 </w:t>
      </w:r>
      <w:r w:rsidRPr="00EE4ADB">
        <w:rPr>
          <w:rFonts w:eastAsia="Times New Roman" w:cs="Arial"/>
          <w:bCs/>
          <w:color w:val="000000"/>
          <w:szCs w:val="20"/>
          <w:lang w:val="en-US"/>
        </w:rPr>
        <w:t xml:space="preserve">mg </w:t>
      </w:r>
      <w:r w:rsidRPr="00EE4ADB">
        <w:rPr>
          <w:rFonts w:eastAsia="Times New Roman" w:cs="Arial"/>
          <w:bCs/>
          <w:color w:val="000000"/>
          <w:szCs w:val="20"/>
          <w:lang w:eastAsia="bg-BG"/>
        </w:rPr>
        <w:t>лактоза монохидрат.</w:t>
      </w:r>
    </w:p>
    <w:p w14:paraId="2E7D1AB2" w14:textId="3EB6652B" w:rsidR="00EE4ADB" w:rsidRPr="00EE4ADB" w:rsidRDefault="00EE4ADB" w:rsidP="00EE4ADB">
      <w:pPr>
        <w:rPr>
          <w:rFonts w:cs="Arial"/>
          <w:sz w:val="24"/>
        </w:rPr>
      </w:pPr>
      <w:r w:rsidRPr="00EE4ADB">
        <w:rPr>
          <w:rFonts w:eastAsia="Times New Roman" w:cs="Arial"/>
          <w:bCs/>
          <w:color w:val="000000"/>
          <w:szCs w:val="20"/>
          <w:lang w:eastAsia="bg-BG"/>
        </w:rPr>
        <w:t>За пълния списък на помощните вещества вижте точка 6.1.</w:t>
      </w:r>
    </w:p>
    <w:p w14:paraId="189A60BD" w14:textId="77777777" w:rsidR="00EE4ADB" w:rsidRPr="00EE4ADB" w:rsidRDefault="00EE4ADB" w:rsidP="00EE4ADB"/>
    <w:p w14:paraId="614984C4" w14:textId="6161D508" w:rsidR="008A6AF2" w:rsidRDefault="00DD466D" w:rsidP="002C50EE">
      <w:pPr>
        <w:pStyle w:val="Heading1"/>
      </w:pPr>
      <w:r>
        <w:t>3. ЛЕКАРСТВЕНА ФОРМА</w:t>
      </w:r>
    </w:p>
    <w:p w14:paraId="01366F2C" w14:textId="2053A79B" w:rsidR="00EE4ADB" w:rsidRDefault="00EE4ADB" w:rsidP="00EE4ADB"/>
    <w:p w14:paraId="445196C3" w14:textId="27D5A301" w:rsidR="00EE4ADB" w:rsidRPr="00EE4ADB" w:rsidRDefault="00EE4ADB" w:rsidP="00EE4ADB">
      <w:pPr>
        <w:rPr>
          <w:sz w:val="24"/>
        </w:rPr>
      </w:pPr>
      <w:r w:rsidRPr="00EE4ADB">
        <w:rPr>
          <w:bCs/>
          <w:szCs w:val="20"/>
        </w:rPr>
        <w:t>Прах за инхалация, твърда капсула</w:t>
      </w:r>
    </w:p>
    <w:p w14:paraId="02F4F8D5" w14:textId="49DB32B5" w:rsidR="00EE4ADB" w:rsidRPr="00EE4ADB" w:rsidRDefault="00EE4ADB" w:rsidP="00EE4ADB">
      <w:pPr>
        <w:rPr>
          <w:sz w:val="24"/>
        </w:rPr>
      </w:pPr>
    </w:p>
    <w:p w14:paraId="79351F52" w14:textId="0A385C3F" w:rsidR="00EE4ADB" w:rsidRDefault="00EE4ADB" w:rsidP="00EE4ADB">
      <w:pPr>
        <w:rPr>
          <w:bCs/>
          <w:szCs w:val="20"/>
        </w:rPr>
      </w:pPr>
      <w:r w:rsidRPr="00EE4ADB">
        <w:rPr>
          <w:bCs/>
          <w:szCs w:val="20"/>
        </w:rPr>
        <w:t>Безцветни и прозрачни капсули размер 3, съдържащи бял прах.</w:t>
      </w:r>
    </w:p>
    <w:p w14:paraId="2F379695" w14:textId="77777777" w:rsidR="00EE4ADB" w:rsidRPr="00EE4ADB" w:rsidRDefault="00EE4ADB" w:rsidP="00EE4ADB">
      <w:pPr>
        <w:rPr>
          <w:sz w:val="24"/>
        </w:rPr>
      </w:pPr>
    </w:p>
    <w:p w14:paraId="490FC2C4" w14:textId="0298A6BA" w:rsidR="002C50EE" w:rsidRDefault="002C50EE" w:rsidP="002C50EE">
      <w:pPr>
        <w:pStyle w:val="Heading1"/>
      </w:pPr>
      <w:r>
        <w:t>4. КЛИНИЧНИ ДАННИ</w:t>
      </w:r>
    </w:p>
    <w:p w14:paraId="3540E3D2" w14:textId="77777777" w:rsidR="00EE4ADB" w:rsidRPr="00EE4ADB" w:rsidRDefault="00EE4ADB" w:rsidP="00EE4ADB"/>
    <w:p w14:paraId="0C8E6903" w14:textId="1570B640" w:rsidR="008134C8" w:rsidRDefault="002C50EE" w:rsidP="004A448E">
      <w:pPr>
        <w:pStyle w:val="Heading2"/>
      </w:pPr>
      <w:r>
        <w:t>4.1. Терапевтични показания</w:t>
      </w:r>
    </w:p>
    <w:p w14:paraId="200C8041" w14:textId="1AA110A3" w:rsidR="00EE4ADB" w:rsidRDefault="00EE4ADB" w:rsidP="00EE4ADB"/>
    <w:p w14:paraId="45FF9DD3"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Бралтус 10 микрограма е показан за поддържащо бронходилаторно лечение за облекчаване на симптомите при пациенти с хронична обструктивна белодробна болест (ХОББ).</w:t>
      </w:r>
    </w:p>
    <w:p w14:paraId="5E5B27B3" w14:textId="77777777" w:rsidR="00EE4ADB" w:rsidRPr="00EE4ADB" w:rsidRDefault="00EE4ADB" w:rsidP="00EE4ADB">
      <w:pPr>
        <w:rPr>
          <w:rFonts w:eastAsia="Times New Roman" w:cs="Arial"/>
          <w:bCs/>
          <w:color w:val="000000"/>
          <w:szCs w:val="20"/>
          <w:lang w:eastAsia="bg-BG"/>
        </w:rPr>
      </w:pPr>
    </w:p>
    <w:p w14:paraId="3007FA95" w14:textId="62CC9ACA" w:rsidR="00EE4ADB" w:rsidRPr="00EE4ADB" w:rsidRDefault="00EE4ADB" w:rsidP="00EE4ADB">
      <w:pPr>
        <w:rPr>
          <w:rFonts w:cs="Arial"/>
          <w:sz w:val="24"/>
        </w:rPr>
      </w:pPr>
      <w:r w:rsidRPr="00EE4ADB">
        <w:rPr>
          <w:rFonts w:eastAsia="Times New Roman" w:cs="Arial"/>
          <w:bCs/>
          <w:color w:val="000000"/>
          <w:szCs w:val="20"/>
          <w:lang w:eastAsia="bg-BG"/>
        </w:rPr>
        <w:t>Бралтус 10 микрограма е показан за употреба при възрастни.</w:t>
      </w:r>
    </w:p>
    <w:p w14:paraId="4E20CE6A" w14:textId="77777777" w:rsidR="00EE4ADB" w:rsidRPr="00EE4ADB" w:rsidRDefault="00EE4ADB" w:rsidP="00EE4ADB"/>
    <w:p w14:paraId="30BE2C7B" w14:textId="0ED2168C" w:rsidR="008134C8" w:rsidRDefault="002C50EE" w:rsidP="004A448E">
      <w:pPr>
        <w:pStyle w:val="Heading2"/>
      </w:pPr>
      <w:r>
        <w:t>4.2. Дозировка и начин на приложение</w:t>
      </w:r>
    </w:p>
    <w:p w14:paraId="2CB7AFEF" w14:textId="1DE52AB5" w:rsidR="00EE4ADB" w:rsidRDefault="00EE4ADB" w:rsidP="00EE4ADB"/>
    <w:p w14:paraId="7E5A47BC" w14:textId="77777777" w:rsidR="00EE4ADB" w:rsidRPr="001C123B" w:rsidRDefault="00EE4ADB" w:rsidP="001C123B">
      <w:pPr>
        <w:pStyle w:val="Heading3"/>
        <w:rPr>
          <w:rFonts w:eastAsia="Times New Roman"/>
          <w:sz w:val="28"/>
          <w:u w:val="single"/>
          <w:lang w:eastAsia="bg-BG"/>
        </w:rPr>
      </w:pPr>
      <w:r w:rsidRPr="001C123B">
        <w:rPr>
          <w:rFonts w:eastAsia="Times New Roman"/>
          <w:u w:val="single"/>
          <w:lang w:eastAsia="bg-BG"/>
        </w:rPr>
        <w:t>Дозировка</w:t>
      </w:r>
    </w:p>
    <w:p w14:paraId="687EF52D"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Път на приложение: Инхалаторно приложение.</w:t>
      </w:r>
    </w:p>
    <w:p w14:paraId="39F62CF0" w14:textId="77777777" w:rsidR="00EE4ADB" w:rsidRPr="00EE4ADB" w:rsidRDefault="00EE4ADB" w:rsidP="00EE4ADB">
      <w:pPr>
        <w:spacing w:line="240" w:lineRule="auto"/>
        <w:rPr>
          <w:rFonts w:eastAsia="Times New Roman" w:cs="Arial"/>
          <w:bCs/>
          <w:i/>
          <w:iCs/>
          <w:color w:val="000000"/>
          <w:szCs w:val="20"/>
          <w:lang w:eastAsia="bg-BG"/>
        </w:rPr>
      </w:pPr>
    </w:p>
    <w:p w14:paraId="69909F2E" w14:textId="6D82474C"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i/>
          <w:iCs/>
          <w:color w:val="000000"/>
          <w:szCs w:val="20"/>
          <w:lang w:eastAsia="bg-BG"/>
        </w:rPr>
        <w:t>Препоръчителна доза</w:t>
      </w:r>
    </w:p>
    <w:p w14:paraId="6C378DC3"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Възрастни на 18 и повече години:</w:t>
      </w:r>
    </w:p>
    <w:p w14:paraId="2A465AD1"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lastRenderedPageBreak/>
        <w:t xml:space="preserve">Инхалация на съдържанието на една капсула един път дневно с инхалатора </w:t>
      </w:r>
      <w:proofErr w:type="spellStart"/>
      <w:r w:rsidRPr="00EE4ADB">
        <w:rPr>
          <w:rFonts w:eastAsia="Times New Roman" w:cs="Arial"/>
          <w:bCs/>
          <w:color w:val="000000"/>
          <w:szCs w:val="20"/>
          <w:lang w:val="en-US"/>
        </w:rPr>
        <w:t>Zonda</w:t>
      </w:r>
      <w:proofErr w:type="spellEnd"/>
      <w:r w:rsidRPr="00EE4ADB">
        <w:rPr>
          <w:rFonts w:eastAsia="Times New Roman" w:cs="Arial"/>
          <w:bCs/>
          <w:color w:val="000000"/>
          <w:szCs w:val="20"/>
          <w:lang w:val="en-US"/>
        </w:rPr>
        <w:t>.</w:t>
      </w:r>
    </w:p>
    <w:p w14:paraId="6816C9D5"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Инхалацията трябва да се прави по едно и също време всеки ден.</w:t>
      </w:r>
    </w:p>
    <w:p w14:paraId="4D49DC46"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Препоръчителната доза не трябва да се надвишава.</w:t>
      </w:r>
    </w:p>
    <w:p w14:paraId="47215A7E" w14:textId="64711FB6"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Доставената доза на единична капсула (10 микрограма) е достатъчна и е стандартна доза за</w:t>
      </w:r>
      <w:r>
        <w:rPr>
          <w:rFonts w:eastAsia="Times New Roman" w:cs="Arial"/>
          <w:sz w:val="28"/>
          <w:szCs w:val="24"/>
          <w:lang w:eastAsia="bg-BG"/>
        </w:rPr>
        <w:t xml:space="preserve"> </w:t>
      </w:r>
      <w:r w:rsidRPr="00EE4ADB">
        <w:rPr>
          <w:rFonts w:eastAsia="Times New Roman" w:cs="Arial"/>
          <w:bCs/>
          <w:color w:val="000000"/>
          <w:szCs w:val="20"/>
          <w:lang w:eastAsia="bg-BG"/>
        </w:rPr>
        <w:t>лечение с Бралтус 10 микрограма.</w:t>
      </w:r>
    </w:p>
    <w:p w14:paraId="65996F8F" w14:textId="77777777" w:rsidR="00EE4ADB" w:rsidRPr="00EE4ADB" w:rsidRDefault="00EE4ADB" w:rsidP="00EE4ADB">
      <w:pPr>
        <w:spacing w:line="240" w:lineRule="auto"/>
        <w:rPr>
          <w:rFonts w:eastAsia="Times New Roman" w:cs="Arial"/>
          <w:sz w:val="28"/>
          <w:szCs w:val="24"/>
          <w:lang w:eastAsia="bg-BG"/>
        </w:rPr>
      </w:pPr>
      <w:r w:rsidRPr="00EE4ADB">
        <w:rPr>
          <w:rFonts w:eastAsia="Times New Roman" w:cs="Arial"/>
          <w:bCs/>
          <w:color w:val="000000"/>
          <w:szCs w:val="20"/>
          <w:lang w:eastAsia="bg-BG"/>
        </w:rPr>
        <w:t>Бралтус 10 микрограма са капсули само за инхалация; капсулите не трябва да се поглъщат.</w:t>
      </w:r>
    </w:p>
    <w:p w14:paraId="7BA43525" w14:textId="78BC5C82" w:rsidR="00EE4ADB" w:rsidRDefault="00EE4ADB" w:rsidP="00EE4ADB">
      <w:pPr>
        <w:rPr>
          <w:rFonts w:eastAsia="Times New Roman" w:cs="Arial"/>
          <w:bCs/>
          <w:color w:val="000000"/>
          <w:szCs w:val="20"/>
          <w:lang w:val="en-US"/>
        </w:rPr>
      </w:pPr>
      <w:r w:rsidRPr="00EE4ADB">
        <w:rPr>
          <w:rFonts w:eastAsia="Times New Roman" w:cs="Arial"/>
          <w:bCs/>
          <w:color w:val="000000"/>
          <w:szCs w:val="20"/>
          <w:lang w:eastAsia="bg-BG"/>
        </w:rPr>
        <w:t xml:space="preserve">Бралтус 10 микрограма капсули трябва да се инхалират само с инхалатор </w:t>
      </w:r>
      <w:proofErr w:type="spellStart"/>
      <w:r w:rsidRPr="00EE4ADB">
        <w:rPr>
          <w:rFonts w:eastAsia="Times New Roman" w:cs="Arial"/>
          <w:bCs/>
          <w:color w:val="000000"/>
          <w:szCs w:val="20"/>
          <w:lang w:val="en-US"/>
        </w:rPr>
        <w:t>Zonda</w:t>
      </w:r>
      <w:proofErr w:type="spellEnd"/>
      <w:r w:rsidRPr="00EE4ADB">
        <w:rPr>
          <w:rFonts w:eastAsia="Times New Roman" w:cs="Arial"/>
          <w:bCs/>
          <w:color w:val="000000"/>
          <w:szCs w:val="20"/>
          <w:lang w:val="en-US"/>
        </w:rPr>
        <w:t>.</w:t>
      </w:r>
    </w:p>
    <w:p w14:paraId="6D35D1D9" w14:textId="44C05DF4" w:rsidR="00EE4ADB" w:rsidRDefault="00EE4ADB" w:rsidP="00EE4ADB">
      <w:pPr>
        <w:rPr>
          <w:rFonts w:eastAsia="Times New Roman" w:cs="Arial"/>
          <w:bCs/>
          <w:color w:val="000000"/>
          <w:szCs w:val="20"/>
          <w:lang w:val="en-US"/>
        </w:rPr>
      </w:pPr>
    </w:p>
    <w:p w14:paraId="13DA5106" w14:textId="77777777" w:rsidR="00EE4ADB" w:rsidRPr="00EE4ADB" w:rsidRDefault="00EE4ADB" w:rsidP="00EE4ADB">
      <w:pPr>
        <w:spacing w:line="240" w:lineRule="auto"/>
        <w:rPr>
          <w:rFonts w:eastAsia="Times New Roman" w:cs="Arial"/>
          <w:lang w:eastAsia="bg-BG"/>
        </w:rPr>
      </w:pPr>
      <w:r w:rsidRPr="00EE4ADB">
        <w:rPr>
          <w:rFonts w:eastAsia="Times New Roman" w:cs="Arial"/>
          <w:i/>
          <w:iCs/>
          <w:color w:val="000000"/>
          <w:lang w:eastAsia="bg-BG"/>
        </w:rPr>
        <w:t>Специални популации</w:t>
      </w:r>
    </w:p>
    <w:p w14:paraId="3962FF50" w14:textId="77777777"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 xml:space="preserve">Пациенти в старческа възраст могат да използват тиотропиев бромид в препоръчителната доза. Пациенти с леко бъбречно увреждане (креатининов клирънс &gt;50 </w:t>
      </w:r>
      <w:r w:rsidRPr="00EE4ADB">
        <w:rPr>
          <w:rFonts w:eastAsia="Times New Roman" w:cs="Arial"/>
          <w:color w:val="000000"/>
          <w:lang w:val="en-US"/>
        </w:rPr>
        <w:t xml:space="preserve">ml/min) </w:t>
      </w:r>
      <w:r w:rsidRPr="00EE4ADB">
        <w:rPr>
          <w:rFonts w:eastAsia="Times New Roman" w:cs="Arial"/>
          <w:color w:val="000000"/>
          <w:lang w:eastAsia="bg-BG"/>
        </w:rPr>
        <w:t xml:space="preserve">могат да използват тиотропиев бромид в препоръчителната доза. За пациенти с умерено до тежко увреждане (креатининов клирънс ≥ 50 </w:t>
      </w:r>
      <w:r w:rsidRPr="00EE4ADB">
        <w:rPr>
          <w:rFonts w:eastAsia="Times New Roman" w:cs="Arial"/>
          <w:color w:val="000000"/>
          <w:lang w:val="en-US"/>
        </w:rPr>
        <w:t xml:space="preserve">ml/min) </w:t>
      </w:r>
      <w:r w:rsidRPr="00EE4ADB">
        <w:rPr>
          <w:rFonts w:eastAsia="Times New Roman" w:cs="Arial"/>
          <w:color w:val="000000"/>
          <w:lang w:eastAsia="bg-BG"/>
        </w:rPr>
        <w:t>вижте точка 4.4 и точка 5.2.</w:t>
      </w:r>
    </w:p>
    <w:p w14:paraId="25E97961" w14:textId="77777777"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Пациенти с чернодробно увреждане могат да използват тиотропиев бромид в препоръчителната доза (вж. точка 5.2).</w:t>
      </w:r>
    </w:p>
    <w:p w14:paraId="7643F0B6" w14:textId="77777777" w:rsidR="00EE4ADB" w:rsidRPr="00EE4ADB" w:rsidRDefault="00EE4ADB" w:rsidP="00EE4ADB">
      <w:pPr>
        <w:spacing w:line="240" w:lineRule="auto"/>
        <w:rPr>
          <w:rFonts w:eastAsia="Times New Roman" w:cs="Arial"/>
          <w:i/>
          <w:iCs/>
          <w:color w:val="000000"/>
          <w:lang w:eastAsia="bg-BG"/>
        </w:rPr>
      </w:pPr>
    </w:p>
    <w:p w14:paraId="08E24580" w14:textId="26571817" w:rsidR="00EE4ADB" w:rsidRPr="00EE4ADB" w:rsidRDefault="00EE4ADB" w:rsidP="00EE4ADB">
      <w:pPr>
        <w:spacing w:line="240" w:lineRule="auto"/>
        <w:rPr>
          <w:rFonts w:eastAsia="Times New Roman" w:cs="Arial"/>
          <w:lang w:eastAsia="bg-BG"/>
        </w:rPr>
      </w:pPr>
      <w:r w:rsidRPr="00EE4ADB">
        <w:rPr>
          <w:rFonts w:eastAsia="Times New Roman" w:cs="Arial"/>
          <w:i/>
          <w:iCs/>
          <w:color w:val="000000"/>
          <w:lang w:eastAsia="bg-BG"/>
        </w:rPr>
        <w:t>Педиатрична популация</w:t>
      </w:r>
    </w:p>
    <w:p w14:paraId="041F36B7" w14:textId="77777777" w:rsidR="00EE4ADB" w:rsidRPr="00EE4ADB" w:rsidRDefault="00EE4ADB" w:rsidP="00EE4ADB">
      <w:pPr>
        <w:spacing w:line="240" w:lineRule="auto"/>
        <w:rPr>
          <w:rFonts w:eastAsia="Times New Roman" w:cs="Arial"/>
          <w:color w:val="000000"/>
          <w:lang w:eastAsia="bg-BG"/>
        </w:rPr>
      </w:pPr>
      <w:r w:rsidRPr="00EE4ADB">
        <w:rPr>
          <w:rFonts w:eastAsia="Times New Roman" w:cs="Arial"/>
          <w:color w:val="000000"/>
          <w:lang w:eastAsia="bg-BG"/>
        </w:rPr>
        <w:t xml:space="preserve">Бралтус 10 микрограма не трябва да се използва при деца или юноши под 18-годишна възраст. </w:t>
      </w:r>
    </w:p>
    <w:p w14:paraId="7BFDF15B" w14:textId="77777777" w:rsidR="00EE4ADB" w:rsidRPr="00EE4ADB" w:rsidRDefault="00EE4ADB" w:rsidP="00EE4ADB">
      <w:pPr>
        <w:spacing w:line="240" w:lineRule="auto"/>
        <w:rPr>
          <w:rFonts w:eastAsia="Times New Roman" w:cs="Arial"/>
          <w:color w:val="000000"/>
          <w:lang w:eastAsia="bg-BG"/>
        </w:rPr>
      </w:pPr>
    </w:p>
    <w:p w14:paraId="6B90E902" w14:textId="3C82AB99"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Безопасността и ефикасността не са установени. Липсват данни.</w:t>
      </w:r>
    </w:p>
    <w:p w14:paraId="3147E3B2" w14:textId="77777777"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Няма съответно приложение на тиотропиев бромид в педиатричната популация за показанието ХОББ.</w:t>
      </w:r>
    </w:p>
    <w:p w14:paraId="2DF6E1C8" w14:textId="77777777"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Безопасността и ефикасността на тиотропиев бромид при деца и юноши под 18-годишна възраст не са установени. Липсват данни.</w:t>
      </w:r>
    </w:p>
    <w:p w14:paraId="0E0897B6" w14:textId="77777777" w:rsidR="00EE4ADB" w:rsidRPr="00EE4ADB" w:rsidRDefault="00EE4ADB" w:rsidP="00EE4ADB">
      <w:pPr>
        <w:spacing w:line="240" w:lineRule="auto"/>
        <w:rPr>
          <w:rFonts w:eastAsia="Times New Roman" w:cs="Arial"/>
          <w:color w:val="000000"/>
          <w:u w:val="single"/>
          <w:lang w:eastAsia="bg-BG"/>
        </w:rPr>
      </w:pPr>
    </w:p>
    <w:p w14:paraId="73407F62" w14:textId="58213C06" w:rsidR="00EE4ADB" w:rsidRPr="001C123B" w:rsidRDefault="00EE4ADB" w:rsidP="001C123B">
      <w:pPr>
        <w:pStyle w:val="Heading3"/>
        <w:rPr>
          <w:rFonts w:eastAsia="Times New Roman"/>
          <w:u w:val="single"/>
          <w:lang w:eastAsia="bg-BG"/>
        </w:rPr>
      </w:pPr>
      <w:r w:rsidRPr="001C123B">
        <w:rPr>
          <w:rFonts w:eastAsia="Times New Roman"/>
          <w:u w:val="single"/>
          <w:lang w:eastAsia="bg-BG"/>
        </w:rPr>
        <w:t>Начин на приложение/инструкции за употреба и работа</w:t>
      </w:r>
    </w:p>
    <w:p w14:paraId="0C63C89E" w14:textId="77777777"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За да се осигури правилно приложение на лекарствения продукт, пациентът трябва да бъде обучен как да използва инхалатора от лекуващия лекар или от други медицински специалисти.</w:t>
      </w:r>
    </w:p>
    <w:p w14:paraId="6D8DB4BE" w14:textId="77777777" w:rsidR="00EE4ADB" w:rsidRPr="00EE4ADB" w:rsidRDefault="00EE4ADB" w:rsidP="00EE4ADB">
      <w:pPr>
        <w:spacing w:line="240" w:lineRule="auto"/>
        <w:rPr>
          <w:rFonts w:eastAsia="Times New Roman" w:cs="Arial"/>
          <w:color w:val="000000"/>
          <w:lang w:eastAsia="bg-BG"/>
        </w:rPr>
      </w:pPr>
    </w:p>
    <w:p w14:paraId="6B140C2B" w14:textId="7AB0D94F" w:rsidR="00EE4ADB" w:rsidRPr="00EE4ADB" w:rsidRDefault="00EE4ADB" w:rsidP="00EE4ADB">
      <w:pPr>
        <w:spacing w:line="240" w:lineRule="auto"/>
        <w:rPr>
          <w:rFonts w:eastAsia="Times New Roman" w:cs="Arial"/>
          <w:lang w:eastAsia="bg-BG"/>
        </w:rPr>
      </w:pPr>
      <w:r w:rsidRPr="00EE4ADB">
        <w:rPr>
          <w:rFonts w:eastAsia="Times New Roman" w:cs="Arial"/>
          <w:color w:val="000000"/>
          <w:lang w:eastAsia="bg-BG"/>
        </w:rPr>
        <w:t xml:space="preserve">Инхалаторът </w:t>
      </w:r>
      <w:proofErr w:type="spellStart"/>
      <w:r w:rsidRPr="00EE4ADB">
        <w:rPr>
          <w:rFonts w:eastAsia="Times New Roman" w:cs="Arial"/>
          <w:color w:val="000000"/>
          <w:lang w:val="en-US"/>
        </w:rPr>
        <w:t>Zonda</w:t>
      </w:r>
      <w:proofErr w:type="spellEnd"/>
      <w:r w:rsidRPr="00EE4ADB">
        <w:rPr>
          <w:rFonts w:eastAsia="Times New Roman" w:cs="Arial"/>
          <w:color w:val="000000"/>
          <w:lang w:val="en-US"/>
        </w:rPr>
        <w:t xml:space="preserve"> </w:t>
      </w:r>
      <w:r w:rsidRPr="00EE4ADB">
        <w:rPr>
          <w:rFonts w:eastAsia="Times New Roman" w:cs="Arial"/>
          <w:color w:val="000000"/>
          <w:lang w:eastAsia="bg-BG"/>
        </w:rPr>
        <w:t xml:space="preserve">е специално направен за Бралтус 10 микрограма капсули; пациентите не трябва да го използват за употреба на други лекарства. Бралтус 10 микрограма капсули трябва да се инхалират само с инхалатор </w:t>
      </w:r>
      <w:proofErr w:type="spellStart"/>
      <w:r w:rsidRPr="00EE4ADB">
        <w:rPr>
          <w:rFonts w:eastAsia="Times New Roman" w:cs="Arial"/>
          <w:color w:val="000000"/>
          <w:lang w:val="en-US"/>
        </w:rPr>
        <w:t>Zonda</w:t>
      </w:r>
      <w:proofErr w:type="spellEnd"/>
      <w:r w:rsidRPr="00EE4ADB">
        <w:rPr>
          <w:rFonts w:eastAsia="Times New Roman" w:cs="Arial"/>
          <w:color w:val="000000"/>
          <w:lang w:val="en-US"/>
        </w:rPr>
        <w:t xml:space="preserve">. </w:t>
      </w:r>
      <w:r w:rsidRPr="00EE4ADB">
        <w:rPr>
          <w:rFonts w:eastAsia="Times New Roman" w:cs="Arial"/>
          <w:color w:val="000000"/>
          <w:lang w:eastAsia="bg-BG"/>
        </w:rPr>
        <w:t xml:space="preserve">Пациентите не трябва да използват други инхалатори за прием на Бралтус 10 микрограма капсули. Пациентът трябва да бъде посъветван внимателно да спазва инструкциите за употреба в листовката за пациента. Пациентът трябва да бъде осведомен за допълнителните изображения от вътрешната страна на капака на кутията, които показват правилното поставяне на капсулата в инхалатора. </w:t>
      </w:r>
      <w:r w:rsidRPr="00EE4ADB">
        <w:rPr>
          <w:rFonts w:eastAsia="Times New Roman" w:cs="Arial"/>
          <w:b/>
          <w:color w:val="000000"/>
          <w:lang w:eastAsia="bg-BG"/>
        </w:rPr>
        <w:t>За</w:t>
      </w:r>
      <w:r w:rsidRPr="00EE4ADB">
        <w:rPr>
          <w:rFonts w:eastAsia="Times New Roman" w:cs="Arial"/>
          <w:color w:val="000000"/>
          <w:lang w:eastAsia="bg-BG"/>
        </w:rPr>
        <w:t xml:space="preserve"> </w:t>
      </w:r>
      <w:r w:rsidRPr="00EE4ADB">
        <w:rPr>
          <w:rFonts w:eastAsia="Times New Roman" w:cs="Arial"/>
          <w:b/>
          <w:bCs/>
          <w:color w:val="000000"/>
          <w:lang w:eastAsia="bg-BG"/>
        </w:rPr>
        <w:t>да се избегне риска от задавяне/задушаване, инструктирайте пациента НИКОГА да НЕ поставя капсула директно в мундщука.</w:t>
      </w:r>
    </w:p>
    <w:p w14:paraId="0ACABF4B" w14:textId="77777777" w:rsidR="00EE4ADB" w:rsidRPr="00EE4ADB" w:rsidRDefault="00EE4ADB" w:rsidP="00EE4ADB">
      <w:pPr>
        <w:rPr>
          <w:rFonts w:eastAsia="Times New Roman" w:cs="Arial"/>
          <w:color w:val="000000"/>
          <w:lang w:eastAsia="bg-BG"/>
        </w:rPr>
      </w:pPr>
    </w:p>
    <w:p w14:paraId="22E137AD" w14:textId="02679327" w:rsidR="00EE4ADB" w:rsidRDefault="00EE4ADB" w:rsidP="00EE4ADB">
      <w:pPr>
        <w:rPr>
          <w:rFonts w:eastAsia="Times New Roman" w:cs="Arial"/>
          <w:color w:val="000000"/>
          <w:lang w:eastAsia="bg-BG"/>
        </w:rPr>
      </w:pPr>
      <w:r w:rsidRPr="00EE4ADB">
        <w:rPr>
          <w:rFonts w:eastAsia="Times New Roman" w:cs="Arial"/>
          <w:color w:val="000000"/>
          <w:lang w:eastAsia="bg-BG"/>
        </w:rPr>
        <w:t xml:space="preserve">Инхалаторът </w:t>
      </w:r>
      <w:proofErr w:type="spellStart"/>
      <w:r w:rsidRPr="00EE4ADB">
        <w:rPr>
          <w:rFonts w:eastAsia="Times New Roman" w:cs="Arial"/>
          <w:color w:val="000000"/>
          <w:lang w:val="en-US"/>
        </w:rPr>
        <w:t>Zonda</w:t>
      </w:r>
      <w:proofErr w:type="spellEnd"/>
      <w:r w:rsidRPr="00EE4ADB">
        <w:rPr>
          <w:rFonts w:eastAsia="Times New Roman" w:cs="Arial"/>
          <w:color w:val="000000"/>
          <w:lang w:val="en-US"/>
        </w:rPr>
        <w:t xml:space="preserve"> </w:t>
      </w:r>
      <w:r w:rsidRPr="00EE4ADB">
        <w:rPr>
          <w:rFonts w:eastAsia="Times New Roman" w:cs="Arial"/>
          <w:color w:val="000000"/>
          <w:lang w:eastAsia="bg-BG"/>
        </w:rPr>
        <w:t xml:space="preserve">трябва да се използва само с предоставената бутилка с капсули, която ще бъде поставена или в една и съща кутия с инхалатора, или в отделна кутия, която ще е в комплект с кутията с инхалатора. Инхалаторът да не се използва повторно с друга бутилка с капсули. Изхвърлете инхалатора </w:t>
      </w:r>
      <w:proofErr w:type="spellStart"/>
      <w:r w:rsidRPr="00EE4ADB">
        <w:rPr>
          <w:rFonts w:eastAsia="Times New Roman" w:cs="Arial"/>
          <w:color w:val="000000"/>
          <w:lang w:val="en-US"/>
        </w:rPr>
        <w:t>Zonda</w:t>
      </w:r>
      <w:proofErr w:type="spellEnd"/>
      <w:r w:rsidRPr="00EE4ADB">
        <w:rPr>
          <w:rFonts w:eastAsia="Times New Roman" w:cs="Arial"/>
          <w:color w:val="000000"/>
          <w:lang w:val="en-US"/>
        </w:rPr>
        <w:t xml:space="preserve"> </w:t>
      </w:r>
      <w:r w:rsidRPr="00EE4ADB">
        <w:rPr>
          <w:rFonts w:eastAsia="Times New Roman" w:cs="Arial"/>
          <w:color w:val="000000"/>
          <w:lang w:eastAsia="bg-BG"/>
        </w:rPr>
        <w:t>след 30 приложения (15 приложения, ако се използва заедно с бутилка с 15 капсули).</w:t>
      </w:r>
    </w:p>
    <w:p w14:paraId="5A850048" w14:textId="3B689E14" w:rsidR="00EE4ADB" w:rsidRDefault="00EE4ADB" w:rsidP="00EE4ADB">
      <w:pPr>
        <w:rPr>
          <w:rFonts w:eastAsia="Times New Roman" w:cs="Arial"/>
          <w:color w:val="000000"/>
          <w:lang w:eastAsia="bg-BG"/>
        </w:rPr>
      </w:pPr>
    </w:p>
    <w:p w14:paraId="37854087" w14:textId="4AAD64D1" w:rsidR="00EE4ADB" w:rsidRDefault="00EE4ADB" w:rsidP="00EE4ADB">
      <w:pPr>
        <w:rPr>
          <w:rFonts w:cs="Arial"/>
        </w:rPr>
      </w:pPr>
      <w:r>
        <w:rPr>
          <w:rFonts w:cs="Arial"/>
          <w:noProof/>
          <w:lang w:eastAsia="bg-BG"/>
        </w:rPr>
        <w:lastRenderedPageBreak/>
        <w:drawing>
          <wp:inline distT="0" distB="0" distL="0" distR="0" wp14:anchorId="0AFF82FC" wp14:editId="3D002C39">
            <wp:extent cx="1152686" cy="1448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5">
                      <a:extLst>
                        <a:ext uri="{28A0092B-C50C-407E-A947-70E740481C1C}">
                          <a14:useLocalDpi xmlns:a14="http://schemas.microsoft.com/office/drawing/2010/main" val="0"/>
                        </a:ext>
                      </a:extLst>
                    </a:blip>
                    <a:stretch>
                      <a:fillRect/>
                    </a:stretch>
                  </pic:blipFill>
                  <pic:spPr>
                    <a:xfrm>
                      <a:off x="0" y="0"/>
                      <a:ext cx="1152686" cy="1448002"/>
                    </a:xfrm>
                    <a:prstGeom prst="rect">
                      <a:avLst/>
                    </a:prstGeom>
                  </pic:spPr>
                </pic:pic>
              </a:graphicData>
            </a:graphic>
          </wp:inline>
        </w:drawing>
      </w:r>
    </w:p>
    <w:p w14:paraId="20339D30" w14:textId="77777777" w:rsidR="00EE4ADB" w:rsidRPr="00EE4ADB" w:rsidRDefault="00EE4ADB" w:rsidP="00EE4ADB">
      <w:pPr>
        <w:pStyle w:val="ListParagraph"/>
        <w:numPr>
          <w:ilvl w:val="0"/>
          <w:numId w:val="35"/>
        </w:numPr>
        <w:spacing w:line="240" w:lineRule="auto"/>
        <w:rPr>
          <w:rFonts w:eastAsia="Times New Roman" w:cs="Arial"/>
          <w:color w:val="000000"/>
          <w:lang w:eastAsia="bg-BG"/>
        </w:rPr>
      </w:pPr>
      <w:r w:rsidRPr="00EE4ADB">
        <w:rPr>
          <w:rFonts w:eastAsia="Times New Roman" w:cs="Arial"/>
          <w:color w:val="000000"/>
          <w:lang w:eastAsia="bg-BG"/>
        </w:rPr>
        <w:t>Покривна капачка</w:t>
      </w:r>
    </w:p>
    <w:p w14:paraId="7721F03C" w14:textId="77777777" w:rsidR="00EE4ADB" w:rsidRPr="00EE4ADB" w:rsidRDefault="00EE4ADB" w:rsidP="00EE4ADB">
      <w:pPr>
        <w:pStyle w:val="ListParagraph"/>
        <w:numPr>
          <w:ilvl w:val="0"/>
          <w:numId w:val="35"/>
        </w:numPr>
        <w:spacing w:line="240" w:lineRule="auto"/>
        <w:rPr>
          <w:rFonts w:eastAsia="Times New Roman" w:cs="Arial"/>
          <w:color w:val="000000"/>
          <w:lang w:eastAsia="bg-BG"/>
        </w:rPr>
      </w:pPr>
      <w:r w:rsidRPr="00EE4ADB">
        <w:rPr>
          <w:rFonts w:eastAsia="Times New Roman" w:cs="Arial"/>
          <w:color w:val="000000"/>
          <w:lang w:eastAsia="bg-BG"/>
        </w:rPr>
        <w:t>Мундщук</w:t>
      </w:r>
    </w:p>
    <w:p w14:paraId="6C0A17AB" w14:textId="77777777" w:rsidR="00EE4ADB" w:rsidRPr="00EE4ADB" w:rsidRDefault="00EE4ADB" w:rsidP="00EE4ADB">
      <w:pPr>
        <w:pStyle w:val="ListParagraph"/>
        <w:numPr>
          <w:ilvl w:val="0"/>
          <w:numId w:val="35"/>
        </w:numPr>
        <w:spacing w:line="240" w:lineRule="auto"/>
        <w:rPr>
          <w:rFonts w:eastAsia="Times New Roman" w:cs="Arial"/>
          <w:color w:val="000000"/>
          <w:lang w:eastAsia="bg-BG"/>
        </w:rPr>
      </w:pPr>
      <w:r w:rsidRPr="00EE4ADB">
        <w:rPr>
          <w:rFonts w:eastAsia="Times New Roman" w:cs="Arial"/>
          <w:color w:val="000000"/>
          <w:lang w:eastAsia="bg-BG"/>
        </w:rPr>
        <w:t>Основа</w:t>
      </w:r>
    </w:p>
    <w:p w14:paraId="5A3AEE49" w14:textId="77777777" w:rsidR="00EE4ADB" w:rsidRPr="00EE4ADB" w:rsidRDefault="00EE4ADB" w:rsidP="00EE4ADB">
      <w:pPr>
        <w:pStyle w:val="ListParagraph"/>
        <w:numPr>
          <w:ilvl w:val="0"/>
          <w:numId w:val="35"/>
        </w:numPr>
        <w:spacing w:line="240" w:lineRule="auto"/>
        <w:rPr>
          <w:rFonts w:eastAsia="Times New Roman" w:cs="Arial"/>
          <w:color w:val="000000"/>
          <w:lang w:eastAsia="bg-BG"/>
        </w:rPr>
      </w:pPr>
      <w:r w:rsidRPr="00EE4ADB">
        <w:rPr>
          <w:rFonts w:eastAsia="Times New Roman" w:cs="Arial"/>
          <w:color w:val="000000"/>
          <w:lang w:eastAsia="bg-BG"/>
        </w:rPr>
        <w:t>Бутон за пробиване</w:t>
      </w:r>
    </w:p>
    <w:p w14:paraId="79018528" w14:textId="2356AC77" w:rsidR="00EE4ADB" w:rsidRPr="00EE4ADB" w:rsidRDefault="00EE4ADB" w:rsidP="00EE4ADB">
      <w:pPr>
        <w:pStyle w:val="ListParagraph"/>
        <w:numPr>
          <w:ilvl w:val="0"/>
          <w:numId w:val="35"/>
        </w:numPr>
        <w:rPr>
          <w:rFonts w:cs="Arial"/>
        </w:rPr>
      </w:pPr>
      <w:r w:rsidRPr="00EE4ADB">
        <w:rPr>
          <w:rFonts w:eastAsia="Times New Roman" w:cs="Arial"/>
          <w:color w:val="000000"/>
          <w:lang w:eastAsia="bg-BG"/>
        </w:rPr>
        <w:t>Основна камера</w:t>
      </w:r>
    </w:p>
    <w:p w14:paraId="1A74B795" w14:textId="77777777" w:rsidR="00EE4ADB" w:rsidRDefault="00EE4ADB" w:rsidP="00EE4ADB">
      <w:pPr>
        <w:rPr>
          <w:rFonts w:cs="Arial"/>
        </w:rPr>
      </w:pPr>
    </w:p>
    <w:p w14:paraId="60BC8FB3" w14:textId="53C95572" w:rsidR="00EE4ADB" w:rsidRPr="005E11C5" w:rsidRDefault="00EE4ADB" w:rsidP="00EE4ADB">
      <w:pPr>
        <w:rPr>
          <w:rFonts w:cs="Arial"/>
        </w:rPr>
      </w:pPr>
      <w:r w:rsidRPr="005E11C5">
        <w:rPr>
          <w:rFonts w:cs="Arial"/>
        </w:rPr>
        <w:t>1. Изтеглете покривната капачка нагоре.</w:t>
      </w:r>
    </w:p>
    <w:p w14:paraId="6F63F33E" w14:textId="48939C58" w:rsidR="00EE4ADB" w:rsidRPr="005E11C5" w:rsidRDefault="005E11C5" w:rsidP="00EE4ADB">
      <w:pPr>
        <w:rPr>
          <w:rFonts w:cs="Arial"/>
        </w:rPr>
      </w:pPr>
      <w:r w:rsidRPr="005E11C5">
        <w:rPr>
          <w:rFonts w:cs="Arial"/>
          <w:noProof/>
          <w:lang w:eastAsia="bg-BG"/>
        </w:rPr>
        <w:drawing>
          <wp:inline distT="0" distB="0" distL="0" distR="0" wp14:anchorId="61E1BAD4" wp14:editId="6024D613">
            <wp:extent cx="552527" cy="695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6">
                      <a:extLst>
                        <a:ext uri="{28A0092B-C50C-407E-A947-70E740481C1C}">
                          <a14:useLocalDpi xmlns:a14="http://schemas.microsoft.com/office/drawing/2010/main" val="0"/>
                        </a:ext>
                      </a:extLst>
                    </a:blip>
                    <a:stretch>
                      <a:fillRect/>
                    </a:stretch>
                  </pic:blipFill>
                  <pic:spPr>
                    <a:xfrm>
                      <a:off x="0" y="0"/>
                      <a:ext cx="552527" cy="695422"/>
                    </a:xfrm>
                    <a:prstGeom prst="rect">
                      <a:avLst/>
                    </a:prstGeom>
                  </pic:spPr>
                </pic:pic>
              </a:graphicData>
            </a:graphic>
          </wp:inline>
        </w:drawing>
      </w:r>
    </w:p>
    <w:p w14:paraId="6EC0973C" w14:textId="6D76D1CE" w:rsidR="00EE4ADB" w:rsidRPr="005E11C5" w:rsidRDefault="00EE4ADB" w:rsidP="00EE4ADB">
      <w:pPr>
        <w:rPr>
          <w:rFonts w:cs="Arial"/>
        </w:rPr>
      </w:pPr>
    </w:p>
    <w:p w14:paraId="025BB32B" w14:textId="514ACC60" w:rsidR="00EE4ADB" w:rsidRPr="005E11C5" w:rsidRDefault="00EE4ADB" w:rsidP="005E11C5">
      <w:pPr>
        <w:spacing w:line="240" w:lineRule="auto"/>
        <w:rPr>
          <w:rFonts w:eastAsia="Times New Roman" w:cs="Arial"/>
          <w:color w:val="000000"/>
          <w:lang w:eastAsia="bg-BG"/>
        </w:rPr>
      </w:pPr>
      <w:r w:rsidRPr="005E11C5">
        <w:rPr>
          <w:rFonts w:eastAsia="Times New Roman" w:cs="Arial"/>
          <w:color w:val="000000"/>
          <w:lang w:eastAsia="bg-BG"/>
        </w:rPr>
        <w:t xml:space="preserve">2. </w:t>
      </w:r>
      <w:r w:rsidRPr="00EE4ADB">
        <w:rPr>
          <w:rFonts w:eastAsia="Times New Roman" w:cs="Arial"/>
          <w:color w:val="000000"/>
          <w:lang w:eastAsia="bg-BG"/>
        </w:rPr>
        <w:t>Дръжте здраво основата на инхалатора и отворете мундщука, като го издърпате нагоре, в</w:t>
      </w:r>
      <w:r w:rsidR="005E11C5" w:rsidRPr="005E11C5">
        <w:rPr>
          <w:rFonts w:eastAsia="Times New Roman" w:cs="Arial"/>
          <w:color w:val="000000"/>
          <w:lang w:eastAsia="bg-BG"/>
        </w:rPr>
        <w:t xml:space="preserve"> </w:t>
      </w:r>
      <w:r w:rsidRPr="005E11C5">
        <w:rPr>
          <w:rFonts w:eastAsia="Times New Roman" w:cs="Arial"/>
          <w:color w:val="000000"/>
          <w:lang w:eastAsia="bg-BG"/>
        </w:rPr>
        <w:t>посока на стрелката, за да го отворите.</w:t>
      </w:r>
    </w:p>
    <w:p w14:paraId="49951291" w14:textId="3E512167" w:rsidR="00EE4ADB" w:rsidRPr="005E11C5" w:rsidRDefault="005E11C5" w:rsidP="00EE4ADB">
      <w:pPr>
        <w:rPr>
          <w:rFonts w:cs="Arial"/>
        </w:rPr>
      </w:pPr>
      <w:r w:rsidRPr="005E11C5">
        <w:rPr>
          <w:rFonts w:cs="Arial"/>
          <w:noProof/>
          <w:lang w:eastAsia="bg-BG"/>
        </w:rPr>
        <w:drawing>
          <wp:inline distT="0" distB="0" distL="0" distR="0" wp14:anchorId="497B5312" wp14:editId="68C42BFF">
            <wp:extent cx="562053" cy="7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7">
                      <a:extLst>
                        <a:ext uri="{28A0092B-C50C-407E-A947-70E740481C1C}">
                          <a14:useLocalDpi xmlns:a14="http://schemas.microsoft.com/office/drawing/2010/main" val="0"/>
                        </a:ext>
                      </a:extLst>
                    </a:blip>
                    <a:stretch>
                      <a:fillRect/>
                    </a:stretch>
                  </pic:blipFill>
                  <pic:spPr>
                    <a:xfrm>
                      <a:off x="0" y="0"/>
                      <a:ext cx="562053" cy="714475"/>
                    </a:xfrm>
                    <a:prstGeom prst="rect">
                      <a:avLst/>
                    </a:prstGeom>
                  </pic:spPr>
                </pic:pic>
              </a:graphicData>
            </a:graphic>
          </wp:inline>
        </w:drawing>
      </w:r>
    </w:p>
    <w:p w14:paraId="04699D51" w14:textId="62C4F1CF" w:rsidR="00EE4ADB" w:rsidRPr="005E11C5" w:rsidRDefault="00EE4ADB" w:rsidP="00EE4ADB">
      <w:pPr>
        <w:rPr>
          <w:rFonts w:cs="Arial"/>
        </w:rPr>
      </w:pPr>
    </w:p>
    <w:p w14:paraId="387D73AF" w14:textId="109DA091" w:rsidR="00EE4ADB" w:rsidRPr="005E11C5" w:rsidRDefault="00EE4ADB" w:rsidP="00EE4ADB">
      <w:pPr>
        <w:rPr>
          <w:rFonts w:cs="Arial"/>
        </w:rPr>
      </w:pPr>
      <w:r w:rsidRPr="005E11C5">
        <w:rPr>
          <w:rFonts w:cs="Arial"/>
        </w:rPr>
        <w:t xml:space="preserve">3. Извадете една капсула Бралтус 10 микрограма от бутилката непосредствено преди употреба и затворете плътно бутилката. Поставете една капсула в основната камера в основата на инхалатора. </w:t>
      </w:r>
      <w:r w:rsidRPr="005E11C5">
        <w:rPr>
          <w:rFonts w:cs="Arial"/>
          <w:b/>
          <w:bCs/>
        </w:rPr>
        <w:t xml:space="preserve">Не </w:t>
      </w:r>
      <w:r w:rsidRPr="005E11C5">
        <w:rPr>
          <w:rFonts w:cs="Arial"/>
        </w:rPr>
        <w:t xml:space="preserve">съхранявайте капсулата в инхалатора </w:t>
      </w:r>
      <w:proofErr w:type="spellStart"/>
      <w:r w:rsidRPr="005E11C5">
        <w:rPr>
          <w:rFonts w:cs="Arial"/>
          <w:lang w:val="en-US"/>
        </w:rPr>
        <w:t>Zonda</w:t>
      </w:r>
      <w:proofErr w:type="spellEnd"/>
      <w:r w:rsidRPr="005E11C5">
        <w:rPr>
          <w:rFonts w:cs="Arial"/>
          <w:lang w:val="en-US"/>
        </w:rPr>
        <w:t>.</w:t>
      </w:r>
    </w:p>
    <w:p w14:paraId="0C86FCA0" w14:textId="3DED14AE" w:rsidR="00EE4ADB" w:rsidRPr="005E11C5" w:rsidRDefault="005E11C5" w:rsidP="00EE4ADB">
      <w:pPr>
        <w:rPr>
          <w:rFonts w:cs="Arial"/>
        </w:rPr>
      </w:pPr>
      <w:r w:rsidRPr="005E11C5">
        <w:rPr>
          <w:rFonts w:cs="Arial"/>
          <w:noProof/>
          <w:lang w:eastAsia="bg-BG"/>
        </w:rPr>
        <w:drawing>
          <wp:inline distT="0" distB="0" distL="0" distR="0" wp14:anchorId="4B3F291B" wp14:editId="4233D0AC">
            <wp:extent cx="1581371" cy="1619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8">
                      <a:extLst>
                        <a:ext uri="{28A0092B-C50C-407E-A947-70E740481C1C}">
                          <a14:useLocalDpi xmlns:a14="http://schemas.microsoft.com/office/drawing/2010/main" val="0"/>
                        </a:ext>
                      </a:extLst>
                    </a:blip>
                    <a:stretch>
                      <a:fillRect/>
                    </a:stretch>
                  </pic:blipFill>
                  <pic:spPr>
                    <a:xfrm>
                      <a:off x="0" y="0"/>
                      <a:ext cx="1581371" cy="1619476"/>
                    </a:xfrm>
                    <a:prstGeom prst="rect">
                      <a:avLst/>
                    </a:prstGeom>
                  </pic:spPr>
                </pic:pic>
              </a:graphicData>
            </a:graphic>
          </wp:inline>
        </w:drawing>
      </w:r>
    </w:p>
    <w:p w14:paraId="5CA8ECE6" w14:textId="57952D89" w:rsidR="00EE4ADB" w:rsidRPr="005E11C5" w:rsidRDefault="00EE4ADB" w:rsidP="00EE4ADB">
      <w:pPr>
        <w:rPr>
          <w:rFonts w:cs="Arial"/>
        </w:rPr>
      </w:pPr>
    </w:p>
    <w:p w14:paraId="1100D5E3" w14:textId="1017133F" w:rsidR="00EE4ADB" w:rsidRPr="005E11C5" w:rsidRDefault="00EE4ADB" w:rsidP="00EE4ADB">
      <w:pPr>
        <w:rPr>
          <w:rFonts w:cs="Arial"/>
        </w:rPr>
      </w:pPr>
      <w:r w:rsidRPr="005E11C5">
        <w:rPr>
          <w:rFonts w:cs="Arial"/>
          <w:b/>
          <w:bCs/>
        </w:rPr>
        <w:t xml:space="preserve">4. За да се избегне рискът от задавяне/задушаване, НИКОГА </w:t>
      </w:r>
      <w:r w:rsidRPr="005E11C5">
        <w:rPr>
          <w:rFonts w:cs="Arial"/>
        </w:rPr>
        <w:t>не поставяйте капсулата директно в мундщука.</w:t>
      </w:r>
    </w:p>
    <w:p w14:paraId="604A01C5" w14:textId="1D2E6833" w:rsidR="00EE4ADB" w:rsidRPr="005E11C5" w:rsidRDefault="005E11C5" w:rsidP="00EE4ADB">
      <w:pPr>
        <w:rPr>
          <w:rFonts w:cs="Arial"/>
        </w:rPr>
      </w:pPr>
      <w:r w:rsidRPr="005E11C5">
        <w:rPr>
          <w:rFonts w:cs="Arial"/>
          <w:noProof/>
          <w:lang w:eastAsia="bg-BG"/>
        </w:rPr>
        <w:lastRenderedPageBreak/>
        <w:drawing>
          <wp:inline distT="0" distB="0" distL="0" distR="0" wp14:anchorId="186035F6" wp14:editId="0D449CA0">
            <wp:extent cx="1619476" cy="1733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9">
                      <a:extLst>
                        <a:ext uri="{28A0092B-C50C-407E-A947-70E740481C1C}">
                          <a14:useLocalDpi xmlns:a14="http://schemas.microsoft.com/office/drawing/2010/main" val="0"/>
                        </a:ext>
                      </a:extLst>
                    </a:blip>
                    <a:stretch>
                      <a:fillRect/>
                    </a:stretch>
                  </pic:blipFill>
                  <pic:spPr>
                    <a:xfrm>
                      <a:off x="0" y="0"/>
                      <a:ext cx="1619476" cy="1733792"/>
                    </a:xfrm>
                    <a:prstGeom prst="rect">
                      <a:avLst/>
                    </a:prstGeom>
                  </pic:spPr>
                </pic:pic>
              </a:graphicData>
            </a:graphic>
          </wp:inline>
        </w:drawing>
      </w:r>
    </w:p>
    <w:p w14:paraId="42892FE3" w14:textId="23FF0277" w:rsidR="00EE4ADB" w:rsidRPr="005E11C5" w:rsidRDefault="00EE4ADB" w:rsidP="00EE4ADB">
      <w:pPr>
        <w:rPr>
          <w:rFonts w:cs="Arial"/>
        </w:rPr>
      </w:pPr>
    </w:p>
    <w:p w14:paraId="090E5165" w14:textId="1C396F08" w:rsidR="00EE4ADB" w:rsidRPr="005E11C5" w:rsidRDefault="00EE4ADB" w:rsidP="00EE4ADB">
      <w:pPr>
        <w:rPr>
          <w:rFonts w:cs="Arial"/>
        </w:rPr>
      </w:pPr>
      <w:r w:rsidRPr="005E11C5">
        <w:rPr>
          <w:rFonts w:cs="Arial"/>
        </w:rPr>
        <w:t>5. Затворете мундщука докато се чуе щракване, като оставите покривната капачка отворена.</w:t>
      </w:r>
    </w:p>
    <w:p w14:paraId="626555A1" w14:textId="7F2BBFE3" w:rsidR="005E11C5" w:rsidRPr="005E11C5" w:rsidRDefault="005E11C5" w:rsidP="00EE4ADB">
      <w:pPr>
        <w:rPr>
          <w:rFonts w:cs="Arial"/>
        </w:rPr>
      </w:pPr>
      <w:r w:rsidRPr="005E11C5">
        <w:rPr>
          <w:rFonts w:cs="Arial"/>
          <w:noProof/>
          <w:lang w:eastAsia="bg-BG"/>
        </w:rPr>
        <w:drawing>
          <wp:inline distT="0" distB="0" distL="0" distR="0" wp14:anchorId="4C6D7454" wp14:editId="195518A9">
            <wp:extent cx="581106" cy="6763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0">
                      <a:extLst>
                        <a:ext uri="{28A0092B-C50C-407E-A947-70E740481C1C}">
                          <a14:useLocalDpi xmlns:a14="http://schemas.microsoft.com/office/drawing/2010/main" val="0"/>
                        </a:ext>
                      </a:extLst>
                    </a:blip>
                    <a:stretch>
                      <a:fillRect/>
                    </a:stretch>
                  </pic:blipFill>
                  <pic:spPr>
                    <a:xfrm>
                      <a:off x="0" y="0"/>
                      <a:ext cx="581106" cy="676369"/>
                    </a:xfrm>
                    <a:prstGeom prst="rect">
                      <a:avLst/>
                    </a:prstGeom>
                  </pic:spPr>
                </pic:pic>
              </a:graphicData>
            </a:graphic>
          </wp:inline>
        </w:drawing>
      </w:r>
    </w:p>
    <w:p w14:paraId="727BE599" w14:textId="709FCC34" w:rsidR="005E11C5" w:rsidRPr="005E11C5" w:rsidRDefault="005E11C5" w:rsidP="00EE4ADB">
      <w:pPr>
        <w:rPr>
          <w:rFonts w:cs="Arial"/>
        </w:rPr>
      </w:pPr>
    </w:p>
    <w:p w14:paraId="3D69EBAA" w14:textId="2E65417C" w:rsidR="005E11C5" w:rsidRPr="005E11C5" w:rsidRDefault="005E11C5" w:rsidP="00EE4ADB">
      <w:pPr>
        <w:rPr>
          <w:rFonts w:cs="Arial"/>
        </w:rPr>
      </w:pPr>
      <w:r w:rsidRPr="005E11C5">
        <w:rPr>
          <w:rFonts w:cs="Arial"/>
        </w:rPr>
        <w:t>6. Дръжте инхалатора с мундщука нагоре и натиснете бутона за пробиване до край веднъж. Освободете бутона. Така капсулата ще се пробие и ще позволи лекарството да се освободи, когато</w:t>
      </w:r>
      <w:r w:rsidRPr="005E11C5">
        <w:rPr>
          <w:rFonts w:cs="Arial"/>
          <w:u w:val="single"/>
        </w:rPr>
        <w:t xml:space="preserve"> </w:t>
      </w:r>
      <w:r w:rsidRPr="005E11C5">
        <w:rPr>
          <w:rFonts w:cs="Arial"/>
        </w:rPr>
        <w:t>пациентът вдиша.</w:t>
      </w:r>
    </w:p>
    <w:p w14:paraId="6746F20C" w14:textId="30971213" w:rsidR="005E11C5" w:rsidRPr="005E11C5" w:rsidRDefault="005E11C5" w:rsidP="00EE4ADB">
      <w:pPr>
        <w:rPr>
          <w:rFonts w:cs="Arial"/>
        </w:rPr>
      </w:pPr>
      <w:r w:rsidRPr="005E11C5">
        <w:rPr>
          <w:rFonts w:cs="Arial"/>
          <w:noProof/>
          <w:lang w:eastAsia="bg-BG"/>
        </w:rPr>
        <w:drawing>
          <wp:inline distT="0" distB="0" distL="0" distR="0" wp14:anchorId="2E9D278A" wp14:editId="250C74FF">
            <wp:extent cx="533474" cy="714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1">
                      <a:extLst>
                        <a:ext uri="{28A0092B-C50C-407E-A947-70E740481C1C}">
                          <a14:useLocalDpi xmlns:a14="http://schemas.microsoft.com/office/drawing/2010/main" val="0"/>
                        </a:ext>
                      </a:extLst>
                    </a:blip>
                    <a:stretch>
                      <a:fillRect/>
                    </a:stretch>
                  </pic:blipFill>
                  <pic:spPr>
                    <a:xfrm>
                      <a:off x="0" y="0"/>
                      <a:ext cx="533474" cy="714475"/>
                    </a:xfrm>
                    <a:prstGeom prst="rect">
                      <a:avLst/>
                    </a:prstGeom>
                  </pic:spPr>
                </pic:pic>
              </a:graphicData>
            </a:graphic>
          </wp:inline>
        </w:drawing>
      </w:r>
    </w:p>
    <w:p w14:paraId="4E174D60" w14:textId="6F004AB1" w:rsidR="005E11C5" w:rsidRPr="005E11C5" w:rsidRDefault="005E11C5" w:rsidP="00EE4ADB">
      <w:pPr>
        <w:rPr>
          <w:rFonts w:cs="Arial"/>
        </w:rPr>
      </w:pPr>
    </w:p>
    <w:p w14:paraId="793E5AF0" w14:textId="29A6021B" w:rsidR="005E11C5" w:rsidRPr="005E11C5" w:rsidRDefault="005E11C5" w:rsidP="00EE4ADB">
      <w:pPr>
        <w:rPr>
          <w:rFonts w:cs="Arial"/>
        </w:rPr>
      </w:pPr>
      <w:r w:rsidRPr="005E11C5">
        <w:rPr>
          <w:rFonts w:cs="Arial"/>
        </w:rPr>
        <w:t>7. Издишайте дълбоко. Важно е винаги да правите това встрани от мундщука. Винаги избягвайте да дишате в мундщука.</w:t>
      </w:r>
    </w:p>
    <w:p w14:paraId="60ABA052" w14:textId="65154263" w:rsidR="005E11C5" w:rsidRPr="005E11C5" w:rsidRDefault="005E11C5" w:rsidP="00EE4ADB">
      <w:pPr>
        <w:rPr>
          <w:rFonts w:cs="Arial"/>
        </w:rPr>
      </w:pPr>
      <w:r w:rsidRPr="005E11C5">
        <w:rPr>
          <w:rFonts w:cs="Arial"/>
          <w:noProof/>
          <w:lang w:eastAsia="bg-BG"/>
        </w:rPr>
        <w:drawing>
          <wp:inline distT="0" distB="0" distL="0" distR="0" wp14:anchorId="7BA0C261" wp14:editId="0540A1E8">
            <wp:extent cx="552527" cy="695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12">
                      <a:extLst>
                        <a:ext uri="{28A0092B-C50C-407E-A947-70E740481C1C}">
                          <a14:useLocalDpi xmlns:a14="http://schemas.microsoft.com/office/drawing/2010/main" val="0"/>
                        </a:ext>
                      </a:extLst>
                    </a:blip>
                    <a:stretch>
                      <a:fillRect/>
                    </a:stretch>
                  </pic:blipFill>
                  <pic:spPr>
                    <a:xfrm>
                      <a:off x="0" y="0"/>
                      <a:ext cx="552527" cy="695422"/>
                    </a:xfrm>
                    <a:prstGeom prst="rect">
                      <a:avLst/>
                    </a:prstGeom>
                  </pic:spPr>
                </pic:pic>
              </a:graphicData>
            </a:graphic>
          </wp:inline>
        </w:drawing>
      </w:r>
    </w:p>
    <w:p w14:paraId="2CC62D3A" w14:textId="49C1DBAB" w:rsidR="005E11C5" w:rsidRPr="005E11C5" w:rsidRDefault="005E11C5" w:rsidP="00EE4ADB">
      <w:pPr>
        <w:rPr>
          <w:rFonts w:cs="Arial"/>
        </w:rPr>
      </w:pPr>
    </w:p>
    <w:p w14:paraId="73D25CCE" w14:textId="380C77F8" w:rsidR="005E11C5" w:rsidRPr="005E11C5" w:rsidRDefault="005E11C5" w:rsidP="005E11C5">
      <w:pPr>
        <w:spacing w:line="240" w:lineRule="auto"/>
        <w:rPr>
          <w:rFonts w:eastAsia="Times New Roman" w:cs="Arial"/>
          <w:color w:val="000000"/>
          <w:lang w:eastAsia="bg-BG"/>
        </w:rPr>
      </w:pPr>
      <w:r w:rsidRPr="005E11C5">
        <w:rPr>
          <w:rFonts w:eastAsia="Times New Roman" w:cs="Arial"/>
          <w:color w:val="000000"/>
          <w:lang w:eastAsia="bg-BG"/>
        </w:rPr>
        <w:t>8. Поставете мундщука в устата си и дръжте главата си в изправено положение. Стиснете устните си около мундщука и вдишайте бавно и дълбоко, така че да чувате или усетите вибрирането на капсулата в основната камера.</w:t>
      </w:r>
    </w:p>
    <w:p w14:paraId="2D15018B" w14:textId="51632C20" w:rsidR="005E11C5" w:rsidRPr="005E11C5" w:rsidRDefault="005E11C5" w:rsidP="005E11C5">
      <w:pPr>
        <w:rPr>
          <w:rFonts w:eastAsia="Times New Roman" w:cs="Arial"/>
          <w:color w:val="000000"/>
          <w:lang w:eastAsia="bg-BG"/>
        </w:rPr>
      </w:pPr>
      <w:r w:rsidRPr="005E11C5">
        <w:rPr>
          <w:rFonts w:eastAsia="Times New Roman" w:cs="Arial"/>
          <w:color w:val="000000"/>
          <w:lang w:eastAsia="bg-BG"/>
        </w:rPr>
        <w:t>Задръжте дишането си колкото можете, като в същото време извадите инхалатора от устата си. След това дишайте нормално. Повторете стъпки 7 и 8, за да изпразните напълно капсулата.</w:t>
      </w:r>
    </w:p>
    <w:p w14:paraId="64A0A8F4" w14:textId="7E3196B0" w:rsidR="005E11C5" w:rsidRPr="005E11C5" w:rsidRDefault="005E11C5" w:rsidP="005E11C5">
      <w:pPr>
        <w:rPr>
          <w:rFonts w:eastAsia="Times New Roman" w:cs="Arial"/>
          <w:color w:val="000000"/>
          <w:lang w:eastAsia="bg-BG"/>
        </w:rPr>
      </w:pPr>
      <w:r w:rsidRPr="005E11C5">
        <w:rPr>
          <w:rFonts w:eastAsia="Times New Roman" w:cs="Arial"/>
          <w:noProof/>
          <w:color w:val="000000"/>
          <w:lang w:eastAsia="bg-BG"/>
        </w:rPr>
        <w:drawing>
          <wp:inline distT="0" distB="0" distL="0" distR="0" wp14:anchorId="4F6ECA6F" wp14:editId="3466C1E5">
            <wp:extent cx="619211" cy="695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3">
                      <a:extLst>
                        <a:ext uri="{28A0092B-C50C-407E-A947-70E740481C1C}">
                          <a14:useLocalDpi xmlns:a14="http://schemas.microsoft.com/office/drawing/2010/main" val="0"/>
                        </a:ext>
                      </a:extLst>
                    </a:blip>
                    <a:stretch>
                      <a:fillRect/>
                    </a:stretch>
                  </pic:blipFill>
                  <pic:spPr>
                    <a:xfrm>
                      <a:off x="0" y="0"/>
                      <a:ext cx="619211" cy="695422"/>
                    </a:xfrm>
                    <a:prstGeom prst="rect">
                      <a:avLst/>
                    </a:prstGeom>
                  </pic:spPr>
                </pic:pic>
              </a:graphicData>
            </a:graphic>
          </wp:inline>
        </w:drawing>
      </w:r>
    </w:p>
    <w:p w14:paraId="4D728B60" w14:textId="3E59AF34" w:rsidR="005E11C5" w:rsidRPr="005E11C5" w:rsidRDefault="005E11C5" w:rsidP="005E11C5">
      <w:pPr>
        <w:rPr>
          <w:rFonts w:eastAsia="Times New Roman" w:cs="Arial"/>
          <w:color w:val="000000"/>
          <w:lang w:eastAsia="bg-BG"/>
        </w:rPr>
      </w:pPr>
    </w:p>
    <w:p w14:paraId="11A339C2" w14:textId="775C9C3A" w:rsidR="005E11C5" w:rsidRPr="005E11C5" w:rsidRDefault="005E11C5" w:rsidP="005E11C5">
      <w:pPr>
        <w:rPr>
          <w:rFonts w:cs="Arial"/>
          <w:lang w:val="en-US"/>
        </w:rPr>
      </w:pPr>
      <w:r w:rsidRPr="005E11C5">
        <w:rPr>
          <w:rFonts w:cs="Arial"/>
        </w:rPr>
        <w:t>9. След употреба отворете мундщука отново и извадете празната капсула. Затворете мундщука и</w:t>
      </w:r>
      <w:r w:rsidRPr="005E11C5">
        <w:rPr>
          <w:rFonts w:cs="Arial"/>
          <w:u w:val="single"/>
        </w:rPr>
        <w:t xml:space="preserve"> </w:t>
      </w:r>
      <w:r w:rsidRPr="005E11C5">
        <w:rPr>
          <w:rFonts w:cs="Arial"/>
        </w:rPr>
        <w:t xml:space="preserve">покривната капачка и приберете инхалатора </w:t>
      </w:r>
      <w:proofErr w:type="spellStart"/>
      <w:r w:rsidRPr="005E11C5">
        <w:rPr>
          <w:rFonts w:cs="Arial"/>
          <w:lang w:val="en-US"/>
        </w:rPr>
        <w:t>Zonda</w:t>
      </w:r>
      <w:proofErr w:type="spellEnd"/>
      <w:r w:rsidRPr="005E11C5">
        <w:rPr>
          <w:rFonts w:cs="Arial"/>
          <w:lang w:val="en-US"/>
        </w:rPr>
        <w:t>.</w:t>
      </w:r>
    </w:p>
    <w:p w14:paraId="36E243CC" w14:textId="7C7AE40A" w:rsidR="005E11C5" w:rsidRPr="005E11C5" w:rsidRDefault="005E11C5" w:rsidP="005E11C5">
      <w:pPr>
        <w:rPr>
          <w:rFonts w:cs="Arial"/>
          <w:lang w:val="en-US"/>
        </w:rPr>
      </w:pPr>
      <w:r w:rsidRPr="005E11C5">
        <w:rPr>
          <w:rFonts w:cs="Arial"/>
          <w:noProof/>
          <w:lang w:eastAsia="bg-BG"/>
        </w:rPr>
        <w:lastRenderedPageBreak/>
        <w:drawing>
          <wp:inline distT="0" distB="0" distL="0" distR="0" wp14:anchorId="118B4FF1" wp14:editId="4D7DBB74">
            <wp:extent cx="628738" cy="6763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4">
                      <a:extLst>
                        <a:ext uri="{28A0092B-C50C-407E-A947-70E740481C1C}">
                          <a14:useLocalDpi xmlns:a14="http://schemas.microsoft.com/office/drawing/2010/main" val="0"/>
                        </a:ext>
                      </a:extLst>
                    </a:blip>
                    <a:stretch>
                      <a:fillRect/>
                    </a:stretch>
                  </pic:blipFill>
                  <pic:spPr>
                    <a:xfrm>
                      <a:off x="0" y="0"/>
                      <a:ext cx="628738" cy="676369"/>
                    </a:xfrm>
                    <a:prstGeom prst="rect">
                      <a:avLst/>
                    </a:prstGeom>
                  </pic:spPr>
                </pic:pic>
              </a:graphicData>
            </a:graphic>
          </wp:inline>
        </w:drawing>
      </w:r>
    </w:p>
    <w:p w14:paraId="0C24B3E2" w14:textId="7715A2EA" w:rsidR="005E11C5" w:rsidRPr="005E11C5" w:rsidRDefault="005E11C5" w:rsidP="005E11C5">
      <w:pPr>
        <w:rPr>
          <w:rFonts w:cs="Arial"/>
          <w:lang w:val="en-US"/>
        </w:rPr>
      </w:pPr>
    </w:p>
    <w:p w14:paraId="74050DD5" w14:textId="77777777" w:rsidR="005E11C5" w:rsidRPr="005E11C5" w:rsidRDefault="005E11C5" w:rsidP="005E11C5">
      <w:pPr>
        <w:spacing w:line="240" w:lineRule="auto"/>
        <w:rPr>
          <w:rFonts w:eastAsia="Times New Roman" w:cs="Arial"/>
          <w:sz w:val="24"/>
          <w:szCs w:val="24"/>
          <w:lang w:eastAsia="bg-BG"/>
        </w:rPr>
      </w:pPr>
      <w:r w:rsidRPr="005E11C5">
        <w:rPr>
          <w:rFonts w:eastAsia="Times New Roman" w:cs="Arial"/>
          <w:color w:val="000000"/>
          <w:lang w:eastAsia="bg-BG"/>
        </w:rPr>
        <w:t>Бралтус 10 микрограма капсули съдържат само малко количество прах, така че капсулата се пълни само частично.</w:t>
      </w:r>
    </w:p>
    <w:p w14:paraId="7E645495" w14:textId="77777777" w:rsidR="005E11C5" w:rsidRPr="005E11C5" w:rsidRDefault="005E11C5" w:rsidP="005E11C5">
      <w:pPr>
        <w:rPr>
          <w:rFonts w:eastAsia="Times New Roman" w:cs="Arial"/>
          <w:color w:val="000000"/>
          <w:lang w:eastAsia="bg-BG"/>
        </w:rPr>
      </w:pPr>
    </w:p>
    <w:p w14:paraId="1417E598" w14:textId="6B8D2E20" w:rsidR="005E11C5" w:rsidRPr="005E11C5" w:rsidRDefault="005E11C5" w:rsidP="005E11C5">
      <w:pPr>
        <w:rPr>
          <w:rFonts w:eastAsia="Times New Roman" w:cs="Arial"/>
          <w:color w:val="000000"/>
          <w:lang w:eastAsia="bg-BG"/>
        </w:rPr>
      </w:pPr>
      <w:r w:rsidRPr="005E11C5">
        <w:rPr>
          <w:rFonts w:eastAsia="Times New Roman" w:cs="Arial"/>
          <w:color w:val="000000"/>
          <w:lang w:eastAsia="bg-BG"/>
        </w:rPr>
        <w:t xml:space="preserve">Ако е необходимо, след употреба пациентът може да избърше мундщука на инхалатора </w:t>
      </w:r>
      <w:proofErr w:type="spellStart"/>
      <w:r w:rsidRPr="005E11C5">
        <w:rPr>
          <w:rFonts w:eastAsia="Times New Roman" w:cs="Arial"/>
          <w:color w:val="000000"/>
          <w:lang w:val="en-US"/>
        </w:rPr>
        <w:t>Zonda</w:t>
      </w:r>
      <w:proofErr w:type="spellEnd"/>
      <w:r w:rsidRPr="005E11C5">
        <w:rPr>
          <w:rFonts w:eastAsia="Times New Roman" w:cs="Arial"/>
          <w:color w:val="000000"/>
          <w:lang w:val="en-US"/>
        </w:rPr>
        <w:t xml:space="preserve"> </w:t>
      </w:r>
      <w:r w:rsidRPr="005E11C5">
        <w:rPr>
          <w:rFonts w:eastAsia="Times New Roman" w:cs="Arial"/>
          <w:color w:val="000000"/>
          <w:lang w:eastAsia="bg-BG"/>
        </w:rPr>
        <w:t>със суха кърпа.</w:t>
      </w:r>
    </w:p>
    <w:p w14:paraId="222F6B6D" w14:textId="77777777" w:rsidR="005E11C5" w:rsidRPr="005E11C5" w:rsidRDefault="005E11C5" w:rsidP="005E11C5">
      <w:pPr>
        <w:rPr>
          <w:rFonts w:cs="Arial"/>
        </w:rPr>
      </w:pPr>
    </w:p>
    <w:p w14:paraId="28C984E8" w14:textId="3622B81D" w:rsidR="008134C8" w:rsidRDefault="002C50EE" w:rsidP="004A448E">
      <w:pPr>
        <w:pStyle w:val="Heading2"/>
      </w:pPr>
      <w:r>
        <w:t>4.3. Противопоказания</w:t>
      </w:r>
    </w:p>
    <w:p w14:paraId="6CFE0D85" w14:textId="6959911D" w:rsidR="005E11C5" w:rsidRDefault="005E11C5" w:rsidP="005E11C5"/>
    <w:p w14:paraId="2C20F1A9" w14:textId="311EB92A" w:rsidR="005E11C5" w:rsidRDefault="005E11C5" w:rsidP="005E11C5">
      <w:r>
        <w:t>Свръхчувствителност към активното вещество тиотропиев бромид, атропин или неговите производни, например ипратропиум или окстропиум или към помощните вещества, изброени в точка 6.1, включително лактоза монохидрат, която съдържа млечен протеин.</w:t>
      </w:r>
    </w:p>
    <w:p w14:paraId="644ABC92" w14:textId="77777777" w:rsidR="005E11C5" w:rsidRPr="005E11C5" w:rsidRDefault="005E11C5" w:rsidP="005E11C5"/>
    <w:p w14:paraId="212F509C" w14:textId="02B2402D" w:rsidR="004F498A" w:rsidRDefault="002C50EE" w:rsidP="004A448E">
      <w:pPr>
        <w:pStyle w:val="Heading2"/>
      </w:pPr>
      <w:r>
        <w:t>4.4. Специални предупреждения и предпазни мерки при употреба</w:t>
      </w:r>
    </w:p>
    <w:p w14:paraId="0B54AF81" w14:textId="4ADDA156" w:rsidR="005E11C5" w:rsidRDefault="005E11C5" w:rsidP="005E11C5"/>
    <w:p w14:paraId="338336ED" w14:textId="5EA3F2BA" w:rsidR="005E11C5" w:rsidRDefault="005E11C5" w:rsidP="005E11C5">
      <w:r>
        <w:t>Тиотропиев бромид представлява бронходилататор за поддържащо лечение прилаган веднъж дневно и поради тази причина не трябва да се използва за начално лечение на остър</w:t>
      </w:r>
      <w:r>
        <w:rPr>
          <w:lang w:val="en-US"/>
        </w:rPr>
        <w:t xml:space="preserve"> </w:t>
      </w:r>
      <w:r>
        <w:t>пристъп на бронхоспазъм, т.е. спешна терапия.</w:t>
      </w:r>
    </w:p>
    <w:p w14:paraId="52A3C31A" w14:textId="6F80AE1C" w:rsidR="005E11C5" w:rsidRDefault="005E11C5" w:rsidP="005E11C5"/>
    <w:p w14:paraId="0D3996D5" w14:textId="77777777"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Възможна е появата на реакции на свръхчувствителност от бърз тип след приложение на тиотропиев бромид.</w:t>
      </w:r>
    </w:p>
    <w:p w14:paraId="42C7D911" w14:textId="77777777" w:rsidR="005E11C5" w:rsidRPr="005E11C5" w:rsidRDefault="005E11C5" w:rsidP="005E11C5">
      <w:pPr>
        <w:spacing w:line="240" w:lineRule="auto"/>
        <w:rPr>
          <w:rFonts w:eastAsia="Times New Roman" w:cs="Arial"/>
          <w:bCs/>
          <w:color w:val="000000"/>
          <w:szCs w:val="20"/>
          <w:lang w:eastAsia="bg-BG"/>
        </w:rPr>
      </w:pPr>
    </w:p>
    <w:p w14:paraId="755C1728" w14:textId="3D09F9FB"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Поради неговата антихолинергична активност, тиотропиев бромид трябва да се прилага с особено внимание при пациенти с тесноъгълна глаукома, хиперплазия на простатната жлеза или обструкция на шийката на пикочния мехур (вж. точка 4.8).</w:t>
      </w:r>
    </w:p>
    <w:p w14:paraId="18F0A540" w14:textId="77777777" w:rsidR="005E11C5" w:rsidRPr="005E11C5" w:rsidRDefault="005E11C5" w:rsidP="005E11C5">
      <w:pPr>
        <w:spacing w:line="240" w:lineRule="auto"/>
        <w:rPr>
          <w:rFonts w:eastAsia="Times New Roman" w:cs="Arial"/>
          <w:bCs/>
          <w:color w:val="000000"/>
          <w:szCs w:val="20"/>
          <w:lang w:eastAsia="bg-BG"/>
        </w:rPr>
      </w:pPr>
    </w:p>
    <w:p w14:paraId="68F1590F" w14:textId="07DF3493"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Както при всяка инхалаторна терапия, веднага след приложение може да се развие парадоксален бронхоспазъм, с незабавно повишаване на хриповете или задуха. Парадоксалният бронхоспазъм се повлиява от бронходилататор с бързо действие и трябва да се лекува незабавно. Бралтус 10 микрограма трябва да се прекрати незабавно, като се оцени състоянието на пациента и при необходимост да се започне алтернативно лечение.</w:t>
      </w:r>
    </w:p>
    <w:p w14:paraId="1C4D913E" w14:textId="77777777" w:rsidR="005E11C5" w:rsidRPr="005E11C5" w:rsidRDefault="005E11C5" w:rsidP="005E11C5">
      <w:pPr>
        <w:spacing w:line="240" w:lineRule="auto"/>
        <w:rPr>
          <w:rFonts w:eastAsia="Times New Roman" w:cs="Arial"/>
          <w:bCs/>
          <w:color w:val="000000"/>
          <w:szCs w:val="20"/>
          <w:lang w:eastAsia="bg-BG"/>
        </w:rPr>
      </w:pPr>
    </w:p>
    <w:p w14:paraId="0DF27449" w14:textId="6300446A"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 xml:space="preserve">Тиотропиум трябва да се използва с повишено внимание при пациенти с прекаран инфаркт преди по-малко от 6 месеца, нестабилна или животозастрашаваща сърдечна аритмия, налагаща интервенция, или промяна на лечението с лекарства през последната година, както и хоспитализация за сърдечна недостатъчност (клас Ш или IV по </w:t>
      </w:r>
      <w:r w:rsidRPr="005E11C5">
        <w:rPr>
          <w:rFonts w:eastAsia="Times New Roman" w:cs="Arial"/>
          <w:bCs/>
          <w:color w:val="000000"/>
          <w:szCs w:val="20"/>
          <w:lang w:val="en-US"/>
        </w:rPr>
        <w:t xml:space="preserve">NYHA) </w:t>
      </w:r>
      <w:r w:rsidRPr="005E11C5">
        <w:rPr>
          <w:rFonts w:eastAsia="Times New Roman" w:cs="Arial"/>
          <w:bCs/>
          <w:color w:val="000000"/>
          <w:szCs w:val="20"/>
          <w:lang w:eastAsia="bg-BG"/>
        </w:rPr>
        <w:t>през последната година. Такива пациенти са били изключени от клиничните изпитвания, а тези състояния могат да бъдат повлияни от антихолинергичния механизъм на действие.</w:t>
      </w:r>
    </w:p>
    <w:p w14:paraId="64BA0DC0" w14:textId="77777777" w:rsidR="005E11C5" w:rsidRPr="005E11C5" w:rsidRDefault="005E11C5" w:rsidP="005E11C5">
      <w:pPr>
        <w:spacing w:line="240" w:lineRule="auto"/>
        <w:rPr>
          <w:rFonts w:eastAsia="Times New Roman" w:cs="Arial"/>
          <w:bCs/>
          <w:color w:val="000000"/>
          <w:szCs w:val="20"/>
          <w:lang w:eastAsia="bg-BG"/>
        </w:rPr>
      </w:pPr>
    </w:p>
    <w:p w14:paraId="2963D436" w14:textId="66C9BF3A"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 xml:space="preserve">Тъй като плазмените концентрации се увеличават при намалена бъбречна функция при пациенти със средно до тежко бъбречно увреждане (креатининов клирънс ≤ 50 </w:t>
      </w:r>
      <w:r w:rsidRPr="005E11C5">
        <w:rPr>
          <w:rFonts w:eastAsia="Times New Roman" w:cs="Arial"/>
          <w:bCs/>
          <w:color w:val="000000"/>
          <w:szCs w:val="20"/>
          <w:lang w:val="en-US"/>
        </w:rPr>
        <w:t xml:space="preserve">ml/min), </w:t>
      </w:r>
      <w:r w:rsidRPr="005E11C5">
        <w:rPr>
          <w:rFonts w:eastAsia="Times New Roman" w:cs="Arial"/>
          <w:bCs/>
          <w:color w:val="000000"/>
          <w:szCs w:val="20"/>
          <w:lang w:eastAsia="bg-BG"/>
        </w:rPr>
        <w:t>тиотропиев бромид може да се прилага, само ако очакваната полза надвишава потенциалния риск. Няма дългосрочни данни за приложението на продукта при пациенти с тежко бъбречно увреждане (вж. точка 5.2).</w:t>
      </w:r>
    </w:p>
    <w:p w14:paraId="51322959" w14:textId="77777777" w:rsidR="005E11C5" w:rsidRPr="005E11C5" w:rsidRDefault="005E11C5" w:rsidP="005E11C5">
      <w:pPr>
        <w:spacing w:line="240" w:lineRule="auto"/>
        <w:rPr>
          <w:rFonts w:eastAsia="Times New Roman" w:cs="Arial"/>
          <w:bCs/>
          <w:color w:val="000000"/>
          <w:szCs w:val="20"/>
          <w:lang w:eastAsia="bg-BG"/>
        </w:rPr>
      </w:pPr>
    </w:p>
    <w:p w14:paraId="75D0DE3A" w14:textId="50AE7E5A"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Пациентите трябва да бъдат предупредени да внимават прахът да не попадне в очите им. Те трябва да бъдат предупредени, че това може да доведе до влошаване или обостряне на тесноъгълна глаукома, болка или дискомфорт в очите, временно замъгляване на зрението, цветни кръгове или петна, свързани със зачервяване на очите поради конюнктивална конгестия и корнеален оток. Пациентите трябва незабавно да прекратят употребата на тиотропиев бромид и да потърсят съвет от специалист, ако се прояви каквато и да е комбинация от тези очни симптоми.</w:t>
      </w:r>
    </w:p>
    <w:p w14:paraId="357DD4BF" w14:textId="77777777" w:rsidR="005E11C5" w:rsidRPr="005E11C5" w:rsidRDefault="005E11C5" w:rsidP="005E11C5">
      <w:pPr>
        <w:spacing w:line="240" w:lineRule="auto"/>
        <w:rPr>
          <w:rFonts w:eastAsia="Times New Roman" w:cs="Arial"/>
          <w:bCs/>
          <w:color w:val="000000"/>
          <w:szCs w:val="20"/>
          <w:lang w:eastAsia="bg-BG"/>
        </w:rPr>
      </w:pPr>
    </w:p>
    <w:p w14:paraId="68EA4344" w14:textId="0C690F55"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По време на антихолинергичната терапия се наблюдава сухота в устата, която в дългосрочен период може да бъде асоциирана със зъбни кариеси.</w:t>
      </w:r>
    </w:p>
    <w:p w14:paraId="06F07C0A" w14:textId="77777777" w:rsidR="005E11C5" w:rsidRPr="005E11C5" w:rsidRDefault="005E11C5" w:rsidP="005E11C5">
      <w:pPr>
        <w:spacing w:line="240" w:lineRule="auto"/>
        <w:rPr>
          <w:rFonts w:eastAsia="Times New Roman" w:cs="Arial"/>
          <w:bCs/>
          <w:color w:val="000000"/>
          <w:szCs w:val="20"/>
          <w:lang w:eastAsia="bg-BG"/>
        </w:rPr>
      </w:pPr>
    </w:p>
    <w:p w14:paraId="7E236CA1" w14:textId="6021ACD6"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Тиотропиев бромид не трябва да се прилага повече от веднъж дневно (вж. точка 4.9).</w:t>
      </w:r>
    </w:p>
    <w:p w14:paraId="2EC895A5" w14:textId="77777777" w:rsidR="005E11C5" w:rsidRPr="005E11C5" w:rsidRDefault="005E11C5" w:rsidP="005E11C5">
      <w:pPr>
        <w:rPr>
          <w:rFonts w:eastAsia="Times New Roman" w:cs="Arial"/>
          <w:bCs/>
          <w:color w:val="000000"/>
          <w:szCs w:val="20"/>
          <w:lang w:eastAsia="bg-BG"/>
        </w:rPr>
      </w:pPr>
    </w:p>
    <w:p w14:paraId="36A45711" w14:textId="375764F3" w:rsidR="005E11C5" w:rsidRPr="005E11C5" w:rsidRDefault="005E11C5" w:rsidP="005E11C5">
      <w:pPr>
        <w:rPr>
          <w:rFonts w:cs="Arial"/>
          <w:sz w:val="24"/>
        </w:rPr>
      </w:pPr>
      <w:r w:rsidRPr="005E11C5">
        <w:rPr>
          <w:rFonts w:eastAsia="Times New Roman" w:cs="Arial"/>
          <w:bCs/>
          <w:color w:val="000000"/>
          <w:szCs w:val="20"/>
          <w:lang w:eastAsia="bg-BG"/>
        </w:rPr>
        <w:t xml:space="preserve">Всяка капсула съдържа 18 </w:t>
      </w:r>
      <w:r w:rsidRPr="005E11C5">
        <w:rPr>
          <w:rFonts w:eastAsia="Times New Roman" w:cs="Arial"/>
          <w:bCs/>
          <w:color w:val="000000"/>
          <w:szCs w:val="20"/>
          <w:lang w:val="en-US"/>
        </w:rPr>
        <w:t xml:space="preserve">mg </w:t>
      </w:r>
      <w:r w:rsidRPr="005E11C5">
        <w:rPr>
          <w:rFonts w:eastAsia="Times New Roman" w:cs="Arial"/>
          <w:bCs/>
          <w:color w:val="000000"/>
          <w:szCs w:val="20"/>
          <w:lang w:eastAsia="bg-BG"/>
        </w:rPr>
        <w:t xml:space="preserve">лактоза монохидрат. Пациенти с редки наследствени проблеми на галактозна непоносимост, </w:t>
      </w:r>
      <w:r w:rsidRPr="005E11C5">
        <w:rPr>
          <w:rFonts w:eastAsia="Times New Roman" w:cs="Arial"/>
          <w:bCs/>
          <w:color w:val="000000"/>
          <w:szCs w:val="20"/>
          <w:lang w:val="en-US"/>
        </w:rPr>
        <w:t>Lapp</w:t>
      </w:r>
      <w:r w:rsidRPr="005E11C5">
        <w:rPr>
          <w:rFonts w:eastAsia="Times New Roman" w:cs="Arial"/>
          <w:bCs/>
          <w:color w:val="000000"/>
          <w:szCs w:val="20"/>
          <w:lang w:eastAsia="bg-BG"/>
        </w:rPr>
        <w:t>-лактазен дефицит или глюкозо-галактозна малабсорбция не трябва да приемат това лекарство. Помощното вещество лактоза може да съдържа следи от млечни протеини, което да стане причина за реакция при хора с тежка свръхчувствителност или алергия към млечен протеин.</w:t>
      </w:r>
    </w:p>
    <w:p w14:paraId="431267C4" w14:textId="77777777" w:rsidR="005E11C5" w:rsidRPr="005E11C5" w:rsidRDefault="005E11C5" w:rsidP="005E11C5"/>
    <w:p w14:paraId="619DED1E" w14:textId="29FC30DE"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AEB7E14" w14:textId="47509F67" w:rsidR="005E11C5" w:rsidRDefault="005E11C5" w:rsidP="005E11C5"/>
    <w:p w14:paraId="1879CBB3" w14:textId="77777777" w:rsidR="005E11C5" w:rsidRPr="005E11C5" w:rsidRDefault="005E11C5" w:rsidP="005E11C5">
      <w:pPr>
        <w:spacing w:line="240" w:lineRule="auto"/>
        <w:rPr>
          <w:rFonts w:eastAsia="Times New Roman" w:cs="Arial"/>
          <w:lang w:eastAsia="bg-BG"/>
        </w:rPr>
      </w:pPr>
      <w:r w:rsidRPr="005E11C5">
        <w:rPr>
          <w:rFonts w:eastAsia="Times New Roman" w:cs="Arial"/>
          <w:bCs/>
          <w:color w:val="000000"/>
          <w:lang w:eastAsia="bg-BG"/>
        </w:rPr>
        <w:t>Въпреки, че не са провеждани официални клинични проучвания относно лекарствените взаимодействия, тиотропиев бромид, прах за инхалация, е прилаган едновременно с други лекарствени продукти, без да има клинични доказателства за лекарствени взаимодействия. В тази група влизат симпатикомиметични бронходилататори, метилксантини, стероиди за перорално и инхалаторно приложение, често прилагани при лечението на ХОББ.</w:t>
      </w:r>
    </w:p>
    <w:p w14:paraId="10D438BB" w14:textId="77777777" w:rsidR="005E11C5" w:rsidRPr="005E11C5" w:rsidRDefault="005E11C5" w:rsidP="005E11C5">
      <w:pPr>
        <w:spacing w:line="240" w:lineRule="auto"/>
        <w:rPr>
          <w:rFonts w:eastAsia="Times New Roman" w:cs="Arial"/>
          <w:bCs/>
          <w:color w:val="000000"/>
          <w:lang w:eastAsia="bg-BG"/>
        </w:rPr>
      </w:pPr>
    </w:p>
    <w:p w14:paraId="7B001FF6" w14:textId="0E44A419" w:rsidR="005E11C5" w:rsidRPr="005E11C5" w:rsidRDefault="005E11C5" w:rsidP="005E11C5">
      <w:pPr>
        <w:spacing w:line="240" w:lineRule="auto"/>
        <w:rPr>
          <w:rFonts w:eastAsia="Times New Roman" w:cs="Arial"/>
          <w:lang w:eastAsia="bg-BG"/>
        </w:rPr>
      </w:pPr>
      <w:r w:rsidRPr="005E11C5">
        <w:rPr>
          <w:rFonts w:eastAsia="Times New Roman" w:cs="Arial"/>
          <w:bCs/>
          <w:color w:val="000000"/>
          <w:lang w:eastAsia="bg-BG"/>
        </w:rPr>
        <w:t>Не е установена промяна на експозицията на тиотропиум при употреба на дълго действащи</w:t>
      </w:r>
      <w:r w:rsidRPr="005E11C5">
        <w:rPr>
          <w:rFonts w:eastAsia="Times New Roman" w:cs="Arial"/>
          <w:lang w:eastAsia="bg-BG"/>
        </w:rPr>
        <w:t xml:space="preserve"> </w:t>
      </w:r>
      <w:r w:rsidRPr="005E11C5">
        <w:rPr>
          <w:rFonts w:eastAsia="Times New Roman" w:cs="Arial"/>
          <w:bCs/>
          <w:color w:val="000000"/>
          <w:lang w:eastAsia="bg-BG"/>
        </w:rPr>
        <w:t>β</w:t>
      </w:r>
      <w:r w:rsidRPr="005E11C5">
        <w:rPr>
          <w:rFonts w:eastAsia="Times New Roman" w:cs="Arial"/>
          <w:bCs/>
          <w:color w:val="000000"/>
          <w:vertAlign w:val="subscript"/>
          <w:lang w:eastAsia="bg-BG"/>
        </w:rPr>
        <w:t>2</w:t>
      </w:r>
      <w:r w:rsidRPr="005E11C5">
        <w:rPr>
          <w:rFonts w:eastAsia="Times New Roman" w:cs="Arial"/>
          <w:bCs/>
          <w:color w:val="000000"/>
          <w:lang w:eastAsia="bg-BG"/>
        </w:rPr>
        <w:t>-агонисти (ДДБА) или инхалаторни кортикостероиди (ИКС).</w:t>
      </w:r>
    </w:p>
    <w:p w14:paraId="2B7FB004" w14:textId="79A342E7" w:rsidR="005E11C5" w:rsidRDefault="005E11C5" w:rsidP="005E11C5"/>
    <w:p w14:paraId="074A84CB" w14:textId="30D9BEE1" w:rsidR="005E11C5" w:rsidRDefault="005E11C5" w:rsidP="005E11C5">
      <w:pPr>
        <w:rPr>
          <w:bCs/>
          <w:szCs w:val="20"/>
        </w:rPr>
      </w:pPr>
      <w:r w:rsidRPr="005E11C5">
        <w:rPr>
          <w:bCs/>
          <w:szCs w:val="20"/>
        </w:rPr>
        <w:t>Не се препоръчва едновременното приложение на тиотропиев бромид с други антихолинергични лекарствени средства, тъй като до този момент лекарственото взаимодействие не е проучено.</w:t>
      </w:r>
    </w:p>
    <w:p w14:paraId="2C7C933C" w14:textId="77777777" w:rsidR="005E11C5" w:rsidRPr="005E11C5" w:rsidRDefault="005E11C5" w:rsidP="005E11C5">
      <w:pPr>
        <w:rPr>
          <w:sz w:val="24"/>
        </w:rPr>
      </w:pPr>
    </w:p>
    <w:p w14:paraId="394A7584" w14:textId="36644EF9" w:rsidR="004F498A" w:rsidRDefault="002C50EE" w:rsidP="004A448E">
      <w:pPr>
        <w:pStyle w:val="Heading2"/>
      </w:pPr>
      <w:r>
        <w:t>4.6. Фертилитет, бременност и кърмене</w:t>
      </w:r>
    </w:p>
    <w:p w14:paraId="41367D60" w14:textId="62749A53" w:rsidR="005E11C5" w:rsidRDefault="005E11C5" w:rsidP="005E11C5"/>
    <w:p w14:paraId="73AEC068" w14:textId="77777777" w:rsidR="005E11C5" w:rsidRPr="005E11C5" w:rsidRDefault="005E11C5" w:rsidP="005E11C5">
      <w:pPr>
        <w:pStyle w:val="Heading3"/>
        <w:rPr>
          <w:rFonts w:eastAsia="Times New Roman"/>
          <w:sz w:val="28"/>
          <w:u w:val="single"/>
          <w:lang w:eastAsia="bg-BG"/>
        </w:rPr>
      </w:pPr>
      <w:r w:rsidRPr="005E11C5">
        <w:rPr>
          <w:rFonts w:eastAsia="Times New Roman"/>
          <w:u w:val="single"/>
          <w:lang w:eastAsia="bg-BG"/>
        </w:rPr>
        <w:t>Фертилитет</w:t>
      </w:r>
    </w:p>
    <w:p w14:paraId="12184DF8" w14:textId="77777777"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Липсват клинични данни за фертилитета при тиотропиум. Неклинично проучване проведено с тиотропиум не е показало някакви нежелани лекарствени реакции върху фертилитета (вж. точка 5.3).</w:t>
      </w:r>
    </w:p>
    <w:p w14:paraId="2E9652AF" w14:textId="77777777" w:rsidR="005E11C5" w:rsidRPr="005E11C5" w:rsidRDefault="005E11C5" w:rsidP="005E11C5">
      <w:pPr>
        <w:spacing w:line="240" w:lineRule="auto"/>
        <w:rPr>
          <w:rFonts w:eastAsia="Times New Roman" w:cs="Arial"/>
          <w:bCs/>
          <w:color w:val="000000"/>
          <w:szCs w:val="20"/>
          <w:u w:val="single"/>
          <w:lang w:eastAsia="bg-BG"/>
        </w:rPr>
      </w:pPr>
    </w:p>
    <w:p w14:paraId="4973E40E" w14:textId="27958830" w:rsidR="005E11C5" w:rsidRPr="005E11C5" w:rsidRDefault="005E11C5" w:rsidP="005E11C5">
      <w:pPr>
        <w:pStyle w:val="Heading3"/>
        <w:rPr>
          <w:rFonts w:eastAsia="Times New Roman"/>
          <w:sz w:val="28"/>
          <w:u w:val="single"/>
          <w:lang w:eastAsia="bg-BG"/>
        </w:rPr>
      </w:pPr>
      <w:r w:rsidRPr="005E11C5">
        <w:rPr>
          <w:rFonts w:eastAsia="Times New Roman"/>
          <w:u w:val="single"/>
          <w:lang w:eastAsia="bg-BG"/>
        </w:rPr>
        <w:t>Бременност</w:t>
      </w:r>
    </w:p>
    <w:p w14:paraId="7E00D96E" w14:textId="77777777"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 xml:space="preserve">Има много ограничени данни за употребата на тиотропиум при бременни жени. Проучванията при животни не показват преки или косвени негативни ефекти по отношение на репродуктивната токсичност при дози от клинично значение (вж. точка 5.3). </w:t>
      </w:r>
      <w:r w:rsidRPr="005E11C5">
        <w:rPr>
          <w:rFonts w:eastAsia="Times New Roman" w:cs="Arial"/>
          <w:bCs/>
          <w:color w:val="000000"/>
          <w:szCs w:val="20"/>
          <w:lang w:eastAsia="bg-BG"/>
        </w:rPr>
        <w:lastRenderedPageBreak/>
        <w:t>Като предпазна мярка се препоръчва употребата на Бралтус 10 микрограма да се избягва по време на бременност.</w:t>
      </w:r>
    </w:p>
    <w:p w14:paraId="00638C30" w14:textId="77777777" w:rsidR="005E11C5" w:rsidRPr="005E11C5" w:rsidRDefault="005E11C5" w:rsidP="005E11C5">
      <w:pPr>
        <w:spacing w:line="240" w:lineRule="auto"/>
        <w:rPr>
          <w:rFonts w:eastAsia="Times New Roman" w:cs="Arial"/>
          <w:bCs/>
          <w:color w:val="000000"/>
          <w:szCs w:val="20"/>
          <w:u w:val="single"/>
          <w:lang w:eastAsia="bg-BG"/>
        </w:rPr>
      </w:pPr>
    </w:p>
    <w:p w14:paraId="01A243D5" w14:textId="57EED4B8" w:rsidR="005E11C5" w:rsidRPr="005E11C5" w:rsidRDefault="005E11C5" w:rsidP="005E11C5">
      <w:pPr>
        <w:pStyle w:val="Heading3"/>
        <w:rPr>
          <w:rFonts w:eastAsia="Times New Roman"/>
          <w:sz w:val="28"/>
          <w:u w:val="single"/>
          <w:lang w:eastAsia="bg-BG"/>
        </w:rPr>
      </w:pPr>
      <w:r w:rsidRPr="005E11C5">
        <w:rPr>
          <w:rFonts w:eastAsia="Times New Roman"/>
          <w:u w:val="single"/>
          <w:lang w:eastAsia="bg-BG"/>
        </w:rPr>
        <w:t>Кърмене</w:t>
      </w:r>
    </w:p>
    <w:p w14:paraId="2E5142D0" w14:textId="4910E106" w:rsidR="005E11C5" w:rsidRPr="005E11C5" w:rsidRDefault="005E11C5" w:rsidP="005E11C5">
      <w:pPr>
        <w:rPr>
          <w:rFonts w:cs="Arial"/>
          <w:sz w:val="24"/>
        </w:rPr>
      </w:pPr>
      <w:r w:rsidRPr="005E11C5">
        <w:rPr>
          <w:rFonts w:eastAsia="Times New Roman" w:cs="Arial"/>
          <w:bCs/>
          <w:color w:val="000000"/>
          <w:szCs w:val="20"/>
          <w:lang w:eastAsia="bg-BG"/>
        </w:rPr>
        <w:t>Не е известно дали тиотропиев бромид се екскретира в майчиното мляко при хора. Въпреки проведените проучвания при гризачи, които показват, че малко количество тиотропиев бромид се екскретира в кърмата, употребата на тиотропиев бромид не се препоръчва в периода на кърмене. Тиотропиев бромид е вещество с продължително действие. Когато се взима решение за продължаване/прекратяване на кърменето или продължаване/прекратяване на лечение с Бралтус 10 микрограма, трябва да се вземе под внимание очакваната полза от кърменето за детето, а за майката, ползата от лечението с Бралтус 10 микрограма.</w:t>
      </w:r>
    </w:p>
    <w:p w14:paraId="1870D15B" w14:textId="77777777" w:rsidR="005E11C5" w:rsidRPr="005E11C5" w:rsidRDefault="005E11C5" w:rsidP="005E11C5"/>
    <w:p w14:paraId="064DF1DE" w14:textId="422921F0" w:rsidR="00CF77F7" w:rsidRDefault="002C50EE" w:rsidP="004A448E">
      <w:pPr>
        <w:pStyle w:val="Heading2"/>
      </w:pPr>
      <w:r>
        <w:t>4.7. Ефекти върху способността за шофиране и работа с машини</w:t>
      </w:r>
    </w:p>
    <w:p w14:paraId="3F07D66B" w14:textId="2AB9A5BB" w:rsidR="005E11C5" w:rsidRDefault="005E11C5" w:rsidP="005E11C5"/>
    <w:p w14:paraId="2F17CF20" w14:textId="5ECBDB50" w:rsidR="005E11C5" w:rsidRPr="005E11C5" w:rsidRDefault="005E11C5" w:rsidP="005E11C5">
      <w:pPr>
        <w:rPr>
          <w:sz w:val="24"/>
        </w:rPr>
      </w:pPr>
      <w:r w:rsidRPr="005E11C5">
        <w:rPr>
          <w:bCs/>
          <w:szCs w:val="20"/>
        </w:rPr>
        <w:t>Няма проведени проучвания за ефектите върху способността за шофиране и работа с машини. Появата на замаяност, замъглено виждане или главоболие може да окаже влияние върху способността за шофиране и работа с машини.</w:t>
      </w:r>
    </w:p>
    <w:p w14:paraId="0C568CBE" w14:textId="77777777" w:rsidR="005E11C5" w:rsidRPr="005E11C5" w:rsidRDefault="005E11C5" w:rsidP="005E11C5"/>
    <w:p w14:paraId="37A3FD9F" w14:textId="4DA98419" w:rsidR="00CF77F7" w:rsidRDefault="002C50EE" w:rsidP="004A448E">
      <w:pPr>
        <w:pStyle w:val="Heading2"/>
      </w:pPr>
      <w:r>
        <w:t>4.8. Нежелани лекарствени реакции</w:t>
      </w:r>
    </w:p>
    <w:p w14:paraId="7B3D8C78" w14:textId="0342CC30" w:rsidR="005E11C5" w:rsidRDefault="005E11C5" w:rsidP="005E11C5"/>
    <w:p w14:paraId="58173382" w14:textId="77777777"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Много от изброените нежелани лекарствени реакции могат да се свържат с антихолинергичните свойства на тиотропиев бромид.</w:t>
      </w:r>
    </w:p>
    <w:p w14:paraId="1D0658D5" w14:textId="77777777" w:rsidR="00753C2A" w:rsidRPr="00753C2A" w:rsidRDefault="00753C2A" w:rsidP="005E11C5">
      <w:pPr>
        <w:spacing w:line="240" w:lineRule="auto"/>
        <w:rPr>
          <w:rFonts w:eastAsia="Times New Roman" w:cs="Arial"/>
          <w:bCs/>
          <w:color w:val="000000"/>
          <w:szCs w:val="20"/>
          <w:lang w:eastAsia="bg-BG"/>
        </w:rPr>
      </w:pPr>
    </w:p>
    <w:p w14:paraId="0D1FD626" w14:textId="5A201D06"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Честотата, определена за нежеланите лекарствени реакции, изброени по-долу, се базира на необработени степени на проявление на нежелани лекарствени реакции (т.е. реакции, които се приписват на тиотропиев бромид), наблюдавани в групата, лекувана с тиотропиум (9 647 пациенти) в 28 обединени плацебо-контролирани клинични изпитвания с период на лечение, вариращ от четири седмици до четири години.</w:t>
      </w:r>
    </w:p>
    <w:p w14:paraId="3B70D9BB" w14:textId="77777777" w:rsidR="00753C2A" w:rsidRPr="00753C2A" w:rsidRDefault="00753C2A" w:rsidP="005E11C5">
      <w:pPr>
        <w:spacing w:line="240" w:lineRule="auto"/>
        <w:rPr>
          <w:rFonts w:eastAsia="Times New Roman" w:cs="Arial"/>
          <w:bCs/>
          <w:color w:val="000000"/>
          <w:szCs w:val="20"/>
          <w:lang w:eastAsia="bg-BG"/>
        </w:rPr>
      </w:pPr>
    </w:p>
    <w:p w14:paraId="19673411" w14:textId="178A9B34" w:rsidR="005E11C5" w:rsidRPr="005E11C5" w:rsidRDefault="005E11C5" w:rsidP="005E11C5">
      <w:pPr>
        <w:spacing w:line="240" w:lineRule="auto"/>
        <w:rPr>
          <w:rFonts w:eastAsia="Times New Roman" w:cs="Arial"/>
          <w:sz w:val="28"/>
          <w:szCs w:val="24"/>
          <w:lang w:eastAsia="bg-BG"/>
        </w:rPr>
      </w:pPr>
      <w:r w:rsidRPr="005E11C5">
        <w:rPr>
          <w:rFonts w:eastAsia="Times New Roman" w:cs="Arial"/>
          <w:bCs/>
          <w:color w:val="000000"/>
          <w:szCs w:val="20"/>
          <w:lang w:eastAsia="bg-BG"/>
        </w:rPr>
        <w:t>Честотата е определена съгласно следната конвенция:</w:t>
      </w:r>
    </w:p>
    <w:p w14:paraId="349FF2D4" w14:textId="35F7F052" w:rsidR="005E11C5" w:rsidRDefault="005E11C5" w:rsidP="005E11C5">
      <w:pPr>
        <w:rPr>
          <w:rFonts w:eastAsia="Times New Roman" w:cs="Arial"/>
          <w:bCs/>
          <w:color w:val="000000"/>
          <w:szCs w:val="20"/>
          <w:lang w:eastAsia="bg-BG"/>
        </w:rPr>
      </w:pPr>
      <w:r w:rsidRPr="00753C2A">
        <w:rPr>
          <w:rFonts w:eastAsia="Times New Roman" w:cs="Arial"/>
          <w:bCs/>
          <w:color w:val="000000"/>
          <w:szCs w:val="20"/>
          <w:lang w:eastAsia="bg-BG"/>
        </w:rPr>
        <w:t>Много чести (≤1/10), чести (≤1/100 до &lt;1/10), нечести (≤1/1 000 до &lt;1/100), редки (≤1/10 000 до &lt;1/1 000), много редки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4750"/>
        <w:gridCol w:w="4750"/>
      </w:tblGrid>
      <w:tr w:rsidR="00753C2A" w14:paraId="34275582" w14:textId="77777777" w:rsidTr="00753C2A">
        <w:tc>
          <w:tcPr>
            <w:tcW w:w="4750" w:type="dxa"/>
          </w:tcPr>
          <w:p w14:paraId="1109C5ED" w14:textId="22877ACA" w:rsidR="00753C2A" w:rsidRPr="00920B4C" w:rsidRDefault="00753C2A" w:rsidP="00753C2A">
            <w:pPr>
              <w:rPr>
                <w:rFonts w:cs="Arial"/>
              </w:rPr>
            </w:pPr>
            <w:r w:rsidRPr="00920B4C">
              <w:rPr>
                <w:rFonts w:cs="Arial"/>
                <w:bCs/>
              </w:rPr>
              <w:t>Системо-органен клас</w:t>
            </w:r>
            <w:r w:rsidRPr="00920B4C">
              <w:rPr>
                <w:rFonts w:cs="Arial"/>
                <w:bCs/>
                <w:lang w:val="en-US"/>
              </w:rPr>
              <w:t>/</w:t>
            </w:r>
            <w:proofErr w:type="spellStart"/>
            <w:r w:rsidRPr="00920B4C">
              <w:rPr>
                <w:rFonts w:cs="Arial"/>
                <w:bCs/>
                <w:lang w:val="en-US"/>
              </w:rPr>
              <w:t>MedDRA</w:t>
            </w:r>
            <w:proofErr w:type="spellEnd"/>
            <w:r w:rsidRPr="00920B4C">
              <w:rPr>
                <w:rFonts w:cs="Arial"/>
                <w:bCs/>
                <w:lang w:val="en-US"/>
              </w:rPr>
              <w:t xml:space="preserve"> </w:t>
            </w:r>
            <w:r w:rsidRPr="00920B4C">
              <w:rPr>
                <w:rFonts w:cs="Arial"/>
                <w:bCs/>
              </w:rPr>
              <w:t>предпочитан термин</w:t>
            </w:r>
          </w:p>
        </w:tc>
        <w:tc>
          <w:tcPr>
            <w:tcW w:w="4750" w:type="dxa"/>
          </w:tcPr>
          <w:p w14:paraId="3EFABCBC" w14:textId="427E5B0B" w:rsidR="00753C2A" w:rsidRPr="00920B4C" w:rsidRDefault="00753C2A" w:rsidP="00753C2A">
            <w:pPr>
              <w:rPr>
                <w:rFonts w:cs="Arial"/>
              </w:rPr>
            </w:pPr>
            <w:r w:rsidRPr="00920B4C">
              <w:rPr>
                <w:rFonts w:cs="Arial"/>
                <w:bCs/>
              </w:rPr>
              <w:t>Честота</w:t>
            </w:r>
          </w:p>
        </w:tc>
      </w:tr>
      <w:tr w:rsidR="00753C2A" w14:paraId="7E604768" w14:textId="77777777" w:rsidTr="00753C2A">
        <w:tc>
          <w:tcPr>
            <w:tcW w:w="4750" w:type="dxa"/>
          </w:tcPr>
          <w:p w14:paraId="64083491" w14:textId="04778FAA" w:rsidR="00753C2A" w:rsidRPr="00920B4C" w:rsidRDefault="00753C2A" w:rsidP="00753C2A">
            <w:pPr>
              <w:rPr>
                <w:rFonts w:cs="Arial"/>
              </w:rPr>
            </w:pPr>
            <w:r w:rsidRPr="00920B4C">
              <w:rPr>
                <w:rFonts w:cs="Arial"/>
                <w:bCs/>
                <w:u w:val="single"/>
              </w:rPr>
              <w:t xml:space="preserve">Нарушения на метаболизма и храненето </w:t>
            </w:r>
            <w:r w:rsidRPr="00920B4C">
              <w:rPr>
                <w:rFonts w:cs="Arial"/>
                <w:bCs/>
              </w:rPr>
              <w:t>Дехидратация</w:t>
            </w:r>
          </w:p>
        </w:tc>
        <w:tc>
          <w:tcPr>
            <w:tcW w:w="4750" w:type="dxa"/>
          </w:tcPr>
          <w:p w14:paraId="29D57E70" w14:textId="79CF17FD" w:rsidR="00753C2A" w:rsidRPr="00920B4C" w:rsidRDefault="00753C2A" w:rsidP="00753C2A">
            <w:pPr>
              <w:rPr>
                <w:rFonts w:cs="Arial"/>
              </w:rPr>
            </w:pPr>
            <w:r w:rsidRPr="00920B4C">
              <w:rPr>
                <w:rFonts w:cs="Arial"/>
                <w:bCs/>
              </w:rPr>
              <w:t>С неизвестна честота</w:t>
            </w:r>
          </w:p>
        </w:tc>
      </w:tr>
      <w:tr w:rsidR="00753C2A" w14:paraId="693B449D" w14:textId="77777777" w:rsidTr="001C123B">
        <w:tc>
          <w:tcPr>
            <w:tcW w:w="4750" w:type="dxa"/>
            <w:vAlign w:val="bottom"/>
          </w:tcPr>
          <w:p w14:paraId="6E2ADCC8" w14:textId="77777777" w:rsidR="00920B4C" w:rsidRDefault="00753C2A" w:rsidP="00753C2A">
            <w:pPr>
              <w:rPr>
                <w:rFonts w:cs="Arial"/>
                <w:bCs/>
                <w:u w:val="single"/>
              </w:rPr>
            </w:pPr>
            <w:r w:rsidRPr="00920B4C">
              <w:rPr>
                <w:rFonts w:cs="Arial"/>
                <w:bCs/>
                <w:u w:val="single"/>
              </w:rPr>
              <w:t xml:space="preserve">Нарушения на нервната система </w:t>
            </w:r>
          </w:p>
          <w:p w14:paraId="5F671AE9" w14:textId="77777777" w:rsidR="00920B4C" w:rsidRDefault="00920B4C" w:rsidP="00753C2A">
            <w:pPr>
              <w:rPr>
                <w:rFonts w:cs="Arial"/>
                <w:bCs/>
              </w:rPr>
            </w:pPr>
          </w:p>
          <w:p w14:paraId="14CF2675" w14:textId="4A31466A" w:rsidR="00753C2A" w:rsidRPr="00920B4C" w:rsidRDefault="00753C2A" w:rsidP="00753C2A">
            <w:pPr>
              <w:rPr>
                <w:rFonts w:cs="Arial"/>
                <w:bCs/>
              </w:rPr>
            </w:pPr>
            <w:r w:rsidRPr="00920B4C">
              <w:rPr>
                <w:rFonts w:cs="Arial"/>
                <w:bCs/>
              </w:rPr>
              <w:t xml:space="preserve">Замаяност </w:t>
            </w:r>
          </w:p>
          <w:p w14:paraId="1EA1CC3A" w14:textId="77777777" w:rsidR="00920B4C" w:rsidRDefault="00920B4C" w:rsidP="00753C2A">
            <w:pPr>
              <w:rPr>
                <w:rFonts w:cs="Arial"/>
                <w:bCs/>
              </w:rPr>
            </w:pPr>
          </w:p>
          <w:p w14:paraId="0498A748" w14:textId="7D64C9E2" w:rsidR="00753C2A" w:rsidRPr="00920B4C" w:rsidRDefault="00753C2A" w:rsidP="00753C2A">
            <w:pPr>
              <w:rPr>
                <w:rFonts w:cs="Arial"/>
                <w:bCs/>
              </w:rPr>
            </w:pPr>
            <w:r w:rsidRPr="00920B4C">
              <w:rPr>
                <w:rFonts w:cs="Arial"/>
                <w:bCs/>
              </w:rPr>
              <w:t xml:space="preserve">Главоболие </w:t>
            </w:r>
          </w:p>
          <w:p w14:paraId="239598A5" w14:textId="77777777" w:rsidR="00920B4C" w:rsidRDefault="00920B4C" w:rsidP="00753C2A">
            <w:pPr>
              <w:rPr>
                <w:rFonts w:cs="Arial"/>
                <w:bCs/>
              </w:rPr>
            </w:pPr>
          </w:p>
          <w:p w14:paraId="556D7706" w14:textId="2546AE33" w:rsidR="00753C2A" w:rsidRPr="00920B4C" w:rsidRDefault="00753C2A" w:rsidP="00753C2A">
            <w:pPr>
              <w:rPr>
                <w:rFonts w:cs="Arial"/>
                <w:bCs/>
              </w:rPr>
            </w:pPr>
            <w:r w:rsidRPr="00920B4C">
              <w:rPr>
                <w:rFonts w:cs="Arial"/>
                <w:bCs/>
              </w:rPr>
              <w:t xml:space="preserve">Нарушения на вкуса </w:t>
            </w:r>
          </w:p>
          <w:p w14:paraId="52E58522" w14:textId="77777777" w:rsidR="00920B4C" w:rsidRDefault="00920B4C" w:rsidP="00753C2A">
            <w:pPr>
              <w:rPr>
                <w:rFonts w:cs="Arial"/>
                <w:bCs/>
              </w:rPr>
            </w:pPr>
          </w:p>
          <w:p w14:paraId="4EA04DE0" w14:textId="3D0DBBAC" w:rsidR="00753C2A" w:rsidRPr="00920B4C" w:rsidRDefault="00753C2A" w:rsidP="00753C2A">
            <w:pPr>
              <w:rPr>
                <w:rFonts w:cs="Arial"/>
              </w:rPr>
            </w:pPr>
            <w:r w:rsidRPr="00920B4C">
              <w:rPr>
                <w:rFonts w:cs="Arial"/>
                <w:bCs/>
              </w:rPr>
              <w:t>Безсъние</w:t>
            </w:r>
          </w:p>
        </w:tc>
        <w:tc>
          <w:tcPr>
            <w:tcW w:w="4750" w:type="dxa"/>
            <w:vAlign w:val="bottom"/>
          </w:tcPr>
          <w:p w14:paraId="00D64C48" w14:textId="77777777" w:rsidR="00920B4C" w:rsidRDefault="00920B4C" w:rsidP="00753C2A">
            <w:pPr>
              <w:rPr>
                <w:rFonts w:cs="Arial"/>
                <w:bCs/>
              </w:rPr>
            </w:pPr>
          </w:p>
          <w:p w14:paraId="11EA90A0" w14:textId="118044A6" w:rsidR="00753C2A" w:rsidRPr="00920B4C" w:rsidRDefault="00753C2A" w:rsidP="00753C2A">
            <w:pPr>
              <w:rPr>
                <w:rFonts w:cs="Arial"/>
                <w:bCs/>
              </w:rPr>
            </w:pPr>
            <w:r w:rsidRPr="00920B4C">
              <w:rPr>
                <w:rFonts w:cs="Arial"/>
                <w:bCs/>
              </w:rPr>
              <w:t xml:space="preserve">Нечести </w:t>
            </w:r>
          </w:p>
          <w:p w14:paraId="7FCA6258" w14:textId="77777777" w:rsidR="00920B4C" w:rsidRDefault="00920B4C" w:rsidP="00753C2A">
            <w:pPr>
              <w:rPr>
                <w:rFonts w:cs="Arial"/>
                <w:bCs/>
              </w:rPr>
            </w:pPr>
          </w:p>
          <w:p w14:paraId="185D5A93" w14:textId="38390D92" w:rsidR="00753C2A" w:rsidRPr="00920B4C" w:rsidRDefault="00753C2A" w:rsidP="00753C2A">
            <w:pPr>
              <w:rPr>
                <w:rFonts w:cs="Arial"/>
                <w:bCs/>
              </w:rPr>
            </w:pPr>
            <w:r w:rsidRPr="00920B4C">
              <w:rPr>
                <w:rFonts w:cs="Arial"/>
                <w:bCs/>
              </w:rPr>
              <w:t xml:space="preserve">Нечести </w:t>
            </w:r>
          </w:p>
          <w:p w14:paraId="3290A768" w14:textId="77777777" w:rsidR="00920B4C" w:rsidRDefault="00920B4C" w:rsidP="00753C2A">
            <w:pPr>
              <w:rPr>
                <w:rFonts w:cs="Arial"/>
                <w:bCs/>
              </w:rPr>
            </w:pPr>
          </w:p>
          <w:p w14:paraId="5319EEE8" w14:textId="122BBA24" w:rsidR="00753C2A" w:rsidRPr="00920B4C" w:rsidRDefault="00753C2A" w:rsidP="00753C2A">
            <w:pPr>
              <w:rPr>
                <w:rFonts w:cs="Arial"/>
                <w:bCs/>
              </w:rPr>
            </w:pPr>
            <w:r w:rsidRPr="00920B4C">
              <w:rPr>
                <w:rFonts w:cs="Arial"/>
                <w:bCs/>
              </w:rPr>
              <w:t xml:space="preserve">Нечести </w:t>
            </w:r>
          </w:p>
          <w:p w14:paraId="45B9ECF5" w14:textId="77777777" w:rsidR="00920B4C" w:rsidRDefault="00920B4C" w:rsidP="00753C2A">
            <w:pPr>
              <w:rPr>
                <w:rFonts w:cs="Arial"/>
                <w:bCs/>
              </w:rPr>
            </w:pPr>
          </w:p>
          <w:p w14:paraId="76D87632" w14:textId="727320B0" w:rsidR="00753C2A" w:rsidRPr="00920B4C" w:rsidRDefault="00753C2A" w:rsidP="00753C2A">
            <w:pPr>
              <w:rPr>
                <w:rFonts w:cs="Arial"/>
              </w:rPr>
            </w:pPr>
            <w:r w:rsidRPr="00920B4C">
              <w:rPr>
                <w:rFonts w:cs="Arial"/>
                <w:bCs/>
              </w:rPr>
              <w:t>Редки</w:t>
            </w:r>
          </w:p>
        </w:tc>
      </w:tr>
      <w:tr w:rsidR="00753C2A" w14:paraId="1506FCF2" w14:textId="77777777" w:rsidTr="001C123B">
        <w:tc>
          <w:tcPr>
            <w:tcW w:w="4750" w:type="dxa"/>
            <w:vAlign w:val="bottom"/>
          </w:tcPr>
          <w:p w14:paraId="2169715E" w14:textId="77777777" w:rsidR="00753C2A" w:rsidRPr="00920B4C" w:rsidRDefault="00753C2A" w:rsidP="00753C2A">
            <w:pPr>
              <w:rPr>
                <w:rFonts w:cs="Arial"/>
                <w:bCs/>
                <w:u w:val="single"/>
              </w:rPr>
            </w:pPr>
            <w:r w:rsidRPr="00920B4C">
              <w:rPr>
                <w:rFonts w:cs="Arial"/>
                <w:bCs/>
                <w:u w:val="single"/>
              </w:rPr>
              <w:lastRenderedPageBreak/>
              <w:t xml:space="preserve">Нарушения на окото </w:t>
            </w:r>
          </w:p>
          <w:p w14:paraId="081F2D61" w14:textId="77777777" w:rsidR="00920B4C" w:rsidRDefault="00920B4C" w:rsidP="00753C2A">
            <w:pPr>
              <w:rPr>
                <w:rFonts w:cs="Arial"/>
                <w:bCs/>
              </w:rPr>
            </w:pPr>
          </w:p>
          <w:p w14:paraId="00D28ED5" w14:textId="11BFDA1C" w:rsidR="00753C2A" w:rsidRPr="00920B4C" w:rsidRDefault="00753C2A" w:rsidP="00753C2A">
            <w:pPr>
              <w:rPr>
                <w:rFonts w:cs="Arial"/>
                <w:bCs/>
              </w:rPr>
            </w:pPr>
            <w:r w:rsidRPr="00920B4C">
              <w:rPr>
                <w:rFonts w:cs="Arial"/>
                <w:bCs/>
              </w:rPr>
              <w:t xml:space="preserve">Замъглено виждане </w:t>
            </w:r>
          </w:p>
          <w:p w14:paraId="7951A080" w14:textId="77777777" w:rsidR="00920B4C" w:rsidRDefault="00920B4C" w:rsidP="00753C2A">
            <w:pPr>
              <w:rPr>
                <w:rFonts w:cs="Arial"/>
                <w:bCs/>
              </w:rPr>
            </w:pPr>
          </w:p>
          <w:p w14:paraId="26D015D8" w14:textId="2F1CA779" w:rsidR="00753C2A" w:rsidRPr="00920B4C" w:rsidRDefault="00753C2A" w:rsidP="00753C2A">
            <w:pPr>
              <w:rPr>
                <w:rFonts w:cs="Arial"/>
              </w:rPr>
            </w:pPr>
            <w:r w:rsidRPr="00920B4C">
              <w:rPr>
                <w:rFonts w:cs="Arial"/>
                <w:bCs/>
              </w:rPr>
              <w:t>Глаукома</w:t>
            </w:r>
          </w:p>
          <w:p w14:paraId="1E2E6062" w14:textId="77777777" w:rsidR="00920B4C" w:rsidRDefault="00920B4C" w:rsidP="00753C2A">
            <w:pPr>
              <w:rPr>
                <w:rFonts w:cs="Arial"/>
                <w:bCs/>
              </w:rPr>
            </w:pPr>
          </w:p>
          <w:p w14:paraId="21C41CF8" w14:textId="4B873CA5" w:rsidR="00753C2A" w:rsidRPr="00920B4C" w:rsidRDefault="00753C2A" w:rsidP="00753C2A">
            <w:pPr>
              <w:rPr>
                <w:rFonts w:cs="Arial"/>
              </w:rPr>
            </w:pPr>
            <w:r w:rsidRPr="00920B4C">
              <w:rPr>
                <w:rFonts w:cs="Arial"/>
                <w:bCs/>
              </w:rPr>
              <w:t>Повишено вътреочно налягане</w:t>
            </w:r>
          </w:p>
        </w:tc>
        <w:tc>
          <w:tcPr>
            <w:tcW w:w="4750" w:type="dxa"/>
            <w:vAlign w:val="bottom"/>
          </w:tcPr>
          <w:p w14:paraId="54959FA3" w14:textId="77777777" w:rsidR="00753C2A" w:rsidRPr="00920B4C" w:rsidRDefault="00753C2A" w:rsidP="00753C2A">
            <w:pPr>
              <w:rPr>
                <w:rFonts w:cs="Arial"/>
                <w:bCs/>
              </w:rPr>
            </w:pPr>
          </w:p>
          <w:p w14:paraId="249C40FD" w14:textId="77777777" w:rsidR="00920B4C" w:rsidRDefault="00920B4C" w:rsidP="00753C2A">
            <w:pPr>
              <w:rPr>
                <w:rFonts w:cs="Arial"/>
                <w:bCs/>
              </w:rPr>
            </w:pPr>
          </w:p>
          <w:p w14:paraId="2A42137C" w14:textId="65B9D138" w:rsidR="00753C2A" w:rsidRPr="00920B4C" w:rsidRDefault="00753C2A" w:rsidP="00753C2A">
            <w:pPr>
              <w:rPr>
                <w:rFonts w:cs="Arial"/>
                <w:bCs/>
              </w:rPr>
            </w:pPr>
            <w:r w:rsidRPr="00920B4C">
              <w:rPr>
                <w:rFonts w:cs="Arial"/>
                <w:bCs/>
              </w:rPr>
              <w:t xml:space="preserve">Нечести </w:t>
            </w:r>
          </w:p>
          <w:p w14:paraId="5D6F85F5" w14:textId="77777777" w:rsidR="00920B4C" w:rsidRDefault="00920B4C" w:rsidP="00753C2A">
            <w:pPr>
              <w:rPr>
                <w:rFonts w:cs="Arial"/>
                <w:bCs/>
              </w:rPr>
            </w:pPr>
          </w:p>
          <w:p w14:paraId="40911143" w14:textId="1975F61D" w:rsidR="00753C2A" w:rsidRPr="00920B4C" w:rsidRDefault="00753C2A" w:rsidP="00753C2A">
            <w:pPr>
              <w:rPr>
                <w:rFonts w:cs="Arial"/>
                <w:bCs/>
              </w:rPr>
            </w:pPr>
            <w:r w:rsidRPr="00920B4C">
              <w:rPr>
                <w:rFonts w:cs="Arial"/>
                <w:bCs/>
              </w:rPr>
              <w:t xml:space="preserve">Редки </w:t>
            </w:r>
          </w:p>
          <w:p w14:paraId="47684972" w14:textId="77777777" w:rsidR="00920B4C" w:rsidRDefault="00920B4C" w:rsidP="00753C2A">
            <w:pPr>
              <w:rPr>
                <w:rFonts w:cs="Arial"/>
                <w:bCs/>
              </w:rPr>
            </w:pPr>
          </w:p>
          <w:p w14:paraId="7B981914" w14:textId="1A72F687" w:rsidR="00753C2A" w:rsidRPr="00920B4C" w:rsidRDefault="00753C2A" w:rsidP="00753C2A">
            <w:pPr>
              <w:rPr>
                <w:rFonts w:cs="Arial"/>
              </w:rPr>
            </w:pPr>
            <w:r w:rsidRPr="00920B4C">
              <w:rPr>
                <w:rFonts w:cs="Arial"/>
                <w:bCs/>
              </w:rPr>
              <w:t>Редки</w:t>
            </w:r>
          </w:p>
        </w:tc>
      </w:tr>
      <w:tr w:rsidR="00753C2A" w14:paraId="28E26C2B" w14:textId="77777777" w:rsidTr="001C123B">
        <w:tc>
          <w:tcPr>
            <w:tcW w:w="4750" w:type="dxa"/>
            <w:vAlign w:val="bottom"/>
          </w:tcPr>
          <w:p w14:paraId="1902B47C" w14:textId="77777777" w:rsidR="00753C2A" w:rsidRPr="00920B4C" w:rsidRDefault="00753C2A" w:rsidP="00753C2A">
            <w:pPr>
              <w:rPr>
                <w:rFonts w:cs="Arial"/>
                <w:bCs/>
                <w:u w:val="single"/>
              </w:rPr>
            </w:pPr>
            <w:r w:rsidRPr="00920B4C">
              <w:rPr>
                <w:rFonts w:cs="Arial"/>
                <w:bCs/>
                <w:u w:val="single"/>
              </w:rPr>
              <w:t xml:space="preserve">Сърдечни нарушения </w:t>
            </w:r>
          </w:p>
          <w:p w14:paraId="5D417B93" w14:textId="77777777" w:rsidR="00920B4C" w:rsidRDefault="00920B4C" w:rsidP="00753C2A">
            <w:pPr>
              <w:rPr>
                <w:rFonts w:cs="Arial"/>
                <w:bCs/>
              </w:rPr>
            </w:pPr>
          </w:p>
          <w:p w14:paraId="20E41F62" w14:textId="1FCED802" w:rsidR="00920B4C" w:rsidRDefault="00753C2A" w:rsidP="00753C2A">
            <w:pPr>
              <w:rPr>
                <w:rFonts w:cs="Arial"/>
                <w:bCs/>
              </w:rPr>
            </w:pPr>
            <w:r w:rsidRPr="00920B4C">
              <w:rPr>
                <w:rFonts w:cs="Arial"/>
                <w:bCs/>
              </w:rPr>
              <w:t xml:space="preserve">Предсърдно мъждене </w:t>
            </w:r>
          </w:p>
          <w:p w14:paraId="7926EEC7" w14:textId="77777777" w:rsidR="00920B4C" w:rsidRDefault="00920B4C" w:rsidP="00753C2A">
            <w:pPr>
              <w:rPr>
                <w:rFonts w:cs="Arial"/>
                <w:bCs/>
              </w:rPr>
            </w:pPr>
          </w:p>
          <w:p w14:paraId="44EA38D5" w14:textId="77777777" w:rsidR="00920B4C" w:rsidRDefault="00753C2A" w:rsidP="00753C2A">
            <w:pPr>
              <w:rPr>
                <w:rFonts w:cs="Arial"/>
                <w:bCs/>
              </w:rPr>
            </w:pPr>
            <w:r w:rsidRPr="00920B4C">
              <w:rPr>
                <w:rFonts w:cs="Arial"/>
                <w:bCs/>
              </w:rPr>
              <w:t xml:space="preserve">Супервентрикуларна тахикардия </w:t>
            </w:r>
          </w:p>
          <w:p w14:paraId="6CD2362A" w14:textId="77777777" w:rsidR="00920B4C" w:rsidRDefault="00920B4C" w:rsidP="00753C2A">
            <w:pPr>
              <w:rPr>
                <w:rFonts w:cs="Arial"/>
                <w:bCs/>
              </w:rPr>
            </w:pPr>
          </w:p>
          <w:p w14:paraId="0B843C13" w14:textId="68930FCE" w:rsidR="00753C2A" w:rsidRPr="00920B4C" w:rsidRDefault="00753C2A" w:rsidP="00753C2A">
            <w:pPr>
              <w:rPr>
                <w:rFonts w:cs="Arial"/>
                <w:bCs/>
              </w:rPr>
            </w:pPr>
            <w:r w:rsidRPr="00920B4C">
              <w:rPr>
                <w:rFonts w:cs="Arial"/>
                <w:bCs/>
              </w:rPr>
              <w:t xml:space="preserve">Тахикардия </w:t>
            </w:r>
          </w:p>
          <w:p w14:paraId="36AC798D" w14:textId="77777777" w:rsidR="00920B4C" w:rsidRDefault="00920B4C" w:rsidP="00753C2A">
            <w:pPr>
              <w:rPr>
                <w:rFonts w:cs="Arial"/>
                <w:bCs/>
              </w:rPr>
            </w:pPr>
          </w:p>
          <w:p w14:paraId="482279F3" w14:textId="5774CB6A" w:rsidR="00753C2A" w:rsidRPr="00920B4C" w:rsidRDefault="00753C2A" w:rsidP="00753C2A">
            <w:pPr>
              <w:rPr>
                <w:rFonts w:cs="Arial"/>
              </w:rPr>
            </w:pPr>
            <w:r w:rsidRPr="00920B4C">
              <w:rPr>
                <w:rFonts w:cs="Arial"/>
                <w:bCs/>
              </w:rPr>
              <w:t>Палпитации</w:t>
            </w:r>
          </w:p>
        </w:tc>
        <w:tc>
          <w:tcPr>
            <w:tcW w:w="4750" w:type="dxa"/>
            <w:vAlign w:val="bottom"/>
          </w:tcPr>
          <w:p w14:paraId="2EC2063D" w14:textId="77777777" w:rsidR="00753C2A" w:rsidRPr="00920B4C" w:rsidRDefault="00753C2A" w:rsidP="00753C2A">
            <w:pPr>
              <w:rPr>
                <w:rFonts w:cs="Arial"/>
                <w:bCs/>
              </w:rPr>
            </w:pPr>
          </w:p>
          <w:p w14:paraId="50E3F813" w14:textId="52EE0CAC" w:rsidR="00753C2A" w:rsidRPr="00920B4C" w:rsidRDefault="00753C2A" w:rsidP="00753C2A">
            <w:pPr>
              <w:rPr>
                <w:rFonts w:cs="Arial"/>
                <w:bCs/>
              </w:rPr>
            </w:pPr>
            <w:r w:rsidRPr="00920B4C">
              <w:rPr>
                <w:rFonts w:cs="Arial"/>
                <w:bCs/>
              </w:rPr>
              <w:t xml:space="preserve">Нечести </w:t>
            </w:r>
          </w:p>
          <w:p w14:paraId="04EF5EF5" w14:textId="77777777" w:rsidR="00920B4C" w:rsidRDefault="00920B4C" w:rsidP="00753C2A">
            <w:pPr>
              <w:rPr>
                <w:rFonts w:cs="Arial"/>
                <w:bCs/>
              </w:rPr>
            </w:pPr>
          </w:p>
          <w:p w14:paraId="1E61610F" w14:textId="116904F1" w:rsidR="00753C2A" w:rsidRPr="00920B4C" w:rsidRDefault="00753C2A" w:rsidP="00753C2A">
            <w:pPr>
              <w:rPr>
                <w:rFonts w:cs="Arial"/>
                <w:bCs/>
              </w:rPr>
            </w:pPr>
            <w:r w:rsidRPr="00920B4C">
              <w:rPr>
                <w:rFonts w:cs="Arial"/>
                <w:bCs/>
              </w:rPr>
              <w:t xml:space="preserve">Редки </w:t>
            </w:r>
          </w:p>
          <w:p w14:paraId="0A0C088B" w14:textId="77777777" w:rsidR="00920B4C" w:rsidRDefault="00920B4C" w:rsidP="00753C2A">
            <w:pPr>
              <w:rPr>
                <w:rFonts w:cs="Arial"/>
                <w:bCs/>
              </w:rPr>
            </w:pPr>
          </w:p>
          <w:p w14:paraId="4773D38F" w14:textId="6E1A8277" w:rsidR="00753C2A" w:rsidRPr="00920B4C" w:rsidRDefault="00753C2A" w:rsidP="00753C2A">
            <w:pPr>
              <w:rPr>
                <w:rFonts w:cs="Arial"/>
                <w:bCs/>
              </w:rPr>
            </w:pPr>
            <w:r w:rsidRPr="00920B4C">
              <w:rPr>
                <w:rFonts w:cs="Arial"/>
                <w:bCs/>
              </w:rPr>
              <w:t xml:space="preserve">Редки </w:t>
            </w:r>
          </w:p>
          <w:p w14:paraId="2E376FF5" w14:textId="77777777" w:rsidR="00920B4C" w:rsidRDefault="00920B4C" w:rsidP="00753C2A">
            <w:pPr>
              <w:rPr>
                <w:rFonts w:cs="Arial"/>
                <w:bCs/>
              </w:rPr>
            </w:pPr>
          </w:p>
          <w:p w14:paraId="6DAD354B" w14:textId="0AB072F9" w:rsidR="00753C2A" w:rsidRPr="00920B4C" w:rsidRDefault="00753C2A" w:rsidP="00753C2A">
            <w:pPr>
              <w:rPr>
                <w:rFonts w:cs="Arial"/>
              </w:rPr>
            </w:pPr>
            <w:r w:rsidRPr="00920B4C">
              <w:rPr>
                <w:rFonts w:cs="Arial"/>
                <w:bCs/>
              </w:rPr>
              <w:t>Редки</w:t>
            </w:r>
          </w:p>
        </w:tc>
      </w:tr>
      <w:tr w:rsidR="00753C2A" w14:paraId="7BB68442" w14:textId="77777777" w:rsidTr="00753C2A">
        <w:tc>
          <w:tcPr>
            <w:tcW w:w="4750" w:type="dxa"/>
          </w:tcPr>
          <w:p w14:paraId="0AF5D3DD" w14:textId="77777777" w:rsidR="00753C2A" w:rsidRPr="00920B4C" w:rsidRDefault="00753C2A" w:rsidP="005E11C5">
            <w:pPr>
              <w:rPr>
                <w:rFonts w:cs="Arial"/>
                <w:bCs/>
                <w:u w:val="single"/>
              </w:rPr>
            </w:pPr>
            <w:r w:rsidRPr="00920B4C">
              <w:rPr>
                <w:rFonts w:cs="Arial"/>
                <w:bCs/>
                <w:u w:val="single"/>
              </w:rPr>
              <w:t>Респираторни, гръдни и  медиастинални нарушения</w:t>
            </w:r>
          </w:p>
          <w:p w14:paraId="7914DFE2" w14:textId="77777777" w:rsidR="00753C2A" w:rsidRPr="00920B4C" w:rsidRDefault="00753C2A" w:rsidP="005E11C5">
            <w:pPr>
              <w:rPr>
                <w:rFonts w:cs="Arial"/>
                <w:bCs/>
              </w:rPr>
            </w:pPr>
            <w:r w:rsidRPr="00920B4C">
              <w:rPr>
                <w:rFonts w:cs="Arial"/>
                <w:bCs/>
              </w:rPr>
              <w:t xml:space="preserve">Фарингит </w:t>
            </w:r>
          </w:p>
          <w:p w14:paraId="6476E939" w14:textId="77777777" w:rsidR="00753C2A" w:rsidRPr="00920B4C" w:rsidRDefault="00753C2A" w:rsidP="005E11C5">
            <w:pPr>
              <w:rPr>
                <w:rFonts w:cs="Arial"/>
                <w:bCs/>
              </w:rPr>
            </w:pPr>
          </w:p>
          <w:p w14:paraId="48FCD765" w14:textId="51F94FCA" w:rsidR="00753C2A" w:rsidRPr="00920B4C" w:rsidRDefault="00753C2A" w:rsidP="005E11C5">
            <w:pPr>
              <w:rPr>
                <w:rFonts w:cs="Arial"/>
                <w:bCs/>
              </w:rPr>
            </w:pPr>
            <w:r w:rsidRPr="00920B4C">
              <w:rPr>
                <w:rFonts w:cs="Arial"/>
                <w:bCs/>
              </w:rPr>
              <w:t xml:space="preserve">Дисфония </w:t>
            </w:r>
          </w:p>
          <w:p w14:paraId="49DA2CE6" w14:textId="77777777" w:rsidR="00753C2A" w:rsidRPr="00920B4C" w:rsidRDefault="00753C2A" w:rsidP="005E11C5">
            <w:pPr>
              <w:rPr>
                <w:rFonts w:cs="Arial"/>
                <w:bCs/>
              </w:rPr>
            </w:pPr>
          </w:p>
          <w:p w14:paraId="000D15E6" w14:textId="467D23FB" w:rsidR="00753C2A" w:rsidRPr="00920B4C" w:rsidRDefault="00753C2A" w:rsidP="005E11C5">
            <w:pPr>
              <w:rPr>
                <w:rFonts w:cs="Arial"/>
                <w:bCs/>
              </w:rPr>
            </w:pPr>
            <w:r w:rsidRPr="00920B4C">
              <w:rPr>
                <w:rFonts w:cs="Arial"/>
                <w:bCs/>
              </w:rPr>
              <w:t xml:space="preserve">Кашлица </w:t>
            </w:r>
          </w:p>
          <w:p w14:paraId="41828034" w14:textId="77777777" w:rsidR="00753C2A" w:rsidRPr="00920B4C" w:rsidRDefault="00753C2A" w:rsidP="005E11C5">
            <w:pPr>
              <w:rPr>
                <w:rFonts w:cs="Arial"/>
                <w:bCs/>
              </w:rPr>
            </w:pPr>
          </w:p>
          <w:p w14:paraId="58C6872D" w14:textId="572BAC6C" w:rsidR="00753C2A" w:rsidRPr="00920B4C" w:rsidRDefault="00753C2A" w:rsidP="005E11C5">
            <w:pPr>
              <w:rPr>
                <w:rFonts w:cs="Arial"/>
                <w:bCs/>
              </w:rPr>
            </w:pPr>
            <w:r w:rsidRPr="00920B4C">
              <w:rPr>
                <w:rFonts w:cs="Arial"/>
                <w:bCs/>
              </w:rPr>
              <w:t xml:space="preserve">Бронхоспазъм </w:t>
            </w:r>
          </w:p>
          <w:p w14:paraId="147492AD" w14:textId="77777777" w:rsidR="00753C2A" w:rsidRPr="00920B4C" w:rsidRDefault="00753C2A" w:rsidP="005E11C5">
            <w:pPr>
              <w:rPr>
                <w:rFonts w:cs="Arial"/>
                <w:bCs/>
              </w:rPr>
            </w:pPr>
          </w:p>
          <w:p w14:paraId="57485DD3" w14:textId="6B50C3CD" w:rsidR="00753C2A" w:rsidRPr="00920B4C" w:rsidRDefault="00753C2A" w:rsidP="005E11C5">
            <w:pPr>
              <w:rPr>
                <w:rFonts w:cs="Arial"/>
                <w:bCs/>
              </w:rPr>
            </w:pPr>
            <w:r w:rsidRPr="00920B4C">
              <w:rPr>
                <w:rFonts w:cs="Arial"/>
                <w:bCs/>
              </w:rPr>
              <w:t xml:space="preserve">Епистаксис </w:t>
            </w:r>
          </w:p>
          <w:p w14:paraId="7D4F6E8B" w14:textId="77777777" w:rsidR="00753C2A" w:rsidRPr="00920B4C" w:rsidRDefault="00753C2A" w:rsidP="005E11C5">
            <w:pPr>
              <w:rPr>
                <w:rFonts w:cs="Arial"/>
                <w:bCs/>
              </w:rPr>
            </w:pPr>
          </w:p>
          <w:p w14:paraId="6F8AE2A9" w14:textId="3BF69218" w:rsidR="00753C2A" w:rsidRPr="00920B4C" w:rsidRDefault="00753C2A" w:rsidP="005E11C5">
            <w:pPr>
              <w:rPr>
                <w:rFonts w:cs="Arial"/>
                <w:bCs/>
              </w:rPr>
            </w:pPr>
            <w:r w:rsidRPr="00920B4C">
              <w:rPr>
                <w:rFonts w:cs="Arial"/>
                <w:bCs/>
              </w:rPr>
              <w:t xml:space="preserve">Ларингит </w:t>
            </w:r>
          </w:p>
          <w:p w14:paraId="11170A65" w14:textId="77777777" w:rsidR="00753C2A" w:rsidRPr="00920B4C" w:rsidRDefault="00753C2A" w:rsidP="005E11C5">
            <w:pPr>
              <w:rPr>
                <w:rFonts w:cs="Arial"/>
                <w:bCs/>
              </w:rPr>
            </w:pPr>
          </w:p>
          <w:p w14:paraId="115C7315" w14:textId="262268B1" w:rsidR="00753C2A" w:rsidRPr="00920B4C" w:rsidRDefault="00753C2A" w:rsidP="005E11C5">
            <w:pPr>
              <w:rPr>
                <w:rFonts w:cs="Arial"/>
                <w:u w:val="single"/>
              </w:rPr>
            </w:pPr>
            <w:r w:rsidRPr="00920B4C">
              <w:rPr>
                <w:rFonts w:cs="Arial"/>
                <w:bCs/>
              </w:rPr>
              <w:t>Синузит</w:t>
            </w:r>
          </w:p>
        </w:tc>
        <w:tc>
          <w:tcPr>
            <w:tcW w:w="4750" w:type="dxa"/>
          </w:tcPr>
          <w:p w14:paraId="571EC527" w14:textId="77777777" w:rsidR="00753C2A" w:rsidRPr="00920B4C" w:rsidRDefault="00753C2A" w:rsidP="005E11C5">
            <w:pPr>
              <w:rPr>
                <w:rFonts w:cs="Arial"/>
                <w:bCs/>
              </w:rPr>
            </w:pPr>
          </w:p>
          <w:p w14:paraId="550225AD" w14:textId="77777777" w:rsidR="00753C2A" w:rsidRPr="00920B4C" w:rsidRDefault="00753C2A" w:rsidP="005E11C5">
            <w:pPr>
              <w:rPr>
                <w:rFonts w:cs="Arial"/>
                <w:bCs/>
              </w:rPr>
            </w:pPr>
          </w:p>
          <w:p w14:paraId="60CF80EA" w14:textId="527E5EA8" w:rsidR="00753C2A" w:rsidRPr="00920B4C" w:rsidRDefault="00753C2A" w:rsidP="005E11C5">
            <w:pPr>
              <w:rPr>
                <w:rFonts w:cs="Arial"/>
                <w:bCs/>
              </w:rPr>
            </w:pPr>
            <w:r w:rsidRPr="00920B4C">
              <w:rPr>
                <w:rFonts w:cs="Arial"/>
                <w:bCs/>
              </w:rPr>
              <w:t xml:space="preserve">Нечести </w:t>
            </w:r>
          </w:p>
          <w:p w14:paraId="645EDBC8" w14:textId="77777777" w:rsidR="00753C2A" w:rsidRPr="00920B4C" w:rsidRDefault="00753C2A" w:rsidP="005E11C5">
            <w:pPr>
              <w:rPr>
                <w:rFonts w:cs="Arial"/>
                <w:bCs/>
              </w:rPr>
            </w:pPr>
          </w:p>
          <w:p w14:paraId="4E15C8FC" w14:textId="778FD803" w:rsidR="00753C2A" w:rsidRPr="00920B4C" w:rsidRDefault="00753C2A" w:rsidP="005E11C5">
            <w:pPr>
              <w:rPr>
                <w:rFonts w:cs="Arial"/>
                <w:bCs/>
              </w:rPr>
            </w:pPr>
            <w:r w:rsidRPr="00920B4C">
              <w:rPr>
                <w:rFonts w:cs="Arial"/>
                <w:bCs/>
              </w:rPr>
              <w:t xml:space="preserve">Нечести </w:t>
            </w:r>
          </w:p>
          <w:p w14:paraId="2548DE96" w14:textId="77777777" w:rsidR="00753C2A" w:rsidRPr="00920B4C" w:rsidRDefault="00753C2A" w:rsidP="005E11C5">
            <w:pPr>
              <w:rPr>
                <w:rFonts w:cs="Arial"/>
                <w:bCs/>
              </w:rPr>
            </w:pPr>
          </w:p>
          <w:p w14:paraId="1C1E722C" w14:textId="443AF800" w:rsidR="00753C2A" w:rsidRPr="00920B4C" w:rsidRDefault="00753C2A" w:rsidP="005E11C5">
            <w:pPr>
              <w:rPr>
                <w:rFonts w:cs="Arial"/>
                <w:bCs/>
              </w:rPr>
            </w:pPr>
            <w:r w:rsidRPr="00920B4C">
              <w:rPr>
                <w:rFonts w:cs="Arial"/>
                <w:bCs/>
              </w:rPr>
              <w:t xml:space="preserve">Нечести </w:t>
            </w:r>
          </w:p>
          <w:p w14:paraId="31F5F814" w14:textId="77777777" w:rsidR="00753C2A" w:rsidRPr="00920B4C" w:rsidRDefault="00753C2A" w:rsidP="005E11C5">
            <w:pPr>
              <w:rPr>
                <w:rFonts w:cs="Arial"/>
                <w:bCs/>
              </w:rPr>
            </w:pPr>
          </w:p>
          <w:p w14:paraId="6DE098AB" w14:textId="7F95D414" w:rsidR="00753C2A" w:rsidRPr="00920B4C" w:rsidRDefault="00753C2A" w:rsidP="005E11C5">
            <w:pPr>
              <w:rPr>
                <w:rFonts w:cs="Arial"/>
                <w:bCs/>
              </w:rPr>
            </w:pPr>
            <w:r w:rsidRPr="00920B4C">
              <w:rPr>
                <w:rFonts w:cs="Arial"/>
                <w:bCs/>
              </w:rPr>
              <w:t xml:space="preserve">Редки </w:t>
            </w:r>
          </w:p>
          <w:p w14:paraId="19918B33" w14:textId="77777777" w:rsidR="00753C2A" w:rsidRPr="00920B4C" w:rsidRDefault="00753C2A" w:rsidP="005E11C5">
            <w:pPr>
              <w:rPr>
                <w:rFonts w:cs="Arial"/>
                <w:bCs/>
              </w:rPr>
            </w:pPr>
          </w:p>
          <w:p w14:paraId="31AFF70E" w14:textId="218C2C70" w:rsidR="00753C2A" w:rsidRPr="00920B4C" w:rsidRDefault="00753C2A" w:rsidP="005E11C5">
            <w:pPr>
              <w:rPr>
                <w:rFonts w:cs="Arial"/>
                <w:bCs/>
              </w:rPr>
            </w:pPr>
            <w:r w:rsidRPr="00920B4C">
              <w:rPr>
                <w:rFonts w:cs="Arial"/>
                <w:bCs/>
              </w:rPr>
              <w:t xml:space="preserve">Редки </w:t>
            </w:r>
          </w:p>
          <w:p w14:paraId="5E37E655" w14:textId="77777777" w:rsidR="00753C2A" w:rsidRPr="00920B4C" w:rsidRDefault="00753C2A" w:rsidP="005E11C5">
            <w:pPr>
              <w:rPr>
                <w:rFonts w:cs="Arial"/>
                <w:bCs/>
              </w:rPr>
            </w:pPr>
          </w:p>
          <w:p w14:paraId="5BF19B92" w14:textId="6575407D" w:rsidR="00753C2A" w:rsidRPr="00920B4C" w:rsidRDefault="00753C2A" w:rsidP="005E11C5">
            <w:pPr>
              <w:rPr>
                <w:rFonts w:cs="Arial"/>
                <w:bCs/>
              </w:rPr>
            </w:pPr>
            <w:r w:rsidRPr="00920B4C">
              <w:rPr>
                <w:rFonts w:cs="Arial"/>
                <w:bCs/>
              </w:rPr>
              <w:t xml:space="preserve">Редки </w:t>
            </w:r>
          </w:p>
          <w:p w14:paraId="2AA3B576" w14:textId="77777777" w:rsidR="00753C2A" w:rsidRPr="00920B4C" w:rsidRDefault="00753C2A" w:rsidP="005E11C5">
            <w:pPr>
              <w:rPr>
                <w:rFonts w:cs="Arial"/>
                <w:bCs/>
              </w:rPr>
            </w:pPr>
          </w:p>
          <w:p w14:paraId="22B7AEB8" w14:textId="4E6C4519" w:rsidR="00753C2A" w:rsidRPr="00920B4C" w:rsidRDefault="00753C2A" w:rsidP="005E11C5">
            <w:pPr>
              <w:rPr>
                <w:rFonts w:cs="Arial"/>
              </w:rPr>
            </w:pPr>
            <w:r w:rsidRPr="00920B4C">
              <w:rPr>
                <w:rFonts w:cs="Arial"/>
                <w:bCs/>
              </w:rPr>
              <w:t>Редки</w:t>
            </w:r>
          </w:p>
        </w:tc>
      </w:tr>
      <w:tr w:rsidR="00753C2A" w14:paraId="7F0CEEB1" w14:textId="77777777" w:rsidTr="001C123B">
        <w:tc>
          <w:tcPr>
            <w:tcW w:w="4750" w:type="dxa"/>
            <w:vAlign w:val="bottom"/>
          </w:tcPr>
          <w:p w14:paraId="609A01EF" w14:textId="77777777" w:rsidR="00753C2A" w:rsidRPr="00920B4C" w:rsidRDefault="00753C2A" w:rsidP="00753C2A">
            <w:pPr>
              <w:rPr>
                <w:rFonts w:cs="Arial"/>
              </w:rPr>
            </w:pPr>
            <w:r w:rsidRPr="00920B4C">
              <w:rPr>
                <w:rFonts w:cs="Arial"/>
                <w:bCs/>
                <w:u w:val="single"/>
              </w:rPr>
              <w:t>Стомашно-чревни нарушения</w:t>
            </w:r>
          </w:p>
          <w:p w14:paraId="0F492257" w14:textId="77777777" w:rsidR="00753C2A" w:rsidRPr="00920B4C" w:rsidRDefault="00753C2A" w:rsidP="00753C2A">
            <w:pPr>
              <w:rPr>
                <w:rFonts w:cs="Arial"/>
              </w:rPr>
            </w:pPr>
            <w:r w:rsidRPr="00920B4C">
              <w:rPr>
                <w:rFonts w:cs="Arial"/>
                <w:bCs/>
              </w:rPr>
              <w:t>Сухота в устата</w:t>
            </w:r>
          </w:p>
          <w:p w14:paraId="71B77E07" w14:textId="77777777" w:rsidR="00753C2A" w:rsidRPr="00920B4C" w:rsidRDefault="00753C2A" w:rsidP="00753C2A">
            <w:pPr>
              <w:rPr>
                <w:rFonts w:cs="Arial"/>
                <w:bCs/>
              </w:rPr>
            </w:pPr>
          </w:p>
          <w:p w14:paraId="03B72865" w14:textId="7CCA2341" w:rsidR="00753C2A" w:rsidRPr="00920B4C" w:rsidRDefault="00753C2A" w:rsidP="00753C2A">
            <w:pPr>
              <w:rPr>
                <w:rFonts w:cs="Arial"/>
              </w:rPr>
            </w:pPr>
            <w:r w:rsidRPr="00920B4C">
              <w:rPr>
                <w:rFonts w:cs="Arial"/>
                <w:bCs/>
              </w:rPr>
              <w:t>Гастроезофагеална рефлуксна болест</w:t>
            </w:r>
          </w:p>
          <w:p w14:paraId="3BAAAE3A" w14:textId="1DEAB586" w:rsidR="00753C2A" w:rsidRPr="00920B4C" w:rsidRDefault="00753C2A" w:rsidP="00753C2A">
            <w:pPr>
              <w:rPr>
                <w:rFonts w:cs="Arial"/>
                <w:bCs/>
              </w:rPr>
            </w:pPr>
          </w:p>
          <w:p w14:paraId="2495546E" w14:textId="276AD7D8" w:rsidR="00753C2A" w:rsidRPr="00920B4C" w:rsidRDefault="00753C2A" w:rsidP="00753C2A">
            <w:pPr>
              <w:rPr>
                <w:rFonts w:cs="Arial"/>
              </w:rPr>
            </w:pPr>
            <w:r w:rsidRPr="00920B4C">
              <w:rPr>
                <w:rFonts w:cs="Arial"/>
                <w:bCs/>
              </w:rPr>
              <w:t>Констипация</w:t>
            </w:r>
          </w:p>
          <w:p w14:paraId="05E14903" w14:textId="77777777" w:rsidR="00753C2A" w:rsidRPr="00920B4C" w:rsidRDefault="00753C2A" w:rsidP="00753C2A">
            <w:pPr>
              <w:rPr>
                <w:rFonts w:cs="Arial"/>
                <w:bCs/>
              </w:rPr>
            </w:pPr>
          </w:p>
          <w:p w14:paraId="0FD4BA1C" w14:textId="68830846" w:rsidR="00753C2A" w:rsidRPr="00920B4C" w:rsidRDefault="00753C2A" w:rsidP="00753C2A">
            <w:pPr>
              <w:rPr>
                <w:rFonts w:cs="Arial"/>
              </w:rPr>
            </w:pPr>
            <w:r w:rsidRPr="00920B4C">
              <w:rPr>
                <w:rFonts w:cs="Arial"/>
                <w:bCs/>
              </w:rPr>
              <w:t>Орофарингеална кандидата</w:t>
            </w:r>
          </w:p>
          <w:p w14:paraId="4CA1F0D6" w14:textId="77777777" w:rsidR="00753C2A" w:rsidRPr="00920B4C" w:rsidRDefault="00753C2A" w:rsidP="00753C2A">
            <w:pPr>
              <w:rPr>
                <w:rFonts w:cs="Arial"/>
                <w:bCs/>
              </w:rPr>
            </w:pPr>
          </w:p>
          <w:p w14:paraId="6EF475D9" w14:textId="2EBABAED" w:rsidR="00753C2A" w:rsidRPr="00920B4C" w:rsidRDefault="00753C2A" w:rsidP="00753C2A">
            <w:pPr>
              <w:rPr>
                <w:rFonts w:cs="Arial"/>
              </w:rPr>
            </w:pPr>
            <w:r w:rsidRPr="00920B4C">
              <w:rPr>
                <w:rFonts w:cs="Arial"/>
                <w:bCs/>
              </w:rPr>
              <w:t>Интестинална обструкция, включително паралитичен илеус</w:t>
            </w:r>
          </w:p>
          <w:p w14:paraId="7B55EEAC" w14:textId="77777777" w:rsidR="00753C2A" w:rsidRPr="00920B4C" w:rsidRDefault="00753C2A" w:rsidP="00753C2A">
            <w:pPr>
              <w:rPr>
                <w:rFonts w:cs="Arial"/>
                <w:bCs/>
              </w:rPr>
            </w:pPr>
          </w:p>
          <w:p w14:paraId="3359F015" w14:textId="108C8EFB" w:rsidR="00753C2A" w:rsidRPr="00920B4C" w:rsidRDefault="00753C2A" w:rsidP="00753C2A">
            <w:pPr>
              <w:rPr>
                <w:rFonts w:cs="Arial"/>
              </w:rPr>
            </w:pPr>
            <w:r w:rsidRPr="00920B4C">
              <w:rPr>
                <w:rFonts w:cs="Arial"/>
                <w:bCs/>
              </w:rPr>
              <w:t>Гингивит</w:t>
            </w:r>
          </w:p>
          <w:p w14:paraId="6E7B16FF" w14:textId="77777777" w:rsidR="00753C2A" w:rsidRPr="00920B4C" w:rsidRDefault="00753C2A" w:rsidP="00753C2A">
            <w:pPr>
              <w:rPr>
                <w:rFonts w:cs="Arial"/>
                <w:bCs/>
              </w:rPr>
            </w:pPr>
          </w:p>
          <w:p w14:paraId="1C5C1EFC" w14:textId="7BA11A4E" w:rsidR="00753C2A" w:rsidRPr="00920B4C" w:rsidRDefault="00753C2A" w:rsidP="00753C2A">
            <w:pPr>
              <w:rPr>
                <w:rFonts w:cs="Arial"/>
              </w:rPr>
            </w:pPr>
            <w:r w:rsidRPr="00920B4C">
              <w:rPr>
                <w:rFonts w:cs="Arial"/>
                <w:bCs/>
              </w:rPr>
              <w:t>Глосит</w:t>
            </w:r>
          </w:p>
          <w:p w14:paraId="1D9FBA03" w14:textId="77777777" w:rsidR="00753C2A" w:rsidRPr="00920B4C" w:rsidRDefault="00753C2A" w:rsidP="00753C2A">
            <w:pPr>
              <w:rPr>
                <w:rFonts w:cs="Arial"/>
                <w:bCs/>
              </w:rPr>
            </w:pPr>
          </w:p>
          <w:p w14:paraId="151D7CB8" w14:textId="032E2DCD" w:rsidR="00753C2A" w:rsidRPr="00920B4C" w:rsidRDefault="00753C2A" w:rsidP="00753C2A">
            <w:pPr>
              <w:rPr>
                <w:rFonts w:cs="Arial"/>
              </w:rPr>
            </w:pPr>
            <w:r w:rsidRPr="00920B4C">
              <w:rPr>
                <w:rFonts w:cs="Arial"/>
                <w:bCs/>
              </w:rPr>
              <w:lastRenderedPageBreak/>
              <w:t>Дисфагия</w:t>
            </w:r>
          </w:p>
          <w:p w14:paraId="58D249A2" w14:textId="77777777" w:rsidR="00753C2A" w:rsidRPr="00920B4C" w:rsidRDefault="00753C2A" w:rsidP="00753C2A">
            <w:pPr>
              <w:rPr>
                <w:rFonts w:cs="Arial"/>
                <w:bCs/>
              </w:rPr>
            </w:pPr>
          </w:p>
          <w:p w14:paraId="27466A26" w14:textId="13AFC2D6" w:rsidR="00753C2A" w:rsidRPr="00920B4C" w:rsidRDefault="00753C2A" w:rsidP="00753C2A">
            <w:pPr>
              <w:rPr>
                <w:rFonts w:cs="Arial"/>
              </w:rPr>
            </w:pPr>
            <w:r w:rsidRPr="00920B4C">
              <w:rPr>
                <w:rFonts w:cs="Arial"/>
                <w:bCs/>
              </w:rPr>
              <w:t>Стоматит</w:t>
            </w:r>
          </w:p>
          <w:p w14:paraId="6E9806A4" w14:textId="77777777" w:rsidR="00753C2A" w:rsidRPr="00920B4C" w:rsidRDefault="00753C2A" w:rsidP="00753C2A">
            <w:pPr>
              <w:rPr>
                <w:rFonts w:cs="Arial"/>
                <w:bCs/>
              </w:rPr>
            </w:pPr>
          </w:p>
          <w:p w14:paraId="5362FC56" w14:textId="165FA70B" w:rsidR="00753C2A" w:rsidRPr="00920B4C" w:rsidRDefault="00753C2A" w:rsidP="00753C2A">
            <w:pPr>
              <w:rPr>
                <w:rFonts w:cs="Arial"/>
              </w:rPr>
            </w:pPr>
            <w:r w:rsidRPr="00920B4C">
              <w:rPr>
                <w:rFonts w:cs="Arial"/>
                <w:bCs/>
              </w:rPr>
              <w:t>Гадене</w:t>
            </w:r>
          </w:p>
          <w:p w14:paraId="17BE63C9" w14:textId="77777777" w:rsidR="00753C2A" w:rsidRPr="00920B4C" w:rsidRDefault="00753C2A" w:rsidP="00753C2A">
            <w:pPr>
              <w:rPr>
                <w:rFonts w:cs="Arial"/>
                <w:bCs/>
              </w:rPr>
            </w:pPr>
          </w:p>
          <w:p w14:paraId="23FCD9C1" w14:textId="49346955" w:rsidR="00753C2A" w:rsidRPr="00920B4C" w:rsidRDefault="00753C2A" w:rsidP="00753C2A">
            <w:pPr>
              <w:rPr>
                <w:rFonts w:cs="Arial"/>
              </w:rPr>
            </w:pPr>
            <w:r w:rsidRPr="00920B4C">
              <w:rPr>
                <w:rFonts w:cs="Arial"/>
                <w:bCs/>
              </w:rPr>
              <w:t>Зъбен кариес</w:t>
            </w:r>
          </w:p>
        </w:tc>
        <w:tc>
          <w:tcPr>
            <w:tcW w:w="4750" w:type="dxa"/>
            <w:vAlign w:val="bottom"/>
          </w:tcPr>
          <w:p w14:paraId="1416AEF2" w14:textId="77777777" w:rsidR="00753C2A" w:rsidRPr="00920B4C" w:rsidRDefault="00753C2A" w:rsidP="00753C2A">
            <w:pPr>
              <w:rPr>
                <w:rFonts w:cs="Arial"/>
                <w:bCs/>
              </w:rPr>
            </w:pPr>
          </w:p>
          <w:p w14:paraId="16640C0C" w14:textId="77777777" w:rsidR="00753C2A" w:rsidRPr="00920B4C" w:rsidRDefault="00753C2A" w:rsidP="00753C2A">
            <w:pPr>
              <w:rPr>
                <w:rFonts w:cs="Arial"/>
                <w:bCs/>
              </w:rPr>
            </w:pPr>
          </w:p>
          <w:p w14:paraId="12AD7F2C" w14:textId="45422A78" w:rsidR="00753C2A" w:rsidRPr="00920B4C" w:rsidRDefault="00753C2A" w:rsidP="00753C2A">
            <w:pPr>
              <w:rPr>
                <w:rFonts w:cs="Arial"/>
                <w:bCs/>
              </w:rPr>
            </w:pPr>
            <w:r w:rsidRPr="00920B4C">
              <w:rPr>
                <w:rFonts w:cs="Arial"/>
                <w:bCs/>
              </w:rPr>
              <w:t xml:space="preserve">Чести </w:t>
            </w:r>
          </w:p>
          <w:p w14:paraId="665B7413" w14:textId="77777777" w:rsidR="00753C2A" w:rsidRPr="00920B4C" w:rsidRDefault="00753C2A" w:rsidP="00753C2A">
            <w:pPr>
              <w:rPr>
                <w:rFonts w:cs="Arial"/>
                <w:bCs/>
              </w:rPr>
            </w:pPr>
          </w:p>
          <w:p w14:paraId="4E9509AE" w14:textId="7E06CFB6" w:rsidR="00753C2A" w:rsidRPr="00920B4C" w:rsidRDefault="00753C2A" w:rsidP="00753C2A">
            <w:pPr>
              <w:rPr>
                <w:rFonts w:cs="Arial"/>
                <w:bCs/>
              </w:rPr>
            </w:pPr>
            <w:r w:rsidRPr="00920B4C">
              <w:rPr>
                <w:rFonts w:cs="Arial"/>
                <w:bCs/>
              </w:rPr>
              <w:t xml:space="preserve">Нечести </w:t>
            </w:r>
          </w:p>
          <w:p w14:paraId="332843C8" w14:textId="77777777" w:rsidR="00753C2A" w:rsidRPr="00920B4C" w:rsidRDefault="00753C2A" w:rsidP="00753C2A">
            <w:pPr>
              <w:rPr>
                <w:rFonts w:cs="Arial"/>
                <w:bCs/>
              </w:rPr>
            </w:pPr>
          </w:p>
          <w:p w14:paraId="306335E6" w14:textId="5D80D996" w:rsidR="00753C2A" w:rsidRPr="00920B4C" w:rsidRDefault="00753C2A" w:rsidP="00753C2A">
            <w:pPr>
              <w:rPr>
                <w:rFonts w:cs="Arial"/>
                <w:bCs/>
              </w:rPr>
            </w:pPr>
            <w:r w:rsidRPr="00920B4C">
              <w:rPr>
                <w:rFonts w:cs="Arial"/>
                <w:bCs/>
              </w:rPr>
              <w:t xml:space="preserve">Нечести </w:t>
            </w:r>
          </w:p>
          <w:p w14:paraId="391A1825" w14:textId="77777777" w:rsidR="00753C2A" w:rsidRPr="00920B4C" w:rsidRDefault="00753C2A" w:rsidP="00753C2A">
            <w:pPr>
              <w:rPr>
                <w:rFonts w:cs="Arial"/>
                <w:bCs/>
              </w:rPr>
            </w:pPr>
          </w:p>
          <w:p w14:paraId="43DA3218" w14:textId="253817AC" w:rsidR="00753C2A" w:rsidRPr="00920B4C" w:rsidRDefault="00753C2A" w:rsidP="00753C2A">
            <w:pPr>
              <w:rPr>
                <w:rFonts w:cs="Arial"/>
                <w:bCs/>
              </w:rPr>
            </w:pPr>
            <w:r w:rsidRPr="00920B4C">
              <w:rPr>
                <w:rFonts w:cs="Arial"/>
                <w:bCs/>
              </w:rPr>
              <w:t xml:space="preserve">Нечести </w:t>
            </w:r>
          </w:p>
          <w:p w14:paraId="2D18C368" w14:textId="77777777" w:rsidR="00753C2A" w:rsidRPr="00920B4C" w:rsidRDefault="00753C2A" w:rsidP="00753C2A">
            <w:pPr>
              <w:rPr>
                <w:rFonts w:cs="Arial"/>
                <w:bCs/>
              </w:rPr>
            </w:pPr>
          </w:p>
          <w:p w14:paraId="7ED81178" w14:textId="77777777" w:rsidR="00753C2A" w:rsidRPr="00920B4C" w:rsidRDefault="00753C2A" w:rsidP="00753C2A">
            <w:pPr>
              <w:rPr>
                <w:rFonts w:cs="Arial"/>
                <w:bCs/>
              </w:rPr>
            </w:pPr>
          </w:p>
          <w:p w14:paraId="0C03AE78" w14:textId="73F0FAF2" w:rsidR="00753C2A" w:rsidRPr="00920B4C" w:rsidRDefault="00753C2A" w:rsidP="00753C2A">
            <w:pPr>
              <w:rPr>
                <w:rFonts w:cs="Arial"/>
                <w:bCs/>
              </w:rPr>
            </w:pPr>
            <w:r w:rsidRPr="00920B4C">
              <w:rPr>
                <w:rFonts w:cs="Arial"/>
                <w:bCs/>
              </w:rPr>
              <w:t xml:space="preserve">Редки </w:t>
            </w:r>
          </w:p>
          <w:p w14:paraId="2D279AB3" w14:textId="77777777" w:rsidR="00753C2A" w:rsidRPr="00920B4C" w:rsidRDefault="00753C2A" w:rsidP="00753C2A">
            <w:pPr>
              <w:rPr>
                <w:rFonts w:cs="Arial"/>
                <w:bCs/>
              </w:rPr>
            </w:pPr>
          </w:p>
          <w:p w14:paraId="7D8E1DEE" w14:textId="2A0D3F34" w:rsidR="00753C2A" w:rsidRPr="00920B4C" w:rsidRDefault="00753C2A" w:rsidP="00753C2A">
            <w:pPr>
              <w:rPr>
                <w:rFonts w:cs="Arial"/>
                <w:bCs/>
              </w:rPr>
            </w:pPr>
            <w:r w:rsidRPr="00920B4C">
              <w:rPr>
                <w:rFonts w:cs="Arial"/>
                <w:bCs/>
              </w:rPr>
              <w:t xml:space="preserve">Редки </w:t>
            </w:r>
          </w:p>
          <w:p w14:paraId="4DCA6F8A" w14:textId="77777777" w:rsidR="00753C2A" w:rsidRPr="00920B4C" w:rsidRDefault="00753C2A" w:rsidP="00753C2A">
            <w:pPr>
              <w:rPr>
                <w:rFonts w:cs="Arial"/>
                <w:bCs/>
              </w:rPr>
            </w:pPr>
          </w:p>
          <w:p w14:paraId="560E2986" w14:textId="593E803C" w:rsidR="00753C2A" w:rsidRPr="00920B4C" w:rsidRDefault="00753C2A" w:rsidP="00753C2A">
            <w:pPr>
              <w:rPr>
                <w:rFonts w:cs="Arial"/>
                <w:bCs/>
              </w:rPr>
            </w:pPr>
            <w:r w:rsidRPr="00920B4C">
              <w:rPr>
                <w:rFonts w:cs="Arial"/>
                <w:bCs/>
              </w:rPr>
              <w:t xml:space="preserve">Редки </w:t>
            </w:r>
          </w:p>
          <w:p w14:paraId="47C1A5FA" w14:textId="77777777" w:rsidR="00753C2A" w:rsidRPr="00920B4C" w:rsidRDefault="00753C2A" w:rsidP="00753C2A">
            <w:pPr>
              <w:rPr>
                <w:rFonts w:cs="Arial"/>
                <w:bCs/>
              </w:rPr>
            </w:pPr>
          </w:p>
          <w:p w14:paraId="777AB3B7" w14:textId="6A25D0A1" w:rsidR="00753C2A" w:rsidRPr="00920B4C" w:rsidRDefault="00753C2A" w:rsidP="00753C2A">
            <w:pPr>
              <w:rPr>
                <w:rFonts w:cs="Arial"/>
                <w:bCs/>
              </w:rPr>
            </w:pPr>
            <w:r w:rsidRPr="00920B4C">
              <w:rPr>
                <w:rFonts w:cs="Arial"/>
                <w:bCs/>
              </w:rPr>
              <w:t xml:space="preserve">Редки </w:t>
            </w:r>
          </w:p>
          <w:p w14:paraId="5C14CE7B" w14:textId="77777777" w:rsidR="00753C2A" w:rsidRPr="00920B4C" w:rsidRDefault="00753C2A" w:rsidP="00753C2A">
            <w:pPr>
              <w:rPr>
                <w:rFonts w:cs="Arial"/>
                <w:bCs/>
              </w:rPr>
            </w:pPr>
          </w:p>
          <w:p w14:paraId="6B44D35A" w14:textId="6B093A77" w:rsidR="00753C2A" w:rsidRPr="00920B4C" w:rsidRDefault="00753C2A" w:rsidP="00753C2A">
            <w:pPr>
              <w:rPr>
                <w:rFonts w:cs="Arial"/>
                <w:bCs/>
              </w:rPr>
            </w:pPr>
            <w:r w:rsidRPr="00920B4C">
              <w:rPr>
                <w:rFonts w:cs="Arial"/>
                <w:bCs/>
              </w:rPr>
              <w:t xml:space="preserve">Редки </w:t>
            </w:r>
          </w:p>
          <w:p w14:paraId="765A382C" w14:textId="77777777" w:rsidR="00753C2A" w:rsidRPr="00920B4C" w:rsidRDefault="00753C2A" w:rsidP="00753C2A">
            <w:pPr>
              <w:rPr>
                <w:rFonts w:cs="Arial"/>
                <w:bCs/>
              </w:rPr>
            </w:pPr>
          </w:p>
          <w:p w14:paraId="58321E6F" w14:textId="25422A37" w:rsidR="00753C2A" w:rsidRPr="00920B4C" w:rsidRDefault="00753C2A" w:rsidP="00753C2A">
            <w:pPr>
              <w:rPr>
                <w:rFonts w:cs="Arial"/>
                <w:bCs/>
              </w:rPr>
            </w:pPr>
            <w:r w:rsidRPr="00920B4C">
              <w:rPr>
                <w:rFonts w:cs="Arial"/>
                <w:bCs/>
              </w:rPr>
              <w:t xml:space="preserve">Редки </w:t>
            </w:r>
          </w:p>
          <w:p w14:paraId="2B4363ED" w14:textId="77777777" w:rsidR="00753C2A" w:rsidRPr="00920B4C" w:rsidRDefault="00753C2A" w:rsidP="00753C2A">
            <w:pPr>
              <w:rPr>
                <w:rFonts w:cs="Arial"/>
                <w:bCs/>
              </w:rPr>
            </w:pPr>
          </w:p>
          <w:p w14:paraId="363A8BAB" w14:textId="7E29F906" w:rsidR="00753C2A" w:rsidRPr="00920B4C" w:rsidRDefault="00753C2A" w:rsidP="00753C2A">
            <w:pPr>
              <w:rPr>
                <w:rFonts w:cs="Arial"/>
              </w:rPr>
            </w:pPr>
            <w:r w:rsidRPr="00920B4C">
              <w:rPr>
                <w:rFonts w:cs="Arial"/>
                <w:bCs/>
              </w:rPr>
              <w:t>С неизвестна честота</w:t>
            </w:r>
          </w:p>
        </w:tc>
      </w:tr>
      <w:tr w:rsidR="00753C2A" w14:paraId="6ADC3C7F" w14:textId="77777777" w:rsidTr="00753C2A">
        <w:tc>
          <w:tcPr>
            <w:tcW w:w="4750" w:type="dxa"/>
          </w:tcPr>
          <w:p w14:paraId="290F2629" w14:textId="1A820436" w:rsidR="00753C2A" w:rsidRPr="00920B4C" w:rsidRDefault="00753C2A" w:rsidP="00753C2A">
            <w:pPr>
              <w:spacing w:line="240" w:lineRule="auto"/>
              <w:rPr>
                <w:rFonts w:cs="Arial"/>
                <w:bCs/>
                <w:u w:val="single"/>
              </w:rPr>
            </w:pPr>
            <w:r w:rsidRPr="00753C2A">
              <w:rPr>
                <w:rFonts w:eastAsia="Times New Roman" w:cs="Arial"/>
                <w:bCs/>
                <w:color w:val="000000"/>
                <w:u w:val="single"/>
                <w:lang w:eastAsia="bg-BG"/>
              </w:rPr>
              <w:lastRenderedPageBreak/>
              <w:t>Нарушения на кожата и подкожната тъкан, нарушения на</w:t>
            </w:r>
            <w:r w:rsidRPr="00920B4C">
              <w:rPr>
                <w:rFonts w:eastAsia="Times New Roman" w:cs="Arial"/>
                <w:bCs/>
                <w:color w:val="000000"/>
                <w:u w:val="single"/>
                <w:lang w:eastAsia="bg-BG"/>
              </w:rPr>
              <w:t xml:space="preserve"> </w:t>
            </w:r>
            <w:r w:rsidRPr="00920B4C">
              <w:rPr>
                <w:rFonts w:cs="Arial"/>
                <w:bCs/>
                <w:u w:val="single"/>
              </w:rPr>
              <w:t>имунната система</w:t>
            </w:r>
          </w:p>
          <w:p w14:paraId="02E569FA" w14:textId="77777777" w:rsidR="00920B4C" w:rsidRPr="00920B4C" w:rsidRDefault="00920B4C" w:rsidP="00920B4C">
            <w:pPr>
              <w:spacing w:line="240" w:lineRule="auto"/>
              <w:rPr>
                <w:rFonts w:eastAsia="Times New Roman" w:cs="Arial"/>
                <w:bCs/>
                <w:color w:val="000000"/>
                <w:lang w:eastAsia="bg-BG"/>
              </w:rPr>
            </w:pPr>
          </w:p>
          <w:p w14:paraId="18D700C5" w14:textId="3FB7A298"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Обрив</w:t>
            </w:r>
          </w:p>
          <w:p w14:paraId="64389C1A" w14:textId="77777777" w:rsidR="00920B4C" w:rsidRPr="00920B4C" w:rsidRDefault="00920B4C" w:rsidP="00920B4C">
            <w:pPr>
              <w:spacing w:line="240" w:lineRule="auto"/>
              <w:rPr>
                <w:rFonts w:eastAsia="Times New Roman" w:cs="Arial"/>
                <w:bCs/>
                <w:color w:val="000000"/>
                <w:lang w:eastAsia="bg-BG"/>
              </w:rPr>
            </w:pPr>
          </w:p>
          <w:p w14:paraId="0B4543C3" w14:textId="2F36CBE3"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Уртикария</w:t>
            </w:r>
          </w:p>
          <w:p w14:paraId="513606DD" w14:textId="77777777" w:rsidR="00920B4C" w:rsidRPr="00920B4C" w:rsidRDefault="00920B4C" w:rsidP="00920B4C">
            <w:pPr>
              <w:spacing w:line="240" w:lineRule="auto"/>
              <w:rPr>
                <w:rFonts w:eastAsia="Times New Roman" w:cs="Arial"/>
                <w:bCs/>
                <w:color w:val="000000"/>
                <w:lang w:eastAsia="bg-BG"/>
              </w:rPr>
            </w:pPr>
          </w:p>
          <w:p w14:paraId="7B453A2C" w14:textId="6AC98D13"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Пруритус</w:t>
            </w:r>
          </w:p>
          <w:p w14:paraId="708C8757" w14:textId="77777777" w:rsidR="00920B4C" w:rsidRPr="00920B4C" w:rsidRDefault="00920B4C" w:rsidP="00920B4C">
            <w:pPr>
              <w:spacing w:line="240" w:lineRule="auto"/>
              <w:rPr>
                <w:rFonts w:eastAsia="Times New Roman" w:cs="Arial"/>
                <w:bCs/>
                <w:color w:val="000000"/>
                <w:lang w:eastAsia="bg-BG"/>
              </w:rPr>
            </w:pPr>
          </w:p>
          <w:p w14:paraId="29D59BE1" w14:textId="20B23AF5"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Свръхчувствителност (включително реакции от бърз тип)</w:t>
            </w:r>
          </w:p>
          <w:p w14:paraId="28B012AC" w14:textId="77777777" w:rsidR="00920B4C" w:rsidRPr="00920B4C" w:rsidRDefault="00920B4C" w:rsidP="00920B4C">
            <w:pPr>
              <w:spacing w:line="240" w:lineRule="auto"/>
              <w:rPr>
                <w:rFonts w:eastAsia="Times New Roman" w:cs="Arial"/>
                <w:bCs/>
                <w:color w:val="000000"/>
                <w:lang w:eastAsia="bg-BG"/>
              </w:rPr>
            </w:pPr>
          </w:p>
          <w:p w14:paraId="02C9BDD1" w14:textId="5A31199A"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Ангиоедем</w:t>
            </w:r>
          </w:p>
          <w:p w14:paraId="0D5BD284" w14:textId="77777777" w:rsidR="00920B4C" w:rsidRPr="00920B4C" w:rsidRDefault="00920B4C" w:rsidP="00920B4C">
            <w:pPr>
              <w:spacing w:line="240" w:lineRule="auto"/>
              <w:rPr>
                <w:rFonts w:eastAsia="Times New Roman" w:cs="Arial"/>
                <w:bCs/>
                <w:color w:val="000000"/>
                <w:lang w:eastAsia="bg-BG"/>
              </w:rPr>
            </w:pPr>
          </w:p>
          <w:p w14:paraId="10839B73" w14:textId="05C90F47"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Анафилактична реакция</w:t>
            </w:r>
          </w:p>
          <w:p w14:paraId="3BF7CE06" w14:textId="77777777" w:rsidR="00920B4C" w:rsidRPr="00920B4C" w:rsidRDefault="00920B4C" w:rsidP="00920B4C">
            <w:pPr>
              <w:spacing w:line="240" w:lineRule="auto"/>
              <w:rPr>
                <w:rFonts w:eastAsia="Times New Roman" w:cs="Arial"/>
                <w:bCs/>
                <w:color w:val="000000"/>
                <w:lang w:eastAsia="bg-BG"/>
              </w:rPr>
            </w:pPr>
          </w:p>
          <w:p w14:paraId="23EF37D0" w14:textId="16A7BC84"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Кожна инфекция, кожна язва</w:t>
            </w:r>
          </w:p>
          <w:p w14:paraId="32E2BE9F" w14:textId="77777777" w:rsidR="00920B4C" w:rsidRPr="00920B4C" w:rsidRDefault="00920B4C" w:rsidP="00920B4C">
            <w:pPr>
              <w:spacing w:line="240" w:lineRule="auto"/>
              <w:rPr>
                <w:rFonts w:eastAsia="Times New Roman" w:cs="Arial"/>
                <w:bCs/>
                <w:color w:val="000000"/>
                <w:lang w:eastAsia="bg-BG"/>
              </w:rPr>
            </w:pPr>
          </w:p>
          <w:p w14:paraId="08E83BF3" w14:textId="2CA78D41" w:rsidR="00920B4C" w:rsidRPr="00753C2A" w:rsidRDefault="00920B4C" w:rsidP="00920B4C">
            <w:pPr>
              <w:spacing w:line="240" w:lineRule="auto"/>
              <w:rPr>
                <w:rFonts w:eastAsia="Times New Roman" w:cs="Arial"/>
                <w:lang w:eastAsia="bg-BG"/>
              </w:rPr>
            </w:pPr>
            <w:r w:rsidRPr="00920B4C">
              <w:rPr>
                <w:rFonts w:eastAsia="Times New Roman" w:cs="Arial"/>
                <w:bCs/>
                <w:color w:val="000000"/>
                <w:lang w:eastAsia="bg-BG"/>
              </w:rPr>
              <w:t>Суха кожа</w:t>
            </w:r>
          </w:p>
          <w:p w14:paraId="2E2DF8C2" w14:textId="77777777" w:rsidR="00753C2A" w:rsidRPr="00920B4C" w:rsidRDefault="00753C2A" w:rsidP="005E11C5">
            <w:pPr>
              <w:rPr>
                <w:rFonts w:cs="Arial"/>
              </w:rPr>
            </w:pPr>
          </w:p>
        </w:tc>
        <w:tc>
          <w:tcPr>
            <w:tcW w:w="4750" w:type="dxa"/>
          </w:tcPr>
          <w:p w14:paraId="5B7F8526" w14:textId="77777777" w:rsidR="00920B4C" w:rsidRPr="00920B4C" w:rsidRDefault="00920B4C" w:rsidP="00920B4C">
            <w:pPr>
              <w:spacing w:line="240" w:lineRule="auto"/>
              <w:rPr>
                <w:rFonts w:eastAsia="Times New Roman" w:cs="Arial"/>
                <w:bCs/>
                <w:color w:val="000000"/>
                <w:lang w:eastAsia="bg-BG"/>
              </w:rPr>
            </w:pPr>
          </w:p>
          <w:p w14:paraId="69C02D02" w14:textId="77777777" w:rsidR="00920B4C" w:rsidRPr="00920B4C" w:rsidRDefault="00920B4C" w:rsidP="00920B4C">
            <w:pPr>
              <w:spacing w:line="240" w:lineRule="auto"/>
              <w:rPr>
                <w:rFonts w:eastAsia="Times New Roman" w:cs="Arial"/>
                <w:bCs/>
                <w:color w:val="000000"/>
                <w:lang w:eastAsia="bg-BG"/>
              </w:rPr>
            </w:pPr>
          </w:p>
          <w:p w14:paraId="6C56EF94" w14:textId="77777777" w:rsidR="00920B4C" w:rsidRPr="00920B4C" w:rsidRDefault="00920B4C" w:rsidP="00920B4C">
            <w:pPr>
              <w:spacing w:line="240" w:lineRule="auto"/>
              <w:rPr>
                <w:rFonts w:eastAsia="Times New Roman" w:cs="Arial"/>
                <w:bCs/>
                <w:color w:val="000000"/>
                <w:lang w:eastAsia="bg-BG"/>
              </w:rPr>
            </w:pPr>
          </w:p>
          <w:p w14:paraId="7AC72D29" w14:textId="361F5D9C" w:rsidR="00920B4C" w:rsidRPr="00920B4C" w:rsidRDefault="00920B4C" w:rsidP="00920B4C">
            <w:pPr>
              <w:spacing w:line="240" w:lineRule="auto"/>
              <w:rPr>
                <w:rFonts w:eastAsia="Times New Roman" w:cs="Arial"/>
                <w:bCs/>
                <w:color w:val="000000"/>
                <w:lang w:eastAsia="bg-BG"/>
              </w:rPr>
            </w:pPr>
            <w:r w:rsidRPr="00920B4C">
              <w:rPr>
                <w:rFonts w:eastAsia="Times New Roman" w:cs="Arial"/>
                <w:bCs/>
                <w:color w:val="000000"/>
                <w:lang w:eastAsia="bg-BG"/>
              </w:rPr>
              <w:t xml:space="preserve">Нечести </w:t>
            </w:r>
          </w:p>
          <w:p w14:paraId="67924A15" w14:textId="77777777" w:rsidR="00920B4C" w:rsidRPr="00920B4C" w:rsidRDefault="00920B4C" w:rsidP="00920B4C">
            <w:pPr>
              <w:spacing w:line="240" w:lineRule="auto"/>
              <w:rPr>
                <w:rFonts w:eastAsia="Times New Roman" w:cs="Arial"/>
                <w:bCs/>
                <w:color w:val="000000"/>
                <w:lang w:eastAsia="bg-BG"/>
              </w:rPr>
            </w:pPr>
          </w:p>
          <w:p w14:paraId="4BA5F348" w14:textId="12F8A302" w:rsidR="00920B4C" w:rsidRPr="00920B4C" w:rsidRDefault="00920B4C" w:rsidP="00920B4C">
            <w:pPr>
              <w:spacing w:line="240" w:lineRule="auto"/>
              <w:rPr>
                <w:rFonts w:eastAsia="Times New Roman" w:cs="Arial"/>
                <w:bCs/>
                <w:color w:val="000000"/>
                <w:lang w:eastAsia="bg-BG"/>
              </w:rPr>
            </w:pPr>
            <w:r w:rsidRPr="00920B4C">
              <w:rPr>
                <w:rFonts w:eastAsia="Times New Roman" w:cs="Arial"/>
                <w:bCs/>
                <w:color w:val="000000"/>
                <w:lang w:eastAsia="bg-BG"/>
              </w:rPr>
              <w:t xml:space="preserve">Редки </w:t>
            </w:r>
          </w:p>
          <w:p w14:paraId="535F8831" w14:textId="77777777" w:rsidR="00920B4C" w:rsidRPr="00920B4C" w:rsidRDefault="00920B4C" w:rsidP="00920B4C">
            <w:pPr>
              <w:spacing w:line="240" w:lineRule="auto"/>
              <w:rPr>
                <w:rFonts w:eastAsia="Times New Roman" w:cs="Arial"/>
                <w:bCs/>
                <w:color w:val="000000"/>
                <w:lang w:eastAsia="bg-BG"/>
              </w:rPr>
            </w:pPr>
          </w:p>
          <w:p w14:paraId="2A8BB75F" w14:textId="5714C893" w:rsidR="00920B4C" w:rsidRPr="00920B4C" w:rsidRDefault="00920B4C" w:rsidP="00920B4C">
            <w:pPr>
              <w:spacing w:line="240" w:lineRule="auto"/>
              <w:rPr>
                <w:rFonts w:eastAsia="Times New Roman" w:cs="Arial"/>
                <w:bCs/>
                <w:color w:val="000000"/>
                <w:lang w:eastAsia="bg-BG"/>
              </w:rPr>
            </w:pPr>
            <w:r w:rsidRPr="00920B4C">
              <w:rPr>
                <w:rFonts w:eastAsia="Times New Roman" w:cs="Arial"/>
                <w:bCs/>
                <w:color w:val="000000"/>
                <w:lang w:eastAsia="bg-BG"/>
              </w:rPr>
              <w:t xml:space="preserve">Редки </w:t>
            </w:r>
          </w:p>
          <w:p w14:paraId="7D523DAB" w14:textId="77777777" w:rsidR="00920B4C" w:rsidRPr="00920B4C" w:rsidRDefault="00920B4C" w:rsidP="00920B4C">
            <w:pPr>
              <w:spacing w:line="240" w:lineRule="auto"/>
              <w:rPr>
                <w:rFonts w:eastAsia="Times New Roman" w:cs="Arial"/>
                <w:bCs/>
                <w:color w:val="000000"/>
                <w:lang w:eastAsia="bg-BG"/>
              </w:rPr>
            </w:pPr>
          </w:p>
          <w:p w14:paraId="0F14661B" w14:textId="5A049844" w:rsidR="00920B4C" w:rsidRPr="00920B4C" w:rsidRDefault="00920B4C" w:rsidP="00920B4C">
            <w:pPr>
              <w:spacing w:line="240" w:lineRule="auto"/>
              <w:rPr>
                <w:rFonts w:eastAsia="Times New Roman" w:cs="Arial"/>
                <w:bCs/>
                <w:color w:val="000000"/>
                <w:lang w:eastAsia="bg-BG"/>
              </w:rPr>
            </w:pPr>
            <w:r w:rsidRPr="00920B4C">
              <w:rPr>
                <w:rFonts w:eastAsia="Times New Roman" w:cs="Arial"/>
                <w:bCs/>
                <w:color w:val="000000"/>
                <w:lang w:eastAsia="bg-BG"/>
              </w:rPr>
              <w:t xml:space="preserve">Редки </w:t>
            </w:r>
          </w:p>
          <w:p w14:paraId="627FC064" w14:textId="77777777" w:rsidR="00920B4C" w:rsidRPr="00920B4C" w:rsidRDefault="00920B4C" w:rsidP="00920B4C">
            <w:pPr>
              <w:spacing w:line="240" w:lineRule="auto"/>
              <w:rPr>
                <w:rFonts w:eastAsia="Times New Roman" w:cs="Arial"/>
                <w:bCs/>
                <w:color w:val="000000"/>
                <w:lang w:eastAsia="bg-BG"/>
              </w:rPr>
            </w:pPr>
          </w:p>
          <w:p w14:paraId="4EAB6459" w14:textId="77777777" w:rsidR="001C123B" w:rsidRDefault="001C123B" w:rsidP="00920B4C">
            <w:pPr>
              <w:spacing w:line="240" w:lineRule="auto"/>
              <w:rPr>
                <w:rFonts w:eastAsia="Times New Roman" w:cs="Arial"/>
                <w:bCs/>
                <w:color w:val="000000"/>
                <w:lang w:eastAsia="bg-BG"/>
              </w:rPr>
            </w:pPr>
          </w:p>
          <w:p w14:paraId="04049404" w14:textId="28012313"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Редки</w:t>
            </w:r>
          </w:p>
          <w:p w14:paraId="16FB28EA" w14:textId="77777777" w:rsidR="00920B4C" w:rsidRPr="00920B4C" w:rsidRDefault="00920B4C" w:rsidP="00920B4C">
            <w:pPr>
              <w:rPr>
                <w:rFonts w:eastAsia="Times New Roman" w:cs="Arial"/>
                <w:bCs/>
                <w:color w:val="000000"/>
                <w:lang w:eastAsia="bg-BG"/>
              </w:rPr>
            </w:pPr>
          </w:p>
          <w:p w14:paraId="6C4C6187" w14:textId="78CACBD8" w:rsidR="00920B4C" w:rsidRPr="00920B4C" w:rsidRDefault="00920B4C" w:rsidP="00920B4C">
            <w:pPr>
              <w:rPr>
                <w:rFonts w:eastAsia="Times New Roman" w:cs="Arial"/>
                <w:bCs/>
                <w:color w:val="000000"/>
                <w:lang w:eastAsia="bg-BG"/>
              </w:rPr>
            </w:pPr>
            <w:r w:rsidRPr="00920B4C">
              <w:rPr>
                <w:rFonts w:eastAsia="Times New Roman" w:cs="Arial"/>
                <w:bCs/>
                <w:color w:val="000000"/>
                <w:lang w:eastAsia="bg-BG"/>
              </w:rPr>
              <w:t>С неизвестна честота</w:t>
            </w:r>
          </w:p>
          <w:p w14:paraId="68E1884C" w14:textId="77777777" w:rsidR="00920B4C" w:rsidRPr="00920B4C" w:rsidRDefault="00920B4C" w:rsidP="00920B4C">
            <w:pPr>
              <w:rPr>
                <w:rFonts w:eastAsia="Times New Roman" w:cs="Arial"/>
                <w:bCs/>
                <w:color w:val="000000"/>
                <w:lang w:eastAsia="bg-BG"/>
              </w:rPr>
            </w:pPr>
          </w:p>
          <w:p w14:paraId="2B32EC18" w14:textId="4AE25B9E" w:rsidR="00920B4C" w:rsidRPr="00920B4C" w:rsidRDefault="00920B4C" w:rsidP="00920B4C">
            <w:pPr>
              <w:rPr>
                <w:rFonts w:eastAsia="Times New Roman" w:cs="Arial"/>
                <w:bCs/>
                <w:color w:val="000000"/>
                <w:lang w:eastAsia="bg-BG"/>
              </w:rPr>
            </w:pPr>
            <w:r w:rsidRPr="00920B4C">
              <w:rPr>
                <w:rFonts w:eastAsia="Times New Roman" w:cs="Arial"/>
                <w:bCs/>
                <w:color w:val="000000"/>
                <w:lang w:eastAsia="bg-BG"/>
              </w:rPr>
              <w:t xml:space="preserve">С неизвестна честота </w:t>
            </w:r>
          </w:p>
          <w:p w14:paraId="0B56D990" w14:textId="1DE517B2" w:rsidR="00920B4C" w:rsidRPr="00920B4C" w:rsidRDefault="00920B4C" w:rsidP="00920B4C">
            <w:pPr>
              <w:rPr>
                <w:rFonts w:eastAsia="Times New Roman" w:cs="Arial"/>
                <w:bCs/>
                <w:color w:val="000000"/>
                <w:lang w:eastAsia="bg-BG"/>
              </w:rPr>
            </w:pPr>
          </w:p>
          <w:p w14:paraId="34ACF914" w14:textId="6303295E" w:rsidR="00753C2A" w:rsidRPr="00920B4C" w:rsidRDefault="00920B4C" w:rsidP="00920B4C">
            <w:pPr>
              <w:rPr>
                <w:rFonts w:cs="Arial"/>
              </w:rPr>
            </w:pPr>
            <w:r w:rsidRPr="00920B4C">
              <w:rPr>
                <w:rFonts w:eastAsia="Times New Roman" w:cs="Arial"/>
                <w:bCs/>
                <w:color w:val="000000"/>
                <w:lang w:eastAsia="bg-BG"/>
              </w:rPr>
              <w:t>С неизвестна честота</w:t>
            </w:r>
          </w:p>
        </w:tc>
      </w:tr>
      <w:tr w:rsidR="00753C2A" w14:paraId="26B61A5A" w14:textId="77777777" w:rsidTr="00753C2A">
        <w:tc>
          <w:tcPr>
            <w:tcW w:w="4750" w:type="dxa"/>
          </w:tcPr>
          <w:p w14:paraId="354FDB45" w14:textId="77777777" w:rsidR="00753C2A" w:rsidRPr="00920B4C" w:rsidRDefault="00920B4C" w:rsidP="005E11C5">
            <w:pPr>
              <w:rPr>
                <w:rFonts w:cs="Arial"/>
                <w:bCs/>
              </w:rPr>
            </w:pPr>
            <w:r w:rsidRPr="00920B4C">
              <w:rPr>
                <w:rFonts w:cs="Arial"/>
                <w:bCs/>
              </w:rPr>
              <w:t>Нарушения на мускулно-скелетната система и съединителната тъкан</w:t>
            </w:r>
          </w:p>
          <w:p w14:paraId="725EF58C" w14:textId="77777777" w:rsidR="001C123B" w:rsidRDefault="001C123B" w:rsidP="005E11C5">
            <w:pPr>
              <w:rPr>
                <w:rFonts w:cs="Arial"/>
                <w:bCs/>
              </w:rPr>
            </w:pPr>
          </w:p>
          <w:p w14:paraId="1E09B1E0" w14:textId="50BCB455" w:rsidR="00920B4C" w:rsidRPr="00920B4C" w:rsidRDefault="00920B4C" w:rsidP="005E11C5">
            <w:pPr>
              <w:rPr>
                <w:rFonts w:cs="Arial"/>
              </w:rPr>
            </w:pPr>
            <w:r w:rsidRPr="00920B4C">
              <w:rPr>
                <w:rFonts w:cs="Arial"/>
                <w:bCs/>
              </w:rPr>
              <w:t>Подуване на ставите</w:t>
            </w:r>
          </w:p>
        </w:tc>
        <w:tc>
          <w:tcPr>
            <w:tcW w:w="4750" w:type="dxa"/>
          </w:tcPr>
          <w:p w14:paraId="627F22FC" w14:textId="77777777" w:rsidR="001C123B" w:rsidRDefault="001C123B" w:rsidP="005E11C5">
            <w:pPr>
              <w:rPr>
                <w:rFonts w:cs="Arial"/>
                <w:bCs/>
              </w:rPr>
            </w:pPr>
          </w:p>
          <w:p w14:paraId="123685EE" w14:textId="77777777" w:rsidR="001C123B" w:rsidRDefault="001C123B" w:rsidP="005E11C5">
            <w:pPr>
              <w:rPr>
                <w:rFonts w:cs="Arial"/>
                <w:bCs/>
              </w:rPr>
            </w:pPr>
          </w:p>
          <w:p w14:paraId="2FCEB4F7" w14:textId="77777777" w:rsidR="001C123B" w:rsidRDefault="001C123B" w:rsidP="005E11C5">
            <w:pPr>
              <w:rPr>
                <w:rFonts w:cs="Arial"/>
                <w:bCs/>
              </w:rPr>
            </w:pPr>
          </w:p>
          <w:p w14:paraId="74F99AD7" w14:textId="3FFEDF70" w:rsidR="00753C2A" w:rsidRPr="00920B4C" w:rsidRDefault="00920B4C" w:rsidP="005E11C5">
            <w:pPr>
              <w:rPr>
                <w:rFonts w:cs="Arial"/>
              </w:rPr>
            </w:pPr>
            <w:r w:rsidRPr="00920B4C">
              <w:rPr>
                <w:rFonts w:cs="Arial"/>
                <w:bCs/>
              </w:rPr>
              <w:t>С неизвестна честота</w:t>
            </w:r>
          </w:p>
        </w:tc>
      </w:tr>
      <w:tr w:rsidR="00753C2A" w14:paraId="19F4DFBD" w14:textId="77777777" w:rsidTr="00753C2A">
        <w:tc>
          <w:tcPr>
            <w:tcW w:w="4750" w:type="dxa"/>
          </w:tcPr>
          <w:p w14:paraId="6A7BCC22" w14:textId="77777777" w:rsidR="00753C2A" w:rsidRPr="00920B4C" w:rsidRDefault="00920B4C" w:rsidP="005E11C5">
            <w:pPr>
              <w:rPr>
                <w:rFonts w:cs="Arial"/>
                <w:bCs/>
                <w:u w:val="single"/>
              </w:rPr>
            </w:pPr>
            <w:r w:rsidRPr="00920B4C">
              <w:rPr>
                <w:rFonts w:cs="Arial"/>
                <w:bCs/>
                <w:u w:val="single"/>
              </w:rPr>
              <w:t>Нарушения на бъбреците и пикочните пътища</w:t>
            </w:r>
          </w:p>
          <w:p w14:paraId="03B32EE3" w14:textId="77777777" w:rsidR="00920B4C" w:rsidRPr="00920B4C" w:rsidRDefault="00920B4C" w:rsidP="00920B4C">
            <w:pPr>
              <w:spacing w:line="240" w:lineRule="auto"/>
              <w:rPr>
                <w:rFonts w:eastAsia="Times New Roman" w:cs="Arial"/>
                <w:bCs/>
                <w:color w:val="000000"/>
                <w:lang w:eastAsia="bg-BG"/>
              </w:rPr>
            </w:pPr>
          </w:p>
          <w:p w14:paraId="2C3220DF" w14:textId="5FCE2D78"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Дизурия</w:t>
            </w:r>
          </w:p>
          <w:p w14:paraId="6F6E38FF" w14:textId="77777777" w:rsidR="00920B4C" w:rsidRDefault="00920B4C" w:rsidP="00920B4C">
            <w:pPr>
              <w:spacing w:line="240" w:lineRule="auto"/>
              <w:rPr>
                <w:rFonts w:eastAsia="Times New Roman" w:cs="Arial"/>
                <w:bCs/>
                <w:color w:val="000000"/>
                <w:lang w:eastAsia="bg-BG"/>
              </w:rPr>
            </w:pPr>
          </w:p>
          <w:p w14:paraId="1A23CFA6" w14:textId="08C457F0"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Задържане на урина</w:t>
            </w:r>
          </w:p>
          <w:p w14:paraId="3C31D9E7" w14:textId="77777777" w:rsidR="00920B4C" w:rsidRDefault="00920B4C" w:rsidP="00920B4C">
            <w:pPr>
              <w:rPr>
                <w:rFonts w:eastAsia="Times New Roman" w:cs="Arial"/>
                <w:bCs/>
                <w:color w:val="000000"/>
                <w:lang w:eastAsia="bg-BG"/>
              </w:rPr>
            </w:pPr>
          </w:p>
          <w:p w14:paraId="331DA612" w14:textId="728D9248" w:rsidR="00920B4C" w:rsidRPr="00920B4C" w:rsidRDefault="00920B4C" w:rsidP="00920B4C">
            <w:pPr>
              <w:rPr>
                <w:rFonts w:cs="Arial"/>
              </w:rPr>
            </w:pPr>
            <w:r w:rsidRPr="00920B4C">
              <w:rPr>
                <w:rFonts w:eastAsia="Times New Roman" w:cs="Arial"/>
                <w:bCs/>
                <w:color w:val="000000"/>
                <w:lang w:eastAsia="bg-BG"/>
              </w:rPr>
              <w:t>Инфекция на уринарния тракт</w:t>
            </w:r>
          </w:p>
        </w:tc>
        <w:tc>
          <w:tcPr>
            <w:tcW w:w="4750" w:type="dxa"/>
          </w:tcPr>
          <w:p w14:paraId="6BB8A168" w14:textId="77777777" w:rsidR="00920B4C" w:rsidRPr="00920B4C" w:rsidRDefault="00920B4C" w:rsidP="005E11C5">
            <w:pPr>
              <w:rPr>
                <w:rFonts w:cs="Arial"/>
                <w:bCs/>
              </w:rPr>
            </w:pPr>
          </w:p>
          <w:p w14:paraId="318F4170" w14:textId="77777777" w:rsidR="00920B4C" w:rsidRPr="00920B4C" w:rsidRDefault="00920B4C" w:rsidP="005E11C5">
            <w:pPr>
              <w:rPr>
                <w:rFonts w:cs="Arial"/>
                <w:bCs/>
              </w:rPr>
            </w:pPr>
          </w:p>
          <w:p w14:paraId="6C43705E" w14:textId="77777777" w:rsidR="00920B4C" w:rsidRPr="00920B4C" w:rsidRDefault="00920B4C" w:rsidP="005E11C5">
            <w:pPr>
              <w:rPr>
                <w:rFonts w:cs="Arial"/>
                <w:bCs/>
              </w:rPr>
            </w:pPr>
          </w:p>
          <w:p w14:paraId="4E42C569" w14:textId="2B37DA4B" w:rsidR="00920B4C" w:rsidRPr="00920B4C" w:rsidRDefault="00920B4C" w:rsidP="005E11C5">
            <w:pPr>
              <w:rPr>
                <w:rFonts w:cs="Arial"/>
                <w:bCs/>
              </w:rPr>
            </w:pPr>
            <w:r w:rsidRPr="00920B4C">
              <w:rPr>
                <w:rFonts w:cs="Arial"/>
                <w:bCs/>
              </w:rPr>
              <w:t xml:space="preserve">Нечести </w:t>
            </w:r>
          </w:p>
          <w:p w14:paraId="562C2C7E" w14:textId="77777777" w:rsidR="00920B4C" w:rsidRDefault="00920B4C" w:rsidP="005E11C5">
            <w:pPr>
              <w:rPr>
                <w:rFonts w:cs="Arial"/>
                <w:bCs/>
              </w:rPr>
            </w:pPr>
          </w:p>
          <w:p w14:paraId="5ED967CE" w14:textId="18BE4365" w:rsidR="00920B4C" w:rsidRPr="00920B4C" w:rsidRDefault="00920B4C" w:rsidP="005E11C5">
            <w:pPr>
              <w:rPr>
                <w:rFonts w:cs="Arial"/>
                <w:bCs/>
              </w:rPr>
            </w:pPr>
            <w:r w:rsidRPr="00920B4C">
              <w:rPr>
                <w:rFonts w:cs="Arial"/>
                <w:bCs/>
              </w:rPr>
              <w:t xml:space="preserve">Нечести </w:t>
            </w:r>
          </w:p>
          <w:p w14:paraId="4578099F" w14:textId="77777777" w:rsidR="00920B4C" w:rsidRDefault="00920B4C" w:rsidP="005E11C5">
            <w:pPr>
              <w:rPr>
                <w:rFonts w:cs="Arial"/>
                <w:bCs/>
              </w:rPr>
            </w:pPr>
          </w:p>
          <w:p w14:paraId="1378BCEF" w14:textId="77B3BD74" w:rsidR="00753C2A" w:rsidRPr="00920B4C" w:rsidRDefault="00920B4C" w:rsidP="005E11C5">
            <w:pPr>
              <w:rPr>
                <w:rFonts w:cs="Arial"/>
              </w:rPr>
            </w:pPr>
            <w:r w:rsidRPr="00920B4C">
              <w:rPr>
                <w:rFonts w:cs="Arial"/>
                <w:bCs/>
              </w:rPr>
              <w:t>Редки</w:t>
            </w:r>
          </w:p>
        </w:tc>
      </w:tr>
    </w:tbl>
    <w:p w14:paraId="03CB3A28" w14:textId="77777777" w:rsidR="00753C2A" w:rsidRPr="00753C2A" w:rsidRDefault="00753C2A" w:rsidP="005E11C5">
      <w:pPr>
        <w:rPr>
          <w:rFonts w:cs="Arial"/>
          <w:sz w:val="24"/>
        </w:rPr>
      </w:pPr>
    </w:p>
    <w:p w14:paraId="415EC98E" w14:textId="77777777" w:rsidR="00920B4C" w:rsidRPr="00920B4C" w:rsidRDefault="00920B4C" w:rsidP="00920B4C">
      <w:pPr>
        <w:spacing w:line="240" w:lineRule="auto"/>
        <w:rPr>
          <w:rFonts w:eastAsia="Times New Roman" w:cs="Arial"/>
          <w:lang w:eastAsia="bg-BG"/>
        </w:rPr>
      </w:pPr>
      <w:r w:rsidRPr="00920B4C">
        <w:rPr>
          <w:rFonts w:eastAsia="Times New Roman" w:cs="Arial"/>
          <w:bCs/>
          <w:color w:val="000000"/>
          <w:u w:val="single"/>
          <w:lang w:eastAsia="bg-BG"/>
        </w:rPr>
        <w:t>Алергични реакции</w:t>
      </w:r>
    </w:p>
    <w:p w14:paraId="6C6735EF" w14:textId="77777777"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Помощното вещество лактоза може да съдържа следи от млечни протеини, което да стане причина за реакция при хора с тежка свръхчувствителност или алергия към млечен протеин.</w:t>
      </w:r>
    </w:p>
    <w:p w14:paraId="1BB1CD3C" w14:textId="77777777" w:rsidR="00920B4C" w:rsidRPr="00920B4C" w:rsidRDefault="00920B4C" w:rsidP="00920B4C">
      <w:pPr>
        <w:spacing w:line="240" w:lineRule="auto"/>
        <w:rPr>
          <w:rFonts w:eastAsia="Times New Roman" w:cs="Arial"/>
          <w:bCs/>
          <w:color w:val="000000"/>
          <w:lang w:eastAsia="bg-BG"/>
        </w:rPr>
      </w:pPr>
    </w:p>
    <w:p w14:paraId="4E8CFA80" w14:textId="4827032E"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Тиотропиев бромид трябва незабавно да се преустанови, ако се развие реакция на свръхчувствителност, след което пациентът да бъде лекуван по обичайния начин.</w:t>
      </w:r>
    </w:p>
    <w:p w14:paraId="03DCC966" w14:textId="77777777" w:rsidR="00920B4C" w:rsidRPr="00920B4C" w:rsidRDefault="00920B4C" w:rsidP="00920B4C">
      <w:pPr>
        <w:spacing w:line="240" w:lineRule="auto"/>
        <w:rPr>
          <w:rFonts w:eastAsia="Times New Roman" w:cs="Arial"/>
          <w:bCs/>
          <w:color w:val="000000"/>
          <w:u w:val="single"/>
          <w:lang w:eastAsia="bg-BG"/>
        </w:rPr>
      </w:pPr>
    </w:p>
    <w:p w14:paraId="3FA89107" w14:textId="77777777" w:rsidR="00920B4C" w:rsidRDefault="00920B4C" w:rsidP="00920B4C">
      <w:pPr>
        <w:spacing w:line="240" w:lineRule="auto"/>
        <w:rPr>
          <w:rFonts w:eastAsia="Times New Roman" w:cs="Arial"/>
          <w:lang w:eastAsia="bg-BG"/>
        </w:rPr>
      </w:pPr>
      <w:r w:rsidRPr="00920B4C">
        <w:rPr>
          <w:rFonts w:eastAsia="Times New Roman" w:cs="Arial"/>
          <w:bCs/>
          <w:color w:val="000000"/>
          <w:u w:val="single"/>
          <w:lang w:eastAsia="bg-BG"/>
        </w:rPr>
        <w:lastRenderedPageBreak/>
        <w:t>Парадоксален бронхоспазъм</w:t>
      </w:r>
    </w:p>
    <w:p w14:paraId="7CC4DD92" w14:textId="4C6AFE3F" w:rsidR="00920B4C" w:rsidRPr="00920B4C" w:rsidRDefault="00920B4C" w:rsidP="00920B4C">
      <w:pPr>
        <w:spacing w:line="240" w:lineRule="auto"/>
        <w:rPr>
          <w:rFonts w:eastAsia="Times New Roman" w:cs="Arial"/>
          <w:lang w:eastAsia="bg-BG"/>
        </w:rPr>
      </w:pPr>
      <w:r>
        <w:rPr>
          <w:rFonts w:eastAsia="Times New Roman" w:cs="Arial"/>
          <w:bCs/>
          <w:color w:val="000000"/>
          <w:lang w:eastAsia="bg-BG"/>
        </w:rPr>
        <w:t>Какт</w:t>
      </w:r>
      <w:r w:rsidRPr="00920B4C">
        <w:rPr>
          <w:rFonts w:eastAsia="Times New Roman" w:cs="Arial"/>
          <w:bCs/>
          <w:color w:val="000000"/>
          <w:lang w:eastAsia="bg-BG"/>
        </w:rPr>
        <w:t>о при всяка инхалационна терапия, може да се развие парадоксален бронхоспазъм веднага след дозиране, с поява на хрипове или задух. Парадоксалният бронхоспазъм се повлиява от бронходалататор с бързо действие и трябва да се лекува незабавно. Бралтус 10 трябва да се прекрати незабавно, като се оцени състоянието на пациента и при необходимост да се започне алтернативно лечение.</w:t>
      </w:r>
    </w:p>
    <w:p w14:paraId="23C967B8" w14:textId="77777777" w:rsidR="00920B4C" w:rsidRPr="00920B4C" w:rsidRDefault="00920B4C" w:rsidP="00920B4C">
      <w:pPr>
        <w:spacing w:line="240" w:lineRule="auto"/>
        <w:rPr>
          <w:rFonts w:eastAsia="Times New Roman" w:cs="Arial"/>
          <w:bCs/>
          <w:color w:val="000000"/>
          <w:u w:val="single"/>
          <w:lang w:eastAsia="bg-BG"/>
        </w:rPr>
      </w:pPr>
    </w:p>
    <w:p w14:paraId="277517F6" w14:textId="0F1B4241" w:rsidR="00920B4C" w:rsidRPr="00920B4C" w:rsidRDefault="00920B4C" w:rsidP="00920B4C">
      <w:pPr>
        <w:spacing w:line="240" w:lineRule="auto"/>
        <w:rPr>
          <w:rFonts w:eastAsia="Times New Roman" w:cs="Arial"/>
          <w:lang w:eastAsia="bg-BG"/>
        </w:rPr>
      </w:pPr>
      <w:r w:rsidRPr="00920B4C">
        <w:rPr>
          <w:rFonts w:eastAsia="Times New Roman" w:cs="Arial"/>
          <w:bCs/>
          <w:color w:val="000000"/>
          <w:u w:val="single"/>
          <w:lang w:eastAsia="bg-BG"/>
        </w:rPr>
        <w:t>Описание на избрани нежелани лекарствени реакпии</w:t>
      </w:r>
    </w:p>
    <w:p w14:paraId="5224FDD3" w14:textId="77777777"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В контролирани клинични проучвания често наблюдаваните нежелани реакции са антихолинергични нежелани лекарствени реакции, като сухота в устата, които възникват при приблизително 4% от пациентите.</w:t>
      </w:r>
    </w:p>
    <w:p w14:paraId="19D1FFDB" w14:textId="77777777" w:rsidR="00920B4C" w:rsidRPr="00920B4C" w:rsidRDefault="00920B4C" w:rsidP="00920B4C">
      <w:pPr>
        <w:spacing w:line="240" w:lineRule="auto"/>
        <w:rPr>
          <w:rFonts w:eastAsia="Times New Roman" w:cs="Arial"/>
          <w:bCs/>
          <w:color w:val="000000"/>
          <w:lang w:eastAsia="bg-BG"/>
        </w:rPr>
      </w:pPr>
    </w:p>
    <w:p w14:paraId="702A701A" w14:textId="009CC8DA"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В 28 клинични изпитвания сухотата в устата води до прекъсване на лечението при 18 от 9 647 пациенти, лекувани с тиотропиум (0,2%).</w:t>
      </w:r>
    </w:p>
    <w:p w14:paraId="4DF52D5F" w14:textId="77777777" w:rsidR="00920B4C" w:rsidRPr="00920B4C" w:rsidRDefault="00920B4C" w:rsidP="00920B4C">
      <w:pPr>
        <w:spacing w:line="240" w:lineRule="auto"/>
        <w:rPr>
          <w:rFonts w:eastAsia="Times New Roman" w:cs="Arial"/>
          <w:bCs/>
          <w:color w:val="000000"/>
          <w:lang w:eastAsia="bg-BG"/>
        </w:rPr>
      </w:pPr>
    </w:p>
    <w:p w14:paraId="271B773B" w14:textId="285131EE"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Сериозните нежелани реакции, свързани с антихолинергични ефекти включват какго глаукома, констипация и интестинална обструкция, включително паралитичен илеус, така и задържане на урина.</w:t>
      </w:r>
    </w:p>
    <w:p w14:paraId="4506E4CC" w14:textId="77777777" w:rsidR="00920B4C" w:rsidRPr="00920B4C" w:rsidRDefault="00920B4C" w:rsidP="00920B4C">
      <w:pPr>
        <w:spacing w:line="240" w:lineRule="auto"/>
        <w:rPr>
          <w:rFonts w:eastAsia="Times New Roman" w:cs="Arial"/>
          <w:bCs/>
          <w:color w:val="000000"/>
          <w:u w:val="single"/>
          <w:lang w:eastAsia="bg-BG"/>
        </w:rPr>
      </w:pPr>
    </w:p>
    <w:p w14:paraId="63B9C78E" w14:textId="51DA76A8" w:rsidR="00920B4C" w:rsidRPr="00920B4C" w:rsidRDefault="00920B4C" w:rsidP="00920B4C">
      <w:pPr>
        <w:spacing w:line="240" w:lineRule="auto"/>
        <w:rPr>
          <w:rFonts w:eastAsia="Times New Roman" w:cs="Arial"/>
          <w:lang w:eastAsia="bg-BG"/>
        </w:rPr>
      </w:pPr>
      <w:r w:rsidRPr="00920B4C">
        <w:rPr>
          <w:rFonts w:eastAsia="Times New Roman" w:cs="Arial"/>
          <w:bCs/>
          <w:color w:val="000000"/>
          <w:u w:val="single"/>
          <w:lang w:eastAsia="bg-BG"/>
        </w:rPr>
        <w:t>Други специални популации</w:t>
      </w:r>
    </w:p>
    <w:p w14:paraId="69298A78" w14:textId="77777777" w:rsidR="00920B4C" w:rsidRPr="00920B4C" w:rsidRDefault="00920B4C" w:rsidP="00920B4C">
      <w:pPr>
        <w:spacing w:line="240" w:lineRule="auto"/>
        <w:rPr>
          <w:rFonts w:eastAsia="Times New Roman" w:cs="Arial"/>
          <w:lang w:eastAsia="bg-BG"/>
        </w:rPr>
      </w:pPr>
      <w:r w:rsidRPr="00920B4C">
        <w:rPr>
          <w:rFonts w:eastAsia="Times New Roman" w:cs="Arial"/>
          <w:bCs/>
          <w:color w:val="000000"/>
          <w:lang w:eastAsia="bg-BG"/>
        </w:rPr>
        <w:t>Възможна е повишена поява на антихолинергични нежелани реакции с напредването на възрастта.</w:t>
      </w:r>
    </w:p>
    <w:p w14:paraId="4E517913" w14:textId="77777777" w:rsidR="00920B4C" w:rsidRPr="00920B4C" w:rsidRDefault="00920B4C" w:rsidP="00920B4C">
      <w:pPr>
        <w:spacing w:line="240" w:lineRule="auto"/>
        <w:rPr>
          <w:rFonts w:eastAsia="Times New Roman" w:cs="Arial"/>
          <w:bCs/>
          <w:color w:val="000000"/>
          <w:u w:val="single"/>
          <w:lang w:eastAsia="bg-BG"/>
        </w:rPr>
      </w:pPr>
    </w:p>
    <w:p w14:paraId="79B20F68" w14:textId="348430D0" w:rsidR="00920B4C" w:rsidRPr="00920B4C" w:rsidRDefault="00920B4C" w:rsidP="00920B4C">
      <w:pPr>
        <w:spacing w:line="240" w:lineRule="auto"/>
        <w:rPr>
          <w:rFonts w:eastAsia="Times New Roman" w:cs="Arial"/>
          <w:lang w:eastAsia="bg-BG"/>
        </w:rPr>
      </w:pPr>
      <w:r w:rsidRPr="00920B4C">
        <w:rPr>
          <w:rFonts w:eastAsia="Times New Roman" w:cs="Arial"/>
          <w:bCs/>
          <w:color w:val="000000"/>
          <w:u w:val="single"/>
          <w:lang w:eastAsia="bg-BG"/>
        </w:rPr>
        <w:t>Съобщаване на подозирани нежелани реакпии</w:t>
      </w:r>
    </w:p>
    <w:p w14:paraId="0D025A2A" w14:textId="269E9BC1" w:rsidR="005E11C5" w:rsidRPr="00920B4C" w:rsidRDefault="00920B4C" w:rsidP="00920B4C">
      <w:pPr>
        <w:rPr>
          <w:rFonts w:eastAsia="Times New Roman" w:cs="Arial"/>
          <w:bCs/>
          <w:color w:val="000000"/>
          <w:lang w:val="en-US"/>
        </w:rPr>
      </w:pPr>
      <w:r w:rsidRPr="00920B4C">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+35928903417, уебсайт: </w:t>
      </w:r>
      <w:r w:rsidRPr="00920B4C">
        <w:rPr>
          <w:rFonts w:eastAsia="Times New Roman" w:cs="Arial"/>
          <w:lang w:eastAsia="bg-BG"/>
        </w:rPr>
        <w:fldChar w:fldCharType="begin"/>
      </w:r>
      <w:r w:rsidRPr="00920B4C">
        <w:rPr>
          <w:rFonts w:eastAsia="Times New Roman" w:cs="Arial"/>
          <w:lang w:eastAsia="bg-BG"/>
        </w:rPr>
        <w:instrText xml:space="preserve"> HYPERLINK "http://www.bda.bg" </w:instrText>
      </w:r>
      <w:r w:rsidRPr="00920B4C">
        <w:rPr>
          <w:rFonts w:eastAsia="Times New Roman" w:cs="Arial"/>
          <w:lang w:eastAsia="bg-BG"/>
        </w:rPr>
      </w:r>
      <w:r w:rsidRPr="00920B4C">
        <w:rPr>
          <w:rFonts w:eastAsia="Times New Roman" w:cs="Arial"/>
          <w:lang w:eastAsia="bg-BG"/>
        </w:rPr>
        <w:fldChar w:fldCharType="separate"/>
      </w:r>
      <w:r w:rsidRPr="00920B4C">
        <w:rPr>
          <w:rFonts w:eastAsia="Times New Roman" w:cs="Arial"/>
          <w:bCs/>
          <w:color w:val="000000"/>
          <w:lang w:val="en-US"/>
        </w:rPr>
        <w:t>www.bda.bg</w:t>
      </w:r>
      <w:r w:rsidRPr="00920B4C">
        <w:rPr>
          <w:rFonts w:eastAsia="Times New Roman" w:cs="Arial"/>
          <w:lang w:eastAsia="bg-BG"/>
        </w:rPr>
        <w:fldChar w:fldCharType="end"/>
      </w:r>
      <w:r w:rsidRPr="00920B4C">
        <w:rPr>
          <w:rFonts w:eastAsia="Times New Roman" w:cs="Arial"/>
          <w:bCs/>
          <w:color w:val="000000"/>
          <w:lang w:val="en-US"/>
        </w:rPr>
        <w:t>.</w:t>
      </w:r>
    </w:p>
    <w:p w14:paraId="2DCA0A64" w14:textId="77777777" w:rsidR="00920B4C" w:rsidRPr="005E11C5" w:rsidRDefault="00920B4C" w:rsidP="00920B4C"/>
    <w:p w14:paraId="0A023CE0" w14:textId="40D080BA" w:rsidR="00CF77F7" w:rsidRDefault="002C50EE" w:rsidP="004A448E">
      <w:pPr>
        <w:pStyle w:val="Heading2"/>
      </w:pPr>
      <w:r>
        <w:t>4.9. Предозиране</w:t>
      </w:r>
    </w:p>
    <w:p w14:paraId="19E7287A" w14:textId="5408A00B" w:rsidR="00920B4C" w:rsidRDefault="00920B4C" w:rsidP="00920B4C"/>
    <w:p w14:paraId="67F74E0E"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Високи дози тиотропиев бромид могат да предизвикат антихолинергични признаци и симптоми.</w:t>
      </w:r>
    </w:p>
    <w:p w14:paraId="5BD74431" w14:textId="77777777" w:rsidR="00920B4C" w:rsidRPr="00920B4C" w:rsidRDefault="00920B4C" w:rsidP="00920B4C">
      <w:pPr>
        <w:spacing w:line="240" w:lineRule="auto"/>
        <w:rPr>
          <w:rFonts w:eastAsia="Times New Roman" w:cs="Arial"/>
          <w:bCs/>
          <w:color w:val="000000"/>
          <w:szCs w:val="20"/>
          <w:lang w:eastAsia="bg-BG"/>
        </w:rPr>
      </w:pPr>
    </w:p>
    <w:p w14:paraId="157A6DDE" w14:textId="621BB40D"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Въпреки това, не са наблюдавани системни антихолинергични нежелани ефекти при здрави доброволци, след приложение на еднократна доза до 340 микрограма тиотропиев бромид. В допълнение, не са наблюдавани значими нежелани лекарствени реакции, освен пресъхване на устата, след 7-дневно приложение на 170 микрограма тиотропиев бромид, веднъж дневно, при здрави доброволци. В мултидозово проучване, при пациенти, страдащи от ХОББ, след приложение на максимална дневна доза 43 микрограма тиотропиев бромид за четири седмици, не са наблюдавани нежелани ефекти.</w:t>
      </w:r>
    </w:p>
    <w:p w14:paraId="38245D4A" w14:textId="77777777" w:rsidR="00920B4C" w:rsidRPr="00920B4C" w:rsidRDefault="00920B4C" w:rsidP="00920B4C">
      <w:pPr>
        <w:rPr>
          <w:rFonts w:eastAsia="Times New Roman" w:cs="Arial"/>
          <w:bCs/>
          <w:color w:val="000000"/>
          <w:szCs w:val="20"/>
          <w:lang w:eastAsia="bg-BG"/>
        </w:rPr>
      </w:pPr>
    </w:p>
    <w:p w14:paraId="69F0AA06" w14:textId="6C5FF419" w:rsidR="00920B4C" w:rsidRPr="00920B4C" w:rsidRDefault="00920B4C" w:rsidP="00920B4C">
      <w:pPr>
        <w:rPr>
          <w:rFonts w:cs="Arial"/>
          <w:sz w:val="24"/>
        </w:rPr>
      </w:pPr>
      <w:r w:rsidRPr="00920B4C">
        <w:rPr>
          <w:rFonts w:eastAsia="Times New Roman" w:cs="Arial"/>
          <w:bCs/>
          <w:color w:val="000000"/>
          <w:szCs w:val="20"/>
          <w:lang w:eastAsia="bg-BG"/>
        </w:rPr>
        <w:t>Поради слабата перорална бионаличност на тиотропиев бромид, вероятността от остра интоксикация след перорален прием на капсулите е малко вероятна.</w:t>
      </w:r>
    </w:p>
    <w:p w14:paraId="2DD54B07" w14:textId="77777777" w:rsidR="00920B4C" w:rsidRPr="00920B4C" w:rsidRDefault="00920B4C" w:rsidP="00920B4C"/>
    <w:p w14:paraId="02081B24" w14:textId="0B416FA6" w:rsidR="00395555" w:rsidRDefault="002C50EE" w:rsidP="008A6AF2">
      <w:pPr>
        <w:pStyle w:val="Heading1"/>
      </w:pPr>
      <w:r>
        <w:lastRenderedPageBreak/>
        <w:t>5. ФАРМАКОЛОГИЧНИ СВОЙСТВА</w:t>
      </w:r>
    </w:p>
    <w:p w14:paraId="6864F431" w14:textId="77777777" w:rsidR="00920B4C" w:rsidRPr="00920B4C" w:rsidRDefault="00920B4C" w:rsidP="00920B4C"/>
    <w:p w14:paraId="32B6DE66" w14:textId="03F8E12F" w:rsidR="00CF77F7" w:rsidRDefault="002C50EE" w:rsidP="004A448E">
      <w:pPr>
        <w:pStyle w:val="Heading2"/>
      </w:pPr>
      <w:r>
        <w:t>5.1. Фармакодинамични свойства</w:t>
      </w:r>
    </w:p>
    <w:p w14:paraId="7DE37255" w14:textId="19A611CE" w:rsidR="00920B4C" w:rsidRDefault="00920B4C" w:rsidP="00920B4C"/>
    <w:p w14:paraId="20859C19"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Фармакотерапевтична група: Други лекарства за лечение на обструктивни заболявалия на дихателните пътища, за инхалаторно приложение, антихолинергични средства АТС код: </w:t>
      </w:r>
      <w:r w:rsidRPr="00920B4C">
        <w:rPr>
          <w:rFonts w:eastAsia="Times New Roman" w:cs="Arial"/>
          <w:bCs/>
          <w:color w:val="000000"/>
          <w:szCs w:val="20"/>
          <w:lang w:val="en-US"/>
        </w:rPr>
        <w:t xml:space="preserve">R03B </w:t>
      </w:r>
      <w:r w:rsidRPr="00920B4C">
        <w:rPr>
          <w:rFonts w:eastAsia="Times New Roman" w:cs="Arial"/>
          <w:bCs/>
          <w:color w:val="000000"/>
          <w:szCs w:val="20"/>
          <w:lang w:eastAsia="bg-BG"/>
        </w:rPr>
        <w:t>В04</w:t>
      </w:r>
    </w:p>
    <w:p w14:paraId="1040C349" w14:textId="77777777" w:rsidR="00920B4C" w:rsidRPr="00920B4C" w:rsidRDefault="00920B4C" w:rsidP="00920B4C">
      <w:pPr>
        <w:spacing w:line="240" w:lineRule="auto"/>
        <w:rPr>
          <w:rFonts w:eastAsia="Times New Roman" w:cs="Arial"/>
          <w:bCs/>
          <w:color w:val="000000"/>
          <w:szCs w:val="20"/>
          <w:u w:val="single"/>
          <w:lang w:eastAsia="bg-BG"/>
        </w:rPr>
      </w:pPr>
    </w:p>
    <w:p w14:paraId="40C23D0E" w14:textId="7F94F325"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u w:val="single"/>
          <w:lang w:eastAsia="bg-BG"/>
        </w:rPr>
        <w:t>Механизъм на действие</w:t>
      </w:r>
    </w:p>
    <w:p w14:paraId="76AD10FB"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Тиотропиев бромид представлява продължително-действащ, специфичен ангимускаринов агент, наричан в клиничната медицина „антихолинергичен агент”. Посредством свързване с мускариновите рецептори на бронхиалната гладка мускулатура, тиотропиев бромид инхибира холинергичните (бронхоконстриктивните) ефекти на ацетилхолина, освободен от парасимпатиковите нервни окончания. Притежава сходен афинитет към подтиповете мускаринови рецептори, </w:t>
      </w:r>
      <w:r w:rsidRPr="00920B4C">
        <w:rPr>
          <w:rFonts w:eastAsia="Times New Roman" w:cs="Arial"/>
          <w:bCs/>
          <w:color w:val="000000"/>
          <w:szCs w:val="20"/>
          <w:lang w:val="en-US"/>
        </w:rPr>
        <w:t>M</w:t>
      </w:r>
      <w:r w:rsidRPr="00920B4C">
        <w:rPr>
          <w:rFonts w:eastAsia="Times New Roman" w:cs="Arial"/>
          <w:bCs/>
          <w:color w:val="000000"/>
          <w:szCs w:val="20"/>
          <w:vertAlign w:val="subscript"/>
          <w:lang w:val="en-US"/>
        </w:rPr>
        <w:t>1</w:t>
      </w:r>
      <w:r w:rsidRPr="00920B4C">
        <w:rPr>
          <w:rFonts w:eastAsia="Times New Roman" w:cs="Arial"/>
          <w:bCs/>
          <w:color w:val="000000"/>
          <w:szCs w:val="20"/>
          <w:lang w:val="en-US"/>
        </w:rPr>
        <w:t xml:space="preserve"> </w:t>
      </w:r>
      <w:r w:rsidRPr="00920B4C">
        <w:rPr>
          <w:rFonts w:eastAsia="Times New Roman" w:cs="Arial"/>
          <w:bCs/>
          <w:color w:val="000000"/>
          <w:szCs w:val="20"/>
          <w:lang w:eastAsia="bg-BG"/>
        </w:rPr>
        <w:t xml:space="preserve">до </w:t>
      </w:r>
      <w:r w:rsidRPr="00920B4C">
        <w:rPr>
          <w:rFonts w:eastAsia="Times New Roman" w:cs="Arial"/>
          <w:bCs/>
          <w:color w:val="000000"/>
          <w:szCs w:val="20"/>
          <w:lang w:val="en-US"/>
        </w:rPr>
        <w:t>M</w:t>
      </w:r>
      <w:r w:rsidRPr="00920B4C">
        <w:rPr>
          <w:rFonts w:eastAsia="Times New Roman" w:cs="Arial"/>
          <w:bCs/>
          <w:color w:val="000000"/>
          <w:szCs w:val="20"/>
          <w:vertAlign w:val="subscript"/>
          <w:lang w:val="en-US"/>
        </w:rPr>
        <w:t>5</w:t>
      </w:r>
      <w:r w:rsidRPr="00920B4C">
        <w:rPr>
          <w:rFonts w:eastAsia="Times New Roman" w:cs="Arial"/>
          <w:bCs/>
          <w:color w:val="000000"/>
          <w:szCs w:val="20"/>
          <w:lang w:val="en-US"/>
        </w:rPr>
        <w:t xml:space="preserve">. </w:t>
      </w:r>
      <w:r w:rsidRPr="00920B4C">
        <w:rPr>
          <w:rFonts w:eastAsia="Times New Roman" w:cs="Arial"/>
          <w:bCs/>
          <w:color w:val="000000"/>
          <w:szCs w:val="20"/>
          <w:lang w:eastAsia="bg-BG"/>
        </w:rPr>
        <w:t xml:space="preserve">В дихателните пътища, тиотропиевият бромид конкурентно и обратимо антагонизира Мз-рецепторите, което води до релаксация. Ефектът е дозозависим и продължителността му е повече от 24 часа. Продължителността на ефекта вероятно се дължи на бавната дисоциация от Мз-рецепторите, показвайки значително по-дълъг полуживот на дисоциация от наблюдавания при ипратропиум. Като </w:t>
      </w:r>
      <w:r w:rsidRPr="00920B4C">
        <w:rPr>
          <w:rFonts w:eastAsia="Times New Roman" w:cs="Arial"/>
          <w:bCs/>
          <w:color w:val="000000"/>
          <w:szCs w:val="20"/>
          <w:lang w:val="en-US"/>
        </w:rPr>
        <w:t>N</w:t>
      </w:r>
      <w:r w:rsidRPr="00920B4C">
        <w:rPr>
          <w:rFonts w:eastAsia="Times New Roman" w:cs="Arial"/>
          <w:bCs/>
          <w:color w:val="000000"/>
          <w:szCs w:val="20"/>
          <w:lang w:eastAsia="bg-BG"/>
        </w:rPr>
        <w:t>-четвъртичен антихолинергичен агент, тиотропиум бромид е локално (бронхо-) селективен след инхалационно приложение, като демонстрира приемливи терапевтични граници, преди проявата на системни антихолинергични ефекти.</w:t>
      </w:r>
    </w:p>
    <w:p w14:paraId="07FBB595" w14:textId="77777777" w:rsidR="00920B4C" w:rsidRPr="00920B4C" w:rsidRDefault="00920B4C" w:rsidP="00920B4C">
      <w:pPr>
        <w:spacing w:line="240" w:lineRule="auto"/>
        <w:rPr>
          <w:rFonts w:eastAsia="Times New Roman" w:cs="Arial"/>
          <w:bCs/>
          <w:color w:val="000000"/>
          <w:szCs w:val="20"/>
          <w:u w:val="single"/>
          <w:lang w:eastAsia="bg-BG"/>
        </w:rPr>
      </w:pPr>
    </w:p>
    <w:p w14:paraId="687177A6" w14:textId="1F90904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u w:val="single"/>
          <w:lang w:eastAsia="bg-BG"/>
        </w:rPr>
        <w:t>Фармакодинамични ефекти</w:t>
      </w:r>
    </w:p>
    <w:p w14:paraId="64080EEB"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Бронходилатацията след инхалационно приложение на тиотропиев бромид е главно с локално- специфичен ефект, а не със системен. Дисоциацията от Мз-рецепторите е по-бърза отколкото от Мз, което при функционални </w:t>
      </w:r>
      <w:r w:rsidRPr="00920B4C">
        <w:rPr>
          <w:rFonts w:eastAsia="Times New Roman" w:cs="Arial"/>
          <w:bCs/>
          <w:i/>
          <w:iCs/>
          <w:color w:val="000000"/>
          <w:szCs w:val="20"/>
          <w:lang w:val="en-US"/>
        </w:rPr>
        <w:t>in vitro</w:t>
      </w:r>
      <w:r w:rsidRPr="00920B4C">
        <w:rPr>
          <w:rFonts w:eastAsia="Times New Roman" w:cs="Arial"/>
          <w:bCs/>
          <w:color w:val="000000"/>
          <w:szCs w:val="20"/>
          <w:lang w:val="en-US"/>
        </w:rPr>
        <w:t xml:space="preserve"> </w:t>
      </w:r>
      <w:r w:rsidRPr="00920B4C">
        <w:rPr>
          <w:rFonts w:eastAsia="Times New Roman" w:cs="Arial"/>
          <w:bCs/>
          <w:color w:val="000000"/>
          <w:szCs w:val="20"/>
          <w:lang w:eastAsia="bg-BG"/>
        </w:rPr>
        <w:t>проучвания, разкри (кинетично контролирана) рецепторна субтипна селективност на Мз спрямо M</w:t>
      </w:r>
      <w:r w:rsidRPr="00920B4C">
        <w:rPr>
          <w:rFonts w:eastAsia="Times New Roman" w:cs="Arial"/>
          <w:bCs/>
          <w:color w:val="000000"/>
          <w:szCs w:val="20"/>
          <w:vertAlign w:val="subscript"/>
          <w:lang w:eastAsia="bg-BG"/>
        </w:rPr>
        <w:t>2</w:t>
      </w:r>
      <w:r w:rsidRPr="00920B4C">
        <w:rPr>
          <w:rFonts w:eastAsia="Times New Roman" w:cs="Arial"/>
          <w:bCs/>
          <w:color w:val="000000"/>
          <w:szCs w:val="20"/>
          <w:lang w:eastAsia="bg-BG"/>
        </w:rPr>
        <w:t>. Високата ефективност и бавната дисоциация са в основата на клиничното съотношение между значителна и дълготрайна бронходилатация при пациенти с ХОББ.</w:t>
      </w:r>
    </w:p>
    <w:p w14:paraId="50ECD42A" w14:textId="77777777" w:rsidR="00920B4C" w:rsidRPr="00920B4C" w:rsidRDefault="00920B4C" w:rsidP="00920B4C">
      <w:pPr>
        <w:spacing w:line="240" w:lineRule="auto"/>
        <w:rPr>
          <w:rFonts w:eastAsia="Times New Roman" w:cs="Arial"/>
          <w:bCs/>
          <w:i/>
          <w:iCs/>
          <w:color w:val="000000"/>
          <w:szCs w:val="20"/>
          <w:lang w:eastAsia="bg-BG"/>
        </w:rPr>
      </w:pPr>
    </w:p>
    <w:p w14:paraId="243131A1" w14:textId="5E71DB09"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Електрофизиологпя на сърцето</w:t>
      </w:r>
    </w:p>
    <w:p w14:paraId="0E49A251"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Електрофизиология: В едно </w:t>
      </w:r>
      <w:r w:rsidRPr="00920B4C">
        <w:rPr>
          <w:rFonts w:eastAsia="Times New Roman" w:cs="Arial"/>
          <w:bCs/>
          <w:color w:val="000000"/>
          <w:szCs w:val="20"/>
          <w:lang w:val="en-US"/>
        </w:rPr>
        <w:t xml:space="preserve">QT </w:t>
      </w:r>
      <w:r w:rsidRPr="00920B4C">
        <w:rPr>
          <w:rFonts w:eastAsia="Times New Roman" w:cs="Arial"/>
          <w:bCs/>
          <w:color w:val="000000"/>
          <w:szCs w:val="20"/>
          <w:lang w:eastAsia="bg-BG"/>
        </w:rPr>
        <w:t xml:space="preserve">проучване, включващо 53 здрави доброволци, тиотропиум 18 микрограма и 54 микрограма (т.е. три пъти терапевтичната доза) в продължение на 12 дни не удължава значимо </w:t>
      </w:r>
      <w:r w:rsidRPr="00920B4C">
        <w:rPr>
          <w:rFonts w:eastAsia="Times New Roman" w:cs="Arial"/>
          <w:bCs/>
          <w:color w:val="000000"/>
          <w:szCs w:val="20"/>
          <w:lang w:val="en-US"/>
        </w:rPr>
        <w:t xml:space="preserve">QT </w:t>
      </w:r>
      <w:r w:rsidRPr="00920B4C">
        <w:rPr>
          <w:rFonts w:eastAsia="Times New Roman" w:cs="Arial"/>
          <w:bCs/>
          <w:color w:val="000000"/>
          <w:szCs w:val="20"/>
          <w:lang w:eastAsia="bg-BG"/>
        </w:rPr>
        <w:t>интервалите на ЕКГ.</w:t>
      </w:r>
    </w:p>
    <w:p w14:paraId="5A355082" w14:textId="77777777" w:rsidR="00920B4C" w:rsidRPr="00920B4C" w:rsidRDefault="00920B4C" w:rsidP="00920B4C">
      <w:pPr>
        <w:spacing w:line="240" w:lineRule="auto"/>
        <w:rPr>
          <w:rFonts w:eastAsia="Times New Roman" w:cs="Arial"/>
          <w:bCs/>
          <w:color w:val="000000"/>
          <w:szCs w:val="20"/>
          <w:u w:val="single"/>
          <w:lang w:eastAsia="bg-BG"/>
        </w:rPr>
      </w:pPr>
    </w:p>
    <w:p w14:paraId="39E4B313" w14:textId="28943EAE"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u w:val="single"/>
          <w:lang w:eastAsia="bg-BG"/>
        </w:rPr>
        <w:t>Клинична ефикасност и безопасност</w:t>
      </w:r>
    </w:p>
    <w:p w14:paraId="15B6BBD8"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Програмата за клинично разработване включва четири едногодишни и две шестмесечни рандомизирани, двойно-слепи проучвания с 2 663 пациенти (1 308 от тях лекувани с тиотропиев бромид). Едногодишната програма се състои от две плацебо-контролирани и две активно контролирани проучвания „с ипратропиум“. Всяко от двете шестмесечни проучвания са салметерол- и плацебо-контролирани. Проучванията включват белодробна функция и оценка на състоянието на диспнея, епизоди на обостряне и качеството на живот.</w:t>
      </w:r>
    </w:p>
    <w:p w14:paraId="22A2CB7D" w14:textId="77777777" w:rsidR="00920B4C" w:rsidRPr="00920B4C" w:rsidRDefault="00920B4C" w:rsidP="00920B4C">
      <w:pPr>
        <w:spacing w:line="240" w:lineRule="auto"/>
        <w:rPr>
          <w:rFonts w:eastAsia="Times New Roman" w:cs="Arial"/>
          <w:bCs/>
          <w:i/>
          <w:iCs/>
          <w:color w:val="000000"/>
          <w:szCs w:val="20"/>
          <w:lang w:eastAsia="bg-BG"/>
        </w:rPr>
      </w:pPr>
    </w:p>
    <w:p w14:paraId="1E50FC14" w14:textId="4A5E6703"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Белодробна функция</w:t>
      </w:r>
    </w:p>
    <w:p w14:paraId="23E33DFE"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Приложението на тиотропиев бромид веднъж дневно, води до значително подобрение на белодробната функция (форсиран експираторен обем за 1 секунда, ФЕО</w:t>
      </w:r>
      <w:r w:rsidRPr="00920B4C">
        <w:rPr>
          <w:rFonts w:eastAsia="Times New Roman" w:cs="Arial"/>
          <w:bCs/>
          <w:color w:val="000000"/>
          <w:szCs w:val="20"/>
          <w:vertAlign w:val="subscript"/>
          <w:lang w:eastAsia="bg-BG"/>
        </w:rPr>
        <w:t>1</w:t>
      </w:r>
      <w:r w:rsidRPr="00920B4C">
        <w:rPr>
          <w:rFonts w:eastAsia="Times New Roman" w:cs="Arial"/>
          <w:bCs/>
          <w:color w:val="000000"/>
          <w:szCs w:val="20"/>
          <w:lang w:eastAsia="bg-BG"/>
        </w:rPr>
        <w:t xml:space="preserve">и форсиран витален капацитет, ФВК) до 30 минути след приложението на първата доза и действието </w:t>
      </w:r>
      <w:r w:rsidRPr="00920B4C">
        <w:rPr>
          <w:rFonts w:eastAsia="Times New Roman" w:cs="Arial"/>
          <w:bCs/>
          <w:color w:val="000000"/>
          <w:szCs w:val="20"/>
          <w:lang w:eastAsia="bg-BG"/>
        </w:rPr>
        <w:lastRenderedPageBreak/>
        <w:t>продължава 24 часа. Фармакодинамично равновесно състояние е постигнато за една седмица, като бронходилатация в повечето случаи, е наблюдавана до третия ден. Тиотропиев бромид значително подобрява ВЕД (върхов експираторен дебит) на сутринта и вечерта, измерен според дневните показатели на пациента. Бронходилатиращият ефект на тиотропиев бромид е поддържан през целия едногодишен период на приложение, без признаци на толерантност</w:t>
      </w:r>
    </w:p>
    <w:p w14:paraId="77BDA233" w14:textId="77777777" w:rsidR="00920B4C" w:rsidRPr="00920B4C" w:rsidRDefault="00920B4C" w:rsidP="00920B4C">
      <w:pPr>
        <w:rPr>
          <w:rFonts w:eastAsia="Times New Roman" w:cs="Arial"/>
          <w:bCs/>
          <w:color w:val="000000"/>
          <w:szCs w:val="20"/>
          <w:lang w:eastAsia="bg-BG"/>
        </w:rPr>
      </w:pPr>
    </w:p>
    <w:p w14:paraId="1305C71B" w14:textId="5A653561" w:rsidR="00920B4C" w:rsidRPr="00920B4C" w:rsidRDefault="00920B4C" w:rsidP="00920B4C">
      <w:pPr>
        <w:rPr>
          <w:rFonts w:cs="Arial"/>
          <w:sz w:val="24"/>
        </w:rPr>
      </w:pPr>
      <w:r w:rsidRPr="00920B4C">
        <w:rPr>
          <w:rFonts w:eastAsia="Times New Roman" w:cs="Arial"/>
          <w:bCs/>
          <w:color w:val="000000"/>
          <w:szCs w:val="20"/>
          <w:lang w:eastAsia="bg-BG"/>
        </w:rPr>
        <w:t>Рандомизирано, плацебо-контролирано клинично проучване, включващо 105 пациенти с ХОББ показва, че бронходилатацията се поддържа през 24-часовия интервал на дозиране, сравнено с плацебо, независимо дали тиотропиев бромид е приложен сутринта или вечерта.</w:t>
      </w:r>
    </w:p>
    <w:p w14:paraId="1CE0D751" w14:textId="2F1C1ACB" w:rsidR="00920B4C" w:rsidRDefault="00920B4C" w:rsidP="00920B4C"/>
    <w:p w14:paraId="3D50FE22"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Клинични изпитвания (до 12 месеца)</w:t>
      </w:r>
    </w:p>
    <w:p w14:paraId="673229F4"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Диспнея, праг на натоварване</w:t>
      </w:r>
    </w:p>
    <w:p w14:paraId="0A805A0C"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Тиотропиев бромид значително подобрява състоянието на диспнея (оценено по </w:t>
      </w:r>
      <w:r w:rsidRPr="00920B4C">
        <w:rPr>
          <w:rFonts w:eastAsia="Times New Roman" w:cs="Arial"/>
          <w:bCs/>
          <w:color w:val="000000"/>
          <w:szCs w:val="20"/>
          <w:lang w:val="en-US"/>
        </w:rPr>
        <w:t xml:space="preserve">Transition Dyspnea Index). </w:t>
      </w:r>
      <w:r w:rsidRPr="00920B4C">
        <w:rPr>
          <w:rFonts w:eastAsia="Times New Roman" w:cs="Arial"/>
          <w:bCs/>
          <w:color w:val="000000"/>
          <w:szCs w:val="20"/>
          <w:lang w:eastAsia="bg-BG"/>
        </w:rPr>
        <w:t>Подобрението се поддържа през целия период на лечение.</w:t>
      </w:r>
    </w:p>
    <w:p w14:paraId="1DB84B14" w14:textId="77777777" w:rsidR="00920B4C" w:rsidRPr="00920B4C" w:rsidRDefault="00920B4C" w:rsidP="00920B4C">
      <w:pPr>
        <w:spacing w:line="240" w:lineRule="auto"/>
        <w:rPr>
          <w:rFonts w:eastAsia="Times New Roman" w:cs="Arial"/>
          <w:bCs/>
          <w:color w:val="000000"/>
          <w:szCs w:val="20"/>
          <w:lang w:eastAsia="bg-BG"/>
        </w:rPr>
      </w:pPr>
    </w:p>
    <w:p w14:paraId="790B411E" w14:textId="4E86A016"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В две рандомизирани, двойно-слепи, плацебо-контролирани изпитвания при 433 пациенти със средно тежка до тежка ХОББ е изследвано влиянието на подобреното състояние на диспнея върху прага на натоварване. В тези изпитвания лечението в продължение на шест седмици с тиотропиев бромид значително подобрява ограниченото от симптомите на заболяването, време на издръжливост на натоварване с 19,7% при велоергометрия със 75% от максималния работен капацитет (проучване А) и 28,3% (проучване В) в сравнение с плацебо.</w:t>
      </w:r>
    </w:p>
    <w:p w14:paraId="213D9676" w14:textId="77777777" w:rsidR="00920B4C" w:rsidRPr="00920B4C" w:rsidRDefault="00920B4C" w:rsidP="00920B4C">
      <w:pPr>
        <w:spacing w:line="240" w:lineRule="auto"/>
        <w:rPr>
          <w:rFonts w:eastAsia="Times New Roman" w:cs="Arial"/>
          <w:bCs/>
          <w:i/>
          <w:iCs/>
          <w:color w:val="000000"/>
          <w:szCs w:val="20"/>
          <w:lang w:eastAsia="bg-BG"/>
        </w:rPr>
      </w:pPr>
    </w:p>
    <w:p w14:paraId="3FCE1608" w14:textId="42250500"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Качество на живот, свързано със здравето</w:t>
      </w:r>
    </w:p>
    <w:p w14:paraId="60300DBE"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В едно 9-месечно, рандомизирано, двойно-сляпо, плацебо-контролирано изпитване при 492 пациенти тиотропиев бромид подобрява здравословно-обусловеното качество на живот, което се определя чрез общия резултат по въпросника </w:t>
      </w:r>
      <w:r w:rsidRPr="00920B4C">
        <w:rPr>
          <w:rFonts w:eastAsia="Times New Roman" w:cs="Arial"/>
          <w:bCs/>
          <w:color w:val="000000"/>
          <w:szCs w:val="20"/>
          <w:lang w:val="en-US"/>
        </w:rPr>
        <w:t xml:space="preserve">St. George’s Respiratory Questionnaire (SGRQ). </w:t>
      </w:r>
      <w:r w:rsidRPr="00920B4C">
        <w:rPr>
          <w:rFonts w:eastAsia="Times New Roman" w:cs="Arial"/>
          <w:bCs/>
          <w:color w:val="000000"/>
          <w:szCs w:val="20"/>
          <w:lang w:eastAsia="bg-BG"/>
        </w:rPr>
        <w:t xml:space="preserve">Съотношението на пациентите, лекувани с тиотропиев бромид, които постигат значително подобрение в общия резултат по </w:t>
      </w:r>
      <w:r w:rsidRPr="00920B4C">
        <w:rPr>
          <w:rFonts w:eastAsia="Times New Roman" w:cs="Arial"/>
          <w:bCs/>
          <w:color w:val="000000"/>
          <w:szCs w:val="20"/>
          <w:lang w:val="en-US"/>
        </w:rPr>
        <w:t xml:space="preserve">SGRQ </w:t>
      </w:r>
      <w:r w:rsidRPr="00920B4C">
        <w:rPr>
          <w:rFonts w:eastAsia="Times New Roman" w:cs="Arial"/>
          <w:bCs/>
          <w:color w:val="000000"/>
          <w:szCs w:val="20"/>
          <w:lang w:eastAsia="bg-BG"/>
        </w:rPr>
        <w:t xml:space="preserve">(т.е. &gt; 4 единици) е с 10,9% по-високо в сравнение с плацебо (59,1% в групата на тиотропиев бромид спрямо 48,2% в групата на плацебо, р=0,029)). Средната разлика между групите е 4,19 единици (р=0,001; доверителен интервал: 1,69 - 6,68). Подобренията в разделите на оценката по </w:t>
      </w:r>
      <w:r w:rsidRPr="00920B4C">
        <w:rPr>
          <w:rFonts w:eastAsia="Times New Roman" w:cs="Arial"/>
          <w:bCs/>
          <w:color w:val="000000"/>
          <w:szCs w:val="20"/>
          <w:lang w:val="en-US"/>
        </w:rPr>
        <w:t xml:space="preserve">SGRQ </w:t>
      </w:r>
      <w:r w:rsidRPr="00920B4C">
        <w:rPr>
          <w:rFonts w:eastAsia="Times New Roman" w:cs="Arial"/>
          <w:bCs/>
          <w:color w:val="000000"/>
          <w:szCs w:val="20"/>
          <w:lang w:eastAsia="bg-BG"/>
        </w:rPr>
        <w:t>са 8,19 единици за „симптоми“, 3,91 единици за „активност“ и 3,61 единици за „ефект върху ежедневието“. Подобрението за всеки от тези раздели поотделно е статистически значимо.</w:t>
      </w:r>
    </w:p>
    <w:p w14:paraId="74F8E86B" w14:textId="77777777" w:rsidR="00920B4C" w:rsidRPr="00920B4C" w:rsidRDefault="00920B4C" w:rsidP="00920B4C">
      <w:pPr>
        <w:spacing w:line="240" w:lineRule="auto"/>
        <w:rPr>
          <w:rFonts w:eastAsia="Times New Roman" w:cs="Arial"/>
          <w:bCs/>
          <w:i/>
          <w:iCs/>
          <w:color w:val="000000"/>
          <w:szCs w:val="20"/>
          <w:lang w:eastAsia="bg-BG"/>
        </w:rPr>
      </w:pPr>
    </w:p>
    <w:p w14:paraId="2E8C0DE3" w14:textId="52C1EEF4"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i/>
          <w:iCs/>
          <w:color w:val="000000"/>
          <w:szCs w:val="20"/>
          <w:lang w:eastAsia="bg-BG"/>
        </w:rPr>
        <w:t>Обостряне на ХОББ</w:t>
      </w:r>
    </w:p>
    <w:p w14:paraId="4DFD8B77" w14:textId="77777777"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В едно рандомизирано, двойно-сляпо, плацебо-контролирано клинично изпитване при 1 829 пациенти с умерена до тежка ХОББ, тиотропиев бромид статистически значимо намалява процента пациенти с обостряне на ХОББ (32,2% до 27,8%) и статистически значимо намалява броя на обострянията с 19% (1,05 до 0,85 събития на една пациентогодина на експозиция). Допълнително, 7,0% от пациентите от групата, приемаща тиотропиев бромид, и 9,5% от групата, приемаща плацебо, са хоспитализирани поради обостряне на ХОББ (р=0,056). Броят на хоспитализациите, дължащи се на ХОББ е намален с 30% (0,25 до 0,18 събития на една пациентогодина на експозиция).</w:t>
      </w:r>
    </w:p>
    <w:p w14:paraId="0F738F17" w14:textId="77777777" w:rsidR="00920B4C" w:rsidRPr="00920B4C" w:rsidRDefault="00920B4C" w:rsidP="00920B4C">
      <w:pPr>
        <w:spacing w:line="240" w:lineRule="auto"/>
        <w:rPr>
          <w:rFonts w:eastAsia="Times New Roman" w:cs="Arial"/>
          <w:bCs/>
          <w:color w:val="000000"/>
          <w:szCs w:val="20"/>
          <w:lang w:eastAsia="bg-BG"/>
        </w:rPr>
      </w:pPr>
    </w:p>
    <w:p w14:paraId="12DC3172" w14:textId="0F25F049" w:rsidR="00920B4C" w:rsidRPr="00920B4C" w:rsidRDefault="00920B4C" w:rsidP="00920B4C">
      <w:pPr>
        <w:spacing w:line="240" w:lineRule="auto"/>
        <w:rPr>
          <w:rFonts w:eastAsia="Times New Roman" w:cs="Arial"/>
          <w:sz w:val="28"/>
          <w:szCs w:val="24"/>
          <w:lang w:eastAsia="bg-BG"/>
        </w:rPr>
      </w:pPr>
      <w:r w:rsidRPr="00920B4C">
        <w:rPr>
          <w:rFonts w:eastAsia="Times New Roman" w:cs="Arial"/>
          <w:bCs/>
          <w:color w:val="000000"/>
          <w:szCs w:val="20"/>
          <w:lang w:eastAsia="bg-BG"/>
        </w:rPr>
        <w:t xml:space="preserve">Едно едногодишно, рандомизирано, двойно-сляпо, двойно-заслепено изпитване при паралелни групи сравнява ефекта от лечението с 18 микрограма тиотропиум веднъж </w:t>
      </w:r>
      <w:r w:rsidRPr="00920B4C">
        <w:rPr>
          <w:rFonts w:eastAsia="Times New Roman" w:cs="Arial"/>
          <w:bCs/>
          <w:color w:val="000000"/>
          <w:szCs w:val="20"/>
          <w:lang w:eastAsia="bg-BG"/>
        </w:rPr>
        <w:lastRenderedPageBreak/>
        <w:t xml:space="preserve">дневно с този от 50 микрограма салметерол </w:t>
      </w:r>
      <w:r w:rsidRPr="00920B4C">
        <w:rPr>
          <w:rFonts w:eastAsia="Times New Roman" w:cs="Arial"/>
          <w:bCs/>
          <w:color w:val="000000"/>
          <w:szCs w:val="20"/>
          <w:lang w:val="en-US"/>
        </w:rPr>
        <w:t xml:space="preserve">HFA </w:t>
      </w:r>
      <w:proofErr w:type="spellStart"/>
      <w:r w:rsidRPr="00920B4C">
        <w:rPr>
          <w:rFonts w:eastAsia="Times New Roman" w:cs="Arial"/>
          <w:bCs/>
          <w:color w:val="000000"/>
          <w:szCs w:val="20"/>
          <w:lang w:val="en-US"/>
        </w:rPr>
        <w:t>pMDI</w:t>
      </w:r>
      <w:proofErr w:type="spellEnd"/>
      <w:r w:rsidR="001C123B">
        <w:rPr>
          <w:rFonts w:eastAsia="Times New Roman" w:cs="Arial"/>
          <w:bCs/>
          <w:color w:val="000000"/>
          <w:szCs w:val="20"/>
        </w:rPr>
        <w:t xml:space="preserve"> </w:t>
      </w:r>
      <w:r w:rsidRPr="00920B4C">
        <w:rPr>
          <w:rFonts w:eastAsia="Times New Roman" w:cs="Arial"/>
          <w:bCs/>
          <w:color w:val="000000"/>
          <w:szCs w:val="20"/>
          <w:lang w:eastAsia="bg-BG"/>
        </w:rPr>
        <w:t>два пъти дневно върху честотата на възникване на средно тежки и тежки обостряния при 7 376 пациенти с ХОББ и анамнеза за обостряния през предходната година.</w:t>
      </w:r>
    </w:p>
    <w:p w14:paraId="6F3929AC" w14:textId="77777777" w:rsidR="001C123B" w:rsidRDefault="001C123B" w:rsidP="00920B4C">
      <w:pPr>
        <w:rPr>
          <w:rFonts w:eastAsia="Times New Roman" w:cs="Arial"/>
          <w:bCs/>
          <w:color w:val="000000"/>
          <w:szCs w:val="20"/>
          <w:lang w:eastAsia="bg-BG"/>
        </w:rPr>
      </w:pPr>
    </w:p>
    <w:p w14:paraId="643CB0B1" w14:textId="7F00A145" w:rsidR="00920B4C" w:rsidRDefault="00920B4C" w:rsidP="00920B4C">
      <w:pPr>
        <w:rPr>
          <w:rFonts w:eastAsia="Times New Roman" w:cs="Arial"/>
          <w:bCs/>
          <w:color w:val="000000"/>
          <w:szCs w:val="20"/>
          <w:lang w:eastAsia="bg-BG"/>
        </w:rPr>
      </w:pPr>
      <w:r w:rsidRPr="00920B4C">
        <w:rPr>
          <w:rFonts w:eastAsia="Times New Roman" w:cs="Arial"/>
          <w:bCs/>
          <w:color w:val="000000"/>
          <w:szCs w:val="20"/>
          <w:lang w:eastAsia="bg-BG"/>
        </w:rPr>
        <w:t>Таблица 1: Резюме на крайните точки при обостряне</w:t>
      </w:r>
    </w:p>
    <w:tbl>
      <w:tblPr>
        <w:tblStyle w:val="TableGrid"/>
        <w:tblW w:w="0" w:type="auto"/>
        <w:tblLook w:val="04A0" w:firstRow="1" w:lastRow="0" w:firstColumn="1" w:lastColumn="0" w:noHBand="0" w:noVBand="1"/>
      </w:tblPr>
      <w:tblGrid>
        <w:gridCol w:w="1940"/>
        <w:gridCol w:w="1900"/>
        <w:gridCol w:w="1900"/>
        <w:gridCol w:w="1900"/>
        <w:gridCol w:w="1900"/>
      </w:tblGrid>
      <w:tr w:rsidR="001C123B" w14:paraId="52E0238F" w14:textId="77777777" w:rsidTr="001C123B">
        <w:tc>
          <w:tcPr>
            <w:tcW w:w="1940" w:type="dxa"/>
          </w:tcPr>
          <w:p w14:paraId="133F9927" w14:textId="02098DCE" w:rsidR="001C123B" w:rsidRPr="001C123B" w:rsidRDefault="001C123B" w:rsidP="001C123B">
            <w:pPr>
              <w:rPr>
                <w:rFonts w:cs="Arial"/>
              </w:rPr>
            </w:pPr>
            <w:r w:rsidRPr="001C123B">
              <w:rPr>
                <w:bCs/>
                <w:szCs w:val="20"/>
              </w:rPr>
              <w:t>Крайна точка</w:t>
            </w:r>
          </w:p>
        </w:tc>
        <w:tc>
          <w:tcPr>
            <w:tcW w:w="1900" w:type="dxa"/>
          </w:tcPr>
          <w:p w14:paraId="09E32046" w14:textId="4391C804" w:rsidR="001C123B" w:rsidRPr="001C123B" w:rsidRDefault="001C123B" w:rsidP="001C123B">
            <w:pPr>
              <w:rPr>
                <w:rFonts w:cs="Arial"/>
              </w:rPr>
            </w:pPr>
            <w:r w:rsidRPr="001C123B">
              <w:rPr>
                <w:bCs/>
                <w:szCs w:val="20"/>
              </w:rPr>
              <w:t>Тиотропиум 18 микрограма прах за инхалация</w:t>
            </w:r>
            <w:r w:rsidRPr="001C123B">
              <w:rPr>
                <w:bCs/>
                <w:szCs w:val="20"/>
                <w:vertAlign w:val="superscript"/>
              </w:rPr>
              <w:t xml:space="preserve">4 </w:t>
            </w:r>
            <w:r w:rsidRPr="001C123B">
              <w:rPr>
                <w:bCs/>
                <w:szCs w:val="20"/>
                <w:lang w:val="en-US"/>
              </w:rPr>
              <w:t>N=3707</w:t>
            </w:r>
          </w:p>
        </w:tc>
        <w:tc>
          <w:tcPr>
            <w:tcW w:w="1900" w:type="dxa"/>
          </w:tcPr>
          <w:p w14:paraId="6959CC42" w14:textId="4AB3136D" w:rsidR="001C123B" w:rsidRPr="001C123B" w:rsidRDefault="001C123B" w:rsidP="001C123B">
            <w:pPr>
              <w:rPr>
                <w:rFonts w:cs="Arial"/>
              </w:rPr>
            </w:pPr>
            <w:r w:rsidRPr="001C123B">
              <w:rPr>
                <w:bCs/>
                <w:szCs w:val="20"/>
              </w:rPr>
              <w:t xml:space="preserve">Салметерол 50 микрограма </w:t>
            </w:r>
            <w:r w:rsidRPr="001C123B">
              <w:rPr>
                <w:bCs/>
                <w:szCs w:val="20"/>
                <w:lang w:val="en-US"/>
              </w:rPr>
              <w:t xml:space="preserve">HFA </w:t>
            </w:r>
            <w:proofErr w:type="spellStart"/>
            <w:r w:rsidRPr="001C123B">
              <w:rPr>
                <w:bCs/>
                <w:szCs w:val="20"/>
                <w:lang w:val="en-US"/>
              </w:rPr>
              <w:t>pMDI</w:t>
            </w:r>
            <w:proofErr w:type="spellEnd"/>
            <w:r w:rsidRPr="001C123B">
              <w:rPr>
                <w:bCs/>
                <w:szCs w:val="20"/>
                <w:lang w:val="en-US"/>
              </w:rPr>
              <w:t xml:space="preserve"> N=3669</w:t>
            </w:r>
          </w:p>
        </w:tc>
        <w:tc>
          <w:tcPr>
            <w:tcW w:w="1900" w:type="dxa"/>
          </w:tcPr>
          <w:p w14:paraId="34FDEDF9" w14:textId="52FD2280" w:rsidR="001C123B" w:rsidRPr="001C123B" w:rsidRDefault="001C123B" w:rsidP="001C123B">
            <w:pPr>
              <w:rPr>
                <w:rFonts w:cs="Arial"/>
              </w:rPr>
            </w:pPr>
            <w:r w:rsidRPr="001C123B">
              <w:rPr>
                <w:bCs/>
                <w:szCs w:val="20"/>
              </w:rPr>
              <w:t>Съотношение (95% ДИ)</w:t>
            </w:r>
          </w:p>
        </w:tc>
        <w:tc>
          <w:tcPr>
            <w:tcW w:w="1900" w:type="dxa"/>
          </w:tcPr>
          <w:p w14:paraId="0C9F35D0" w14:textId="54216389" w:rsidR="001C123B" w:rsidRPr="001C123B" w:rsidRDefault="001C123B" w:rsidP="001C123B">
            <w:pPr>
              <w:rPr>
                <w:rFonts w:cs="Arial"/>
              </w:rPr>
            </w:pPr>
            <w:r w:rsidRPr="001C123B">
              <w:rPr>
                <w:bCs/>
                <w:szCs w:val="20"/>
              </w:rPr>
              <w:t>р-стойност</w:t>
            </w:r>
          </w:p>
        </w:tc>
      </w:tr>
      <w:tr w:rsidR="001C123B" w14:paraId="13BF907C" w14:textId="77777777" w:rsidTr="001C123B">
        <w:tc>
          <w:tcPr>
            <w:tcW w:w="1940" w:type="dxa"/>
          </w:tcPr>
          <w:p w14:paraId="7BC10B39" w14:textId="1FF47336" w:rsidR="001C123B" w:rsidRPr="001C123B" w:rsidRDefault="001C123B" w:rsidP="001C123B">
            <w:pPr>
              <w:rPr>
                <w:rFonts w:cs="Arial"/>
              </w:rPr>
            </w:pPr>
            <w:r w:rsidRPr="001C123B">
              <w:rPr>
                <w:bCs/>
                <w:szCs w:val="20"/>
              </w:rPr>
              <w:t>Време [дни] до първо обостряне</w:t>
            </w:r>
            <w:r w:rsidRPr="001C123B">
              <w:rPr>
                <w:bCs/>
                <w:szCs w:val="20"/>
                <w:vertAlign w:val="superscript"/>
              </w:rPr>
              <w:t>1</w:t>
            </w:r>
          </w:p>
        </w:tc>
        <w:tc>
          <w:tcPr>
            <w:tcW w:w="1900" w:type="dxa"/>
          </w:tcPr>
          <w:p w14:paraId="37D88796" w14:textId="7FF49C6E" w:rsidR="001C123B" w:rsidRPr="001C123B" w:rsidRDefault="001C123B" w:rsidP="001C123B">
            <w:pPr>
              <w:rPr>
                <w:rFonts w:cs="Arial"/>
              </w:rPr>
            </w:pPr>
            <w:r w:rsidRPr="001C123B">
              <w:rPr>
                <w:bCs/>
                <w:szCs w:val="20"/>
              </w:rPr>
              <w:t>187</w:t>
            </w:r>
          </w:p>
        </w:tc>
        <w:tc>
          <w:tcPr>
            <w:tcW w:w="1900" w:type="dxa"/>
          </w:tcPr>
          <w:p w14:paraId="08D66554" w14:textId="6622228B" w:rsidR="001C123B" w:rsidRPr="001C123B" w:rsidRDefault="001C123B" w:rsidP="001C123B">
            <w:pPr>
              <w:rPr>
                <w:rFonts w:cs="Arial"/>
              </w:rPr>
            </w:pPr>
            <w:r w:rsidRPr="001C123B">
              <w:rPr>
                <w:bCs/>
                <w:szCs w:val="20"/>
              </w:rPr>
              <w:t>145</w:t>
            </w:r>
          </w:p>
        </w:tc>
        <w:tc>
          <w:tcPr>
            <w:tcW w:w="1900" w:type="dxa"/>
          </w:tcPr>
          <w:p w14:paraId="23FA0735" w14:textId="46940EA1" w:rsidR="001C123B" w:rsidRPr="001C123B" w:rsidRDefault="001C123B" w:rsidP="001C123B">
            <w:pPr>
              <w:rPr>
                <w:rFonts w:cs="Arial"/>
              </w:rPr>
            </w:pPr>
            <w:r w:rsidRPr="001C123B">
              <w:rPr>
                <w:bCs/>
                <w:szCs w:val="20"/>
              </w:rPr>
              <w:t>0,83 (0,77-0,90)</w:t>
            </w:r>
          </w:p>
        </w:tc>
        <w:tc>
          <w:tcPr>
            <w:tcW w:w="1900" w:type="dxa"/>
          </w:tcPr>
          <w:p w14:paraId="49F33EDD" w14:textId="3902120D" w:rsidR="001C123B" w:rsidRPr="001C123B" w:rsidRDefault="001C123B" w:rsidP="001C123B">
            <w:pPr>
              <w:rPr>
                <w:rFonts w:cs="Arial"/>
              </w:rPr>
            </w:pPr>
            <w:r w:rsidRPr="001C123B">
              <w:rPr>
                <w:bCs/>
                <w:szCs w:val="20"/>
              </w:rPr>
              <w:t>0,001</w:t>
            </w:r>
          </w:p>
        </w:tc>
      </w:tr>
      <w:tr w:rsidR="001C123B" w14:paraId="6FC5890C" w14:textId="77777777" w:rsidTr="001C123B">
        <w:tc>
          <w:tcPr>
            <w:tcW w:w="1940" w:type="dxa"/>
          </w:tcPr>
          <w:p w14:paraId="3716A39D" w14:textId="1F7B5537" w:rsidR="001C123B" w:rsidRPr="001C123B" w:rsidRDefault="001C123B" w:rsidP="001C123B">
            <w:pPr>
              <w:rPr>
                <w:rFonts w:cs="Arial"/>
              </w:rPr>
            </w:pPr>
            <w:r w:rsidRPr="001C123B">
              <w:rPr>
                <w:bCs/>
                <w:szCs w:val="20"/>
              </w:rPr>
              <w:t>Време до първо тежко (с хоспитализация) обостряне</w:t>
            </w:r>
            <w:r w:rsidRPr="001C123B">
              <w:rPr>
                <w:bCs/>
                <w:szCs w:val="20"/>
                <w:vertAlign w:val="superscript"/>
              </w:rPr>
              <w:t>2</w:t>
            </w:r>
          </w:p>
        </w:tc>
        <w:tc>
          <w:tcPr>
            <w:tcW w:w="1900" w:type="dxa"/>
          </w:tcPr>
          <w:p w14:paraId="7A8F8B35" w14:textId="5980E650" w:rsidR="001C123B" w:rsidRPr="001C123B" w:rsidRDefault="001C123B" w:rsidP="001C123B">
            <w:pPr>
              <w:rPr>
                <w:rFonts w:cs="Arial"/>
              </w:rPr>
            </w:pPr>
            <w:r w:rsidRPr="001C123B">
              <w:rPr>
                <w:bCs/>
                <w:szCs w:val="20"/>
              </w:rPr>
              <w:t>-</w:t>
            </w:r>
          </w:p>
        </w:tc>
        <w:tc>
          <w:tcPr>
            <w:tcW w:w="1900" w:type="dxa"/>
          </w:tcPr>
          <w:p w14:paraId="6FDC73E6" w14:textId="411061E8" w:rsidR="001C123B" w:rsidRPr="001C123B" w:rsidRDefault="001C123B" w:rsidP="001C123B">
            <w:pPr>
              <w:rPr>
                <w:rFonts w:cs="Arial"/>
              </w:rPr>
            </w:pPr>
            <w:r w:rsidRPr="001C123B">
              <w:rPr>
                <w:bCs/>
                <w:szCs w:val="20"/>
              </w:rPr>
              <w:t>-</w:t>
            </w:r>
          </w:p>
        </w:tc>
        <w:tc>
          <w:tcPr>
            <w:tcW w:w="1900" w:type="dxa"/>
          </w:tcPr>
          <w:p w14:paraId="7757444C" w14:textId="2C88C8C4" w:rsidR="001C123B" w:rsidRPr="001C123B" w:rsidRDefault="001C123B" w:rsidP="001C123B">
            <w:pPr>
              <w:rPr>
                <w:rFonts w:cs="Arial"/>
              </w:rPr>
            </w:pPr>
            <w:r w:rsidRPr="001C123B">
              <w:rPr>
                <w:bCs/>
                <w:szCs w:val="20"/>
              </w:rPr>
              <w:t>0,72 (0,61-0,85)</w:t>
            </w:r>
          </w:p>
        </w:tc>
        <w:tc>
          <w:tcPr>
            <w:tcW w:w="1900" w:type="dxa"/>
          </w:tcPr>
          <w:p w14:paraId="69E420A7" w14:textId="168AC59F" w:rsidR="001C123B" w:rsidRPr="001C123B" w:rsidRDefault="001C123B" w:rsidP="001C123B">
            <w:pPr>
              <w:rPr>
                <w:rFonts w:cs="Arial"/>
              </w:rPr>
            </w:pPr>
            <w:r w:rsidRPr="001C123B">
              <w:rPr>
                <w:bCs/>
                <w:szCs w:val="20"/>
              </w:rPr>
              <w:t>0,001</w:t>
            </w:r>
          </w:p>
        </w:tc>
      </w:tr>
      <w:tr w:rsidR="001C123B" w14:paraId="15DA9A55" w14:textId="77777777" w:rsidTr="001C123B">
        <w:tc>
          <w:tcPr>
            <w:tcW w:w="1940" w:type="dxa"/>
          </w:tcPr>
          <w:p w14:paraId="08277E29" w14:textId="3708F609" w:rsidR="001C123B" w:rsidRPr="001C123B" w:rsidRDefault="001C123B" w:rsidP="001C123B">
            <w:pPr>
              <w:rPr>
                <w:rFonts w:cs="Arial"/>
              </w:rPr>
            </w:pPr>
            <w:r>
              <w:rPr>
                <w:bCs/>
                <w:szCs w:val="20"/>
              </w:rPr>
              <w:t xml:space="preserve">Пациенти с &lt;1 екзацербация, </w:t>
            </w:r>
            <w:r>
              <w:rPr>
                <w:bCs/>
                <w:szCs w:val="20"/>
                <w:lang w:val="en-US"/>
              </w:rPr>
              <w:t>n</w:t>
            </w:r>
            <w:r w:rsidRPr="001C123B">
              <w:rPr>
                <w:bCs/>
                <w:szCs w:val="20"/>
              </w:rPr>
              <w:t xml:space="preserve"> (%)</w:t>
            </w:r>
            <w:r w:rsidRPr="001C123B">
              <w:rPr>
                <w:bCs/>
                <w:szCs w:val="20"/>
                <w:vertAlign w:val="superscript"/>
              </w:rPr>
              <w:t>3</w:t>
            </w:r>
          </w:p>
        </w:tc>
        <w:tc>
          <w:tcPr>
            <w:tcW w:w="1900" w:type="dxa"/>
          </w:tcPr>
          <w:p w14:paraId="6E1F947A" w14:textId="068DF988" w:rsidR="001C123B" w:rsidRPr="001C123B" w:rsidRDefault="001C123B" w:rsidP="001C123B">
            <w:pPr>
              <w:rPr>
                <w:rFonts w:cs="Arial"/>
              </w:rPr>
            </w:pPr>
            <w:r w:rsidRPr="001C123B">
              <w:rPr>
                <w:bCs/>
                <w:szCs w:val="20"/>
              </w:rPr>
              <w:t>1277 (34,4)</w:t>
            </w:r>
          </w:p>
        </w:tc>
        <w:tc>
          <w:tcPr>
            <w:tcW w:w="1900" w:type="dxa"/>
          </w:tcPr>
          <w:p w14:paraId="4C900541" w14:textId="0FAA8E9B" w:rsidR="001C123B" w:rsidRPr="001C123B" w:rsidRDefault="001C123B" w:rsidP="001C123B">
            <w:pPr>
              <w:rPr>
                <w:rFonts w:cs="Arial"/>
              </w:rPr>
            </w:pPr>
            <w:r w:rsidRPr="001C123B">
              <w:rPr>
                <w:bCs/>
                <w:szCs w:val="20"/>
              </w:rPr>
              <w:t>1414 (38,5)</w:t>
            </w:r>
          </w:p>
        </w:tc>
        <w:tc>
          <w:tcPr>
            <w:tcW w:w="1900" w:type="dxa"/>
          </w:tcPr>
          <w:p w14:paraId="4C266F0C" w14:textId="1D2D8CA1" w:rsidR="001C123B" w:rsidRPr="001C123B" w:rsidRDefault="001C123B" w:rsidP="001C123B">
            <w:pPr>
              <w:rPr>
                <w:rFonts w:cs="Arial"/>
              </w:rPr>
            </w:pPr>
            <w:r w:rsidRPr="001C123B">
              <w:rPr>
                <w:bCs/>
                <w:szCs w:val="20"/>
              </w:rPr>
              <w:t>0,90 (0,85-0,95)</w:t>
            </w:r>
          </w:p>
        </w:tc>
        <w:tc>
          <w:tcPr>
            <w:tcW w:w="1900" w:type="dxa"/>
          </w:tcPr>
          <w:p w14:paraId="797EF06E" w14:textId="7778B86E" w:rsidR="001C123B" w:rsidRPr="001C123B" w:rsidRDefault="001C123B" w:rsidP="001C123B">
            <w:pPr>
              <w:rPr>
                <w:rFonts w:cs="Arial"/>
              </w:rPr>
            </w:pPr>
            <w:r w:rsidRPr="001C123B">
              <w:rPr>
                <w:bCs/>
                <w:szCs w:val="20"/>
              </w:rPr>
              <w:t>0,001</w:t>
            </w:r>
          </w:p>
        </w:tc>
      </w:tr>
      <w:tr w:rsidR="001C123B" w14:paraId="3EFD967E" w14:textId="77777777" w:rsidTr="001C123B">
        <w:tc>
          <w:tcPr>
            <w:tcW w:w="1940" w:type="dxa"/>
          </w:tcPr>
          <w:p w14:paraId="7E5F77C8" w14:textId="3E0F7CC4" w:rsidR="001C123B" w:rsidRPr="001C123B" w:rsidRDefault="001C123B" w:rsidP="001C123B">
            <w:pPr>
              <w:rPr>
                <w:rFonts w:cs="Arial"/>
                <w:lang w:val="en-US"/>
              </w:rPr>
            </w:pPr>
            <w:r>
              <w:rPr>
                <w:bCs/>
                <w:szCs w:val="20"/>
              </w:rPr>
              <w:t xml:space="preserve">Пациенти с &lt;1 тежка (с </w:t>
            </w:r>
            <w:r w:rsidRPr="001C123B">
              <w:rPr>
                <w:bCs/>
                <w:szCs w:val="20"/>
              </w:rPr>
              <w:t>хоспитализация)</w:t>
            </w:r>
            <w:r>
              <w:rPr>
                <w:bCs/>
                <w:szCs w:val="20"/>
                <w:lang w:val="en-US"/>
              </w:rPr>
              <w:t xml:space="preserve"> </w:t>
            </w:r>
            <w:r w:rsidRPr="001C123B">
              <w:rPr>
                <w:bCs/>
                <w:szCs w:val="20"/>
              </w:rPr>
              <w:t xml:space="preserve">екзацербация, </w:t>
            </w:r>
            <w:r w:rsidRPr="001C123B">
              <w:rPr>
                <w:bCs/>
                <w:szCs w:val="20"/>
                <w:lang w:val="en-US"/>
              </w:rPr>
              <w:t xml:space="preserve">n </w:t>
            </w:r>
            <w:r w:rsidRPr="001C123B">
              <w:rPr>
                <w:bCs/>
                <w:szCs w:val="20"/>
              </w:rPr>
              <w:t>(%)</w:t>
            </w:r>
            <w:r w:rsidRPr="001C123B">
              <w:rPr>
                <w:bCs/>
                <w:szCs w:val="20"/>
                <w:vertAlign w:val="superscript"/>
              </w:rPr>
              <w:t>3</w:t>
            </w:r>
          </w:p>
        </w:tc>
        <w:tc>
          <w:tcPr>
            <w:tcW w:w="1900" w:type="dxa"/>
          </w:tcPr>
          <w:p w14:paraId="2F8329BF" w14:textId="06DDCE88" w:rsidR="001C123B" w:rsidRPr="001C123B" w:rsidRDefault="001C123B" w:rsidP="001C123B">
            <w:pPr>
              <w:rPr>
                <w:rFonts w:cs="Arial"/>
              </w:rPr>
            </w:pPr>
            <w:r w:rsidRPr="001C123B">
              <w:rPr>
                <w:bCs/>
                <w:szCs w:val="20"/>
              </w:rPr>
              <w:t>262 (7,1)</w:t>
            </w:r>
          </w:p>
        </w:tc>
        <w:tc>
          <w:tcPr>
            <w:tcW w:w="1900" w:type="dxa"/>
          </w:tcPr>
          <w:p w14:paraId="55E5420D" w14:textId="0648EA49" w:rsidR="001C123B" w:rsidRPr="001C123B" w:rsidRDefault="001C123B" w:rsidP="001C123B">
            <w:pPr>
              <w:rPr>
                <w:rFonts w:cs="Arial"/>
              </w:rPr>
            </w:pPr>
            <w:r w:rsidRPr="001C123B">
              <w:rPr>
                <w:bCs/>
                <w:szCs w:val="20"/>
              </w:rPr>
              <w:t>336 (9,2)</w:t>
            </w:r>
          </w:p>
        </w:tc>
        <w:tc>
          <w:tcPr>
            <w:tcW w:w="1900" w:type="dxa"/>
          </w:tcPr>
          <w:p w14:paraId="5723D95E" w14:textId="3650B2CF" w:rsidR="001C123B" w:rsidRPr="001C123B" w:rsidRDefault="001C123B" w:rsidP="001C123B">
            <w:pPr>
              <w:rPr>
                <w:rFonts w:cs="Arial"/>
              </w:rPr>
            </w:pPr>
            <w:r w:rsidRPr="001C123B">
              <w:rPr>
                <w:bCs/>
                <w:szCs w:val="20"/>
              </w:rPr>
              <w:t>0,77 (0,66-0,89)</w:t>
            </w:r>
          </w:p>
        </w:tc>
        <w:tc>
          <w:tcPr>
            <w:tcW w:w="1900" w:type="dxa"/>
          </w:tcPr>
          <w:p w14:paraId="1556D387" w14:textId="50E88331" w:rsidR="001C123B" w:rsidRPr="001C123B" w:rsidRDefault="001C123B" w:rsidP="001C123B">
            <w:pPr>
              <w:rPr>
                <w:rFonts w:cs="Arial"/>
              </w:rPr>
            </w:pPr>
            <w:r w:rsidRPr="001C123B">
              <w:rPr>
                <w:bCs/>
                <w:szCs w:val="20"/>
              </w:rPr>
              <w:t>0,001</w:t>
            </w:r>
          </w:p>
        </w:tc>
      </w:tr>
    </w:tbl>
    <w:p w14:paraId="4F489ECA" w14:textId="5B54823F" w:rsidR="001C123B" w:rsidRPr="001C123B" w:rsidRDefault="001C123B" w:rsidP="001C123B">
      <w:pPr>
        <w:spacing w:line="240" w:lineRule="auto"/>
        <w:rPr>
          <w:rFonts w:eastAsia="Times New Roman" w:cs="Arial"/>
          <w:bCs/>
          <w:color w:val="000000"/>
          <w:szCs w:val="20"/>
          <w:lang w:eastAsia="bg-BG"/>
        </w:rPr>
      </w:pPr>
      <w:r w:rsidRPr="001C123B">
        <w:rPr>
          <w:rFonts w:eastAsia="Times New Roman" w:cs="Arial"/>
          <w:bCs/>
          <w:color w:val="000000"/>
          <w:szCs w:val="20"/>
          <w:vertAlign w:val="superscript"/>
          <w:lang w:eastAsia="bg-BG"/>
        </w:rPr>
        <w:t>1</w:t>
      </w:r>
      <w:r>
        <w:rPr>
          <w:rFonts w:eastAsia="Times New Roman" w:cs="Arial"/>
          <w:bCs/>
          <w:color w:val="000000"/>
          <w:szCs w:val="20"/>
          <w:lang w:eastAsia="bg-BG"/>
        </w:rPr>
        <w:t>В</w:t>
      </w:r>
      <w:r w:rsidRPr="001C123B">
        <w:rPr>
          <w:rFonts w:eastAsia="Times New Roman" w:cs="Arial"/>
          <w:bCs/>
          <w:color w:val="000000"/>
          <w:szCs w:val="20"/>
          <w:lang w:eastAsia="bg-BG"/>
        </w:rPr>
        <w:t>реме [дни] касае 1-ви квартал пациенти. Анализът на времето до събитието е извършен чрез пропорционален рисков модел на Сох с (обединен) център и лечение като ковариат; съотношението касае коефициента на риска.</w:t>
      </w:r>
    </w:p>
    <w:p w14:paraId="30007A22" w14:textId="541590B7" w:rsidR="001C123B" w:rsidRPr="001C123B" w:rsidRDefault="001C123B" w:rsidP="001C123B">
      <w:pPr>
        <w:spacing w:line="240" w:lineRule="auto"/>
        <w:rPr>
          <w:rFonts w:eastAsia="Times New Roman" w:cs="Arial"/>
          <w:bCs/>
          <w:color w:val="000000"/>
          <w:szCs w:val="20"/>
          <w:lang w:eastAsia="bg-BG"/>
        </w:rPr>
      </w:pPr>
      <w:r w:rsidRPr="001C123B">
        <w:rPr>
          <w:rFonts w:eastAsia="Times New Roman" w:cs="Arial"/>
          <w:bCs/>
          <w:color w:val="000000"/>
          <w:szCs w:val="20"/>
          <w:vertAlign w:val="superscript"/>
          <w:lang w:eastAsia="bg-BG"/>
        </w:rPr>
        <w:t>2</w:t>
      </w:r>
      <w:r w:rsidRPr="001C123B">
        <w:rPr>
          <w:rFonts w:eastAsia="Times New Roman" w:cs="Arial"/>
          <w:bCs/>
          <w:color w:val="000000"/>
          <w:szCs w:val="20"/>
          <w:lang w:eastAsia="bg-BG"/>
        </w:rPr>
        <w:t>Анализът на времето до събитието е извършен чрез пропорционален рисков модел на Сох с (обединен) център и лечение като ковариат, съотношението касае коефициента на риска. Време [дни] за първия квартал от пациенти не може да бъде изчислено, тъй като делът на пациенти с тежки обостряния е много малък.</w:t>
      </w:r>
    </w:p>
    <w:p w14:paraId="1D5A4086" w14:textId="5A5D908C" w:rsidR="001C123B" w:rsidRPr="001C123B" w:rsidRDefault="001C123B" w:rsidP="001C123B">
      <w:pPr>
        <w:spacing w:line="240" w:lineRule="auto"/>
        <w:rPr>
          <w:rFonts w:eastAsia="Times New Roman" w:cs="Arial"/>
          <w:bCs/>
          <w:color w:val="000000"/>
          <w:szCs w:val="20"/>
          <w:lang w:eastAsia="bg-BG"/>
        </w:rPr>
      </w:pPr>
      <w:r w:rsidRPr="001C123B">
        <w:rPr>
          <w:rFonts w:eastAsia="Times New Roman" w:cs="Arial"/>
          <w:bCs/>
          <w:color w:val="000000"/>
          <w:szCs w:val="20"/>
          <w:vertAlign w:val="superscript"/>
          <w:lang w:eastAsia="bg-BG"/>
        </w:rPr>
        <w:t>3</w:t>
      </w:r>
      <w:r w:rsidRPr="001C123B">
        <w:rPr>
          <w:rFonts w:eastAsia="Times New Roman" w:cs="Arial"/>
          <w:bCs/>
          <w:color w:val="000000"/>
          <w:szCs w:val="20"/>
          <w:lang w:eastAsia="bg-BG"/>
        </w:rPr>
        <w:t xml:space="preserve">Броят на пациентите със събитие е анализиран чрез </w:t>
      </w:r>
      <w:r w:rsidRPr="001C123B">
        <w:rPr>
          <w:rFonts w:eastAsia="Times New Roman" w:cs="Arial"/>
          <w:bCs/>
          <w:color w:val="000000"/>
          <w:szCs w:val="20"/>
          <w:lang w:val="en-US"/>
        </w:rPr>
        <w:t>Cochran-Mantel-</w:t>
      </w:r>
      <w:proofErr w:type="spellStart"/>
      <w:r w:rsidRPr="001C123B">
        <w:rPr>
          <w:rFonts w:eastAsia="Times New Roman" w:cs="Arial"/>
          <w:bCs/>
          <w:color w:val="000000"/>
          <w:szCs w:val="20"/>
          <w:lang w:val="en-US"/>
        </w:rPr>
        <w:t>Haenszel</w:t>
      </w:r>
      <w:proofErr w:type="spellEnd"/>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тест, стратифициран по обединен център; съотношението се отнася до коефициента на риска.</w:t>
      </w:r>
    </w:p>
    <w:p w14:paraId="2A6A03D0" w14:textId="527F436B" w:rsidR="001C123B" w:rsidRPr="001C123B" w:rsidRDefault="001C123B" w:rsidP="001C123B">
      <w:pPr>
        <w:spacing w:line="240" w:lineRule="auto"/>
        <w:rPr>
          <w:rFonts w:eastAsia="Times New Roman" w:cs="Arial"/>
          <w:bCs/>
          <w:color w:val="000000"/>
          <w:szCs w:val="20"/>
          <w:lang w:eastAsia="bg-BG"/>
        </w:rPr>
      </w:pPr>
      <w:r w:rsidRPr="001C123B">
        <w:rPr>
          <w:rFonts w:eastAsia="Times New Roman" w:cs="Arial"/>
          <w:bCs/>
          <w:color w:val="000000"/>
          <w:szCs w:val="20"/>
          <w:vertAlign w:val="superscript"/>
          <w:lang w:eastAsia="bg-BG"/>
        </w:rPr>
        <w:t>4</w:t>
      </w:r>
      <w:r w:rsidRPr="001C123B">
        <w:rPr>
          <w:rFonts w:eastAsia="Times New Roman" w:cs="Arial"/>
          <w:bCs/>
          <w:color w:val="000000"/>
          <w:szCs w:val="20"/>
          <w:lang w:eastAsia="bg-BG"/>
        </w:rPr>
        <w:t>Тиотропиум 18 микрограма прах за инхалация доставя 10 микрограма тиотропиум.</w:t>
      </w:r>
    </w:p>
    <w:p w14:paraId="70838CBA" w14:textId="77777777" w:rsidR="001C123B" w:rsidRPr="001C123B" w:rsidRDefault="001C123B" w:rsidP="001C123B">
      <w:pPr>
        <w:spacing w:line="240" w:lineRule="auto"/>
        <w:rPr>
          <w:rFonts w:eastAsia="Times New Roman" w:cs="Arial"/>
          <w:bCs/>
          <w:color w:val="000000"/>
          <w:szCs w:val="20"/>
          <w:lang w:eastAsia="bg-BG"/>
        </w:rPr>
      </w:pPr>
    </w:p>
    <w:p w14:paraId="4020FFB4" w14:textId="75FC70E2"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 xml:space="preserve">В сравнение със салметерол, тиотропиев бромид увеличава времето до първото обостряне (187 дни спрямо 145 дни), със 17% понижение на риска (коефициент на риска, 0,83; 95% доверителен интервал [ДИ], 0,77 до 0,90; Р&lt;0,001). Тиотропиев бромид също удължава времето до първото тежко (с хоспитализация) обостряне (коефициент на риска, 0,72; 95% </w:t>
      </w:r>
      <w:r w:rsidRPr="001C123B">
        <w:rPr>
          <w:rFonts w:eastAsia="Times New Roman" w:cs="Arial"/>
          <w:bCs/>
          <w:color w:val="000000"/>
          <w:szCs w:val="20"/>
          <w:lang w:val="en-US"/>
        </w:rPr>
        <w:t xml:space="preserve">CI, </w:t>
      </w:r>
      <w:r w:rsidRPr="001C123B">
        <w:rPr>
          <w:rFonts w:eastAsia="Times New Roman" w:cs="Arial"/>
          <w:bCs/>
          <w:color w:val="000000"/>
          <w:szCs w:val="20"/>
          <w:lang w:eastAsia="bg-BG"/>
        </w:rPr>
        <w:t>0,61 до 0,85; Р&lt;0,001).</w:t>
      </w:r>
    </w:p>
    <w:p w14:paraId="739FEE3A" w14:textId="77777777" w:rsidR="001C123B" w:rsidRPr="001C123B" w:rsidRDefault="001C123B" w:rsidP="001C123B">
      <w:pPr>
        <w:spacing w:line="240" w:lineRule="auto"/>
        <w:rPr>
          <w:rFonts w:eastAsia="Times New Roman" w:cs="Arial"/>
          <w:bCs/>
          <w:i/>
          <w:iCs/>
          <w:color w:val="000000"/>
          <w:szCs w:val="20"/>
          <w:lang w:eastAsia="bg-BG"/>
        </w:rPr>
      </w:pPr>
    </w:p>
    <w:p w14:paraId="4CFE7E9F" w14:textId="01BABAE1"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i/>
          <w:iCs/>
          <w:color w:val="000000"/>
          <w:szCs w:val="20"/>
          <w:lang w:eastAsia="bg-BG"/>
        </w:rPr>
        <w:t>Дългосрочни клинични проучвания (над 1 година, до 4 години)</w:t>
      </w:r>
    </w:p>
    <w:p w14:paraId="5A4C789F"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В 4-годишно, рандомизирано, двойно-сляпо, плацебо-контролирано клинично изпитване на 5 993 рандомизирани пациенти (3 006 пациенти, приемащи плацебо и 2 987 пациенти, приемащи тиотропиев бромид), подобрението на Ф</w:t>
      </w:r>
      <w:r w:rsidRPr="001C123B">
        <w:rPr>
          <w:rFonts w:eastAsia="Times New Roman" w:cs="Arial"/>
          <w:bCs/>
          <w:color w:val="000000"/>
          <w:szCs w:val="20"/>
          <w:lang w:val="en-US"/>
        </w:rPr>
        <w:t>E</w:t>
      </w:r>
      <w:r w:rsidRPr="001C123B">
        <w:rPr>
          <w:rFonts w:eastAsia="Times New Roman" w:cs="Arial"/>
          <w:bCs/>
          <w:color w:val="000000"/>
          <w:szCs w:val="20"/>
          <w:lang w:eastAsia="bg-BG"/>
        </w:rPr>
        <w:t>О</w:t>
      </w:r>
      <w:r w:rsidRPr="001C123B">
        <w:rPr>
          <w:rFonts w:eastAsia="Times New Roman" w:cs="Arial"/>
          <w:bCs/>
          <w:color w:val="000000"/>
          <w:szCs w:val="20"/>
          <w:vertAlign w:val="subscript"/>
          <w:lang w:eastAsia="bg-BG"/>
        </w:rPr>
        <w:t>1</w:t>
      </w:r>
      <w:r w:rsidRPr="001C123B">
        <w:rPr>
          <w:rFonts w:eastAsia="Times New Roman" w:cs="Arial"/>
          <w:bCs/>
          <w:color w:val="000000"/>
          <w:szCs w:val="20"/>
          <w:lang w:eastAsia="bg-BG"/>
        </w:rPr>
        <w:t xml:space="preserve"> в резултат на прилагане на тиотропиев бромид в сравнение с плацебо остава постоянно през 4-те години. По-голям процент пациенти от групата, приемала тиотропиев бромид, са завършили лечение &gt; 45 месеца в сравнение с групата, приемала плацебо (63,8% спрямо 55,4%, р&lt;0,001). </w:t>
      </w:r>
      <w:r w:rsidRPr="001C123B">
        <w:rPr>
          <w:rFonts w:eastAsia="Times New Roman" w:cs="Arial"/>
          <w:bCs/>
          <w:color w:val="000000"/>
          <w:szCs w:val="20"/>
          <w:lang w:eastAsia="bg-BG"/>
        </w:rPr>
        <w:lastRenderedPageBreak/>
        <w:t>Годишният процент на понижаване на ФЕО</w:t>
      </w:r>
      <w:r w:rsidRPr="001C123B">
        <w:rPr>
          <w:rFonts w:eastAsia="Times New Roman" w:cs="Arial"/>
          <w:bCs/>
          <w:color w:val="000000"/>
          <w:szCs w:val="20"/>
          <w:vertAlign w:val="subscript"/>
          <w:lang w:eastAsia="bg-BG"/>
        </w:rPr>
        <w:t>1</w:t>
      </w:r>
      <w:r w:rsidRPr="001C123B">
        <w:rPr>
          <w:rFonts w:eastAsia="Times New Roman" w:cs="Arial"/>
          <w:bCs/>
          <w:color w:val="000000"/>
          <w:szCs w:val="20"/>
          <w:lang w:eastAsia="bg-BG"/>
        </w:rPr>
        <w:t xml:space="preserve"> в сравнение с плацебо е сходен с този при тиотропиев бромид и плацебо. По време на лечението е наблюдавано 16% намаление на риска от смърт. Смъртността е 4,79 на 100 пациентогодини в групата, приемала плацебо, спрямо 4,10 на 100 пациентогодини в групата, приемала тиотропиум (коефициент на риска (тиотропиум/плацебо) = 0,84,95% ДИ = 0,73,0,97). Лечението с тиотропиум намалява риска от дихателна недостатъчност (както е отбелязано според съобщенията за нежелани реакции) с 19% (2,09 спрямо 1,68 случая на 100 пациентогодини, относителен риск (тиотропиум/плацебо) = 0,81,95% ДИ = 0,65, 0,999).</w:t>
      </w:r>
    </w:p>
    <w:p w14:paraId="146A5501" w14:textId="77777777" w:rsidR="001C123B" w:rsidRPr="001C123B" w:rsidRDefault="001C123B" w:rsidP="001C123B">
      <w:pPr>
        <w:spacing w:line="240" w:lineRule="auto"/>
        <w:rPr>
          <w:rFonts w:eastAsia="Times New Roman" w:cs="Arial"/>
          <w:bCs/>
          <w:i/>
          <w:iCs/>
          <w:color w:val="000000"/>
          <w:szCs w:val="20"/>
          <w:lang w:eastAsia="bg-BG"/>
        </w:rPr>
      </w:pPr>
    </w:p>
    <w:p w14:paraId="42BC43F4" w14:textId="59831285"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i/>
          <w:iCs/>
          <w:color w:val="000000"/>
          <w:szCs w:val="20"/>
          <w:lang w:eastAsia="bg-BG"/>
        </w:rPr>
        <w:t>Активно контролирано клинично проучване на тиотропиум</w:t>
      </w:r>
    </w:p>
    <w:p w14:paraId="4B87B976"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Проведено е дългосрочно, обширно, рандомизирано, двойно-сляпо, активно контролирано проучване с период на проследяване до 3 години, за сравнение на ефикасността и безопасността на тиотропиев бромид прах за инхалация и тиотропиев бромид инхалатор с леко замъгляване (5 694 пациенти са приемали тиотропиев бромид прах за инхалация, 5 711 пациенти са приемали тиотропиев бромид инхалатор с леко замъгляване). Първичните крайни цели са били времето до първото обостряне на ХОББ, времето до смърт поради всички причини и в под-проучване (906 пациенти) най-нисък ФЕО</w:t>
      </w:r>
      <w:r w:rsidRPr="001C123B">
        <w:rPr>
          <w:rFonts w:eastAsia="Times New Roman" w:cs="Arial"/>
          <w:bCs/>
          <w:color w:val="000000"/>
          <w:szCs w:val="20"/>
          <w:vertAlign w:val="subscript"/>
          <w:lang w:eastAsia="bg-BG"/>
        </w:rPr>
        <w:t>1</w:t>
      </w:r>
      <w:r w:rsidRPr="001C123B">
        <w:rPr>
          <w:rFonts w:eastAsia="Times New Roman" w:cs="Arial"/>
          <w:bCs/>
          <w:color w:val="000000"/>
          <w:szCs w:val="20"/>
          <w:vertAlign w:val="subscript"/>
          <w:lang w:val="en-US"/>
        </w:rPr>
        <w:t xml:space="preserve"> </w:t>
      </w:r>
      <w:r w:rsidRPr="001C123B">
        <w:rPr>
          <w:rFonts w:eastAsia="Times New Roman" w:cs="Arial"/>
          <w:bCs/>
          <w:color w:val="000000"/>
          <w:szCs w:val="20"/>
          <w:lang w:eastAsia="bg-BG"/>
        </w:rPr>
        <w:t>(преди прилагане на доза).</w:t>
      </w:r>
    </w:p>
    <w:p w14:paraId="30E2CB32"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Времето до първото обостряне на ХОББ е числено подобно при проучването с тиотропиев бромид прах за инхалация и тиотропиев бромид инхалатор с леко замъгляване (коефициент на риск (тиотропиев бромид прах за инхалация/тиотропиев бромид инхалатор с леко замъгляване ) 1,02 с 95% ДИ от 0,97 до 1,08). Средният брой дни до първото обостряне на ХОББ е 719 дни за тиотропиев бромид прах за инхалация и 756 дни за тиотропиев бромид инхалатор с леко замъгляване.</w:t>
      </w:r>
    </w:p>
    <w:p w14:paraId="079A0327"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Бронходилаторният ефект на тиотропиев бромид прах за инхалация продължава над 120 седмици и е сходен с този на тиотропиев бромид инхалатор с леко замъгляване. Средната разлика при сравнение на ФЕО</w:t>
      </w:r>
      <w:r w:rsidRPr="001C123B">
        <w:rPr>
          <w:rFonts w:eastAsia="Times New Roman" w:cs="Arial"/>
          <w:bCs/>
          <w:color w:val="000000"/>
          <w:szCs w:val="20"/>
          <w:vertAlign w:val="subscript"/>
          <w:lang w:eastAsia="bg-BG"/>
        </w:rPr>
        <w:t>1</w:t>
      </w:r>
      <w:r w:rsidRPr="001C123B">
        <w:rPr>
          <w:rFonts w:eastAsia="Times New Roman" w:cs="Arial"/>
          <w:bCs/>
          <w:color w:val="000000"/>
          <w:szCs w:val="20"/>
          <w:lang w:eastAsia="bg-BG"/>
        </w:rPr>
        <w:t xml:space="preserve"> на тиотропиевия бромид прах за инхалация спрямо тиотропи</w:t>
      </w:r>
      <w:r w:rsidRPr="001C123B">
        <w:rPr>
          <w:rFonts w:eastAsia="Times New Roman" w:cs="Arial"/>
          <w:bCs/>
          <w:color w:val="000000"/>
          <w:szCs w:val="20"/>
          <w:u w:val="single"/>
          <w:lang w:eastAsia="bg-BG"/>
        </w:rPr>
        <w:t xml:space="preserve">ев </w:t>
      </w:r>
      <w:r w:rsidRPr="001C123B">
        <w:rPr>
          <w:rFonts w:eastAsia="Times New Roman" w:cs="Arial"/>
          <w:bCs/>
          <w:color w:val="000000"/>
          <w:szCs w:val="20"/>
          <w:lang w:eastAsia="bg-BG"/>
        </w:rPr>
        <w:t>бромид инхалатор с леко замъгляване е била -0,0101 (95% ДИ -0,018 до 0,0381).</w:t>
      </w:r>
    </w:p>
    <w:p w14:paraId="4877AE0B" w14:textId="77777777" w:rsidR="001C123B" w:rsidRPr="001C123B" w:rsidRDefault="001C123B" w:rsidP="001C123B">
      <w:pPr>
        <w:rPr>
          <w:rFonts w:eastAsia="Times New Roman" w:cs="Arial"/>
          <w:sz w:val="28"/>
          <w:szCs w:val="24"/>
          <w:lang w:eastAsia="bg-BG"/>
        </w:rPr>
      </w:pPr>
      <w:r w:rsidRPr="001C123B">
        <w:rPr>
          <w:rFonts w:eastAsia="Times New Roman" w:cs="Arial"/>
          <w:bCs/>
          <w:color w:val="000000"/>
          <w:szCs w:val="20"/>
          <w:lang w:eastAsia="bg-BG"/>
        </w:rPr>
        <w:t xml:space="preserve">В проучването в периода след пускане на пазара, сравняващо тиотропиевия бромид </w:t>
      </w:r>
      <w:r>
        <w:rPr>
          <w:rFonts w:eastAsia="Times New Roman" w:cs="Arial"/>
          <w:bCs/>
          <w:color w:val="000000"/>
          <w:szCs w:val="20"/>
        </w:rPr>
        <w:t xml:space="preserve">прах </w:t>
      </w:r>
      <w:r w:rsidRPr="001C123B">
        <w:rPr>
          <w:rFonts w:eastAsia="Times New Roman" w:cs="Arial"/>
          <w:bCs/>
          <w:color w:val="000000"/>
          <w:szCs w:val="20"/>
          <w:lang w:eastAsia="bg-BG"/>
        </w:rPr>
        <w:t>за</w:t>
      </w:r>
      <w:r>
        <w:rPr>
          <w:rFonts w:eastAsia="Times New Roman" w:cs="Arial"/>
          <w:sz w:val="28"/>
          <w:szCs w:val="24"/>
          <w:lang w:val="en-US" w:eastAsia="bg-BG"/>
        </w:rPr>
        <w:t xml:space="preserve"> </w:t>
      </w:r>
      <w:r w:rsidRPr="001C123B">
        <w:rPr>
          <w:rFonts w:eastAsia="Times New Roman" w:cs="Arial"/>
          <w:bCs/>
          <w:color w:val="000000"/>
          <w:szCs w:val="20"/>
          <w:lang w:eastAsia="bg-BG"/>
        </w:rPr>
        <w:t>инхалация спрямо тиотропиев бромид инхалатор с леко замъгляване, смъртността поради всяка причина, включително проследяване на жизнения статус, е била сходна при тиотропиемия бромид прах за инхалация и тиотропиев бромид инхалатор с леко замъгляване (коефициента на</w:t>
      </w:r>
      <w:r>
        <w:rPr>
          <w:rFonts w:eastAsia="Times New Roman" w:cs="Arial"/>
          <w:bCs/>
          <w:color w:val="000000"/>
          <w:szCs w:val="20"/>
          <w:lang w:eastAsia="bg-BG"/>
        </w:rPr>
        <w:t xml:space="preserve"> </w:t>
      </w:r>
      <w:r w:rsidRPr="001C123B">
        <w:rPr>
          <w:rFonts w:eastAsia="Times New Roman" w:cs="Arial"/>
          <w:bCs/>
          <w:color w:val="000000"/>
          <w:szCs w:val="20"/>
          <w:lang w:eastAsia="bg-BG"/>
        </w:rPr>
        <w:t>риск тиотропиев бромид прах за инхалация/тиотропиев бромид инхалатор с леко замъгляване) 1,04 с 95% ДИ от 0,91 до 1,19).</w:t>
      </w:r>
    </w:p>
    <w:p w14:paraId="2D3B289E" w14:textId="77777777" w:rsidR="001C123B" w:rsidRPr="001C123B" w:rsidRDefault="001C123B" w:rsidP="001C123B">
      <w:pPr>
        <w:spacing w:line="240" w:lineRule="auto"/>
        <w:rPr>
          <w:rFonts w:eastAsia="Times New Roman" w:cs="Arial"/>
          <w:bCs/>
          <w:color w:val="000000"/>
          <w:szCs w:val="20"/>
          <w:u w:val="single"/>
          <w:lang w:eastAsia="bg-BG"/>
        </w:rPr>
      </w:pPr>
    </w:p>
    <w:p w14:paraId="325CC19A" w14:textId="4CB740BB"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u w:val="single"/>
          <w:lang w:eastAsia="bg-BG"/>
        </w:rPr>
        <w:t>Педиатрична популация</w:t>
      </w:r>
    </w:p>
    <w:p w14:paraId="5637C296" w14:textId="2B7BF01D" w:rsidR="001C123B" w:rsidRPr="001C123B" w:rsidRDefault="001C123B" w:rsidP="001C123B">
      <w:pPr>
        <w:spacing w:line="240" w:lineRule="auto"/>
        <w:rPr>
          <w:rFonts w:eastAsia="Times New Roman" w:cs="Arial"/>
          <w:sz w:val="32"/>
          <w:szCs w:val="24"/>
          <w:lang w:eastAsia="bg-BG"/>
        </w:rPr>
      </w:pPr>
      <w:r w:rsidRPr="001C123B">
        <w:rPr>
          <w:rFonts w:eastAsia="Times New Roman" w:cs="Arial"/>
          <w:bCs/>
          <w:color w:val="000000"/>
          <w:szCs w:val="20"/>
          <w:lang w:eastAsia="bg-BG"/>
        </w:rPr>
        <w:t>Европейската агенция по лекарствата е отменила задължението за предоставяне на резултати от проучвания с тиотропиев бромид при всички подгрупи от педиатричната популация с ХОББ (вж. точка 4.2 за информация относно употреба при педиатрична популация).</w:t>
      </w:r>
    </w:p>
    <w:p w14:paraId="22A661B5" w14:textId="77777777" w:rsidR="00920B4C" w:rsidRPr="00920B4C" w:rsidRDefault="00920B4C" w:rsidP="00920B4C"/>
    <w:p w14:paraId="35F84B81" w14:textId="66868264" w:rsidR="00CF77F7" w:rsidRDefault="002C50EE" w:rsidP="004A448E">
      <w:pPr>
        <w:pStyle w:val="Heading2"/>
      </w:pPr>
      <w:r>
        <w:t>5.2. Фармакокинетични свойства</w:t>
      </w:r>
    </w:p>
    <w:p w14:paraId="51452EE3" w14:textId="66249E44" w:rsidR="001C123B" w:rsidRDefault="001C123B" w:rsidP="001C123B"/>
    <w:p w14:paraId="633AC3EC"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 xml:space="preserve">Тиотропиев бромид представлява ахирално четвъртично амониево съединение, с умерена разтворимост във вода. Приложението на тиотропиев бромид е респираторно (прах за инхалация). Обикновено, посредством респираторния (инхалаторния) начин на приложение, по-голяма част от приложената доза се депозира в стомашно-чревния тракт и в по-малка степен в очаквания орган на белия дроб. Повечето от описаните по-долу </w:t>
      </w:r>
      <w:r w:rsidRPr="001C123B">
        <w:rPr>
          <w:rFonts w:eastAsia="Times New Roman" w:cs="Arial"/>
          <w:bCs/>
          <w:color w:val="000000"/>
          <w:szCs w:val="20"/>
          <w:lang w:eastAsia="bg-BG"/>
        </w:rPr>
        <w:lastRenderedPageBreak/>
        <w:t>фармакокинетични данни, са получени, използвайки дози, по-високи от препоръчителните за терапия.</w:t>
      </w:r>
    </w:p>
    <w:p w14:paraId="3B67D088" w14:textId="77777777" w:rsidR="001C123B" w:rsidRPr="001C123B" w:rsidRDefault="001C123B" w:rsidP="001C123B">
      <w:pPr>
        <w:spacing w:line="240" w:lineRule="auto"/>
        <w:rPr>
          <w:rFonts w:eastAsia="Times New Roman" w:cs="Arial"/>
          <w:bCs/>
          <w:color w:val="000000"/>
          <w:szCs w:val="20"/>
          <w:u w:val="single"/>
          <w:lang w:eastAsia="bg-BG"/>
        </w:rPr>
      </w:pPr>
    </w:p>
    <w:p w14:paraId="607B1CF5" w14:textId="2493210E" w:rsidR="001C123B" w:rsidRPr="00497712" w:rsidRDefault="001C123B" w:rsidP="00497712">
      <w:pPr>
        <w:pStyle w:val="Heading3"/>
        <w:rPr>
          <w:rFonts w:eastAsia="Times New Roman"/>
          <w:sz w:val="28"/>
          <w:u w:val="single"/>
          <w:lang w:eastAsia="bg-BG"/>
        </w:rPr>
      </w:pPr>
      <w:r w:rsidRPr="00497712">
        <w:rPr>
          <w:rFonts w:eastAsia="Times New Roman"/>
          <w:u w:val="single"/>
          <w:lang w:eastAsia="bg-BG"/>
        </w:rPr>
        <w:t>Абсорбиия</w:t>
      </w:r>
    </w:p>
    <w:p w14:paraId="6E12D63E"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След инхалаторно приложение на тиотропиев бромид прах при млади, здрави доброволци, абсолютната бионаличност е 19,5%, което предполага, че фракцията, достигаща белите дробове, е с висока бионаличност. Пероралните разтвори на тиотропиум имат абсолютна бионаличност 2-3%. Максималните плазмени концентрации на тиотропиум са наблюдавани 5-7 минути след инхалаторно приложение.</w:t>
      </w:r>
    </w:p>
    <w:p w14:paraId="63B1F04C"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 xml:space="preserve">При пациенти с ХОББ, при равновесно състояние, пиковите плазмените нива на тиотропиум са 12,9 </w:t>
      </w:r>
      <w:proofErr w:type="spellStart"/>
      <w:r w:rsidRPr="001C123B">
        <w:rPr>
          <w:rFonts w:eastAsia="Times New Roman" w:cs="Arial"/>
          <w:bCs/>
          <w:color w:val="000000"/>
          <w:szCs w:val="20"/>
          <w:lang w:val="en-US"/>
        </w:rPr>
        <w:t>pg</w:t>
      </w:r>
      <w:proofErr w:type="spellEnd"/>
      <w:r w:rsidRPr="001C123B">
        <w:rPr>
          <w:rFonts w:eastAsia="Times New Roman" w:cs="Arial"/>
          <w:bCs/>
          <w:color w:val="000000"/>
          <w:szCs w:val="20"/>
          <w:lang w:val="en-US"/>
        </w:rPr>
        <w:t xml:space="preserve">/ml, </w:t>
      </w:r>
      <w:r w:rsidRPr="001C123B">
        <w:rPr>
          <w:rFonts w:eastAsia="Times New Roman" w:cs="Arial"/>
          <w:bCs/>
          <w:color w:val="000000"/>
          <w:szCs w:val="20"/>
          <w:lang w:eastAsia="bg-BG"/>
        </w:rPr>
        <w:t xml:space="preserve">и впоследствие намаляват бързо, следвайки многокомпартиментен модел. При равновесно състояние, осреднените плазмени концентрации са 1,71 </w:t>
      </w:r>
      <w:proofErr w:type="spellStart"/>
      <w:r w:rsidRPr="001C123B">
        <w:rPr>
          <w:rFonts w:eastAsia="Times New Roman" w:cs="Arial"/>
          <w:bCs/>
          <w:color w:val="000000"/>
          <w:szCs w:val="20"/>
          <w:lang w:val="en-US"/>
        </w:rPr>
        <w:t>pg</w:t>
      </w:r>
      <w:proofErr w:type="spellEnd"/>
      <w:r w:rsidRPr="001C123B">
        <w:rPr>
          <w:rFonts w:eastAsia="Times New Roman" w:cs="Arial"/>
          <w:bCs/>
          <w:color w:val="000000"/>
          <w:szCs w:val="20"/>
          <w:lang w:val="en-US"/>
        </w:rPr>
        <w:t xml:space="preserve">/ml- </w:t>
      </w:r>
      <w:r w:rsidRPr="001C123B">
        <w:rPr>
          <w:rFonts w:eastAsia="Times New Roman" w:cs="Arial"/>
          <w:bCs/>
          <w:color w:val="000000"/>
          <w:szCs w:val="20"/>
          <w:lang w:eastAsia="bg-BG"/>
        </w:rPr>
        <w:t>Системната експозиция след инхалация на тиотропиев бромид прах за инхалация е сходна с тази на тиотропиев бромид инхалатор с леко замъгляване.</w:t>
      </w:r>
    </w:p>
    <w:p w14:paraId="6089E13F" w14:textId="77777777" w:rsidR="001C123B" w:rsidRPr="001C123B" w:rsidRDefault="001C123B" w:rsidP="001C123B">
      <w:pPr>
        <w:spacing w:line="240" w:lineRule="auto"/>
        <w:rPr>
          <w:rFonts w:eastAsia="Times New Roman" w:cs="Arial"/>
          <w:bCs/>
          <w:color w:val="000000"/>
          <w:szCs w:val="20"/>
          <w:u w:val="single"/>
          <w:lang w:eastAsia="bg-BG"/>
        </w:rPr>
      </w:pPr>
    </w:p>
    <w:p w14:paraId="3C5C837A" w14:textId="10B08FD0" w:rsidR="001C123B" w:rsidRPr="00497712" w:rsidRDefault="001C123B" w:rsidP="00497712">
      <w:pPr>
        <w:pStyle w:val="Heading3"/>
        <w:rPr>
          <w:rFonts w:eastAsia="Times New Roman"/>
          <w:sz w:val="28"/>
          <w:u w:val="single"/>
          <w:lang w:eastAsia="bg-BG"/>
        </w:rPr>
      </w:pPr>
      <w:r w:rsidRPr="00497712">
        <w:rPr>
          <w:rFonts w:eastAsia="Times New Roman"/>
          <w:u w:val="single"/>
          <w:lang w:eastAsia="bg-BG"/>
        </w:rPr>
        <w:t>Разпределение</w:t>
      </w:r>
    </w:p>
    <w:p w14:paraId="442CC06D"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 xml:space="preserve">Тиотропиум се свързва 72% с плазмените протеини и показва обем на 32 </w:t>
      </w:r>
      <w:r w:rsidRPr="001C123B">
        <w:rPr>
          <w:rFonts w:eastAsia="Times New Roman" w:cs="Arial"/>
          <w:bCs/>
          <w:color w:val="000000"/>
          <w:szCs w:val="20"/>
          <w:lang w:val="en-US"/>
        </w:rPr>
        <w:t xml:space="preserve">l/kg. </w:t>
      </w:r>
      <w:r w:rsidRPr="001C123B">
        <w:rPr>
          <w:rFonts w:eastAsia="Times New Roman" w:cs="Arial"/>
          <w:bCs/>
          <w:color w:val="000000"/>
          <w:szCs w:val="20"/>
          <w:lang w:eastAsia="bg-BG"/>
        </w:rPr>
        <w:t>Не са известни локалните белодробни концентрации, но имайки предвид начина на приложение, могат да се очакват значителни концентрации в белия дроб. Проучванията при плъхове показват, че тиотропиев бромид не преминава кръвно-мозъчната бариера в някаква съществена степен.</w:t>
      </w:r>
    </w:p>
    <w:p w14:paraId="1BD9E19A" w14:textId="77777777" w:rsidR="001C123B" w:rsidRPr="001C123B" w:rsidRDefault="001C123B" w:rsidP="001C123B">
      <w:pPr>
        <w:spacing w:line="240" w:lineRule="auto"/>
        <w:rPr>
          <w:rFonts w:eastAsia="Times New Roman" w:cs="Arial"/>
          <w:bCs/>
          <w:color w:val="000000"/>
          <w:szCs w:val="20"/>
          <w:u w:val="single"/>
          <w:lang w:eastAsia="bg-BG"/>
        </w:rPr>
      </w:pPr>
    </w:p>
    <w:p w14:paraId="03DEFF07" w14:textId="552F8A4F" w:rsidR="001C123B" w:rsidRPr="00497712" w:rsidRDefault="001C123B" w:rsidP="00497712">
      <w:pPr>
        <w:pStyle w:val="Heading3"/>
        <w:rPr>
          <w:rFonts w:eastAsia="Times New Roman"/>
          <w:sz w:val="28"/>
          <w:u w:val="single"/>
          <w:lang w:eastAsia="bg-BG"/>
        </w:rPr>
      </w:pPr>
      <w:r w:rsidRPr="00497712">
        <w:rPr>
          <w:rFonts w:eastAsia="Times New Roman"/>
          <w:u w:val="single"/>
          <w:lang w:eastAsia="bg-BG"/>
        </w:rPr>
        <w:t>Биотрансформация</w:t>
      </w:r>
    </w:p>
    <w:p w14:paraId="1CEA5276"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 xml:space="preserve">Степента на биотрансформация е ниска. Доказателство за това е уринната екскреция на 74% непроменено вещество, след интравенозно дозиране при млади здрави доброволци. Тиотропиев бромид, представлява естер, не-ензимно разграден до алкохол </w:t>
      </w:r>
      <w:r w:rsidRPr="001C123B">
        <w:rPr>
          <w:rFonts w:eastAsia="Times New Roman" w:cs="Arial"/>
          <w:bCs/>
          <w:color w:val="000000"/>
          <w:szCs w:val="20"/>
          <w:lang w:val="en-US"/>
        </w:rPr>
        <w:t>(N</w:t>
      </w:r>
      <w:r w:rsidRPr="001C123B">
        <w:rPr>
          <w:rFonts w:eastAsia="Times New Roman" w:cs="Arial"/>
          <w:bCs/>
          <w:color w:val="000000"/>
          <w:szCs w:val="20"/>
          <w:lang w:eastAsia="bg-BG"/>
        </w:rPr>
        <w:t xml:space="preserve">-метилскопин) и киселинно съединение (дитиенилгликолова киселина), които не се свързват с мускариновите рецептори. </w:t>
      </w:r>
      <w:r w:rsidRPr="001C123B">
        <w:rPr>
          <w:rFonts w:eastAsia="Times New Roman" w:cs="Arial"/>
          <w:bCs/>
          <w:i/>
          <w:iCs/>
          <w:color w:val="000000"/>
          <w:szCs w:val="20"/>
          <w:lang w:val="en-US"/>
        </w:rPr>
        <w:t>In-vitro</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експерименти с човешки чернодробни микрозоми и хепатоцити предполагат, че малка част от лекарственото средство (&lt;20% от дозата след интравенозно приложение) се метаболизира от цитохром Р450 зависимо окисление и последваща глутатион конюгация до множество Фаза II-метаболити.</w:t>
      </w:r>
    </w:p>
    <w:p w14:paraId="5C2596C4" w14:textId="77777777" w:rsidR="001C123B" w:rsidRPr="001C123B" w:rsidRDefault="001C123B" w:rsidP="001C123B">
      <w:pPr>
        <w:spacing w:line="240" w:lineRule="auto"/>
        <w:rPr>
          <w:rFonts w:eastAsia="Times New Roman" w:cs="Arial"/>
          <w:bCs/>
          <w:i/>
          <w:iCs/>
          <w:color w:val="000000"/>
          <w:szCs w:val="20"/>
          <w:lang w:val="en-US"/>
        </w:rPr>
      </w:pPr>
    </w:p>
    <w:p w14:paraId="646A4511" w14:textId="18B7BEF6"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i/>
          <w:iCs/>
          <w:color w:val="000000"/>
          <w:szCs w:val="20"/>
          <w:lang w:val="en-US"/>
        </w:rPr>
        <w:t>In-vitro</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 xml:space="preserve">проучвания с човешки чернодробни микрозоми показват, че този ензимен път може да се инхибира от </w:t>
      </w:r>
      <w:r w:rsidRPr="001C123B">
        <w:rPr>
          <w:rFonts w:eastAsia="Times New Roman" w:cs="Arial"/>
          <w:bCs/>
          <w:color w:val="000000"/>
          <w:szCs w:val="20"/>
          <w:lang w:val="en-US"/>
        </w:rPr>
        <w:t xml:space="preserve">CYP450 2D6 </w:t>
      </w:r>
      <w:r w:rsidRPr="001C123B">
        <w:rPr>
          <w:rFonts w:eastAsia="Times New Roman" w:cs="Arial"/>
          <w:bCs/>
          <w:color w:val="000000"/>
          <w:szCs w:val="20"/>
          <w:lang w:eastAsia="bg-BG"/>
        </w:rPr>
        <w:t xml:space="preserve">(и ЗА4) инхибитори, хинидин, кетоконазол и гестоден. Така </w:t>
      </w:r>
      <w:r w:rsidRPr="001C123B">
        <w:rPr>
          <w:rFonts w:eastAsia="Times New Roman" w:cs="Arial"/>
          <w:bCs/>
          <w:color w:val="000000"/>
          <w:szCs w:val="20"/>
          <w:lang w:val="en-US"/>
        </w:rPr>
        <w:t xml:space="preserve">CYP450 2D6 </w:t>
      </w:r>
      <w:r w:rsidRPr="001C123B">
        <w:rPr>
          <w:rFonts w:eastAsia="Times New Roman" w:cs="Arial"/>
          <w:bCs/>
          <w:color w:val="000000"/>
          <w:szCs w:val="20"/>
          <w:lang w:eastAsia="bg-BG"/>
        </w:rPr>
        <w:t>и ЗА4 са включени в метаболитния път, отговорен за елиминирането на малка част от дозата. Тиотропиев бромид, дори и в концентрации над терапевтичните, не инхибира цитохром Р450 1А1,</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1А2,</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2В6,</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2С9,</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2С19,</w:t>
      </w:r>
      <w:r w:rsidRPr="001C123B">
        <w:rPr>
          <w:rFonts w:eastAsia="Times New Roman" w:cs="Arial"/>
          <w:bCs/>
          <w:color w:val="000000"/>
          <w:szCs w:val="20"/>
          <w:lang w:val="en-US"/>
        </w:rPr>
        <w:t xml:space="preserve"> 2D6, </w:t>
      </w:r>
      <w:r w:rsidRPr="001C123B">
        <w:rPr>
          <w:rFonts w:eastAsia="Times New Roman" w:cs="Arial"/>
          <w:bCs/>
          <w:color w:val="000000"/>
          <w:szCs w:val="20"/>
          <w:lang w:eastAsia="bg-BG"/>
        </w:rPr>
        <w:t>2Е1 или ЗА в човешки чернодробни микрозоми.</w:t>
      </w:r>
    </w:p>
    <w:p w14:paraId="44970A94" w14:textId="77777777" w:rsidR="001C123B" w:rsidRPr="001C123B" w:rsidRDefault="001C123B" w:rsidP="001C123B">
      <w:pPr>
        <w:spacing w:line="240" w:lineRule="auto"/>
        <w:rPr>
          <w:rFonts w:eastAsia="Times New Roman" w:cs="Arial"/>
          <w:bCs/>
          <w:color w:val="000000"/>
          <w:szCs w:val="20"/>
          <w:u w:val="single"/>
          <w:lang w:eastAsia="bg-BG"/>
        </w:rPr>
      </w:pPr>
    </w:p>
    <w:p w14:paraId="5BE892F6" w14:textId="2915CE46" w:rsidR="001C123B" w:rsidRPr="00497712" w:rsidRDefault="001C123B" w:rsidP="00497712">
      <w:pPr>
        <w:pStyle w:val="Heading3"/>
        <w:rPr>
          <w:rFonts w:eastAsia="Times New Roman"/>
          <w:sz w:val="28"/>
          <w:u w:val="single"/>
          <w:lang w:eastAsia="bg-BG"/>
        </w:rPr>
      </w:pPr>
      <w:r w:rsidRPr="00497712">
        <w:rPr>
          <w:rFonts w:eastAsia="Times New Roman"/>
          <w:u w:val="single"/>
          <w:lang w:eastAsia="bg-BG"/>
        </w:rPr>
        <w:t>Елиминиране</w:t>
      </w:r>
    </w:p>
    <w:p w14:paraId="045AD5E4"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Действителният полуживот на</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тиотропиум е между 27 и 45 часа при пациенти с</w:t>
      </w:r>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ХОББ.</w:t>
      </w:r>
    </w:p>
    <w:p w14:paraId="74D4FC5F" w14:textId="77777777" w:rsidR="001C123B" w:rsidRPr="001C123B" w:rsidRDefault="001C123B" w:rsidP="001C123B">
      <w:r w:rsidRPr="001C123B">
        <w:rPr>
          <w:rFonts w:eastAsia="Times New Roman" w:cs="Arial"/>
          <w:bCs/>
          <w:color w:val="000000"/>
          <w:szCs w:val="20"/>
          <w:lang w:eastAsia="bg-BG"/>
        </w:rPr>
        <w:t xml:space="preserve">Тоталният клирънс е 880 </w:t>
      </w:r>
      <w:r w:rsidRPr="001C123B">
        <w:rPr>
          <w:rFonts w:eastAsia="Times New Roman" w:cs="Arial"/>
          <w:bCs/>
          <w:color w:val="000000"/>
          <w:szCs w:val="20"/>
          <w:lang w:val="en-US"/>
        </w:rPr>
        <w:t xml:space="preserve">ml/min </w:t>
      </w:r>
      <w:r w:rsidRPr="001C123B">
        <w:rPr>
          <w:rFonts w:eastAsia="Times New Roman" w:cs="Arial"/>
          <w:bCs/>
          <w:color w:val="000000"/>
          <w:szCs w:val="20"/>
          <w:lang w:eastAsia="bg-BG"/>
        </w:rPr>
        <w:t>след интравенозно дозиране при млади здрави доброволци. Приложен интравенозно тиотропиум се екскретира главно непроменен с урината респираторно приложение на прах за инхалация при пациенти с ХОББ в стабилно състояние,</w:t>
      </w:r>
      <w:r>
        <w:rPr>
          <w:rFonts w:eastAsia="Times New Roman" w:cs="Arial"/>
          <w:bCs/>
          <w:color w:val="000000"/>
          <w:szCs w:val="20"/>
          <w:lang w:eastAsia="bg-BG"/>
        </w:rPr>
        <w:t xml:space="preserve"> </w:t>
      </w:r>
      <w:r w:rsidRPr="001C123B">
        <w:rPr>
          <w:bCs/>
        </w:rPr>
        <w:t xml:space="preserve">уринната екскреция е 7% (1,3 микрограма) от непромененото лекарство след повече от 24 часа, а остатъкът, който не се абсорбира от червата, се елиминира с фекалиите. Бъбречният клирънс на тиотропиум надвишава креатининовия клирънс, което говори за отделяне в урината. След хронично инхалаторно приложение, </w:t>
      </w:r>
      <w:r w:rsidRPr="001C123B">
        <w:rPr>
          <w:bCs/>
        </w:rPr>
        <w:lastRenderedPageBreak/>
        <w:t>веднъж дневно, от пациенти с ХОББ, фармакокинетично равновесно състояние е достигнато до 7-ия ден, без последващо кумулиране.</w:t>
      </w:r>
    </w:p>
    <w:p w14:paraId="5D078812" w14:textId="77777777" w:rsidR="001C123B" w:rsidRPr="001C123B" w:rsidRDefault="001C123B" w:rsidP="001C123B">
      <w:pPr>
        <w:rPr>
          <w:bCs/>
          <w:u w:val="single"/>
        </w:rPr>
      </w:pPr>
    </w:p>
    <w:p w14:paraId="29E2B6A8" w14:textId="12297F5B" w:rsidR="001C123B" w:rsidRPr="00497712" w:rsidRDefault="001C123B" w:rsidP="00497712">
      <w:pPr>
        <w:pStyle w:val="Heading3"/>
        <w:rPr>
          <w:u w:val="single"/>
        </w:rPr>
      </w:pPr>
      <w:r w:rsidRPr="00497712">
        <w:rPr>
          <w:u w:val="single"/>
        </w:rPr>
        <w:t>Линейност/нелинейност</w:t>
      </w:r>
    </w:p>
    <w:p w14:paraId="79862577" w14:textId="77777777" w:rsidR="001C123B" w:rsidRPr="001C123B" w:rsidRDefault="001C123B" w:rsidP="001C123B">
      <w:r w:rsidRPr="001C123B">
        <w:rPr>
          <w:bCs/>
        </w:rPr>
        <w:t>Тиотропиум демонстрира линейна фармакокинетика в терапевтичната област независимо от лекарствената форма.</w:t>
      </w:r>
    </w:p>
    <w:p w14:paraId="51005D3A" w14:textId="77777777" w:rsidR="001C123B" w:rsidRPr="001C123B" w:rsidRDefault="001C123B" w:rsidP="001C123B">
      <w:pPr>
        <w:rPr>
          <w:bCs/>
          <w:u w:val="single"/>
        </w:rPr>
      </w:pPr>
    </w:p>
    <w:p w14:paraId="2A584FA7" w14:textId="04FBF55B" w:rsidR="001C123B" w:rsidRPr="00497712" w:rsidRDefault="001C123B" w:rsidP="00497712">
      <w:pPr>
        <w:pStyle w:val="Heading3"/>
        <w:rPr>
          <w:u w:val="single"/>
        </w:rPr>
      </w:pPr>
      <w:r w:rsidRPr="00497712">
        <w:rPr>
          <w:u w:val="single"/>
        </w:rPr>
        <w:t>Специални популации пациенти</w:t>
      </w:r>
    </w:p>
    <w:p w14:paraId="18F4723E" w14:textId="77777777" w:rsidR="001C123B" w:rsidRPr="001C123B" w:rsidRDefault="001C123B" w:rsidP="001C123B">
      <w:r w:rsidRPr="001C123B">
        <w:rPr>
          <w:bCs/>
          <w:i/>
          <w:iCs/>
        </w:rPr>
        <w:t>Пациенти в старческа възраст:</w:t>
      </w:r>
      <w:r w:rsidRPr="001C123B">
        <w:rPr>
          <w:bCs/>
        </w:rPr>
        <w:t xml:space="preserve"> Както при всички лекарствени продукти, които се екскретират предимно през бъбреците, напредналата възраст се явява причина за намаляване на бъбречния клирънс на тиотропиум (365 </w:t>
      </w:r>
      <w:r w:rsidRPr="001C123B">
        <w:rPr>
          <w:bCs/>
          <w:lang w:val="en-US"/>
        </w:rPr>
        <w:t xml:space="preserve">ml/min </w:t>
      </w:r>
      <w:r w:rsidRPr="001C123B">
        <w:rPr>
          <w:bCs/>
        </w:rPr>
        <w:t xml:space="preserve">при пациенти с ХОББ на възраст под 65 години до 271 </w:t>
      </w:r>
      <w:r w:rsidRPr="001C123B">
        <w:rPr>
          <w:bCs/>
          <w:lang w:val="en-US"/>
        </w:rPr>
        <w:t xml:space="preserve">ml/min </w:t>
      </w:r>
      <w:r w:rsidRPr="001C123B">
        <w:rPr>
          <w:bCs/>
        </w:rPr>
        <w:t xml:space="preserve">при пациенти с ХОББ, които са на възраст на и над 65 години). Това не води до съответно увеличение на стойностите на </w:t>
      </w:r>
      <w:r w:rsidRPr="001C123B">
        <w:rPr>
          <w:bCs/>
          <w:smallCaps/>
          <w:lang w:val="en-US"/>
        </w:rPr>
        <w:t>AUC</w:t>
      </w:r>
      <w:r w:rsidRPr="001C123B">
        <w:rPr>
          <w:bCs/>
          <w:smallCaps/>
          <w:vertAlign w:val="subscript"/>
          <w:lang w:val="en-US"/>
        </w:rPr>
        <w:t xml:space="preserve">0-6,ss </w:t>
      </w:r>
      <w:r w:rsidRPr="001C123B">
        <w:rPr>
          <w:bCs/>
          <w:smallCaps/>
        </w:rPr>
        <w:t>или</w:t>
      </w:r>
      <w:r w:rsidRPr="001C123B">
        <w:rPr>
          <w:bCs/>
        </w:rPr>
        <w:t xml:space="preserve"> </w:t>
      </w:r>
      <w:proofErr w:type="spellStart"/>
      <w:r w:rsidRPr="001C123B">
        <w:rPr>
          <w:bCs/>
          <w:lang w:val="en-US"/>
        </w:rPr>
        <w:t>C</w:t>
      </w:r>
      <w:r w:rsidRPr="001C123B">
        <w:rPr>
          <w:bCs/>
          <w:vertAlign w:val="subscript"/>
          <w:lang w:val="en-US"/>
        </w:rPr>
        <w:t>max,ss</w:t>
      </w:r>
      <w:proofErr w:type="spellEnd"/>
    </w:p>
    <w:p w14:paraId="68D7DC21" w14:textId="77777777" w:rsidR="001C123B" w:rsidRPr="001C123B" w:rsidRDefault="001C123B" w:rsidP="001C123B">
      <w:pPr>
        <w:rPr>
          <w:bCs/>
          <w:i/>
          <w:iCs/>
        </w:rPr>
      </w:pPr>
    </w:p>
    <w:p w14:paraId="74CF6D51" w14:textId="16056A9E" w:rsidR="001C123B" w:rsidRPr="001C123B" w:rsidRDefault="001C123B" w:rsidP="001C123B">
      <w:r w:rsidRPr="001C123B">
        <w:rPr>
          <w:bCs/>
          <w:i/>
          <w:iCs/>
        </w:rPr>
        <w:t>Бъбречно увреждане:</w:t>
      </w:r>
      <w:r w:rsidRPr="001C123B">
        <w:rPr>
          <w:bCs/>
        </w:rPr>
        <w:t xml:space="preserve"> След инхалаторно приложение веднъж дневно на тиотропиум при пациенти с ХОББ в стабилно състояние, леко бъбречно увреждане </w:t>
      </w:r>
      <w:r w:rsidRPr="001C123B">
        <w:rPr>
          <w:bCs/>
          <w:smallCaps/>
          <w:lang w:val="en-US"/>
        </w:rPr>
        <w:t>(</w:t>
      </w:r>
      <w:proofErr w:type="spellStart"/>
      <w:r w:rsidRPr="001C123B">
        <w:rPr>
          <w:bCs/>
          <w:smallCaps/>
          <w:lang w:val="en-US"/>
        </w:rPr>
        <w:t>CLcr</w:t>
      </w:r>
      <w:proofErr w:type="spellEnd"/>
      <w:r w:rsidRPr="001C123B">
        <w:rPr>
          <w:bCs/>
          <w:lang w:val="en-US"/>
        </w:rPr>
        <w:t xml:space="preserve"> </w:t>
      </w:r>
      <w:r w:rsidRPr="001C123B">
        <w:rPr>
          <w:bCs/>
        </w:rPr>
        <w:t xml:space="preserve">50-80 </w:t>
      </w:r>
      <w:r w:rsidRPr="001C123B">
        <w:rPr>
          <w:bCs/>
          <w:lang w:val="en-US"/>
        </w:rPr>
        <w:t xml:space="preserve">ml/min), </w:t>
      </w:r>
      <w:r w:rsidRPr="001C123B">
        <w:rPr>
          <w:bCs/>
        </w:rPr>
        <w:t xml:space="preserve">води до малко по-висока </w:t>
      </w:r>
      <w:r w:rsidRPr="001C123B">
        <w:rPr>
          <w:bCs/>
          <w:smallCaps/>
          <w:lang w:val="en-US"/>
        </w:rPr>
        <w:t>AUC</w:t>
      </w:r>
      <w:r w:rsidRPr="001C123B">
        <w:rPr>
          <w:bCs/>
          <w:smallCaps/>
          <w:vertAlign w:val="subscript"/>
          <w:lang w:val="en-US"/>
        </w:rPr>
        <w:t>0-6,ss</w:t>
      </w:r>
      <w:r w:rsidRPr="001C123B">
        <w:rPr>
          <w:bCs/>
          <w:lang w:val="en-US"/>
        </w:rPr>
        <w:t xml:space="preserve"> </w:t>
      </w:r>
      <w:r w:rsidRPr="001C123B">
        <w:rPr>
          <w:bCs/>
        </w:rPr>
        <w:t xml:space="preserve">(повишение между 1,8-30%) и подобни стойности на </w:t>
      </w:r>
      <w:proofErr w:type="spellStart"/>
      <w:r w:rsidRPr="001C123B">
        <w:rPr>
          <w:bCs/>
          <w:lang w:val="en-US"/>
        </w:rPr>
        <w:t>C</w:t>
      </w:r>
      <w:r w:rsidRPr="001C123B">
        <w:rPr>
          <w:bCs/>
          <w:vertAlign w:val="subscript"/>
          <w:lang w:val="en-US"/>
        </w:rPr>
        <w:t>max,ss</w:t>
      </w:r>
      <w:proofErr w:type="spellEnd"/>
      <w:r w:rsidRPr="001C123B">
        <w:rPr>
          <w:bCs/>
          <w:lang w:val="en-US"/>
        </w:rPr>
        <w:t xml:space="preserve"> </w:t>
      </w:r>
      <w:r w:rsidRPr="001C123B">
        <w:rPr>
          <w:bCs/>
        </w:rPr>
        <w:t xml:space="preserve">в сравнение с пациенти с нормална бъбречна функция </w:t>
      </w:r>
      <w:r w:rsidRPr="001C123B">
        <w:rPr>
          <w:bCs/>
          <w:smallCaps/>
          <w:lang w:val="en-US"/>
        </w:rPr>
        <w:t>(</w:t>
      </w:r>
      <w:proofErr w:type="spellStart"/>
      <w:r w:rsidRPr="001C123B">
        <w:rPr>
          <w:bCs/>
          <w:smallCaps/>
          <w:lang w:val="en-US"/>
        </w:rPr>
        <w:t>CLcr</w:t>
      </w:r>
      <w:proofErr w:type="spellEnd"/>
      <w:r w:rsidRPr="001C123B">
        <w:rPr>
          <w:bCs/>
          <w:lang w:val="en-US"/>
        </w:rPr>
        <w:t xml:space="preserve"> </w:t>
      </w:r>
      <w:r w:rsidRPr="001C123B">
        <w:rPr>
          <w:bCs/>
        </w:rPr>
        <w:t xml:space="preserve">&gt;80 </w:t>
      </w:r>
      <w:r w:rsidRPr="001C123B">
        <w:rPr>
          <w:bCs/>
          <w:lang w:val="en-US"/>
        </w:rPr>
        <w:t>ml/min).</w:t>
      </w:r>
    </w:p>
    <w:p w14:paraId="54A1B07D" w14:textId="77777777" w:rsidR="001C123B" w:rsidRPr="001C123B" w:rsidRDefault="001C123B" w:rsidP="001C123B">
      <w:r w:rsidRPr="001C123B">
        <w:rPr>
          <w:bCs/>
        </w:rPr>
        <w:t xml:space="preserve">При пациенти с ХОББ, страдащи от умерено до тежко бъбречно увреждане </w:t>
      </w:r>
      <w:r w:rsidRPr="001C123B">
        <w:rPr>
          <w:bCs/>
          <w:smallCaps/>
          <w:lang w:val="en-US"/>
        </w:rPr>
        <w:t>(</w:t>
      </w:r>
      <w:proofErr w:type="spellStart"/>
      <w:r w:rsidRPr="001C123B">
        <w:rPr>
          <w:bCs/>
          <w:smallCaps/>
          <w:lang w:val="en-US"/>
        </w:rPr>
        <w:t>CLcr</w:t>
      </w:r>
      <w:proofErr w:type="spellEnd"/>
      <w:r w:rsidRPr="001C123B">
        <w:rPr>
          <w:bCs/>
          <w:lang w:val="en-US"/>
        </w:rPr>
        <w:t xml:space="preserve"> </w:t>
      </w:r>
      <w:r w:rsidRPr="001C123B">
        <w:rPr>
          <w:bCs/>
        </w:rPr>
        <w:t xml:space="preserve">&lt;50 </w:t>
      </w:r>
      <w:r w:rsidRPr="001C123B">
        <w:rPr>
          <w:bCs/>
          <w:lang w:val="en-US"/>
        </w:rPr>
        <w:t xml:space="preserve">ml/min), </w:t>
      </w:r>
      <w:r w:rsidRPr="001C123B">
        <w:rPr>
          <w:bCs/>
        </w:rPr>
        <w:t xml:space="preserve">след интравенозно приложение на тиотропиум се наблюдава удвояване на общата експозиция (82% повишение в </w:t>
      </w:r>
      <w:r w:rsidRPr="001C123B">
        <w:rPr>
          <w:bCs/>
          <w:lang w:val="en-US"/>
        </w:rPr>
        <w:t>AUC</w:t>
      </w:r>
      <w:r w:rsidRPr="001C123B">
        <w:rPr>
          <w:bCs/>
          <w:vertAlign w:val="subscript"/>
          <w:lang w:val="en-US"/>
        </w:rPr>
        <w:t>0-4h</w:t>
      </w:r>
      <w:r w:rsidRPr="001C123B">
        <w:rPr>
          <w:bCs/>
          <w:lang w:val="en-US"/>
        </w:rPr>
        <w:t xml:space="preserve"> </w:t>
      </w:r>
      <w:r w:rsidRPr="001C123B">
        <w:rPr>
          <w:bCs/>
        </w:rPr>
        <w:t xml:space="preserve">и 52% повишение на </w:t>
      </w:r>
      <w:proofErr w:type="spellStart"/>
      <w:r w:rsidRPr="001C123B">
        <w:rPr>
          <w:bCs/>
          <w:lang w:val="en-US"/>
        </w:rPr>
        <w:t>C</w:t>
      </w:r>
      <w:r w:rsidRPr="001C123B">
        <w:rPr>
          <w:bCs/>
          <w:vertAlign w:val="subscript"/>
          <w:lang w:val="en-US"/>
        </w:rPr>
        <w:t>max</w:t>
      </w:r>
      <w:proofErr w:type="spellEnd"/>
      <w:r w:rsidRPr="001C123B">
        <w:rPr>
          <w:bCs/>
        </w:rPr>
        <w:t>) в сравнение с пациенти с ХОББ с нормална бъбречна функция, което е потвърдено от плазмените концентрации след инхалаторно приложение на прах за инхалация.</w:t>
      </w:r>
    </w:p>
    <w:p w14:paraId="6A33D496" w14:textId="77777777" w:rsidR="001C123B" w:rsidRPr="001C123B" w:rsidRDefault="001C123B" w:rsidP="001C123B">
      <w:pPr>
        <w:rPr>
          <w:bCs/>
          <w:i/>
          <w:iCs/>
        </w:rPr>
      </w:pPr>
    </w:p>
    <w:p w14:paraId="59FC932F" w14:textId="3C24C8B0" w:rsidR="001C123B" w:rsidRPr="001C123B" w:rsidRDefault="001C123B" w:rsidP="001C123B">
      <w:r w:rsidRPr="001C123B">
        <w:rPr>
          <w:bCs/>
          <w:i/>
          <w:iCs/>
        </w:rPr>
        <w:t>Чернодробно увреждане:</w:t>
      </w:r>
      <w:r w:rsidRPr="001C123B">
        <w:rPr>
          <w:bCs/>
        </w:rPr>
        <w:t xml:space="preserve"> Не се очаква, наличието на чернодробна недостатъчност, да окаже съществено влияние върху фармакокинетиката на тиотропиум. Освобождаването на тиотропиум е предимно посредством бъбречно елиминиране (74% при млади здрави доброволци) и просто неензимно естерно разцепване до фармакологично неактивни продукти.</w:t>
      </w:r>
    </w:p>
    <w:p w14:paraId="0C50F05E" w14:textId="77777777" w:rsidR="001C123B" w:rsidRPr="001C123B" w:rsidRDefault="001C123B" w:rsidP="001C123B">
      <w:pPr>
        <w:rPr>
          <w:bCs/>
          <w:i/>
          <w:iCs/>
        </w:rPr>
      </w:pPr>
    </w:p>
    <w:p w14:paraId="49A761DE" w14:textId="616F77B9" w:rsidR="001C123B" w:rsidRPr="001C123B" w:rsidRDefault="001C123B" w:rsidP="001C123B">
      <w:r w:rsidRPr="001C123B">
        <w:rPr>
          <w:bCs/>
          <w:i/>
          <w:iCs/>
        </w:rPr>
        <w:t>Пациенти с японски произход с ХОББ:</w:t>
      </w:r>
      <w:r w:rsidRPr="001C123B">
        <w:rPr>
          <w:bCs/>
        </w:rPr>
        <w:t xml:space="preserve"> В кръстосано сравнително изпитване, средни плазмени концентрации в стационарно състояние на тиотропиум 10 минути след дозиране с са били 20% до 70% по-високи при пациенти от японски произход в сравнение с европеидната раса с ХОББ след инхалаторно приложение на тиотропиум, но няма данни за по-висока смъртност или сърдечен риск при японски пациенти в сравнение с пациенти от европеидната раса. Няма достатъчно данни за фармакокинетиката при друга етноси или раси.</w:t>
      </w:r>
    </w:p>
    <w:p w14:paraId="6A52A238" w14:textId="77777777" w:rsidR="001C123B" w:rsidRPr="001C123B" w:rsidRDefault="001C123B" w:rsidP="001C123B">
      <w:pPr>
        <w:rPr>
          <w:bCs/>
          <w:i/>
          <w:iCs/>
        </w:rPr>
      </w:pPr>
    </w:p>
    <w:p w14:paraId="35625BCA" w14:textId="1821F8CD" w:rsidR="001C123B" w:rsidRPr="001C123B" w:rsidRDefault="001C123B" w:rsidP="001C123B">
      <w:r w:rsidRPr="001C123B">
        <w:rPr>
          <w:bCs/>
          <w:i/>
          <w:iCs/>
        </w:rPr>
        <w:t>Педиатрична популация:</w:t>
      </w:r>
      <w:r w:rsidRPr="001C123B">
        <w:rPr>
          <w:bCs/>
        </w:rPr>
        <w:t xml:space="preserve"> Вижте точка 4.2.</w:t>
      </w:r>
    </w:p>
    <w:p w14:paraId="7474A97E" w14:textId="77777777" w:rsidR="001C123B" w:rsidRPr="001C123B" w:rsidRDefault="001C123B" w:rsidP="001C123B">
      <w:pPr>
        <w:rPr>
          <w:bCs/>
          <w:u w:val="single"/>
        </w:rPr>
      </w:pPr>
    </w:p>
    <w:p w14:paraId="19681B91" w14:textId="7F261EB3" w:rsidR="001C123B" w:rsidRPr="00497712" w:rsidRDefault="001C123B" w:rsidP="00497712">
      <w:pPr>
        <w:pStyle w:val="Heading3"/>
        <w:rPr>
          <w:u w:val="single"/>
        </w:rPr>
      </w:pPr>
      <w:bookmarkStart w:id="1" w:name="_GoBack"/>
      <w:r w:rsidRPr="00497712">
        <w:rPr>
          <w:u w:val="single"/>
        </w:rPr>
        <w:t>Връзка(и) фармакокинетика-фармакодинамика</w:t>
      </w:r>
    </w:p>
    <w:bookmarkEnd w:id="1"/>
    <w:p w14:paraId="49F65295" w14:textId="77777777" w:rsidR="001C123B" w:rsidRPr="001C123B" w:rsidRDefault="001C123B" w:rsidP="001C123B">
      <w:r w:rsidRPr="001C123B">
        <w:rPr>
          <w:bCs/>
        </w:rPr>
        <w:t>Не съществува директна зависимост между фармакокинетиката и фармакодинамиката.</w:t>
      </w:r>
    </w:p>
    <w:p w14:paraId="03B0BC18" w14:textId="77777777" w:rsidR="001C123B" w:rsidRPr="001C123B" w:rsidRDefault="001C123B" w:rsidP="001C123B"/>
    <w:p w14:paraId="648E39DA" w14:textId="1C15074B" w:rsidR="00CF77F7" w:rsidRDefault="002C50EE" w:rsidP="004A448E">
      <w:pPr>
        <w:pStyle w:val="Heading2"/>
      </w:pPr>
      <w:r>
        <w:t>5.3. Предклинични данни за безопасност</w:t>
      </w:r>
    </w:p>
    <w:p w14:paraId="6DC5901A" w14:textId="4F3616B4" w:rsidR="001C123B" w:rsidRDefault="001C123B" w:rsidP="001C123B"/>
    <w:p w14:paraId="6A47251B" w14:textId="77777777" w:rsidR="001C123B" w:rsidRPr="001C123B" w:rsidRDefault="001C123B" w:rsidP="001C123B">
      <w:pPr>
        <w:rPr>
          <w:rFonts w:cs="Arial"/>
          <w:sz w:val="28"/>
        </w:rPr>
      </w:pPr>
      <w:r w:rsidRPr="001C123B">
        <w:rPr>
          <w:bCs/>
          <w:szCs w:val="20"/>
        </w:rPr>
        <w:lastRenderedPageBreak/>
        <w:t>Много от ефектите, наблюдавани при конвенционални проучвания за безопасност, проучвания с многократно дозиране и репродуктивна токсичност, могат да се обяснят с антихолинергичните свойства на тиотропиев бромид. Обикновено при животни са наблюдавани следните ефекти: намалена консумация на храна, намалено покачване на тегло, сухота в устата и носа, намалена слъзна и слюнна секреция, мидриаза и повишена сърдечна , честота. Други наблюдавани важни промени са: слабо дразнене на горните дихателни пътища при плъхове и мишки, проявено чрез ринит и промени в епитела на носната кухина и ларинкса, простатит, придружен с белтъчни натрупвания и литиаза в пикочния мехур на плъхове.</w:t>
      </w:r>
    </w:p>
    <w:p w14:paraId="6911C889" w14:textId="466767E2" w:rsidR="001C123B" w:rsidRDefault="001C123B" w:rsidP="001C123B"/>
    <w:p w14:paraId="69A0F7F7"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Вредните ефекти, по отношение на бременността, ембрионалното/феталното развитие, раждането или постнаталното развитие, биха могли да се демонстрират само при дозови нива, токсични за майчиния организъм. Тиотропиев бромид не показва токсичност при плъхове и зайци. В основното изпитване за репродуктивност и фертилитет при плъхове, не са открити признаци за някакви нежелани ефекти върху фертилитета или способността за възпроизвеждане на третираните родители или тяхното потомство, независимо от прилаганите дози.</w:t>
      </w:r>
    </w:p>
    <w:p w14:paraId="71B49CEF" w14:textId="77777777" w:rsidR="001C123B" w:rsidRDefault="001C123B" w:rsidP="001C123B">
      <w:pPr>
        <w:rPr>
          <w:rFonts w:eastAsia="Times New Roman" w:cs="Arial"/>
          <w:bCs/>
          <w:color w:val="000000"/>
          <w:szCs w:val="20"/>
          <w:lang w:eastAsia="bg-BG"/>
        </w:rPr>
      </w:pPr>
    </w:p>
    <w:p w14:paraId="0809123C" w14:textId="387B6A95" w:rsidR="001C123B" w:rsidRPr="001C123B" w:rsidRDefault="001C123B" w:rsidP="001C123B">
      <w:pPr>
        <w:rPr>
          <w:rFonts w:eastAsia="Times New Roman" w:cs="Arial"/>
          <w:bCs/>
          <w:color w:val="000000"/>
          <w:szCs w:val="20"/>
          <w:lang w:eastAsia="bg-BG"/>
        </w:rPr>
      </w:pPr>
      <w:r w:rsidRPr="001C123B">
        <w:rPr>
          <w:rFonts w:eastAsia="Times New Roman" w:cs="Arial"/>
          <w:bCs/>
          <w:color w:val="000000"/>
          <w:szCs w:val="20"/>
          <w:lang w:eastAsia="bg-BG"/>
        </w:rPr>
        <w:t>Респираторните (дразнене) и урогениталните (простатит) промени, както и репродуктивната токсичност, са наблюдавани при локално и системно натоварване пет пъти над терапевтичното. Проучвания върху генотоксичността и карциногенния потенциал, не показват опасност за човешкия организъм.</w:t>
      </w:r>
    </w:p>
    <w:p w14:paraId="0213C1FF" w14:textId="77777777" w:rsidR="001C123B" w:rsidRPr="001C123B" w:rsidRDefault="001C123B" w:rsidP="001C123B"/>
    <w:p w14:paraId="6A7820AB" w14:textId="38F56F9D" w:rsidR="008A6AF2" w:rsidRDefault="002C50EE" w:rsidP="00395555">
      <w:pPr>
        <w:pStyle w:val="Heading1"/>
      </w:pPr>
      <w:r>
        <w:t>7. ПРИТЕЖАТЕЛ НА РАЗРЕШЕНИЕТО ЗА УПОТРЕБА</w:t>
      </w:r>
    </w:p>
    <w:p w14:paraId="3AC7BE5D" w14:textId="1BDED7F2" w:rsidR="001C123B" w:rsidRDefault="001C123B" w:rsidP="001C123B"/>
    <w:p w14:paraId="3F0BDF0C" w14:textId="77777777" w:rsidR="001C123B" w:rsidRPr="001C123B" w:rsidRDefault="001C123B" w:rsidP="001C123B">
      <w:pPr>
        <w:spacing w:line="240" w:lineRule="auto"/>
        <w:rPr>
          <w:rFonts w:eastAsia="Times New Roman" w:cs="Arial"/>
          <w:sz w:val="28"/>
          <w:szCs w:val="24"/>
          <w:lang w:val="en-US" w:eastAsia="bg-BG"/>
        </w:rPr>
      </w:pPr>
      <w:proofErr w:type="spellStart"/>
      <w:r w:rsidRPr="001C123B">
        <w:rPr>
          <w:rFonts w:eastAsia="Times New Roman" w:cs="Arial"/>
          <w:bCs/>
          <w:color w:val="000000"/>
          <w:szCs w:val="20"/>
          <w:lang w:val="en-US"/>
        </w:rPr>
        <w:t>Teva</w:t>
      </w:r>
      <w:proofErr w:type="spellEnd"/>
      <w:r w:rsidRPr="001C123B">
        <w:rPr>
          <w:rFonts w:eastAsia="Times New Roman" w:cs="Arial"/>
          <w:bCs/>
          <w:color w:val="000000"/>
          <w:szCs w:val="20"/>
          <w:lang w:val="en-US"/>
        </w:rPr>
        <w:t xml:space="preserve"> B.V.</w:t>
      </w:r>
    </w:p>
    <w:p w14:paraId="4578A4EE" w14:textId="77777777" w:rsidR="001C123B" w:rsidRPr="001C123B" w:rsidRDefault="001C123B" w:rsidP="001C123B">
      <w:pPr>
        <w:spacing w:line="240" w:lineRule="auto"/>
        <w:rPr>
          <w:rFonts w:eastAsia="Times New Roman" w:cs="Arial"/>
          <w:sz w:val="28"/>
          <w:szCs w:val="24"/>
          <w:lang w:val="en-US" w:eastAsia="bg-BG"/>
        </w:rPr>
      </w:pPr>
      <w:proofErr w:type="spellStart"/>
      <w:r w:rsidRPr="001C123B">
        <w:rPr>
          <w:rFonts w:eastAsia="Times New Roman" w:cs="Arial"/>
          <w:bCs/>
          <w:color w:val="000000"/>
          <w:szCs w:val="20"/>
          <w:lang w:val="en-US"/>
        </w:rPr>
        <w:t>Swensweg</w:t>
      </w:r>
      <w:proofErr w:type="spellEnd"/>
      <w:r w:rsidRPr="001C123B">
        <w:rPr>
          <w:rFonts w:eastAsia="Times New Roman" w:cs="Arial"/>
          <w:bCs/>
          <w:color w:val="000000"/>
          <w:szCs w:val="20"/>
          <w:lang w:val="en-US"/>
        </w:rPr>
        <w:t xml:space="preserve"> </w:t>
      </w:r>
      <w:r w:rsidRPr="001C123B">
        <w:rPr>
          <w:rFonts w:eastAsia="Times New Roman" w:cs="Arial"/>
          <w:bCs/>
          <w:color w:val="000000"/>
          <w:szCs w:val="20"/>
          <w:lang w:eastAsia="bg-BG"/>
        </w:rPr>
        <w:t xml:space="preserve">5, 2031 </w:t>
      </w:r>
      <w:r w:rsidRPr="001C123B">
        <w:rPr>
          <w:rFonts w:eastAsia="Times New Roman" w:cs="Arial"/>
          <w:bCs/>
          <w:color w:val="000000"/>
          <w:szCs w:val="20"/>
          <w:lang w:val="en-US"/>
        </w:rPr>
        <w:t>GA Haarlem</w:t>
      </w:r>
    </w:p>
    <w:p w14:paraId="4F0F1071" w14:textId="405C0E09" w:rsidR="001C123B" w:rsidRPr="001C123B" w:rsidRDefault="001C123B" w:rsidP="001C123B">
      <w:pPr>
        <w:rPr>
          <w:rFonts w:cs="Arial"/>
          <w:sz w:val="24"/>
        </w:rPr>
      </w:pPr>
      <w:r w:rsidRPr="001C123B">
        <w:rPr>
          <w:rFonts w:eastAsia="Times New Roman" w:cs="Arial"/>
          <w:bCs/>
          <w:color w:val="000000"/>
          <w:szCs w:val="20"/>
          <w:lang w:eastAsia="bg-BG"/>
        </w:rPr>
        <w:t>Нидерландия</w:t>
      </w:r>
    </w:p>
    <w:p w14:paraId="02B3103C" w14:textId="77777777" w:rsidR="001C123B" w:rsidRPr="001C123B" w:rsidRDefault="001C123B" w:rsidP="001C123B"/>
    <w:p w14:paraId="7BA1BA64" w14:textId="2693455D" w:rsidR="00CF77F7" w:rsidRDefault="002C50EE" w:rsidP="004A448E">
      <w:pPr>
        <w:pStyle w:val="Heading1"/>
      </w:pPr>
      <w:r>
        <w:t>8. НОМЕР НА РАЗРЕШЕНИЕТО ЗА УПОТРЕБА</w:t>
      </w:r>
    </w:p>
    <w:p w14:paraId="7AD8CF4F" w14:textId="6A95F153" w:rsidR="001C123B" w:rsidRDefault="001C123B" w:rsidP="001C123B"/>
    <w:p w14:paraId="1557DF16" w14:textId="26137F47" w:rsidR="001C123B" w:rsidRPr="001C123B" w:rsidRDefault="001C123B" w:rsidP="001C123B">
      <w:pPr>
        <w:rPr>
          <w:rFonts w:cs="Arial"/>
          <w:sz w:val="24"/>
        </w:rPr>
      </w:pPr>
      <w:r w:rsidRPr="001C123B">
        <w:rPr>
          <w:rFonts w:cs="Arial"/>
          <w:bCs/>
          <w:szCs w:val="20"/>
        </w:rPr>
        <w:t>Регистрационен № 20160252</w:t>
      </w:r>
    </w:p>
    <w:p w14:paraId="54BC8C7F" w14:textId="77777777" w:rsidR="001C123B" w:rsidRPr="001C123B" w:rsidRDefault="001C123B" w:rsidP="001C123B"/>
    <w:p w14:paraId="2CCB5832" w14:textId="550687FB" w:rsidR="007C605B" w:rsidRDefault="002C50EE" w:rsidP="007C605B">
      <w:pPr>
        <w:pStyle w:val="Heading1"/>
      </w:pPr>
      <w:r>
        <w:t>9. ДАТА НА ПЪРВО РАЗРЕШАВАНЕ/ПОДНОВЯВАНЕ НА РАЗРЕШЕНИЕТО ЗА УПОТРЕБА</w:t>
      </w:r>
    </w:p>
    <w:p w14:paraId="769B8312" w14:textId="4700300A" w:rsidR="001C123B" w:rsidRDefault="001C123B" w:rsidP="001C123B"/>
    <w:p w14:paraId="0EA92186" w14:textId="77777777" w:rsidR="001C123B" w:rsidRPr="001C123B" w:rsidRDefault="001C123B" w:rsidP="001C123B">
      <w:pPr>
        <w:spacing w:line="240" w:lineRule="auto"/>
        <w:rPr>
          <w:rFonts w:eastAsia="Times New Roman" w:cs="Arial"/>
          <w:sz w:val="28"/>
          <w:szCs w:val="24"/>
          <w:lang w:eastAsia="bg-BG"/>
        </w:rPr>
      </w:pPr>
      <w:r w:rsidRPr="001C123B">
        <w:rPr>
          <w:rFonts w:eastAsia="Times New Roman" w:cs="Arial"/>
          <w:bCs/>
          <w:color w:val="000000"/>
          <w:szCs w:val="20"/>
          <w:lang w:eastAsia="bg-BG"/>
        </w:rPr>
        <w:t>Дата на първо разрешаване: 05 август 2016</w:t>
      </w:r>
    </w:p>
    <w:p w14:paraId="6D3FDC0D" w14:textId="0977BE44" w:rsidR="001C123B" w:rsidRPr="001C123B" w:rsidRDefault="001C123B" w:rsidP="001C123B">
      <w:pPr>
        <w:rPr>
          <w:rFonts w:cs="Arial"/>
          <w:sz w:val="24"/>
        </w:rPr>
      </w:pPr>
      <w:r w:rsidRPr="001C123B">
        <w:rPr>
          <w:rFonts w:eastAsia="Times New Roman" w:cs="Arial"/>
          <w:bCs/>
          <w:color w:val="000000"/>
          <w:szCs w:val="20"/>
          <w:lang w:eastAsia="bg-BG"/>
        </w:rPr>
        <w:t>Дата на последно подновяване:</w:t>
      </w:r>
    </w:p>
    <w:p w14:paraId="3725A6EA" w14:textId="77777777" w:rsidR="001C123B" w:rsidRPr="001C123B" w:rsidRDefault="001C123B" w:rsidP="001C123B"/>
    <w:p w14:paraId="0E9D0119" w14:textId="22A1F669" w:rsidR="002C50EE" w:rsidRDefault="002C50EE" w:rsidP="002C50EE">
      <w:pPr>
        <w:pStyle w:val="Heading1"/>
      </w:pPr>
      <w:r>
        <w:t>10. ДАТА НА АКТУАЛИЗИРАНЕ НА ТЕКСТА</w:t>
      </w:r>
    </w:p>
    <w:p w14:paraId="3A76CFA5" w14:textId="7B08BAF0" w:rsidR="001C123B" w:rsidRDefault="001C123B" w:rsidP="001C123B"/>
    <w:p w14:paraId="18F88CC4" w14:textId="6B4990F1" w:rsidR="001C123B" w:rsidRDefault="001C123B" w:rsidP="001C123B"/>
    <w:p w14:paraId="004A5961" w14:textId="77777777" w:rsidR="001C123B" w:rsidRPr="001C123B" w:rsidRDefault="001C123B" w:rsidP="001C123B"/>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543613B"/>
    <w:multiLevelType w:val="hybridMultilevel"/>
    <w:tmpl w:val="9E385C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478B"/>
    <w:multiLevelType w:val="hybridMultilevel"/>
    <w:tmpl w:val="D7D466A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7"/>
  </w:num>
  <w:num w:numId="22">
    <w:abstractNumId w:val="26"/>
  </w:num>
  <w:num w:numId="23">
    <w:abstractNumId w:val="18"/>
  </w:num>
  <w:num w:numId="24">
    <w:abstractNumId w:val="9"/>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C123B"/>
    <w:rsid w:val="001D1B23"/>
    <w:rsid w:val="002B3C38"/>
    <w:rsid w:val="002B4DBB"/>
    <w:rsid w:val="002C50EE"/>
    <w:rsid w:val="00340A0A"/>
    <w:rsid w:val="003765DC"/>
    <w:rsid w:val="00395555"/>
    <w:rsid w:val="003E3126"/>
    <w:rsid w:val="00426E5F"/>
    <w:rsid w:val="00497712"/>
    <w:rsid w:val="004A448E"/>
    <w:rsid w:val="004D4D6B"/>
    <w:rsid w:val="004F1CE7"/>
    <w:rsid w:val="004F498A"/>
    <w:rsid w:val="00517A5B"/>
    <w:rsid w:val="00593A00"/>
    <w:rsid w:val="005A66D9"/>
    <w:rsid w:val="005E11C5"/>
    <w:rsid w:val="00605BCA"/>
    <w:rsid w:val="006158A1"/>
    <w:rsid w:val="00617B1F"/>
    <w:rsid w:val="00672487"/>
    <w:rsid w:val="00672600"/>
    <w:rsid w:val="00681D4A"/>
    <w:rsid w:val="00685882"/>
    <w:rsid w:val="00753C2A"/>
    <w:rsid w:val="0075649D"/>
    <w:rsid w:val="007C605B"/>
    <w:rsid w:val="008134C8"/>
    <w:rsid w:val="00814073"/>
    <w:rsid w:val="00826F0D"/>
    <w:rsid w:val="00893B92"/>
    <w:rsid w:val="008A6AF2"/>
    <w:rsid w:val="008C70A2"/>
    <w:rsid w:val="00920B4C"/>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E4ADB"/>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5244</Words>
  <Characters>29893</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2022-06-30T16:46:00Z</dcterms:created>
  <dcterms:modified xsi:type="dcterms:W3CDTF">2022-06-30T16:46:00Z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