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7A119F58" w:rsidR="00C40420" w:rsidRDefault="00DD466D" w:rsidP="004A448E">
      <w:pPr>
        <w:pStyle w:val="Heading1"/>
      </w:pPr>
      <w:r>
        <w:t>1.ИМЕ НА ЛЕКАРСТВЕНИЯ ПРОДУКТ</w:t>
      </w:r>
    </w:p>
    <w:p w14:paraId="111AF57F" w14:textId="5248CCCC" w:rsidR="001F4C76" w:rsidRDefault="001F4C76" w:rsidP="001F4C76"/>
    <w:p w14:paraId="767B0AD8" w14:textId="77777777" w:rsidR="001F4C76" w:rsidRPr="001F4C76" w:rsidRDefault="001F4C76" w:rsidP="001F4C76">
      <w:pPr>
        <w:spacing w:line="240" w:lineRule="auto"/>
        <w:rPr>
          <w:rFonts w:eastAsia="Times New Roman" w:cs="Arial"/>
          <w:sz w:val="24"/>
          <w:szCs w:val="24"/>
          <w:lang w:val="en-US" w:eastAsia="bg-BG"/>
        </w:rPr>
      </w:pPr>
      <w:r w:rsidRPr="001F4C76">
        <w:rPr>
          <w:rFonts w:eastAsia="Times New Roman" w:cs="Arial"/>
          <w:color w:val="000000"/>
          <w:lang w:eastAsia="bg-BG"/>
        </w:rPr>
        <w:t xml:space="preserve">Бравилол 5 </w:t>
      </w:r>
      <w:r w:rsidRPr="001F4C76">
        <w:rPr>
          <w:rFonts w:eastAsia="Times New Roman" w:cs="Arial"/>
          <w:color w:val="000000"/>
          <w:lang w:val="en-US"/>
        </w:rPr>
        <w:t xml:space="preserve">mg </w:t>
      </w:r>
      <w:r w:rsidRPr="001F4C76">
        <w:rPr>
          <w:rFonts w:eastAsia="Times New Roman" w:cs="Arial"/>
          <w:color w:val="000000"/>
          <w:lang w:eastAsia="bg-BG"/>
        </w:rPr>
        <w:t>таблетки</w:t>
      </w:r>
    </w:p>
    <w:p w14:paraId="4DE588C6" w14:textId="695BF428" w:rsidR="001F4C76" w:rsidRPr="001F4C76" w:rsidRDefault="001F4C76" w:rsidP="001F4C76">
      <w:pPr>
        <w:rPr>
          <w:rFonts w:cs="Arial"/>
        </w:rPr>
      </w:pPr>
      <w:proofErr w:type="spellStart"/>
      <w:r w:rsidRPr="001F4C76">
        <w:rPr>
          <w:rFonts w:eastAsia="Times New Roman" w:cs="Arial"/>
          <w:color w:val="000000"/>
          <w:lang w:val="en-US"/>
        </w:rPr>
        <w:t>Bravylol</w:t>
      </w:r>
      <w:proofErr w:type="spellEnd"/>
      <w:r w:rsidRPr="001F4C76">
        <w:rPr>
          <w:rFonts w:eastAsia="Times New Roman" w:cs="Arial"/>
          <w:color w:val="000000"/>
          <w:lang w:val="en-US"/>
        </w:rPr>
        <w:t xml:space="preserve"> </w:t>
      </w:r>
      <w:r w:rsidRPr="001F4C76">
        <w:rPr>
          <w:rFonts w:eastAsia="Times New Roman" w:cs="Arial"/>
          <w:color w:val="000000"/>
          <w:lang w:eastAsia="bg-BG"/>
        </w:rPr>
        <w:t xml:space="preserve">5 </w:t>
      </w:r>
      <w:r w:rsidRPr="001F4C76">
        <w:rPr>
          <w:rFonts w:eastAsia="Times New Roman" w:cs="Arial"/>
          <w:color w:val="000000"/>
          <w:lang w:val="en-US"/>
        </w:rPr>
        <w:t>mg tablets</w:t>
      </w:r>
    </w:p>
    <w:p w14:paraId="6920A680" w14:textId="3C7B4D19" w:rsidR="00C40420" w:rsidRDefault="00DD466D" w:rsidP="004A448E">
      <w:pPr>
        <w:pStyle w:val="Heading1"/>
      </w:pPr>
      <w:r>
        <w:t>2. КАЧЕСТВЕН И КОЛИЧЕСТВЕН СЪСТАВ</w:t>
      </w:r>
    </w:p>
    <w:p w14:paraId="6149907F" w14:textId="5E393EDD" w:rsidR="001F4C76" w:rsidRDefault="001F4C76" w:rsidP="001F4C76"/>
    <w:p w14:paraId="1A846FF2"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 xml:space="preserve">Една таблетка Бравилол съдържа 5 </w:t>
      </w:r>
      <w:r w:rsidRPr="001F4C76">
        <w:rPr>
          <w:rFonts w:eastAsia="Times New Roman" w:cs="Arial"/>
          <w:color w:val="000000"/>
          <w:lang w:val="en-US"/>
        </w:rPr>
        <w:t xml:space="preserve">mg </w:t>
      </w:r>
      <w:r w:rsidRPr="001F4C76">
        <w:rPr>
          <w:rFonts w:eastAsia="Times New Roman" w:cs="Arial"/>
          <w:color w:val="000000"/>
          <w:lang w:eastAsia="bg-BG"/>
        </w:rPr>
        <w:t xml:space="preserve">небиволол (под формата на 5.45 </w:t>
      </w:r>
      <w:r w:rsidRPr="001F4C76">
        <w:rPr>
          <w:rFonts w:eastAsia="Times New Roman" w:cs="Arial"/>
          <w:color w:val="000000"/>
          <w:lang w:val="en-US"/>
        </w:rPr>
        <w:t xml:space="preserve">mg </w:t>
      </w:r>
      <w:r w:rsidRPr="001F4C76">
        <w:rPr>
          <w:rFonts w:eastAsia="Times New Roman" w:cs="Arial"/>
          <w:color w:val="000000"/>
          <w:lang w:eastAsia="bg-BG"/>
        </w:rPr>
        <w:t>небивололов хидрохлорид).</w:t>
      </w:r>
    </w:p>
    <w:p w14:paraId="552D7F3F" w14:textId="65C757CD" w:rsidR="001F4C76" w:rsidRPr="001F4C76" w:rsidRDefault="001F4C76" w:rsidP="001F4C76">
      <w:pPr>
        <w:rPr>
          <w:rFonts w:cs="Arial"/>
        </w:rPr>
      </w:pPr>
      <w:r w:rsidRPr="001F4C76">
        <w:rPr>
          <w:rFonts w:eastAsia="Times New Roman" w:cs="Arial"/>
          <w:color w:val="000000"/>
          <w:lang w:eastAsia="bg-BG"/>
        </w:rPr>
        <w:t>За пълния списък на помощните вещества, вж. точка 6.1.</w:t>
      </w:r>
    </w:p>
    <w:p w14:paraId="614984C4" w14:textId="2B8038DA" w:rsidR="008A6AF2" w:rsidRDefault="00DD466D" w:rsidP="002C50EE">
      <w:pPr>
        <w:pStyle w:val="Heading1"/>
      </w:pPr>
      <w:r>
        <w:t>3. ЛЕКАРСТВЕНА ФОРМА</w:t>
      </w:r>
    </w:p>
    <w:p w14:paraId="7111D3D1" w14:textId="53F7E3D9" w:rsidR="001F4C76" w:rsidRDefault="001F4C76" w:rsidP="001F4C76"/>
    <w:p w14:paraId="67ECDD76" w14:textId="4DED75C6" w:rsidR="001F4C76" w:rsidRPr="001F4C76" w:rsidRDefault="001F4C76" w:rsidP="001F4C76">
      <w:r>
        <w:t>Необвити кръгли, бели таблетки с делителна черта.</w:t>
      </w:r>
    </w:p>
    <w:p w14:paraId="490FC2C4" w14:textId="4D869588" w:rsidR="002C50EE" w:rsidRDefault="002C50EE" w:rsidP="002C50EE">
      <w:pPr>
        <w:pStyle w:val="Heading1"/>
      </w:pPr>
      <w:r>
        <w:t>4. КЛИНИЧНИ ДАННИ</w:t>
      </w:r>
    </w:p>
    <w:p w14:paraId="3F2373A0" w14:textId="77777777" w:rsidR="001F4C76" w:rsidRPr="001F4C76" w:rsidRDefault="001F4C76" w:rsidP="001F4C76"/>
    <w:p w14:paraId="0C8E6903" w14:textId="4E178635" w:rsidR="008134C8" w:rsidRDefault="002C50EE" w:rsidP="004A448E">
      <w:pPr>
        <w:pStyle w:val="Heading2"/>
      </w:pPr>
      <w:r>
        <w:t>4.1. Терапевтични показания</w:t>
      </w:r>
    </w:p>
    <w:p w14:paraId="77848B39" w14:textId="32DE0018" w:rsidR="001F4C76" w:rsidRDefault="001F4C76" w:rsidP="001F4C76"/>
    <w:p w14:paraId="12D2C297" w14:textId="77777777" w:rsidR="001F4C76" w:rsidRPr="001F4C76" w:rsidRDefault="001F4C76" w:rsidP="001F4C76">
      <w:pPr>
        <w:pStyle w:val="ListParagraph"/>
        <w:numPr>
          <w:ilvl w:val="0"/>
          <w:numId w:val="35"/>
        </w:numPr>
        <w:spacing w:line="240" w:lineRule="auto"/>
        <w:rPr>
          <w:rFonts w:eastAsia="Times New Roman" w:cs="Arial"/>
          <w:color w:val="000000"/>
          <w:lang w:eastAsia="bg-BG"/>
        </w:rPr>
      </w:pPr>
      <w:r w:rsidRPr="001F4C76">
        <w:rPr>
          <w:rFonts w:eastAsia="Times New Roman" w:cs="Arial"/>
          <w:color w:val="000000"/>
          <w:lang w:eastAsia="bg-BG"/>
        </w:rPr>
        <w:t>Лечение на есенциална хипертония</w:t>
      </w:r>
    </w:p>
    <w:p w14:paraId="09B67243" w14:textId="704D6659" w:rsidR="001F4C76" w:rsidRPr="00B424CA" w:rsidRDefault="001F4C76" w:rsidP="001F4C76">
      <w:pPr>
        <w:pStyle w:val="ListParagraph"/>
        <w:numPr>
          <w:ilvl w:val="0"/>
          <w:numId w:val="35"/>
        </w:numPr>
        <w:rPr>
          <w:rFonts w:cs="Arial"/>
        </w:rPr>
      </w:pPr>
      <w:r w:rsidRPr="001F4C76">
        <w:rPr>
          <w:rFonts w:eastAsia="Times New Roman" w:cs="Arial"/>
          <w:color w:val="000000"/>
          <w:lang w:eastAsia="bg-BG"/>
        </w:rPr>
        <w:t>Лечение на стабилна лека до умерена хронична сърдечна недостатъчност в допълнение към основното лечение при пациенти в напреднала възраст (≥ 70 години).</w:t>
      </w:r>
    </w:p>
    <w:p w14:paraId="645C5CF7" w14:textId="77777777" w:rsidR="00B424CA" w:rsidRPr="001F4C76" w:rsidRDefault="00B424CA" w:rsidP="00B424CA">
      <w:pPr>
        <w:pStyle w:val="ListParagraph"/>
        <w:rPr>
          <w:rFonts w:cs="Arial"/>
        </w:rPr>
      </w:pPr>
    </w:p>
    <w:p w14:paraId="30BE2C7B" w14:textId="5444253B" w:rsidR="008134C8" w:rsidRDefault="002C50EE" w:rsidP="004A448E">
      <w:pPr>
        <w:pStyle w:val="Heading2"/>
      </w:pPr>
      <w:r>
        <w:t>4.2. Дозировка и начин на приложение</w:t>
      </w:r>
    </w:p>
    <w:p w14:paraId="55552951" w14:textId="3F1EDCF2" w:rsidR="001F4C76" w:rsidRDefault="001F4C76" w:rsidP="001F4C76"/>
    <w:p w14:paraId="4BA5E6DF" w14:textId="77777777" w:rsidR="001F4C76" w:rsidRDefault="001F4C76" w:rsidP="001F4C76">
      <w:r>
        <w:rPr>
          <w:i/>
          <w:iCs/>
        </w:rPr>
        <w:t>Хипертония</w:t>
      </w:r>
    </w:p>
    <w:p w14:paraId="2E3CD9DC" w14:textId="77777777" w:rsidR="001F4C76" w:rsidRDefault="001F4C76" w:rsidP="001F4C76"/>
    <w:p w14:paraId="3696C7C3" w14:textId="75DCAF45" w:rsidR="001F4C76" w:rsidRDefault="001F4C76" w:rsidP="001F4C76">
      <w:r>
        <w:t xml:space="preserve">Дозата е една таблетка (5 </w:t>
      </w:r>
      <w:r>
        <w:rPr>
          <w:lang w:val="en-US"/>
        </w:rPr>
        <w:t xml:space="preserve">mg) </w:t>
      </w:r>
      <w:r>
        <w:t>дневно, за предпочитане по едно и също време на деня. Таблетките могат да се приемат по време на хранене.</w:t>
      </w:r>
    </w:p>
    <w:p w14:paraId="68DBD7FE" w14:textId="77777777" w:rsidR="001F4C76" w:rsidRDefault="001F4C76" w:rsidP="001F4C76"/>
    <w:p w14:paraId="517A5A02" w14:textId="6F7EA70F" w:rsidR="001F4C76" w:rsidRDefault="001F4C76" w:rsidP="001F4C76">
      <w:r>
        <w:t>Антихипертензивният ефект се проявява след 1-2 седмици от началото на лечението. Обикновено оптималният ефект се постига още след 4 седмици.</w:t>
      </w:r>
    </w:p>
    <w:p w14:paraId="19DED5F7" w14:textId="77777777" w:rsidR="001F4C76" w:rsidRDefault="001F4C76" w:rsidP="001F4C76">
      <w:pPr>
        <w:rPr>
          <w:i/>
          <w:iCs/>
        </w:rPr>
      </w:pPr>
    </w:p>
    <w:p w14:paraId="5DDBD438" w14:textId="54FA1AB1" w:rsidR="001F4C76" w:rsidRDefault="001F4C76" w:rsidP="001F4C76">
      <w:r>
        <w:rPr>
          <w:i/>
          <w:iCs/>
        </w:rPr>
        <w:t>Комбинация с други антихипертензивни лекарства</w:t>
      </w:r>
    </w:p>
    <w:p w14:paraId="55694BD9" w14:textId="77777777" w:rsidR="001F4C76" w:rsidRDefault="001F4C76" w:rsidP="001F4C76">
      <w:r>
        <w:t xml:space="preserve">Бета-блокерите могат да се използват самостоятелно или в комбинация с други антихипертензивни лекарства. До момента допълнителен антихипергензивен ефект е наблюдаван само при комбинация на небиволол с 12,5 -25 </w:t>
      </w:r>
      <w:r>
        <w:rPr>
          <w:lang w:val="en-US"/>
        </w:rPr>
        <w:t xml:space="preserve">mg </w:t>
      </w:r>
      <w:r>
        <w:t>хидрохлортиазид.</w:t>
      </w:r>
    </w:p>
    <w:p w14:paraId="1BCF3791" w14:textId="77777777" w:rsidR="001F4C76" w:rsidRDefault="001F4C76" w:rsidP="001F4C76">
      <w:pPr>
        <w:rPr>
          <w:i/>
          <w:iCs/>
        </w:rPr>
      </w:pPr>
    </w:p>
    <w:p w14:paraId="438FA610" w14:textId="14C31A28" w:rsidR="001F4C76" w:rsidRDefault="001F4C76" w:rsidP="001F4C76">
      <w:r>
        <w:rPr>
          <w:i/>
          <w:iCs/>
        </w:rPr>
        <w:t>Пациенти с чернодробна недостатъчност</w:t>
      </w:r>
    </w:p>
    <w:p w14:paraId="78E292AB" w14:textId="77777777" w:rsidR="001F4C76" w:rsidRDefault="001F4C76" w:rsidP="001F4C76">
      <w:r>
        <w:lastRenderedPageBreak/>
        <w:t>Данните за пациенти с чернодробна недостатъчност и нарушена чернодробна функция са ограничени. Ето защо приложението на небиволол при тази група пациенти е противопоказано.</w:t>
      </w:r>
    </w:p>
    <w:p w14:paraId="6E5541E8" w14:textId="77777777" w:rsidR="001F4C76" w:rsidRDefault="001F4C76" w:rsidP="001F4C76">
      <w:pPr>
        <w:rPr>
          <w:i/>
          <w:iCs/>
        </w:rPr>
      </w:pPr>
    </w:p>
    <w:p w14:paraId="2721A8AD" w14:textId="779370A4" w:rsidR="001F4C76" w:rsidRDefault="001F4C76" w:rsidP="001F4C76">
      <w:r>
        <w:rPr>
          <w:i/>
          <w:iCs/>
        </w:rPr>
        <w:t>Пациенти в напреднала възраст</w:t>
      </w:r>
    </w:p>
    <w:p w14:paraId="5150C6BE" w14:textId="19770385" w:rsidR="001F4C76" w:rsidRDefault="001F4C76" w:rsidP="001F4C76">
      <w:r>
        <w:t>Н</w:t>
      </w:r>
      <w:r>
        <w:rPr>
          <w:lang w:val="en-US"/>
        </w:rPr>
        <w:t xml:space="preserve">e </w:t>
      </w:r>
      <w:r>
        <w:t>се налага коригиране на дозата, тъй като повише</w:t>
      </w:r>
      <w:r>
        <w:t xml:space="preserve">нието при титриране на дозата е </w:t>
      </w:r>
      <w:r>
        <w:t>индивидуално.</w:t>
      </w:r>
    </w:p>
    <w:p w14:paraId="1F2ED575" w14:textId="77777777" w:rsidR="001F4C76" w:rsidRDefault="001F4C76" w:rsidP="001F4C76">
      <w:pPr>
        <w:rPr>
          <w:i/>
          <w:iCs/>
        </w:rPr>
      </w:pPr>
    </w:p>
    <w:p w14:paraId="22E55552" w14:textId="57CE44B6" w:rsidR="001F4C76" w:rsidRDefault="001F4C76" w:rsidP="001F4C76">
      <w:r>
        <w:rPr>
          <w:i/>
          <w:iCs/>
        </w:rPr>
        <w:t>Деца и юноши</w:t>
      </w:r>
    </w:p>
    <w:p w14:paraId="1E0F058F" w14:textId="29E91C2F" w:rsidR="001F4C76" w:rsidRDefault="001F4C76" w:rsidP="001F4C76">
      <w:r>
        <w:t>Не са провеждани проучвания при деца и юноши. Ето защо приложението при деца и юноши не се</w:t>
      </w:r>
      <w:r>
        <w:t xml:space="preserve"> </w:t>
      </w:r>
      <w:r>
        <w:t>препоръчва.</w:t>
      </w:r>
    </w:p>
    <w:p w14:paraId="6EEB005A" w14:textId="05CEC47C" w:rsidR="001F4C76" w:rsidRDefault="001F4C76" w:rsidP="001F4C76"/>
    <w:p w14:paraId="09F50645"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Хронична сърдечна недостатъчност (ХСН)</w:t>
      </w:r>
    </w:p>
    <w:p w14:paraId="17FE316D"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Лечението е небиволол при стабилна хронична сърдечна недостатъчност трябва да започне с постепенно увеличение на дозата до постигане на оптималната индивидуална поддържаща доза. Пациентите трябва да са със стабилна хронична сърдечна недостатъчност, без епизоди на остра недостатъчност през предходните шест седмици. Препоръчително е лекуващият лекар да има опит при лечението на хронична сърдечна недостатъчност.</w:t>
      </w:r>
    </w:p>
    <w:p w14:paraId="0DBAEA75"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При пациенти, които получават сърдечно-съдови лекарства, като диуретици и/или дигоксии и/или АСЕ- инхибитори и / или ангиотензин-II-конвертиращи антагонисти, дозирането на тези лекарства трябва да бъде стабилизирано през предходните две седмици, преди започване на лечение с Бравилол.</w:t>
      </w:r>
    </w:p>
    <w:p w14:paraId="56C14565"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Дозата се титрира на интервали от една-две седмици и според индивидуалната зависимост на пациента по следните стъпки:</w:t>
      </w:r>
    </w:p>
    <w:p w14:paraId="4F902B0D" w14:textId="77777777" w:rsidR="001F4C76" w:rsidRPr="001F4C76" w:rsidRDefault="001F4C76" w:rsidP="001F4C76">
      <w:pPr>
        <w:numPr>
          <w:ilvl w:val="1"/>
          <w:numId w:val="2"/>
        </w:numPr>
        <w:spacing w:line="240" w:lineRule="auto"/>
        <w:rPr>
          <w:rFonts w:eastAsia="Times New Roman" w:cs="Arial"/>
          <w:color w:val="000000"/>
          <w:lang w:eastAsia="bg-BG"/>
        </w:rPr>
      </w:pPr>
      <w:r w:rsidRPr="001F4C76">
        <w:rPr>
          <w:rFonts w:eastAsia="Times New Roman" w:cs="Arial"/>
          <w:color w:val="000000"/>
          <w:lang w:eastAsia="bg-BG"/>
        </w:rPr>
        <w:t xml:space="preserve">5 </w:t>
      </w:r>
      <w:r w:rsidRPr="001F4C76">
        <w:rPr>
          <w:rFonts w:eastAsia="Times New Roman" w:cs="Arial"/>
          <w:color w:val="000000"/>
          <w:lang w:val="en-US"/>
        </w:rPr>
        <w:t xml:space="preserve">mg </w:t>
      </w:r>
      <w:r w:rsidRPr="001F4C76">
        <w:rPr>
          <w:rFonts w:eastAsia="Times New Roman" w:cs="Arial"/>
          <w:color w:val="000000"/>
          <w:lang w:eastAsia="bg-BG"/>
        </w:rPr>
        <w:t xml:space="preserve">небиволол се увеличава на 2,5 </w:t>
      </w:r>
      <w:r w:rsidRPr="001F4C76">
        <w:rPr>
          <w:rFonts w:eastAsia="Times New Roman" w:cs="Arial"/>
          <w:color w:val="000000"/>
          <w:lang w:val="en-US"/>
        </w:rPr>
        <w:t xml:space="preserve">mg </w:t>
      </w:r>
      <w:r w:rsidRPr="001F4C76">
        <w:rPr>
          <w:rFonts w:eastAsia="Times New Roman" w:cs="Arial"/>
          <w:color w:val="000000"/>
          <w:lang w:eastAsia="bg-BG"/>
        </w:rPr>
        <w:t xml:space="preserve">небиволол еднократно дневно, след това на 5 </w:t>
      </w:r>
      <w:r w:rsidRPr="001F4C76">
        <w:rPr>
          <w:rFonts w:eastAsia="Times New Roman" w:cs="Arial"/>
          <w:color w:val="000000"/>
          <w:lang w:val="en-US"/>
        </w:rPr>
        <w:t xml:space="preserve">mg </w:t>
      </w:r>
      <w:r w:rsidRPr="001F4C76">
        <w:rPr>
          <w:rFonts w:eastAsia="Times New Roman" w:cs="Arial"/>
          <w:color w:val="000000"/>
          <w:lang w:eastAsia="bg-BG"/>
        </w:rPr>
        <w:t xml:space="preserve">небиволол еднократно дневно и след това на 10 </w:t>
      </w:r>
      <w:r w:rsidRPr="001F4C76">
        <w:rPr>
          <w:rFonts w:eastAsia="Times New Roman" w:cs="Arial"/>
          <w:color w:val="000000"/>
          <w:lang w:val="en-US"/>
        </w:rPr>
        <w:t xml:space="preserve">mg </w:t>
      </w:r>
      <w:r w:rsidRPr="001F4C76">
        <w:rPr>
          <w:rFonts w:eastAsia="Times New Roman" w:cs="Arial"/>
          <w:color w:val="000000"/>
          <w:lang w:eastAsia="bg-BG"/>
        </w:rPr>
        <w:t>небиволол еднократно дневно.</w:t>
      </w:r>
    </w:p>
    <w:p w14:paraId="54A43C3D" w14:textId="77777777" w:rsidR="001F4C76" w:rsidRPr="001F4C76" w:rsidRDefault="001F4C76" w:rsidP="001F4C76">
      <w:pPr>
        <w:spacing w:line="240" w:lineRule="auto"/>
        <w:rPr>
          <w:rFonts w:eastAsia="Times New Roman" w:cs="Arial"/>
          <w:color w:val="000000"/>
          <w:lang w:eastAsia="bg-BG"/>
        </w:rPr>
      </w:pPr>
    </w:p>
    <w:p w14:paraId="68D0791F" w14:textId="30E4CD49"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 xml:space="preserve">Максималната препоръчителна доза е 10 </w:t>
      </w:r>
      <w:r w:rsidRPr="001F4C76">
        <w:rPr>
          <w:rFonts w:eastAsia="Times New Roman" w:cs="Arial"/>
          <w:color w:val="000000"/>
          <w:lang w:val="en-US"/>
        </w:rPr>
        <w:t xml:space="preserve">mg </w:t>
      </w:r>
      <w:r w:rsidRPr="001F4C76">
        <w:rPr>
          <w:rFonts w:eastAsia="Times New Roman" w:cs="Arial"/>
          <w:color w:val="000000"/>
          <w:lang w:eastAsia="bg-BG"/>
        </w:rPr>
        <w:t>еднократно дневно.</w:t>
      </w:r>
    </w:p>
    <w:p w14:paraId="320B107F" w14:textId="77777777" w:rsidR="001F4C76" w:rsidRPr="001F4C76" w:rsidRDefault="001F4C76" w:rsidP="001F4C76">
      <w:pPr>
        <w:spacing w:line="240" w:lineRule="auto"/>
        <w:rPr>
          <w:rFonts w:eastAsia="Times New Roman" w:cs="Arial"/>
          <w:color w:val="000000"/>
          <w:lang w:eastAsia="bg-BG"/>
        </w:rPr>
      </w:pPr>
    </w:p>
    <w:p w14:paraId="20C38D94" w14:textId="3BA7DE61"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При започване на лечението и при всяко повишение на дозата е необходим пряк медицински контрол в продължение на поне 2 часа, за да е сигурно, че клиничното състояние е стабилно (особено по отношение на кръвното налягане, сърдечна честота, проводни нарушения, белези на влошена сърдечна недостатъчност).</w:t>
      </w:r>
    </w:p>
    <w:p w14:paraId="091B2F26"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Появата на нежелани лекарствени реакции може да попречи на приложението на максимална препоръчителна доза при всички пациенти. При необходимост, достигнатата доза трябва да се намали стъпка по стъпка и да се започне отново, когато е възможно.</w:t>
      </w:r>
    </w:p>
    <w:p w14:paraId="72EC8A1C"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 xml:space="preserve">По време на фазата на титриране, при влошаване на сърдечната недостатъчност или при непоносимост, се препоръчва първо да се намали дозата небиволол или, при необходимост, да се спре веднага (при тежка хипотония, влошаване на сърдечната недостатъчност с белодробен оток, кардиогенен шок, симптоматична брадикардия или </w:t>
      </w:r>
      <w:r w:rsidRPr="001F4C76">
        <w:rPr>
          <w:rFonts w:eastAsia="Times New Roman" w:cs="Arial"/>
          <w:color w:val="000000"/>
          <w:lang w:val="en-US"/>
        </w:rPr>
        <w:t xml:space="preserve">AV </w:t>
      </w:r>
      <w:r w:rsidRPr="001F4C76">
        <w:rPr>
          <w:rFonts w:eastAsia="Times New Roman" w:cs="Arial"/>
          <w:color w:val="000000"/>
          <w:lang w:eastAsia="bg-BG"/>
        </w:rPr>
        <w:t>блок).</w:t>
      </w:r>
    </w:p>
    <w:p w14:paraId="777B550C"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Лечението на стабилната хронична сърдечна недостатъчност с небиволол обикновено е продължително. Не се препоръчва лечението с небиволол да се преустанови внезапно, тъй като това може да доведе до временно влошаване на сърдечната недостатъчност. Ако е необходимо преустановяване на лечението, дозата трябва постепенно да се понижи, като на седмица се намалява на половина.</w:t>
      </w:r>
    </w:p>
    <w:p w14:paraId="517A9762"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Таблетките могат да бъдат приемани по време на хранене.</w:t>
      </w:r>
    </w:p>
    <w:p w14:paraId="155964C1" w14:textId="77777777" w:rsidR="001F4C76" w:rsidRPr="001F4C76" w:rsidRDefault="001F4C76" w:rsidP="001F4C76">
      <w:pPr>
        <w:spacing w:line="240" w:lineRule="auto"/>
        <w:rPr>
          <w:rFonts w:eastAsia="Times New Roman" w:cs="Arial"/>
          <w:i/>
          <w:iCs/>
          <w:color w:val="000000"/>
          <w:lang w:eastAsia="bg-BG"/>
        </w:rPr>
      </w:pPr>
    </w:p>
    <w:p w14:paraId="670E6556" w14:textId="6D84A922"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lastRenderedPageBreak/>
        <w:t>Пациенти с бъбречна недостатъчност</w:t>
      </w:r>
    </w:p>
    <w:p w14:paraId="6854813E" w14:textId="0B61EC43" w:rsidR="001F4C76" w:rsidRDefault="001F4C76" w:rsidP="001F4C76">
      <w:pPr>
        <w:rPr>
          <w:rFonts w:eastAsia="Times New Roman" w:cs="Arial"/>
          <w:color w:val="000000"/>
          <w:lang w:eastAsia="bg-BG"/>
        </w:rPr>
      </w:pPr>
      <w:r w:rsidRPr="001F4C76">
        <w:rPr>
          <w:rFonts w:eastAsia="Times New Roman" w:cs="Arial"/>
          <w:color w:val="000000"/>
          <w:lang w:eastAsia="bg-BG"/>
        </w:rPr>
        <w:t>Не се налага коригиране на дозата при пациенти с лека до умерена бъбречна недостатъчност, тъй като повишението при титриране на дозата е индивидуално. Няма опит при пациенти с тежка бъбречна недостатъчност (серумен креатинин ≥ 250 μ</w:t>
      </w:r>
      <w:proofErr w:type="spellStart"/>
      <w:r w:rsidRPr="001F4C76">
        <w:rPr>
          <w:rFonts w:eastAsia="Times New Roman" w:cs="Arial"/>
          <w:color w:val="000000"/>
          <w:lang w:val="en-US"/>
        </w:rPr>
        <w:t>mol</w:t>
      </w:r>
      <w:proofErr w:type="spellEnd"/>
      <w:r w:rsidRPr="001F4C76">
        <w:rPr>
          <w:rFonts w:eastAsia="Times New Roman" w:cs="Arial"/>
          <w:color w:val="000000"/>
          <w:lang w:val="en-US"/>
        </w:rPr>
        <w:t xml:space="preserve">/l). </w:t>
      </w:r>
      <w:r w:rsidRPr="001F4C76">
        <w:rPr>
          <w:rFonts w:eastAsia="Times New Roman" w:cs="Arial"/>
          <w:color w:val="000000"/>
          <w:lang w:eastAsia="bg-BG"/>
        </w:rPr>
        <w:t>Ето защо не се препоръчва приложението на небиволол при такива пациенти.</w:t>
      </w:r>
    </w:p>
    <w:p w14:paraId="46B17A7D" w14:textId="77777777" w:rsidR="001F4C76" w:rsidRPr="001F4C76" w:rsidRDefault="001F4C76" w:rsidP="001F4C76">
      <w:pPr>
        <w:rPr>
          <w:rFonts w:cs="Arial"/>
        </w:rPr>
      </w:pPr>
    </w:p>
    <w:p w14:paraId="28C984E8" w14:textId="21B4F770" w:rsidR="008134C8" w:rsidRDefault="002C50EE" w:rsidP="004A448E">
      <w:pPr>
        <w:pStyle w:val="Heading2"/>
      </w:pPr>
      <w:r>
        <w:t>4.3. Противопоказания</w:t>
      </w:r>
    </w:p>
    <w:p w14:paraId="368537FD" w14:textId="2FC1B682" w:rsidR="001F4C76" w:rsidRDefault="001F4C76" w:rsidP="001F4C76"/>
    <w:p w14:paraId="052DEDB4"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Свръхчувствителност към лекарственото вещество или някое от помощните вещества на лекарството.</w:t>
      </w:r>
    </w:p>
    <w:p w14:paraId="4E04B83B"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Чернодробна недостатъчност или нарушена чернодробна функция.</w:t>
      </w:r>
    </w:p>
    <w:p w14:paraId="261C7EDC"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Остра сърдечна недостатъчност, кардиогенен шок или епизоди на декомпенсирана сърдечна</w:t>
      </w:r>
    </w:p>
    <w:p w14:paraId="2E3B8614"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недостатъчност, налагащи ингравенозно приложение на инотропна терапия.</w:t>
      </w:r>
    </w:p>
    <w:p w14:paraId="3C938408"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Освен това, подобно на другите бета-блокери, небиволол е противопоказан при:</w:t>
      </w:r>
    </w:p>
    <w:p w14:paraId="023D0DC9" w14:textId="77777777" w:rsidR="001F4C76" w:rsidRPr="001F4C76" w:rsidRDefault="001F4C76" w:rsidP="001F4C76">
      <w:pPr>
        <w:pStyle w:val="ListParagraph"/>
        <w:numPr>
          <w:ilvl w:val="0"/>
          <w:numId w:val="36"/>
        </w:numPr>
        <w:spacing w:line="240" w:lineRule="auto"/>
        <w:rPr>
          <w:rFonts w:eastAsia="Times New Roman" w:cs="Arial"/>
          <w:color w:val="000000"/>
          <w:lang w:eastAsia="bg-BG"/>
        </w:rPr>
      </w:pPr>
      <w:r w:rsidRPr="001F4C76">
        <w:rPr>
          <w:rFonts w:eastAsia="Times New Roman" w:cs="Arial"/>
          <w:color w:val="000000"/>
          <w:lang w:eastAsia="bg-BG"/>
        </w:rPr>
        <w:t>Синдром на болния синусов възел, включително сино-атриален блок;</w:t>
      </w:r>
    </w:p>
    <w:p w14:paraId="7B469A8D" w14:textId="77777777" w:rsidR="001F4C76" w:rsidRPr="001F4C76" w:rsidRDefault="001F4C76" w:rsidP="001F4C76">
      <w:pPr>
        <w:pStyle w:val="ListParagraph"/>
        <w:numPr>
          <w:ilvl w:val="0"/>
          <w:numId w:val="36"/>
        </w:numPr>
        <w:spacing w:line="240" w:lineRule="auto"/>
        <w:rPr>
          <w:rFonts w:eastAsia="Times New Roman" w:cs="Arial"/>
          <w:color w:val="000000"/>
          <w:lang w:eastAsia="bg-BG"/>
        </w:rPr>
      </w:pPr>
      <w:r w:rsidRPr="001F4C76">
        <w:rPr>
          <w:rFonts w:eastAsia="Times New Roman" w:cs="Arial"/>
          <w:color w:val="000000"/>
          <w:lang w:eastAsia="bg-BG"/>
        </w:rPr>
        <w:t>Втора и трета степен сърдечен блок (без пейсмейкър);</w:t>
      </w:r>
    </w:p>
    <w:p w14:paraId="5EA41ED1" w14:textId="77777777" w:rsidR="001F4C76" w:rsidRPr="001F4C76" w:rsidRDefault="001F4C76" w:rsidP="001F4C76">
      <w:pPr>
        <w:pStyle w:val="ListParagraph"/>
        <w:numPr>
          <w:ilvl w:val="0"/>
          <w:numId w:val="36"/>
        </w:numPr>
        <w:spacing w:line="240" w:lineRule="auto"/>
        <w:rPr>
          <w:rFonts w:eastAsia="Times New Roman" w:cs="Arial"/>
          <w:color w:val="000000"/>
          <w:lang w:eastAsia="bg-BG"/>
        </w:rPr>
      </w:pPr>
      <w:r w:rsidRPr="001F4C76">
        <w:rPr>
          <w:rFonts w:eastAsia="Times New Roman" w:cs="Arial"/>
          <w:color w:val="000000"/>
          <w:lang w:eastAsia="bg-BG"/>
        </w:rPr>
        <w:t>Анамнеза за бронхосназъм или бронхиална астма;</w:t>
      </w:r>
    </w:p>
    <w:p w14:paraId="35836BA6" w14:textId="36D9BFDA" w:rsidR="001F4C76" w:rsidRDefault="001F4C76" w:rsidP="001F4C76">
      <w:pPr>
        <w:pStyle w:val="ListParagraph"/>
        <w:numPr>
          <w:ilvl w:val="0"/>
          <w:numId w:val="36"/>
        </w:numPr>
        <w:rPr>
          <w:rFonts w:eastAsia="Times New Roman" w:cs="Arial"/>
          <w:color w:val="000000"/>
          <w:lang w:eastAsia="bg-BG"/>
        </w:rPr>
      </w:pPr>
      <w:r w:rsidRPr="001F4C76">
        <w:rPr>
          <w:rFonts w:eastAsia="Times New Roman" w:cs="Arial"/>
          <w:color w:val="000000"/>
          <w:lang w:eastAsia="bg-BG"/>
        </w:rPr>
        <w:t>Нелекуван феохромоцитом;</w:t>
      </w:r>
    </w:p>
    <w:p w14:paraId="09BC8EB1" w14:textId="187ED9CA" w:rsidR="001F4C76" w:rsidRPr="001F4C76" w:rsidRDefault="001F4C76" w:rsidP="001F4C76">
      <w:pPr>
        <w:pStyle w:val="ListParagraph"/>
        <w:numPr>
          <w:ilvl w:val="0"/>
          <w:numId w:val="36"/>
        </w:numPr>
        <w:spacing w:line="240" w:lineRule="auto"/>
        <w:rPr>
          <w:rFonts w:eastAsia="Times New Roman" w:cs="Arial"/>
          <w:sz w:val="24"/>
          <w:szCs w:val="24"/>
          <w:lang w:eastAsia="bg-BG"/>
        </w:rPr>
      </w:pPr>
      <w:r w:rsidRPr="001F4C76">
        <w:rPr>
          <w:rFonts w:eastAsia="Times New Roman" w:cs="Arial"/>
          <w:color w:val="000000"/>
          <w:lang w:eastAsia="bg-BG"/>
        </w:rPr>
        <w:t>Метаболитна ацидоза;</w:t>
      </w:r>
    </w:p>
    <w:p w14:paraId="21BAD759" w14:textId="7BD665B2" w:rsidR="001F4C76" w:rsidRPr="001F4C76" w:rsidRDefault="001F4C76" w:rsidP="001F4C76">
      <w:pPr>
        <w:pStyle w:val="ListParagraph"/>
        <w:numPr>
          <w:ilvl w:val="0"/>
          <w:numId w:val="36"/>
        </w:numPr>
        <w:spacing w:line="240" w:lineRule="auto"/>
        <w:rPr>
          <w:rFonts w:eastAsia="Times New Roman" w:cs="Arial"/>
          <w:sz w:val="24"/>
          <w:szCs w:val="24"/>
          <w:lang w:eastAsia="bg-BG"/>
        </w:rPr>
      </w:pPr>
      <w:r w:rsidRPr="001F4C76">
        <w:rPr>
          <w:rFonts w:eastAsia="Times New Roman" w:cs="Arial"/>
          <w:color w:val="000000"/>
          <w:lang w:eastAsia="bg-BG"/>
        </w:rPr>
        <w:t>Брадикардия (сърдечна честота &lt; 60 удара / минута преди началото на лечението);</w:t>
      </w:r>
    </w:p>
    <w:p w14:paraId="17E429E8" w14:textId="4EF76700" w:rsidR="001F4C76" w:rsidRPr="001F4C76" w:rsidRDefault="001F4C76" w:rsidP="001F4C76">
      <w:pPr>
        <w:pStyle w:val="ListParagraph"/>
        <w:numPr>
          <w:ilvl w:val="0"/>
          <w:numId w:val="36"/>
        </w:numPr>
        <w:spacing w:line="240" w:lineRule="auto"/>
        <w:rPr>
          <w:rFonts w:eastAsia="Times New Roman" w:cs="Arial"/>
          <w:sz w:val="24"/>
          <w:szCs w:val="24"/>
          <w:lang w:eastAsia="bg-BG"/>
        </w:rPr>
      </w:pPr>
      <w:r w:rsidRPr="001F4C76">
        <w:rPr>
          <w:rFonts w:eastAsia="Times New Roman" w:cs="Arial"/>
          <w:color w:val="000000"/>
          <w:lang w:eastAsia="bg-BG"/>
        </w:rPr>
        <w:t xml:space="preserve">Хипотония (систолно артериално налягане &lt; 90 </w:t>
      </w:r>
      <w:r w:rsidRPr="001F4C76">
        <w:rPr>
          <w:rFonts w:eastAsia="Times New Roman" w:cs="Arial"/>
          <w:color w:val="000000"/>
          <w:lang w:val="en-US"/>
        </w:rPr>
        <w:t>mmHg);</w:t>
      </w:r>
    </w:p>
    <w:p w14:paraId="5AA1D3A7" w14:textId="49EC9A57" w:rsidR="001F4C76" w:rsidRPr="001F4C76" w:rsidRDefault="001F4C76" w:rsidP="001F4C76">
      <w:pPr>
        <w:pStyle w:val="ListParagraph"/>
        <w:numPr>
          <w:ilvl w:val="0"/>
          <w:numId w:val="36"/>
        </w:numPr>
        <w:rPr>
          <w:rFonts w:eastAsia="Times New Roman" w:cs="Arial"/>
          <w:color w:val="000000"/>
          <w:lang w:eastAsia="bg-BG"/>
        </w:rPr>
      </w:pPr>
      <w:r w:rsidRPr="001F4C76">
        <w:rPr>
          <w:rFonts w:eastAsia="Times New Roman" w:cs="Arial"/>
          <w:color w:val="000000"/>
          <w:lang w:eastAsia="bg-BG"/>
        </w:rPr>
        <w:t>Тежки нарушения в периферното кръвообращение.</w:t>
      </w:r>
    </w:p>
    <w:p w14:paraId="31265FFC" w14:textId="77777777" w:rsidR="001F4C76" w:rsidRPr="001F4C76" w:rsidRDefault="001F4C76" w:rsidP="001F4C76"/>
    <w:p w14:paraId="212F509C" w14:textId="1958D0EE" w:rsidR="004F498A" w:rsidRDefault="002C50EE" w:rsidP="004A448E">
      <w:pPr>
        <w:pStyle w:val="Heading2"/>
      </w:pPr>
      <w:r>
        <w:t>4.4. Специални предупреждения и предпазни мерки при употреба</w:t>
      </w:r>
    </w:p>
    <w:p w14:paraId="7F53F952" w14:textId="1B743181" w:rsidR="001F4C76" w:rsidRDefault="001F4C76" w:rsidP="001F4C76"/>
    <w:p w14:paraId="0304AB8B"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Вж. също точка 4.8 Нежелани лекарствени реакции</w:t>
      </w:r>
    </w:p>
    <w:p w14:paraId="6535B6B4"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По принцип за бета-адренергичните блокери са в сила следните предупреждения и предпазни мерки при употреба:</w:t>
      </w:r>
    </w:p>
    <w:p w14:paraId="3B01CF7D" w14:textId="77777777" w:rsidR="001F4C76" w:rsidRPr="001F4C76" w:rsidRDefault="001F4C76" w:rsidP="001F4C76">
      <w:pPr>
        <w:spacing w:line="240" w:lineRule="auto"/>
        <w:rPr>
          <w:rFonts w:eastAsia="Times New Roman" w:cs="Arial"/>
          <w:i/>
          <w:iCs/>
          <w:color w:val="000000"/>
          <w:lang w:eastAsia="bg-BG"/>
        </w:rPr>
      </w:pPr>
    </w:p>
    <w:p w14:paraId="58AF14F9" w14:textId="2352CFFD"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Анестезия</w:t>
      </w:r>
    </w:p>
    <w:p w14:paraId="4FC46F6B"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Ако не се преустанови, бета-блокадата намалява риска от аритмии по време на въвеждане в анестезия и интубиране. Когато бета-блокадата се прекъсва при подготовка за оперативна намеса, приложението на бета-блокер трябва да се преустанови поне 24 часа преди това.</w:t>
      </w:r>
    </w:p>
    <w:p w14:paraId="3EAA4AEB" w14:textId="77777777" w:rsidR="001F4C76" w:rsidRPr="001F4C76" w:rsidRDefault="001F4C76" w:rsidP="001F4C76">
      <w:pPr>
        <w:spacing w:line="240" w:lineRule="auto"/>
        <w:rPr>
          <w:rFonts w:eastAsia="Times New Roman" w:cs="Arial"/>
          <w:color w:val="000000"/>
          <w:lang w:eastAsia="bg-BG"/>
        </w:rPr>
      </w:pPr>
    </w:p>
    <w:p w14:paraId="3DF34957" w14:textId="4F81B930"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При приложението на някои кардиодепресивни анестетици, като циклопропан, етер или трихлоретилен, е необходимо особено внимание. За да се предотврати появата на вагусови реакции, може да се приложи интравенозно атропин.</w:t>
      </w:r>
    </w:p>
    <w:p w14:paraId="3DFD2C18" w14:textId="77777777" w:rsidR="001F4C76" w:rsidRPr="001F4C76" w:rsidRDefault="001F4C76" w:rsidP="001F4C76">
      <w:pPr>
        <w:spacing w:line="240" w:lineRule="auto"/>
        <w:rPr>
          <w:rFonts w:eastAsia="Times New Roman" w:cs="Arial"/>
          <w:i/>
          <w:iCs/>
          <w:color w:val="000000"/>
          <w:lang w:eastAsia="bg-BG"/>
        </w:rPr>
      </w:pPr>
    </w:p>
    <w:p w14:paraId="395176E8" w14:textId="2608E31A"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Сърдечно-съдова система</w:t>
      </w:r>
    </w:p>
    <w:p w14:paraId="4AC6D00F" w14:textId="77777777" w:rsidR="001F4C76" w:rsidRPr="001F4C76" w:rsidRDefault="001F4C76" w:rsidP="001F4C76">
      <w:pPr>
        <w:spacing w:line="240" w:lineRule="auto"/>
        <w:rPr>
          <w:rFonts w:eastAsia="Times New Roman" w:cs="Arial"/>
          <w:color w:val="000000"/>
          <w:lang w:eastAsia="bg-BG"/>
        </w:rPr>
      </w:pPr>
    </w:p>
    <w:p w14:paraId="054B7621" w14:textId="349171C8"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Но принцип бета-адренергичните антагонисти не трябва да се използват при пациенти с нелекувана застойна сърдечна недостатъчност, с изключение на случаите, когато състоянието на пациента е стабилизирано.</w:t>
      </w:r>
    </w:p>
    <w:p w14:paraId="5D12951C" w14:textId="77777777" w:rsidR="001F4C76" w:rsidRPr="001F4C76" w:rsidRDefault="001F4C76" w:rsidP="001F4C76">
      <w:pPr>
        <w:spacing w:line="240" w:lineRule="auto"/>
        <w:rPr>
          <w:rFonts w:eastAsia="Times New Roman" w:cs="Arial"/>
          <w:color w:val="000000"/>
          <w:lang w:eastAsia="bg-BG"/>
        </w:rPr>
      </w:pPr>
    </w:p>
    <w:p w14:paraId="551E6BD4"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lastRenderedPageBreak/>
        <w:t>При пациенти с исхемична болест на сърцето приложението на бета-адренергичните антагонисти се преустановява постепенно, в продължение на повече от 1-2 седмици. При необходимост, през този период се започва заместваща терапия, за да се избегне екзецербация на ангина пекторис.</w:t>
      </w:r>
    </w:p>
    <w:p w14:paraId="3B1690F1" w14:textId="77777777" w:rsidR="001F4C76" w:rsidRPr="001F4C76" w:rsidRDefault="001F4C76" w:rsidP="001F4C76">
      <w:pPr>
        <w:spacing w:line="240" w:lineRule="auto"/>
        <w:rPr>
          <w:rFonts w:eastAsia="Times New Roman" w:cs="Arial"/>
          <w:sz w:val="24"/>
          <w:szCs w:val="24"/>
          <w:lang w:eastAsia="bg-BG"/>
        </w:rPr>
      </w:pPr>
    </w:p>
    <w:p w14:paraId="539BD184" w14:textId="6BC353C0" w:rsidR="001F4C76" w:rsidRPr="001F4C76" w:rsidRDefault="001F4C76" w:rsidP="001F4C76">
      <w:pPr>
        <w:spacing w:line="240" w:lineRule="auto"/>
        <w:rPr>
          <w:rFonts w:eastAsia="Times New Roman" w:cs="Arial"/>
          <w:color w:val="000000"/>
          <w:lang w:eastAsia="bg-BG"/>
        </w:rPr>
      </w:pPr>
      <w:r w:rsidRPr="001F4C76">
        <w:rPr>
          <w:rFonts w:eastAsia="Times New Roman" w:cs="Arial"/>
          <w:color w:val="000000"/>
          <w:lang w:eastAsia="bg-BG"/>
        </w:rPr>
        <w:t>Бета-адренергичните антагонисти могат да предизвикат брадикардия: при честотата на пулса под 50-55 удара/минута в покой и/или при симптоми, насочващи за брадикардия, дозата трябва да се намали.</w:t>
      </w:r>
    </w:p>
    <w:p w14:paraId="3F70E3A9" w14:textId="68DAAE6C" w:rsidR="001F4C76" w:rsidRPr="001F4C76" w:rsidRDefault="001F4C76" w:rsidP="001F4C76">
      <w:pPr>
        <w:spacing w:line="240" w:lineRule="auto"/>
        <w:rPr>
          <w:rFonts w:eastAsia="Times New Roman" w:cs="Arial"/>
          <w:color w:val="000000"/>
          <w:lang w:eastAsia="bg-BG"/>
        </w:rPr>
      </w:pPr>
    </w:p>
    <w:p w14:paraId="78C93F5D"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Бета-адренергичните антагонисти трябва да се използват с внимание при:</w:t>
      </w:r>
    </w:p>
    <w:p w14:paraId="5B90D695"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w:t>
      </w:r>
      <w:r w:rsidRPr="001F4C76">
        <w:rPr>
          <w:rFonts w:eastAsia="Times New Roman" w:cs="Arial"/>
          <w:color w:val="000000"/>
          <w:lang w:eastAsia="bg-BG"/>
        </w:rPr>
        <w:tab/>
        <w:t>Пациенти с нарушено периферно кръвообращение (болест или синдром на Рейно, интермитентно накуцване), тъй като може да настъпи утежняване на симптомите;</w:t>
      </w:r>
    </w:p>
    <w:p w14:paraId="5E84FF73"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w:t>
      </w:r>
      <w:r w:rsidRPr="001F4C76">
        <w:rPr>
          <w:rFonts w:eastAsia="Times New Roman" w:cs="Arial"/>
          <w:color w:val="000000"/>
          <w:lang w:eastAsia="bg-BG"/>
        </w:rPr>
        <w:tab/>
        <w:t>При пациенти с 1-ва степен сърдечен блок, поради негативния ефект на бета-блокерите върху времето на провеждане;</w:t>
      </w:r>
    </w:p>
    <w:p w14:paraId="2F48B924"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w:t>
      </w:r>
      <w:r w:rsidRPr="001F4C76">
        <w:rPr>
          <w:rFonts w:eastAsia="Times New Roman" w:cs="Arial"/>
          <w:color w:val="000000"/>
          <w:lang w:eastAsia="bg-BG"/>
        </w:rPr>
        <w:tab/>
        <w:t>При пациенти с ангина на принцметал, тъй като при тях се наблюдава коронарен вазоспазъм, медииран от алфарецепторите, които не се блокират. Бета-адренергичните антагонисти могат да увеличат честотата и продължителността на ангинозните пристъпи.</w:t>
      </w:r>
    </w:p>
    <w:p w14:paraId="13F3762B"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По принцип не се препоръчва комбинирането на небиволол с калциеви антагонисти от верапамилов и дилтиаземов тип, с антиаритмици клас I и с централно-действащи антихипертензивни лекарствени продукти (за повече информация вж. точка 4.5).</w:t>
      </w:r>
    </w:p>
    <w:p w14:paraId="7DDB1AA5" w14:textId="77777777" w:rsidR="001F4C76" w:rsidRPr="001F4C76" w:rsidRDefault="001F4C76" w:rsidP="001F4C76">
      <w:pPr>
        <w:spacing w:line="240" w:lineRule="auto"/>
        <w:rPr>
          <w:rFonts w:eastAsia="Times New Roman" w:cs="Arial"/>
          <w:i/>
          <w:iCs/>
          <w:color w:val="000000"/>
          <w:lang w:eastAsia="bg-BG"/>
        </w:rPr>
      </w:pPr>
    </w:p>
    <w:p w14:paraId="7E090C29" w14:textId="1F759B7F"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Метаболизъм/Ендокринна система</w:t>
      </w:r>
    </w:p>
    <w:p w14:paraId="08A54FC0" w14:textId="77777777" w:rsidR="001F4C76" w:rsidRPr="001F4C76" w:rsidRDefault="001F4C76" w:rsidP="001F4C76">
      <w:pPr>
        <w:spacing w:line="240" w:lineRule="auto"/>
        <w:rPr>
          <w:rFonts w:eastAsia="Times New Roman" w:cs="Arial"/>
          <w:color w:val="000000"/>
          <w:lang w:eastAsia="bg-BG"/>
        </w:rPr>
      </w:pPr>
    </w:p>
    <w:p w14:paraId="3C24781B" w14:textId="599A1F08"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Небиволол не повлиява нивата на кръвната глюкоза при пациенти със захарен диабет. По принцип е препоръчително да се внимава при диабетици, тъй като небиволол може да маскира някои от симптомите на хипогликемията (тахикардия, палпитации).</w:t>
      </w:r>
    </w:p>
    <w:p w14:paraId="66012CD6" w14:textId="77777777" w:rsidR="001F4C76" w:rsidRPr="001F4C76" w:rsidRDefault="001F4C76" w:rsidP="001F4C76">
      <w:pPr>
        <w:spacing w:line="240" w:lineRule="auto"/>
        <w:rPr>
          <w:rFonts w:eastAsia="Times New Roman" w:cs="Arial"/>
          <w:color w:val="000000"/>
          <w:lang w:eastAsia="bg-BG"/>
        </w:rPr>
      </w:pPr>
    </w:p>
    <w:p w14:paraId="286251E2" w14:textId="48F1240F"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Приложението на бета-блокери при пациенти с хипергиреоидизъм може да маскира симптоми на</w:t>
      </w:r>
      <w:r w:rsidRPr="001F4C76">
        <w:rPr>
          <w:rFonts w:eastAsia="Times New Roman" w:cs="Arial"/>
          <w:color w:val="000000"/>
          <w:vertAlign w:val="superscript"/>
          <w:lang w:eastAsia="bg-BG"/>
        </w:rPr>
        <w:t xml:space="preserve"> </w:t>
      </w:r>
      <w:r w:rsidRPr="001F4C76">
        <w:rPr>
          <w:rFonts w:eastAsia="Times New Roman" w:cs="Arial"/>
          <w:color w:val="000000"/>
          <w:lang w:eastAsia="bg-BG"/>
        </w:rPr>
        <w:t>тахикардия. Внезапното прекъсване на лечението може да засили симптомите.</w:t>
      </w:r>
    </w:p>
    <w:p w14:paraId="75436DD7" w14:textId="77C90CD3" w:rsidR="001F4C76" w:rsidRDefault="001F4C76" w:rsidP="001F4C76"/>
    <w:p w14:paraId="1C43AAD0"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Дихателна система</w:t>
      </w:r>
    </w:p>
    <w:p w14:paraId="6A24906E" w14:textId="77777777" w:rsidR="001F4C76" w:rsidRPr="001F4C76" w:rsidRDefault="001F4C76" w:rsidP="001F4C76">
      <w:pPr>
        <w:spacing w:line="240" w:lineRule="auto"/>
        <w:rPr>
          <w:rFonts w:eastAsia="Times New Roman" w:cs="Arial"/>
          <w:color w:val="000000"/>
          <w:lang w:eastAsia="bg-BG"/>
        </w:rPr>
      </w:pPr>
    </w:p>
    <w:p w14:paraId="6AFCBA70" w14:textId="09F07E29"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Бета-блокерите трябва да се прилагат предпазливо при пациенти с хронична обструктивна белодробна болест, тъй като може да засилят спазъма на дихателните пътища.</w:t>
      </w:r>
    </w:p>
    <w:p w14:paraId="1A3918CE" w14:textId="77777777" w:rsidR="001F4C76" w:rsidRPr="001F4C76" w:rsidRDefault="001F4C76" w:rsidP="001F4C76">
      <w:pPr>
        <w:spacing w:line="240" w:lineRule="auto"/>
        <w:rPr>
          <w:rFonts w:eastAsia="Times New Roman" w:cs="Arial"/>
          <w:i/>
          <w:iCs/>
          <w:color w:val="000000"/>
          <w:lang w:eastAsia="bg-BG"/>
        </w:rPr>
      </w:pPr>
    </w:p>
    <w:p w14:paraId="7C894276" w14:textId="17C5CC3E"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Други</w:t>
      </w:r>
    </w:p>
    <w:p w14:paraId="167558A0" w14:textId="77777777" w:rsidR="001F4C76" w:rsidRPr="001F4C76" w:rsidRDefault="001F4C76" w:rsidP="001F4C76">
      <w:pPr>
        <w:spacing w:line="240" w:lineRule="auto"/>
        <w:rPr>
          <w:rFonts w:eastAsia="Times New Roman" w:cs="Arial"/>
          <w:color w:val="000000"/>
          <w:lang w:eastAsia="bg-BG"/>
        </w:rPr>
      </w:pPr>
    </w:p>
    <w:p w14:paraId="38C798BC" w14:textId="1B7945BE"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Пациенти с анамнеза за псориазис трябва да приемат бета-блокери само след внимателна преценка.</w:t>
      </w:r>
    </w:p>
    <w:p w14:paraId="585B12CB" w14:textId="77777777" w:rsidR="001F4C76" w:rsidRPr="001F4C76" w:rsidRDefault="001F4C76" w:rsidP="001F4C76">
      <w:pPr>
        <w:spacing w:line="240" w:lineRule="auto"/>
        <w:rPr>
          <w:rFonts w:eastAsia="Times New Roman" w:cs="Arial"/>
          <w:color w:val="000000"/>
          <w:lang w:eastAsia="bg-BG"/>
        </w:rPr>
      </w:pPr>
    </w:p>
    <w:p w14:paraId="5C3B457A" w14:textId="2ED5BA5B"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Бета-адренергичните антагонисти може да засилят чувствителността към алергени и тежестта на анафилактичните реакции.</w:t>
      </w:r>
    </w:p>
    <w:p w14:paraId="68E549B6"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Започването на лечение на хронична сърдечна недостатъчност с небиволол изисква редовно проследяване. За дозировка и начин на приложение, вж. точка 4.2. Лечението не трябва да се преустановява внезапно, освен ако не е категорично показано. За повече информация, вж. точка 4.2.</w:t>
      </w:r>
    </w:p>
    <w:p w14:paraId="76FE020B" w14:textId="30B2D824" w:rsidR="001F4C76" w:rsidRDefault="001F4C76" w:rsidP="001F4C76">
      <w:pPr>
        <w:rPr>
          <w:rFonts w:eastAsia="Times New Roman" w:cs="Arial"/>
          <w:color w:val="000000"/>
          <w:lang w:eastAsia="bg-BG"/>
        </w:rPr>
      </w:pPr>
      <w:r w:rsidRPr="001F4C76">
        <w:rPr>
          <w:rFonts w:eastAsia="Times New Roman" w:cs="Arial"/>
          <w:color w:val="000000"/>
          <w:lang w:eastAsia="bg-BG"/>
        </w:rPr>
        <w:lastRenderedPageBreak/>
        <w:t xml:space="preserve">Лекарственият продукт съдържа лактоза. Пациенти с редки наследствени нарушения на галактозна непоносимост, </w:t>
      </w:r>
      <w:r w:rsidRPr="001F4C76">
        <w:rPr>
          <w:rFonts w:eastAsia="Times New Roman" w:cs="Arial"/>
          <w:color w:val="000000"/>
          <w:lang w:val="en-US"/>
        </w:rPr>
        <w:t>Lapp</w:t>
      </w:r>
      <w:r w:rsidRPr="001F4C76">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581AA36F" w14:textId="77777777" w:rsidR="001F4C76" w:rsidRPr="001F4C76" w:rsidRDefault="001F4C76" w:rsidP="001F4C76">
      <w:pPr>
        <w:rPr>
          <w:rFonts w:cs="Arial"/>
        </w:rPr>
      </w:pPr>
    </w:p>
    <w:p w14:paraId="619DED1E" w14:textId="6EAA80A2"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E15C1A9" w14:textId="43B33F25" w:rsidR="001F4C76" w:rsidRDefault="001F4C76" w:rsidP="001F4C76"/>
    <w:p w14:paraId="1DABE9BA"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Следните взаимодействия са характерни за бета-блокерите:</w:t>
      </w:r>
    </w:p>
    <w:p w14:paraId="05A6C664" w14:textId="77777777" w:rsidR="001F4C76" w:rsidRPr="001F4C76" w:rsidRDefault="001F4C76" w:rsidP="001F4C76">
      <w:pPr>
        <w:spacing w:line="240" w:lineRule="auto"/>
        <w:rPr>
          <w:rFonts w:eastAsia="Times New Roman" w:cs="Arial"/>
          <w:color w:val="000000"/>
          <w:u w:val="single"/>
          <w:lang w:eastAsia="bg-BG"/>
        </w:rPr>
      </w:pPr>
    </w:p>
    <w:p w14:paraId="6732574A" w14:textId="1133A753"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u w:val="single"/>
          <w:lang w:eastAsia="bg-BG"/>
        </w:rPr>
        <w:t>Комбинации, които не се препоръчват:</w:t>
      </w:r>
    </w:p>
    <w:p w14:paraId="114BA01B"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Антиаритмични лекарства клас I (хинидин, хидрохинидин, цибензолин, флекаинидин. дизопирамид, лидокаин, мексилетин, пропафенон):</w:t>
      </w:r>
      <w:r w:rsidRPr="001F4C76">
        <w:rPr>
          <w:rFonts w:eastAsia="Times New Roman" w:cs="Arial"/>
          <w:color w:val="000000"/>
          <w:lang w:eastAsia="bg-BG"/>
        </w:rPr>
        <w:t xml:space="preserve"> може да се потенцира ефектът върху атрио-вентрикуларното проводно време и да се усили отрицателният инотропен ефект.</w:t>
      </w:r>
    </w:p>
    <w:p w14:paraId="5937264F" w14:textId="77777777" w:rsidR="001F4C76" w:rsidRPr="001F4C76" w:rsidRDefault="001F4C76" w:rsidP="001F4C76">
      <w:pPr>
        <w:spacing w:line="240" w:lineRule="auto"/>
        <w:rPr>
          <w:rFonts w:eastAsia="Times New Roman" w:cs="Arial"/>
          <w:i/>
          <w:iCs/>
          <w:color w:val="000000"/>
          <w:lang w:eastAsia="bg-BG"/>
        </w:rPr>
      </w:pPr>
    </w:p>
    <w:p w14:paraId="1D49E6B4" w14:textId="6A159662"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Калциеви антагонисти от верапамилов/ дилтиаземов тип:</w:t>
      </w:r>
      <w:r w:rsidRPr="001F4C76">
        <w:rPr>
          <w:rFonts w:eastAsia="Times New Roman" w:cs="Arial"/>
          <w:color w:val="000000"/>
          <w:lang w:eastAsia="bg-BG"/>
        </w:rPr>
        <w:t xml:space="preserve"> негативен ефект върху контрактилитета и атрио-вентрикуларната проводимост. Интравенозното приложение на верапамил при пациенти, приемащи бета-блокер, може да доведе до тежка хипотония и атрио- вентрикуларен блок, (виж 4.4)</w:t>
      </w:r>
    </w:p>
    <w:p w14:paraId="3E293C8D" w14:textId="77777777" w:rsidR="001F4C76" w:rsidRPr="001F4C76" w:rsidRDefault="001F4C76" w:rsidP="001F4C76">
      <w:pPr>
        <w:spacing w:line="240" w:lineRule="auto"/>
        <w:rPr>
          <w:rFonts w:eastAsia="Times New Roman" w:cs="Arial"/>
          <w:i/>
          <w:iCs/>
          <w:color w:val="000000"/>
          <w:lang w:eastAsia="bg-BG"/>
        </w:rPr>
      </w:pPr>
    </w:p>
    <w:p w14:paraId="37245864" w14:textId="33C59671"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Централно-действащи антихипертензивни лекарствени продукти (клонидин, моксонидин, метилдопа, руилменидин):</w:t>
      </w:r>
      <w:r w:rsidRPr="001F4C76">
        <w:rPr>
          <w:rFonts w:eastAsia="Times New Roman" w:cs="Arial"/>
          <w:color w:val="000000"/>
          <w:lang w:eastAsia="bg-BG"/>
        </w:rPr>
        <w:t xml:space="preserve"> едновременното приложение на цензрално-действащи антихипертензивни лекарствени продукти може да влоши сърдечната недостатъчност чрез понижение на централния симпатиков тонус (понижение в сърдечната честота и сърдечния обем, вазодилатация, виж т. 4.4). Внезапно преустановяване, особено преди преустановяване на бета- блокера, може да повиши риска от </w:t>
      </w:r>
      <w:r w:rsidRPr="001F4C76">
        <w:rPr>
          <w:rFonts w:eastAsia="Times New Roman" w:cs="Arial"/>
          <w:color w:val="000000"/>
          <w:lang w:val="en-US"/>
        </w:rPr>
        <w:t>“rebound</w:t>
      </w:r>
      <w:r w:rsidRPr="001F4C76">
        <w:rPr>
          <w:rFonts w:eastAsia="Times New Roman" w:cs="Arial"/>
          <w:color w:val="000000"/>
          <w:lang w:eastAsia="bg-BG"/>
        </w:rPr>
        <w:t>-хипертония”.</w:t>
      </w:r>
    </w:p>
    <w:p w14:paraId="03BA74FB" w14:textId="77777777" w:rsidR="001F4C76" w:rsidRPr="001F4C76" w:rsidRDefault="001F4C76" w:rsidP="001F4C76">
      <w:pPr>
        <w:spacing w:line="240" w:lineRule="auto"/>
        <w:rPr>
          <w:rFonts w:eastAsia="Times New Roman" w:cs="Arial"/>
          <w:color w:val="000000"/>
          <w:u w:val="single"/>
          <w:lang w:eastAsia="bg-BG"/>
        </w:rPr>
      </w:pPr>
    </w:p>
    <w:p w14:paraId="085FB55F" w14:textId="4F04BC59"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u w:val="single"/>
          <w:lang w:eastAsia="bg-BG"/>
        </w:rPr>
        <w:t>Комбинации, които трябва да се прилагат с внимание:</w:t>
      </w:r>
    </w:p>
    <w:p w14:paraId="5ABDA419"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 xml:space="preserve">Антиаритмични лекарства клас </w:t>
      </w:r>
      <w:r w:rsidRPr="001F4C76">
        <w:rPr>
          <w:rFonts w:eastAsia="Times New Roman" w:cs="Arial"/>
          <w:i/>
          <w:iCs/>
          <w:color w:val="000000"/>
          <w:lang w:val="en-US"/>
        </w:rPr>
        <w:t xml:space="preserve">III </w:t>
      </w:r>
      <w:r w:rsidRPr="001F4C76">
        <w:rPr>
          <w:rFonts w:eastAsia="Times New Roman" w:cs="Arial"/>
          <w:i/>
          <w:iCs/>
          <w:color w:val="000000"/>
          <w:lang w:eastAsia="bg-BG"/>
        </w:rPr>
        <w:t>(амиодарон):</w:t>
      </w:r>
      <w:r w:rsidRPr="001F4C76">
        <w:rPr>
          <w:rFonts w:eastAsia="Times New Roman" w:cs="Arial"/>
          <w:color w:val="000000"/>
          <w:lang w:eastAsia="bg-BG"/>
        </w:rPr>
        <w:t xml:space="preserve"> може да се потенцира ефектът върху атрио- вентрикуларното проводно време.</w:t>
      </w:r>
    </w:p>
    <w:p w14:paraId="384D41D4"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Анестетици летливи халогенати:</w:t>
      </w:r>
      <w:r w:rsidRPr="001F4C76">
        <w:rPr>
          <w:rFonts w:eastAsia="Times New Roman" w:cs="Arial"/>
          <w:color w:val="000000"/>
          <w:lang w:eastAsia="bg-BG"/>
        </w:rPr>
        <w:t xml:space="preserve"> едновременното приложение на бета-адренергични блокери и анестетици може да намали проявата на рефлекторна тахикардия и да повиши риска от хипотония (вж. точка 4.4) Но принцип да се избягва внезапното преустановяване на бета-блокера. Анестезиологът трябва да бъде информиран, ако пациентът приема небиволол.</w:t>
      </w:r>
    </w:p>
    <w:p w14:paraId="1758D1EB" w14:textId="77777777" w:rsidR="001F4C76" w:rsidRPr="001F4C76" w:rsidRDefault="001F4C76" w:rsidP="001F4C76">
      <w:pPr>
        <w:spacing w:line="240" w:lineRule="auto"/>
        <w:rPr>
          <w:rFonts w:eastAsia="Times New Roman" w:cs="Arial"/>
          <w:i/>
          <w:iCs/>
          <w:color w:val="000000"/>
          <w:lang w:eastAsia="bg-BG"/>
        </w:rPr>
      </w:pPr>
    </w:p>
    <w:p w14:paraId="06E32754" w14:textId="23268213"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Инсулин и антидиабетни лекарствени продукти:</w:t>
      </w:r>
    </w:p>
    <w:p w14:paraId="536875AA" w14:textId="10FCC8AC" w:rsidR="001F4C76" w:rsidRDefault="001F4C76" w:rsidP="001F4C76">
      <w:pPr>
        <w:spacing w:line="240" w:lineRule="auto"/>
        <w:rPr>
          <w:rFonts w:eastAsia="Times New Roman" w:cs="Arial"/>
          <w:color w:val="000000"/>
          <w:lang w:eastAsia="bg-BG"/>
        </w:rPr>
      </w:pPr>
      <w:r w:rsidRPr="001F4C76">
        <w:rPr>
          <w:rFonts w:eastAsia="Times New Roman" w:cs="Arial"/>
          <w:color w:val="000000"/>
          <w:lang w:eastAsia="bg-BG"/>
        </w:rPr>
        <w:t>Въпреки че небиволол не повлиява нивата на кръвната глюкоза, може да маскира</w:t>
      </w:r>
      <w:r w:rsidRPr="001F4C76">
        <w:rPr>
          <w:rFonts w:eastAsia="Times New Roman" w:cs="Arial"/>
          <w:color w:val="000000"/>
          <w:lang w:val="en-US"/>
        </w:rPr>
        <w:t xml:space="preserve"> </w:t>
      </w:r>
      <w:r w:rsidRPr="001F4C76">
        <w:rPr>
          <w:rFonts w:eastAsia="Times New Roman" w:cs="Arial"/>
          <w:color w:val="000000"/>
          <w:lang w:eastAsia="bg-BG"/>
        </w:rPr>
        <w:t>някои симптоми  на хипогликемията (палпитации, тахикардия).</w:t>
      </w:r>
    </w:p>
    <w:p w14:paraId="4CAB1ED0" w14:textId="5BC9F178" w:rsidR="001F4C76" w:rsidRDefault="001F4C76" w:rsidP="001F4C76">
      <w:pPr>
        <w:spacing w:line="240" w:lineRule="auto"/>
        <w:rPr>
          <w:rFonts w:eastAsia="Times New Roman" w:cs="Arial"/>
          <w:color w:val="000000"/>
          <w:lang w:eastAsia="bg-BG"/>
        </w:rPr>
      </w:pPr>
    </w:p>
    <w:p w14:paraId="70C40C92"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u w:val="single"/>
          <w:lang w:eastAsia="bg-BG"/>
        </w:rPr>
        <w:t>Комбинации, които трябва да се имат предвид:</w:t>
      </w:r>
    </w:p>
    <w:p w14:paraId="62AFFCD9" w14:textId="77777777" w:rsidR="001F4C76" w:rsidRPr="001F4C76" w:rsidRDefault="001F4C76" w:rsidP="001F4C76">
      <w:pPr>
        <w:spacing w:line="240" w:lineRule="auto"/>
        <w:rPr>
          <w:rFonts w:eastAsia="Times New Roman" w:cs="Arial"/>
          <w:i/>
          <w:iCs/>
          <w:color w:val="000000"/>
          <w:lang w:eastAsia="bg-BG"/>
        </w:rPr>
      </w:pPr>
    </w:p>
    <w:p w14:paraId="2C23203F" w14:textId="62A157BE"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Дигиталисови гликозиди:</w:t>
      </w:r>
    </w:p>
    <w:p w14:paraId="5A98D73E"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Едновременното приложение може да увеличи атриовенгтрикуларното проводно време. Клиничните изпитвания с небиволол не показват някакви клинични доказателства за взаимодействия. Небиволол не повлиява кинетиката на дигоксин.</w:t>
      </w:r>
    </w:p>
    <w:p w14:paraId="24783287" w14:textId="77777777" w:rsidR="001F4C76" w:rsidRPr="001F4C76" w:rsidRDefault="001F4C76" w:rsidP="001F4C76">
      <w:pPr>
        <w:spacing w:line="240" w:lineRule="auto"/>
        <w:rPr>
          <w:rFonts w:eastAsia="Times New Roman" w:cs="Arial"/>
          <w:i/>
          <w:iCs/>
          <w:color w:val="000000"/>
          <w:lang w:eastAsia="bg-BG"/>
        </w:rPr>
      </w:pPr>
    </w:p>
    <w:p w14:paraId="348654DE" w14:textId="1483EF18"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нитредипин):</w:t>
      </w:r>
    </w:p>
    <w:p w14:paraId="20729F58"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lastRenderedPageBreak/>
        <w:t>Едновременно приложение може да увеличи риска от хипотония и не може да се изключи увеличен риск от допълнително влошаване на камерната помпена функция при пациенти със сърдечна недостатъчност.</w:t>
      </w:r>
    </w:p>
    <w:p w14:paraId="0A71ACED" w14:textId="77777777" w:rsidR="001F4C76" w:rsidRPr="001F4C76" w:rsidRDefault="001F4C76" w:rsidP="001F4C76">
      <w:pPr>
        <w:spacing w:line="240" w:lineRule="auto"/>
        <w:rPr>
          <w:rFonts w:eastAsia="Times New Roman" w:cs="Arial"/>
          <w:i/>
          <w:iCs/>
          <w:color w:val="000000"/>
          <w:lang w:eastAsia="bg-BG"/>
        </w:rPr>
      </w:pPr>
    </w:p>
    <w:p w14:paraId="6857AC83" w14:textId="32373179"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 xml:space="preserve">Антипсихотици, антидепресанти (трициклични, барбитурати и фенотиазини):едновременното </w:t>
      </w:r>
      <w:r w:rsidRPr="001F4C76">
        <w:rPr>
          <w:rFonts w:eastAsia="Times New Roman" w:cs="Arial"/>
          <w:color w:val="000000"/>
          <w:lang w:eastAsia="bg-BG"/>
        </w:rPr>
        <w:t>приложение може да засили хипотензивния ефект на бета-блокерите.</w:t>
      </w:r>
    </w:p>
    <w:p w14:paraId="06820A9D"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 xml:space="preserve">Нестероидни противовъзпалителни лекарствени средства </w:t>
      </w:r>
      <w:r w:rsidRPr="001F4C76">
        <w:rPr>
          <w:rFonts w:eastAsia="Times New Roman" w:cs="Arial"/>
          <w:i/>
          <w:iCs/>
          <w:color w:val="000000"/>
          <w:lang w:val="en-US"/>
        </w:rPr>
        <w:t>(H</w:t>
      </w:r>
      <w:r w:rsidRPr="001F4C76">
        <w:rPr>
          <w:rFonts w:eastAsia="Times New Roman" w:cs="Arial"/>
          <w:i/>
          <w:iCs/>
          <w:color w:val="000000"/>
          <w:lang w:eastAsia="bg-BG"/>
        </w:rPr>
        <w:t>П</w:t>
      </w:r>
      <w:r w:rsidRPr="001F4C76">
        <w:rPr>
          <w:rFonts w:eastAsia="Times New Roman" w:cs="Arial"/>
          <w:i/>
          <w:iCs/>
          <w:color w:val="000000"/>
          <w:lang w:val="en-US"/>
        </w:rPr>
        <w:t>BC):</w:t>
      </w:r>
      <w:r w:rsidRPr="001F4C76">
        <w:rPr>
          <w:rFonts w:eastAsia="Times New Roman" w:cs="Arial"/>
          <w:color w:val="000000"/>
          <w:lang w:val="en-US"/>
        </w:rPr>
        <w:t xml:space="preserve"> </w:t>
      </w:r>
      <w:r w:rsidRPr="001F4C76">
        <w:rPr>
          <w:rFonts w:eastAsia="Times New Roman" w:cs="Arial"/>
          <w:color w:val="000000"/>
          <w:lang w:eastAsia="bg-BG"/>
        </w:rPr>
        <w:t>нямат ефект върху понижаващия кръвното налягане ефект на небиволол .</w:t>
      </w:r>
    </w:p>
    <w:p w14:paraId="45DDE786"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Симпатикомиметични лекарства:</w:t>
      </w:r>
    </w:p>
    <w:p w14:paraId="6D07EC40"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Едновременното приложение може да противодейства на бета-антагонистична активност. Бета- блокерите могат да доведат до безпрепятствена алфа-адренергична активност на симпатикомиметиците с алфа- и с бетаадренергична активност (опасност от хипертония, тежка брадикардия и сърдечен блок).</w:t>
      </w:r>
    </w:p>
    <w:p w14:paraId="184BF1B9" w14:textId="77777777" w:rsidR="001F4C76" w:rsidRPr="001F4C76" w:rsidRDefault="001F4C76" w:rsidP="001F4C76">
      <w:pPr>
        <w:spacing w:line="240" w:lineRule="auto"/>
        <w:rPr>
          <w:rFonts w:eastAsia="Times New Roman" w:cs="Arial"/>
          <w:i/>
          <w:iCs/>
          <w:color w:val="000000"/>
          <w:lang w:eastAsia="bg-BG"/>
        </w:rPr>
      </w:pPr>
    </w:p>
    <w:p w14:paraId="63FF34A8" w14:textId="4603BBE4" w:rsidR="001F4C76" w:rsidRPr="001F4C76" w:rsidRDefault="001F4C76" w:rsidP="001F4C76">
      <w:pPr>
        <w:spacing w:line="240" w:lineRule="auto"/>
        <w:rPr>
          <w:rFonts w:eastAsia="Times New Roman" w:cs="Arial"/>
          <w:sz w:val="24"/>
          <w:szCs w:val="24"/>
          <w:lang w:eastAsia="bg-BG"/>
        </w:rPr>
      </w:pPr>
      <w:r w:rsidRPr="001F4C76">
        <w:rPr>
          <w:rFonts w:eastAsia="Times New Roman" w:cs="Arial"/>
          <w:i/>
          <w:iCs/>
          <w:color w:val="000000"/>
          <w:lang w:eastAsia="bg-BG"/>
        </w:rPr>
        <w:t>Фармакокинетични взаимодействия:</w:t>
      </w:r>
    </w:p>
    <w:p w14:paraId="5093EFF7"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 xml:space="preserve">В метаболизирането на небиволол участва изоензимът </w:t>
      </w:r>
      <w:r w:rsidRPr="001F4C76">
        <w:rPr>
          <w:rFonts w:eastAsia="Times New Roman" w:cs="Arial"/>
          <w:color w:val="000000"/>
          <w:lang w:val="en-US"/>
        </w:rPr>
        <w:t xml:space="preserve">CYP2D6. </w:t>
      </w:r>
      <w:r w:rsidRPr="001F4C76">
        <w:rPr>
          <w:rFonts w:eastAsia="Times New Roman" w:cs="Arial"/>
          <w:color w:val="000000"/>
          <w:lang w:eastAsia="bg-BG"/>
        </w:rPr>
        <w:t>Ето защо едновременното приложение на вещества, които потискат този ензим, особено парокситин, флуокситин, тиоридазин и хинидин, може да доведе до повишени нива на небиволол, свързани с повишен риск от тежка брадикардия и нежелани ефекти.</w:t>
      </w:r>
    </w:p>
    <w:p w14:paraId="5669B5E3" w14:textId="77777777" w:rsidR="001F4C76" w:rsidRPr="001F4C76" w:rsidRDefault="001F4C76" w:rsidP="001F4C76">
      <w:pPr>
        <w:pStyle w:val="ListParagraph"/>
        <w:spacing w:line="240" w:lineRule="auto"/>
        <w:rPr>
          <w:rFonts w:eastAsia="Times New Roman" w:cs="Arial"/>
          <w:sz w:val="24"/>
          <w:szCs w:val="24"/>
          <w:lang w:eastAsia="bg-BG"/>
        </w:rPr>
      </w:pPr>
      <w:r w:rsidRPr="001F4C76">
        <w:rPr>
          <w:rFonts w:eastAsia="Times New Roman" w:cs="Arial"/>
          <w:color w:val="000000"/>
          <w:lang w:eastAsia="bg-BG"/>
        </w:rPr>
        <w:t>Едновременото приложение на циметидин повишава плазмените нива на небиволол, без да променя клиничния ефект. Приложението на ранитидин не променя фармакокинетиката на небиволол. Двете лекарства може да се предпишат заедно, като небиволол се приема по време на хранене, а антиацидът - между две хранения.</w:t>
      </w:r>
    </w:p>
    <w:p w14:paraId="6D41759D" w14:textId="3073B988" w:rsidR="001F4C76" w:rsidRPr="001F4C76" w:rsidRDefault="001F4C76" w:rsidP="001F4C76">
      <w:pPr>
        <w:pStyle w:val="ListParagraph"/>
        <w:spacing w:line="240" w:lineRule="auto"/>
        <w:rPr>
          <w:rFonts w:eastAsia="Times New Roman" w:cs="Arial"/>
          <w:sz w:val="24"/>
          <w:szCs w:val="24"/>
          <w:lang w:eastAsia="bg-BG"/>
        </w:rPr>
      </w:pPr>
      <w:r w:rsidRPr="001F4C76">
        <w:rPr>
          <w:rFonts w:eastAsia="Times New Roman" w:cs="Arial"/>
          <w:color w:val="000000"/>
          <w:lang w:eastAsia="bg-BG"/>
        </w:rPr>
        <w:t>Едновременото приложение на небиволол води до леко повишение на плазмените нива и на двете лекарства, без да повлиява клиничния ефект. Едновременният прием на алкохол, фуроземид или хидрохлортиазид не променя фармакокинетиката на небиволол. Небиволол не повлиява фармакокинетиката и фармакодинамиката на варфарин.</w:t>
      </w:r>
    </w:p>
    <w:p w14:paraId="6976E4C7" w14:textId="77777777" w:rsidR="001F4C76" w:rsidRPr="001F4C76" w:rsidRDefault="001F4C76" w:rsidP="001F4C76">
      <w:pPr>
        <w:spacing w:line="240" w:lineRule="auto"/>
        <w:rPr>
          <w:rFonts w:ascii="Times New Roman" w:eastAsia="Times New Roman" w:hAnsi="Times New Roman" w:cs="Times New Roman"/>
          <w:sz w:val="24"/>
          <w:szCs w:val="24"/>
          <w:lang w:eastAsia="bg-BG"/>
        </w:rPr>
      </w:pPr>
    </w:p>
    <w:p w14:paraId="4E8A449C" w14:textId="77777777" w:rsidR="001F4C76" w:rsidRPr="001F4C76" w:rsidRDefault="001F4C76" w:rsidP="001F4C76"/>
    <w:p w14:paraId="394A7584" w14:textId="73804BDB" w:rsidR="004F498A" w:rsidRDefault="002C50EE" w:rsidP="004A448E">
      <w:pPr>
        <w:pStyle w:val="Heading2"/>
      </w:pPr>
      <w:r>
        <w:t>4.6. Фертилитет, бременност и кърмене</w:t>
      </w:r>
    </w:p>
    <w:p w14:paraId="1BEB16C2" w14:textId="24D4D03E" w:rsidR="001F4C76" w:rsidRDefault="001F4C76" w:rsidP="001F4C76"/>
    <w:p w14:paraId="790A9A8C" w14:textId="77777777" w:rsidR="001F4C76" w:rsidRPr="001F4C76" w:rsidRDefault="001F4C76" w:rsidP="001F4C76">
      <w:pPr>
        <w:pStyle w:val="Heading3"/>
        <w:rPr>
          <w:rFonts w:eastAsia="Times New Roman"/>
          <w:u w:val="single"/>
          <w:lang w:eastAsia="bg-BG"/>
        </w:rPr>
      </w:pPr>
      <w:r w:rsidRPr="001F4C76">
        <w:rPr>
          <w:rFonts w:eastAsia="Times New Roman"/>
          <w:u w:val="single"/>
          <w:lang w:eastAsia="bg-BG"/>
        </w:rPr>
        <w:t>Бременност</w:t>
      </w:r>
    </w:p>
    <w:p w14:paraId="26D7D3F6"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Небиволол притежава фармакологичен ефект, който може да причини вредни ефекти при бременност и/или у плода/новороденото. По принцип бета-блокерите намаляват перфузията на плацентата, което може да доведе до забавен растеж, вътреутробна смърт, аборт или преждевремнно раждане. Възможно е да се проявя г и нежелани лекарствени реакции (напр. хипогликемия и брадикардия) у плода и новороденото. Ако приложението на бета-блокер е наложително, се предпочита приложението на бета-1 селективни бета-блокери.</w:t>
      </w:r>
    </w:p>
    <w:p w14:paraId="40EB5BCF"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Небиволол не трябва да се използва по време на бременност, освен при наличие на категор</w:t>
      </w:r>
      <w:r w:rsidRPr="001F4C76">
        <w:rPr>
          <w:rFonts w:eastAsia="Times New Roman" w:cs="Arial"/>
          <w:color w:val="000000"/>
          <w:u w:val="single"/>
          <w:lang w:eastAsia="bg-BG"/>
        </w:rPr>
        <w:t>ична</w:t>
      </w:r>
      <w:r w:rsidRPr="001F4C76">
        <w:rPr>
          <w:rFonts w:eastAsia="Times New Roman" w:cs="Arial"/>
          <w:color w:val="9297E4"/>
          <w:u w:val="single"/>
          <w:lang w:eastAsia="bg-BG"/>
        </w:rPr>
        <w:t xml:space="preserve"> </w:t>
      </w:r>
      <w:r w:rsidRPr="001F4C76">
        <w:rPr>
          <w:rFonts w:eastAsia="Times New Roman" w:cs="Arial"/>
          <w:color w:val="000000"/>
          <w:lang w:eastAsia="bg-BG"/>
        </w:rPr>
        <w:t xml:space="preserve">необходимост. Ако приложението на небиволол наистина е необходимо, трябва да се проследява утеро-плацентарния кръвоток и растежа на плода. При наличие на вреден ефект върху </w:t>
      </w:r>
    </w:p>
    <w:p w14:paraId="74E396B7" w14:textId="77777777" w:rsidR="001F4C76" w:rsidRPr="001F4C76" w:rsidRDefault="001F4C76" w:rsidP="001F4C76">
      <w:pPr>
        <w:rPr>
          <w:rFonts w:eastAsia="Times New Roman" w:cs="Arial"/>
          <w:sz w:val="24"/>
          <w:szCs w:val="24"/>
          <w:lang w:eastAsia="bg-BG"/>
        </w:rPr>
      </w:pPr>
      <w:r w:rsidRPr="001F4C76">
        <w:rPr>
          <w:rFonts w:eastAsia="Times New Roman" w:cs="Arial"/>
          <w:color w:val="000000"/>
          <w:lang w:eastAsia="bg-BG"/>
        </w:rPr>
        <w:t>бременността или върху плода трябва да се приложи друго лечение. Новороденото трябва внимателно да се проследява. Симптомите на хипогликемия и брадикардия по принцип се очакват в рамките на първите три дни.</w:t>
      </w:r>
    </w:p>
    <w:p w14:paraId="6A21D40D" w14:textId="77777777" w:rsidR="001F4C76" w:rsidRPr="001F4C76" w:rsidRDefault="001F4C76" w:rsidP="001F4C76">
      <w:pPr>
        <w:spacing w:line="240" w:lineRule="auto"/>
        <w:rPr>
          <w:rFonts w:eastAsia="Times New Roman" w:cs="Arial"/>
          <w:i/>
          <w:iCs/>
          <w:color w:val="000000"/>
          <w:lang w:eastAsia="bg-BG"/>
        </w:rPr>
      </w:pPr>
    </w:p>
    <w:p w14:paraId="5A19D374" w14:textId="30C0A90B" w:rsidR="001F4C76" w:rsidRPr="001F4C76" w:rsidRDefault="001F4C76" w:rsidP="001F4C76">
      <w:pPr>
        <w:pStyle w:val="Heading3"/>
        <w:rPr>
          <w:rFonts w:eastAsia="Times New Roman"/>
          <w:u w:val="single"/>
          <w:lang w:eastAsia="bg-BG"/>
        </w:rPr>
      </w:pPr>
      <w:r w:rsidRPr="001F4C76">
        <w:rPr>
          <w:rFonts w:eastAsia="Times New Roman"/>
          <w:u w:val="single"/>
          <w:lang w:eastAsia="bg-BG"/>
        </w:rPr>
        <w:lastRenderedPageBreak/>
        <w:t>Кърмене</w:t>
      </w:r>
    </w:p>
    <w:p w14:paraId="1345A41B" w14:textId="2BD1F56A" w:rsidR="001F4C76" w:rsidRPr="001F4C76" w:rsidRDefault="001F4C76" w:rsidP="001F4C76">
      <w:pPr>
        <w:rPr>
          <w:rFonts w:eastAsia="Times New Roman" w:cs="Arial"/>
          <w:color w:val="000000"/>
          <w:lang w:eastAsia="bg-BG"/>
        </w:rPr>
      </w:pPr>
      <w:r w:rsidRPr="001F4C76">
        <w:rPr>
          <w:rFonts w:eastAsia="Times New Roman" w:cs="Arial"/>
          <w:color w:val="000000"/>
          <w:lang w:eastAsia="bg-BG"/>
        </w:rPr>
        <w:t>Опитите с екпериментални животни показват, че небиволол се отделя в кърмата. Тъй като не е известно дали небиволол се отделя в майчиното мляко, приложението му по време на кърмене е противопоказано. По-голямата чат от бета-блокерите, най-вече липофилни те вещества като небиволол и неговите активни метаболити, преминават в различна степен в майчиното мляко.</w:t>
      </w:r>
    </w:p>
    <w:p w14:paraId="34847426" w14:textId="77777777" w:rsidR="001F4C76" w:rsidRPr="001F4C76" w:rsidRDefault="001F4C76" w:rsidP="001F4C76"/>
    <w:p w14:paraId="064DF1DE" w14:textId="2539B65D" w:rsidR="00CF77F7" w:rsidRDefault="002C50EE" w:rsidP="004A448E">
      <w:pPr>
        <w:pStyle w:val="Heading2"/>
      </w:pPr>
      <w:r>
        <w:t>4.7. Ефекти върху способността за шофиране и работа с машини</w:t>
      </w:r>
    </w:p>
    <w:p w14:paraId="3215C8C1" w14:textId="08C36C15" w:rsidR="001F4C76" w:rsidRDefault="001F4C76" w:rsidP="001F4C76"/>
    <w:p w14:paraId="0349007B"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Липсват проучвания за влиянието върху способността за шофиране и работа с машини.</w:t>
      </w:r>
    </w:p>
    <w:p w14:paraId="4C161E8C" w14:textId="0C7D5F0F" w:rsidR="001F4C76" w:rsidRPr="001F4C76" w:rsidRDefault="001F4C76" w:rsidP="001F4C76">
      <w:pPr>
        <w:rPr>
          <w:rFonts w:eastAsia="Times New Roman" w:cs="Arial"/>
          <w:color w:val="000000"/>
          <w:lang w:eastAsia="bg-BG"/>
        </w:rPr>
      </w:pPr>
      <w:r w:rsidRPr="001F4C76">
        <w:rPr>
          <w:rFonts w:eastAsia="Times New Roman" w:cs="Arial"/>
          <w:color w:val="000000"/>
          <w:lang w:eastAsia="bg-BG"/>
        </w:rPr>
        <w:t xml:space="preserve">Фармакодинамични проучвания показват, че 5 </w:t>
      </w:r>
      <w:r w:rsidRPr="001F4C76">
        <w:rPr>
          <w:rFonts w:eastAsia="Times New Roman" w:cs="Arial"/>
          <w:color w:val="000000"/>
          <w:lang w:val="en-US"/>
        </w:rPr>
        <w:t xml:space="preserve">mg </w:t>
      </w:r>
      <w:r w:rsidRPr="001F4C76">
        <w:rPr>
          <w:rFonts w:eastAsia="Times New Roman" w:cs="Arial"/>
          <w:color w:val="000000"/>
          <w:lang w:eastAsia="bg-BG"/>
        </w:rPr>
        <w:t>небиволол не повлиява психомоторната функция. При шофиране или работа с машини трябва да се има предвид, че в редки случаи могат да се появят нежелани лекарствени реакции като световъртеж или отпадналост.</w:t>
      </w:r>
    </w:p>
    <w:p w14:paraId="40B46750" w14:textId="77777777" w:rsidR="001F4C76" w:rsidRPr="001F4C76" w:rsidRDefault="001F4C76" w:rsidP="001F4C76"/>
    <w:p w14:paraId="37A3FD9F" w14:textId="793B1687" w:rsidR="00CF77F7" w:rsidRDefault="002C50EE" w:rsidP="004A448E">
      <w:pPr>
        <w:pStyle w:val="Heading2"/>
      </w:pPr>
      <w:r>
        <w:t>4.8. Нежелани лекарствени реакции</w:t>
      </w:r>
    </w:p>
    <w:p w14:paraId="6ADC2829" w14:textId="1AFD951F" w:rsidR="001F4C76" w:rsidRDefault="001F4C76" w:rsidP="001F4C76"/>
    <w:p w14:paraId="67151942" w14:textId="77777777" w:rsidR="001F4C76" w:rsidRPr="001F4C76" w:rsidRDefault="001F4C76" w:rsidP="001F4C76">
      <w:pPr>
        <w:spacing w:line="240" w:lineRule="auto"/>
        <w:rPr>
          <w:rFonts w:eastAsia="Times New Roman" w:cs="Arial"/>
          <w:sz w:val="24"/>
          <w:szCs w:val="24"/>
          <w:lang w:eastAsia="bg-BG"/>
        </w:rPr>
      </w:pPr>
      <w:r w:rsidRPr="001F4C76">
        <w:rPr>
          <w:rFonts w:eastAsia="Times New Roman" w:cs="Arial"/>
          <w:color w:val="000000"/>
          <w:lang w:eastAsia="bg-BG"/>
        </w:rPr>
        <w:t>Повечето нежелани лекарствени реакции са с лека до умерена проява.</w:t>
      </w:r>
    </w:p>
    <w:p w14:paraId="0D4E9337" w14:textId="7DCFDE98" w:rsidR="001F4C76" w:rsidRPr="001F4C76" w:rsidRDefault="001F4C76" w:rsidP="001F4C76">
      <w:pPr>
        <w:rPr>
          <w:rFonts w:eastAsia="Times New Roman" w:cs="Arial"/>
          <w:color w:val="000000"/>
          <w:lang w:eastAsia="bg-BG"/>
        </w:rPr>
      </w:pPr>
      <w:r w:rsidRPr="001F4C76">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 в таблицата изложена по-долу:</w:t>
      </w:r>
    </w:p>
    <w:tbl>
      <w:tblPr>
        <w:tblStyle w:val="TableGrid"/>
        <w:tblW w:w="0" w:type="auto"/>
        <w:tblLook w:val="04A0" w:firstRow="1" w:lastRow="0" w:firstColumn="1" w:lastColumn="0" w:noHBand="0" w:noVBand="1"/>
      </w:tblPr>
      <w:tblGrid>
        <w:gridCol w:w="2766"/>
        <w:gridCol w:w="2717"/>
        <w:gridCol w:w="1913"/>
        <w:gridCol w:w="2180"/>
      </w:tblGrid>
      <w:tr w:rsidR="001F4C76" w14:paraId="27A06199" w14:textId="77777777" w:rsidTr="00B424CA">
        <w:tc>
          <w:tcPr>
            <w:tcW w:w="2766" w:type="dxa"/>
          </w:tcPr>
          <w:p w14:paraId="7A72AE37" w14:textId="4DA58F72" w:rsidR="001F4C76" w:rsidRDefault="001F4C76" w:rsidP="001F4C76">
            <w:pPr>
              <w:rPr>
                <w:rFonts w:eastAsia="Times New Roman" w:cs="Arial"/>
                <w:color w:val="000000"/>
                <w:lang w:eastAsia="bg-BG"/>
              </w:rPr>
            </w:pPr>
            <w:r>
              <w:rPr>
                <w:i/>
                <w:iCs/>
              </w:rPr>
              <w:t xml:space="preserve">Системо-органни класове по </w:t>
            </w:r>
            <w:proofErr w:type="spellStart"/>
            <w:r>
              <w:rPr>
                <w:i/>
                <w:iCs/>
                <w:lang w:val="en-US"/>
              </w:rPr>
              <w:t>MedDRA</w:t>
            </w:r>
            <w:proofErr w:type="spellEnd"/>
            <w:r>
              <w:rPr>
                <w:i/>
                <w:iCs/>
                <w:lang w:val="en-US"/>
              </w:rPr>
              <w:t xml:space="preserve"> </w:t>
            </w:r>
            <w:r>
              <w:rPr>
                <w:i/>
                <w:iCs/>
              </w:rPr>
              <w:t>база данни</w:t>
            </w:r>
          </w:p>
        </w:tc>
        <w:tc>
          <w:tcPr>
            <w:tcW w:w="2717" w:type="dxa"/>
            <w:vAlign w:val="center"/>
          </w:tcPr>
          <w:p w14:paraId="767D9917" w14:textId="77777777" w:rsidR="00B424CA" w:rsidRDefault="001F4C76" w:rsidP="001F4C76">
            <w:pPr>
              <w:rPr>
                <w:b/>
                <w:bCs/>
              </w:rPr>
            </w:pPr>
            <w:r>
              <w:rPr>
                <w:b/>
                <w:bCs/>
              </w:rPr>
              <w:t xml:space="preserve">Чести </w:t>
            </w:r>
          </w:p>
          <w:p w14:paraId="1C9273E3" w14:textId="113D449B" w:rsidR="001F4C76" w:rsidRPr="00B424CA" w:rsidRDefault="001F4C76" w:rsidP="001F4C76">
            <w:pPr>
              <w:rPr>
                <w:b/>
                <w:bCs/>
              </w:rPr>
            </w:pPr>
            <w:r>
              <w:rPr>
                <w:b/>
                <w:bCs/>
              </w:rPr>
              <w:t>(≥1/100 до ≤1/10)</w:t>
            </w:r>
          </w:p>
        </w:tc>
        <w:tc>
          <w:tcPr>
            <w:tcW w:w="1913" w:type="dxa"/>
            <w:vAlign w:val="center"/>
          </w:tcPr>
          <w:p w14:paraId="4703E02D" w14:textId="77777777" w:rsidR="001F4C76" w:rsidRDefault="001F4C76" w:rsidP="001F4C76">
            <w:r>
              <w:rPr>
                <w:b/>
                <w:bCs/>
              </w:rPr>
              <w:t>Нечести</w:t>
            </w:r>
          </w:p>
          <w:p w14:paraId="7ABBF842" w14:textId="77777777" w:rsidR="001F4C76" w:rsidRDefault="001F4C76" w:rsidP="001F4C76">
            <w:r>
              <w:rPr>
                <w:b/>
                <w:bCs/>
              </w:rPr>
              <w:t>(≥1/1,000 до</w:t>
            </w:r>
          </w:p>
          <w:p w14:paraId="39748157" w14:textId="182FFAFC" w:rsidR="001F4C76" w:rsidRDefault="001F4C76" w:rsidP="001F4C76">
            <w:pPr>
              <w:rPr>
                <w:rFonts w:eastAsia="Times New Roman" w:cs="Arial"/>
                <w:color w:val="000000"/>
                <w:lang w:eastAsia="bg-BG"/>
              </w:rPr>
            </w:pPr>
            <w:r>
              <w:rPr>
                <w:b/>
                <w:bCs/>
              </w:rPr>
              <w:t>≤1/100)</w:t>
            </w:r>
          </w:p>
        </w:tc>
        <w:tc>
          <w:tcPr>
            <w:tcW w:w="2180" w:type="dxa"/>
            <w:vAlign w:val="center"/>
          </w:tcPr>
          <w:p w14:paraId="4592B116" w14:textId="03BC4488" w:rsidR="001F4C76" w:rsidRDefault="001F4C76" w:rsidP="001F4C76">
            <w:pPr>
              <w:rPr>
                <w:rFonts w:eastAsia="Times New Roman" w:cs="Arial"/>
                <w:color w:val="000000"/>
                <w:lang w:eastAsia="bg-BG"/>
              </w:rPr>
            </w:pPr>
            <w:r>
              <w:rPr>
                <w:b/>
                <w:bCs/>
              </w:rPr>
              <w:t>Много редки (≤1/10,000)</w:t>
            </w:r>
          </w:p>
        </w:tc>
      </w:tr>
      <w:tr w:rsidR="001F4C76" w14:paraId="772093B6" w14:textId="77777777" w:rsidTr="00B424CA">
        <w:tc>
          <w:tcPr>
            <w:tcW w:w="2766" w:type="dxa"/>
            <w:vAlign w:val="bottom"/>
          </w:tcPr>
          <w:p w14:paraId="4ECD04CC" w14:textId="689DC49C" w:rsidR="001F4C76" w:rsidRDefault="001F4C76" w:rsidP="001F4C76">
            <w:pPr>
              <w:rPr>
                <w:rFonts w:eastAsia="Times New Roman" w:cs="Arial"/>
                <w:color w:val="000000"/>
                <w:lang w:eastAsia="bg-BG"/>
              </w:rPr>
            </w:pPr>
            <w:r>
              <w:t>Нарушения на нервната система</w:t>
            </w:r>
          </w:p>
        </w:tc>
        <w:tc>
          <w:tcPr>
            <w:tcW w:w="2717" w:type="dxa"/>
            <w:vAlign w:val="bottom"/>
          </w:tcPr>
          <w:p w14:paraId="2A3DD443" w14:textId="078C7F26" w:rsidR="001F4C76" w:rsidRDefault="001F4C76" w:rsidP="001F4C76">
            <w:pPr>
              <w:rPr>
                <w:rFonts w:eastAsia="Times New Roman" w:cs="Arial"/>
                <w:color w:val="000000"/>
                <w:lang w:eastAsia="bg-BG"/>
              </w:rPr>
            </w:pPr>
            <w:r>
              <w:t>Главоболие, световъртеж, парестезии</w:t>
            </w:r>
          </w:p>
        </w:tc>
        <w:tc>
          <w:tcPr>
            <w:tcW w:w="1913" w:type="dxa"/>
          </w:tcPr>
          <w:p w14:paraId="2104D320" w14:textId="77777777" w:rsidR="001F4C76" w:rsidRDefault="001F4C76" w:rsidP="001F4C76">
            <w:pPr>
              <w:rPr>
                <w:rFonts w:eastAsia="Times New Roman" w:cs="Arial"/>
                <w:color w:val="000000"/>
                <w:lang w:eastAsia="bg-BG"/>
              </w:rPr>
            </w:pPr>
          </w:p>
        </w:tc>
        <w:tc>
          <w:tcPr>
            <w:tcW w:w="2180" w:type="dxa"/>
          </w:tcPr>
          <w:p w14:paraId="512442B9" w14:textId="33F68C8D" w:rsidR="001F4C76" w:rsidRDefault="001F4C76" w:rsidP="001F4C76">
            <w:pPr>
              <w:rPr>
                <w:rFonts w:eastAsia="Times New Roman" w:cs="Arial"/>
                <w:color w:val="000000"/>
                <w:lang w:eastAsia="bg-BG"/>
              </w:rPr>
            </w:pPr>
            <w:r>
              <w:t>Синкоп</w:t>
            </w:r>
          </w:p>
        </w:tc>
      </w:tr>
      <w:tr w:rsidR="001F4C76" w14:paraId="2714EBFE" w14:textId="77777777" w:rsidTr="00B424CA">
        <w:tc>
          <w:tcPr>
            <w:tcW w:w="2766" w:type="dxa"/>
          </w:tcPr>
          <w:p w14:paraId="37CFAB86" w14:textId="147ADC76" w:rsidR="001F4C76" w:rsidRDefault="001F4C76" w:rsidP="001F4C76">
            <w:pPr>
              <w:rPr>
                <w:rFonts w:eastAsia="Times New Roman" w:cs="Arial"/>
                <w:color w:val="000000"/>
                <w:lang w:eastAsia="bg-BG"/>
              </w:rPr>
            </w:pPr>
            <w:r>
              <w:t>Нарушения на окото</w:t>
            </w:r>
          </w:p>
        </w:tc>
        <w:tc>
          <w:tcPr>
            <w:tcW w:w="2717" w:type="dxa"/>
          </w:tcPr>
          <w:p w14:paraId="34F3F7A4" w14:textId="77777777" w:rsidR="001F4C76" w:rsidRDefault="001F4C76" w:rsidP="001F4C76">
            <w:pPr>
              <w:rPr>
                <w:rFonts w:eastAsia="Times New Roman" w:cs="Arial"/>
                <w:color w:val="000000"/>
                <w:lang w:eastAsia="bg-BG"/>
              </w:rPr>
            </w:pPr>
          </w:p>
        </w:tc>
        <w:tc>
          <w:tcPr>
            <w:tcW w:w="1913" w:type="dxa"/>
            <w:vAlign w:val="bottom"/>
          </w:tcPr>
          <w:p w14:paraId="6D31F781" w14:textId="77777777" w:rsidR="00B424CA" w:rsidRDefault="001F4C76" w:rsidP="001F4C76">
            <w:r>
              <w:t xml:space="preserve">Нарушено </w:t>
            </w:r>
          </w:p>
          <w:p w14:paraId="0E701EC1" w14:textId="051AB8D8" w:rsidR="001F4C76" w:rsidRDefault="001F4C76" w:rsidP="001F4C76">
            <w:pPr>
              <w:rPr>
                <w:rFonts w:eastAsia="Times New Roman" w:cs="Arial"/>
                <w:color w:val="000000"/>
                <w:lang w:eastAsia="bg-BG"/>
              </w:rPr>
            </w:pPr>
            <w:r>
              <w:t>зрение</w:t>
            </w:r>
          </w:p>
        </w:tc>
        <w:tc>
          <w:tcPr>
            <w:tcW w:w="2180" w:type="dxa"/>
          </w:tcPr>
          <w:p w14:paraId="7E589339" w14:textId="77777777" w:rsidR="001F4C76" w:rsidRDefault="001F4C76" w:rsidP="001F4C76">
            <w:pPr>
              <w:rPr>
                <w:rFonts w:eastAsia="Times New Roman" w:cs="Arial"/>
                <w:color w:val="000000"/>
                <w:lang w:eastAsia="bg-BG"/>
              </w:rPr>
            </w:pPr>
          </w:p>
        </w:tc>
      </w:tr>
      <w:tr w:rsidR="001F4C76" w14:paraId="2B393FFA" w14:textId="77777777" w:rsidTr="00B424CA">
        <w:tc>
          <w:tcPr>
            <w:tcW w:w="2766" w:type="dxa"/>
          </w:tcPr>
          <w:p w14:paraId="68AE3388" w14:textId="63CC0090" w:rsidR="001F4C76" w:rsidRDefault="001F4C76" w:rsidP="001F4C76">
            <w:pPr>
              <w:rPr>
                <w:rFonts w:eastAsia="Times New Roman" w:cs="Arial"/>
                <w:color w:val="000000"/>
                <w:lang w:eastAsia="bg-BG"/>
              </w:rPr>
            </w:pPr>
            <w:r>
              <w:t>Сърдечни нарушения</w:t>
            </w:r>
          </w:p>
        </w:tc>
        <w:tc>
          <w:tcPr>
            <w:tcW w:w="2717" w:type="dxa"/>
          </w:tcPr>
          <w:p w14:paraId="7DFBD473" w14:textId="77777777" w:rsidR="001F4C76" w:rsidRDefault="001F4C76" w:rsidP="001F4C76">
            <w:pPr>
              <w:rPr>
                <w:rFonts w:eastAsia="Times New Roman" w:cs="Arial"/>
                <w:color w:val="000000"/>
                <w:lang w:eastAsia="bg-BG"/>
              </w:rPr>
            </w:pPr>
          </w:p>
        </w:tc>
        <w:tc>
          <w:tcPr>
            <w:tcW w:w="1913" w:type="dxa"/>
          </w:tcPr>
          <w:p w14:paraId="41123D22" w14:textId="243E7D84" w:rsidR="001F4C76" w:rsidRDefault="001F4C76" w:rsidP="001F4C76">
            <w:pPr>
              <w:rPr>
                <w:rFonts w:eastAsia="Times New Roman" w:cs="Arial"/>
                <w:color w:val="000000"/>
                <w:lang w:eastAsia="bg-BG"/>
              </w:rPr>
            </w:pPr>
            <w:r>
              <w:t xml:space="preserve">Брадикардия, сърдечна недостатъчност, забавена </w:t>
            </w:r>
            <w:r>
              <w:rPr>
                <w:lang w:val="en-US"/>
              </w:rPr>
              <w:t>AV</w:t>
            </w:r>
            <w:r>
              <w:t xml:space="preserve">- проводимост / </w:t>
            </w:r>
            <w:r>
              <w:rPr>
                <w:lang w:val="en-US"/>
              </w:rPr>
              <w:t>A</w:t>
            </w:r>
            <w:r>
              <w:t>V-блок</w:t>
            </w:r>
          </w:p>
        </w:tc>
        <w:tc>
          <w:tcPr>
            <w:tcW w:w="2180" w:type="dxa"/>
          </w:tcPr>
          <w:p w14:paraId="73C016D8" w14:textId="77777777" w:rsidR="001F4C76" w:rsidRDefault="001F4C76" w:rsidP="001F4C76">
            <w:pPr>
              <w:rPr>
                <w:rFonts w:eastAsia="Times New Roman" w:cs="Arial"/>
                <w:color w:val="000000"/>
                <w:lang w:eastAsia="bg-BG"/>
              </w:rPr>
            </w:pPr>
          </w:p>
        </w:tc>
      </w:tr>
      <w:tr w:rsidR="00B424CA" w14:paraId="596EF712" w14:textId="77777777" w:rsidTr="00B424CA">
        <w:tc>
          <w:tcPr>
            <w:tcW w:w="2766" w:type="dxa"/>
          </w:tcPr>
          <w:p w14:paraId="4E5815B0" w14:textId="026D1304" w:rsidR="00B424CA" w:rsidRDefault="00B424CA" w:rsidP="00B424CA">
            <w:pPr>
              <w:rPr>
                <w:rFonts w:eastAsia="Times New Roman" w:cs="Arial"/>
                <w:color w:val="000000"/>
                <w:lang w:eastAsia="bg-BG"/>
              </w:rPr>
            </w:pPr>
            <w:r>
              <w:t>Съдови нарушения</w:t>
            </w:r>
          </w:p>
        </w:tc>
        <w:tc>
          <w:tcPr>
            <w:tcW w:w="2717" w:type="dxa"/>
          </w:tcPr>
          <w:p w14:paraId="2444DFCC" w14:textId="77777777" w:rsidR="00B424CA" w:rsidRDefault="00B424CA" w:rsidP="00B424CA">
            <w:pPr>
              <w:rPr>
                <w:rFonts w:eastAsia="Times New Roman" w:cs="Arial"/>
                <w:color w:val="000000"/>
                <w:lang w:eastAsia="bg-BG"/>
              </w:rPr>
            </w:pPr>
          </w:p>
        </w:tc>
        <w:tc>
          <w:tcPr>
            <w:tcW w:w="1913" w:type="dxa"/>
            <w:vAlign w:val="bottom"/>
          </w:tcPr>
          <w:p w14:paraId="014A6D4E" w14:textId="2D7F3D5F" w:rsidR="00B424CA" w:rsidRDefault="00B424CA" w:rsidP="00B424CA">
            <w:pPr>
              <w:rPr>
                <w:rFonts w:eastAsia="Times New Roman" w:cs="Arial"/>
                <w:color w:val="000000"/>
                <w:lang w:eastAsia="bg-BG"/>
              </w:rPr>
            </w:pPr>
            <w:r>
              <w:t>Хипотония, проява или утежняване на интермитентно клаудикацио</w:t>
            </w:r>
          </w:p>
        </w:tc>
        <w:tc>
          <w:tcPr>
            <w:tcW w:w="2180" w:type="dxa"/>
          </w:tcPr>
          <w:p w14:paraId="1F4FF4CC" w14:textId="77777777" w:rsidR="00B424CA" w:rsidRDefault="00B424CA" w:rsidP="00B424CA">
            <w:pPr>
              <w:rPr>
                <w:rFonts w:eastAsia="Times New Roman" w:cs="Arial"/>
                <w:color w:val="000000"/>
                <w:lang w:eastAsia="bg-BG"/>
              </w:rPr>
            </w:pPr>
          </w:p>
        </w:tc>
      </w:tr>
      <w:tr w:rsidR="00B424CA" w14:paraId="163A6313" w14:textId="77777777" w:rsidTr="00B424CA">
        <w:tc>
          <w:tcPr>
            <w:tcW w:w="2766" w:type="dxa"/>
            <w:vAlign w:val="bottom"/>
          </w:tcPr>
          <w:p w14:paraId="11096564" w14:textId="056232D8" w:rsidR="00B424CA" w:rsidRDefault="00B424CA" w:rsidP="00B424CA">
            <w:pPr>
              <w:rPr>
                <w:rFonts w:eastAsia="Times New Roman" w:cs="Arial"/>
                <w:color w:val="000000"/>
                <w:lang w:eastAsia="bg-BG"/>
              </w:rPr>
            </w:pPr>
            <w:r>
              <w:t>Респираторни, гръдни и медиастинални нарушения</w:t>
            </w:r>
          </w:p>
        </w:tc>
        <w:tc>
          <w:tcPr>
            <w:tcW w:w="2717" w:type="dxa"/>
          </w:tcPr>
          <w:p w14:paraId="30836214" w14:textId="23453DF8" w:rsidR="00B424CA" w:rsidRDefault="00B424CA" w:rsidP="00B424CA">
            <w:pPr>
              <w:rPr>
                <w:rFonts w:eastAsia="Times New Roman" w:cs="Arial"/>
                <w:color w:val="000000"/>
                <w:lang w:eastAsia="bg-BG"/>
              </w:rPr>
            </w:pPr>
            <w:r>
              <w:t>Диспнея</w:t>
            </w:r>
          </w:p>
        </w:tc>
        <w:tc>
          <w:tcPr>
            <w:tcW w:w="1913" w:type="dxa"/>
          </w:tcPr>
          <w:p w14:paraId="3B566E4F" w14:textId="32672118" w:rsidR="00B424CA" w:rsidRDefault="00B424CA" w:rsidP="00B424CA">
            <w:pPr>
              <w:rPr>
                <w:rFonts w:eastAsia="Times New Roman" w:cs="Arial"/>
                <w:color w:val="000000"/>
                <w:lang w:eastAsia="bg-BG"/>
              </w:rPr>
            </w:pPr>
            <w:r>
              <w:t>Бронхоспазъм</w:t>
            </w:r>
          </w:p>
        </w:tc>
        <w:tc>
          <w:tcPr>
            <w:tcW w:w="2180" w:type="dxa"/>
          </w:tcPr>
          <w:p w14:paraId="7DD2ACC1" w14:textId="77777777" w:rsidR="00B424CA" w:rsidRDefault="00B424CA" w:rsidP="00B424CA">
            <w:pPr>
              <w:rPr>
                <w:rFonts w:eastAsia="Times New Roman" w:cs="Arial"/>
                <w:color w:val="000000"/>
                <w:lang w:eastAsia="bg-BG"/>
              </w:rPr>
            </w:pPr>
          </w:p>
        </w:tc>
      </w:tr>
      <w:tr w:rsidR="00B424CA" w14:paraId="08C28FEA" w14:textId="77777777" w:rsidTr="00B424CA">
        <w:tc>
          <w:tcPr>
            <w:tcW w:w="2766" w:type="dxa"/>
          </w:tcPr>
          <w:p w14:paraId="58F78639" w14:textId="396D72EE" w:rsidR="00B424CA" w:rsidRDefault="00B424CA" w:rsidP="00B424CA">
            <w:pPr>
              <w:rPr>
                <w:rFonts w:eastAsia="Times New Roman" w:cs="Arial"/>
                <w:color w:val="000000"/>
                <w:lang w:eastAsia="bg-BG"/>
              </w:rPr>
            </w:pPr>
            <w:r>
              <w:t>Стомашно-чревни нарушения</w:t>
            </w:r>
          </w:p>
        </w:tc>
        <w:tc>
          <w:tcPr>
            <w:tcW w:w="2717" w:type="dxa"/>
          </w:tcPr>
          <w:p w14:paraId="2AE52CFF" w14:textId="36DEECCD" w:rsidR="00B424CA" w:rsidRDefault="00B424CA" w:rsidP="00B424CA">
            <w:pPr>
              <w:rPr>
                <w:rFonts w:eastAsia="Times New Roman" w:cs="Arial"/>
                <w:color w:val="000000"/>
                <w:lang w:eastAsia="bg-BG"/>
              </w:rPr>
            </w:pPr>
            <w:r>
              <w:t>Констипация, гадене, диария</w:t>
            </w:r>
          </w:p>
        </w:tc>
        <w:tc>
          <w:tcPr>
            <w:tcW w:w="1913" w:type="dxa"/>
            <w:vAlign w:val="bottom"/>
          </w:tcPr>
          <w:p w14:paraId="34FC08E1" w14:textId="212F543C" w:rsidR="00B424CA" w:rsidRDefault="00B424CA" w:rsidP="00B424CA">
            <w:pPr>
              <w:rPr>
                <w:rFonts w:eastAsia="Times New Roman" w:cs="Arial"/>
                <w:color w:val="000000"/>
                <w:lang w:eastAsia="bg-BG"/>
              </w:rPr>
            </w:pPr>
            <w:r>
              <w:t>Диспепсия, флатуленция, повръщане</w:t>
            </w:r>
          </w:p>
        </w:tc>
        <w:tc>
          <w:tcPr>
            <w:tcW w:w="2180" w:type="dxa"/>
            <w:vAlign w:val="bottom"/>
          </w:tcPr>
          <w:p w14:paraId="43ED7C33" w14:textId="2FBF3A85" w:rsidR="00B424CA" w:rsidRDefault="00B424CA" w:rsidP="00B424CA">
            <w:pPr>
              <w:rPr>
                <w:rFonts w:eastAsia="Times New Roman" w:cs="Arial"/>
                <w:color w:val="000000"/>
                <w:lang w:eastAsia="bg-BG"/>
              </w:rPr>
            </w:pPr>
            <w:r>
              <w:t>Ангионевротичен оток, утежняване на псориазис</w:t>
            </w:r>
          </w:p>
        </w:tc>
      </w:tr>
      <w:tr w:rsidR="00B424CA" w14:paraId="2E866D1B" w14:textId="77777777" w:rsidTr="00B424CA">
        <w:tc>
          <w:tcPr>
            <w:tcW w:w="2766" w:type="dxa"/>
          </w:tcPr>
          <w:p w14:paraId="2B17C040" w14:textId="5634C70C" w:rsidR="00B424CA" w:rsidRDefault="00B424CA" w:rsidP="00B424CA">
            <w:pPr>
              <w:rPr>
                <w:rFonts w:eastAsia="Times New Roman" w:cs="Arial"/>
                <w:color w:val="000000"/>
                <w:lang w:eastAsia="bg-BG"/>
              </w:rPr>
            </w:pPr>
            <w:r>
              <w:t>Нарушения на кожата и подкожната тъкан</w:t>
            </w:r>
          </w:p>
        </w:tc>
        <w:tc>
          <w:tcPr>
            <w:tcW w:w="2717" w:type="dxa"/>
          </w:tcPr>
          <w:p w14:paraId="49373296" w14:textId="77777777" w:rsidR="00B424CA" w:rsidRDefault="00B424CA" w:rsidP="00B424CA">
            <w:pPr>
              <w:rPr>
                <w:rFonts w:eastAsia="Times New Roman" w:cs="Arial"/>
                <w:color w:val="000000"/>
                <w:lang w:eastAsia="bg-BG"/>
              </w:rPr>
            </w:pPr>
          </w:p>
        </w:tc>
        <w:tc>
          <w:tcPr>
            <w:tcW w:w="1913" w:type="dxa"/>
            <w:vAlign w:val="bottom"/>
          </w:tcPr>
          <w:p w14:paraId="659C8E70" w14:textId="4F94C305" w:rsidR="00B424CA" w:rsidRDefault="00B424CA" w:rsidP="00B424CA">
            <w:pPr>
              <w:rPr>
                <w:rFonts w:eastAsia="Times New Roman" w:cs="Arial"/>
                <w:color w:val="000000"/>
                <w:lang w:eastAsia="bg-BG"/>
              </w:rPr>
            </w:pPr>
            <w:r>
              <w:t>Пруритус, еритематозен</w:t>
            </w:r>
            <w:r w:rsidR="00C07350">
              <w:t xml:space="preserve"> </w:t>
            </w:r>
            <w:r>
              <w:lastRenderedPageBreak/>
              <w:t>обрив</w:t>
            </w:r>
          </w:p>
        </w:tc>
        <w:tc>
          <w:tcPr>
            <w:tcW w:w="2180" w:type="dxa"/>
          </w:tcPr>
          <w:p w14:paraId="421158BF" w14:textId="77777777" w:rsidR="00B424CA" w:rsidRDefault="00B424CA" w:rsidP="00B424CA">
            <w:pPr>
              <w:rPr>
                <w:rFonts w:eastAsia="Times New Roman" w:cs="Arial"/>
                <w:color w:val="000000"/>
                <w:lang w:eastAsia="bg-BG"/>
              </w:rPr>
            </w:pPr>
          </w:p>
        </w:tc>
      </w:tr>
      <w:tr w:rsidR="00B424CA" w14:paraId="28F9D3A1" w14:textId="77777777" w:rsidTr="00934CB4">
        <w:tc>
          <w:tcPr>
            <w:tcW w:w="2766" w:type="dxa"/>
            <w:vAlign w:val="bottom"/>
          </w:tcPr>
          <w:p w14:paraId="6D899174" w14:textId="77777777" w:rsidR="00B424CA" w:rsidRDefault="00B424CA" w:rsidP="00B424CA">
            <w:r>
              <w:t>Нарушения на</w:t>
            </w:r>
          </w:p>
          <w:p w14:paraId="761476DA" w14:textId="519E10C4" w:rsidR="00B424CA" w:rsidRDefault="00B424CA" w:rsidP="00B424CA">
            <w:pPr>
              <w:rPr>
                <w:rFonts w:eastAsia="Times New Roman" w:cs="Arial"/>
                <w:color w:val="000000"/>
                <w:lang w:eastAsia="bg-BG"/>
              </w:rPr>
            </w:pPr>
            <w:r>
              <w:t>възпроизводителната система и гърдата</w:t>
            </w:r>
          </w:p>
        </w:tc>
        <w:tc>
          <w:tcPr>
            <w:tcW w:w="2717" w:type="dxa"/>
          </w:tcPr>
          <w:p w14:paraId="0A20856E" w14:textId="77777777" w:rsidR="00B424CA" w:rsidRDefault="00B424CA" w:rsidP="00B424CA">
            <w:pPr>
              <w:rPr>
                <w:rFonts w:eastAsia="Times New Roman" w:cs="Arial"/>
                <w:color w:val="000000"/>
                <w:lang w:eastAsia="bg-BG"/>
              </w:rPr>
            </w:pPr>
          </w:p>
        </w:tc>
        <w:tc>
          <w:tcPr>
            <w:tcW w:w="1913" w:type="dxa"/>
          </w:tcPr>
          <w:p w14:paraId="1CAB86BC" w14:textId="37F61256" w:rsidR="00B424CA" w:rsidRDefault="00B424CA" w:rsidP="00B424CA">
            <w:pPr>
              <w:rPr>
                <w:rFonts w:eastAsia="Times New Roman" w:cs="Arial"/>
                <w:color w:val="000000"/>
                <w:lang w:eastAsia="bg-BG"/>
              </w:rPr>
            </w:pPr>
            <w:r>
              <w:t>Импотентност</w:t>
            </w:r>
          </w:p>
        </w:tc>
        <w:tc>
          <w:tcPr>
            <w:tcW w:w="2180" w:type="dxa"/>
          </w:tcPr>
          <w:p w14:paraId="7B5C8F7E" w14:textId="77777777" w:rsidR="00B424CA" w:rsidRDefault="00B424CA" w:rsidP="00B424CA">
            <w:pPr>
              <w:rPr>
                <w:rFonts w:eastAsia="Times New Roman" w:cs="Arial"/>
                <w:color w:val="000000"/>
                <w:lang w:eastAsia="bg-BG"/>
              </w:rPr>
            </w:pPr>
          </w:p>
        </w:tc>
      </w:tr>
      <w:tr w:rsidR="00B424CA" w14:paraId="706CBB5F" w14:textId="77777777" w:rsidTr="00934CB4">
        <w:tc>
          <w:tcPr>
            <w:tcW w:w="2766" w:type="dxa"/>
            <w:vAlign w:val="bottom"/>
          </w:tcPr>
          <w:p w14:paraId="13388EE6" w14:textId="762A2CA1" w:rsidR="00B424CA" w:rsidRDefault="00B424CA" w:rsidP="00B424CA">
            <w:pPr>
              <w:rPr>
                <w:rFonts w:eastAsia="Times New Roman" w:cs="Arial"/>
                <w:color w:val="000000"/>
                <w:lang w:eastAsia="bg-BG"/>
              </w:rPr>
            </w:pPr>
            <w:r>
              <w:t>Общи нарушения и ефекти на мястото на приложение</w:t>
            </w:r>
          </w:p>
        </w:tc>
        <w:tc>
          <w:tcPr>
            <w:tcW w:w="2717" w:type="dxa"/>
          </w:tcPr>
          <w:p w14:paraId="7BCEC500" w14:textId="4AFF0FF4" w:rsidR="00B424CA" w:rsidRDefault="00B424CA" w:rsidP="00B424CA">
            <w:pPr>
              <w:rPr>
                <w:rFonts w:eastAsia="Times New Roman" w:cs="Arial"/>
                <w:color w:val="000000"/>
                <w:lang w:eastAsia="bg-BG"/>
              </w:rPr>
            </w:pPr>
            <w:r>
              <w:t>Отпадналост, оток</w:t>
            </w:r>
          </w:p>
        </w:tc>
        <w:tc>
          <w:tcPr>
            <w:tcW w:w="1913" w:type="dxa"/>
          </w:tcPr>
          <w:p w14:paraId="46687AB9" w14:textId="3613DA09" w:rsidR="00B424CA" w:rsidRDefault="00B424CA" w:rsidP="00B424CA">
            <w:pPr>
              <w:rPr>
                <w:rFonts w:eastAsia="Times New Roman" w:cs="Arial"/>
                <w:color w:val="000000"/>
                <w:lang w:eastAsia="bg-BG"/>
              </w:rPr>
            </w:pPr>
            <w:r>
              <w:t>Депресия</w:t>
            </w:r>
          </w:p>
        </w:tc>
        <w:tc>
          <w:tcPr>
            <w:tcW w:w="2180" w:type="dxa"/>
            <w:vAlign w:val="bottom"/>
          </w:tcPr>
          <w:p w14:paraId="3138F070" w14:textId="77777777" w:rsidR="00B424CA" w:rsidRDefault="00B424CA" w:rsidP="00B424CA">
            <w:pPr>
              <w:rPr>
                <w:rFonts w:eastAsia="Times New Roman" w:cs="Arial"/>
                <w:color w:val="000000"/>
                <w:lang w:eastAsia="bg-BG"/>
              </w:rPr>
            </w:pPr>
          </w:p>
        </w:tc>
      </w:tr>
    </w:tbl>
    <w:p w14:paraId="11B7F5E2"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окуло-мукокутанейна токсичност от практололов тип.</w:t>
      </w:r>
    </w:p>
    <w:p w14:paraId="27CCA841" w14:textId="77777777" w:rsidR="00B424CA" w:rsidRPr="00B424CA" w:rsidRDefault="00B424CA" w:rsidP="00B424CA">
      <w:pPr>
        <w:spacing w:line="240" w:lineRule="auto"/>
        <w:rPr>
          <w:rFonts w:eastAsia="Times New Roman" w:cs="Arial"/>
          <w:color w:val="000000"/>
          <w:u w:val="single"/>
          <w:lang w:eastAsia="bg-BG"/>
        </w:rPr>
      </w:pPr>
    </w:p>
    <w:p w14:paraId="5960969F" w14:textId="3DACC349"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u w:val="single"/>
          <w:lang w:eastAsia="bg-BG"/>
        </w:rPr>
        <w:t>Хронична сърдечна недостатъчност:</w:t>
      </w:r>
    </w:p>
    <w:p w14:paraId="697F4274"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Данните за нежелани реакции при пациенти с ХСН са налични от плацебо-контролирано клинично проучване, включващо 1067 пациента, приемащи небиволол и 1061 пациента, приемащи плацебо. В това проучване общо 449 (42,1%) пациента, приемащи небиволол, съобщават за вероятно свързани нежелани реакции, в сравнение с 334 пациента (31,5%), приемащи плацебо. Най-често докладваните нежелани реакции при пациентите на небиволол са брадикардия и замаяност, като и двете се проявяват при около 11% от пациентите. Честотата при плацебо е съответно 2% и 7%. За нежеланите лекарствени реакции е докладвана следната честота (поне вероятно свързани с лечението), които се приемат за специфично значими при лечението на хроничната сърдечна недостатъчност:</w:t>
      </w:r>
    </w:p>
    <w:p w14:paraId="52253D2C" w14:textId="77777777" w:rsidR="00B424CA" w:rsidRPr="00B424CA" w:rsidRDefault="00B424CA" w:rsidP="00B424CA">
      <w:pPr>
        <w:pStyle w:val="ListParagraph"/>
        <w:numPr>
          <w:ilvl w:val="0"/>
          <w:numId w:val="40"/>
        </w:numPr>
        <w:spacing w:line="240" w:lineRule="auto"/>
        <w:rPr>
          <w:rFonts w:eastAsia="Times New Roman" w:cs="Arial"/>
          <w:sz w:val="24"/>
          <w:szCs w:val="24"/>
          <w:lang w:eastAsia="bg-BG"/>
        </w:rPr>
      </w:pPr>
      <w:r w:rsidRPr="00B424CA">
        <w:rPr>
          <w:rFonts w:eastAsia="Times New Roman" w:cs="Arial"/>
          <w:color w:val="000000"/>
          <w:lang w:eastAsia="bg-BG"/>
        </w:rPr>
        <w:t>влошаване на сърдечната недостатъчност - проявява се при 5,8 % от пациентите на небиволол в сравнение с 5,2 % от пациентите на плацебо;</w:t>
      </w:r>
    </w:p>
    <w:p w14:paraId="79A8A370" w14:textId="77777777" w:rsidR="00B424CA" w:rsidRPr="00B424CA" w:rsidRDefault="00B424CA" w:rsidP="00B424CA">
      <w:pPr>
        <w:pStyle w:val="ListParagraph"/>
        <w:numPr>
          <w:ilvl w:val="0"/>
          <w:numId w:val="40"/>
        </w:numPr>
        <w:spacing w:line="240" w:lineRule="auto"/>
        <w:rPr>
          <w:rFonts w:eastAsia="Times New Roman" w:cs="Arial"/>
          <w:sz w:val="24"/>
          <w:szCs w:val="24"/>
          <w:lang w:eastAsia="bg-BG"/>
        </w:rPr>
      </w:pPr>
      <w:r w:rsidRPr="00B424CA">
        <w:rPr>
          <w:rFonts w:eastAsia="Times New Roman" w:cs="Arial"/>
          <w:color w:val="000000"/>
          <w:lang w:eastAsia="bg-BG"/>
        </w:rPr>
        <w:t>постурална хипотония - проявява се при 2,1% от пациентите на небиволол в сравнение с 1,0 % от пациентите на плацебо;</w:t>
      </w:r>
    </w:p>
    <w:p w14:paraId="5592F373" w14:textId="77777777" w:rsidR="00B424CA" w:rsidRPr="00B424CA" w:rsidRDefault="00B424CA" w:rsidP="00B424CA">
      <w:pPr>
        <w:pStyle w:val="ListParagraph"/>
        <w:numPr>
          <w:ilvl w:val="0"/>
          <w:numId w:val="40"/>
        </w:numPr>
        <w:spacing w:line="240" w:lineRule="auto"/>
        <w:rPr>
          <w:rFonts w:eastAsia="Times New Roman" w:cs="Arial"/>
          <w:sz w:val="24"/>
          <w:szCs w:val="24"/>
          <w:lang w:eastAsia="bg-BG"/>
        </w:rPr>
      </w:pPr>
      <w:r w:rsidRPr="00B424CA">
        <w:rPr>
          <w:rFonts w:eastAsia="Times New Roman" w:cs="Arial"/>
          <w:color w:val="000000"/>
          <w:lang w:eastAsia="bg-BG"/>
        </w:rPr>
        <w:t>непоносимост към лекарството - проявява се при 1,6 % от пациентите на небиволол в сравнение с 1.8% от пациентите на плацебо;</w:t>
      </w:r>
    </w:p>
    <w:p w14:paraId="0192750C" w14:textId="77777777" w:rsidR="00B424CA" w:rsidRPr="00B424CA" w:rsidRDefault="00B424CA" w:rsidP="00B424CA">
      <w:pPr>
        <w:pStyle w:val="ListParagraph"/>
        <w:numPr>
          <w:ilvl w:val="0"/>
          <w:numId w:val="39"/>
        </w:numPr>
        <w:spacing w:line="240" w:lineRule="auto"/>
        <w:rPr>
          <w:rFonts w:eastAsia="Times New Roman" w:cs="Arial"/>
          <w:sz w:val="24"/>
          <w:szCs w:val="24"/>
          <w:lang w:eastAsia="bg-BG"/>
        </w:rPr>
      </w:pPr>
      <w:r w:rsidRPr="00B424CA">
        <w:rPr>
          <w:rFonts w:eastAsia="Times New Roman" w:cs="Arial"/>
          <w:color w:val="000000"/>
          <w:lang w:eastAsia="bg-BG"/>
        </w:rPr>
        <w:t xml:space="preserve">атрио-вентрикуларен блок </w:t>
      </w:r>
      <w:r w:rsidRPr="00B424CA">
        <w:rPr>
          <w:rFonts w:eastAsia="Times New Roman" w:cs="Arial"/>
          <w:color w:val="000000"/>
          <w:lang w:val="en-US"/>
        </w:rPr>
        <w:t>I</w:t>
      </w:r>
      <w:r w:rsidRPr="00B424CA">
        <w:rPr>
          <w:rFonts w:eastAsia="Times New Roman" w:cs="Arial"/>
          <w:color w:val="000000"/>
          <w:lang w:eastAsia="bg-BG"/>
        </w:rPr>
        <w:t>-ва степен - проявява се при 1,4% от пациентите небиволол в сравнение с 0,9 % от пациентите на плацебо;</w:t>
      </w:r>
    </w:p>
    <w:p w14:paraId="2A9B5B4A" w14:textId="6AA100E8" w:rsidR="001F4C76" w:rsidRPr="00B424CA" w:rsidRDefault="00B424CA" w:rsidP="00B424CA">
      <w:pPr>
        <w:pStyle w:val="ListParagraph"/>
        <w:numPr>
          <w:ilvl w:val="0"/>
          <w:numId w:val="39"/>
        </w:numPr>
        <w:rPr>
          <w:rFonts w:eastAsia="Times New Roman" w:cs="Arial"/>
          <w:color w:val="000000"/>
          <w:lang w:eastAsia="bg-BG"/>
        </w:rPr>
      </w:pPr>
      <w:r w:rsidRPr="00B424CA">
        <w:rPr>
          <w:rFonts w:eastAsia="Times New Roman" w:cs="Arial"/>
          <w:color w:val="000000"/>
          <w:lang w:eastAsia="bg-BG"/>
        </w:rPr>
        <w:t>оток на долните крайници - проявява се при 1,0 % от пациентите на небиволол в сравнение с 0.2 % от пациентите на плацебо.</w:t>
      </w:r>
    </w:p>
    <w:p w14:paraId="0AACF901" w14:textId="77777777" w:rsidR="001F4C76" w:rsidRPr="001F4C76" w:rsidRDefault="001F4C76" w:rsidP="001F4C76"/>
    <w:p w14:paraId="0A023CE0" w14:textId="7D45FC63" w:rsidR="00CF77F7" w:rsidRDefault="002C50EE" w:rsidP="004A448E">
      <w:pPr>
        <w:pStyle w:val="Heading2"/>
      </w:pPr>
      <w:r>
        <w:t>4.9. Предозиране</w:t>
      </w:r>
    </w:p>
    <w:p w14:paraId="00F05A01" w14:textId="1FB98B8B" w:rsidR="00B424CA" w:rsidRDefault="00B424CA" w:rsidP="00B424CA"/>
    <w:p w14:paraId="1CDB41BC"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Няма данни за предозиране.</w:t>
      </w:r>
    </w:p>
    <w:p w14:paraId="6C7557E6" w14:textId="77777777" w:rsidR="00B424CA" w:rsidRPr="00B424CA" w:rsidRDefault="00B424CA" w:rsidP="00B424CA">
      <w:pPr>
        <w:spacing w:line="240" w:lineRule="auto"/>
        <w:rPr>
          <w:rFonts w:eastAsia="Times New Roman" w:cs="Arial"/>
          <w:i/>
          <w:iCs/>
          <w:color w:val="000000"/>
          <w:lang w:eastAsia="bg-BG"/>
        </w:rPr>
      </w:pPr>
    </w:p>
    <w:p w14:paraId="2275798E" w14:textId="6D0ED103" w:rsidR="00B424CA" w:rsidRPr="00B424CA" w:rsidRDefault="00B424CA" w:rsidP="00B424CA">
      <w:pPr>
        <w:pStyle w:val="Heading3"/>
        <w:rPr>
          <w:rFonts w:eastAsia="Times New Roman"/>
          <w:u w:val="single"/>
          <w:lang w:eastAsia="bg-BG"/>
        </w:rPr>
      </w:pPr>
      <w:r w:rsidRPr="00B424CA">
        <w:rPr>
          <w:rFonts w:eastAsia="Times New Roman"/>
          <w:u w:val="single"/>
          <w:lang w:eastAsia="bg-BG"/>
        </w:rPr>
        <w:t>Си</w:t>
      </w:r>
      <w:bookmarkStart w:id="1" w:name="_GoBack"/>
      <w:bookmarkEnd w:id="1"/>
      <w:r w:rsidRPr="00B424CA">
        <w:rPr>
          <w:rFonts w:eastAsia="Times New Roman"/>
          <w:u w:val="single"/>
          <w:lang w:eastAsia="bg-BG"/>
        </w:rPr>
        <w:t>мптоми</w:t>
      </w:r>
    </w:p>
    <w:p w14:paraId="0FC4EF2A"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Симптоми на предозиране с бета-блокери са: брадикардия, хипотония, бронхоспазъм и остра сърдечна недостатъчност.</w:t>
      </w:r>
    </w:p>
    <w:p w14:paraId="7728A354" w14:textId="77777777" w:rsidR="00B424CA" w:rsidRPr="00B424CA" w:rsidRDefault="00B424CA" w:rsidP="00B424CA">
      <w:pPr>
        <w:spacing w:line="240" w:lineRule="auto"/>
        <w:rPr>
          <w:rFonts w:eastAsia="Times New Roman" w:cs="Arial"/>
          <w:i/>
          <w:iCs/>
          <w:color w:val="000000"/>
          <w:lang w:eastAsia="bg-BG"/>
        </w:rPr>
      </w:pPr>
    </w:p>
    <w:p w14:paraId="1117E90A" w14:textId="762EA97A" w:rsidR="00B424CA" w:rsidRPr="00B424CA" w:rsidRDefault="00B424CA" w:rsidP="00B424CA">
      <w:pPr>
        <w:pStyle w:val="Heading3"/>
        <w:rPr>
          <w:rFonts w:eastAsia="Times New Roman"/>
          <w:u w:val="single"/>
          <w:lang w:eastAsia="bg-BG"/>
        </w:rPr>
      </w:pPr>
      <w:r w:rsidRPr="00B424CA">
        <w:rPr>
          <w:rFonts w:eastAsia="Times New Roman"/>
          <w:u w:val="single"/>
          <w:lang w:eastAsia="bg-BG"/>
        </w:rPr>
        <w:t>Лечение:</w:t>
      </w:r>
    </w:p>
    <w:p w14:paraId="363E12F4" w14:textId="422D7A61" w:rsidR="00B424CA" w:rsidRPr="00B424CA" w:rsidRDefault="00B424CA" w:rsidP="00B424CA">
      <w:pPr>
        <w:rPr>
          <w:rFonts w:eastAsia="Times New Roman" w:cs="Arial"/>
          <w:color w:val="000000"/>
          <w:lang w:eastAsia="bg-BG"/>
        </w:rPr>
      </w:pPr>
      <w:r w:rsidRPr="00B424CA">
        <w:rPr>
          <w:rFonts w:eastAsia="Times New Roman" w:cs="Arial"/>
          <w:color w:val="000000"/>
          <w:lang w:eastAsia="bg-BG"/>
        </w:rPr>
        <w:t xml:space="preserve">В случаи на предозиране или свърхчувствителност пациентът трябва да се наблюдава непрекъснато и да се лекува в интензивно отделение. Трябва да се контролират стойностите на кръвната захар. Резорбцията на евентуално останало количество от лекарствения продукт в гастро- интестиналния тракт може да се предотврати чрез стомашен лаваж и приложението на активен въглен или лаксативии средства. Може да се наложи и изкуствено дишане. Брадикардията или силно изразените вагусови реакции се лекуват чрез приложението на атропин или метилатропин. При хипотония и шок се </w:t>
      </w:r>
      <w:r w:rsidRPr="00B424CA">
        <w:rPr>
          <w:rFonts w:eastAsia="Times New Roman" w:cs="Arial"/>
          <w:color w:val="000000"/>
          <w:lang w:eastAsia="bg-BG"/>
        </w:rPr>
        <w:lastRenderedPageBreak/>
        <w:t xml:space="preserve">прилага плазма или плазмени заместители и при необходимост- катехоламин. На бета-блокиращия ефект може да се противодейства чрез бавно интравенозно приложение на изопреналин хидрохлорид с начална доза около 5 </w:t>
      </w:r>
      <w:proofErr w:type="spellStart"/>
      <w:r w:rsidRPr="00B424CA">
        <w:rPr>
          <w:rFonts w:eastAsia="Times New Roman" w:cs="Arial"/>
          <w:color w:val="000000"/>
          <w:lang w:val="en-US"/>
        </w:rPr>
        <w:t>pg</w:t>
      </w:r>
      <w:proofErr w:type="spellEnd"/>
      <w:r w:rsidRPr="00B424CA">
        <w:rPr>
          <w:rFonts w:eastAsia="Times New Roman" w:cs="Arial"/>
          <w:color w:val="000000"/>
          <w:lang w:val="en-US"/>
        </w:rPr>
        <w:t xml:space="preserve"> </w:t>
      </w:r>
      <w:r w:rsidRPr="00B424CA">
        <w:rPr>
          <w:rFonts w:eastAsia="Times New Roman" w:cs="Arial"/>
          <w:color w:val="000000"/>
          <w:lang w:eastAsia="bg-BG"/>
        </w:rPr>
        <w:t xml:space="preserve">/ </w:t>
      </w:r>
      <w:r w:rsidRPr="00B424CA">
        <w:rPr>
          <w:rFonts w:eastAsia="Times New Roman" w:cs="Arial"/>
          <w:color w:val="000000"/>
          <w:lang w:val="en-US"/>
        </w:rPr>
        <w:t xml:space="preserve">min </w:t>
      </w:r>
      <w:r w:rsidRPr="00B424CA">
        <w:rPr>
          <w:rFonts w:eastAsia="Times New Roman" w:cs="Arial"/>
          <w:color w:val="000000"/>
          <w:lang w:eastAsia="bg-BG"/>
        </w:rPr>
        <w:t>или добутамин с начална доза 2,5 μ</w:t>
      </w:r>
      <w:r w:rsidRPr="00B424CA">
        <w:rPr>
          <w:rFonts w:eastAsia="Times New Roman" w:cs="Arial"/>
          <w:color w:val="000000"/>
          <w:lang w:val="en-US"/>
        </w:rPr>
        <w:t xml:space="preserve">g </w:t>
      </w:r>
      <w:r w:rsidRPr="00B424CA">
        <w:rPr>
          <w:rFonts w:eastAsia="Times New Roman" w:cs="Arial"/>
          <w:color w:val="000000"/>
          <w:lang w:eastAsia="bg-BG"/>
        </w:rPr>
        <w:t xml:space="preserve">/ </w:t>
      </w:r>
      <w:r w:rsidRPr="00B424CA">
        <w:rPr>
          <w:rFonts w:eastAsia="Times New Roman" w:cs="Arial"/>
          <w:color w:val="000000"/>
          <w:lang w:val="en-US"/>
        </w:rPr>
        <w:t xml:space="preserve">min </w:t>
      </w:r>
      <w:r w:rsidRPr="00B424CA">
        <w:rPr>
          <w:rFonts w:eastAsia="Times New Roman" w:cs="Arial"/>
          <w:color w:val="000000"/>
          <w:lang w:eastAsia="bg-BG"/>
        </w:rPr>
        <w:t>до дос тигане на желания ефект. При рефрактерни случаи изопреналинът може да се комбинира с допамин. Ако отново не се постигне желания ефект, може да се обмисли интравенозно приложение на 50-100 μ</w:t>
      </w:r>
      <w:r w:rsidRPr="00B424CA">
        <w:rPr>
          <w:rFonts w:eastAsia="Times New Roman" w:cs="Arial"/>
          <w:color w:val="000000"/>
          <w:lang w:val="en-US"/>
        </w:rPr>
        <w:t xml:space="preserve">g </w:t>
      </w:r>
      <w:r w:rsidRPr="00B424CA">
        <w:rPr>
          <w:rFonts w:eastAsia="Times New Roman" w:cs="Arial"/>
          <w:color w:val="000000"/>
          <w:lang w:eastAsia="bg-BG"/>
        </w:rPr>
        <w:t xml:space="preserve">/ </w:t>
      </w:r>
      <w:r w:rsidRPr="00B424CA">
        <w:rPr>
          <w:rFonts w:eastAsia="Times New Roman" w:cs="Arial"/>
          <w:color w:val="000000"/>
          <w:lang w:val="en-US"/>
        </w:rPr>
        <w:t xml:space="preserve">kg </w:t>
      </w:r>
      <w:proofErr w:type="spellStart"/>
      <w:r w:rsidRPr="00B424CA">
        <w:rPr>
          <w:rFonts w:eastAsia="Times New Roman" w:cs="Arial"/>
          <w:color w:val="000000"/>
          <w:lang w:val="en-US"/>
        </w:rPr>
        <w:t>i.v.</w:t>
      </w:r>
      <w:proofErr w:type="spellEnd"/>
      <w:r w:rsidRPr="00B424CA">
        <w:rPr>
          <w:rFonts w:eastAsia="Times New Roman" w:cs="Arial"/>
          <w:color w:val="000000"/>
          <w:lang w:val="en-US"/>
        </w:rPr>
        <w:t xml:space="preserve"> </w:t>
      </w:r>
      <w:r w:rsidRPr="00B424CA">
        <w:rPr>
          <w:rFonts w:eastAsia="Times New Roman" w:cs="Arial"/>
          <w:color w:val="000000"/>
          <w:lang w:eastAsia="bg-BG"/>
        </w:rPr>
        <w:t>глюкагон и, при необходимост, да се повтори в рамките на един час, последвано от интравенозна инфузия глюкагон 70 μ</w:t>
      </w:r>
      <w:r w:rsidRPr="00B424CA">
        <w:rPr>
          <w:rFonts w:eastAsia="Times New Roman" w:cs="Arial"/>
          <w:color w:val="000000"/>
          <w:lang w:val="en-US"/>
        </w:rPr>
        <w:t xml:space="preserve">g / </w:t>
      </w:r>
      <w:proofErr w:type="spellStart"/>
      <w:r w:rsidRPr="00B424CA">
        <w:rPr>
          <w:rFonts w:eastAsia="Times New Roman" w:cs="Arial"/>
          <w:color w:val="000000"/>
          <w:lang w:val="en-US"/>
        </w:rPr>
        <w:t>mkg</w:t>
      </w:r>
      <w:proofErr w:type="spellEnd"/>
      <w:r w:rsidRPr="00B424CA">
        <w:rPr>
          <w:rFonts w:eastAsia="Times New Roman" w:cs="Arial"/>
          <w:color w:val="000000"/>
          <w:lang w:val="en-US"/>
        </w:rPr>
        <w:t xml:space="preserve">/ h. </w:t>
      </w:r>
      <w:r w:rsidRPr="00B424CA">
        <w:rPr>
          <w:rFonts w:eastAsia="Times New Roman" w:cs="Arial"/>
          <w:color w:val="000000"/>
          <w:lang w:eastAsia="bg-BG"/>
        </w:rPr>
        <w:t>В екстремни случаи на брадикардия може да се простави пейсмейкър.</w:t>
      </w:r>
    </w:p>
    <w:p w14:paraId="65BCB8BF" w14:textId="14086B9A" w:rsidR="00B424CA" w:rsidRDefault="00B424CA" w:rsidP="00B424CA">
      <w:pPr>
        <w:rPr>
          <w:rFonts w:ascii="Times New Roman" w:eastAsia="Times New Roman" w:hAnsi="Times New Roman" w:cs="Times New Roman"/>
          <w:color w:val="000000"/>
          <w:lang w:eastAsia="bg-BG"/>
        </w:rPr>
      </w:pPr>
    </w:p>
    <w:p w14:paraId="2214C239" w14:textId="77777777" w:rsidR="00B424CA" w:rsidRPr="00B424CA" w:rsidRDefault="00B424CA" w:rsidP="00B424CA">
      <w:pPr>
        <w:rPr>
          <w:rFonts w:ascii="Times New Roman" w:eastAsia="Times New Roman" w:hAnsi="Times New Roman" w:cs="Times New Roman"/>
          <w:color w:val="000000"/>
          <w:lang w:eastAsia="bg-BG"/>
        </w:rPr>
      </w:pPr>
    </w:p>
    <w:p w14:paraId="02081B24" w14:textId="52011E71" w:rsidR="00395555" w:rsidRDefault="002C50EE" w:rsidP="008A6AF2">
      <w:pPr>
        <w:pStyle w:val="Heading1"/>
      </w:pPr>
      <w:r>
        <w:t>5. ФАРМАКОЛОГИЧНИ СВОЙСТВА</w:t>
      </w:r>
    </w:p>
    <w:p w14:paraId="0FF9A8DD" w14:textId="77777777" w:rsidR="00B424CA" w:rsidRPr="00B424CA" w:rsidRDefault="00B424CA" w:rsidP="00B424CA"/>
    <w:p w14:paraId="32B6DE66" w14:textId="77CFCCF2" w:rsidR="00CF77F7" w:rsidRDefault="002C50EE" w:rsidP="004A448E">
      <w:pPr>
        <w:pStyle w:val="Heading2"/>
      </w:pPr>
      <w:r>
        <w:t>5.1. Фармакодинамични свойства</w:t>
      </w:r>
    </w:p>
    <w:p w14:paraId="79F655A0" w14:textId="7A3FC2BF" w:rsidR="00B424CA" w:rsidRDefault="00B424CA" w:rsidP="00B424CA"/>
    <w:p w14:paraId="3602D77A"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Фармакотерапевтична група: бета-блокери, селективни АТС код: </w:t>
      </w:r>
      <w:r w:rsidRPr="00B424CA">
        <w:rPr>
          <w:rFonts w:eastAsia="Times New Roman" w:cs="Arial"/>
          <w:color w:val="000000"/>
          <w:lang w:val="en-US"/>
        </w:rPr>
        <w:t>C07ABI2.</w:t>
      </w:r>
    </w:p>
    <w:p w14:paraId="22F46383" w14:textId="77777777" w:rsidR="00B424CA" w:rsidRPr="00B424CA" w:rsidRDefault="00B424CA" w:rsidP="00B424CA">
      <w:pPr>
        <w:spacing w:line="240" w:lineRule="auto"/>
        <w:rPr>
          <w:rFonts w:eastAsia="Times New Roman" w:cs="Arial"/>
          <w:color w:val="000000"/>
          <w:lang w:eastAsia="bg-BG"/>
        </w:rPr>
      </w:pPr>
    </w:p>
    <w:p w14:paraId="261125DC" w14:textId="43440158"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Небиволол е рацемат от два енантиомера, </w:t>
      </w:r>
      <w:r w:rsidRPr="00B424CA">
        <w:rPr>
          <w:rFonts w:eastAsia="Times New Roman" w:cs="Arial"/>
          <w:color w:val="000000"/>
          <w:lang w:val="en-US"/>
        </w:rPr>
        <w:t xml:space="preserve">SRRR- </w:t>
      </w:r>
      <w:r w:rsidRPr="00B424CA">
        <w:rPr>
          <w:rFonts w:eastAsia="Times New Roman" w:cs="Arial"/>
          <w:color w:val="000000"/>
          <w:lang w:eastAsia="bg-BG"/>
        </w:rPr>
        <w:t xml:space="preserve">небиволол (или </w:t>
      </w:r>
      <w:r w:rsidRPr="00B424CA">
        <w:rPr>
          <w:rFonts w:eastAsia="Times New Roman" w:cs="Arial"/>
          <w:color w:val="000000"/>
          <w:lang w:val="en-US"/>
        </w:rPr>
        <w:t xml:space="preserve">d- </w:t>
      </w:r>
      <w:r w:rsidRPr="00B424CA">
        <w:rPr>
          <w:rFonts w:eastAsia="Times New Roman" w:cs="Arial"/>
          <w:color w:val="000000"/>
          <w:lang w:eastAsia="bg-BG"/>
        </w:rPr>
        <w:t xml:space="preserve">небиволол) и </w:t>
      </w:r>
      <w:r w:rsidRPr="00B424CA">
        <w:rPr>
          <w:rFonts w:eastAsia="Times New Roman" w:cs="Arial"/>
          <w:color w:val="000000"/>
          <w:lang w:val="en-US"/>
        </w:rPr>
        <w:t xml:space="preserve">RSSS- </w:t>
      </w:r>
      <w:r w:rsidRPr="00B424CA">
        <w:rPr>
          <w:rFonts w:eastAsia="Times New Roman" w:cs="Arial"/>
          <w:color w:val="000000"/>
          <w:lang w:eastAsia="bg-BG"/>
        </w:rPr>
        <w:t>небиволол (или I- небиволол). Небиволол съчетава два фармакологични ефекта:</w:t>
      </w:r>
    </w:p>
    <w:p w14:paraId="7AE627C9" w14:textId="09F5C135" w:rsidR="00B424CA" w:rsidRPr="00B424CA" w:rsidRDefault="00B424CA" w:rsidP="00B424CA">
      <w:pPr>
        <w:pStyle w:val="ListParagraph"/>
        <w:numPr>
          <w:ilvl w:val="0"/>
          <w:numId w:val="41"/>
        </w:numPr>
        <w:spacing w:line="240" w:lineRule="auto"/>
        <w:rPr>
          <w:rFonts w:eastAsia="Times New Roman" w:cs="Arial"/>
          <w:sz w:val="24"/>
          <w:szCs w:val="24"/>
          <w:lang w:eastAsia="bg-BG"/>
        </w:rPr>
      </w:pPr>
      <w:r w:rsidRPr="00B424CA">
        <w:rPr>
          <w:rFonts w:eastAsia="Times New Roman" w:cs="Arial"/>
          <w:color w:val="000000"/>
          <w:lang w:eastAsia="bg-BG"/>
        </w:rPr>
        <w:t xml:space="preserve">Конкурентен и селективен бета-рецепторен антагонистичен ефект: този ефект се дължи на </w:t>
      </w:r>
      <w:r w:rsidRPr="00B424CA">
        <w:rPr>
          <w:rFonts w:eastAsia="Times New Roman" w:cs="Arial"/>
          <w:color w:val="000000"/>
          <w:lang w:val="en-US"/>
        </w:rPr>
        <w:t>SRRR</w:t>
      </w:r>
      <w:r w:rsidRPr="00B424CA">
        <w:rPr>
          <w:rFonts w:eastAsia="Times New Roman" w:cs="Arial"/>
          <w:color w:val="000000"/>
          <w:lang w:eastAsia="bg-BG"/>
        </w:rPr>
        <w:t xml:space="preserve">-енантиомера </w:t>
      </w:r>
      <w:r w:rsidRPr="00B424CA">
        <w:rPr>
          <w:rFonts w:eastAsia="Times New Roman" w:cs="Arial"/>
          <w:color w:val="000000"/>
          <w:lang w:val="en-US"/>
        </w:rPr>
        <w:t>(d</w:t>
      </w:r>
      <w:r w:rsidRPr="00B424CA">
        <w:rPr>
          <w:rFonts w:eastAsia="Times New Roman" w:cs="Arial"/>
          <w:color w:val="000000"/>
          <w:lang w:eastAsia="bg-BG"/>
        </w:rPr>
        <w:t>-енантиомера);</w:t>
      </w:r>
    </w:p>
    <w:p w14:paraId="6A913311" w14:textId="676462C7" w:rsidR="00B424CA" w:rsidRPr="00B424CA" w:rsidRDefault="00B424CA" w:rsidP="00B424CA">
      <w:pPr>
        <w:pStyle w:val="ListParagraph"/>
        <w:numPr>
          <w:ilvl w:val="0"/>
          <w:numId w:val="41"/>
        </w:numPr>
        <w:spacing w:line="240" w:lineRule="auto"/>
        <w:rPr>
          <w:rFonts w:eastAsia="Times New Roman" w:cs="Arial"/>
          <w:sz w:val="24"/>
          <w:szCs w:val="24"/>
          <w:lang w:eastAsia="bg-BG"/>
        </w:rPr>
      </w:pPr>
      <w:r w:rsidRPr="00B424CA">
        <w:rPr>
          <w:rFonts w:eastAsia="Times New Roman" w:cs="Arial"/>
          <w:color w:val="000000"/>
          <w:lang w:eastAsia="bg-BG"/>
        </w:rPr>
        <w:t xml:space="preserve">Има леко вазодилагативно действие в резултат на взаимодействие със системата </w:t>
      </w:r>
      <w:r w:rsidRPr="00B424CA">
        <w:rPr>
          <w:rFonts w:eastAsia="Times New Roman" w:cs="Arial"/>
          <w:color w:val="000000"/>
          <w:lang w:val="en-US"/>
        </w:rPr>
        <w:t>L</w:t>
      </w:r>
      <w:r w:rsidRPr="00B424CA">
        <w:rPr>
          <w:rFonts w:eastAsia="Times New Roman" w:cs="Arial"/>
          <w:color w:val="000000"/>
          <w:lang w:eastAsia="bg-BG"/>
        </w:rPr>
        <w:t>-аргинин/ азотен окис.</w:t>
      </w:r>
    </w:p>
    <w:p w14:paraId="5F61067D"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Еднократно и многократно приложение на небиволол понижава сърдечната честота и кръвното налягане в покой и при усилие при нормотензивни индивиди и хипертензивни пациенти.</w:t>
      </w:r>
    </w:p>
    <w:p w14:paraId="2842D828"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Антихипертензивният ефект се запазва и при продължително лечение.</w:t>
      </w:r>
    </w:p>
    <w:p w14:paraId="276B3BD7"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Небиволол в терапевтични дози е лишен от алфа-антагонистична активност.</w:t>
      </w:r>
    </w:p>
    <w:p w14:paraId="57E3819E"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При остро и продължително лечение на хипертоници с небиволол се понижава периферното системно съдово съпротивление. Независимо от понижението на сърдечната честота, благодарение на увеличение на ударния обем, се ограничава намалението на минутния сърдечен обем в покой и при движение. Все още не е добре установено клиничното значение на тези хемодинамични параметри в сравнение с други селективни бета-1 блокери.</w:t>
      </w:r>
    </w:p>
    <w:p w14:paraId="4DF0746C"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При хипертоници небиволол повишава </w:t>
      </w:r>
      <w:r w:rsidRPr="00B424CA">
        <w:rPr>
          <w:rFonts w:eastAsia="Times New Roman" w:cs="Arial"/>
          <w:color w:val="000000"/>
          <w:lang w:val="en-US"/>
        </w:rPr>
        <w:t>NO</w:t>
      </w:r>
      <w:r w:rsidRPr="00B424CA">
        <w:rPr>
          <w:rFonts w:eastAsia="Times New Roman" w:cs="Arial"/>
          <w:color w:val="000000"/>
          <w:lang w:eastAsia="bg-BG"/>
        </w:rPr>
        <w:t>-медиирания отговор на съдовете към ацетилхолин, койго е понижен при пациенти с ендогелна дисфункция.</w:t>
      </w:r>
    </w:p>
    <w:p w14:paraId="02F6E537" w14:textId="77777777" w:rsidR="00B424CA" w:rsidRPr="00B424CA" w:rsidRDefault="00B424CA" w:rsidP="00B424CA">
      <w:pPr>
        <w:spacing w:line="240" w:lineRule="auto"/>
        <w:rPr>
          <w:rFonts w:eastAsia="Times New Roman" w:cs="Arial"/>
          <w:color w:val="000000"/>
          <w:lang w:eastAsia="bg-BG"/>
        </w:rPr>
      </w:pPr>
    </w:p>
    <w:p w14:paraId="1CAF2DE6" w14:textId="149A6A90"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В плацебо-контролирано проучване за заболеваемост и смъртност с 2128 пациента ≥ 70 години (средна възраст 75,2 години) със стабилна хронична сърдечна недостатъчност с или без нарушена левокамерна фракция на изтласкване </w:t>
      </w:r>
      <w:r w:rsidRPr="00B424CA">
        <w:rPr>
          <w:rFonts w:eastAsia="Times New Roman" w:cs="Arial"/>
          <w:color w:val="000000"/>
          <w:lang w:val="en-US"/>
        </w:rPr>
        <w:t xml:space="preserve">(LVEF: </w:t>
      </w:r>
      <w:r w:rsidRPr="00B424CA">
        <w:rPr>
          <w:rFonts w:eastAsia="Times New Roman" w:cs="Arial"/>
          <w:color w:val="000000"/>
          <w:lang w:eastAsia="bg-BG"/>
        </w:rPr>
        <w:t xml:space="preserve">36 ± 12,3 %, при следното разпределение: </w:t>
      </w:r>
      <w:r w:rsidRPr="00B424CA">
        <w:rPr>
          <w:rFonts w:eastAsia="Times New Roman" w:cs="Arial"/>
          <w:color w:val="000000"/>
          <w:lang w:val="en-US"/>
        </w:rPr>
        <w:t xml:space="preserve">LVEF </w:t>
      </w:r>
      <w:r w:rsidRPr="00B424CA">
        <w:rPr>
          <w:rFonts w:eastAsia="Times New Roman" w:cs="Arial"/>
          <w:color w:val="000000"/>
          <w:lang w:eastAsia="bg-BG"/>
        </w:rPr>
        <w:t xml:space="preserve">по- малко от 35% при 56 % от пациентите, </w:t>
      </w:r>
      <w:r w:rsidRPr="00B424CA">
        <w:rPr>
          <w:rFonts w:eastAsia="Times New Roman" w:cs="Arial"/>
          <w:color w:val="000000"/>
          <w:lang w:val="en-US"/>
        </w:rPr>
        <w:t xml:space="preserve">LVEF </w:t>
      </w:r>
      <w:r w:rsidRPr="00B424CA">
        <w:rPr>
          <w:rFonts w:eastAsia="Times New Roman" w:cs="Arial"/>
          <w:color w:val="000000"/>
          <w:lang w:eastAsia="bg-BG"/>
        </w:rPr>
        <w:t xml:space="preserve">между 35% и 45% при 25 % от пациентите и </w:t>
      </w:r>
      <w:r w:rsidRPr="00B424CA">
        <w:rPr>
          <w:rFonts w:eastAsia="Times New Roman" w:cs="Arial"/>
          <w:color w:val="000000"/>
          <w:lang w:val="en-US"/>
        </w:rPr>
        <w:t xml:space="preserve">LVEF </w:t>
      </w:r>
      <w:r w:rsidRPr="00B424CA">
        <w:rPr>
          <w:rFonts w:eastAsia="Times New Roman" w:cs="Arial"/>
          <w:color w:val="000000"/>
          <w:lang w:eastAsia="bg-BG"/>
        </w:rPr>
        <w:t xml:space="preserve">повече от 45 % при 19 % от пациентите), проследени в продължение средно на 20 месеца, небиволол, добавен към стандартното лечение, сигнификантно удължава времето до проява на смъртен изход или хоспитализация по повод сърдечно-съдови събития (първичен краен изход за ефикасност), като релативният риск намалява с 14 % (абсолютно намалени: 4,2 %). Намаляването на риска се проявява след шестия месец от лечението и се поддържа по време на цялото лечение (средна продължителност: 18 месеца). Ефектът на небиволол е независим от възраст, пол и левокамерна фракция на изтласкване на проучваната популация. Ползите по отношение </w:t>
      </w:r>
      <w:r w:rsidRPr="00B424CA">
        <w:rPr>
          <w:rFonts w:eastAsia="Times New Roman" w:cs="Arial"/>
          <w:color w:val="000000"/>
          <w:lang w:eastAsia="bg-BG"/>
        </w:rPr>
        <w:lastRenderedPageBreak/>
        <w:t>общата смъртност не достигат сигнификантна разлика в сравнение с плацебо (абсолютно намаление: 2,3%).</w:t>
      </w:r>
    </w:p>
    <w:p w14:paraId="0780A228"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Намаление на внезапна сърдечна смърт се наблюдава при пациентите, лекувани с небиволол (4,1 % спрямо 6.6 %, релативно намаление с 38 %).</w:t>
      </w:r>
    </w:p>
    <w:p w14:paraId="04F48277" w14:textId="77777777" w:rsidR="00B424CA" w:rsidRPr="00B424CA" w:rsidRDefault="00B424CA" w:rsidP="00B424CA">
      <w:pPr>
        <w:spacing w:line="240" w:lineRule="auto"/>
        <w:rPr>
          <w:rFonts w:eastAsia="Times New Roman" w:cs="Arial"/>
          <w:i/>
          <w:iCs/>
          <w:color w:val="000000"/>
          <w:lang w:val="en-US"/>
        </w:rPr>
      </w:pPr>
    </w:p>
    <w:p w14:paraId="7C4E0A1C"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i/>
          <w:iCs/>
          <w:color w:val="000000"/>
          <w:lang w:val="en-US"/>
        </w:rPr>
        <w:t>In vitro</w:t>
      </w:r>
      <w:r w:rsidRPr="00B424CA">
        <w:rPr>
          <w:rFonts w:eastAsia="Times New Roman" w:cs="Arial"/>
          <w:color w:val="000000"/>
          <w:lang w:val="en-US"/>
        </w:rPr>
        <w:t xml:space="preserve"> </w:t>
      </w:r>
      <w:r w:rsidRPr="00B424CA">
        <w:rPr>
          <w:rFonts w:eastAsia="Times New Roman" w:cs="Arial"/>
          <w:color w:val="000000"/>
          <w:lang w:eastAsia="bg-BG"/>
        </w:rPr>
        <w:t xml:space="preserve">и </w:t>
      </w:r>
      <w:r w:rsidRPr="00B424CA">
        <w:rPr>
          <w:rFonts w:eastAsia="Times New Roman" w:cs="Arial"/>
          <w:i/>
          <w:iCs/>
          <w:color w:val="000000"/>
          <w:lang w:val="en-US"/>
        </w:rPr>
        <w:t>in vivo</w:t>
      </w:r>
      <w:r w:rsidRPr="00B424CA">
        <w:rPr>
          <w:rFonts w:eastAsia="Times New Roman" w:cs="Arial"/>
          <w:color w:val="000000"/>
          <w:lang w:val="en-US"/>
        </w:rPr>
        <w:t xml:space="preserve"> </w:t>
      </w:r>
      <w:r w:rsidRPr="00B424CA">
        <w:rPr>
          <w:rFonts w:eastAsia="Times New Roman" w:cs="Arial"/>
          <w:color w:val="000000"/>
          <w:lang w:eastAsia="bg-BG"/>
        </w:rPr>
        <w:t>изследвания с експериментални животни показват, че небиволол е лишен от вътрешна симпатикомиметична активност, какго и че фармакологични дози на небиволол нямат мембрано-стабилизиращо действие.</w:t>
      </w:r>
    </w:p>
    <w:p w14:paraId="7B1F21AE" w14:textId="5A7CAEE2"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При здрави доброволци небиволол не оказва значително действие върху максималния физически капацитет и издръжливост.</w:t>
      </w:r>
    </w:p>
    <w:p w14:paraId="5DCAE371" w14:textId="77777777" w:rsidR="00B424CA" w:rsidRPr="00B424CA" w:rsidRDefault="00B424CA" w:rsidP="00B424CA"/>
    <w:p w14:paraId="35F84B81" w14:textId="73D71E58" w:rsidR="00CF77F7" w:rsidRDefault="002C50EE" w:rsidP="004A448E">
      <w:pPr>
        <w:pStyle w:val="Heading2"/>
      </w:pPr>
      <w:r>
        <w:t>5.2. Фармакокинетични свойства</w:t>
      </w:r>
    </w:p>
    <w:p w14:paraId="1EB3FD99" w14:textId="7A149226" w:rsidR="00B424CA" w:rsidRDefault="00B424CA" w:rsidP="00B424CA"/>
    <w:p w14:paraId="54ACDECB"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И двата енантиомера се абсорбират бързо след перорално приложение. Абсорбцията на небиволол не се повлиява от храна. Небиволол може да се приема с или без храна.</w:t>
      </w:r>
    </w:p>
    <w:p w14:paraId="54030276" w14:textId="77777777" w:rsidR="00B424CA" w:rsidRPr="00B424CA" w:rsidRDefault="00B424CA" w:rsidP="00B424CA">
      <w:pPr>
        <w:rPr>
          <w:rFonts w:eastAsia="Times New Roman" w:cs="Arial"/>
          <w:color w:val="000000"/>
          <w:lang w:eastAsia="bg-BG"/>
        </w:rPr>
      </w:pPr>
    </w:p>
    <w:p w14:paraId="1C877ADA" w14:textId="77777777" w:rsidR="00B424CA" w:rsidRPr="00B424CA" w:rsidRDefault="00B424CA" w:rsidP="00B424CA">
      <w:pPr>
        <w:rPr>
          <w:rFonts w:eastAsia="Times New Roman" w:cs="Arial"/>
          <w:sz w:val="24"/>
          <w:szCs w:val="24"/>
          <w:lang w:eastAsia="bg-BG"/>
        </w:rPr>
      </w:pPr>
      <w:r w:rsidRPr="00B424CA">
        <w:rPr>
          <w:rFonts w:eastAsia="Times New Roman" w:cs="Arial"/>
          <w:color w:val="000000"/>
          <w:lang w:eastAsia="bg-BG"/>
        </w:rPr>
        <w:t>Небиволол се метаболизира изцяло, отчасти в активни хидрокси-метаболити. Небиволол се</w:t>
      </w:r>
      <w:r w:rsidRPr="00B424CA">
        <w:rPr>
          <w:rFonts w:eastAsia="Times New Roman" w:cs="Arial"/>
          <w:color w:val="606290"/>
          <w:lang w:eastAsia="bg-BG"/>
        </w:rPr>
        <w:t xml:space="preserve"> </w:t>
      </w:r>
      <w:r w:rsidRPr="00B424CA">
        <w:rPr>
          <w:rFonts w:eastAsia="Times New Roman" w:cs="Arial"/>
          <w:color w:val="000000"/>
          <w:lang w:eastAsia="bg-BG"/>
        </w:rPr>
        <w:t xml:space="preserve">метаболизира чрез алициклична и ароматна хидроксилация, </w:t>
      </w:r>
      <w:r w:rsidRPr="00B424CA">
        <w:rPr>
          <w:rFonts w:eastAsia="Times New Roman" w:cs="Arial"/>
          <w:color w:val="000000"/>
          <w:lang w:val="en-US"/>
        </w:rPr>
        <w:t>N</w:t>
      </w:r>
      <w:r w:rsidRPr="00B424CA">
        <w:rPr>
          <w:rFonts w:eastAsia="Times New Roman" w:cs="Arial"/>
          <w:color w:val="000000"/>
          <w:lang w:eastAsia="bg-BG"/>
        </w:rPr>
        <w:t>-деалкилация и глюкуронидазация;</w:t>
      </w:r>
      <w:r w:rsidRPr="00B424CA">
        <w:rPr>
          <w:rFonts w:eastAsia="Times New Roman" w:cs="Arial"/>
          <w:color w:val="000000"/>
          <w:lang w:val="en-US"/>
        </w:rPr>
        <w:t xml:space="preserve"> </w:t>
      </w:r>
      <w:r w:rsidRPr="00B424CA">
        <w:rPr>
          <w:rFonts w:eastAsia="Times New Roman" w:cs="Arial"/>
          <w:color w:val="000000"/>
          <w:lang w:eastAsia="bg-BG"/>
        </w:rPr>
        <w:t>в допълнение се образуват глюкурониди на хидрокси-мегаболитите. Метаболизмът на небиволол чрез ароматна дехидроксилация е предмет на С</w:t>
      </w:r>
      <w:r w:rsidRPr="00B424CA">
        <w:rPr>
          <w:rFonts w:eastAsia="Times New Roman" w:cs="Arial"/>
          <w:color w:val="000000"/>
          <w:lang w:val="en-US"/>
        </w:rPr>
        <w:t>Y</w:t>
      </w:r>
      <w:r w:rsidRPr="00B424CA">
        <w:rPr>
          <w:rFonts w:eastAsia="Times New Roman" w:cs="Arial"/>
          <w:color w:val="000000"/>
          <w:lang w:eastAsia="bg-BG"/>
        </w:rPr>
        <w:t>Р2</w:t>
      </w:r>
      <w:r w:rsidRPr="00B424CA">
        <w:rPr>
          <w:rFonts w:eastAsia="Times New Roman" w:cs="Arial"/>
          <w:color w:val="000000"/>
          <w:lang w:val="en-US"/>
        </w:rPr>
        <w:t>D</w:t>
      </w:r>
      <w:r w:rsidRPr="00B424CA">
        <w:rPr>
          <w:rFonts w:eastAsia="Times New Roman" w:cs="Arial"/>
          <w:color w:val="000000"/>
          <w:lang w:eastAsia="bg-BG"/>
        </w:rPr>
        <w:t xml:space="preserve">6-зависим оксидативен полиморфизъм. Бионаличността на небиволол при перорално приложение е 12% при пациентите с бърз метаболизъм и почти пълна при пациентите с бавен метаболизъм. При пациентите с бавен метаболизъм пиковите плазмени концентрации на непроменения небиволол са около 23 пъти по- високи в сравнение с пациентите с бърз метаболизъм, отчетени в </w:t>
      </w:r>
      <w:r w:rsidRPr="00B424CA">
        <w:rPr>
          <w:rFonts w:eastAsia="Times New Roman" w:cs="Arial"/>
          <w:color w:val="000000"/>
          <w:lang w:val="en-US"/>
        </w:rPr>
        <w:t xml:space="preserve">steady-state </w:t>
      </w:r>
      <w:r w:rsidRPr="00B424CA">
        <w:rPr>
          <w:rFonts w:eastAsia="Times New Roman" w:cs="Arial"/>
          <w:color w:val="000000"/>
          <w:lang w:eastAsia="bg-BG"/>
        </w:rPr>
        <w:t>състояние и при едни и същи дози. Ако се имат предвид сумата от непромененото лекарство плюс активните метаболити, разликите в пиковите пламени концентрации е около 1,3 - 1,4 пъти. Поради разликите в скоростта на метаболизиране дозата небиволол трябва винаги да се съобразява с индивидуалните изисквания на пациента и ,в този смисъл, при пациентите с бавен метаболизъм са необходими по- ниски дози.</w:t>
      </w:r>
    </w:p>
    <w:p w14:paraId="1480AC7A"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При пациентите с бърз метаболизъм времето на полуелиминиране на енантиомерите на небиволол е средно 10 часа. При пациентите с бавен метаболизъм това време е 3- 5 пъти по-дълго. При пациентите с бърз метаболизъм пламените нива на </w:t>
      </w:r>
      <w:r w:rsidRPr="00B424CA">
        <w:rPr>
          <w:rFonts w:eastAsia="Times New Roman" w:cs="Arial"/>
          <w:color w:val="000000"/>
          <w:lang w:val="en-US"/>
        </w:rPr>
        <w:t>RSSS</w:t>
      </w:r>
      <w:r w:rsidRPr="00B424CA">
        <w:rPr>
          <w:rFonts w:eastAsia="Times New Roman" w:cs="Arial"/>
          <w:color w:val="000000"/>
          <w:lang w:eastAsia="bg-BG"/>
        </w:rPr>
        <w:t xml:space="preserve">-енантиомера са малко по-високи от тези на </w:t>
      </w:r>
      <w:r w:rsidRPr="00B424CA">
        <w:rPr>
          <w:rFonts w:eastAsia="Times New Roman" w:cs="Arial"/>
          <w:color w:val="000000"/>
          <w:lang w:val="en-US"/>
        </w:rPr>
        <w:t>SRRR</w:t>
      </w:r>
      <w:r w:rsidRPr="00B424CA">
        <w:rPr>
          <w:rFonts w:eastAsia="Times New Roman" w:cs="Arial"/>
          <w:color w:val="000000"/>
          <w:lang w:eastAsia="bg-BG"/>
        </w:rPr>
        <w:t xml:space="preserve">-енантиомера. При пациентите с бавен метаболизъм гази разлика е малко по-голяма. При пациентите с бърз метаболизъм времето на полуелиминиране на хидроксиметаболитите на двата енангиомера е около 24 часа, а при пациентите с бавен метаболизъм е и около 2 пъти по-дълго. </w:t>
      </w:r>
      <w:r w:rsidRPr="00B424CA">
        <w:rPr>
          <w:rFonts w:eastAsia="Times New Roman" w:cs="Arial"/>
          <w:color w:val="000000"/>
          <w:lang w:val="en-US"/>
        </w:rPr>
        <w:t xml:space="preserve">Steady-state </w:t>
      </w:r>
      <w:r w:rsidRPr="00B424CA">
        <w:rPr>
          <w:rFonts w:eastAsia="Times New Roman" w:cs="Arial"/>
          <w:color w:val="000000"/>
          <w:lang w:eastAsia="bg-BG"/>
        </w:rPr>
        <w:t>плазмени нива при повечето пациенти (с бърз метаболизъм) се постигат в рамките на 24 часа за небиволол и за няколко дни за хидроксиметаболитите.</w:t>
      </w:r>
    </w:p>
    <w:p w14:paraId="27658F66"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Плазмените концентрации са пропорционални на дозата в рамките на 1 - 30 </w:t>
      </w:r>
      <w:r w:rsidRPr="00B424CA">
        <w:rPr>
          <w:rFonts w:eastAsia="Times New Roman" w:cs="Arial"/>
          <w:color w:val="000000"/>
          <w:lang w:val="en-US"/>
        </w:rPr>
        <w:t xml:space="preserve">mg. </w:t>
      </w:r>
      <w:r w:rsidRPr="00B424CA">
        <w:rPr>
          <w:rFonts w:eastAsia="Times New Roman" w:cs="Arial"/>
          <w:color w:val="000000"/>
          <w:lang w:eastAsia="bg-BG"/>
        </w:rPr>
        <w:t>Фармакокинетиката на небиволол не се повлиява от възрастта.</w:t>
      </w:r>
    </w:p>
    <w:p w14:paraId="7E3B160A" w14:textId="77777777" w:rsidR="00B424CA" w:rsidRPr="00B424CA" w:rsidRDefault="00B424CA" w:rsidP="00B424CA">
      <w:pPr>
        <w:spacing w:line="240" w:lineRule="auto"/>
        <w:rPr>
          <w:rFonts w:eastAsia="Times New Roman" w:cs="Arial"/>
          <w:sz w:val="24"/>
          <w:szCs w:val="24"/>
          <w:lang w:eastAsia="bg-BG"/>
        </w:rPr>
      </w:pPr>
      <w:r w:rsidRPr="00B424CA">
        <w:rPr>
          <w:rFonts w:eastAsia="Times New Roman" w:cs="Arial"/>
          <w:color w:val="000000"/>
          <w:lang w:eastAsia="bg-BG"/>
        </w:rPr>
        <w:t xml:space="preserve">И двата енангиомера в плазмата се свързват главно с албумина. Свързването с плазмените протеини е 98.1% за </w:t>
      </w:r>
      <w:r w:rsidRPr="00B424CA">
        <w:rPr>
          <w:rFonts w:eastAsia="Times New Roman" w:cs="Arial"/>
          <w:color w:val="000000"/>
          <w:lang w:val="en-US"/>
        </w:rPr>
        <w:t xml:space="preserve">SRRR- </w:t>
      </w:r>
      <w:r w:rsidRPr="00B424CA">
        <w:rPr>
          <w:rFonts w:eastAsia="Times New Roman" w:cs="Arial"/>
          <w:color w:val="000000"/>
          <w:lang w:eastAsia="bg-BG"/>
        </w:rPr>
        <w:t xml:space="preserve">небиволол и 97,9% за </w:t>
      </w:r>
      <w:r w:rsidRPr="00B424CA">
        <w:rPr>
          <w:rFonts w:eastAsia="Times New Roman" w:cs="Arial"/>
          <w:color w:val="000000"/>
          <w:lang w:val="en-US"/>
        </w:rPr>
        <w:t xml:space="preserve">RSSS- </w:t>
      </w:r>
      <w:r w:rsidRPr="00B424CA">
        <w:rPr>
          <w:rFonts w:eastAsia="Times New Roman" w:cs="Arial"/>
          <w:color w:val="000000"/>
          <w:lang w:eastAsia="bg-BG"/>
        </w:rPr>
        <w:t>небиволол.</w:t>
      </w:r>
    </w:p>
    <w:p w14:paraId="0237A528" w14:textId="3BC9839B" w:rsidR="00B424CA" w:rsidRPr="00B424CA" w:rsidRDefault="00B424CA" w:rsidP="00B424CA">
      <w:pPr>
        <w:rPr>
          <w:rFonts w:eastAsia="Times New Roman" w:cs="Arial"/>
          <w:color w:val="000000"/>
          <w:lang w:eastAsia="bg-BG"/>
        </w:rPr>
      </w:pPr>
      <w:r w:rsidRPr="00B424CA">
        <w:rPr>
          <w:rFonts w:eastAsia="Times New Roman" w:cs="Arial"/>
          <w:color w:val="000000"/>
          <w:lang w:eastAsia="bg-BG"/>
        </w:rPr>
        <w:t>Една седмица след приложението 38% от дозата се екскрет ира в урината и 48% във фецеса. Екскрет ираният непроменен небиволол в урината е по-малко от 0,5 % от дозата.</w:t>
      </w:r>
    </w:p>
    <w:p w14:paraId="2B228854" w14:textId="66D4C4A5" w:rsidR="00B424CA" w:rsidRPr="00B424CA" w:rsidRDefault="00B424CA" w:rsidP="00B424CA"/>
    <w:p w14:paraId="648E39DA" w14:textId="260006F5" w:rsidR="00CF77F7" w:rsidRDefault="002C50EE" w:rsidP="004A448E">
      <w:pPr>
        <w:pStyle w:val="Heading2"/>
      </w:pPr>
      <w:r>
        <w:t>5.3. Предклинични данни за безопасност</w:t>
      </w:r>
    </w:p>
    <w:p w14:paraId="6A17A6CA" w14:textId="28667FA8" w:rsidR="00B424CA" w:rsidRDefault="00B424CA" w:rsidP="00B424CA"/>
    <w:p w14:paraId="7F3C1590" w14:textId="11A418EE" w:rsidR="00B424CA" w:rsidRPr="00B424CA" w:rsidRDefault="00B424CA" w:rsidP="00B424CA">
      <w:r>
        <w:lastRenderedPageBreak/>
        <w:t>Няма особености.</w:t>
      </w:r>
    </w:p>
    <w:p w14:paraId="6A7820AB" w14:textId="5F5D0CF2" w:rsidR="008A6AF2" w:rsidRDefault="002C50EE" w:rsidP="00395555">
      <w:pPr>
        <w:pStyle w:val="Heading1"/>
      </w:pPr>
      <w:r>
        <w:t>7. ПРИТЕЖАТЕЛ НА РАЗРЕШЕНИЕТО ЗА УПОТРЕБА</w:t>
      </w:r>
    </w:p>
    <w:p w14:paraId="0FC67962" w14:textId="4C2B536E" w:rsidR="00B424CA" w:rsidRDefault="00B424CA" w:rsidP="00B424CA"/>
    <w:p w14:paraId="001DED16" w14:textId="77777777" w:rsidR="00B424CA" w:rsidRPr="00B424CA" w:rsidRDefault="00B424CA" w:rsidP="00B424CA">
      <w:pPr>
        <w:spacing w:line="240" w:lineRule="auto"/>
        <w:rPr>
          <w:rFonts w:eastAsia="Times New Roman" w:cs="Arial"/>
          <w:lang w:eastAsia="bg-BG"/>
        </w:rPr>
      </w:pPr>
      <w:r w:rsidRPr="00B424CA">
        <w:rPr>
          <w:rFonts w:eastAsia="Times New Roman" w:cs="Arial"/>
          <w:color w:val="000000"/>
          <w:lang w:eastAsia="bg-BG"/>
        </w:rPr>
        <w:t>“Чайкафарма Висококачествените Лекарства” АД</w:t>
      </w:r>
    </w:p>
    <w:p w14:paraId="24F173DA" w14:textId="6C86880B" w:rsidR="00B424CA" w:rsidRPr="00B424CA" w:rsidRDefault="00B424CA" w:rsidP="00B424CA">
      <w:pPr>
        <w:spacing w:line="240" w:lineRule="auto"/>
        <w:rPr>
          <w:rFonts w:eastAsia="Times New Roman" w:cs="Arial"/>
          <w:lang w:eastAsia="bg-BG"/>
        </w:rPr>
      </w:pPr>
      <w:r w:rsidRPr="00B424CA">
        <w:rPr>
          <w:rFonts w:eastAsia="Times New Roman" w:cs="Arial"/>
          <w:color w:val="000000"/>
          <w:lang w:eastAsia="bg-BG"/>
        </w:rPr>
        <w:t xml:space="preserve">Бул. “Г. М. Димитров” № 1, </w:t>
      </w:r>
    </w:p>
    <w:p w14:paraId="489F972E" w14:textId="77777777" w:rsidR="00B424CA" w:rsidRPr="00B424CA" w:rsidRDefault="00B424CA" w:rsidP="00B424CA">
      <w:pPr>
        <w:rPr>
          <w:rFonts w:eastAsia="Times New Roman" w:cs="Arial"/>
          <w:color w:val="000000"/>
          <w:lang w:eastAsia="bg-BG"/>
        </w:rPr>
      </w:pPr>
      <w:r w:rsidRPr="00B424CA">
        <w:rPr>
          <w:rFonts w:eastAsia="Times New Roman" w:cs="Arial"/>
          <w:color w:val="000000"/>
          <w:lang w:eastAsia="bg-BG"/>
        </w:rPr>
        <w:t xml:space="preserve">гр. София </w:t>
      </w:r>
      <w:r w:rsidRPr="00B424CA">
        <w:rPr>
          <w:rFonts w:eastAsia="Times New Roman" w:cs="Arial"/>
          <w:color w:val="000000"/>
          <w:lang w:val="en-US"/>
        </w:rPr>
        <w:t>1</w:t>
      </w:r>
      <w:r w:rsidRPr="00B424CA">
        <w:rPr>
          <w:rFonts w:eastAsia="Times New Roman" w:cs="Arial"/>
          <w:color w:val="000000"/>
          <w:lang w:eastAsia="bg-BG"/>
        </w:rPr>
        <w:t xml:space="preserve">172, България </w:t>
      </w:r>
    </w:p>
    <w:p w14:paraId="04FD1AC5" w14:textId="5DF63016" w:rsidR="00B424CA" w:rsidRPr="00B424CA" w:rsidRDefault="00B424CA" w:rsidP="00B424CA">
      <w:pPr>
        <w:rPr>
          <w:rFonts w:eastAsia="Times New Roman" w:cs="Arial"/>
          <w:color w:val="000000"/>
          <w:lang w:eastAsia="bg-BG"/>
        </w:rPr>
      </w:pPr>
      <w:r w:rsidRPr="00B424CA">
        <w:rPr>
          <w:rFonts w:eastAsia="Times New Roman" w:cs="Arial"/>
          <w:color w:val="000000"/>
          <w:lang w:eastAsia="bg-BG"/>
        </w:rPr>
        <w:t xml:space="preserve">тел. +359 2 9625454 </w:t>
      </w:r>
    </w:p>
    <w:p w14:paraId="6D0B3C8B" w14:textId="77777777" w:rsidR="00B424CA" w:rsidRPr="00B424CA" w:rsidRDefault="00B424CA" w:rsidP="00B424CA">
      <w:pPr>
        <w:rPr>
          <w:rFonts w:eastAsia="Times New Roman" w:cs="Arial"/>
          <w:color w:val="000000"/>
          <w:lang w:eastAsia="bg-BG"/>
        </w:rPr>
      </w:pPr>
      <w:r w:rsidRPr="00B424CA">
        <w:rPr>
          <w:rFonts w:eastAsia="Times New Roman" w:cs="Arial"/>
          <w:color w:val="000000"/>
          <w:lang w:eastAsia="bg-BG"/>
        </w:rPr>
        <w:t xml:space="preserve">факс: +359 2 9603 703 </w:t>
      </w:r>
    </w:p>
    <w:p w14:paraId="352C90F5" w14:textId="7CF8BA2D" w:rsidR="00B424CA" w:rsidRPr="00B424CA" w:rsidRDefault="00B424CA" w:rsidP="00B424CA">
      <w:pPr>
        <w:rPr>
          <w:rFonts w:cs="Arial"/>
        </w:rPr>
      </w:pPr>
      <w:proofErr w:type="gramStart"/>
      <w:r w:rsidRPr="00B424CA">
        <w:rPr>
          <w:rFonts w:eastAsia="Times New Roman" w:cs="Arial"/>
          <w:color w:val="000000"/>
          <w:lang w:val="en-US"/>
        </w:rPr>
        <w:t>e-mail</w:t>
      </w:r>
      <w:proofErr w:type="gramEnd"/>
      <w:r w:rsidRPr="00B424CA">
        <w:rPr>
          <w:rFonts w:eastAsia="Times New Roman" w:cs="Arial"/>
          <w:color w:val="000000"/>
          <w:lang w:val="en-US"/>
        </w:rPr>
        <w:t xml:space="preserve">: </w:t>
      </w:r>
      <w:hyperlink r:id="rId5" w:history="1">
        <w:r w:rsidRPr="00B424CA">
          <w:rPr>
            <w:rFonts w:eastAsia="Times New Roman" w:cs="Arial"/>
            <w:color w:val="000000"/>
            <w:lang w:val="en-US"/>
          </w:rPr>
          <w:t>info@tchaikapharma.com</w:t>
        </w:r>
      </w:hyperlink>
    </w:p>
    <w:p w14:paraId="7BA1BA64" w14:textId="171D0570" w:rsidR="00CF77F7" w:rsidRDefault="002C50EE" w:rsidP="004A448E">
      <w:pPr>
        <w:pStyle w:val="Heading1"/>
      </w:pPr>
      <w:r>
        <w:t>8. НОМЕР НА РАЗРЕШЕНИЕТО ЗА УПОТРЕБА</w:t>
      </w:r>
    </w:p>
    <w:p w14:paraId="4F66661D" w14:textId="2668593C" w:rsidR="00B424CA" w:rsidRDefault="00B424CA" w:rsidP="00B424CA"/>
    <w:p w14:paraId="0C3411AA" w14:textId="59E9146A" w:rsidR="00B424CA" w:rsidRPr="00B424CA" w:rsidRDefault="00B424CA" w:rsidP="00B424CA">
      <w:pPr>
        <w:rPr>
          <w:rFonts w:cs="Arial"/>
        </w:rPr>
      </w:pPr>
      <w:r w:rsidRPr="00B424CA">
        <w:rPr>
          <w:rFonts w:cs="Arial"/>
        </w:rPr>
        <w:t>II- 16365/12.04.2007 г.</w:t>
      </w:r>
    </w:p>
    <w:p w14:paraId="2CCB5832" w14:textId="5DC11540" w:rsidR="007C605B" w:rsidRDefault="002C50EE" w:rsidP="007C605B">
      <w:pPr>
        <w:pStyle w:val="Heading1"/>
      </w:pPr>
      <w:r>
        <w:t>9. ДАТА НА ПЪРВО РАЗРЕШАВАНЕ/ПОДНОВЯВАНЕ НА РАЗРЕШЕНИЕТО ЗА УПОТРЕБА</w:t>
      </w:r>
    </w:p>
    <w:p w14:paraId="535923EC" w14:textId="1DC3EF40" w:rsidR="00B424CA" w:rsidRDefault="00B424CA" w:rsidP="00B424CA"/>
    <w:p w14:paraId="00BE2DEA" w14:textId="3A5FC9E3" w:rsidR="00B424CA" w:rsidRPr="00B424CA" w:rsidRDefault="00B424CA" w:rsidP="00B424CA">
      <w:pPr>
        <w:rPr>
          <w:rFonts w:cs="Arial"/>
        </w:rPr>
      </w:pPr>
      <w:r w:rsidRPr="00B424CA">
        <w:rPr>
          <w:rFonts w:cs="Arial"/>
        </w:rPr>
        <w:t>12.04.2007</w:t>
      </w:r>
    </w:p>
    <w:p w14:paraId="0E9D0119" w14:textId="36B93C9B" w:rsidR="002C50EE" w:rsidRDefault="002C50EE" w:rsidP="002C50EE">
      <w:pPr>
        <w:pStyle w:val="Heading1"/>
      </w:pPr>
      <w:r>
        <w:t>10. ДАТА НА АКТУАЛИЗИРАНЕ НА ТЕКСТА</w:t>
      </w:r>
    </w:p>
    <w:p w14:paraId="7B56D1FC" w14:textId="4CC29BEB" w:rsidR="00B424CA" w:rsidRDefault="00B424CA" w:rsidP="00B424CA"/>
    <w:p w14:paraId="60E46B73" w14:textId="620D6CCF" w:rsidR="00B424CA" w:rsidRPr="00B424CA" w:rsidRDefault="00B424CA" w:rsidP="00B424CA">
      <w:pPr>
        <w:rPr>
          <w:rFonts w:cs="Arial"/>
        </w:rPr>
      </w:pPr>
      <w:r w:rsidRPr="00B424CA">
        <w:rPr>
          <w:rFonts w:cs="Arial"/>
        </w:rPr>
        <w:t>Април, 2012 г.</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3C4A35"/>
    <w:multiLevelType w:val="hybridMultilevel"/>
    <w:tmpl w:val="086EB2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142BF"/>
    <w:multiLevelType w:val="hybridMultilevel"/>
    <w:tmpl w:val="225C78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FFA223F"/>
    <w:multiLevelType w:val="hybridMultilevel"/>
    <w:tmpl w:val="F8BCDF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A7980"/>
    <w:multiLevelType w:val="hybridMultilevel"/>
    <w:tmpl w:val="CFBA95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C4575"/>
    <w:multiLevelType w:val="hybridMultilevel"/>
    <w:tmpl w:val="21541E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30241"/>
    <w:multiLevelType w:val="hybridMultilevel"/>
    <w:tmpl w:val="D982093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A17B1"/>
    <w:multiLevelType w:val="hybridMultilevel"/>
    <w:tmpl w:val="988E178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3"/>
  </w:num>
  <w:num w:numId="4">
    <w:abstractNumId w:val="3"/>
  </w:num>
  <w:num w:numId="5">
    <w:abstractNumId w:val="1"/>
  </w:num>
  <w:num w:numId="6">
    <w:abstractNumId w:val="18"/>
  </w:num>
  <w:num w:numId="7">
    <w:abstractNumId w:val="10"/>
  </w:num>
  <w:num w:numId="8">
    <w:abstractNumId w:val="16"/>
  </w:num>
  <w:num w:numId="9">
    <w:abstractNumId w:val="2"/>
  </w:num>
  <w:num w:numId="10">
    <w:abstractNumId w:val="4"/>
  </w:num>
  <w:num w:numId="11">
    <w:abstractNumId w:val="34"/>
  </w:num>
  <w:num w:numId="12">
    <w:abstractNumId w:val="15"/>
  </w:num>
  <w:num w:numId="13">
    <w:abstractNumId w:val="21"/>
  </w:num>
  <w:num w:numId="14">
    <w:abstractNumId w:val="12"/>
  </w:num>
  <w:num w:numId="15">
    <w:abstractNumId w:val="33"/>
  </w:num>
  <w:num w:numId="16">
    <w:abstractNumId w:val="9"/>
  </w:num>
  <w:num w:numId="17">
    <w:abstractNumId w:val="26"/>
  </w:num>
  <w:num w:numId="18">
    <w:abstractNumId w:val="7"/>
  </w:num>
  <w:num w:numId="19">
    <w:abstractNumId w:val="29"/>
  </w:num>
  <w:num w:numId="20">
    <w:abstractNumId w:val="25"/>
  </w:num>
  <w:num w:numId="21">
    <w:abstractNumId w:val="19"/>
  </w:num>
  <w:num w:numId="22">
    <w:abstractNumId w:val="27"/>
  </w:num>
  <w:num w:numId="23">
    <w:abstractNumId w:val="20"/>
  </w:num>
  <w:num w:numId="24">
    <w:abstractNumId w:val="8"/>
  </w:num>
  <w:num w:numId="25">
    <w:abstractNumId w:val="24"/>
  </w:num>
  <w:num w:numId="26">
    <w:abstractNumId w:val="23"/>
  </w:num>
  <w:num w:numId="27">
    <w:abstractNumId w:val="36"/>
  </w:num>
  <w:num w:numId="28">
    <w:abstractNumId w:val="6"/>
  </w:num>
  <w:num w:numId="29">
    <w:abstractNumId w:val="22"/>
  </w:num>
  <w:num w:numId="30">
    <w:abstractNumId w:val="40"/>
  </w:num>
  <w:num w:numId="31">
    <w:abstractNumId w:val="5"/>
  </w:num>
  <w:num w:numId="32">
    <w:abstractNumId w:val="39"/>
  </w:num>
  <w:num w:numId="33">
    <w:abstractNumId w:val="32"/>
  </w:num>
  <w:num w:numId="34">
    <w:abstractNumId w:val="37"/>
  </w:num>
  <w:num w:numId="35">
    <w:abstractNumId w:val="30"/>
  </w:num>
  <w:num w:numId="36">
    <w:abstractNumId w:val="11"/>
  </w:num>
  <w:num w:numId="37">
    <w:abstractNumId w:val="28"/>
  </w:num>
  <w:num w:numId="38">
    <w:abstractNumId w:val="17"/>
  </w:num>
  <w:num w:numId="39">
    <w:abstractNumId w:val="35"/>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F4C76"/>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424CA"/>
    <w:rsid w:val="00BF2600"/>
    <w:rsid w:val="00C0049F"/>
    <w:rsid w:val="00C07350"/>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liann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3675</Words>
  <Characters>20954</Characters>
  <Application>Microsoft Office Word</Application>
  <DocSecurity>0</DocSecurity>
  <Lines>174</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2022-06-01T14:49:00Z</dcterms:created>
  <dcterms:modified xsi:type="dcterms:W3CDTF">2022-06-01T14:49:00Z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