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3600B139" w:rsidR="00C40420" w:rsidRDefault="00DD466D" w:rsidP="004A448E">
      <w:pPr>
        <w:pStyle w:val="Heading1"/>
      </w:pPr>
      <w:r>
        <w:t>1.ИМЕ НА ЛЕКАРСТВЕНИЯ ПРОДУКТ</w:t>
      </w:r>
    </w:p>
    <w:p w14:paraId="539BB13F" w14:textId="16EB9A0D" w:rsidR="009826E9" w:rsidRDefault="009826E9" w:rsidP="009826E9"/>
    <w:p w14:paraId="6B198881" w14:textId="77777777" w:rsidR="009826E9" w:rsidRPr="009826E9" w:rsidRDefault="009826E9" w:rsidP="009826E9">
      <w:pPr>
        <w:spacing w:line="240" w:lineRule="auto"/>
        <w:rPr>
          <w:rFonts w:eastAsia="Times New Roman" w:cs="Arial"/>
          <w:sz w:val="28"/>
          <w:szCs w:val="24"/>
          <w:lang w:val="en-US" w:eastAsia="bg-BG"/>
        </w:rPr>
      </w:pPr>
      <w:r w:rsidRPr="009826E9">
        <w:rPr>
          <w:rFonts w:eastAsia="Times New Roman" w:cs="Arial"/>
          <w:color w:val="000000"/>
          <w:szCs w:val="20"/>
          <w:lang w:eastAsia="bg-BG"/>
        </w:rPr>
        <w:t xml:space="preserve">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стомашно-устойчиви капсули</w:t>
      </w:r>
    </w:p>
    <w:p w14:paraId="6781A83B" w14:textId="4D96A337" w:rsidR="009826E9" w:rsidRPr="009826E9" w:rsidRDefault="009826E9" w:rsidP="009826E9">
      <w:pPr>
        <w:rPr>
          <w:rFonts w:cs="Arial"/>
          <w:sz w:val="24"/>
        </w:rPr>
      </w:pPr>
      <w:proofErr w:type="spellStart"/>
      <w:r w:rsidRPr="009826E9">
        <w:rPr>
          <w:rFonts w:eastAsia="Times New Roman" w:cs="Arial"/>
          <w:color w:val="000000"/>
          <w:szCs w:val="20"/>
          <w:lang w:val="en-US"/>
        </w:rPr>
        <w:t>Budenofalk</w:t>
      </w:r>
      <w:proofErr w:type="spellEnd"/>
      <w:r w:rsidRPr="009826E9">
        <w:rPr>
          <w:rFonts w:eastAsia="Times New Roman" w:cs="Arial"/>
          <w:color w:val="000000"/>
          <w:szCs w:val="20"/>
          <w:lang w:val="en-US"/>
        </w:rPr>
        <w:t xml:space="preserve"> </w:t>
      </w:r>
      <w:r w:rsidRPr="009826E9">
        <w:rPr>
          <w:rFonts w:eastAsia="Times New Roman" w:cs="Arial"/>
          <w:color w:val="000000"/>
          <w:szCs w:val="20"/>
          <w:lang w:eastAsia="bg-BG"/>
        </w:rPr>
        <w:t xml:space="preserve">3 </w:t>
      </w:r>
      <w:r w:rsidRPr="009826E9">
        <w:rPr>
          <w:rFonts w:eastAsia="Times New Roman" w:cs="Arial"/>
          <w:color w:val="000000"/>
          <w:szCs w:val="20"/>
          <w:lang w:val="en-US"/>
        </w:rPr>
        <w:t>mg gastro-resistant capsules</w:t>
      </w:r>
    </w:p>
    <w:p w14:paraId="6920A680" w14:textId="2700539E" w:rsidR="00C40420" w:rsidRDefault="00DD466D" w:rsidP="004A448E">
      <w:pPr>
        <w:pStyle w:val="Heading1"/>
      </w:pPr>
      <w:r>
        <w:t>2. КАЧЕСТВЕН И КОЛИЧЕСТВЕН СЪСТАВ</w:t>
      </w:r>
    </w:p>
    <w:p w14:paraId="529497AF" w14:textId="298BF2C3" w:rsidR="009826E9" w:rsidRDefault="009826E9" w:rsidP="009826E9"/>
    <w:p w14:paraId="322D6E90"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Всяка твърда стомашно-устойчива капсула съдържа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будезонид </w:t>
      </w:r>
      <w:r w:rsidRPr="009826E9">
        <w:rPr>
          <w:rFonts w:eastAsia="Times New Roman" w:cs="Arial"/>
          <w:i/>
          <w:iCs/>
          <w:color w:val="000000"/>
          <w:szCs w:val="20"/>
          <w:lang w:val="en-US"/>
        </w:rPr>
        <w:t>(budesonide).</w:t>
      </w:r>
    </w:p>
    <w:p w14:paraId="27DF55AC" w14:textId="77777777" w:rsidR="009826E9" w:rsidRPr="009826E9" w:rsidRDefault="009826E9" w:rsidP="009826E9">
      <w:pPr>
        <w:spacing w:line="240" w:lineRule="auto"/>
        <w:rPr>
          <w:rFonts w:eastAsia="Times New Roman" w:cs="Arial"/>
          <w:color w:val="000000"/>
          <w:szCs w:val="20"/>
          <w:lang w:eastAsia="bg-BG"/>
        </w:rPr>
      </w:pPr>
    </w:p>
    <w:p w14:paraId="13F7516C" w14:textId="735891D4"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Помощни вещества с известно действие: лактоза монохидрат 12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и захароза 240 </w:t>
      </w:r>
      <w:r w:rsidRPr="009826E9">
        <w:rPr>
          <w:rFonts w:eastAsia="Times New Roman" w:cs="Arial"/>
          <w:color w:val="000000"/>
          <w:szCs w:val="20"/>
          <w:lang w:val="en-US"/>
        </w:rPr>
        <w:t>mg</w:t>
      </w:r>
    </w:p>
    <w:p w14:paraId="4C9ABA3E" w14:textId="77777777" w:rsidR="009826E9" w:rsidRPr="009826E9" w:rsidRDefault="009826E9" w:rsidP="009826E9">
      <w:pPr>
        <w:rPr>
          <w:rFonts w:eastAsia="Times New Roman" w:cs="Arial"/>
          <w:color w:val="000000"/>
          <w:szCs w:val="20"/>
          <w:lang w:eastAsia="bg-BG"/>
        </w:rPr>
      </w:pPr>
    </w:p>
    <w:p w14:paraId="78ECE2AD" w14:textId="3DE67170" w:rsidR="009826E9" w:rsidRPr="009826E9" w:rsidRDefault="009826E9" w:rsidP="009826E9">
      <w:pPr>
        <w:rPr>
          <w:rFonts w:cs="Arial"/>
          <w:sz w:val="24"/>
        </w:rPr>
      </w:pPr>
      <w:r w:rsidRPr="009826E9">
        <w:rPr>
          <w:rFonts w:eastAsia="Times New Roman" w:cs="Arial"/>
          <w:color w:val="000000"/>
          <w:szCs w:val="20"/>
          <w:lang w:eastAsia="bg-BG"/>
        </w:rPr>
        <w:t>За пълния списък на помощните вещества вижте точка 6.1.</w:t>
      </w:r>
    </w:p>
    <w:p w14:paraId="614984C4" w14:textId="0639EE3C" w:rsidR="008A6AF2" w:rsidRDefault="00DD466D" w:rsidP="002C50EE">
      <w:pPr>
        <w:pStyle w:val="Heading1"/>
      </w:pPr>
      <w:r>
        <w:t>3. ЛЕКАРСТВЕНА ФОРМА</w:t>
      </w:r>
    </w:p>
    <w:p w14:paraId="77753AAD" w14:textId="6758F89B" w:rsidR="009826E9" w:rsidRDefault="009826E9" w:rsidP="009826E9"/>
    <w:p w14:paraId="0264FCD3"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Твърди стомашно-устойчиви капсули</w:t>
      </w:r>
    </w:p>
    <w:p w14:paraId="5B463297" w14:textId="7743DA74" w:rsidR="009826E9" w:rsidRPr="009826E9" w:rsidRDefault="009826E9" w:rsidP="009826E9">
      <w:pPr>
        <w:rPr>
          <w:rFonts w:cs="Arial"/>
          <w:sz w:val="24"/>
        </w:rPr>
      </w:pPr>
      <w:r w:rsidRPr="009826E9">
        <w:rPr>
          <w:rFonts w:eastAsia="Times New Roman" w:cs="Arial"/>
          <w:color w:val="000000"/>
          <w:szCs w:val="20"/>
          <w:lang w:eastAsia="bg-BG"/>
        </w:rPr>
        <w:t>Външен вид: розово оцветена капсула</w:t>
      </w:r>
    </w:p>
    <w:p w14:paraId="490FC2C4" w14:textId="1468019B" w:rsidR="002C50EE" w:rsidRDefault="002C50EE" w:rsidP="002C50EE">
      <w:pPr>
        <w:pStyle w:val="Heading1"/>
      </w:pPr>
      <w:r>
        <w:t>4. КЛИНИЧНИ ДАННИ</w:t>
      </w:r>
    </w:p>
    <w:p w14:paraId="75125173" w14:textId="5ACBA72E" w:rsidR="009826E9" w:rsidRDefault="009826E9" w:rsidP="009826E9"/>
    <w:p w14:paraId="51D97A09" w14:textId="77777777" w:rsidR="009826E9" w:rsidRPr="009826E9" w:rsidRDefault="009826E9" w:rsidP="009826E9"/>
    <w:p w14:paraId="0C8E6903" w14:textId="1F2B7B72" w:rsidR="008134C8" w:rsidRDefault="002C50EE" w:rsidP="004A448E">
      <w:pPr>
        <w:pStyle w:val="Heading2"/>
      </w:pPr>
      <w:r>
        <w:t>4.1. Терапевтични показания</w:t>
      </w:r>
    </w:p>
    <w:p w14:paraId="622B8586" w14:textId="3AAE5FF7" w:rsidR="009826E9" w:rsidRDefault="009826E9" w:rsidP="009826E9"/>
    <w:p w14:paraId="242EE1EE"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Болест на </w:t>
      </w:r>
      <w:r w:rsidRPr="009826E9">
        <w:rPr>
          <w:rFonts w:eastAsia="Times New Roman" w:cs="Arial"/>
          <w:color w:val="000000"/>
          <w:szCs w:val="20"/>
          <w:lang w:val="en-US"/>
        </w:rPr>
        <w:t>Crohn</w:t>
      </w:r>
    </w:p>
    <w:p w14:paraId="359E2C19"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За индуциране на ремисия при пациенти с леко до умерено активна болест на </w:t>
      </w:r>
      <w:r w:rsidRPr="009826E9">
        <w:rPr>
          <w:rFonts w:eastAsia="Times New Roman" w:cs="Arial"/>
          <w:color w:val="000000"/>
          <w:szCs w:val="20"/>
          <w:lang w:val="en-US"/>
        </w:rPr>
        <w:t xml:space="preserve">Crohn, </w:t>
      </w:r>
      <w:r w:rsidRPr="009826E9">
        <w:rPr>
          <w:rFonts w:eastAsia="Times New Roman" w:cs="Arial"/>
          <w:color w:val="000000"/>
          <w:szCs w:val="20"/>
          <w:lang w:eastAsia="bg-BG"/>
        </w:rPr>
        <w:t>засягаща илеума и/или възходящата част на колона</w:t>
      </w:r>
    </w:p>
    <w:p w14:paraId="471F8423" w14:textId="77777777" w:rsidR="009826E9" w:rsidRPr="009826E9" w:rsidRDefault="009826E9" w:rsidP="009826E9">
      <w:pPr>
        <w:spacing w:line="240" w:lineRule="auto"/>
        <w:rPr>
          <w:rFonts w:eastAsia="Times New Roman" w:cs="Arial"/>
          <w:color w:val="000000"/>
          <w:szCs w:val="20"/>
          <w:lang w:eastAsia="bg-BG"/>
        </w:rPr>
      </w:pPr>
    </w:p>
    <w:p w14:paraId="3EB2EB18" w14:textId="70F1C5DE" w:rsidR="009826E9" w:rsidRPr="009826E9" w:rsidRDefault="009826E9" w:rsidP="009826E9">
      <w:pPr>
        <w:pStyle w:val="ListParagraph"/>
        <w:numPr>
          <w:ilvl w:val="0"/>
          <w:numId w:val="37"/>
        </w:numPr>
        <w:spacing w:line="240" w:lineRule="auto"/>
        <w:rPr>
          <w:rFonts w:eastAsia="Times New Roman" w:cs="Arial"/>
          <w:sz w:val="28"/>
          <w:szCs w:val="24"/>
          <w:lang w:eastAsia="bg-BG"/>
        </w:rPr>
      </w:pPr>
      <w:r w:rsidRPr="009826E9">
        <w:rPr>
          <w:rFonts w:eastAsia="Times New Roman" w:cs="Arial"/>
          <w:color w:val="000000"/>
          <w:szCs w:val="20"/>
          <w:lang w:eastAsia="bg-BG"/>
        </w:rPr>
        <w:t>Микроскопски колит</w:t>
      </w:r>
    </w:p>
    <w:p w14:paraId="0640C0CD" w14:textId="77777777" w:rsidR="009826E9" w:rsidRPr="009826E9" w:rsidRDefault="009826E9" w:rsidP="009826E9">
      <w:pPr>
        <w:pStyle w:val="ListParagraph"/>
        <w:spacing w:line="240" w:lineRule="auto"/>
        <w:rPr>
          <w:rFonts w:eastAsia="Times New Roman" w:cs="Arial"/>
          <w:sz w:val="28"/>
          <w:szCs w:val="24"/>
          <w:lang w:eastAsia="bg-BG"/>
        </w:rPr>
      </w:pPr>
    </w:p>
    <w:p w14:paraId="4EA44AFD" w14:textId="48398C21" w:rsidR="009826E9" w:rsidRPr="009826E9" w:rsidRDefault="009826E9" w:rsidP="009826E9">
      <w:pPr>
        <w:pStyle w:val="ListParagraph"/>
        <w:numPr>
          <w:ilvl w:val="0"/>
          <w:numId w:val="37"/>
        </w:numPr>
        <w:spacing w:line="240" w:lineRule="auto"/>
        <w:rPr>
          <w:rFonts w:eastAsia="Times New Roman" w:cs="Arial"/>
          <w:sz w:val="28"/>
          <w:szCs w:val="24"/>
          <w:lang w:eastAsia="bg-BG"/>
        </w:rPr>
      </w:pPr>
      <w:r w:rsidRPr="009826E9">
        <w:rPr>
          <w:rFonts w:eastAsia="Times New Roman" w:cs="Arial"/>
          <w:color w:val="000000"/>
          <w:szCs w:val="20"/>
          <w:lang w:eastAsia="bg-BG"/>
        </w:rPr>
        <w:t xml:space="preserve"> Автоимунен хепатит</w:t>
      </w:r>
    </w:p>
    <w:p w14:paraId="39C927C4" w14:textId="77777777" w:rsidR="009826E9" w:rsidRPr="009826E9" w:rsidRDefault="009826E9" w:rsidP="009826E9">
      <w:pPr>
        <w:pStyle w:val="ListParagraph"/>
        <w:rPr>
          <w:rFonts w:eastAsia="Times New Roman" w:cs="Arial"/>
          <w:sz w:val="28"/>
          <w:szCs w:val="24"/>
          <w:lang w:eastAsia="bg-BG"/>
        </w:rPr>
      </w:pPr>
    </w:p>
    <w:p w14:paraId="62C1A44E" w14:textId="77777777" w:rsidR="009826E9" w:rsidRPr="009826E9" w:rsidRDefault="009826E9" w:rsidP="009826E9">
      <w:pPr>
        <w:pStyle w:val="ListParagraph"/>
        <w:numPr>
          <w:ilvl w:val="0"/>
          <w:numId w:val="37"/>
        </w:numPr>
        <w:spacing w:line="240" w:lineRule="auto"/>
        <w:rPr>
          <w:rFonts w:eastAsia="Times New Roman" w:cs="Arial"/>
          <w:sz w:val="28"/>
          <w:szCs w:val="24"/>
          <w:lang w:eastAsia="bg-BG"/>
        </w:rPr>
      </w:pPr>
    </w:p>
    <w:p w14:paraId="30BE2C7B" w14:textId="6A2919A2" w:rsidR="008134C8" w:rsidRDefault="002C50EE" w:rsidP="004A448E">
      <w:pPr>
        <w:pStyle w:val="Heading2"/>
      </w:pPr>
      <w:r>
        <w:t>4.2. Дозировка и начин на приложение</w:t>
      </w:r>
    </w:p>
    <w:p w14:paraId="45C9455A" w14:textId="55765DF1" w:rsidR="009826E9" w:rsidRDefault="009826E9" w:rsidP="009826E9"/>
    <w:p w14:paraId="631F368B" w14:textId="77777777" w:rsidR="009826E9" w:rsidRPr="009826E9" w:rsidRDefault="009826E9" w:rsidP="009826E9">
      <w:pPr>
        <w:pStyle w:val="Heading3"/>
        <w:rPr>
          <w:rFonts w:eastAsia="Times New Roman"/>
          <w:sz w:val="28"/>
          <w:u w:val="single"/>
          <w:lang w:eastAsia="bg-BG"/>
        </w:rPr>
      </w:pPr>
      <w:r w:rsidRPr="009826E9">
        <w:rPr>
          <w:rFonts w:eastAsia="Times New Roman"/>
          <w:u w:val="single"/>
          <w:lang w:eastAsia="bg-BG"/>
        </w:rPr>
        <w:t>Дозировка</w:t>
      </w:r>
    </w:p>
    <w:p w14:paraId="485ACC34" w14:textId="77777777" w:rsidR="009826E9" w:rsidRPr="009826E9" w:rsidRDefault="009826E9" w:rsidP="009826E9">
      <w:pPr>
        <w:spacing w:line="240" w:lineRule="auto"/>
        <w:rPr>
          <w:rFonts w:eastAsia="Times New Roman" w:cs="Arial"/>
          <w:i/>
          <w:iCs/>
          <w:color w:val="000000"/>
          <w:szCs w:val="20"/>
          <w:lang w:eastAsia="bg-BG"/>
        </w:rPr>
      </w:pPr>
    </w:p>
    <w:p w14:paraId="3F7C668F" w14:textId="2FD63923"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lang w:eastAsia="bg-BG"/>
        </w:rPr>
        <w:t xml:space="preserve">Болест на </w:t>
      </w:r>
      <w:r w:rsidRPr="009826E9">
        <w:rPr>
          <w:rFonts w:eastAsia="Times New Roman" w:cs="Arial"/>
          <w:i/>
          <w:iCs/>
          <w:color w:val="000000"/>
          <w:szCs w:val="20"/>
          <w:lang w:val="en-US"/>
        </w:rPr>
        <w:t>Crohn</w:t>
      </w:r>
    </w:p>
    <w:p w14:paraId="10E05556" w14:textId="77777777" w:rsidR="009826E9" w:rsidRPr="009826E9" w:rsidRDefault="009826E9" w:rsidP="009826E9">
      <w:pPr>
        <w:spacing w:line="240" w:lineRule="auto"/>
        <w:rPr>
          <w:rFonts w:eastAsia="Times New Roman" w:cs="Arial"/>
          <w:i/>
          <w:iCs/>
          <w:color w:val="000000"/>
          <w:szCs w:val="20"/>
          <w:u w:val="single"/>
          <w:lang w:eastAsia="bg-BG"/>
        </w:rPr>
      </w:pPr>
    </w:p>
    <w:p w14:paraId="227763A7" w14:textId="5E58D496"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Индукция на ремисия</w:t>
      </w:r>
    </w:p>
    <w:p w14:paraId="5936C021"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Препоръчителната дневна доза е три капсули един път дневно, сутрин или една капсула (съдържаща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будезонид) три пъти дневно (сутрин, по обяд и вечер; съответстваща на обща дневна доза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 ако това е по-удобно за пациента.</w:t>
      </w:r>
    </w:p>
    <w:p w14:paraId="0C9B1CFD" w14:textId="77777777" w:rsidR="009826E9" w:rsidRPr="009826E9" w:rsidRDefault="009826E9" w:rsidP="009826E9">
      <w:pPr>
        <w:spacing w:line="240" w:lineRule="auto"/>
        <w:rPr>
          <w:rFonts w:eastAsia="Times New Roman" w:cs="Arial"/>
          <w:i/>
          <w:iCs/>
          <w:color w:val="000000"/>
          <w:szCs w:val="20"/>
          <w:u w:val="single"/>
          <w:lang w:eastAsia="bg-BG"/>
        </w:rPr>
      </w:pPr>
    </w:p>
    <w:p w14:paraId="24759040" w14:textId="09368BBA"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Продължителност на лечението</w:t>
      </w:r>
    </w:p>
    <w:p w14:paraId="4D2BAE0F"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Продължителността на лечението на активна болест на </w:t>
      </w:r>
      <w:r w:rsidRPr="009826E9">
        <w:rPr>
          <w:rFonts w:eastAsia="Times New Roman" w:cs="Arial"/>
          <w:i/>
          <w:iCs/>
          <w:color w:val="000000"/>
          <w:szCs w:val="20"/>
          <w:lang w:val="en-US"/>
        </w:rPr>
        <w:t>Crohn</w:t>
      </w:r>
      <w:r w:rsidRPr="009826E9">
        <w:rPr>
          <w:rFonts w:eastAsia="Times New Roman" w:cs="Arial"/>
          <w:color w:val="000000"/>
          <w:szCs w:val="20"/>
          <w:lang w:val="en-US"/>
        </w:rPr>
        <w:t xml:space="preserve"> </w:t>
      </w:r>
      <w:r w:rsidRPr="009826E9">
        <w:rPr>
          <w:rFonts w:eastAsia="Times New Roman" w:cs="Arial"/>
          <w:color w:val="000000"/>
          <w:szCs w:val="20"/>
          <w:lang w:eastAsia="bg-BG"/>
        </w:rPr>
        <w:t>трябва да бъде ограничена до 8 седмици.</w:t>
      </w:r>
    </w:p>
    <w:p w14:paraId="4F04F855" w14:textId="77777777" w:rsidR="009826E9" w:rsidRPr="009826E9" w:rsidRDefault="009826E9" w:rsidP="009826E9">
      <w:pPr>
        <w:spacing w:line="240" w:lineRule="auto"/>
        <w:rPr>
          <w:rFonts w:eastAsia="Times New Roman" w:cs="Arial"/>
          <w:i/>
          <w:iCs/>
          <w:color w:val="000000"/>
          <w:szCs w:val="20"/>
          <w:lang w:eastAsia="bg-BG"/>
        </w:rPr>
      </w:pPr>
    </w:p>
    <w:p w14:paraId="1FC141E1" w14:textId="35B3D52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lang w:eastAsia="bg-BG"/>
        </w:rPr>
        <w:t>Микроскопски колит</w:t>
      </w:r>
    </w:p>
    <w:p w14:paraId="540912B4" w14:textId="77777777" w:rsidR="009826E9" w:rsidRPr="009826E9" w:rsidRDefault="009826E9" w:rsidP="009826E9">
      <w:pPr>
        <w:spacing w:line="240" w:lineRule="auto"/>
        <w:rPr>
          <w:rFonts w:eastAsia="Times New Roman" w:cs="Arial"/>
          <w:sz w:val="28"/>
          <w:szCs w:val="24"/>
          <w:lang w:eastAsia="bg-BG"/>
        </w:rPr>
      </w:pPr>
    </w:p>
    <w:p w14:paraId="7B1F658B"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Индуциране на ремисия</w:t>
      </w:r>
    </w:p>
    <w:p w14:paraId="38FED4FF" w14:textId="7E2AFB29" w:rsidR="009826E9" w:rsidRDefault="009826E9" w:rsidP="009826E9">
      <w:pPr>
        <w:rPr>
          <w:rFonts w:eastAsia="Times New Roman" w:cs="Arial"/>
          <w:color w:val="000000"/>
          <w:szCs w:val="20"/>
          <w:lang w:eastAsia="bg-BG"/>
        </w:rPr>
      </w:pPr>
      <w:r w:rsidRPr="009826E9">
        <w:rPr>
          <w:rFonts w:eastAsia="Times New Roman" w:cs="Arial"/>
          <w:color w:val="000000"/>
          <w:szCs w:val="20"/>
          <w:lang w:eastAsia="bg-BG"/>
        </w:rPr>
        <w:t xml:space="preserve">Препоръчителната доза е три капсули един път дневно, сутрин (съответстваща на дневна доза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w:t>
      </w:r>
    </w:p>
    <w:p w14:paraId="51F24C74" w14:textId="576BE205" w:rsidR="009826E9" w:rsidRDefault="009826E9" w:rsidP="009826E9">
      <w:pPr>
        <w:rPr>
          <w:rFonts w:eastAsia="Times New Roman" w:cs="Arial"/>
          <w:color w:val="000000"/>
          <w:szCs w:val="20"/>
          <w:lang w:eastAsia="bg-BG"/>
        </w:rPr>
      </w:pPr>
    </w:p>
    <w:p w14:paraId="30841C5E"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Поддържане на ремисия</w:t>
      </w:r>
    </w:p>
    <w:p w14:paraId="57410DE6"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Поддържаща терапия трябва да се започва само при пациенти с често рецидивиращи симптоми на микроскопски колит след успешно индукционно лечение. Може да се използва схема на прилагане две капсули един път дневно, сутрин (6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будезонид) или две капсули един път дневно, сутрин, редуващи се с една капсула дневно, сутрин (съответстващо на средна дневна доза 4,5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 в зависимост от индивидуалните нужди на пациента. Трябва да се използва най- ниската ефективна доза.</w:t>
      </w:r>
    </w:p>
    <w:p w14:paraId="7FC31731" w14:textId="77777777" w:rsidR="009826E9" w:rsidRPr="009826E9" w:rsidRDefault="009826E9" w:rsidP="009826E9">
      <w:pPr>
        <w:spacing w:line="240" w:lineRule="auto"/>
        <w:rPr>
          <w:rFonts w:eastAsia="Times New Roman" w:cs="Arial"/>
          <w:i/>
          <w:iCs/>
          <w:color w:val="000000"/>
          <w:szCs w:val="20"/>
          <w:u w:val="single"/>
          <w:lang w:eastAsia="bg-BG"/>
        </w:rPr>
      </w:pPr>
    </w:p>
    <w:p w14:paraId="75BF22E4" w14:textId="04886624"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Продължителност на лечението</w:t>
      </w:r>
    </w:p>
    <w:p w14:paraId="40AA8C13"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Продължителността на лечението при активен микроскопски колит трябва да бъде ограничена до 8 седмици.</w:t>
      </w:r>
    </w:p>
    <w:p w14:paraId="69CC897F"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При поддържаща терапия ефектът от лечението трябва да се оценява редовно, за да се прецени дали е необходимо продължаване на лечението, не по-късно от 12 месеца след започването на поддържащо лечение. Поддържащото лечение трябва да бъде удължено след продължителност от 12 месеца, само ако се счита, че ползите за отделния пациент надвишават рисковете.</w:t>
      </w:r>
    </w:p>
    <w:p w14:paraId="7513DCDA" w14:textId="77777777" w:rsidR="009826E9" w:rsidRPr="009826E9" w:rsidRDefault="009826E9" w:rsidP="009826E9">
      <w:pPr>
        <w:spacing w:line="240" w:lineRule="auto"/>
        <w:rPr>
          <w:rFonts w:eastAsia="Times New Roman" w:cs="Arial"/>
          <w:i/>
          <w:iCs/>
          <w:color w:val="000000"/>
          <w:szCs w:val="20"/>
          <w:lang w:eastAsia="bg-BG"/>
        </w:rPr>
      </w:pPr>
    </w:p>
    <w:p w14:paraId="66C3A9BF" w14:textId="7A5DA1C4"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lang w:eastAsia="bg-BG"/>
        </w:rPr>
        <w:t>Автоимунен хепатит</w:t>
      </w:r>
    </w:p>
    <w:p w14:paraId="7B66BDD1" w14:textId="77777777" w:rsidR="009826E9" w:rsidRPr="009826E9" w:rsidRDefault="009826E9" w:rsidP="009826E9">
      <w:pPr>
        <w:spacing w:line="240" w:lineRule="auto"/>
        <w:rPr>
          <w:rFonts w:eastAsia="Times New Roman" w:cs="Arial"/>
          <w:i/>
          <w:iCs/>
          <w:color w:val="000000"/>
          <w:szCs w:val="20"/>
          <w:u w:val="single"/>
          <w:lang w:eastAsia="bg-BG"/>
        </w:rPr>
      </w:pPr>
    </w:p>
    <w:p w14:paraId="7B53F1B4" w14:textId="62199C90" w:rsidR="009826E9" w:rsidRPr="009826E9" w:rsidRDefault="009826E9" w:rsidP="009826E9">
      <w:pPr>
        <w:spacing w:line="240" w:lineRule="auto"/>
        <w:rPr>
          <w:rFonts w:eastAsia="Times New Roman" w:cs="Arial"/>
          <w:sz w:val="28"/>
          <w:szCs w:val="24"/>
          <w:lang w:eastAsia="bg-BG"/>
        </w:rPr>
      </w:pPr>
      <w:r>
        <w:rPr>
          <w:rFonts w:eastAsia="Times New Roman" w:cs="Arial"/>
          <w:i/>
          <w:iCs/>
          <w:color w:val="000000"/>
          <w:szCs w:val="20"/>
          <w:u w:val="single"/>
          <w:lang w:eastAsia="bg-BG"/>
        </w:rPr>
        <w:t>Индуциране на ре</w:t>
      </w:r>
      <w:r w:rsidRPr="009826E9">
        <w:rPr>
          <w:rFonts w:eastAsia="Times New Roman" w:cs="Arial"/>
          <w:i/>
          <w:iCs/>
          <w:color w:val="000000"/>
          <w:szCs w:val="20"/>
          <w:u w:val="single"/>
          <w:lang w:eastAsia="bg-BG"/>
        </w:rPr>
        <w:t>мисия</w:t>
      </w:r>
    </w:p>
    <w:p w14:paraId="60CAB886" w14:textId="499E1A4C" w:rsidR="009826E9" w:rsidRDefault="009826E9" w:rsidP="009826E9">
      <w:pPr>
        <w:rPr>
          <w:rFonts w:eastAsia="Times New Roman" w:cs="Arial"/>
          <w:color w:val="000000"/>
          <w:szCs w:val="20"/>
          <w:lang w:eastAsia="bg-BG"/>
        </w:rPr>
      </w:pPr>
      <w:r w:rsidRPr="009826E9">
        <w:rPr>
          <w:rFonts w:eastAsia="Times New Roman" w:cs="Arial"/>
          <w:color w:val="000000"/>
          <w:szCs w:val="20"/>
          <w:lang w:eastAsia="bg-BG"/>
        </w:rPr>
        <w:t xml:space="preserve">За индуциране на ремисия (т.е. нормализиране на повишените лабораторни показатели) препоръчителната доза е една капсула (съдържаща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будезонид) три пъти дневно (сутрин, по обяд и вечер; съответстваща на обща дневна доза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w:t>
      </w:r>
    </w:p>
    <w:p w14:paraId="5163A99A" w14:textId="776E6A89" w:rsidR="009826E9" w:rsidRDefault="009826E9" w:rsidP="009826E9">
      <w:pPr>
        <w:rPr>
          <w:rFonts w:eastAsia="Times New Roman" w:cs="Arial"/>
          <w:color w:val="000000"/>
          <w:szCs w:val="20"/>
          <w:lang w:eastAsia="bg-BG"/>
        </w:rPr>
      </w:pPr>
    </w:p>
    <w:p w14:paraId="081B2E24"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Поддържане на ремисия</w:t>
      </w:r>
    </w:p>
    <w:p w14:paraId="15C5CE8F"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След постигане на ремисия препоръчителната дневна доза е една капсула (съдържаща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будезозид) два пъти дневно (една капсула сутрин и една капсула вечер; съответстваща на обща дневна доза от 6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w:t>
      </w:r>
    </w:p>
    <w:p w14:paraId="6091EF42"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Ако стойностите на трансаминазите АЛАТ и/или АСАТ се покачват по време на поддържащото лечение, дозата трябва да се увеличи до 3 капсули дневно (съответстваща на обща дневна доза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будезонид), както е описано за индуциране на ремисия.</w:t>
      </w:r>
    </w:p>
    <w:p w14:paraId="5994905D"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При пациенти с поносимост към азатиоприн, лечението за индуциране и поддържане на ремисия с будезонид трябва да се комбинира с азатиоприн.</w:t>
      </w:r>
    </w:p>
    <w:p w14:paraId="2F69FB3B" w14:textId="77777777" w:rsidR="009826E9" w:rsidRPr="009826E9" w:rsidRDefault="009826E9" w:rsidP="009826E9">
      <w:pPr>
        <w:spacing w:line="240" w:lineRule="auto"/>
        <w:rPr>
          <w:rFonts w:eastAsia="Times New Roman" w:cs="Arial"/>
          <w:i/>
          <w:iCs/>
          <w:color w:val="000000"/>
          <w:szCs w:val="20"/>
          <w:u w:val="single"/>
          <w:lang w:eastAsia="bg-BG"/>
        </w:rPr>
      </w:pPr>
    </w:p>
    <w:p w14:paraId="33733460" w14:textId="5AA60DBD"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Продължителност на лечението</w:t>
      </w:r>
    </w:p>
    <w:p w14:paraId="65AD12A0"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За индуциране на ремисия трябва да се прилага обща дневна доза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до постигане на ремисия. След това, за поддържане на ремисия трябва да се прилага обща дневна доза от 6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будезонид. За поддържане на ремисия при автоимунен хепатит лечението </w:t>
      </w:r>
      <w:r w:rsidRPr="009826E9">
        <w:rPr>
          <w:rFonts w:eastAsia="Times New Roman" w:cs="Arial"/>
          <w:color w:val="000000"/>
          <w:szCs w:val="20"/>
          <w:lang w:eastAsia="bg-BG"/>
        </w:rPr>
        <w:lastRenderedPageBreak/>
        <w:t>трябва да продължи най-малко 24 месеца. Лечението може да се прекрати само ако биохимичната ремисия е постоянно поддържана и ако липсват признаци на възпалителен процес в чернодробната биопсия.</w:t>
      </w:r>
    </w:p>
    <w:p w14:paraId="64AD32AA" w14:textId="77777777" w:rsidR="009826E9" w:rsidRPr="009826E9" w:rsidRDefault="009826E9" w:rsidP="009826E9">
      <w:pPr>
        <w:spacing w:line="240" w:lineRule="auto"/>
        <w:rPr>
          <w:rFonts w:eastAsia="Times New Roman" w:cs="Arial"/>
          <w:b/>
          <w:bCs/>
          <w:color w:val="000000"/>
          <w:szCs w:val="20"/>
          <w:lang w:eastAsia="bg-BG"/>
        </w:rPr>
      </w:pPr>
      <w:bookmarkStart w:id="1" w:name="bookmark0"/>
    </w:p>
    <w:p w14:paraId="3BB07677" w14:textId="0FD7CBAC" w:rsidR="009826E9" w:rsidRPr="009826E9" w:rsidRDefault="009826E9" w:rsidP="009826E9">
      <w:pPr>
        <w:spacing w:line="240" w:lineRule="auto"/>
        <w:rPr>
          <w:rFonts w:eastAsia="Times New Roman" w:cs="Arial"/>
          <w:sz w:val="28"/>
          <w:szCs w:val="24"/>
          <w:lang w:eastAsia="bg-BG"/>
        </w:rPr>
      </w:pPr>
      <w:r w:rsidRPr="009826E9">
        <w:rPr>
          <w:rFonts w:eastAsia="Times New Roman" w:cs="Arial"/>
          <w:b/>
          <w:bCs/>
          <w:color w:val="000000"/>
          <w:szCs w:val="20"/>
          <w:lang w:eastAsia="bg-BG"/>
        </w:rPr>
        <w:t>Прекратяване на лечението:</w:t>
      </w:r>
      <w:bookmarkEnd w:id="1"/>
    </w:p>
    <w:p w14:paraId="7BBD941C"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Лечението с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не трябва да се прекратява внезапно, а да се преустанови постепенно (с намаляващи дози). Препоръчва се постепенно намаляване на дозата в продължение на 2 седмици.</w:t>
      </w:r>
    </w:p>
    <w:p w14:paraId="63532534" w14:textId="77777777" w:rsidR="009826E9" w:rsidRPr="009826E9" w:rsidRDefault="009826E9" w:rsidP="009826E9">
      <w:pPr>
        <w:spacing w:line="240" w:lineRule="auto"/>
        <w:rPr>
          <w:rFonts w:eastAsia="Times New Roman" w:cs="Arial"/>
          <w:color w:val="000000"/>
          <w:szCs w:val="20"/>
          <w:u w:val="single"/>
          <w:lang w:eastAsia="bg-BG"/>
        </w:rPr>
      </w:pPr>
    </w:p>
    <w:p w14:paraId="32E7F10E" w14:textId="637D91E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Педиатрична популация</w:t>
      </w:r>
    </w:p>
    <w:p w14:paraId="00A41E8B" w14:textId="77777777" w:rsidR="009826E9" w:rsidRPr="009826E9" w:rsidRDefault="009826E9" w:rsidP="009826E9">
      <w:pPr>
        <w:spacing w:line="240" w:lineRule="auto"/>
        <w:rPr>
          <w:rFonts w:eastAsia="Times New Roman" w:cs="Arial"/>
          <w:i/>
          <w:iCs/>
          <w:color w:val="000000"/>
          <w:szCs w:val="20"/>
          <w:u w:val="single"/>
          <w:lang w:eastAsia="bg-BG"/>
        </w:rPr>
      </w:pPr>
    </w:p>
    <w:p w14:paraId="07177BBC" w14:textId="07C73760"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Деца под 12-годишна възраст</w:t>
      </w:r>
      <w:r w:rsidRPr="009826E9">
        <w:rPr>
          <w:rFonts w:eastAsia="Times New Roman" w:cs="Arial"/>
          <w:i/>
          <w:iCs/>
          <w:color w:val="000000"/>
          <w:szCs w:val="20"/>
          <w:lang w:eastAsia="bg-BG"/>
        </w:rPr>
        <w:tab/>
      </w:r>
    </w:p>
    <w:p w14:paraId="61F9F1B1" w14:textId="0B98270B" w:rsidR="009826E9" w:rsidRDefault="009826E9" w:rsidP="009826E9">
      <w:pPr>
        <w:rPr>
          <w:rFonts w:eastAsia="Times New Roman" w:cs="Arial"/>
          <w:color w:val="000000"/>
          <w:szCs w:val="20"/>
          <w:lang w:eastAsia="bg-BG"/>
        </w:rPr>
      </w:pPr>
      <w:r w:rsidRPr="009826E9">
        <w:rPr>
          <w:rFonts w:eastAsia="Times New Roman" w:cs="Arial"/>
          <w:color w:val="000000"/>
          <w:szCs w:val="20"/>
          <w:lang w:eastAsia="bg-BG"/>
        </w:rPr>
        <w:t xml:space="preserve">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не трябва да се приема от деца под 12 години поради недостатъчен опит и възможен увеличен риск от адренална супресия при тази възрастова група.</w:t>
      </w:r>
    </w:p>
    <w:p w14:paraId="671E8598" w14:textId="18F805B1" w:rsidR="009826E9" w:rsidRDefault="009826E9" w:rsidP="009826E9">
      <w:pPr>
        <w:rPr>
          <w:rFonts w:eastAsia="Times New Roman" w:cs="Arial"/>
          <w:color w:val="000000"/>
          <w:szCs w:val="20"/>
          <w:lang w:eastAsia="bg-BG"/>
        </w:rPr>
      </w:pPr>
    </w:p>
    <w:p w14:paraId="67772110"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u w:val="single"/>
          <w:lang w:eastAsia="bg-BG"/>
        </w:rPr>
        <w:t>Пациенти в юношеска възраст от 12 до 18 години</w:t>
      </w:r>
    </w:p>
    <w:p w14:paraId="603C47BD"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Безопасността и ефикасността на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при деца на възраст от 12 до 18 години все още не са установени. Наличните понастоящем данни при пациенти в юношеска възраст (12-18 години) с болест на </w:t>
      </w:r>
      <w:r w:rsidRPr="009826E9">
        <w:rPr>
          <w:rFonts w:eastAsia="Times New Roman" w:cs="Arial"/>
          <w:color w:val="000000"/>
          <w:szCs w:val="20"/>
          <w:lang w:val="en-US"/>
        </w:rPr>
        <w:t xml:space="preserve">Crohn </w:t>
      </w:r>
      <w:r w:rsidRPr="009826E9">
        <w:rPr>
          <w:rFonts w:eastAsia="Times New Roman" w:cs="Arial"/>
          <w:color w:val="000000"/>
          <w:szCs w:val="20"/>
          <w:lang w:eastAsia="bg-BG"/>
        </w:rPr>
        <w:t>или автоимунен хепатит са описани в точки 4.8 и 5.1, но не може да се даде препоръка за дозировката.</w:t>
      </w:r>
    </w:p>
    <w:p w14:paraId="534586A6" w14:textId="77777777" w:rsidR="009826E9" w:rsidRPr="009826E9" w:rsidRDefault="009826E9" w:rsidP="009826E9">
      <w:pPr>
        <w:spacing w:line="240" w:lineRule="auto"/>
        <w:rPr>
          <w:rFonts w:eastAsia="Times New Roman" w:cs="Arial"/>
          <w:color w:val="000000"/>
          <w:szCs w:val="20"/>
          <w:u w:val="single"/>
          <w:lang w:eastAsia="bg-BG"/>
        </w:rPr>
      </w:pPr>
    </w:p>
    <w:p w14:paraId="03991134" w14:textId="008040E0" w:rsidR="009826E9" w:rsidRPr="009826E9" w:rsidRDefault="009826E9" w:rsidP="009826E9">
      <w:pPr>
        <w:pStyle w:val="Heading3"/>
        <w:rPr>
          <w:rFonts w:eastAsia="Times New Roman"/>
          <w:sz w:val="28"/>
          <w:u w:val="single"/>
          <w:lang w:eastAsia="bg-BG"/>
        </w:rPr>
      </w:pPr>
      <w:r w:rsidRPr="009826E9">
        <w:rPr>
          <w:rFonts w:eastAsia="Times New Roman"/>
          <w:u w:val="single"/>
          <w:lang w:eastAsia="bg-BG"/>
        </w:rPr>
        <w:t>Начин на приложение</w:t>
      </w:r>
    </w:p>
    <w:p w14:paraId="7DFF193C" w14:textId="2235AED1" w:rsidR="009826E9" w:rsidRPr="009826E9" w:rsidRDefault="009826E9" w:rsidP="009826E9">
      <w:pPr>
        <w:rPr>
          <w:rFonts w:eastAsia="Times New Roman" w:cs="Arial"/>
          <w:color w:val="000000"/>
          <w:sz w:val="32"/>
          <w:szCs w:val="20"/>
          <w:lang w:eastAsia="bg-BG"/>
        </w:rPr>
      </w:pPr>
      <w:r w:rsidRPr="009826E9">
        <w:rPr>
          <w:rFonts w:eastAsia="Times New Roman" w:cs="Arial"/>
          <w:color w:val="000000"/>
          <w:szCs w:val="20"/>
          <w:lang w:eastAsia="bg-BG"/>
        </w:rPr>
        <w:t>Капсулите, съдържащи стомашно-устойчиви гранули, трябва да се приемат около половин час преди хранене, да се поглъщат цели, с много течност (напр. с чаша вода).</w:t>
      </w:r>
    </w:p>
    <w:p w14:paraId="7E6BB25D" w14:textId="77777777" w:rsidR="009826E9" w:rsidRPr="009826E9" w:rsidRDefault="009826E9" w:rsidP="009826E9"/>
    <w:p w14:paraId="28C984E8" w14:textId="5008EE9D" w:rsidR="008134C8" w:rsidRDefault="002C50EE" w:rsidP="004A448E">
      <w:pPr>
        <w:pStyle w:val="Heading2"/>
      </w:pPr>
      <w:r>
        <w:t>4.3. Противопоказания</w:t>
      </w:r>
    </w:p>
    <w:p w14:paraId="01B6D7A1" w14:textId="5E7ADFC1" w:rsidR="009826E9" w:rsidRDefault="009826E9" w:rsidP="009826E9"/>
    <w:p w14:paraId="387251E6"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не трябва да се прилага при пациенти със:</w:t>
      </w:r>
    </w:p>
    <w:p w14:paraId="14BCA4FF"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w:t>
      </w:r>
      <w:r w:rsidRPr="009826E9">
        <w:rPr>
          <w:rFonts w:eastAsia="Times New Roman" w:cs="Arial"/>
          <w:color w:val="000000"/>
          <w:szCs w:val="20"/>
          <w:lang w:eastAsia="bg-BG"/>
        </w:rPr>
        <w:tab/>
        <w:t>свръхчувствителност към активното вещество или към някое от помощните вещества, изброени в точка 6.1</w:t>
      </w:r>
    </w:p>
    <w:p w14:paraId="2AE6C5A9" w14:textId="0751B7B0" w:rsidR="009826E9" w:rsidRDefault="009826E9" w:rsidP="009826E9">
      <w:pPr>
        <w:rPr>
          <w:rFonts w:eastAsia="Times New Roman" w:cs="Arial"/>
          <w:color w:val="000000"/>
          <w:szCs w:val="20"/>
          <w:lang w:eastAsia="bg-BG"/>
        </w:rPr>
      </w:pPr>
      <w:r w:rsidRPr="009826E9">
        <w:rPr>
          <w:rFonts w:eastAsia="Times New Roman" w:cs="Arial"/>
          <w:color w:val="000000"/>
          <w:szCs w:val="20"/>
          <w:lang w:eastAsia="bg-BG"/>
        </w:rPr>
        <w:t>•</w:t>
      </w:r>
      <w:r w:rsidRPr="009826E9">
        <w:rPr>
          <w:rFonts w:eastAsia="Times New Roman" w:cs="Arial"/>
          <w:color w:val="000000"/>
          <w:szCs w:val="20"/>
          <w:lang w:eastAsia="bg-BG"/>
        </w:rPr>
        <w:tab/>
        <w:t>чернодробна цироза</w:t>
      </w:r>
    </w:p>
    <w:p w14:paraId="650087BE" w14:textId="77777777" w:rsidR="009826E9" w:rsidRPr="009826E9" w:rsidRDefault="009826E9" w:rsidP="009826E9">
      <w:pPr>
        <w:rPr>
          <w:rFonts w:cs="Arial"/>
          <w:sz w:val="24"/>
        </w:rPr>
      </w:pPr>
    </w:p>
    <w:p w14:paraId="212F509C" w14:textId="2F293024" w:rsidR="004F498A" w:rsidRDefault="002C50EE" w:rsidP="004A448E">
      <w:pPr>
        <w:pStyle w:val="Heading2"/>
      </w:pPr>
      <w:r>
        <w:t>4.4. Специални предупреждения и предпазни мерки при употреба</w:t>
      </w:r>
    </w:p>
    <w:p w14:paraId="5A28AB2B" w14:textId="653B8582" w:rsidR="009826E9" w:rsidRDefault="009826E9" w:rsidP="009826E9"/>
    <w:p w14:paraId="07BFD0A1"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Лечението с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води до по-ниски системни нива на стероидите, отколкото конвенционалната перорална глюкокортикостероидна терапия. Преминаването от друга глкжокортикостероидна терапия може да доведе до симптоми, свързани с промяна в системните стероидни нива. Необходимо е повишено внимание при пациенти с туберкулоза, хипертония, захарен диабет, остеопороза, пептична язва, глаукома, катаракта, фамилна анамнеза за захарен диабет или за глаукома, или всяко друго заболяване, при което глюкокортикостероидите може да имат нежелани лекарствени реакции.</w:t>
      </w:r>
    </w:p>
    <w:p w14:paraId="34519163" w14:textId="77777777" w:rsidR="009826E9" w:rsidRPr="009826E9" w:rsidRDefault="009826E9" w:rsidP="009826E9">
      <w:pPr>
        <w:spacing w:line="240" w:lineRule="auto"/>
        <w:rPr>
          <w:rFonts w:eastAsia="Times New Roman" w:cs="Arial"/>
          <w:color w:val="000000"/>
          <w:szCs w:val="20"/>
          <w:lang w:eastAsia="bg-BG"/>
        </w:rPr>
      </w:pPr>
    </w:p>
    <w:p w14:paraId="64B35B0C" w14:textId="03497671"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Това лекарство не е подходящо за пациенти, страдащи от болест на Крон в горните отдели на стомашно-чревния тракт.</w:t>
      </w:r>
    </w:p>
    <w:p w14:paraId="33634B38" w14:textId="77777777" w:rsidR="009826E9" w:rsidRPr="009826E9" w:rsidRDefault="009826E9" w:rsidP="009826E9">
      <w:pPr>
        <w:spacing w:line="240" w:lineRule="auto"/>
        <w:rPr>
          <w:rFonts w:eastAsia="Times New Roman" w:cs="Arial"/>
          <w:color w:val="000000"/>
          <w:szCs w:val="20"/>
          <w:lang w:eastAsia="bg-BG"/>
        </w:rPr>
      </w:pPr>
    </w:p>
    <w:p w14:paraId="4FB8BBCB" w14:textId="1FF92092"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Поради предимно локалния начин на действие на веществото, не могат да се очакват благоприятни ефекти при пациенти, страдащи от екстраинтестинални симптоми (напр. очни, кожни, ставни).</w:t>
      </w:r>
    </w:p>
    <w:p w14:paraId="7D092BD1"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lastRenderedPageBreak/>
        <w:t>Системни реакции към глюкокортикостероидите може да възникнат, особено, когато са предписани в големи дози и за продължителни периоди. Тези реакции може да включват синдром на Кушинг, потискане на надбъбречната функция, забавяне на растежа, намалена костна минерална плътност, катаракта, глаукома и широк спектър от психични/поведенчески ефекти (вж. точка 4.8).</w:t>
      </w:r>
    </w:p>
    <w:p w14:paraId="3E28029D" w14:textId="77777777" w:rsidR="009826E9" w:rsidRPr="009826E9" w:rsidRDefault="009826E9" w:rsidP="009826E9">
      <w:pPr>
        <w:spacing w:line="240" w:lineRule="auto"/>
        <w:rPr>
          <w:rFonts w:eastAsia="Times New Roman" w:cs="Arial"/>
          <w:color w:val="000000"/>
          <w:szCs w:val="20"/>
          <w:u w:val="single"/>
          <w:lang w:eastAsia="bg-BG"/>
        </w:rPr>
      </w:pPr>
    </w:p>
    <w:p w14:paraId="63E2DF4B" w14:textId="7C861030"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Инфекции</w:t>
      </w:r>
    </w:p>
    <w:p w14:paraId="119D2F85"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Потискането на възпалителния отговор и имунната функция увеличават възприемчивостта към инфекции и тяхното по-тежко протичане. Необходимо е внимателно обмисляне на риска от влошаване на бактериалните, гъбички, амебийни и вирусни инфекции по време на лечението с глюкокортикостероиди. Клиничната картина може често да бъде атипична, а тежки инфекции, като сепсис и туберкулоза, могат да бъдат маскирани и да достигнат напреднал стадий, преди да бъдат разпознати.</w:t>
      </w:r>
    </w:p>
    <w:p w14:paraId="09524A47" w14:textId="77777777" w:rsidR="009826E9" w:rsidRPr="009826E9" w:rsidRDefault="009826E9" w:rsidP="009826E9">
      <w:pPr>
        <w:spacing w:line="240" w:lineRule="auto"/>
        <w:rPr>
          <w:rFonts w:eastAsia="Times New Roman" w:cs="Arial"/>
          <w:color w:val="000000"/>
          <w:szCs w:val="20"/>
          <w:u w:val="single"/>
          <w:lang w:eastAsia="bg-BG"/>
        </w:rPr>
      </w:pPr>
    </w:p>
    <w:p w14:paraId="5634AAAD" w14:textId="38434F9F"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Варицела</w:t>
      </w:r>
    </w:p>
    <w:p w14:paraId="3D8492E1"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Варицелата изисква особено внимание, тъй като това обикновено леко заболяване може да бъде фатално при имуносупресирани пациенти. Пациентите без анамнеза за прекарана варицела трябва да бъдат посъветвани да избягват контакти с болни от варицела или херпес зостер, а ако бъдат изложени на вируса, трябва незабавно да се обърнат към лекар. Ако пациентът е дете, на</w:t>
      </w:r>
    </w:p>
    <w:p w14:paraId="789DCB8A" w14:textId="77777777" w:rsidR="009826E9" w:rsidRPr="009826E9" w:rsidRDefault="009826E9" w:rsidP="009826E9">
      <w:pPr>
        <w:rPr>
          <w:rFonts w:eastAsia="Times New Roman" w:cs="Arial"/>
          <w:sz w:val="28"/>
          <w:szCs w:val="24"/>
          <w:lang w:eastAsia="bg-BG"/>
        </w:rPr>
      </w:pPr>
      <w:r w:rsidRPr="009826E9">
        <w:rPr>
          <w:rFonts w:eastAsia="Times New Roman" w:cs="Arial"/>
          <w:color w:val="000000"/>
          <w:szCs w:val="20"/>
          <w:lang w:eastAsia="bg-BG"/>
        </w:rPr>
        <w:t xml:space="preserve">родителите трябва да се даде посочения по-горе съвет. Пасивната имунизация с варицела зостер имуноглобулин </w:t>
      </w:r>
      <w:r w:rsidRPr="009826E9">
        <w:rPr>
          <w:rFonts w:eastAsia="Times New Roman" w:cs="Arial"/>
          <w:color w:val="000000"/>
          <w:szCs w:val="20"/>
          <w:lang w:val="en-US"/>
        </w:rPr>
        <w:t xml:space="preserve">(VZIG) </w:t>
      </w:r>
      <w:r w:rsidRPr="009826E9">
        <w:rPr>
          <w:rFonts w:eastAsia="Times New Roman" w:cs="Arial"/>
          <w:color w:val="000000"/>
          <w:szCs w:val="20"/>
          <w:lang w:eastAsia="bg-BG"/>
        </w:rPr>
        <w:t>е необходима при изложени на риск от заразяване пациенти без имунитет,</w:t>
      </w:r>
      <w:r>
        <w:rPr>
          <w:rFonts w:eastAsia="Times New Roman" w:cs="Arial"/>
          <w:color w:val="000000"/>
          <w:szCs w:val="20"/>
          <w:lang w:eastAsia="bg-BG"/>
        </w:rPr>
        <w:t xml:space="preserve"> </w:t>
      </w:r>
      <w:r w:rsidRPr="009826E9">
        <w:rPr>
          <w:rFonts w:eastAsia="Times New Roman" w:cs="Arial"/>
          <w:color w:val="000000"/>
          <w:szCs w:val="20"/>
          <w:lang w:eastAsia="bg-BG"/>
        </w:rPr>
        <w:t>които приемат или са приемали системни глюкокортикостероиди в рамките на предходните 3 месеца; тя трябва да бъде приложена до 10 дни от контакта с болни от варицела. Ако диагнозата за варицела се потвърди, заболяването изисква намесата на специалист и лечение по спешност. Глюкокортикостероидите не трябва да се преустановяват, а дозата им може да изисква увеличение.</w:t>
      </w:r>
    </w:p>
    <w:p w14:paraId="6E47B943" w14:textId="77777777" w:rsidR="009826E9" w:rsidRPr="009826E9" w:rsidRDefault="009826E9" w:rsidP="009826E9">
      <w:pPr>
        <w:spacing w:line="240" w:lineRule="auto"/>
        <w:rPr>
          <w:rFonts w:eastAsia="Times New Roman" w:cs="Arial"/>
          <w:color w:val="000000"/>
          <w:szCs w:val="20"/>
          <w:u w:val="single"/>
          <w:lang w:eastAsia="bg-BG"/>
        </w:rPr>
      </w:pPr>
    </w:p>
    <w:p w14:paraId="58966D69" w14:textId="69F81B99"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Морбили</w:t>
      </w:r>
    </w:p>
    <w:p w14:paraId="1DF02DC9"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Пациентите с намален имунитет, които са имали контакт с болни от морбили, трябва да приемат нормален имуноглобулин, възможно най-скоро след контакта.</w:t>
      </w:r>
    </w:p>
    <w:p w14:paraId="6A91BAE7" w14:textId="77777777" w:rsidR="009826E9" w:rsidRPr="009826E9" w:rsidRDefault="009826E9" w:rsidP="009826E9">
      <w:pPr>
        <w:spacing w:line="240" w:lineRule="auto"/>
        <w:rPr>
          <w:rFonts w:eastAsia="Times New Roman" w:cs="Arial"/>
          <w:color w:val="000000"/>
          <w:szCs w:val="20"/>
          <w:u w:val="single"/>
          <w:lang w:eastAsia="bg-BG"/>
        </w:rPr>
      </w:pPr>
    </w:p>
    <w:p w14:paraId="22194D4A" w14:textId="509B22C5"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Ваксини</w:t>
      </w:r>
    </w:p>
    <w:p w14:paraId="3FB6DE7C"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Живи ваксини не трябва да се прилагат при индивиди с хронична употреба на глюкокортикостероиди. Антиген-антитяло отговорът към убитите ваксини може да бъде отслабен.</w:t>
      </w:r>
    </w:p>
    <w:p w14:paraId="12392D59" w14:textId="77777777" w:rsidR="009826E9" w:rsidRPr="009826E9" w:rsidRDefault="009826E9" w:rsidP="009826E9">
      <w:pPr>
        <w:spacing w:line="240" w:lineRule="auto"/>
        <w:rPr>
          <w:rFonts w:eastAsia="Times New Roman" w:cs="Arial"/>
          <w:color w:val="000000"/>
          <w:szCs w:val="20"/>
          <w:u w:val="single"/>
          <w:lang w:eastAsia="bg-BG"/>
        </w:rPr>
      </w:pPr>
    </w:p>
    <w:p w14:paraId="65820347" w14:textId="73BC19DD"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Пациенти с нарушения на чернодробната функция</w:t>
      </w:r>
    </w:p>
    <w:p w14:paraId="47C49887"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Въз основа на опита при пациенти, страдащи от напреднала първична билиарна цироза (ПБЦ) с чернодробна цироза, може да се очаква увеличено системно наличие на будезонид при всички пациенти с тежко увредена чернодробна функция.</w:t>
      </w:r>
    </w:p>
    <w:p w14:paraId="5C1C55CC"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При пациенти с чернодробно заболяване без чернодробна цироза, обаче, прилагането на будезонид в ежедневни дози от 9 </w:t>
      </w:r>
      <w:r w:rsidRPr="009826E9">
        <w:rPr>
          <w:rFonts w:eastAsia="Times New Roman" w:cs="Arial"/>
          <w:color w:val="000000"/>
          <w:szCs w:val="20"/>
          <w:lang w:val="en-US"/>
        </w:rPr>
        <w:t xml:space="preserve">mg </w:t>
      </w:r>
      <w:r w:rsidRPr="009826E9">
        <w:rPr>
          <w:rFonts w:eastAsia="Times New Roman" w:cs="Arial"/>
          <w:color w:val="000000"/>
          <w:szCs w:val="20"/>
          <w:lang w:eastAsia="bg-BG"/>
        </w:rPr>
        <w:t>е безопасно и добре понасяно. Няма доказателства, че е необходима специфична препоръка за дозирането при пациенти с не-цирозни чернодробни заболявания или само леко увредена чернодробна функция.</w:t>
      </w:r>
    </w:p>
    <w:p w14:paraId="687937DA" w14:textId="77777777" w:rsidR="009826E9" w:rsidRPr="009826E9" w:rsidRDefault="009826E9" w:rsidP="009826E9">
      <w:pPr>
        <w:spacing w:line="240" w:lineRule="auto"/>
        <w:rPr>
          <w:rFonts w:eastAsia="Times New Roman" w:cs="Arial"/>
          <w:color w:val="000000"/>
          <w:szCs w:val="20"/>
          <w:u w:val="single"/>
          <w:lang w:eastAsia="bg-BG"/>
        </w:rPr>
      </w:pPr>
    </w:p>
    <w:p w14:paraId="46145C62" w14:textId="368D5EC3"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Зрителни смущения</w:t>
      </w:r>
    </w:p>
    <w:p w14:paraId="1628FD50"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При системно и локално приложение на кортикостероиди са възможни съобщения за зрителни смущения. Ако при пациент са налице симптоми като замъглено зрение или </w:t>
      </w:r>
      <w:r w:rsidRPr="009826E9">
        <w:rPr>
          <w:rFonts w:eastAsia="Times New Roman" w:cs="Arial"/>
          <w:color w:val="000000"/>
          <w:szCs w:val="20"/>
          <w:lang w:eastAsia="bg-BG"/>
        </w:rPr>
        <w:lastRenderedPageBreak/>
        <w:t>други зрителни смущения, пациентът трябва да бъде насочен за консултация с офталмолог за оценка на възможните причини, които могат да включват катаракта, глаукома или редки заболявания като централна серозна хориоретинопатия (ЦСХ), за които се съобщава след системно и локално използване на кортикостероиди.</w:t>
      </w:r>
    </w:p>
    <w:p w14:paraId="4EA5F6B1" w14:textId="77777777" w:rsidR="009826E9" w:rsidRPr="009826E9" w:rsidRDefault="009826E9" w:rsidP="009826E9">
      <w:pPr>
        <w:spacing w:line="240" w:lineRule="auto"/>
        <w:rPr>
          <w:rFonts w:eastAsia="Times New Roman" w:cs="Arial"/>
          <w:color w:val="000000"/>
          <w:szCs w:val="20"/>
          <w:u w:val="single"/>
          <w:lang w:eastAsia="bg-BG"/>
        </w:rPr>
      </w:pPr>
    </w:p>
    <w:p w14:paraId="3D8A9425" w14:textId="0D609E4F"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u w:val="single"/>
          <w:lang w:eastAsia="bg-BG"/>
        </w:rPr>
        <w:t>Други</w:t>
      </w:r>
    </w:p>
    <w:p w14:paraId="08621E1F"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Глюкокортикостероидите може да предизвикат потискане на оста НРА (хипоталамо-хипофизо- надбъбречната ос) и да намалят отговора на организма към стрес. Когато пациентите са подложени на операция или на друг вид стрес, се препоръчва допълнителното им лечение със системни глюкокортикостероиди.</w:t>
      </w:r>
    </w:p>
    <w:p w14:paraId="24F055B2" w14:textId="77777777" w:rsidR="009826E9" w:rsidRPr="009826E9" w:rsidRDefault="009826E9" w:rsidP="009826E9">
      <w:pPr>
        <w:spacing w:line="240" w:lineRule="auto"/>
        <w:rPr>
          <w:rFonts w:eastAsia="Times New Roman" w:cs="Arial"/>
          <w:color w:val="000000"/>
          <w:szCs w:val="20"/>
          <w:lang w:eastAsia="bg-BG"/>
        </w:rPr>
      </w:pPr>
    </w:p>
    <w:p w14:paraId="372A3419" w14:textId="4FF5D4C4"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Едновременното лечение с кетоконазол или други инхибитори на </w:t>
      </w:r>
      <w:r w:rsidRPr="009826E9">
        <w:rPr>
          <w:rFonts w:eastAsia="Times New Roman" w:cs="Arial"/>
          <w:color w:val="000000"/>
          <w:szCs w:val="20"/>
          <w:lang w:val="en-US"/>
        </w:rPr>
        <w:t xml:space="preserve">CYP3A4 </w:t>
      </w:r>
      <w:r w:rsidRPr="009826E9">
        <w:rPr>
          <w:rFonts w:eastAsia="Times New Roman" w:cs="Arial"/>
          <w:color w:val="000000"/>
          <w:szCs w:val="20"/>
          <w:lang w:eastAsia="bg-BG"/>
        </w:rPr>
        <w:t>трябва да се избягва (вж. точка 4.5).</w:t>
      </w:r>
    </w:p>
    <w:p w14:paraId="2E38AF8A" w14:textId="77777777" w:rsidR="009826E9" w:rsidRPr="009826E9" w:rsidRDefault="009826E9" w:rsidP="009826E9">
      <w:pPr>
        <w:spacing w:line="240" w:lineRule="auto"/>
        <w:rPr>
          <w:rFonts w:eastAsia="Times New Roman" w:cs="Arial"/>
          <w:color w:val="000000"/>
          <w:szCs w:val="20"/>
          <w:lang w:eastAsia="bg-BG"/>
        </w:rPr>
      </w:pPr>
    </w:p>
    <w:p w14:paraId="691D7CB2" w14:textId="3314561F"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капсули съдържа лактоза и захароза. Пациенти с редки вродени проблеми, като непоносимост към галактоза или фруктоза, глюкозо-галактозна малабсорбция, захарозо- изомалтазна недостатъчност или пълен лактазен дефицит не трябва да приемат това лекарство.</w:t>
      </w:r>
    </w:p>
    <w:p w14:paraId="249A5A14" w14:textId="77777777" w:rsidR="009826E9" w:rsidRPr="009826E9" w:rsidRDefault="009826E9" w:rsidP="009826E9">
      <w:pPr>
        <w:spacing w:line="240" w:lineRule="auto"/>
        <w:rPr>
          <w:rFonts w:eastAsia="Times New Roman" w:cs="Arial"/>
          <w:color w:val="000000"/>
          <w:szCs w:val="20"/>
          <w:lang w:eastAsia="bg-BG"/>
        </w:rPr>
      </w:pPr>
    </w:p>
    <w:p w14:paraId="2B459BCC" w14:textId="4FB31786"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Прилагането на лекарствения продукт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може да доведе до положителни резултати при допинг тестовете.</w:t>
      </w:r>
    </w:p>
    <w:p w14:paraId="2143E123" w14:textId="77777777" w:rsidR="009826E9" w:rsidRPr="009826E9" w:rsidRDefault="009826E9" w:rsidP="009826E9">
      <w:pPr>
        <w:rPr>
          <w:rFonts w:eastAsia="Times New Roman" w:cs="Arial"/>
          <w:color w:val="000000"/>
          <w:szCs w:val="20"/>
          <w:lang w:eastAsia="bg-BG"/>
        </w:rPr>
      </w:pPr>
    </w:p>
    <w:p w14:paraId="377DB3DA" w14:textId="507E8868" w:rsidR="009826E9" w:rsidRPr="009826E9" w:rsidRDefault="009826E9" w:rsidP="009826E9">
      <w:pPr>
        <w:rPr>
          <w:rFonts w:eastAsia="Times New Roman" w:cs="Arial"/>
          <w:color w:val="000000"/>
          <w:sz w:val="24"/>
          <w:szCs w:val="20"/>
          <w:lang w:eastAsia="bg-BG"/>
        </w:rPr>
      </w:pPr>
      <w:r w:rsidRPr="009826E9">
        <w:rPr>
          <w:rFonts w:eastAsia="Times New Roman" w:cs="Arial"/>
          <w:color w:val="000000"/>
          <w:szCs w:val="20"/>
          <w:lang w:eastAsia="bg-BG"/>
        </w:rPr>
        <w:t>При пациенти с автоимунен хепатит серумните нива на трансаминазите (АЛАТ, АСАТ) трябва да се оценяват на редовни интервали, за да се адаптира адекватно дозата на будезонид. През първия месец на лечението нивата на трансаминазите трябва де се оценяват на всеки две седмици, а след това, най-малко на всеки 3 месеца.</w:t>
      </w:r>
    </w:p>
    <w:p w14:paraId="434E466F" w14:textId="77777777" w:rsidR="009826E9" w:rsidRPr="009826E9" w:rsidRDefault="009826E9" w:rsidP="009826E9">
      <w:pPr>
        <w:rPr>
          <w:rFonts w:cs="Arial"/>
          <w:sz w:val="24"/>
        </w:rPr>
      </w:pPr>
    </w:p>
    <w:p w14:paraId="0903CFD6" w14:textId="77777777" w:rsidR="009826E9"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736A5965" w14:textId="77777777" w:rsidR="009826E9" w:rsidRDefault="009826E9" w:rsidP="004A448E">
      <w:pPr>
        <w:pStyle w:val="Heading2"/>
      </w:pPr>
    </w:p>
    <w:p w14:paraId="538D8E81" w14:textId="78A0C05A" w:rsidR="009826E9" w:rsidRPr="009826E9" w:rsidRDefault="009826E9" w:rsidP="004A448E">
      <w:pPr>
        <w:pStyle w:val="Heading2"/>
        <w:rPr>
          <w:rFonts w:cs="Arial"/>
          <w:sz w:val="22"/>
          <w:szCs w:val="22"/>
          <w:u w:val="single"/>
        </w:rPr>
      </w:pPr>
      <w:r w:rsidRPr="009826E9">
        <w:rPr>
          <w:rFonts w:cs="Arial"/>
          <w:sz w:val="22"/>
          <w:szCs w:val="22"/>
        </w:rPr>
        <w:t>Фа</w:t>
      </w:r>
      <w:r w:rsidRPr="009826E9">
        <w:rPr>
          <w:rFonts w:cs="Arial"/>
          <w:sz w:val="22"/>
          <w:szCs w:val="22"/>
          <w:u w:val="single"/>
        </w:rPr>
        <w:t>рмакодинамични взаимодействия</w:t>
      </w:r>
    </w:p>
    <w:p w14:paraId="4A004690" w14:textId="079FE48C" w:rsidR="009826E9" w:rsidRPr="009826E9" w:rsidRDefault="009826E9" w:rsidP="009826E9">
      <w:pPr>
        <w:rPr>
          <w:rFonts w:cs="Arial"/>
        </w:rPr>
      </w:pPr>
    </w:p>
    <w:p w14:paraId="2E3E9650" w14:textId="77777777" w:rsidR="009826E9" w:rsidRPr="009826E9" w:rsidRDefault="009826E9" w:rsidP="009826E9">
      <w:pPr>
        <w:spacing w:line="240" w:lineRule="auto"/>
        <w:rPr>
          <w:rFonts w:eastAsia="Times New Roman" w:cs="Arial"/>
          <w:lang w:eastAsia="bg-BG"/>
        </w:rPr>
      </w:pPr>
      <w:r w:rsidRPr="009826E9">
        <w:rPr>
          <w:rFonts w:eastAsia="Times New Roman" w:cs="Arial"/>
          <w:i/>
          <w:iCs/>
          <w:color w:val="000000"/>
          <w:lang w:eastAsia="bg-BG"/>
        </w:rPr>
        <w:t>Сърдечни гликозиди</w:t>
      </w:r>
    </w:p>
    <w:p w14:paraId="32194F22"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Действието на гликозида може да бъде потенцирано от недостига на калий.</w:t>
      </w:r>
    </w:p>
    <w:p w14:paraId="5E602467" w14:textId="77777777" w:rsidR="009826E9" w:rsidRPr="009826E9" w:rsidRDefault="009826E9" w:rsidP="009826E9">
      <w:pPr>
        <w:spacing w:line="240" w:lineRule="auto"/>
        <w:rPr>
          <w:rFonts w:eastAsia="Times New Roman" w:cs="Arial"/>
          <w:i/>
          <w:iCs/>
          <w:color w:val="000000"/>
          <w:lang w:eastAsia="bg-BG"/>
        </w:rPr>
      </w:pPr>
    </w:p>
    <w:p w14:paraId="0FFD9D8D" w14:textId="19C2B9D7" w:rsidR="009826E9" w:rsidRPr="009826E9" w:rsidRDefault="009826E9" w:rsidP="009826E9">
      <w:pPr>
        <w:spacing w:line="240" w:lineRule="auto"/>
        <w:rPr>
          <w:rFonts w:eastAsia="Times New Roman" w:cs="Arial"/>
          <w:lang w:eastAsia="bg-BG"/>
        </w:rPr>
      </w:pPr>
      <w:r w:rsidRPr="009826E9">
        <w:rPr>
          <w:rFonts w:eastAsia="Times New Roman" w:cs="Arial"/>
          <w:i/>
          <w:iCs/>
          <w:color w:val="000000"/>
          <w:lang w:eastAsia="bg-BG"/>
        </w:rPr>
        <w:t>Салуретици</w:t>
      </w:r>
    </w:p>
    <w:p w14:paraId="0F91E7AB"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Екскрецията на калий може да бъде усилена.</w:t>
      </w:r>
    </w:p>
    <w:p w14:paraId="178E3B4A" w14:textId="77777777" w:rsidR="009826E9" w:rsidRPr="009826E9" w:rsidRDefault="009826E9" w:rsidP="009826E9">
      <w:pPr>
        <w:spacing w:line="240" w:lineRule="auto"/>
        <w:rPr>
          <w:rFonts w:eastAsia="Times New Roman" w:cs="Arial"/>
          <w:color w:val="000000"/>
          <w:u w:val="single"/>
          <w:lang w:eastAsia="bg-BG"/>
        </w:rPr>
      </w:pPr>
    </w:p>
    <w:p w14:paraId="6B713C7F" w14:textId="29615F35" w:rsidR="009826E9" w:rsidRPr="009826E9" w:rsidRDefault="009826E9" w:rsidP="009826E9">
      <w:pPr>
        <w:spacing w:line="240" w:lineRule="auto"/>
        <w:rPr>
          <w:rFonts w:eastAsia="Times New Roman" w:cs="Arial"/>
          <w:lang w:eastAsia="bg-BG"/>
        </w:rPr>
      </w:pPr>
      <w:r w:rsidRPr="009826E9">
        <w:rPr>
          <w:rFonts w:eastAsia="Times New Roman" w:cs="Arial"/>
          <w:color w:val="000000"/>
          <w:u w:val="single"/>
          <w:lang w:eastAsia="bg-BG"/>
        </w:rPr>
        <w:t>Фармакокинетични взаимодействия</w:t>
      </w:r>
    </w:p>
    <w:p w14:paraId="0115C32A" w14:textId="77777777" w:rsidR="009826E9" w:rsidRPr="009826E9" w:rsidRDefault="009826E9" w:rsidP="009826E9">
      <w:pPr>
        <w:spacing w:line="240" w:lineRule="auto"/>
        <w:rPr>
          <w:rFonts w:eastAsia="Times New Roman" w:cs="Arial"/>
          <w:i/>
          <w:iCs/>
          <w:color w:val="000000"/>
          <w:lang w:eastAsia="bg-BG"/>
        </w:rPr>
      </w:pPr>
    </w:p>
    <w:p w14:paraId="722AC8DF" w14:textId="468540DA" w:rsidR="009826E9" w:rsidRPr="009826E9" w:rsidRDefault="009826E9" w:rsidP="009826E9">
      <w:pPr>
        <w:spacing w:line="240" w:lineRule="auto"/>
        <w:rPr>
          <w:rFonts w:eastAsia="Times New Roman" w:cs="Arial"/>
          <w:lang w:eastAsia="bg-BG"/>
        </w:rPr>
      </w:pPr>
      <w:r w:rsidRPr="009826E9">
        <w:rPr>
          <w:rFonts w:eastAsia="Times New Roman" w:cs="Arial"/>
          <w:i/>
          <w:iCs/>
          <w:color w:val="000000"/>
          <w:lang w:eastAsia="bg-BG"/>
        </w:rPr>
        <w:t>Цитохром Р450</w:t>
      </w:r>
    </w:p>
    <w:p w14:paraId="6E691336" w14:textId="7D194E9A" w:rsidR="009826E9" w:rsidRPr="009826E9" w:rsidRDefault="009826E9" w:rsidP="009826E9">
      <w:pPr>
        <w:pStyle w:val="ListParagraph"/>
        <w:numPr>
          <w:ilvl w:val="0"/>
          <w:numId w:val="37"/>
        </w:numPr>
        <w:spacing w:line="240" w:lineRule="auto"/>
        <w:rPr>
          <w:rFonts w:eastAsia="Times New Roman" w:cs="Arial"/>
          <w:lang w:eastAsia="bg-BG"/>
        </w:rPr>
      </w:pPr>
      <w:r w:rsidRPr="009826E9">
        <w:rPr>
          <w:rFonts w:eastAsia="Times New Roman" w:cs="Arial"/>
          <w:i/>
          <w:iCs/>
          <w:color w:val="000000"/>
          <w:u w:val="single"/>
          <w:lang w:eastAsia="bg-BG"/>
        </w:rPr>
        <w:tab/>
        <w:t xml:space="preserve">Инхибитори на </w:t>
      </w:r>
      <w:r w:rsidRPr="009826E9">
        <w:rPr>
          <w:rFonts w:eastAsia="Times New Roman" w:cs="Arial"/>
          <w:i/>
          <w:iCs/>
          <w:color w:val="000000"/>
          <w:u w:val="single"/>
          <w:lang w:val="en-US"/>
        </w:rPr>
        <w:t>CYP3A4</w:t>
      </w:r>
    </w:p>
    <w:p w14:paraId="5012F6BA"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 xml:space="preserve">Очаква се едновременното лечение с инхибитори на </w:t>
      </w:r>
      <w:r w:rsidRPr="009826E9">
        <w:rPr>
          <w:rFonts w:eastAsia="Times New Roman" w:cs="Arial"/>
          <w:color w:val="000000"/>
          <w:lang w:val="en-US"/>
        </w:rPr>
        <w:t xml:space="preserve">CYP3A, </w:t>
      </w:r>
      <w:r w:rsidRPr="009826E9">
        <w:rPr>
          <w:rFonts w:eastAsia="Times New Roman" w:cs="Arial"/>
          <w:color w:val="000000"/>
          <w:lang w:eastAsia="bg-BG"/>
        </w:rPr>
        <w:t>включително продукти, съдържащи кобицистат, да увеличи риска от системни кортикостероидни ефекти. Комбинирането трябва да се избягва, освен ако ползата превишава увеличения риск от системни кортикостероидни ефекти, в този случай пациентите трябва да се проследяват за системни кортикостероидни ефекти.</w:t>
      </w:r>
    </w:p>
    <w:p w14:paraId="02901E02"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 xml:space="preserve">Пероралният прием на кетоконазол 200 </w:t>
      </w:r>
      <w:r w:rsidRPr="009826E9">
        <w:rPr>
          <w:rFonts w:eastAsia="Times New Roman" w:cs="Arial"/>
          <w:color w:val="000000"/>
          <w:lang w:val="en-US"/>
        </w:rPr>
        <w:t xml:space="preserve">mg </w:t>
      </w:r>
      <w:r w:rsidRPr="009826E9">
        <w:rPr>
          <w:rFonts w:eastAsia="Times New Roman" w:cs="Arial"/>
          <w:color w:val="000000"/>
          <w:lang w:eastAsia="bg-BG"/>
        </w:rPr>
        <w:t xml:space="preserve">веднъж дневно увеличава приблизително 6 пъти плазмените концентрации на будезонид (еднократна доза от 3 </w:t>
      </w:r>
      <w:r w:rsidRPr="009826E9">
        <w:rPr>
          <w:rFonts w:eastAsia="Times New Roman" w:cs="Arial"/>
          <w:color w:val="000000"/>
          <w:lang w:val="en-US"/>
        </w:rPr>
        <w:t xml:space="preserve">mg) </w:t>
      </w:r>
      <w:r w:rsidRPr="009826E9">
        <w:rPr>
          <w:rFonts w:eastAsia="Times New Roman" w:cs="Arial"/>
          <w:color w:val="000000"/>
          <w:lang w:eastAsia="bg-BG"/>
        </w:rPr>
        <w:t xml:space="preserve">по време на </w:t>
      </w:r>
      <w:r w:rsidRPr="009826E9">
        <w:rPr>
          <w:rFonts w:eastAsia="Times New Roman" w:cs="Arial"/>
          <w:color w:val="000000"/>
          <w:lang w:eastAsia="bg-BG"/>
        </w:rPr>
        <w:lastRenderedPageBreak/>
        <w:t>едновременно прилагане. При прилагане на кетоназол 12 часа след приема на будезонид, концентрациите се увеличават приблизително 3 пъти. Тъй като липсват достатъчно данни, за да се дадат препоръки за дозирането, комбинацията трябва да се избягва.</w:t>
      </w:r>
    </w:p>
    <w:p w14:paraId="6DDBDD6F"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 xml:space="preserve">Други мощни инхибитори на </w:t>
      </w:r>
      <w:r w:rsidRPr="009826E9">
        <w:rPr>
          <w:rFonts w:eastAsia="Times New Roman" w:cs="Arial"/>
          <w:color w:val="000000"/>
          <w:lang w:val="en-US"/>
        </w:rPr>
        <w:t xml:space="preserve">CYP3A4, </w:t>
      </w:r>
      <w:r w:rsidRPr="009826E9">
        <w:rPr>
          <w:rFonts w:eastAsia="Times New Roman" w:cs="Arial"/>
          <w:color w:val="000000"/>
          <w:lang w:eastAsia="bg-BG"/>
        </w:rPr>
        <w:t>като ритонавир, итраконазол, кларитромицин и сок от грейпфрут, вероятно също биха могли да предизвикат значително увеличение в плазмените концентрации на будезонид. Ето защо, едновременното прилагане с будезонид трябва да се избягва.</w:t>
      </w:r>
    </w:p>
    <w:p w14:paraId="26CAD9B3" w14:textId="46281857" w:rsidR="009826E9" w:rsidRPr="009826E9" w:rsidRDefault="009826E9" w:rsidP="009826E9">
      <w:pPr>
        <w:pStyle w:val="ListParagraph"/>
        <w:numPr>
          <w:ilvl w:val="0"/>
          <w:numId w:val="37"/>
        </w:numPr>
        <w:spacing w:line="240" w:lineRule="auto"/>
        <w:rPr>
          <w:rFonts w:eastAsia="Times New Roman" w:cs="Arial"/>
          <w:lang w:eastAsia="bg-BG"/>
        </w:rPr>
      </w:pPr>
      <w:r w:rsidRPr="009826E9">
        <w:rPr>
          <w:rFonts w:eastAsia="Times New Roman" w:cs="Arial"/>
          <w:i/>
          <w:iCs/>
          <w:color w:val="000000"/>
          <w:u w:val="single"/>
          <w:lang w:val="en-US"/>
        </w:rPr>
        <w:tab/>
        <w:t xml:space="preserve">CYP3A4 </w:t>
      </w:r>
      <w:r w:rsidRPr="009826E9">
        <w:rPr>
          <w:rFonts w:eastAsia="Times New Roman" w:cs="Arial"/>
          <w:i/>
          <w:iCs/>
          <w:color w:val="000000"/>
          <w:u w:val="single"/>
          <w:lang w:eastAsia="bg-BG"/>
        </w:rPr>
        <w:t>индуктори:</w:t>
      </w:r>
    </w:p>
    <w:p w14:paraId="4F0E617F"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 xml:space="preserve">Вещества или лекарства като карбамазепин и рифампицин, които индуцират </w:t>
      </w:r>
      <w:r w:rsidRPr="009826E9">
        <w:rPr>
          <w:rFonts w:eastAsia="Times New Roman" w:cs="Arial"/>
          <w:color w:val="000000"/>
          <w:lang w:val="en-US"/>
        </w:rPr>
        <w:t xml:space="preserve">CYP3A4, </w:t>
      </w:r>
      <w:r w:rsidRPr="009826E9">
        <w:rPr>
          <w:rFonts w:eastAsia="Times New Roman" w:cs="Arial"/>
          <w:color w:val="000000"/>
          <w:lang w:eastAsia="bg-BG"/>
        </w:rPr>
        <w:t>биха могли да намалят системната, но и локалната експозиция на будезонид в чревната лигавица. Ето защо може да е необходимо коригиране на дозата на будезонид.</w:t>
      </w:r>
    </w:p>
    <w:p w14:paraId="75BF2B30" w14:textId="283B8211" w:rsidR="009826E9" w:rsidRPr="009826E9" w:rsidRDefault="009826E9" w:rsidP="009826E9">
      <w:pPr>
        <w:pStyle w:val="ListParagraph"/>
        <w:numPr>
          <w:ilvl w:val="0"/>
          <w:numId w:val="37"/>
        </w:numPr>
        <w:spacing w:line="240" w:lineRule="auto"/>
        <w:rPr>
          <w:rFonts w:eastAsia="Times New Roman" w:cs="Arial"/>
          <w:lang w:eastAsia="bg-BG"/>
        </w:rPr>
      </w:pPr>
      <w:r w:rsidRPr="009826E9">
        <w:rPr>
          <w:rFonts w:eastAsia="Times New Roman" w:cs="Arial"/>
          <w:i/>
          <w:iCs/>
          <w:color w:val="000000"/>
          <w:u w:val="single"/>
          <w:lang w:val="en-US"/>
        </w:rPr>
        <w:tab/>
        <w:t xml:space="preserve">CYP3A4 </w:t>
      </w:r>
      <w:r w:rsidRPr="009826E9">
        <w:rPr>
          <w:rFonts w:eastAsia="Times New Roman" w:cs="Arial"/>
          <w:i/>
          <w:iCs/>
          <w:color w:val="000000"/>
          <w:u w:val="single"/>
          <w:lang w:eastAsia="bg-BG"/>
        </w:rPr>
        <w:t>субстрати:</w:t>
      </w:r>
    </w:p>
    <w:p w14:paraId="41E8B96A"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 xml:space="preserve">Вещества или лекарства, които се метаболизират от </w:t>
      </w:r>
      <w:r w:rsidRPr="009826E9">
        <w:rPr>
          <w:rFonts w:eastAsia="Times New Roman" w:cs="Arial"/>
          <w:color w:val="000000"/>
          <w:lang w:val="en-US"/>
        </w:rPr>
        <w:t xml:space="preserve">CYP3A4, </w:t>
      </w:r>
      <w:r w:rsidRPr="009826E9">
        <w:rPr>
          <w:rFonts w:eastAsia="Times New Roman" w:cs="Arial"/>
          <w:color w:val="000000"/>
          <w:lang w:eastAsia="bg-BG"/>
        </w:rPr>
        <w:t xml:space="preserve">биха могли да бъдат конкурентни на будезонид. Това би могло да доведе до увеличена плазмена концентрация на будезонид, ако конкуриращото вещество има по-силен афинитет към </w:t>
      </w:r>
      <w:r w:rsidRPr="009826E9">
        <w:rPr>
          <w:rFonts w:eastAsia="Times New Roman" w:cs="Arial"/>
          <w:color w:val="000000"/>
          <w:lang w:val="en-US"/>
        </w:rPr>
        <w:t xml:space="preserve">CYP3A4 </w:t>
      </w:r>
      <w:r w:rsidRPr="009826E9">
        <w:rPr>
          <w:rFonts w:eastAsia="Times New Roman" w:cs="Arial"/>
          <w:color w:val="000000"/>
          <w:lang w:eastAsia="bg-BG"/>
        </w:rPr>
        <w:t xml:space="preserve">или, ако будезонид се свързва по- силно с </w:t>
      </w:r>
      <w:r w:rsidRPr="009826E9">
        <w:rPr>
          <w:rFonts w:eastAsia="Times New Roman" w:cs="Arial"/>
          <w:color w:val="000000"/>
          <w:lang w:val="en-US"/>
        </w:rPr>
        <w:t xml:space="preserve">CYP3A4, </w:t>
      </w:r>
      <w:r w:rsidRPr="009826E9">
        <w:rPr>
          <w:rFonts w:eastAsia="Times New Roman" w:cs="Arial"/>
          <w:color w:val="000000"/>
          <w:lang w:eastAsia="bg-BG"/>
        </w:rPr>
        <w:t>плазмената концентрация на конкуриращото вещество би се увеличила, което би наложило необходимостта от коригиране/намаляване на дозата на това лекарство.</w:t>
      </w:r>
    </w:p>
    <w:p w14:paraId="181DDD6B" w14:textId="77777777" w:rsidR="009826E9" w:rsidRPr="009826E9" w:rsidRDefault="009826E9" w:rsidP="009826E9">
      <w:pPr>
        <w:spacing w:line="240" w:lineRule="auto"/>
        <w:rPr>
          <w:rFonts w:eastAsia="Times New Roman" w:cs="Arial"/>
          <w:lang w:eastAsia="bg-BG"/>
        </w:rPr>
      </w:pPr>
      <w:r w:rsidRPr="009826E9">
        <w:rPr>
          <w:rFonts w:eastAsia="Times New Roman" w:cs="Arial"/>
          <w:color w:val="000000"/>
          <w:lang w:eastAsia="bg-BG"/>
        </w:rPr>
        <w:t>Повишени плазмени концентрации и усилени ефекти на глюкокортикостероидите са съобщавани и при жени, приемащи естрогени или перорални контрацептиви, но това не е наблюдавано при перорален прием на ниски дози комбинирани контрацептиви.</w:t>
      </w:r>
    </w:p>
    <w:p w14:paraId="1C0F875C" w14:textId="611C5B41" w:rsidR="009826E9" w:rsidRDefault="009826E9" w:rsidP="009826E9">
      <w:pPr>
        <w:rPr>
          <w:rFonts w:eastAsia="Times New Roman" w:cs="Arial"/>
          <w:color w:val="000000"/>
          <w:lang w:eastAsia="bg-BG"/>
        </w:rPr>
      </w:pPr>
      <w:r w:rsidRPr="009826E9">
        <w:rPr>
          <w:rFonts w:eastAsia="Times New Roman" w:cs="Arial"/>
          <w:color w:val="000000"/>
          <w:lang w:eastAsia="bg-BG"/>
        </w:rPr>
        <w:t>В препоръчителната доза циметидин, в комбинация с будезонид, има малък, но незначителен ефект върху фармакокинетиката на будезонид. Омепразол не оказва въздействие върху фармакокинетиката на будезонид.</w:t>
      </w:r>
    </w:p>
    <w:p w14:paraId="17E5A901" w14:textId="60913D6A" w:rsidR="009826E9" w:rsidRDefault="009826E9" w:rsidP="009826E9">
      <w:pPr>
        <w:rPr>
          <w:rFonts w:eastAsia="Times New Roman" w:cs="Arial"/>
          <w:color w:val="000000"/>
          <w:lang w:eastAsia="bg-BG"/>
        </w:rPr>
      </w:pPr>
    </w:p>
    <w:p w14:paraId="47D1ACE9"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i/>
          <w:iCs/>
          <w:color w:val="000000"/>
          <w:szCs w:val="20"/>
          <w:lang w:eastAsia="bg-BG"/>
        </w:rPr>
        <w:t>Стероид-свързващи вещества</w:t>
      </w:r>
    </w:p>
    <w:p w14:paraId="51E3517E"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Теоретично, потенциалните взаимодействия със стероид-свързващи синтетични смоли, като холестирамин, и с антиациди не могат да бъдат изключени. Ако се прилагат по едно и също време с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тези взаимодействия биха могли да доведат до намаление на ефекта на будезонид. Ето защо, тези лекарства не трябва да се приемат едновременно, а през интервал от най-малко два часа.</w:t>
      </w:r>
    </w:p>
    <w:p w14:paraId="5CDD7C0C" w14:textId="77777777" w:rsidR="009826E9" w:rsidRPr="009826E9" w:rsidRDefault="009826E9" w:rsidP="009826E9">
      <w:pPr>
        <w:rPr>
          <w:rFonts w:eastAsia="Times New Roman" w:cs="Arial"/>
          <w:color w:val="000000"/>
          <w:szCs w:val="20"/>
          <w:lang w:eastAsia="bg-BG"/>
        </w:rPr>
      </w:pPr>
    </w:p>
    <w:p w14:paraId="3EEDF23C" w14:textId="38D19F6A" w:rsidR="009826E9" w:rsidRPr="009826E9" w:rsidRDefault="009826E9" w:rsidP="009826E9">
      <w:pPr>
        <w:rPr>
          <w:rFonts w:cs="Arial"/>
          <w:sz w:val="24"/>
        </w:rPr>
      </w:pPr>
      <w:r w:rsidRPr="009826E9">
        <w:rPr>
          <w:rFonts w:eastAsia="Times New Roman" w:cs="Arial"/>
          <w:color w:val="000000"/>
          <w:szCs w:val="20"/>
          <w:lang w:eastAsia="bg-BG"/>
        </w:rPr>
        <w:t>Тъй като функцията на надбъбречната жлеза може да бъде потисната от лечение с буденозид, стимулационен тест с АСТН за диагностициране на хипофизната недостатъчност може да покаже фалшиви резултати (ниски стойности).</w:t>
      </w:r>
    </w:p>
    <w:p w14:paraId="619DED1E" w14:textId="17E8A84F" w:rsidR="004F498A" w:rsidRPr="004A448E" w:rsidRDefault="002C50EE" w:rsidP="004A448E">
      <w:pPr>
        <w:pStyle w:val="Heading2"/>
        <w:rPr>
          <w:rFonts w:eastAsia="Times New Roman" w:cs="Arial"/>
        </w:rPr>
      </w:pPr>
      <w:r>
        <w:t xml:space="preserve"> </w:t>
      </w:r>
    </w:p>
    <w:p w14:paraId="394A7584" w14:textId="433B776B" w:rsidR="004F498A" w:rsidRDefault="002C50EE" w:rsidP="004A448E">
      <w:pPr>
        <w:pStyle w:val="Heading2"/>
      </w:pPr>
      <w:r>
        <w:t>4.6. Фертилитет, бременност и кърмене</w:t>
      </w:r>
    </w:p>
    <w:p w14:paraId="5B61111F" w14:textId="35DAB684" w:rsidR="009826E9" w:rsidRDefault="009826E9" w:rsidP="009826E9"/>
    <w:p w14:paraId="0480914E" w14:textId="77777777" w:rsidR="009826E9" w:rsidRPr="009826E9" w:rsidRDefault="009826E9" w:rsidP="009826E9">
      <w:pPr>
        <w:pStyle w:val="Heading3"/>
        <w:rPr>
          <w:rFonts w:eastAsia="Times New Roman"/>
          <w:sz w:val="28"/>
          <w:u w:val="single"/>
          <w:lang w:eastAsia="bg-BG"/>
        </w:rPr>
      </w:pPr>
      <w:r w:rsidRPr="009826E9">
        <w:rPr>
          <w:rFonts w:eastAsia="Times New Roman"/>
          <w:u w:val="single"/>
          <w:lang w:eastAsia="bg-BG"/>
        </w:rPr>
        <w:t>Бременност</w:t>
      </w:r>
    </w:p>
    <w:p w14:paraId="5353056C"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Прилагането по време на бременност трябва да се избягва, освен в случаите на неотложна необходимост от провеждане на лечение с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Има малко на брой данни върху изхода от бременността след перорално прилагане на будезонид при хора. Въпреки, че данните от прилагането на инхалиран будезонид при голям брой жени, експонирани по време на бременността, не показват нежелан ефект, трябва да се очаква, че максималната концентрация на будезонид в плазмата ще бъде по-висока при лечението с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 xml:space="preserve">в сравнение с инхалирания будезонид. Доказано е, че при бременни животни, будезонид, подобно на други глюкокортикостероиди, предизвиква </w:t>
      </w:r>
      <w:r w:rsidRPr="009826E9">
        <w:rPr>
          <w:rFonts w:eastAsia="Times New Roman" w:cs="Arial"/>
          <w:color w:val="000000"/>
          <w:szCs w:val="20"/>
          <w:lang w:eastAsia="bg-BG"/>
        </w:rPr>
        <w:lastRenderedPageBreak/>
        <w:t>аномалии в развитието на фетуса (вж. точка 5.3). Значението на тези находки за човека не е установено.</w:t>
      </w:r>
    </w:p>
    <w:p w14:paraId="3456AC16" w14:textId="77777777" w:rsidR="009826E9" w:rsidRPr="009826E9" w:rsidRDefault="009826E9" w:rsidP="009826E9">
      <w:pPr>
        <w:spacing w:line="240" w:lineRule="auto"/>
        <w:rPr>
          <w:rFonts w:eastAsia="Times New Roman" w:cs="Arial"/>
          <w:color w:val="000000"/>
          <w:szCs w:val="20"/>
          <w:u w:val="single"/>
          <w:lang w:eastAsia="bg-BG"/>
        </w:rPr>
      </w:pPr>
    </w:p>
    <w:p w14:paraId="3303E0E5" w14:textId="42438BCA" w:rsidR="009826E9" w:rsidRPr="009826E9" w:rsidRDefault="009826E9" w:rsidP="009826E9">
      <w:pPr>
        <w:pStyle w:val="Heading3"/>
        <w:rPr>
          <w:rFonts w:eastAsia="Times New Roman"/>
          <w:sz w:val="28"/>
          <w:u w:val="single"/>
          <w:lang w:eastAsia="bg-BG"/>
        </w:rPr>
      </w:pPr>
      <w:r w:rsidRPr="009826E9">
        <w:rPr>
          <w:rFonts w:eastAsia="Times New Roman"/>
          <w:u w:val="single"/>
          <w:lang w:eastAsia="bg-BG"/>
        </w:rPr>
        <w:t>Кър</w:t>
      </w:r>
      <w:bookmarkStart w:id="2" w:name="_GoBack"/>
      <w:bookmarkEnd w:id="2"/>
      <w:r w:rsidRPr="009826E9">
        <w:rPr>
          <w:rFonts w:eastAsia="Times New Roman"/>
          <w:u w:val="single"/>
          <w:lang w:eastAsia="bg-BG"/>
        </w:rPr>
        <w:t>мене</w:t>
      </w:r>
    </w:p>
    <w:p w14:paraId="36D770CE"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 xml:space="preserve">Будезонид се екскретира в майчината кърма (има налични данни за екскреция след прилагане чрез инхалация). След прием на Буденофалк 3 </w:t>
      </w:r>
      <w:r w:rsidRPr="009826E9">
        <w:rPr>
          <w:rFonts w:eastAsia="Times New Roman" w:cs="Arial"/>
          <w:color w:val="000000"/>
          <w:szCs w:val="20"/>
          <w:lang w:val="en-US"/>
        </w:rPr>
        <w:t xml:space="preserve">mg </w:t>
      </w:r>
      <w:r w:rsidRPr="009826E9">
        <w:rPr>
          <w:rFonts w:eastAsia="Times New Roman" w:cs="Arial"/>
          <w:color w:val="000000"/>
          <w:szCs w:val="20"/>
          <w:lang w:eastAsia="bg-BG"/>
        </w:rPr>
        <w:t>стомашно-устойчиви гранули в рамките на терапевтичния обхват, обаче, се очакват само незначителни ефекти при кърмачето. Имайки предвид ползата от кърменето за детето и ползата от лечението за жената, трябва да се вземе решение дали да се преустанови кърменето или да се преустанови/откаже лечението с будезонид.</w:t>
      </w:r>
    </w:p>
    <w:p w14:paraId="3B106267" w14:textId="77777777" w:rsidR="009826E9" w:rsidRPr="009826E9" w:rsidRDefault="009826E9" w:rsidP="009826E9">
      <w:pPr>
        <w:spacing w:line="240" w:lineRule="auto"/>
        <w:rPr>
          <w:rFonts w:eastAsia="Times New Roman" w:cs="Arial"/>
          <w:color w:val="000000"/>
          <w:szCs w:val="20"/>
          <w:u w:val="single"/>
          <w:lang w:eastAsia="bg-BG"/>
        </w:rPr>
      </w:pPr>
    </w:p>
    <w:p w14:paraId="020F70D9" w14:textId="7C148A73" w:rsidR="009826E9" w:rsidRPr="009826E9" w:rsidRDefault="009826E9" w:rsidP="009826E9">
      <w:pPr>
        <w:pStyle w:val="Heading3"/>
        <w:rPr>
          <w:rFonts w:eastAsia="Times New Roman"/>
          <w:sz w:val="28"/>
          <w:u w:val="single"/>
          <w:lang w:eastAsia="bg-BG"/>
        </w:rPr>
      </w:pPr>
      <w:r w:rsidRPr="009826E9">
        <w:rPr>
          <w:rFonts w:eastAsia="Times New Roman"/>
          <w:u w:val="single"/>
          <w:lang w:eastAsia="bg-BG"/>
        </w:rPr>
        <w:t>Фертилитет</w:t>
      </w:r>
    </w:p>
    <w:p w14:paraId="2298C125" w14:textId="7E9BD05F" w:rsidR="009826E9" w:rsidRPr="009826E9" w:rsidRDefault="009826E9" w:rsidP="009826E9">
      <w:pPr>
        <w:rPr>
          <w:rFonts w:eastAsia="Times New Roman" w:cs="Arial"/>
          <w:color w:val="000000"/>
          <w:szCs w:val="20"/>
          <w:lang w:eastAsia="bg-BG"/>
        </w:rPr>
      </w:pPr>
      <w:r w:rsidRPr="009826E9">
        <w:rPr>
          <w:rFonts w:eastAsia="Times New Roman" w:cs="Arial"/>
          <w:color w:val="000000"/>
          <w:szCs w:val="20"/>
          <w:lang w:eastAsia="bg-BG"/>
        </w:rPr>
        <w:t>Няма данни за въздействието на будезонид върху фертилитета при хора. Фертилитетът не е повлиян след лечение с будезонид в проучвания при животни (вж. точка 5.3).</w:t>
      </w:r>
    </w:p>
    <w:p w14:paraId="3A95CD3D" w14:textId="77777777" w:rsidR="009826E9" w:rsidRPr="009826E9" w:rsidRDefault="009826E9" w:rsidP="009826E9"/>
    <w:p w14:paraId="064DF1DE" w14:textId="7AA954F4" w:rsidR="00CF77F7" w:rsidRDefault="002C50EE" w:rsidP="004A448E">
      <w:pPr>
        <w:pStyle w:val="Heading2"/>
      </w:pPr>
      <w:r>
        <w:t>4.7. Ефекти върху способността за шофиране и работа с машини</w:t>
      </w:r>
    </w:p>
    <w:p w14:paraId="4D2CFEE3" w14:textId="523B3A2F" w:rsidR="009826E9" w:rsidRDefault="009826E9" w:rsidP="009826E9"/>
    <w:p w14:paraId="4533F03F" w14:textId="7E64F476" w:rsidR="009826E9" w:rsidRPr="009826E9" w:rsidRDefault="009826E9" w:rsidP="009826E9">
      <w:pPr>
        <w:rPr>
          <w:szCs w:val="20"/>
        </w:rPr>
      </w:pPr>
      <w:r w:rsidRPr="009826E9">
        <w:rPr>
          <w:szCs w:val="20"/>
        </w:rPr>
        <w:t>Не са провеждани проучвания за ефектите върху способността за шофиране и работа с машини.</w:t>
      </w:r>
    </w:p>
    <w:p w14:paraId="02034656" w14:textId="77777777" w:rsidR="009826E9" w:rsidRPr="009826E9" w:rsidRDefault="009826E9" w:rsidP="009826E9"/>
    <w:p w14:paraId="37A3FD9F" w14:textId="52AE0145" w:rsidR="00CF77F7" w:rsidRDefault="002C50EE" w:rsidP="004A448E">
      <w:pPr>
        <w:pStyle w:val="Heading2"/>
      </w:pPr>
      <w:r>
        <w:t>4.8. Нежелани лекарствени реакции</w:t>
      </w:r>
    </w:p>
    <w:p w14:paraId="78739E77" w14:textId="06932961" w:rsidR="009826E9" w:rsidRDefault="009826E9" w:rsidP="009826E9"/>
    <w:p w14:paraId="600EBE25" w14:textId="77777777"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При оценяване на нежеланите лекарствени реакции са използвани следните конвенции за честотата:</w:t>
      </w:r>
    </w:p>
    <w:p w14:paraId="6506ED9E" w14:textId="77777777" w:rsidR="00CD606E" w:rsidRPr="00CD606E" w:rsidRDefault="00CD606E" w:rsidP="009826E9">
      <w:pPr>
        <w:spacing w:line="240" w:lineRule="auto"/>
        <w:rPr>
          <w:rFonts w:eastAsia="Times New Roman" w:cs="Arial"/>
          <w:color w:val="000000"/>
          <w:szCs w:val="20"/>
          <w:lang w:eastAsia="bg-BG"/>
        </w:rPr>
      </w:pPr>
    </w:p>
    <w:p w14:paraId="30A17745" w14:textId="35CF1936" w:rsidR="009826E9" w:rsidRPr="009826E9" w:rsidRDefault="009826E9" w:rsidP="009826E9">
      <w:pPr>
        <w:spacing w:line="240" w:lineRule="auto"/>
        <w:rPr>
          <w:rFonts w:eastAsia="Times New Roman" w:cs="Arial"/>
          <w:sz w:val="28"/>
          <w:szCs w:val="24"/>
          <w:lang w:eastAsia="bg-BG"/>
        </w:rPr>
      </w:pPr>
      <w:r w:rsidRPr="009826E9">
        <w:rPr>
          <w:rFonts w:eastAsia="Times New Roman" w:cs="Arial"/>
          <w:color w:val="000000"/>
          <w:szCs w:val="20"/>
          <w:lang w:eastAsia="bg-BG"/>
        </w:rPr>
        <w:t>много чести: (≥ 1/10)</w:t>
      </w:r>
    </w:p>
    <w:p w14:paraId="3D154602" w14:textId="77777777" w:rsidR="00CD606E" w:rsidRPr="00CD606E" w:rsidRDefault="009826E9" w:rsidP="009826E9">
      <w:pPr>
        <w:rPr>
          <w:rFonts w:eastAsia="Times New Roman" w:cs="Arial"/>
          <w:color w:val="000000"/>
          <w:szCs w:val="20"/>
          <w:lang w:eastAsia="bg-BG"/>
        </w:rPr>
      </w:pPr>
      <w:r w:rsidRPr="00CD606E">
        <w:rPr>
          <w:rFonts w:eastAsia="Times New Roman" w:cs="Arial"/>
          <w:color w:val="000000"/>
          <w:szCs w:val="20"/>
          <w:lang w:eastAsia="bg-BG"/>
        </w:rPr>
        <w:t xml:space="preserve">чести: (≥ 1/100 до &lt; 1/10) </w:t>
      </w:r>
    </w:p>
    <w:p w14:paraId="481A42E6" w14:textId="77777777" w:rsidR="00CD606E" w:rsidRPr="00CD606E" w:rsidRDefault="009826E9" w:rsidP="009826E9">
      <w:pPr>
        <w:rPr>
          <w:rFonts w:eastAsia="Times New Roman" w:cs="Arial"/>
          <w:color w:val="000000"/>
          <w:szCs w:val="20"/>
          <w:lang w:eastAsia="bg-BG"/>
        </w:rPr>
      </w:pPr>
      <w:r w:rsidRPr="00CD606E">
        <w:rPr>
          <w:rFonts w:eastAsia="Times New Roman" w:cs="Arial"/>
          <w:color w:val="000000"/>
          <w:szCs w:val="20"/>
          <w:lang w:eastAsia="bg-BG"/>
        </w:rPr>
        <w:t>нечести: (≥ 1/1 000 до &lt; 1/100)</w:t>
      </w:r>
    </w:p>
    <w:p w14:paraId="2680C9EC" w14:textId="77777777" w:rsidR="00CD606E" w:rsidRPr="00CD606E" w:rsidRDefault="009826E9" w:rsidP="009826E9">
      <w:pPr>
        <w:rPr>
          <w:rFonts w:eastAsia="Times New Roman" w:cs="Arial"/>
          <w:color w:val="000000"/>
          <w:szCs w:val="20"/>
          <w:lang w:eastAsia="bg-BG"/>
        </w:rPr>
      </w:pPr>
      <w:r w:rsidRPr="00CD606E">
        <w:rPr>
          <w:rFonts w:eastAsia="Times New Roman" w:cs="Arial"/>
          <w:color w:val="000000"/>
          <w:szCs w:val="20"/>
          <w:lang w:eastAsia="bg-BG"/>
        </w:rPr>
        <w:t xml:space="preserve">редки: (≥ 1/10 000 до &lt; 1/1 000) </w:t>
      </w:r>
    </w:p>
    <w:p w14:paraId="56A72250" w14:textId="1F8B7FEB" w:rsidR="009826E9" w:rsidRDefault="009826E9" w:rsidP="009826E9">
      <w:pPr>
        <w:rPr>
          <w:rFonts w:eastAsia="Times New Roman" w:cs="Arial"/>
          <w:color w:val="000000"/>
          <w:szCs w:val="20"/>
          <w:lang w:eastAsia="bg-BG"/>
        </w:rPr>
      </w:pPr>
      <w:r w:rsidRPr="00CD606E">
        <w:rPr>
          <w:rFonts w:eastAsia="Times New Roman" w:cs="Arial"/>
          <w:color w:val="000000"/>
          <w:szCs w:val="20"/>
          <w:lang w:eastAsia="bg-BG"/>
        </w:rPr>
        <w:t>много редки: (&lt;1/10 000),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3166"/>
        <w:gridCol w:w="3167"/>
        <w:gridCol w:w="3167"/>
      </w:tblGrid>
      <w:tr w:rsidR="00CD606E" w14:paraId="00611B5D" w14:textId="77777777" w:rsidTr="00EA52CB">
        <w:tc>
          <w:tcPr>
            <w:tcW w:w="3166" w:type="dxa"/>
          </w:tcPr>
          <w:p w14:paraId="12BC207B" w14:textId="7354833F" w:rsidR="00CD606E" w:rsidRPr="00CD606E" w:rsidRDefault="00CD606E" w:rsidP="00CD606E">
            <w:r w:rsidRPr="00CD606E">
              <w:rPr>
                <w:b/>
                <w:bCs/>
              </w:rPr>
              <w:t>Системо-органен клас</w:t>
            </w:r>
          </w:p>
        </w:tc>
        <w:tc>
          <w:tcPr>
            <w:tcW w:w="3167" w:type="dxa"/>
            <w:vAlign w:val="bottom"/>
          </w:tcPr>
          <w:p w14:paraId="5636BBCA" w14:textId="0C3BEDF1" w:rsidR="00CD606E" w:rsidRPr="00CD606E" w:rsidRDefault="00CD606E" w:rsidP="00CD606E">
            <w:r w:rsidRPr="00CD606E">
              <w:rPr>
                <w:b/>
                <w:bCs/>
              </w:rPr>
              <w:t xml:space="preserve">Честота по </w:t>
            </w:r>
            <w:proofErr w:type="spellStart"/>
            <w:r w:rsidRPr="00CD606E">
              <w:rPr>
                <w:b/>
                <w:bCs/>
                <w:lang w:val="en-US"/>
              </w:rPr>
              <w:t>MedDRA</w:t>
            </w:r>
            <w:proofErr w:type="spellEnd"/>
            <w:r w:rsidRPr="00CD606E">
              <w:rPr>
                <w:b/>
                <w:bCs/>
                <w:lang w:val="en-US"/>
              </w:rPr>
              <w:t xml:space="preserve"> </w:t>
            </w:r>
            <w:r w:rsidRPr="00CD606E">
              <w:rPr>
                <w:b/>
                <w:bCs/>
              </w:rPr>
              <w:t>конвенцията</w:t>
            </w:r>
          </w:p>
        </w:tc>
        <w:tc>
          <w:tcPr>
            <w:tcW w:w="3167" w:type="dxa"/>
          </w:tcPr>
          <w:p w14:paraId="0CCF1B90" w14:textId="7223F94F" w:rsidR="00CD606E" w:rsidRPr="00CD606E" w:rsidRDefault="00CD606E" w:rsidP="00CD606E">
            <w:r w:rsidRPr="00CD606E">
              <w:rPr>
                <w:b/>
                <w:bCs/>
              </w:rPr>
              <w:t>Нежелана реакция</w:t>
            </w:r>
          </w:p>
        </w:tc>
      </w:tr>
      <w:tr w:rsidR="004F4AEA" w14:paraId="447E684A" w14:textId="77777777" w:rsidTr="00CD606E">
        <w:tc>
          <w:tcPr>
            <w:tcW w:w="3166" w:type="dxa"/>
            <w:vMerge w:val="restart"/>
          </w:tcPr>
          <w:p w14:paraId="28636D2B" w14:textId="1753A5C1" w:rsidR="004F4AEA" w:rsidRPr="004F4AEA" w:rsidRDefault="004F4AEA" w:rsidP="009826E9">
            <w:pPr>
              <w:rPr>
                <w:rFonts w:eastAsia="Times New Roman" w:cs="Arial"/>
                <w:i/>
                <w:color w:val="000000"/>
                <w:szCs w:val="20"/>
                <w:u w:val="single"/>
                <w:lang w:eastAsia="bg-BG"/>
              </w:rPr>
            </w:pPr>
            <w:r w:rsidRPr="004F4AEA">
              <w:rPr>
                <w:rFonts w:eastAsia="Times New Roman" w:cs="Arial"/>
                <w:i/>
                <w:color w:val="000000"/>
                <w:szCs w:val="20"/>
                <w:u w:val="single"/>
                <w:lang w:eastAsia="bg-BG"/>
              </w:rPr>
              <w:t>Нарушения на метаболизма и храненето</w:t>
            </w:r>
          </w:p>
        </w:tc>
        <w:tc>
          <w:tcPr>
            <w:tcW w:w="3167" w:type="dxa"/>
          </w:tcPr>
          <w:p w14:paraId="70617CDD" w14:textId="77777777" w:rsidR="004F4AEA" w:rsidRPr="004F4AEA" w:rsidRDefault="004F4AEA" w:rsidP="004F4AEA">
            <w:pPr>
              <w:spacing w:line="240" w:lineRule="auto"/>
              <w:rPr>
                <w:rFonts w:eastAsia="Times New Roman" w:cs="Arial"/>
                <w:szCs w:val="24"/>
                <w:lang w:eastAsia="bg-BG"/>
              </w:rPr>
            </w:pPr>
            <w:r w:rsidRPr="004F4AEA">
              <w:rPr>
                <w:rFonts w:eastAsia="Times New Roman" w:cs="Arial"/>
                <w:color w:val="000000"/>
                <w:szCs w:val="20"/>
                <w:lang w:eastAsia="bg-BG"/>
              </w:rPr>
              <w:t>Чести</w:t>
            </w:r>
          </w:p>
          <w:p w14:paraId="095FCED0" w14:textId="77777777" w:rsidR="004F4AEA" w:rsidRPr="004F4AEA" w:rsidRDefault="004F4AEA" w:rsidP="009826E9">
            <w:pPr>
              <w:rPr>
                <w:rFonts w:eastAsia="Times New Roman" w:cs="Arial"/>
                <w:color w:val="000000"/>
                <w:szCs w:val="20"/>
                <w:lang w:eastAsia="bg-BG"/>
              </w:rPr>
            </w:pPr>
          </w:p>
        </w:tc>
        <w:tc>
          <w:tcPr>
            <w:tcW w:w="3167" w:type="dxa"/>
          </w:tcPr>
          <w:p w14:paraId="68F253D9" w14:textId="77777777" w:rsidR="004F4AEA" w:rsidRPr="004F4AEA" w:rsidRDefault="004F4AEA" w:rsidP="004F4AEA">
            <w:pPr>
              <w:spacing w:line="240" w:lineRule="auto"/>
              <w:rPr>
                <w:rFonts w:eastAsia="Times New Roman" w:cs="Arial"/>
                <w:szCs w:val="24"/>
                <w:lang w:eastAsia="bg-BG"/>
              </w:rPr>
            </w:pPr>
            <w:r w:rsidRPr="004F4AEA">
              <w:rPr>
                <w:rFonts w:eastAsia="Times New Roman" w:cs="Arial"/>
                <w:color w:val="000000"/>
                <w:szCs w:val="20"/>
                <w:lang w:eastAsia="bg-BG"/>
              </w:rPr>
              <w:t xml:space="preserve">Синдром на Кушинг: напр. лунообразно лице, затлъстяване на торса, намален глюкозен толеранс, захарен диабет, хипертония, задръжка на натрий с образуване на отоци, увеличена екскреция на калий, липса на активност или атрофия на надбъбречната кора, червени стрии, стероидно акне, нарушена секреция на половите хормони (напр. аменорея, хирсутизъм, </w:t>
            </w:r>
            <w:r w:rsidRPr="004F4AEA">
              <w:rPr>
                <w:rFonts w:eastAsia="Times New Roman" w:cs="Arial"/>
                <w:color w:val="000000"/>
                <w:szCs w:val="20"/>
                <w:lang w:eastAsia="bg-BG"/>
              </w:rPr>
              <w:lastRenderedPageBreak/>
              <w:t>импотентност)</w:t>
            </w:r>
          </w:p>
          <w:p w14:paraId="3B8DA84D" w14:textId="77777777" w:rsidR="004F4AEA" w:rsidRPr="004F4AEA" w:rsidRDefault="004F4AEA" w:rsidP="009826E9">
            <w:pPr>
              <w:rPr>
                <w:rFonts w:eastAsia="Times New Roman" w:cs="Arial"/>
                <w:color w:val="000000"/>
                <w:szCs w:val="20"/>
                <w:lang w:eastAsia="bg-BG"/>
              </w:rPr>
            </w:pPr>
          </w:p>
        </w:tc>
      </w:tr>
      <w:tr w:rsidR="004F4AEA" w14:paraId="1363792C" w14:textId="77777777" w:rsidTr="00CD606E">
        <w:tc>
          <w:tcPr>
            <w:tcW w:w="3166" w:type="dxa"/>
            <w:vMerge/>
          </w:tcPr>
          <w:p w14:paraId="4073C250" w14:textId="77777777" w:rsidR="004F4AEA" w:rsidRDefault="004F4AEA" w:rsidP="009826E9">
            <w:pPr>
              <w:rPr>
                <w:rFonts w:eastAsia="Times New Roman" w:cs="Arial"/>
                <w:color w:val="000000"/>
                <w:szCs w:val="20"/>
                <w:lang w:eastAsia="bg-BG"/>
              </w:rPr>
            </w:pPr>
          </w:p>
        </w:tc>
        <w:tc>
          <w:tcPr>
            <w:tcW w:w="3167" w:type="dxa"/>
          </w:tcPr>
          <w:p w14:paraId="33F25254" w14:textId="06A512D0" w:rsidR="004F4AEA" w:rsidRPr="004F4AEA" w:rsidRDefault="004F4AEA" w:rsidP="009826E9">
            <w:pPr>
              <w:rPr>
                <w:rFonts w:eastAsia="Times New Roman" w:cs="Arial"/>
                <w:color w:val="000000"/>
                <w:szCs w:val="20"/>
                <w:lang w:eastAsia="bg-BG"/>
              </w:rPr>
            </w:pPr>
            <w:r w:rsidRPr="004F4AEA">
              <w:rPr>
                <w:rFonts w:cs="Arial"/>
                <w:szCs w:val="20"/>
              </w:rPr>
              <w:t>Много редки</w:t>
            </w:r>
          </w:p>
        </w:tc>
        <w:tc>
          <w:tcPr>
            <w:tcW w:w="3167" w:type="dxa"/>
          </w:tcPr>
          <w:p w14:paraId="724D1D21" w14:textId="7A5C68E6" w:rsidR="004F4AEA" w:rsidRPr="004F4AEA" w:rsidRDefault="004F4AEA" w:rsidP="009826E9">
            <w:pPr>
              <w:rPr>
                <w:rFonts w:eastAsia="Times New Roman" w:cs="Arial"/>
                <w:color w:val="000000"/>
                <w:szCs w:val="20"/>
                <w:lang w:eastAsia="bg-BG"/>
              </w:rPr>
            </w:pPr>
            <w:r w:rsidRPr="004F4AEA">
              <w:rPr>
                <w:rFonts w:cs="Arial"/>
                <w:szCs w:val="20"/>
              </w:rPr>
              <w:t>Забавяне на растежа при деца</w:t>
            </w:r>
          </w:p>
        </w:tc>
      </w:tr>
      <w:tr w:rsidR="004F4AEA" w14:paraId="5EC5E1BD" w14:textId="77777777" w:rsidTr="00CF24B0">
        <w:tc>
          <w:tcPr>
            <w:tcW w:w="3166" w:type="dxa"/>
          </w:tcPr>
          <w:p w14:paraId="6A2C3BF6" w14:textId="2A93AC7E" w:rsidR="004F4AEA" w:rsidRPr="004F4AEA" w:rsidRDefault="004F4AEA" w:rsidP="004F4AEA">
            <w:pPr>
              <w:rPr>
                <w:rFonts w:eastAsia="Times New Roman" w:cs="Arial"/>
                <w:color w:val="000000"/>
                <w:szCs w:val="20"/>
                <w:lang w:eastAsia="bg-BG"/>
              </w:rPr>
            </w:pPr>
            <w:r w:rsidRPr="004F4AEA">
              <w:rPr>
                <w:i/>
                <w:iCs/>
                <w:szCs w:val="20"/>
                <w:u w:val="single"/>
              </w:rPr>
              <w:t>Нарушения на очите</w:t>
            </w:r>
          </w:p>
        </w:tc>
        <w:tc>
          <w:tcPr>
            <w:tcW w:w="3167" w:type="dxa"/>
          </w:tcPr>
          <w:p w14:paraId="3E05484D" w14:textId="7E4D1897" w:rsidR="004F4AEA" w:rsidRPr="004F4AEA" w:rsidRDefault="004F4AEA" w:rsidP="004F4AEA">
            <w:pPr>
              <w:rPr>
                <w:rFonts w:eastAsia="Times New Roman" w:cs="Arial"/>
                <w:color w:val="000000"/>
                <w:szCs w:val="20"/>
                <w:lang w:eastAsia="bg-BG"/>
              </w:rPr>
            </w:pPr>
            <w:r w:rsidRPr="004F4AEA">
              <w:rPr>
                <w:szCs w:val="20"/>
              </w:rPr>
              <w:t>Редки</w:t>
            </w:r>
          </w:p>
        </w:tc>
        <w:tc>
          <w:tcPr>
            <w:tcW w:w="3167" w:type="dxa"/>
            <w:vAlign w:val="bottom"/>
          </w:tcPr>
          <w:p w14:paraId="6BB37615" w14:textId="6EB5493F" w:rsidR="004F4AEA" w:rsidRPr="004F4AEA" w:rsidRDefault="004F4AEA" w:rsidP="004F4AEA">
            <w:pPr>
              <w:rPr>
                <w:rFonts w:eastAsia="Times New Roman" w:cs="Arial"/>
                <w:color w:val="000000"/>
                <w:szCs w:val="20"/>
                <w:lang w:eastAsia="bg-BG"/>
              </w:rPr>
            </w:pPr>
            <w:r w:rsidRPr="004F4AEA">
              <w:rPr>
                <w:szCs w:val="20"/>
              </w:rPr>
              <w:t>Глаукома, катаракта, замъглено зрение (вж. също точка 4.4)</w:t>
            </w:r>
          </w:p>
        </w:tc>
      </w:tr>
      <w:tr w:rsidR="004F4AEA" w14:paraId="40C959C6" w14:textId="77777777" w:rsidTr="008518C8">
        <w:tc>
          <w:tcPr>
            <w:tcW w:w="3166" w:type="dxa"/>
            <w:vMerge w:val="restart"/>
          </w:tcPr>
          <w:p w14:paraId="6871EEE4" w14:textId="5539E825" w:rsidR="004F4AEA" w:rsidRPr="004F4AEA" w:rsidRDefault="004F4AEA" w:rsidP="004F4AEA">
            <w:pPr>
              <w:rPr>
                <w:rFonts w:eastAsia="Times New Roman" w:cs="Arial"/>
                <w:color w:val="000000"/>
                <w:szCs w:val="20"/>
                <w:lang w:eastAsia="bg-BG"/>
              </w:rPr>
            </w:pPr>
            <w:r w:rsidRPr="004F4AEA">
              <w:rPr>
                <w:i/>
                <w:iCs/>
                <w:szCs w:val="20"/>
                <w:u w:val="single"/>
              </w:rPr>
              <w:t>Стомашно-чревни нарушения</w:t>
            </w:r>
          </w:p>
        </w:tc>
        <w:tc>
          <w:tcPr>
            <w:tcW w:w="3167" w:type="dxa"/>
          </w:tcPr>
          <w:p w14:paraId="75E69BDB" w14:textId="298BC5EF"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vAlign w:val="bottom"/>
          </w:tcPr>
          <w:p w14:paraId="2AF62A81" w14:textId="72352A47" w:rsidR="004F4AEA" w:rsidRPr="004F4AEA" w:rsidRDefault="004F4AEA" w:rsidP="004F4AEA">
            <w:pPr>
              <w:rPr>
                <w:rFonts w:eastAsia="Times New Roman" w:cs="Arial"/>
                <w:color w:val="000000"/>
                <w:szCs w:val="20"/>
                <w:lang w:eastAsia="bg-BG"/>
              </w:rPr>
            </w:pPr>
            <w:r w:rsidRPr="004F4AEA">
              <w:rPr>
                <w:szCs w:val="20"/>
              </w:rPr>
              <w:t>Диспепсия, абдоминална болка</w:t>
            </w:r>
          </w:p>
        </w:tc>
      </w:tr>
      <w:tr w:rsidR="004F4AEA" w14:paraId="75604EBC" w14:textId="77777777" w:rsidTr="00CD606E">
        <w:tc>
          <w:tcPr>
            <w:tcW w:w="3166" w:type="dxa"/>
            <w:vMerge/>
          </w:tcPr>
          <w:p w14:paraId="0785E2A4" w14:textId="77777777" w:rsidR="004F4AEA" w:rsidRPr="004F4AEA" w:rsidRDefault="004F4AEA" w:rsidP="004F4AEA">
            <w:pPr>
              <w:rPr>
                <w:rFonts w:eastAsia="Times New Roman" w:cs="Arial"/>
                <w:color w:val="000000"/>
                <w:szCs w:val="20"/>
                <w:lang w:eastAsia="bg-BG"/>
              </w:rPr>
            </w:pPr>
          </w:p>
        </w:tc>
        <w:tc>
          <w:tcPr>
            <w:tcW w:w="3167" w:type="dxa"/>
          </w:tcPr>
          <w:p w14:paraId="36545BA9" w14:textId="7CA3D86E" w:rsidR="004F4AEA" w:rsidRPr="004F4AEA" w:rsidRDefault="004F4AEA" w:rsidP="004F4AEA">
            <w:pPr>
              <w:rPr>
                <w:rFonts w:eastAsia="Times New Roman" w:cs="Arial"/>
                <w:color w:val="000000"/>
                <w:szCs w:val="20"/>
                <w:lang w:eastAsia="bg-BG"/>
              </w:rPr>
            </w:pPr>
            <w:r w:rsidRPr="004F4AEA">
              <w:rPr>
                <w:szCs w:val="20"/>
              </w:rPr>
              <w:t>Нечести</w:t>
            </w:r>
          </w:p>
        </w:tc>
        <w:tc>
          <w:tcPr>
            <w:tcW w:w="3167" w:type="dxa"/>
          </w:tcPr>
          <w:p w14:paraId="5D4D3111" w14:textId="34B2F0DE" w:rsidR="004F4AEA" w:rsidRPr="004F4AEA" w:rsidRDefault="004F4AEA" w:rsidP="004F4AEA">
            <w:pPr>
              <w:rPr>
                <w:rFonts w:eastAsia="Times New Roman" w:cs="Arial"/>
                <w:color w:val="000000"/>
                <w:szCs w:val="20"/>
                <w:lang w:eastAsia="bg-BG"/>
              </w:rPr>
            </w:pPr>
            <w:r w:rsidRPr="004F4AEA">
              <w:rPr>
                <w:szCs w:val="20"/>
              </w:rPr>
              <w:t>Дуоденална или стомашна язва</w:t>
            </w:r>
          </w:p>
        </w:tc>
      </w:tr>
      <w:tr w:rsidR="004F4AEA" w14:paraId="7F5BD77D" w14:textId="77777777" w:rsidTr="00CD606E">
        <w:tc>
          <w:tcPr>
            <w:tcW w:w="3166" w:type="dxa"/>
            <w:vMerge/>
          </w:tcPr>
          <w:p w14:paraId="0AB98247" w14:textId="77777777" w:rsidR="004F4AEA" w:rsidRPr="004F4AEA" w:rsidRDefault="004F4AEA" w:rsidP="004F4AEA">
            <w:pPr>
              <w:rPr>
                <w:rFonts w:eastAsia="Times New Roman" w:cs="Arial"/>
                <w:color w:val="000000"/>
                <w:szCs w:val="20"/>
                <w:lang w:eastAsia="bg-BG"/>
              </w:rPr>
            </w:pPr>
          </w:p>
        </w:tc>
        <w:tc>
          <w:tcPr>
            <w:tcW w:w="3167" w:type="dxa"/>
          </w:tcPr>
          <w:p w14:paraId="09C79A90" w14:textId="4FCF46B2" w:rsidR="004F4AEA" w:rsidRPr="004F4AEA" w:rsidRDefault="004F4AEA" w:rsidP="004F4AEA">
            <w:pPr>
              <w:rPr>
                <w:rFonts w:eastAsia="Times New Roman" w:cs="Arial"/>
                <w:color w:val="000000"/>
                <w:szCs w:val="20"/>
                <w:lang w:eastAsia="bg-BG"/>
              </w:rPr>
            </w:pPr>
            <w:r w:rsidRPr="004F4AEA">
              <w:rPr>
                <w:szCs w:val="20"/>
              </w:rPr>
              <w:t>Редки</w:t>
            </w:r>
          </w:p>
        </w:tc>
        <w:tc>
          <w:tcPr>
            <w:tcW w:w="3167" w:type="dxa"/>
          </w:tcPr>
          <w:p w14:paraId="498145B4" w14:textId="5DD7F088" w:rsidR="004F4AEA" w:rsidRPr="004F4AEA" w:rsidRDefault="004F4AEA" w:rsidP="004F4AEA">
            <w:pPr>
              <w:rPr>
                <w:rFonts w:eastAsia="Times New Roman" w:cs="Arial"/>
                <w:color w:val="000000"/>
                <w:szCs w:val="20"/>
                <w:lang w:eastAsia="bg-BG"/>
              </w:rPr>
            </w:pPr>
            <w:r w:rsidRPr="004F4AEA">
              <w:rPr>
                <w:szCs w:val="20"/>
              </w:rPr>
              <w:t>Панкреатит</w:t>
            </w:r>
          </w:p>
        </w:tc>
      </w:tr>
      <w:tr w:rsidR="004F4AEA" w14:paraId="593E6699" w14:textId="77777777" w:rsidTr="00CD606E">
        <w:tc>
          <w:tcPr>
            <w:tcW w:w="3166" w:type="dxa"/>
            <w:vMerge/>
          </w:tcPr>
          <w:p w14:paraId="0166D318" w14:textId="77777777" w:rsidR="004F4AEA" w:rsidRPr="004F4AEA" w:rsidRDefault="004F4AEA" w:rsidP="004F4AEA">
            <w:pPr>
              <w:rPr>
                <w:rFonts w:eastAsia="Times New Roman" w:cs="Arial"/>
                <w:color w:val="000000"/>
                <w:szCs w:val="20"/>
                <w:lang w:eastAsia="bg-BG"/>
              </w:rPr>
            </w:pPr>
          </w:p>
        </w:tc>
        <w:tc>
          <w:tcPr>
            <w:tcW w:w="3167" w:type="dxa"/>
          </w:tcPr>
          <w:p w14:paraId="60BCFCC9" w14:textId="40337164" w:rsidR="004F4AEA" w:rsidRPr="004F4AEA" w:rsidRDefault="004F4AEA" w:rsidP="004F4AEA">
            <w:pPr>
              <w:rPr>
                <w:rFonts w:eastAsia="Times New Roman" w:cs="Arial"/>
                <w:color w:val="000000"/>
                <w:szCs w:val="20"/>
                <w:lang w:eastAsia="bg-BG"/>
              </w:rPr>
            </w:pPr>
            <w:r w:rsidRPr="004F4AEA">
              <w:rPr>
                <w:szCs w:val="20"/>
              </w:rPr>
              <w:t>Много редки</w:t>
            </w:r>
          </w:p>
        </w:tc>
        <w:tc>
          <w:tcPr>
            <w:tcW w:w="3167" w:type="dxa"/>
          </w:tcPr>
          <w:p w14:paraId="4D3A8648" w14:textId="1091D6F5" w:rsidR="004F4AEA" w:rsidRPr="004F4AEA" w:rsidRDefault="004F4AEA" w:rsidP="004F4AEA">
            <w:pPr>
              <w:rPr>
                <w:rFonts w:eastAsia="Times New Roman" w:cs="Arial"/>
                <w:color w:val="000000"/>
                <w:szCs w:val="20"/>
                <w:lang w:eastAsia="bg-BG"/>
              </w:rPr>
            </w:pPr>
            <w:r w:rsidRPr="004F4AEA">
              <w:rPr>
                <w:szCs w:val="20"/>
              </w:rPr>
              <w:t>Запек</w:t>
            </w:r>
          </w:p>
        </w:tc>
      </w:tr>
      <w:tr w:rsidR="004F4AEA" w14:paraId="555A335B" w14:textId="77777777" w:rsidTr="00CD606E">
        <w:tc>
          <w:tcPr>
            <w:tcW w:w="3166" w:type="dxa"/>
          </w:tcPr>
          <w:p w14:paraId="49F2F1BE" w14:textId="636AB410" w:rsidR="004F4AEA" w:rsidRPr="004F4AEA" w:rsidRDefault="004F4AEA" w:rsidP="004F4AEA">
            <w:pPr>
              <w:rPr>
                <w:rFonts w:eastAsia="Times New Roman" w:cs="Arial"/>
                <w:color w:val="000000"/>
                <w:szCs w:val="20"/>
                <w:lang w:eastAsia="bg-BG"/>
              </w:rPr>
            </w:pPr>
            <w:r w:rsidRPr="004F4AEA">
              <w:rPr>
                <w:i/>
                <w:iCs/>
                <w:szCs w:val="20"/>
                <w:u w:val="single"/>
              </w:rPr>
              <w:t>Нарушения на имунната система</w:t>
            </w:r>
          </w:p>
        </w:tc>
        <w:tc>
          <w:tcPr>
            <w:tcW w:w="3167" w:type="dxa"/>
          </w:tcPr>
          <w:p w14:paraId="0830F106" w14:textId="0F8AB7F6"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tcPr>
          <w:p w14:paraId="589B3557" w14:textId="57C00C4B" w:rsidR="004F4AEA" w:rsidRPr="004F4AEA" w:rsidRDefault="004F4AEA" w:rsidP="004F4AEA">
            <w:pPr>
              <w:rPr>
                <w:rFonts w:eastAsia="Times New Roman" w:cs="Arial"/>
                <w:color w:val="000000"/>
                <w:szCs w:val="20"/>
                <w:lang w:eastAsia="bg-BG"/>
              </w:rPr>
            </w:pPr>
            <w:r w:rsidRPr="004F4AEA">
              <w:rPr>
                <w:szCs w:val="20"/>
              </w:rPr>
              <w:t>Увеличен риск от инфекции</w:t>
            </w:r>
          </w:p>
        </w:tc>
      </w:tr>
      <w:tr w:rsidR="004F4AEA" w14:paraId="31DD63B3" w14:textId="77777777" w:rsidTr="00B3459A">
        <w:tc>
          <w:tcPr>
            <w:tcW w:w="3166" w:type="dxa"/>
            <w:vMerge w:val="restart"/>
          </w:tcPr>
          <w:p w14:paraId="0071015B" w14:textId="557C4FE3" w:rsidR="004F4AEA" w:rsidRPr="004F4AEA" w:rsidRDefault="004F4AEA" w:rsidP="004F4AEA">
            <w:pPr>
              <w:rPr>
                <w:rFonts w:eastAsia="Times New Roman" w:cs="Arial"/>
                <w:color w:val="000000"/>
                <w:szCs w:val="20"/>
                <w:lang w:eastAsia="bg-BG"/>
              </w:rPr>
            </w:pPr>
            <w:r w:rsidRPr="004F4AEA">
              <w:rPr>
                <w:i/>
                <w:iCs/>
                <w:szCs w:val="20"/>
                <w:u w:val="single"/>
              </w:rPr>
              <w:t>Нарушения на мускулно- скелетната система и съединителната тъкан</w:t>
            </w:r>
          </w:p>
        </w:tc>
        <w:tc>
          <w:tcPr>
            <w:tcW w:w="3167" w:type="dxa"/>
          </w:tcPr>
          <w:p w14:paraId="0A4DA4A1" w14:textId="1D119FC4"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vAlign w:val="bottom"/>
          </w:tcPr>
          <w:p w14:paraId="5FB15A2D" w14:textId="482AF60C" w:rsidR="004F4AEA" w:rsidRPr="004F4AEA" w:rsidRDefault="004F4AEA" w:rsidP="004F4AEA">
            <w:pPr>
              <w:rPr>
                <w:rFonts w:eastAsia="Times New Roman" w:cs="Arial"/>
                <w:color w:val="000000"/>
                <w:szCs w:val="20"/>
                <w:lang w:eastAsia="bg-BG"/>
              </w:rPr>
            </w:pPr>
            <w:r w:rsidRPr="004F4AEA">
              <w:rPr>
                <w:szCs w:val="20"/>
              </w:rPr>
              <w:t>Мускулни и ставни болки, мускулна слабост и потрепване, остеопороза</w:t>
            </w:r>
          </w:p>
        </w:tc>
      </w:tr>
      <w:tr w:rsidR="004F4AEA" w14:paraId="4C1F7CED" w14:textId="77777777" w:rsidTr="00B3459A">
        <w:tc>
          <w:tcPr>
            <w:tcW w:w="3166" w:type="dxa"/>
            <w:vMerge/>
          </w:tcPr>
          <w:p w14:paraId="1546A90A" w14:textId="77777777" w:rsidR="004F4AEA" w:rsidRPr="004F4AEA" w:rsidRDefault="004F4AEA" w:rsidP="004F4AEA">
            <w:pPr>
              <w:rPr>
                <w:rFonts w:eastAsia="Times New Roman" w:cs="Arial"/>
                <w:color w:val="000000"/>
                <w:szCs w:val="20"/>
                <w:lang w:eastAsia="bg-BG"/>
              </w:rPr>
            </w:pPr>
          </w:p>
        </w:tc>
        <w:tc>
          <w:tcPr>
            <w:tcW w:w="3167" w:type="dxa"/>
            <w:vAlign w:val="bottom"/>
          </w:tcPr>
          <w:p w14:paraId="52CFA465" w14:textId="332E0E04" w:rsidR="004F4AEA" w:rsidRPr="004F4AEA" w:rsidRDefault="004F4AEA" w:rsidP="004F4AEA">
            <w:pPr>
              <w:rPr>
                <w:rFonts w:eastAsia="Times New Roman" w:cs="Arial"/>
                <w:color w:val="000000"/>
                <w:szCs w:val="20"/>
                <w:lang w:eastAsia="bg-BG"/>
              </w:rPr>
            </w:pPr>
            <w:r w:rsidRPr="004F4AEA">
              <w:rPr>
                <w:szCs w:val="20"/>
              </w:rPr>
              <w:t>Редки</w:t>
            </w:r>
          </w:p>
        </w:tc>
        <w:tc>
          <w:tcPr>
            <w:tcW w:w="3167" w:type="dxa"/>
            <w:vAlign w:val="bottom"/>
          </w:tcPr>
          <w:p w14:paraId="02E2A6A3" w14:textId="08DC7943" w:rsidR="004F4AEA" w:rsidRPr="004F4AEA" w:rsidRDefault="004F4AEA" w:rsidP="004F4AEA">
            <w:pPr>
              <w:rPr>
                <w:rFonts w:eastAsia="Times New Roman" w:cs="Arial"/>
                <w:color w:val="000000"/>
                <w:szCs w:val="20"/>
                <w:lang w:eastAsia="bg-BG"/>
              </w:rPr>
            </w:pPr>
            <w:r w:rsidRPr="004F4AEA">
              <w:rPr>
                <w:szCs w:val="20"/>
              </w:rPr>
              <w:t>Остеонекроза</w:t>
            </w:r>
          </w:p>
        </w:tc>
      </w:tr>
      <w:tr w:rsidR="004F4AEA" w14:paraId="5BFD787C" w14:textId="77777777" w:rsidTr="00CD606E">
        <w:tc>
          <w:tcPr>
            <w:tcW w:w="3166" w:type="dxa"/>
            <w:vMerge w:val="restart"/>
          </w:tcPr>
          <w:p w14:paraId="6F087567" w14:textId="2FA80985" w:rsidR="004F4AEA" w:rsidRPr="004F4AEA" w:rsidRDefault="004F4AEA" w:rsidP="004F4AEA">
            <w:pPr>
              <w:rPr>
                <w:rFonts w:eastAsia="Times New Roman" w:cs="Arial"/>
                <w:color w:val="000000"/>
                <w:szCs w:val="20"/>
                <w:lang w:eastAsia="bg-BG"/>
              </w:rPr>
            </w:pPr>
            <w:r w:rsidRPr="004F4AEA">
              <w:rPr>
                <w:i/>
                <w:iCs/>
                <w:szCs w:val="20"/>
                <w:u w:val="single"/>
              </w:rPr>
              <w:t>Нарушения на нервната система</w:t>
            </w:r>
          </w:p>
        </w:tc>
        <w:tc>
          <w:tcPr>
            <w:tcW w:w="3167" w:type="dxa"/>
          </w:tcPr>
          <w:p w14:paraId="328CD114" w14:textId="5C81FC5F"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tcPr>
          <w:p w14:paraId="5F3DAC07" w14:textId="01BBA62D" w:rsidR="004F4AEA" w:rsidRPr="004F4AEA" w:rsidRDefault="004F4AEA" w:rsidP="004F4AEA">
            <w:pPr>
              <w:rPr>
                <w:rFonts w:eastAsia="Times New Roman" w:cs="Arial"/>
                <w:color w:val="000000"/>
                <w:szCs w:val="20"/>
                <w:lang w:eastAsia="bg-BG"/>
              </w:rPr>
            </w:pPr>
            <w:r w:rsidRPr="004F4AEA">
              <w:rPr>
                <w:szCs w:val="20"/>
              </w:rPr>
              <w:t>Главоболие</w:t>
            </w:r>
          </w:p>
        </w:tc>
      </w:tr>
      <w:tr w:rsidR="004F4AEA" w14:paraId="7D5F3C8E" w14:textId="77777777" w:rsidTr="00CD606E">
        <w:tc>
          <w:tcPr>
            <w:tcW w:w="3166" w:type="dxa"/>
            <w:vMerge/>
          </w:tcPr>
          <w:p w14:paraId="26041520" w14:textId="77777777" w:rsidR="004F4AEA" w:rsidRPr="004F4AEA" w:rsidRDefault="004F4AEA" w:rsidP="004F4AEA">
            <w:pPr>
              <w:rPr>
                <w:rFonts w:eastAsia="Times New Roman" w:cs="Arial"/>
                <w:color w:val="000000"/>
                <w:szCs w:val="20"/>
                <w:lang w:eastAsia="bg-BG"/>
              </w:rPr>
            </w:pPr>
          </w:p>
        </w:tc>
        <w:tc>
          <w:tcPr>
            <w:tcW w:w="3167" w:type="dxa"/>
          </w:tcPr>
          <w:p w14:paraId="05AB2B92" w14:textId="16E2C1C6" w:rsidR="004F4AEA" w:rsidRPr="004F4AEA" w:rsidRDefault="004F4AEA" w:rsidP="004F4AEA">
            <w:pPr>
              <w:rPr>
                <w:rFonts w:eastAsia="Times New Roman" w:cs="Arial"/>
                <w:color w:val="000000"/>
                <w:szCs w:val="20"/>
                <w:lang w:eastAsia="bg-BG"/>
              </w:rPr>
            </w:pPr>
            <w:r w:rsidRPr="004F4AEA">
              <w:rPr>
                <w:szCs w:val="20"/>
              </w:rPr>
              <w:t>Много редки</w:t>
            </w:r>
          </w:p>
        </w:tc>
        <w:tc>
          <w:tcPr>
            <w:tcW w:w="3167" w:type="dxa"/>
          </w:tcPr>
          <w:p w14:paraId="12B32355" w14:textId="14308FF8" w:rsidR="004F4AEA" w:rsidRPr="004F4AEA" w:rsidRDefault="004F4AEA" w:rsidP="004F4AEA">
            <w:pPr>
              <w:rPr>
                <w:rFonts w:eastAsia="Times New Roman" w:cs="Arial"/>
                <w:color w:val="000000"/>
                <w:szCs w:val="20"/>
                <w:lang w:eastAsia="bg-BG"/>
              </w:rPr>
            </w:pPr>
            <w:r w:rsidRPr="004F4AEA">
              <w:rPr>
                <w:szCs w:val="20"/>
              </w:rPr>
              <w:t>Мозъчен псевдотумор, включително оток на папилата при юноши</w:t>
            </w:r>
          </w:p>
        </w:tc>
      </w:tr>
      <w:tr w:rsidR="004F4AEA" w14:paraId="26CD8C4F" w14:textId="77777777" w:rsidTr="00CD606E">
        <w:tc>
          <w:tcPr>
            <w:tcW w:w="3166" w:type="dxa"/>
            <w:vMerge w:val="restart"/>
          </w:tcPr>
          <w:p w14:paraId="49A31B22" w14:textId="3E4B0C44" w:rsidR="004F4AEA" w:rsidRPr="004F4AEA" w:rsidRDefault="004F4AEA" w:rsidP="004F4AEA">
            <w:pPr>
              <w:rPr>
                <w:rFonts w:eastAsia="Times New Roman" w:cs="Arial"/>
                <w:color w:val="000000"/>
                <w:szCs w:val="20"/>
                <w:u w:val="single"/>
                <w:lang w:eastAsia="bg-BG"/>
              </w:rPr>
            </w:pPr>
            <w:r w:rsidRPr="004F4AEA">
              <w:rPr>
                <w:i/>
                <w:iCs/>
                <w:szCs w:val="20"/>
                <w:u w:val="single"/>
              </w:rPr>
              <w:t>Психични нарушения</w:t>
            </w:r>
          </w:p>
        </w:tc>
        <w:tc>
          <w:tcPr>
            <w:tcW w:w="3167" w:type="dxa"/>
          </w:tcPr>
          <w:p w14:paraId="1154B175" w14:textId="6FC231C2"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tcPr>
          <w:p w14:paraId="7928A1A1" w14:textId="07FBDA10" w:rsidR="004F4AEA" w:rsidRPr="004F4AEA" w:rsidRDefault="004F4AEA" w:rsidP="004F4AEA">
            <w:pPr>
              <w:rPr>
                <w:rFonts w:eastAsia="Times New Roman" w:cs="Arial"/>
                <w:color w:val="000000"/>
                <w:szCs w:val="20"/>
                <w:lang w:eastAsia="bg-BG"/>
              </w:rPr>
            </w:pPr>
            <w:r w:rsidRPr="004F4AEA">
              <w:rPr>
                <w:szCs w:val="20"/>
              </w:rPr>
              <w:t>Депресия, раздразнителност, еуфория</w:t>
            </w:r>
          </w:p>
        </w:tc>
      </w:tr>
      <w:tr w:rsidR="004F4AEA" w14:paraId="30CD65CC" w14:textId="77777777" w:rsidTr="00CD606E">
        <w:tc>
          <w:tcPr>
            <w:tcW w:w="3166" w:type="dxa"/>
            <w:vMerge/>
          </w:tcPr>
          <w:p w14:paraId="368C7F0D" w14:textId="77777777" w:rsidR="004F4AEA" w:rsidRDefault="004F4AEA" w:rsidP="004F4AEA">
            <w:pPr>
              <w:rPr>
                <w:rFonts w:eastAsia="Times New Roman" w:cs="Arial"/>
                <w:color w:val="000000"/>
                <w:szCs w:val="20"/>
                <w:lang w:eastAsia="bg-BG"/>
              </w:rPr>
            </w:pPr>
          </w:p>
        </w:tc>
        <w:tc>
          <w:tcPr>
            <w:tcW w:w="3167" w:type="dxa"/>
          </w:tcPr>
          <w:p w14:paraId="46F2F315" w14:textId="14F48873" w:rsidR="004F4AEA" w:rsidRPr="004F4AEA" w:rsidRDefault="004F4AEA" w:rsidP="004F4AEA">
            <w:pPr>
              <w:rPr>
                <w:rFonts w:eastAsia="Times New Roman" w:cs="Arial"/>
                <w:color w:val="000000"/>
                <w:szCs w:val="20"/>
                <w:lang w:eastAsia="bg-BG"/>
              </w:rPr>
            </w:pPr>
            <w:r w:rsidRPr="004F4AEA">
              <w:rPr>
                <w:szCs w:val="20"/>
              </w:rPr>
              <w:t>Нечести</w:t>
            </w:r>
          </w:p>
        </w:tc>
        <w:tc>
          <w:tcPr>
            <w:tcW w:w="3167" w:type="dxa"/>
          </w:tcPr>
          <w:p w14:paraId="04236A83" w14:textId="77777777" w:rsidR="004F4AEA" w:rsidRPr="004F4AEA" w:rsidRDefault="004F4AEA" w:rsidP="004F4AEA">
            <w:r w:rsidRPr="004F4AEA">
              <w:rPr>
                <w:szCs w:val="20"/>
              </w:rPr>
              <w:t>Психомоторна</w:t>
            </w:r>
          </w:p>
          <w:p w14:paraId="716452E7" w14:textId="5DB9E90C" w:rsidR="004F4AEA" w:rsidRPr="004F4AEA" w:rsidRDefault="004F4AEA" w:rsidP="004F4AEA">
            <w:pPr>
              <w:rPr>
                <w:rFonts w:eastAsia="Times New Roman" w:cs="Arial"/>
                <w:color w:val="000000"/>
                <w:szCs w:val="20"/>
                <w:lang w:eastAsia="bg-BG"/>
              </w:rPr>
            </w:pPr>
            <w:r w:rsidRPr="004F4AEA">
              <w:rPr>
                <w:szCs w:val="20"/>
              </w:rPr>
              <w:t>хиперактивност, тревожност</w:t>
            </w:r>
          </w:p>
        </w:tc>
      </w:tr>
      <w:tr w:rsidR="004F4AEA" w14:paraId="4AD0B491" w14:textId="77777777" w:rsidTr="00E87E3F">
        <w:tc>
          <w:tcPr>
            <w:tcW w:w="3166" w:type="dxa"/>
            <w:vMerge/>
          </w:tcPr>
          <w:p w14:paraId="52C722F1" w14:textId="77777777" w:rsidR="004F4AEA" w:rsidRDefault="004F4AEA" w:rsidP="004F4AEA">
            <w:pPr>
              <w:rPr>
                <w:rFonts w:eastAsia="Times New Roman" w:cs="Arial"/>
                <w:color w:val="000000"/>
                <w:szCs w:val="20"/>
                <w:lang w:eastAsia="bg-BG"/>
              </w:rPr>
            </w:pPr>
          </w:p>
        </w:tc>
        <w:tc>
          <w:tcPr>
            <w:tcW w:w="3167" w:type="dxa"/>
            <w:vAlign w:val="bottom"/>
          </w:tcPr>
          <w:p w14:paraId="3C945D9B" w14:textId="79E39673" w:rsidR="004F4AEA" w:rsidRPr="004F4AEA" w:rsidRDefault="004F4AEA" w:rsidP="004F4AEA">
            <w:pPr>
              <w:rPr>
                <w:rFonts w:eastAsia="Times New Roman" w:cs="Arial"/>
                <w:color w:val="000000"/>
                <w:szCs w:val="20"/>
                <w:lang w:eastAsia="bg-BG"/>
              </w:rPr>
            </w:pPr>
            <w:r w:rsidRPr="004F4AEA">
              <w:rPr>
                <w:szCs w:val="20"/>
              </w:rPr>
              <w:t>Редки</w:t>
            </w:r>
          </w:p>
        </w:tc>
        <w:tc>
          <w:tcPr>
            <w:tcW w:w="3167" w:type="dxa"/>
            <w:vAlign w:val="bottom"/>
          </w:tcPr>
          <w:p w14:paraId="22D7C5EC" w14:textId="2B0FB82F" w:rsidR="004F4AEA" w:rsidRPr="004F4AEA" w:rsidRDefault="004F4AEA" w:rsidP="004F4AEA">
            <w:pPr>
              <w:rPr>
                <w:rFonts w:eastAsia="Times New Roman" w:cs="Arial"/>
                <w:color w:val="000000"/>
                <w:szCs w:val="20"/>
                <w:lang w:eastAsia="bg-BG"/>
              </w:rPr>
            </w:pPr>
            <w:r w:rsidRPr="004F4AEA">
              <w:rPr>
                <w:szCs w:val="20"/>
              </w:rPr>
              <w:t>Агресия</w:t>
            </w:r>
          </w:p>
        </w:tc>
      </w:tr>
      <w:tr w:rsidR="004F4AEA" w14:paraId="6F9A942F" w14:textId="77777777" w:rsidTr="00CD606E">
        <w:tc>
          <w:tcPr>
            <w:tcW w:w="3166" w:type="dxa"/>
            <w:vMerge w:val="restart"/>
          </w:tcPr>
          <w:p w14:paraId="43AC039B" w14:textId="135BF16C" w:rsidR="004F4AEA" w:rsidRPr="004F4AEA" w:rsidRDefault="004F4AEA" w:rsidP="004F4AEA">
            <w:pPr>
              <w:rPr>
                <w:rFonts w:eastAsia="Times New Roman" w:cs="Arial"/>
                <w:color w:val="000000"/>
                <w:szCs w:val="20"/>
                <w:lang w:eastAsia="bg-BG"/>
              </w:rPr>
            </w:pPr>
            <w:r w:rsidRPr="004F4AEA">
              <w:rPr>
                <w:i/>
                <w:iCs/>
                <w:szCs w:val="20"/>
                <w:u w:val="single"/>
              </w:rPr>
              <w:t>Нарушения на кожата и подкожната тъкан</w:t>
            </w:r>
          </w:p>
        </w:tc>
        <w:tc>
          <w:tcPr>
            <w:tcW w:w="3167" w:type="dxa"/>
          </w:tcPr>
          <w:p w14:paraId="39131E7C" w14:textId="49496931" w:rsidR="004F4AEA" w:rsidRPr="004F4AEA" w:rsidRDefault="004F4AEA" w:rsidP="004F4AEA">
            <w:pPr>
              <w:rPr>
                <w:rFonts w:eastAsia="Times New Roman" w:cs="Arial"/>
                <w:color w:val="000000"/>
                <w:szCs w:val="20"/>
                <w:lang w:eastAsia="bg-BG"/>
              </w:rPr>
            </w:pPr>
            <w:r w:rsidRPr="004F4AEA">
              <w:rPr>
                <w:szCs w:val="20"/>
              </w:rPr>
              <w:t>Чести</w:t>
            </w:r>
          </w:p>
        </w:tc>
        <w:tc>
          <w:tcPr>
            <w:tcW w:w="3167" w:type="dxa"/>
          </w:tcPr>
          <w:p w14:paraId="2D855856" w14:textId="2055560B" w:rsidR="004F4AEA" w:rsidRPr="004F4AEA" w:rsidRDefault="004F4AEA" w:rsidP="004F4AEA">
            <w:pPr>
              <w:rPr>
                <w:rFonts w:eastAsia="Times New Roman" w:cs="Arial"/>
                <w:color w:val="000000"/>
                <w:szCs w:val="20"/>
                <w:lang w:eastAsia="bg-BG"/>
              </w:rPr>
            </w:pPr>
            <w:r w:rsidRPr="004F4AEA">
              <w:rPr>
                <w:szCs w:val="20"/>
              </w:rPr>
              <w:t>Алергичен екзантем, петехии, забавено заздравяване на рани, контактен дерматит</w:t>
            </w:r>
          </w:p>
        </w:tc>
      </w:tr>
      <w:tr w:rsidR="004F4AEA" w14:paraId="3212AEBF" w14:textId="77777777" w:rsidTr="00CD606E">
        <w:tc>
          <w:tcPr>
            <w:tcW w:w="3166" w:type="dxa"/>
            <w:vMerge/>
          </w:tcPr>
          <w:p w14:paraId="1833D114" w14:textId="77777777" w:rsidR="004F4AEA" w:rsidRPr="004F4AEA" w:rsidRDefault="004F4AEA" w:rsidP="004F4AEA">
            <w:pPr>
              <w:rPr>
                <w:rFonts w:eastAsia="Times New Roman" w:cs="Arial"/>
                <w:color w:val="000000"/>
                <w:szCs w:val="20"/>
                <w:lang w:eastAsia="bg-BG"/>
              </w:rPr>
            </w:pPr>
          </w:p>
        </w:tc>
        <w:tc>
          <w:tcPr>
            <w:tcW w:w="3167" w:type="dxa"/>
          </w:tcPr>
          <w:p w14:paraId="16E8A570" w14:textId="04D2A44A" w:rsidR="004F4AEA" w:rsidRPr="004F4AEA" w:rsidRDefault="004F4AEA" w:rsidP="004F4AEA">
            <w:pPr>
              <w:rPr>
                <w:rFonts w:eastAsia="Times New Roman" w:cs="Arial"/>
                <w:color w:val="000000"/>
                <w:szCs w:val="20"/>
                <w:lang w:eastAsia="bg-BG"/>
              </w:rPr>
            </w:pPr>
            <w:r w:rsidRPr="004F4AEA">
              <w:rPr>
                <w:szCs w:val="20"/>
              </w:rPr>
              <w:t>Редки</w:t>
            </w:r>
          </w:p>
        </w:tc>
        <w:tc>
          <w:tcPr>
            <w:tcW w:w="3167" w:type="dxa"/>
          </w:tcPr>
          <w:p w14:paraId="761F83DD" w14:textId="1FF55884" w:rsidR="004F4AEA" w:rsidRPr="004F4AEA" w:rsidRDefault="004F4AEA" w:rsidP="004F4AEA">
            <w:pPr>
              <w:rPr>
                <w:rFonts w:eastAsia="Times New Roman" w:cs="Arial"/>
                <w:color w:val="000000"/>
                <w:szCs w:val="20"/>
                <w:lang w:eastAsia="bg-BG"/>
              </w:rPr>
            </w:pPr>
            <w:r w:rsidRPr="004F4AEA">
              <w:rPr>
                <w:szCs w:val="20"/>
              </w:rPr>
              <w:t>Екхимози</w:t>
            </w:r>
          </w:p>
        </w:tc>
      </w:tr>
      <w:tr w:rsidR="004F4AEA" w14:paraId="5D805DBE" w14:textId="77777777" w:rsidTr="00CD606E">
        <w:tc>
          <w:tcPr>
            <w:tcW w:w="3166" w:type="dxa"/>
          </w:tcPr>
          <w:p w14:paraId="11C699CD" w14:textId="09BDF62A" w:rsidR="004F4AEA" w:rsidRPr="004F4AEA" w:rsidRDefault="004F4AEA" w:rsidP="004F4AEA">
            <w:pPr>
              <w:rPr>
                <w:rFonts w:eastAsia="Times New Roman" w:cs="Arial"/>
                <w:color w:val="000000"/>
                <w:szCs w:val="20"/>
                <w:lang w:eastAsia="bg-BG"/>
              </w:rPr>
            </w:pPr>
            <w:r w:rsidRPr="004F4AEA">
              <w:rPr>
                <w:i/>
                <w:iCs/>
                <w:szCs w:val="20"/>
                <w:u w:val="single"/>
              </w:rPr>
              <w:t>Съдови нарушения</w:t>
            </w:r>
          </w:p>
        </w:tc>
        <w:tc>
          <w:tcPr>
            <w:tcW w:w="3167" w:type="dxa"/>
          </w:tcPr>
          <w:p w14:paraId="0B06FABC" w14:textId="5799517E" w:rsidR="004F4AEA" w:rsidRPr="004F4AEA" w:rsidRDefault="004F4AEA" w:rsidP="004F4AEA">
            <w:pPr>
              <w:rPr>
                <w:rFonts w:eastAsia="Times New Roman" w:cs="Arial"/>
                <w:color w:val="000000"/>
                <w:szCs w:val="20"/>
                <w:lang w:eastAsia="bg-BG"/>
              </w:rPr>
            </w:pPr>
            <w:r w:rsidRPr="004F4AEA">
              <w:rPr>
                <w:szCs w:val="20"/>
              </w:rPr>
              <w:t>Много редки</w:t>
            </w:r>
          </w:p>
        </w:tc>
        <w:tc>
          <w:tcPr>
            <w:tcW w:w="3167" w:type="dxa"/>
          </w:tcPr>
          <w:p w14:paraId="25CDA6AF" w14:textId="2FD83D5E" w:rsidR="004F4AEA" w:rsidRPr="004F4AEA" w:rsidRDefault="004F4AEA" w:rsidP="004F4AEA">
            <w:pPr>
              <w:rPr>
                <w:rFonts w:eastAsia="Times New Roman" w:cs="Arial"/>
                <w:color w:val="000000"/>
                <w:szCs w:val="20"/>
                <w:lang w:eastAsia="bg-BG"/>
              </w:rPr>
            </w:pPr>
            <w:r w:rsidRPr="004F4AEA">
              <w:rPr>
                <w:szCs w:val="20"/>
              </w:rPr>
              <w:t>Увеличен риск от тромбоза, васкулит (синдром на отнемане след дългосрочно лечение)</w:t>
            </w:r>
          </w:p>
        </w:tc>
      </w:tr>
      <w:tr w:rsidR="004F4AEA" w14:paraId="2ACC4328" w14:textId="77777777" w:rsidTr="00CD606E">
        <w:tc>
          <w:tcPr>
            <w:tcW w:w="3166" w:type="dxa"/>
          </w:tcPr>
          <w:p w14:paraId="20991785" w14:textId="15B71CE3" w:rsidR="004F4AEA" w:rsidRPr="004F4AEA" w:rsidRDefault="004F4AEA" w:rsidP="004F4AEA">
            <w:pPr>
              <w:rPr>
                <w:rFonts w:eastAsia="Times New Roman" w:cs="Arial"/>
                <w:color w:val="000000"/>
                <w:szCs w:val="20"/>
                <w:lang w:eastAsia="bg-BG"/>
              </w:rPr>
            </w:pPr>
            <w:r w:rsidRPr="004F4AEA">
              <w:rPr>
                <w:i/>
                <w:iCs/>
                <w:szCs w:val="20"/>
                <w:u w:val="single"/>
              </w:rPr>
              <w:t>Общи нарушения и ефекти на мястото на приложение</w:t>
            </w:r>
          </w:p>
        </w:tc>
        <w:tc>
          <w:tcPr>
            <w:tcW w:w="3167" w:type="dxa"/>
          </w:tcPr>
          <w:p w14:paraId="2C280676" w14:textId="2CDBECDC" w:rsidR="004F4AEA" w:rsidRPr="004F4AEA" w:rsidRDefault="004F4AEA" w:rsidP="004F4AEA">
            <w:pPr>
              <w:rPr>
                <w:rFonts w:eastAsia="Times New Roman" w:cs="Arial"/>
                <w:color w:val="000000"/>
                <w:szCs w:val="20"/>
                <w:lang w:eastAsia="bg-BG"/>
              </w:rPr>
            </w:pPr>
            <w:r w:rsidRPr="004F4AEA">
              <w:rPr>
                <w:szCs w:val="20"/>
              </w:rPr>
              <w:t>Много редки</w:t>
            </w:r>
          </w:p>
        </w:tc>
        <w:tc>
          <w:tcPr>
            <w:tcW w:w="3167" w:type="dxa"/>
          </w:tcPr>
          <w:p w14:paraId="168C98BD" w14:textId="0C1A76D6" w:rsidR="004F4AEA" w:rsidRPr="004F4AEA" w:rsidRDefault="004F4AEA" w:rsidP="004F4AEA">
            <w:pPr>
              <w:rPr>
                <w:rFonts w:eastAsia="Times New Roman" w:cs="Arial"/>
                <w:color w:val="000000"/>
                <w:szCs w:val="20"/>
                <w:lang w:eastAsia="bg-BG"/>
              </w:rPr>
            </w:pPr>
            <w:r w:rsidRPr="004F4AEA">
              <w:rPr>
                <w:szCs w:val="20"/>
              </w:rPr>
              <w:t>Умора, неразположение</w:t>
            </w:r>
          </w:p>
        </w:tc>
      </w:tr>
    </w:tbl>
    <w:p w14:paraId="45B72466" w14:textId="77777777" w:rsidR="00CD606E" w:rsidRDefault="00CD606E" w:rsidP="009826E9">
      <w:pPr>
        <w:rPr>
          <w:rFonts w:eastAsia="Times New Roman" w:cs="Arial"/>
          <w:color w:val="000000"/>
          <w:szCs w:val="20"/>
          <w:lang w:eastAsia="bg-BG"/>
        </w:rPr>
      </w:pPr>
    </w:p>
    <w:p w14:paraId="2B96A7B7"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Повечето от нежеланите реакции, споменати в тази КХП, също може да се очакват при лечение с други глюкокортикостероиди.</w:t>
      </w:r>
    </w:p>
    <w:p w14:paraId="14E0BB81" w14:textId="77777777" w:rsidR="004F4AEA" w:rsidRPr="004F4AEA" w:rsidRDefault="004F4AEA" w:rsidP="004F4AEA">
      <w:pPr>
        <w:spacing w:line="240" w:lineRule="auto"/>
        <w:rPr>
          <w:rFonts w:eastAsia="Times New Roman" w:cs="Arial"/>
          <w:color w:val="000000"/>
          <w:lang w:eastAsia="bg-BG"/>
        </w:rPr>
      </w:pPr>
    </w:p>
    <w:p w14:paraId="4DACEA5A" w14:textId="3717533A"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Понякога може да възникнат нежелани реакции, които са типични за системните глюкокортикостероиди. Тези нежелани реакции зависят от дозировката, продължителността на лечение, едновременното или предшестващо лечение с други глюкокортикостероиди и индивидуалната чувствителност.</w:t>
      </w:r>
    </w:p>
    <w:p w14:paraId="0AA533D3" w14:textId="77777777" w:rsidR="004F4AEA" w:rsidRPr="004F4AEA" w:rsidRDefault="004F4AEA" w:rsidP="004F4AEA">
      <w:pPr>
        <w:spacing w:line="240" w:lineRule="auto"/>
        <w:rPr>
          <w:rFonts w:eastAsia="Times New Roman" w:cs="Arial"/>
          <w:color w:val="000000"/>
          <w:lang w:eastAsia="bg-BG"/>
        </w:rPr>
      </w:pPr>
    </w:p>
    <w:p w14:paraId="7DA7547C" w14:textId="0C85F8C4"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Клиничните проучвания показват, че честотата на свързаните с глюкокортикстероидите нежелани реакции е по-ниска при перорално лечение с Буденофалк, отколкото при перорално лечение с еквивалентна дозировка на преднизолон.</w:t>
      </w:r>
    </w:p>
    <w:p w14:paraId="6D65FC26" w14:textId="77777777" w:rsidR="004F4AEA" w:rsidRPr="004F4AEA" w:rsidRDefault="004F4AEA" w:rsidP="004F4AEA">
      <w:pPr>
        <w:spacing w:line="240" w:lineRule="auto"/>
        <w:rPr>
          <w:rFonts w:eastAsia="Times New Roman" w:cs="Arial"/>
          <w:color w:val="000000"/>
          <w:lang w:eastAsia="bg-BG"/>
        </w:rPr>
      </w:pPr>
    </w:p>
    <w:p w14:paraId="1761186E" w14:textId="7EC1D71A"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Възможно е обостряне или повторна изява на екстраинтестиналните манифестации (особено тези, засягащи кожата и ставите) при преминаване на пациента от системно действащи глюкокортикостероиди към локално действащия будезонид.</w:t>
      </w:r>
    </w:p>
    <w:p w14:paraId="6AC1ABB7" w14:textId="77777777" w:rsidR="004F4AEA" w:rsidRPr="004F4AEA" w:rsidRDefault="004F4AEA" w:rsidP="004F4AEA">
      <w:pPr>
        <w:spacing w:line="240" w:lineRule="auto"/>
        <w:rPr>
          <w:rFonts w:eastAsia="Times New Roman" w:cs="Arial"/>
          <w:color w:val="000000"/>
          <w:u w:val="single"/>
          <w:lang w:eastAsia="bg-BG"/>
        </w:rPr>
      </w:pPr>
    </w:p>
    <w:p w14:paraId="02F2DF59" w14:textId="7C8739CF" w:rsidR="004F4AEA" w:rsidRPr="004F4AEA" w:rsidRDefault="004F4AEA" w:rsidP="004F4AEA">
      <w:pPr>
        <w:spacing w:line="240" w:lineRule="auto"/>
        <w:rPr>
          <w:rFonts w:eastAsia="Times New Roman" w:cs="Arial"/>
          <w:lang w:eastAsia="bg-BG"/>
        </w:rPr>
      </w:pPr>
      <w:r w:rsidRPr="004F4AEA">
        <w:rPr>
          <w:rFonts w:eastAsia="Times New Roman" w:cs="Arial"/>
          <w:color w:val="000000"/>
          <w:u w:val="single"/>
          <w:lang w:eastAsia="bg-BG"/>
        </w:rPr>
        <w:t>Нежелани лекарствени реакции при клинични проучвания при деца:</w:t>
      </w:r>
    </w:p>
    <w:p w14:paraId="5680C00B" w14:textId="77777777" w:rsidR="004F4AEA" w:rsidRPr="004F4AEA" w:rsidRDefault="004F4AEA" w:rsidP="004F4AEA">
      <w:pPr>
        <w:spacing w:line="240" w:lineRule="auto"/>
        <w:rPr>
          <w:rFonts w:eastAsia="Times New Roman" w:cs="Arial"/>
          <w:i/>
          <w:iCs/>
          <w:color w:val="000000"/>
          <w:lang w:eastAsia="bg-BG"/>
        </w:rPr>
      </w:pPr>
    </w:p>
    <w:p w14:paraId="3A6F1354" w14:textId="22E56C84" w:rsidR="004F4AEA" w:rsidRPr="004F4AEA" w:rsidRDefault="004F4AEA" w:rsidP="004F4AEA">
      <w:pPr>
        <w:spacing w:line="240" w:lineRule="auto"/>
        <w:rPr>
          <w:rFonts w:eastAsia="Times New Roman" w:cs="Arial"/>
          <w:lang w:eastAsia="bg-BG"/>
        </w:rPr>
      </w:pPr>
      <w:r w:rsidRPr="004F4AEA">
        <w:rPr>
          <w:rFonts w:eastAsia="Times New Roman" w:cs="Arial"/>
          <w:i/>
          <w:iCs/>
          <w:color w:val="000000"/>
          <w:lang w:eastAsia="bg-BG"/>
        </w:rPr>
        <w:t xml:space="preserve">Болест на </w:t>
      </w:r>
      <w:r w:rsidRPr="004F4AEA">
        <w:rPr>
          <w:rFonts w:eastAsia="Times New Roman" w:cs="Arial"/>
          <w:i/>
          <w:iCs/>
          <w:color w:val="000000"/>
          <w:lang w:val="en-US"/>
        </w:rPr>
        <w:t>Crohn</w:t>
      </w:r>
    </w:p>
    <w:p w14:paraId="5245479F"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 xml:space="preserve">При клинични проучвания с Буденофалк 3 </w:t>
      </w:r>
      <w:r w:rsidRPr="004F4AEA">
        <w:rPr>
          <w:rFonts w:eastAsia="Times New Roman" w:cs="Arial"/>
          <w:color w:val="000000"/>
          <w:lang w:val="en-US"/>
        </w:rPr>
        <w:t xml:space="preserve">mg </w:t>
      </w:r>
      <w:r w:rsidRPr="004F4AEA">
        <w:rPr>
          <w:rFonts w:eastAsia="Times New Roman" w:cs="Arial"/>
          <w:color w:val="000000"/>
          <w:lang w:eastAsia="bg-BG"/>
        </w:rPr>
        <w:t xml:space="preserve">капсули при 82 деца с болестта на </w:t>
      </w:r>
      <w:r w:rsidRPr="004F4AEA">
        <w:rPr>
          <w:rFonts w:eastAsia="Times New Roman" w:cs="Arial"/>
          <w:color w:val="000000"/>
          <w:lang w:val="en-US"/>
        </w:rPr>
        <w:t xml:space="preserve">Crohn </w:t>
      </w:r>
      <w:r w:rsidRPr="004F4AEA">
        <w:rPr>
          <w:rFonts w:eastAsia="Times New Roman" w:cs="Arial"/>
          <w:color w:val="000000"/>
          <w:lang w:eastAsia="bg-BG"/>
        </w:rPr>
        <w:t>най-честите нежелани лекарствени реакции са адренална супресия и главоболие. Съобщавани са типичните за глюкокортикостероидите нежелани лекарствени реакции, както и други редки реакции, като замаяност, гадене, повръщане и хиперакузис (вж. също точка 5.1).</w:t>
      </w:r>
    </w:p>
    <w:p w14:paraId="530459AB" w14:textId="77777777" w:rsidR="004F4AEA" w:rsidRPr="004F4AEA" w:rsidRDefault="004F4AEA" w:rsidP="004F4AEA">
      <w:pPr>
        <w:spacing w:line="240" w:lineRule="auto"/>
        <w:rPr>
          <w:rFonts w:eastAsia="Times New Roman" w:cs="Arial"/>
          <w:i/>
          <w:iCs/>
          <w:color w:val="000000"/>
          <w:lang w:eastAsia="bg-BG"/>
        </w:rPr>
      </w:pPr>
    </w:p>
    <w:p w14:paraId="46D981E4" w14:textId="245459C3" w:rsidR="004F4AEA" w:rsidRPr="004F4AEA" w:rsidRDefault="004F4AEA" w:rsidP="004F4AEA">
      <w:pPr>
        <w:spacing w:line="240" w:lineRule="auto"/>
        <w:rPr>
          <w:rFonts w:eastAsia="Times New Roman" w:cs="Arial"/>
          <w:lang w:eastAsia="bg-BG"/>
        </w:rPr>
      </w:pPr>
      <w:r w:rsidRPr="004F4AEA">
        <w:rPr>
          <w:rFonts w:eastAsia="Times New Roman" w:cs="Arial"/>
          <w:i/>
          <w:iCs/>
          <w:color w:val="000000"/>
          <w:lang w:eastAsia="bg-BG"/>
        </w:rPr>
        <w:t>Автоимунен хепатит</w:t>
      </w:r>
    </w:p>
    <w:p w14:paraId="2158ED95"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Данните за безопасност от подгрупа с общо 42 деца в клинично проучване на автоимунен хепатит показват, че съобщените нежелани лекарствени реакции не са различни и не са по-чести в сравнение с онези при популацията от възрастни пациенти в това проучване (вж. също точка 5.1).</w:t>
      </w:r>
    </w:p>
    <w:p w14:paraId="783810EF" w14:textId="77777777" w:rsidR="004F4AEA" w:rsidRPr="004F4AEA" w:rsidRDefault="004F4AEA" w:rsidP="004F4AEA">
      <w:pPr>
        <w:spacing w:line="240" w:lineRule="auto"/>
        <w:rPr>
          <w:rFonts w:eastAsia="Times New Roman" w:cs="Arial"/>
          <w:color w:val="000000"/>
          <w:u w:val="single"/>
          <w:lang w:eastAsia="bg-BG"/>
        </w:rPr>
      </w:pPr>
    </w:p>
    <w:p w14:paraId="6B9F3A3A" w14:textId="68F0C811" w:rsidR="004F4AEA" w:rsidRPr="004F4AEA" w:rsidRDefault="004F4AEA" w:rsidP="004F4AEA">
      <w:pPr>
        <w:spacing w:line="240" w:lineRule="auto"/>
        <w:rPr>
          <w:rFonts w:eastAsia="Times New Roman" w:cs="Arial"/>
          <w:lang w:eastAsia="bg-BG"/>
        </w:rPr>
      </w:pPr>
      <w:r w:rsidRPr="004F4AEA">
        <w:rPr>
          <w:rFonts w:eastAsia="Times New Roman" w:cs="Arial"/>
          <w:color w:val="000000"/>
          <w:u w:val="single"/>
          <w:lang w:eastAsia="bg-BG"/>
        </w:rPr>
        <w:t>Съобщаване на подозирани нежелани реакции</w:t>
      </w:r>
    </w:p>
    <w:p w14:paraId="5689BFC0"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p>
    <w:p w14:paraId="7D8E0C2D"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Изпълнителна агенция по лекарствата</w:t>
      </w:r>
    </w:p>
    <w:p w14:paraId="4D761BF9"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ул.,Дамян Груев” № 8</w:t>
      </w:r>
    </w:p>
    <w:p w14:paraId="471C0296"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1303 София</w:t>
      </w:r>
    </w:p>
    <w:p w14:paraId="189C1A3F" w14:textId="77777777" w:rsidR="004F4AEA" w:rsidRPr="004F4AEA" w:rsidRDefault="004F4AEA" w:rsidP="004F4AEA">
      <w:pPr>
        <w:spacing w:line="240" w:lineRule="auto"/>
        <w:rPr>
          <w:rFonts w:eastAsia="Times New Roman" w:cs="Arial"/>
          <w:lang w:eastAsia="bg-BG"/>
        </w:rPr>
      </w:pPr>
      <w:r w:rsidRPr="004F4AEA">
        <w:rPr>
          <w:rFonts w:eastAsia="Times New Roman" w:cs="Arial"/>
          <w:color w:val="000000"/>
          <w:lang w:eastAsia="bg-BG"/>
        </w:rPr>
        <w:t>Тел.: +359 2 8903417</w:t>
      </w:r>
    </w:p>
    <w:p w14:paraId="18DC9C4C" w14:textId="37A7AFFD" w:rsidR="00CD606E" w:rsidRPr="004F4AEA" w:rsidRDefault="004F4AEA" w:rsidP="004F4AEA">
      <w:pPr>
        <w:rPr>
          <w:rFonts w:eastAsia="Times New Roman" w:cs="Arial"/>
          <w:color w:val="000000"/>
          <w:lang w:eastAsia="bg-BG"/>
        </w:rPr>
      </w:pPr>
      <w:r w:rsidRPr="004F4AEA">
        <w:rPr>
          <w:rFonts w:eastAsia="Times New Roman" w:cs="Arial"/>
          <w:color w:val="000000"/>
          <w:lang w:eastAsia="bg-BG"/>
        </w:rPr>
        <w:t xml:space="preserve">уебсайт: </w:t>
      </w:r>
      <w:hyperlink r:id="rId5" w:history="1">
        <w:r w:rsidRPr="004F4AEA">
          <w:rPr>
            <w:rFonts w:eastAsia="Times New Roman" w:cs="Arial"/>
            <w:color w:val="000000"/>
            <w:u w:val="single"/>
            <w:lang w:val="en-US"/>
          </w:rPr>
          <w:t>www.bda.bg</w:t>
        </w:r>
      </w:hyperlink>
    </w:p>
    <w:p w14:paraId="4FF8C504" w14:textId="77777777" w:rsidR="00CD606E" w:rsidRPr="00CD606E" w:rsidRDefault="00CD606E" w:rsidP="009826E9">
      <w:pPr>
        <w:rPr>
          <w:rFonts w:cs="Arial"/>
          <w:sz w:val="24"/>
        </w:rPr>
      </w:pPr>
    </w:p>
    <w:p w14:paraId="0A023CE0" w14:textId="2823D5DB" w:rsidR="00CF77F7" w:rsidRDefault="002C50EE" w:rsidP="004A448E">
      <w:pPr>
        <w:pStyle w:val="Heading2"/>
      </w:pPr>
      <w:r>
        <w:t>4.9. Предозиране</w:t>
      </w:r>
    </w:p>
    <w:p w14:paraId="01CFF04E" w14:textId="2142873A" w:rsidR="004F4AEA" w:rsidRDefault="004F4AEA" w:rsidP="004F4AEA"/>
    <w:p w14:paraId="104A79F7" w14:textId="5A1360C7" w:rsidR="004F4AEA" w:rsidRPr="004F4AEA" w:rsidRDefault="004F4AEA" w:rsidP="004F4AEA">
      <w:r w:rsidRPr="004F4AEA">
        <w:rPr>
          <w:szCs w:val="20"/>
        </w:rPr>
        <w:t>Засега не са известни случаи на предозиране с будезонид</w:t>
      </w:r>
      <w:r>
        <w:rPr>
          <w:sz w:val="20"/>
          <w:szCs w:val="20"/>
        </w:rPr>
        <w:t>.</w:t>
      </w:r>
    </w:p>
    <w:p w14:paraId="02081B24" w14:textId="347490B4" w:rsidR="00395555" w:rsidRDefault="002C50EE" w:rsidP="008A6AF2">
      <w:pPr>
        <w:pStyle w:val="Heading1"/>
      </w:pPr>
      <w:r>
        <w:t>5. ФАРМАКОЛОГИЧНИ СВОЙСТВА</w:t>
      </w:r>
    </w:p>
    <w:p w14:paraId="76E01E22" w14:textId="77777777" w:rsidR="004F4AEA" w:rsidRPr="004F4AEA" w:rsidRDefault="004F4AEA" w:rsidP="004F4AEA"/>
    <w:p w14:paraId="32B6DE66" w14:textId="0EF0E8E7" w:rsidR="00CF77F7" w:rsidRDefault="002C50EE" w:rsidP="004A448E">
      <w:pPr>
        <w:pStyle w:val="Heading2"/>
      </w:pPr>
      <w:r>
        <w:t>5.1. Фармакодинамични свойства</w:t>
      </w:r>
    </w:p>
    <w:p w14:paraId="4B23A4C8" w14:textId="317575B5" w:rsidR="004F4AEA" w:rsidRPr="004F4AEA" w:rsidRDefault="004F4AEA" w:rsidP="004F4AEA">
      <w:pPr>
        <w:rPr>
          <w:rFonts w:cs="Arial"/>
          <w:sz w:val="24"/>
        </w:rPr>
      </w:pPr>
    </w:p>
    <w:p w14:paraId="543B06AF"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Фармакотерапевтична група: Глюкокортикостероиди АТС код: А07ЕА06</w:t>
      </w:r>
    </w:p>
    <w:p w14:paraId="29ABE84F" w14:textId="77777777" w:rsidR="004F4AEA" w:rsidRPr="004F4AEA" w:rsidRDefault="004F4AEA" w:rsidP="004F4AEA">
      <w:pPr>
        <w:spacing w:line="240" w:lineRule="auto"/>
        <w:rPr>
          <w:rFonts w:eastAsia="Times New Roman" w:cs="Arial"/>
          <w:color w:val="000000"/>
          <w:szCs w:val="20"/>
          <w:u w:val="single"/>
          <w:lang w:eastAsia="bg-BG"/>
        </w:rPr>
      </w:pPr>
    </w:p>
    <w:p w14:paraId="777C3C2A" w14:textId="68E4B9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u w:val="single"/>
          <w:lang w:eastAsia="bg-BG"/>
        </w:rPr>
        <w:t>Механизъм на действие</w:t>
      </w:r>
    </w:p>
    <w:p w14:paraId="741D1A3B"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Точният механизъм на действие на будезонид при лечението на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 xml:space="preserve">не е напълно изяснен. Данните от клинико-фармакологични проучвания и контролирани клинични проучвания показват до голяма степен, че начинът на действие на будезонид се </w:t>
      </w:r>
      <w:r w:rsidRPr="004F4AEA">
        <w:rPr>
          <w:rFonts w:eastAsia="Times New Roman" w:cs="Arial"/>
          <w:color w:val="000000"/>
          <w:szCs w:val="20"/>
          <w:lang w:eastAsia="bg-BG"/>
        </w:rPr>
        <w:lastRenderedPageBreak/>
        <w:t>основава главно на локално действие в тънките черва. Будезонид е глюкокортикостероид с мощен, локално действащ противовъзпалителен ефект. При дози, клинично еквивалентни на системно действащите глюкокортикостероиди, будезонид причинява значително по-слаба супресия на хипоталамо- хипофизарно-надбъбречната ос и упражнява по-слабо въздействие върху инфламаторните маркери.</w:t>
      </w:r>
    </w:p>
    <w:p w14:paraId="52955031" w14:textId="77777777" w:rsidR="004F4AEA" w:rsidRPr="004F4AEA" w:rsidRDefault="004F4AEA" w:rsidP="004F4AEA">
      <w:pPr>
        <w:spacing w:line="240" w:lineRule="auto"/>
        <w:rPr>
          <w:rFonts w:eastAsia="Times New Roman" w:cs="Arial"/>
          <w:color w:val="000000"/>
          <w:szCs w:val="20"/>
          <w:u w:val="single"/>
          <w:lang w:eastAsia="bg-BG"/>
        </w:rPr>
      </w:pPr>
    </w:p>
    <w:p w14:paraId="1B8436C2" w14:textId="42FBD7DF"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u w:val="single"/>
          <w:lang w:eastAsia="bg-BG"/>
        </w:rPr>
        <w:t>Фармакодинамични ефекти</w:t>
      </w:r>
    </w:p>
    <w:p w14:paraId="3A35648D"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капсули оказва дозо-зависимо влияние върху плазмените нива на кортизола, което, при препоръчителната дозировка от9 </w:t>
      </w:r>
      <w:r w:rsidRPr="004F4AEA">
        <w:rPr>
          <w:rFonts w:eastAsia="Times New Roman" w:cs="Arial"/>
          <w:color w:val="000000"/>
          <w:szCs w:val="20"/>
          <w:lang w:val="en-US"/>
        </w:rPr>
        <w:t xml:space="preserve">mg </w:t>
      </w:r>
      <w:r w:rsidRPr="004F4AEA">
        <w:rPr>
          <w:rFonts w:eastAsia="Times New Roman" w:cs="Arial"/>
          <w:color w:val="000000"/>
          <w:szCs w:val="20"/>
          <w:lang w:eastAsia="bg-BG"/>
        </w:rPr>
        <w:t>будезонид/дневно, е значително по-слабо от това на клинично еквивалентната доза на системно действащите глюкокортикостероиди.</w:t>
      </w:r>
    </w:p>
    <w:p w14:paraId="330A4DE4" w14:textId="77777777" w:rsidR="004F4AEA" w:rsidRPr="004F4AEA" w:rsidRDefault="004F4AEA" w:rsidP="004F4AEA">
      <w:pPr>
        <w:spacing w:line="240" w:lineRule="auto"/>
        <w:rPr>
          <w:rFonts w:eastAsia="Times New Roman" w:cs="Arial"/>
          <w:color w:val="000000"/>
          <w:szCs w:val="20"/>
          <w:u w:val="single"/>
          <w:lang w:eastAsia="bg-BG"/>
        </w:rPr>
      </w:pPr>
    </w:p>
    <w:p w14:paraId="2D5F5848" w14:textId="45323AE5"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u w:val="single"/>
          <w:lang w:eastAsia="bg-BG"/>
        </w:rPr>
        <w:t>Клинична ефикасност и безопасност</w:t>
      </w:r>
    </w:p>
    <w:p w14:paraId="14C8718F" w14:textId="77777777" w:rsidR="004F4AEA" w:rsidRPr="004F4AEA" w:rsidRDefault="004F4AEA" w:rsidP="004F4AEA">
      <w:pPr>
        <w:spacing w:line="240" w:lineRule="auto"/>
        <w:rPr>
          <w:rFonts w:eastAsia="Times New Roman" w:cs="Arial"/>
          <w:i/>
          <w:iCs/>
          <w:color w:val="000000"/>
          <w:szCs w:val="20"/>
          <w:lang w:eastAsia="bg-BG"/>
        </w:rPr>
      </w:pPr>
    </w:p>
    <w:p w14:paraId="3DCA7A94" w14:textId="2D5AF07B"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lang w:eastAsia="bg-BG"/>
        </w:rPr>
        <w:t xml:space="preserve">Болест на </w:t>
      </w:r>
      <w:r w:rsidRPr="004F4AEA">
        <w:rPr>
          <w:rFonts w:eastAsia="Times New Roman" w:cs="Arial"/>
          <w:i/>
          <w:iCs/>
          <w:color w:val="000000"/>
          <w:szCs w:val="20"/>
          <w:lang w:val="en-US"/>
        </w:rPr>
        <w:t>Crohn</w:t>
      </w:r>
    </w:p>
    <w:p w14:paraId="229BA441" w14:textId="77777777" w:rsidR="004F4AEA" w:rsidRPr="004F4AEA" w:rsidRDefault="004F4AEA" w:rsidP="004F4AEA">
      <w:pPr>
        <w:spacing w:line="240" w:lineRule="auto"/>
        <w:rPr>
          <w:rFonts w:eastAsia="Times New Roman" w:cs="Arial"/>
          <w:i/>
          <w:iCs/>
          <w:color w:val="000000"/>
          <w:szCs w:val="20"/>
          <w:u w:val="single"/>
          <w:lang w:eastAsia="bg-BG"/>
        </w:rPr>
      </w:pPr>
    </w:p>
    <w:p w14:paraId="1BCD50FE" w14:textId="68B92A60"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 xml:space="preserve">Клинично проучване при възрастни пациенти с болест на </w:t>
      </w:r>
      <w:r w:rsidRPr="004F4AEA">
        <w:rPr>
          <w:rFonts w:eastAsia="Times New Roman" w:cs="Arial"/>
          <w:i/>
          <w:iCs/>
          <w:color w:val="000000"/>
          <w:szCs w:val="20"/>
          <w:u w:val="single"/>
          <w:lang w:val="en-US"/>
        </w:rPr>
        <w:t>Crohn</w:t>
      </w:r>
    </w:p>
    <w:p w14:paraId="2EA8CFDB"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В рандомизирано, двойносляпо, кръстосано изпитване при пациенти с лека до умерена форма на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 xml:space="preserve">(индекс на активност на болестта на </w:t>
      </w:r>
      <w:r w:rsidRPr="004F4AEA">
        <w:rPr>
          <w:rFonts w:eastAsia="Times New Roman" w:cs="Arial"/>
          <w:color w:val="000000"/>
          <w:szCs w:val="20"/>
          <w:lang w:val="en-US"/>
        </w:rPr>
        <w:t xml:space="preserve">Crohn, CDAI; </w:t>
      </w:r>
      <w:r w:rsidRPr="004F4AEA">
        <w:rPr>
          <w:rFonts w:eastAsia="Times New Roman" w:cs="Arial"/>
          <w:color w:val="000000"/>
          <w:szCs w:val="20"/>
          <w:lang w:eastAsia="bg-BG"/>
        </w:rPr>
        <w:t xml:space="preserve">200 &lt; </w:t>
      </w:r>
      <w:r w:rsidRPr="004F4AEA">
        <w:rPr>
          <w:rFonts w:eastAsia="Times New Roman" w:cs="Arial"/>
          <w:color w:val="000000"/>
          <w:szCs w:val="20"/>
          <w:lang w:val="en-US"/>
        </w:rPr>
        <w:t xml:space="preserve">CDAI </w:t>
      </w:r>
      <w:r w:rsidRPr="004F4AEA">
        <w:rPr>
          <w:rFonts w:eastAsia="Times New Roman" w:cs="Arial"/>
          <w:color w:val="000000"/>
          <w:szCs w:val="20"/>
          <w:lang w:eastAsia="bg-BG"/>
        </w:rPr>
        <w:t xml:space="preserve">&lt; 400), засягаща терминалния илеум и/или възходящия колон, е сравнявана ефикасността на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в единична дневна доза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един път дневно) с лечението с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приеман три пъти дневно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три пъти дневно).</w:t>
      </w:r>
    </w:p>
    <w:p w14:paraId="1D3AC526"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Първична крайна точка за ефикасност е процентът на пациентите в ремисия </w:t>
      </w:r>
      <w:r w:rsidRPr="004F4AEA">
        <w:rPr>
          <w:rFonts w:eastAsia="Times New Roman" w:cs="Arial"/>
          <w:color w:val="000000"/>
          <w:szCs w:val="20"/>
          <w:lang w:val="en-US"/>
        </w:rPr>
        <w:t xml:space="preserve">(CDAI </w:t>
      </w:r>
      <w:r w:rsidRPr="004F4AEA">
        <w:rPr>
          <w:rFonts w:eastAsia="Times New Roman" w:cs="Arial"/>
          <w:color w:val="000000"/>
          <w:szCs w:val="20"/>
          <w:lang w:eastAsia="bg-BG"/>
        </w:rPr>
        <w:t>&lt; 150) на седмица 8.</w:t>
      </w:r>
    </w:p>
    <w:p w14:paraId="72AA0C4E"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Общо 471 пациенти са включени в проучването (в пълния набор от анализи, </w:t>
      </w:r>
      <w:r w:rsidRPr="004F4AEA">
        <w:rPr>
          <w:rFonts w:eastAsia="Times New Roman" w:cs="Arial"/>
          <w:color w:val="000000"/>
          <w:szCs w:val="20"/>
          <w:lang w:val="en-US"/>
        </w:rPr>
        <w:t xml:space="preserve">FAS), </w:t>
      </w:r>
      <w:r w:rsidRPr="004F4AEA">
        <w:rPr>
          <w:rFonts w:eastAsia="Times New Roman" w:cs="Arial"/>
          <w:color w:val="000000"/>
          <w:szCs w:val="20"/>
          <w:lang w:eastAsia="bg-BG"/>
        </w:rPr>
        <w:t xml:space="preserve">от тях 439 в набор от анализи по протокол (РР). Не са отбелязани значими разлики в изходните характеристики и в двете лечебни групи. При потвърдителния анализ 71,3% от пациентите в групата на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един път дневно и 75,1% от пациентите в групата на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три пъти дневно (РР) (р: 0,01975) са в ремисия, доказвайки, че лечението с будезонид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един път дневно, не отстъпва по ефикасност на лечението с будезонид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три пъти дневно.</w:t>
      </w:r>
    </w:p>
    <w:p w14:paraId="00A713CF"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Не са съобщени сериозни нежелани събития, свързани с лекарствения продукт.</w:t>
      </w:r>
    </w:p>
    <w:p w14:paraId="3BCE60C8" w14:textId="77777777" w:rsidR="004F4AEA" w:rsidRPr="004F4AEA" w:rsidRDefault="004F4AEA" w:rsidP="004F4AEA">
      <w:pPr>
        <w:spacing w:line="240" w:lineRule="auto"/>
        <w:rPr>
          <w:rFonts w:eastAsia="Times New Roman" w:cs="Arial"/>
          <w:i/>
          <w:iCs/>
          <w:color w:val="000000"/>
          <w:szCs w:val="20"/>
          <w:u w:val="single"/>
          <w:lang w:eastAsia="bg-BG"/>
        </w:rPr>
      </w:pPr>
    </w:p>
    <w:p w14:paraId="24AFAF43" w14:textId="47F9235C"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 xml:space="preserve">Клинични проучвания при педиатрични пациенти с болестта на </w:t>
      </w:r>
      <w:r w:rsidRPr="004F4AEA">
        <w:rPr>
          <w:rFonts w:eastAsia="Times New Roman" w:cs="Arial"/>
          <w:i/>
          <w:iCs/>
          <w:color w:val="000000"/>
          <w:szCs w:val="20"/>
          <w:u w:val="single"/>
          <w:lang w:val="en-US"/>
        </w:rPr>
        <w:t>Crohn</w:t>
      </w:r>
    </w:p>
    <w:p w14:paraId="02316D8F" w14:textId="5FE1988C" w:rsidR="004F4AEA" w:rsidRDefault="004F4AEA" w:rsidP="004F4AEA">
      <w:pPr>
        <w:rPr>
          <w:rFonts w:eastAsia="Times New Roman" w:cs="Arial"/>
          <w:color w:val="000000"/>
          <w:szCs w:val="20"/>
          <w:lang w:eastAsia="bg-BG"/>
        </w:rPr>
      </w:pPr>
      <w:r w:rsidRPr="004F4AEA">
        <w:rPr>
          <w:rFonts w:eastAsia="Times New Roman" w:cs="Arial"/>
          <w:color w:val="000000"/>
          <w:szCs w:val="20"/>
          <w:lang w:eastAsia="bg-BG"/>
        </w:rPr>
        <w:t xml:space="preserve">Две рандомизирани контролирани проучвания с 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капсули включват пациенти във възрастовия диапазон от 8 до 19 години, с леко до умерено активна болест на </w:t>
      </w:r>
      <w:r w:rsidRPr="004F4AEA">
        <w:rPr>
          <w:rFonts w:eastAsia="Times New Roman" w:cs="Arial"/>
          <w:color w:val="000000"/>
          <w:szCs w:val="20"/>
          <w:lang w:val="en-US"/>
        </w:rPr>
        <w:t xml:space="preserve">Crohn (PCDAI </w:t>
      </w:r>
      <w:r w:rsidRPr="004F4AEA">
        <w:rPr>
          <w:rFonts w:eastAsia="Times New Roman" w:cs="Arial"/>
          <w:color w:val="000000"/>
          <w:szCs w:val="20"/>
          <w:lang w:eastAsia="bg-BG"/>
        </w:rPr>
        <w:t xml:space="preserve">[педиатричен индекс на активност на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12,5-40) с възпаление на илеума, илеоколона или само на колона.</w:t>
      </w:r>
    </w:p>
    <w:p w14:paraId="6CA6257F" w14:textId="3CF975E5" w:rsidR="004F4AEA" w:rsidRDefault="004F4AEA" w:rsidP="004F4AEA">
      <w:pPr>
        <w:rPr>
          <w:rFonts w:eastAsia="Times New Roman" w:cs="Arial"/>
          <w:color w:val="000000"/>
          <w:szCs w:val="20"/>
          <w:lang w:eastAsia="bg-BG"/>
        </w:rPr>
      </w:pPr>
    </w:p>
    <w:p w14:paraId="5C5573BA"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При едното проучване общо 33 пациенти са лекувани с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три пъти дневно) за 8 седмици, последвани от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през 9-та седмица и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през 10-та седмица, или с преднизон (40 </w:t>
      </w:r>
      <w:r w:rsidRPr="004F4AEA">
        <w:rPr>
          <w:rFonts w:eastAsia="Times New Roman" w:cs="Arial"/>
          <w:color w:val="000000"/>
          <w:szCs w:val="20"/>
          <w:lang w:val="en-US"/>
        </w:rPr>
        <w:t>mg</w:t>
      </w:r>
      <w:r w:rsidRPr="004F4AEA">
        <w:rPr>
          <w:rFonts w:eastAsia="Times New Roman" w:cs="Arial"/>
          <w:color w:val="000000"/>
          <w:szCs w:val="20"/>
          <w:lang w:eastAsia="bg-BG"/>
        </w:rPr>
        <w:t xml:space="preserve">/ден за две седмици, постепенно намаляван до нула с 5 </w:t>
      </w:r>
      <w:r w:rsidRPr="004F4AEA">
        <w:rPr>
          <w:rFonts w:eastAsia="Times New Roman" w:cs="Arial"/>
          <w:color w:val="000000"/>
          <w:szCs w:val="20"/>
          <w:lang w:val="en-US"/>
        </w:rPr>
        <w:t>mg</w:t>
      </w:r>
      <w:r w:rsidRPr="004F4AEA">
        <w:rPr>
          <w:rFonts w:eastAsia="Times New Roman" w:cs="Arial"/>
          <w:color w:val="000000"/>
          <w:szCs w:val="20"/>
          <w:lang w:eastAsia="bg-BG"/>
        </w:rPr>
        <w:t xml:space="preserve">/седмица). Ремисия </w:t>
      </w:r>
      <w:r w:rsidRPr="004F4AEA">
        <w:rPr>
          <w:rFonts w:eastAsia="Times New Roman" w:cs="Arial"/>
          <w:color w:val="000000"/>
          <w:szCs w:val="20"/>
          <w:lang w:val="en-US"/>
        </w:rPr>
        <w:t xml:space="preserve">(PCDAI </w:t>
      </w:r>
      <w:r w:rsidRPr="004F4AEA">
        <w:rPr>
          <w:rFonts w:eastAsia="Times New Roman" w:cs="Arial"/>
          <w:color w:val="000000"/>
          <w:szCs w:val="20"/>
          <w:lang w:eastAsia="bg-BG"/>
        </w:rPr>
        <w:t>≤ 10) е постигната при 9/19 (47,3%) от пациентите в групата на будезонид (на 4-та и 12-та седмица) и при 8/14 (57,1% на 4-та седмица), и при 7/14 (50% на 12-та седмица) от пациентите в групата на преднизон.</w:t>
      </w:r>
    </w:p>
    <w:p w14:paraId="55458235"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При второто проучване, включващо 70 деца с болест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 xml:space="preserve">са сравнявани две терапевтични схеми с будезонид: пациентите в първата група са лекувани в продължение на 7 седмици с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три пъти дневно), последвани от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два пъти дневно) за допълнителни 3 седмици. Пациентите във </w:t>
      </w:r>
      <w:r w:rsidRPr="004F4AEA">
        <w:rPr>
          <w:rFonts w:eastAsia="Times New Roman" w:cs="Arial"/>
          <w:color w:val="000000"/>
          <w:szCs w:val="20"/>
          <w:lang w:eastAsia="bg-BG"/>
        </w:rPr>
        <w:lastRenderedPageBreak/>
        <w:t xml:space="preserve">втората група са лекувани в продължение на 4 седмици с 12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будезонид/ден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три пъти дневно и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един път дневно), последвани от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будезонид/ден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два пъти дневно) и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будезонид/ден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два пъти дневно) за допълнителни 3 седмици. Средното понижение на </w:t>
      </w:r>
      <w:r w:rsidRPr="004F4AEA">
        <w:rPr>
          <w:rFonts w:eastAsia="Times New Roman" w:cs="Arial"/>
          <w:color w:val="000000"/>
          <w:szCs w:val="20"/>
          <w:lang w:val="en-US"/>
        </w:rPr>
        <w:t xml:space="preserve">PCDAI </w:t>
      </w:r>
      <w:r w:rsidRPr="004F4AEA">
        <w:rPr>
          <w:rFonts w:eastAsia="Times New Roman" w:cs="Arial"/>
          <w:color w:val="000000"/>
          <w:szCs w:val="20"/>
          <w:lang w:eastAsia="bg-BG"/>
        </w:rPr>
        <w:t xml:space="preserve">на седмица 7 е дефинирано като първична точка за ефикасност. И при двете групи е наблюдавано клинично значимо понижение на </w:t>
      </w:r>
      <w:r w:rsidRPr="004F4AEA">
        <w:rPr>
          <w:rFonts w:eastAsia="Times New Roman" w:cs="Arial"/>
          <w:color w:val="000000"/>
          <w:szCs w:val="20"/>
          <w:lang w:val="en-US"/>
        </w:rPr>
        <w:t xml:space="preserve">PCDAI. </w:t>
      </w:r>
      <w:r w:rsidRPr="004F4AEA">
        <w:rPr>
          <w:rFonts w:eastAsia="Times New Roman" w:cs="Arial"/>
          <w:color w:val="000000"/>
          <w:szCs w:val="20"/>
          <w:lang w:eastAsia="bg-BG"/>
        </w:rPr>
        <w:t xml:space="preserve">Понижението е по-изразено в група 2, но разликата между групите не е достигнала статистическа значимост. Вторични крайни точки за ефикасност: подобрение (дефинирано като понижение на </w:t>
      </w:r>
      <w:r w:rsidRPr="004F4AEA">
        <w:rPr>
          <w:rFonts w:eastAsia="Times New Roman" w:cs="Arial"/>
          <w:color w:val="000000"/>
          <w:szCs w:val="20"/>
          <w:lang w:val="en-US"/>
        </w:rPr>
        <w:t xml:space="preserve">PCDAI </w:t>
      </w:r>
      <w:r w:rsidRPr="004F4AEA">
        <w:rPr>
          <w:rFonts w:eastAsia="Times New Roman" w:cs="Arial"/>
          <w:color w:val="000000"/>
          <w:szCs w:val="20"/>
          <w:lang w:eastAsia="bg-BG"/>
        </w:rPr>
        <w:t xml:space="preserve">≥ 10 точки) е наблюдавано при 51,4% от пациентите в първата група и при 74,3% от пациентите във втората група (без статистическа значимост); ремисия </w:t>
      </w:r>
      <w:r w:rsidRPr="004F4AEA">
        <w:rPr>
          <w:rFonts w:eastAsia="Times New Roman" w:cs="Arial"/>
          <w:color w:val="000000"/>
          <w:szCs w:val="20"/>
          <w:lang w:val="en-US"/>
        </w:rPr>
        <w:t xml:space="preserve">(PCDAI </w:t>
      </w:r>
      <w:r w:rsidRPr="004F4AEA">
        <w:rPr>
          <w:rFonts w:eastAsia="Times New Roman" w:cs="Arial"/>
          <w:color w:val="000000"/>
          <w:szCs w:val="20"/>
          <w:lang w:eastAsia="bg-BG"/>
        </w:rPr>
        <w:t>≤ 12,5 точки) е установена при 42,9% от пациентите в първата група и при 65,7% от пациентите във втората група (без статистическа значимост).</w:t>
      </w:r>
    </w:p>
    <w:p w14:paraId="5E8D4A84" w14:textId="77777777" w:rsidR="004F4AEA" w:rsidRPr="004F4AEA" w:rsidRDefault="004F4AEA" w:rsidP="004F4AEA">
      <w:pPr>
        <w:rPr>
          <w:rFonts w:eastAsia="Times New Roman" w:cs="Arial"/>
          <w:i/>
          <w:iCs/>
          <w:color w:val="000000"/>
          <w:szCs w:val="20"/>
          <w:lang w:eastAsia="bg-BG"/>
        </w:rPr>
      </w:pPr>
    </w:p>
    <w:p w14:paraId="492C964D" w14:textId="5672A7CA" w:rsidR="004F4AEA" w:rsidRDefault="004F4AEA" w:rsidP="004F4AEA">
      <w:pPr>
        <w:rPr>
          <w:rFonts w:eastAsia="Times New Roman" w:cs="Arial"/>
          <w:i/>
          <w:iCs/>
          <w:color w:val="000000"/>
          <w:szCs w:val="20"/>
          <w:lang w:eastAsia="bg-BG"/>
        </w:rPr>
      </w:pPr>
      <w:r w:rsidRPr="004F4AEA">
        <w:rPr>
          <w:rFonts w:eastAsia="Times New Roman" w:cs="Arial"/>
          <w:i/>
          <w:iCs/>
          <w:color w:val="000000"/>
          <w:szCs w:val="20"/>
          <w:lang w:eastAsia="bg-BG"/>
        </w:rPr>
        <w:t>Микроскопски колит</w:t>
      </w:r>
    </w:p>
    <w:p w14:paraId="079BC2F5" w14:textId="7D92EAEC" w:rsidR="004F4AEA" w:rsidRDefault="004F4AEA" w:rsidP="004F4AEA">
      <w:pPr>
        <w:rPr>
          <w:rFonts w:eastAsia="Times New Roman" w:cs="Arial"/>
          <w:i/>
          <w:iCs/>
          <w:color w:val="000000"/>
          <w:szCs w:val="20"/>
          <w:lang w:eastAsia="bg-BG"/>
        </w:rPr>
      </w:pPr>
    </w:p>
    <w:p w14:paraId="3A87386A"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Клинични проучвани при индукция на ремисия при колагенозен колит</w:t>
      </w:r>
    </w:p>
    <w:p w14:paraId="708C1D7C"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Ефикасността и безопасността на будезонид при индукция на ремисия при колагенозен колит са оценени в две проспективни, двойнослепи (ДС), рандомизирани, плацебо-контролирани, мултицентрови проучвания при пациенти с активен колагенозен колит.</w:t>
      </w:r>
    </w:p>
    <w:p w14:paraId="4A541C3A"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В едно проучване 30 пациенти са рандомизирани на лечение с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25 пациенти - на лечение с 3 </w:t>
      </w:r>
      <w:r w:rsidRPr="004F4AEA">
        <w:rPr>
          <w:rFonts w:eastAsia="Times New Roman" w:cs="Arial"/>
          <w:color w:val="000000"/>
          <w:szCs w:val="20"/>
          <w:lang w:val="en-US"/>
        </w:rPr>
        <w:t xml:space="preserve">g </w:t>
      </w:r>
      <w:r w:rsidRPr="004F4AEA">
        <w:rPr>
          <w:rFonts w:eastAsia="Times New Roman" w:cs="Arial"/>
          <w:color w:val="000000"/>
          <w:szCs w:val="20"/>
          <w:lang w:eastAsia="bg-BG"/>
        </w:rPr>
        <w:t>мезалазин дневно и 37 - на плацебо. Първичната променлива за ефикасност е процентът на пациентите в клинична ремисия, определена като ≤ 3 изхождания дневно. 80% от пациентите, лекувани с будезонид, 44% от пациентите, лекувани с мезалазин и 59,5% от пациентите в плацебо групата са постигнали първичната крайна точка (будезонид спрямо плацебо = 0,072). Съгласно друго определение на клинична ремисия, при което се взема под внимание и консистенцията на изпражненията, т.е. средно &lt; 3 изхождания дневно и средно &lt; 1 изхождане с воднисти изпражнения дневно през последните 7 дни преди последното приложение на изпитваното лекарство, 80% от пациентите в групата на будезонид, 32,0% от пациентите в групата на мезалазин и 37,8% от пациентите в плацебо групата са постигнали ремисия (будезонид спрямо плацебо: р &lt; 0,0006). Будезонид е бил безопасен и с добра поносимост. Нито едно от нежеланите събития в групата на будезонид не се счита за свързано с лекарството.</w:t>
      </w:r>
    </w:p>
    <w:p w14:paraId="17CBB26B"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В друго проучване 14 пациенти са рандомизирани на лечение с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будезонид дневно и 14 са рандомизирани на плацебо. Първичната променлива за ефикасност е клиничен отговор, определен като понижение до ≤ 50% на активността на заболяването на изходно ниво с клинично проявена активност на заболяването, определена като брой на изхожданията през последните 7 дни. 57,1% от пациентите в групата на будезонид и 21,4% в плацебо групата са постигнали клиничен отговор (р = 0,05). Будезонид е бил безопасен и с добра поносимост. Не са възникнали сериозни нежелани лекарствени реакции в групата на будезонид.</w:t>
      </w:r>
    </w:p>
    <w:p w14:paraId="202CC7A7" w14:textId="77777777" w:rsidR="004F4AEA" w:rsidRPr="004F4AEA" w:rsidRDefault="004F4AEA" w:rsidP="004F4AEA">
      <w:pPr>
        <w:spacing w:line="240" w:lineRule="auto"/>
        <w:rPr>
          <w:rFonts w:eastAsia="Times New Roman" w:cs="Arial"/>
          <w:i/>
          <w:iCs/>
          <w:color w:val="000000"/>
          <w:szCs w:val="20"/>
          <w:u w:val="single"/>
          <w:lang w:eastAsia="bg-BG"/>
        </w:rPr>
      </w:pPr>
    </w:p>
    <w:p w14:paraId="7C886213" w14:textId="5C360A0F"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Клинично проучване при поддържане на ремисия при колагенозен колит</w:t>
      </w:r>
    </w:p>
    <w:p w14:paraId="2B952822" w14:textId="77777777" w:rsidR="004F4AEA" w:rsidRPr="004F4AEA" w:rsidRDefault="004F4AEA" w:rsidP="004F4AEA">
      <w:pPr>
        <w:rPr>
          <w:rFonts w:eastAsia="Times New Roman" w:cs="Arial"/>
          <w:sz w:val="28"/>
          <w:szCs w:val="24"/>
          <w:lang w:eastAsia="bg-BG"/>
        </w:rPr>
      </w:pPr>
      <w:r w:rsidRPr="004F4AEA">
        <w:rPr>
          <w:rFonts w:eastAsia="Times New Roman" w:cs="Arial"/>
          <w:color w:val="000000"/>
          <w:szCs w:val="20"/>
          <w:lang w:eastAsia="bg-BG"/>
        </w:rPr>
        <w:t>Клиничната ефикасност и безопасността на будезонид при поддържане на ремисия при колагенозен колит са оценени в едно проспективно, двойносляпо (ДС), рандомизирано, плацебо- контролирано, мултицентрово проучване при пациенти с неактивен колагенозен колит. Първичната крайна точка е делът на пациентите в клинична ремисия в продължение на  52 седмици. Ремисията е определена като средно &lt; 3 изхождания/ден, от които средно</w:t>
      </w:r>
      <w:r>
        <w:rPr>
          <w:rFonts w:eastAsia="Times New Roman" w:cs="Arial"/>
          <w:color w:val="000000"/>
          <w:szCs w:val="20"/>
          <w:lang w:eastAsia="bg-BG"/>
        </w:rPr>
        <w:t xml:space="preserve"> </w:t>
      </w:r>
      <w:r w:rsidRPr="004F4AEA">
        <w:rPr>
          <w:rFonts w:eastAsia="Times New Roman" w:cs="Arial"/>
          <w:color w:val="000000"/>
          <w:szCs w:val="20"/>
          <w:lang w:eastAsia="bg-BG"/>
        </w:rPr>
        <w:t xml:space="preserve">&lt; 1 изхождане с воднисти изпражнения/ден през седмицата преди </w:t>
      </w:r>
      <w:r w:rsidRPr="004F4AEA">
        <w:rPr>
          <w:rFonts w:eastAsia="Times New Roman" w:cs="Arial"/>
          <w:color w:val="000000"/>
          <w:szCs w:val="20"/>
          <w:lang w:eastAsia="bg-BG"/>
        </w:rPr>
        <w:lastRenderedPageBreak/>
        <w:t>последната визита и без рецидив по време на 1 -годишния курс на лечение. Рецидивът е опреден като</w:t>
      </w:r>
    </w:p>
    <w:p w14:paraId="14315A93"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средно ≥ 3 изхождания/ден, от които средно ≥ 1 изхождане с воднисти изпражнения/ден през предишната седмица.</w:t>
      </w:r>
    </w:p>
    <w:p w14:paraId="446C720C"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92 пациенти са рандомизирани на лечение в ДС фаза (44 будезонид, 48 плацебо) и са приели поне една доза от изпитваното лекарство (пълен набор за анализ, </w:t>
      </w:r>
      <w:r w:rsidRPr="004F4AEA">
        <w:rPr>
          <w:rFonts w:eastAsia="Times New Roman" w:cs="Arial"/>
          <w:color w:val="000000"/>
          <w:szCs w:val="20"/>
          <w:lang w:val="en-US"/>
        </w:rPr>
        <w:t xml:space="preserve">FAS). </w:t>
      </w:r>
      <w:r w:rsidRPr="004F4AEA">
        <w:rPr>
          <w:rFonts w:eastAsia="Times New Roman" w:cs="Arial"/>
          <w:color w:val="000000"/>
          <w:szCs w:val="20"/>
          <w:lang w:eastAsia="bg-BG"/>
        </w:rPr>
        <w:t xml:space="preserve">Дозировката е била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будезонид/ден, редуваща се с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будезонид/ден (съответстваща на средна дневна доза 4,5 </w:t>
      </w:r>
      <w:r w:rsidRPr="004F4AEA">
        <w:rPr>
          <w:rFonts w:eastAsia="Times New Roman" w:cs="Arial"/>
          <w:color w:val="000000"/>
          <w:szCs w:val="20"/>
          <w:lang w:val="en-US"/>
        </w:rPr>
        <w:t xml:space="preserve">mg </w:t>
      </w:r>
      <w:r w:rsidRPr="004F4AEA">
        <w:rPr>
          <w:rFonts w:eastAsia="Times New Roman" w:cs="Arial"/>
          <w:color w:val="000000"/>
          <w:szCs w:val="20"/>
          <w:lang w:eastAsia="bg-BG"/>
        </w:rPr>
        <w:t>будезонид). В крайния анализ значително повече пациенти в групата на будезонид (61,4%), в сравнение с пациентите в групата на плацебо (16,7%), са постигнали първичната крайна точка, което показва превъзходството на будезонид над плацебо (р &lt; 0,001).</w:t>
      </w:r>
    </w:p>
    <w:p w14:paraId="22FFBD38" w14:textId="77777777" w:rsidR="004F4AEA" w:rsidRPr="004F4AEA" w:rsidRDefault="004F4AEA" w:rsidP="004F4AEA">
      <w:pPr>
        <w:spacing w:line="240" w:lineRule="auto"/>
        <w:rPr>
          <w:rFonts w:eastAsia="Times New Roman" w:cs="Arial"/>
          <w:i/>
          <w:iCs/>
          <w:color w:val="000000"/>
          <w:szCs w:val="20"/>
          <w:lang w:eastAsia="bg-BG"/>
        </w:rPr>
      </w:pPr>
    </w:p>
    <w:p w14:paraId="0F601C7D" w14:textId="247476D6"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lang w:eastAsia="bg-BG"/>
        </w:rPr>
        <w:t>Клинично проучване при индуциране на ремисия при лимфоцитен колит</w:t>
      </w:r>
    </w:p>
    <w:p w14:paraId="7531B0FD"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Клиничната ефикасност и безопасността на будезонид при индуциране на ремисия при лимфоцитен колит са оценени в едно проспективно, двойносляпо (ДС), двойно маскирано, рандомизирано, плацебо-контролирано, мултицентрово проучване при пациенти с активен лимфоцитен колит.</w:t>
      </w:r>
    </w:p>
    <w:p w14:paraId="0E5FC1FD"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Първичната крайна точка е честотата на клинична ремисия, определена като максимум</w:t>
      </w:r>
    </w:p>
    <w:p w14:paraId="0AA1C5EE"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21 изхождания, от които не повече от 6 с воднисти изпражнения през последните 7 дни преди последната визита.</w:t>
      </w:r>
    </w:p>
    <w:p w14:paraId="7B32E5B8"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57 пациенти са рандомизирани (по 19 пациенти в групата на будезонид, групата на мезалазин и плацебо групата) и са получили поне една доза от изпитването лекарство (будезонид: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един път дневно; мезалазин: 3 </w:t>
      </w:r>
      <w:r w:rsidRPr="004F4AEA">
        <w:rPr>
          <w:rFonts w:eastAsia="Times New Roman" w:cs="Arial"/>
          <w:color w:val="000000"/>
          <w:szCs w:val="20"/>
          <w:lang w:val="en-US"/>
        </w:rPr>
        <w:t xml:space="preserve">g </w:t>
      </w:r>
      <w:r w:rsidRPr="004F4AEA">
        <w:rPr>
          <w:rFonts w:eastAsia="Times New Roman" w:cs="Arial"/>
          <w:color w:val="000000"/>
          <w:szCs w:val="20"/>
          <w:lang w:eastAsia="bg-BG"/>
        </w:rPr>
        <w:t>един път дневно). Продължителността на лечението е 8 седмици.</w:t>
      </w:r>
    </w:p>
    <w:p w14:paraId="084B493D" w14:textId="6AA3AEC4" w:rsidR="004F4AEA" w:rsidRPr="004F4AEA" w:rsidRDefault="004F4AEA" w:rsidP="004F4AEA">
      <w:pPr>
        <w:rPr>
          <w:rFonts w:eastAsia="Times New Roman" w:cs="Arial"/>
          <w:i/>
          <w:iCs/>
          <w:color w:val="000000"/>
          <w:sz w:val="28"/>
          <w:szCs w:val="20"/>
          <w:lang w:eastAsia="bg-BG"/>
        </w:rPr>
      </w:pPr>
      <w:r w:rsidRPr="004F4AEA">
        <w:rPr>
          <w:rFonts w:eastAsia="Times New Roman" w:cs="Arial"/>
          <w:color w:val="000000"/>
          <w:szCs w:val="20"/>
          <w:lang w:eastAsia="bg-BG"/>
        </w:rPr>
        <w:t>В потвърдителния анализ значително повече пациенти в групата на будезонид (78,9%), в сравнение с пациентите в плацебо групата (42,1%), са достигнали първичната крайна точка, показващо превъзходството на будезонид над плацебо (р = 0,010). 63,2% от пациентите в групата на мезалазин са постигнали ремисия (р = 0,097).</w:t>
      </w:r>
    </w:p>
    <w:p w14:paraId="12F537F8" w14:textId="4A8FE062" w:rsidR="004F4AEA" w:rsidRDefault="004F4AEA" w:rsidP="004F4AEA">
      <w:pPr>
        <w:rPr>
          <w:rFonts w:cs="Arial"/>
          <w:sz w:val="24"/>
        </w:rPr>
      </w:pPr>
    </w:p>
    <w:p w14:paraId="07C54D91"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lang w:eastAsia="bg-BG"/>
        </w:rPr>
        <w:t>Автоимунен хепатит</w:t>
      </w:r>
    </w:p>
    <w:p w14:paraId="70ECB54E" w14:textId="77777777" w:rsidR="004F4AEA" w:rsidRPr="004F4AEA" w:rsidRDefault="004F4AEA" w:rsidP="004F4AEA">
      <w:pPr>
        <w:spacing w:line="240" w:lineRule="auto"/>
        <w:rPr>
          <w:rFonts w:eastAsia="Times New Roman" w:cs="Arial"/>
          <w:i/>
          <w:iCs/>
          <w:color w:val="000000"/>
          <w:szCs w:val="20"/>
          <w:u w:val="single"/>
          <w:lang w:eastAsia="bg-BG"/>
        </w:rPr>
      </w:pPr>
    </w:p>
    <w:p w14:paraId="373D607C" w14:textId="406B56C6"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Клинично проучване при възрастни пациенти с автоимунен хепатит</w:t>
      </w:r>
    </w:p>
    <w:p w14:paraId="48AB4059"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В проспективно, двойносляпо, рандомизирано, мултицентрово проучване, 207 пациенти с автоимунен хепатит без цироза са лекувани с начална дневна доза от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будезонид (</w:t>
      </w:r>
      <w:r w:rsidRPr="004F4AEA">
        <w:rPr>
          <w:rFonts w:eastAsia="Times New Roman" w:cs="Arial"/>
          <w:color w:val="000000"/>
          <w:szCs w:val="20"/>
          <w:lang w:val="en-US"/>
        </w:rPr>
        <w:t>n</w:t>
      </w:r>
      <w:r w:rsidRPr="004F4AEA">
        <w:rPr>
          <w:rFonts w:eastAsia="Times New Roman" w:cs="Arial"/>
          <w:color w:val="000000"/>
          <w:szCs w:val="20"/>
          <w:lang w:eastAsia="bg-BG"/>
        </w:rPr>
        <w:t xml:space="preserve">=102) за 6 месеца или 40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дневно преднизон (намален до 10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дневно, </w:t>
      </w:r>
      <w:r w:rsidRPr="004F4AEA">
        <w:rPr>
          <w:rFonts w:eastAsia="Times New Roman" w:cs="Arial"/>
          <w:color w:val="000000"/>
          <w:szCs w:val="20"/>
          <w:lang w:val="en-US"/>
        </w:rPr>
        <w:t>n</w:t>
      </w:r>
      <w:r w:rsidRPr="004F4AEA">
        <w:rPr>
          <w:rFonts w:eastAsia="Times New Roman" w:cs="Arial"/>
          <w:color w:val="000000"/>
          <w:szCs w:val="20"/>
          <w:lang w:eastAsia="bg-BG"/>
        </w:rPr>
        <w:t xml:space="preserve">=105). При биохимична ремисия, дневната доза на будезонид е намалена до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Пациентите са получавали също 1 -2 </w:t>
      </w:r>
      <w:r w:rsidRPr="004F4AEA">
        <w:rPr>
          <w:rFonts w:eastAsia="Times New Roman" w:cs="Arial"/>
          <w:color w:val="000000"/>
          <w:szCs w:val="20"/>
          <w:lang w:val="en-US"/>
        </w:rPr>
        <w:t xml:space="preserve">mg/kg </w:t>
      </w:r>
      <w:r w:rsidRPr="004F4AEA">
        <w:rPr>
          <w:rFonts w:eastAsia="Times New Roman" w:cs="Arial"/>
          <w:color w:val="000000"/>
          <w:szCs w:val="20"/>
          <w:lang w:eastAsia="bg-BG"/>
        </w:rPr>
        <w:t>азатиоприн дневно през цялото проучване. Съставната крайна точка е пълна биохимична ремисия (т.е. нормални серумни нива на аспартат- и аланинаминотрансферазите), без поява на предварително определени, специфични за стероидите нежелани реакции до 6-ия месец. Тази първична крайна точка е достигната при 47% от пациентите в групата на будезонид и при 18% от пациентите в групата на преднизон (р &lt;001).</w:t>
      </w:r>
    </w:p>
    <w:p w14:paraId="6CD08539"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Относно вторичните променливи за ефикасност, в 6-ия месец е настъпила пълна биохимична ремисия съответно при 60% от групата на будезонид и 39% от групата на преднизон (р = 0.001). 72% от пациентите на будезонид и 47% от пациентите на преднизон не са развили специфични за стероидите нежелани реакции (р &lt; 0.001). Средното понижение на концентрациите на </w:t>
      </w:r>
      <w:r w:rsidRPr="004F4AEA">
        <w:rPr>
          <w:rFonts w:eastAsia="Times New Roman" w:cs="Arial"/>
          <w:color w:val="000000"/>
          <w:szCs w:val="20"/>
          <w:lang w:val="en-US"/>
        </w:rPr>
        <w:t xml:space="preserve">IgG </w:t>
      </w:r>
      <w:r w:rsidRPr="004F4AEA">
        <w:rPr>
          <w:rFonts w:eastAsia="Times New Roman" w:cs="Arial"/>
          <w:color w:val="000000"/>
          <w:szCs w:val="20"/>
          <w:lang w:eastAsia="bg-BG"/>
        </w:rPr>
        <w:t xml:space="preserve">и на у-глобулин и намалението в броя пациенти с повишени концентрации на </w:t>
      </w:r>
      <w:r w:rsidRPr="004F4AEA">
        <w:rPr>
          <w:rFonts w:eastAsia="Times New Roman" w:cs="Arial"/>
          <w:color w:val="000000"/>
          <w:szCs w:val="20"/>
          <w:lang w:val="en-US"/>
        </w:rPr>
        <w:t xml:space="preserve">IgG </w:t>
      </w:r>
      <w:r w:rsidRPr="004F4AEA">
        <w:rPr>
          <w:rFonts w:eastAsia="Times New Roman" w:cs="Arial"/>
          <w:color w:val="000000"/>
          <w:szCs w:val="20"/>
          <w:lang w:eastAsia="bg-BG"/>
        </w:rPr>
        <w:t>и γ-глобулин не са показали разлики между двете лечебни групи.</w:t>
      </w:r>
    </w:p>
    <w:p w14:paraId="0C9FEE50" w14:textId="4EDAEC50" w:rsidR="004F4AEA" w:rsidRDefault="004F4AEA" w:rsidP="004F4AEA">
      <w:pPr>
        <w:rPr>
          <w:rFonts w:eastAsia="Times New Roman" w:cs="Arial"/>
          <w:color w:val="000000"/>
          <w:szCs w:val="20"/>
          <w:lang w:eastAsia="bg-BG"/>
        </w:rPr>
      </w:pPr>
      <w:r w:rsidRPr="004F4AEA">
        <w:rPr>
          <w:rFonts w:eastAsia="Times New Roman" w:cs="Arial"/>
          <w:color w:val="000000"/>
          <w:szCs w:val="20"/>
          <w:lang w:eastAsia="bg-BG"/>
        </w:rPr>
        <w:lastRenderedPageBreak/>
        <w:t xml:space="preserve">След контролираната, двойносляпа фаза на всички пациенти е предложено отворено, проследяващо лечение за допълнителни 6 месеца. Общо 176 са продължили лечението си в тази отворена фаза и са получавали 6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дневно в комбинация с 1-2 </w:t>
      </w:r>
      <w:r w:rsidRPr="004F4AEA">
        <w:rPr>
          <w:rFonts w:eastAsia="Times New Roman" w:cs="Arial"/>
          <w:color w:val="000000"/>
          <w:szCs w:val="20"/>
          <w:lang w:val="en-US"/>
        </w:rPr>
        <w:t xml:space="preserve">mg/kg </w:t>
      </w:r>
      <w:r w:rsidRPr="004F4AEA">
        <w:rPr>
          <w:rFonts w:eastAsia="Times New Roman" w:cs="Arial"/>
          <w:color w:val="000000"/>
          <w:szCs w:val="20"/>
          <w:lang w:eastAsia="bg-BG"/>
        </w:rPr>
        <w:t>азатиоприн дневно. Процентът на пациентите с биохимична ремисия и процентът на пациентите с пълен отговор (статистически незначителен) остават все така по-високи в първоначалната група на будезонид (пълен отговор при 60% и биохимична ремисия при 68,2% в края на отворената фаза), в сравнение с групата на преднизон (пълен отговор при 49% и биохимична ремисия при 50,6%</w:t>
      </w:r>
      <w:r w:rsidRPr="004F4AEA">
        <w:rPr>
          <w:rFonts w:eastAsia="Times New Roman" w:cs="Arial"/>
          <w:color w:val="000000"/>
          <w:szCs w:val="20"/>
          <w:lang w:val="en-US"/>
        </w:rPr>
        <w:t xml:space="preserve"> </w:t>
      </w:r>
      <w:r w:rsidRPr="004F4AEA">
        <w:rPr>
          <w:rFonts w:eastAsia="Times New Roman" w:cs="Arial"/>
          <w:color w:val="000000"/>
          <w:szCs w:val="20"/>
          <w:lang w:eastAsia="bg-BG"/>
        </w:rPr>
        <w:t>в края   на отворената фаза).</w:t>
      </w:r>
    </w:p>
    <w:p w14:paraId="3FA89C7E" w14:textId="42886909" w:rsidR="004F4AEA" w:rsidRDefault="004F4AEA" w:rsidP="004F4AEA">
      <w:pPr>
        <w:rPr>
          <w:rFonts w:eastAsia="Times New Roman" w:cs="Arial"/>
          <w:color w:val="000000"/>
          <w:szCs w:val="20"/>
          <w:lang w:eastAsia="bg-BG"/>
        </w:rPr>
      </w:pPr>
    </w:p>
    <w:p w14:paraId="1108FE6D"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i/>
          <w:iCs/>
          <w:color w:val="000000"/>
          <w:szCs w:val="20"/>
          <w:u w:val="single"/>
          <w:lang w:eastAsia="bg-BG"/>
        </w:rPr>
        <w:t>Клинично проучване при педиатрични пациенти с автоимунен хепатит</w:t>
      </w:r>
    </w:p>
    <w:p w14:paraId="211556CB"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Безопасността и ефикасността на будезонид са проучвани при 46 деца (11 момчета и 35 момичета) на възраст от 9 до 18 години, като подизвадка на гореспоменатото клинично проучване. 19 деца са лекувани с будезонид и 27 са получавали активна контрола (преднизон) за индуциране на ремисия с дневна доза от 9 </w:t>
      </w:r>
      <w:r w:rsidRPr="004F4AEA">
        <w:rPr>
          <w:rFonts w:eastAsia="Times New Roman" w:cs="Arial"/>
          <w:color w:val="000000"/>
          <w:szCs w:val="20"/>
          <w:lang w:val="en-US"/>
        </w:rPr>
        <w:t xml:space="preserve">mg </w:t>
      </w:r>
      <w:r w:rsidRPr="004F4AEA">
        <w:rPr>
          <w:rFonts w:eastAsia="Times New Roman" w:cs="Arial"/>
          <w:color w:val="000000"/>
          <w:szCs w:val="20"/>
          <w:lang w:eastAsia="bg-BG"/>
        </w:rPr>
        <w:t>будезонид. След 6 месеца в проучването, 42 деца са продължили отворено, проследяващо лечение с будезонид за допълнителни 6 месеца.</w:t>
      </w:r>
    </w:p>
    <w:p w14:paraId="06326141" w14:textId="47724488" w:rsidR="004F4AEA" w:rsidRPr="004F4AEA" w:rsidRDefault="004F4AEA" w:rsidP="004F4AEA">
      <w:pPr>
        <w:rPr>
          <w:rFonts w:eastAsia="Times New Roman" w:cs="Arial"/>
          <w:color w:val="000000"/>
          <w:szCs w:val="20"/>
          <w:lang w:eastAsia="bg-BG"/>
        </w:rPr>
      </w:pPr>
      <w:r w:rsidRPr="004F4AEA">
        <w:rPr>
          <w:rFonts w:eastAsia="Times New Roman" w:cs="Arial"/>
          <w:color w:val="000000"/>
          <w:szCs w:val="20"/>
          <w:lang w:eastAsia="bg-BG"/>
        </w:rPr>
        <w:t xml:space="preserve">Процентът на участниците с пълен отговор (дефиниран като биохимичен отговор, т.е. нормализиране на чернодробните трансаминази (АСАТ и АЛАТ) </w:t>
      </w:r>
      <w:r w:rsidRPr="004F4AEA">
        <w:rPr>
          <w:rFonts w:eastAsia="Times New Roman" w:cs="Arial"/>
          <w:b/>
          <w:bCs/>
          <w:color w:val="000000"/>
          <w:szCs w:val="20"/>
          <w:lang w:eastAsia="bg-BG"/>
        </w:rPr>
        <w:t xml:space="preserve">и </w:t>
      </w:r>
      <w:r w:rsidRPr="004F4AEA">
        <w:rPr>
          <w:rFonts w:eastAsia="Times New Roman" w:cs="Arial"/>
          <w:color w:val="000000"/>
          <w:szCs w:val="20"/>
          <w:lang w:eastAsia="bg-BG"/>
        </w:rPr>
        <w:t>отсъствие на специфични за стероидите нежелани реакции) сред пациентите на възраст ≤ 18 години е значително по-нисък, в сравнение с възрастните пациенти. Не е наблюдавана значителна разлика между двете лечебни групи. След проследяващото лечение с будезонид за допълнителни 6 месеца, процентът на децата с пълен отговор остава все така малко по-нисък, в сравнение с възрастните пациенти, но разликата между двете възрастови групи е много по-малка. Не е отбелязана значителна разлика в процента на пациентите с пълен отговор между първоначално лекуваните с преднизон и тези на продължително лечение с будезонид.</w:t>
      </w:r>
    </w:p>
    <w:p w14:paraId="05BBE3DC" w14:textId="77777777" w:rsidR="004F4AEA" w:rsidRPr="004F4AEA" w:rsidRDefault="004F4AEA" w:rsidP="004F4AEA">
      <w:pPr>
        <w:rPr>
          <w:rFonts w:cs="Arial"/>
          <w:sz w:val="28"/>
        </w:rPr>
      </w:pPr>
    </w:p>
    <w:p w14:paraId="35F84B81" w14:textId="755F8102" w:rsidR="00CF77F7" w:rsidRDefault="002C50EE" w:rsidP="004A448E">
      <w:pPr>
        <w:pStyle w:val="Heading2"/>
      </w:pPr>
      <w:r>
        <w:t>5.2. Фармакокинетични свойства</w:t>
      </w:r>
    </w:p>
    <w:p w14:paraId="6BE51A0B" w14:textId="4F24FCA0" w:rsidR="004F4AEA" w:rsidRDefault="004F4AEA" w:rsidP="004F4AEA"/>
    <w:p w14:paraId="77DE9541" w14:textId="00BC25E0" w:rsidR="004F4AEA" w:rsidRPr="004F4AEA" w:rsidRDefault="004F4AEA" w:rsidP="004F4AEA">
      <w:pPr>
        <w:spacing w:line="240" w:lineRule="auto"/>
        <w:rPr>
          <w:rFonts w:eastAsia="Times New Roman" w:cs="Arial"/>
          <w:color w:val="000000"/>
          <w:szCs w:val="20"/>
          <w:u w:val="single"/>
          <w:lang w:val="en-US" w:eastAsia="bg-BG"/>
        </w:rPr>
      </w:pPr>
      <w:r w:rsidRPr="004F4AEA">
        <w:rPr>
          <w:rFonts w:eastAsia="Times New Roman" w:cs="Arial"/>
          <w:color w:val="000000"/>
          <w:szCs w:val="20"/>
          <w:u w:val="single"/>
          <w:lang w:eastAsia="bg-BG"/>
        </w:rPr>
        <w:t>Най-общи характеристики на будезонид</w:t>
      </w:r>
      <w:r w:rsidRPr="004F4AEA">
        <w:rPr>
          <w:rFonts w:eastAsia="Times New Roman" w:cs="Arial"/>
          <w:color w:val="000000"/>
          <w:szCs w:val="20"/>
          <w:u w:val="single"/>
          <w:lang w:val="en-US" w:eastAsia="bg-BG"/>
        </w:rPr>
        <w:t>:</w:t>
      </w:r>
    </w:p>
    <w:p w14:paraId="1E716F00" w14:textId="77777777" w:rsidR="004F4AEA" w:rsidRPr="004F4AEA" w:rsidRDefault="004F4AEA" w:rsidP="004F4AEA">
      <w:pPr>
        <w:spacing w:line="240" w:lineRule="auto"/>
        <w:rPr>
          <w:rFonts w:eastAsia="Times New Roman" w:cs="Arial"/>
          <w:sz w:val="28"/>
          <w:szCs w:val="24"/>
          <w:lang w:eastAsia="bg-BG"/>
        </w:rPr>
      </w:pPr>
    </w:p>
    <w:p w14:paraId="3110CE55" w14:textId="77777777"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t>Абсорбция</w:t>
      </w:r>
    </w:p>
    <w:p w14:paraId="6CC8661F"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Оралната бионаличност, както при доброволци, така и на гладно, при пациенти с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е около 9-13%.</w:t>
      </w:r>
    </w:p>
    <w:p w14:paraId="7EEBE07A" w14:textId="77777777" w:rsidR="004F4AEA" w:rsidRPr="004F4AEA" w:rsidRDefault="004F4AEA" w:rsidP="004F4AEA">
      <w:pPr>
        <w:spacing w:line="240" w:lineRule="auto"/>
        <w:rPr>
          <w:rFonts w:eastAsia="Times New Roman" w:cs="Arial"/>
          <w:color w:val="000000"/>
          <w:szCs w:val="20"/>
          <w:u w:val="single"/>
          <w:lang w:eastAsia="bg-BG"/>
        </w:rPr>
      </w:pPr>
    </w:p>
    <w:p w14:paraId="5F02ABE5" w14:textId="57A20D7A"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t>Разпределение</w:t>
      </w:r>
    </w:p>
    <w:p w14:paraId="04895B1E"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Будезонид има голям обем на разпределение (около 3 </w:t>
      </w:r>
      <w:r w:rsidRPr="004F4AEA">
        <w:rPr>
          <w:rFonts w:eastAsia="Times New Roman" w:cs="Arial"/>
          <w:color w:val="000000"/>
          <w:szCs w:val="20"/>
          <w:lang w:val="en-US"/>
        </w:rPr>
        <w:t xml:space="preserve">l/kg). </w:t>
      </w:r>
      <w:r w:rsidRPr="004F4AEA">
        <w:rPr>
          <w:rFonts w:eastAsia="Times New Roman" w:cs="Arial"/>
          <w:color w:val="000000"/>
          <w:szCs w:val="20"/>
          <w:lang w:eastAsia="bg-BG"/>
        </w:rPr>
        <w:t>Свързването с плазмените белтъци има средни стойности от 85-90%.</w:t>
      </w:r>
    </w:p>
    <w:p w14:paraId="03EF4362" w14:textId="77777777" w:rsidR="004F4AEA" w:rsidRPr="004F4AEA" w:rsidRDefault="004F4AEA" w:rsidP="004F4AEA">
      <w:pPr>
        <w:spacing w:line="240" w:lineRule="auto"/>
        <w:rPr>
          <w:rFonts w:eastAsia="Times New Roman" w:cs="Arial"/>
          <w:color w:val="000000"/>
          <w:szCs w:val="20"/>
          <w:u w:val="single"/>
          <w:lang w:eastAsia="bg-BG"/>
        </w:rPr>
      </w:pPr>
    </w:p>
    <w:p w14:paraId="24794918" w14:textId="3A0F9C63"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t>Биотрансформация</w:t>
      </w:r>
    </w:p>
    <w:p w14:paraId="5BF5E43A"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Будезонид претърпява екстензивна биотрансформация в черния дроб (приблизително 90%) до метаболити с ниска глюкокортикоидна активност. Глюкокортикостероидната активност на основните метаболити, 6β-хидроксибудезонид и 16α-хидроксипреднизолон, е по-малка от 1% от тази на будезонид.</w:t>
      </w:r>
    </w:p>
    <w:p w14:paraId="3A91DF43" w14:textId="77777777" w:rsidR="004F4AEA" w:rsidRPr="004F4AEA" w:rsidRDefault="004F4AEA" w:rsidP="004F4AEA">
      <w:pPr>
        <w:spacing w:line="240" w:lineRule="auto"/>
        <w:rPr>
          <w:rFonts w:eastAsia="Times New Roman" w:cs="Arial"/>
          <w:color w:val="000000"/>
          <w:szCs w:val="20"/>
          <w:u w:val="single"/>
          <w:lang w:eastAsia="bg-BG"/>
        </w:rPr>
      </w:pPr>
    </w:p>
    <w:p w14:paraId="03415BFE" w14:textId="0CF8A9AC"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lastRenderedPageBreak/>
        <w:t>Елиминиране</w:t>
      </w:r>
    </w:p>
    <w:p w14:paraId="7D72C75B"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Средното време на полуживот след перорално приложение е около 3-4 часа. Оралната бионаличност, както при доброволци, така и на гладно, при пациенти с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е около 9-13%.</w:t>
      </w:r>
    </w:p>
    <w:p w14:paraId="3756F515"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Скоростта на клирънса на будезонид е приблизително 10-15 </w:t>
      </w:r>
      <w:r w:rsidRPr="004F4AEA">
        <w:rPr>
          <w:rFonts w:eastAsia="Times New Roman" w:cs="Arial"/>
          <w:color w:val="000000"/>
          <w:szCs w:val="20"/>
          <w:lang w:val="en-US"/>
        </w:rPr>
        <w:t>l/min.</w:t>
      </w:r>
    </w:p>
    <w:p w14:paraId="649BE195" w14:textId="77777777" w:rsidR="004F4AEA" w:rsidRPr="004F4AEA" w:rsidRDefault="004F4AEA" w:rsidP="004F4AEA">
      <w:pPr>
        <w:spacing w:line="240" w:lineRule="auto"/>
        <w:rPr>
          <w:rFonts w:eastAsia="Times New Roman" w:cs="Arial"/>
          <w:color w:val="000000"/>
          <w:szCs w:val="20"/>
          <w:u w:val="single"/>
          <w:lang w:eastAsia="bg-BG"/>
        </w:rPr>
      </w:pPr>
    </w:p>
    <w:p w14:paraId="1E04FD53" w14:textId="092ED487"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t>Специални популации (пациенти с нарушена чернодробна функция)</w:t>
      </w:r>
    </w:p>
    <w:p w14:paraId="407712B3"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Системната експозиция на будезонид може да бъде увеличена при пациенти с нарушена чернодробна функция, поради забавяне на метаболизма на будезонид от </w:t>
      </w:r>
      <w:r w:rsidRPr="004F4AEA">
        <w:rPr>
          <w:rFonts w:eastAsia="Times New Roman" w:cs="Arial"/>
          <w:color w:val="000000"/>
          <w:szCs w:val="20"/>
          <w:lang w:val="en-US"/>
        </w:rPr>
        <w:t>CYP3A4.</w:t>
      </w:r>
    </w:p>
    <w:p w14:paraId="2663AD03" w14:textId="77777777" w:rsidR="004F4AEA" w:rsidRPr="004F4AEA" w:rsidRDefault="004F4AEA" w:rsidP="004F4AEA">
      <w:pPr>
        <w:spacing w:line="240" w:lineRule="auto"/>
        <w:rPr>
          <w:rFonts w:eastAsia="Times New Roman" w:cs="Arial"/>
          <w:color w:val="000000"/>
          <w:szCs w:val="20"/>
          <w:u w:val="single"/>
          <w:lang w:eastAsia="bg-BG"/>
        </w:rPr>
      </w:pPr>
    </w:p>
    <w:p w14:paraId="331523B0" w14:textId="4B2A073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u w:val="single"/>
          <w:lang w:eastAsia="bg-BG"/>
        </w:rPr>
        <w:t xml:space="preserve">Специфични особености на будезонид 3 </w:t>
      </w:r>
      <w:r w:rsidRPr="004F4AEA">
        <w:rPr>
          <w:rFonts w:eastAsia="Times New Roman" w:cs="Arial"/>
          <w:color w:val="000000"/>
          <w:szCs w:val="20"/>
          <w:u w:val="single"/>
          <w:lang w:val="en-US"/>
        </w:rPr>
        <w:t>mg:</w:t>
      </w:r>
    </w:p>
    <w:p w14:paraId="335AAEE3" w14:textId="77777777" w:rsidR="004F4AEA" w:rsidRPr="004F4AEA" w:rsidRDefault="004F4AEA" w:rsidP="004F4AEA">
      <w:pPr>
        <w:spacing w:line="240" w:lineRule="auto"/>
        <w:rPr>
          <w:rFonts w:eastAsia="Times New Roman" w:cs="Arial"/>
          <w:color w:val="000000"/>
          <w:szCs w:val="20"/>
          <w:u w:val="single"/>
          <w:lang w:eastAsia="bg-BG"/>
        </w:rPr>
      </w:pPr>
    </w:p>
    <w:p w14:paraId="4D06D56D" w14:textId="58F1125F" w:rsidR="004F4AEA" w:rsidRPr="00AC689F" w:rsidRDefault="004F4AEA" w:rsidP="00AC689F">
      <w:pPr>
        <w:pStyle w:val="Heading3"/>
        <w:rPr>
          <w:rFonts w:eastAsia="Times New Roman"/>
          <w:sz w:val="28"/>
          <w:u w:val="single"/>
          <w:lang w:eastAsia="bg-BG"/>
        </w:rPr>
      </w:pPr>
      <w:r w:rsidRPr="00AC689F">
        <w:rPr>
          <w:rFonts w:eastAsia="Times New Roman"/>
          <w:u w:val="single"/>
          <w:lang w:eastAsia="bg-BG"/>
        </w:rPr>
        <w:t>Абсорбция</w:t>
      </w:r>
    </w:p>
    <w:p w14:paraId="1A36A32C"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Поради специалната стомашно-устойчива обвивка на гранулите, съдържащи се в 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капсули, абсорбцията настъпва след удължена 2-3-часова фаза. При здрави доброволци, както и при пациенти с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средни максимални плазмени концентрации от 1-2</w:t>
      </w:r>
      <w:r w:rsidRPr="004F4AEA">
        <w:rPr>
          <w:rFonts w:eastAsia="Times New Roman" w:cs="Arial"/>
          <w:color w:val="000000"/>
          <w:szCs w:val="20"/>
          <w:lang w:val="en-US"/>
        </w:rPr>
        <w:t xml:space="preserve"> ng/ml</w:t>
      </w:r>
      <w:r w:rsidRPr="004F4AEA">
        <w:rPr>
          <w:rFonts w:eastAsia="Times New Roman" w:cs="Arial"/>
          <w:color w:val="000000"/>
          <w:szCs w:val="20"/>
          <w:lang w:eastAsia="bg-BG"/>
        </w:rPr>
        <w:t xml:space="preserve"> будезонид са измерени около 5 часа след перорален прием на единична 3 </w:t>
      </w:r>
      <w:r w:rsidRPr="004F4AEA">
        <w:rPr>
          <w:rFonts w:eastAsia="Times New Roman" w:cs="Arial"/>
          <w:color w:val="000000"/>
          <w:szCs w:val="20"/>
          <w:lang w:val="en-US"/>
        </w:rPr>
        <w:t>mg</w:t>
      </w:r>
      <w:r w:rsidRPr="004F4AEA">
        <w:rPr>
          <w:rFonts w:eastAsia="Times New Roman" w:cs="Arial"/>
          <w:color w:val="000000"/>
          <w:szCs w:val="20"/>
          <w:lang w:eastAsia="bg-BG"/>
        </w:rPr>
        <w:t>-ва доза на</w:t>
      </w:r>
    </w:p>
    <w:p w14:paraId="58FC5DDD" w14:textId="38F41547" w:rsidR="004F4AEA" w:rsidRPr="004F4AEA" w:rsidRDefault="004F4AEA" w:rsidP="004F4AEA">
      <w:pPr>
        <w:rPr>
          <w:rFonts w:eastAsia="Times New Roman" w:cs="Arial"/>
          <w:color w:val="000000"/>
          <w:szCs w:val="20"/>
          <w:lang w:val="en-US"/>
        </w:rPr>
      </w:pPr>
      <w:r w:rsidRPr="004F4AEA">
        <w:rPr>
          <w:rFonts w:eastAsia="Times New Roman" w:cs="Arial"/>
          <w:color w:val="000000"/>
          <w:szCs w:val="20"/>
          <w:lang w:eastAsia="bg-BG"/>
        </w:rPr>
        <w:t xml:space="preserve">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капсули, приета преди хранене. Ето защо, максималното освобождаване възниква в терминалния илеум и цекум, главни области на възпаление при болестта на </w:t>
      </w:r>
      <w:r w:rsidRPr="004F4AEA">
        <w:rPr>
          <w:rFonts w:eastAsia="Times New Roman" w:cs="Arial"/>
          <w:color w:val="000000"/>
          <w:szCs w:val="20"/>
          <w:lang w:val="en-US"/>
        </w:rPr>
        <w:t>Crohn.</w:t>
      </w:r>
    </w:p>
    <w:p w14:paraId="06E12455" w14:textId="68905705" w:rsidR="004F4AEA" w:rsidRDefault="004F4AEA" w:rsidP="004F4AEA"/>
    <w:p w14:paraId="2C165D30"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Освобождаването на будезонид от 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при пациенти с илеостомия е сравнимо с това при здрави индивиди или пациенти с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 xml:space="preserve">При пациенти с илеостомия приблизително 30-40% от освободения будезонид се открива все още в сака на илеостомията, което показва, че значително количество будезонид от Буденофалк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ще бъде транспортирано нормално в колона.</w:t>
      </w:r>
    </w:p>
    <w:p w14:paraId="326FBFC8" w14:textId="77777777" w:rsidR="00AC689F" w:rsidRPr="00AC689F" w:rsidRDefault="00AC689F" w:rsidP="004F4AEA">
      <w:pPr>
        <w:spacing w:line="240" w:lineRule="auto"/>
        <w:rPr>
          <w:rFonts w:eastAsia="Times New Roman" w:cs="Arial"/>
          <w:color w:val="000000"/>
          <w:szCs w:val="20"/>
          <w:lang w:eastAsia="bg-BG"/>
        </w:rPr>
      </w:pPr>
    </w:p>
    <w:p w14:paraId="7101BCD2" w14:textId="568E76C8"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Едновременният прием на храна може да забави освобождаването на гранулите от стомаха с около 2-3 часа. Удължената фаза в тези случаи е около 4-6 часа, но това не променя скоростта на абсорбция.</w:t>
      </w:r>
    </w:p>
    <w:p w14:paraId="6EB14548" w14:textId="77777777" w:rsidR="00AC689F" w:rsidRPr="00AC689F" w:rsidRDefault="00AC689F" w:rsidP="004F4AEA">
      <w:pPr>
        <w:spacing w:line="240" w:lineRule="auto"/>
        <w:rPr>
          <w:rFonts w:eastAsia="Times New Roman" w:cs="Arial"/>
          <w:b/>
          <w:bCs/>
          <w:color w:val="000000"/>
          <w:szCs w:val="20"/>
          <w:lang w:eastAsia="bg-BG"/>
        </w:rPr>
      </w:pPr>
    </w:p>
    <w:p w14:paraId="6AB5C1F1" w14:textId="041D2F6E" w:rsidR="004F4AEA" w:rsidRPr="004F4AEA" w:rsidRDefault="004F4AEA" w:rsidP="004F4AEA">
      <w:pPr>
        <w:spacing w:line="240" w:lineRule="auto"/>
        <w:rPr>
          <w:rFonts w:eastAsia="Times New Roman" w:cs="Arial"/>
          <w:sz w:val="28"/>
          <w:szCs w:val="24"/>
          <w:lang w:eastAsia="bg-BG"/>
        </w:rPr>
      </w:pPr>
      <w:r w:rsidRPr="004F4AEA">
        <w:rPr>
          <w:rFonts w:eastAsia="Times New Roman" w:cs="Arial"/>
          <w:b/>
          <w:bCs/>
          <w:color w:val="000000"/>
          <w:szCs w:val="20"/>
          <w:lang w:eastAsia="bg-BG"/>
        </w:rPr>
        <w:t>Специални популации</w:t>
      </w:r>
    </w:p>
    <w:p w14:paraId="3D121EA8" w14:textId="77777777" w:rsidR="00AC689F" w:rsidRPr="00AC689F" w:rsidRDefault="00AC689F" w:rsidP="004F4AEA">
      <w:pPr>
        <w:spacing w:line="240" w:lineRule="auto"/>
        <w:rPr>
          <w:rFonts w:eastAsia="Times New Roman" w:cs="Arial"/>
          <w:b/>
          <w:bCs/>
          <w:i/>
          <w:iCs/>
          <w:color w:val="000000"/>
          <w:szCs w:val="20"/>
          <w:lang w:eastAsia="bg-BG"/>
        </w:rPr>
      </w:pPr>
    </w:p>
    <w:p w14:paraId="59DE2BEB" w14:textId="21BBCF72" w:rsidR="004F4AEA" w:rsidRPr="004F4AEA" w:rsidRDefault="004F4AEA" w:rsidP="004F4AEA">
      <w:pPr>
        <w:spacing w:line="240" w:lineRule="auto"/>
        <w:rPr>
          <w:rFonts w:eastAsia="Times New Roman" w:cs="Arial"/>
          <w:sz w:val="28"/>
          <w:szCs w:val="24"/>
          <w:lang w:eastAsia="bg-BG"/>
        </w:rPr>
      </w:pPr>
      <w:r w:rsidRPr="004F4AEA">
        <w:rPr>
          <w:rFonts w:eastAsia="Times New Roman" w:cs="Arial"/>
          <w:b/>
          <w:bCs/>
          <w:i/>
          <w:iCs/>
          <w:color w:val="000000"/>
          <w:szCs w:val="20"/>
          <w:lang w:eastAsia="bg-BG"/>
        </w:rPr>
        <w:t>Чернодробни заболявания:</w:t>
      </w:r>
    </w:p>
    <w:p w14:paraId="3B47A964"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Значителна част от будезонид се метоболизира в черния дроб. Системната експозиция на будезонид може да бъде увеличена при пациенти с нарушена чернодробна функция, поради забавяне на метаболизма на будезонид от </w:t>
      </w:r>
      <w:r w:rsidRPr="004F4AEA">
        <w:rPr>
          <w:rFonts w:eastAsia="Times New Roman" w:cs="Arial"/>
          <w:color w:val="000000"/>
          <w:szCs w:val="20"/>
          <w:lang w:val="en-US"/>
        </w:rPr>
        <w:t xml:space="preserve">CYP3A4. </w:t>
      </w:r>
      <w:r w:rsidRPr="004F4AEA">
        <w:rPr>
          <w:rFonts w:eastAsia="Times New Roman" w:cs="Arial"/>
          <w:color w:val="000000"/>
          <w:szCs w:val="20"/>
          <w:lang w:eastAsia="bg-BG"/>
        </w:rPr>
        <w:t>Това зависи от вида и тежестта на чернодробното заболяване.</w:t>
      </w:r>
    </w:p>
    <w:p w14:paraId="52A69428" w14:textId="77777777" w:rsidR="00AC689F" w:rsidRPr="00AC689F" w:rsidRDefault="00AC689F" w:rsidP="004F4AEA">
      <w:pPr>
        <w:spacing w:line="240" w:lineRule="auto"/>
        <w:rPr>
          <w:rFonts w:eastAsia="Times New Roman" w:cs="Arial"/>
          <w:b/>
          <w:bCs/>
          <w:i/>
          <w:iCs/>
          <w:color w:val="000000"/>
          <w:szCs w:val="20"/>
          <w:lang w:eastAsia="bg-BG"/>
        </w:rPr>
      </w:pPr>
    </w:p>
    <w:p w14:paraId="473A450F" w14:textId="7B2EEF7D" w:rsidR="004F4AEA" w:rsidRPr="004F4AEA" w:rsidRDefault="004F4AEA" w:rsidP="004F4AEA">
      <w:pPr>
        <w:spacing w:line="240" w:lineRule="auto"/>
        <w:rPr>
          <w:rFonts w:eastAsia="Times New Roman" w:cs="Arial"/>
          <w:sz w:val="28"/>
          <w:szCs w:val="24"/>
          <w:lang w:eastAsia="bg-BG"/>
        </w:rPr>
      </w:pPr>
      <w:r w:rsidRPr="004F4AEA">
        <w:rPr>
          <w:rFonts w:eastAsia="Times New Roman" w:cs="Arial"/>
          <w:b/>
          <w:bCs/>
          <w:i/>
          <w:iCs/>
          <w:color w:val="000000"/>
          <w:szCs w:val="20"/>
          <w:lang w:eastAsia="bg-BG"/>
        </w:rPr>
        <w:t>Педиатрична популация:</w:t>
      </w:r>
    </w:p>
    <w:p w14:paraId="21782139" w14:textId="77777777" w:rsidR="004F4AEA" w:rsidRPr="004F4AEA" w:rsidRDefault="004F4AEA" w:rsidP="004F4AEA">
      <w:pPr>
        <w:spacing w:line="240" w:lineRule="auto"/>
        <w:rPr>
          <w:rFonts w:eastAsia="Times New Roman" w:cs="Arial"/>
          <w:sz w:val="28"/>
          <w:szCs w:val="24"/>
          <w:lang w:eastAsia="bg-BG"/>
        </w:rPr>
      </w:pPr>
      <w:r w:rsidRPr="004F4AEA">
        <w:rPr>
          <w:rFonts w:eastAsia="Times New Roman" w:cs="Arial"/>
          <w:color w:val="000000"/>
          <w:szCs w:val="20"/>
          <w:lang w:eastAsia="bg-BG"/>
        </w:rPr>
        <w:t xml:space="preserve">Фармакокинетиката на будезонид е оценена при 12 деца с болестта на </w:t>
      </w:r>
      <w:r w:rsidRPr="004F4AEA">
        <w:rPr>
          <w:rFonts w:eastAsia="Times New Roman" w:cs="Arial"/>
          <w:color w:val="000000"/>
          <w:szCs w:val="20"/>
          <w:lang w:val="en-US"/>
        </w:rPr>
        <w:t xml:space="preserve">Crohn </w:t>
      </w:r>
      <w:r w:rsidRPr="004F4AEA">
        <w:rPr>
          <w:rFonts w:eastAsia="Times New Roman" w:cs="Arial"/>
          <w:color w:val="000000"/>
          <w:szCs w:val="20"/>
          <w:lang w:eastAsia="bg-BG"/>
        </w:rPr>
        <w:t xml:space="preserve">(на възраст от 5 до 15 години). След многократно прилагане на будезонид (3 х 3 </w:t>
      </w:r>
      <w:r w:rsidRPr="004F4AEA">
        <w:rPr>
          <w:rFonts w:eastAsia="Times New Roman" w:cs="Arial"/>
          <w:color w:val="000000"/>
          <w:szCs w:val="20"/>
          <w:lang w:val="en-US"/>
        </w:rPr>
        <w:t xml:space="preserve">mg </w:t>
      </w:r>
      <w:r w:rsidRPr="004F4AEA">
        <w:rPr>
          <w:rFonts w:eastAsia="Times New Roman" w:cs="Arial"/>
          <w:color w:val="000000"/>
          <w:szCs w:val="20"/>
          <w:lang w:eastAsia="bg-BG"/>
        </w:rPr>
        <w:t xml:space="preserve">будезонид за една седмица) средната </w:t>
      </w:r>
      <w:r w:rsidRPr="004F4AEA">
        <w:rPr>
          <w:rFonts w:eastAsia="Times New Roman" w:cs="Arial"/>
          <w:color w:val="000000"/>
          <w:szCs w:val="20"/>
          <w:lang w:val="en-US"/>
        </w:rPr>
        <w:t xml:space="preserve">AUC </w:t>
      </w:r>
      <w:r w:rsidRPr="004F4AEA">
        <w:rPr>
          <w:rFonts w:eastAsia="Times New Roman" w:cs="Arial"/>
          <w:color w:val="000000"/>
          <w:szCs w:val="20"/>
          <w:lang w:eastAsia="bg-BG"/>
        </w:rPr>
        <w:t xml:space="preserve">на будезонид по време на дозовия интервал е около 7 </w:t>
      </w:r>
      <w:r w:rsidRPr="004F4AEA">
        <w:rPr>
          <w:rFonts w:eastAsia="Times New Roman" w:cs="Arial"/>
          <w:color w:val="000000"/>
          <w:szCs w:val="20"/>
          <w:lang w:val="en-US"/>
        </w:rPr>
        <w:t xml:space="preserve">ng h/ml, a </w:t>
      </w:r>
      <w:proofErr w:type="spellStart"/>
      <w:r w:rsidRPr="004F4AEA">
        <w:rPr>
          <w:rFonts w:eastAsia="Times New Roman" w:cs="Arial"/>
          <w:color w:val="000000"/>
          <w:szCs w:val="20"/>
          <w:lang w:val="en-US"/>
        </w:rPr>
        <w:t>C</w:t>
      </w:r>
      <w:r w:rsidRPr="004F4AEA">
        <w:rPr>
          <w:rFonts w:eastAsia="Times New Roman" w:cs="Arial"/>
          <w:color w:val="000000"/>
          <w:szCs w:val="20"/>
          <w:vertAlign w:val="subscript"/>
          <w:lang w:val="en-US"/>
        </w:rPr>
        <w:t>max</w:t>
      </w:r>
      <w:proofErr w:type="spellEnd"/>
      <w:r w:rsidRPr="004F4AEA">
        <w:rPr>
          <w:rFonts w:eastAsia="Times New Roman" w:cs="Arial"/>
          <w:color w:val="000000"/>
          <w:szCs w:val="20"/>
          <w:vertAlign w:val="subscript"/>
          <w:lang w:val="en-US"/>
        </w:rPr>
        <w:t xml:space="preserve"> </w:t>
      </w:r>
      <w:r w:rsidRPr="004F4AEA">
        <w:rPr>
          <w:rFonts w:eastAsia="Times New Roman" w:cs="Arial"/>
          <w:color w:val="000000"/>
          <w:szCs w:val="20"/>
          <w:lang w:eastAsia="bg-BG"/>
        </w:rPr>
        <w:t xml:space="preserve">е около 2 </w:t>
      </w:r>
      <w:r w:rsidRPr="004F4AEA">
        <w:rPr>
          <w:rFonts w:eastAsia="Times New Roman" w:cs="Arial"/>
          <w:color w:val="000000"/>
          <w:szCs w:val="20"/>
          <w:lang w:val="en-US"/>
        </w:rPr>
        <w:t>ng/ml.</w:t>
      </w:r>
    </w:p>
    <w:p w14:paraId="046739E8" w14:textId="68A633BE" w:rsidR="004F4AEA" w:rsidRDefault="004F4AEA" w:rsidP="004F4AEA">
      <w:pPr>
        <w:rPr>
          <w:rFonts w:eastAsia="Times New Roman" w:cs="Arial"/>
          <w:color w:val="000000"/>
          <w:szCs w:val="20"/>
          <w:lang w:eastAsia="bg-BG"/>
        </w:rPr>
      </w:pPr>
      <w:r w:rsidRPr="00AC689F">
        <w:rPr>
          <w:rFonts w:eastAsia="Times New Roman" w:cs="Arial"/>
          <w:color w:val="000000"/>
          <w:szCs w:val="20"/>
          <w:lang w:eastAsia="bg-BG"/>
        </w:rPr>
        <w:t xml:space="preserve">Разпределението на пероралния будезонид (3 </w:t>
      </w:r>
      <w:r w:rsidRPr="00AC689F">
        <w:rPr>
          <w:rFonts w:eastAsia="Times New Roman" w:cs="Arial"/>
          <w:color w:val="000000"/>
          <w:szCs w:val="20"/>
          <w:lang w:val="en-US"/>
        </w:rPr>
        <w:t xml:space="preserve">mg, </w:t>
      </w:r>
      <w:r w:rsidRPr="00AC689F">
        <w:rPr>
          <w:rFonts w:eastAsia="Times New Roman" w:cs="Arial"/>
          <w:color w:val="000000"/>
          <w:szCs w:val="20"/>
          <w:lang w:eastAsia="bg-BG"/>
        </w:rPr>
        <w:t>единична доза) при деца е подобно на това при възрастни.</w:t>
      </w:r>
    </w:p>
    <w:p w14:paraId="4B1BE64D" w14:textId="77777777" w:rsidR="00AC689F" w:rsidRPr="00AC689F" w:rsidRDefault="00AC689F" w:rsidP="004F4AEA">
      <w:pPr>
        <w:rPr>
          <w:rFonts w:cs="Arial"/>
          <w:sz w:val="24"/>
        </w:rPr>
      </w:pPr>
    </w:p>
    <w:p w14:paraId="648E39DA" w14:textId="5C95458F" w:rsidR="00CF77F7" w:rsidRDefault="002C50EE" w:rsidP="004A448E">
      <w:pPr>
        <w:pStyle w:val="Heading2"/>
      </w:pPr>
      <w:r>
        <w:lastRenderedPageBreak/>
        <w:t>5.3. Предклинични данни за безопасност</w:t>
      </w:r>
    </w:p>
    <w:p w14:paraId="659A7961" w14:textId="722F76CC" w:rsidR="00AC689F" w:rsidRDefault="00AC689F" w:rsidP="00AC689F"/>
    <w:p w14:paraId="2DF51C6F" w14:textId="77777777"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 xml:space="preserve">След многократно перорално приложение на будезонид при </w:t>
      </w:r>
      <w:r w:rsidRPr="00AC689F">
        <w:rPr>
          <w:rFonts w:eastAsia="Times New Roman" w:cs="Arial"/>
          <w:color w:val="000000"/>
          <w:szCs w:val="20"/>
          <w:u w:val="single"/>
          <w:lang w:eastAsia="bg-BG"/>
        </w:rPr>
        <w:t>плъхове</w:t>
      </w:r>
      <w:r w:rsidRPr="00AC689F">
        <w:rPr>
          <w:rFonts w:eastAsia="Times New Roman" w:cs="Arial"/>
          <w:color w:val="000000"/>
          <w:szCs w:val="20"/>
          <w:lang w:eastAsia="bg-BG"/>
        </w:rPr>
        <w:t xml:space="preserve"> (в дози, сравними с тези, използвани при хора) са наблюдавани понижен брой на левкоцитите (особено лимфоцитите) и регресия на тимусната жлеза. Налице са и признаци на нарушена активност на надбъбречните жлези, дължаща се на атрофия. При млечните жлези е установена увеличена дуктална пролиферация и секреторна активност. В дългосрочно проучване (104 седмици) при женски плъхове стойностите на хематокрита, хемоглобина и еритроцитите са намалени. В групите със същото дозово натоварване броят на неутрофилите проявява тенденция към повишаване, а този на лимфоцитите, еозинофилите и нормоцитите - към понижаване. Броят на лимфоцитите е значително намален (имуносупресивен ефект), а стойностите на алкалната фосфатаза - леко повишени само при мъжките плъхове.</w:t>
      </w:r>
    </w:p>
    <w:p w14:paraId="1156720D" w14:textId="77777777" w:rsidR="00AC689F" w:rsidRPr="00AC689F" w:rsidRDefault="00AC689F" w:rsidP="00AC689F">
      <w:pPr>
        <w:spacing w:line="240" w:lineRule="auto"/>
        <w:rPr>
          <w:rFonts w:eastAsia="Times New Roman" w:cs="Arial"/>
          <w:color w:val="000000"/>
          <w:szCs w:val="20"/>
          <w:lang w:eastAsia="bg-BG"/>
        </w:rPr>
      </w:pPr>
    </w:p>
    <w:p w14:paraId="2F5098CE" w14:textId="1CFC2CFC"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 xml:space="preserve">При кучета обемът на кръвните клетки </w:t>
      </w:r>
      <w:r w:rsidRPr="00AC689F">
        <w:rPr>
          <w:rFonts w:eastAsia="Times New Roman" w:cs="Arial"/>
          <w:color w:val="000000"/>
          <w:szCs w:val="20"/>
          <w:lang w:val="en-US"/>
        </w:rPr>
        <w:t xml:space="preserve">(PCV) </w:t>
      </w:r>
      <w:r w:rsidRPr="00AC689F">
        <w:rPr>
          <w:rFonts w:eastAsia="Times New Roman" w:cs="Arial"/>
          <w:color w:val="000000"/>
          <w:szCs w:val="20"/>
          <w:lang w:eastAsia="bg-BG"/>
        </w:rPr>
        <w:t>е намален и концентрациите на алкална фосфатаза и аланин аминотрансфераза - повишени. Наблюдавани са и атрофия на кората на надбъбречните жлези и лимфната система, увеличено миокардно съдържание и повишени нива на чернодробното гликогенно съдържание (хепатомегалия).</w:t>
      </w:r>
    </w:p>
    <w:p w14:paraId="1B86EA02" w14:textId="77777777" w:rsidR="00AC689F" w:rsidRPr="00AC689F" w:rsidRDefault="00AC689F" w:rsidP="00AC689F">
      <w:pPr>
        <w:spacing w:line="240" w:lineRule="auto"/>
        <w:rPr>
          <w:rFonts w:eastAsia="Times New Roman" w:cs="Arial"/>
          <w:i/>
          <w:iCs/>
          <w:color w:val="000000"/>
          <w:szCs w:val="20"/>
          <w:lang w:eastAsia="bg-BG"/>
        </w:rPr>
      </w:pPr>
    </w:p>
    <w:p w14:paraId="4202DF71" w14:textId="3C622089" w:rsidR="00AC689F" w:rsidRPr="00AC689F" w:rsidRDefault="00AC689F" w:rsidP="00AC689F">
      <w:pPr>
        <w:spacing w:line="240" w:lineRule="auto"/>
        <w:rPr>
          <w:rFonts w:eastAsia="Times New Roman" w:cs="Arial"/>
          <w:sz w:val="28"/>
          <w:szCs w:val="24"/>
          <w:lang w:eastAsia="bg-BG"/>
        </w:rPr>
      </w:pPr>
      <w:r w:rsidRPr="00AC689F">
        <w:rPr>
          <w:rFonts w:eastAsia="Times New Roman" w:cs="Arial"/>
          <w:i/>
          <w:iCs/>
          <w:color w:val="000000"/>
          <w:szCs w:val="20"/>
          <w:lang w:eastAsia="bg-BG"/>
        </w:rPr>
        <w:t>Мутагенен потенциал</w:t>
      </w:r>
    </w:p>
    <w:p w14:paraId="0342CC45" w14:textId="77777777"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 xml:space="preserve">Будезонид не показва мутагенни ефекти в серия от </w:t>
      </w:r>
      <w:r w:rsidRPr="00AC689F">
        <w:rPr>
          <w:rFonts w:eastAsia="Times New Roman" w:cs="Arial"/>
          <w:i/>
          <w:iCs/>
          <w:color w:val="000000"/>
          <w:szCs w:val="20"/>
          <w:lang w:val="en-US"/>
        </w:rPr>
        <w:t>in vitro</w:t>
      </w:r>
      <w:r w:rsidRPr="00AC689F">
        <w:rPr>
          <w:rFonts w:eastAsia="Times New Roman" w:cs="Arial"/>
          <w:color w:val="000000"/>
          <w:szCs w:val="20"/>
          <w:lang w:val="en-US"/>
        </w:rPr>
        <w:t xml:space="preserve"> </w:t>
      </w:r>
      <w:r w:rsidRPr="00AC689F">
        <w:rPr>
          <w:rFonts w:eastAsia="Times New Roman" w:cs="Arial"/>
          <w:color w:val="000000"/>
          <w:szCs w:val="20"/>
          <w:lang w:eastAsia="bg-BG"/>
        </w:rPr>
        <w:t xml:space="preserve">и </w:t>
      </w:r>
      <w:r w:rsidRPr="00AC689F">
        <w:rPr>
          <w:rFonts w:eastAsia="Times New Roman" w:cs="Arial"/>
          <w:i/>
          <w:iCs/>
          <w:color w:val="000000"/>
          <w:szCs w:val="20"/>
          <w:lang w:val="en-US"/>
        </w:rPr>
        <w:t>in vivo</w:t>
      </w:r>
      <w:r w:rsidRPr="00AC689F">
        <w:rPr>
          <w:rFonts w:eastAsia="Times New Roman" w:cs="Arial"/>
          <w:color w:val="000000"/>
          <w:szCs w:val="20"/>
          <w:lang w:val="en-US"/>
        </w:rPr>
        <w:t xml:space="preserve"> </w:t>
      </w:r>
      <w:r w:rsidRPr="00AC689F">
        <w:rPr>
          <w:rFonts w:eastAsia="Times New Roman" w:cs="Arial"/>
          <w:color w:val="000000"/>
          <w:szCs w:val="20"/>
          <w:lang w:eastAsia="bg-BG"/>
        </w:rPr>
        <w:t>тестове.</w:t>
      </w:r>
    </w:p>
    <w:p w14:paraId="2DC4B0CD" w14:textId="77777777" w:rsidR="00AC689F" w:rsidRPr="00AC689F" w:rsidRDefault="00AC689F" w:rsidP="00AC689F">
      <w:pPr>
        <w:spacing w:line="240" w:lineRule="auto"/>
        <w:rPr>
          <w:rFonts w:eastAsia="Times New Roman" w:cs="Arial"/>
          <w:i/>
          <w:iCs/>
          <w:color w:val="000000"/>
          <w:szCs w:val="20"/>
          <w:lang w:eastAsia="bg-BG"/>
        </w:rPr>
      </w:pPr>
    </w:p>
    <w:p w14:paraId="34A31ADB" w14:textId="21CC1815" w:rsidR="00AC689F" w:rsidRPr="00AC689F" w:rsidRDefault="00AC689F" w:rsidP="00AC689F">
      <w:pPr>
        <w:spacing w:line="240" w:lineRule="auto"/>
        <w:rPr>
          <w:rFonts w:eastAsia="Times New Roman" w:cs="Arial"/>
          <w:sz w:val="28"/>
          <w:szCs w:val="24"/>
          <w:lang w:eastAsia="bg-BG"/>
        </w:rPr>
      </w:pPr>
      <w:r w:rsidRPr="00AC689F">
        <w:rPr>
          <w:rFonts w:eastAsia="Times New Roman" w:cs="Arial"/>
          <w:i/>
          <w:iCs/>
          <w:color w:val="000000"/>
          <w:szCs w:val="20"/>
          <w:lang w:eastAsia="bg-BG"/>
        </w:rPr>
        <w:t>Карциногенен потенциал</w:t>
      </w:r>
    </w:p>
    <w:p w14:paraId="704A0858" w14:textId="77777777"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Леко повишение в броя на базофилните чернодробни огнища е наблюдавано при мъжки плъхове, третирани с будезонид до 104 седмици, в сравнение с контролните животни. При проучванията за карциногенност е наблюдавано значително повишаване на честотата на първичните</w:t>
      </w:r>
    </w:p>
    <w:p w14:paraId="67B0F441" w14:textId="77777777" w:rsidR="00AC689F" w:rsidRPr="00AC689F" w:rsidRDefault="00AC689F" w:rsidP="00AC689F">
      <w:pPr>
        <w:rPr>
          <w:rFonts w:eastAsia="Times New Roman" w:cs="Arial"/>
          <w:sz w:val="28"/>
          <w:szCs w:val="24"/>
          <w:lang w:eastAsia="bg-BG"/>
        </w:rPr>
      </w:pPr>
      <w:r w:rsidRPr="00AC689F">
        <w:rPr>
          <w:rFonts w:eastAsia="Times New Roman" w:cs="Arial"/>
          <w:color w:val="000000"/>
          <w:szCs w:val="20"/>
          <w:lang w:eastAsia="bg-BG"/>
        </w:rPr>
        <w:t xml:space="preserve">хепатоцелуларни злокачествени новообразувания (0,025 и 0,05 </w:t>
      </w:r>
      <w:r w:rsidRPr="00AC689F">
        <w:rPr>
          <w:rFonts w:eastAsia="Times New Roman" w:cs="Arial"/>
          <w:color w:val="000000"/>
          <w:szCs w:val="20"/>
          <w:lang w:val="en-US"/>
        </w:rPr>
        <w:t>mg/kg</w:t>
      </w:r>
      <w:r w:rsidRPr="00AC689F">
        <w:rPr>
          <w:rFonts w:eastAsia="Times New Roman" w:cs="Arial"/>
          <w:color w:val="000000"/>
          <w:szCs w:val="20"/>
          <w:lang w:eastAsia="bg-BG"/>
        </w:rPr>
        <w:t xml:space="preserve">/ден), астроцитоми (мъжки плъхове, 0,05 </w:t>
      </w:r>
      <w:r w:rsidRPr="00AC689F">
        <w:rPr>
          <w:rFonts w:eastAsia="Times New Roman" w:cs="Arial"/>
          <w:color w:val="000000"/>
          <w:szCs w:val="20"/>
          <w:lang w:val="en-US"/>
        </w:rPr>
        <w:t>mg/kg</w:t>
      </w:r>
      <w:r w:rsidRPr="00AC689F">
        <w:rPr>
          <w:rFonts w:eastAsia="Times New Roman" w:cs="Arial"/>
          <w:color w:val="000000"/>
          <w:szCs w:val="20"/>
          <w:lang w:eastAsia="bg-BG"/>
        </w:rPr>
        <w:t xml:space="preserve">/ден) и тумори на млечната жлеза (женски плъхове, 0,05 </w:t>
      </w:r>
      <w:r w:rsidRPr="00AC689F">
        <w:rPr>
          <w:rFonts w:eastAsia="Times New Roman" w:cs="Arial"/>
          <w:color w:val="000000"/>
          <w:szCs w:val="20"/>
          <w:lang w:val="en-US"/>
        </w:rPr>
        <w:t>mg/kg/</w:t>
      </w:r>
      <w:r w:rsidRPr="00AC689F">
        <w:rPr>
          <w:rFonts w:eastAsia="Times New Roman" w:cs="Arial"/>
          <w:color w:val="000000"/>
          <w:szCs w:val="20"/>
          <w:lang w:eastAsia="bg-BG"/>
        </w:rPr>
        <w:t>ден. Вероятно</w:t>
      </w:r>
      <w:r>
        <w:rPr>
          <w:rFonts w:eastAsia="Times New Roman" w:cs="Arial"/>
          <w:color w:val="000000"/>
          <w:szCs w:val="20"/>
          <w:lang w:val="en-US" w:eastAsia="bg-BG"/>
        </w:rPr>
        <w:t xml:space="preserve"> </w:t>
      </w:r>
      <w:r w:rsidRPr="00AC689F">
        <w:rPr>
          <w:rFonts w:eastAsia="Times New Roman" w:cs="Arial"/>
          <w:color w:val="000000"/>
          <w:szCs w:val="20"/>
          <w:lang w:eastAsia="bg-BG"/>
        </w:rPr>
        <w:t>чернодробните тумори се дължат на анаболните ефекти и повишеното метаболитно натоварване на черния дроб. Резултатите представят характерен за класа ефект, в който вероятно участват глюкокортикоидните рецептори.</w:t>
      </w:r>
    </w:p>
    <w:p w14:paraId="3FDC6986" w14:textId="77777777" w:rsidR="00AC689F" w:rsidRPr="00AC689F" w:rsidRDefault="00AC689F" w:rsidP="00AC689F">
      <w:pPr>
        <w:spacing w:line="240" w:lineRule="auto"/>
        <w:rPr>
          <w:rFonts w:eastAsia="Times New Roman" w:cs="Arial"/>
          <w:i/>
          <w:iCs/>
          <w:color w:val="000000"/>
          <w:szCs w:val="20"/>
          <w:lang w:eastAsia="bg-BG"/>
        </w:rPr>
      </w:pPr>
    </w:p>
    <w:p w14:paraId="0A973CF4" w14:textId="2BC857C8" w:rsidR="00AC689F" w:rsidRPr="00AC689F" w:rsidRDefault="00AC689F" w:rsidP="00AC689F">
      <w:pPr>
        <w:spacing w:line="240" w:lineRule="auto"/>
        <w:rPr>
          <w:rFonts w:eastAsia="Times New Roman" w:cs="Arial"/>
          <w:sz w:val="28"/>
          <w:szCs w:val="24"/>
          <w:lang w:eastAsia="bg-BG"/>
        </w:rPr>
      </w:pPr>
      <w:r w:rsidRPr="00AC689F">
        <w:rPr>
          <w:rFonts w:eastAsia="Times New Roman" w:cs="Arial"/>
          <w:i/>
          <w:iCs/>
          <w:color w:val="000000"/>
          <w:szCs w:val="20"/>
          <w:lang w:eastAsia="bg-BG"/>
        </w:rPr>
        <w:t>Репродуктивна токсичност</w:t>
      </w:r>
    </w:p>
    <w:p w14:paraId="670A2039" w14:textId="77777777"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В проучвания при животни глюкокортикоидите предизвикват тератогенни ефекти (цепка на небцето, малформации на скелетните кости) при редица видове. Клиничната релевантност на тези свойства остава неизвестна до днес. При гризачи, подкожното приложение на будезонид предизвиква промени, познати и при други глюкокортикоиди.</w:t>
      </w:r>
    </w:p>
    <w:p w14:paraId="0A8324C5" w14:textId="77777777" w:rsidR="00AC689F" w:rsidRPr="00AC689F" w:rsidRDefault="00AC689F" w:rsidP="00AC689F">
      <w:pPr>
        <w:spacing w:line="240" w:lineRule="auto"/>
        <w:rPr>
          <w:rFonts w:eastAsia="Times New Roman" w:cs="Arial"/>
          <w:sz w:val="28"/>
          <w:szCs w:val="24"/>
          <w:lang w:eastAsia="bg-BG"/>
        </w:rPr>
      </w:pPr>
      <w:r w:rsidRPr="00AC689F">
        <w:rPr>
          <w:rFonts w:eastAsia="Times New Roman" w:cs="Arial"/>
          <w:color w:val="000000"/>
          <w:szCs w:val="20"/>
          <w:lang w:eastAsia="bg-BG"/>
        </w:rPr>
        <w:t>Проучванията при животни показват също, че прилагането на синтетични глюкокортикоиди по време на гестацията може да доведе до повишен риск от интраутеринно изоставане на растежа и може да допринесе за появата на сърдечно-съдови заболявания и/или метаболитни нарушения в зрялата възраст, както и за трайна промяна в плътността на глюкокортикоидните рецептори, захвата на невротрансмитерите и поведението.</w:t>
      </w:r>
    </w:p>
    <w:p w14:paraId="0EEA5C63" w14:textId="77777777" w:rsidR="00AC689F" w:rsidRPr="00AC689F" w:rsidRDefault="00AC689F" w:rsidP="00AC689F">
      <w:pPr>
        <w:rPr>
          <w:rFonts w:eastAsia="Times New Roman" w:cs="Arial"/>
          <w:color w:val="000000"/>
          <w:szCs w:val="20"/>
          <w:lang w:eastAsia="bg-BG"/>
        </w:rPr>
      </w:pPr>
    </w:p>
    <w:p w14:paraId="21ED53EB" w14:textId="05C919AB" w:rsidR="00AC689F" w:rsidRPr="00AC689F" w:rsidRDefault="00AC689F" w:rsidP="00AC689F">
      <w:pPr>
        <w:rPr>
          <w:rFonts w:cs="Arial"/>
          <w:sz w:val="28"/>
          <w:lang w:val="en-US"/>
        </w:rPr>
      </w:pPr>
      <w:r w:rsidRPr="00AC689F">
        <w:rPr>
          <w:rFonts w:eastAsia="Times New Roman" w:cs="Arial"/>
          <w:color w:val="000000"/>
          <w:szCs w:val="20"/>
          <w:lang w:eastAsia="bg-BG"/>
        </w:rPr>
        <w:t>Активното вещество будезонид показва екологичен риск за водната среда, особено за рибата.</w:t>
      </w:r>
    </w:p>
    <w:p w14:paraId="6A7820AB" w14:textId="0AFCBD8B" w:rsidR="008A6AF2" w:rsidRDefault="002C50EE" w:rsidP="00395555">
      <w:pPr>
        <w:pStyle w:val="Heading1"/>
      </w:pPr>
      <w:r>
        <w:lastRenderedPageBreak/>
        <w:t>7. ПРИТЕЖАТЕЛ НА РАЗРЕШЕНИЕТО ЗА УПОТРЕБА</w:t>
      </w:r>
    </w:p>
    <w:p w14:paraId="1D00218A" w14:textId="29136CC6" w:rsidR="00AC689F" w:rsidRDefault="00AC689F" w:rsidP="00AC689F"/>
    <w:p w14:paraId="3132785D" w14:textId="77777777"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val="en-US"/>
        </w:rPr>
        <w:t>DR. FALK PHARMA GmbH</w:t>
      </w:r>
    </w:p>
    <w:p w14:paraId="7EBF5492" w14:textId="77777777" w:rsidR="00AC689F" w:rsidRDefault="00AC689F" w:rsidP="00AC689F">
      <w:pPr>
        <w:spacing w:line="240" w:lineRule="auto"/>
        <w:rPr>
          <w:rFonts w:eastAsia="Times New Roman" w:cs="Arial"/>
          <w:lang w:val="en-US" w:eastAsia="bg-BG"/>
        </w:rPr>
      </w:pPr>
      <w:proofErr w:type="spellStart"/>
      <w:r w:rsidRPr="00AC689F">
        <w:rPr>
          <w:rFonts w:eastAsia="Times New Roman" w:cs="Arial"/>
          <w:color w:val="000000"/>
          <w:lang w:val="en-US"/>
        </w:rPr>
        <w:t>Leinenweberstrasse</w:t>
      </w:r>
      <w:proofErr w:type="spellEnd"/>
      <w:r w:rsidRPr="00AC689F">
        <w:rPr>
          <w:rFonts w:eastAsia="Times New Roman" w:cs="Arial"/>
          <w:color w:val="000000"/>
          <w:lang w:val="en-US"/>
        </w:rPr>
        <w:t xml:space="preserve"> 5</w:t>
      </w:r>
    </w:p>
    <w:p w14:paraId="59A60085" w14:textId="090ACF4C"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val="en-US"/>
        </w:rPr>
        <w:t>79108 Freiburg</w:t>
      </w:r>
    </w:p>
    <w:p w14:paraId="506ECCA7" w14:textId="77777777"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eastAsia="bg-BG"/>
        </w:rPr>
        <w:t>Германия</w:t>
      </w:r>
    </w:p>
    <w:p w14:paraId="45ADF072" w14:textId="77777777"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eastAsia="bg-BG"/>
        </w:rPr>
        <w:t xml:space="preserve">Тел.: 0761/ </w:t>
      </w:r>
      <w:r w:rsidRPr="00AC689F">
        <w:rPr>
          <w:rFonts w:eastAsia="Times New Roman" w:cs="Arial"/>
          <w:color w:val="000000"/>
          <w:lang w:val="en-US"/>
        </w:rPr>
        <w:t>1514-0</w:t>
      </w:r>
    </w:p>
    <w:p w14:paraId="3CEE0DB8" w14:textId="77777777"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eastAsia="bg-BG"/>
        </w:rPr>
        <w:t>Факс: 0761/ 1514-321</w:t>
      </w:r>
    </w:p>
    <w:p w14:paraId="1391308D" w14:textId="77777777" w:rsidR="00AC689F" w:rsidRPr="00AC689F" w:rsidRDefault="00AC689F" w:rsidP="00AC689F">
      <w:pPr>
        <w:spacing w:line="240" w:lineRule="auto"/>
        <w:rPr>
          <w:rFonts w:eastAsia="Times New Roman" w:cs="Arial"/>
          <w:lang w:val="en-US" w:eastAsia="bg-BG"/>
        </w:rPr>
      </w:pPr>
      <w:r w:rsidRPr="00AC689F">
        <w:rPr>
          <w:rFonts w:eastAsia="Times New Roman" w:cs="Arial"/>
          <w:color w:val="000000"/>
          <w:lang w:eastAsia="bg-BG"/>
        </w:rPr>
        <w:t xml:space="preserve">имейл: </w:t>
      </w:r>
      <w:hyperlink r:id="rId6" w:history="1">
        <w:r w:rsidRPr="00AC689F">
          <w:rPr>
            <w:rFonts w:eastAsia="Times New Roman" w:cs="Arial"/>
            <w:color w:val="000000"/>
            <w:u w:val="single"/>
            <w:lang w:val="en-US"/>
          </w:rPr>
          <w:t>zentrale@drfalkpharma.de</w:t>
        </w:r>
      </w:hyperlink>
    </w:p>
    <w:p w14:paraId="69409FE6" w14:textId="4400497E" w:rsidR="00AC689F" w:rsidRPr="00AC689F" w:rsidRDefault="00AC689F" w:rsidP="00AC689F">
      <w:pPr>
        <w:rPr>
          <w:rFonts w:cs="Arial"/>
        </w:rPr>
      </w:pPr>
      <w:hyperlink r:id="rId7" w:history="1">
        <w:r w:rsidRPr="00AC689F">
          <w:rPr>
            <w:rFonts w:eastAsia="Times New Roman" w:cs="Arial"/>
            <w:color w:val="000000"/>
            <w:u w:val="single"/>
            <w:lang w:val="en-US"/>
          </w:rPr>
          <w:t>http://www.drfalkpharma.de</w:t>
        </w:r>
      </w:hyperlink>
    </w:p>
    <w:p w14:paraId="7BA1BA64" w14:textId="5A10506C" w:rsidR="00CF77F7" w:rsidRDefault="002C50EE" w:rsidP="004A448E">
      <w:pPr>
        <w:pStyle w:val="Heading1"/>
      </w:pPr>
      <w:r>
        <w:t>8. НОМЕР НА РАЗРЕШЕНИЕТО ЗА УПОТРЕБА</w:t>
      </w:r>
    </w:p>
    <w:p w14:paraId="3EEA1D6B" w14:textId="36777813" w:rsidR="00AC689F" w:rsidRDefault="00AC689F" w:rsidP="00AC689F"/>
    <w:p w14:paraId="20464174" w14:textId="2F295221" w:rsidR="00AC689F" w:rsidRPr="00AC689F" w:rsidRDefault="00AC689F" w:rsidP="00AC689F">
      <w:pPr>
        <w:rPr>
          <w:rFonts w:cs="Arial"/>
        </w:rPr>
      </w:pPr>
      <w:proofErr w:type="spellStart"/>
      <w:r w:rsidRPr="00AC689F">
        <w:rPr>
          <w:rFonts w:cs="Arial"/>
          <w:lang w:val="en-US"/>
        </w:rPr>
        <w:t>Pe</w:t>
      </w:r>
      <w:proofErr w:type="spellEnd"/>
      <w:r w:rsidRPr="00AC689F">
        <w:rPr>
          <w:rFonts w:cs="Arial"/>
        </w:rPr>
        <w:t>г</w:t>
      </w:r>
      <w:r w:rsidRPr="00AC689F">
        <w:rPr>
          <w:rFonts w:cs="Arial"/>
          <w:lang w:val="en-US"/>
        </w:rPr>
        <w:t xml:space="preserve">. </w:t>
      </w:r>
      <w:r w:rsidRPr="00AC689F">
        <w:rPr>
          <w:rFonts w:cs="Arial"/>
        </w:rPr>
        <w:t>№ 20000708</w:t>
      </w:r>
    </w:p>
    <w:p w14:paraId="2CCB5832" w14:textId="5F40814C" w:rsidR="007C605B" w:rsidRDefault="002C50EE" w:rsidP="007C605B">
      <w:pPr>
        <w:pStyle w:val="Heading1"/>
      </w:pPr>
      <w:r>
        <w:t>9. ДАТА НА ПЪРВО РАЗРЕШАВАНЕ/ПОДНОВЯВАНЕ НА РАЗРЕШЕНИЕТО ЗА УПОТРЕБА</w:t>
      </w:r>
    </w:p>
    <w:p w14:paraId="48AD1B1F" w14:textId="33F65E49" w:rsidR="00AC689F" w:rsidRDefault="00AC689F" w:rsidP="00AC689F"/>
    <w:p w14:paraId="309CBC12" w14:textId="77777777" w:rsidR="00AC689F" w:rsidRPr="00AC689F" w:rsidRDefault="00AC689F" w:rsidP="00AC689F">
      <w:pPr>
        <w:spacing w:line="240" w:lineRule="auto"/>
        <w:rPr>
          <w:rFonts w:eastAsia="Times New Roman" w:cs="Arial"/>
          <w:lang w:eastAsia="bg-BG"/>
        </w:rPr>
      </w:pPr>
      <w:r w:rsidRPr="00AC689F">
        <w:rPr>
          <w:rFonts w:eastAsia="Times New Roman" w:cs="Arial"/>
          <w:color w:val="000000"/>
          <w:lang w:eastAsia="bg-BG"/>
        </w:rPr>
        <w:t>Дата на първо разрешаване: 17 ноември 2000 г.</w:t>
      </w:r>
    </w:p>
    <w:p w14:paraId="0D8BF130" w14:textId="07E7BEC2" w:rsidR="00AC689F" w:rsidRPr="00AC689F" w:rsidRDefault="00AC689F" w:rsidP="00AC689F">
      <w:pPr>
        <w:rPr>
          <w:rFonts w:cs="Arial"/>
        </w:rPr>
      </w:pPr>
      <w:r w:rsidRPr="00AC689F">
        <w:rPr>
          <w:rFonts w:eastAsia="Times New Roman" w:cs="Arial"/>
          <w:color w:val="000000"/>
          <w:lang w:eastAsia="bg-BG"/>
        </w:rPr>
        <w:t>Дата на последно подновяване: 27 май 2011 г.</w:t>
      </w:r>
    </w:p>
    <w:p w14:paraId="0E9D0119" w14:textId="0245C6D7" w:rsidR="002C50EE" w:rsidRDefault="002C50EE" w:rsidP="002C50EE">
      <w:pPr>
        <w:pStyle w:val="Heading1"/>
      </w:pPr>
      <w:r>
        <w:t>10. ДАТА НА АКТУАЛИЗИРАНЕ НА ТЕКСТА</w:t>
      </w:r>
    </w:p>
    <w:bookmarkEnd w:id="0"/>
    <w:p w14:paraId="43FB38A2" w14:textId="608DBF23" w:rsidR="007C605B" w:rsidRDefault="007C605B" w:rsidP="00CF77F7"/>
    <w:p w14:paraId="38EA976E" w14:textId="7455ADCC" w:rsidR="00AC689F" w:rsidRPr="00AC689F" w:rsidRDefault="00AC689F" w:rsidP="00CF77F7">
      <w:pPr>
        <w:rPr>
          <w:rFonts w:cs="Arial"/>
        </w:rPr>
      </w:pPr>
      <w:r w:rsidRPr="00AC689F">
        <w:rPr>
          <w:rFonts w:cs="Arial"/>
        </w:rPr>
        <w:t>12/2019</w:t>
      </w:r>
    </w:p>
    <w:sectPr w:rsidR="00AC689F" w:rsidRPr="00AC6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3D45BD"/>
    <w:multiLevelType w:val="hybridMultilevel"/>
    <w:tmpl w:val="387A1AF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74C52AA"/>
    <w:multiLevelType w:val="hybridMultilevel"/>
    <w:tmpl w:val="6AB415FA"/>
    <w:lvl w:ilvl="0" w:tplc="F95CC21E">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A40F8"/>
    <w:multiLevelType w:val="hybridMultilevel"/>
    <w:tmpl w:val="9BB299B2"/>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9"/>
  </w:num>
  <w:num w:numId="2">
    <w:abstractNumId w:val="0"/>
  </w:num>
  <w:num w:numId="3">
    <w:abstractNumId w:val="14"/>
  </w:num>
  <w:num w:numId="4">
    <w:abstractNumId w:val="3"/>
  </w:num>
  <w:num w:numId="5">
    <w:abstractNumId w:val="1"/>
  </w:num>
  <w:num w:numId="6">
    <w:abstractNumId w:val="18"/>
  </w:num>
  <w:num w:numId="7">
    <w:abstractNumId w:val="11"/>
  </w:num>
  <w:num w:numId="8">
    <w:abstractNumId w:val="17"/>
  </w:num>
  <w:num w:numId="9">
    <w:abstractNumId w:val="2"/>
  </w:num>
  <w:num w:numId="10">
    <w:abstractNumId w:val="4"/>
  </w:num>
  <w:num w:numId="11">
    <w:abstractNumId w:val="32"/>
  </w:num>
  <w:num w:numId="12">
    <w:abstractNumId w:val="16"/>
  </w:num>
  <w:num w:numId="13">
    <w:abstractNumId w:val="21"/>
  </w:num>
  <w:num w:numId="14">
    <w:abstractNumId w:val="13"/>
  </w:num>
  <w:num w:numId="15">
    <w:abstractNumId w:val="31"/>
  </w:num>
  <w:num w:numId="16">
    <w:abstractNumId w:val="10"/>
  </w:num>
  <w:num w:numId="17">
    <w:abstractNumId w:val="26"/>
  </w:num>
  <w:num w:numId="18">
    <w:abstractNumId w:val="8"/>
  </w:num>
  <w:num w:numId="19">
    <w:abstractNumId w:val="28"/>
  </w:num>
  <w:num w:numId="20">
    <w:abstractNumId w:val="25"/>
  </w:num>
  <w:num w:numId="21">
    <w:abstractNumId w:val="19"/>
  </w:num>
  <w:num w:numId="22">
    <w:abstractNumId w:val="27"/>
  </w:num>
  <w:num w:numId="23">
    <w:abstractNumId w:val="20"/>
  </w:num>
  <w:num w:numId="24">
    <w:abstractNumId w:val="9"/>
  </w:num>
  <w:num w:numId="25">
    <w:abstractNumId w:val="24"/>
  </w:num>
  <w:num w:numId="26">
    <w:abstractNumId w:val="23"/>
  </w:num>
  <w:num w:numId="27">
    <w:abstractNumId w:val="33"/>
  </w:num>
  <w:num w:numId="28">
    <w:abstractNumId w:val="6"/>
  </w:num>
  <w:num w:numId="29">
    <w:abstractNumId w:val="22"/>
  </w:num>
  <w:num w:numId="30">
    <w:abstractNumId w:val="36"/>
  </w:num>
  <w:num w:numId="31">
    <w:abstractNumId w:val="5"/>
  </w:num>
  <w:num w:numId="32">
    <w:abstractNumId w:val="35"/>
  </w:num>
  <w:num w:numId="33">
    <w:abstractNumId w:val="30"/>
  </w:num>
  <w:num w:numId="34">
    <w:abstractNumId w:val="34"/>
  </w:num>
  <w:num w:numId="35">
    <w:abstractNumId w:val="7"/>
  </w:num>
  <w:num w:numId="36">
    <w:abstractNumId w:val="15"/>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4F4AE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826E9"/>
    <w:rsid w:val="009B171C"/>
    <w:rsid w:val="009F1313"/>
    <w:rsid w:val="00A20351"/>
    <w:rsid w:val="00A65A81"/>
    <w:rsid w:val="00AA23EC"/>
    <w:rsid w:val="00AC63CE"/>
    <w:rsid w:val="00AC689F"/>
    <w:rsid w:val="00AE2107"/>
    <w:rsid w:val="00B275A8"/>
    <w:rsid w:val="00BF2600"/>
    <w:rsid w:val="00C0049F"/>
    <w:rsid w:val="00C07B84"/>
    <w:rsid w:val="00C33464"/>
    <w:rsid w:val="00C40420"/>
    <w:rsid w:val="00C809A7"/>
    <w:rsid w:val="00C83063"/>
    <w:rsid w:val="00C87E90"/>
    <w:rsid w:val="00CA1B57"/>
    <w:rsid w:val="00CD606E"/>
    <w:rsid w:val="00CF77F7"/>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rfalkphar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ntrale@drfalkpharma.de" TargetMode="External"/><Relationship Id="rId5" Type="http://schemas.openxmlformats.org/officeDocument/2006/relationships/hyperlink" Target="http://www.bda.b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5545</Words>
  <Characters>31613</Characters>
  <Application>Microsoft Office Word</Application>
  <DocSecurity>0</DocSecurity>
  <Lines>263</Lines>
  <Paragraphs>74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2022-06-04T14:18:00Z</dcterms:created>
  <dcterms:modified xsi:type="dcterms:W3CDTF">2022-06-04T14:18:00Z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