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AD3EA62" w:rsidR="00AA23EC" w:rsidRDefault="00DD466D" w:rsidP="00DD466D">
      <w:pPr>
        <w:pStyle w:val="Heading1"/>
      </w:pPr>
      <w:r>
        <w:t>1.ИМЕ НА ЛЕКАРСТВЕНИЯ ПРОДУКТ</w:t>
      </w:r>
    </w:p>
    <w:p w14:paraId="1ED38C0B" w14:textId="34B03EB0" w:rsidR="009D1264" w:rsidRDefault="009D1264" w:rsidP="009D1264"/>
    <w:p w14:paraId="05324D6A" w14:textId="77777777" w:rsidR="009D1264" w:rsidRPr="009D1264" w:rsidRDefault="009D1264" w:rsidP="009D1264">
      <w:pPr>
        <w:rPr>
          <w:sz w:val="24"/>
          <w:szCs w:val="24"/>
          <w:lang w:val="ru-RU"/>
        </w:rPr>
      </w:pPr>
      <w:r w:rsidRPr="009D1264">
        <w:rPr>
          <w:lang w:eastAsia="bg-BG"/>
        </w:rPr>
        <w:t xml:space="preserve">Бинозит 200 </w:t>
      </w:r>
      <w:r w:rsidRPr="009D1264">
        <w:rPr>
          <w:lang w:val="en-US"/>
        </w:rPr>
        <w:t>mg</w:t>
      </w:r>
      <w:r w:rsidRPr="009D1264">
        <w:rPr>
          <w:lang w:val="ru-RU"/>
        </w:rPr>
        <w:t xml:space="preserve">/5 </w:t>
      </w:r>
      <w:r w:rsidRPr="009D1264">
        <w:rPr>
          <w:lang w:val="en-US"/>
        </w:rPr>
        <w:t>ml</w:t>
      </w:r>
      <w:r w:rsidRPr="009D1264">
        <w:rPr>
          <w:lang w:val="ru-RU"/>
        </w:rPr>
        <w:t xml:space="preserve"> </w:t>
      </w:r>
      <w:r w:rsidRPr="009D1264">
        <w:rPr>
          <w:lang w:eastAsia="bg-BG"/>
        </w:rPr>
        <w:t>прах за перорална суспензия</w:t>
      </w:r>
    </w:p>
    <w:p w14:paraId="75D087DD" w14:textId="77777777" w:rsidR="009D1264" w:rsidRPr="009D1264" w:rsidRDefault="009D1264" w:rsidP="009D1264">
      <w:pPr>
        <w:rPr>
          <w:sz w:val="24"/>
          <w:szCs w:val="24"/>
          <w:lang w:val="en-US"/>
        </w:rPr>
      </w:pPr>
      <w:bookmarkStart w:id="1" w:name="_GoBack"/>
      <w:proofErr w:type="spellStart"/>
      <w:r w:rsidRPr="009D1264">
        <w:rPr>
          <w:lang w:val="en-US"/>
        </w:rPr>
        <w:t>Binozyt</w:t>
      </w:r>
      <w:proofErr w:type="spellEnd"/>
      <w:r w:rsidRPr="009D1264">
        <w:rPr>
          <w:lang w:val="en-US"/>
        </w:rPr>
        <w:t xml:space="preserve"> </w:t>
      </w:r>
      <w:r w:rsidRPr="009D1264">
        <w:rPr>
          <w:lang w:eastAsia="bg-BG"/>
        </w:rPr>
        <w:t xml:space="preserve">200 </w:t>
      </w:r>
      <w:r w:rsidRPr="009D1264">
        <w:rPr>
          <w:lang w:val="en-US"/>
        </w:rPr>
        <w:t xml:space="preserve">mg/5 ml </w:t>
      </w:r>
      <w:bookmarkEnd w:id="1"/>
      <w:r w:rsidRPr="009D1264">
        <w:rPr>
          <w:lang w:val="en-US"/>
        </w:rPr>
        <w:t>powder for oral suspension</w:t>
      </w:r>
    </w:p>
    <w:p w14:paraId="6861C4B8" w14:textId="77777777" w:rsidR="009D1264" w:rsidRPr="009D1264" w:rsidRDefault="009D1264" w:rsidP="009D1264">
      <w:pPr>
        <w:rPr>
          <w:lang w:val="en-US"/>
        </w:rPr>
      </w:pPr>
    </w:p>
    <w:p w14:paraId="0A368469" w14:textId="5BF91781" w:rsidR="00C0049F" w:rsidRDefault="00DD466D" w:rsidP="009F1313">
      <w:pPr>
        <w:pStyle w:val="Heading1"/>
      </w:pPr>
      <w:r>
        <w:t>2. КАЧЕСТВЕН И КОЛИЧЕСТВЕН СЪСТАВ</w:t>
      </w:r>
    </w:p>
    <w:p w14:paraId="7E079131" w14:textId="035A0322" w:rsidR="009D1264" w:rsidRDefault="009D1264" w:rsidP="009D1264"/>
    <w:p w14:paraId="1C7D358C"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Всеки 5 </w:t>
      </w:r>
      <w:r w:rsidRPr="009D1264">
        <w:rPr>
          <w:rFonts w:eastAsia="Times New Roman" w:cs="Arial"/>
          <w:color w:val="000000"/>
          <w:lang w:val="en-US"/>
        </w:rPr>
        <w:t>ml</w:t>
      </w:r>
      <w:r w:rsidRPr="009D1264">
        <w:rPr>
          <w:rFonts w:eastAsia="Times New Roman" w:cs="Arial"/>
          <w:color w:val="000000"/>
        </w:rPr>
        <w:t xml:space="preserve"> </w:t>
      </w:r>
      <w:r w:rsidRPr="009D1264">
        <w:rPr>
          <w:rFonts w:eastAsia="Times New Roman" w:cs="Arial"/>
          <w:color w:val="000000"/>
          <w:lang w:eastAsia="bg-BG"/>
        </w:rPr>
        <w:t xml:space="preserve">от приготвената суспензия съдържат 204,8 </w:t>
      </w:r>
      <w:r w:rsidRPr="009D1264">
        <w:rPr>
          <w:rFonts w:eastAsia="Times New Roman" w:cs="Arial"/>
          <w:color w:val="000000"/>
          <w:lang w:val="en-US"/>
        </w:rPr>
        <w:t>mg</w:t>
      </w:r>
      <w:r w:rsidRPr="009D1264">
        <w:rPr>
          <w:rFonts w:eastAsia="Times New Roman" w:cs="Arial"/>
          <w:color w:val="000000"/>
        </w:rPr>
        <w:t xml:space="preserve"> </w:t>
      </w:r>
      <w:r w:rsidRPr="009D1264">
        <w:rPr>
          <w:rFonts w:eastAsia="Times New Roman" w:cs="Arial"/>
          <w:color w:val="000000"/>
          <w:lang w:eastAsia="bg-BG"/>
        </w:rPr>
        <w:t xml:space="preserve">азитромицин монохидрат </w:t>
      </w:r>
      <w:r w:rsidRPr="009D1264">
        <w:rPr>
          <w:rFonts w:eastAsia="Times New Roman" w:cs="Arial"/>
          <w:i/>
          <w:iCs/>
          <w:color w:val="000000"/>
        </w:rPr>
        <w:t>(</w:t>
      </w:r>
      <w:r w:rsidRPr="009D1264">
        <w:rPr>
          <w:rFonts w:eastAsia="Times New Roman" w:cs="Arial"/>
          <w:i/>
          <w:iCs/>
          <w:color w:val="000000"/>
          <w:lang w:val="en-US"/>
        </w:rPr>
        <w:t>azithromycin</w:t>
      </w:r>
      <w:r w:rsidRPr="009D1264">
        <w:rPr>
          <w:rFonts w:eastAsia="Times New Roman" w:cs="Arial"/>
          <w:i/>
          <w:iCs/>
          <w:color w:val="000000"/>
        </w:rPr>
        <w:t xml:space="preserve"> </w:t>
      </w:r>
      <w:r w:rsidRPr="009D1264">
        <w:rPr>
          <w:rFonts w:eastAsia="Times New Roman" w:cs="Arial"/>
          <w:i/>
          <w:iCs/>
          <w:color w:val="000000"/>
          <w:lang w:val="en-US"/>
        </w:rPr>
        <w:t>monohydrate</w:t>
      </w:r>
      <w:r w:rsidRPr="009D1264">
        <w:rPr>
          <w:rFonts w:eastAsia="Times New Roman" w:cs="Arial"/>
          <w:i/>
          <w:iCs/>
          <w:color w:val="000000"/>
        </w:rPr>
        <w:t>)</w:t>
      </w:r>
      <w:r w:rsidRPr="009D1264">
        <w:rPr>
          <w:rFonts w:eastAsia="Times New Roman" w:cs="Arial"/>
          <w:color w:val="000000"/>
        </w:rPr>
        <w:t xml:space="preserve"> </w:t>
      </w:r>
      <w:r w:rsidRPr="009D1264">
        <w:rPr>
          <w:rFonts w:eastAsia="Times New Roman" w:cs="Arial"/>
          <w:color w:val="000000"/>
          <w:lang w:eastAsia="bg-BG"/>
        </w:rPr>
        <w:t xml:space="preserve">еквивалентен на 200 </w:t>
      </w:r>
      <w:r w:rsidRPr="009D1264">
        <w:rPr>
          <w:rFonts w:eastAsia="Times New Roman" w:cs="Arial"/>
          <w:color w:val="000000"/>
          <w:lang w:val="en-US"/>
        </w:rPr>
        <w:t>mg</w:t>
      </w:r>
      <w:r w:rsidRPr="009D1264">
        <w:rPr>
          <w:rFonts w:eastAsia="Times New Roman" w:cs="Arial"/>
          <w:color w:val="000000"/>
        </w:rPr>
        <w:t xml:space="preserve"> </w:t>
      </w:r>
      <w:r w:rsidRPr="009D1264">
        <w:rPr>
          <w:rFonts w:eastAsia="Times New Roman" w:cs="Arial"/>
          <w:color w:val="000000"/>
          <w:lang w:eastAsia="bg-BG"/>
        </w:rPr>
        <w:t>азитромицин.</w:t>
      </w:r>
    </w:p>
    <w:p w14:paraId="0A7C02E5"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Всеки 1 </w:t>
      </w:r>
      <w:r w:rsidRPr="009D1264">
        <w:rPr>
          <w:rFonts w:eastAsia="Times New Roman" w:cs="Arial"/>
          <w:color w:val="000000"/>
          <w:lang w:val="en-US"/>
        </w:rPr>
        <w:t>ml</w:t>
      </w:r>
      <w:r w:rsidRPr="009D1264">
        <w:rPr>
          <w:rFonts w:eastAsia="Times New Roman" w:cs="Arial"/>
          <w:color w:val="000000"/>
        </w:rPr>
        <w:t xml:space="preserve"> </w:t>
      </w:r>
      <w:r w:rsidRPr="009D1264">
        <w:rPr>
          <w:rFonts w:eastAsia="Times New Roman" w:cs="Arial"/>
          <w:color w:val="000000"/>
          <w:lang w:eastAsia="bg-BG"/>
        </w:rPr>
        <w:t xml:space="preserve">от приготвената суспензия съдържа 40,96 </w:t>
      </w:r>
      <w:r w:rsidRPr="009D1264">
        <w:rPr>
          <w:rFonts w:eastAsia="Times New Roman" w:cs="Arial"/>
          <w:color w:val="000000"/>
          <w:lang w:val="en-US"/>
        </w:rPr>
        <w:t>mg</w:t>
      </w:r>
      <w:r w:rsidRPr="009D1264">
        <w:rPr>
          <w:rFonts w:eastAsia="Times New Roman" w:cs="Arial"/>
          <w:color w:val="000000"/>
        </w:rPr>
        <w:t xml:space="preserve"> </w:t>
      </w:r>
      <w:r w:rsidRPr="009D1264">
        <w:rPr>
          <w:rFonts w:eastAsia="Times New Roman" w:cs="Arial"/>
          <w:color w:val="000000"/>
          <w:lang w:eastAsia="bg-BG"/>
        </w:rPr>
        <w:t xml:space="preserve">азитромицин монохидрат </w:t>
      </w:r>
      <w:r w:rsidRPr="009D1264">
        <w:rPr>
          <w:rFonts w:eastAsia="Times New Roman" w:cs="Arial"/>
          <w:i/>
          <w:iCs/>
          <w:color w:val="000000"/>
        </w:rPr>
        <w:t>(</w:t>
      </w:r>
      <w:r w:rsidRPr="009D1264">
        <w:rPr>
          <w:rFonts w:eastAsia="Times New Roman" w:cs="Arial"/>
          <w:i/>
          <w:iCs/>
          <w:color w:val="000000"/>
          <w:lang w:val="en-US"/>
        </w:rPr>
        <w:t>azithromycin</w:t>
      </w:r>
      <w:r w:rsidRPr="009D1264">
        <w:rPr>
          <w:rFonts w:eastAsia="Times New Roman" w:cs="Arial"/>
          <w:i/>
          <w:iCs/>
          <w:color w:val="000000"/>
        </w:rPr>
        <w:t xml:space="preserve"> </w:t>
      </w:r>
      <w:r w:rsidRPr="009D1264">
        <w:rPr>
          <w:rFonts w:eastAsia="Times New Roman" w:cs="Arial"/>
          <w:i/>
          <w:iCs/>
          <w:color w:val="000000"/>
          <w:lang w:val="en-US"/>
        </w:rPr>
        <w:t>monohydrate</w:t>
      </w:r>
      <w:r w:rsidRPr="009D1264">
        <w:rPr>
          <w:rFonts w:eastAsia="Times New Roman" w:cs="Arial"/>
          <w:i/>
          <w:iCs/>
          <w:color w:val="000000"/>
        </w:rPr>
        <w:t>)</w:t>
      </w:r>
      <w:r w:rsidRPr="009D1264">
        <w:rPr>
          <w:rFonts w:eastAsia="Times New Roman" w:cs="Arial"/>
          <w:color w:val="000000"/>
        </w:rPr>
        <w:t xml:space="preserve"> </w:t>
      </w:r>
      <w:r w:rsidRPr="009D1264">
        <w:rPr>
          <w:rFonts w:eastAsia="Times New Roman" w:cs="Arial"/>
          <w:color w:val="000000"/>
          <w:lang w:eastAsia="bg-BG"/>
        </w:rPr>
        <w:t xml:space="preserve">еквивалентен на 40 </w:t>
      </w:r>
      <w:r w:rsidRPr="009D1264">
        <w:rPr>
          <w:rFonts w:eastAsia="Times New Roman" w:cs="Arial"/>
          <w:color w:val="000000"/>
          <w:lang w:val="en-US"/>
        </w:rPr>
        <w:t>mg</w:t>
      </w:r>
      <w:r w:rsidRPr="009D1264">
        <w:rPr>
          <w:rFonts w:eastAsia="Times New Roman" w:cs="Arial"/>
          <w:color w:val="000000"/>
        </w:rPr>
        <w:t xml:space="preserve"> </w:t>
      </w:r>
      <w:r w:rsidRPr="009D1264">
        <w:rPr>
          <w:rFonts w:eastAsia="Times New Roman" w:cs="Arial"/>
          <w:color w:val="000000"/>
          <w:lang w:eastAsia="bg-BG"/>
        </w:rPr>
        <w:t>азитромицин.</w:t>
      </w:r>
    </w:p>
    <w:p w14:paraId="60B48D07" w14:textId="77777777" w:rsidR="009D1264" w:rsidRPr="009D1264" w:rsidRDefault="009D1264" w:rsidP="009D1264">
      <w:pPr>
        <w:spacing w:line="240" w:lineRule="auto"/>
        <w:rPr>
          <w:rFonts w:eastAsia="Times New Roman" w:cs="Arial"/>
          <w:color w:val="000000"/>
          <w:lang w:eastAsia="bg-BG"/>
        </w:rPr>
      </w:pPr>
    </w:p>
    <w:p w14:paraId="5287C629" w14:textId="64530A07" w:rsidR="009D1264" w:rsidRPr="009D1264" w:rsidRDefault="009D1264" w:rsidP="009D1264">
      <w:pPr>
        <w:spacing w:line="240" w:lineRule="auto"/>
        <w:rPr>
          <w:rFonts w:eastAsia="Times New Roman" w:cs="Arial"/>
        </w:rPr>
      </w:pPr>
      <w:r w:rsidRPr="009D1264">
        <w:rPr>
          <w:rFonts w:eastAsia="Times New Roman" w:cs="Arial"/>
          <w:color w:val="000000"/>
          <w:lang w:eastAsia="bg-BG"/>
        </w:rPr>
        <w:t>Помощни вещества с известно действие::</w:t>
      </w:r>
    </w:p>
    <w:p w14:paraId="43718B62" w14:textId="77777777" w:rsidR="009D1264" w:rsidRPr="009D1264" w:rsidRDefault="009D1264" w:rsidP="009D1264">
      <w:pPr>
        <w:pStyle w:val="ListParagraph"/>
        <w:numPr>
          <w:ilvl w:val="0"/>
          <w:numId w:val="32"/>
        </w:numPr>
        <w:spacing w:line="240" w:lineRule="auto"/>
        <w:rPr>
          <w:rFonts w:eastAsia="Times New Roman" w:cs="Arial"/>
          <w:color w:val="000000"/>
          <w:lang w:eastAsia="bg-BG"/>
        </w:rPr>
      </w:pPr>
      <w:r w:rsidRPr="009D1264">
        <w:rPr>
          <w:rFonts w:eastAsia="Times New Roman" w:cs="Arial"/>
          <w:color w:val="000000"/>
          <w:lang w:eastAsia="bg-BG"/>
        </w:rPr>
        <w:t xml:space="preserve">Захароза 3,70 </w:t>
      </w:r>
      <w:r w:rsidRPr="009D1264">
        <w:rPr>
          <w:rFonts w:eastAsia="Times New Roman" w:cs="Arial"/>
          <w:color w:val="000000"/>
          <w:lang w:val="en-US"/>
        </w:rPr>
        <w:t>g/5 ml</w:t>
      </w:r>
    </w:p>
    <w:p w14:paraId="76A4B940" w14:textId="77777777" w:rsidR="009D1264" w:rsidRPr="009D1264" w:rsidRDefault="009D1264" w:rsidP="009D1264">
      <w:pPr>
        <w:pStyle w:val="ListParagraph"/>
        <w:numPr>
          <w:ilvl w:val="0"/>
          <w:numId w:val="32"/>
        </w:numPr>
        <w:spacing w:line="240" w:lineRule="auto"/>
        <w:rPr>
          <w:rFonts w:eastAsia="Times New Roman" w:cs="Arial"/>
          <w:color w:val="000000"/>
          <w:lang w:eastAsia="bg-BG"/>
        </w:rPr>
      </w:pPr>
      <w:r w:rsidRPr="009D1264">
        <w:rPr>
          <w:rFonts w:eastAsia="Times New Roman" w:cs="Arial"/>
          <w:color w:val="000000"/>
          <w:lang w:eastAsia="bg-BG"/>
        </w:rPr>
        <w:t xml:space="preserve">Аспартам (Е951) 0,030 </w:t>
      </w:r>
      <w:r w:rsidRPr="009D1264">
        <w:rPr>
          <w:rFonts w:eastAsia="Times New Roman" w:cs="Arial"/>
          <w:color w:val="000000"/>
          <w:lang w:val="en-US"/>
        </w:rPr>
        <w:t>g/5 ml</w:t>
      </w:r>
    </w:p>
    <w:p w14:paraId="7489E137" w14:textId="30E90655" w:rsidR="009D1264" w:rsidRPr="009D1264" w:rsidRDefault="009D1264" w:rsidP="009D1264">
      <w:pPr>
        <w:pStyle w:val="ListParagraph"/>
        <w:numPr>
          <w:ilvl w:val="0"/>
          <w:numId w:val="32"/>
        </w:numPr>
        <w:spacing w:line="240" w:lineRule="auto"/>
        <w:rPr>
          <w:rFonts w:eastAsia="Times New Roman" w:cs="Arial"/>
          <w:color w:val="000000"/>
          <w:lang w:eastAsia="bg-BG"/>
        </w:rPr>
      </w:pPr>
      <w:r w:rsidRPr="009D1264">
        <w:rPr>
          <w:rFonts w:eastAsia="Times New Roman" w:cs="Arial"/>
          <w:color w:val="000000"/>
          <w:lang w:eastAsia="bg-BG"/>
        </w:rPr>
        <w:t xml:space="preserve">Натрий 7,739 </w:t>
      </w:r>
      <w:r w:rsidRPr="009D1264">
        <w:rPr>
          <w:rFonts w:eastAsia="Times New Roman" w:cs="Arial"/>
          <w:color w:val="000000"/>
          <w:lang w:val="en-US"/>
        </w:rPr>
        <w:t xml:space="preserve">mg </w:t>
      </w:r>
      <w:r w:rsidRPr="009D1264">
        <w:rPr>
          <w:rFonts w:eastAsia="Times New Roman" w:cs="Arial"/>
          <w:color w:val="000000"/>
          <w:lang w:eastAsia="bg-BG"/>
        </w:rPr>
        <w:t xml:space="preserve">(0,336 </w:t>
      </w:r>
      <w:proofErr w:type="spellStart"/>
      <w:r w:rsidRPr="009D1264">
        <w:rPr>
          <w:rFonts w:eastAsia="Times New Roman" w:cs="Arial"/>
          <w:color w:val="000000"/>
          <w:lang w:val="en-US"/>
        </w:rPr>
        <w:t>mmol</w:t>
      </w:r>
      <w:proofErr w:type="spellEnd"/>
      <w:r w:rsidRPr="009D1264">
        <w:rPr>
          <w:rFonts w:eastAsia="Times New Roman" w:cs="Arial"/>
          <w:color w:val="000000"/>
          <w:lang w:val="en-US"/>
        </w:rPr>
        <w:t>)/5 ml</w:t>
      </w:r>
    </w:p>
    <w:p w14:paraId="2F36EC6B" w14:textId="77777777" w:rsidR="009D1264" w:rsidRPr="009D1264" w:rsidRDefault="009D1264" w:rsidP="009D1264"/>
    <w:p w14:paraId="614984C4" w14:textId="2863CC4E" w:rsidR="008A6AF2" w:rsidRDefault="00DD466D" w:rsidP="002C50EE">
      <w:pPr>
        <w:pStyle w:val="Heading1"/>
      </w:pPr>
      <w:r>
        <w:t>3. ЛЕКАРСТВЕНА ФОРМА</w:t>
      </w:r>
    </w:p>
    <w:p w14:paraId="17A19026" w14:textId="2C23C40B" w:rsidR="009D1264" w:rsidRDefault="009D1264" w:rsidP="009D1264"/>
    <w:p w14:paraId="69878F8E" w14:textId="77777777" w:rsidR="009D1264" w:rsidRPr="009D1264" w:rsidRDefault="009D1264" w:rsidP="009D1264">
      <w:pPr>
        <w:rPr>
          <w:sz w:val="24"/>
          <w:szCs w:val="24"/>
        </w:rPr>
      </w:pPr>
      <w:r w:rsidRPr="009D1264">
        <w:rPr>
          <w:lang w:eastAsia="bg-BG"/>
        </w:rPr>
        <w:t>Прах за перорална суспензия.</w:t>
      </w:r>
    </w:p>
    <w:p w14:paraId="7324A359" w14:textId="109B28A9" w:rsidR="009D1264" w:rsidRPr="009D1264" w:rsidRDefault="009D1264" w:rsidP="009D1264">
      <w:r w:rsidRPr="009D1264">
        <w:rPr>
          <w:lang w:eastAsia="bg-BG"/>
        </w:rPr>
        <w:t>Бял до сиво-белезникав кристален прах.</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2B73885A" w:rsidR="00395555" w:rsidRDefault="00395555" w:rsidP="00395555"/>
    <w:p w14:paraId="441D724B" w14:textId="77777777" w:rsidR="009D1264" w:rsidRPr="009D1264" w:rsidRDefault="009D1264" w:rsidP="009D1264">
      <w:r w:rsidRPr="009D1264">
        <w:rPr>
          <w:lang w:eastAsia="bg-BG"/>
        </w:rPr>
        <w:t>Азитромицин е показан за лечение на следните инфекции, когато са причинени от микроорганизми чувствителни спрямо азитромицин (виж точка 4.4 и 5.1):</w:t>
      </w:r>
    </w:p>
    <w:p w14:paraId="30083581" w14:textId="77777777" w:rsidR="009D1264" w:rsidRDefault="009D1264" w:rsidP="009D1264">
      <w:pPr>
        <w:rPr>
          <w:lang w:eastAsia="bg-BG"/>
        </w:rPr>
      </w:pPr>
    </w:p>
    <w:p w14:paraId="60D6EBCB" w14:textId="77777777" w:rsidR="009D1264" w:rsidRDefault="009D1264" w:rsidP="009D1264">
      <w:pPr>
        <w:pStyle w:val="ListParagraph"/>
        <w:numPr>
          <w:ilvl w:val="0"/>
          <w:numId w:val="33"/>
        </w:numPr>
      </w:pPr>
      <w:r w:rsidRPr="009D1264">
        <w:rPr>
          <w:lang w:eastAsia="bg-BG"/>
        </w:rPr>
        <w:t xml:space="preserve">остър бактериален синузит (адекватно диагностициран) </w:t>
      </w:r>
    </w:p>
    <w:p w14:paraId="723F5EAA" w14:textId="77777777" w:rsidR="009D1264" w:rsidRDefault="009D1264" w:rsidP="009D1264">
      <w:pPr>
        <w:pStyle w:val="ListParagraph"/>
        <w:numPr>
          <w:ilvl w:val="0"/>
          <w:numId w:val="33"/>
        </w:numPr>
      </w:pPr>
      <w:r w:rsidRPr="009D1264">
        <w:rPr>
          <w:lang w:eastAsia="bg-BG"/>
        </w:rPr>
        <w:t xml:space="preserve">остър бактериален среден отит (адекватно диагностициран) </w:t>
      </w:r>
    </w:p>
    <w:p w14:paraId="38B67E14" w14:textId="3020B7FE" w:rsidR="009D1264" w:rsidRPr="009D1264" w:rsidRDefault="009D1264" w:rsidP="009D1264">
      <w:pPr>
        <w:pStyle w:val="ListParagraph"/>
        <w:numPr>
          <w:ilvl w:val="0"/>
          <w:numId w:val="33"/>
        </w:numPr>
      </w:pPr>
      <w:r w:rsidRPr="009D1264">
        <w:rPr>
          <w:lang w:eastAsia="bg-BG"/>
        </w:rPr>
        <w:t>фарингит, тонзилит</w:t>
      </w:r>
    </w:p>
    <w:p w14:paraId="4D3CC70C" w14:textId="77777777" w:rsidR="009D1264" w:rsidRDefault="009D1264" w:rsidP="009D1264">
      <w:pPr>
        <w:pStyle w:val="ListParagraph"/>
        <w:numPr>
          <w:ilvl w:val="0"/>
          <w:numId w:val="33"/>
        </w:numPr>
      </w:pPr>
      <w:r w:rsidRPr="009D1264">
        <w:rPr>
          <w:lang w:eastAsia="bg-BG"/>
        </w:rPr>
        <w:t xml:space="preserve">тежко обостряне на хроничен бронхит (адекватно диагностициран) </w:t>
      </w:r>
    </w:p>
    <w:p w14:paraId="17DC2CA5" w14:textId="77777777" w:rsidR="009D1264" w:rsidRDefault="009D1264" w:rsidP="009D1264">
      <w:pPr>
        <w:pStyle w:val="ListParagraph"/>
        <w:numPr>
          <w:ilvl w:val="0"/>
          <w:numId w:val="33"/>
        </w:numPr>
      </w:pPr>
      <w:r w:rsidRPr="009D1264">
        <w:rPr>
          <w:lang w:eastAsia="bg-BG"/>
        </w:rPr>
        <w:t xml:space="preserve">лека до умерено тежка придобита в обществото пневмония </w:t>
      </w:r>
    </w:p>
    <w:p w14:paraId="4C0FA3D3" w14:textId="2FACEBBB" w:rsidR="009D1264" w:rsidRPr="009D1264" w:rsidRDefault="009D1264" w:rsidP="009D1264">
      <w:pPr>
        <w:pStyle w:val="ListParagraph"/>
        <w:numPr>
          <w:ilvl w:val="0"/>
          <w:numId w:val="33"/>
        </w:numPr>
      </w:pPr>
      <w:r w:rsidRPr="009D1264">
        <w:rPr>
          <w:lang w:eastAsia="bg-BG"/>
        </w:rPr>
        <w:t>инфекции на кожата и меките тъкани</w:t>
      </w:r>
    </w:p>
    <w:p w14:paraId="0F0CB856" w14:textId="77777777" w:rsidR="009D1264" w:rsidRPr="009D1264" w:rsidRDefault="009D1264" w:rsidP="009D1264">
      <w:pPr>
        <w:pStyle w:val="ListParagraph"/>
        <w:numPr>
          <w:ilvl w:val="0"/>
          <w:numId w:val="33"/>
        </w:numPr>
      </w:pPr>
      <w:r w:rsidRPr="009D1264">
        <w:rPr>
          <w:lang w:eastAsia="bg-BG"/>
        </w:rPr>
        <w:t xml:space="preserve">неусложнени уретрит и цервицит, причинени от </w:t>
      </w:r>
      <w:r w:rsidRPr="009D1264">
        <w:rPr>
          <w:i/>
          <w:iCs/>
          <w:lang w:val="en-US"/>
        </w:rPr>
        <w:t>Chlamydia</w:t>
      </w:r>
      <w:r w:rsidRPr="009D1264">
        <w:rPr>
          <w:i/>
          <w:iCs/>
          <w:lang w:val="ru-RU"/>
        </w:rPr>
        <w:t xml:space="preserve"> </w:t>
      </w:r>
      <w:r w:rsidRPr="009D1264">
        <w:rPr>
          <w:i/>
          <w:iCs/>
          <w:lang w:val="en-US"/>
        </w:rPr>
        <w:t>trachomatis</w:t>
      </w:r>
    </w:p>
    <w:p w14:paraId="1C8E1111" w14:textId="77777777" w:rsidR="009D1264" w:rsidRDefault="009D1264" w:rsidP="009D1264">
      <w:pPr>
        <w:rPr>
          <w:lang w:eastAsia="bg-BG"/>
        </w:rPr>
      </w:pPr>
    </w:p>
    <w:p w14:paraId="7608772F" w14:textId="3DD12BE7" w:rsidR="009D1264" w:rsidRPr="009D1264" w:rsidRDefault="009D1264" w:rsidP="009D1264">
      <w:pPr>
        <w:rPr>
          <w:sz w:val="24"/>
          <w:szCs w:val="24"/>
        </w:rPr>
      </w:pPr>
      <w:r w:rsidRPr="009D1264">
        <w:rPr>
          <w:lang w:eastAsia="bg-BG"/>
        </w:rPr>
        <w:t>Трябва да се вземе предвид официалното ръководство за правилно приложение на антибактериални средства.</w:t>
      </w:r>
    </w:p>
    <w:p w14:paraId="0A42BDF0" w14:textId="77777777" w:rsidR="009D1264" w:rsidRPr="00395555" w:rsidRDefault="009D1264" w:rsidP="00395555"/>
    <w:p w14:paraId="7C0CA5EB" w14:textId="74A962E5" w:rsidR="00C0049F" w:rsidRDefault="002C50EE" w:rsidP="009F1313">
      <w:pPr>
        <w:pStyle w:val="Heading2"/>
      </w:pPr>
      <w:r>
        <w:t>4.2. Дозировка и начин на приложение</w:t>
      </w:r>
    </w:p>
    <w:p w14:paraId="2143EACC" w14:textId="45935479" w:rsidR="009D1264" w:rsidRDefault="009D1264" w:rsidP="009D1264"/>
    <w:p w14:paraId="7345552E" w14:textId="77777777" w:rsidR="009D1264" w:rsidRPr="009D1264" w:rsidRDefault="009D1264" w:rsidP="009D1264">
      <w:pPr>
        <w:spacing w:line="240" w:lineRule="auto"/>
        <w:rPr>
          <w:rFonts w:eastAsia="Times New Roman" w:cs="Arial"/>
        </w:rPr>
      </w:pPr>
      <w:bookmarkStart w:id="2" w:name="bookmark0"/>
      <w:r w:rsidRPr="009D1264">
        <w:rPr>
          <w:rFonts w:eastAsia="Times New Roman" w:cs="Arial"/>
          <w:b/>
          <w:bCs/>
          <w:color w:val="000000"/>
          <w:lang w:eastAsia="bg-BG"/>
        </w:rPr>
        <w:lastRenderedPageBreak/>
        <w:t>Възрастни</w:t>
      </w:r>
      <w:bookmarkEnd w:id="2"/>
    </w:p>
    <w:p w14:paraId="401C80EC" w14:textId="003EE186" w:rsidR="009D1264" w:rsidRPr="009D1264" w:rsidRDefault="009D1264" w:rsidP="009D1264">
      <w:pPr>
        <w:rPr>
          <w:rFonts w:eastAsia="Times New Roman" w:cs="Arial"/>
          <w:color w:val="000000"/>
          <w:lang w:eastAsia="bg-BG"/>
        </w:rPr>
      </w:pPr>
      <w:r w:rsidRPr="009D1264">
        <w:rPr>
          <w:rFonts w:eastAsia="Times New Roman" w:cs="Arial"/>
          <w:color w:val="000000"/>
          <w:lang w:eastAsia="bg-BG"/>
        </w:rPr>
        <w:t xml:space="preserve">При неусложнени уретрит и цервицит причинени от </w:t>
      </w:r>
      <w:r w:rsidRPr="009D1264">
        <w:rPr>
          <w:rFonts w:eastAsia="Times New Roman" w:cs="Arial"/>
          <w:i/>
          <w:iCs/>
          <w:color w:val="000000"/>
          <w:lang w:val="en-US"/>
        </w:rPr>
        <w:t>Chlamydia</w:t>
      </w:r>
      <w:r w:rsidRPr="009D1264">
        <w:rPr>
          <w:rFonts w:eastAsia="Times New Roman" w:cs="Arial"/>
          <w:i/>
          <w:iCs/>
          <w:color w:val="000000"/>
          <w:lang w:val="ru-RU"/>
        </w:rPr>
        <w:t xml:space="preserve"> </w:t>
      </w:r>
      <w:r w:rsidRPr="009D1264">
        <w:rPr>
          <w:rFonts w:eastAsia="Times New Roman" w:cs="Arial"/>
          <w:i/>
          <w:iCs/>
          <w:color w:val="000000"/>
          <w:lang w:val="en-US"/>
        </w:rPr>
        <w:t>trachomatis</w:t>
      </w:r>
      <w:r w:rsidRPr="009D1264">
        <w:rPr>
          <w:rFonts w:eastAsia="Times New Roman" w:cs="Arial"/>
          <w:i/>
          <w:iCs/>
          <w:color w:val="000000"/>
          <w:lang w:val="ru-RU"/>
        </w:rPr>
        <w:t>,</w:t>
      </w:r>
      <w:r w:rsidRPr="009D1264">
        <w:rPr>
          <w:rFonts w:eastAsia="Times New Roman" w:cs="Arial"/>
          <w:i/>
          <w:iCs/>
          <w:color w:val="000000"/>
          <w:lang w:eastAsia="bg-BG"/>
        </w:rPr>
        <w:t xml:space="preserve"> дозата е 1000</w:t>
      </w:r>
      <w:r w:rsidRPr="009D1264">
        <w:rPr>
          <w:rFonts w:eastAsia="Times New Roman" w:cs="Arial"/>
          <w:i/>
          <w:iCs/>
          <w:color w:val="000000"/>
          <w:lang w:val="en-US"/>
        </w:rPr>
        <w:t>mg</w:t>
      </w:r>
      <w:r w:rsidRPr="009D1264">
        <w:rPr>
          <w:rFonts w:eastAsia="Times New Roman" w:cs="Arial"/>
          <w:i/>
          <w:iCs/>
          <w:color w:val="000000"/>
          <w:lang w:val="ru-RU"/>
        </w:rPr>
        <w:t xml:space="preserve"> </w:t>
      </w:r>
      <w:r w:rsidRPr="009D1264">
        <w:rPr>
          <w:rFonts w:eastAsia="Times New Roman" w:cs="Arial"/>
          <w:i/>
          <w:iCs/>
          <w:color w:val="000000"/>
          <w:lang w:eastAsia="bg-BG"/>
        </w:rPr>
        <w:t>в</w:t>
      </w:r>
      <w:r w:rsidRPr="009D1264">
        <w:rPr>
          <w:rFonts w:eastAsia="Times New Roman" w:cs="Arial"/>
          <w:color w:val="000000"/>
          <w:vertAlign w:val="superscript"/>
          <w:lang w:eastAsia="bg-BG"/>
        </w:rPr>
        <w:t xml:space="preserve"> </w:t>
      </w:r>
      <w:r w:rsidRPr="009D1264">
        <w:rPr>
          <w:rFonts w:eastAsia="Times New Roman" w:cs="Arial"/>
          <w:color w:val="000000"/>
          <w:lang w:eastAsia="bg-BG"/>
        </w:rPr>
        <w:t>еднократен перорален прием.</w:t>
      </w:r>
    </w:p>
    <w:p w14:paraId="075E714E" w14:textId="4D2D637A" w:rsidR="009D1264" w:rsidRPr="009D1264" w:rsidRDefault="009D1264" w:rsidP="009D1264">
      <w:pPr>
        <w:rPr>
          <w:rFonts w:eastAsia="Times New Roman" w:cs="Arial"/>
          <w:color w:val="000000"/>
          <w:lang w:eastAsia="bg-BG"/>
        </w:rPr>
      </w:pPr>
    </w:p>
    <w:p w14:paraId="546A67BC"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За всички други показания дозата е 1500 </w:t>
      </w:r>
      <w:r w:rsidRPr="009D1264">
        <w:rPr>
          <w:rFonts w:eastAsia="Times New Roman" w:cs="Arial"/>
          <w:color w:val="000000"/>
          <w:lang w:val="en-US"/>
        </w:rPr>
        <w:t>mg</w:t>
      </w:r>
      <w:r w:rsidRPr="009D1264">
        <w:rPr>
          <w:rFonts w:eastAsia="Times New Roman" w:cs="Arial"/>
          <w:color w:val="000000"/>
          <w:lang w:val="ru-RU"/>
        </w:rPr>
        <w:t xml:space="preserve"> </w:t>
      </w:r>
      <w:r w:rsidRPr="009D1264">
        <w:rPr>
          <w:rFonts w:eastAsia="Times New Roman" w:cs="Arial"/>
          <w:color w:val="000000"/>
          <w:lang w:eastAsia="bg-BG"/>
        </w:rPr>
        <w:t xml:space="preserve">приложена под формата на 500 </w:t>
      </w:r>
      <w:r w:rsidRPr="009D1264">
        <w:rPr>
          <w:rFonts w:eastAsia="Times New Roman" w:cs="Arial"/>
          <w:color w:val="000000"/>
          <w:lang w:val="en-US"/>
        </w:rPr>
        <w:t>mg</w:t>
      </w:r>
      <w:r w:rsidRPr="009D1264">
        <w:rPr>
          <w:rFonts w:eastAsia="Times New Roman" w:cs="Arial"/>
          <w:color w:val="000000"/>
          <w:lang w:val="ru-RU"/>
        </w:rPr>
        <w:t xml:space="preserve"> </w:t>
      </w:r>
      <w:r w:rsidRPr="009D1264">
        <w:rPr>
          <w:rFonts w:eastAsia="Times New Roman" w:cs="Arial"/>
          <w:color w:val="000000"/>
          <w:lang w:eastAsia="bg-BG"/>
        </w:rPr>
        <w:t xml:space="preserve">дневно в три последователни дни. Алтернативно същата обща доза (1500 </w:t>
      </w:r>
      <w:r w:rsidRPr="009D1264">
        <w:rPr>
          <w:rFonts w:eastAsia="Times New Roman" w:cs="Arial"/>
          <w:color w:val="000000"/>
          <w:lang w:val="en-US"/>
        </w:rPr>
        <w:t>mg</w:t>
      </w:r>
      <w:r w:rsidRPr="009D1264">
        <w:rPr>
          <w:rFonts w:eastAsia="Times New Roman" w:cs="Arial"/>
          <w:color w:val="000000"/>
          <w:lang w:val="ru-RU"/>
        </w:rPr>
        <w:t xml:space="preserve">) </w:t>
      </w:r>
      <w:r w:rsidRPr="009D1264">
        <w:rPr>
          <w:rFonts w:eastAsia="Times New Roman" w:cs="Arial"/>
          <w:color w:val="000000"/>
          <w:lang w:eastAsia="bg-BG"/>
        </w:rPr>
        <w:t xml:space="preserve">може да се приложи за период от 5 дни като се приемат 500 </w:t>
      </w:r>
      <w:r w:rsidRPr="009D1264">
        <w:rPr>
          <w:rFonts w:eastAsia="Times New Roman" w:cs="Arial"/>
          <w:color w:val="000000"/>
          <w:lang w:val="en-US"/>
        </w:rPr>
        <w:t>mg</w:t>
      </w:r>
      <w:r w:rsidRPr="009D1264">
        <w:rPr>
          <w:rFonts w:eastAsia="Times New Roman" w:cs="Arial"/>
          <w:color w:val="000000"/>
          <w:lang w:val="ru-RU"/>
        </w:rPr>
        <w:t xml:space="preserve"> </w:t>
      </w:r>
      <w:r w:rsidRPr="009D1264">
        <w:rPr>
          <w:rFonts w:eastAsia="Times New Roman" w:cs="Arial"/>
          <w:color w:val="000000"/>
          <w:lang w:eastAsia="bg-BG"/>
        </w:rPr>
        <w:t xml:space="preserve">през първия ден и след това по 250 </w:t>
      </w:r>
      <w:r w:rsidRPr="009D1264">
        <w:rPr>
          <w:rFonts w:eastAsia="Times New Roman" w:cs="Arial"/>
          <w:color w:val="000000"/>
          <w:lang w:val="en-US"/>
        </w:rPr>
        <w:t>mg</w:t>
      </w:r>
      <w:r w:rsidRPr="009D1264">
        <w:rPr>
          <w:rFonts w:eastAsia="Times New Roman" w:cs="Arial"/>
          <w:color w:val="000000"/>
          <w:lang w:val="ru-RU"/>
        </w:rPr>
        <w:t xml:space="preserve"> </w:t>
      </w:r>
      <w:r w:rsidRPr="009D1264">
        <w:rPr>
          <w:rFonts w:eastAsia="Times New Roman" w:cs="Arial"/>
          <w:color w:val="000000"/>
          <w:lang w:eastAsia="bg-BG"/>
        </w:rPr>
        <w:t>в дните от 2</w:t>
      </w:r>
      <w:r w:rsidRPr="009D1264">
        <w:rPr>
          <w:rFonts w:eastAsia="Times New Roman" w:cs="Arial"/>
          <w:color w:val="000000"/>
          <w:vertAlign w:val="superscript"/>
          <w:lang w:eastAsia="bg-BG"/>
        </w:rPr>
        <w:t>ри</w:t>
      </w:r>
      <w:r w:rsidRPr="009D1264">
        <w:rPr>
          <w:rFonts w:eastAsia="Times New Roman" w:cs="Arial"/>
          <w:color w:val="000000"/>
          <w:lang w:eastAsia="bg-BG"/>
        </w:rPr>
        <w:t xml:space="preserve"> до 5™.</w:t>
      </w:r>
    </w:p>
    <w:p w14:paraId="418D7C36" w14:textId="77777777" w:rsidR="009D1264" w:rsidRPr="009D1264" w:rsidRDefault="009D1264" w:rsidP="009D1264">
      <w:pPr>
        <w:spacing w:line="240" w:lineRule="auto"/>
        <w:rPr>
          <w:rFonts w:eastAsia="Times New Roman" w:cs="Arial"/>
          <w:b/>
          <w:bCs/>
          <w:color w:val="000000"/>
          <w:lang w:eastAsia="bg-BG"/>
        </w:rPr>
      </w:pPr>
    </w:p>
    <w:p w14:paraId="111A6C1E" w14:textId="732A8717" w:rsidR="009D1264" w:rsidRPr="009D1264" w:rsidRDefault="009D1264" w:rsidP="009D1264">
      <w:pPr>
        <w:spacing w:line="240" w:lineRule="auto"/>
        <w:rPr>
          <w:rFonts w:eastAsia="Times New Roman" w:cs="Arial"/>
        </w:rPr>
      </w:pPr>
      <w:r w:rsidRPr="009D1264">
        <w:rPr>
          <w:rFonts w:eastAsia="Times New Roman" w:cs="Arial"/>
          <w:b/>
          <w:bCs/>
          <w:color w:val="000000"/>
          <w:lang w:eastAsia="bg-BG"/>
        </w:rPr>
        <w:t>Старческа възраст</w:t>
      </w:r>
    </w:p>
    <w:p w14:paraId="3DB2860D"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При пациентите в напреднала възраст може да се прилага същата доза както при възрастни. Тъй като пациентите в старческа възраст могат да имат съпътстващи проаригмични състояния, е нужно повишено внимание поради риска от развитие на сърдечна аритмия и </w:t>
      </w:r>
      <w:r w:rsidRPr="009D1264">
        <w:rPr>
          <w:rFonts w:eastAsia="Times New Roman" w:cs="Arial"/>
          <w:color w:val="000000"/>
          <w:lang w:val="ru-RU"/>
        </w:rPr>
        <w:t>„</w:t>
      </w:r>
      <w:proofErr w:type="spellStart"/>
      <w:r w:rsidRPr="009D1264">
        <w:rPr>
          <w:rFonts w:eastAsia="Times New Roman" w:cs="Arial"/>
          <w:color w:val="000000"/>
          <w:lang w:val="en-US"/>
        </w:rPr>
        <w:t>torsades</w:t>
      </w:r>
      <w:proofErr w:type="spellEnd"/>
      <w:r w:rsidRPr="009D1264">
        <w:rPr>
          <w:rFonts w:eastAsia="Times New Roman" w:cs="Arial"/>
          <w:color w:val="000000"/>
          <w:lang w:val="ru-RU"/>
        </w:rPr>
        <w:t xml:space="preserve"> </w:t>
      </w:r>
      <w:r w:rsidRPr="009D1264">
        <w:rPr>
          <w:rFonts w:eastAsia="Times New Roman" w:cs="Arial"/>
          <w:color w:val="000000"/>
          <w:lang w:val="en-US"/>
        </w:rPr>
        <w:t>de</w:t>
      </w:r>
      <w:r w:rsidRPr="009D1264">
        <w:rPr>
          <w:rFonts w:eastAsia="Times New Roman" w:cs="Arial"/>
          <w:color w:val="000000"/>
          <w:lang w:val="ru-RU"/>
        </w:rPr>
        <w:t xml:space="preserve"> </w:t>
      </w:r>
      <w:r w:rsidRPr="009D1264">
        <w:rPr>
          <w:rFonts w:eastAsia="Times New Roman" w:cs="Arial"/>
          <w:color w:val="000000"/>
          <w:lang w:val="en-US"/>
        </w:rPr>
        <w:t>pointes</w:t>
      </w:r>
      <w:r w:rsidRPr="009D1264">
        <w:rPr>
          <w:rFonts w:eastAsia="Times New Roman" w:cs="Arial"/>
          <w:color w:val="000000"/>
          <w:lang w:val="ru-RU"/>
        </w:rPr>
        <w:t xml:space="preserve">“ </w:t>
      </w:r>
      <w:r w:rsidRPr="009D1264">
        <w:rPr>
          <w:rFonts w:eastAsia="Times New Roman" w:cs="Arial"/>
          <w:color w:val="000000"/>
          <w:lang w:eastAsia="bg-BG"/>
        </w:rPr>
        <w:t>(вж. точка 4.4).</w:t>
      </w:r>
    </w:p>
    <w:p w14:paraId="4C019128" w14:textId="77777777" w:rsidR="009D1264" w:rsidRPr="009D1264" w:rsidRDefault="009D1264" w:rsidP="009D1264">
      <w:pPr>
        <w:spacing w:line="240" w:lineRule="auto"/>
        <w:rPr>
          <w:rFonts w:eastAsia="Times New Roman" w:cs="Arial"/>
          <w:b/>
          <w:bCs/>
          <w:color w:val="000000"/>
          <w:lang w:eastAsia="bg-BG"/>
        </w:rPr>
      </w:pPr>
      <w:bookmarkStart w:id="3" w:name="bookmark2"/>
    </w:p>
    <w:p w14:paraId="04CD81AF" w14:textId="1F4598BF" w:rsidR="009D1264" w:rsidRPr="009D1264" w:rsidRDefault="009D1264" w:rsidP="009D1264">
      <w:pPr>
        <w:spacing w:line="240" w:lineRule="auto"/>
        <w:rPr>
          <w:rFonts w:eastAsia="Times New Roman" w:cs="Arial"/>
        </w:rPr>
      </w:pPr>
      <w:r w:rsidRPr="009D1264">
        <w:rPr>
          <w:rFonts w:eastAsia="Times New Roman" w:cs="Arial"/>
          <w:b/>
          <w:bCs/>
          <w:color w:val="000000"/>
          <w:lang w:eastAsia="bg-BG"/>
        </w:rPr>
        <w:t>Деца и подрастващи (&lt; 18 години)</w:t>
      </w:r>
      <w:bookmarkEnd w:id="3"/>
    </w:p>
    <w:p w14:paraId="5AF4CBB2"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Общата доза при деца на възраст 1 година и повече е 30 </w:t>
      </w:r>
      <w:r w:rsidRPr="009D1264">
        <w:rPr>
          <w:rFonts w:eastAsia="Times New Roman" w:cs="Arial"/>
          <w:color w:val="000000"/>
          <w:lang w:val="en-US"/>
        </w:rPr>
        <w:t>mg</w:t>
      </w:r>
      <w:r w:rsidRPr="009D1264">
        <w:rPr>
          <w:rFonts w:eastAsia="Times New Roman" w:cs="Arial"/>
          <w:color w:val="000000"/>
          <w:lang w:val="ru-RU"/>
        </w:rPr>
        <w:t>/</w:t>
      </w:r>
      <w:r w:rsidRPr="009D1264">
        <w:rPr>
          <w:rFonts w:eastAsia="Times New Roman" w:cs="Arial"/>
          <w:color w:val="000000"/>
          <w:lang w:val="en-US"/>
        </w:rPr>
        <w:t>kg</w:t>
      </w:r>
      <w:r w:rsidRPr="009D1264">
        <w:rPr>
          <w:rFonts w:eastAsia="Times New Roman" w:cs="Arial"/>
          <w:color w:val="000000"/>
          <w:lang w:val="ru-RU"/>
        </w:rPr>
        <w:t xml:space="preserve">, </w:t>
      </w:r>
      <w:r w:rsidRPr="009D1264">
        <w:rPr>
          <w:rFonts w:eastAsia="Times New Roman" w:cs="Arial"/>
          <w:color w:val="000000"/>
          <w:lang w:eastAsia="bg-BG"/>
        </w:rPr>
        <w:t xml:space="preserve">разделена на еднократни дневни дози от 10 </w:t>
      </w:r>
      <w:r w:rsidRPr="009D1264">
        <w:rPr>
          <w:rFonts w:eastAsia="Times New Roman" w:cs="Arial"/>
          <w:color w:val="000000"/>
          <w:lang w:val="en-US"/>
        </w:rPr>
        <w:t>mg</w:t>
      </w:r>
      <w:r w:rsidRPr="009D1264">
        <w:rPr>
          <w:rFonts w:eastAsia="Times New Roman" w:cs="Arial"/>
          <w:color w:val="000000"/>
          <w:lang w:val="ru-RU"/>
        </w:rPr>
        <w:t>/</w:t>
      </w:r>
      <w:r w:rsidRPr="009D1264">
        <w:rPr>
          <w:rFonts w:eastAsia="Times New Roman" w:cs="Arial"/>
          <w:color w:val="000000"/>
          <w:lang w:val="en-US"/>
        </w:rPr>
        <w:t>kg</w:t>
      </w:r>
      <w:r w:rsidRPr="009D1264">
        <w:rPr>
          <w:rFonts w:eastAsia="Times New Roman" w:cs="Arial"/>
          <w:color w:val="000000"/>
          <w:lang w:val="ru-RU"/>
        </w:rPr>
        <w:t xml:space="preserve"> </w:t>
      </w:r>
      <w:r w:rsidRPr="009D1264">
        <w:rPr>
          <w:rFonts w:eastAsia="Times New Roman" w:cs="Arial"/>
          <w:color w:val="000000"/>
          <w:lang w:eastAsia="bg-BG"/>
        </w:rPr>
        <w:t xml:space="preserve">за три дни, или за период от пет дни, като се започва с еднократна доза от 10 </w:t>
      </w:r>
      <w:r w:rsidRPr="009D1264">
        <w:rPr>
          <w:rFonts w:eastAsia="Times New Roman" w:cs="Arial"/>
          <w:color w:val="000000"/>
          <w:lang w:val="en-US"/>
        </w:rPr>
        <w:t>mg</w:t>
      </w:r>
      <w:r w:rsidRPr="009D1264">
        <w:rPr>
          <w:rFonts w:eastAsia="Times New Roman" w:cs="Arial"/>
          <w:color w:val="000000"/>
          <w:lang w:val="ru-RU"/>
        </w:rPr>
        <w:t>/</w:t>
      </w:r>
      <w:r w:rsidRPr="009D1264">
        <w:rPr>
          <w:rFonts w:eastAsia="Times New Roman" w:cs="Arial"/>
          <w:color w:val="000000"/>
          <w:lang w:val="en-US"/>
        </w:rPr>
        <w:t>kg</w:t>
      </w:r>
      <w:r w:rsidRPr="009D1264">
        <w:rPr>
          <w:rFonts w:eastAsia="Times New Roman" w:cs="Arial"/>
          <w:color w:val="000000"/>
          <w:lang w:val="ru-RU"/>
        </w:rPr>
        <w:t xml:space="preserve"> </w:t>
      </w:r>
      <w:r w:rsidRPr="009D1264">
        <w:rPr>
          <w:rFonts w:eastAsia="Times New Roman" w:cs="Arial"/>
          <w:color w:val="000000"/>
          <w:lang w:eastAsia="bg-BG"/>
        </w:rPr>
        <w:t xml:space="preserve">на първия ден, последвано от дози от 5 </w:t>
      </w:r>
      <w:r w:rsidRPr="009D1264">
        <w:rPr>
          <w:rFonts w:eastAsia="Times New Roman" w:cs="Arial"/>
          <w:color w:val="000000"/>
          <w:lang w:val="en-US"/>
        </w:rPr>
        <w:t>mg</w:t>
      </w:r>
      <w:r w:rsidRPr="009D1264">
        <w:rPr>
          <w:rFonts w:eastAsia="Times New Roman" w:cs="Arial"/>
          <w:color w:val="000000"/>
          <w:lang w:val="ru-RU"/>
        </w:rPr>
        <w:t>/</w:t>
      </w:r>
      <w:r w:rsidRPr="009D1264">
        <w:rPr>
          <w:rFonts w:eastAsia="Times New Roman" w:cs="Arial"/>
          <w:color w:val="000000"/>
          <w:lang w:val="en-US"/>
        </w:rPr>
        <w:t>kg</w:t>
      </w:r>
      <w:r w:rsidRPr="009D1264">
        <w:rPr>
          <w:rFonts w:eastAsia="Times New Roman" w:cs="Arial"/>
          <w:color w:val="000000"/>
          <w:lang w:val="ru-RU"/>
        </w:rPr>
        <w:t xml:space="preserve"> </w:t>
      </w:r>
      <w:r w:rsidRPr="009D1264">
        <w:rPr>
          <w:rFonts w:eastAsia="Times New Roman" w:cs="Arial"/>
          <w:color w:val="000000"/>
          <w:lang w:eastAsia="bg-BG"/>
        </w:rPr>
        <w:t>дневно за следващите 4 дни в съответствие с представените по-долу таблици. Данните по отношение приложението при деца под 1 година са ограничени.</w:t>
      </w:r>
    </w:p>
    <w:p w14:paraId="614E12A1" w14:textId="0BCE2DA3" w:rsidR="009D1264" w:rsidRDefault="009D1264" w:rsidP="009D1264"/>
    <w:tbl>
      <w:tblPr>
        <w:tblStyle w:val="TableGrid"/>
        <w:tblW w:w="0" w:type="auto"/>
        <w:tblLook w:val="04A0" w:firstRow="1" w:lastRow="0" w:firstColumn="1" w:lastColumn="0" w:noHBand="0" w:noVBand="1"/>
      </w:tblPr>
      <w:tblGrid>
        <w:gridCol w:w="1861"/>
        <w:gridCol w:w="1881"/>
        <w:gridCol w:w="1870"/>
        <w:gridCol w:w="1869"/>
        <w:gridCol w:w="1869"/>
      </w:tblGrid>
      <w:tr w:rsidR="009D1264" w14:paraId="4B558C8A" w14:textId="77777777" w:rsidTr="009D1264">
        <w:tc>
          <w:tcPr>
            <w:tcW w:w="1914" w:type="dxa"/>
            <w:vMerge w:val="restart"/>
          </w:tcPr>
          <w:p w14:paraId="6D88D0F7" w14:textId="4726EFA8" w:rsidR="009D1264" w:rsidRPr="009D1264" w:rsidRDefault="009D1264" w:rsidP="009D1264">
            <w:pPr>
              <w:rPr>
                <w:sz w:val="24"/>
                <w:szCs w:val="24"/>
              </w:rPr>
            </w:pPr>
            <w:r w:rsidRPr="009D1264">
              <w:rPr>
                <w:lang w:eastAsia="bg-BG"/>
              </w:rPr>
              <w:t xml:space="preserve">Телесно тегло </w:t>
            </w:r>
            <w:r w:rsidRPr="009D1264">
              <w:rPr>
                <w:lang w:val="en-US"/>
              </w:rPr>
              <w:t>(kg)</w:t>
            </w:r>
          </w:p>
        </w:tc>
        <w:tc>
          <w:tcPr>
            <w:tcW w:w="1925" w:type="dxa"/>
          </w:tcPr>
          <w:p w14:paraId="34C5779C" w14:textId="7078CC8F" w:rsidR="009D1264" w:rsidRDefault="009D1264" w:rsidP="009D1264">
            <w:r>
              <w:t>3-дневно лечение</w:t>
            </w:r>
          </w:p>
        </w:tc>
        <w:tc>
          <w:tcPr>
            <w:tcW w:w="3825" w:type="dxa"/>
            <w:gridSpan w:val="2"/>
          </w:tcPr>
          <w:p w14:paraId="5988ABBA" w14:textId="654C7B2A" w:rsidR="009D1264" w:rsidRDefault="009D1264" w:rsidP="009D1264">
            <w:r>
              <w:t>5-дневно лечение</w:t>
            </w:r>
          </w:p>
        </w:tc>
        <w:tc>
          <w:tcPr>
            <w:tcW w:w="1912" w:type="dxa"/>
            <w:vMerge w:val="restart"/>
          </w:tcPr>
          <w:p w14:paraId="6B30D483" w14:textId="09101D43" w:rsidR="009D1264" w:rsidRPr="009D1264" w:rsidRDefault="009D1264" w:rsidP="009D1264">
            <w:pPr>
              <w:rPr>
                <w:sz w:val="24"/>
                <w:szCs w:val="24"/>
              </w:rPr>
            </w:pPr>
            <w:r w:rsidRPr="009D1264">
              <w:rPr>
                <w:lang w:eastAsia="bg-BG"/>
              </w:rPr>
              <w:t>Обем на бутилката</w:t>
            </w:r>
          </w:p>
        </w:tc>
      </w:tr>
      <w:tr w:rsidR="009D1264" w14:paraId="0ED7BAD5" w14:textId="77777777" w:rsidTr="009D1264">
        <w:tc>
          <w:tcPr>
            <w:tcW w:w="1914" w:type="dxa"/>
            <w:vMerge/>
          </w:tcPr>
          <w:p w14:paraId="2BFD7A27" w14:textId="77777777" w:rsidR="009D1264" w:rsidRDefault="009D1264" w:rsidP="009D1264"/>
        </w:tc>
        <w:tc>
          <w:tcPr>
            <w:tcW w:w="1925" w:type="dxa"/>
          </w:tcPr>
          <w:p w14:paraId="4E0D16FA" w14:textId="77777777" w:rsidR="009D1264" w:rsidRDefault="009D1264" w:rsidP="009D1264">
            <w:r>
              <w:rPr>
                <w:lang w:eastAsia="bg-BG"/>
              </w:rPr>
              <w:t xml:space="preserve">Ден </w:t>
            </w:r>
            <w:r>
              <w:t>1-3</w:t>
            </w:r>
          </w:p>
          <w:p w14:paraId="3643F2D9" w14:textId="67374704" w:rsidR="009D1264" w:rsidRDefault="009D1264" w:rsidP="009D1264">
            <w:r>
              <w:t>10 mg/kg</w:t>
            </w:r>
            <w:r>
              <w:rPr>
                <w:lang w:eastAsia="bg-BG"/>
              </w:rPr>
              <w:t>/ден</w:t>
            </w:r>
          </w:p>
        </w:tc>
        <w:tc>
          <w:tcPr>
            <w:tcW w:w="1913" w:type="dxa"/>
          </w:tcPr>
          <w:p w14:paraId="4EAC4842" w14:textId="77777777" w:rsidR="009D1264" w:rsidRDefault="009D1264" w:rsidP="009D1264">
            <w:r>
              <w:rPr>
                <w:lang w:eastAsia="bg-BG"/>
              </w:rPr>
              <w:t xml:space="preserve">Ден </w:t>
            </w:r>
            <w:r>
              <w:t>1</w:t>
            </w:r>
          </w:p>
          <w:p w14:paraId="67C85003" w14:textId="425CE3B8" w:rsidR="009D1264" w:rsidRDefault="009D1264" w:rsidP="009D1264">
            <w:r>
              <w:t>10 mg/kg</w:t>
            </w:r>
            <w:r>
              <w:rPr>
                <w:lang w:eastAsia="bg-BG"/>
              </w:rPr>
              <w:t>/ден</w:t>
            </w:r>
          </w:p>
        </w:tc>
        <w:tc>
          <w:tcPr>
            <w:tcW w:w="1912" w:type="dxa"/>
          </w:tcPr>
          <w:p w14:paraId="0098D839" w14:textId="77777777" w:rsidR="009D1264" w:rsidRDefault="009D1264" w:rsidP="009D1264">
            <w:r>
              <w:rPr>
                <w:lang w:eastAsia="bg-BG"/>
              </w:rPr>
              <w:t xml:space="preserve">Ден </w:t>
            </w:r>
            <w:r>
              <w:t>2-5</w:t>
            </w:r>
          </w:p>
          <w:p w14:paraId="0AB2737C" w14:textId="02ABB609" w:rsidR="009D1264" w:rsidRDefault="009D1264" w:rsidP="009D1264">
            <w:r>
              <w:rPr>
                <w:u w:val="single"/>
              </w:rPr>
              <w:t>5 mg/kg</w:t>
            </w:r>
            <w:r>
              <w:rPr>
                <w:u w:val="single"/>
                <w:lang w:eastAsia="bg-BG"/>
              </w:rPr>
              <w:t>/ден</w:t>
            </w:r>
          </w:p>
        </w:tc>
        <w:tc>
          <w:tcPr>
            <w:tcW w:w="1912" w:type="dxa"/>
            <w:vMerge/>
          </w:tcPr>
          <w:p w14:paraId="7B052134" w14:textId="77777777" w:rsidR="009D1264" w:rsidRDefault="009D1264" w:rsidP="009D1264"/>
        </w:tc>
      </w:tr>
      <w:tr w:rsidR="009D1264" w14:paraId="7D64BD0F" w14:textId="77777777" w:rsidTr="009D1264">
        <w:tc>
          <w:tcPr>
            <w:tcW w:w="1914" w:type="dxa"/>
          </w:tcPr>
          <w:p w14:paraId="0527496F" w14:textId="1228AB20" w:rsidR="009D1264" w:rsidRDefault="009D1264" w:rsidP="009D1264">
            <w:r>
              <w:t>10 kg</w:t>
            </w:r>
          </w:p>
        </w:tc>
        <w:tc>
          <w:tcPr>
            <w:tcW w:w="1925" w:type="dxa"/>
          </w:tcPr>
          <w:p w14:paraId="4F38E8D0" w14:textId="3D39A239" w:rsidR="009D1264" w:rsidRDefault="009D1264" w:rsidP="009D1264">
            <w:r>
              <w:t>2,5 ml</w:t>
            </w:r>
          </w:p>
        </w:tc>
        <w:tc>
          <w:tcPr>
            <w:tcW w:w="1913" w:type="dxa"/>
          </w:tcPr>
          <w:p w14:paraId="554843F6" w14:textId="67113601" w:rsidR="009D1264" w:rsidRDefault="009D1264" w:rsidP="009D1264">
            <w:r>
              <w:t>2,5 ml</w:t>
            </w:r>
          </w:p>
        </w:tc>
        <w:tc>
          <w:tcPr>
            <w:tcW w:w="1912" w:type="dxa"/>
          </w:tcPr>
          <w:p w14:paraId="50640A62" w14:textId="17BF5A1A" w:rsidR="009D1264" w:rsidRDefault="009D1264" w:rsidP="009D1264">
            <w:r>
              <w:t>1,25 ml</w:t>
            </w:r>
          </w:p>
        </w:tc>
        <w:tc>
          <w:tcPr>
            <w:tcW w:w="1912" w:type="dxa"/>
          </w:tcPr>
          <w:p w14:paraId="28EF3F86" w14:textId="22F052DE" w:rsidR="009D1264" w:rsidRDefault="009D1264" w:rsidP="009D1264">
            <w:r>
              <w:t>15 ml</w:t>
            </w:r>
          </w:p>
        </w:tc>
      </w:tr>
      <w:tr w:rsidR="009D1264" w14:paraId="70835B4E" w14:textId="77777777" w:rsidTr="009D1264">
        <w:tc>
          <w:tcPr>
            <w:tcW w:w="1914" w:type="dxa"/>
          </w:tcPr>
          <w:p w14:paraId="1CB5F04C" w14:textId="1A51A147" w:rsidR="009D1264" w:rsidRDefault="009D1264" w:rsidP="009D1264">
            <w:r>
              <w:t>12 kg</w:t>
            </w:r>
          </w:p>
        </w:tc>
        <w:tc>
          <w:tcPr>
            <w:tcW w:w="1925" w:type="dxa"/>
          </w:tcPr>
          <w:p w14:paraId="0AD0533A" w14:textId="48A4DD43" w:rsidR="009D1264" w:rsidRDefault="009D1264" w:rsidP="009D1264">
            <w:r>
              <w:t>3 ml</w:t>
            </w:r>
          </w:p>
        </w:tc>
        <w:tc>
          <w:tcPr>
            <w:tcW w:w="1913" w:type="dxa"/>
          </w:tcPr>
          <w:p w14:paraId="751593B6" w14:textId="77C91D37" w:rsidR="009D1264" w:rsidRDefault="009D1264" w:rsidP="009D1264">
            <w:r>
              <w:t>3 ml</w:t>
            </w:r>
          </w:p>
        </w:tc>
        <w:tc>
          <w:tcPr>
            <w:tcW w:w="1912" w:type="dxa"/>
          </w:tcPr>
          <w:p w14:paraId="57D09D6F" w14:textId="78A7C3B2" w:rsidR="009D1264" w:rsidRDefault="009D1264" w:rsidP="009D1264">
            <w:r>
              <w:t>1,5 ml</w:t>
            </w:r>
          </w:p>
        </w:tc>
        <w:tc>
          <w:tcPr>
            <w:tcW w:w="1912" w:type="dxa"/>
          </w:tcPr>
          <w:p w14:paraId="79348FF3" w14:textId="570B7494" w:rsidR="009D1264" w:rsidRDefault="009D1264" w:rsidP="009D1264">
            <w:r>
              <w:t>15 ml</w:t>
            </w:r>
          </w:p>
        </w:tc>
      </w:tr>
      <w:tr w:rsidR="009D1264" w14:paraId="22E7C1FB" w14:textId="77777777" w:rsidTr="009D1264">
        <w:tc>
          <w:tcPr>
            <w:tcW w:w="1914" w:type="dxa"/>
          </w:tcPr>
          <w:p w14:paraId="7A52AD41" w14:textId="7972CAED" w:rsidR="009D1264" w:rsidRDefault="009D1264" w:rsidP="009D1264">
            <w:r>
              <w:rPr>
                <w:u w:val="single"/>
              </w:rPr>
              <w:t>14 kg</w:t>
            </w:r>
          </w:p>
        </w:tc>
        <w:tc>
          <w:tcPr>
            <w:tcW w:w="1925" w:type="dxa"/>
          </w:tcPr>
          <w:p w14:paraId="50CD826F" w14:textId="43DFE15B" w:rsidR="009D1264" w:rsidRDefault="009D1264" w:rsidP="009D1264">
            <w:r>
              <w:t>3,5 ml</w:t>
            </w:r>
          </w:p>
        </w:tc>
        <w:tc>
          <w:tcPr>
            <w:tcW w:w="1913" w:type="dxa"/>
          </w:tcPr>
          <w:p w14:paraId="7711C4D9" w14:textId="7ED53240" w:rsidR="009D1264" w:rsidRDefault="009D1264" w:rsidP="009D1264">
            <w:r>
              <w:t>3,5 ml</w:t>
            </w:r>
          </w:p>
        </w:tc>
        <w:tc>
          <w:tcPr>
            <w:tcW w:w="1912" w:type="dxa"/>
          </w:tcPr>
          <w:p w14:paraId="7FB9A194" w14:textId="6D8447C6" w:rsidR="009D1264" w:rsidRDefault="009D1264" w:rsidP="009D1264">
            <w:r>
              <w:t>1,75 ml</w:t>
            </w:r>
          </w:p>
        </w:tc>
        <w:tc>
          <w:tcPr>
            <w:tcW w:w="1912" w:type="dxa"/>
          </w:tcPr>
          <w:p w14:paraId="0F78A893" w14:textId="06C27A5C" w:rsidR="009D1264" w:rsidRDefault="009D1264" w:rsidP="009D1264">
            <w:r>
              <w:t>15 ml</w:t>
            </w:r>
          </w:p>
        </w:tc>
      </w:tr>
      <w:tr w:rsidR="009D1264" w14:paraId="28B7DE84" w14:textId="77777777" w:rsidTr="009D1264">
        <w:tc>
          <w:tcPr>
            <w:tcW w:w="1914" w:type="dxa"/>
          </w:tcPr>
          <w:p w14:paraId="300984F7" w14:textId="53F5CB6B" w:rsidR="009D1264" w:rsidRDefault="009D1264" w:rsidP="009D1264">
            <w:r>
              <w:t>16 kg</w:t>
            </w:r>
          </w:p>
        </w:tc>
        <w:tc>
          <w:tcPr>
            <w:tcW w:w="1925" w:type="dxa"/>
          </w:tcPr>
          <w:p w14:paraId="783EB5D8" w14:textId="17899F9D" w:rsidR="009D1264" w:rsidRDefault="009D1264" w:rsidP="009D1264">
            <w:r>
              <w:t>4 ml</w:t>
            </w:r>
          </w:p>
        </w:tc>
        <w:tc>
          <w:tcPr>
            <w:tcW w:w="1913" w:type="dxa"/>
          </w:tcPr>
          <w:p w14:paraId="18D30F90" w14:textId="15BD186A" w:rsidR="009D1264" w:rsidRDefault="009D1264" w:rsidP="009D1264">
            <w:r>
              <w:t>4 ml</w:t>
            </w:r>
          </w:p>
        </w:tc>
        <w:tc>
          <w:tcPr>
            <w:tcW w:w="1912" w:type="dxa"/>
          </w:tcPr>
          <w:p w14:paraId="7408D6F5" w14:textId="6DDCBF9C" w:rsidR="009D1264" w:rsidRDefault="009D1264" w:rsidP="009D1264">
            <w:r>
              <w:t>2 ml</w:t>
            </w:r>
          </w:p>
        </w:tc>
        <w:tc>
          <w:tcPr>
            <w:tcW w:w="1912" w:type="dxa"/>
          </w:tcPr>
          <w:p w14:paraId="122B786E" w14:textId="48AFB99C" w:rsidR="009D1264" w:rsidRDefault="009D1264" w:rsidP="009D1264">
            <w:r>
              <w:t>15 ml</w:t>
            </w:r>
          </w:p>
        </w:tc>
      </w:tr>
      <w:tr w:rsidR="009D1264" w14:paraId="69F7B1E7" w14:textId="77777777" w:rsidTr="009D1264">
        <w:tc>
          <w:tcPr>
            <w:tcW w:w="1914" w:type="dxa"/>
          </w:tcPr>
          <w:p w14:paraId="30E03D87" w14:textId="125E4DD6" w:rsidR="009D1264" w:rsidRDefault="009D1264" w:rsidP="009D1264">
            <w:r>
              <w:t>17-25 kg</w:t>
            </w:r>
          </w:p>
        </w:tc>
        <w:tc>
          <w:tcPr>
            <w:tcW w:w="1925" w:type="dxa"/>
          </w:tcPr>
          <w:p w14:paraId="25A53A23" w14:textId="46DCCE7A" w:rsidR="009D1264" w:rsidRDefault="009D1264" w:rsidP="009D1264">
            <w:r>
              <w:t>5 ml</w:t>
            </w:r>
          </w:p>
        </w:tc>
        <w:tc>
          <w:tcPr>
            <w:tcW w:w="1913" w:type="dxa"/>
          </w:tcPr>
          <w:p w14:paraId="4EB41F3D" w14:textId="1FE9FFF4" w:rsidR="009D1264" w:rsidRDefault="009D1264" w:rsidP="009D1264">
            <w:r>
              <w:t>5 ml</w:t>
            </w:r>
          </w:p>
        </w:tc>
        <w:tc>
          <w:tcPr>
            <w:tcW w:w="1912" w:type="dxa"/>
          </w:tcPr>
          <w:p w14:paraId="6F1F4EC9" w14:textId="18706BEB" w:rsidR="009D1264" w:rsidRDefault="009D1264" w:rsidP="009D1264">
            <w:r>
              <w:t>2,5 ml</w:t>
            </w:r>
          </w:p>
        </w:tc>
        <w:tc>
          <w:tcPr>
            <w:tcW w:w="1912" w:type="dxa"/>
          </w:tcPr>
          <w:p w14:paraId="1F1E56E1" w14:textId="2BE8CC79" w:rsidR="009D1264" w:rsidRDefault="009D1264" w:rsidP="009D1264">
            <w:r>
              <w:t>15 ml</w:t>
            </w:r>
          </w:p>
        </w:tc>
      </w:tr>
      <w:tr w:rsidR="009D1264" w14:paraId="417C3068" w14:textId="77777777" w:rsidTr="009D1264">
        <w:tc>
          <w:tcPr>
            <w:tcW w:w="1914" w:type="dxa"/>
          </w:tcPr>
          <w:p w14:paraId="5E70E5A6" w14:textId="6F0D011D" w:rsidR="009D1264" w:rsidRDefault="009D1264" w:rsidP="009D1264">
            <w:r>
              <w:t>26-35kg</w:t>
            </w:r>
          </w:p>
        </w:tc>
        <w:tc>
          <w:tcPr>
            <w:tcW w:w="1925" w:type="dxa"/>
          </w:tcPr>
          <w:p w14:paraId="2C26FF60" w14:textId="60F0AEB1" w:rsidR="009D1264" w:rsidRDefault="009D1264" w:rsidP="009D1264">
            <w:r>
              <w:t>7,5 ml</w:t>
            </w:r>
          </w:p>
        </w:tc>
        <w:tc>
          <w:tcPr>
            <w:tcW w:w="1913" w:type="dxa"/>
          </w:tcPr>
          <w:p w14:paraId="6F1FD931" w14:textId="0C6AB191" w:rsidR="009D1264" w:rsidRDefault="009D1264" w:rsidP="009D1264">
            <w:r>
              <w:t>7,5 ml</w:t>
            </w:r>
          </w:p>
        </w:tc>
        <w:tc>
          <w:tcPr>
            <w:tcW w:w="1912" w:type="dxa"/>
          </w:tcPr>
          <w:p w14:paraId="33DC2C68" w14:textId="1CF8F6FB" w:rsidR="009D1264" w:rsidRDefault="009D1264" w:rsidP="009D1264">
            <w:r>
              <w:t>3,75 ml</w:t>
            </w:r>
          </w:p>
        </w:tc>
        <w:tc>
          <w:tcPr>
            <w:tcW w:w="1912" w:type="dxa"/>
          </w:tcPr>
          <w:p w14:paraId="20A05226" w14:textId="1627B76E" w:rsidR="009D1264" w:rsidRDefault="009D1264" w:rsidP="009D1264">
            <w:r>
              <w:t>22.5 ml</w:t>
            </w:r>
          </w:p>
        </w:tc>
      </w:tr>
      <w:tr w:rsidR="009D1264" w14:paraId="1DFD6899" w14:textId="77777777" w:rsidTr="009D1264">
        <w:tc>
          <w:tcPr>
            <w:tcW w:w="1914" w:type="dxa"/>
          </w:tcPr>
          <w:p w14:paraId="5459CCE3" w14:textId="742AC56A" w:rsidR="009D1264" w:rsidRDefault="009D1264" w:rsidP="009D1264">
            <w:r>
              <w:t>36-45 kg</w:t>
            </w:r>
          </w:p>
        </w:tc>
        <w:tc>
          <w:tcPr>
            <w:tcW w:w="1925" w:type="dxa"/>
          </w:tcPr>
          <w:p w14:paraId="141608C5" w14:textId="27E46720" w:rsidR="009D1264" w:rsidRDefault="009D1264" w:rsidP="009D1264">
            <w:r>
              <w:t>10 ml</w:t>
            </w:r>
          </w:p>
        </w:tc>
        <w:tc>
          <w:tcPr>
            <w:tcW w:w="1913" w:type="dxa"/>
          </w:tcPr>
          <w:p w14:paraId="2C5B1B0D" w14:textId="0054F498" w:rsidR="009D1264" w:rsidRDefault="009D1264" w:rsidP="009D1264">
            <w:r>
              <w:t>10 ml</w:t>
            </w:r>
          </w:p>
        </w:tc>
        <w:tc>
          <w:tcPr>
            <w:tcW w:w="1912" w:type="dxa"/>
          </w:tcPr>
          <w:p w14:paraId="3E297F04" w14:textId="0CB4ABF0" w:rsidR="009D1264" w:rsidRDefault="009D1264" w:rsidP="009D1264">
            <w:r>
              <w:t>5 ml</w:t>
            </w:r>
          </w:p>
        </w:tc>
        <w:tc>
          <w:tcPr>
            <w:tcW w:w="1912" w:type="dxa"/>
          </w:tcPr>
          <w:p w14:paraId="58FA8642" w14:textId="0A34D9C7" w:rsidR="009D1264" w:rsidRDefault="009D1264" w:rsidP="009D1264">
            <w:r>
              <w:t>30 ml</w:t>
            </w:r>
          </w:p>
        </w:tc>
      </w:tr>
      <w:tr w:rsidR="009D1264" w14:paraId="528B82E7" w14:textId="77777777" w:rsidTr="009D1264">
        <w:tc>
          <w:tcPr>
            <w:tcW w:w="1914" w:type="dxa"/>
          </w:tcPr>
          <w:p w14:paraId="1DA26829" w14:textId="0C4BC8FD" w:rsidR="009D1264" w:rsidRDefault="009D1264" w:rsidP="009D1264">
            <w:r>
              <w:rPr>
                <w:u w:val="single"/>
              </w:rPr>
              <w:t>&gt;45 kg</w:t>
            </w:r>
          </w:p>
        </w:tc>
        <w:tc>
          <w:tcPr>
            <w:tcW w:w="1925" w:type="dxa"/>
          </w:tcPr>
          <w:p w14:paraId="7A82B7AB" w14:textId="433D75FB" w:rsidR="009D1264" w:rsidRDefault="009D1264" w:rsidP="009D1264">
            <w:r>
              <w:t>12,5 ml</w:t>
            </w:r>
          </w:p>
        </w:tc>
        <w:tc>
          <w:tcPr>
            <w:tcW w:w="1913" w:type="dxa"/>
          </w:tcPr>
          <w:p w14:paraId="03CD25F8" w14:textId="27E408E2" w:rsidR="009D1264" w:rsidRDefault="009D1264" w:rsidP="009D1264">
            <w:r>
              <w:t>12,5 ml</w:t>
            </w:r>
          </w:p>
        </w:tc>
        <w:tc>
          <w:tcPr>
            <w:tcW w:w="1912" w:type="dxa"/>
          </w:tcPr>
          <w:p w14:paraId="70363E88" w14:textId="289354A0" w:rsidR="009D1264" w:rsidRDefault="009D1264" w:rsidP="009D1264">
            <w:r>
              <w:t>6,25 ml</w:t>
            </w:r>
          </w:p>
        </w:tc>
        <w:tc>
          <w:tcPr>
            <w:tcW w:w="1912" w:type="dxa"/>
          </w:tcPr>
          <w:p w14:paraId="6C09E462" w14:textId="372253D8" w:rsidR="009D1264" w:rsidRDefault="009D1264" w:rsidP="009D1264">
            <w:r>
              <w:t>22,5 ml+15 ml</w:t>
            </w:r>
          </w:p>
        </w:tc>
      </w:tr>
    </w:tbl>
    <w:p w14:paraId="7FB98513" w14:textId="3AF75784" w:rsidR="009D1264" w:rsidRDefault="009D1264" w:rsidP="009D1264"/>
    <w:p w14:paraId="79A9AF32"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Дозата при лечение на фарингит, причинен от </w:t>
      </w:r>
      <w:r w:rsidRPr="009D1264">
        <w:rPr>
          <w:rFonts w:eastAsia="Times New Roman" w:cs="Arial"/>
          <w:i/>
          <w:iCs/>
          <w:color w:val="000000"/>
          <w:lang w:val="en-US"/>
        </w:rPr>
        <w:t>Streptococcus</w:t>
      </w:r>
      <w:r w:rsidRPr="009D1264">
        <w:rPr>
          <w:rFonts w:eastAsia="Times New Roman" w:cs="Arial"/>
          <w:i/>
          <w:iCs/>
          <w:color w:val="000000"/>
          <w:lang w:val="ru-RU"/>
        </w:rPr>
        <w:t xml:space="preserve"> </w:t>
      </w:r>
      <w:proofErr w:type="spellStart"/>
      <w:r w:rsidRPr="009D1264">
        <w:rPr>
          <w:rFonts w:eastAsia="Times New Roman" w:cs="Arial"/>
          <w:i/>
          <w:iCs/>
          <w:color w:val="000000"/>
          <w:lang w:val="en-US"/>
        </w:rPr>
        <w:t>pyogenes</w:t>
      </w:r>
      <w:proofErr w:type="spellEnd"/>
      <w:r w:rsidRPr="009D1264">
        <w:rPr>
          <w:rFonts w:eastAsia="Times New Roman" w:cs="Arial"/>
          <w:color w:val="000000"/>
          <w:lang w:val="ru-RU"/>
        </w:rPr>
        <w:t xml:space="preserve"> </w:t>
      </w:r>
      <w:r w:rsidRPr="009D1264">
        <w:rPr>
          <w:rFonts w:eastAsia="Times New Roman" w:cs="Arial"/>
          <w:color w:val="000000"/>
          <w:lang w:eastAsia="bg-BG"/>
        </w:rPr>
        <w:t xml:space="preserve">представлява изключение: при лечение на фарингит, причинен от </w:t>
      </w:r>
      <w:r w:rsidRPr="009D1264">
        <w:rPr>
          <w:rFonts w:eastAsia="Times New Roman" w:cs="Arial"/>
          <w:i/>
          <w:iCs/>
          <w:color w:val="000000"/>
          <w:lang w:val="en-US"/>
        </w:rPr>
        <w:t>Streptococcus</w:t>
      </w:r>
      <w:r w:rsidRPr="009D1264">
        <w:rPr>
          <w:rFonts w:eastAsia="Times New Roman" w:cs="Arial"/>
          <w:i/>
          <w:iCs/>
          <w:color w:val="000000"/>
          <w:lang w:val="ru-RU"/>
        </w:rPr>
        <w:t xml:space="preserve"> </w:t>
      </w:r>
      <w:proofErr w:type="spellStart"/>
      <w:r w:rsidRPr="009D1264">
        <w:rPr>
          <w:rFonts w:eastAsia="Times New Roman" w:cs="Arial"/>
          <w:i/>
          <w:iCs/>
          <w:color w:val="000000"/>
          <w:lang w:val="en-US"/>
        </w:rPr>
        <w:t>pyogene</w:t>
      </w:r>
      <w:proofErr w:type="spellEnd"/>
      <w:r w:rsidRPr="009D1264">
        <w:rPr>
          <w:rFonts w:eastAsia="Times New Roman" w:cs="Arial"/>
          <w:i/>
          <w:iCs/>
          <w:color w:val="000000"/>
          <w:lang w:val="ru-RU"/>
        </w:rPr>
        <w:t>,</w:t>
      </w:r>
      <w:r w:rsidRPr="009D1264">
        <w:rPr>
          <w:rFonts w:eastAsia="Times New Roman" w:cs="Arial"/>
          <w:i/>
          <w:iCs/>
          <w:color w:val="000000"/>
          <w:lang w:val="en-US"/>
        </w:rPr>
        <w:t>s</w:t>
      </w:r>
      <w:r w:rsidRPr="009D1264">
        <w:rPr>
          <w:rFonts w:eastAsia="Times New Roman" w:cs="Arial"/>
          <w:color w:val="000000"/>
          <w:lang w:val="ru-RU"/>
        </w:rPr>
        <w:t xml:space="preserve"> </w:t>
      </w:r>
      <w:r w:rsidRPr="009D1264">
        <w:rPr>
          <w:rFonts w:eastAsia="Times New Roman" w:cs="Arial"/>
          <w:color w:val="000000"/>
          <w:lang w:eastAsia="bg-BG"/>
        </w:rPr>
        <w:t xml:space="preserve">азитромицин е доказал, че е ефективен, когато при деца се прилага като еднократна доза от 10 </w:t>
      </w:r>
      <w:r w:rsidRPr="009D1264">
        <w:rPr>
          <w:rFonts w:eastAsia="Times New Roman" w:cs="Arial"/>
          <w:color w:val="000000"/>
          <w:lang w:val="en-US"/>
        </w:rPr>
        <w:t>mg</w:t>
      </w:r>
      <w:r w:rsidRPr="009D1264">
        <w:rPr>
          <w:rFonts w:eastAsia="Times New Roman" w:cs="Arial"/>
          <w:color w:val="000000"/>
          <w:lang w:val="ru-RU"/>
        </w:rPr>
        <w:t>/</w:t>
      </w:r>
      <w:r w:rsidRPr="009D1264">
        <w:rPr>
          <w:rFonts w:eastAsia="Times New Roman" w:cs="Arial"/>
          <w:color w:val="000000"/>
          <w:lang w:val="en-US"/>
        </w:rPr>
        <w:t>kg</w:t>
      </w:r>
      <w:r w:rsidRPr="009D1264">
        <w:rPr>
          <w:rFonts w:eastAsia="Times New Roman" w:cs="Arial"/>
          <w:color w:val="000000"/>
          <w:lang w:val="ru-RU"/>
        </w:rPr>
        <w:t xml:space="preserve"> </w:t>
      </w:r>
      <w:r w:rsidRPr="009D1264">
        <w:rPr>
          <w:rFonts w:eastAsia="Times New Roman" w:cs="Arial"/>
          <w:color w:val="000000"/>
          <w:lang w:eastAsia="bg-BG"/>
        </w:rPr>
        <w:t xml:space="preserve">или 20 </w:t>
      </w:r>
      <w:r w:rsidRPr="009D1264">
        <w:rPr>
          <w:rFonts w:eastAsia="Times New Roman" w:cs="Arial"/>
          <w:color w:val="000000"/>
          <w:lang w:val="en-US"/>
        </w:rPr>
        <w:t>mg</w:t>
      </w:r>
      <w:r w:rsidRPr="009D1264">
        <w:rPr>
          <w:rFonts w:eastAsia="Times New Roman" w:cs="Arial"/>
          <w:color w:val="000000"/>
          <w:lang w:val="ru-RU"/>
        </w:rPr>
        <w:t>/</w:t>
      </w:r>
      <w:r w:rsidRPr="009D1264">
        <w:rPr>
          <w:rFonts w:eastAsia="Times New Roman" w:cs="Arial"/>
          <w:color w:val="000000"/>
          <w:lang w:val="en-US"/>
        </w:rPr>
        <w:t>kg</w:t>
      </w:r>
      <w:r w:rsidRPr="009D1264">
        <w:rPr>
          <w:rFonts w:eastAsia="Times New Roman" w:cs="Arial"/>
          <w:color w:val="000000"/>
          <w:lang w:val="ru-RU"/>
        </w:rPr>
        <w:t xml:space="preserve"> </w:t>
      </w:r>
      <w:r w:rsidRPr="009D1264">
        <w:rPr>
          <w:rFonts w:eastAsia="Times New Roman" w:cs="Arial"/>
          <w:color w:val="000000"/>
          <w:lang w:eastAsia="bg-BG"/>
        </w:rPr>
        <w:t xml:space="preserve">за 3 дни с максимална дневна доза от 500 </w:t>
      </w:r>
      <w:r w:rsidRPr="009D1264">
        <w:rPr>
          <w:rFonts w:eastAsia="Times New Roman" w:cs="Arial"/>
          <w:color w:val="000000"/>
          <w:lang w:val="en-US"/>
        </w:rPr>
        <w:t>mg</w:t>
      </w:r>
      <w:r w:rsidRPr="009D1264">
        <w:rPr>
          <w:rFonts w:eastAsia="Times New Roman" w:cs="Arial"/>
          <w:color w:val="000000"/>
          <w:lang w:val="ru-RU"/>
        </w:rPr>
        <w:t xml:space="preserve">. </w:t>
      </w:r>
      <w:r w:rsidRPr="009D1264">
        <w:rPr>
          <w:rFonts w:eastAsia="Times New Roman" w:cs="Arial"/>
          <w:color w:val="000000"/>
          <w:lang w:eastAsia="bg-BG"/>
        </w:rPr>
        <w:t xml:space="preserve">При тези две дозировки се наблюдава сравним клиничен ефект, дори когато ерадикацията на бактерии е по-значима при дневна доза от 20 </w:t>
      </w:r>
      <w:r w:rsidRPr="009D1264">
        <w:rPr>
          <w:rFonts w:eastAsia="Times New Roman" w:cs="Arial"/>
          <w:color w:val="000000"/>
          <w:lang w:val="en-US"/>
        </w:rPr>
        <w:t>mg</w:t>
      </w:r>
      <w:r w:rsidRPr="009D1264">
        <w:rPr>
          <w:rFonts w:eastAsia="Times New Roman" w:cs="Arial"/>
          <w:color w:val="000000"/>
          <w:lang w:val="ru-RU"/>
        </w:rPr>
        <w:t>/</w:t>
      </w:r>
      <w:r w:rsidRPr="009D1264">
        <w:rPr>
          <w:rFonts w:eastAsia="Times New Roman" w:cs="Arial"/>
          <w:color w:val="000000"/>
          <w:lang w:val="en-US"/>
        </w:rPr>
        <w:t>kg</w:t>
      </w:r>
      <w:r w:rsidRPr="009D1264">
        <w:rPr>
          <w:rFonts w:eastAsia="Times New Roman" w:cs="Arial"/>
          <w:color w:val="000000"/>
          <w:lang w:val="ru-RU"/>
        </w:rPr>
        <w:t>.</w:t>
      </w:r>
    </w:p>
    <w:p w14:paraId="7DB2F7E3"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Въпреки това пеницилин е първи избор при лечение на фарингит, причинен от </w:t>
      </w:r>
      <w:r w:rsidRPr="009D1264">
        <w:rPr>
          <w:rFonts w:eastAsia="Times New Roman" w:cs="Arial"/>
          <w:i/>
          <w:iCs/>
          <w:color w:val="000000"/>
          <w:lang w:val="en-US"/>
        </w:rPr>
        <w:t>Streptococcus</w:t>
      </w:r>
      <w:r w:rsidRPr="009D1264">
        <w:rPr>
          <w:rFonts w:eastAsia="Times New Roman" w:cs="Arial"/>
          <w:i/>
          <w:iCs/>
          <w:color w:val="000000"/>
          <w:lang w:val="ru-RU"/>
        </w:rPr>
        <w:t xml:space="preserve"> </w:t>
      </w:r>
      <w:proofErr w:type="spellStart"/>
      <w:r w:rsidRPr="009D1264">
        <w:rPr>
          <w:rFonts w:eastAsia="Times New Roman" w:cs="Arial"/>
          <w:i/>
          <w:iCs/>
          <w:color w:val="000000"/>
          <w:lang w:val="en-US"/>
        </w:rPr>
        <w:t>pyogenes</w:t>
      </w:r>
      <w:proofErr w:type="spellEnd"/>
      <w:r w:rsidRPr="009D1264">
        <w:rPr>
          <w:rFonts w:eastAsia="Times New Roman" w:cs="Arial"/>
          <w:color w:val="000000"/>
          <w:lang w:val="ru-RU"/>
        </w:rPr>
        <w:t xml:space="preserve"> </w:t>
      </w:r>
      <w:r w:rsidRPr="009D1264">
        <w:rPr>
          <w:rFonts w:eastAsia="Times New Roman" w:cs="Arial"/>
          <w:color w:val="000000"/>
          <w:lang w:eastAsia="bg-BG"/>
        </w:rPr>
        <w:t>и за профилактика на последващ ревматичен пристъп.</w:t>
      </w:r>
    </w:p>
    <w:p w14:paraId="5E897806" w14:textId="77777777" w:rsidR="009D1264" w:rsidRPr="009D1264" w:rsidRDefault="009D1264" w:rsidP="009D1264">
      <w:pPr>
        <w:spacing w:line="240" w:lineRule="auto"/>
        <w:rPr>
          <w:rFonts w:eastAsia="Times New Roman" w:cs="Arial"/>
          <w:b/>
          <w:bCs/>
          <w:color w:val="000000"/>
          <w:lang w:eastAsia="bg-BG"/>
        </w:rPr>
      </w:pPr>
    </w:p>
    <w:p w14:paraId="55DCC0DD" w14:textId="6C0D8A8F" w:rsidR="009D1264" w:rsidRPr="009D1264" w:rsidRDefault="009D1264" w:rsidP="009D1264">
      <w:pPr>
        <w:spacing w:line="240" w:lineRule="auto"/>
        <w:rPr>
          <w:rFonts w:eastAsia="Times New Roman" w:cs="Arial"/>
        </w:rPr>
      </w:pPr>
      <w:r w:rsidRPr="009D1264">
        <w:rPr>
          <w:rFonts w:eastAsia="Times New Roman" w:cs="Arial"/>
          <w:b/>
          <w:bCs/>
          <w:color w:val="000000"/>
          <w:lang w:eastAsia="bg-BG"/>
        </w:rPr>
        <w:t>Пациенти с бъбречно увреждане:</w:t>
      </w:r>
    </w:p>
    <w:p w14:paraId="10DFD2CD"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При пациентите с леко до умерено бъбречно увреждане (СГФ 10-80 </w:t>
      </w:r>
      <w:r w:rsidRPr="009D1264">
        <w:rPr>
          <w:rFonts w:eastAsia="Times New Roman" w:cs="Arial"/>
          <w:color w:val="000000"/>
          <w:lang w:val="en-US"/>
        </w:rPr>
        <w:t>ml</w:t>
      </w:r>
      <w:r w:rsidRPr="009D1264">
        <w:rPr>
          <w:rFonts w:eastAsia="Times New Roman" w:cs="Arial"/>
          <w:color w:val="000000"/>
          <w:lang w:val="ru-RU"/>
        </w:rPr>
        <w:t>/</w:t>
      </w:r>
      <w:r w:rsidRPr="009D1264">
        <w:rPr>
          <w:rFonts w:eastAsia="Times New Roman" w:cs="Arial"/>
          <w:color w:val="000000"/>
          <w:lang w:val="en-US"/>
        </w:rPr>
        <w:t>min</w:t>
      </w:r>
      <w:r w:rsidRPr="009D1264">
        <w:rPr>
          <w:rFonts w:eastAsia="Times New Roman" w:cs="Arial"/>
          <w:color w:val="000000"/>
          <w:lang w:val="ru-RU"/>
        </w:rPr>
        <w:t xml:space="preserve">) </w:t>
      </w:r>
      <w:r w:rsidRPr="009D1264">
        <w:rPr>
          <w:rFonts w:eastAsia="Times New Roman" w:cs="Arial"/>
          <w:color w:val="000000"/>
          <w:lang w:eastAsia="bg-BG"/>
        </w:rPr>
        <w:t>не е необходимо коригиране на дозите (вж. точка 4.4).</w:t>
      </w:r>
    </w:p>
    <w:p w14:paraId="3ACE3593" w14:textId="77777777" w:rsidR="009D1264" w:rsidRPr="009D1264" w:rsidRDefault="009D1264" w:rsidP="009D1264">
      <w:pPr>
        <w:spacing w:line="240" w:lineRule="auto"/>
        <w:rPr>
          <w:rFonts w:eastAsia="Times New Roman" w:cs="Arial"/>
          <w:b/>
          <w:bCs/>
          <w:color w:val="000000"/>
          <w:lang w:eastAsia="bg-BG"/>
        </w:rPr>
      </w:pPr>
    </w:p>
    <w:p w14:paraId="75A6C741" w14:textId="5ACE638E" w:rsidR="009D1264" w:rsidRPr="009D1264" w:rsidRDefault="009D1264" w:rsidP="009D1264">
      <w:pPr>
        <w:spacing w:line="240" w:lineRule="auto"/>
        <w:rPr>
          <w:rFonts w:eastAsia="Times New Roman" w:cs="Arial"/>
        </w:rPr>
      </w:pPr>
      <w:r w:rsidRPr="009D1264">
        <w:rPr>
          <w:rFonts w:eastAsia="Times New Roman" w:cs="Arial"/>
          <w:b/>
          <w:bCs/>
          <w:color w:val="000000"/>
          <w:lang w:eastAsia="bg-BG"/>
        </w:rPr>
        <w:t>Пациенти с чернодробно увреждане:</w:t>
      </w:r>
    </w:p>
    <w:p w14:paraId="1A36FF14"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lastRenderedPageBreak/>
        <w:t>Не е необходимо коригиране на дозата при пациенти с леко до умерено увредена чернодробна функция (вж. точка 4.4).</w:t>
      </w:r>
    </w:p>
    <w:p w14:paraId="15001AED" w14:textId="77777777" w:rsidR="009D1264" w:rsidRPr="009D1264" w:rsidRDefault="009D1264" w:rsidP="009D1264">
      <w:pPr>
        <w:spacing w:line="240" w:lineRule="auto"/>
        <w:rPr>
          <w:rFonts w:eastAsia="Times New Roman" w:cs="Arial"/>
          <w:i/>
          <w:iCs/>
          <w:color w:val="000000"/>
          <w:lang w:eastAsia="bg-BG"/>
        </w:rPr>
      </w:pPr>
    </w:p>
    <w:p w14:paraId="4AE45C7C" w14:textId="13EA0CF7" w:rsidR="009D1264" w:rsidRPr="009D1264" w:rsidRDefault="009D1264" w:rsidP="009D1264">
      <w:pPr>
        <w:spacing w:line="240" w:lineRule="auto"/>
        <w:rPr>
          <w:rFonts w:eastAsia="Times New Roman" w:cs="Arial"/>
        </w:rPr>
      </w:pPr>
      <w:r w:rsidRPr="009D1264">
        <w:rPr>
          <w:rFonts w:eastAsia="Times New Roman" w:cs="Arial"/>
          <w:i/>
          <w:iCs/>
          <w:color w:val="000000"/>
          <w:lang w:eastAsia="bg-BG"/>
        </w:rPr>
        <w:t>Метод на приложение</w:t>
      </w:r>
    </w:p>
    <w:p w14:paraId="35BCE00F"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Преди употреба прахът трябва да бъде разтворен с вода до получаване на бяла до белезникава хомогенна суспензия - виж точка 6.6. След разтваряне лекарството може да се приложи посредством РЕ/РР спринцовка за перорално приложение.</w:t>
      </w:r>
    </w:p>
    <w:p w14:paraId="3DE538D2" w14:textId="72924884" w:rsidR="009D1264" w:rsidRPr="009D1264" w:rsidRDefault="009D1264" w:rsidP="009D1264">
      <w:pPr>
        <w:rPr>
          <w:rFonts w:eastAsia="Times New Roman" w:cs="Arial"/>
          <w:color w:val="000000"/>
          <w:lang w:eastAsia="bg-BG"/>
        </w:rPr>
      </w:pPr>
      <w:r w:rsidRPr="009D1264">
        <w:rPr>
          <w:rFonts w:eastAsia="Times New Roman" w:cs="Arial"/>
          <w:color w:val="000000"/>
          <w:lang w:eastAsia="bg-BG"/>
        </w:rPr>
        <w:t>След приема на суспензията горчивият вкус може да се коригира чрез изпиване на плодов сок веднага след преглъщането. Азитромицин прах за перорална суспензия трябва да се прилага като еднократна дневна доза. Суспензията може да се приема едновременно с храна.</w:t>
      </w:r>
    </w:p>
    <w:p w14:paraId="1CF15D3A" w14:textId="77777777" w:rsidR="009D1264" w:rsidRPr="009D1264" w:rsidRDefault="009D1264" w:rsidP="009D1264"/>
    <w:p w14:paraId="62B13D0B" w14:textId="0DF81BBB" w:rsidR="00395555" w:rsidRDefault="002C50EE" w:rsidP="008A6AF2">
      <w:pPr>
        <w:pStyle w:val="Heading2"/>
      </w:pPr>
      <w:r>
        <w:t>4.3. Противопоказания</w:t>
      </w:r>
    </w:p>
    <w:p w14:paraId="024C7FA6" w14:textId="4BC9A4F2" w:rsidR="009D1264" w:rsidRDefault="009D1264" w:rsidP="009D1264"/>
    <w:p w14:paraId="04E78039" w14:textId="77777777" w:rsidR="009D1264" w:rsidRPr="009D1264" w:rsidRDefault="009D1264" w:rsidP="009D1264">
      <w:pPr>
        <w:rPr>
          <w:sz w:val="24"/>
          <w:szCs w:val="24"/>
        </w:rPr>
      </w:pPr>
      <w:r w:rsidRPr="009D1264">
        <w:rPr>
          <w:lang w:eastAsia="bg-BG"/>
        </w:rPr>
        <w:t>Употребата на този продукт е противопоказана при пациенти със свръхчувствителност към азитромицин, еритромицин, други макролидни или кетолидни антибиотици или към някое от помощните вещества, изброени в точка 6.1 (вижте също точка 4.4).</w:t>
      </w:r>
    </w:p>
    <w:p w14:paraId="11C9C71D" w14:textId="77777777" w:rsidR="009D1264" w:rsidRPr="009D1264" w:rsidRDefault="009D1264" w:rsidP="009D1264"/>
    <w:p w14:paraId="5A4AC413" w14:textId="402EC42D" w:rsidR="00395555" w:rsidRDefault="002C50EE" w:rsidP="008A6AF2">
      <w:pPr>
        <w:pStyle w:val="Heading2"/>
      </w:pPr>
      <w:r>
        <w:t>4.4. Специални предупреждения и предпазни мерки при употреба</w:t>
      </w:r>
    </w:p>
    <w:p w14:paraId="5D28D866" w14:textId="0302AA09" w:rsidR="009D1264" w:rsidRDefault="009D1264" w:rsidP="009D1264"/>
    <w:p w14:paraId="661A49CE" w14:textId="77777777" w:rsidR="009D1264" w:rsidRPr="009D1264" w:rsidRDefault="009D1264" w:rsidP="009D1264">
      <w:pPr>
        <w:spacing w:line="240" w:lineRule="auto"/>
        <w:rPr>
          <w:rFonts w:eastAsia="Times New Roman" w:cs="Arial"/>
        </w:rPr>
      </w:pPr>
      <w:r w:rsidRPr="009D1264">
        <w:rPr>
          <w:rFonts w:eastAsia="Times New Roman" w:cs="Arial"/>
          <w:color w:val="000000"/>
          <w:u w:val="single"/>
          <w:lang w:eastAsia="bg-BG"/>
        </w:rPr>
        <w:t>Свръхчувствителност</w:t>
      </w:r>
    </w:p>
    <w:p w14:paraId="198E634B"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Както при еритромицин и другите макролидни антибиотици, рядко се съобщават сериозни алергични реакции, включително ангиневротичен едем и анафилаксия (рядко фатални),, дерматологични реакции, включително остра генерализирана екзантематозна пустулоза </w:t>
      </w:r>
      <w:r w:rsidRPr="009D1264">
        <w:rPr>
          <w:rFonts w:eastAsia="Times New Roman" w:cs="Arial"/>
          <w:color w:val="000000"/>
          <w:lang w:val="ru-RU"/>
        </w:rPr>
        <w:t>(</w:t>
      </w:r>
      <w:r w:rsidRPr="009D1264">
        <w:rPr>
          <w:rFonts w:eastAsia="Times New Roman" w:cs="Arial"/>
          <w:color w:val="000000"/>
          <w:lang w:val="en-US"/>
        </w:rPr>
        <w:t>AGEP</w:t>
      </w:r>
      <w:r w:rsidRPr="009D1264">
        <w:rPr>
          <w:rFonts w:eastAsia="Times New Roman" w:cs="Arial"/>
          <w:color w:val="000000"/>
          <w:lang w:val="ru-RU"/>
        </w:rPr>
        <w:t xml:space="preserve">), </w:t>
      </w:r>
      <w:r w:rsidRPr="009D1264">
        <w:rPr>
          <w:rFonts w:eastAsia="Times New Roman" w:cs="Arial"/>
          <w:color w:val="000000"/>
          <w:lang w:eastAsia="bg-BG"/>
        </w:rPr>
        <w:t xml:space="preserve">синдром на </w:t>
      </w:r>
      <w:r w:rsidRPr="009D1264">
        <w:rPr>
          <w:rFonts w:eastAsia="Times New Roman" w:cs="Arial"/>
          <w:color w:val="000000"/>
          <w:lang w:val="en-US"/>
        </w:rPr>
        <w:t>Stevens</w:t>
      </w:r>
      <w:r w:rsidRPr="009D1264">
        <w:rPr>
          <w:rFonts w:eastAsia="Times New Roman" w:cs="Arial"/>
          <w:color w:val="000000"/>
          <w:lang w:val="ru-RU"/>
        </w:rPr>
        <w:t xml:space="preserve"> </w:t>
      </w:r>
      <w:r w:rsidRPr="009D1264">
        <w:rPr>
          <w:rFonts w:eastAsia="Times New Roman" w:cs="Arial"/>
          <w:color w:val="000000"/>
          <w:lang w:val="en-US"/>
        </w:rPr>
        <w:t>Johnson</w:t>
      </w:r>
      <w:r w:rsidRPr="009D1264">
        <w:rPr>
          <w:rFonts w:eastAsia="Times New Roman" w:cs="Arial"/>
          <w:color w:val="000000"/>
          <w:lang w:val="ru-RU"/>
        </w:rPr>
        <w:t xml:space="preserve"> (</w:t>
      </w:r>
      <w:r w:rsidRPr="009D1264">
        <w:rPr>
          <w:rFonts w:eastAsia="Times New Roman" w:cs="Arial"/>
          <w:color w:val="000000"/>
          <w:lang w:val="en-US"/>
        </w:rPr>
        <w:t>SJS</w:t>
      </w:r>
      <w:r w:rsidRPr="009D1264">
        <w:rPr>
          <w:rFonts w:eastAsia="Times New Roman" w:cs="Arial"/>
          <w:color w:val="000000"/>
          <w:lang w:val="ru-RU"/>
        </w:rPr>
        <w:t xml:space="preserve">), </w:t>
      </w:r>
      <w:r w:rsidRPr="009D1264">
        <w:rPr>
          <w:rFonts w:eastAsia="Times New Roman" w:cs="Arial"/>
          <w:color w:val="000000"/>
          <w:lang w:eastAsia="bg-BG"/>
        </w:rPr>
        <w:t xml:space="preserve">токсична епидермална некролиза </w:t>
      </w:r>
      <w:r w:rsidRPr="009D1264">
        <w:rPr>
          <w:rFonts w:eastAsia="Times New Roman" w:cs="Arial"/>
          <w:color w:val="000000"/>
          <w:lang w:val="ru-RU"/>
        </w:rPr>
        <w:t>(</w:t>
      </w:r>
      <w:r w:rsidRPr="009D1264">
        <w:rPr>
          <w:rFonts w:eastAsia="Times New Roman" w:cs="Arial"/>
          <w:color w:val="000000"/>
          <w:lang w:val="en-US"/>
        </w:rPr>
        <w:t>TEN</w:t>
      </w:r>
      <w:r w:rsidRPr="009D1264">
        <w:rPr>
          <w:rFonts w:eastAsia="Times New Roman" w:cs="Arial"/>
          <w:color w:val="000000"/>
          <w:lang w:val="ru-RU"/>
        </w:rPr>
        <w:t xml:space="preserve">) </w:t>
      </w:r>
      <w:r w:rsidRPr="009D1264">
        <w:rPr>
          <w:rFonts w:eastAsia="Times New Roman" w:cs="Arial"/>
          <w:color w:val="000000"/>
          <w:lang w:eastAsia="bg-BG"/>
        </w:rPr>
        <w:t xml:space="preserve">(рядко с летален изход) и лекарствена реакция с еозинофилия и системни симптоми </w:t>
      </w:r>
      <w:r w:rsidRPr="009D1264">
        <w:rPr>
          <w:rFonts w:eastAsia="Times New Roman" w:cs="Arial"/>
          <w:color w:val="000000"/>
          <w:lang w:val="ru-RU"/>
        </w:rPr>
        <w:t>(</w:t>
      </w:r>
      <w:r w:rsidRPr="009D1264">
        <w:rPr>
          <w:rFonts w:eastAsia="Times New Roman" w:cs="Arial"/>
          <w:color w:val="000000"/>
          <w:lang w:val="en-US"/>
        </w:rPr>
        <w:t>DRESS</w:t>
      </w:r>
      <w:r w:rsidRPr="009D1264">
        <w:rPr>
          <w:rFonts w:eastAsia="Times New Roman" w:cs="Arial"/>
          <w:color w:val="000000"/>
          <w:lang w:val="ru-RU"/>
        </w:rPr>
        <w:t xml:space="preserve">). </w:t>
      </w:r>
      <w:r w:rsidRPr="009D1264">
        <w:rPr>
          <w:rFonts w:eastAsia="Times New Roman" w:cs="Arial"/>
          <w:color w:val="000000"/>
          <w:lang w:eastAsia="bg-BG"/>
        </w:rPr>
        <w:t>Някои от тези реакции към азитромицин водят до рецидив на симптомите и изискват по-дълъг период на наблюдение и лечение.</w:t>
      </w:r>
    </w:p>
    <w:p w14:paraId="4D205A07" w14:textId="77777777" w:rsidR="009D1264" w:rsidRPr="00B23BAB" w:rsidRDefault="009D1264" w:rsidP="009D1264">
      <w:pPr>
        <w:spacing w:line="240" w:lineRule="auto"/>
        <w:rPr>
          <w:rFonts w:eastAsia="Times New Roman" w:cs="Arial"/>
          <w:color w:val="000000"/>
          <w:lang w:eastAsia="bg-BG"/>
        </w:rPr>
      </w:pPr>
    </w:p>
    <w:p w14:paraId="0683E69A" w14:textId="617B2AA8" w:rsidR="009D1264" w:rsidRPr="009D1264" w:rsidRDefault="009D1264" w:rsidP="009D1264">
      <w:pPr>
        <w:spacing w:line="240" w:lineRule="auto"/>
        <w:rPr>
          <w:rFonts w:eastAsia="Times New Roman" w:cs="Arial"/>
        </w:rPr>
      </w:pPr>
      <w:r w:rsidRPr="009D1264">
        <w:rPr>
          <w:rFonts w:eastAsia="Times New Roman" w:cs="Arial"/>
          <w:color w:val="000000"/>
          <w:lang w:eastAsia="bg-BG"/>
        </w:rPr>
        <w:t>Ако възникне алергична реакция, лекарството трябва да бъде спряно и да се започне подходяща терапия. Лекарите трябва да знаят, че е възможна повторна поява на алергичните симптоми при спиране на симптоматичната терапия.</w:t>
      </w:r>
    </w:p>
    <w:p w14:paraId="18581FEE" w14:textId="77777777" w:rsidR="009D1264" w:rsidRPr="00B23BAB" w:rsidRDefault="009D1264" w:rsidP="009D1264">
      <w:pPr>
        <w:spacing w:line="240" w:lineRule="auto"/>
        <w:rPr>
          <w:rFonts w:eastAsia="Times New Roman" w:cs="Arial"/>
          <w:color w:val="000000"/>
          <w:lang w:eastAsia="bg-BG"/>
        </w:rPr>
      </w:pPr>
    </w:p>
    <w:p w14:paraId="0D3257D2" w14:textId="6D2AA711" w:rsidR="009D1264" w:rsidRPr="009D1264" w:rsidRDefault="009D1264" w:rsidP="009D1264">
      <w:pPr>
        <w:spacing w:line="240" w:lineRule="auto"/>
        <w:rPr>
          <w:rFonts w:eastAsia="Times New Roman" w:cs="Arial"/>
        </w:rPr>
      </w:pPr>
      <w:r w:rsidRPr="009D1264">
        <w:rPr>
          <w:rFonts w:eastAsia="Times New Roman" w:cs="Arial"/>
          <w:color w:val="000000"/>
          <w:lang w:eastAsia="bg-BG"/>
        </w:rPr>
        <w:t>Поради факта, че черния дроб е основния път за елиминиране на азитромицин, употребата му при пациенти със сериозно чернодробно заболяване трябва да става с повишено внимание. Съобщени са случаи на фулминантен хепатит, потенциално водещ до животозастрашаваща чернодробна недостатъчност, свързан с употребата на азитромицин (вижте точка 4.8). Някои пациенти може да са прекарали предходно чернодробно заболяване или да са приемали други хепатотоксични лекарства.</w:t>
      </w:r>
    </w:p>
    <w:p w14:paraId="7647ECFF" w14:textId="77777777" w:rsidR="009D1264" w:rsidRPr="00B23BAB" w:rsidRDefault="009D1264" w:rsidP="009D1264">
      <w:pPr>
        <w:spacing w:line="240" w:lineRule="auto"/>
        <w:rPr>
          <w:rFonts w:eastAsia="Times New Roman" w:cs="Arial"/>
          <w:color w:val="000000"/>
          <w:lang w:eastAsia="bg-BG"/>
        </w:rPr>
      </w:pPr>
    </w:p>
    <w:p w14:paraId="5F5FDDC4" w14:textId="07CD9E8B" w:rsidR="009D1264" w:rsidRPr="009D1264" w:rsidRDefault="009D1264" w:rsidP="009D1264">
      <w:pPr>
        <w:spacing w:line="240" w:lineRule="auto"/>
        <w:rPr>
          <w:rFonts w:eastAsia="Times New Roman" w:cs="Arial"/>
        </w:rPr>
      </w:pPr>
      <w:r w:rsidRPr="009D1264">
        <w:rPr>
          <w:rFonts w:eastAsia="Times New Roman" w:cs="Arial"/>
          <w:color w:val="000000"/>
          <w:lang w:eastAsia="bg-BG"/>
        </w:rPr>
        <w:t>В случай на признаци и симптоми на чернодробна дисфункция като бързо развитие на астения, свързана с жълтеница, тъмна урина, склонност към кървене или чернодробна енцефалопатия, веднага трябва да се направят изследвания на чернодробната функция. Приложението на азитромицин трябва да бъде преустановено при проява на нарушение в чернодробната функция.</w:t>
      </w:r>
    </w:p>
    <w:p w14:paraId="1F32D9E0" w14:textId="77777777" w:rsidR="009D1264" w:rsidRPr="00B23BAB" w:rsidRDefault="009D1264" w:rsidP="009D1264">
      <w:pPr>
        <w:spacing w:line="240" w:lineRule="auto"/>
        <w:rPr>
          <w:rFonts w:eastAsia="Times New Roman" w:cs="Arial"/>
          <w:color w:val="000000"/>
          <w:lang w:eastAsia="bg-BG"/>
        </w:rPr>
      </w:pPr>
    </w:p>
    <w:p w14:paraId="7BCB972B" w14:textId="405BDCCF"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При пациенти, приемащи ерготаминови производни може да се индуцира ерготизъм при едновременно приложение с някои макролидни антибиотици. Няма налични данни относно възможните взаимодействия между ерготаминови производни и азитромицин. </w:t>
      </w:r>
      <w:r w:rsidRPr="009D1264">
        <w:rPr>
          <w:rFonts w:eastAsia="Times New Roman" w:cs="Arial"/>
          <w:color w:val="000000"/>
          <w:lang w:eastAsia="bg-BG"/>
        </w:rPr>
        <w:lastRenderedPageBreak/>
        <w:t>Тъй като е налице теоретична възможност за ерготизъм, азитромицин не трябва да се комбинира с ерготаминови производни.</w:t>
      </w:r>
    </w:p>
    <w:p w14:paraId="4D884014" w14:textId="77777777" w:rsidR="009D1264" w:rsidRPr="00B23BAB" w:rsidRDefault="009D1264" w:rsidP="009D1264">
      <w:pPr>
        <w:spacing w:line="240" w:lineRule="auto"/>
        <w:rPr>
          <w:rFonts w:eastAsia="Times New Roman" w:cs="Arial"/>
          <w:color w:val="000000"/>
          <w:lang w:eastAsia="bg-BG"/>
        </w:rPr>
      </w:pPr>
    </w:p>
    <w:p w14:paraId="4C734D33" w14:textId="7CDD36B2" w:rsidR="009D1264" w:rsidRPr="009D1264" w:rsidRDefault="009D1264" w:rsidP="009D1264">
      <w:pPr>
        <w:spacing w:line="240" w:lineRule="auto"/>
        <w:rPr>
          <w:rFonts w:eastAsia="Times New Roman" w:cs="Arial"/>
        </w:rPr>
      </w:pPr>
      <w:r w:rsidRPr="009D1264">
        <w:rPr>
          <w:rFonts w:eastAsia="Times New Roman" w:cs="Arial"/>
          <w:color w:val="000000"/>
          <w:lang w:eastAsia="bg-BG"/>
        </w:rPr>
        <w:t>Както при останалите антибиотици, препоръчително е да се следи за белези на суперинфекция с нечувствителни микроорганизми, включително гъбички.</w:t>
      </w:r>
    </w:p>
    <w:p w14:paraId="7F268ACA" w14:textId="77777777" w:rsidR="009D1264" w:rsidRPr="00B23BAB" w:rsidRDefault="009D1264" w:rsidP="009D1264">
      <w:pPr>
        <w:spacing w:line="240" w:lineRule="auto"/>
        <w:rPr>
          <w:rFonts w:eastAsia="Times New Roman" w:cs="Arial"/>
          <w:color w:val="000000"/>
          <w:lang w:eastAsia="bg-BG"/>
        </w:rPr>
      </w:pPr>
    </w:p>
    <w:p w14:paraId="7E656BAD" w14:textId="7F0F0B04"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Диария, асоциирана с </w:t>
      </w:r>
      <w:r w:rsidRPr="009D1264">
        <w:rPr>
          <w:rFonts w:eastAsia="Times New Roman" w:cs="Arial"/>
          <w:i/>
          <w:iCs/>
          <w:color w:val="000000"/>
          <w:lang w:val="en-US"/>
        </w:rPr>
        <w:t>Clostridium</w:t>
      </w:r>
      <w:r w:rsidRPr="009D1264">
        <w:rPr>
          <w:rFonts w:eastAsia="Times New Roman" w:cs="Arial"/>
          <w:i/>
          <w:iCs/>
          <w:color w:val="000000"/>
          <w:lang w:val="ru-RU"/>
        </w:rPr>
        <w:t xml:space="preserve"> </w:t>
      </w:r>
      <w:r w:rsidRPr="009D1264">
        <w:rPr>
          <w:rFonts w:eastAsia="Times New Roman" w:cs="Arial"/>
          <w:i/>
          <w:iCs/>
          <w:color w:val="000000"/>
          <w:lang w:val="en-US"/>
        </w:rPr>
        <w:t>difficile</w:t>
      </w:r>
      <w:r w:rsidRPr="009D1264">
        <w:rPr>
          <w:rFonts w:eastAsia="Times New Roman" w:cs="Arial"/>
          <w:color w:val="000000"/>
          <w:lang w:val="ru-RU"/>
        </w:rPr>
        <w:t xml:space="preserve"> (</w:t>
      </w:r>
      <w:r w:rsidRPr="009D1264">
        <w:rPr>
          <w:rFonts w:eastAsia="Times New Roman" w:cs="Arial"/>
          <w:color w:val="000000"/>
          <w:lang w:val="en-US"/>
        </w:rPr>
        <w:t>CDAD</w:t>
      </w:r>
      <w:r w:rsidRPr="009D1264">
        <w:rPr>
          <w:rFonts w:eastAsia="Times New Roman" w:cs="Arial"/>
          <w:color w:val="000000"/>
          <w:lang w:val="ru-RU"/>
        </w:rPr>
        <w:t xml:space="preserve">), </w:t>
      </w:r>
      <w:r w:rsidRPr="009D1264">
        <w:rPr>
          <w:rFonts w:eastAsia="Times New Roman" w:cs="Arial"/>
          <w:color w:val="000000"/>
          <w:lang w:eastAsia="bg-BG"/>
        </w:rPr>
        <w:t xml:space="preserve">се съобщава при употреба на почти всички антибактериални лекарства, включително азитромицин, и може да варира като тежест от лека диария до фатален колит. Лечението с антибактериални агенти променя нормалната флора на колона и води до свръхрастеж на </w:t>
      </w:r>
      <w:r w:rsidRPr="009D1264">
        <w:rPr>
          <w:rFonts w:eastAsia="Times New Roman" w:cs="Arial"/>
          <w:i/>
          <w:iCs/>
          <w:color w:val="000000"/>
          <w:lang w:eastAsia="bg-BG"/>
        </w:rPr>
        <w:t xml:space="preserve">С. </w:t>
      </w:r>
      <w:proofErr w:type="gramStart"/>
      <w:r w:rsidRPr="009D1264">
        <w:rPr>
          <w:rFonts w:eastAsia="Times New Roman" w:cs="Arial"/>
          <w:i/>
          <w:iCs/>
          <w:color w:val="000000"/>
          <w:lang w:val="en-US"/>
        </w:rPr>
        <w:t>difficile</w:t>
      </w:r>
      <w:proofErr w:type="gramEnd"/>
      <w:r w:rsidRPr="009D1264">
        <w:rPr>
          <w:rFonts w:eastAsia="Times New Roman" w:cs="Arial"/>
          <w:i/>
          <w:iCs/>
          <w:color w:val="000000"/>
          <w:lang w:val="ru-RU"/>
        </w:rPr>
        <w:t>.</w:t>
      </w:r>
    </w:p>
    <w:p w14:paraId="2651AAD3" w14:textId="77777777" w:rsidR="009D1264" w:rsidRPr="00B23BAB" w:rsidRDefault="009D1264" w:rsidP="009D1264">
      <w:pPr>
        <w:rPr>
          <w:rFonts w:eastAsia="Times New Roman" w:cs="Arial"/>
          <w:i/>
          <w:iCs/>
          <w:color w:val="000000"/>
          <w:lang w:eastAsia="bg-BG"/>
        </w:rPr>
      </w:pPr>
    </w:p>
    <w:p w14:paraId="1841BABE" w14:textId="04A76EC8" w:rsidR="009D1264" w:rsidRPr="00B23BAB" w:rsidRDefault="009D1264" w:rsidP="009D1264">
      <w:pPr>
        <w:rPr>
          <w:rFonts w:eastAsia="Times New Roman" w:cs="Arial"/>
          <w:color w:val="000000"/>
          <w:lang w:eastAsia="bg-BG"/>
        </w:rPr>
      </w:pPr>
      <w:r w:rsidRPr="00B23BAB">
        <w:rPr>
          <w:rFonts w:eastAsia="Times New Roman" w:cs="Arial"/>
          <w:i/>
          <w:iCs/>
          <w:color w:val="000000"/>
          <w:lang w:eastAsia="bg-BG"/>
        </w:rPr>
        <w:t xml:space="preserve">С. </w:t>
      </w:r>
      <w:proofErr w:type="gramStart"/>
      <w:r w:rsidRPr="00B23BAB">
        <w:rPr>
          <w:rFonts w:eastAsia="Times New Roman" w:cs="Arial"/>
          <w:i/>
          <w:iCs/>
          <w:color w:val="000000"/>
          <w:lang w:val="en-US"/>
        </w:rPr>
        <w:t>difficile</w:t>
      </w:r>
      <w:proofErr w:type="gramEnd"/>
      <w:r w:rsidRPr="00B23BAB">
        <w:rPr>
          <w:rFonts w:eastAsia="Times New Roman" w:cs="Arial"/>
          <w:color w:val="000000"/>
          <w:lang w:val="ru-RU"/>
        </w:rPr>
        <w:t xml:space="preserve"> </w:t>
      </w:r>
      <w:r w:rsidRPr="00B23BAB">
        <w:rPr>
          <w:rFonts w:eastAsia="Times New Roman" w:cs="Arial"/>
          <w:color w:val="000000"/>
          <w:lang w:eastAsia="bg-BG"/>
        </w:rPr>
        <w:t xml:space="preserve">продуцира токсини А и В, които допринасят за развитието на </w:t>
      </w:r>
      <w:r w:rsidRPr="00B23BAB">
        <w:rPr>
          <w:rFonts w:eastAsia="Times New Roman" w:cs="Arial"/>
          <w:color w:val="000000"/>
          <w:lang w:val="en-US"/>
        </w:rPr>
        <w:t>CDAD</w:t>
      </w:r>
      <w:r w:rsidRPr="00B23BAB">
        <w:rPr>
          <w:rFonts w:eastAsia="Times New Roman" w:cs="Arial"/>
          <w:color w:val="000000"/>
          <w:lang w:val="ru-RU"/>
        </w:rPr>
        <w:t xml:space="preserve">. </w:t>
      </w:r>
      <w:r w:rsidRPr="00B23BAB">
        <w:rPr>
          <w:rFonts w:eastAsia="Times New Roman" w:cs="Arial"/>
          <w:color w:val="000000"/>
          <w:lang w:eastAsia="bg-BG"/>
        </w:rPr>
        <w:t xml:space="preserve">Хипертоксин продуциращи щамове на </w:t>
      </w:r>
      <w:r w:rsidRPr="00B23BAB">
        <w:rPr>
          <w:rFonts w:eastAsia="Times New Roman" w:cs="Arial"/>
          <w:i/>
          <w:iCs/>
          <w:color w:val="000000"/>
          <w:lang w:eastAsia="bg-BG"/>
        </w:rPr>
        <w:t xml:space="preserve">С. </w:t>
      </w:r>
      <w:proofErr w:type="gramStart"/>
      <w:r w:rsidRPr="00B23BAB">
        <w:rPr>
          <w:rFonts w:eastAsia="Times New Roman" w:cs="Arial"/>
          <w:i/>
          <w:iCs/>
          <w:color w:val="000000"/>
          <w:lang w:val="en-US"/>
        </w:rPr>
        <w:t>difficile</w:t>
      </w:r>
      <w:proofErr w:type="gramEnd"/>
      <w:r w:rsidRPr="00B23BAB">
        <w:rPr>
          <w:rFonts w:eastAsia="Times New Roman" w:cs="Arial"/>
          <w:color w:val="000000"/>
          <w:lang w:val="ru-RU"/>
        </w:rPr>
        <w:t xml:space="preserve"> </w:t>
      </w:r>
      <w:r w:rsidRPr="00B23BAB">
        <w:rPr>
          <w:rFonts w:eastAsia="Times New Roman" w:cs="Arial"/>
          <w:color w:val="000000"/>
          <w:lang w:eastAsia="bg-BG"/>
        </w:rPr>
        <w:t xml:space="preserve">причиняват повишена заболеваемост и смъртност, тъй като тези инфекции може да са резистентни на антимикробна терапия и да изискват колектомия. </w:t>
      </w:r>
      <w:r w:rsidRPr="00B23BAB">
        <w:rPr>
          <w:rFonts w:eastAsia="Times New Roman" w:cs="Arial"/>
          <w:color w:val="000000"/>
          <w:lang w:val="en-US"/>
        </w:rPr>
        <w:t>CDAD</w:t>
      </w:r>
      <w:r w:rsidRPr="00B23BAB">
        <w:rPr>
          <w:rFonts w:eastAsia="Times New Roman" w:cs="Arial"/>
          <w:color w:val="000000"/>
          <w:lang w:val="ru-RU"/>
        </w:rPr>
        <w:t xml:space="preserve"> </w:t>
      </w:r>
      <w:r w:rsidRPr="00B23BAB">
        <w:rPr>
          <w:rFonts w:eastAsia="Times New Roman" w:cs="Arial"/>
          <w:color w:val="000000"/>
          <w:lang w:eastAsia="bg-BG"/>
        </w:rPr>
        <w:t xml:space="preserve">трябва да се има предвид при всички пациенти, които получат диария, по време и след употреба на антибиотик. Необходима е внимателна анамнеза, тъй като </w:t>
      </w:r>
      <w:r w:rsidRPr="00B23BAB">
        <w:rPr>
          <w:rFonts w:eastAsia="Times New Roman" w:cs="Arial"/>
          <w:color w:val="000000"/>
          <w:lang w:val="en-US"/>
        </w:rPr>
        <w:t>CDAD</w:t>
      </w:r>
      <w:r w:rsidRPr="00B23BAB">
        <w:rPr>
          <w:rFonts w:eastAsia="Times New Roman" w:cs="Arial"/>
          <w:color w:val="000000"/>
          <w:lang w:eastAsia="bg-BG"/>
        </w:rPr>
        <w:t xml:space="preserve"> е възниквала и два месеца след приема на антибактериални агенти.</w:t>
      </w:r>
    </w:p>
    <w:p w14:paraId="5B68E08B" w14:textId="26133506" w:rsidR="009D1264" w:rsidRPr="00B23BAB" w:rsidRDefault="009D1264" w:rsidP="009D1264">
      <w:pPr>
        <w:rPr>
          <w:rFonts w:cs="Arial"/>
        </w:rPr>
      </w:pPr>
    </w:p>
    <w:p w14:paraId="2AB678B6"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При пациенти с тежка бъбречна недостатъчност </w:t>
      </w:r>
      <w:r w:rsidRPr="009D1264">
        <w:rPr>
          <w:rFonts w:eastAsia="Times New Roman" w:cs="Arial"/>
          <w:color w:val="000000"/>
          <w:lang w:val="ru-RU"/>
        </w:rPr>
        <w:t>(</w:t>
      </w:r>
      <w:r w:rsidRPr="009D1264">
        <w:rPr>
          <w:rFonts w:eastAsia="Times New Roman" w:cs="Arial"/>
          <w:color w:val="000000"/>
          <w:lang w:val="en-US"/>
        </w:rPr>
        <w:t>GFR</w:t>
      </w:r>
      <w:r w:rsidRPr="009D1264">
        <w:rPr>
          <w:rFonts w:eastAsia="Times New Roman" w:cs="Arial"/>
          <w:color w:val="000000"/>
          <w:lang w:val="ru-RU"/>
        </w:rPr>
        <w:t xml:space="preserve"> </w:t>
      </w:r>
      <w:r w:rsidRPr="009D1264">
        <w:rPr>
          <w:rFonts w:eastAsia="Times New Roman" w:cs="Arial"/>
          <w:color w:val="000000"/>
          <w:lang w:eastAsia="bg-BG"/>
        </w:rPr>
        <w:t xml:space="preserve">&lt;10 </w:t>
      </w:r>
      <w:r w:rsidRPr="009D1264">
        <w:rPr>
          <w:rFonts w:eastAsia="Times New Roman" w:cs="Arial"/>
          <w:color w:val="000000"/>
          <w:lang w:val="en-US"/>
        </w:rPr>
        <w:t>ml</w:t>
      </w:r>
      <w:r w:rsidRPr="009D1264">
        <w:rPr>
          <w:rFonts w:eastAsia="Times New Roman" w:cs="Arial"/>
          <w:color w:val="000000"/>
          <w:lang w:val="ru-RU"/>
        </w:rPr>
        <w:t>/</w:t>
      </w:r>
      <w:r w:rsidRPr="009D1264">
        <w:rPr>
          <w:rFonts w:eastAsia="Times New Roman" w:cs="Arial"/>
          <w:color w:val="000000"/>
          <w:lang w:val="en-US"/>
        </w:rPr>
        <w:t>min</w:t>
      </w:r>
      <w:r w:rsidRPr="009D1264">
        <w:rPr>
          <w:rFonts w:eastAsia="Times New Roman" w:cs="Arial"/>
          <w:color w:val="000000"/>
          <w:lang w:val="ru-RU"/>
        </w:rPr>
        <w:t xml:space="preserve">) </w:t>
      </w:r>
      <w:r w:rsidRPr="009D1264">
        <w:rPr>
          <w:rFonts w:eastAsia="Times New Roman" w:cs="Arial"/>
          <w:color w:val="000000"/>
          <w:lang w:eastAsia="bg-BG"/>
        </w:rPr>
        <w:t>се наблюдава 33% повишение на системното разпределение на азитромицин (вижте точка 5.2).</w:t>
      </w:r>
    </w:p>
    <w:p w14:paraId="3C4D453A" w14:textId="77777777" w:rsidR="009D1264" w:rsidRPr="00B23BAB" w:rsidRDefault="009D1264" w:rsidP="009D1264">
      <w:pPr>
        <w:spacing w:line="240" w:lineRule="auto"/>
        <w:rPr>
          <w:rFonts w:eastAsia="Times New Roman" w:cs="Arial"/>
          <w:color w:val="000000"/>
          <w:lang w:eastAsia="bg-BG"/>
        </w:rPr>
      </w:pPr>
    </w:p>
    <w:p w14:paraId="35419CFC" w14:textId="053779EE"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Наблюдават се удължена реполяризация на сърдечния мускул и </w:t>
      </w:r>
      <w:r w:rsidRPr="009D1264">
        <w:rPr>
          <w:rFonts w:eastAsia="Times New Roman" w:cs="Arial"/>
          <w:color w:val="000000"/>
          <w:lang w:val="en-US"/>
        </w:rPr>
        <w:t>QT</w:t>
      </w:r>
      <w:r w:rsidRPr="009D1264">
        <w:rPr>
          <w:rFonts w:eastAsia="Times New Roman" w:cs="Arial"/>
          <w:color w:val="000000"/>
          <w:lang w:eastAsia="bg-BG"/>
        </w:rPr>
        <w:t xml:space="preserve">-интервал, водещи до риск от настъпване на сърдечна аритмия и </w:t>
      </w:r>
      <w:proofErr w:type="spellStart"/>
      <w:r w:rsidRPr="009D1264">
        <w:rPr>
          <w:rFonts w:eastAsia="Times New Roman" w:cs="Arial"/>
          <w:color w:val="000000"/>
          <w:lang w:val="en-US"/>
        </w:rPr>
        <w:t>torsades</w:t>
      </w:r>
      <w:proofErr w:type="spellEnd"/>
      <w:r w:rsidRPr="009D1264">
        <w:rPr>
          <w:rFonts w:eastAsia="Times New Roman" w:cs="Arial"/>
          <w:color w:val="000000"/>
          <w:lang w:val="ru-RU"/>
        </w:rPr>
        <w:t xml:space="preserve"> </w:t>
      </w:r>
      <w:r w:rsidRPr="009D1264">
        <w:rPr>
          <w:rFonts w:eastAsia="Times New Roman" w:cs="Arial"/>
          <w:color w:val="000000"/>
          <w:lang w:val="en-US"/>
        </w:rPr>
        <w:t>de</w:t>
      </w:r>
      <w:r w:rsidRPr="009D1264">
        <w:rPr>
          <w:rFonts w:eastAsia="Times New Roman" w:cs="Arial"/>
          <w:color w:val="000000"/>
          <w:lang w:val="ru-RU"/>
        </w:rPr>
        <w:t xml:space="preserve"> </w:t>
      </w:r>
      <w:r w:rsidRPr="009D1264">
        <w:rPr>
          <w:rFonts w:eastAsia="Times New Roman" w:cs="Arial"/>
          <w:color w:val="000000"/>
          <w:lang w:val="en-US"/>
        </w:rPr>
        <w:t>pointes</w:t>
      </w:r>
      <w:r w:rsidRPr="009D1264">
        <w:rPr>
          <w:rFonts w:eastAsia="Times New Roman" w:cs="Arial"/>
          <w:color w:val="000000"/>
          <w:lang w:val="ru-RU"/>
        </w:rPr>
        <w:t xml:space="preserve"> </w:t>
      </w:r>
      <w:r w:rsidRPr="009D1264">
        <w:rPr>
          <w:rFonts w:eastAsia="Times New Roman" w:cs="Arial"/>
          <w:color w:val="000000"/>
          <w:lang w:eastAsia="bg-BG"/>
        </w:rPr>
        <w:t xml:space="preserve">при лечение с макролиди, в т.ч. азитромицин (вижте точка 4.8). Поради това, тъй като изброените по-долу случаи могат да доведат да повишаване риска от развитие на камерни аритмии (в т.ч. </w:t>
      </w:r>
      <w:proofErr w:type="spellStart"/>
      <w:proofErr w:type="gramStart"/>
      <w:r w:rsidRPr="009D1264">
        <w:rPr>
          <w:rFonts w:eastAsia="Times New Roman" w:cs="Arial"/>
          <w:color w:val="000000"/>
          <w:lang w:val="en-US"/>
        </w:rPr>
        <w:t>torsades</w:t>
      </w:r>
      <w:proofErr w:type="spellEnd"/>
      <w:proofErr w:type="gramEnd"/>
      <w:r w:rsidRPr="009D1264">
        <w:rPr>
          <w:rFonts w:eastAsia="Times New Roman" w:cs="Arial"/>
          <w:color w:val="000000"/>
          <w:lang w:val="ru-RU"/>
        </w:rPr>
        <w:t xml:space="preserve"> </w:t>
      </w:r>
      <w:r w:rsidRPr="009D1264">
        <w:rPr>
          <w:rFonts w:eastAsia="Times New Roman" w:cs="Arial"/>
          <w:color w:val="000000"/>
          <w:lang w:val="en-US"/>
        </w:rPr>
        <w:t>de</w:t>
      </w:r>
      <w:r w:rsidRPr="009D1264">
        <w:rPr>
          <w:rFonts w:eastAsia="Times New Roman" w:cs="Arial"/>
          <w:color w:val="000000"/>
          <w:lang w:val="ru-RU"/>
        </w:rPr>
        <w:t xml:space="preserve"> </w:t>
      </w:r>
      <w:r w:rsidRPr="009D1264">
        <w:rPr>
          <w:rFonts w:eastAsia="Times New Roman" w:cs="Arial"/>
          <w:color w:val="000000"/>
          <w:lang w:val="en-US"/>
        </w:rPr>
        <w:t>pointes</w:t>
      </w:r>
      <w:r w:rsidRPr="009D1264">
        <w:rPr>
          <w:rFonts w:eastAsia="Times New Roman" w:cs="Arial"/>
          <w:color w:val="000000"/>
          <w:lang w:val="ru-RU"/>
        </w:rPr>
        <w:t xml:space="preserve">), </w:t>
      </w:r>
      <w:r w:rsidRPr="009D1264">
        <w:rPr>
          <w:rFonts w:eastAsia="Times New Roman" w:cs="Arial"/>
          <w:color w:val="000000"/>
          <w:lang w:eastAsia="bg-BG"/>
        </w:rPr>
        <w:t>които могат да причинят сърдечен арест, азитромицин трябва да се прилага с повишено внимание при пациенти с повтарящи се проаритмични клинични състояния (особено при жени и пациенти в старческа възраст), например пациенти:</w:t>
      </w:r>
    </w:p>
    <w:p w14:paraId="3130323C"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с вродено или документирано удължаване на </w:t>
      </w:r>
      <w:r w:rsidRPr="009D1264">
        <w:rPr>
          <w:rFonts w:eastAsia="Times New Roman" w:cs="Arial"/>
          <w:color w:val="000000"/>
          <w:lang w:val="en-US"/>
        </w:rPr>
        <w:t>QT</w:t>
      </w:r>
      <w:r w:rsidRPr="009D1264">
        <w:rPr>
          <w:rFonts w:eastAsia="Times New Roman" w:cs="Arial"/>
          <w:color w:val="000000"/>
          <w:lang w:eastAsia="bg-BG"/>
        </w:rPr>
        <w:t>-интервала.</w:t>
      </w:r>
    </w:p>
    <w:p w14:paraId="2103F49A"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приемащи напоследък лечение с други активни субстанции, за които е известно, че удължават </w:t>
      </w:r>
      <w:r w:rsidRPr="009D1264">
        <w:rPr>
          <w:rFonts w:eastAsia="Times New Roman" w:cs="Arial"/>
          <w:color w:val="000000"/>
          <w:lang w:val="en-US"/>
        </w:rPr>
        <w:t>QT</w:t>
      </w:r>
      <w:r w:rsidRPr="009D1264">
        <w:rPr>
          <w:rFonts w:eastAsia="Times New Roman" w:cs="Arial"/>
          <w:color w:val="000000"/>
          <w:lang w:val="ru-RU"/>
        </w:rPr>
        <w:t xml:space="preserve"> </w:t>
      </w:r>
      <w:r w:rsidRPr="009D1264">
        <w:rPr>
          <w:rFonts w:eastAsia="Times New Roman" w:cs="Arial"/>
          <w:color w:val="000000"/>
          <w:lang w:eastAsia="bg-BG"/>
        </w:rPr>
        <w:t xml:space="preserve">интервала, като антиаритмици от клас </w:t>
      </w:r>
      <w:r w:rsidRPr="009D1264">
        <w:rPr>
          <w:rFonts w:eastAsia="Times New Roman" w:cs="Arial"/>
          <w:color w:val="000000"/>
          <w:lang w:val="en-US"/>
        </w:rPr>
        <w:t>IA</w:t>
      </w:r>
      <w:r w:rsidRPr="009D1264">
        <w:rPr>
          <w:rFonts w:eastAsia="Times New Roman" w:cs="Arial"/>
          <w:color w:val="000000"/>
          <w:lang w:val="ru-RU"/>
        </w:rPr>
        <w:t xml:space="preserve"> </w:t>
      </w:r>
      <w:r w:rsidRPr="009D1264">
        <w:rPr>
          <w:rFonts w:eastAsia="Times New Roman" w:cs="Arial"/>
          <w:color w:val="000000"/>
          <w:lang w:eastAsia="bg-BG"/>
        </w:rPr>
        <w:t>(хинидин и прокаинамид) и клас Ш (дофетилид, амиодарон и соталол), цизаприд и терфенадин, антипсихотици, като пимозид, антидепресанти, като циталопрам, и средства от флуорохинолоновия клас, като моксифлоксацин и левофлоксацин</w:t>
      </w:r>
    </w:p>
    <w:p w14:paraId="2FCB7264"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с електролитни нарушения, особено в случаите на хипокалиемия и хипомагнезиемия с клинично значима брадикардия, аритмия или тежка сърдечна недостатъчност.</w:t>
      </w:r>
    </w:p>
    <w:p w14:paraId="01802953" w14:textId="77777777" w:rsidR="009D1264" w:rsidRPr="00B23BAB" w:rsidRDefault="009D1264" w:rsidP="009D1264">
      <w:pPr>
        <w:spacing w:line="240" w:lineRule="auto"/>
        <w:rPr>
          <w:rFonts w:eastAsia="Times New Roman" w:cs="Arial"/>
          <w:color w:val="000000"/>
          <w:lang w:eastAsia="bg-BG"/>
        </w:rPr>
      </w:pPr>
    </w:p>
    <w:p w14:paraId="2AF033E1" w14:textId="7B658A86" w:rsidR="009D1264" w:rsidRPr="009D1264" w:rsidRDefault="009D1264" w:rsidP="009D1264">
      <w:pPr>
        <w:spacing w:line="240" w:lineRule="auto"/>
        <w:rPr>
          <w:rFonts w:eastAsia="Times New Roman" w:cs="Arial"/>
        </w:rPr>
      </w:pPr>
      <w:r w:rsidRPr="009D1264">
        <w:rPr>
          <w:rFonts w:eastAsia="Times New Roman" w:cs="Arial"/>
          <w:color w:val="000000"/>
          <w:lang w:eastAsia="bg-BG"/>
        </w:rPr>
        <w:t>Съобщава се за влошаване на симптомите на миастения гравис, както и за новопоявил се миастеничен синдром при пациенти, приемали лечение с азитромицин (вижте точка 4.8)</w:t>
      </w:r>
    </w:p>
    <w:p w14:paraId="10DF5FDB" w14:textId="77777777" w:rsidR="009D1264" w:rsidRPr="00B23BAB" w:rsidRDefault="009D1264" w:rsidP="009D1264">
      <w:pPr>
        <w:spacing w:line="240" w:lineRule="auto"/>
        <w:rPr>
          <w:rFonts w:eastAsia="Times New Roman" w:cs="Arial"/>
          <w:color w:val="000000"/>
          <w:lang w:eastAsia="bg-BG"/>
        </w:rPr>
      </w:pPr>
    </w:p>
    <w:p w14:paraId="5C031880" w14:textId="2CBE0555"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Безопасността и ефикасността при профилактика или лечение на </w:t>
      </w:r>
      <w:r w:rsidRPr="009D1264">
        <w:rPr>
          <w:rFonts w:eastAsia="Times New Roman" w:cs="Arial"/>
          <w:i/>
          <w:iCs/>
          <w:color w:val="000000"/>
          <w:lang w:val="en-US"/>
        </w:rPr>
        <w:t>Mycobacterium</w:t>
      </w:r>
      <w:r w:rsidRPr="009D1264">
        <w:rPr>
          <w:rFonts w:eastAsia="Times New Roman" w:cs="Arial"/>
          <w:i/>
          <w:iCs/>
          <w:color w:val="000000"/>
          <w:lang w:val="ru-RU"/>
        </w:rPr>
        <w:t xml:space="preserve"> </w:t>
      </w:r>
      <w:proofErr w:type="spellStart"/>
      <w:r w:rsidRPr="009D1264">
        <w:rPr>
          <w:rFonts w:eastAsia="Times New Roman" w:cs="Arial"/>
          <w:i/>
          <w:iCs/>
          <w:color w:val="000000"/>
          <w:lang w:val="en-US"/>
        </w:rPr>
        <w:t>avium</w:t>
      </w:r>
      <w:proofErr w:type="spellEnd"/>
      <w:r w:rsidRPr="009D1264">
        <w:rPr>
          <w:rFonts w:eastAsia="Times New Roman" w:cs="Arial"/>
          <w:color w:val="000000"/>
          <w:lang w:val="ru-RU"/>
        </w:rPr>
        <w:t xml:space="preserve"> </w:t>
      </w:r>
      <w:r w:rsidRPr="009D1264">
        <w:rPr>
          <w:rFonts w:eastAsia="Times New Roman" w:cs="Arial"/>
          <w:color w:val="000000"/>
          <w:lang w:val="en-US"/>
        </w:rPr>
        <w:t>Complex</w:t>
      </w:r>
      <w:r w:rsidRPr="009D1264">
        <w:rPr>
          <w:rFonts w:eastAsia="Times New Roman" w:cs="Arial"/>
          <w:color w:val="000000"/>
          <w:lang w:val="ru-RU"/>
        </w:rPr>
        <w:t xml:space="preserve"> </w:t>
      </w:r>
      <w:r w:rsidRPr="009D1264">
        <w:rPr>
          <w:rFonts w:eastAsia="Times New Roman" w:cs="Arial"/>
          <w:color w:val="000000"/>
          <w:lang w:eastAsia="bg-BG"/>
        </w:rPr>
        <w:t>при деца не е установена.</w:t>
      </w:r>
    </w:p>
    <w:p w14:paraId="45EFA1F9" w14:textId="77777777" w:rsidR="009D1264" w:rsidRPr="00B23BAB" w:rsidRDefault="009D1264" w:rsidP="009D1264">
      <w:pPr>
        <w:spacing w:line="240" w:lineRule="auto"/>
        <w:rPr>
          <w:rFonts w:eastAsia="Times New Roman" w:cs="Arial"/>
          <w:b/>
          <w:bCs/>
          <w:color w:val="000000"/>
          <w:lang w:eastAsia="bg-BG"/>
        </w:rPr>
      </w:pPr>
    </w:p>
    <w:p w14:paraId="7DCFD790" w14:textId="646D0898" w:rsidR="009D1264" w:rsidRPr="009D1264" w:rsidRDefault="009D1264" w:rsidP="009D1264">
      <w:pPr>
        <w:spacing w:line="240" w:lineRule="auto"/>
        <w:rPr>
          <w:rFonts w:eastAsia="Times New Roman" w:cs="Arial"/>
        </w:rPr>
      </w:pPr>
      <w:r w:rsidRPr="009D1264">
        <w:rPr>
          <w:rFonts w:eastAsia="Times New Roman" w:cs="Arial"/>
          <w:b/>
          <w:bCs/>
          <w:color w:val="000000"/>
          <w:lang w:eastAsia="bg-BG"/>
        </w:rPr>
        <w:t>Следната информация трябва да се има предвцд преди предписване на азитромицин</w:t>
      </w:r>
    </w:p>
    <w:p w14:paraId="5EBB555C" w14:textId="77777777" w:rsidR="009D1264" w:rsidRPr="00B23BAB" w:rsidRDefault="009D1264" w:rsidP="009D1264">
      <w:pPr>
        <w:spacing w:line="240" w:lineRule="auto"/>
        <w:rPr>
          <w:rFonts w:eastAsia="Times New Roman" w:cs="Arial"/>
          <w:color w:val="000000"/>
          <w:lang w:eastAsia="bg-BG"/>
        </w:rPr>
      </w:pPr>
    </w:p>
    <w:p w14:paraId="298DB330" w14:textId="15259B16" w:rsidR="009D1264" w:rsidRPr="009D1264" w:rsidRDefault="009D1264" w:rsidP="009D1264">
      <w:pPr>
        <w:spacing w:line="240" w:lineRule="auto"/>
        <w:rPr>
          <w:rFonts w:eastAsia="Times New Roman" w:cs="Arial"/>
        </w:rPr>
      </w:pPr>
      <w:r w:rsidRPr="009D1264">
        <w:rPr>
          <w:rFonts w:eastAsia="Times New Roman" w:cs="Arial"/>
          <w:color w:val="000000"/>
          <w:lang w:eastAsia="bg-BG"/>
        </w:rPr>
        <w:t>Азитромицин прах за перорална суспензия не е подходящ за лечение на тежки инфекции, при които е необходимо спешно достигане на високи концентрации на антибиотика в кръвта.</w:t>
      </w:r>
    </w:p>
    <w:p w14:paraId="04A9CF0A" w14:textId="77777777" w:rsidR="009D1264" w:rsidRPr="00B23BAB" w:rsidRDefault="009D1264" w:rsidP="009D1264">
      <w:pPr>
        <w:spacing w:line="240" w:lineRule="auto"/>
        <w:rPr>
          <w:rFonts w:eastAsia="Times New Roman" w:cs="Arial"/>
          <w:color w:val="000000"/>
          <w:lang w:eastAsia="bg-BG"/>
        </w:rPr>
      </w:pPr>
    </w:p>
    <w:p w14:paraId="3C20064A" w14:textId="53C6975E" w:rsidR="009D1264" w:rsidRPr="009D1264" w:rsidRDefault="009D1264" w:rsidP="009D1264">
      <w:pPr>
        <w:spacing w:line="240" w:lineRule="auto"/>
        <w:rPr>
          <w:rFonts w:eastAsia="Times New Roman" w:cs="Arial"/>
        </w:rPr>
      </w:pPr>
      <w:r w:rsidRPr="009D1264">
        <w:rPr>
          <w:rFonts w:eastAsia="Times New Roman" w:cs="Arial"/>
          <w:color w:val="000000"/>
          <w:lang w:eastAsia="bg-BG"/>
        </w:rPr>
        <w:t>Азитромицин не е средство на първи избор при емпирично лечение на инфекции в райони, където честотата на резистентните изолати е 10% или повече (виж точка 5.1).</w:t>
      </w:r>
    </w:p>
    <w:p w14:paraId="38EE6926" w14:textId="77777777" w:rsidR="00B23BAB" w:rsidRPr="00B23BAB" w:rsidRDefault="00B23BAB" w:rsidP="009D1264">
      <w:pPr>
        <w:spacing w:line="240" w:lineRule="auto"/>
        <w:rPr>
          <w:rFonts w:eastAsia="Times New Roman" w:cs="Arial"/>
          <w:color w:val="000000"/>
          <w:lang w:eastAsia="bg-BG"/>
        </w:rPr>
      </w:pPr>
    </w:p>
    <w:p w14:paraId="339E1428" w14:textId="5BDFEF5B" w:rsidR="009D1264" w:rsidRPr="009D1264" w:rsidRDefault="009D1264" w:rsidP="009D1264">
      <w:pPr>
        <w:spacing w:line="240" w:lineRule="auto"/>
        <w:rPr>
          <w:rFonts w:eastAsia="Times New Roman" w:cs="Arial"/>
        </w:rPr>
      </w:pPr>
      <w:r w:rsidRPr="009D1264">
        <w:rPr>
          <w:rFonts w:eastAsia="Times New Roman" w:cs="Arial"/>
          <w:color w:val="000000"/>
          <w:lang w:eastAsia="bg-BG"/>
        </w:rPr>
        <w:t>В райони с голяма честота на резистентност към еритромицин А, от особена важност е да се има предвид как се развива модела на чувствителност към азитромицин и другите антибиотици.</w:t>
      </w:r>
    </w:p>
    <w:p w14:paraId="3F397B9D" w14:textId="77777777" w:rsidR="00B23BAB" w:rsidRPr="00B23BAB" w:rsidRDefault="00B23BAB" w:rsidP="009D1264">
      <w:pPr>
        <w:spacing w:line="240" w:lineRule="auto"/>
        <w:rPr>
          <w:rFonts w:eastAsia="Times New Roman" w:cs="Arial"/>
          <w:color w:val="000000"/>
          <w:lang w:eastAsia="bg-BG"/>
        </w:rPr>
      </w:pPr>
    </w:p>
    <w:p w14:paraId="5278231D" w14:textId="2D44B0A5" w:rsidR="009D1264" w:rsidRPr="009D1264" w:rsidRDefault="009D1264" w:rsidP="009D1264">
      <w:pPr>
        <w:spacing w:line="240" w:lineRule="auto"/>
        <w:rPr>
          <w:rFonts w:eastAsia="Times New Roman" w:cs="Arial"/>
        </w:rPr>
      </w:pPr>
      <w:r w:rsidRPr="009D1264">
        <w:rPr>
          <w:rFonts w:eastAsia="Times New Roman" w:cs="Arial"/>
          <w:color w:val="000000"/>
          <w:lang w:eastAsia="bg-BG"/>
        </w:rPr>
        <w:t xml:space="preserve">Както и при останалите макролиди, има съобщения за високи нива на резистентност на </w:t>
      </w:r>
      <w:r w:rsidRPr="009D1264">
        <w:rPr>
          <w:rFonts w:eastAsia="Times New Roman" w:cs="Arial"/>
          <w:i/>
          <w:iCs/>
          <w:color w:val="000000"/>
          <w:lang w:val="en-US"/>
        </w:rPr>
        <w:t>Streptococcus</w:t>
      </w:r>
      <w:r w:rsidRPr="009D1264">
        <w:rPr>
          <w:rFonts w:eastAsia="Times New Roman" w:cs="Arial"/>
          <w:i/>
          <w:iCs/>
          <w:color w:val="000000"/>
          <w:lang w:val="ru-RU"/>
        </w:rPr>
        <w:t xml:space="preserve"> </w:t>
      </w:r>
      <w:proofErr w:type="spellStart"/>
      <w:r w:rsidRPr="009D1264">
        <w:rPr>
          <w:rFonts w:eastAsia="Times New Roman" w:cs="Arial"/>
          <w:i/>
          <w:iCs/>
          <w:color w:val="000000"/>
          <w:lang w:val="en-US"/>
        </w:rPr>
        <w:t>pneumoniae</w:t>
      </w:r>
      <w:proofErr w:type="spellEnd"/>
      <w:r w:rsidRPr="009D1264">
        <w:rPr>
          <w:rFonts w:eastAsia="Times New Roman" w:cs="Arial"/>
          <w:color w:val="000000"/>
          <w:lang w:val="ru-RU"/>
        </w:rPr>
        <w:t xml:space="preserve"> </w:t>
      </w:r>
      <w:r w:rsidRPr="009D1264">
        <w:rPr>
          <w:rFonts w:eastAsia="Times New Roman" w:cs="Arial"/>
          <w:color w:val="000000"/>
          <w:lang w:eastAsia="bg-BG"/>
        </w:rPr>
        <w:t xml:space="preserve">(&gt; 30 %) към азитромицин в някои европейски страни (виж точка 5.1). Това трябва да се вземе под внимание при лечение на инфекции, предизвикани от </w:t>
      </w:r>
      <w:r w:rsidRPr="009D1264">
        <w:rPr>
          <w:rFonts w:eastAsia="Times New Roman" w:cs="Arial"/>
          <w:i/>
          <w:iCs/>
          <w:color w:val="000000"/>
          <w:lang w:val="en-US"/>
        </w:rPr>
        <w:t>Streptococcus</w:t>
      </w:r>
      <w:r w:rsidRPr="009D1264">
        <w:rPr>
          <w:rFonts w:eastAsia="Times New Roman" w:cs="Arial"/>
          <w:i/>
          <w:iCs/>
          <w:color w:val="000000"/>
          <w:lang w:val="ru-RU"/>
        </w:rPr>
        <w:t xml:space="preserve"> </w:t>
      </w:r>
      <w:r w:rsidRPr="009D1264">
        <w:rPr>
          <w:rFonts w:eastAsia="Times New Roman" w:cs="Arial"/>
          <w:i/>
          <w:iCs/>
          <w:color w:val="000000"/>
          <w:lang w:val="en-US"/>
        </w:rPr>
        <w:t>pneumonia</w:t>
      </w:r>
      <w:r w:rsidRPr="009D1264">
        <w:rPr>
          <w:rFonts w:eastAsia="Times New Roman" w:cs="Arial"/>
          <w:i/>
          <w:iCs/>
          <w:color w:val="000000"/>
          <w:lang w:val="ru-RU"/>
        </w:rPr>
        <w:t>.</w:t>
      </w:r>
    </w:p>
    <w:p w14:paraId="368496D3" w14:textId="77777777" w:rsidR="00B23BAB" w:rsidRPr="00B23BAB" w:rsidRDefault="00B23BAB" w:rsidP="009D1264">
      <w:pPr>
        <w:spacing w:line="240" w:lineRule="auto"/>
        <w:rPr>
          <w:rFonts w:eastAsia="Times New Roman" w:cs="Arial"/>
          <w:color w:val="000000"/>
          <w:u w:val="single"/>
          <w:lang w:eastAsia="bg-BG"/>
        </w:rPr>
      </w:pPr>
    </w:p>
    <w:p w14:paraId="65E7EE8B" w14:textId="1B480F6D" w:rsidR="009D1264" w:rsidRPr="009D1264" w:rsidRDefault="009D1264" w:rsidP="009D1264">
      <w:pPr>
        <w:spacing w:line="240" w:lineRule="auto"/>
        <w:rPr>
          <w:rFonts w:eastAsia="Times New Roman" w:cs="Arial"/>
        </w:rPr>
      </w:pPr>
      <w:r w:rsidRPr="009D1264">
        <w:rPr>
          <w:rFonts w:eastAsia="Times New Roman" w:cs="Arial"/>
          <w:color w:val="000000"/>
          <w:u w:val="single"/>
          <w:lang w:eastAsia="bg-BG"/>
        </w:rPr>
        <w:t>Фарингит/тонзилит</w:t>
      </w:r>
    </w:p>
    <w:p w14:paraId="2CD2A9C3" w14:textId="77777777" w:rsidR="00B23BAB" w:rsidRPr="00B23BAB" w:rsidRDefault="009D1264" w:rsidP="009D1264">
      <w:pPr>
        <w:spacing w:line="240" w:lineRule="auto"/>
        <w:rPr>
          <w:rFonts w:eastAsia="Times New Roman" w:cs="Arial"/>
          <w:color w:val="000000"/>
          <w:lang w:eastAsia="bg-BG"/>
        </w:rPr>
      </w:pPr>
      <w:r w:rsidRPr="009D1264">
        <w:rPr>
          <w:rFonts w:eastAsia="Times New Roman" w:cs="Arial"/>
          <w:color w:val="000000"/>
          <w:lang w:eastAsia="bg-BG"/>
        </w:rPr>
        <w:t xml:space="preserve">Азитромицин не е средство на първи избор при лечение на фарингит или тонзилит причинени от </w:t>
      </w:r>
      <w:r w:rsidRPr="009D1264">
        <w:rPr>
          <w:rFonts w:eastAsia="Times New Roman" w:cs="Arial"/>
          <w:i/>
          <w:iCs/>
          <w:color w:val="000000"/>
          <w:lang w:val="en-US"/>
        </w:rPr>
        <w:t>Streptococcus</w:t>
      </w:r>
      <w:r w:rsidRPr="009D1264">
        <w:rPr>
          <w:rFonts w:eastAsia="Times New Roman" w:cs="Arial"/>
          <w:i/>
          <w:iCs/>
          <w:color w:val="000000"/>
          <w:lang w:val="ru-RU"/>
        </w:rPr>
        <w:t xml:space="preserve"> </w:t>
      </w:r>
      <w:proofErr w:type="spellStart"/>
      <w:r w:rsidRPr="009D1264">
        <w:rPr>
          <w:rFonts w:eastAsia="Times New Roman" w:cs="Arial"/>
          <w:i/>
          <w:iCs/>
          <w:color w:val="000000"/>
          <w:lang w:val="en-US"/>
        </w:rPr>
        <w:t>pyogenes</w:t>
      </w:r>
      <w:proofErr w:type="spellEnd"/>
      <w:r w:rsidRPr="009D1264">
        <w:rPr>
          <w:rFonts w:eastAsia="Times New Roman" w:cs="Arial"/>
          <w:i/>
          <w:iCs/>
          <w:color w:val="000000"/>
          <w:lang w:val="ru-RU"/>
        </w:rPr>
        <w:t>.</w:t>
      </w:r>
      <w:r w:rsidRPr="009D1264">
        <w:rPr>
          <w:rFonts w:eastAsia="Times New Roman" w:cs="Arial"/>
          <w:color w:val="000000"/>
          <w:lang w:val="ru-RU"/>
        </w:rPr>
        <w:t xml:space="preserve"> </w:t>
      </w:r>
      <w:r w:rsidRPr="009D1264">
        <w:rPr>
          <w:rFonts w:eastAsia="Times New Roman" w:cs="Arial"/>
          <w:color w:val="000000"/>
          <w:lang w:eastAsia="bg-BG"/>
        </w:rPr>
        <w:t xml:space="preserve">В тези случаи, както и за профилактика на остър ревматизъм, първо </w:t>
      </w:r>
    </w:p>
    <w:p w14:paraId="0DB730A0" w14:textId="179AE868" w:rsidR="009D1264" w:rsidRPr="009D1264" w:rsidRDefault="009D1264" w:rsidP="009D1264">
      <w:pPr>
        <w:spacing w:line="240" w:lineRule="auto"/>
        <w:rPr>
          <w:rFonts w:eastAsia="Times New Roman" w:cs="Arial"/>
        </w:rPr>
      </w:pPr>
      <w:r w:rsidRPr="009D1264">
        <w:rPr>
          <w:rFonts w:eastAsia="Times New Roman" w:cs="Arial"/>
          <w:color w:val="000000"/>
          <w:lang w:eastAsia="bg-BG"/>
        </w:rPr>
        <w:t>средство на избор е пеницилин.</w:t>
      </w:r>
    </w:p>
    <w:p w14:paraId="029595F2" w14:textId="77777777" w:rsidR="00B23BAB" w:rsidRPr="00B23BAB" w:rsidRDefault="00B23BAB" w:rsidP="009D1264">
      <w:pPr>
        <w:spacing w:line="240" w:lineRule="auto"/>
        <w:rPr>
          <w:rFonts w:eastAsia="Times New Roman" w:cs="Arial"/>
          <w:color w:val="000000"/>
          <w:u w:val="single"/>
          <w:lang w:eastAsia="bg-BG"/>
        </w:rPr>
      </w:pPr>
    </w:p>
    <w:p w14:paraId="47D133B4" w14:textId="28C7585C" w:rsidR="009D1264" w:rsidRPr="009D1264" w:rsidRDefault="009D1264" w:rsidP="009D1264">
      <w:pPr>
        <w:spacing w:line="240" w:lineRule="auto"/>
        <w:rPr>
          <w:rFonts w:eastAsia="Times New Roman" w:cs="Arial"/>
        </w:rPr>
      </w:pPr>
      <w:r w:rsidRPr="009D1264">
        <w:rPr>
          <w:rFonts w:eastAsia="Times New Roman" w:cs="Arial"/>
          <w:color w:val="000000"/>
          <w:u w:val="single"/>
          <w:lang w:eastAsia="bg-BG"/>
        </w:rPr>
        <w:t>Синузит</w:t>
      </w:r>
    </w:p>
    <w:p w14:paraId="3FB96877"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Често азитромицин не е средство на първи избор при лечение на синузит.</w:t>
      </w:r>
    </w:p>
    <w:p w14:paraId="61618D3E" w14:textId="77777777" w:rsidR="00B23BAB" w:rsidRPr="00B23BAB" w:rsidRDefault="00B23BAB" w:rsidP="009D1264">
      <w:pPr>
        <w:spacing w:line="240" w:lineRule="auto"/>
        <w:rPr>
          <w:rFonts w:eastAsia="Times New Roman" w:cs="Arial"/>
          <w:color w:val="000000"/>
          <w:u w:val="single"/>
          <w:lang w:eastAsia="bg-BG"/>
        </w:rPr>
      </w:pPr>
    </w:p>
    <w:p w14:paraId="46E98289" w14:textId="3FA61432" w:rsidR="009D1264" w:rsidRPr="009D1264" w:rsidRDefault="009D1264" w:rsidP="009D1264">
      <w:pPr>
        <w:spacing w:line="240" w:lineRule="auto"/>
        <w:rPr>
          <w:rFonts w:eastAsia="Times New Roman" w:cs="Arial"/>
        </w:rPr>
      </w:pPr>
      <w:r w:rsidRPr="009D1264">
        <w:rPr>
          <w:rFonts w:eastAsia="Times New Roman" w:cs="Arial"/>
          <w:color w:val="000000"/>
          <w:u w:val="single"/>
          <w:lang w:eastAsia="bg-BG"/>
        </w:rPr>
        <w:t>Остър среден отит</w:t>
      </w:r>
    </w:p>
    <w:p w14:paraId="07418B6E" w14:textId="77777777" w:rsidR="009D1264" w:rsidRPr="009D1264" w:rsidRDefault="009D1264" w:rsidP="009D1264">
      <w:pPr>
        <w:spacing w:line="240" w:lineRule="auto"/>
        <w:rPr>
          <w:rFonts w:eastAsia="Times New Roman" w:cs="Arial"/>
        </w:rPr>
      </w:pPr>
      <w:r w:rsidRPr="009D1264">
        <w:rPr>
          <w:rFonts w:eastAsia="Times New Roman" w:cs="Arial"/>
          <w:color w:val="000000"/>
          <w:lang w:eastAsia="bg-BG"/>
        </w:rPr>
        <w:t>Често азитромицин не е средство на първи избор при лечение на остър среден отит.</w:t>
      </w:r>
    </w:p>
    <w:p w14:paraId="788E9D46" w14:textId="77777777" w:rsidR="009D1264" w:rsidRPr="009D1264" w:rsidRDefault="009D1264" w:rsidP="009D1264">
      <w:pPr>
        <w:spacing w:line="240" w:lineRule="auto"/>
        <w:rPr>
          <w:rFonts w:eastAsia="Times New Roman" w:cs="Arial"/>
        </w:rPr>
      </w:pPr>
    </w:p>
    <w:p w14:paraId="49E5EEE3" w14:textId="76747483" w:rsidR="009D1264" w:rsidRPr="00B23BAB" w:rsidRDefault="009D1264" w:rsidP="009D1264">
      <w:pPr>
        <w:rPr>
          <w:rFonts w:eastAsia="Times New Roman" w:cs="Arial"/>
          <w:color w:val="000000"/>
          <w:u w:val="single"/>
          <w:lang w:eastAsia="bg-BG"/>
        </w:rPr>
      </w:pPr>
      <w:r w:rsidRPr="00B23BAB">
        <w:rPr>
          <w:rFonts w:eastAsia="Times New Roman" w:cs="Arial"/>
          <w:color w:val="000000"/>
          <w:u w:val="single"/>
          <w:lang w:eastAsia="bg-BG"/>
        </w:rPr>
        <w:t>Инфекции на кожата и меките тъкани</w:t>
      </w:r>
    </w:p>
    <w:p w14:paraId="2FE7C112"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Главният причинител на инфекциите на кожата и меките тъкани, </w:t>
      </w:r>
      <w:r w:rsidRPr="00B23BAB">
        <w:rPr>
          <w:rFonts w:eastAsia="Times New Roman" w:cs="Arial"/>
          <w:i/>
          <w:iCs/>
          <w:color w:val="000000"/>
          <w:lang w:val="en-US"/>
        </w:rPr>
        <w:t>Staphylococcus</w:t>
      </w:r>
      <w:r w:rsidRPr="00B23BAB">
        <w:rPr>
          <w:rFonts w:eastAsia="Times New Roman" w:cs="Arial"/>
          <w:i/>
          <w:iCs/>
          <w:color w:val="000000"/>
          <w:lang w:val="ru-RU"/>
        </w:rPr>
        <w:t xml:space="preserve"> </w:t>
      </w:r>
      <w:r w:rsidRPr="00B23BAB">
        <w:rPr>
          <w:rFonts w:eastAsia="Times New Roman" w:cs="Arial"/>
          <w:i/>
          <w:iCs/>
          <w:color w:val="000000"/>
          <w:lang w:val="en-US"/>
        </w:rPr>
        <w:t>aureus</w:t>
      </w:r>
      <w:r w:rsidRPr="00B23BAB">
        <w:rPr>
          <w:rFonts w:eastAsia="Times New Roman" w:cs="Arial"/>
          <w:i/>
          <w:iCs/>
          <w:color w:val="000000"/>
          <w:lang w:val="ru-RU"/>
        </w:rPr>
        <w:t>,</w:t>
      </w:r>
      <w:r w:rsidRPr="00B23BAB">
        <w:rPr>
          <w:rFonts w:eastAsia="Times New Roman" w:cs="Arial"/>
          <w:color w:val="000000"/>
          <w:lang w:val="ru-RU"/>
        </w:rPr>
        <w:t xml:space="preserve"> </w:t>
      </w:r>
      <w:r w:rsidRPr="00B23BAB">
        <w:rPr>
          <w:rFonts w:eastAsia="Times New Roman" w:cs="Arial"/>
          <w:color w:val="000000"/>
          <w:lang w:eastAsia="bg-BG"/>
        </w:rPr>
        <w:t>често е резистентен към азитромицин. Затова, предварително условие преди започване на лечение с азитромицин, е изготвянето на антибиограма.</w:t>
      </w:r>
    </w:p>
    <w:p w14:paraId="4BA99196" w14:textId="77777777" w:rsidR="00B23BAB" w:rsidRPr="00B23BAB" w:rsidRDefault="00B23BAB" w:rsidP="00B23BAB">
      <w:pPr>
        <w:spacing w:line="240" w:lineRule="auto"/>
        <w:rPr>
          <w:rFonts w:eastAsia="Times New Roman" w:cs="Arial"/>
          <w:color w:val="000000"/>
          <w:u w:val="single"/>
          <w:lang w:eastAsia="bg-BG"/>
        </w:rPr>
      </w:pPr>
    </w:p>
    <w:p w14:paraId="68E69166" w14:textId="097E41A8"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Инфектирани рани от изгаряне</w:t>
      </w:r>
    </w:p>
    <w:p w14:paraId="7064E94B"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Азитромицин не е показан за лечение на инфектирани рани от изгаряне.</w:t>
      </w:r>
    </w:p>
    <w:p w14:paraId="7F45ECA3" w14:textId="77777777" w:rsidR="00B23BAB" w:rsidRPr="00B23BAB" w:rsidRDefault="00B23BAB" w:rsidP="00B23BAB">
      <w:pPr>
        <w:spacing w:line="240" w:lineRule="auto"/>
        <w:rPr>
          <w:rFonts w:eastAsia="Times New Roman" w:cs="Arial"/>
          <w:color w:val="000000"/>
          <w:u w:val="single"/>
          <w:lang w:eastAsia="bg-BG"/>
        </w:rPr>
      </w:pPr>
    </w:p>
    <w:p w14:paraId="6A56CA05" w14:textId="4343133D"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Полово-предавани болести</w:t>
      </w:r>
    </w:p>
    <w:p w14:paraId="1E9111B0"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В случай на полово-предавано заболяване, трябва да се изключи съпътстваща инфекция с </w:t>
      </w:r>
      <w:r w:rsidRPr="00B23BAB">
        <w:rPr>
          <w:rFonts w:eastAsia="Times New Roman" w:cs="Arial"/>
          <w:i/>
          <w:iCs/>
          <w:color w:val="000000"/>
          <w:lang w:eastAsia="bg-BG"/>
        </w:rPr>
        <w:t xml:space="preserve">Т. </w:t>
      </w:r>
      <w:proofErr w:type="gramStart"/>
      <w:r w:rsidRPr="00B23BAB">
        <w:rPr>
          <w:rFonts w:eastAsia="Times New Roman" w:cs="Arial"/>
          <w:i/>
          <w:iCs/>
          <w:color w:val="000000"/>
          <w:lang w:val="en-US"/>
        </w:rPr>
        <w:t>pallidum</w:t>
      </w:r>
      <w:proofErr w:type="gramEnd"/>
      <w:r w:rsidRPr="00B23BAB">
        <w:rPr>
          <w:rFonts w:eastAsia="Times New Roman" w:cs="Arial"/>
          <w:i/>
          <w:iCs/>
          <w:color w:val="000000"/>
          <w:lang w:val="ru-RU"/>
        </w:rPr>
        <w:t>.</w:t>
      </w:r>
    </w:p>
    <w:p w14:paraId="28D48AB9" w14:textId="77777777" w:rsidR="00B23BAB" w:rsidRPr="00B23BAB" w:rsidRDefault="00B23BAB" w:rsidP="00B23BAB">
      <w:pPr>
        <w:spacing w:line="240" w:lineRule="auto"/>
        <w:rPr>
          <w:rFonts w:eastAsia="Times New Roman" w:cs="Arial"/>
          <w:color w:val="000000"/>
          <w:u w:val="single"/>
          <w:lang w:eastAsia="bg-BG"/>
        </w:rPr>
      </w:pPr>
    </w:p>
    <w:p w14:paraId="3E6047AF" w14:textId="3894357B"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Неврологични и психиатрични заболявания</w:t>
      </w:r>
    </w:p>
    <w:p w14:paraId="0EAAC7A3"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Азитромицин трябва да се използва с повишено внимание при пациенти с неврологични или психиатрични заболявания</w:t>
      </w:r>
    </w:p>
    <w:p w14:paraId="6B9D1355" w14:textId="77777777" w:rsidR="00B23BAB" w:rsidRPr="00B23BAB" w:rsidRDefault="00B23BAB" w:rsidP="00B23BAB">
      <w:pPr>
        <w:spacing w:line="240" w:lineRule="auto"/>
        <w:rPr>
          <w:rFonts w:eastAsia="Times New Roman" w:cs="Arial"/>
          <w:color w:val="000000"/>
          <w:lang w:eastAsia="bg-BG"/>
        </w:rPr>
      </w:pPr>
    </w:p>
    <w:p w14:paraId="48B9817F" w14:textId="7CDAA94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Повишено внимание при пациенти с диабет: 5 </w:t>
      </w:r>
      <w:r w:rsidRPr="00B23BAB">
        <w:rPr>
          <w:rFonts w:eastAsia="Times New Roman" w:cs="Arial"/>
          <w:color w:val="000000"/>
          <w:lang w:val="en-US"/>
        </w:rPr>
        <w:t>ml</w:t>
      </w:r>
      <w:r w:rsidRPr="00B23BAB">
        <w:rPr>
          <w:rFonts w:eastAsia="Times New Roman" w:cs="Arial"/>
          <w:color w:val="000000"/>
          <w:lang w:val="ru-RU"/>
        </w:rPr>
        <w:t xml:space="preserve"> </w:t>
      </w:r>
      <w:r w:rsidRPr="00B23BAB">
        <w:rPr>
          <w:rFonts w:eastAsia="Times New Roman" w:cs="Arial"/>
          <w:color w:val="000000"/>
          <w:lang w:eastAsia="bg-BG"/>
        </w:rPr>
        <w:t xml:space="preserve">от реконституираната суспензия съдържа 3,70 </w:t>
      </w:r>
      <w:r w:rsidRPr="00B23BAB">
        <w:rPr>
          <w:rFonts w:eastAsia="Times New Roman" w:cs="Arial"/>
          <w:color w:val="000000"/>
          <w:lang w:val="en-US"/>
        </w:rPr>
        <w:t>g</w:t>
      </w:r>
      <w:r w:rsidRPr="00B23BAB">
        <w:rPr>
          <w:rFonts w:eastAsia="Times New Roman" w:cs="Arial"/>
          <w:color w:val="000000"/>
          <w:lang w:val="ru-RU"/>
        </w:rPr>
        <w:t xml:space="preserve"> </w:t>
      </w:r>
      <w:r w:rsidRPr="00B23BAB">
        <w:rPr>
          <w:rFonts w:eastAsia="Times New Roman" w:cs="Arial"/>
          <w:color w:val="000000"/>
          <w:lang w:eastAsia="bg-BG"/>
        </w:rPr>
        <w:t>захароза.</w:t>
      </w:r>
    </w:p>
    <w:p w14:paraId="66FDD4F2" w14:textId="77777777" w:rsidR="00B23BAB" w:rsidRPr="00B23BAB" w:rsidRDefault="00B23BAB" w:rsidP="00B23BAB">
      <w:pPr>
        <w:spacing w:line="240" w:lineRule="auto"/>
        <w:rPr>
          <w:rFonts w:eastAsia="Times New Roman" w:cs="Arial"/>
          <w:color w:val="000000"/>
          <w:lang w:eastAsia="bg-BG"/>
        </w:rPr>
      </w:pPr>
    </w:p>
    <w:p w14:paraId="0FA9B158" w14:textId="03FB9E8A" w:rsidR="00B23BAB" w:rsidRPr="00B23BAB" w:rsidRDefault="00B23BAB" w:rsidP="00B23BAB">
      <w:pPr>
        <w:spacing w:line="240" w:lineRule="auto"/>
        <w:rPr>
          <w:rFonts w:eastAsia="Times New Roman" w:cs="Arial"/>
        </w:rPr>
      </w:pPr>
      <w:r w:rsidRPr="00B23BAB">
        <w:rPr>
          <w:rFonts w:eastAsia="Times New Roman" w:cs="Arial"/>
          <w:color w:val="000000"/>
          <w:lang w:eastAsia="bg-BG"/>
        </w:rPr>
        <w:t>Пациенти с редки наследствени проблеми, като непоносимост към фруктоза, глюкозо- галактозна малабсорбция или захарозо-изомалтазна недостатъчност не трябва да приемат това лекарство, тъй като то съдържа захароза.</w:t>
      </w:r>
    </w:p>
    <w:p w14:paraId="35CE12E6" w14:textId="77777777" w:rsidR="00B23BAB" w:rsidRPr="00B23BAB" w:rsidRDefault="00B23BAB" w:rsidP="00B23BAB">
      <w:pPr>
        <w:spacing w:line="240" w:lineRule="auto"/>
        <w:rPr>
          <w:rFonts w:eastAsia="Times New Roman" w:cs="Arial"/>
          <w:color w:val="000000"/>
          <w:lang w:eastAsia="bg-BG"/>
        </w:rPr>
      </w:pPr>
    </w:p>
    <w:p w14:paraId="7C052607" w14:textId="32DF2653"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Бинозит 200 </w:t>
      </w:r>
      <w:r w:rsidRPr="00B23BAB">
        <w:rPr>
          <w:rFonts w:eastAsia="Times New Roman" w:cs="Arial"/>
          <w:color w:val="000000"/>
          <w:lang w:val="en-US"/>
        </w:rPr>
        <w:t>mg</w:t>
      </w:r>
      <w:r w:rsidRPr="00B23BAB">
        <w:rPr>
          <w:rFonts w:eastAsia="Times New Roman" w:cs="Arial"/>
          <w:color w:val="000000"/>
          <w:lang w:val="ru-RU"/>
        </w:rPr>
        <w:t xml:space="preserve">/5 </w:t>
      </w:r>
      <w:r w:rsidRPr="00B23BAB">
        <w:rPr>
          <w:rFonts w:eastAsia="Times New Roman" w:cs="Arial"/>
          <w:color w:val="000000"/>
          <w:lang w:val="en-US"/>
        </w:rPr>
        <w:t>ml</w:t>
      </w:r>
      <w:r w:rsidRPr="00B23BAB">
        <w:rPr>
          <w:rFonts w:eastAsia="Times New Roman" w:cs="Arial"/>
          <w:color w:val="000000"/>
          <w:lang w:val="ru-RU"/>
        </w:rPr>
        <w:t xml:space="preserve"> </w:t>
      </w:r>
      <w:r w:rsidRPr="00B23BAB">
        <w:rPr>
          <w:rFonts w:eastAsia="Times New Roman" w:cs="Arial"/>
          <w:color w:val="000000"/>
          <w:lang w:eastAsia="bg-BG"/>
        </w:rPr>
        <w:t>съдържа аспартам, източник на фенилаланин. Не са налични нито неклинични, нито клинични данни, които да дадат оценка за употребата на аспартам при новородени на възраст под 12 седмици.</w:t>
      </w:r>
    </w:p>
    <w:p w14:paraId="4E29C8BD" w14:textId="77777777" w:rsidR="00B23BAB" w:rsidRPr="00B23BAB" w:rsidRDefault="00B23BAB" w:rsidP="00B23BAB">
      <w:pPr>
        <w:spacing w:line="240" w:lineRule="auto"/>
        <w:rPr>
          <w:rFonts w:eastAsia="Times New Roman" w:cs="Arial"/>
          <w:color w:val="000000"/>
          <w:lang w:eastAsia="bg-BG"/>
        </w:rPr>
      </w:pPr>
    </w:p>
    <w:p w14:paraId="6C90C90F" w14:textId="3DB7C5BD"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Бинозит 200 </w:t>
      </w:r>
      <w:r w:rsidRPr="00B23BAB">
        <w:rPr>
          <w:rFonts w:eastAsia="Times New Roman" w:cs="Arial"/>
          <w:color w:val="000000"/>
          <w:lang w:val="en-US"/>
        </w:rPr>
        <w:t>mg</w:t>
      </w:r>
      <w:r w:rsidRPr="00B23BAB">
        <w:rPr>
          <w:rFonts w:eastAsia="Times New Roman" w:cs="Arial"/>
          <w:color w:val="000000"/>
          <w:lang w:val="ru-RU"/>
        </w:rPr>
        <w:t xml:space="preserve">/5 </w:t>
      </w:r>
      <w:r w:rsidRPr="00B23BAB">
        <w:rPr>
          <w:rFonts w:eastAsia="Times New Roman" w:cs="Arial"/>
          <w:color w:val="000000"/>
          <w:lang w:val="en-US"/>
        </w:rPr>
        <w:t>ml</w:t>
      </w:r>
      <w:r w:rsidRPr="00B23BAB">
        <w:rPr>
          <w:rFonts w:eastAsia="Times New Roman" w:cs="Arial"/>
          <w:color w:val="000000"/>
          <w:lang w:val="ru-RU"/>
        </w:rPr>
        <w:t xml:space="preserve"> </w:t>
      </w:r>
      <w:r w:rsidRPr="00B23BAB">
        <w:rPr>
          <w:rFonts w:eastAsia="Times New Roman" w:cs="Arial"/>
          <w:color w:val="000000"/>
          <w:lang w:eastAsia="bg-BG"/>
        </w:rPr>
        <w:t xml:space="preserve">съдържа по-малко от 1 </w:t>
      </w:r>
      <w:proofErr w:type="spellStart"/>
      <w:r w:rsidRPr="00B23BAB">
        <w:rPr>
          <w:rFonts w:eastAsia="Times New Roman" w:cs="Arial"/>
          <w:color w:val="000000"/>
          <w:lang w:val="en-US"/>
        </w:rPr>
        <w:t>mmol</w:t>
      </w:r>
      <w:proofErr w:type="spellEnd"/>
      <w:r w:rsidRPr="00B23BAB">
        <w:rPr>
          <w:rFonts w:eastAsia="Times New Roman" w:cs="Arial"/>
          <w:color w:val="000000"/>
          <w:lang w:val="ru-RU"/>
        </w:rPr>
        <w:t xml:space="preserve"> </w:t>
      </w:r>
      <w:r w:rsidRPr="00B23BAB">
        <w:rPr>
          <w:rFonts w:eastAsia="Times New Roman" w:cs="Arial"/>
          <w:color w:val="000000"/>
          <w:lang w:eastAsia="bg-BG"/>
        </w:rPr>
        <w:t xml:space="preserve">натрий (23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на доза, което може да се нарече „без съдържание на натрий“.</w:t>
      </w:r>
    </w:p>
    <w:p w14:paraId="6CA6C27E" w14:textId="77777777" w:rsidR="00B23BAB" w:rsidRPr="009D1264" w:rsidRDefault="00B23BAB" w:rsidP="009D1264"/>
    <w:p w14:paraId="1244F76A" w14:textId="60068B5F" w:rsidR="00395555" w:rsidRDefault="002C50EE" w:rsidP="008A6AF2">
      <w:pPr>
        <w:pStyle w:val="Heading2"/>
      </w:pPr>
      <w:r>
        <w:t>4.5. Взаимодействие с други лекарствени продукти и други форми на взаимодействие</w:t>
      </w:r>
    </w:p>
    <w:p w14:paraId="761D9798" w14:textId="684DAB7C" w:rsidR="00B23BAB" w:rsidRDefault="00B23BAB" w:rsidP="00B23BAB"/>
    <w:p w14:paraId="48DEC461" w14:textId="77777777" w:rsidR="00B23BAB" w:rsidRPr="00B23BAB" w:rsidRDefault="00B23BAB" w:rsidP="00B23BAB">
      <w:pPr>
        <w:spacing w:line="240" w:lineRule="auto"/>
        <w:rPr>
          <w:rFonts w:eastAsia="Times New Roman" w:cs="Arial"/>
        </w:rPr>
      </w:pPr>
      <w:r w:rsidRPr="00B23BAB">
        <w:rPr>
          <w:rFonts w:eastAsia="Times New Roman" w:cs="Arial"/>
          <w:b/>
          <w:bCs/>
          <w:color w:val="000000"/>
          <w:u w:val="single"/>
          <w:lang w:eastAsia="bg-BG"/>
        </w:rPr>
        <w:t>Антиапипи</w:t>
      </w:r>
    </w:p>
    <w:p w14:paraId="25209654"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Във фармакокинетично проучване на ефекта от едновременното приложение на антиациди и азитромицин не се наблюдава повлияване на общата бионаличност, въпреки че максималната серумна концентрация намалява с около 25 Лекарствата не трябва да се приемат едновременно от пациентите, лекувани с азитромицин и антиациди.</w:t>
      </w:r>
    </w:p>
    <w:p w14:paraId="16F32836" w14:textId="77777777" w:rsidR="00B23BAB" w:rsidRPr="00B23BAB" w:rsidRDefault="00B23BAB" w:rsidP="00B23BAB">
      <w:pPr>
        <w:spacing w:line="240" w:lineRule="auto"/>
        <w:rPr>
          <w:rFonts w:eastAsia="Times New Roman" w:cs="Arial"/>
          <w:color w:val="000000"/>
          <w:u w:val="single"/>
          <w:lang w:eastAsia="bg-BG"/>
        </w:rPr>
      </w:pPr>
    </w:p>
    <w:p w14:paraId="6E33ED3A" w14:textId="5A58AD09"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Цетиризин</w:t>
      </w:r>
    </w:p>
    <w:p w14:paraId="5920CCAB"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При здрави доброволци едновременното приложение на 5-дневна схема с азитромицин и цетиризин 20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не води до фармакокинетични взаимодействия в равновесно състояние и значителни промени в </w:t>
      </w:r>
      <w:r w:rsidRPr="00B23BAB">
        <w:rPr>
          <w:rFonts w:eastAsia="Times New Roman" w:cs="Arial"/>
          <w:color w:val="000000"/>
          <w:lang w:val="en-US"/>
        </w:rPr>
        <w:t>QT</w:t>
      </w:r>
      <w:r w:rsidRPr="00B23BAB">
        <w:rPr>
          <w:rFonts w:eastAsia="Times New Roman" w:cs="Arial"/>
          <w:color w:val="000000"/>
          <w:lang w:val="ru-RU"/>
        </w:rPr>
        <w:t xml:space="preserve"> </w:t>
      </w:r>
      <w:r w:rsidRPr="00B23BAB">
        <w:rPr>
          <w:rFonts w:eastAsia="Times New Roman" w:cs="Arial"/>
          <w:color w:val="000000"/>
          <w:lang w:eastAsia="bg-BG"/>
        </w:rPr>
        <w:t>интервала.</w:t>
      </w:r>
    </w:p>
    <w:p w14:paraId="06B8AB43" w14:textId="095A4F5A" w:rsidR="00B23BAB" w:rsidRPr="00B23BAB" w:rsidRDefault="00B23BAB" w:rsidP="00B23BAB">
      <w:pPr>
        <w:rPr>
          <w:rFonts w:cs="Arial"/>
        </w:rPr>
      </w:pPr>
    </w:p>
    <w:p w14:paraId="1273BAAD" w14:textId="77777777"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Диданозин (Дидеоксиинозин)</w:t>
      </w:r>
    </w:p>
    <w:p w14:paraId="7CCD425B"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Едновременното приложение на 1200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дневно азитромицин с 400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дневно диданозин при 6 </w:t>
      </w:r>
      <w:r w:rsidRPr="00B23BAB">
        <w:rPr>
          <w:rFonts w:eastAsia="Times New Roman" w:cs="Arial"/>
          <w:color w:val="000000"/>
          <w:lang w:val="en-US"/>
        </w:rPr>
        <w:t>HIV</w:t>
      </w:r>
      <w:r w:rsidRPr="00B23BAB">
        <w:rPr>
          <w:rFonts w:eastAsia="Times New Roman" w:cs="Arial"/>
          <w:color w:val="000000"/>
          <w:lang w:val="ru-RU"/>
        </w:rPr>
        <w:t xml:space="preserve"> </w:t>
      </w:r>
      <w:r w:rsidRPr="00B23BAB">
        <w:rPr>
          <w:rFonts w:eastAsia="Times New Roman" w:cs="Arial"/>
          <w:color w:val="000000"/>
          <w:lang w:eastAsia="bg-BG"/>
        </w:rPr>
        <w:t>позитивни пациенти не повлиява равновесната фармакокинетика на диданозин в сравнение с плацебо.</w:t>
      </w:r>
    </w:p>
    <w:p w14:paraId="2DCC29AE" w14:textId="77777777" w:rsidR="00B23BAB" w:rsidRPr="00B23BAB" w:rsidRDefault="00B23BAB" w:rsidP="00B23BAB">
      <w:pPr>
        <w:spacing w:line="240" w:lineRule="auto"/>
        <w:rPr>
          <w:rFonts w:eastAsia="Times New Roman" w:cs="Arial"/>
          <w:color w:val="000000"/>
          <w:u w:val="single"/>
          <w:lang w:eastAsia="bg-BG"/>
        </w:rPr>
      </w:pPr>
    </w:p>
    <w:p w14:paraId="69779025" w14:textId="46185044"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Дигоксин (субстрати на Р-гликопротеин)</w:t>
      </w:r>
    </w:p>
    <w:p w14:paraId="2AE1DBA5"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Има съобщения, че едновременното приложение на макролидни антибиотици, в т.ч. азитромицин, със субстрати на Р-гликопротеин, напр. дигоксин, повишават нивата в серума на субстрата на Р-гликопротеин. Поради това, ако азитромицин и субстрати на Р-гликопротеин, като дигоксин, се прилагат едновременно, трябва да се има предвид възможността за повишаване на серумните концентрации на субстрата.</w:t>
      </w:r>
    </w:p>
    <w:p w14:paraId="02F290EE" w14:textId="77777777" w:rsidR="00B23BAB" w:rsidRPr="00B23BAB" w:rsidRDefault="00B23BAB" w:rsidP="00B23BAB">
      <w:pPr>
        <w:spacing w:line="240" w:lineRule="auto"/>
        <w:rPr>
          <w:rFonts w:eastAsia="Times New Roman" w:cs="Arial"/>
          <w:color w:val="000000"/>
          <w:u w:val="single"/>
          <w:lang w:eastAsia="bg-BG"/>
        </w:rPr>
      </w:pPr>
    </w:p>
    <w:p w14:paraId="35B41A9D" w14:textId="0C67BE0C"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Зидовудин</w:t>
      </w:r>
    </w:p>
    <w:p w14:paraId="596DD26C"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Еднократни дози от 1000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азитромицин и многократни дози от 1200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или 600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азитромицин нямат ефект върху плазмената фармакокинетика или бъбречната екскреция на зидовудин или неговите глкжуронирани метаболити. При приложението на азитромицин, обаче, концентрацията на фосфорилирания зидовудин, който е клинично активния метаболит, се повишава в периферните кръвни мононуклеарни клетки. Клиничната значимост на тази находка все още е неясна, но вероятно може да бъде преимущество за пациентите.</w:t>
      </w:r>
    </w:p>
    <w:p w14:paraId="7C6DD7B7" w14:textId="77777777" w:rsidR="00B23BAB" w:rsidRPr="00B23BAB" w:rsidRDefault="00B23BAB" w:rsidP="00B23BAB">
      <w:pPr>
        <w:spacing w:line="240" w:lineRule="auto"/>
        <w:rPr>
          <w:rFonts w:eastAsia="Times New Roman" w:cs="Arial"/>
          <w:color w:val="000000"/>
          <w:lang w:eastAsia="bg-BG"/>
        </w:rPr>
      </w:pPr>
    </w:p>
    <w:p w14:paraId="652E6DD2" w14:textId="2EAEA146" w:rsidR="00B23BAB" w:rsidRPr="00B23BAB" w:rsidRDefault="00B23BAB" w:rsidP="00B23BAB">
      <w:pPr>
        <w:spacing w:line="240" w:lineRule="auto"/>
        <w:rPr>
          <w:rFonts w:eastAsia="Times New Roman" w:cs="Arial"/>
        </w:rPr>
      </w:pPr>
      <w:r w:rsidRPr="00B23BAB">
        <w:rPr>
          <w:rFonts w:eastAsia="Times New Roman" w:cs="Arial"/>
          <w:color w:val="000000"/>
          <w:lang w:eastAsia="bg-BG"/>
        </w:rPr>
        <w:t>Азитромицин незначително взаимодейства с чернодробната система на цитохром Р450. Не се очакват фармакокинетични лекарствени взаимодействия както е при еритромицин и другите макролиди. Няма индуциране на чернодробния цитохром Р450, нито инактивиране чрез цитохром-метаболит комплекс, при употреба на азитромицин.</w:t>
      </w:r>
    </w:p>
    <w:p w14:paraId="2A5BA765" w14:textId="77777777" w:rsidR="00B23BAB" w:rsidRPr="00B23BAB" w:rsidRDefault="00B23BAB" w:rsidP="00B23BAB">
      <w:pPr>
        <w:spacing w:line="240" w:lineRule="auto"/>
        <w:rPr>
          <w:rFonts w:eastAsia="Times New Roman" w:cs="Arial"/>
          <w:color w:val="000000"/>
          <w:u w:val="single"/>
          <w:lang w:eastAsia="bg-BG"/>
        </w:rPr>
      </w:pPr>
    </w:p>
    <w:p w14:paraId="41380368" w14:textId="1CF97DCB"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Ерготамин:</w:t>
      </w:r>
    </w:p>
    <w:p w14:paraId="1CE778C3"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Тъй като е налице теоретична възможност за ерготизъм, азитромицин не трябва да се комбинира с ерготаминови производни (вижте точка 4.4).</w:t>
      </w:r>
    </w:p>
    <w:p w14:paraId="1D37A925" w14:textId="77777777" w:rsidR="00B23BAB" w:rsidRPr="00B23BAB" w:rsidRDefault="00B23BAB" w:rsidP="00B23BAB">
      <w:pPr>
        <w:spacing w:line="240" w:lineRule="auto"/>
        <w:rPr>
          <w:rFonts w:eastAsia="Times New Roman" w:cs="Arial"/>
          <w:i/>
          <w:iCs/>
          <w:color w:val="000000"/>
          <w:lang w:eastAsia="bg-BG"/>
        </w:rPr>
      </w:pPr>
    </w:p>
    <w:p w14:paraId="77108B5B" w14:textId="19318E95" w:rsidR="00B23BAB" w:rsidRPr="00B23BAB" w:rsidRDefault="00B23BAB" w:rsidP="00B23BAB">
      <w:pPr>
        <w:spacing w:line="240" w:lineRule="auto"/>
        <w:rPr>
          <w:rFonts w:eastAsia="Times New Roman" w:cs="Arial"/>
        </w:rPr>
      </w:pPr>
      <w:r w:rsidRPr="00B23BAB">
        <w:rPr>
          <w:rFonts w:eastAsia="Times New Roman" w:cs="Arial"/>
          <w:i/>
          <w:iCs/>
          <w:color w:val="000000"/>
          <w:lang w:eastAsia="bg-BG"/>
        </w:rPr>
        <w:lastRenderedPageBreak/>
        <w:t>Проведени са фармакокинетични проучвания между азитромицин и следните лекарства, за които се знае, че търпят значителен метаболизъм посредством цитохром Р450.</w:t>
      </w:r>
    </w:p>
    <w:p w14:paraId="49DB6DBC" w14:textId="77777777" w:rsidR="00B23BAB" w:rsidRPr="00B23BAB" w:rsidRDefault="00B23BAB" w:rsidP="00B23BAB">
      <w:pPr>
        <w:spacing w:line="240" w:lineRule="auto"/>
        <w:rPr>
          <w:rFonts w:eastAsia="Times New Roman" w:cs="Arial"/>
          <w:color w:val="000000"/>
          <w:u w:val="single"/>
          <w:lang w:eastAsia="bg-BG"/>
        </w:rPr>
      </w:pPr>
    </w:p>
    <w:p w14:paraId="50BF1CF1" w14:textId="7B60C110"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 xml:space="preserve">Ерготаминови </w:t>
      </w:r>
      <w:r w:rsidRPr="00B23BAB">
        <w:rPr>
          <w:rFonts w:eastAsia="Times New Roman" w:cs="Arial"/>
          <w:smallCaps/>
          <w:color w:val="000000"/>
          <w:u w:val="single"/>
          <w:lang w:eastAsia="bg-BG"/>
        </w:rPr>
        <w:t>производни</w:t>
      </w:r>
      <w:r w:rsidRPr="00B23BAB">
        <w:rPr>
          <w:rFonts w:eastAsia="Times New Roman" w:cs="Arial"/>
          <w:smallCaps/>
          <w:color w:val="000000"/>
          <w:lang w:eastAsia="bg-BG"/>
        </w:rPr>
        <w:t>:</w:t>
      </w:r>
    </w:p>
    <w:p w14:paraId="4EC61F31"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Тъй като е налице теоретична възможност за ерготизъм, едновременната употреба на азитромицин с ерготаминови производни не се препоръчва (вижте точка 4.4).</w:t>
      </w:r>
    </w:p>
    <w:p w14:paraId="60C9C5EF" w14:textId="77777777" w:rsidR="00B23BAB" w:rsidRPr="00B23BAB" w:rsidRDefault="00B23BAB" w:rsidP="00B23BAB">
      <w:pPr>
        <w:spacing w:line="240" w:lineRule="auto"/>
        <w:rPr>
          <w:rFonts w:eastAsia="Times New Roman" w:cs="Arial"/>
          <w:color w:val="000000"/>
          <w:u w:val="single"/>
          <w:lang w:eastAsia="bg-BG"/>
        </w:rPr>
      </w:pPr>
    </w:p>
    <w:p w14:paraId="21A78C3F" w14:textId="020DA6EF"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Астемизол, алфентанил</w:t>
      </w:r>
    </w:p>
    <w:p w14:paraId="33BC0083"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Няма налична информация относно взаимодействието с астемизол или алфентанил.</w:t>
      </w:r>
    </w:p>
    <w:p w14:paraId="4E6C8133"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Препоръчва се повишено внимание при едновременното приложение на тези лекарства с азитромицин, поради познатия им усилващ ефект при едновременно приложение с макролидния антибиотик еритромицин.</w:t>
      </w:r>
    </w:p>
    <w:p w14:paraId="299E5B60" w14:textId="77777777" w:rsidR="00B23BAB" w:rsidRPr="00B23BAB" w:rsidRDefault="00B23BAB" w:rsidP="00B23BAB">
      <w:pPr>
        <w:spacing w:line="240" w:lineRule="auto"/>
        <w:rPr>
          <w:rFonts w:eastAsia="Times New Roman" w:cs="Arial"/>
          <w:color w:val="000000"/>
          <w:u w:val="single"/>
          <w:lang w:eastAsia="bg-BG"/>
        </w:rPr>
      </w:pPr>
    </w:p>
    <w:p w14:paraId="33A552AD" w14:textId="37BB5AFD"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Аторвастатин:</w:t>
      </w:r>
    </w:p>
    <w:p w14:paraId="686185D2"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Едновременното приложение на аторвастатин (10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дневно) и азитромицин (500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дневно) не променя плазмените концентрации на аторвастатин (въз основа на оценка на инхибирането на </w:t>
      </w:r>
      <w:r w:rsidRPr="00B23BAB">
        <w:rPr>
          <w:rFonts w:eastAsia="Times New Roman" w:cs="Arial"/>
          <w:color w:val="000000"/>
          <w:lang w:val="en-US"/>
        </w:rPr>
        <w:t>HMG</w:t>
      </w:r>
      <w:r w:rsidRPr="00B23BAB">
        <w:rPr>
          <w:rFonts w:eastAsia="Times New Roman" w:cs="Arial"/>
          <w:color w:val="000000"/>
          <w:lang w:val="ru-RU"/>
        </w:rPr>
        <w:t xml:space="preserve"> </w:t>
      </w:r>
      <w:r w:rsidRPr="00B23BAB">
        <w:rPr>
          <w:rFonts w:eastAsia="Times New Roman" w:cs="Arial"/>
          <w:color w:val="000000"/>
          <w:lang w:eastAsia="bg-BG"/>
        </w:rPr>
        <w:t>СоА редуктазата). Въпреки това, има постмаркетингови съобщения за случаи на рабдомиолиза при пациенти, приемащи азитромицин със статини.</w:t>
      </w:r>
    </w:p>
    <w:p w14:paraId="799C271B" w14:textId="77777777" w:rsidR="00B23BAB" w:rsidRPr="00B23BAB" w:rsidRDefault="00B23BAB" w:rsidP="00B23BAB">
      <w:pPr>
        <w:spacing w:line="240" w:lineRule="auto"/>
        <w:rPr>
          <w:rFonts w:eastAsia="Times New Roman" w:cs="Arial"/>
          <w:color w:val="000000"/>
          <w:u w:val="single"/>
          <w:lang w:eastAsia="bg-BG"/>
        </w:rPr>
      </w:pPr>
    </w:p>
    <w:p w14:paraId="0057B45E" w14:textId="3B2445F2"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Карбамазепин:</w:t>
      </w:r>
    </w:p>
    <w:p w14:paraId="3FAF1CEA"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В проучване на фармакокинетичните взаимодействия при здрави доброволци не се наблюдава значим ефект върху плазмените нива на карбамазепин или неговия активен метаболит при групи, приемащи по същото време и азитромицин.</w:t>
      </w:r>
    </w:p>
    <w:p w14:paraId="56EA8E8F" w14:textId="77777777" w:rsidR="00B23BAB" w:rsidRPr="00B23BAB" w:rsidRDefault="00B23BAB" w:rsidP="00B23BAB">
      <w:pPr>
        <w:rPr>
          <w:rFonts w:eastAsia="Times New Roman" w:cs="Arial"/>
          <w:color w:val="000000"/>
          <w:u w:val="single"/>
          <w:lang w:eastAsia="bg-BG"/>
        </w:rPr>
      </w:pPr>
    </w:p>
    <w:p w14:paraId="68A2D7DB" w14:textId="7F6BF8C2" w:rsidR="00B23BAB" w:rsidRPr="00B23BAB" w:rsidRDefault="00B23BAB" w:rsidP="00B23BAB">
      <w:pPr>
        <w:rPr>
          <w:rFonts w:eastAsia="Times New Roman" w:cs="Arial"/>
          <w:color w:val="000000"/>
          <w:u w:val="single"/>
          <w:lang w:eastAsia="bg-BG"/>
        </w:rPr>
      </w:pPr>
      <w:r w:rsidRPr="00B23BAB">
        <w:rPr>
          <w:rFonts w:eastAsia="Times New Roman" w:cs="Arial"/>
          <w:color w:val="000000"/>
          <w:u w:val="single"/>
          <w:lang w:eastAsia="bg-BG"/>
        </w:rPr>
        <w:t>Пизаприд:</w:t>
      </w:r>
    </w:p>
    <w:p w14:paraId="4D23047E"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Цизаприд се метаболизира в черния дроб от ензима </w:t>
      </w:r>
      <w:r w:rsidRPr="00B23BAB">
        <w:rPr>
          <w:rFonts w:eastAsia="Times New Roman" w:cs="Arial"/>
          <w:color w:val="000000"/>
          <w:lang w:val="en-US"/>
        </w:rPr>
        <w:t>CYP</w:t>
      </w:r>
      <w:r w:rsidRPr="00B23BAB">
        <w:rPr>
          <w:rFonts w:eastAsia="Times New Roman" w:cs="Arial"/>
          <w:color w:val="000000"/>
          <w:lang w:val="ru-RU"/>
        </w:rPr>
        <w:t xml:space="preserve"> </w:t>
      </w:r>
      <w:r w:rsidRPr="00B23BAB">
        <w:rPr>
          <w:rFonts w:eastAsia="Times New Roman" w:cs="Arial"/>
          <w:color w:val="000000"/>
          <w:lang w:eastAsia="bg-BG"/>
        </w:rPr>
        <w:t xml:space="preserve">ЗА4. Тъй като, макролидите инхибират този ензим, едновременното им приложение с цизаприд може да доведе до удължаване на </w:t>
      </w:r>
      <w:r w:rsidRPr="00B23BAB">
        <w:rPr>
          <w:rFonts w:eastAsia="Times New Roman" w:cs="Arial"/>
          <w:color w:val="000000"/>
          <w:lang w:val="en-US"/>
        </w:rPr>
        <w:t>QT</w:t>
      </w:r>
      <w:r w:rsidRPr="00B23BAB">
        <w:rPr>
          <w:rFonts w:eastAsia="Times New Roman" w:cs="Arial"/>
          <w:color w:val="000000"/>
          <w:lang w:val="ru-RU"/>
        </w:rPr>
        <w:t xml:space="preserve"> </w:t>
      </w:r>
      <w:r w:rsidRPr="00B23BAB">
        <w:rPr>
          <w:rFonts w:eastAsia="Times New Roman" w:cs="Arial"/>
          <w:color w:val="000000"/>
          <w:lang w:eastAsia="bg-BG"/>
        </w:rPr>
        <w:t xml:space="preserve">интервала, камерни аритмии и </w:t>
      </w:r>
      <w:proofErr w:type="spellStart"/>
      <w:r w:rsidRPr="00B23BAB">
        <w:rPr>
          <w:rFonts w:eastAsia="Times New Roman" w:cs="Arial"/>
          <w:i/>
          <w:iCs/>
          <w:color w:val="000000"/>
          <w:lang w:val="en-US"/>
        </w:rPr>
        <w:t>torsades</w:t>
      </w:r>
      <w:proofErr w:type="spellEnd"/>
      <w:r w:rsidRPr="00B23BAB">
        <w:rPr>
          <w:rFonts w:eastAsia="Times New Roman" w:cs="Arial"/>
          <w:i/>
          <w:iCs/>
          <w:color w:val="000000"/>
          <w:lang w:val="ru-RU"/>
        </w:rPr>
        <w:t xml:space="preserve"> </w:t>
      </w:r>
      <w:r w:rsidRPr="00B23BAB">
        <w:rPr>
          <w:rFonts w:eastAsia="Times New Roman" w:cs="Arial"/>
          <w:i/>
          <w:iCs/>
          <w:color w:val="000000"/>
          <w:lang w:val="en-US"/>
        </w:rPr>
        <w:t>de</w:t>
      </w:r>
      <w:r w:rsidRPr="00B23BAB">
        <w:rPr>
          <w:rFonts w:eastAsia="Times New Roman" w:cs="Arial"/>
          <w:i/>
          <w:iCs/>
          <w:color w:val="000000"/>
          <w:lang w:val="ru-RU"/>
        </w:rPr>
        <w:t xml:space="preserve"> </w:t>
      </w:r>
      <w:r w:rsidRPr="00B23BAB">
        <w:rPr>
          <w:rFonts w:eastAsia="Times New Roman" w:cs="Arial"/>
          <w:i/>
          <w:iCs/>
          <w:color w:val="000000"/>
          <w:lang w:val="en-US"/>
        </w:rPr>
        <w:t>pointes</w:t>
      </w:r>
      <w:r w:rsidRPr="00B23BAB">
        <w:rPr>
          <w:rFonts w:eastAsia="Times New Roman" w:cs="Arial"/>
          <w:i/>
          <w:iCs/>
          <w:color w:val="000000"/>
          <w:lang w:val="ru-RU"/>
        </w:rPr>
        <w:t>.</w:t>
      </w:r>
    </w:p>
    <w:p w14:paraId="364C895E" w14:textId="77777777" w:rsidR="00B23BAB" w:rsidRPr="00B23BAB" w:rsidRDefault="00B23BAB" w:rsidP="00B23BAB">
      <w:pPr>
        <w:spacing w:line="240" w:lineRule="auto"/>
        <w:rPr>
          <w:rFonts w:eastAsia="Times New Roman" w:cs="Arial"/>
          <w:color w:val="000000"/>
          <w:u w:val="single"/>
          <w:lang w:eastAsia="bg-BG"/>
        </w:rPr>
      </w:pPr>
    </w:p>
    <w:p w14:paraId="53703EE6" w14:textId="5DD4584E"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Циметидин</w:t>
      </w:r>
    </w:p>
    <w:p w14:paraId="1429D154"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При фармакокинетично проучване еднократна доза циметидин, приложена 2 часа преди азитромицин, няма ефект върху фармакокинетиката на азитромицин. Не се наблюдва промяна на фармакокинетиката на азитромицин.</w:t>
      </w:r>
    </w:p>
    <w:p w14:paraId="4EFCB0B5" w14:textId="77777777" w:rsidR="00B23BAB" w:rsidRPr="00B23BAB" w:rsidRDefault="00B23BAB" w:rsidP="00B23BAB">
      <w:pPr>
        <w:spacing w:line="240" w:lineRule="auto"/>
        <w:rPr>
          <w:rFonts w:eastAsia="Times New Roman" w:cs="Arial"/>
          <w:color w:val="000000"/>
          <w:u w:val="single"/>
          <w:lang w:eastAsia="bg-BG"/>
        </w:rPr>
      </w:pPr>
    </w:p>
    <w:p w14:paraId="235039D7" w14:textId="313EBD9B"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Перорални кумаринови антикоагуланти</w:t>
      </w:r>
    </w:p>
    <w:p w14:paraId="57C7BB08"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В проучвания на фармакокинетичните взаимодействия при здрави доброволци, азитромицин не повлиява антикоагулантния ефект на 15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еднократна доза варфарин. Има постмаркетингови съобщения за усилена антикоагулация, последвала едновременното приложение на азитромицин и перорални кумаринови антикоагуланти. Въпреки че не е установена причинна връзка, трябва да се обърне внимание на честотата на измерването на протромбиновото време при пациенти на такава антикоагулантна терапия.</w:t>
      </w:r>
    </w:p>
    <w:p w14:paraId="4D9B73DC" w14:textId="77777777" w:rsidR="00B23BAB" w:rsidRPr="00B23BAB" w:rsidRDefault="00B23BAB" w:rsidP="00B23BAB">
      <w:pPr>
        <w:spacing w:line="240" w:lineRule="auto"/>
        <w:rPr>
          <w:rFonts w:eastAsia="Times New Roman" w:cs="Arial"/>
          <w:color w:val="000000"/>
          <w:u w:val="single"/>
          <w:lang w:eastAsia="bg-BG"/>
        </w:rPr>
      </w:pPr>
    </w:p>
    <w:p w14:paraId="245EF827" w14:textId="4F1401F2"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Циклоспорин</w:t>
      </w:r>
    </w:p>
    <w:p w14:paraId="6A62A644"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Във фармакокинетично проучване при здрави доброволци, при което в продължение на три дни е прилаган азитромицин в дневна перорална доза 500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и след това е приложена еднократна перорална доза от 10 </w:t>
      </w:r>
      <w:r w:rsidRPr="00B23BAB">
        <w:rPr>
          <w:rFonts w:eastAsia="Times New Roman" w:cs="Arial"/>
          <w:color w:val="000000"/>
          <w:lang w:val="en-US"/>
        </w:rPr>
        <w:t>mg</w:t>
      </w:r>
      <w:r w:rsidRPr="00B23BAB">
        <w:rPr>
          <w:rFonts w:eastAsia="Times New Roman" w:cs="Arial"/>
          <w:color w:val="000000"/>
          <w:lang w:val="ru-RU"/>
        </w:rPr>
        <w:t>/</w:t>
      </w:r>
      <w:r w:rsidRPr="00B23BAB">
        <w:rPr>
          <w:rFonts w:eastAsia="Times New Roman" w:cs="Arial"/>
          <w:color w:val="000000"/>
          <w:lang w:val="en-US"/>
        </w:rPr>
        <w:t>kg</w:t>
      </w:r>
      <w:r w:rsidRPr="00B23BAB">
        <w:rPr>
          <w:rFonts w:eastAsia="Times New Roman" w:cs="Arial"/>
          <w:color w:val="000000"/>
          <w:lang w:val="ru-RU"/>
        </w:rPr>
        <w:t xml:space="preserve"> </w:t>
      </w:r>
      <w:r w:rsidRPr="00B23BAB">
        <w:rPr>
          <w:rFonts w:eastAsia="Times New Roman" w:cs="Arial"/>
          <w:color w:val="000000"/>
          <w:lang w:eastAsia="bg-BG"/>
        </w:rPr>
        <w:t>циклоспорин, измерените С</w:t>
      </w:r>
      <w:r w:rsidRPr="00B23BAB">
        <w:rPr>
          <w:rFonts w:eastAsia="Times New Roman" w:cs="Arial"/>
          <w:color w:val="000000"/>
          <w:vertAlign w:val="subscript"/>
          <w:lang w:val="en-US"/>
        </w:rPr>
        <w:t>max</w:t>
      </w:r>
      <w:r w:rsidRPr="00B23BAB">
        <w:rPr>
          <w:rFonts w:eastAsia="Times New Roman" w:cs="Arial"/>
          <w:color w:val="000000"/>
          <w:lang w:eastAsia="bg-BG"/>
        </w:rPr>
        <w:t xml:space="preserve"> и </w:t>
      </w:r>
      <w:r w:rsidRPr="00B23BAB">
        <w:rPr>
          <w:rFonts w:eastAsia="Times New Roman" w:cs="Arial"/>
          <w:color w:val="000000"/>
          <w:lang w:val="en-US"/>
        </w:rPr>
        <w:t>AUC</w:t>
      </w:r>
      <w:r w:rsidRPr="00B23BAB">
        <w:rPr>
          <w:rFonts w:eastAsia="Times New Roman" w:cs="Arial"/>
          <w:color w:val="000000"/>
          <w:lang w:val="ru-RU"/>
        </w:rPr>
        <w:t xml:space="preserve"> </w:t>
      </w:r>
      <w:r w:rsidRPr="00B23BAB">
        <w:rPr>
          <w:rFonts w:eastAsia="Times New Roman" w:cs="Arial"/>
          <w:color w:val="000000"/>
          <w:lang w:eastAsia="bg-BG"/>
        </w:rPr>
        <w:t xml:space="preserve">на циклоспорин са значително повишени. Следователно е необходимо повишено внимание при едновременната употреба на тези две лекарства. Ако е необходимо такова </w:t>
      </w:r>
      <w:r w:rsidRPr="00B23BAB">
        <w:rPr>
          <w:rFonts w:eastAsia="Times New Roman" w:cs="Arial"/>
          <w:color w:val="000000"/>
          <w:lang w:eastAsia="bg-BG"/>
        </w:rPr>
        <w:lastRenderedPageBreak/>
        <w:t>съпътстващо приложение, нивата на циклоспорин трябва да се мониторират и дозата да се коригира своевременно.</w:t>
      </w:r>
    </w:p>
    <w:p w14:paraId="48395D78" w14:textId="77777777" w:rsidR="00B23BAB" w:rsidRPr="00B23BAB" w:rsidRDefault="00B23BAB" w:rsidP="00B23BAB">
      <w:pPr>
        <w:spacing w:line="240" w:lineRule="auto"/>
        <w:rPr>
          <w:rFonts w:eastAsia="Times New Roman" w:cs="Arial"/>
          <w:color w:val="000000"/>
          <w:u w:val="single"/>
          <w:lang w:eastAsia="bg-BG"/>
        </w:rPr>
      </w:pPr>
    </w:p>
    <w:p w14:paraId="65915E16" w14:textId="5FB89BAE"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Ефавиренц</w:t>
      </w:r>
    </w:p>
    <w:p w14:paraId="14D3549A"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Едновременното приложение на 600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единична доза азитромицин и 400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ефавиренц дневно за 7 дни не води до някакви клинично значими фармакокинетични взаимодействия.</w:t>
      </w:r>
    </w:p>
    <w:p w14:paraId="7979C750" w14:textId="77777777" w:rsidR="00B23BAB" w:rsidRPr="00B23BAB" w:rsidRDefault="00B23BAB" w:rsidP="00B23BAB">
      <w:pPr>
        <w:spacing w:line="240" w:lineRule="auto"/>
        <w:rPr>
          <w:rFonts w:eastAsia="Times New Roman" w:cs="Arial"/>
          <w:color w:val="000000"/>
          <w:u w:val="single"/>
          <w:lang w:eastAsia="bg-BG"/>
        </w:rPr>
      </w:pPr>
    </w:p>
    <w:p w14:paraId="0A614CEC" w14:textId="5BC396B7"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Флуконазол</w:t>
      </w:r>
    </w:p>
    <w:p w14:paraId="51D0BD52"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Едновременното приложение на единична доза от 1200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азитромицин не повлиява фармакокинетиката на единична доза от 800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флуконазол. Общият обем на разпределение и полуживотът на азитромицин остават непроменени от съпътстващото приложение на флуконазол. Въпреки това е наблюдавано клинично незначимо понижение на С</w:t>
      </w:r>
      <w:r w:rsidRPr="00B23BAB">
        <w:rPr>
          <w:rFonts w:eastAsia="Times New Roman" w:cs="Arial"/>
          <w:color w:val="000000"/>
          <w:vertAlign w:val="subscript"/>
          <w:lang w:val="en-US"/>
        </w:rPr>
        <w:t>max</w:t>
      </w:r>
      <w:r w:rsidRPr="00B23BAB">
        <w:rPr>
          <w:rFonts w:eastAsia="Times New Roman" w:cs="Arial"/>
          <w:color w:val="000000"/>
          <w:lang w:eastAsia="bg-BG"/>
        </w:rPr>
        <w:t xml:space="preserve"> (18%) на азитромицин.</w:t>
      </w:r>
    </w:p>
    <w:p w14:paraId="6A8EC708" w14:textId="77777777" w:rsidR="00B23BAB" w:rsidRPr="00B23BAB" w:rsidRDefault="00B23BAB" w:rsidP="00B23BAB">
      <w:pPr>
        <w:spacing w:line="240" w:lineRule="auto"/>
        <w:rPr>
          <w:rFonts w:eastAsia="Times New Roman" w:cs="Arial"/>
          <w:color w:val="000000"/>
          <w:u w:val="single"/>
          <w:lang w:eastAsia="bg-BG"/>
        </w:rPr>
      </w:pPr>
    </w:p>
    <w:p w14:paraId="4FFBC67C" w14:textId="4FE04A4A"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Индинавир</w:t>
      </w:r>
    </w:p>
    <w:p w14:paraId="08FA58C5"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Съпътстващото приложение на еднократна доза от 1200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азитромицин няма статистически значим ефект върху фармакокинетиката на индинавир, прилаган в доза 800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три пъти дневно за 5 дни.</w:t>
      </w:r>
    </w:p>
    <w:p w14:paraId="13A90E30" w14:textId="77777777" w:rsidR="00B23BAB" w:rsidRPr="00B23BAB" w:rsidRDefault="00B23BAB" w:rsidP="00B23BAB">
      <w:pPr>
        <w:spacing w:line="240" w:lineRule="auto"/>
        <w:rPr>
          <w:rFonts w:eastAsia="Times New Roman" w:cs="Arial"/>
          <w:color w:val="000000"/>
          <w:u w:val="single"/>
          <w:lang w:eastAsia="bg-BG"/>
        </w:rPr>
      </w:pPr>
    </w:p>
    <w:p w14:paraId="072C2941" w14:textId="0276690F"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Метилпреднизолон</w:t>
      </w:r>
    </w:p>
    <w:p w14:paraId="4437521E"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Във фармакокинетично проучване на взаимодействието при здрави доброволци не се наблюдава значим ефект върху фармакокинетиката на метилпреднизолон.</w:t>
      </w:r>
    </w:p>
    <w:p w14:paraId="1753A02D" w14:textId="77777777" w:rsidR="00B23BAB" w:rsidRPr="00B23BAB" w:rsidRDefault="00B23BAB" w:rsidP="00B23BAB">
      <w:pPr>
        <w:spacing w:line="240" w:lineRule="auto"/>
        <w:rPr>
          <w:rFonts w:eastAsia="Times New Roman" w:cs="Arial"/>
          <w:color w:val="000000"/>
          <w:u w:val="single"/>
          <w:lang w:eastAsia="bg-BG"/>
        </w:rPr>
      </w:pPr>
    </w:p>
    <w:p w14:paraId="195628E2" w14:textId="57920195"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Мидазолам</w:t>
      </w:r>
    </w:p>
    <w:p w14:paraId="196B33BB"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При здрави доброволци едновременното приложение на азитромицин 500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дневно за 3 дни не предизвиква клинично значими промени във фармакокинетиката и фармакодинамиката на еднократна доза от 15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мидазолам.</w:t>
      </w:r>
    </w:p>
    <w:p w14:paraId="42E4D0A7" w14:textId="77777777" w:rsidR="00B23BAB" w:rsidRPr="00B23BAB" w:rsidRDefault="00B23BAB" w:rsidP="00B23BAB">
      <w:pPr>
        <w:spacing w:line="240" w:lineRule="auto"/>
        <w:rPr>
          <w:rFonts w:eastAsia="Times New Roman" w:cs="Arial"/>
          <w:color w:val="000000"/>
          <w:u w:val="single"/>
          <w:lang w:eastAsia="bg-BG"/>
        </w:rPr>
      </w:pPr>
    </w:p>
    <w:p w14:paraId="40AC474E" w14:textId="7E34992A"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Нелфинавир</w:t>
      </w:r>
    </w:p>
    <w:p w14:paraId="2C3841EC"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Приложението на 1200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азитромицин към поддържаща доза нелфинавир (750 </w:t>
      </w:r>
      <w:r w:rsidRPr="00B23BAB">
        <w:rPr>
          <w:rFonts w:eastAsia="Times New Roman" w:cs="Arial"/>
          <w:color w:val="000000"/>
          <w:lang w:val="en-US"/>
        </w:rPr>
        <w:t>mg</w:t>
      </w:r>
      <w:r w:rsidRPr="00B23BAB">
        <w:rPr>
          <w:rFonts w:eastAsia="Times New Roman" w:cs="Arial"/>
          <w:color w:val="000000"/>
          <w:lang w:val="ru-RU"/>
        </w:rPr>
        <w:t xml:space="preserve"> 3</w:t>
      </w:r>
      <w:r w:rsidRPr="00B23BAB">
        <w:rPr>
          <w:rFonts w:eastAsia="Times New Roman" w:cs="Arial"/>
          <w:color w:val="000000"/>
          <w:lang w:eastAsia="bg-BG"/>
        </w:rPr>
        <w:t xml:space="preserve"> пъти дневно) води до повишаване на концентрациите на азитромицин. Не са наблюдавани клинично значими нежелани реакции и не е необходимо коригиране на дозата.</w:t>
      </w:r>
    </w:p>
    <w:p w14:paraId="3740A098" w14:textId="77777777" w:rsidR="00B23BAB" w:rsidRPr="00B23BAB" w:rsidRDefault="00B23BAB" w:rsidP="00B23BAB">
      <w:pPr>
        <w:rPr>
          <w:rFonts w:eastAsia="Times New Roman" w:cs="Arial"/>
          <w:color w:val="000000"/>
          <w:u w:val="single"/>
          <w:lang w:eastAsia="bg-BG"/>
        </w:rPr>
      </w:pPr>
    </w:p>
    <w:p w14:paraId="6C33317F" w14:textId="455DB31F" w:rsidR="00B23BAB" w:rsidRPr="00B23BAB" w:rsidRDefault="00B23BAB" w:rsidP="00B23BAB">
      <w:pPr>
        <w:rPr>
          <w:rFonts w:eastAsia="Times New Roman" w:cs="Arial"/>
          <w:color w:val="000000"/>
          <w:u w:val="single"/>
          <w:lang w:eastAsia="bg-BG"/>
        </w:rPr>
      </w:pPr>
      <w:r w:rsidRPr="00B23BAB">
        <w:rPr>
          <w:rFonts w:eastAsia="Times New Roman" w:cs="Arial"/>
          <w:color w:val="000000"/>
          <w:u w:val="single"/>
          <w:lang w:eastAsia="bg-BG"/>
        </w:rPr>
        <w:t>Рифабутин</w:t>
      </w:r>
    </w:p>
    <w:p w14:paraId="30AD9173"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Едновременното приложение на азитромицин и рифабугин няма ефект върху серумните концентрации на двата лекарствени продукта.</w:t>
      </w:r>
    </w:p>
    <w:p w14:paraId="1FE796C5" w14:textId="77777777" w:rsidR="00B23BAB" w:rsidRPr="00B23BAB" w:rsidRDefault="00B23BAB" w:rsidP="00B23BAB">
      <w:pPr>
        <w:spacing w:line="240" w:lineRule="auto"/>
        <w:rPr>
          <w:rFonts w:eastAsia="Times New Roman" w:cs="Arial"/>
          <w:color w:val="000000"/>
          <w:lang w:eastAsia="bg-BG"/>
        </w:rPr>
      </w:pPr>
    </w:p>
    <w:p w14:paraId="0DB1BCED" w14:textId="6187557D" w:rsidR="00B23BAB" w:rsidRPr="00B23BAB" w:rsidRDefault="00B23BAB" w:rsidP="00B23BAB">
      <w:pPr>
        <w:spacing w:line="240" w:lineRule="auto"/>
        <w:rPr>
          <w:rFonts w:eastAsia="Times New Roman" w:cs="Arial"/>
        </w:rPr>
      </w:pPr>
      <w:r w:rsidRPr="00B23BAB">
        <w:rPr>
          <w:rFonts w:eastAsia="Times New Roman" w:cs="Arial"/>
          <w:color w:val="000000"/>
          <w:lang w:eastAsia="bg-BG"/>
        </w:rPr>
        <w:t>Неутропения се наблюдава при пациенти, на които се прилага едновременна терапия с азитромицин и рифабутин. Въпреки факта, че неутропенията се свързва с приложението на рифабугин, не е установена причинна връзка с комбинацията с азитромицин (вижте точка 4.8).</w:t>
      </w:r>
    </w:p>
    <w:p w14:paraId="44D2AEC3" w14:textId="77777777" w:rsidR="00B23BAB" w:rsidRPr="00B23BAB" w:rsidRDefault="00B23BAB" w:rsidP="00B23BAB">
      <w:pPr>
        <w:spacing w:line="240" w:lineRule="auto"/>
        <w:rPr>
          <w:rFonts w:eastAsia="Times New Roman" w:cs="Arial"/>
          <w:color w:val="000000"/>
          <w:u w:val="single"/>
          <w:lang w:eastAsia="bg-BG"/>
        </w:rPr>
      </w:pPr>
    </w:p>
    <w:p w14:paraId="76A982E5" w14:textId="6070073E"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Силденафил</w:t>
      </w:r>
    </w:p>
    <w:p w14:paraId="31FD29AC" w14:textId="77777777" w:rsidR="00B23BAB" w:rsidRPr="00B23BAB" w:rsidRDefault="00B23BAB" w:rsidP="00B23BAB">
      <w:pPr>
        <w:spacing w:line="240" w:lineRule="auto"/>
        <w:rPr>
          <w:rFonts w:eastAsia="Times New Roman" w:cs="Arial"/>
          <w:color w:val="000000"/>
          <w:lang w:val="ru-RU"/>
        </w:rPr>
      </w:pPr>
      <w:r w:rsidRPr="00B23BAB">
        <w:rPr>
          <w:rFonts w:eastAsia="Times New Roman" w:cs="Arial"/>
          <w:color w:val="000000"/>
          <w:lang w:eastAsia="bg-BG"/>
        </w:rPr>
        <w:t xml:space="preserve">При нормални здрави мъже доброволци няма доказателство за ефект на азитромицин (500 </w:t>
      </w:r>
      <w:r w:rsidRPr="00B23BAB">
        <w:rPr>
          <w:rFonts w:eastAsia="Times New Roman" w:cs="Arial"/>
          <w:color w:val="000000"/>
          <w:lang w:val="en-US"/>
        </w:rPr>
        <w:t>mg</w:t>
      </w:r>
      <w:r w:rsidRPr="00B23BAB">
        <w:rPr>
          <w:rFonts w:eastAsia="Times New Roman" w:cs="Arial"/>
          <w:color w:val="000000"/>
          <w:lang w:val="ru-RU"/>
        </w:rPr>
        <w:t xml:space="preserve"> </w:t>
      </w:r>
    </w:p>
    <w:p w14:paraId="600F913D" w14:textId="128FCECC"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дневно за 3 дни) върху </w:t>
      </w:r>
      <w:r w:rsidRPr="00B23BAB">
        <w:rPr>
          <w:rFonts w:eastAsia="Times New Roman" w:cs="Arial"/>
          <w:color w:val="000000"/>
          <w:lang w:val="en-US"/>
        </w:rPr>
        <w:t>AUC</w:t>
      </w:r>
      <w:r w:rsidRPr="00B23BAB">
        <w:rPr>
          <w:rFonts w:eastAsia="Times New Roman" w:cs="Arial"/>
          <w:color w:val="000000"/>
          <w:lang w:val="ru-RU"/>
        </w:rPr>
        <w:t xml:space="preserve"> </w:t>
      </w:r>
      <w:r w:rsidRPr="00B23BAB">
        <w:rPr>
          <w:rFonts w:eastAsia="Times New Roman" w:cs="Arial"/>
          <w:color w:val="000000"/>
          <w:lang w:eastAsia="bg-BG"/>
        </w:rPr>
        <w:t xml:space="preserve">и </w:t>
      </w:r>
      <w:proofErr w:type="spellStart"/>
      <w:r w:rsidRPr="00B23BAB">
        <w:rPr>
          <w:rFonts w:eastAsia="Times New Roman" w:cs="Arial"/>
          <w:color w:val="000000"/>
          <w:lang w:val="en-US"/>
        </w:rPr>
        <w:t>C</w:t>
      </w:r>
      <w:r w:rsidRPr="00B23BAB">
        <w:rPr>
          <w:rFonts w:eastAsia="Times New Roman" w:cs="Arial"/>
          <w:color w:val="000000"/>
          <w:vertAlign w:val="subscript"/>
          <w:lang w:val="en-US"/>
        </w:rPr>
        <w:t>max</w:t>
      </w:r>
      <w:proofErr w:type="spellEnd"/>
      <w:r w:rsidRPr="00B23BAB">
        <w:rPr>
          <w:rFonts w:eastAsia="Times New Roman" w:cs="Arial"/>
          <w:color w:val="000000"/>
          <w:lang w:eastAsia="bg-BG"/>
        </w:rPr>
        <w:t xml:space="preserve"> на силденафил или неговият главен циркулиращ метаболит.</w:t>
      </w:r>
    </w:p>
    <w:p w14:paraId="718CB717" w14:textId="77777777" w:rsidR="00B23BAB" w:rsidRPr="00B23BAB" w:rsidRDefault="00B23BAB" w:rsidP="00B23BAB">
      <w:pPr>
        <w:spacing w:line="240" w:lineRule="auto"/>
        <w:rPr>
          <w:rFonts w:eastAsia="Times New Roman" w:cs="Arial"/>
          <w:color w:val="000000"/>
          <w:u w:val="single"/>
          <w:lang w:eastAsia="bg-BG"/>
        </w:rPr>
      </w:pPr>
    </w:p>
    <w:p w14:paraId="5043A95A" w14:textId="583482DA"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Терфенадин</w:t>
      </w:r>
    </w:p>
    <w:p w14:paraId="4EC4B384"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lastRenderedPageBreak/>
        <w:t>Фармакокинетични проучвания не съобщават доказателства за взаимодействие между азитромицин и терфенадин. Има редки съобщения, при които вероятността от такова взаимодействие не може да бъде изцяло изключена, въпреки всичко няма доказателства, че такова е настъпило.</w:t>
      </w:r>
    </w:p>
    <w:p w14:paraId="6F6B43AE" w14:textId="77777777" w:rsidR="00B23BAB" w:rsidRPr="00B23BAB" w:rsidRDefault="00B23BAB" w:rsidP="00B23BAB">
      <w:pPr>
        <w:spacing w:line="240" w:lineRule="auto"/>
        <w:rPr>
          <w:rFonts w:eastAsia="Times New Roman" w:cs="Arial"/>
          <w:color w:val="000000"/>
          <w:u w:val="single"/>
          <w:lang w:eastAsia="bg-BG"/>
        </w:rPr>
      </w:pPr>
    </w:p>
    <w:p w14:paraId="6B27B647" w14:textId="7FBF77FE" w:rsidR="00B23BAB" w:rsidRPr="00B23BAB" w:rsidRDefault="00B23BAB" w:rsidP="00B23BAB">
      <w:pPr>
        <w:spacing w:line="240" w:lineRule="auto"/>
        <w:rPr>
          <w:rFonts w:eastAsia="Times New Roman" w:cs="Arial"/>
          <w:color w:val="000000"/>
          <w:u w:val="single"/>
          <w:lang w:eastAsia="bg-BG"/>
        </w:rPr>
      </w:pPr>
      <w:r w:rsidRPr="00B23BAB">
        <w:rPr>
          <w:rFonts w:eastAsia="Times New Roman" w:cs="Arial"/>
          <w:color w:val="000000"/>
          <w:u w:val="single"/>
          <w:lang w:eastAsia="bg-BG"/>
        </w:rPr>
        <w:t>Теофилин</w:t>
      </w:r>
    </w:p>
    <w:p w14:paraId="6D88AE23"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Няма доказателства за клинично значимо фармакокинетично взаимодействие между азитромицин и теофилин при едновременно приложение при здрави доброволци.</w:t>
      </w:r>
    </w:p>
    <w:p w14:paraId="5B13B9A8" w14:textId="77777777" w:rsidR="00B23BAB" w:rsidRPr="00B23BAB" w:rsidRDefault="00B23BAB" w:rsidP="00B23BAB">
      <w:pPr>
        <w:spacing w:line="240" w:lineRule="auto"/>
        <w:rPr>
          <w:rFonts w:eastAsia="Times New Roman" w:cs="Arial"/>
        </w:rPr>
      </w:pPr>
    </w:p>
    <w:p w14:paraId="5ED143E1" w14:textId="6D39BCFA"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Триазолам</w:t>
      </w:r>
    </w:p>
    <w:p w14:paraId="1D25EB81"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При 14 здрави доброволци едновременното приложение на азитромицин 500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първия ден и 250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втория ден с 0,125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триазолам на втория ден няма значителен ефект върху някоя от фармакокинетичните характеристики на триазолам в сравнение с триазолам и плацебо.</w:t>
      </w:r>
    </w:p>
    <w:p w14:paraId="38271256" w14:textId="77777777" w:rsidR="00B23BAB" w:rsidRPr="00B23BAB" w:rsidRDefault="00B23BAB" w:rsidP="00B23BAB">
      <w:pPr>
        <w:spacing w:line="240" w:lineRule="auto"/>
        <w:rPr>
          <w:rFonts w:eastAsia="Times New Roman" w:cs="Arial"/>
          <w:color w:val="000000"/>
          <w:u w:val="single"/>
          <w:lang w:eastAsia="bg-BG"/>
        </w:rPr>
      </w:pPr>
    </w:p>
    <w:p w14:paraId="52C86265" w14:textId="1EC64A8F"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Триметоприм/сулфаметоксазол</w:t>
      </w:r>
    </w:p>
    <w:p w14:paraId="6C738ECF"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Едновременното приложение на триметоприм/сулфаметоксазол (160 </w:t>
      </w:r>
      <w:r w:rsidRPr="00B23BAB">
        <w:rPr>
          <w:rFonts w:eastAsia="Times New Roman" w:cs="Arial"/>
          <w:color w:val="000000"/>
          <w:lang w:val="en-US"/>
        </w:rPr>
        <w:t>mg</w:t>
      </w:r>
      <w:r w:rsidRPr="00B23BAB">
        <w:rPr>
          <w:rFonts w:eastAsia="Times New Roman" w:cs="Arial"/>
          <w:color w:val="000000"/>
          <w:lang w:val="ru-RU"/>
        </w:rPr>
        <w:t xml:space="preserve">/800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 xml:space="preserve">за 7 дни с азитромицин 1200 </w:t>
      </w:r>
      <w:r w:rsidRPr="00B23BAB">
        <w:rPr>
          <w:rFonts w:eastAsia="Times New Roman" w:cs="Arial"/>
          <w:color w:val="000000"/>
          <w:lang w:val="en-US"/>
        </w:rPr>
        <w:t>mg</w:t>
      </w:r>
      <w:r w:rsidRPr="00B23BAB">
        <w:rPr>
          <w:rFonts w:eastAsia="Times New Roman" w:cs="Arial"/>
          <w:color w:val="000000"/>
          <w:lang w:val="ru-RU"/>
        </w:rPr>
        <w:t xml:space="preserve"> </w:t>
      </w:r>
      <w:r w:rsidRPr="00B23BAB">
        <w:rPr>
          <w:rFonts w:eastAsia="Times New Roman" w:cs="Arial"/>
          <w:color w:val="000000"/>
          <w:lang w:eastAsia="bg-BG"/>
        </w:rPr>
        <w:t>на седмия ден няма значителен ефект върху максималните концентрации, обема на разпределение или уринната екскреция както на триметоприм, така и на сулфаметоксазол. Концентрациите на азитромицин са подобни на достигнатите в други проучвания.</w:t>
      </w:r>
    </w:p>
    <w:p w14:paraId="220D06B3" w14:textId="77777777" w:rsidR="00B23BAB" w:rsidRPr="00B23BAB" w:rsidRDefault="00B23BAB" w:rsidP="00B23BAB">
      <w:pPr>
        <w:spacing w:line="240" w:lineRule="auto"/>
        <w:rPr>
          <w:rFonts w:eastAsia="Times New Roman" w:cs="Arial"/>
          <w:color w:val="000000"/>
          <w:u w:val="single"/>
          <w:lang w:eastAsia="bg-BG"/>
        </w:rPr>
      </w:pPr>
    </w:p>
    <w:p w14:paraId="283A9E67" w14:textId="4DF74488"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Лекарства, които удължават ОТ- интервала</w:t>
      </w:r>
    </w:p>
    <w:p w14:paraId="36AD862D" w14:textId="3AB877D9" w:rsidR="00B23BAB" w:rsidRDefault="00B23BAB" w:rsidP="00B23BAB">
      <w:pPr>
        <w:spacing w:line="240" w:lineRule="auto"/>
        <w:rPr>
          <w:rFonts w:eastAsia="Times New Roman" w:cs="Arial"/>
        </w:rPr>
      </w:pPr>
      <w:r w:rsidRPr="00B23BAB">
        <w:rPr>
          <w:rFonts w:eastAsia="Times New Roman" w:cs="Arial"/>
          <w:color w:val="000000"/>
          <w:lang w:eastAsia="bg-BG"/>
        </w:rPr>
        <w:t xml:space="preserve">Азитромицин не трябва да се използва едновременно с други активни вещества, които удължават </w:t>
      </w:r>
      <w:r w:rsidRPr="00B23BAB">
        <w:rPr>
          <w:rFonts w:eastAsia="Times New Roman" w:cs="Arial"/>
          <w:color w:val="000000"/>
          <w:lang w:val="en-US"/>
        </w:rPr>
        <w:t>QT</w:t>
      </w:r>
      <w:r w:rsidRPr="00B23BAB">
        <w:rPr>
          <w:rFonts w:eastAsia="Times New Roman" w:cs="Arial"/>
          <w:color w:val="000000"/>
          <w:lang w:val="ru-RU"/>
        </w:rPr>
        <w:t xml:space="preserve">- </w:t>
      </w:r>
      <w:r w:rsidRPr="00B23BAB">
        <w:rPr>
          <w:rFonts w:eastAsia="Times New Roman" w:cs="Arial"/>
          <w:color w:val="000000"/>
          <w:lang w:eastAsia="bg-BG"/>
        </w:rPr>
        <w:t>интервала (вж. чока 4.4).</w:t>
      </w:r>
    </w:p>
    <w:p w14:paraId="51DA86B7" w14:textId="77777777" w:rsidR="00B23BAB" w:rsidRPr="00B23BAB" w:rsidRDefault="00B23BAB" w:rsidP="00B23BAB">
      <w:pPr>
        <w:spacing w:line="240" w:lineRule="auto"/>
        <w:rPr>
          <w:rFonts w:eastAsia="Times New Roman" w:cs="Arial"/>
        </w:rPr>
      </w:pPr>
    </w:p>
    <w:p w14:paraId="598659D7" w14:textId="476EEDE0" w:rsidR="00B23BAB" w:rsidRDefault="002C50EE" w:rsidP="00B23BAB">
      <w:pPr>
        <w:pStyle w:val="Heading2"/>
      </w:pPr>
      <w:r>
        <w:t>4.6. Фертилитет, бременност и кърмене</w:t>
      </w:r>
    </w:p>
    <w:p w14:paraId="05A88A96" w14:textId="2DD958A9" w:rsidR="00B23BAB" w:rsidRDefault="00B23BAB" w:rsidP="00B23BAB"/>
    <w:p w14:paraId="66F6082C" w14:textId="77777777" w:rsidR="00B23BAB" w:rsidRPr="00B23BAB" w:rsidRDefault="00B23BAB" w:rsidP="00B23BAB">
      <w:pPr>
        <w:pStyle w:val="Heading3"/>
        <w:rPr>
          <w:rFonts w:eastAsia="Times New Roman"/>
          <w:u w:val="single"/>
        </w:rPr>
      </w:pPr>
      <w:r w:rsidRPr="00B23BAB">
        <w:rPr>
          <w:rFonts w:eastAsia="Times New Roman"/>
          <w:u w:val="single"/>
          <w:lang w:eastAsia="bg-BG"/>
        </w:rPr>
        <w:t>Бременност</w:t>
      </w:r>
    </w:p>
    <w:p w14:paraId="07A46C69" w14:textId="77777777" w:rsidR="00B23BAB" w:rsidRPr="00B23BAB" w:rsidRDefault="00B23BAB" w:rsidP="00B23BAB">
      <w:pPr>
        <w:rPr>
          <w:sz w:val="24"/>
          <w:szCs w:val="24"/>
        </w:rPr>
      </w:pPr>
      <w:r w:rsidRPr="00B23BAB">
        <w:rPr>
          <w:lang w:eastAsia="bg-BG"/>
        </w:rPr>
        <w:t>Няма достатъчно информация относно приложението на азитромицин при бременни жени. По време на проучвания върху репродуктивната токсичност при животни е установено, че азитромицин преминава през плацентата, но не са наблюдавани тератогенни ефекти (виж точка 5.3). Безопасността на азитромицин все още не е установена по отношение на приложението на активното вещество по време на бременност. Затова азитромицин трябва да се използва пре бременни жени, само ако ползата надвишава риска.</w:t>
      </w:r>
    </w:p>
    <w:p w14:paraId="31A03155" w14:textId="77777777" w:rsidR="00B23BAB" w:rsidRDefault="00B23BAB" w:rsidP="00B23BAB">
      <w:pPr>
        <w:rPr>
          <w:lang w:eastAsia="bg-BG"/>
        </w:rPr>
      </w:pPr>
    </w:p>
    <w:p w14:paraId="49DFA540" w14:textId="1F8AF9DC" w:rsidR="00B23BAB" w:rsidRPr="00B23BAB" w:rsidRDefault="00B23BAB" w:rsidP="00B23BAB">
      <w:pPr>
        <w:pStyle w:val="Heading3"/>
        <w:rPr>
          <w:rFonts w:eastAsia="Times New Roman"/>
          <w:u w:val="single"/>
        </w:rPr>
      </w:pPr>
      <w:r w:rsidRPr="00B23BAB">
        <w:rPr>
          <w:rFonts w:eastAsia="Times New Roman"/>
          <w:u w:val="single"/>
          <w:lang w:eastAsia="bg-BG"/>
        </w:rPr>
        <w:t>Кърмене</w:t>
      </w:r>
    </w:p>
    <w:p w14:paraId="23D36F6E" w14:textId="77777777" w:rsidR="00B23BAB" w:rsidRPr="00B23BAB" w:rsidRDefault="00B23BAB" w:rsidP="00B23BAB">
      <w:pPr>
        <w:rPr>
          <w:sz w:val="24"/>
          <w:szCs w:val="24"/>
        </w:rPr>
      </w:pPr>
      <w:r w:rsidRPr="00B23BAB">
        <w:rPr>
          <w:lang w:eastAsia="bg-BG"/>
        </w:rPr>
        <w:t>Има съобщения, че азитромицин преминава в кърмата при хора, но не са провеждани подходящи и добре контролирани клинични проучвания при кърмещи жени за характеризиране на фармакокинетиката на екскретирането азитромицин в кърмата при</w:t>
      </w:r>
      <w:r w:rsidRPr="00B23BAB">
        <w:rPr>
          <w:lang w:val="ru-RU"/>
        </w:rPr>
        <w:t xml:space="preserve"> </w:t>
      </w:r>
      <w:r w:rsidRPr="00B23BAB">
        <w:rPr>
          <w:lang w:eastAsia="bg-BG"/>
        </w:rPr>
        <w:t>хора.</w:t>
      </w:r>
    </w:p>
    <w:p w14:paraId="7E946F9E" w14:textId="77777777" w:rsidR="00B23BAB" w:rsidRDefault="00B23BAB" w:rsidP="00B23BAB">
      <w:pPr>
        <w:rPr>
          <w:lang w:eastAsia="bg-BG"/>
        </w:rPr>
      </w:pPr>
    </w:p>
    <w:p w14:paraId="01668703" w14:textId="65F4E224" w:rsidR="00B23BAB" w:rsidRPr="00B23BAB" w:rsidRDefault="00B23BAB" w:rsidP="00B23BAB">
      <w:pPr>
        <w:pStyle w:val="Heading3"/>
        <w:rPr>
          <w:rFonts w:eastAsia="Times New Roman"/>
          <w:u w:val="single"/>
        </w:rPr>
      </w:pPr>
      <w:r w:rsidRPr="00B23BAB">
        <w:rPr>
          <w:rFonts w:eastAsia="Times New Roman"/>
          <w:u w:val="single"/>
          <w:lang w:eastAsia="bg-BG"/>
        </w:rPr>
        <w:t>Фертилитет</w:t>
      </w:r>
    </w:p>
    <w:p w14:paraId="062B1FC5" w14:textId="69915D7F" w:rsidR="00B23BAB" w:rsidRPr="00B23BAB" w:rsidRDefault="00B23BAB" w:rsidP="00B23BAB">
      <w:pPr>
        <w:rPr>
          <w:lang w:val="ru-RU"/>
        </w:rPr>
      </w:pPr>
      <w:r w:rsidRPr="00B23BAB">
        <w:rPr>
          <w:lang w:eastAsia="bg-BG"/>
        </w:rPr>
        <w:t>В проучвания на фертилитета, проведени при плъхове, са наблюдавани понижени нива на зачеване след прилагане на азитромицин. Не е известно дали тази находка се отнася за хората</w:t>
      </w:r>
      <w:r w:rsidRPr="00B23BAB">
        <w:rPr>
          <w:lang w:val="ru-RU" w:eastAsia="bg-BG"/>
        </w:rPr>
        <w:t>.</w:t>
      </w:r>
    </w:p>
    <w:p w14:paraId="5766770B" w14:textId="08BCC641" w:rsidR="00395555" w:rsidRDefault="002C50EE" w:rsidP="008A6AF2">
      <w:pPr>
        <w:pStyle w:val="Heading2"/>
      </w:pPr>
      <w:r>
        <w:lastRenderedPageBreak/>
        <w:t>4.7. Ефекти върху способността за шофиране и работа с машини</w:t>
      </w:r>
    </w:p>
    <w:p w14:paraId="4D0E5B6B" w14:textId="3AD5ED5D" w:rsidR="00B23BAB" w:rsidRDefault="00B23BAB" w:rsidP="00B23BAB"/>
    <w:p w14:paraId="40AB05D7" w14:textId="77777777" w:rsidR="00B23BAB" w:rsidRPr="00B23BAB" w:rsidRDefault="00B23BAB" w:rsidP="00B23BAB">
      <w:pPr>
        <w:rPr>
          <w:sz w:val="24"/>
          <w:szCs w:val="24"/>
        </w:rPr>
      </w:pPr>
      <w:r w:rsidRPr="00B23BAB">
        <w:rPr>
          <w:lang w:eastAsia="bg-BG"/>
        </w:rPr>
        <w:t>Няма доказателства, че азитромицин може да повлияе способността на пациента за шофиране и работа с машини.</w:t>
      </w:r>
    </w:p>
    <w:p w14:paraId="3BFFEC4A" w14:textId="77777777" w:rsidR="00B23BAB" w:rsidRPr="00B23BAB" w:rsidRDefault="00B23BAB" w:rsidP="00B23BAB"/>
    <w:p w14:paraId="4FE16E21" w14:textId="7C0BE9D6" w:rsidR="00395555" w:rsidRDefault="002C50EE" w:rsidP="008A6AF2">
      <w:pPr>
        <w:pStyle w:val="Heading2"/>
      </w:pPr>
      <w:r>
        <w:t>4.8. Нежелани лекарствени реакции</w:t>
      </w:r>
    </w:p>
    <w:p w14:paraId="7016A3AF" w14:textId="2F9274F9" w:rsidR="00B23BAB" w:rsidRDefault="00B23BAB" w:rsidP="00B23BAB"/>
    <w:p w14:paraId="6C385166"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Таблицата по-долу включва нежеланите лекарствени реакции, открити в клинични и постмаркетингови проучвания и дефинирани по системо-органна класификация и честота. Групирането по честота е направено според следната приета класификация:</w:t>
      </w:r>
    </w:p>
    <w:p w14:paraId="47979F7B"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Много чести (≥ 1/10); чести (≥ 1/100 до &lt; 110); нечести (≥1/1 000 до &lt; 1/100); редки (≥ 1/10 000 до &lt; 1/1 000); много редки (&lt; 1/10 000); и с неизвестна честота (не може да се определи от наличните данни).</w:t>
      </w:r>
    </w:p>
    <w:p w14:paraId="55C588A4" w14:textId="77777777" w:rsidR="00B23BAB" w:rsidRPr="00B23BAB" w:rsidRDefault="00B23BAB" w:rsidP="00B23BAB">
      <w:pPr>
        <w:spacing w:line="240" w:lineRule="auto"/>
        <w:rPr>
          <w:rFonts w:eastAsia="Times New Roman" w:cs="Arial"/>
          <w:color w:val="000000"/>
          <w:lang w:eastAsia="bg-BG"/>
        </w:rPr>
      </w:pPr>
    </w:p>
    <w:p w14:paraId="1ECDFB0A" w14:textId="3EB58BEB" w:rsidR="00B23BAB" w:rsidRPr="00B23BAB" w:rsidRDefault="00B23BAB" w:rsidP="00B23BAB">
      <w:pPr>
        <w:spacing w:line="240" w:lineRule="auto"/>
        <w:rPr>
          <w:rFonts w:eastAsia="Times New Roman" w:cs="Arial"/>
        </w:rPr>
      </w:pPr>
      <w:r w:rsidRPr="00B23BAB">
        <w:rPr>
          <w:rFonts w:eastAsia="Times New Roman" w:cs="Arial"/>
          <w:color w:val="000000"/>
          <w:lang w:eastAsia="bg-BG"/>
        </w:rPr>
        <w:t>При всяко групиране по честота, нежеланите лекарствени реакции са представени в низходящ ред по отношение на тяхната тежест.</w:t>
      </w:r>
    </w:p>
    <w:p w14:paraId="5B11389B" w14:textId="77777777" w:rsidR="00B23BAB" w:rsidRPr="00B23BAB" w:rsidRDefault="00B23BAB" w:rsidP="00B23BAB">
      <w:pPr>
        <w:spacing w:line="240" w:lineRule="auto"/>
        <w:rPr>
          <w:rFonts w:eastAsia="Times New Roman" w:cs="Arial"/>
          <w:b/>
          <w:bCs/>
          <w:color w:val="000000"/>
          <w:lang w:eastAsia="bg-BG"/>
        </w:rPr>
      </w:pPr>
    </w:p>
    <w:p w14:paraId="5F2481CD" w14:textId="16948724" w:rsidR="00B23BAB" w:rsidRPr="00B23BAB" w:rsidRDefault="00B23BAB" w:rsidP="00B23BAB">
      <w:pPr>
        <w:spacing w:line="240" w:lineRule="auto"/>
        <w:rPr>
          <w:rFonts w:eastAsia="Times New Roman" w:cs="Arial"/>
        </w:rPr>
      </w:pPr>
      <w:r w:rsidRPr="00B23BAB">
        <w:rPr>
          <w:rFonts w:eastAsia="Times New Roman" w:cs="Arial"/>
          <w:b/>
          <w:bCs/>
          <w:color w:val="000000"/>
          <w:lang w:eastAsia="bg-BG"/>
        </w:rPr>
        <w:t>Нежелани реакции, вероятно или въможно свързани с употребата на азитромицин, базирани на опита от клинични и постмаркетингови проучвания:</w:t>
      </w:r>
    </w:p>
    <w:tbl>
      <w:tblPr>
        <w:tblStyle w:val="TableGrid"/>
        <w:tblW w:w="0" w:type="auto"/>
        <w:tblLook w:val="04A0" w:firstRow="1" w:lastRow="0" w:firstColumn="1" w:lastColumn="0" w:noHBand="0" w:noVBand="1"/>
      </w:tblPr>
      <w:tblGrid>
        <w:gridCol w:w="1391"/>
        <w:gridCol w:w="1002"/>
        <w:gridCol w:w="1546"/>
        <w:gridCol w:w="1901"/>
        <w:gridCol w:w="1722"/>
        <w:gridCol w:w="2014"/>
      </w:tblGrid>
      <w:tr w:rsidR="00B23BAB" w14:paraId="123FB88B" w14:textId="77777777" w:rsidTr="00B23BAB">
        <w:tc>
          <w:tcPr>
            <w:tcW w:w="1442" w:type="dxa"/>
          </w:tcPr>
          <w:p w14:paraId="3222C55A" w14:textId="77777777" w:rsidR="00B23BAB" w:rsidRPr="00B23BAB" w:rsidRDefault="00B23BAB" w:rsidP="00B23BAB"/>
        </w:tc>
        <w:tc>
          <w:tcPr>
            <w:tcW w:w="1159" w:type="dxa"/>
          </w:tcPr>
          <w:p w14:paraId="7AF9DBEB" w14:textId="626DEC3B" w:rsidR="00B23BAB" w:rsidRPr="00B23BAB" w:rsidRDefault="00B23BAB" w:rsidP="00B23BAB">
            <w:r w:rsidRPr="00B23BAB">
              <w:rPr>
                <w:b/>
                <w:bCs/>
              </w:rPr>
              <w:t>Много чести (</w:t>
            </w:r>
            <w:r w:rsidRPr="00B23BAB">
              <w:t>≥</w:t>
            </w:r>
            <w:r w:rsidRPr="00B23BAB">
              <w:rPr>
                <w:b/>
                <w:bCs/>
              </w:rPr>
              <w:t>1/10)</w:t>
            </w:r>
          </w:p>
        </w:tc>
        <w:tc>
          <w:tcPr>
            <w:tcW w:w="1448" w:type="dxa"/>
          </w:tcPr>
          <w:p w14:paraId="2E0C7165" w14:textId="77777777" w:rsidR="00B23BAB" w:rsidRPr="00B23BAB" w:rsidRDefault="00B23BAB" w:rsidP="00B23BAB">
            <w:r w:rsidRPr="00B23BAB">
              <w:rPr>
                <w:b/>
                <w:bCs/>
              </w:rPr>
              <w:t>Чести</w:t>
            </w:r>
          </w:p>
          <w:p w14:paraId="2E6700FD" w14:textId="77777777" w:rsidR="00B23BAB" w:rsidRPr="00B23BAB" w:rsidRDefault="00B23BAB" w:rsidP="00B23BAB">
            <w:r w:rsidRPr="00B23BAB">
              <w:rPr>
                <w:b/>
                <w:bCs/>
              </w:rPr>
              <w:t>(≥1/100 до</w:t>
            </w:r>
          </w:p>
          <w:p w14:paraId="5E76B87C" w14:textId="409DC6D2" w:rsidR="00B23BAB" w:rsidRPr="00B23BAB" w:rsidRDefault="00B23BAB" w:rsidP="00B23BAB">
            <w:r w:rsidRPr="00B23BAB">
              <w:rPr>
                <w:b/>
                <w:bCs/>
              </w:rPr>
              <w:t>&lt;1/10)</w:t>
            </w:r>
          </w:p>
        </w:tc>
        <w:tc>
          <w:tcPr>
            <w:tcW w:w="1791" w:type="dxa"/>
          </w:tcPr>
          <w:p w14:paraId="0B905F77" w14:textId="7FE1491E" w:rsidR="00B23BAB" w:rsidRPr="00B23BAB" w:rsidRDefault="00B23BAB" w:rsidP="00B23BAB">
            <w:r w:rsidRPr="00B23BAB">
              <w:rPr>
                <w:b/>
                <w:bCs/>
              </w:rPr>
              <w:t>Нечестн (</w:t>
            </w:r>
            <w:r w:rsidRPr="00B23BAB">
              <w:t>≥</w:t>
            </w:r>
            <w:r w:rsidRPr="00B23BAB">
              <w:rPr>
                <w:b/>
                <w:bCs/>
              </w:rPr>
              <w:t>1/1000 до &lt; 1/100)</w:t>
            </w:r>
          </w:p>
        </w:tc>
        <w:tc>
          <w:tcPr>
            <w:tcW w:w="1722" w:type="dxa"/>
          </w:tcPr>
          <w:p w14:paraId="00BEF425" w14:textId="77777777" w:rsidR="00B23BAB" w:rsidRPr="00B23BAB" w:rsidRDefault="00B23BAB" w:rsidP="00B23BAB">
            <w:r w:rsidRPr="00B23BAB">
              <w:rPr>
                <w:b/>
                <w:bCs/>
              </w:rPr>
              <w:t>Редки</w:t>
            </w:r>
          </w:p>
          <w:p w14:paraId="3CAB19B8" w14:textId="38A8E6D0" w:rsidR="00B23BAB" w:rsidRPr="00B23BAB" w:rsidRDefault="00B23BAB" w:rsidP="00B23BAB">
            <w:r w:rsidRPr="00B23BAB">
              <w:rPr>
                <w:b/>
                <w:bCs/>
              </w:rPr>
              <w:t>(</w:t>
            </w:r>
            <w:r w:rsidRPr="00B23BAB">
              <w:t>≥</w:t>
            </w:r>
            <w:r w:rsidRPr="00B23BAB">
              <w:rPr>
                <w:b/>
                <w:bCs/>
              </w:rPr>
              <w:t>1/10,000 до &lt;1/1,000)</w:t>
            </w:r>
          </w:p>
        </w:tc>
        <w:tc>
          <w:tcPr>
            <w:tcW w:w="2014" w:type="dxa"/>
          </w:tcPr>
          <w:p w14:paraId="0B06783F" w14:textId="42AB9C52" w:rsidR="00B23BAB" w:rsidRPr="00B23BAB" w:rsidRDefault="00B23BAB" w:rsidP="00B23BAB">
            <w:r w:rsidRPr="00B23BAB">
              <w:rPr>
                <w:b/>
                <w:bCs/>
              </w:rPr>
              <w:t>С неизвестна честота</w:t>
            </w:r>
          </w:p>
        </w:tc>
      </w:tr>
      <w:tr w:rsidR="00B23BAB" w14:paraId="23ABE0F5" w14:textId="77777777" w:rsidTr="00B23BAB">
        <w:tc>
          <w:tcPr>
            <w:tcW w:w="1442" w:type="dxa"/>
          </w:tcPr>
          <w:p w14:paraId="3197740E" w14:textId="4C98C42A" w:rsidR="00B23BAB" w:rsidRPr="00B23BAB" w:rsidRDefault="00B23BAB" w:rsidP="00B23BAB">
            <w:r w:rsidRPr="00B23BAB">
              <w:rPr>
                <w:b/>
                <w:bCs/>
              </w:rPr>
              <w:t>Инфек</w:t>
            </w:r>
            <w:r w:rsidRPr="00B23BAB">
              <w:rPr>
                <w:b/>
                <w:bCs/>
              </w:rPr>
              <w:softHyphen/>
              <w:t>ции и ннфеста- ции</w:t>
            </w:r>
          </w:p>
        </w:tc>
        <w:tc>
          <w:tcPr>
            <w:tcW w:w="1159" w:type="dxa"/>
            <w:vAlign w:val="center"/>
          </w:tcPr>
          <w:p w14:paraId="1A4C0279" w14:textId="77777777" w:rsidR="00B23BAB" w:rsidRPr="00B23BAB" w:rsidRDefault="00B23BAB" w:rsidP="00B23BAB"/>
        </w:tc>
        <w:tc>
          <w:tcPr>
            <w:tcW w:w="1448" w:type="dxa"/>
          </w:tcPr>
          <w:p w14:paraId="71079713" w14:textId="77777777" w:rsidR="00B23BAB" w:rsidRPr="00B23BAB" w:rsidRDefault="00B23BAB" w:rsidP="00B23BAB"/>
        </w:tc>
        <w:tc>
          <w:tcPr>
            <w:tcW w:w="1791" w:type="dxa"/>
          </w:tcPr>
          <w:p w14:paraId="4B3B99CE" w14:textId="1BAA58F3" w:rsidR="00B23BAB" w:rsidRPr="00B23BAB" w:rsidRDefault="00B23BAB" w:rsidP="00B23BAB">
            <w:r w:rsidRPr="00B23BAB">
              <w:t>Кандидиаза Вагинална инфекция Пневмония Гъбична инфекция Бактериална инфекция Фарингит Гастроентерит Дихателни нарушения Ринит Орална кандидиаза</w:t>
            </w:r>
          </w:p>
        </w:tc>
        <w:tc>
          <w:tcPr>
            <w:tcW w:w="1722" w:type="dxa"/>
          </w:tcPr>
          <w:p w14:paraId="48884EE0" w14:textId="77777777" w:rsidR="00B23BAB" w:rsidRPr="00B23BAB" w:rsidRDefault="00B23BAB" w:rsidP="00B23BAB"/>
        </w:tc>
        <w:tc>
          <w:tcPr>
            <w:tcW w:w="2014" w:type="dxa"/>
          </w:tcPr>
          <w:p w14:paraId="3046B574" w14:textId="71232603" w:rsidR="00B23BAB" w:rsidRPr="00B23BAB" w:rsidRDefault="00B23BAB" w:rsidP="00B23BAB">
            <w:r w:rsidRPr="00B23BAB">
              <w:t>Псевдомембрано -зен колит (вж. точка 4.4)</w:t>
            </w:r>
          </w:p>
        </w:tc>
      </w:tr>
      <w:tr w:rsidR="00B23BAB" w14:paraId="61B6C1C1" w14:textId="77777777" w:rsidTr="00B23BAB">
        <w:tc>
          <w:tcPr>
            <w:tcW w:w="1442" w:type="dxa"/>
          </w:tcPr>
          <w:p w14:paraId="13E1EB3A" w14:textId="6C7622B8" w:rsidR="00B23BAB" w:rsidRPr="00B23BAB" w:rsidRDefault="00B23BAB" w:rsidP="00B23BAB">
            <w:r w:rsidRPr="00B23BAB">
              <w:rPr>
                <w:b/>
                <w:bCs/>
              </w:rPr>
              <w:t>Наруше</w:t>
            </w:r>
            <w:r w:rsidRPr="00B23BAB">
              <w:rPr>
                <w:b/>
                <w:bCs/>
              </w:rPr>
              <w:softHyphen/>
              <w:t>ния на кръвната и лимфната система</w:t>
            </w:r>
          </w:p>
        </w:tc>
        <w:tc>
          <w:tcPr>
            <w:tcW w:w="1159" w:type="dxa"/>
          </w:tcPr>
          <w:p w14:paraId="5D09C9D7" w14:textId="77777777" w:rsidR="00B23BAB" w:rsidRPr="00B23BAB" w:rsidRDefault="00B23BAB" w:rsidP="00B23BAB"/>
        </w:tc>
        <w:tc>
          <w:tcPr>
            <w:tcW w:w="1448" w:type="dxa"/>
          </w:tcPr>
          <w:p w14:paraId="5B9118AB" w14:textId="77777777" w:rsidR="00B23BAB" w:rsidRPr="00B23BAB" w:rsidRDefault="00B23BAB" w:rsidP="00B23BAB"/>
        </w:tc>
        <w:tc>
          <w:tcPr>
            <w:tcW w:w="1791" w:type="dxa"/>
          </w:tcPr>
          <w:p w14:paraId="0B1EE0C3" w14:textId="77777777" w:rsidR="00B23BAB" w:rsidRPr="00B23BAB" w:rsidRDefault="00B23BAB" w:rsidP="00B23BAB">
            <w:r w:rsidRPr="00B23BAB">
              <w:t>Левкопения</w:t>
            </w:r>
          </w:p>
          <w:p w14:paraId="3AA14C51" w14:textId="77777777" w:rsidR="00B23BAB" w:rsidRPr="00B23BAB" w:rsidRDefault="00B23BAB" w:rsidP="00B23BAB">
            <w:r w:rsidRPr="00B23BAB">
              <w:t>Неутропения</w:t>
            </w:r>
          </w:p>
          <w:p w14:paraId="686C309C" w14:textId="58F99119" w:rsidR="00B23BAB" w:rsidRPr="00B23BAB" w:rsidRDefault="00B23BAB" w:rsidP="00B23BAB">
            <w:r w:rsidRPr="00B23BAB">
              <w:t>Еозинофилия</w:t>
            </w:r>
          </w:p>
        </w:tc>
        <w:tc>
          <w:tcPr>
            <w:tcW w:w="1722" w:type="dxa"/>
          </w:tcPr>
          <w:p w14:paraId="1991BE5F" w14:textId="77777777" w:rsidR="00B23BAB" w:rsidRPr="00B23BAB" w:rsidRDefault="00B23BAB" w:rsidP="00B23BAB"/>
        </w:tc>
        <w:tc>
          <w:tcPr>
            <w:tcW w:w="2014" w:type="dxa"/>
          </w:tcPr>
          <w:p w14:paraId="79404578" w14:textId="77777777" w:rsidR="00B23BAB" w:rsidRPr="00B23BAB" w:rsidRDefault="00B23BAB" w:rsidP="00B23BAB">
            <w:r w:rsidRPr="00B23BAB">
              <w:t>Тромбоцитопени я</w:t>
            </w:r>
          </w:p>
          <w:p w14:paraId="31B6012F" w14:textId="77777777" w:rsidR="00B23BAB" w:rsidRPr="00B23BAB" w:rsidRDefault="00B23BAB" w:rsidP="00B23BAB">
            <w:r w:rsidRPr="00B23BAB">
              <w:t>Хемолитична</w:t>
            </w:r>
          </w:p>
          <w:p w14:paraId="0740F2FE" w14:textId="2E5833D4" w:rsidR="00B23BAB" w:rsidRPr="00B23BAB" w:rsidRDefault="00B23BAB" w:rsidP="00B23BAB">
            <w:r w:rsidRPr="00B23BAB">
              <w:t>анемия</w:t>
            </w:r>
          </w:p>
        </w:tc>
      </w:tr>
      <w:tr w:rsidR="00B23BAB" w14:paraId="26E408A0" w14:textId="77777777" w:rsidTr="00B23BAB">
        <w:tc>
          <w:tcPr>
            <w:tcW w:w="1442" w:type="dxa"/>
          </w:tcPr>
          <w:p w14:paraId="3B33EDE4" w14:textId="08C917FF" w:rsidR="00B23BAB" w:rsidRPr="00B23BAB" w:rsidRDefault="00B23BAB" w:rsidP="00B23BAB">
            <w:r w:rsidRPr="00B23BAB">
              <w:rPr>
                <w:b/>
                <w:bCs/>
              </w:rPr>
              <w:t>Наруше</w:t>
            </w:r>
            <w:r w:rsidRPr="00B23BAB">
              <w:rPr>
                <w:b/>
                <w:bCs/>
              </w:rPr>
              <w:softHyphen/>
              <w:t>ния на имунната система</w:t>
            </w:r>
          </w:p>
        </w:tc>
        <w:tc>
          <w:tcPr>
            <w:tcW w:w="1159" w:type="dxa"/>
          </w:tcPr>
          <w:p w14:paraId="523A296E" w14:textId="77777777" w:rsidR="00B23BAB" w:rsidRPr="00B23BAB" w:rsidRDefault="00B23BAB" w:rsidP="00B23BAB"/>
        </w:tc>
        <w:tc>
          <w:tcPr>
            <w:tcW w:w="1448" w:type="dxa"/>
          </w:tcPr>
          <w:p w14:paraId="1C54467E" w14:textId="77777777" w:rsidR="00B23BAB" w:rsidRPr="00B23BAB" w:rsidRDefault="00B23BAB" w:rsidP="00B23BAB"/>
        </w:tc>
        <w:tc>
          <w:tcPr>
            <w:tcW w:w="1791" w:type="dxa"/>
          </w:tcPr>
          <w:p w14:paraId="682107F8" w14:textId="25AA4C28" w:rsidR="00B23BAB" w:rsidRPr="00B23BAB" w:rsidRDefault="00B23BAB" w:rsidP="00B23BAB">
            <w:r w:rsidRPr="00B23BAB">
              <w:t>Ангиоедем Свръхчувстви</w:t>
            </w:r>
            <w:r w:rsidRPr="00B23BAB">
              <w:softHyphen/>
              <w:t>телност</w:t>
            </w:r>
          </w:p>
        </w:tc>
        <w:tc>
          <w:tcPr>
            <w:tcW w:w="1722" w:type="dxa"/>
          </w:tcPr>
          <w:p w14:paraId="563B97C6" w14:textId="77777777" w:rsidR="00B23BAB" w:rsidRPr="00B23BAB" w:rsidRDefault="00B23BAB" w:rsidP="00B23BAB"/>
        </w:tc>
        <w:tc>
          <w:tcPr>
            <w:tcW w:w="2014" w:type="dxa"/>
          </w:tcPr>
          <w:p w14:paraId="11386F0E" w14:textId="77777777" w:rsidR="00B23BAB" w:rsidRPr="00B23BAB" w:rsidRDefault="00B23BAB" w:rsidP="00B23BAB">
            <w:r w:rsidRPr="00B23BAB">
              <w:t>Анафилактична реакция</w:t>
            </w:r>
          </w:p>
          <w:p w14:paraId="473A693C" w14:textId="3D091B5E" w:rsidR="00B23BAB" w:rsidRPr="00B23BAB" w:rsidRDefault="00B23BAB" w:rsidP="00B23BAB">
            <w:r w:rsidRPr="00B23BAB">
              <w:t>(виж точка 4.4)</w:t>
            </w:r>
          </w:p>
        </w:tc>
      </w:tr>
      <w:tr w:rsidR="00B23BAB" w14:paraId="3BEC0737" w14:textId="77777777" w:rsidTr="00B23BAB">
        <w:tc>
          <w:tcPr>
            <w:tcW w:w="1442" w:type="dxa"/>
          </w:tcPr>
          <w:p w14:paraId="152BB633" w14:textId="6A7208C7" w:rsidR="00B23BAB" w:rsidRPr="00B23BAB" w:rsidRDefault="00B23BAB" w:rsidP="00B23BAB">
            <w:r w:rsidRPr="00B23BAB">
              <w:rPr>
                <w:b/>
                <w:bCs/>
              </w:rPr>
              <w:t xml:space="preserve">Наруше- ния в </w:t>
            </w:r>
            <w:r w:rsidRPr="00B23BAB">
              <w:rPr>
                <w:b/>
                <w:bCs/>
              </w:rPr>
              <w:lastRenderedPageBreak/>
              <w:t>метабо- лизма и храненето</w:t>
            </w:r>
          </w:p>
        </w:tc>
        <w:tc>
          <w:tcPr>
            <w:tcW w:w="1159" w:type="dxa"/>
          </w:tcPr>
          <w:p w14:paraId="48F96E5C" w14:textId="77777777" w:rsidR="00B23BAB" w:rsidRPr="00B23BAB" w:rsidRDefault="00B23BAB" w:rsidP="00B23BAB"/>
        </w:tc>
        <w:tc>
          <w:tcPr>
            <w:tcW w:w="1448" w:type="dxa"/>
          </w:tcPr>
          <w:p w14:paraId="240BA33A" w14:textId="77777777" w:rsidR="00B23BAB" w:rsidRPr="00B23BAB" w:rsidRDefault="00B23BAB" w:rsidP="00B23BAB"/>
        </w:tc>
        <w:tc>
          <w:tcPr>
            <w:tcW w:w="1791" w:type="dxa"/>
          </w:tcPr>
          <w:p w14:paraId="6D81BFCF" w14:textId="33C7A4B1" w:rsidR="00B23BAB" w:rsidRPr="00B23BAB" w:rsidRDefault="00B23BAB" w:rsidP="00B23BAB">
            <w:r w:rsidRPr="00B23BAB">
              <w:t>Анорексия</w:t>
            </w:r>
          </w:p>
        </w:tc>
        <w:tc>
          <w:tcPr>
            <w:tcW w:w="1722" w:type="dxa"/>
            <w:vAlign w:val="center"/>
          </w:tcPr>
          <w:p w14:paraId="25A85CF0" w14:textId="77777777" w:rsidR="00B23BAB" w:rsidRPr="00B23BAB" w:rsidRDefault="00B23BAB" w:rsidP="00B23BAB"/>
        </w:tc>
        <w:tc>
          <w:tcPr>
            <w:tcW w:w="2014" w:type="dxa"/>
          </w:tcPr>
          <w:p w14:paraId="47023D07" w14:textId="77777777" w:rsidR="00B23BAB" w:rsidRPr="00B23BAB" w:rsidRDefault="00B23BAB" w:rsidP="00B23BAB"/>
        </w:tc>
      </w:tr>
      <w:tr w:rsidR="00B23BAB" w14:paraId="0A601955" w14:textId="77777777" w:rsidTr="00B23BAB">
        <w:tc>
          <w:tcPr>
            <w:tcW w:w="1442" w:type="dxa"/>
          </w:tcPr>
          <w:p w14:paraId="68DDA25E" w14:textId="0D05F172" w:rsidR="00B23BAB" w:rsidRPr="00B23BAB" w:rsidRDefault="00B23BAB" w:rsidP="00B23BAB">
            <w:r w:rsidRPr="00B23BAB">
              <w:rPr>
                <w:b/>
                <w:bCs/>
              </w:rPr>
              <w:t>Психиа- трични наруше- ния</w:t>
            </w:r>
          </w:p>
        </w:tc>
        <w:tc>
          <w:tcPr>
            <w:tcW w:w="1159" w:type="dxa"/>
          </w:tcPr>
          <w:p w14:paraId="19AAE4BD" w14:textId="77777777" w:rsidR="00B23BAB" w:rsidRPr="00B23BAB" w:rsidRDefault="00B23BAB" w:rsidP="00B23BAB"/>
        </w:tc>
        <w:tc>
          <w:tcPr>
            <w:tcW w:w="1448" w:type="dxa"/>
          </w:tcPr>
          <w:p w14:paraId="4C15F26A" w14:textId="77777777" w:rsidR="00B23BAB" w:rsidRPr="00B23BAB" w:rsidRDefault="00B23BAB" w:rsidP="00B23BAB"/>
        </w:tc>
        <w:tc>
          <w:tcPr>
            <w:tcW w:w="1791" w:type="dxa"/>
          </w:tcPr>
          <w:p w14:paraId="0101987D" w14:textId="380C5F68" w:rsidR="00B23BAB" w:rsidRPr="00B23BAB" w:rsidRDefault="00B23BAB" w:rsidP="00B23BAB">
            <w:r w:rsidRPr="00B23BAB">
              <w:t>Нервност Безсъние</w:t>
            </w:r>
          </w:p>
        </w:tc>
        <w:tc>
          <w:tcPr>
            <w:tcW w:w="1722" w:type="dxa"/>
          </w:tcPr>
          <w:p w14:paraId="3543ADEE" w14:textId="4DB4ED13" w:rsidR="00B23BAB" w:rsidRPr="00B23BAB" w:rsidRDefault="00B23BAB" w:rsidP="00B23BAB">
            <w:r w:rsidRPr="00B23BAB">
              <w:t>Възбуда</w:t>
            </w:r>
          </w:p>
        </w:tc>
        <w:tc>
          <w:tcPr>
            <w:tcW w:w="2014" w:type="dxa"/>
          </w:tcPr>
          <w:p w14:paraId="007457FC" w14:textId="30F7D901" w:rsidR="00B23BAB" w:rsidRPr="00B23BAB" w:rsidRDefault="00B23BAB" w:rsidP="00B23BAB">
            <w:r w:rsidRPr="00B23BAB">
              <w:t>Агресия Тревожност Делир Халюцинации</w:t>
            </w:r>
          </w:p>
        </w:tc>
      </w:tr>
      <w:tr w:rsidR="00B23BAB" w14:paraId="15774C3F" w14:textId="77777777" w:rsidTr="00B23BAB">
        <w:tc>
          <w:tcPr>
            <w:tcW w:w="1442" w:type="dxa"/>
          </w:tcPr>
          <w:p w14:paraId="23B8853F" w14:textId="2F4CD2CE" w:rsidR="00B23BAB" w:rsidRPr="00B23BAB" w:rsidRDefault="00B23BAB" w:rsidP="00B23BAB">
            <w:r w:rsidRPr="00B23BAB">
              <w:rPr>
                <w:b/>
                <w:bCs/>
              </w:rPr>
              <w:t>Наруше- ния на нервната система</w:t>
            </w:r>
          </w:p>
        </w:tc>
        <w:tc>
          <w:tcPr>
            <w:tcW w:w="1159" w:type="dxa"/>
          </w:tcPr>
          <w:p w14:paraId="78DC816C" w14:textId="77777777" w:rsidR="00B23BAB" w:rsidRPr="00B23BAB" w:rsidRDefault="00B23BAB" w:rsidP="00B23BAB"/>
        </w:tc>
        <w:tc>
          <w:tcPr>
            <w:tcW w:w="1448" w:type="dxa"/>
          </w:tcPr>
          <w:p w14:paraId="3E5E0DA3" w14:textId="314001B4" w:rsidR="00B23BAB" w:rsidRPr="00B23BAB" w:rsidRDefault="00B23BAB" w:rsidP="00B23BAB">
            <w:r w:rsidRPr="00B23BAB">
              <w:t>Главоболие</w:t>
            </w:r>
          </w:p>
        </w:tc>
        <w:tc>
          <w:tcPr>
            <w:tcW w:w="1791" w:type="dxa"/>
          </w:tcPr>
          <w:p w14:paraId="7F8E1A32" w14:textId="77777777" w:rsidR="00B23BAB" w:rsidRPr="00B23BAB" w:rsidRDefault="00B23BAB" w:rsidP="00B23BAB">
            <w:r w:rsidRPr="00B23BAB">
              <w:t>Замаяност</w:t>
            </w:r>
          </w:p>
          <w:p w14:paraId="393DF45E" w14:textId="098FFF22" w:rsidR="00B23BAB" w:rsidRPr="00B23BAB" w:rsidRDefault="00B23BAB" w:rsidP="00B23BAB">
            <w:r w:rsidRPr="00B23BAB">
              <w:t>Сънливост Дисгеузия Парестезия</w:t>
            </w:r>
          </w:p>
        </w:tc>
        <w:tc>
          <w:tcPr>
            <w:tcW w:w="1722" w:type="dxa"/>
          </w:tcPr>
          <w:p w14:paraId="18D47EEF" w14:textId="77777777" w:rsidR="00B23BAB" w:rsidRPr="00B23BAB" w:rsidRDefault="00B23BAB" w:rsidP="00B23BAB"/>
        </w:tc>
        <w:tc>
          <w:tcPr>
            <w:tcW w:w="2014" w:type="dxa"/>
          </w:tcPr>
          <w:p w14:paraId="2B1666ED" w14:textId="743B5E57" w:rsidR="00B23BAB" w:rsidRPr="00B23BAB" w:rsidRDefault="00B23BAB" w:rsidP="00B23BAB">
            <w:r w:rsidRPr="00B23BAB">
              <w:t>Синкоп, конвулсия Хипоестезия Психомоторна хиперактивност Аносмия Агеусия Паросмия</w:t>
            </w:r>
          </w:p>
        </w:tc>
      </w:tr>
      <w:tr w:rsidR="00B23BAB" w14:paraId="58245D9F" w14:textId="77777777" w:rsidTr="00B23BAB">
        <w:tc>
          <w:tcPr>
            <w:tcW w:w="1442" w:type="dxa"/>
          </w:tcPr>
          <w:p w14:paraId="1CB4BE91" w14:textId="249F2924" w:rsidR="00B23BAB" w:rsidRPr="00B23BAB" w:rsidRDefault="00B23BAB" w:rsidP="00B23BAB">
            <w:r w:rsidRPr="00B23BAB">
              <w:rPr>
                <w:b/>
                <w:bCs/>
              </w:rPr>
              <w:t>Наруше- ния в очите</w:t>
            </w:r>
          </w:p>
        </w:tc>
        <w:tc>
          <w:tcPr>
            <w:tcW w:w="1159" w:type="dxa"/>
          </w:tcPr>
          <w:p w14:paraId="5CFF848F" w14:textId="77777777" w:rsidR="00B23BAB" w:rsidRPr="00B23BAB" w:rsidRDefault="00B23BAB" w:rsidP="00B23BAB"/>
        </w:tc>
        <w:tc>
          <w:tcPr>
            <w:tcW w:w="1448" w:type="dxa"/>
          </w:tcPr>
          <w:p w14:paraId="518D5184" w14:textId="77777777" w:rsidR="00B23BAB" w:rsidRPr="00B23BAB" w:rsidRDefault="00B23BAB" w:rsidP="00B23BAB"/>
        </w:tc>
        <w:tc>
          <w:tcPr>
            <w:tcW w:w="1791" w:type="dxa"/>
          </w:tcPr>
          <w:p w14:paraId="357D208D" w14:textId="08FA1589" w:rsidR="00B23BAB" w:rsidRPr="00B23BAB" w:rsidRDefault="00B23BAB" w:rsidP="00B23BAB">
            <w:r w:rsidRPr="00B23BAB">
              <w:t>Зрителни нарушения</w:t>
            </w:r>
          </w:p>
        </w:tc>
        <w:tc>
          <w:tcPr>
            <w:tcW w:w="1722" w:type="dxa"/>
          </w:tcPr>
          <w:p w14:paraId="1C5694C5" w14:textId="77777777" w:rsidR="00B23BAB" w:rsidRPr="00B23BAB" w:rsidRDefault="00B23BAB" w:rsidP="00B23BAB"/>
        </w:tc>
        <w:tc>
          <w:tcPr>
            <w:tcW w:w="2014" w:type="dxa"/>
          </w:tcPr>
          <w:p w14:paraId="40961159" w14:textId="77777777" w:rsidR="00B23BAB" w:rsidRPr="00B23BAB" w:rsidRDefault="00B23BAB" w:rsidP="00B23BAB"/>
        </w:tc>
      </w:tr>
      <w:tr w:rsidR="00B23BAB" w14:paraId="320A738E" w14:textId="77777777" w:rsidTr="00B23BAB">
        <w:tc>
          <w:tcPr>
            <w:tcW w:w="1442" w:type="dxa"/>
          </w:tcPr>
          <w:p w14:paraId="062871E2" w14:textId="7D18D8DF" w:rsidR="00B23BAB" w:rsidRPr="00B23BAB" w:rsidRDefault="00B23BAB" w:rsidP="00B23BAB">
            <w:r w:rsidRPr="00B23BAB">
              <w:rPr>
                <w:b/>
                <w:bCs/>
              </w:rPr>
              <w:t>Наруше- ния на ушите и лабиринта</w:t>
            </w:r>
          </w:p>
        </w:tc>
        <w:tc>
          <w:tcPr>
            <w:tcW w:w="1159" w:type="dxa"/>
          </w:tcPr>
          <w:p w14:paraId="58A5ABC3" w14:textId="77777777" w:rsidR="00B23BAB" w:rsidRPr="00B23BAB" w:rsidRDefault="00B23BAB" w:rsidP="00B23BAB"/>
        </w:tc>
        <w:tc>
          <w:tcPr>
            <w:tcW w:w="1448" w:type="dxa"/>
          </w:tcPr>
          <w:p w14:paraId="66BB4EAD" w14:textId="77777777" w:rsidR="00B23BAB" w:rsidRPr="00B23BAB" w:rsidRDefault="00B23BAB" w:rsidP="00B23BAB"/>
        </w:tc>
        <w:tc>
          <w:tcPr>
            <w:tcW w:w="1791" w:type="dxa"/>
          </w:tcPr>
          <w:p w14:paraId="3AC61FD6" w14:textId="3D44D461" w:rsidR="00B23BAB" w:rsidRPr="00B23BAB" w:rsidRDefault="00B23BAB" w:rsidP="00B23BAB">
            <w:r w:rsidRPr="00B23BAB">
              <w:t>Нарушения в ушите, световъртеж</w:t>
            </w:r>
          </w:p>
        </w:tc>
        <w:tc>
          <w:tcPr>
            <w:tcW w:w="1722" w:type="dxa"/>
          </w:tcPr>
          <w:p w14:paraId="5DC0182D" w14:textId="77777777" w:rsidR="00B23BAB" w:rsidRPr="00B23BAB" w:rsidRDefault="00B23BAB" w:rsidP="00B23BAB"/>
        </w:tc>
        <w:tc>
          <w:tcPr>
            <w:tcW w:w="2014" w:type="dxa"/>
          </w:tcPr>
          <w:p w14:paraId="2D6C6278" w14:textId="14946056" w:rsidR="00B23BAB" w:rsidRPr="00B23BAB" w:rsidRDefault="00B23BAB" w:rsidP="00B23BAB">
            <w:r w:rsidRPr="00B23BAB">
              <w:t>Слухови нарушения включително глухота и/или тинитус</w:t>
            </w:r>
          </w:p>
        </w:tc>
      </w:tr>
      <w:tr w:rsidR="00B23BAB" w14:paraId="4C0CB948" w14:textId="77777777" w:rsidTr="00B23BAB">
        <w:tc>
          <w:tcPr>
            <w:tcW w:w="1442" w:type="dxa"/>
          </w:tcPr>
          <w:p w14:paraId="55FFDFE2" w14:textId="7D72EF8E" w:rsidR="00B23BAB" w:rsidRPr="00B23BAB" w:rsidRDefault="00B23BAB" w:rsidP="00B23BAB">
            <w:r w:rsidRPr="00B23BAB">
              <w:rPr>
                <w:b/>
                <w:bCs/>
              </w:rPr>
              <w:t>Сърдечни наруше</w:t>
            </w:r>
            <w:r w:rsidRPr="00B23BAB">
              <w:rPr>
                <w:b/>
                <w:bCs/>
              </w:rPr>
              <w:softHyphen/>
              <w:t>ния</w:t>
            </w:r>
          </w:p>
        </w:tc>
        <w:tc>
          <w:tcPr>
            <w:tcW w:w="1159" w:type="dxa"/>
          </w:tcPr>
          <w:p w14:paraId="543CBE03" w14:textId="77777777" w:rsidR="00B23BAB" w:rsidRPr="00B23BAB" w:rsidRDefault="00B23BAB" w:rsidP="00B23BAB"/>
        </w:tc>
        <w:tc>
          <w:tcPr>
            <w:tcW w:w="1448" w:type="dxa"/>
          </w:tcPr>
          <w:p w14:paraId="39525BEC" w14:textId="77777777" w:rsidR="00B23BAB" w:rsidRPr="00B23BAB" w:rsidRDefault="00B23BAB" w:rsidP="00B23BAB"/>
        </w:tc>
        <w:tc>
          <w:tcPr>
            <w:tcW w:w="1791" w:type="dxa"/>
          </w:tcPr>
          <w:p w14:paraId="279D369E" w14:textId="3D5D079B" w:rsidR="00B23BAB" w:rsidRPr="00B23BAB" w:rsidRDefault="00B23BAB" w:rsidP="00B23BAB">
            <w:r w:rsidRPr="00B23BAB">
              <w:t>Палпитации</w:t>
            </w:r>
          </w:p>
        </w:tc>
        <w:tc>
          <w:tcPr>
            <w:tcW w:w="1722" w:type="dxa"/>
          </w:tcPr>
          <w:p w14:paraId="5545029F" w14:textId="77777777" w:rsidR="00B23BAB" w:rsidRPr="00B23BAB" w:rsidRDefault="00B23BAB" w:rsidP="00B23BAB"/>
        </w:tc>
        <w:tc>
          <w:tcPr>
            <w:tcW w:w="2014" w:type="dxa"/>
          </w:tcPr>
          <w:p w14:paraId="53826294" w14:textId="34F9AA3D" w:rsidR="00B23BAB" w:rsidRPr="00B23BAB" w:rsidRDefault="00B23BAB" w:rsidP="00B23BAB">
            <w:proofErr w:type="spellStart"/>
            <w:r w:rsidRPr="00B23BAB">
              <w:rPr>
                <w:lang w:val="en-US"/>
              </w:rPr>
              <w:t>Torsades</w:t>
            </w:r>
            <w:proofErr w:type="spellEnd"/>
            <w:r w:rsidRPr="00B23BAB">
              <w:t xml:space="preserve"> </w:t>
            </w:r>
            <w:r w:rsidRPr="00B23BAB">
              <w:rPr>
                <w:lang w:val="en-US"/>
              </w:rPr>
              <w:t>de</w:t>
            </w:r>
            <w:r w:rsidRPr="00B23BAB">
              <w:t xml:space="preserve"> </w:t>
            </w:r>
            <w:r w:rsidRPr="00B23BAB">
              <w:rPr>
                <w:lang w:val="en-US"/>
              </w:rPr>
              <w:t>pointes</w:t>
            </w:r>
            <w:r w:rsidRPr="00B23BAB">
              <w:t xml:space="preserve"> (вж. точка 4.4) Аритмия (вж. точка 4.4) вкл. вентрикуларна тахикардия Удължен </w:t>
            </w:r>
            <w:r w:rsidRPr="00B23BAB">
              <w:rPr>
                <w:lang w:val="en-US"/>
              </w:rPr>
              <w:t>QT</w:t>
            </w:r>
            <w:r w:rsidRPr="00B23BAB">
              <w:t xml:space="preserve"> при електрокардиогр а-ма (виж точка 4.4)</w:t>
            </w:r>
          </w:p>
        </w:tc>
      </w:tr>
      <w:tr w:rsidR="00B23BAB" w14:paraId="44B1CED3" w14:textId="77777777" w:rsidTr="00B23BAB">
        <w:tc>
          <w:tcPr>
            <w:tcW w:w="1442" w:type="dxa"/>
            <w:vAlign w:val="bottom"/>
          </w:tcPr>
          <w:p w14:paraId="1F2CE01E" w14:textId="6904B356" w:rsidR="00B23BAB" w:rsidRPr="00B23BAB" w:rsidRDefault="00B23BAB" w:rsidP="00B23BAB">
            <w:r w:rsidRPr="00B23BAB">
              <w:rPr>
                <w:b/>
                <w:bCs/>
              </w:rPr>
              <w:t>Съдови нарушени</w:t>
            </w:r>
          </w:p>
        </w:tc>
        <w:tc>
          <w:tcPr>
            <w:tcW w:w="1159" w:type="dxa"/>
          </w:tcPr>
          <w:p w14:paraId="179E9407" w14:textId="77777777" w:rsidR="00B23BAB" w:rsidRPr="00B23BAB" w:rsidRDefault="00B23BAB" w:rsidP="00B23BAB"/>
        </w:tc>
        <w:tc>
          <w:tcPr>
            <w:tcW w:w="1448" w:type="dxa"/>
          </w:tcPr>
          <w:p w14:paraId="39A17BB4" w14:textId="77777777" w:rsidR="00B23BAB" w:rsidRPr="00B23BAB" w:rsidRDefault="00B23BAB" w:rsidP="00B23BAB"/>
        </w:tc>
        <w:tc>
          <w:tcPr>
            <w:tcW w:w="1791" w:type="dxa"/>
          </w:tcPr>
          <w:p w14:paraId="031373D9" w14:textId="7460C786" w:rsidR="00B23BAB" w:rsidRPr="00B23BAB" w:rsidRDefault="00B23BAB" w:rsidP="00B23BAB">
            <w:r w:rsidRPr="00B23BAB">
              <w:t>Горещи вълни</w:t>
            </w:r>
          </w:p>
        </w:tc>
        <w:tc>
          <w:tcPr>
            <w:tcW w:w="1722" w:type="dxa"/>
          </w:tcPr>
          <w:p w14:paraId="1C4FFBF0" w14:textId="77777777" w:rsidR="00B23BAB" w:rsidRPr="00B23BAB" w:rsidRDefault="00B23BAB" w:rsidP="00B23BAB"/>
        </w:tc>
        <w:tc>
          <w:tcPr>
            <w:tcW w:w="2014" w:type="dxa"/>
          </w:tcPr>
          <w:p w14:paraId="4380F131" w14:textId="3FD3655A" w:rsidR="00B23BAB" w:rsidRPr="00B23BAB" w:rsidRDefault="00B23BAB" w:rsidP="00B23BAB">
            <w:r w:rsidRPr="00B23BAB">
              <w:t>Хипотония</w:t>
            </w:r>
          </w:p>
        </w:tc>
      </w:tr>
      <w:tr w:rsidR="00B23BAB" w14:paraId="4B807BD2" w14:textId="77777777" w:rsidTr="00B23BAB">
        <w:tc>
          <w:tcPr>
            <w:tcW w:w="1442" w:type="dxa"/>
            <w:vAlign w:val="bottom"/>
          </w:tcPr>
          <w:p w14:paraId="2BE40956" w14:textId="77777777" w:rsidR="00B23BAB" w:rsidRPr="00B23BAB" w:rsidRDefault="00B23BAB" w:rsidP="00B23BAB">
            <w:r w:rsidRPr="00B23BAB">
              <w:rPr>
                <w:b/>
                <w:bCs/>
              </w:rPr>
              <w:t>Дихател- ни, торакални и медиасти- нални наруше-</w:t>
            </w:r>
          </w:p>
          <w:p w14:paraId="74584F50" w14:textId="6646E156" w:rsidR="00B23BAB" w:rsidRPr="00B23BAB" w:rsidRDefault="00B23BAB" w:rsidP="00B23BAB">
            <w:r w:rsidRPr="00B23BAB">
              <w:rPr>
                <w:b/>
                <w:bCs/>
              </w:rPr>
              <w:t>ния</w:t>
            </w:r>
          </w:p>
        </w:tc>
        <w:tc>
          <w:tcPr>
            <w:tcW w:w="1159" w:type="dxa"/>
          </w:tcPr>
          <w:p w14:paraId="7AE7A805" w14:textId="77777777" w:rsidR="00B23BAB" w:rsidRPr="00B23BAB" w:rsidRDefault="00B23BAB" w:rsidP="00B23BAB"/>
        </w:tc>
        <w:tc>
          <w:tcPr>
            <w:tcW w:w="1448" w:type="dxa"/>
          </w:tcPr>
          <w:p w14:paraId="2425C0AE" w14:textId="77777777" w:rsidR="00B23BAB" w:rsidRPr="00B23BAB" w:rsidRDefault="00B23BAB" w:rsidP="00B23BAB"/>
        </w:tc>
        <w:tc>
          <w:tcPr>
            <w:tcW w:w="1791" w:type="dxa"/>
          </w:tcPr>
          <w:p w14:paraId="575D863C" w14:textId="483F89D1" w:rsidR="00B23BAB" w:rsidRPr="00B23BAB" w:rsidRDefault="00B23BAB" w:rsidP="00B23BAB">
            <w:r w:rsidRPr="00B23BAB">
              <w:t>Диспное, Епистаксис</w:t>
            </w:r>
          </w:p>
        </w:tc>
        <w:tc>
          <w:tcPr>
            <w:tcW w:w="1722" w:type="dxa"/>
          </w:tcPr>
          <w:p w14:paraId="39F3A063" w14:textId="77777777" w:rsidR="00B23BAB" w:rsidRPr="00B23BAB" w:rsidRDefault="00B23BAB" w:rsidP="00B23BAB"/>
        </w:tc>
        <w:tc>
          <w:tcPr>
            <w:tcW w:w="2014" w:type="dxa"/>
          </w:tcPr>
          <w:p w14:paraId="525CC1B7" w14:textId="77777777" w:rsidR="00B23BAB" w:rsidRPr="00B23BAB" w:rsidRDefault="00B23BAB" w:rsidP="00B23BAB"/>
        </w:tc>
      </w:tr>
      <w:tr w:rsidR="00B23BAB" w14:paraId="5970D330" w14:textId="77777777" w:rsidTr="00B23BAB">
        <w:tc>
          <w:tcPr>
            <w:tcW w:w="1442" w:type="dxa"/>
          </w:tcPr>
          <w:p w14:paraId="1B1B082D" w14:textId="4EB477AF" w:rsidR="00B23BAB" w:rsidRPr="00B23BAB" w:rsidRDefault="00B23BAB" w:rsidP="00B23BAB">
            <w:r w:rsidRPr="00B23BAB">
              <w:rPr>
                <w:b/>
                <w:bCs/>
              </w:rPr>
              <w:t>Гастро- интести- налии наруше- ния</w:t>
            </w:r>
          </w:p>
        </w:tc>
        <w:tc>
          <w:tcPr>
            <w:tcW w:w="1159" w:type="dxa"/>
          </w:tcPr>
          <w:p w14:paraId="77155480" w14:textId="7C604485" w:rsidR="00B23BAB" w:rsidRPr="00B23BAB" w:rsidRDefault="00B23BAB" w:rsidP="00B23BAB">
            <w:r w:rsidRPr="00B23BAB">
              <w:t>Диария</w:t>
            </w:r>
          </w:p>
        </w:tc>
        <w:tc>
          <w:tcPr>
            <w:tcW w:w="1448" w:type="dxa"/>
          </w:tcPr>
          <w:p w14:paraId="0857AE83" w14:textId="14319B41" w:rsidR="00B23BAB" w:rsidRPr="00B23BAB" w:rsidRDefault="00B23BAB" w:rsidP="00B23BAB">
            <w:r w:rsidRPr="00B23BAB">
              <w:t>Повръщане Коремна болка Гадене</w:t>
            </w:r>
          </w:p>
        </w:tc>
        <w:tc>
          <w:tcPr>
            <w:tcW w:w="1791" w:type="dxa"/>
          </w:tcPr>
          <w:p w14:paraId="26CE7C62" w14:textId="4E1DC6AF" w:rsidR="00B23BAB" w:rsidRPr="00B23BAB" w:rsidRDefault="00B23BAB" w:rsidP="00B23BAB">
            <w:r w:rsidRPr="00B23BAB">
              <w:t xml:space="preserve">Констипация Газове Диспепсия Гастрит Дисфагия </w:t>
            </w:r>
            <w:r w:rsidRPr="00B23BAB">
              <w:lastRenderedPageBreak/>
              <w:t>Подуване на корема Сухота в устата Оригване Язви в устата Хиперсекреция на слюнка</w:t>
            </w:r>
          </w:p>
        </w:tc>
        <w:tc>
          <w:tcPr>
            <w:tcW w:w="1722" w:type="dxa"/>
          </w:tcPr>
          <w:p w14:paraId="5A867632" w14:textId="77777777" w:rsidR="00B23BAB" w:rsidRPr="00B23BAB" w:rsidRDefault="00B23BAB" w:rsidP="00B23BAB"/>
        </w:tc>
        <w:tc>
          <w:tcPr>
            <w:tcW w:w="2014" w:type="dxa"/>
          </w:tcPr>
          <w:p w14:paraId="737137A6" w14:textId="675BF8A5" w:rsidR="00B23BAB" w:rsidRPr="00B23BAB" w:rsidRDefault="00B23BAB" w:rsidP="00B23BAB">
            <w:r w:rsidRPr="00B23BAB">
              <w:t>Панкреатит Обезцветяване на езика</w:t>
            </w:r>
          </w:p>
        </w:tc>
      </w:tr>
      <w:tr w:rsidR="00B23BAB" w14:paraId="0B23529C" w14:textId="77777777" w:rsidTr="00B23BAB">
        <w:tc>
          <w:tcPr>
            <w:tcW w:w="1442" w:type="dxa"/>
          </w:tcPr>
          <w:p w14:paraId="5862CA41" w14:textId="4E5EC04F" w:rsidR="00B23BAB" w:rsidRPr="00B23BAB" w:rsidRDefault="00B23BAB" w:rsidP="00B23BAB">
            <w:r w:rsidRPr="00B23BAB">
              <w:rPr>
                <w:b/>
                <w:bCs/>
              </w:rPr>
              <w:t>Хепатобн- лиарни наруше- ния</w:t>
            </w:r>
          </w:p>
        </w:tc>
        <w:tc>
          <w:tcPr>
            <w:tcW w:w="1159" w:type="dxa"/>
          </w:tcPr>
          <w:p w14:paraId="60F5F614" w14:textId="77777777" w:rsidR="00B23BAB" w:rsidRPr="00B23BAB" w:rsidRDefault="00B23BAB" w:rsidP="00B23BAB"/>
        </w:tc>
        <w:tc>
          <w:tcPr>
            <w:tcW w:w="1448" w:type="dxa"/>
          </w:tcPr>
          <w:p w14:paraId="56EE4EA2" w14:textId="77777777" w:rsidR="00B23BAB" w:rsidRPr="00B23BAB" w:rsidRDefault="00B23BAB" w:rsidP="00B23BAB"/>
        </w:tc>
        <w:tc>
          <w:tcPr>
            <w:tcW w:w="1791" w:type="dxa"/>
          </w:tcPr>
          <w:p w14:paraId="0F4B6FE0" w14:textId="77777777" w:rsidR="00B23BAB" w:rsidRPr="00B23BAB" w:rsidRDefault="00B23BAB" w:rsidP="00B23BAB"/>
        </w:tc>
        <w:tc>
          <w:tcPr>
            <w:tcW w:w="1722" w:type="dxa"/>
          </w:tcPr>
          <w:p w14:paraId="5C0FA1BD" w14:textId="240485E5" w:rsidR="00B23BAB" w:rsidRPr="00B23BAB" w:rsidRDefault="00B23BAB" w:rsidP="00B23BAB">
            <w:r w:rsidRPr="00B23BAB">
              <w:t>Натипична чернодроб-на функция Холеста- тична жълтеница</w:t>
            </w:r>
          </w:p>
        </w:tc>
        <w:tc>
          <w:tcPr>
            <w:tcW w:w="2014" w:type="dxa"/>
          </w:tcPr>
          <w:p w14:paraId="5EBCC6CB" w14:textId="5C916AF2" w:rsidR="00B23BAB" w:rsidRPr="00B23BAB" w:rsidRDefault="00B23BAB" w:rsidP="00B23BAB">
            <w:r w:rsidRPr="00B23BAB">
              <w:t>Чернодробна недостъпност (която рядко завършва със смърт)(вж.точка 4.4) Фулминантен хепатит Чернодробна некроза</w:t>
            </w:r>
          </w:p>
        </w:tc>
      </w:tr>
      <w:tr w:rsidR="00B23BAB" w14:paraId="435EC2C4" w14:textId="77777777" w:rsidTr="00B23BAB">
        <w:tc>
          <w:tcPr>
            <w:tcW w:w="1442" w:type="dxa"/>
          </w:tcPr>
          <w:p w14:paraId="6524DD9F" w14:textId="51C0AE10" w:rsidR="00B23BAB" w:rsidRPr="00B23BAB" w:rsidRDefault="00B23BAB" w:rsidP="00B23BAB">
            <w:r w:rsidRPr="00B23BAB">
              <w:rPr>
                <w:b/>
                <w:bCs/>
              </w:rPr>
              <w:t>Наруше</w:t>
            </w:r>
            <w:r w:rsidRPr="00B23BAB">
              <w:rPr>
                <w:b/>
                <w:bCs/>
              </w:rPr>
              <w:softHyphen/>
              <w:t>ния на кожата и подкожна- та тъкан</w:t>
            </w:r>
          </w:p>
        </w:tc>
        <w:tc>
          <w:tcPr>
            <w:tcW w:w="1159" w:type="dxa"/>
          </w:tcPr>
          <w:p w14:paraId="52570A62" w14:textId="77777777" w:rsidR="00B23BAB" w:rsidRPr="00B23BAB" w:rsidRDefault="00B23BAB" w:rsidP="00B23BAB"/>
        </w:tc>
        <w:tc>
          <w:tcPr>
            <w:tcW w:w="1448" w:type="dxa"/>
          </w:tcPr>
          <w:p w14:paraId="70362179" w14:textId="77777777" w:rsidR="00B23BAB" w:rsidRPr="00B23BAB" w:rsidRDefault="00B23BAB" w:rsidP="00B23BAB"/>
        </w:tc>
        <w:tc>
          <w:tcPr>
            <w:tcW w:w="1791" w:type="dxa"/>
          </w:tcPr>
          <w:p w14:paraId="67AF10EC" w14:textId="67E28815" w:rsidR="00B23BAB" w:rsidRPr="00B23BAB" w:rsidRDefault="00B23BAB" w:rsidP="00B23BAB">
            <w:r w:rsidRPr="00B23BAB">
              <w:t>Обрив Прурит Уртикария Дерматит Суха кожа Хиперхидроза</w:t>
            </w:r>
          </w:p>
        </w:tc>
        <w:tc>
          <w:tcPr>
            <w:tcW w:w="1722" w:type="dxa"/>
          </w:tcPr>
          <w:p w14:paraId="42291237" w14:textId="788B7986" w:rsidR="00B23BAB" w:rsidRPr="00B23BAB" w:rsidRDefault="00B23BAB" w:rsidP="00B23BAB">
            <w:r w:rsidRPr="00B23BAB">
              <w:t xml:space="preserve">Реакция на фоточув- ствител-ност, остра генерализира на екзантематозн а пустулоза </w:t>
            </w:r>
            <w:r w:rsidRPr="00B23BAB">
              <w:rPr>
                <w:lang w:val="ru-RU"/>
              </w:rPr>
              <w:t>(</w:t>
            </w:r>
            <w:r w:rsidRPr="00B23BAB">
              <w:rPr>
                <w:lang w:val="en-US"/>
              </w:rPr>
              <w:t>AGEP</w:t>
            </w:r>
            <w:r w:rsidRPr="00B23BAB">
              <w:rPr>
                <w:lang w:val="ru-RU"/>
              </w:rPr>
              <w:t>)</w:t>
            </w:r>
          </w:p>
        </w:tc>
        <w:tc>
          <w:tcPr>
            <w:tcW w:w="2014" w:type="dxa"/>
          </w:tcPr>
          <w:p w14:paraId="3CAC91B6" w14:textId="19C1F91A" w:rsidR="00B23BAB" w:rsidRPr="00B23BAB" w:rsidRDefault="00B23BAB" w:rsidP="00B23BAB">
            <w:r w:rsidRPr="00B23BAB">
              <w:t xml:space="preserve">Синдром на </w:t>
            </w:r>
            <w:r w:rsidRPr="00B23BAB">
              <w:rPr>
                <w:lang w:val="en-US"/>
              </w:rPr>
              <w:t>Stevens</w:t>
            </w:r>
            <w:r w:rsidRPr="00B23BAB">
              <w:rPr>
                <w:lang w:val="ru-RU"/>
              </w:rPr>
              <w:t>-</w:t>
            </w:r>
            <w:r w:rsidRPr="00B23BAB">
              <w:rPr>
                <w:lang w:val="en-US"/>
              </w:rPr>
              <w:t>Johnson</w:t>
            </w:r>
            <w:r w:rsidRPr="00B23BAB">
              <w:rPr>
                <w:lang w:val="ru-RU"/>
              </w:rPr>
              <w:t xml:space="preserve"> </w:t>
            </w:r>
            <w:r w:rsidRPr="00B23BAB">
              <w:t>Токсична епидермална некролиза Еритема мултиформе</w:t>
            </w:r>
          </w:p>
        </w:tc>
      </w:tr>
      <w:tr w:rsidR="00B23BAB" w14:paraId="7922BAF5" w14:textId="77777777" w:rsidTr="00B23BAB">
        <w:tc>
          <w:tcPr>
            <w:tcW w:w="1442" w:type="dxa"/>
          </w:tcPr>
          <w:p w14:paraId="2562B644" w14:textId="417E11D1" w:rsidR="00B23BAB" w:rsidRPr="00B23BAB" w:rsidRDefault="00B23BAB" w:rsidP="00B23BAB">
            <w:r w:rsidRPr="00B23BAB">
              <w:rPr>
                <w:b/>
                <w:bCs/>
              </w:rPr>
              <w:t>Мускуло- скелетни наруше- ния и наруше- ния на съедини- телната тъкан</w:t>
            </w:r>
          </w:p>
        </w:tc>
        <w:tc>
          <w:tcPr>
            <w:tcW w:w="1159" w:type="dxa"/>
          </w:tcPr>
          <w:p w14:paraId="56F7191B" w14:textId="77777777" w:rsidR="00B23BAB" w:rsidRPr="00B23BAB" w:rsidRDefault="00B23BAB" w:rsidP="00B23BAB"/>
        </w:tc>
        <w:tc>
          <w:tcPr>
            <w:tcW w:w="1448" w:type="dxa"/>
          </w:tcPr>
          <w:p w14:paraId="608B08CF" w14:textId="77777777" w:rsidR="00B23BAB" w:rsidRPr="00B23BAB" w:rsidRDefault="00B23BAB" w:rsidP="00B23BAB"/>
        </w:tc>
        <w:tc>
          <w:tcPr>
            <w:tcW w:w="1791" w:type="dxa"/>
          </w:tcPr>
          <w:p w14:paraId="50DDCB89" w14:textId="1C7E61AF" w:rsidR="00B23BAB" w:rsidRPr="00B23BAB" w:rsidRDefault="00B23BAB" w:rsidP="00B23BAB">
            <w:r w:rsidRPr="00B23BAB">
              <w:t>Остеоартрит Миалгия Болки в гърба и врата</w:t>
            </w:r>
          </w:p>
        </w:tc>
        <w:tc>
          <w:tcPr>
            <w:tcW w:w="1722" w:type="dxa"/>
          </w:tcPr>
          <w:p w14:paraId="67D6148B" w14:textId="77777777" w:rsidR="00B23BAB" w:rsidRPr="00B23BAB" w:rsidRDefault="00B23BAB" w:rsidP="00B23BAB"/>
        </w:tc>
        <w:tc>
          <w:tcPr>
            <w:tcW w:w="2014" w:type="dxa"/>
          </w:tcPr>
          <w:p w14:paraId="1ADF072B" w14:textId="3776397C" w:rsidR="00B23BAB" w:rsidRPr="00B23BAB" w:rsidRDefault="00B23BAB" w:rsidP="00B23BAB">
            <w:r w:rsidRPr="00B23BAB">
              <w:t>Артралгия</w:t>
            </w:r>
          </w:p>
        </w:tc>
      </w:tr>
      <w:tr w:rsidR="00B23BAB" w14:paraId="462DF51B" w14:textId="77777777" w:rsidTr="00B23BAB">
        <w:tc>
          <w:tcPr>
            <w:tcW w:w="1442" w:type="dxa"/>
          </w:tcPr>
          <w:p w14:paraId="446B4E00" w14:textId="4D882BC1" w:rsidR="00B23BAB" w:rsidRPr="00B23BAB" w:rsidRDefault="00B23BAB" w:rsidP="00B23BAB">
            <w:r w:rsidRPr="00B23BAB">
              <w:rPr>
                <w:b/>
                <w:bCs/>
              </w:rPr>
              <w:t>Наруше- ния на бъбреци- те и уринар- ната ситема</w:t>
            </w:r>
          </w:p>
        </w:tc>
        <w:tc>
          <w:tcPr>
            <w:tcW w:w="1159" w:type="dxa"/>
          </w:tcPr>
          <w:p w14:paraId="639C3FB9" w14:textId="77777777" w:rsidR="00B23BAB" w:rsidRPr="00B23BAB" w:rsidRDefault="00B23BAB" w:rsidP="00B23BAB"/>
        </w:tc>
        <w:tc>
          <w:tcPr>
            <w:tcW w:w="1448" w:type="dxa"/>
          </w:tcPr>
          <w:p w14:paraId="7C45815B" w14:textId="77777777" w:rsidR="00B23BAB" w:rsidRPr="00B23BAB" w:rsidRDefault="00B23BAB" w:rsidP="00B23BAB"/>
        </w:tc>
        <w:tc>
          <w:tcPr>
            <w:tcW w:w="1791" w:type="dxa"/>
          </w:tcPr>
          <w:p w14:paraId="11808882" w14:textId="7C035F8E" w:rsidR="00B23BAB" w:rsidRPr="00B23BAB" w:rsidRDefault="00B23BAB" w:rsidP="00B23BAB">
            <w:r w:rsidRPr="00B23BAB">
              <w:t>Дизурия Болка в бъбреците</w:t>
            </w:r>
          </w:p>
        </w:tc>
        <w:tc>
          <w:tcPr>
            <w:tcW w:w="1722" w:type="dxa"/>
          </w:tcPr>
          <w:p w14:paraId="0B018DDD" w14:textId="77777777" w:rsidR="00B23BAB" w:rsidRPr="00B23BAB" w:rsidRDefault="00B23BAB" w:rsidP="00B23BAB"/>
        </w:tc>
        <w:tc>
          <w:tcPr>
            <w:tcW w:w="2014" w:type="dxa"/>
          </w:tcPr>
          <w:p w14:paraId="55AC1852" w14:textId="2875BFA0" w:rsidR="00B23BAB" w:rsidRPr="00B23BAB" w:rsidRDefault="00B23BAB" w:rsidP="00B23BAB">
            <w:r w:rsidRPr="00B23BAB">
              <w:t>Остра бъбречна недостатъчност Интерстициален нефрит</w:t>
            </w:r>
          </w:p>
        </w:tc>
      </w:tr>
      <w:tr w:rsidR="00B23BAB" w14:paraId="136C61D7" w14:textId="77777777" w:rsidTr="00B23BAB">
        <w:tc>
          <w:tcPr>
            <w:tcW w:w="1442" w:type="dxa"/>
          </w:tcPr>
          <w:p w14:paraId="6C20D530" w14:textId="48452C79" w:rsidR="00B23BAB" w:rsidRPr="00B23BAB" w:rsidRDefault="00B23BAB" w:rsidP="00B23BAB">
            <w:r w:rsidRPr="00B23BAB">
              <w:rPr>
                <w:b/>
                <w:bCs/>
              </w:rPr>
              <w:t>Наруше- ния иа половата ситема и гърдите</w:t>
            </w:r>
          </w:p>
        </w:tc>
        <w:tc>
          <w:tcPr>
            <w:tcW w:w="1159" w:type="dxa"/>
          </w:tcPr>
          <w:p w14:paraId="429F7E1C" w14:textId="77777777" w:rsidR="00B23BAB" w:rsidRPr="00B23BAB" w:rsidRDefault="00B23BAB" w:rsidP="00B23BAB"/>
        </w:tc>
        <w:tc>
          <w:tcPr>
            <w:tcW w:w="1448" w:type="dxa"/>
          </w:tcPr>
          <w:p w14:paraId="7BB5D2C2" w14:textId="77777777" w:rsidR="00B23BAB" w:rsidRPr="00B23BAB" w:rsidRDefault="00B23BAB" w:rsidP="00B23BAB"/>
        </w:tc>
        <w:tc>
          <w:tcPr>
            <w:tcW w:w="1791" w:type="dxa"/>
          </w:tcPr>
          <w:p w14:paraId="09634D79" w14:textId="20C80583" w:rsidR="00B23BAB" w:rsidRPr="00B23BAB" w:rsidRDefault="00B23BAB" w:rsidP="00B23BAB">
            <w:r w:rsidRPr="00B23BAB">
              <w:t>Метрорагия, Нарушения на тестисите</w:t>
            </w:r>
          </w:p>
        </w:tc>
        <w:tc>
          <w:tcPr>
            <w:tcW w:w="1722" w:type="dxa"/>
          </w:tcPr>
          <w:p w14:paraId="419FCB23" w14:textId="77777777" w:rsidR="00B23BAB" w:rsidRPr="00B23BAB" w:rsidRDefault="00B23BAB" w:rsidP="00B23BAB"/>
        </w:tc>
        <w:tc>
          <w:tcPr>
            <w:tcW w:w="2014" w:type="dxa"/>
            <w:vAlign w:val="bottom"/>
          </w:tcPr>
          <w:p w14:paraId="2A40CFB0" w14:textId="77777777" w:rsidR="00B23BAB" w:rsidRPr="00B23BAB" w:rsidRDefault="00B23BAB" w:rsidP="00B23BAB"/>
        </w:tc>
      </w:tr>
      <w:tr w:rsidR="00B23BAB" w14:paraId="5AF5E3F5" w14:textId="77777777" w:rsidTr="00B23BAB">
        <w:tc>
          <w:tcPr>
            <w:tcW w:w="1442" w:type="dxa"/>
          </w:tcPr>
          <w:p w14:paraId="3FF232D9" w14:textId="5210F0C1" w:rsidR="00B23BAB" w:rsidRPr="00B23BAB" w:rsidRDefault="00B23BAB" w:rsidP="00B23BAB">
            <w:r w:rsidRPr="00B23BAB">
              <w:rPr>
                <w:b/>
                <w:bCs/>
              </w:rPr>
              <w:lastRenderedPageBreak/>
              <w:t>Общи наруше</w:t>
            </w:r>
            <w:r w:rsidRPr="00B23BAB">
              <w:rPr>
                <w:b/>
                <w:bCs/>
              </w:rPr>
              <w:softHyphen/>
              <w:t>ния и наруше</w:t>
            </w:r>
            <w:r w:rsidRPr="00B23BAB">
              <w:rPr>
                <w:b/>
                <w:bCs/>
              </w:rPr>
              <w:softHyphen/>
              <w:t>ния на мястото н а прилагане</w:t>
            </w:r>
          </w:p>
        </w:tc>
        <w:tc>
          <w:tcPr>
            <w:tcW w:w="1159" w:type="dxa"/>
          </w:tcPr>
          <w:p w14:paraId="49957C15" w14:textId="77777777" w:rsidR="00B23BAB" w:rsidRPr="00B23BAB" w:rsidRDefault="00B23BAB" w:rsidP="00B23BAB"/>
        </w:tc>
        <w:tc>
          <w:tcPr>
            <w:tcW w:w="1448" w:type="dxa"/>
          </w:tcPr>
          <w:p w14:paraId="06C615E3" w14:textId="6EF0EE88" w:rsidR="00B23BAB" w:rsidRPr="00B23BAB" w:rsidRDefault="00B23BAB" w:rsidP="00B23BAB">
            <w:r w:rsidRPr="00B23BAB">
              <w:t>Болка на мястото на инжектиране *Възпаление на мястото на инжектиране</w:t>
            </w:r>
          </w:p>
        </w:tc>
        <w:tc>
          <w:tcPr>
            <w:tcW w:w="1791" w:type="dxa"/>
          </w:tcPr>
          <w:p w14:paraId="2BFBD01E" w14:textId="77777777" w:rsidR="00B23BAB" w:rsidRPr="00B23BAB" w:rsidRDefault="00B23BAB" w:rsidP="00B23BAB">
            <w:r w:rsidRPr="00B23BAB">
              <w:t>Едем Астения Слабост</w:t>
            </w:r>
          </w:p>
          <w:p w14:paraId="766BDA59" w14:textId="77777777" w:rsidR="00B23BAB" w:rsidRPr="00B23BAB" w:rsidRDefault="00B23BAB" w:rsidP="00B23BAB">
            <w:r w:rsidRPr="00B23BAB">
              <w:t>Умора Подуване на лицето</w:t>
            </w:r>
          </w:p>
          <w:p w14:paraId="22A4852A" w14:textId="77777777" w:rsidR="00B23BAB" w:rsidRPr="00B23BAB" w:rsidRDefault="00B23BAB" w:rsidP="00B23BAB">
            <w:r w:rsidRPr="00B23BAB">
              <w:t>Болка в гърдите Пирексия Болка</w:t>
            </w:r>
          </w:p>
          <w:p w14:paraId="78425A49" w14:textId="1C95676A" w:rsidR="00B23BAB" w:rsidRPr="00B23BAB" w:rsidRDefault="00B23BAB" w:rsidP="00B23BAB">
            <w:r w:rsidRPr="00B23BAB">
              <w:t>Периферен едем</w:t>
            </w:r>
          </w:p>
        </w:tc>
        <w:tc>
          <w:tcPr>
            <w:tcW w:w="1722" w:type="dxa"/>
          </w:tcPr>
          <w:p w14:paraId="248EA4E6" w14:textId="77777777" w:rsidR="00B23BAB" w:rsidRPr="00B23BAB" w:rsidRDefault="00B23BAB" w:rsidP="00B23BAB"/>
        </w:tc>
        <w:tc>
          <w:tcPr>
            <w:tcW w:w="2014" w:type="dxa"/>
          </w:tcPr>
          <w:p w14:paraId="0F58C122" w14:textId="77777777" w:rsidR="00B23BAB" w:rsidRPr="00B23BAB" w:rsidRDefault="00B23BAB" w:rsidP="00B23BAB"/>
        </w:tc>
      </w:tr>
      <w:tr w:rsidR="00B23BAB" w14:paraId="01FACACD" w14:textId="77777777" w:rsidTr="00B23BAB">
        <w:tc>
          <w:tcPr>
            <w:tcW w:w="1442" w:type="dxa"/>
          </w:tcPr>
          <w:p w14:paraId="26370718" w14:textId="2AAD081A" w:rsidR="00B23BAB" w:rsidRPr="00B23BAB" w:rsidRDefault="00B23BAB" w:rsidP="00B23BAB">
            <w:r w:rsidRPr="00B23BAB">
              <w:rPr>
                <w:b/>
                <w:bCs/>
              </w:rPr>
              <w:t>Лабора</w:t>
            </w:r>
            <w:r w:rsidRPr="00B23BAB">
              <w:rPr>
                <w:b/>
                <w:bCs/>
              </w:rPr>
              <w:softHyphen/>
              <w:t>торни изследва</w:t>
            </w:r>
            <w:r w:rsidRPr="00B23BAB">
              <w:rPr>
                <w:b/>
                <w:bCs/>
              </w:rPr>
              <w:softHyphen/>
              <w:t>ния</w:t>
            </w:r>
          </w:p>
        </w:tc>
        <w:tc>
          <w:tcPr>
            <w:tcW w:w="1159" w:type="dxa"/>
          </w:tcPr>
          <w:p w14:paraId="2817FC70" w14:textId="23C249B4" w:rsidR="00B23BAB" w:rsidRPr="00B23BAB" w:rsidRDefault="00B23BAB" w:rsidP="00B23BAB"/>
        </w:tc>
        <w:tc>
          <w:tcPr>
            <w:tcW w:w="1448" w:type="dxa"/>
          </w:tcPr>
          <w:p w14:paraId="3B3C0A90" w14:textId="2589AA59" w:rsidR="00B23BAB" w:rsidRPr="00B23BAB" w:rsidRDefault="00B23BAB" w:rsidP="00B23BAB">
            <w:r w:rsidRPr="00B23BAB">
              <w:t>Намален брой лимфоцити Увеличен брой еозинофили Намалени бикарбонати в кръвта Увеличени базофили Увеличени моноцити Увеличени неутрофили</w:t>
            </w:r>
          </w:p>
        </w:tc>
        <w:tc>
          <w:tcPr>
            <w:tcW w:w="1791" w:type="dxa"/>
          </w:tcPr>
          <w:p w14:paraId="096E00CB" w14:textId="2D58E3C9" w:rsidR="00B23BAB" w:rsidRPr="00B23BAB" w:rsidRDefault="00B23BAB" w:rsidP="00B23BAB">
            <w:r w:rsidRPr="00B23BAB">
              <w:t>Повишени АСАТ и АЛАТ Повишен билирубинв кръвта Повишена урея в кръвта Повишен креатинин в кръвта Нетипични нива на калий Повишени алкални фосфати в кръвта Повишени хлориди Повишена глюкоза Повишени тромбоцити Понижен хематокрит Повишени бикарбонати Променен натрий</w:t>
            </w:r>
          </w:p>
        </w:tc>
        <w:tc>
          <w:tcPr>
            <w:tcW w:w="1722" w:type="dxa"/>
          </w:tcPr>
          <w:p w14:paraId="5C21345A" w14:textId="77777777" w:rsidR="00B23BAB" w:rsidRPr="00B23BAB" w:rsidRDefault="00B23BAB" w:rsidP="00B23BAB"/>
        </w:tc>
        <w:tc>
          <w:tcPr>
            <w:tcW w:w="2014" w:type="dxa"/>
          </w:tcPr>
          <w:p w14:paraId="00E23AEA" w14:textId="77777777" w:rsidR="00B23BAB" w:rsidRPr="00B23BAB" w:rsidRDefault="00B23BAB" w:rsidP="00B23BAB"/>
        </w:tc>
      </w:tr>
      <w:tr w:rsidR="00B23BAB" w14:paraId="3D467C38" w14:textId="77777777" w:rsidTr="00B23BAB">
        <w:tc>
          <w:tcPr>
            <w:tcW w:w="1442" w:type="dxa"/>
          </w:tcPr>
          <w:p w14:paraId="0D42B8E6" w14:textId="46276C7D" w:rsidR="00B23BAB" w:rsidRPr="00B23BAB" w:rsidRDefault="00B23BAB" w:rsidP="00B23BAB">
            <w:r w:rsidRPr="00B23BAB">
              <w:rPr>
                <w:b/>
                <w:bCs/>
              </w:rPr>
              <w:t>Наранява не и отравяне</w:t>
            </w:r>
          </w:p>
        </w:tc>
        <w:tc>
          <w:tcPr>
            <w:tcW w:w="1159" w:type="dxa"/>
          </w:tcPr>
          <w:p w14:paraId="53BC04CA" w14:textId="77777777" w:rsidR="00B23BAB" w:rsidRPr="00B23BAB" w:rsidRDefault="00B23BAB" w:rsidP="00B23BAB"/>
        </w:tc>
        <w:tc>
          <w:tcPr>
            <w:tcW w:w="1448" w:type="dxa"/>
          </w:tcPr>
          <w:p w14:paraId="6F10918B" w14:textId="77777777" w:rsidR="00B23BAB" w:rsidRPr="00B23BAB" w:rsidRDefault="00B23BAB" w:rsidP="00B23BAB"/>
        </w:tc>
        <w:tc>
          <w:tcPr>
            <w:tcW w:w="1791" w:type="dxa"/>
          </w:tcPr>
          <w:p w14:paraId="69AC7243" w14:textId="7179C269" w:rsidR="00B23BAB" w:rsidRPr="00B23BAB" w:rsidRDefault="00B23BAB" w:rsidP="00B23BAB">
            <w:r w:rsidRPr="00B23BAB">
              <w:t>Постоперативни усложнения</w:t>
            </w:r>
          </w:p>
        </w:tc>
        <w:tc>
          <w:tcPr>
            <w:tcW w:w="1722" w:type="dxa"/>
          </w:tcPr>
          <w:p w14:paraId="17A85C6B" w14:textId="77777777" w:rsidR="00B23BAB" w:rsidRPr="00B23BAB" w:rsidRDefault="00B23BAB" w:rsidP="00B23BAB"/>
        </w:tc>
        <w:tc>
          <w:tcPr>
            <w:tcW w:w="2014" w:type="dxa"/>
          </w:tcPr>
          <w:p w14:paraId="30EE33D0" w14:textId="5B3BAD85" w:rsidR="00B23BAB" w:rsidRPr="00B23BAB" w:rsidRDefault="00B23BAB" w:rsidP="00B23BAB"/>
        </w:tc>
      </w:tr>
    </w:tbl>
    <w:p w14:paraId="37EFCC84" w14:textId="1B7CACD9" w:rsidR="00B23BAB" w:rsidRDefault="00B23BAB" w:rsidP="00B23BAB"/>
    <w:p w14:paraId="18FFB908" w14:textId="504DACC2" w:rsidR="00B23BAB" w:rsidRDefault="00B23BAB" w:rsidP="00B23BAB">
      <w:r>
        <w:t xml:space="preserve">Нежелани реакции, които са възможно или вероятно свързани с профилактиката и лечението на </w:t>
      </w:r>
      <w:r>
        <w:rPr>
          <w:lang w:val="en-US"/>
        </w:rPr>
        <w:t>Mycobacterium</w:t>
      </w:r>
      <w:r w:rsidRPr="00B23BAB">
        <w:rPr>
          <w:lang w:val="ru-RU"/>
        </w:rPr>
        <w:t xml:space="preserve"> </w:t>
      </w:r>
      <w:proofErr w:type="spellStart"/>
      <w:r>
        <w:rPr>
          <w:lang w:val="en-US"/>
        </w:rPr>
        <w:t>Avium</w:t>
      </w:r>
      <w:proofErr w:type="spellEnd"/>
      <w:r w:rsidRPr="00B23BAB">
        <w:rPr>
          <w:lang w:val="ru-RU"/>
        </w:rPr>
        <w:t xml:space="preserve"> </w:t>
      </w:r>
      <w:r>
        <w:rPr>
          <w:lang w:val="en-US"/>
        </w:rPr>
        <w:t>Complex</w:t>
      </w:r>
      <w:r w:rsidRPr="00B23BAB">
        <w:rPr>
          <w:lang w:val="ru-RU"/>
        </w:rPr>
        <w:t xml:space="preserve">, </w:t>
      </w:r>
      <w:r>
        <w:t>според опита от клиничните изпитвания и постмаркетинговите наблюдения. Тези нежелани реакции се различават от съобщените при лекарствените форми с незабавно или удължено освобождаване по вид или честота:</w:t>
      </w:r>
    </w:p>
    <w:p w14:paraId="4EE96D8F" w14:textId="6C1CF40B" w:rsidR="00B23BAB" w:rsidRDefault="00B23BAB" w:rsidP="00B23BAB"/>
    <w:tbl>
      <w:tblPr>
        <w:tblStyle w:val="TableGrid"/>
        <w:tblW w:w="0" w:type="auto"/>
        <w:tblLook w:val="04A0" w:firstRow="1" w:lastRow="0" w:firstColumn="1" w:lastColumn="0" w:noHBand="0" w:noVBand="1"/>
      </w:tblPr>
      <w:tblGrid>
        <w:gridCol w:w="2394"/>
        <w:gridCol w:w="2394"/>
        <w:gridCol w:w="2394"/>
        <w:gridCol w:w="2394"/>
      </w:tblGrid>
      <w:tr w:rsidR="00B23BAB" w14:paraId="490BAD33" w14:textId="77777777" w:rsidTr="00B23BAB">
        <w:tc>
          <w:tcPr>
            <w:tcW w:w="2394" w:type="dxa"/>
          </w:tcPr>
          <w:p w14:paraId="5EAB2523" w14:textId="77777777" w:rsidR="00B23BAB" w:rsidRPr="00B23BAB" w:rsidRDefault="00B23BAB" w:rsidP="00B23BAB"/>
        </w:tc>
        <w:tc>
          <w:tcPr>
            <w:tcW w:w="2394" w:type="dxa"/>
          </w:tcPr>
          <w:p w14:paraId="66BC8A3A" w14:textId="283D5B9C" w:rsidR="00B23BAB" w:rsidRPr="00B23BAB" w:rsidRDefault="00B23BAB" w:rsidP="00B23BAB">
            <w:r w:rsidRPr="00B23BAB">
              <w:rPr>
                <w:b/>
                <w:bCs/>
              </w:rPr>
              <w:t>Много чести (≥1/10)</w:t>
            </w:r>
          </w:p>
        </w:tc>
        <w:tc>
          <w:tcPr>
            <w:tcW w:w="2394" w:type="dxa"/>
          </w:tcPr>
          <w:p w14:paraId="6A0FBD17" w14:textId="54F02BD7" w:rsidR="00B23BAB" w:rsidRPr="00B23BAB" w:rsidRDefault="00B23BAB" w:rsidP="00B23BAB">
            <w:r w:rsidRPr="00B23BAB">
              <w:rPr>
                <w:b/>
                <w:bCs/>
              </w:rPr>
              <w:t xml:space="preserve">Чести (≥1/100 до </w:t>
            </w:r>
            <w:r w:rsidRPr="00B23BAB">
              <w:rPr>
                <w:b/>
                <w:bCs/>
              </w:rPr>
              <w:lastRenderedPageBreak/>
              <w:t>&lt;1/10)</w:t>
            </w:r>
          </w:p>
        </w:tc>
        <w:tc>
          <w:tcPr>
            <w:tcW w:w="2394" w:type="dxa"/>
          </w:tcPr>
          <w:p w14:paraId="1CCEB6FB" w14:textId="77777777" w:rsidR="00B23BAB" w:rsidRPr="00B23BAB" w:rsidRDefault="00B23BAB" w:rsidP="00B23BAB">
            <w:r w:rsidRPr="00B23BAB">
              <w:rPr>
                <w:b/>
                <w:bCs/>
              </w:rPr>
              <w:lastRenderedPageBreak/>
              <w:t>Нечести</w:t>
            </w:r>
          </w:p>
          <w:p w14:paraId="78D61C61" w14:textId="414E6B23" w:rsidR="00B23BAB" w:rsidRPr="00B23BAB" w:rsidRDefault="00B23BAB" w:rsidP="00B23BAB">
            <w:r w:rsidRPr="00B23BAB">
              <w:rPr>
                <w:b/>
                <w:bCs/>
              </w:rPr>
              <w:lastRenderedPageBreak/>
              <w:t>(≥1/1000 до &lt;1/100)</w:t>
            </w:r>
          </w:p>
        </w:tc>
      </w:tr>
      <w:tr w:rsidR="00B23BAB" w14:paraId="04F00248" w14:textId="77777777" w:rsidTr="00B23BAB">
        <w:tc>
          <w:tcPr>
            <w:tcW w:w="2394" w:type="dxa"/>
          </w:tcPr>
          <w:p w14:paraId="60005006" w14:textId="78710124" w:rsidR="00B23BAB" w:rsidRPr="00B23BAB" w:rsidRDefault="00B23BAB" w:rsidP="00B23BAB">
            <w:r w:rsidRPr="00B23BAB">
              <w:rPr>
                <w:b/>
                <w:bCs/>
              </w:rPr>
              <w:lastRenderedPageBreak/>
              <w:t>Нарушения в метаболизма и храненето</w:t>
            </w:r>
          </w:p>
        </w:tc>
        <w:tc>
          <w:tcPr>
            <w:tcW w:w="2394" w:type="dxa"/>
          </w:tcPr>
          <w:p w14:paraId="070ACF7F" w14:textId="77777777" w:rsidR="00B23BAB" w:rsidRPr="00B23BAB" w:rsidRDefault="00B23BAB" w:rsidP="00B23BAB"/>
        </w:tc>
        <w:tc>
          <w:tcPr>
            <w:tcW w:w="2394" w:type="dxa"/>
          </w:tcPr>
          <w:p w14:paraId="44C70265" w14:textId="2245C3B5" w:rsidR="00B23BAB" w:rsidRPr="00B23BAB" w:rsidRDefault="00B23BAB" w:rsidP="00B23BAB">
            <w:r w:rsidRPr="00B23BAB">
              <w:t>Анорексия</w:t>
            </w:r>
          </w:p>
        </w:tc>
        <w:tc>
          <w:tcPr>
            <w:tcW w:w="2394" w:type="dxa"/>
          </w:tcPr>
          <w:p w14:paraId="21B3AC91" w14:textId="77777777" w:rsidR="00B23BAB" w:rsidRPr="00B23BAB" w:rsidRDefault="00B23BAB" w:rsidP="00B23BAB"/>
        </w:tc>
      </w:tr>
      <w:tr w:rsidR="00B23BAB" w14:paraId="3D8E9273" w14:textId="77777777" w:rsidTr="00B23BAB">
        <w:tc>
          <w:tcPr>
            <w:tcW w:w="2394" w:type="dxa"/>
          </w:tcPr>
          <w:p w14:paraId="06944233" w14:textId="6971B385" w:rsidR="00B23BAB" w:rsidRPr="00B23BAB" w:rsidRDefault="00B23BAB" w:rsidP="00B23BAB">
            <w:r w:rsidRPr="00B23BAB">
              <w:rPr>
                <w:b/>
                <w:bCs/>
              </w:rPr>
              <w:t>Нарушения на нервната система</w:t>
            </w:r>
          </w:p>
        </w:tc>
        <w:tc>
          <w:tcPr>
            <w:tcW w:w="2394" w:type="dxa"/>
          </w:tcPr>
          <w:p w14:paraId="00BC614B" w14:textId="77777777" w:rsidR="00B23BAB" w:rsidRPr="00B23BAB" w:rsidRDefault="00B23BAB" w:rsidP="00B23BAB"/>
        </w:tc>
        <w:tc>
          <w:tcPr>
            <w:tcW w:w="2394" w:type="dxa"/>
          </w:tcPr>
          <w:p w14:paraId="4A00DB12" w14:textId="77777777" w:rsidR="00B23BAB" w:rsidRPr="00B23BAB" w:rsidRDefault="00B23BAB" w:rsidP="00B23BAB">
            <w:r w:rsidRPr="00B23BAB">
              <w:t>Замаяност Главоболие</w:t>
            </w:r>
          </w:p>
          <w:p w14:paraId="55ED27A7" w14:textId="1DE10EA5" w:rsidR="00B23BAB" w:rsidRPr="00B23BAB" w:rsidRDefault="00B23BAB" w:rsidP="00B23BAB">
            <w:r w:rsidRPr="00B23BAB">
              <w:t>Парестезия Дисгеузия</w:t>
            </w:r>
          </w:p>
        </w:tc>
        <w:tc>
          <w:tcPr>
            <w:tcW w:w="2394" w:type="dxa"/>
          </w:tcPr>
          <w:p w14:paraId="06170E5C" w14:textId="5DFB7FE5" w:rsidR="00B23BAB" w:rsidRPr="00B23BAB" w:rsidRDefault="00B23BAB" w:rsidP="00B23BAB">
            <w:r w:rsidRPr="00B23BAB">
              <w:t>Хипоестезия</w:t>
            </w:r>
          </w:p>
        </w:tc>
      </w:tr>
      <w:tr w:rsidR="00B23BAB" w14:paraId="1A2F0A3D" w14:textId="77777777" w:rsidTr="00B23BAB">
        <w:tc>
          <w:tcPr>
            <w:tcW w:w="2394" w:type="dxa"/>
          </w:tcPr>
          <w:p w14:paraId="21951401" w14:textId="146657A0" w:rsidR="00B23BAB" w:rsidRPr="00B23BAB" w:rsidRDefault="00B23BAB" w:rsidP="00B23BAB">
            <w:r w:rsidRPr="00B23BAB">
              <w:rPr>
                <w:b/>
                <w:bCs/>
              </w:rPr>
              <w:t>Очни нарушения</w:t>
            </w:r>
          </w:p>
        </w:tc>
        <w:tc>
          <w:tcPr>
            <w:tcW w:w="2394" w:type="dxa"/>
          </w:tcPr>
          <w:p w14:paraId="6F2D361D" w14:textId="77777777" w:rsidR="00B23BAB" w:rsidRPr="00B23BAB" w:rsidRDefault="00B23BAB" w:rsidP="00B23BAB"/>
        </w:tc>
        <w:tc>
          <w:tcPr>
            <w:tcW w:w="2394" w:type="dxa"/>
          </w:tcPr>
          <w:p w14:paraId="3481E8E0" w14:textId="353C4A06" w:rsidR="00B23BAB" w:rsidRPr="00B23BAB" w:rsidRDefault="00B23BAB" w:rsidP="00B23BAB">
            <w:r w:rsidRPr="00B23BAB">
              <w:t>Зрителни нарушения</w:t>
            </w:r>
          </w:p>
        </w:tc>
        <w:tc>
          <w:tcPr>
            <w:tcW w:w="2394" w:type="dxa"/>
          </w:tcPr>
          <w:p w14:paraId="76CFBA67" w14:textId="77777777" w:rsidR="00B23BAB" w:rsidRPr="00B23BAB" w:rsidRDefault="00B23BAB" w:rsidP="00B23BAB"/>
        </w:tc>
      </w:tr>
      <w:tr w:rsidR="00B23BAB" w14:paraId="2C57D60E" w14:textId="77777777" w:rsidTr="00B23BAB">
        <w:tc>
          <w:tcPr>
            <w:tcW w:w="2394" w:type="dxa"/>
          </w:tcPr>
          <w:p w14:paraId="19A893B7" w14:textId="64F0AB28" w:rsidR="00B23BAB" w:rsidRPr="00B23BAB" w:rsidRDefault="00B23BAB" w:rsidP="00B23BAB">
            <w:r w:rsidRPr="00B23BAB">
              <w:rPr>
                <w:b/>
                <w:bCs/>
              </w:rPr>
              <w:t>Нарушения на ушите и лабиринта</w:t>
            </w:r>
          </w:p>
        </w:tc>
        <w:tc>
          <w:tcPr>
            <w:tcW w:w="2394" w:type="dxa"/>
          </w:tcPr>
          <w:p w14:paraId="733786E1" w14:textId="77777777" w:rsidR="00B23BAB" w:rsidRPr="00B23BAB" w:rsidRDefault="00B23BAB" w:rsidP="00B23BAB"/>
        </w:tc>
        <w:tc>
          <w:tcPr>
            <w:tcW w:w="2394" w:type="dxa"/>
          </w:tcPr>
          <w:p w14:paraId="343E56CE" w14:textId="7FE31BB5" w:rsidR="00B23BAB" w:rsidRPr="00B23BAB" w:rsidRDefault="00B23BAB" w:rsidP="00B23BAB">
            <w:r w:rsidRPr="00B23BAB">
              <w:t>Глухота</w:t>
            </w:r>
          </w:p>
        </w:tc>
        <w:tc>
          <w:tcPr>
            <w:tcW w:w="2394" w:type="dxa"/>
          </w:tcPr>
          <w:p w14:paraId="46AAEA76" w14:textId="77777777" w:rsidR="00B23BAB" w:rsidRPr="00B23BAB" w:rsidRDefault="00B23BAB" w:rsidP="00B23BAB">
            <w:r w:rsidRPr="00B23BAB">
              <w:t>Слухови нарушения</w:t>
            </w:r>
          </w:p>
          <w:p w14:paraId="5694FA6C" w14:textId="25F18683" w:rsidR="00B23BAB" w:rsidRPr="00B23BAB" w:rsidRDefault="00B23BAB" w:rsidP="00B23BAB">
            <w:r w:rsidRPr="00B23BAB">
              <w:t>Тинитус</w:t>
            </w:r>
          </w:p>
        </w:tc>
      </w:tr>
      <w:tr w:rsidR="00B23BAB" w14:paraId="36BD16CF" w14:textId="77777777" w:rsidTr="00B23BAB">
        <w:tc>
          <w:tcPr>
            <w:tcW w:w="2394" w:type="dxa"/>
          </w:tcPr>
          <w:p w14:paraId="40BBA23D" w14:textId="1764154D" w:rsidR="00B23BAB" w:rsidRPr="00B23BAB" w:rsidRDefault="00B23BAB" w:rsidP="00B23BAB">
            <w:r w:rsidRPr="00B23BAB">
              <w:rPr>
                <w:b/>
                <w:bCs/>
              </w:rPr>
              <w:t>Сърдечни нарушения</w:t>
            </w:r>
          </w:p>
        </w:tc>
        <w:tc>
          <w:tcPr>
            <w:tcW w:w="2394" w:type="dxa"/>
          </w:tcPr>
          <w:p w14:paraId="794BDF1D" w14:textId="77777777" w:rsidR="00B23BAB" w:rsidRPr="00B23BAB" w:rsidRDefault="00B23BAB" w:rsidP="00B23BAB"/>
        </w:tc>
        <w:tc>
          <w:tcPr>
            <w:tcW w:w="2394" w:type="dxa"/>
          </w:tcPr>
          <w:p w14:paraId="6EBB5D62" w14:textId="77777777" w:rsidR="00B23BAB" w:rsidRPr="00B23BAB" w:rsidRDefault="00B23BAB" w:rsidP="00B23BAB"/>
        </w:tc>
        <w:tc>
          <w:tcPr>
            <w:tcW w:w="2394" w:type="dxa"/>
          </w:tcPr>
          <w:p w14:paraId="24FA7090" w14:textId="7591F30D" w:rsidR="00B23BAB" w:rsidRPr="00B23BAB" w:rsidRDefault="00B23BAB" w:rsidP="00B23BAB">
            <w:r w:rsidRPr="00B23BAB">
              <w:t>Палпнтация</w:t>
            </w:r>
          </w:p>
        </w:tc>
      </w:tr>
      <w:tr w:rsidR="00B23BAB" w14:paraId="1AF7A606" w14:textId="77777777" w:rsidTr="00B23BAB">
        <w:tc>
          <w:tcPr>
            <w:tcW w:w="2394" w:type="dxa"/>
          </w:tcPr>
          <w:p w14:paraId="0F20DC84" w14:textId="7B262FE2" w:rsidR="00B23BAB" w:rsidRPr="00B23BAB" w:rsidRDefault="00B23BAB" w:rsidP="00B23BAB">
            <w:r w:rsidRPr="00B23BAB">
              <w:rPr>
                <w:b/>
                <w:bCs/>
              </w:rPr>
              <w:t>Гастро- интестннални нарушения</w:t>
            </w:r>
          </w:p>
        </w:tc>
        <w:tc>
          <w:tcPr>
            <w:tcW w:w="2394" w:type="dxa"/>
          </w:tcPr>
          <w:p w14:paraId="0307DC2E" w14:textId="77777777" w:rsidR="00B23BAB" w:rsidRPr="00B23BAB" w:rsidRDefault="00B23BAB" w:rsidP="00B23BAB">
            <w:r w:rsidRPr="00B23BAB">
              <w:t>Диария</w:t>
            </w:r>
          </w:p>
          <w:p w14:paraId="5F96738D" w14:textId="77777777" w:rsidR="00B23BAB" w:rsidRPr="00B23BAB" w:rsidRDefault="00B23BAB" w:rsidP="00B23BAB">
            <w:r w:rsidRPr="00B23BAB">
              <w:t>Коремна болка Гадене Газове</w:t>
            </w:r>
          </w:p>
          <w:p w14:paraId="29DBD3D3" w14:textId="77777777" w:rsidR="00B23BAB" w:rsidRPr="00B23BAB" w:rsidRDefault="00B23BAB" w:rsidP="00B23BAB">
            <w:r w:rsidRPr="00B23BAB">
              <w:t>Коремен дискомфорт</w:t>
            </w:r>
          </w:p>
          <w:p w14:paraId="7AB87B35" w14:textId="715A09D6" w:rsidR="00B23BAB" w:rsidRPr="00B23BAB" w:rsidRDefault="00B23BAB" w:rsidP="00B23BAB">
            <w:r w:rsidRPr="00B23BAB">
              <w:t>Меки изпражнения</w:t>
            </w:r>
          </w:p>
        </w:tc>
        <w:tc>
          <w:tcPr>
            <w:tcW w:w="2394" w:type="dxa"/>
          </w:tcPr>
          <w:p w14:paraId="125B967E" w14:textId="77777777" w:rsidR="00B23BAB" w:rsidRPr="00B23BAB" w:rsidRDefault="00B23BAB" w:rsidP="00B23BAB"/>
        </w:tc>
        <w:tc>
          <w:tcPr>
            <w:tcW w:w="2394" w:type="dxa"/>
          </w:tcPr>
          <w:p w14:paraId="5EA92B86" w14:textId="77777777" w:rsidR="00B23BAB" w:rsidRPr="00B23BAB" w:rsidRDefault="00B23BAB" w:rsidP="00B23BAB"/>
        </w:tc>
      </w:tr>
      <w:tr w:rsidR="00B23BAB" w14:paraId="107D1B8B" w14:textId="77777777" w:rsidTr="00B23BAB">
        <w:tc>
          <w:tcPr>
            <w:tcW w:w="2394" w:type="dxa"/>
          </w:tcPr>
          <w:p w14:paraId="29A8EEB3" w14:textId="26383BD3" w:rsidR="00B23BAB" w:rsidRPr="00B23BAB" w:rsidRDefault="00B23BAB" w:rsidP="00B23BAB">
            <w:r w:rsidRPr="00B23BAB">
              <w:rPr>
                <w:b/>
                <w:bCs/>
              </w:rPr>
              <w:t>Хепатобилиарни нарушения</w:t>
            </w:r>
          </w:p>
        </w:tc>
        <w:tc>
          <w:tcPr>
            <w:tcW w:w="2394" w:type="dxa"/>
          </w:tcPr>
          <w:p w14:paraId="50DA1D8C" w14:textId="77777777" w:rsidR="00B23BAB" w:rsidRPr="00B23BAB" w:rsidRDefault="00B23BAB" w:rsidP="00B23BAB"/>
        </w:tc>
        <w:tc>
          <w:tcPr>
            <w:tcW w:w="2394" w:type="dxa"/>
          </w:tcPr>
          <w:p w14:paraId="5AAC5980" w14:textId="77777777" w:rsidR="00B23BAB" w:rsidRPr="00B23BAB" w:rsidRDefault="00B23BAB" w:rsidP="00B23BAB"/>
        </w:tc>
        <w:tc>
          <w:tcPr>
            <w:tcW w:w="2394" w:type="dxa"/>
          </w:tcPr>
          <w:p w14:paraId="20F274F2" w14:textId="565BC27A" w:rsidR="00B23BAB" w:rsidRPr="00B23BAB" w:rsidRDefault="00B23BAB" w:rsidP="00B23BAB">
            <w:r w:rsidRPr="00B23BAB">
              <w:t>Хепатит</w:t>
            </w:r>
          </w:p>
        </w:tc>
      </w:tr>
      <w:tr w:rsidR="00B23BAB" w14:paraId="14104666" w14:textId="77777777" w:rsidTr="00B23BAB">
        <w:tc>
          <w:tcPr>
            <w:tcW w:w="2394" w:type="dxa"/>
          </w:tcPr>
          <w:p w14:paraId="2A965CBE" w14:textId="19409E56" w:rsidR="00B23BAB" w:rsidRPr="00B23BAB" w:rsidRDefault="00B23BAB" w:rsidP="00B23BAB">
            <w:r w:rsidRPr="00B23BAB">
              <w:rPr>
                <w:b/>
                <w:bCs/>
              </w:rPr>
              <w:t>Нарушения на кожата и подкожната тъкан</w:t>
            </w:r>
          </w:p>
        </w:tc>
        <w:tc>
          <w:tcPr>
            <w:tcW w:w="2394" w:type="dxa"/>
          </w:tcPr>
          <w:p w14:paraId="6570B62B" w14:textId="77777777" w:rsidR="00B23BAB" w:rsidRPr="00B23BAB" w:rsidRDefault="00B23BAB" w:rsidP="00B23BAB"/>
        </w:tc>
        <w:tc>
          <w:tcPr>
            <w:tcW w:w="2394" w:type="dxa"/>
          </w:tcPr>
          <w:p w14:paraId="300984F6" w14:textId="5F06FED0" w:rsidR="00B23BAB" w:rsidRPr="00B23BAB" w:rsidRDefault="00B23BAB" w:rsidP="00B23BAB">
            <w:r w:rsidRPr="00B23BAB">
              <w:t>Обри Прурит</w:t>
            </w:r>
          </w:p>
        </w:tc>
        <w:tc>
          <w:tcPr>
            <w:tcW w:w="2394" w:type="dxa"/>
          </w:tcPr>
          <w:p w14:paraId="783E9613" w14:textId="2A6A6CE5" w:rsidR="00B23BAB" w:rsidRPr="00B23BAB" w:rsidRDefault="00B23BAB" w:rsidP="00B23BAB">
            <w:r w:rsidRPr="00B23BAB">
              <w:t xml:space="preserve">Синдром на </w:t>
            </w:r>
            <w:r w:rsidRPr="00B23BAB">
              <w:rPr>
                <w:lang w:val="en-US"/>
              </w:rPr>
              <w:t>Stevens</w:t>
            </w:r>
            <w:r w:rsidRPr="00B23BAB">
              <w:rPr>
                <w:lang w:val="ru-RU"/>
              </w:rPr>
              <w:t xml:space="preserve">- </w:t>
            </w:r>
            <w:r w:rsidRPr="00B23BAB">
              <w:rPr>
                <w:lang w:val="en-US"/>
              </w:rPr>
              <w:t>Johnson</w:t>
            </w:r>
            <w:r w:rsidRPr="00B23BAB">
              <w:rPr>
                <w:lang w:val="ru-RU"/>
              </w:rPr>
              <w:t xml:space="preserve"> </w:t>
            </w:r>
            <w:r w:rsidRPr="00B23BAB">
              <w:t>Фоточувствителна реакция</w:t>
            </w:r>
          </w:p>
        </w:tc>
      </w:tr>
      <w:tr w:rsidR="00B23BAB" w14:paraId="6EBA24DD" w14:textId="77777777" w:rsidTr="00B23BAB">
        <w:tc>
          <w:tcPr>
            <w:tcW w:w="2394" w:type="dxa"/>
          </w:tcPr>
          <w:p w14:paraId="4F697552" w14:textId="4FE06648" w:rsidR="00B23BAB" w:rsidRPr="00B23BAB" w:rsidRDefault="00B23BAB" w:rsidP="00B23BAB">
            <w:r w:rsidRPr="00B23BAB">
              <w:rPr>
                <w:b/>
                <w:bCs/>
              </w:rPr>
              <w:t>Мускуло-скелетнн нарушения и нарушения на съединителната тъкан</w:t>
            </w:r>
          </w:p>
        </w:tc>
        <w:tc>
          <w:tcPr>
            <w:tcW w:w="2394" w:type="dxa"/>
          </w:tcPr>
          <w:p w14:paraId="1BC6A275" w14:textId="77777777" w:rsidR="00B23BAB" w:rsidRPr="00B23BAB" w:rsidRDefault="00B23BAB" w:rsidP="00B23BAB"/>
        </w:tc>
        <w:tc>
          <w:tcPr>
            <w:tcW w:w="2394" w:type="dxa"/>
          </w:tcPr>
          <w:p w14:paraId="2E5329E9" w14:textId="6EC0B0DE" w:rsidR="00B23BAB" w:rsidRPr="00B23BAB" w:rsidRDefault="00B23BAB" w:rsidP="00B23BAB">
            <w:r w:rsidRPr="00B23BAB">
              <w:t>Артралгия</w:t>
            </w:r>
          </w:p>
        </w:tc>
        <w:tc>
          <w:tcPr>
            <w:tcW w:w="2394" w:type="dxa"/>
          </w:tcPr>
          <w:p w14:paraId="477BAD74" w14:textId="77777777" w:rsidR="00B23BAB" w:rsidRPr="00B23BAB" w:rsidRDefault="00B23BAB" w:rsidP="00B23BAB"/>
        </w:tc>
      </w:tr>
      <w:tr w:rsidR="00B23BAB" w14:paraId="6E3227D6" w14:textId="77777777" w:rsidTr="00B23BAB">
        <w:tc>
          <w:tcPr>
            <w:tcW w:w="2394" w:type="dxa"/>
          </w:tcPr>
          <w:p w14:paraId="7625176F" w14:textId="714E373F" w:rsidR="00B23BAB" w:rsidRPr="00B23BAB" w:rsidRDefault="00B23BAB" w:rsidP="00B23BAB">
            <w:r w:rsidRPr="00B23BAB">
              <w:rPr>
                <w:b/>
                <w:bCs/>
              </w:rPr>
              <w:t>Общи нарушения и нарушения на мястото на прилагане</w:t>
            </w:r>
          </w:p>
        </w:tc>
        <w:tc>
          <w:tcPr>
            <w:tcW w:w="2394" w:type="dxa"/>
          </w:tcPr>
          <w:p w14:paraId="080105EC" w14:textId="77777777" w:rsidR="00B23BAB" w:rsidRPr="00B23BAB" w:rsidRDefault="00B23BAB" w:rsidP="00B23BAB"/>
        </w:tc>
        <w:tc>
          <w:tcPr>
            <w:tcW w:w="2394" w:type="dxa"/>
          </w:tcPr>
          <w:p w14:paraId="2A4CE74F" w14:textId="60AA5CCD" w:rsidR="00B23BAB" w:rsidRPr="00B23BAB" w:rsidRDefault="00B23BAB" w:rsidP="00B23BAB">
            <w:r w:rsidRPr="00B23BAB">
              <w:t>Умора</w:t>
            </w:r>
          </w:p>
        </w:tc>
        <w:tc>
          <w:tcPr>
            <w:tcW w:w="2394" w:type="dxa"/>
          </w:tcPr>
          <w:p w14:paraId="02B71A7D" w14:textId="77777777" w:rsidR="00B23BAB" w:rsidRPr="00B23BAB" w:rsidRDefault="00B23BAB" w:rsidP="00B23BAB">
            <w:r w:rsidRPr="00B23BAB">
              <w:t>Астения</w:t>
            </w:r>
          </w:p>
          <w:p w14:paraId="63527A7E" w14:textId="457FE41C" w:rsidR="00B23BAB" w:rsidRPr="00B23BAB" w:rsidRDefault="00B23BAB" w:rsidP="00B23BAB">
            <w:r w:rsidRPr="00B23BAB">
              <w:t>Общо неразположение</w:t>
            </w:r>
          </w:p>
        </w:tc>
      </w:tr>
    </w:tbl>
    <w:p w14:paraId="7C6CDDB6" w14:textId="77777777" w:rsidR="00B23BAB" w:rsidRDefault="00B23BAB" w:rsidP="00B23BAB">
      <w:pPr>
        <w:spacing w:line="240" w:lineRule="auto"/>
        <w:rPr>
          <w:rFonts w:eastAsia="Times New Roman" w:cs="Arial"/>
          <w:color w:val="000000"/>
          <w:u w:val="single"/>
          <w:lang w:eastAsia="bg-BG"/>
        </w:rPr>
      </w:pPr>
    </w:p>
    <w:p w14:paraId="7697E734" w14:textId="570BD811"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Съобщаване на подозирани нежелани реакции</w:t>
      </w:r>
    </w:p>
    <w:p w14:paraId="3C8DB532"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w:t>
      </w:r>
    </w:p>
    <w:p w14:paraId="2DCB35D2" w14:textId="71E130AE" w:rsidR="00B23BAB" w:rsidRDefault="00B23BAB" w:rsidP="00B23BAB">
      <w:pPr>
        <w:rPr>
          <w:rFonts w:eastAsia="Times New Roman" w:cs="Arial"/>
          <w:color w:val="000000"/>
          <w:lang w:val="en-US"/>
        </w:rPr>
      </w:pPr>
      <w:r w:rsidRPr="00B23BAB">
        <w:rPr>
          <w:rFonts w:eastAsia="Times New Roman" w:cs="Arial"/>
          <w:color w:val="000000"/>
          <w:lang w:eastAsia="bg-BG"/>
        </w:rPr>
        <w:t xml:space="preserve">агенция по лекарствата, ул. „Дамян Груев” № 8, 1303 София, тел.: +35928903417, уебсайт: </w:t>
      </w:r>
      <w:r w:rsidRPr="00B23BAB">
        <w:rPr>
          <w:rFonts w:eastAsia="Times New Roman" w:cs="Arial"/>
          <w:color w:val="000000"/>
          <w:lang w:val="ru-RU"/>
        </w:rPr>
        <w:t>.</w:t>
      </w:r>
      <w:hyperlink r:id="rId5" w:history="1">
        <w:r w:rsidRPr="00B23BAB">
          <w:rPr>
            <w:rFonts w:eastAsia="Times New Roman" w:cs="Arial"/>
            <w:color w:val="000000"/>
            <w:lang w:val="en-US"/>
          </w:rPr>
          <w:t>www.bda.bg</w:t>
        </w:r>
      </w:hyperlink>
      <w:r w:rsidRPr="00B23BAB">
        <w:rPr>
          <w:rFonts w:eastAsia="Times New Roman" w:cs="Arial"/>
          <w:color w:val="000000"/>
          <w:lang w:val="en-US"/>
        </w:rPr>
        <w:t>.</w:t>
      </w:r>
    </w:p>
    <w:p w14:paraId="67158223" w14:textId="77777777" w:rsidR="00B23BAB" w:rsidRPr="00B23BAB" w:rsidRDefault="00B23BAB" w:rsidP="00B23BAB">
      <w:pPr>
        <w:rPr>
          <w:rFonts w:cs="Arial"/>
        </w:rPr>
      </w:pPr>
    </w:p>
    <w:p w14:paraId="4ED30546" w14:textId="778291A4" w:rsidR="007C605B" w:rsidRDefault="002C50EE" w:rsidP="009F1313">
      <w:pPr>
        <w:pStyle w:val="Heading2"/>
      </w:pPr>
      <w:r>
        <w:t>4.9. Предозиране</w:t>
      </w:r>
    </w:p>
    <w:p w14:paraId="671A2A99" w14:textId="3F2E6D87" w:rsidR="00B23BAB" w:rsidRDefault="00B23BAB" w:rsidP="00B23BAB"/>
    <w:p w14:paraId="732CB4B3" w14:textId="20ACCE29" w:rsidR="00B23BAB" w:rsidRPr="00B23BAB" w:rsidRDefault="00B23BAB" w:rsidP="00B23BAB">
      <w:r>
        <w:lastRenderedPageBreak/>
        <w:t>Нежеланите събития, които настъпват при по-високи от препоръчваните дози са подобни с тези, съобщавани при нормална доза. В случаите на предозиране са показани общи симптоматични и поддържащи мерки при нужда.</w:t>
      </w:r>
    </w:p>
    <w:p w14:paraId="02081B24" w14:textId="1F46E296" w:rsidR="00395555" w:rsidRPr="00395555" w:rsidRDefault="002C50EE" w:rsidP="008A6AF2">
      <w:pPr>
        <w:pStyle w:val="Heading1"/>
      </w:pPr>
      <w:r>
        <w:t>5. ФАРМАКОЛОГИЧНИ СВОЙСТВА</w:t>
      </w:r>
    </w:p>
    <w:p w14:paraId="5350637D" w14:textId="206DADFF" w:rsidR="00395555" w:rsidRDefault="002C50EE" w:rsidP="008A6AF2">
      <w:pPr>
        <w:pStyle w:val="Heading2"/>
      </w:pPr>
      <w:r>
        <w:t>5.1. Фармакодинамични свойства</w:t>
      </w:r>
    </w:p>
    <w:p w14:paraId="2AB8E4D5" w14:textId="122F8703" w:rsidR="00B23BAB" w:rsidRDefault="00B23BAB" w:rsidP="00B23BAB"/>
    <w:p w14:paraId="403E2864"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Фармакотерапевтична група: антибактериални средства за системно приложение; макролиди; азитромицин, АТС код: </w:t>
      </w:r>
      <w:r w:rsidRPr="00B23BAB">
        <w:rPr>
          <w:rFonts w:eastAsia="Times New Roman" w:cs="Arial"/>
          <w:color w:val="000000"/>
          <w:lang w:val="en-US"/>
        </w:rPr>
        <w:t>J</w:t>
      </w:r>
      <w:r w:rsidRPr="00B23BAB">
        <w:rPr>
          <w:rFonts w:eastAsia="Times New Roman" w:cs="Arial"/>
          <w:color w:val="000000"/>
          <w:lang w:val="ru-RU"/>
        </w:rPr>
        <w:t>01</w:t>
      </w:r>
      <w:r w:rsidRPr="00B23BAB">
        <w:rPr>
          <w:rFonts w:eastAsia="Times New Roman" w:cs="Arial"/>
          <w:color w:val="000000"/>
          <w:lang w:val="en-US"/>
        </w:rPr>
        <w:t>FA</w:t>
      </w:r>
      <w:r w:rsidRPr="00B23BAB">
        <w:rPr>
          <w:rFonts w:eastAsia="Times New Roman" w:cs="Arial"/>
          <w:color w:val="000000"/>
          <w:lang w:val="ru-RU"/>
        </w:rPr>
        <w:t>10</w:t>
      </w:r>
    </w:p>
    <w:p w14:paraId="1D6CC531" w14:textId="77777777" w:rsidR="00B23BAB" w:rsidRPr="00B23BAB" w:rsidRDefault="00B23BAB" w:rsidP="00B23BAB">
      <w:pPr>
        <w:spacing w:line="240" w:lineRule="auto"/>
        <w:rPr>
          <w:rFonts w:eastAsia="Times New Roman" w:cs="Arial"/>
          <w:color w:val="000000"/>
          <w:u w:val="single"/>
          <w:lang w:eastAsia="bg-BG"/>
        </w:rPr>
      </w:pPr>
    </w:p>
    <w:p w14:paraId="2BA06344" w14:textId="70984A71"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Механизъм на действие</w:t>
      </w:r>
    </w:p>
    <w:p w14:paraId="430CE080"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Азитромицин е азалид, подклас на макролидните антибиотици. Посредством свързване с </w:t>
      </w:r>
      <w:r w:rsidRPr="00B23BAB">
        <w:rPr>
          <w:rFonts w:eastAsia="Times New Roman" w:cs="Arial"/>
          <w:color w:val="000000"/>
          <w:lang w:val="ru-RU"/>
        </w:rPr>
        <w:t>50</w:t>
      </w:r>
      <w:r w:rsidRPr="00B23BAB">
        <w:rPr>
          <w:rFonts w:eastAsia="Times New Roman" w:cs="Arial"/>
          <w:color w:val="000000"/>
          <w:lang w:val="en-US"/>
        </w:rPr>
        <w:t>S</w:t>
      </w:r>
      <w:r w:rsidRPr="00B23BAB">
        <w:rPr>
          <w:rFonts w:eastAsia="Times New Roman" w:cs="Arial"/>
          <w:color w:val="000000"/>
          <w:lang w:val="ru-RU"/>
        </w:rPr>
        <w:t xml:space="preserve">- </w:t>
      </w:r>
      <w:r w:rsidRPr="00B23BAB">
        <w:rPr>
          <w:rFonts w:eastAsia="Times New Roman" w:cs="Arial"/>
          <w:color w:val="000000"/>
          <w:lang w:eastAsia="bg-BG"/>
        </w:rPr>
        <w:t>субединицата на рибозомите, азитромицин предотвратява транслокацията на пептидни вериги от едната страна на рибозомата към другата. В резултат се предотвратява РНК-зависимата протеинова синтеза при чувствителните организми.</w:t>
      </w:r>
    </w:p>
    <w:p w14:paraId="535EA2CC" w14:textId="77777777" w:rsidR="00B23BAB" w:rsidRPr="00B23BAB" w:rsidRDefault="00B23BAB" w:rsidP="00B23BAB">
      <w:pPr>
        <w:spacing w:line="240" w:lineRule="auto"/>
        <w:rPr>
          <w:rFonts w:eastAsia="Times New Roman" w:cs="Arial"/>
          <w:color w:val="000000"/>
          <w:u w:val="single"/>
          <w:lang w:eastAsia="bg-BG"/>
        </w:rPr>
      </w:pPr>
    </w:p>
    <w:p w14:paraId="600D5C33" w14:textId="7F71FF5E"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Връзка ФК/ФЛ</w:t>
      </w:r>
    </w:p>
    <w:p w14:paraId="7B96F83A"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За азитромицин, </w:t>
      </w:r>
      <w:r w:rsidRPr="00B23BAB">
        <w:rPr>
          <w:rFonts w:eastAsia="Times New Roman" w:cs="Arial"/>
          <w:color w:val="000000"/>
          <w:lang w:val="en-US"/>
        </w:rPr>
        <w:t>AUC</w:t>
      </w:r>
      <w:r w:rsidRPr="00B23BAB">
        <w:rPr>
          <w:rFonts w:eastAsia="Times New Roman" w:cs="Arial"/>
          <w:color w:val="000000"/>
          <w:lang w:val="ru-RU"/>
        </w:rPr>
        <w:t xml:space="preserve">/ </w:t>
      </w:r>
      <w:r w:rsidRPr="00B23BAB">
        <w:rPr>
          <w:rFonts w:eastAsia="Times New Roman" w:cs="Arial"/>
          <w:color w:val="000000"/>
          <w:lang w:val="en-US"/>
        </w:rPr>
        <w:t>MIC</w:t>
      </w:r>
      <w:r w:rsidRPr="00B23BAB">
        <w:rPr>
          <w:rFonts w:eastAsia="Times New Roman" w:cs="Arial"/>
          <w:color w:val="000000"/>
          <w:lang w:val="ru-RU"/>
        </w:rPr>
        <w:t xml:space="preserve"> </w:t>
      </w:r>
      <w:r w:rsidRPr="00B23BAB">
        <w:rPr>
          <w:rFonts w:eastAsia="Times New Roman" w:cs="Arial"/>
          <w:color w:val="000000"/>
          <w:lang w:eastAsia="bg-BG"/>
        </w:rPr>
        <w:t>е основния ФК/ФД параметър, който най-добре корелира с ефикасността на азитромицин.</w:t>
      </w:r>
    </w:p>
    <w:p w14:paraId="50FDFD41" w14:textId="77777777" w:rsidR="00B23BAB" w:rsidRPr="00B23BAB" w:rsidRDefault="00B23BAB" w:rsidP="00B23BAB">
      <w:pPr>
        <w:spacing w:line="240" w:lineRule="auto"/>
        <w:rPr>
          <w:rFonts w:eastAsia="Times New Roman" w:cs="Arial"/>
          <w:color w:val="000000"/>
          <w:u w:val="single"/>
          <w:lang w:eastAsia="bg-BG"/>
        </w:rPr>
      </w:pPr>
    </w:p>
    <w:p w14:paraId="69BDB1E5" w14:textId="70D5B141" w:rsidR="00B23BAB" w:rsidRPr="00B23BAB" w:rsidRDefault="00B23BAB" w:rsidP="00B23BAB">
      <w:pPr>
        <w:spacing w:line="240" w:lineRule="auto"/>
        <w:rPr>
          <w:rFonts w:eastAsia="Times New Roman" w:cs="Arial"/>
        </w:rPr>
      </w:pPr>
      <w:r w:rsidRPr="00B23BAB">
        <w:rPr>
          <w:rFonts w:eastAsia="Times New Roman" w:cs="Arial"/>
          <w:color w:val="000000"/>
          <w:u w:val="single"/>
          <w:lang w:eastAsia="bg-BG"/>
        </w:rPr>
        <w:t>Механизъм на резистентност:</w:t>
      </w:r>
    </w:p>
    <w:p w14:paraId="2D5E7C87"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Резистентността към азитромицин може да бъде унаследена или придобита. Налице са три главни механизма на резистентност при бактериите: промяна на прицелното място, промяна на антибиотичния транспорт и модифициране на антибиотика.</w:t>
      </w:r>
    </w:p>
    <w:p w14:paraId="1CDC14D2" w14:textId="77777777"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Пълна кръстосана резистентност съществува при </w:t>
      </w:r>
      <w:r w:rsidRPr="00B23BAB">
        <w:rPr>
          <w:rFonts w:eastAsia="Times New Roman" w:cs="Arial"/>
          <w:i/>
          <w:iCs/>
          <w:color w:val="000000"/>
          <w:lang w:val="en-US"/>
        </w:rPr>
        <w:t>Streptococcus</w:t>
      </w:r>
      <w:r w:rsidRPr="00B23BAB">
        <w:rPr>
          <w:rFonts w:eastAsia="Times New Roman" w:cs="Arial"/>
          <w:i/>
          <w:iCs/>
          <w:color w:val="000000"/>
        </w:rPr>
        <w:t xml:space="preserve"> </w:t>
      </w:r>
      <w:proofErr w:type="spellStart"/>
      <w:r w:rsidRPr="00B23BAB">
        <w:rPr>
          <w:rFonts w:eastAsia="Times New Roman" w:cs="Arial"/>
          <w:i/>
          <w:iCs/>
          <w:color w:val="000000"/>
          <w:lang w:val="en-US"/>
        </w:rPr>
        <w:t>pneumoniae</w:t>
      </w:r>
      <w:proofErr w:type="spellEnd"/>
      <w:r w:rsidRPr="00B23BAB">
        <w:rPr>
          <w:rFonts w:eastAsia="Times New Roman" w:cs="Arial"/>
          <w:i/>
          <w:iCs/>
          <w:color w:val="000000"/>
        </w:rPr>
        <w:t>,</w:t>
      </w:r>
      <w:r w:rsidRPr="00B23BAB">
        <w:rPr>
          <w:rFonts w:eastAsia="Times New Roman" w:cs="Arial"/>
          <w:color w:val="000000"/>
        </w:rPr>
        <w:t xml:space="preserve"> </w:t>
      </w:r>
      <w:r w:rsidRPr="00B23BAB">
        <w:rPr>
          <w:rFonts w:eastAsia="Times New Roman" w:cs="Arial"/>
          <w:color w:val="000000"/>
          <w:lang w:eastAsia="bg-BG"/>
        </w:rPr>
        <w:t xml:space="preserve">бета-хемолитичен стрептокок от група </w:t>
      </w:r>
      <w:r w:rsidRPr="00B23BAB">
        <w:rPr>
          <w:rFonts w:eastAsia="Times New Roman" w:cs="Arial"/>
          <w:color w:val="000000"/>
          <w:lang w:val="en-US"/>
        </w:rPr>
        <w:t>A</w:t>
      </w:r>
      <w:r w:rsidRPr="00B23BAB">
        <w:rPr>
          <w:rFonts w:eastAsia="Times New Roman" w:cs="Arial"/>
          <w:color w:val="000000"/>
        </w:rPr>
        <w:t xml:space="preserve">, </w:t>
      </w:r>
      <w:r w:rsidRPr="00B23BAB">
        <w:rPr>
          <w:rFonts w:eastAsia="Times New Roman" w:cs="Arial"/>
          <w:i/>
          <w:iCs/>
          <w:color w:val="000000"/>
          <w:lang w:val="en-US"/>
        </w:rPr>
        <w:t>Enterococcus</w:t>
      </w:r>
      <w:r w:rsidRPr="00B23BAB">
        <w:rPr>
          <w:rFonts w:eastAsia="Times New Roman" w:cs="Arial"/>
          <w:i/>
          <w:iCs/>
          <w:color w:val="000000"/>
        </w:rPr>
        <w:t xml:space="preserve"> </w:t>
      </w:r>
      <w:proofErr w:type="spellStart"/>
      <w:r w:rsidRPr="00B23BAB">
        <w:rPr>
          <w:rFonts w:eastAsia="Times New Roman" w:cs="Arial"/>
          <w:i/>
          <w:iCs/>
          <w:color w:val="000000"/>
          <w:lang w:val="en-US"/>
        </w:rPr>
        <w:t>faecalis</w:t>
      </w:r>
      <w:proofErr w:type="spellEnd"/>
      <w:r w:rsidRPr="00B23BAB">
        <w:rPr>
          <w:rFonts w:eastAsia="Times New Roman" w:cs="Arial"/>
          <w:color w:val="000000"/>
        </w:rPr>
        <w:t xml:space="preserve"> </w:t>
      </w:r>
      <w:r w:rsidRPr="00B23BAB">
        <w:rPr>
          <w:rFonts w:eastAsia="Times New Roman" w:cs="Arial"/>
          <w:color w:val="000000"/>
          <w:lang w:eastAsia="bg-BG"/>
        </w:rPr>
        <w:t xml:space="preserve">и </w:t>
      </w:r>
      <w:r w:rsidRPr="00B23BAB">
        <w:rPr>
          <w:rFonts w:eastAsia="Times New Roman" w:cs="Arial"/>
          <w:i/>
          <w:iCs/>
          <w:color w:val="000000"/>
          <w:lang w:val="en-US"/>
        </w:rPr>
        <w:t>Staphylococcus</w:t>
      </w:r>
      <w:r w:rsidRPr="00B23BAB">
        <w:rPr>
          <w:rFonts w:eastAsia="Times New Roman" w:cs="Arial"/>
          <w:i/>
          <w:iCs/>
          <w:color w:val="000000"/>
        </w:rPr>
        <w:t xml:space="preserve"> </w:t>
      </w:r>
      <w:r w:rsidRPr="00B23BAB">
        <w:rPr>
          <w:rFonts w:eastAsia="Times New Roman" w:cs="Arial"/>
          <w:i/>
          <w:iCs/>
          <w:color w:val="000000"/>
          <w:lang w:val="en-US"/>
        </w:rPr>
        <w:t>aureus</w:t>
      </w:r>
      <w:r w:rsidRPr="00B23BAB">
        <w:rPr>
          <w:rFonts w:eastAsia="Times New Roman" w:cs="Arial"/>
          <w:i/>
          <w:iCs/>
          <w:color w:val="000000"/>
        </w:rPr>
        <w:t>,</w:t>
      </w:r>
      <w:r w:rsidRPr="00B23BAB">
        <w:rPr>
          <w:rFonts w:eastAsia="Times New Roman" w:cs="Arial"/>
          <w:color w:val="000000"/>
        </w:rPr>
        <w:t xml:space="preserve"> </w:t>
      </w:r>
      <w:r w:rsidRPr="00B23BAB">
        <w:rPr>
          <w:rFonts w:eastAsia="Times New Roman" w:cs="Arial"/>
          <w:color w:val="000000"/>
          <w:lang w:eastAsia="bg-BG"/>
        </w:rPr>
        <w:t xml:space="preserve">включително метицилин резистентни 5. </w:t>
      </w:r>
      <w:proofErr w:type="gramStart"/>
      <w:r w:rsidRPr="00B23BAB">
        <w:rPr>
          <w:rFonts w:eastAsia="Times New Roman" w:cs="Arial"/>
          <w:i/>
          <w:iCs/>
          <w:color w:val="000000"/>
          <w:lang w:val="en-US"/>
        </w:rPr>
        <w:t>aureus</w:t>
      </w:r>
      <w:proofErr w:type="gramEnd"/>
      <w:r w:rsidRPr="00B23BAB">
        <w:rPr>
          <w:rFonts w:eastAsia="Times New Roman" w:cs="Arial"/>
          <w:color w:val="000000"/>
        </w:rPr>
        <w:t xml:space="preserve"> (</w:t>
      </w:r>
      <w:r w:rsidRPr="00B23BAB">
        <w:rPr>
          <w:rFonts w:eastAsia="Times New Roman" w:cs="Arial"/>
          <w:color w:val="000000"/>
          <w:lang w:val="en-US"/>
        </w:rPr>
        <w:t>MRSA</w:t>
      </w:r>
      <w:r w:rsidRPr="00B23BAB">
        <w:rPr>
          <w:rFonts w:eastAsia="Times New Roman" w:cs="Arial"/>
          <w:color w:val="000000"/>
        </w:rPr>
        <w:t xml:space="preserve">) </w:t>
      </w:r>
      <w:r w:rsidRPr="00B23BAB">
        <w:rPr>
          <w:rFonts w:eastAsia="Times New Roman" w:cs="Arial"/>
          <w:color w:val="000000"/>
          <w:lang w:eastAsia="bg-BG"/>
        </w:rPr>
        <w:t>спрямо еритромицин, азитромицин, други макролиди и линкозамини.</w:t>
      </w:r>
    </w:p>
    <w:p w14:paraId="279594F2" w14:textId="77777777" w:rsidR="00B23BAB" w:rsidRPr="00B23BAB" w:rsidRDefault="00B23BAB" w:rsidP="00B23BAB">
      <w:pPr>
        <w:spacing w:line="240" w:lineRule="auto"/>
        <w:rPr>
          <w:rFonts w:eastAsia="Times New Roman" w:cs="Arial"/>
          <w:b/>
          <w:bCs/>
          <w:color w:val="000000"/>
          <w:lang w:eastAsia="bg-BG"/>
        </w:rPr>
      </w:pPr>
    </w:p>
    <w:p w14:paraId="42178498" w14:textId="2171D8C4" w:rsidR="00B23BAB" w:rsidRPr="00B23BAB" w:rsidRDefault="00B23BAB" w:rsidP="00B23BAB">
      <w:pPr>
        <w:spacing w:line="240" w:lineRule="auto"/>
        <w:rPr>
          <w:rFonts w:eastAsia="Times New Roman" w:cs="Arial"/>
        </w:rPr>
      </w:pPr>
      <w:r w:rsidRPr="00B23BAB">
        <w:rPr>
          <w:rFonts w:eastAsia="Times New Roman" w:cs="Arial"/>
          <w:b/>
          <w:bCs/>
          <w:color w:val="000000"/>
          <w:lang w:eastAsia="bg-BG"/>
        </w:rPr>
        <w:t>Граници на чувствителност</w:t>
      </w:r>
    </w:p>
    <w:p w14:paraId="2A733981" w14:textId="77777777" w:rsidR="00B23BAB" w:rsidRPr="00B23BAB" w:rsidRDefault="00B23BAB" w:rsidP="00B23BAB">
      <w:pPr>
        <w:rPr>
          <w:rFonts w:eastAsia="Times New Roman" w:cs="Arial"/>
          <w:color w:val="000000"/>
          <w:lang w:val="en-US"/>
        </w:rPr>
      </w:pPr>
    </w:p>
    <w:p w14:paraId="445B4A71" w14:textId="307FD52B" w:rsidR="00B23BAB" w:rsidRPr="00B23BAB" w:rsidRDefault="00B23BAB" w:rsidP="00B23BAB">
      <w:pPr>
        <w:rPr>
          <w:rFonts w:eastAsia="Times New Roman" w:cs="Arial"/>
          <w:color w:val="000000"/>
          <w:lang w:eastAsia="bg-BG"/>
        </w:rPr>
      </w:pPr>
      <w:r w:rsidRPr="00B23BAB">
        <w:rPr>
          <w:rFonts w:eastAsia="Times New Roman" w:cs="Arial"/>
          <w:color w:val="000000"/>
          <w:lang w:val="en-US"/>
        </w:rPr>
        <w:t>EUCAST</w:t>
      </w:r>
      <w:r w:rsidRPr="00B23BAB">
        <w:rPr>
          <w:rFonts w:eastAsia="Times New Roman" w:cs="Arial"/>
          <w:color w:val="000000"/>
          <w:lang w:val="ru-RU"/>
        </w:rPr>
        <w:t xml:space="preserve"> </w:t>
      </w:r>
      <w:r w:rsidRPr="00B23BAB">
        <w:rPr>
          <w:rFonts w:eastAsia="Times New Roman" w:cs="Arial"/>
          <w:color w:val="000000"/>
          <w:lang w:eastAsia="bg-BG"/>
        </w:rPr>
        <w:t>(Европейски Комитет за Изследване на Антимикробната Чувствителност)</w:t>
      </w:r>
    </w:p>
    <w:p w14:paraId="33219083" w14:textId="03A2EE47" w:rsidR="00B23BAB" w:rsidRDefault="00B23BAB" w:rsidP="00B23BAB"/>
    <w:tbl>
      <w:tblPr>
        <w:tblStyle w:val="TableGrid"/>
        <w:tblW w:w="0" w:type="auto"/>
        <w:tblLook w:val="04A0" w:firstRow="1" w:lastRow="0" w:firstColumn="1" w:lastColumn="0" w:noHBand="0" w:noVBand="1"/>
      </w:tblPr>
      <w:tblGrid>
        <w:gridCol w:w="3192"/>
        <w:gridCol w:w="3192"/>
        <w:gridCol w:w="3192"/>
      </w:tblGrid>
      <w:tr w:rsidR="00B23BAB" w14:paraId="4D51BE27" w14:textId="77777777" w:rsidTr="00B23BAB">
        <w:tc>
          <w:tcPr>
            <w:tcW w:w="3192" w:type="dxa"/>
          </w:tcPr>
          <w:p w14:paraId="52B0C4C2" w14:textId="01665D28" w:rsidR="00B23BAB" w:rsidRPr="00B23BAB" w:rsidRDefault="00B23BAB" w:rsidP="00B23BAB">
            <w:r w:rsidRPr="00B23BAB">
              <w:rPr>
                <w:b/>
                <w:bCs/>
                <w:lang w:eastAsia="bg-BG"/>
              </w:rPr>
              <w:t>Патоген</w:t>
            </w:r>
          </w:p>
        </w:tc>
        <w:tc>
          <w:tcPr>
            <w:tcW w:w="3192" w:type="dxa"/>
          </w:tcPr>
          <w:p w14:paraId="6279179F" w14:textId="4F108BA4" w:rsidR="00B23BAB" w:rsidRPr="00B23BAB" w:rsidRDefault="00B23BAB" w:rsidP="00B23BAB">
            <w:r w:rsidRPr="00B23BAB">
              <w:rPr>
                <w:b/>
                <w:bCs/>
                <w:lang w:eastAsia="bg-BG"/>
              </w:rPr>
              <w:t xml:space="preserve">чувствителен </w:t>
            </w:r>
            <w:r w:rsidRPr="00B23BAB">
              <w:rPr>
                <w:b/>
                <w:bCs/>
              </w:rPr>
              <w:t>(mg/l)</w:t>
            </w:r>
          </w:p>
        </w:tc>
        <w:tc>
          <w:tcPr>
            <w:tcW w:w="3192" w:type="dxa"/>
          </w:tcPr>
          <w:p w14:paraId="5A8C2419" w14:textId="48C9F0B0" w:rsidR="00B23BAB" w:rsidRPr="00B23BAB" w:rsidRDefault="00B23BAB" w:rsidP="00B23BAB">
            <w:r w:rsidRPr="00B23BAB">
              <w:rPr>
                <w:b/>
                <w:bCs/>
                <w:lang w:eastAsia="bg-BG"/>
              </w:rPr>
              <w:t xml:space="preserve">резистентен </w:t>
            </w:r>
            <w:r w:rsidRPr="00B23BAB">
              <w:rPr>
                <w:b/>
                <w:bCs/>
              </w:rPr>
              <w:t>(mg/l)</w:t>
            </w:r>
          </w:p>
        </w:tc>
      </w:tr>
      <w:tr w:rsidR="00B23BAB" w14:paraId="4496EE3D" w14:textId="77777777" w:rsidTr="00B23BAB">
        <w:tc>
          <w:tcPr>
            <w:tcW w:w="3192" w:type="dxa"/>
          </w:tcPr>
          <w:p w14:paraId="53F8CDA9" w14:textId="06237AA4" w:rsidR="00B23BAB" w:rsidRPr="00B23BAB" w:rsidRDefault="00B23BAB" w:rsidP="00B23BAB">
            <w:r w:rsidRPr="00B23BAB">
              <w:rPr>
                <w:i/>
                <w:iCs/>
              </w:rPr>
              <w:t>Staphylococcus</w:t>
            </w:r>
            <w:r w:rsidRPr="00B23BAB">
              <w:t xml:space="preserve"> spp.</w:t>
            </w:r>
          </w:p>
        </w:tc>
        <w:tc>
          <w:tcPr>
            <w:tcW w:w="3192" w:type="dxa"/>
          </w:tcPr>
          <w:p w14:paraId="0AF6B107" w14:textId="1A248BDE" w:rsidR="00B23BAB" w:rsidRPr="00B23BAB" w:rsidRDefault="00B23BAB" w:rsidP="00B23BAB">
            <w:r w:rsidRPr="00B23BAB">
              <w:rPr>
                <w:lang w:eastAsia="bg-BG"/>
              </w:rPr>
              <w:t>≤</w:t>
            </w:r>
            <w:r w:rsidRPr="00B23BAB">
              <w:t>1</w:t>
            </w:r>
          </w:p>
        </w:tc>
        <w:tc>
          <w:tcPr>
            <w:tcW w:w="3192" w:type="dxa"/>
          </w:tcPr>
          <w:p w14:paraId="34F20AD9" w14:textId="07169686" w:rsidR="00B23BAB" w:rsidRPr="00B23BAB" w:rsidRDefault="00B23BAB" w:rsidP="00B23BAB">
            <w:r w:rsidRPr="00B23BAB">
              <w:t>&gt;2</w:t>
            </w:r>
          </w:p>
        </w:tc>
      </w:tr>
      <w:tr w:rsidR="00B23BAB" w14:paraId="0DD4FA39" w14:textId="77777777" w:rsidTr="00B23BAB">
        <w:tc>
          <w:tcPr>
            <w:tcW w:w="3192" w:type="dxa"/>
          </w:tcPr>
          <w:p w14:paraId="6D3E77F8" w14:textId="0899421D" w:rsidR="00B23BAB" w:rsidRPr="00B23BAB" w:rsidRDefault="00B23BAB" w:rsidP="00B23BAB">
            <w:r w:rsidRPr="00B23BAB">
              <w:rPr>
                <w:i/>
                <w:iCs/>
              </w:rPr>
              <w:t>Streptococcus</w:t>
            </w:r>
            <w:r w:rsidRPr="00B23BAB">
              <w:t xml:space="preserve"> spp. (Group </w:t>
            </w:r>
            <w:r w:rsidRPr="00B23BAB">
              <w:rPr>
                <w:lang w:eastAsia="bg-BG"/>
              </w:rPr>
              <w:t xml:space="preserve">А, В, </w:t>
            </w:r>
            <w:r w:rsidRPr="00B23BAB">
              <w:t>C, G)</w:t>
            </w:r>
          </w:p>
        </w:tc>
        <w:tc>
          <w:tcPr>
            <w:tcW w:w="3192" w:type="dxa"/>
          </w:tcPr>
          <w:p w14:paraId="108D4ED2" w14:textId="7A8A052F" w:rsidR="00B23BAB" w:rsidRPr="00B23BAB" w:rsidRDefault="00B23BAB" w:rsidP="00B23BAB">
            <w:r w:rsidRPr="00B23BAB">
              <w:rPr>
                <w:lang w:eastAsia="bg-BG"/>
              </w:rPr>
              <w:t>≤</w:t>
            </w:r>
            <w:r w:rsidRPr="00B23BAB">
              <w:t>0,25</w:t>
            </w:r>
          </w:p>
        </w:tc>
        <w:tc>
          <w:tcPr>
            <w:tcW w:w="3192" w:type="dxa"/>
          </w:tcPr>
          <w:p w14:paraId="18158D28" w14:textId="1BF5D430" w:rsidR="00B23BAB" w:rsidRPr="00B23BAB" w:rsidRDefault="00B23BAB" w:rsidP="00B23BAB">
            <w:r w:rsidRPr="00B23BAB">
              <w:t>&gt;0,5</w:t>
            </w:r>
          </w:p>
        </w:tc>
      </w:tr>
      <w:tr w:rsidR="00B23BAB" w14:paraId="6880C13C" w14:textId="77777777" w:rsidTr="00B23BAB">
        <w:tc>
          <w:tcPr>
            <w:tcW w:w="3192" w:type="dxa"/>
          </w:tcPr>
          <w:p w14:paraId="3E900325" w14:textId="40D9EF82" w:rsidR="00B23BAB" w:rsidRPr="00B23BAB" w:rsidRDefault="00B23BAB" w:rsidP="00B23BAB">
            <w:r w:rsidRPr="00B23BAB">
              <w:rPr>
                <w:i/>
                <w:iCs/>
              </w:rPr>
              <w:t>Streptococcus pneumoniae</w:t>
            </w:r>
          </w:p>
        </w:tc>
        <w:tc>
          <w:tcPr>
            <w:tcW w:w="3192" w:type="dxa"/>
          </w:tcPr>
          <w:p w14:paraId="35D58340" w14:textId="03C61F4E" w:rsidR="00B23BAB" w:rsidRPr="00B23BAB" w:rsidRDefault="00B23BAB" w:rsidP="00B23BAB">
            <w:r w:rsidRPr="00B23BAB">
              <w:rPr>
                <w:lang w:eastAsia="bg-BG"/>
              </w:rPr>
              <w:t>≤</w:t>
            </w:r>
            <w:r w:rsidRPr="00B23BAB">
              <w:t>0,25</w:t>
            </w:r>
          </w:p>
        </w:tc>
        <w:tc>
          <w:tcPr>
            <w:tcW w:w="3192" w:type="dxa"/>
          </w:tcPr>
          <w:p w14:paraId="5B18FBCD" w14:textId="62AB94FA" w:rsidR="00B23BAB" w:rsidRPr="00B23BAB" w:rsidRDefault="00B23BAB" w:rsidP="00B23BAB">
            <w:r w:rsidRPr="00B23BAB">
              <w:t>&gt;0,5</w:t>
            </w:r>
          </w:p>
        </w:tc>
      </w:tr>
      <w:tr w:rsidR="00B23BAB" w14:paraId="0A9879A5" w14:textId="77777777" w:rsidTr="00B23BAB">
        <w:tc>
          <w:tcPr>
            <w:tcW w:w="3192" w:type="dxa"/>
          </w:tcPr>
          <w:p w14:paraId="2E820BDD" w14:textId="6B7F2A03" w:rsidR="00B23BAB" w:rsidRPr="00B23BAB" w:rsidRDefault="00B23BAB" w:rsidP="00B23BAB">
            <w:r w:rsidRPr="00B23BAB">
              <w:rPr>
                <w:i/>
                <w:iCs/>
              </w:rPr>
              <w:t>Haemophilus influenzae</w:t>
            </w:r>
          </w:p>
        </w:tc>
        <w:tc>
          <w:tcPr>
            <w:tcW w:w="3192" w:type="dxa"/>
          </w:tcPr>
          <w:p w14:paraId="4E0DFACC" w14:textId="087BA436" w:rsidR="00B23BAB" w:rsidRPr="00B23BAB" w:rsidRDefault="00B23BAB" w:rsidP="00B23BAB">
            <w:r w:rsidRPr="00B23BAB">
              <w:rPr>
                <w:lang w:eastAsia="bg-BG"/>
              </w:rPr>
              <w:t>≤</w:t>
            </w:r>
            <w:r w:rsidRPr="00B23BAB">
              <w:t>0.125</w:t>
            </w:r>
          </w:p>
        </w:tc>
        <w:tc>
          <w:tcPr>
            <w:tcW w:w="3192" w:type="dxa"/>
          </w:tcPr>
          <w:p w14:paraId="095B31F7" w14:textId="0A576D7C" w:rsidR="00B23BAB" w:rsidRPr="00B23BAB" w:rsidRDefault="00B23BAB" w:rsidP="00B23BAB">
            <w:r w:rsidRPr="00B23BAB">
              <w:t>&gt; 4</w:t>
            </w:r>
          </w:p>
        </w:tc>
      </w:tr>
      <w:tr w:rsidR="00B23BAB" w14:paraId="1692F1F1" w14:textId="77777777" w:rsidTr="00B23BAB">
        <w:tc>
          <w:tcPr>
            <w:tcW w:w="3192" w:type="dxa"/>
          </w:tcPr>
          <w:p w14:paraId="167F692A" w14:textId="570FD48F" w:rsidR="00B23BAB" w:rsidRPr="00B23BAB" w:rsidRDefault="00B23BAB" w:rsidP="00B23BAB">
            <w:r w:rsidRPr="00B23BAB">
              <w:rPr>
                <w:i/>
                <w:iCs/>
              </w:rPr>
              <w:t>Moraxella catarrhalis</w:t>
            </w:r>
          </w:p>
        </w:tc>
        <w:tc>
          <w:tcPr>
            <w:tcW w:w="3192" w:type="dxa"/>
          </w:tcPr>
          <w:p w14:paraId="30F228E8" w14:textId="155A59BA" w:rsidR="00B23BAB" w:rsidRPr="00B23BAB" w:rsidRDefault="00B23BAB" w:rsidP="00B23BAB">
            <w:r w:rsidRPr="00B23BAB">
              <w:rPr>
                <w:lang w:eastAsia="bg-BG"/>
              </w:rPr>
              <w:t>≤</w:t>
            </w:r>
            <w:r w:rsidRPr="00B23BAB">
              <w:t>0,5</w:t>
            </w:r>
          </w:p>
        </w:tc>
        <w:tc>
          <w:tcPr>
            <w:tcW w:w="3192" w:type="dxa"/>
          </w:tcPr>
          <w:p w14:paraId="55180C0B" w14:textId="4630FE00" w:rsidR="00B23BAB" w:rsidRPr="00B23BAB" w:rsidRDefault="00B23BAB" w:rsidP="00B23BAB">
            <w:r w:rsidRPr="00B23BAB">
              <w:t>&gt;0,5</w:t>
            </w:r>
          </w:p>
        </w:tc>
      </w:tr>
      <w:tr w:rsidR="00B23BAB" w14:paraId="3DC51043" w14:textId="77777777" w:rsidTr="00B23BAB">
        <w:tc>
          <w:tcPr>
            <w:tcW w:w="3192" w:type="dxa"/>
          </w:tcPr>
          <w:p w14:paraId="1E586C44" w14:textId="608D2023" w:rsidR="00B23BAB" w:rsidRPr="00B23BAB" w:rsidRDefault="00B23BAB" w:rsidP="00B23BAB">
            <w:r w:rsidRPr="00B23BAB">
              <w:rPr>
                <w:i/>
                <w:iCs/>
              </w:rPr>
              <w:t>Neisseria gonorrhoeae</w:t>
            </w:r>
          </w:p>
        </w:tc>
        <w:tc>
          <w:tcPr>
            <w:tcW w:w="3192" w:type="dxa"/>
          </w:tcPr>
          <w:p w14:paraId="413E2BA5" w14:textId="2116CC43" w:rsidR="00B23BAB" w:rsidRPr="00B23BAB" w:rsidRDefault="00B23BAB" w:rsidP="00B23BAB">
            <w:r w:rsidRPr="00B23BAB">
              <w:rPr>
                <w:lang w:eastAsia="bg-BG"/>
              </w:rPr>
              <w:t>≤</w:t>
            </w:r>
            <w:r w:rsidRPr="00B23BAB">
              <w:t>0,25</w:t>
            </w:r>
          </w:p>
        </w:tc>
        <w:tc>
          <w:tcPr>
            <w:tcW w:w="3192" w:type="dxa"/>
          </w:tcPr>
          <w:p w14:paraId="091D2299" w14:textId="02A6EF40" w:rsidR="00B23BAB" w:rsidRPr="00B23BAB" w:rsidRDefault="00B23BAB" w:rsidP="00B23BAB">
            <w:r w:rsidRPr="00B23BAB">
              <w:t>&gt;0,5</w:t>
            </w:r>
          </w:p>
        </w:tc>
      </w:tr>
    </w:tbl>
    <w:p w14:paraId="1C9BC867" w14:textId="5935139C" w:rsidR="00B23BAB" w:rsidRDefault="00B23BAB" w:rsidP="00B23BAB"/>
    <w:p w14:paraId="6D243281" w14:textId="77777777" w:rsidR="00B23BAB" w:rsidRPr="00B23BAB" w:rsidRDefault="00B23BAB" w:rsidP="00B23BAB">
      <w:pPr>
        <w:spacing w:line="240" w:lineRule="auto"/>
        <w:rPr>
          <w:rFonts w:eastAsia="Times New Roman" w:cs="Arial"/>
        </w:rPr>
      </w:pPr>
      <w:r w:rsidRPr="00B23BAB">
        <w:rPr>
          <w:rFonts w:eastAsia="Times New Roman" w:cs="Arial"/>
          <w:b/>
          <w:bCs/>
          <w:color w:val="000000"/>
          <w:lang w:eastAsia="bg-BG"/>
        </w:rPr>
        <w:t>Чувствителност</w:t>
      </w:r>
    </w:p>
    <w:p w14:paraId="667B6268" w14:textId="77777777" w:rsidR="00B23BAB" w:rsidRPr="00B23BAB" w:rsidRDefault="00B23BAB" w:rsidP="00B23BAB">
      <w:pPr>
        <w:spacing w:line="240" w:lineRule="auto"/>
        <w:rPr>
          <w:rFonts w:eastAsia="Times New Roman" w:cs="Arial"/>
          <w:color w:val="000000"/>
          <w:lang w:eastAsia="bg-BG"/>
        </w:rPr>
      </w:pPr>
    </w:p>
    <w:p w14:paraId="20B264FE" w14:textId="04C3CC25" w:rsidR="00B23BAB" w:rsidRPr="00B23BAB" w:rsidRDefault="00B23BAB" w:rsidP="00B23BAB">
      <w:pPr>
        <w:spacing w:line="240" w:lineRule="auto"/>
        <w:rPr>
          <w:rFonts w:eastAsia="Times New Roman" w:cs="Arial"/>
        </w:rPr>
      </w:pPr>
      <w:r w:rsidRPr="00B23BAB">
        <w:rPr>
          <w:rFonts w:eastAsia="Times New Roman" w:cs="Arial"/>
          <w:color w:val="000000"/>
          <w:lang w:eastAsia="bg-BG"/>
        </w:rPr>
        <w:t xml:space="preserve">Честотата на придобитата резистентност може да варира географски и във времето при избрани видове и е желателно да се получи местна информация за чувствителността, особено в случаите на лечение на тежки инфекции. При необходимост трябва да се </w:t>
      </w:r>
      <w:r w:rsidRPr="00B23BAB">
        <w:rPr>
          <w:rFonts w:eastAsia="Times New Roman" w:cs="Arial"/>
          <w:color w:val="000000"/>
          <w:lang w:eastAsia="bg-BG"/>
        </w:rPr>
        <w:lastRenderedPageBreak/>
        <w:t>потърси съвет от експерт, когато местната честота на резистентност е такава, че ползата от препарата при поне част от инфекциите е под въпрос.</w:t>
      </w:r>
    </w:p>
    <w:p w14:paraId="643E2BB4" w14:textId="731DEE77" w:rsidR="00B23BAB" w:rsidRDefault="00B23BAB" w:rsidP="00B23BAB">
      <w:pPr>
        <w:rPr>
          <w:rFonts w:eastAsia="Times New Roman" w:cs="Arial"/>
          <w:color w:val="000000"/>
          <w:lang w:eastAsia="bg-BG"/>
        </w:rPr>
      </w:pPr>
      <w:r w:rsidRPr="00B23BAB">
        <w:rPr>
          <w:rFonts w:eastAsia="Times New Roman" w:cs="Arial"/>
          <w:color w:val="000000"/>
          <w:lang w:eastAsia="bg-BG"/>
        </w:rPr>
        <w:t>Патогени, при които резистентностга може да бъде проблем: честотата на резистентността е равна или по-голяма от 10% в поне една държава от Европейската общност.</w:t>
      </w:r>
    </w:p>
    <w:p w14:paraId="5E523674" w14:textId="12FFD749" w:rsidR="00B23BAB" w:rsidRDefault="00B23BAB" w:rsidP="00B23BAB">
      <w:pPr>
        <w:rPr>
          <w:rFonts w:eastAsia="Times New Roman" w:cs="Arial"/>
          <w:color w:val="000000"/>
          <w:lang w:eastAsia="bg-BG"/>
        </w:rPr>
      </w:pPr>
    </w:p>
    <w:p w14:paraId="7BF2C882" w14:textId="4B190000" w:rsidR="00B23BAB" w:rsidRDefault="00B23BAB" w:rsidP="00B23BAB">
      <w:r>
        <w:t>Таблица за чувствителност</w:t>
      </w:r>
    </w:p>
    <w:tbl>
      <w:tblPr>
        <w:tblStyle w:val="TableGrid"/>
        <w:tblW w:w="0" w:type="auto"/>
        <w:tblLook w:val="04A0" w:firstRow="1" w:lastRow="0" w:firstColumn="1" w:lastColumn="0" w:noHBand="0" w:noVBand="1"/>
      </w:tblPr>
      <w:tblGrid>
        <w:gridCol w:w="9576"/>
      </w:tblGrid>
      <w:tr w:rsidR="00B23BAB" w14:paraId="7EC6DE7B" w14:textId="77777777" w:rsidTr="00B23BAB">
        <w:tc>
          <w:tcPr>
            <w:tcW w:w="9576" w:type="dxa"/>
            <w:vAlign w:val="bottom"/>
          </w:tcPr>
          <w:p w14:paraId="579EB65C" w14:textId="4699EAED" w:rsidR="00B23BAB" w:rsidRPr="00B23BAB" w:rsidRDefault="00B23BAB" w:rsidP="00B23BAB">
            <w:pPr>
              <w:rPr>
                <w:rFonts w:cs="Arial"/>
              </w:rPr>
            </w:pPr>
            <w:r w:rsidRPr="00B23BAB">
              <w:rPr>
                <w:b/>
                <w:bCs/>
              </w:rPr>
              <w:t>Обичайно чувствителни видове</w:t>
            </w:r>
          </w:p>
        </w:tc>
      </w:tr>
      <w:tr w:rsidR="00B23BAB" w14:paraId="1BD312D7" w14:textId="77777777" w:rsidTr="00B23BAB">
        <w:tc>
          <w:tcPr>
            <w:tcW w:w="9576" w:type="dxa"/>
            <w:vAlign w:val="bottom"/>
          </w:tcPr>
          <w:p w14:paraId="19D66DBA" w14:textId="77777777" w:rsidR="00B23BAB" w:rsidRPr="00B23BAB" w:rsidRDefault="00B23BAB" w:rsidP="00B23BAB">
            <w:r w:rsidRPr="00B23BAB">
              <w:t>Аеробни Грам-негативни микроорганизми</w:t>
            </w:r>
          </w:p>
          <w:p w14:paraId="523C3410" w14:textId="77777777" w:rsidR="00B23BAB" w:rsidRPr="00B23BAB" w:rsidRDefault="00B23BAB" w:rsidP="00B23BAB">
            <w:proofErr w:type="spellStart"/>
            <w:r w:rsidRPr="00B23BAB">
              <w:rPr>
                <w:i/>
                <w:iCs/>
                <w:lang w:val="en-US"/>
              </w:rPr>
              <w:t>Haemophilus</w:t>
            </w:r>
            <w:proofErr w:type="spellEnd"/>
            <w:r w:rsidRPr="00B23BAB">
              <w:rPr>
                <w:i/>
                <w:iCs/>
              </w:rPr>
              <w:t xml:space="preserve"> </w:t>
            </w:r>
            <w:proofErr w:type="spellStart"/>
            <w:r w:rsidRPr="00B23BAB">
              <w:rPr>
                <w:i/>
                <w:iCs/>
                <w:lang w:val="en-US"/>
              </w:rPr>
              <w:t>influenzae</w:t>
            </w:r>
            <w:proofErr w:type="spellEnd"/>
            <w:r w:rsidRPr="00B23BAB">
              <w:rPr>
                <w:i/>
                <w:iCs/>
              </w:rPr>
              <w:t xml:space="preserve"> *</w:t>
            </w:r>
          </w:p>
          <w:p w14:paraId="6AA62C31" w14:textId="77777777" w:rsidR="00B23BAB" w:rsidRPr="00B23BAB" w:rsidRDefault="00B23BAB" w:rsidP="00B23BAB">
            <w:r w:rsidRPr="00B23BAB">
              <w:rPr>
                <w:i/>
                <w:iCs/>
                <w:lang w:val="en-US"/>
              </w:rPr>
              <w:t>Moraxella</w:t>
            </w:r>
            <w:r w:rsidRPr="00B23BAB">
              <w:rPr>
                <w:i/>
                <w:iCs/>
              </w:rPr>
              <w:t xml:space="preserve"> </w:t>
            </w:r>
            <w:proofErr w:type="spellStart"/>
            <w:r w:rsidRPr="00B23BAB">
              <w:rPr>
                <w:i/>
                <w:iCs/>
                <w:lang w:val="en-US"/>
              </w:rPr>
              <w:t>catarrhalis</w:t>
            </w:r>
            <w:proofErr w:type="spellEnd"/>
            <w:r w:rsidRPr="00B23BAB">
              <w:rPr>
                <w:i/>
                <w:iCs/>
              </w:rPr>
              <w:t>*</w:t>
            </w:r>
          </w:p>
          <w:p w14:paraId="03FA409A" w14:textId="77777777" w:rsidR="00B23BAB" w:rsidRPr="00B23BAB" w:rsidRDefault="00B23BAB" w:rsidP="00B23BAB">
            <w:r w:rsidRPr="00B23BAB">
              <w:t>Други микроорганизми</w:t>
            </w:r>
          </w:p>
          <w:p w14:paraId="328CFD88" w14:textId="77777777" w:rsidR="00B23BAB" w:rsidRPr="00B23BAB" w:rsidRDefault="00B23BAB" w:rsidP="00B23BAB">
            <w:proofErr w:type="spellStart"/>
            <w:r w:rsidRPr="00B23BAB">
              <w:rPr>
                <w:i/>
                <w:iCs/>
                <w:lang w:val="en-US"/>
              </w:rPr>
              <w:t>Chlamydophila</w:t>
            </w:r>
            <w:proofErr w:type="spellEnd"/>
            <w:r w:rsidRPr="00B23BAB">
              <w:rPr>
                <w:i/>
                <w:iCs/>
              </w:rPr>
              <w:t xml:space="preserve"> </w:t>
            </w:r>
            <w:proofErr w:type="spellStart"/>
            <w:r w:rsidRPr="00B23BAB">
              <w:rPr>
                <w:i/>
                <w:iCs/>
                <w:lang w:val="en-US"/>
              </w:rPr>
              <w:t>pneumoniae</w:t>
            </w:r>
            <w:proofErr w:type="spellEnd"/>
          </w:p>
          <w:p w14:paraId="65E71CFA" w14:textId="77777777" w:rsidR="00B23BAB" w:rsidRPr="00B23BAB" w:rsidRDefault="00B23BAB" w:rsidP="00B23BAB">
            <w:r w:rsidRPr="00B23BAB">
              <w:rPr>
                <w:i/>
                <w:iCs/>
                <w:lang w:val="en-US"/>
              </w:rPr>
              <w:t>Chlamydia trachomatis</w:t>
            </w:r>
          </w:p>
          <w:p w14:paraId="6E4F831A" w14:textId="77777777" w:rsidR="00B23BAB" w:rsidRPr="00B23BAB" w:rsidRDefault="00B23BAB" w:rsidP="00B23BAB">
            <w:r w:rsidRPr="00B23BAB">
              <w:rPr>
                <w:i/>
                <w:iCs/>
                <w:lang w:val="en-US"/>
              </w:rPr>
              <w:t xml:space="preserve">Legionella </w:t>
            </w:r>
            <w:proofErr w:type="spellStart"/>
            <w:r w:rsidRPr="00B23BAB">
              <w:rPr>
                <w:i/>
                <w:iCs/>
                <w:lang w:val="en-US"/>
              </w:rPr>
              <w:t>pneumophila</w:t>
            </w:r>
            <w:proofErr w:type="spellEnd"/>
          </w:p>
          <w:p w14:paraId="7B6565F1" w14:textId="77777777" w:rsidR="00B23BAB" w:rsidRPr="00B23BAB" w:rsidRDefault="00B23BAB" w:rsidP="00B23BAB">
            <w:r w:rsidRPr="00B23BAB">
              <w:rPr>
                <w:i/>
                <w:iCs/>
                <w:lang w:val="en-US"/>
              </w:rPr>
              <w:t xml:space="preserve">Mycobacterium </w:t>
            </w:r>
            <w:proofErr w:type="spellStart"/>
            <w:r w:rsidRPr="00B23BAB">
              <w:rPr>
                <w:i/>
                <w:iCs/>
                <w:lang w:val="en-US"/>
              </w:rPr>
              <w:t>avium</w:t>
            </w:r>
            <w:proofErr w:type="spellEnd"/>
          </w:p>
          <w:p w14:paraId="2E520693" w14:textId="7C04C529" w:rsidR="00B23BAB" w:rsidRPr="00B23BAB" w:rsidRDefault="00B23BAB" w:rsidP="00B23BAB">
            <w:pPr>
              <w:rPr>
                <w:rFonts w:cs="Arial"/>
              </w:rPr>
            </w:pPr>
            <w:r w:rsidRPr="00B23BAB">
              <w:rPr>
                <w:i/>
                <w:iCs/>
                <w:lang w:val="en-US"/>
              </w:rPr>
              <w:t>Mycoplasma pneumonia*</w:t>
            </w:r>
          </w:p>
        </w:tc>
      </w:tr>
      <w:tr w:rsidR="00B23BAB" w14:paraId="4342254E" w14:textId="77777777" w:rsidTr="00B23BAB">
        <w:tc>
          <w:tcPr>
            <w:tcW w:w="9576" w:type="dxa"/>
            <w:vAlign w:val="bottom"/>
          </w:tcPr>
          <w:p w14:paraId="0B8688FE" w14:textId="5E0CA46A" w:rsidR="00B23BAB" w:rsidRPr="00B23BAB" w:rsidRDefault="00B23BAB" w:rsidP="00B23BAB">
            <w:pPr>
              <w:rPr>
                <w:rFonts w:cs="Arial"/>
              </w:rPr>
            </w:pPr>
            <w:r w:rsidRPr="00B23BAB">
              <w:rPr>
                <w:b/>
                <w:bCs/>
              </w:rPr>
              <w:t>Видове, при които придобитата резистентност може да представлява проблем</w:t>
            </w:r>
          </w:p>
        </w:tc>
      </w:tr>
      <w:tr w:rsidR="00B23BAB" w14:paraId="57AE1407" w14:textId="77777777" w:rsidTr="00B23BAB">
        <w:tc>
          <w:tcPr>
            <w:tcW w:w="9576" w:type="dxa"/>
            <w:vAlign w:val="bottom"/>
          </w:tcPr>
          <w:p w14:paraId="260C4D5A" w14:textId="77777777" w:rsidR="00B23BAB" w:rsidRPr="00B23BAB" w:rsidRDefault="00B23BAB" w:rsidP="00B23BAB">
            <w:r w:rsidRPr="00B23BAB">
              <w:t>Аеробни Грам-позитивни микроорганизми</w:t>
            </w:r>
          </w:p>
          <w:p w14:paraId="41003D2D" w14:textId="77777777" w:rsidR="00B23BAB" w:rsidRPr="00B23BAB" w:rsidRDefault="00B23BAB" w:rsidP="00B23BAB">
            <w:r w:rsidRPr="00B23BAB">
              <w:rPr>
                <w:i/>
                <w:iCs/>
                <w:lang w:val="en-US"/>
              </w:rPr>
              <w:t>Staphylococcus</w:t>
            </w:r>
            <w:r w:rsidRPr="00B23BAB">
              <w:rPr>
                <w:i/>
                <w:iCs/>
              </w:rPr>
              <w:t xml:space="preserve"> </w:t>
            </w:r>
            <w:r w:rsidRPr="00B23BAB">
              <w:rPr>
                <w:i/>
                <w:iCs/>
                <w:lang w:val="en-US"/>
              </w:rPr>
              <w:t>aureus</w:t>
            </w:r>
            <w:r w:rsidRPr="00B23BAB">
              <w:rPr>
                <w:i/>
                <w:iCs/>
              </w:rPr>
              <w:t>*</w:t>
            </w:r>
          </w:p>
          <w:p w14:paraId="4137CC20" w14:textId="77777777" w:rsidR="00B23BAB" w:rsidRPr="00B23BAB" w:rsidRDefault="00B23BAB" w:rsidP="00B23BAB">
            <w:r w:rsidRPr="00B23BAB">
              <w:rPr>
                <w:i/>
                <w:iCs/>
                <w:lang w:val="en-US"/>
              </w:rPr>
              <w:t xml:space="preserve">Streptococcus </w:t>
            </w:r>
            <w:proofErr w:type="spellStart"/>
            <w:r w:rsidRPr="00B23BAB">
              <w:rPr>
                <w:i/>
                <w:iCs/>
                <w:lang w:val="en-US"/>
              </w:rPr>
              <w:t>agalactiae</w:t>
            </w:r>
            <w:proofErr w:type="spellEnd"/>
          </w:p>
          <w:p w14:paraId="149ECD3B" w14:textId="77777777" w:rsidR="00B23BAB" w:rsidRPr="00B23BAB" w:rsidRDefault="00B23BAB" w:rsidP="00B23BAB">
            <w:r w:rsidRPr="00B23BAB">
              <w:rPr>
                <w:i/>
                <w:iCs/>
                <w:lang w:val="en-US"/>
              </w:rPr>
              <w:t xml:space="preserve">Streptococcus </w:t>
            </w:r>
            <w:proofErr w:type="spellStart"/>
            <w:r w:rsidRPr="00B23BAB">
              <w:rPr>
                <w:i/>
                <w:iCs/>
                <w:lang w:val="en-US"/>
              </w:rPr>
              <w:t>pneumoniae</w:t>
            </w:r>
            <w:proofErr w:type="spellEnd"/>
            <w:r w:rsidRPr="00B23BAB">
              <w:rPr>
                <w:i/>
                <w:iCs/>
                <w:lang w:val="en-US"/>
              </w:rPr>
              <w:t xml:space="preserve"> *</w:t>
            </w:r>
          </w:p>
          <w:p w14:paraId="2B340F9A" w14:textId="77777777" w:rsidR="00B23BAB" w:rsidRPr="00B23BAB" w:rsidRDefault="00B23BAB" w:rsidP="00B23BAB">
            <w:r w:rsidRPr="00B23BAB">
              <w:rPr>
                <w:i/>
                <w:iCs/>
                <w:lang w:val="en-US"/>
              </w:rPr>
              <w:t xml:space="preserve">Streptococcus </w:t>
            </w:r>
            <w:proofErr w:type="spellStart"/>
            <w:r w:rsidRPr="00B23BAB">
              <w:rPr>
                <w:i/>
                <w:iCs/>
                <w:lang w:val="en-US"/>
              </w:rPr>
              <w:t>pyogenes</w:t>
            </w:r>
            <w:proofErr w:type="spellEnd"/>
            <w:r w:rsidRPr="00B23BAB">
              <w:rPr>
                <w:i/>
                <w:iCs/>
                <w:lang w:val="en-US"/>
              </w:rPr>
              <w:t>*</w:t>
            </w:r>
          </w:p>
          <w:p w14:paraId="07473F25" w14:textId="77777777" w:rsidR="00B23BAB" w:rsidRPr="00B23BAB" w:rsidRDefault="00B23BAB" w:rsidP="00B23BAB">
            <w:r w:rsidRPr="00B23BAB">
              <w:t>Други микроорганизми</w:t>
            </w:r>
          </w:p>
          <w:p w14:paraId="5B9E018B" w14:textId="534E2AC2" w:rsidR="00B23BAB" w:rsidRPr="00B23BAB" w:rsidRDefault="00B23BAB" w:rsidP="00B23BAB">
            <w:pPr>
              <w:rPr>
                <w:rFonts w:cs="Arial"/>
              </w:rPr>
            </w:pPr>
            <w:proofErr w:type="spellStart"/>
            <w:r w:rsidRPr="00B23BAB">
              <w:rPr>
                <w:i/>
                <w:iCs/>
                <w:lang w:val="en-US"/>
              </w:rPr>
              <w:t>Ureaplasma</w:t>
            </w:r>
            <w:proofErr w:type="spellEnd"/>
            <w:r w:rsidRPr="00B23BAB">
              <w:rPr>
                <w:i/>
                <w:iCs/>
                <w:lang w:val="en-US"/>
              </w:rPr>
              <w:t xml:space="preserve"> </w:t>
            </w:r>
            <w:proofErr w:type="spellStart"/>
            <w:r w:rsidRPr="00B23BAB">
              <w:rPr>
                <w:i/>
                <w:iCs/>
                <w:lang w:val="en-US"/>
              </w:rPr>
              <w:t>ureafyticum</w:t>
            </w:r>
            <w:proofErr w:type="spellEnd"/>
          </w:p>
        </w:tc>
      </w:tr>
      <w:tr w:rsidR="00B23BAB" w14:paraId="46EBECB7" w14:textId="77777777" w:rsidTr="00B23BAB">
        <w:tc>
          <w:tcPr>
            <w:tcW w:w="9576" w:type="dxa"/>
            <w:vAlign w:val="bottom"/>
          </w:tcPr>
          <w:p w14:paraId="4C4324E9" w14:textId="78CB36C8" w:rsidR="00B23BAB" w:rsidRPr="00B23BAB" w:rsidRDefault="00B23BAB" w:rsidP="00B23BAB">
            <w:pPr>
              <w:rPr>
                <w:rFonts w:cs="Arial"/>
              </w:rPr>
            </w:pPr>
            <w:r w:rsidRPr="00B23BAB">
              <w:rPr>
                <w:b/>
                <w:bCs/>
              </w:rPr>
              <w:t xml:space="preserve">Микроорганизми </w:t>
            </w:r>
            <w:r w:rsidRPr="00B23BAB">
              <w:rPr>
                <w:b/>
                <w:bCs/>
                <w:lang w:val="en-US"/>
              </w:rPr>
              <w:t xml:space="preserve">c </w:t>
            </w:r>
            <w:r w:rsidRPr="00B23BAB">
              <w:rPr>
                <w:b/>
                <w:bCs/>
              </w:rPr>
              <w:t>унаследена резистентност</w:t>
            </w:r>
          </w:p>
        </w:tc>
      </w:tr>
      <w:tr w:rsidR="00B23BAB" w14:paraId="629CC0B6" w14:textId="77777777" w:rsidTr="00B23BAB">
        <w:tc>
          <w:tcPr>
            <w:tcW w:w="9576" w:type="dxa"/>
            <w:vAlign w:val="bottom"/>
          </w:tcPr>
          <w:p w14:paraId="27017C7C" w14:textId="77777777" w:rsidR="00B23BAB" w:rsidRPr="00B23BAB" w:rsidRDefault="00B23BAB" w:rsidP="00B23BAB">
            <w:r w:rsidRPr="00B23BAB">
              <w:t>Аеробни Грам(+) микроорганизми</w:t>
            </w:r>
          </w:p>
          <w:p w14:paraId="7F117530" w14:textId="77777777" w:rsidR="00B23BAB" w:rsidRPr="00B23BAB" w:rsidRDefault="00B23BAB" w:rsidP="00B23BAB">
            <w:r w:rsidRPr="00B23BAB">
              <w:rPr>
                <w:i/>
                <w:iCs/>
                <w:lang w:val="en-US"/>
              </w:rPr>
              <w:t>Staphylococcus</w:t>
            </w:r>
            <w:r w:rsidRPr="00B23BAB">
              <w:rPr>
                <w:i/>
                <w:iCs/>
              </w:rPr>
              <w:t xml:space="preserve"> </w:t>
            </w:r>
            <w:r w:rsidRPr="00B23BAB">
              <w:rPr>
                <w:i/>
                <w:iCs/>
                <w:lang w:val="en-US"/>
              </w:rPr>
              <w:t>aureus</w:t>
            </w:r>
            <w:r w:rsidRPr="00B23BAB">
              <w:rPr>
                <w:i/>
                <w:iCs/>
              </w:rPr>
              <w:t xml:space="preserve"> -</w:t>
            </w:r>
            <w:r w:rsidRPr="00B23BAB">
              <w:t xml:space="preserve"> метицилин резистентни и еритромицин резистентни щамове</w:t>
            </w:r>
          </w:p>
          <w:p w14:paraId="5BC9B1F7" w14:textId="77777777" w:rsidR="00B23BAB" w:rsidRPr="00B23BAB" w:rsidRDefault="00B23BAB" w:rsidP="00B23BAB">
            <w:r w:rsidRPr="00B23BAB">
              <w:rPr>
                <w:i/>
                <w:iCs/>
                <w:lang w:val="en-US"/>
              </w:rPr>
              <w:t>Streptococcus</w:t>
            </w:r>
            <w:r w:rsidRPr="00B23BAB">
              <w:rPr>
                <w:i/>
                <w:iCs/>
              </w:rPr>
              <w:t xml:space="preserve"> </w:t>
            </w:r>
            <w:proofErr w:type="spellStart"/>
            <w:r w:rsidRPr="00B23BAB">
              <w:rPr>
                <w:i/>
                <w:iCs/>
                <w:lang w:val="en-US"/>
              </w:rPr>
              <w:t>pneumoniae</w:t>
            </w:r>
            <w:proofErr w:type="spellEnd"/>
            <w:r w:rsidRPr="00B23BAB">
              <w:rPr>
                <w:i/>
                <w:iCs/>
              </w:rPr>
              <w:t xml:space="preserve"> -</w:t>
            </w:r>
            <w:r w:rsidRPr="00B23BAB">
              <w:t xml:space="preserve"> пеницилин резистентни щамове</w:t>
            </w:r>
          </w:p>
          <w:p w14:paraId="63BD3090" w14:textId="77777777" w:rsidR="00B23BAB" w:rsidRPr="00B23BAB" w:rsidRDefault="00B23BAB" w:rsidP="00B23BAB">
            <w:r w:rsidRPr="00B23BAB">
              <w:t>Аеробни Грам(-) микроорганизми</w:t>
            </w:r>
          </w:p>
          <w:p w14:paraId="6BFCEA5D" w14:textId="77777777" w:rsidR="00B23BAB" w:rsidRPr="00B23BAB" w:rsidRDefault="00B23BAB" w:rsidP="00B23BAB">
            <w:r w:rsidRPr="00B23BAB">
              <w:rPr>
                <w:i/>
                <w:iCs/>
                <w:lang w:val="en-US"/>
              </w:rPr>
              <w:t>Escherichia coli</w:t>
            </w:r>
          </w:p>
          <w:p w14:paraId="60B7DAC2" w14:textId="77777777" w:rsidR="00B23BAB" w:rsidRPr="00B23BAB" w:rsidRDefault="00B23BAB" w:rsidP="00B23BAB">
            <w:r w:rsidRPr="00B23BAB">
              <w:rPr>
                <w:i/>
                <w:iCs/>
                <w:lang w:val="en-US"/>
              </w:rPr>
              <w:t>Pseudomonas aeruginosa</w:t>
            </w:r>
          </w:p>
          <w:p w14:paraId="085030C0" w14:textId="77777777" w:rsidR="00B23BAB" w:rsidRPr="00B23BAB" w:rsidRDefault="00B23BAB" w:rsidP="00B23BAB">
            <w:proofErr w:type="spellStart"/>
            <w:r w:rsidRPr="00B23BAB">
              <w:rPr>
                <w:i/>
                <w:iCs/>
                <w:lang w:val="en-US"/>
              </w:rPr>
              <w:t>Klebsiella</w:t>
            </w:r>
            <w:proofErr w:type="spellEnd"/>
            <w:r w:rsidRPr="00B23BAB">
              <w:rPr>
                <w:lang w:val="en-US"/>
              </w:rPr>
              <w:t xml:space="preserve"> spp.</w:t>
            </w:r>
          </w:p>
          <w:p w14:paraId="076AFB4A" w14:textId="77777777" w:rsidR="00B23BAB" w:rsidRPr="00B23BAB" w:rsidRDefault="00B23BAB" w:rsidP="00B23BAB">
            <w:r w:rsidRPr="00B23BAB">
              <w:t>Анеробни Грам(-) микроорганизми</w:t>
            </w:r>
          </w:p>
          <w:p w14:paraId="63E4FBCD" w14:textId="2E36E893" w:rsidR="00B23BAB" w:rsidRPr="00B23BAB" w:rsidRDefault="00B23BAB" w:rsidP="00B23BAB">
            <w:pPr>
              <w:rPr>
                <w:rFonts w:cs="Arial"/>
              </w:rPr>
            </w:pPr>
            <w:proofErr w:type="spellStart"/>
            <w:r w:rsidRPr="00B23BAB">
              <w:rPr>
                <w:i/>
                <w:iCs/>
                <w:lang w:val="en-US"/>
              </w:rPr>
              <w:t>Bacteroides</w:t>
            </w:r>
            <w:proofErr w:type="spellEnd"/>
            <w:r w:rsidRPr="00B23BAB">
              <w:rPr>
                <w:i/>
                <w:iCs/>
              </w:rPr>
              <w:t xml:space="preserve"> </w:t>
            </w:r>
            <w:proofErr w:type="spellStart"/>
            <w:r w:rsidRPr="00B23BAB">
              <w:rPr>
                <w:i/>
                <w:iCs/>
                <w:lang w:val="en-US"/>
              </w:rPr>
              <w:t>fragilis</w:t>
            </w:r>
            <w:proofErr w:type="spellEnd"/>
            <w:r w:rsidRPr="00B23BAB">
              <w:rPr>
                <w:i/>
                <w:iCs/>
              </w:rPr>
              <w:t>-</w:t>
            </w:r>
            <w:r w:rsidRPr="00B23BAB">
              <w:rPr>
                <w:i/>
                <w:iCs/>
                <w:lang w:val="en-US"/>
              </w:rPr>
              <w:t>group</w:t>
            </w:r>
          </w:p>
        </w:tc>
      </w:tr>
    </w:tbl>
    <w:p w14:paraId="22BAC503" w14:textId="77777777" w:rsidR="00850F1E" w:rsidRDefault="00850F1E" w:rsidP="00850F1E">
      <w:pPr>
        <w:spacing w:line="240" w:lineRule="auto"/>
        <w:rPr>
          <w:rFonts w:ascii="Times New Roman" w:eastAsia="Times New Roman" w:hAnsi="Times New Roman" w:cs="Times New Roman"/>
          <w:color w:val="000000"/>
          <w:sz w:val="44"/>
          <w:szCs w:val="44"/>
          <w:lang w:eastAsia="bg-BG"/>
        </w:rPr>
      </w:pPr>
    </w:p>
    <w:p w14:paraId="6C4A2C61" w14:textId="0958E2FC" w:rsidR="00850F1E" w:rsidRPr="00850F1E" w:rsidRDefault="00850F1E" w:rsidP="00850F1E">
      <w:pPr>
        <w:rPr>
          <w:sz w:val="24"/>
          <w:szCs w:val="24"/>
        </w:rPr>
      </w:pPr>
      <w:r w:rsidRPr="00850F1E">
        <w:rPr>
          <w:lang w:val="ru-RU" w:eastAsia="bg-BG"/>
        </w:rPr>
        <w:t>*</w:t>
      </w:r>
      <w:r w:rsidRPr="00850F1E">
        <w:rPr>
          <w:lang w:eastAsia="bg-BG"/>
        </w:rPr>
        <w:t>Клиничната ефективност се демонстрира посредством чувствителни изолирани микроорганизми при одобрени клинични показания.</w:t>
      </w:r>
    </w:p>
    <w:p w14:paraId="1921D280" w14:textId="77777777" w:rsidR="00B23BAB" w:rsidRPr="00B23BAB" w:rsidRDefault="00B23BAB" w:rsidP="00B23BAB">
      <w:pPr>
        <w:rPr>
          <w:rFonts w:cs="Arial"/>
        </w:rPr>
      </w:pPr>
    </w:p>
    <w:p w14:paraId="26535098" w14:textId="3208912C" w:rsidR="00395555" w:rsidRDefault="002C50EE" w:rsidP="008A6AF2">
      <w:pPr>
        <w:pStyle w:val="Heading2"/>
      </w:pPr>
      <w:r>
        <w:t>5.2. Фармакокинетични свойства</w:t>
      </w:r>
    </w:p>
    <w:p w14:paraId="0DB62499" w14:textId="1FA6AC5E" w:rsidR="00850F1E" w:rsidRDefault="00850F1E" w:rsidP="00850F1E"/>
    <w:p w14:paraId="6545FFB3" w14:textId="77777777" w:rsidR="00850F1E" w:rsidRPr="00850F1E" w:rsidRDefault="00850F1E" w:rsidP="00850F1E">
      <w:pPr>
        <w:pStyle w:val="Heading3"/>
        <w:rPr>
          <w:rFonts w:eastAsia="Times New Roman"/>
          <w:i/>
        </w:rPr>
      </w:pPr>
      <w:r w:rsidRPr="00850F1E">
        <w:rPr>
          <w:rFonts w:eastAsia="Times New Roman"/>
          <w:i/>
          <w:lang w:eastAsia="bg-BG"/>
        </w:rPr>
        <w:t>Абсорбция</w:t>
      </w:r>
    </w:p>
    <w:p w14:paraId="496F6BAA"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Бионаличността на азитромицин след перорално приложение е приблизително 37%.</w:t>
      </w:r>
    </w:p>
    <w:p w14:paraId="52823957"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Максимални плазмени нива се достигат 2-3 часа след приема на лекарствения продукт.</w:t>
      </w:r>
    </w:p>
    <w:p w14:paraId="115A83FD" w14:textId="77777777" w:rsidR="00850F1E" w:rsidRPr="00850F1E" w:rsidRDefault="00850F1E" w:rsidP="00850F1E">
      <w:pPr>
        <w:spacing w:line="240" w:lineRule="auto"/>
        <w:rPr>
          <w:rFonts w:eastAsia="Times New Roman" w:cs="Arial"/>
          <w:i/>
          <w:iCs/>
          <w:color w:val="000000"/>
          <w:lang w:eastAsia="bg-BG"/>
        </w:rPr>
      </w:pPr>
    </w:p>
    <w:p w14:paraId="68DE9D9D" w14:textId="5B77789A" w:rsidR="00850F1E" w:rsidRPr="00850F1E" w:rsidRDefault="00850F1E" w:rsidP="00850F1E">
      <w:pPr>
        <w:pStyle w:val="Heading3"/>
        <w:rPr>
          <w:rFonts w:eastAsia="Times New Roman"/>
          <w:i/>
        </w:rPr>
      </w:pPr>
      <w:r w:rsidRPr="00850F1E">
        <w:rPr>
          <w:rFonts w:eastAsia="Times New Roman"/>
          <w:i/>
          <w:lang w:eastAsia="bg-BG"/>
        </w:rPr>
        <w:lastRenderedPageBreak/>
        <w:t>Разпределение</w:t>
      </w:r>
    </w:p>
    <w:p w14:paraId="3F51762A"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След перорално приложение азитромицин се разпределя в цялото тяло. Фармакокинетичните проучвания ясно показват по-високи нива на азитромицин в тъканите в сравнение с плазмата (до 50 пъти над максималните концентрации в плазмата). Това показва, че веществото се свързва в тъканите в значителни количества.</w:t>
      </w:r>
    </w:p>
    <w:p w14:paraId="332EF2D7"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 xml:space="preserve">Концентрациите в инфектирани тъкани като бели дробове, сливици и простата са по-високи от </w:t>
      </w:r>
      <w:r w:rsidRPr="00850F1E">
        <w:rPr>
          <w:rFonts w:eastAsia="Times New Roman" w:cs="Arial"/>
          <w:color w:val="000000"/>
          <w:lang w:val="en-US"/>
        </w:rPr>
        <w:t>MRC</w:t>
      </w:r>
      <w:r w:rsidRPr="00850F1E">
        <w:rPr>
          <w:rFonts w:eastAsia="Times New Roman" w:cs="Arial"/>
          <w:color w:val="000000"/>
          <w:lang w:val="ru-RU"/>
        </w:rPr>
        <w:t xml:space="preserve">90 </w:t>
      </w:r>
      <w:r w:rsidRPr="00850F1E">
        <w:rPr>
          <w:rFonts w:eastAsia="Times New Roman" w:cs="Arial"/>
          <w:color w:val="000000"/>
          <w:lang w:eastAsia="bg-BG"/>
        </w:rPr>
        <w:t xml:space="preserve">на най-често наблюдаваните патогени след еднократна доза от 500 </w:t>
      </w:r>
      <w:r w:rsidRPr="00850F1E">
        <w:rPr>
          <w:rFonts w:eastAsia="Times New Roman" w:cs="Arial"/>
          <w:color w:val="000000"/>
          <w:lang w:val="en-US"/>
        </w:rPr>
        <w:t>mg</w:t>
      </w:r>
      <w:r w:rsidRPr="00850F1E">
        <w:rPr>
          <w:rFonts w:eastAsia="Times New Roman" w:cs="Arial"/>
          <w:color w:val="000000"/>
          <w:lang w:val="ru-RU"/>
        </w:rPr>
        <w:t>.</w:t>
      </w:r>
    </w:p>
    <w:p w14:paraId="2B26E3D2"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 xml:space="preserve">Свързването със серумните протеини на азитромицин е вариабилно и варира в зависимост от серумната концентрация от 52% при 0,05 </w:t>
      </w:r>
      <w:r w:rsidRPr="00850F1E">
        <w:rPr>
          <w:rFonts w:eastAsia="Times New Roman" w:cs="Arial"/>
          <w:color w:val="000000"/>
          <w:lang w:val="en-US"/>
        </w:rPr>
        <w:t>mg</w:t>
      </w:r>
      <w:r w:rsidRPr="00850F1E">
        <w:rPr>
          <w:rFonts w:eastAsia="Times New Roman" w:cs="Arial"/>
          <w:color w:val="000000"/>
          <w:lang w:val="ru-RU"/>
        </w:rPr>
        <w:t xml:space="preserve">/1 </w:t>
      </w:r>
      <w:r w:rsidRPr="00850F1E">
        <w:rPr>
          <w:rFonts w:eastAsia="Times New Roman" w:cs="Arial"/>
          <w:color w:val="000000"/>
          <w:lang w:eastAsia="bg-BG"/>
        </w:rPr>
        <w:t xml:space="preserve">до 12% при 0,5 </w:t>
      </w:r>
      <w:r w:rsidRPr="00850F1E">
        <w:rPr>
          <w:rFonts w:eastAsia="Times New Roman" w:cs="Arial"/>
          <w:color w:val="000000"/>
          <w:lang w:val="en-US"/>
        </w:rPr>
        <w:t>mg</w:t>
      </w:r>
      <w:r w:rsidRPr="00850F1E">
        <w:rPr>
          <w:rFonts w:eastAsia="Times New Roman" w:cs="Arial"/>
          <w:color w:val="000000"/>
          <w:lang w:val="ru-RU"/>
        </w:rPr>
        <w:t xml:space="preserve">/1. </w:t>
      </w:r>
      <w:r w:rsidRPr="00850F1E">
        <w:rPr>
          <w:rFonts w:eastAsia="Times New Roman" w:cs="Arial"/>
          <w:color w:val="000000"/>
          <w:lang w:eastAsia="bg-BG"/>
        </w:rPr>
        <w:t>Равновесният обем на разпределение е 31,1</w:t>
      </w:r>
      <w:r w:rsidRPr="00850F1E">
        <w:rPr>
          <w:rFonts w:eastAsia="Times New Roman" w:cs="Arial"/>
          <w:color w:val="000000"/>
          <w:lang w:val="ru-RU"/>
        </w:rPr>
        <w:t>1/</w:t>
      </w:r>
      <w:r w:rsidRPr="00850F1E">
        <w:rPr>
          <w:rFonts w:eastAsia="Times New Roman" w:cs="Arial"/>
          <w:color w:val="000000"/>
          <w:lang w:val="en-US"/>
        </w:rPr>
        <w:t>kg</w:t>
      </w:r>
      <w:r w:rsidRPr="00850F1E">
        <w:rPr>
          <w:rFonts w:eastAsia="Times New Roman" w:cs="Arial"/>
          <w:color w:val="000000"/>
          <w:lang w:val="ru-RU"/>
        </w:rPr>
        <w:t>.</w:t>
      </w:r>
    </w:p>
    <w:p w14:paraId="7D3E5608" w14:textId="77777777" w:rsidR="00850F1E" w:rsidRPr="00850F1E" w:rsidRDefault="00850F1E" w:rsidP="00850F1E">
      <w:pPr>
        <w:rPr>
          <w:rFonts w:eastAsia="Times New Roman" w:cs="Arial"/>
          <w:i/>
          <w:iCs/>
          <w:color w:val="000000"/>
          <w:lang w:eastAsia="bg-BG"/>
        </w:rPr>
      </w:pPr>
    </w:p>
    <w:p w14:paraId="582F611F" w14:textId="588644CB" w:rsidR="00850F1E" w:rsidRPr="00850F1E" w:rsidRDefault="00850F1E" w:rsidP="00850F1E">
      <w:pPr>
        <w:pStyle w:val="Heading3"/>
        <w:rPr>
          <w:rFonts w:eastAsia="Times New Roman"/>
          <w:i/>
          <w:lang w:eastAsia="bg-BG"/>
        </w:rPr>
      </w:pPr>
      <w:r w:rsidRPr="00850F1E">
        <w:rPr>
          <w:rFonts w:eastAsia="Times New Roman"/>
          <w:i/>
          <w:lang w:eastAsia="bg-BG"/>
        </w:rPr>
        <w:t>Елиминиране</w:t>
      </w:r>
    </w:p>
    <w:p w14:paraId="19E90836"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Крайният плазмен полуживот на елиминиране следва полуживота на тъканно изчерпване от 2 до 4 дни.</w:t>
      </w:r>
    </w:p>
    <w:p w14:paraId="1BECC022"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 xml:space="preserve">Приблизително 12% от интравенозно приложен азитромицин за период от 3 дни се екскретира непроменен с урината. Високи концентрации непроменен азитромицин се установяват в жлъчката при хора. В нея също така се откриват десет метаболита (получени чрез </w:t>
      </w:r>
      <w:r w:rsidRPr="00850F1E">
        <w:rPr>
          <w:rFonts w:eastAsia="Times New Roman" w:cs="Arial"/>
          <w:color w:val="000000"/>
          <w:lang w:val="en-US"/>
        </w:rPr>
        <w:t>N</w:t>
      </w:r>
      <w:r w:rsidRPr="00850F1E">
        <w:rPr>
          <w:rFonts w:eastAsia="Times New Roman" w:cs="Arial"/>
          <w:color w:val="000000"/>
          <w:lang w:val="ru-RU"/>
        </w:rPr>
        <w:t xml:space="preserve">- </w:t>
      </w:r>
      <w:r w:rsidRPr="00850F1E">
        <w:rPr>
          <w:rFonts w:eastAsia="Times New Roman" w:cs="Arial"/>
          <w:color w:val="000000"/>
          <w:lang w:eastAsia="bg-BG"/>
        </w:rPr>
        <w:t>и О- дезметилиране, чрез хидроксилиране на дезозаминови и агликонови пръстени и чрез разцепване на кладинозни конюгати). Сравнение на течна хроматография и методи за микробиологична оценка показва, че тези метаболити са микробиологично неактивни.</w:t>
      </w:r>
    </w:p>
    <w:p w14:paraId="64939AE3"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В животински модел високи концентрации азитромицин се установяват във фагоцитите. Също така е показано, че при активна фагоцитоза се освобождават по-високи концентрации азитромицин в сравнение с неактивната фагоцитоза. В животински модел е представено, че този процес допринася за акумулирането на азитромицин в инфектираната тъкан.</w:t>
      </w:r>
    </w:p>
    <w:p w14:paraId="5ED09DC3" w14:textId="77777777" w:rsidR="00850F1E" w:rsidRPr="00850F1E" w:rsidRDefault="00850F1E" w:rsidP="00850F1E">
      <w:pPr>
        <w:spacing w:line="240" w:lineRule="auto"/>
        <w:rPr>
          <w:rFonts w:eastAsia="Times New Roman" w:cs="Arial"/>
          <w:color w:val="000000"/>
          <w:u w:val="single"/>
          <w:lang w:eastAsia="bg-BG"/>
        </w:rPr>
      </w:pPr>
    </w:p>
    <w:p w14:paraId="0DA9DBB2" w14:textId="0412C307" w:rsidR="00850F1E" w:rsidRPr="00850F1E" w:rsidRDefault="00850F1E" w:rsidP="00850F1E">
      <w:pPr>
        <w:spacing w:line="240" w:lineRule="auto"/>
        <w:rPr>
          <w:rFonts w:eastAsia="Times New Roman" w:cs="Arial"/>
        </w:rPr>
      </w:pPr>
      <w:r w:rsidRPr="00850F1E">
        <w:rPr>
          <w:rFonts w:eastAsia="Times New Roman" w:cs="Arial"/>
          <w:color w:val="000000"/>
          <w:u w:val="single"/>
          <w:lang w:eastAsia="bg-BG"/>
        </w:rPr>
        <w:t xml:space="preserve">Фармакокинетика </w:t>
      </w:r>
      <w:r w:rsidRPr="00850F1E">
        <w:rPr>
          <w:rFonts w:eastAsia="Times New Roman" w:cs="Arial"/>
          <w:smallCaps/>
          <w:color w:val="000000"/>
          <w:u w:val="single"/>
          <w:lang w:eastAsia="bg-BG"/>
        </w:rPr>
        <w:t>при</w:t>
      </w:r>
      <w:r w:rsidRPr="00850F1E">
        <w:rPr>
          <w:rFonts w:eastAsia="Times New Roman" w:cs="Arial"/>
          <w:color w:val="000000"/>
          <w:u w:val="single"/>
          <w:lang w:eastAsia="bg-BG"/>
        </w:rPr>
        <w:t xml:space="preserve"> специални популации</w:t>
      </w:r>
    </w:p>
    <w:p w14:paraId="51960AF5" w14:textId="77777777" w:rsidR="00850F1E" w:rsidRPr="00850F1E" w:rsidRDefault="00850F1E" w:rsidP="00850F1E">
      <w:pPr>
        <w:spacing w:line="240" w:lineRule="auto"/>
        <w:rPr>
          <w:rFonts w:eastAsia="Times New Roman" w:cs="Arial"/>
          <w:i/>
          <w:iCs/>
          <w:color w:val="000000"/>
          <w:lang w:eastAsia="bg-BG"/>
        </w:rPr>
      </w:pPr>
    </w:p>
    <w:p w14:paraId="485DFE5A" w14:textId="044120DA" w:rsidR="00850F1E" w:rsidRPr="00850F1E" w:rsidRDefault="00850F1E" w:rsidP="00850F1E">
      <w:pPr>
        <w:spacing w:line="240" w:lineRule="auto"/>
        <w:rPr>
          <w:rFonts w:eastAsia="Times New Roman" w:cs="Arial"/>
        </w:rPr>
      </w:pPr>
      <w:r w:rsidRPr="00850F1E">
        <w:rPr>
          <w:rFonts w:eastAsia="Times New Roman" w:cs="Arial"/>
          <w:i/>
          <w:iCs/>
          <w:color w:val="000000"/>
          <w:lang w:eastAsia="bg-BG"/>
        </w:rPr>
        <w:t>Бъбречна недостатъчност</w:t>
      </w:r>
    </w:p>
    <w:p w14:paraId="58F38F7F"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 xml:space="preserve">След еднократна доза азитромицин от 1 </w:t>
      </w:r>
      <w:r w:rsidRPr="00850F1E">
        <w:rPr>
          <w:rFonts w:eastAsia="Times New Roman" w:cs="Arial"/>
          <w:color w:val="000000"/>
          <w:lang w:val="en-US"/>
        </w:rPr>
        <w:t>g</w:t>
      </w:r>
      <w:r w:rsidRPr="00850F1E">
        <w:rPr>
          <w:rFonts w:eastAsia="Times New Roman" w:cs="Arial"/>
          <w:color w:val="000000"/>
          <w:lang w:val="ru-RU"/>
        </w:rPr>
        <w:t xml:space="preserve">, </w:t>
      </w:r>
      <w:r w:rsidRPr="00850F1E">
        <w:rPr>
          <w:rFonts w:eastAsia="Times New Roman" w:cs="Arial"/>
          <w:color w:val="000000"/>
          <w:lang w:eastAsia="bg-BG"/>
        </w:rPr>
        <w:t>средните С</w:t>
      </w:r>
      <w:r w:rsidRPr="00850F1E">
        <w:rPr>
          <w:rFonts w:eastAsia="Times New Roman" w:cs="Arial"/>
          <w:color w:val="000000"/>
          <w:vertAlign w:val="subscript"/>
          <w:lang w:val="en-US"/>
        </w:rPr>
        <w:t>max</w:t>
      </w:r>
      <w:r w:rsidRPr="00850F1E">
        <w:rPr>
          <w:rFonts w:eastAsia="Times New Roman" w:cs="Arial"/>
          <w:color w:val="000000"/>
          <w:lang w:eastAsia="bg-BG"/>
        </w:rPr>
        <w:t xml:space="preserve"> и </w:t>
      </w:r>
      <w:r w:rsidRPr="00850F1E">
        <w:rPr>
          <w:rFonts w:eastAsia="Times New Roman" w:cs="Arial"/>
          <w:color w:val="000000"/>
          <w:lang w:val="en-US"/>
        </w:rPr>
        <w:t>AUC</w:t>
      </w:r>
      <w:r w:rsidRPr="00850F1E">
        <w:rPr>
          <w:rFonts w:eastAsia="Times New Roman" w:cs="Arial"/>
          <w:color w:val="000000"/>
          <w:vertAlign w:val="subscript"/>
          <w:lang w:val="ru-RU"/>
        </w:rPr>
        <w:t>0-120</w:t>
      </w:r>
      <w:r w:rsidRPr="00850F1E">
        <w:rPr>
          <w:rFonts w:eastAsia="Times New Roman" w:cs="Arial"/>
          <w:color w:val="000000"/>
          <w:lang w:val="ru-RU"/>
        </w:rPr>
        <w:t xml:space="preserve"> </w:t>
      </w:r>
      <w:r w:rsidRPr="00850F1E">
        <w:rPr>
          <w:rFonts w:eastAsia="Times New Roman" w:cs="Arial"/>
          <w:color w:val="000000"/>
          <w:lang w:eastAsia="bg-BG"/>
        </w:rPr>
        <w:t xml:space="preserve">се повишават със съответно 5,1% и 4,2%, при лица с леко до умерено бъбречно увреждане (скорост на гломерулната филтрация 10-80 </w:t>
      </w:r>
      <w:r w:rsidRPr="00850F1E">
        <w:rPr>
          <w:rFonts w:eastAsia="Times New Roman" w:cs="Arial"/>
          <w:color w:val="000000"/>
          <w:lang w:val="en-US"/>
        </w:rPr>
        <w:t>ml</w:t>
      </w:r>
      <w:r w:rsidRPr="00850F1E">
        <w:rPr>
          <w:rFonts w:eastAsia="Times New Roman" w:cs="Arial"/>
          <w:color w:val="000000"/>
          <w:lang w:val="ru-RU"/>
        </w:rPr>
        <w:t>/</w:t>
      </w:r>
      <w:r w:rsidRPr="00850F1E">
        <w:rPr>
          <w:rFonts w:eastAsia="Times New Roman" w:cs="Arial"/>
          <w:color w:val="000000"/>
          <w:lang w:val="en-US"/>
        </w:rPr>
        <w:t>min</w:t>
      </w:r>
      <w:r w:rsidRPr="00850F1E">
        <w:rPr>
          <w:rFonts w:eastAsia="Times New Roman" w:cs="Arial"/>
          <w:color w:val="000000"/>
          <w:lang w:val="ru-RU"/>
        </w:rPr>
        <w:t xml:space="preserve">) </w:t>
      </w:r>
      <w:r w:rsidRPr="00850F1E">
        <w:rPr>
          <w:rFonts w:eastAsia="Times New Roman" w:cs="Arial"/>
          <w:color w:val="000000"/>
          <w:lang w:eastAsia="bg-BG"/>
        </w:rPr>
        <w:t xml:space="preserve">в сравнение нормалната бъбречна функция (СГФ &gt; 80 </w:t>
      </w:r>
      <w:r w:rsidRPr="00850F1E">
        <w:rPr>
          <w:rFonts w:eastAsia="Times New Roman" w:cs="Arial"/>
          <w:color w:val="000000"/>
          <w:lang w:val="en-US"/>
        </w:rPr>
        <w:t>ml</w:t>
      </w:r>
      <w:r w:rsidRPr="00850F1E">
        <w:rPr>
          <w:rFonts w:eastAsia="Times New Roman" w:cs="Arial"/>
          <w:color w:val="000000"/>
          <w:lang w:val="ru-RU"/>
        </w:rPr>
        <w:t>/</w:t>
      </w:r>
      <w:r w:rsidRPr="00850F1E">
        <w:rPr>
          <w:rFonts w:eastAsia="Times New Roman" w:cs="Arial"/>
          <w:color w:val="000000"/>
          <w:lang w:val="en-US"/>
        </w:rPr>
        <w:t>mm</w:t>
      </w:r>
      <w:r w:rsidRPr="00850F1E">
        <w:rPr>
          <w:rFonts w:eastAsia="Times New Roman" w:cs="Arial"/>
          <w:color w:val="000000"/>
          <w:lang w:val="ru-RU"/>
        </w:rPr>
        <w:t xml:space="preserve">). </w:t>
      </w:r>
      <w:r w:rsidRPr="00850F1E">
        <w:rPr>
          <w:rFonts w:eastAsia="Times New Roman" w:cs="Arial"/>
          <w:color w:val="000000"/>
          <w:lang w:eastAsia="bg-BG"/>
        </w:rPr>
        <w:t>При лица с тежко бъбречно увреждане, средните С</w:t>
      </w:r>
      <w:r w:rsidRPr="00850F1E">
        <w:rPr>
          <w:rFonts w:eastAsia="Times New Roman" w:cs="Arial"/>
          <w:color w:val="000000"/>
          <w:vertAlign w:val="subscript"/>
          <w:lang w:val="en-US"/>
        </w:rPr>
        <w:t>max</w:t>
      </w:r>
      <w:r w:rsidRPr="00850F1E">
        <w:rPr>
          <w:rFonts w:eastAsia="Times New Roman" w:cs="Arial"/>
          <w:color w:val="000000"/>
          <w:lang w:eastAsia="bg-BG"/>
        </w:rPr>
        <w:t xml:space="preserve"> и </w:t>
      </w:r>
      <w:proofErr w:type="spellStart"/>
      <w:r w:rsidRPr="00850F1E">
        <w:rPr>
          <w:rFonts w:eastAsia="Times New Roman" w:cs="Arial"/>
          <w:color w:val="000000"/>
          <w:lang w:val="en-US"/>
        </w:rPr>
        <w:t>AUCo</w:t>
      </w:r>
      <w:proofErr w:type="spellEnd"/>
      <w:r w:rsidRPr="00850F1E">
        <w:rPr>
          <w:rFonts w:eastAsia="Times New Roman" w:cs="Arial"/>
          <w:color w:val="000000"/>
          <w:lang w:val="ru-RU"/>
        </w:rPr>
        <w:t>-</w:t>
      </w:r>
      <w:proofErr w:type="spellStart"/>
      <w:r w:rsidRPr="00850F1E">
        <w:rPr>
          <w:rFonts w:eastAsia="Times New Roman" w:cs="Arial"/>
          <w:color w:val="000000"/>
          <w:lang w:val="en-US"/>
        </w:rPr>
        <w:t>iao</w:t>
      </w:r>
      <w:proofErr w:type="spellEnd"/>
      <w:r w:rsidRPr="00850F1E">
        <w:rPr>
          <w:rFonts w:eastAsia="Times New Roman" w:cs="Arial"/>
          <w:color w:val="000000"/>
          <w:lang w:val="ru-RU"/>
        </w:rPr>
        <w:t xml:space="preserve"> </w:t>
      </w:r>
      <w:r w:rsidRPr="00850F1E">
        <w:rPr>
          <w:rFonts w:eastAsia="Times New Roman" w:cs="Arial"/>
          <w:color w:val="000000"/>
          <w:lang w:eastAsia="bg-BG"/>
        </w:rPr>
        <w:t>се повишават със съответно 61% и 35% в сравнение с нормата.</w:t>
      </w:r>
    </w:p>
    <w:p w14:paraId="250E53FE" w14:textId="77777777" w:rsidR="00850F1E" w:rsidRPr="00850F1E" w:rsidRDefault="00850F1E" w:rsidP="00850F1E">
      <w:pPr>
        <w:spacing w:line="240" w:lineRule="auto"/>
        <w:rPr>
          <w:rFonts w:eastAsia="Times New Roman" w:cs="Arial"/>
          <w:i/>
          <w:iCs/>
          <w:color w:val="000000"/>
          <w:lang w:eastAsia="bg-BG"/>
        </w:rPr>
      </w:pPr>
    </w:p>
    <w:p w14:paraId="12D4DBF2" w14:textId="042F48F3" w:rsidR="00850F1E" w:rsidRPr="00850F1E" w:rsidRDefault="00850F1E" w:rsidP="00850F1E">
      <w:pPr>
        <w:spacing w:line="240" w:lineRule="auto"/>
        <w:rPr>
          <w:rFonts w:eastAsia="Times New Roman" w:cs="Arial"/>
        </w:rPr>
      </w:pPr>
      <w:r w:rsidRPr="00850F1E">
        <w:rPr>
          <w:rFonts w:eastAsia="Times New Roman" w:cs="Arial"/>
          <w:i/>
          <w:iCs/>
          <w:color w:val="000000"/>
          <w:lang w:eastAsia="bg-BG"/>
        </w:rPr>
        <w:t>Чернодробна недостатъчност</w:t>
      </w:r>
    </w:p>
    <w:p w14:paraId="0B06A078"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При пациенти с леко до умерено чернодробно увреждане няма данни за изразено изменение на серумната фармакокинетика на азитромицин в сравнение с нормалната чернодробна функция. При тези пациенти изглежда се увеличава уринната екскреция на азитромицин с цел да се компенсира редуцирания чернодробен клирънс.</w:t>
      </w:r>
    </w:p>
    <w:p w14:paraId="1FCA65A3" w14:textId="77777777" w:rsidR="00850F1E" w:rsidRPr="00850F1E" w:rsidRDefault="00850F1E" w:rsidP="00850F1E">
      <w:pPr>
        <w:spacing w:line="240" w:lineRule="auto"/>
        <w:rPr>
          <w:rFonts w:eastAsia="Times New Roman" w:cs="Arial"/>
          <w:i/>
          <w:iCs/>
          <w:color w:val="000000"/>
          <w:lang w:eastAsia="bg-BG"/>
        </w:rPr>
      </w:pPr>
    </w:p>
    <w:p w14:paraId="1846CEFF" w14:textId="31B8F637" w:rsidR="00850F1E" w:rsidRPr="00850F1E" w:rsidRDefault="00850F1E" w:rsidP="00850F1E">
      <w:pPr>
        <w:spacing w:line="240" w:lineRule="auto"/>
        <w:rPr>
          <w:rFonts w:eastAsia="Times New Roman" w:cs="Arial"/>
        </w:rPr>
      </w:pPr>
      <w:r w:rsidRPr="00850F1E">
        <w:rPr>
          <w:rFonts w:eastAsia="Times New Roman" w:cs="Arial"/>
          <w:i/>
          <w:iCs/>
          <w:color w:val="000000"/>
          <w:lang w:eastAsia="bg-BG"/>
        </w:rPr>
        <w:t>Пациенти в напреднала възраст</w:t>
      </w:r>
    </w:p>
    <w:p w14:paraId="6F7FD756"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Фармакокинетиката на азитромицин при мъже в напреднала възраст е сходна с тази при млади възрастни; при жени в напреднала възраст, обаче, въпреки че се наблюдават по-високи максимални плазмени концентрации (повишени с 30-50%), не настъпва значимо кумулиране.</w:t>
      </w:r>
    </w:p>
    <w:p w14:paraId="3B0BC060" w14:textId="77777777" w:rsidR="00850F1E" w:rsidRPr="00850F1E" w:rsidRDefault="00850F1E" w:rsidP="00850F1E">
      <w:pPr>
        <w:spacing w:line="240" w:lineRule="auto"/>
        <w:rPr>
          <w:rFonts w:eastAsia="Times New Roman" w:cs="Arial"/>
          <w:i/>
          <w:iCs/>
          <w:color w:val="000000"/>
          <w:lang w:eastAsia="bg-BG"/>
        </w:rPr>
      </w:pPr>
    </w:p>
    <w:p w14:paraId="1675021E" w14:textId="32A9E6E5" w:rsidR="00850F1E" w:rsidRPr="00850F1E" w:rsidRDefault="00850F1E" w:rsidP="00850F1E">
      <w:pPr>
        <w:spacing w:line="240" w:lineRule="auto"/>
        <w:rPr>
          <w:rFonts w:eastAsia="Times New Roman" w:cs="Arial"/>
        </w:rPr>
      </w:pPr>
      <w:r w:rsidRPr="00850F1E">
        <w:rPr>
          <w:rFonts w:eastAsia="Times New Roman" w:cs="Arial"/>
          <w:i/>
          <w:iCs/>
          <w:color w:val="000000"/>
          <w:lang w:eastAsia="bg-BG"/>
        </w:rPr>
        <w:t>Новородени, малки деца, деца и подрастващи</w:t>
      </w:r>
    </w:p>
    <w:p w14:paraId="320A0F51" w14:textId="25ADBE3E" w:rsidR="00850F1E" w:rsidRDefault="00850F1E" w:rsidP="00850F1E">
      <w:pPr>
        <w:rPr>
          <w:rFonts w:eastAsia="Times New Roman" w:cs="Arial"/>
          <w:color w:val="000000"/>
          <w:lang w:eastAsia="bg-BG"/>
        </w:rPr>
      </w:pPr>
      <w:r w:rsidRPr="00850F1E">
        <w:rPr>
          <w:rFonts w:eastAsia="Times New Roman" w:cs="Arial"/>
          <w:color w:val="000000"/>
          <w:lang w:eastAsia="bg-BG"/>
        </w:rPr>
        <w:lastRenderedPageBreak/>
        <w:t xml:space="preserve">Фармакокинетиката е проучена при деца на възраст от 4 месеца до 15 години, които приемат капсули, гранули или суспензия. При 10 </w:t>
      </w:r>
      <w:r w:rsidRPr="00850F1E">
        <w:rPr>
          <w:rFonts w:eastAsia="Times New Roman" w:cs="Arial"/>
          <w:color w:val="000000"/>
          <w:lang w:val="en-US"/>
        </w:rPr>
        <w:t>mg</w:t>
      </w:r>
      <w:r w:rsidRPr="00850F1E">
        <w:rPr>
          <w:rFonts w:eastAsia="Times New Roman" w:cs="Arial"/>
          <w:color w:val="000000"/>
          <w:lang w:val="ru-RU"/>
        </w:rPr>
        <w:t>/</w:t>
      </w:r>
      <w:r w:rsidRPr="00850F1E">
        <w:rPr>
          <w:rFonts w:eastAsia="Times New Roman" w:cs="Arial"/>
          <w:color w:val="000000"/>
          <w:lang w:val="en-US"/>
        </w:rPr>
        <w:t>kg</w:t>
      </w:r>
      <w:r w:rsidRPr="00850F1E">
        <w:rPr>
          <w:rFonts w:eastAsia="Times New Roman" w:cs="Arial"/>
          <w:color w:val="000000"/>
          <w:lang w:val="ru-RU"/>
        </w:rPr>
        <w:t xml:space="preserve"> </w:t>
      </w:r>
      <w:r w:rsidRPr="00850F1E">
        <w:rPr>
          <w:rFonts w:eastAsia="Times New Roman" w:cs="Arial"/>
          <w:color w:val="000000"/>
          <w:lang w:eastAsia="bg-BG"/>
        </w:rPr>
        <w:t xml:space="preserve">на първия ден последвани от 5 </w:t>
      </w:r>
      <w:r w:rsidRPr="00850F1E">
        <w:rPr>
          <w:rFonts w:eastAsia="Times New Roman" w:cs="Arial"/>
          <w:color w:val="000000"/>
          <w:lang w:val="en-US"/>
        </w:rPr>
        <w:t>mg</w:t>
      </w:r>
      <w:r w:rsidRPr="00850F1E">
        <w:rPr>
          <w:rFonts w:eastAsia="Times New Roman" w:cs="Arial"/>
          <w:color w:val="000000"/>
          <w:lang w:val="ru-RU"/>
        </w:rPr>
        <w:t>/</w:t>
      </w:r>
      <w:r w:rsidRPr="00850F1E">
        <w:rPr>
          <w:rFonts w:eastAsia="Times New Roman" w:cs="Arial"/>
          <w:color w:val="000000"/>
          <w:lang w:val="en-US"/>
        </w:rPr>
        <w:t>kg</w:t>
      </w:r>
      <w:r w:rsidRPr="00850F1E">
        <w:rPr>
          <w:rFonts w:eastAsia="Times New Roman" w:cs="Arial"/>
          <w:color w:val="000000"/>
          <w:lang w:val="ru-RU"/>
        </w:rPr>
        <w:t xml:space="preserve"> </w:t>
      </w:r>
      <w:r w:rsidRPr="00850F1E">
        <w:rPr>
          <w:rFonts w:eastAsia="Times New Roman" w:cs="Arial"/>
          <w:color w:val="000000"/>
          <w:lang w:eastAsia="bg-BG"/>
        </w:rPr>
        <w:t>в дните от втори до пети, достигнатата С</w:t>
      </w:r>
      <w:r w:rsidRPr="00850F1E">
        <w:rPr>
          <w:rFonts w:eastAsia="Times New Roman" w:cs="Arial"/>
          <w:color w:val="000000"/>
          <w:vertAlign w:val="subscript"/>
          <w:lang w:val="en-US"/>
        </w:rPr>
        <w:t>max</w:t>
      </w:r>
      <w:r w:rsidRPr="00850F1E">
        <w:rPr>
          <w:rFonts w:eastAsia="Times New Roman" w:cs="Arial"/>
          <w:color w:val="000000"/>
          <w:lang w:eastAsia="bg-BG"/>
        </w:rPr>
        <w:t xml:space="preserve"> е малко по-ниска от тази при възрастните с 224 </w:t>
      </w:r>
      <w:proofErr w:type="spellStart"/>
      <w:r w:rsidRPr="00850F1E">
        <w:rPr>
          <w:rFonts w:eastAsia="Times New Roman" w:cs="Arial"/>
          <w:color w:val="000000"/>
          <w:lang w:val="en-US"/>
        </w:rPr>
        <w:t>ug</w:t>
      </w:r>
      <w:proofErr w:type="spellEnd"/>
      <w:r w:rsidRPr="00850F1E">
        <w:rPr>
          <w:rFonts w:eastAsia="Times New Roman" w:cs="Arial"/>
          <w:color w:val="000000"/>
          <w:lang w:val="ru-RU"/>
        </w:rPr>
        <w:t>/</w:t>
      </w:r>
      <w:r w:rsidRPr="00850F1E">
        <w:rPr>
          <w:rFonts w:eastAsia="Times New Roman" w:cs="Arial"/>
          <w:color w:val="000000"/>
          <w:lang w:val="en-US"/>
        </w:rPr>
        <w:t>l</w:t>
      </w:r>
      <w:r w:rsidRPr="00850F1E">
        <w:rPr>
          <w:rFonts w:eastAsia="Times New Roman" w:cs="Arial"/>
          <w:color w:val="000000"/>
          <w:lang w:val="ru-RU"/>
        </w:rPr>
        <w:t xml:space="preserve"> </w:t>
      </w:r>
      <w:r w:rsidRPr="00850F1E">
        <w:rPr>
          <w:rFonts w:eastAsia="Times New Roman" w:cs="Arial"/>
          <w:color w:val="000000"/>
          <w:lang w:eastAsia="bg-BG"/>
        </w:rPr>
        <w:t xml:space="preserve">при деца на възраст 0,6-5 години и след 3 дневно дозиране и 383 </w:t>
      </w:r>
      <w:proofErr w:type="spellStart"/>
      <w:r w:rsidRPr="00850F1E">
        <w:rPr>
          <w:rFonts w:eastAsia="Times New Roman" w:cs="Arial"/>
          <w:color w:val="000000"/>
          <w:lang w:val="en-US"/>
        </w:rPr>
        <w:t>ug</w:t>
      </w:r>
      <w:proofErr w:type="spellEnd"/>
      <w:r w:rsidRPr="00850F1E">
        <w:rPr>
          <w:rFonts w:eastAsia="Times New Roman" w:cs="Arial"/>
          <w:color w:val="000000"/>
          <w:lang w:val="ru-RU"/>
        </w:rPr>
        <w:t>/</w:t>
      </w:r>
      <w:r w:rsidRPr="00850F1E">
        <w:rPr>
          <w:rFonts w:eastAsia="Times New Roman" w:cs="Arial"/>
          <w:color w:val="000000"/>
          <w:lang w:val="en-US"/>
        </w:rPr>
        <w:t>l</w:t>
      </w:r>
      <w:r w:rsidRPr="00850F1E">
        <w:rPr>
          <w:rFonts w:eastAsia="Times New Roman" w:cs="Arial"/>
          <w:color w:val="000000"/>
          <w:lang w:val="ru-RU"/>
        </w:rPr>
        <w:t xml:space="preserve"> </w:t>
      </w:r>
      <w:r w:rsidRPr="00850F1E">
        <w:rPr>
          <w:rFonts w:eastAsia="Times New Roman" w:cs="Arial"/>
          <w:color w:val="000000"/>
          <w:lang w:eastAsia="bg-BG"/>
        </w:rPr>
        <w:t xml:space="preserve">при тези на възраст 6-15 години. от 36 </w:t>
      </w:r>
      <w:r w:rsidRPr="00850F1E">
        <w:rPr>
          <w:rFonts w:eastAsia="Times New Roman" w:cs="Arial"/>
          <w:color w:val="000000"/>
          <w:lang w:val="en-US"/>
        </w:rPr>
        <w:t>h</w:t>
      </w:r>
      <w:r w:rsidRPr="00850F1E">
        <w:rPr>
          <w:rFonts w:eastAsia="Times New Roman" w:cs="Arial"/>
          <w:color w:val="000000"/>
          <w:lang w:val="ru-RU"/>
        </w:rPr>
        <w:t xml:space="preserve"> </w:t>
      </w:r>
      <w:r w:rsidRPr="00850F1E">
        <w:rPr>
          <w:rFonts w:eastAsia="Times New Roman" w:cs="Arial"/>
          <w:color w:val="000000"/>
          <w:lang w:eastAsia="bg-BG"/>
        </w:rPr>
        <w:t>при по-големите деца е в очаквания диапазон за възрастни.</w:t>
      </w:r>
    </w:p>
    <w:p w14:paraId="1568292B" w14:textId="77777777" w:rsidR="00850F1E" w:rsidRPr="00850F1E" w:rsidRDefault="00850F1E" w:rsidP="00850F1E">
      <w:pPr>
        <w:rPr>
          <w:rFonts w:cs="Arial"/>
        </w:rPr>
      </w:pPr>
    </w:p>
    <w:p w14:paraId="028E658A" w14:textId="58000586" w:rsidR="00395555" w:rsidRDefault="002C50EE" w:rsidP="008A6AF2">
      <w:pPr>
        <w:pStyle w:val="Heading2"/>
      </w:pPr>
      <w:r>
        <w:t>5.3. Предклинични данни за безопасност</w:t>
      </w:r>
    </w:p>
    <w:p w14:paraId="13E0DAA5" w14:textId="3430B42C" w:rsidR="00850F1E" w:rsidRDefault="00850F1E" w:rsidP="00850F1E"/>
    <w:p w14:paraId="2B261FBD"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При изпитвания с животни, в които прилаганите дози достигат до 40 пъти клиничните терапевтични дози е установено, че азитромицин причинява обратима фосфолипидоза, но по правило не се наблюдават истински токсикологични последствия, които да се асоциират с това. Значимостта на тези данни за хората, получаващи азитромицин в съответствие с препоръките, не е известна.</w:t>
      </w:r>
    </w:p>
    <w:p w14:paraId="70B8F799" w14:textId="77777777" w:rsidR="00850F1E" w:rsidRPr="00850F1E" w:rsidRDefault="00850F1E" w:rsidP="00850F1E">
      <w:pPr>
        <w:spacing w:line="240" w:lineRule="auto"/>
        <w:rPr>
          <w:rFonts w:eastAsia="Times New Roman" w:cs="Arial"/>
          <w:color w:val="000000"/>
          <w:lang w:eastAsia="bg-BG"/>
        </w:rPr>
      </w:pPr>
    </w:p>
    <w:p w14:paraId="709C5546" w14:textId="32FEB6D6" w:rsidR="00850F1E" w:rsidRPr="00850F1E" w:rsidRDefault="00850F1E" w:rsidP="00850F1E">
      <w:pPr>
        <w:spacing w:line="240" w:lineRule="auto"/>
        <w:rPr>
          <w:rFonts w:eastAsia="Times New Roman" w:cs="Arial"/>
        </w:rPr>
      </w:pPr>
      <w:r w:rsidRPr="00850F1E">
        <w:rPr>
          <w:rFonts w:eastAsia="Times New Roman" w:cs="Arial"/>
          <w:color w:val="000000"/>
          <w:lang w:eastAsia="bg-BG"/>
        </w:rPr>
        <w:t xml:space="preserve">Електрофизиологични изследвания показват, че азитромицин удължава </w:t>
      </w:r>
      <w:r w:rsidRPr="00850F1E">
        <w:rPr>
          <w:rFonts w:eastAsia="Times New Roman" w:cs="Arial"/>
          <w:color w:val="000000"/>
          <w:lang w:val="en-US"/>
        </w:rPr>
        <w:t>QT</w:t>
      </w:r>
      <w:r w:rsidRPr="00850F1E">
        <w:rPr>
          <w:rFonts w:eastAsia="Times New Roman" w:cs="Arial"/>
          <w:color w:val="000000"/>
          <w:lang w:eastAsia="bg-BG"/>
        </w:rPr>
        <w:t>-интервала.</w:t>
      </w:r>
    </w:p>
    <w:p w14:paraId="7DBF67D1" w14:textId="77777777" w:rsidR="00850F1E" w:rsidRPr="00850F1E" w:rsidRDefault="00850F1E" w:rsidP="00850F1E">
      <w:pPr>
        <w:spacing w:line="240" w:lineRule="auto"/>
        <w:rPr>
          <w:rFonts w:eastAsia="Times New Roman" w:cs="Arial"/>
          <w:i/>
          <w:iCs/>
          <w:color w:val="000000"/>
          <w:lang w:eastAsia="bg-BG"/>
        </w:rPr>
      </w:pPr>
    </w:p>
    <w:p w14:paraId="38804070" w14:textId="6CD335AF" w:rsidR="00850F1E" w:rsidRPr="00850F1E" w:rsidRDefault="00850F1E" w:rsidP="00850F1E">
      <w:pPr>
        <w:spacing w:line="240" w:lineRule="auto"/>
        <w:rPr>
          <w:rFonts w:eastAsia="Times New Roman" w:cs="Arial"/>
        </w:rPr>
      </w:pPr>
      <w:r w:rsidRPr="00850F1E">
        <w:rPr>
          <w:rFonts w:eastAsia="Times New Roman" w:cs="Arial"/>
          <w:i/>
          <w:iCs/>
          <w:color w:val="000000"/>
          <w:lang w:eastAsia="bg-BG"/>
        </w:rPr>
        <w:t>Мутагенен потенциал:</w:t>
      </w:r>
    </w:p>
    <w:p w14:paraId="2B34D2A5" w14:textId="77777777" w:rsidR="00850F1E" w:rsidRPr="00850F1E" w:rsidRDefault="00850F1E" w:rsidP="00850F1E">
      <w:pPr>
        <w:spacing w:line="240" w:lineRule="auto"/>
        <w:rPr>
          <w:rFonts w:eastAsia="Times New Roman" w:cs="Arial"/>
        </w:rPr>
      </w:pPr>
      <w:r w:rsidRPr="00850F1E">
        <w:rPr>
          <w:rFonts w:eastAsia="Times New Roman" w:cs="Arial"/>
          <w:color w:val="000000"/>
          <w:lang w:eastAsia="bg-BG"/>
        </w:rPr>
        <w:t xml:space="preserve">Няма данни за потенциал за генетични и хромозомни мутации в </w:t>
      </w:r>
      <w:r w:rsidRPr="00850F1E">
        <w:rPr>
          <w:rFonts w:eastAsia="Times New Roman" w:cs="Arial"/>
          <w:color w:val="000000"/>
          <w:lang w:val="en-US"/>
        </w:rPr>
        <w:t>in</w:t>
      </w:r>
      <w:r w:rsidRPr="00850F1E">
        <w:rPr>
          <w:rFonts w:eastAsia="Times New Roman" w:cs="Arial"/>
          <w:color w:val="000000"/>
          <w:lang w:val="ru-RU"/>
        </w:rPr>
        <w:t xml:space="preserve"> </w:t>
      </w:r>
      <w:r w:rsidRPr="00850F1E">
        <w:rPr>
          <w:rFonts w:eastAsia="Times New Roman" w:cs="Arial"/>
          <w:color w:val="000000"/>
          <w:lang w:val="en-US"/>
        </w:rPr>
        <w:t>vivo</w:t>
      </w:r>
      <w:r w:rsidRPr="00850F1E">
        <w:rPr>
          <w:rFonts w:eastAsia="Times New Roman" w:cs="Arial"/>
          <w:color w:val="000000"/>
          <w:lang w:val="ru-RU"/>
        </w:rPr>
        <w:t xml:space="preserve"> </w:t>
      </w:r>
      <w:r w:rsidRPr="00850F1E">
        <w:rPr>
          <w:rFonts w:eastAsia="Times New Roman" w:cs="Arial"/>
          <w:color w:val="000000"/>
          <w:lang w:eastAsia="bg-BG"/>
        </w:rPr>
        <w:t xml:space="preserve">и </w:t>
      </w:r>
      <w:r w:rsidRPr="00850F1E">
        <w:rPr>
          <w:rFonts w:eastAsia="Times New Roman" w:cs="Arial"/>
          <w:color w:val="000000"/>
          <w:lang w:val="en-US"/>
        </w:rPr>
        <w:t>in</w:t>
      </w:r>
      <w:r w:rsidRPr="00850F1E">
        <w:rPr>
          <w:rFonts w:eastAsia="Times New Roman" w:cs="Arial"/>
          <w:color w:val="000000"/>
          <w:lang w:val="ru-RU"/>
        </w:rPr>
        <w:t xml:space="preserve"> </w:t>
      </w:r>
      <w:r w:rsidRPr="00850F1E">
        <w:rPr>
          <w:rFonts w:eastAsia="Times New Roman" w:cs="Arial"/>
          <w:color w:val="000000"/>
          <w:lang w:val="en-US"/>
        </w:rPr>
        <w:t>vitro</w:t>
      </w:r>
      <w:r w:rsidRPr="00850F1E">
        <w:rPr>
          <w:rFonts w:eastAsia="Times New Roman" w:cs="Arial"/>
          <w:color w:val="000000"/>
          <w:lang w:eastAsia="bg-BG"/>
        </w:rPr>
        <w:t xml:space="preserve"> тестовите</w:t>
      </w:r>
    </w:p>
    <w:p w14:paraId="4D41B540" w14:textId="77777777" w:rsidR="00850F1E" w:rsidRPr="00850F1E" w:rsidRDefault="00850F1E" w:rsidP="00850F1E">
      <w:pPr>
        <w:rPr>
          <w:rFonts w:eastAsia="Times New Roman" w:cs="Arial"/>
          <w:i/>
          <w:iCs/>
          <w:color w:val="000000"/>
          <w:lang w:eastAsia="bg-BG"/>
        </w:rPr>
      </w:pPr>
    </w:p>
    <w:p w14:paraId="4B7CD9B8" w14:textId="02FF89D8" w:rsidR="00850F1E" w:rsidRPr="00850F1E" w:rsidRDefault="00850F1E" w:rsidP="00850F1E">
      <w:pPr>
        <w:rPr>
          <w:rFonts w:eastAsia="Times New Roman" w:cs="Arial"/>
          <w:i/>
          <w:iCs/>
          <w:color w:val="000000"/>
          <w:lang w:eastAsia="bg-BG"/>
        </w:rPr>
      </w:pPr>
      <w:r w:rsidRPr="00850F1E">
        <w:rPr>
          <w:rFonts w:eastAsia="Times New Roman" w:cs="Arial"/>
          <w:i/>
          <w:iCs/>
          <w:color w:val="000000"/>
          <w:lang w:eastAsia="bg-BG"/>
        </w:rPr>
        <w:t>Репродуктивна токсичност:</w:t>
      </w:r>
    </w:p>
    <w:p w14:paraId="2057CE41" w14:textId="532CD1F0" w:rsidR="00850F1E" w:rsidRPr="00850F1E" w:rsidRDefault="00850F1E" w:rsidP="00850F1E">
      <w:pPr>
        <w:rPr>
          <w:rFonts w:cs="Arial"/>
        </w:rPr>
      </w:pPr>
      <w:r w:rsidRPr="00850F1E">
        <w:rPr>
          <w:rFonts w:cs="Arial"/>
        </w:rPr>
        <w:t xml:space="preserve">В проучвания за ембриотоксичност при мишки и плъхове не се наблюдават тератогенни ефекти. При плъхове дози на азитромицин от 100 и 200 </w:t>
      </w:r>
      <w:r w:rsidRPr="00850F1E">
        <w:rPr>
          <w:rFonts w:cs="Arial"/>
          <w:lang w:val="en-US"/>
        </w:rPr>
        <w:t>mg</w:t>
      </w:r>
      <w:r w:rsidRPr="00850F1E">
        <w:rPr>
          <w:rFonts w:cs="Arial"/>
          <w:lang w:val="ru-RU"/>
        </w:rPr>
        <w:t>/</w:t>
      </w:r>
      <w:r w:rsidRPr="00850F1E">
        <w:rPr>
          <w:rFonts w:cs="Arial"/>
          <w:lang w:val="en-US"/>
        </w:rPr>
        <w:t>kg</w:t>
      </w:r>
      <w:r w:rsidRPr="00850F1E">
        <w:rPr>
          <w:rFonts w:cs="Arial"/>
          <w:lang w:val="ru-RU"/>
        </w:rPr>
        <w:t xml:space="preserve"> </w:t>
      </w:r>
      <w:r w:rsidRPr="00850F1E">
        <w:rPr>
          <w:rFonts w:cs="Arial"/>
        </w:rPr>
        <w:t xml:space="preserve">телесно тегло/дневно водят до леко изразена ретардация на осификацията на фетуса </w:t>
      </w:r>
      <w:r w:rsidRPr="00850F1E">
        <w:rPr>
          <w:rFonts w:cs="Arial"/>
          <w:i/>
          <w:iCs/>
        </w:rPr>
        <w:t>и</w:t>
      </w:r>
      <w:r w:rsidRPr="00850F1E">
        <w:rPr>
          <w:rFonts w:cs="Arial"/>
        </w:rPr>
        <w:t xml:space="preserve"> на наддаването на тегло при майката. При пери-/постнатални проучвания при плъхове, се наблюдава леко изразена ретардация във физическото развитие и забавяне в развитието на рефлексите след лечение с 50 </w:t>
      </w:r>
      <w:r w:rsidRPr="00850F1E">
        <w:rPr>
          <w:rFonts w:cs="Arial"/>
          <w:lang w:val="en-US"/>
        </w:rPr>
        <w:t>mg</w:t>
      </w:r>
      <w:r w:rsidRPr="00850F1E">
        <w:rPr>
          <w:rFonts w:cs="Arial"/>
          <w:lang w:val="ru-RU"/>
        </w:rPr>
        <w:t>/</w:t>
      </w:r>
      <w:r w:rsidRPr="00850F1E">
        <w:rPr>
          <w:rFonts w:cs="Arial"/>
          <w:lang w:val="en-US"/>
        </w:rPr>
        <w:t>kg</w:t>
      </w:r>
      <w:r w:rsidRPr="00850F1E">
        <w:rPr>
          <w:rFonts w:cs="Arial"/>
        </w:rPr>
        <w:t>/дневно и по-висока доза азитромицин.</w:t>
      </w:r>
    </w:p>
    <w:p w14:paraId="6A7820AB" w14:textId="657A35E8" w:rsidR="008A6AF2" w:rsidRDefault="002C50EE" w:rsidP="00395555">
      <w:pPr>
        <w:pStyle w:val="Heading1"/>
      </w:pPr>
      <w:r>
        <w:t>7. ПРИТЕЖАТЕЛ НА РАЗРЕШЕНИЕТО ЗА УПОТРЕБА</w:t>
      </w:r>
    </w:p>
    <w:p w14:paraId="1C72EF3B" w14:textId="00507E22" w:rsidR="00850F1E" w:rsidRDefault="00850F1E" w:rsidP="00850F1E"/>
    <w:p w14:paraId="46B7163F" w14:textId="77777777" w:rsidR="00850F1E" w:rsidRPr="00850F1E" w:rsidRDefault="00850F1E" w:rsidP="00850F1E">
      <w:pPr>
        <w:rPr>
          <w:sz w:val="24"/>
          <w:szCs w:val="24"/>
          <w:lang w:val="ru-RU"/>
        </w:rPr>
      </w:pPr>
      <w:r w:rsidRPr="00850F1E">
        <w:rPr>
          <w:lang w:val="en-US"/>
        </w:rPr>
        <w:t>Sandoz</w:t>
      </w:r>
      <w:r w:rsidRPr="00850F1E">
        <w:rPr>
          <w:lang w:val="ru-RU"/>
        </w:rPr>
        <w:t xml:space="preserve"> </w:t>
      </w:r>
      <w:r w:rsidRPr="00850F1E">
        <w:rPr>
          <w:lang w:val="en-US"/>
        </w:rPr>
        <w:t>d</w:t>
      </w:r>
      <w:r w:rsidRPr="00850F1E">
        <w:rPr>
          <w:lang w:val="ru-RU"/>
        </w:rPr>
        <w:t>.</w:t>
      </w:r>
      <w:r w:rsidRPr="00850F1E">
        <w:rPr>
          <w:lang w:val="en-US"/>
        </w:rPr>
        <w:t>d</w:t>
      </w:r>
      <w:r w:rsidRPr="00850F1E">
        <w:rPr>
          <w:lang w:val="ru-RU"/>
        </w:rPr>
        <w:t>.</w:t>
      </w:r>
    </w:p>
    <w:p w14:paraId="55C30378" w14:textId="77777777" w:rsidR="00850F1E" w:rsidRDefault="00850F1E" w:rsidP="00850F1E">
      <w:pPr>
        <w:rPr>
          <w:lang w:val="ru-RU"/>
        </w:rPr>
      </w:pPr>
      <w:proofErr w:type="spellStart"/>
      <w:r w:rsidRPr="00850F1E">
        <w:rPr>
          <w:lang w:val="en-US"/>
        </w:rPr>
        <w:t>VerovSkova</w:t>
      </w:r>
      <w:proofErr w:type="spellEnd"/>
      <w:r w:rsidRPr="00850F1E">
        <w:rPr>
          <w:lang w:val="ru-RU"/>
        </w:rPr>
        <w:t xml:space="preserve"> </w:t>
      </w:r>
      <w:r w:rsidRPr="00850F1E">
        <w:rPr>
          <w:lang w:eastAsia="bg-BG"/>
        </w:rPr>
        <w:t xml:space="preserve">57, 1000 </w:t>
      </w:r>
      <w:r w:rsidRPr="00850F1E">
        <w:rPr>
          <w:lang w:val="en-US"/>
        </w:rPr>
        <w:t>Ljubljana</w:t>
      </w:r>
      <w:r w:rsidRPr="00850F1E">
        <w:rPr>
          <w:lang w:val="ru-RU"/>
        </w:rPr>
        <w:t xml:space="preserve"> </w:t>
      </w:r>
    </w:p>
    <w:p w14:paraId="2B038DB5" w14:textId="5BC5FE8B" w:rsidR="00850F1E" w:rsidRPr="00850F1E" w:rsidRDefault="00850F1E" w:rsidP="00850F1E">
      <w:r w:rsidRPr="00850F1E">
        <w:rPr>
          <w:lang w:eastAsia="bg-BG"/>
        </w:rPr>
        <w:t>Словения</w:t>
      </w:r>
    </w:p>
    <w:p w14:paraId="04840D59" w14:textId="3568FECB" w:rsidR="002C50EE" w:rsidRDefault="002C50EE" w:rsidP="00395555">
      <w:pPr>
        <w:pStyle w:val="Heading1"/>
      </w:pPr>
      <w:r>
        <w:t>8. НОМЕР НА РАЗРЕШЕНИЕТО ЗА УПОТРЕБА</w:t>
      </w:r>
    </w:p>
    <w:p w14:paraId="18037050" w14:textId="56F87A3D" w:rsidR="00850F1E" w:rsidRDefault="00850F1E" w:rsidP="00850F1E"/>
    <w:p w14:paraId="15765373" w14:textId="05C4F09C" w:rsidR="00850F1E" w:rsidRPr="00850F1E" w:rsidRDefault="00850F1E" w:rsidP="00850F1E">
      <w:r>
        <w:t>20080260</w:t>
      </w:r>
    </w:p>
    <w:p w14:paraId="2CCB5832" w14:textId="6F4F3562" w:rsidR="007C605B" w:rsidRDefault="002C50EE" w:rsidP="007C605B">
      <w:pPr>
        <w:pStyle w:val="Heading1"/>
      </w:pPr>
      <w:r>
        <w:t>9. ДАТА НА ПЪРВО РАЗРЕШАВАНЕ/ПОДНОВЯВАНЕ НА РАЗРЕШЕНИЕТО ЗА УПОТРЕБА</w:t>
      </w:r>
    </w:p>
    <w:p w14:paraId="4CBFF0F4" w14:textId="7A8BA052" w:rsidR="00850F1E" w:rsidRDefault="00850F1E" w:rsidP="00850F1E"/>
    <w:p w14:paraId="3EE8567D" w14:textId="77777777" w:rsidR="00850F1E" w:rsidRPr="00850F1E" w:rsidRDefault="00850F1E" w:rsidP="00850F1E">
      <w:pPr>
        <w:rPr>
          <w:sz w:val="24"/>
          <w:szCs w:val="24"/>
        </w:rPr>
      </w:pPr>
      <w:r w:rsidRPr="00850F1E">
        <w:rPr>
          <w:lang w:eastAsia="bg-BG"/>
        </w:rPr>
        <w:t>Дата на първо РУ: 03.12.2008</w:t>
      </w:r>
    </w:p>
    <w:p w14:paraId="59926844" w14:textId="724ACC6E" w:rsidR="00850F1E" w:rsidRPr="00850F1E" w:rsidRDefault="00850F1E" w:rsidP="00850F1E">
      <w:r w:rsidRPr="00850F1E">
        <w:rPr>
          <w:lang w:eastAsia="bg-BG"/>
        </w:rPr>
        <w:t>Дата на подновяване РУ: 26.09.2012</w:t>
      </w:r>
    </w:p>
    <w:p w14:paraId="0E9D0119" w14:textId="0245C6D7" w:rsidR="002C50EE" w:rsidRDefault="002C50EE" w:rsidP="002C50EE">
      <w:pPr>
        <w:pStyle w:val="Heading1"/>
      </w:pPr>
      <w:r>
        <w:t>10. ДАТА НА АКТУАЛИЗИРАНЕ НА ТЕКСТА</w:t>
      </w:r>
    </w:p>
    <w:bookmarkEnd w:id="0"/>
    <w:p w14:paraId="43FB38A2" w14:textId="6B67DEFD" w:rsidR="007C605B" w:rsidRPr="003E3126" w:rsidRDefault="00850F1E" w:rsidP="00850F1E">
      <w:r>
        <w:t>04/2018</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134F6"/>
    <w:multiLevelType w:val="hybridMultilevel"/>
    <w:tmpl w:val="E4EE2B2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F6F1D"/>
    <w:multiLevelType w:val="hybridMultilevel"/>
    <w:tmpl w:val="165C184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6"/>
  </w:num>
  <w:num w:numId="22">
    <w:abstractNumId w:val="25"/>
  </w:num>
  <w:num w:numId="23">
    <w:abstractNumId w:val="17"/>
  </w:num>
  <w:num w:numId="24">
    <w:abstractNumId w:val="8"/>
  </w:num>
  <w:num w:numId="25">
    <w:abstractNumId w:val="22"/>
  </w:num>
  <w:num w:numId="26">
    <w:abstractNumId w:val="21"/>
  </w:num>
  <w:num w:numId="27">
    <w:abstractNumId w:val="30"/>
  </w:num>
  <w:num w:numId="28">
    <w:abstractNumId w:val="6"/>
  </w:num>
  <w:num w:numId="29">
    <w:abstractNumId w:val="20"/>
  </w:num>
  <w:num w:numId="30">
    <w:abstractNumId w:val="32"/>
  </w:num>
  <w:num w:numId="31">
    <w:abstractNumId w:val="5"/>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50F1E"/>
    <w:rsid w:val="00893B92"/>
    <w:rsid w:val="008A6AF2"/>
    <w:rsid w:val="008C70A2"/>
    <w:rsid w:val="009773E4"/>
    <w:rsid w:val="009B171C"/>
    <w:rsid w:val="009D1264"/>
    <w:rsid w:val="009F1313"/>
    <w:rsid w:val="00A20351"/>
    <w:rsid w:val="00AA23EC"/>
    <w:rsid w:val="00AC63CE"/>
    <w:rsid w:val="00AE2107"/>
    <w:rsid w:val="00B23BAB"/>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5155</Words>
  <Characters>29386</Characters>
  <Application>Microsoft Office Word</Application>
  <DocSecurity>0</DocSecurity>
  <Lines>244</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2022-02-09T08:53:00Z</dcterms:created>
  <dcterms:modified xsi:type="dcterms:W3CDTF">2022-02-09T08:53:00Z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