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3E06A8D5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Калгел 0,1 </w:t>
      </w:r>
      <w:r w:rsidRPr="001366B8">
        <w:rPr>
          <w:rFonts w:eastAsia="Times New Roman" w:cs="Arial"/>
          <w:color w:val="000000"/>
          <w:lang w:val="en-US"/>
        </w:rPr>
        <w:t xml:space="preserve">g/0,33 g/100 g </w:t>
      </w:r>
      <w:r w:rsidRPr="001366B8">
        <w:rPr>
          <w:rFonts w:eastAsia="Times New Roman" w:cs="Arial"/>
          <w:color w:val="000000"/>
          <w:lang w:eastAsia="bg-BG"/>
        </w:rPr>
        <w:t>гел за венци</w:t>
      </w:r>
    </w:p>
    <w:p w14:paraId="69AC8148" w14:textId="2087D490" w:rsidR="00EC41ED" w:rsidRDefault="001366B8" w:rsidP="001366B8">
      <w:proofErr w:type="spellStart"/>
      <w:r w:rsidRPr="001366B8">
        <w:rPr>
          <w:rFonts w:eastAsia="Times New Roman" w:cs="Arial"/>
          <w:color w:val="000000"/>
          <w:lang w:val="en-US"/>
        </w:rPr>
        <w:t>Calgel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>0</w:t>
      </w:r>
      <w:proofErr w:type="gramStart"/>
      <w:r w:rsidRPr="001366B8">
        <w:rPr>
          <w:rFonts w:eastAsia="Times New Roman" w:cs="Arial"/>
          <w:color w:val="000000"/>
          <w:lang w:eastAsia="bg-BG"/>
        </w:rPr>
        <w:t>,1</w:t>
      </w:r>
      <w:proofErr w:type="gramEnd"/>
      <w:r w:rsidRPr="001366B8">
        <w:rPr>
          <w:rFonts w:eastAsia="Times New Roman" w:cs="Arial"/>
          <w:color w:val="000000"/>
          <w:lang w:eastAsia="bg-BG"/>
        </w:rPr>
        <w:t xml:space="preserve"> </w:t>
      </w:r>
      <w:r w:rsidRPr="001366B8">
        <w:rPr>
          <w:rFonts w:eastAsia="Times New Roman" w:cs="Arial"/>
          <w:color w:val="000000"/>
          <w:lang w:val="en-US"/>
        </w:rPr>
        <w:t>g/0,33 g/100 g gingival gel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5D3B51CE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Калгел съдържа активните вещества: лидокаинов хидрохлорид </w:t>
      </w:r>
      <w:r w:rsidRPr="001366B8">
        <w:rPr>
          <w:rFonts w:eastAsia="Times New Roman" w:cs="Arial"/>
          <w:color w:val="000000"/>
          <w:lang w:val="en-US"/>
        </w:rPr>
        <w:t xml:space="preserve">(lidocaine hydrochloride) </w:t>
      </w:r>
      <w:r w:rsidRPr="001366B8">
        <w:rPr>
          <w:rFonts w:eastAsia="Times New Roman" w:cs="Arial"/>
          <w:color w:val="000000"/>
          <w:lang w:eastAsia="bg-BG"/>
        </w:rPr>
        <w:t xml:space="preserve">- 0,33% </w:t>
      </w:r>
      <w:r w:rsidRPr="001366B8">
        <w:rPr>
          <w:rFonts w:eastAsia="Times New Roman" w:cs="Arial"/>
          <w:color w:val="000000"/>
          <w:lang w:val="en-US"/>
        </w:rPr>
        <w:t xml:space="preserve">w/w </w:t>
      </w:r>
      <w:r w:rsidRPr="001366B8">
        <w:rPr>
          <w:rFonts w:eastAsia="Times New Roman" w:cs="Arial"/>
          <w:color w:val="000000"/>
          <w:lang w:eastAsia="bg-BG"/>
        </w:rPr>
        <w:t xml:space="preserve">и цетилпиридинов хлорид </w:t>
      </w:r>
      <w:r w:rsidRPr="001366B8">
        <w:rPr>
          <w:rFonts w:eastAsia="Times New Roman" w:cs="Arial"/>
          <w:color w:val="000000"/>
          <w:lang w:val="en-US"/>
        </w:rPr>
        <w:t>(</w:t>
      </w:r>
      <w:proofErr w:type="spellStart"/>
      <w:r w:rsidRPr="001366B8">
        <w:rPr>
          <w:rFonts w:eastAsia="Times New Roman" w:cs="Arial"/>
          <w:color w:val="000000"/>
          <w:lang w:val="en-US"/>
        </w:rPr>
        <w:t>cetylpyridinium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chloride) </w:t>
      </w:r>
      <w:r w:rsidRPr="001366B8">
        <w:rPr>
          <w:rFonts w:eastAsia="Times New Roman" w:cs="Arial"/>
          <w:color w:val="000000"/>
          <w:lang w:eastAsia="bg-BG"/>
        </w:rPr>
        <w:t xml:space="preserve">- 0,10% </w:t>
      </w:r>
      <w:r w:rsidRPr="001366B8">
        <w:rPr>
          <w:rFonts w:eastAsia="Times New Roman" w:cs="Arial"/>
          <w:color w:val="000000"/>
          <w:lang w:val="en-US"/>
        </w:rPr>
        <w:t>w/w.</w:t>
      </w:r>
    </w:p>
    <w:p w14:paraId="2CFB81D9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BE2EBE" w14:textId="19DF7796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Помощни вещества с известен ефект: сорбитол разтвор (Е420), ксилитол (Е967), етанол 96%, натрий (съдържа 0,41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на 0,2 </w:t>
      </w:r>
      <w:r w:rsidRPr="001366B8">
        <w:rPr>
          <w:rFonts w:eastAsia="Times New Roman" w:cs="Arial"/>
          <w:color w:val="000000"/>
          <w:lang w:val="en-US"/>
        </w:rPr>
        <w:t xml:space="preserve">g), </w:t>
      </w:r>
      <w:r w:rsidRPr="001366B8">
        <w:rPr>
          <w:rFonts w:eastAsia="Times New Roman" w:cs="Arial"/>
          <w:color w:val="000000"/>
          <w:lang w:eastAsia="bg-BG"/>
        </w:rPr>
        <w:t>бензилов алкохол, бензоена киселина (Е210), макроголглицерол хидроксистеарат (рициново масло полиоксил хидрогенирано) и глицерол.</w:t>
      </w:r>
    </w:p>
    <w:p w14:paraId="02FC0885" w14:textId="77777777" w:rsidR="001366B8" w:rsidRPr="001366B8" w:rsidRDefault="001366B8" w:rsidP="001366B8">
      <w:pPr>
        <w:rPr>
          <w:rFonts w:eastAsia="Times New Roman" w:cs="Arial"/>
          <w:color w:val="000000"/>
          <w:lang w:eastAsia="bg-BG"/>
        </w:rPr>
      </w:pPr>
    </w:p>
    <w:p w14:paraId="54632B43" w14:textId="284BE77A" w:rsidR="00EC41ED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3BDFAB49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Гел за венци.</w:t>
      </w:r>
    </w:p>
    <w:p w14:paraId="743244F0" w14:textId="0EBAD176" w:rsidR="00EC41ED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Жълто-кафяв на цвят хомогенен гел с характерен аромат.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311E6D51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Калгел е показан при болка, съпътстваща поникването на зъби и за успокояване на венеца при кърмачета и малки деца.</w:t>
      </w:r>
    </w:p>
    <w:p w14:paraId="6DFA4B9D" w14:textId="77548F12" w:rsidR="0091385D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Продуктът оказва също и слабо антисептично действие.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0525B04F" w14:textId="77777777" w:rsidR="001366B8" w:rsidRPr="001366B8" w:rsidRDefault="001366B8" w:rsidP="001366B8">
      <w:pPr>
        <w:pStyle w:val="Heading3"/>
        <w:rPr>
          <w:rFonts w:eastAsia="Times New Roman"/>
          <w:b/>
          <w:u w:val="single"/>
          <w:lang w:eastAsia="bg-BG"/>
        </w:rPr>
      </w:pPr>
      <w:bookmarkStart w:id="1" w:name="bookmark0"/>
      <w:r w:rsidRPr="001366B8">
        <w:rPr>
          <w:rFonts w:eastAsia="Times New Roman"/>
          <w:b/>
          <w:u w:val="single"/>
          <w:lang w:eastAsia="bg-BG"/>
        </w:rPr>
        <w:t>Дозировка</w:t>
      </w:r>
      <w:bookmarkEnd w:id="1"/>
    </w:p>
    <w:p w14:paraId="2459D708" w14:textId="77777777" w:rsidR="001366B8" w:rsidRPr="001366B8" w:rsidRDefault="001366B8" w:rsidP="001366B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1E9784E" w14:textId="73E49CA2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i/>
          <w:iCs/>
          <w:color w:val="000000"/>
          <w:u w:val="single"/>
          <w:lang w:eastAsia="bg-BG"/>
        </w:rPr>
        <w:t>Малки деца и кърмачета над 3 месеца</w:t>
      </w:r>
    </w:p>
    <w:p w14:paraId="44B90541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Малко количество от гела, около 7,5 </w:t>
      </w:r>
      <w:r w:rsidRPr="001366B8">
        <w:rPr>
          <w:rFonts w:eastAsia="Times New Roman" w:cs="Arial"/>
          <w:color w:val="000000"/>
          <w:lang w:val="en-US"/>
        </w:rPr>
        <w:t xml:space="preserve">mm </w:t>
      </w:r>
      <w:r w:rsidRPr="001366B8">
        <w:rPr>
          <w:rFonts w:eastAsia="Times New Roman" w:cs="Arial"/>
          <w:color w:val="000000"/>
          <w:lang w:eastAsia="bg-BG"/>
        </w:rPr>
        <w:t xml:space="preserve">дълга лентичка (0,22 </w:t>
      </w:r>
      <w:r w:rsidRPr="001366B8">
        <w:rPr>
          <w:rFonts w:eastAsia="Times New Roman" w:cs="Arial"/>
          <w:color w:val="000000"/>
          <w:lang w:val="en-US"/>
        </w:rPr>
        <w:t xml:space="preserve">g), </w:t>
      </w:r>
      <w:r w:rsidRPr="001366B8">
        <w:rPr>
          <w:rFonts w:eastAsia="Times New Roman" w:cs="Arial"/>
          <w:color w:val="000000"/>
          <w:lang w:eastAsia="bg-BG"/>
        </w:rPr>
        <w:t>се изстисква на върха на пръста и внимателно се нанася върху болезнената част на венеца.</w:t>
      </w:r>
    </w:p>
    <w:p w14:paraId="090B5BF1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Апликациите могат да се прилагат при нужда. Да се изчака 2 часа преди да се повтори приложението на гела. Да не се прилагат повече от 6 апликации дневно.</w:t>
      </w:r>
    </w:p>
    <w:p w14:paraId="4B7BE5A1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13D2F16A" w14:textId="259B2234" w:rsidR="001366B8" w:rsidRPr="001366B8" w:rsidRDefault="001366B8" w:rsidP="001366B8">
      <w:pPr>
        <w:pStyle w:val="Heading3"/>
        <w:rPr>
          <w:rFonts w:eastAsia="Times New Roman"/>
          <w:b/>
          <w:u w:val="single"/>
          <w:lang w:eastAsia="bg-BG"/>
        </w:rPr>
      </w:pPr>
      <w:r w:rsidRPr="001366B8">
        <w:rPr>
          <w:rFonts w:eastAsia="Times New Roman"/>
          <w:b/>
          <w:u w:val="single"/>
          <w:lang w:eastAsia="bg-BG"/>
        </w:rPr>
        <w:t>Начин на приложение:</w:t>
      </w:r>
      <w:bookmarkEnd w:id="2"/>
    </w:p>
    <w:p w14:paraId="7FBF1BCE" w14:textId="1E842037" w:rsidR="00EC41ED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Прилага се локално върху венеца.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030B6A4D" w14:textId="56FE5925" w:rsidR="00EC41ED" w:rsidRDefault="001366B8" w:rsidP="0091385D">
      <w:r>
        <w:t>Свръхчувствителност към продукта или някоя от неговите съставки.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0C690995" w14:textId="77777777" w:rsidR="001366B8" w:rsidRPr="001366B8" w:rsidRDefault="001366B8" w:rsidP="001366B8">
      <w:pPr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cs="Arial"/>
        </w:rPr>
        <w:t xml:space="preserve">Това лекарство съдържа 29,4 </w:t>
      </w:r>
      <w:r w:rsidRPr="001366B8">
        <w:rPr>
          <w:rFonts w:cs="Arial"/>
          <w:lang w:val="en-US"/>
        </w:rPr>
        <w:t xml:space="preserve">mg </w:t>
      </w:r>
      <w:r w:rsidRPr="001366B8">
        <w:rPr>
          <w:rFonts w:cs="Arial"/>
        </w:rPr>
        <w:t xml:space="preserve">сорбитол във всеки 0,2 </w:t>
      </w:r>
      <w:r w:rsidRPr="001366B8">
        <w:rPr>
          <w:rFonts w:cs="Arial"/>
          <w:lang w:val="en-US"/>
        </w:rPr>
        <w:t xml:space="preserve">g </w:t>
      </w:r>
      <w:r w:rsidRPr="001366B8">
        <w:rPr>
          <w:rFonts w:cs="Arial"/>
        </w:rPr>
        <w:t>(лентичка с размер на грахово зърно). Трябва да се вземе предвид адитивният ефект на едновременно прилаганит</w:t>
      </w:r>
      <w:r w:rsidRPr="001366B8">
        <w:rPr>
          <w:rFonts w:cs="Arial"/>
          <w:lang w:val="en-US"/>
        </w:rPr>
        <w:t>e</w:t>
      </w:r>
      <w:r w:rsidRPr="001366B8">
        <w:rPr>
          <w:rFonts w:cs="Arial"/>
        </w:rPr>
        <w:t xml:space="preserve"> продукти, съдържащи сорбитол (или фруктоза) и диетичният прием на сорбитол (или фруктоза).</w:t>
      </w:r>
      <w:r w:rsidRPr="001366B8">
        <w:rPr>
          <w:rFonts w:cs="Arial"/>
          <w:lang w:val="en-US"/>
        </w:rPr>
        <w:t xml:space="preserve"> </w:t>
      </w:r>
      <w:r w:rsidRPr="001366B8">
        <w:rPr>
          <w:rFonts w:cs="Arial"/>
        </w:rPr>
        <w:t>Съдържанието на</w:t>
      </w:r>
      <w:r w:rsidRPr="001366B8">
        <w:rPr>
          <w:rFonts w:cs="Arial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 сорбитол в лекарствени продукти за перорална употреба може да повлияе на бионаличността на други лекарствени продукти за перорална употреба, прилагани едновременно Пациенти с наследствена непоносимост към фруктоза </w:t>
      </w:r>
      <w:r w:rsidRPr="001366B8">
        <w:rPr>
          <w:rFonts w:eastAsia="Times New Roman" w:cs="Arial"/>
          <w:color w:val="000000"/>
          <w:lang w:val="en-US"/>
        </w:rPr>
        <w:t xml:space="preserve">(HFI) </w:t>
      </w:r>
      <w:r w:rsidRPr="001366B8">
        <w:rPr>
          <w:rFonts w:eastAsia="Times New Roman" w:cs="Arial"/>
          <w:color w:val="000000"/>
          <w:lang w:eastAsia="bg-BG"/>
        </w:rPr>
        <w:t>трябва да не приемате/да Ви бъде даден този лекарствен продукт. Пациенти с редки наследствени проблеми на непоносимост към фруктоза, малабсорбция на глюкоза-галактоза или недостатъчност на захараза-изомалтаза не трябва да приемат това лекарство.</w:t>
      </w:r>
    </w:p>
    <w:p w14:paraId="04993483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A15AEB" w14:textId="39A4DC03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Това лекарство съдържа 18,20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алкохол (етанол) във всеки 0,2 </w:t>
      </w:r>
      <w:r w:rsidRPr="001366B8">
        <w:rPr>
          <w:rFonts w:eastAsia="Times New Roman" w:cs="Arial"/>
          <w:color w:val="000000"/>
          <w:lang w:val="en-US"/>
        </w:rPr>
        <w:t xml:space="preserve">g. </w:t>
      </w:r>
      <w:r w:rsidRPr="001366B8">
        <w:rPr>
          <w:rFonts w:eastAsia="Times New Roman" w:cs="Arial"/>
          <w:color w:val="000000"/>
          <w:lang w:eastAsia="bg-BG"/>
        </w:rPr>
        <w:t xml:space="preserve">Количеството в 0,2 </w:t>
      </w:r>
      <w:r w:rsidRPr="001366B8">
        <w:rPr>
          <w:rFonts w:eastAsia="Times New Roman" w:cs="Arial"/>
          <w:color w:val="000000"/>
          <w:lang w:val="en-US"/>
        </w:rPr>
        <w:t xml:space="preserve">g </w:t>
      </w:r>
      <w:r w:rsidRPr="001366B8">
        <w:rPr>
          <w:rFonts w:eastAsia="Times New Roman" w:cs="Arial"/>
          <w:color w:val="000000"/>
          <w:lang w:eastAsia="bg-BG"/>
        </w:rPr>
        <w:t xml:space="preserve">от това лекарство е еквивалентно на по-малко от 1 </w:t>
      </w:r>
      <w:r w:rsidRPr="001366B8">
        <w:rPr>
          <w:rFonts w:eastAsia="Times New Roman" w:cs="Arial"/>
          <w:color w:val="000000"/>
          <w:lang w:val="en-US"/>
        </w:rPr>
        <w:t xml:space="preserve">ml </w:t>
      </w:r>
      <w:r w:rsidRPr="001366B8">
        <w:rPr>
          <w:rFonts w:eastAsia="Times New Roman" w:cs="Arial"/>
          <w:color w:val="000000"/>
          <w:lang w:eastAsia="bg-BG"/>
        </w:rPr>
        <w:t xml:space="preserve">бира или 1 </w:t>
      </w:r>
      <w:r w:rsidRPr="001366B8">
        <w:rPr>
          <w:rFonts w:eastAsia="Times New Roman" w:cs="Arial"/>
          <w:color w:val="000000"/>
          <w:lang w:val="en-US"/>
        </w:rPr>
        <w:t xml:space="preserve">ml </w:t>
      </w:r>
      <w:r w:rsidRPr="001366B8">
        <w:rPr>
          <w:rFonts w:eastAsia="Times New Roman" w:cs="Arial"/>
          <w:color w:val="000000"/>
          <w:lang w:eastAsia="bg-BG"/>
        </w:rPr>
        <w:t>вино. Малкото количество алкохол в това лекарство няма да има забележими ефекти.</w:t>
      </w:r>
    </w:p>
    <w:p w14:paraId="0C371ECA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29AF48" w14:textId="1A4CB7E2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1366B8">
        <w:rPr>
          <w:rFonts w:eastAsia="Times New Roman" w:cs="Arial"/>
          <w:color w:val="000000"/>
          <w:lang w:val="en-US"/>
        </w:rPr>
        <w:t>mmol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натрий (23 </w:t>
      </w:r>
      <w:r w:rsidRPr="001366B8">
        <w:rPr>
          <w:rFonts w:eastAsia="Times New Roman" w:cs="Arial"/>
          <w:color w:val="000000"/>
          <w:lang w:val="en-US"/>
        </w:rPr>
        <w:t xml:space="preserve">mg) </w:t>
      </w:r>
      <w:r w:rsidRPr="001366B8">
        <w:rPr>
          <w:rFonts w:eastAsia="Times New Roman" w:cs="Arial"/>
          <w:color w:val="000000"/>
          <w:lang w:eastAsia="bg-BG"/>
        </w:rPr>
        <w:t xml:space="preserve">на 0,2 </w:t>
      </w:r>
      <w:r w:rsidRPr="001366B8">
        <w:rPr>
          <w:rFonts w:eastAsia="Times New Roman" w:cs="Arial"/>
          <w:color w:val="000000"/>
          <w:lang w:val="en-US"/>
        </w:rPr>
        <w:t xml:space="preserve">g, </w:t>
      </w:r>
      <w:r w:rsidRPr="001366B8">
        <w:rPr>
          <w:rFonts w:eastAsia="Times New Roman" w:cs="Arial"/>
          <w:color w:val="000000"/>
          <w:lang w:eastAsia="bg-BG"/>
        </w:rPr>
        <w:t>т.е. по същество „без натрий”.</w:t>
      </w:r>
    </w:p>
    <w:p w14:paraId="29436A2B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3622B1" w14:textId="34512D4B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Това лекарство съдържа 0,00019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бензилов алкохол във всеки 0,2 </w:t>
      </w:r>
      <w:r w:rsidRPr="001366B8">
        <w:rPr>
          <w:rFonts w:eastAsia="Times New Roman" w:cs="Arial"/>
          <w:color w:val="000000"/>
          <w:lang w:val="en-US"/>
        </w:rPr>
        <w:t xml:space="preserve">g. </w:t>
      </w:r>
      <w:r w:rsidRPr="001366B8">
        <w:rPr>
          <w:rFonts w:eastAsia="Times New Roman" w:cs="Arial"/>
          <w:color w:val="000000"/>
          <w:lang w:eastAsia="bg-BG"/>
        </w:rPr>
        <w:t>Бензиновият алкохол може да причини алергични и/или леки локални раздразнения. Посъветвайте пациентите да не използват повече от седмица при малки деца (на възраст под 3 години). Съществува повишен риск поради натрупване при малки деца. Големи количества трябва да се използват с повишено внимание и само ако е необходимо, особено при лица с чернодробно или бъбречно увреждане поради риск от кумулиране и токсичност (метаболитна ацидоза). Бензиновият алкохол се свързва със сериозни нежелани събития и смърт при новородени („синдром на задух“). Минималното количество бензилов алкохол, при което може да възникне токсичност, не е известно.</w:t>
      </w:r>
    </w:p>
    <w:p w14:paraId="46818E31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DDA95B" w14:textId="04803BC4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Рициновото масло може да причини стомашни болки, диария и кожни реакции.</w:t>
      </w:r>
    </w:p>
    <w:p w14:paraId="6501E83B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B6E5B8" w14:textId="7338CC48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Ксилитол може да има слабителен ефект.</w:t>
      </w:r>
    </w:p>
    <w:p w14:paraId="13014F70" w14:textId="77777777" w:rsidR="001366B8" w:rsidRPr="001366B8" w:rsidRDefault="001366B8" w:rsidP="001366B8">
      <w:pPr>
        <w:rPr>
          <w:rFonts w:eastAsia="Times New Roman" w:cs="Arial"/>
          <w:color w:val="000000"/>
          <w:lang w:eastAsia="bg-BG"/>
        </w:rPr>
      </w:pPr>
    </w:p>
    <w:p w14:paraId="0E28BBDE" w14:textId="02D3D0E3" w:rsidR="007A2185" w:rsidRPr="001366B8" w:rsidRDefault="001366B8" w:rsidP="001366B8">
      <w:pPr>
        <w:rPr>
          <w:rFonts w:cs="Arial"/>
          <w:lang w:val="en-US"/>
        </w:rPr>
      </w:pPr>
      <w:r w:rsidRPr="001366B8">
        <w:rPr>
          <w:rFonts w:eastAsia="Times New Roman" w:cs="Arial"/>
          <w:color w:val="000000"/>
          <w:lang w:eastAsia="bg-BG"/>
        </w:rPr>
        <w:t xml:space="preserve">Това лекарство съдържа 0,00077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бензоена киселина </w:t>
      </w:r>
      <w:r w:rsidRPr="001366B8">
        <w:rPr>
          <w:rFonts w:eastAsia="Times New Roman" w:cs="Arial"/>
          <w:color w:val="000000"/>
          <w:lang w:val="en-US"/>
        </w:rPr>
        <w:t xml:space="preserve">(E2I0) </w:t>
      </w:r>
      <w:r w:rsidRPr="001366B8">
        <w:rPr>
          <w:rFonts w:eastAsia="Times New Roman" w:cs="Arial"/>
          <w:color w:val="000000"/>
          <w:lang w:eastAsia="bg-BG"/>
        </w:rPr>
        <w:t xml:space="preserve">във всеки 0,2 </w:t>
      </w:r>
      <w:r w:rsidRPr="001366B8">
        <w:rPr>
          <w:rFonts w:eastAsia="Times New Roman" w:cs="Arial"/>
          <w:color w:val="000000"/>
          <w:lang w:val="en-US"/>
        </w:rPr>
        <w:t xml:space="preserve">g </w:t>
      </w:r>
      <w:r w:rsidRPr="001366B8">
        <w:rPr>
          <w:rFonts w:eastAsia="Times New Roman" w:cs="Arial"/>
          <w:color w:val="000000"/>
          <w:lang w:eastAsia="bg-BG"/>
        </w:rPr>
        <w:t>Бензоената киселина може да придизвика локално раздразнение. Може да причини неимунологични реакции при незабавен контакт чрез възможен холинергичен механизъм. Бензоената киселина може да увеличи жълтеницата (пожълтяване на кожата и очите) при новородени бебета (на възраст до 4 седмици).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lastRenderedPageBreak/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B2761C5" w14:textId="495335C6" w:rsidR="0091385D" w:rsidRPr="001366B8" w:rsidRDefault="001366B8" w:rsidP="0091385D">
      <w:pPr>
        <w:rPr>
          <w:rFonts w:cs="Arial"/>
        </w:rPr>
      </w:pPr>
      <w:r w:rsidRPr="001366B8">
        <w:rPr>
          <w:rFonts w:cs="Arial"/>
        </w:rPr>
        <w:t>Не са известни.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02F0D07" w14:textId="6443C4DC" w:rsidR="007A2185" w:rsidRDefault="001366B8" w:rsidP="0091385D">
      <w:r w:rsidRPr="001366B8">
        <w:rPr>
          <w:rFonts w:cs="Arial"/>
        </w:rPr>
        <w:t>Лекарственият продукт е показан за употреба при малки деца и кърмачета, следователно не е приложим при бременни и кърмещи жени</w:t>
      </w:r>
      <w:r>
        <w:t>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0CB74A38" w:rsidR="007A2185" w:rsidRPr="001366B8" w:rsidRDefault="001366B8" w:rsidP="0091385D">
      <w:pPr>
        <w:rPr>
          <w:rFonts w:cs="Arial"/>
        </w:rPr>
      </w:pPr>
      <w:r w:rsidRPr="001366B8">
        <w:rPr>
          <w:rFonts w:cs="Arial"/>
        </w:rPr>
        <w:t>Цетилпиридиновият хлорид/лидокаиновият хидрохлорид не оказва влияние при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40AED0EB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Постмаркетингови проучвания</w:t>
      </w:r>
    </w:p>
    <w:p w14:paraId="3B726782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91A4CF" w14:textId="5BFE077F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Нежеланите лекарствени реакции по време на постмаркетинговите проучвания с цетилпиридинов хлорид/лидокаинов хидрохлорид са включени в таблица 1. Тяхната честота е представена, както следва:</w:t>
      </w:r>
    </w:p>
    <w:p w14:paraId="0254AACC" w14:textId="0E4E7D80" w:rsidR="007A2185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Много чести (≥ 1/10); чести (≥1/100, &lt;1/10); нечести (≥1/1 000, &lt;1/100); редки (≥</w:t>
      </w:r>
      <w:r w:rsidRPr="001366B8">
        <w:rPr>
          <w:rFonts w:eastAsia="Times New Roman" w:cs="Arial"/>
          <w:color w:val="000000"/>
          <w:lang w:val="en-US"/>
        </w:rPr>
        <w:t xml:space="preserve"> 1/10 000, &lt;1/1 000);</w:t>
      </w:r>
      <w:r w:rsidRPr="001366B8">
        <w:rPr>
          <w:rFonts w:eastAsia="Times New Roman" w:cs="Arial"/>
          <w:color w:val="000000"/>
          <w:lang w:eastAsia="bg-BG"/>
        </w:rPr>
        <w:t xml:space="preserve"> много редки (&lt;1/10 000); с неизвестна честота (от наличните данни не може да бъде направена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>оценка).</w:t>
      </w:r>
    </w:p>
    <w:p w14:paraId="443BC107" w14:textId="74313DDC" w:rsidR="005B0F27" w:rsidRDefault="005B0F27" w:rsidP="0091385D"/>
    <w:p w14:paraId="201F2120" w14:textId="115471A3" w:rsidR="001366B8" w:rsidRDefault="001366B8" w:rsidP="0091385D">
      <w:r>
        <w:t xml:space="preserve">Таблица </w:t>
      </w:r>
      <w:r>
        <w:rPr>
          <w:lang w:val="en-US"/>
        </w:rPr>
        <w:t xml:space="preserve">1. </w:t>
      </w:r>
      <w:r>
        <w:t>Нежелани лекарствени реакции по време на постмаркетинговите проучвания с цетштпиридинов хлорид/лидокаинов хидрохлорид по честота, оценени по време на клинични или епидемиологични проучвания:</w:t>
      </w:r>
    </w:p>
    <w:p w14:paraId="6F982958" w14:textId="3B76F879" w:rsidR="001366B8" w:rsidRDefault="001366B8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6B8" w14:paraId="06B3FD2D" w14:textId="77777777" w:rsidTr="001366B8">
        <w:tc>
          <w:tcPr>
            <w:tcW w:w="4675" w:type="dxa"/>
          </w:tcPr>
          <w:p w14:paraId="71855961" w14:textId="16592295" w:rsidR="001366B8" w:rsidRDefault="001366B8" w:rsidP="001366B8">
            <w:r>
              <w:rPr>
                <w:i/>
                <w:iCs/>
              </w:rPr>
              <w:t>Честота</w:t>
            </w:r>
          </w:p>
        </w:tc>
        <w:tc>
          <w:tcPr>
            <w:tcW w:w="4675" w:type="dxa"/>
          </w:tcPr>
          <w:p w14:paraId="23C2E410" w14:textId="749064F9" w:rsidR="001366B8" w:rsidRDefault="001366B8" w:rsidP="001366B8">
            <w:r>
              <w:rPr>
                <w:i/>
                <w:iCs/>
              </w:rPr>
              <w:t>Нежелана реакция</w:t>
            </w:r>
          </w:p>
        </w:tc>
      </w:tr>
      <w:tr w:rsidR="001366B8" w14:paraId="50431908" w14:textId="77777777" w:rsidTr="00BA3724">
        <w:tc>
          <w:tcPr>
            <w:tcW w:w="4675" w:type="dxa"/>
          </w:tcPr>
          <w:p w14:paraId="627EA329" w14:textId="77777777" w:rsidR="001366B8" w:rsidRDefault="001366B8" w:rsidP="001366B8">
            <w:r>
              <w:rPr>
                <w:b/>
                <w:bCs/>
                <w:i/>
                <w:iCs/>
              </w:rPr>
              <w:t>Нарушения на имунната система</w:t>
            </w:r>
          </w:p>
          <w:p w14:paraId="2F463BBB" w14:textId="77777777" w:rsidR="001366B8" w:rsidRDefault="001366B8" w:rsidP="001366B8">
            <w:r>
              <w:rPr>
                <w:i/>
                <w:iCs/>
              </w:rPr>
              <w:t>Не е известно</w:t>
            </w:r>
          </w:p>
          <w:p w14:paraId="42046623" w14:textId="2504098E" w:rsidR="001366B8" w:rsidRDefault="001366B8" w:rsidP="001366B8"/>
        </w:tc>
        <w:tc>
          <w:tcPr>
            <w:tcW w:w="4675" w:type="dxa"/>
            <w:vAlign w:val="bottom"/>
          </w:tcPr>
          <w:p w14:paraId="02E5A0BE" w14:textId="77777777" w:rsidR="001366B8" w:rsidRDefault="001366B8" w:rsidP="001366B8">
            <w:r>
              <w:rPr>
                <w:i/>
                <w:iCs/>
              </w:rPr>
              <w:t>Свръхчувствителност</w:t>
            </w:r>
            <w:r>
              <w:rPr>
                <w:i/>
                <w:iCs/>
              </w:rPr>
              <w:tab/>
              <w:t>(включително</w:t>
            </w:r>
          </w:p>
          <w:p w14:paraId="3E54387E" w14:textId="77777777" w:rsidR="001366B8" w:rsidRDefault="001366B8" w:rsidP="001366B8">
            <w:r>
              <w:rPr>
                <w:i/>
                <w:iCs/>
              </w:rPr>
              <w:t>дерматит)</w:t>
            </w:r>
          </w:p>
          <w:p w14:paraId="3DCF2ECC" w14:textId="7FE8294E" w:rsidR="001366B8" w:rsidRDefault="001366B8" w:rsidP="001366B8"/>
        </w:tc>
      </w:tr>
      <w:tr w:rsidR="001366B8" w14:paraId="30D27538" w14:textId="77777777" w:rsidTr="001366B8">
        <w:tc>
          <w:tcPr>
            <w:tcW w:w="4675" w:type="dxa"/>
          </w:tcPr>
          <w:p w14:paraId="44DB0794" w14:textId="795CF883" w:rsidR="001366B8" w:rsidRPr="001366B8" w:rsidRDefault="001366B8" w:rsidP="001366B8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Общи нарушения и ефекти на мястото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на </w:t>
            </w:r>
            <w:r>
              <w:rPr>
                <w:b/>
                <w:bCs/>
                <w:i/>
                <w:iCs/>
              </w:rPr>
              <w:t>приложение</w:t>
            </w:r>
          </w:p>
          <w:p w14:paraId="39242857" w14:textId="26EF4948" w:rsidR="001366B8" w:rsidRDefault="001366B8" w:rsidP="001366B8">
            <w:r>
              <w:rPr>
                <w:i/>
                <w:iCs/>
              </w:rPr>
              <w:t>Не е известно</w:t>
            </w:r>
          </w:p>
        </w:tc>
        <w:tc>
          <w:tcPr>
            <w:tcW w:w="4675" w:type="dxa"/>
          </w:tcPr>
          <w:p w14:paraId="3B2C62AE" w14:textId="09F18C43" w:rsidR="001366B8" w:rsidRDefault="001366B8" w:rsidP="001366B8">
            <w:r>
              <w:rPr>
                <w:i/>
                <w:iCs/>
              </w:rPr>
              <w:t>Реакции на мястото на приложение (включително еритема)</w:t>
            </w:r>
          </w:p>
        </w:tc>
      </w:tr>
    </w:tbl>
    <w:p w14:paraId="5E271C30" w14:textId="77777777" w:rsidR="001366B8" w:rsidRDefault="001366B8" w:rsidP="0091385D"/>
    <w:p w14:paraId="4C0280F3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1719C325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52602640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DA84DD9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ул.,Дамян Груев” № 8</w:t>
      </w:r>
    </w:p>
    <w:p w14:paraId="4CBF6D8D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1303 София</w:t>
      </w:r>
    </w:p>
    <w:p w14:paraId="609D0EDE" w14:textId="66DA8D64" w:rsidR="001366B8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 xml:space="preserve">Тел.:+359 2 8903417 уебсайт: </w:t>
      </w:r>
      <w:r w:rsidRPr="001366B8">
        <w:rPr>
          <w:rFonts w:eastAsia="Times New Roman" w:cs="Arial"/>
          <w:lang w:eastAsia="bg-BG"/>
        </w:rPr>
        <w:fldChar w:fldCharType="begin"/>
      </w:r>
      <w:r w:rsidRPr="001366B8">
        <w:rPr>
          <w:rFonts w:eastAsia="Times New Roman" w:cs="Arial"/>
          <w:lang w:eastAsia="bg-BG"/>
        </w:rPr>
        <w:instrText xml:space="preserve"> HYPERLINK "http://www.bda.bg" </w:instrText>
      </w:r>
      <w:r w:rsidRPr="001366B8">
        <w:rPr>
          <w:rFonts w:eastAsia="Times New Roman" w:cs="Arial"/>
          <w:lang w:eastAsia="bg-BG"/>
        </w:rPr>
      </w:r>
      <w:r w:rsidRPr="001366B8">
        <w:rPr>
          <w:rFonts w:eastAsia="Times New Roman" w:cs="Arial"/>
          <w:lang w:eastAsia="bg-BG"/>
        </w:rPr>
        <w:fldChar w:fldCharType="separate"/>
      </w:r>
      <w:r w:rsidRPr="001366B8">
        <w:rPr>
          <w:rFonts w:eastAsia="Times New Roman" w:cs="Arial"/>
          <w:color w:val="000000"/>
          <w:u w:val="single"/>
          <w:lang w:val="en-US"/>
        </w:rPr>
        <w:t>www.bda.bg</w:t>
      </w:r>
      <w:r w:rsidRPr="001366B8">
        <w:rPr>
          <w:rFonts w:eastAsia="Times New Roman" w:cs="Arial"/>
          <w:lang w:eastAsia="bg-BG"/>
        </w:rPr>
        <w:fldChar w:fldCharType="end"/>
      </w:r>
    </w:p>
    <w:p w14:paraId="410B690D" w14:textId="77777777" w:rsidR="001366B8" w:rsidRPr="0091385D" w:rsidRDefault="001366B8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040BDBCB" w14:textId="77777777" w:rsidR="001366B8" w:rsidRPr="001366B8" w:rsidRDefault="001366B8" w:rsidP="001366B8">
      <w:pPr>
        <w:pStyle w:val="Heading3"/>
        <w:rPr>
          <w:rFonts w:eastAsia="Times New Roman"/>
          <w:u w:val="single"/>
          <w:lang w:eastAsia="bg-BG"/>
        </w:rPr>
      </w:pPr>
      <w:r w:rsidRPr="001366B8">
        <w:rPr>
          <w:rFonts w:eastAsia="Times New Roman"/>
          <w:u w:val="single"/>
          <w:lang w:eastAsia="bg-BG"/>
        </w:rPr>
        <w:t>Цетилпиридин</w:t>
      </w:r>
    </w:p>
    <w:p w14:paraId="55FBB231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Поглъщането на големи дози цетилпиридин може да предизвика стомашно разстройство и депресия на централната нервна система.</w:t>
      </w:r>
    </w:p>
    <w:p w14:paraId="2C37F5D1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EFEB87" w14:textId="30D310CA" w:rsidR="001366B8" w:rsidRPr="001366B8" w:rsidRDefault="001366B8" w:rsidP="001366B8">
      <w:pPr>
        <w:pStyle w:val="Heading3"/>
        <w:rPr>
          <w:rFonts w:eastAsia="Times New Roman"/>
          <w:u w:val="single"/>
          <w:lang w:eastAsia="bg-BG"/>
        </w:rPr>
      </w:pPr>
      <w:r w:rsidRPr="001366B8">
        <w:rPr>
          <w:rFonts w:eastAsia="Times New Roman"/>
          <w:u w:val="single"/>
          <w:lang w:eastAsia="bg-BG"/>
        </w:rPr>
        <w:t>Лидокаин</w:t>
      </w:r>
    </w:p>
    <w:p w14:paraId="162B58D6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Системните токсични ефекти на локалните анестетици (всички форми на приложение) може да включват ефекти от страна на централната нервна система и сърцето.</w:t>
      </w:r>
    </w:p>
    <w:p w14:paraId="6A43B8F3" w14:textId="17FBC576" w:rsidR="007A2185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Не са установени симптоми на предозиране при анализа на постмаркетинговите данни за този продукт.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02CAB397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 xml:space="preserve">АТС код: </w:t>
      </w:r>
      <w:r w:rsidRPr="001366B8">
        <w:rPr>
          <w:rFonts w:eastAsia="Times New Roman" w:cs="Arial"/>
          <w:color w:val="000000"/>
          <w:lang w:eastAsia="bg-BG"/>
        </w:rPr>
        <w:t xml:space="preserve">А01 </w:t>
      </w:r>
      <w:r w:rsidRPr="001366B8">
        <w:rPr>
          <w:rFonts w:eastAsia="Times New Roman" w:cs="Arial"/>
          <w:color w:val="000000"/>
          <w:lang w:val="en-US"/>
        </w:rPr>
        <w:t xml:space="preserve">ADI </w:t>
      </w:r>
      <w:r w:rsidRPr="001366B8">
        <w:rPr>
          <w:rFonts w:eastAsia="Times New Roman" w:cs="Arial"/>
          <w:color w:val="000000"/>
          <w:lang w:eastAsia="bg-BG"/>
        </w:rPr>
        <w:t>1 Други средства за локално орално лечение</w:t>
      </w:r>
    </w:p>
    <w:p w14:paraId="397345BD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5584FF1" w14:textId="473E3B3C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Цетилпиридиновият хлорид, кватернерно амониево съединение (КАС), има антисептични ефекти. Счита се, че неговото действие е свързано със способността му да засили пропускането на ензими, коензими и междинни продукти от метаболизма. Той се използва като компонент в антисептични промивки за уста и таблетки за смучене за лечение на локални инфекции на устната кухина и гърлото.</w:t>
      </w:r>
    </w:p>
    <w:p w14:paraId="038F692B" w14:textId="17FFB137" w:rsidR="007A2185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>Лидокаин е локален анестетик от амиден тип и действа като предотвратява обратимо генерирането и предаването на импулси по хода на нервните влакна и в краищата на нервите чрез намаляване на пропускливостга на невронната мембрана за натриеви йони. Лидокаин осигурява бърза аналгезия с начало приблизително 15 минути след приложението, която може да продължи от 1 до 3 часа.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58D389FA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Фармакокинетични изследвания с продукта не са провеждани, поради което бионаличността на активните вещества след приложението на тази комбинация не е установена експериментално.</w:t>
      </w:r>
    </w:p>
    <w:p w14:paraId="1AD55FEB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6612A1D" w14:textId="281077EC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</w:p>
    <w:p w14:paraId="189982C3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Няма съответстващи фармакокинетични изследвания, които да са станали обществено достояние.</w:t>
      </w:r>
    </w:p>
    <w:p w14:paraId="15320A85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43A3FB7" w14:textId="06CD8348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Лндоканнов хидрохлорид</w:t>
      </w:r>
    </w:p>
    <w:p w14:paraId="59AB3741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Лидокаин се абсорбира бързо от повърхността на лигавиците, като има бързо начало на действие до 2 минути след локално приложение на 4% воден разтвор на лидокаин върху лигавицата на върха на езика.</w:t>
      </w:r>
    </w:p>
    <w:p w14:paraId="45551830" w14:textId="1873A869" w:rsidR="007A2185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 xml:space="preserve">Шестдесет и шест процента от лидокаина е свързан с плазмените протеини. 90% от лидокаина се метаболизира в черния дроб и по-малко от 10% се елиминира в </w:t>
      </w:r>
      <w:r w:rsidRPr="001366B8">
        <w:rPr>
          <w:rFonts w:eastAsia="Times New Roman" w:cs="Arial"/>
          <w:color w:val="000000"/>
          <w:lang w:eastAsia="bg-BG"/>
        </w:rPr>
        <w:lastRenderedPageBreak/>
        <w:t>непроменен вид. Полуживотьт на лидокаина е 1,6 часа. Общият телесен клирънс е висок, като чернодробната екскреция е от 65 до 70%. Лидокаин не се открива в жлъчката и няма ентеро-хепатален кръговрат.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23C9A555" w14:textId="77777777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О</w:t>
      </w:r>
      <w:r w:rsidRPr="001366B8">
        <w:rPr>
          <w:rFonts w:eastAsia="Times New Roman" w:cs="Arial"/>
          <w:i/>
          <w:iCs/>
          <w:color w:val="000000"/>
          <w:lang w:eastAsia="bg-BG"/>
        </w:rPr>
        <w:t>бща токсикология</w:t>
      </w:r>
    </w:p>
    <w:p w14:paraId="76E7721F" w14:textId="77777777" w:rsidR="001366B8" w:rsidRPr="001366B8" w:rsidRDefault="001366B8" w:rsidP="001366B8">
      <w:pPr>
        <w:spacing w:line="240" w:lineRule="auto"/>
        <w:jc w:val="center"/>
        <w:rPr>
          <w:rFonts w:eastAsia="Times New Roman" w:cs="Arial"/>
          <w:b/>
          <w:bCs/>
          <w:color w:val="000000"/>
          <w:lang w:eastAsia="bg-BG"/>
        </w:rPr>
      </w:pPr>
    </w:p>
    <w:p w14:paraId="09D867CE" w14:textId="51D1C10A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</w:p>
    <w:p w14:paraId="595AE938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12F21C" w14:textId="28121922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Очаква се цетилпиридиновият хлорид (ЦПХ) да предизвика умерена токсичност при остри перорални изследвания. В различни проведени тестове за остра перорална токсичност се съобщава, че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е 200 - 681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плъхове, 108 - 125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(99 - 159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мъжките животни) при мишки, 400 - 500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зайци и &gt; 500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котки и кучета. Съобщава се за висока токсичност при остри инхалаторни изследвания при плъхове с използване на аерозоли в концентрации до 0,29 </w:t>
      </w:r>
      <w:r w:rsidRPr="001366B8">
        <w:rPr>
          <w:rFonts w:eastAsia="Times New Roman" w:cs="Arial"/>
          <w:color w:val="000000"/>
          <w:lang w:val="en-US"/>
        </w:rPr>
        <w:t xml:space="preserve">mg/L </w:t>
      </w:r>
      <w:r w:rsidRPr="001366B8">
        <w:rPr>
          <w:rFonts w:eastAsia="Times New Roman" w:cs="Arial"/>
          <w:color w:val="000000"/>
          <w:lang w:eastAsia="bg-BG"/>
        </w:rPr>
        <w:t xml:space="preserve">(4 </w:t>
      </w:r>
      <w:proofErr w:type="spellStart"/>
      <w:r w:rsidRPr="001366B8">
        <w:rPr>
          <w:rFonts w:eastAsia="Times New Roman" w:cs="Arial"/>
          <w:color w:val="000000"/>
          <w:lang w:val="en-US"/>
        </w:rPr>
        <w:t>hr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експозиция) със стойности на </w:t>
      </w:r>
      <w:r w:rsidRPr="001366B8">
        <w:rPr>
          <w:rFonts w:eastAsia="Times New Roman" w:cs="Arial"/>
          <w:color w:val="000000"/>
          <w:lang w:val="en-US"/>
        </w:rPr>
        <w:t xml:space="preserve">LC50 </w:t>
      </w:r>
      <w:r w:rsidRPr="001366B8">
        <w:rPr>
          <w:rFonts w:eastAsia="Times New Roman" w:cs="Arial"/>
          <w:color w:val="000000"/>
          <w:lang w:eastAsia="bg-BG"/>
        </w:rPr>
        <w:t xml:space="preserve">от 0,09 </w:t>
      </w:r>
      <w:r w:rsidRPr="001366B8">
        <w:rPr>
          <w:rFonts w:eastAsia="Times New Roman" w:cs="Arial"/>
          <w:color w:val="000000"/>
          <w:lang w:val="en-US"/>
        </w:rPr>
        <w:t xml:space="preserve">mg/L. </w:t>
      </w:r>
      <w:r w:rsidRPr="001366B8">
        <w:rPr>
          <w:rFonts w:eastAsia="Times New Roman" w:cs="Arial"/>
          <w:color w:val="000000"/>
          <w:lang w:eastAsia="bg-BG"/>
        </w:rPr>
        <w:t xml:space="preserve">При изследванията на острата токсичност чрез интраперитонеално приложение при плъхове и мишки се съобщават стойности на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от 6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и 7 -10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съответно. При изследвания за остра токсичност, проведени при плъхове и зайци с подкожно приложение, се съобщават стойности на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от 250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и 300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съответно. При изследвания за остра токсичност с интравенозно приложение са получени стойности на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от 30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и 36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плъхове и зайци съответно. Най-ниската летална доза при изследване на остра дермална токсичност при зайци е 2000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Известно е, че острата експозиция на ЦПХ при перорално или парентерално приложение индуцира в лабораторните животни парализа на крайниците и ефекти от страна на централната нервна система (ЦНС).</w:t>
      </w:r>
    </w:p>
    <w:p w14:paraId="24364A6B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DEFB12" w14:textId="36C0F9A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В едно 28-дневно изследване за токсичност с многократно приложение при зайци, на които е прилаган ЦПХ перорално, не са наблюдавани токсикологично значими нежелани ефекти при дози до 100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дневно. В едно 14-дневно изследване на вкусовите качества при плъхове в условия на ДЛП, статистически значима загуба на тегло е наблюдавана при животни, третирани с перорални дози &gt;50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дневно. В условията на </w:t>
      </w:r>
      <w:r w:rsidRPr="001366B8">
        <w:rPr>
          <w:rFonts w:eastAsia="Times New Roman" w:cs="Arial"/>
          <w:i/>
          <w:iCs/>
          <w:color w:val="000000"/>
          <w:lang w:eastAsia="bg-BG"/>
        </w:rPr>
        <w:t>ДЛП,</w:t>
      </w:r>
      <w:r w:rsidRPr="001366B8">
        <w:rPr>
          <w:rFonts w:eastAsia="Times New Roman" w:cs="Arial"/>
          <w:color w:val="000000"/>
          <w:lang w:eastAsia="bg-BG"/>
        </w:rPr>
        <w:t xml:space="preserve"> при едно 28-дневно изследване за токсичност с многократно приложение на ЦПХ в диетата на плъхове не се отбелязват нежелани ефекти при дози до 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 (най-високата изследвана доза), но статистически значима загуба на тегло и увеличаване на теглото на цекума са наблюдавани при &gt;37,5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дневно. Не са наблюдавани значими ефекти в едно 28-дневно изследване за токсичност с многократно приложение при кучета бийгьл след третиране с перорални дози до 20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 при мъжките и 11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 при женските животни (най-високите изследвани дози).</w:t>
      </w:r>
    </w:p>
    <w:p w14:paraId="0D454DA9" w14:textId="77777777" w:rsidR="001366B8" w:rsidRPr="001366B8" w:rsidRDefault="001366B8" w:rsidP="001366B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52AA12" w14:textId="2BF5BC4B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В едно скорошно 13-седмично изследване за токсичност с многократно приложение при плъхове </w:t>
      </w:r>
      <w:r w:rsidRPr="001366B8">
        <w:rPr>
          <w:rFonts w:eastAsia="Times New Roman" w:cs="Arial"/>
          <w:color w:val="000000"/>
          <w:lang w:val="en-US"/>
        </w:rPr>
        <w:t xml:space="preserve">Sprague-Dawley, </w:t>
      </w:r>
      <w:r w:rsidRPr="001366B8">
        <w:rPr>
          <w:rFonts w:eastAsia="Times New Roman" w:cs="Arial"/>
          <w:color w:val="000000"/>
          <w:lang w:eastAsia="bg-BG"/>
        </w:rPr>
        <w:t xml:space="preserve">третирани с перорални дози до 84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дневно, е наблюдавано ниво, без</w:t>
      </w:r>
    </w:p>
    <w:p w14:paraId="0D5E1C1B" w14:textId="77777777" w:rsidR="001366B8" w:rsidRPr="001366B8" w:rsidRDefault="001366B8" w:rsidP="001366B8">
      <w:pPr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нежелани ефекти </w:t>
      </w:r>
      <w:r w:rsidRPr="001366B8">
        <w:rPr>
          <w:rFonts w:eastAsia="Times New Roman" w:cs="Arial"/>
          <w:color w:val="000000"/>
          <w:lang w:val="en-US"/>
        </w:rPr>
        <w:t xml:space="preserve">(NOAEL) </w:t>
      </w:r>
      <w:r w:rsidRPr="001366B8">
        <w:rPr>
          <w:rFonts w:eastAsia="Times New Roman" w:cs="Arial"/>
          <w:color w:val="000000"/>
          <w:lang w:eastAsia="bg-BG"/>
        </w:rPr>
        <w:t xml:space="preserve">от 18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 въз основа на увеличеното тегло на цекума при  мъжките животни. В едно 90-дневно изследване на пероралната токсичност с многократно   приложение при кучета бийгьл не са наблюдавани токсикологично значими резултати при 17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 (най-високата изследвана доза).</w:t>
      </w:r>
    </w:p>
    <w:p w14:paraId="0CF7AB19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E68F2B3" w14:textId="2DED8AEE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Лидокаин</w:t>
      </w:r>
    </w:p>
    <w:p w14:paraId="4B33B463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lastRenderedPageBreak/>
        <w:t>При мишки лид</w:t>
      </w:r>
      <w:bookmarkStart w:id="3" w:name="_GoBack"/>
      <w:bookmarkEnd w:id="3"/>
      <w:r w:rsidRPr="001366B8">
        <w:rPr>
          <w:rFonts w:eastAsia="Times New Roman" w:cs="Arial"/>
          <w:color w:val="000000"/>
          <w:lang w:eastAsia="bg-BG"/>
        </w:rPr>
        <w:t xml:space="preserve">окаин има стойности на остра, перорална, интрамускулна, подкожна и интраперитонеална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от 220-290, 260, 163-450 и 63- 132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съответно. При интравенозно приложение той има стойности за </w:t>
      </w:r>
      <w:r w:rsidRPr="001366B8">
        <w:rPr>
          <w:rFonts w:eastAsia="Times New Roman" w:cs="Arial"/>
          <w:color w:val="000000"/>
          <w:lang w:val="en-US"/>
        </w:rPr>
        <w:t xml:space="preserve">LD50 </w:t>
      </w:r>
      <w:r w:rsidRPr="001366B8">
        <w:rPr>
          <w:rFonts w:eastAsia="Times New Roman" w:cs="Arial"/>
          <w:color w:val="000000"/>
          <w:lang w:eastAsia="bg-BG"/>
        </w:rPr>
        <w:t xml:space="preserve">от 15-28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мишки, 21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плъхове, 25,6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зайци, 24,5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Той има стойност от 570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при остро подкожно приложение при плъхове. В едно 28-дневно изследване на дермалната токсичност с многократно приложение, проведено при зайци чрез приложение на търговския препарат </w:t>
      </w:r>
      <w:r w:rsidRPr="001366B8">
        <w:rPr>
          <w:rFonts w:eastAsia="Times New Roman" w:cs="Arial"/>
          <w:color w:val="000000"/>
          <w:lang w:val="en-US"/>
        </w:rPr>
        <w:t>S-</w:t>
      </w:r>
      <w:proofErr w:type="spellStart"/>
      <w:r w:rsidRPr="001366B8">
        <w:rPr>
          <w:rFonts w:eastAsia="Times New Roman" w:cs="Arial"/>
          <w:color w:val="000000"/>
          <w:lang w:val="en-US"/>
        </w:rPr>
        <w:t>canineTM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(70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лидокаин, 70 </w:t>
      </w:r>
      <w:r w:rsidRPr="001366B8">
        <w:rPr>
          <w:rFonts w:eastAsia="Times New Roman" w:cs="Arial"/>
          <w:color w:val="000000"/>
          <w:lang w:val="en-US"/>
        </w:rPr>
        <w:t xml:space="preserve">mg </w:t>
      </w:r>
      <w:r w:rsidRPr="001366B8">
        <w:rPr>
          <w:rFonts w:eastAsia="Times New Roman" w:cs="Arial"/>
          <w:color w:val="000000"/>
          <w:lang w:eastAsia="bg-BG"/>
        </w:rPr>
        <w:t xml:space="preserve">тетарцин) 2 часа дневно, не се съобщава за някакъв ефект на системна токсичност, свързван с веществото. В едно 2-годишно изследване с многократно приложение в храната, проведено при плъхове при дозови нива от 0, 15, 50, 150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т.т., се съобщава за намаление на наддаването на телесно тегло в дозовата група от 50 и 150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</w:t>
      </w:r>
    </w:p>
    <w:p w14:paraId="67792782" w14:textId="77777777" w:rsidR="001366B8" w:rsidRPr="001366B8" w:rsidRDefault="001366B8" w:rsidP="001366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99C2172" w14:textId="3A9B00C4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i/>
          <w:iCs/>
          <w:color w:val="000000"/>
          <w:lang w:eastAsia="bg-BG"/>
        </w:rPr>
        <w:t>Генетична токсикология</w:t>
      </w:r>
    </w:p>
    <w:p w14:paraId="4C783521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5BBBFF9" w14:textId="0F124F48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</w:p>
    <w:p w14:paraId="5EC077B7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В тест на </w:t>
      </w:r>
      <w:r w:rsidRPr="001366B8">
        <w:rPr>
          <w:rFonts w:eastAsia="Times New Roman" w:cs="Arial"/>
          <w:color w:val="000000"/>
          <w:lang w:val="en-US"/>
        </w:rPr>
        <w:t xml:space="preserve">Ames </w:t>
      </w:r>
      <w:r w:rsidRPr="001366B8">
        <w:rPr>
          <w:rFonts w:eastAsia="Times New Roman" w:cs="Arial"/>
          <w:color w:val="000000"/>
          <w:lang w:eastAsia="bg-BG"/>
        </w:rPr>
        <w:t xml:space="preserve">с обратни бактериални мутации ЦПХ не е мутагенен в щамове на </w:t>
      </w:r>
      <w:r w:rsidRPr="001366B8">
        <w:rPr>
          <w:rFonts w:eastAsia="Times New Roman" w:cs="Arial"/>
          <w:i/>
          <w:iCs/>
          <w:color w:val="000000"/>
          <w:lang w:val="en-US"/>
        </w:rPr>
        <w:t xml:space="preserve">Salmonella </w:t>
      </w:r>
      <w:proofErr w:type="spellStart"/>
      <w:r w:rsidRPr="001366B8">
        <w:rPr>
          <w:rFonts w:eastAsia="Times New Roman" w:cs="Arial"/>
          <w:i/>
          <w:iCs/>
          <w:color w:val="000000"/>
          <w:lang w:val="en-US"/>
        </w:rPr>
        <w:t>typhimurium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ТА1535, ТА97а, ТА98, ТА100 и на </w:t>
      </w:r>
      <w:r w:rsidRPr="001366B8">
        <w:rPr>
          <w:rFonts w:eastAsia="Times New Roman" w:cs="Arial"/>
          <w:i/>
          <w:iCs/>
          <w:color w:val="000000"/>
          <w:lang w:val="en-US"/>
        </w:rPr>
        <w:t>Escherichia coli</w:t>
      </w:r>
      <w:r w:rsidRPr="001366B8">
        <w:rPr>
          <w:rFonts w:eastAsia="Times New Roman" w:cs="Arial"/>
          <w:color w:val="000000"/>
          <w:lang w:val="en-US"/>
        </w:rPr>
        <w:t xml:space="preserve"> WP2, </w:t>
      </w:r>
      <w:r w:rsidRPr="001366B8">
        <w:rPr>
          <w:rFonts w:eastAsia="Times New Roman" w:cs="Arial"/>
          <w:color w:val="000000"/>
          <w:lang w:eastAsia="bg-BG"/>
        </w:rPr>
        <w:t>тест с инкорпориране в петрито, с метаболитно активиране при концентрации до 50 μ</w:t>
      </w:r>
      <w:r w:rsidRPr="001366B8">
        <w:rPr>
          <w:rFonts w:eastAsia="Times New Roman" w:cs="Arial"/>
          <w:color w:val="000000"/>
          <w:lang w:val="en-US"/>
        </w:rPr>
        <w:t>g</w:t>
      </w:r>
      <w:r w:rsidRPr="001366B8">
        <w:rPr>
          <w:rFonts w:eastAsia="Times New Roman" w:cs="Arial"/>
          <w:color w:val="000000"/>
          <w:lang w:eastAsia="bg-BG"/>
        </w:rPr>
        <w:t>/петри и без метаболитно активиране при концентрации до 5 μ</w:t>
      </w:r>
      <w:r w:rsidRPr="001366B8">
        <w:rPr>
          <w:rFonts w:eastAsia="Times New Roman" w:cs="Arial"/>
          <w:color w:val="000000"/>
          <w:lang w:val="en-US"/>
        </w:rPr>
        <w:t>g</w:t>
      </w:r>
      <w:r w:rsidRPr="001366B8">
        <w:rPr>
          <w:rFonts w:eastAsia="Times New Roman" w:cs="Arial"/>
          <w:color w:val="000000"/>
          <w:lang w:eastAsia="bg-BG"/>
        </w:rPr>
        <w:t>/петри. В един цитогенетичен тест, проведен с клетки от яйчници на китайски хамстер, ЦПХ не повишава честотата на аберентни клетки или структурни хромозомни аберации. Не е наблюдавано и увеличение на полиплоидните клетки.</w:t>
      </w:r>
    </w:p>
    <w:p w14:paraId="18BD9388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Отрицателни резултати са получени също и с тест за генни мутации с ЦПХ с тест с прави мутации на миши лимфомни клетки без </w:t>
      </w:r>
      <w:r w:rsidRPr="001366B8">
        <w:rPr>
          <w:rFonts w:eastAsia="Times New Roman" w:cs="Arial"/>
          <w:color w:val="000000"/>
          <w:lang w:val="en-US"/>
        </w:rPr>
        <w:t xml:space="preserve">S9, </w:t>
      </w:r>
      <w:r w:rsidRPr="001366B8">
        <w:rPr>
          <w:rFonts w:eastAsia="Times New Roman" w:cs="Arial"/>
          <w:color w:val="000000"/>
          <w:lang w:eastAsia="bg-BG"/>
        </w:rPr>
        <w:t>костномозъчен микроядрен тест при плъхове (чрез инхалиране). Въз основа на отрицателните резултати, получени с горните изследвания, се счита, че цетнлпиридинов хлорид няма проблеми с генотоксичността.</w:t>
      </w:r>
    </w:p>
    <w:p w14:paraId="7DBB21F2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4"/>
    </w:p>
    <w:p w14:paraId="3BD17909" w14:textId="4879A4FC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Лидокаин</w:t>
      </w:r>
      <w:bookmarkEnd w:id="4"/>
    </w:p>
    <w:p w14:paraId="6E1D23AF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Изследването за генотоксичност, проведено с лидокаин и неговите метаболити, не показва някаква мутагенна активност при микрозомален тест със </w:t>
      </w:r>
      <w:r w:rsidRPr="001366B8">
        <w:rPr>
          <w:rFonts w:eastAsia="Times New Roman" w:cs="Arial"/>
          <w:i/>
          <w:iCs/>
          <w:color w:val="000000"/>
          <w:lang w:val="en-US"/>
        </w:rPr>
        <w:t>Salmonella</w:t>
      </w:r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(щамове на </w:t>
      </w:r>
      <w:r w:rsidRPr="001366B8">
        <w:rPr>
          <w:rFonts w:eastAsia="Times New Roman" w:cs="Arial"/>
          <w:i/>
          <w:iCs/>
          <w:color w:val="000000"/>
          <w:lang w:val="en-US"/>
        </w:rPr>
        <w:t xml:space="preserve">Salmonella </w:t>
      </w:r>
      <w:proofErr w:type="spellStart"/>
      <w:r w:rsidRPr="001366B8">
        <w:rPr>
          <w:rFonts w:eastAsia="Times New Roman" w:cs="Arial"/>
          <w:i/>
          <w:iCs/>
          <w:color w:val="000000"/>
          <w:lang w:val="en-US"/>
        </w:rPr>
        <w:t>typhimurium</w:t>
      </w:r>
      <w:proofErr w:type="spellEnd"/>
      <w:r w:rsidRPr="001366B8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ТА100, ТА98, ТА1538 с 1, 10, 100 и 500 </w:t>
      </w:r>
      <w:r w:rsidRPr="001366B8">
        <w:rPr>
          <w:rFonts w:eastAsia="Times New Roman" w:cs="Arial"/>
          <w:color w:val="000000"/>
          <w:lang w:val="en-US"/>
        </w:rPr>
        <w:t>mg</w:t>
      </w:r>
      <w:r w:rsidRPr="001366B8">
        <w:rPr>
          <w:rFonts w:eastAsia="Times New Roman" w:cs="Arial"/>
          <w:color w:val="000000"/>
          <w:lang w:eastAsia="bg-BG"/>
        </w:rPr>
        <w:t xml:space="preserve">/петри) със или без метаболитно активиране. Тъй като това изследване не е добре проведено, надеждността на данните е по-ниска. В отделен експеримент обаче тестът за мутагенност, проведен с метаболит 2,6 ксилидин, показва положителен резултат при микрозомален тест със </w:t>
      </w:r>
      <w:r w:rsidRPr="001366B8">
        <w:rPr>
          <w:rFonts w:eastAsia="Times New Roman" w:cs="Arial"/>
          <w:i/>
          <w:iCs/>
          <w:color w:val="000000"/>
          <w:lang w:val="en-US"/>
        </w:rPr>
        <w:t>Salmonella</w:t>
      </w:r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(щамове на </w:t>
      </w:r>
      <w:r w:rsidRPr="001366B8">
        <w:rPr>
          <w:rFonts w:eastAsia="Times New Roman" w:cs="Arial"/>
          <w:i/>
          <w:iCs/>
          <w:color w:val="000000"/>
          <w:lang w:val="en-US"/>
        </w:rPr>
        <w:t xml:space="preserve">Salmonella </w:t>
      </w:r>
      <w:proofErr w:type="spellStart"/>
      <w:r w:rsidRPr="001366B8">
        <w:rPr>
          <w:rFonts w:eastAsia="Times New Roman" w:cs="Arial"/>
          <w:i/>
          <w:iCs/>
          <w:color w:val="000000"/>
          <w:lang w:val="en-US"/>
        </w:rPr>
        <w:t>typhimurium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ТА 1538 с 1, 10, 100 и 500 </w:t>
      </w:r>
      <w:r w:rsidRPr="001366B8">
        <w:rPr>
          <w:rFonts w:eastAsia="Times New Roman" w:cs="Arial"/>
          <w:color w:val="000000"/>
          <w:lang w:val="en-US"/>
        </w:rPr>
        <w:t>mg</w:t>
      </w:r>
      <w:r w:rsidRPr="001366B8">
        <w:rPr>
          <w:rFonts w:eastAsia="Times New Roman" w:cs="Arial"/>
          <w:color w:val="000000"/>
          <w:lang w:eastAsia="bg-BG"/>
        </w:rPr>
        <w:t xml:space="preserve">/петри) с метаболитно активиране, предизвикващо права мутация в тест с миши лимфом, хромозомни аберации и сестрински хроматиден обмен в клетки от яйчници на китайски хамстер. Тестът за непланирана ДНК синтеза </w:t>
      </w:r>
      <w:r w:rsidRPr="001366B8">
        <w:rPr>
          <w:rFonts w:eastAsia="Times New Roman" w:cs="Arial"/>
          <w:i/>
          <w:iCs/>
          <w:color w:val="000000"/>
          <w:lang w:val="en-US"/>
        </w:rPr>
        <w:t>in vivo/ in vitro</w:t>
      </w:r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>в хепатоцити на плъхове, тестът за ковалентно свързване на ДНК в черен дроб на плъхове са отрицателни. Въз основа на наличните данни, може да се твърди, че лидокаин има генотоксичен потенциал.</w:t>
      </w:r>
    </w:p>
    <w:p w14:paraId="1C1E10DD" w14:textId="77777777" w:rsidR="001366B8" w:rsidRPr="001366B8" w:rsidRDefault="001366B8" w:rsidP="001366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EEEF379" w14:textId="3D4506AE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i/>
          <w:iCs/>
          <w:color w:val="000000"/>
          <w:lang w:eastAsia="bg-BG"/>
        </w:rPr>
        <w:t>Карциногенност</w:t>
      </w:r>
    </w:p>
    <w:p w14:paraId="27031B8F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6"/>
    </w:p>
    <w:p w14:paraId="5FFF4F62" w14:textId="64C2FA24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  <w:bookmarkEnd w:id="5"/>
    </w:p>
    <w:p w14:paraId="60954821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В едно 1-годишно изследване за карциногенност с многократно приложение на инкорпориран във винилов съполимер ЦПХ в храната на плъхове, не са наблюдавани клинични ефекти при най- високата тествана доза от 35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дневно. Освен това, тъй като не са получени отрицателни резултати в тестовете за генотоксичност, не се очаква цетнлпиридинов хлорид да бъде карциногенен.</w:t>
      </w:r>
    </w:p>
    <w:p w14:paraId="19FB9D01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9FCF88C" w14:textId="1BD37351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lastRenderedPageBreak/>
        <w:t>Лидокаин</w:t>
      </w:r>
    </w:p>
    <w:p w14:paraId="49EE9F2C" w14:textId="77777777" w:rsidR="001366B8" w:rsidRPr="001366B8" w:rsidRDefault="001366B8" w:rsidP="001366B8">
      <w:pPr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При едно двегодишно изследване за канцерогенност с приложение в храната на плъхове при дозово ниво от 0, 15, 50 и 150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се съобщава за осезаемо намаление на наддаването на тегло при 50 и 150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и значимо, дозозависимо повишение на подкожни фиброми и фибросаркоми при третираните мъжки и женски животни.</w:t>
      </w:r>
    </w:p>
    <w:p w14:paraId="17F152C0" w14:textId="77777777" w:rsidR="001366B8" w:rsidRPr="001366B8" w:rsidRDefault="001366B8" w:rsidP="001366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25D28D5" w14:textId="118E376F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i/>
          <w:iCs/>
          <w:color w:val="000000"/>
          <w:lang w:eastAsia="bg-BG"/>
        </w:rPr>
        <w:t>Тератогенност</w:t>
      </w:r>
    </w:p>
    <w:p w14:paraId="596EFA89" w14:textId="77777777" w:rsidR="001366B8" w:rsidRPr="001366B8" w:rsidRDefault="001366B8" w:rsidP="001366B8">
      <w:pPr>
        <w:spacing w:line="240" w:lineRule="auto"/>
        <w:jc w:val="center"/>
        <w:rPr>
          <w:rFonts w:eastAsia="Times New Roman" w:cs="Arial"/>
          <w:b/>
          <w:bCs/>
          <w:color w:val="000000"/>
          <w:lang w:eastAsia="bg-BG"/>
        </w:rPr>
      </w:pPr>
    </w:p>
    <w:p w14:paraId="2AF46905" w14:textId="56CB89B6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</w:p>
    <w:p w14:paraId="7D6D9F08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Не са наблюдавани значими тератогенни ефекти при едно изследване на репродуктивната токсичност при 2 поколения плъхове с приложение на ЦПХ съполимер в дози от 35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дневно. Не се установява майчина или фетална токсичност при 25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 при зайци, на които е прилаган перорално препарат, съдържащ ЦПХ, в дози до 100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дневно.</w:t>
      </w:r>
    </w:p>
    <w:p w14:paraId="6D079427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17AFB47" w14:textId="310D79D4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Лидокаин</w:t>
      </w:r>
    </w:p>
    <w:p w14:paraId="1606B8EC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Не се установява тератогенен ефект при изследване за тератогенност, проведено чрез перорално и интраперитонеално приложение на плъхове в дози от 100, 250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перорално (прилагани посредством осмотична помпа две седмици преди чифтосване и през цялата бременност) и 500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 (прилагани през ГД 3-17). Съобщава се за </w:t>
      </w:r>
      <w:r w:rsidRPr="001366B8">
        <w:rPr>
          <w:rFonts w:eastAsia="Times New Roman" w:cs="Arial"/>
          <w:color w:val="000000"/>
          <w:lang w:val="en-US"/>
        </w:rPr>
        <w:t xml:space="preserve">NOAEL </w:t>
      </w:r>
      <w:r w:rsidRPr="001366B8">
        <w:rPr>
          <w:rFonts w:eastAsia="Times New Roman" w:cs="Arial"/>
          <w:color w:val="000000"/>
          <w:lang w:eastAsia="bg-BG"/>
        </w:rPr>
        <w:t xml:space="preserve">от 10, 60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 съответно по отношение на майчината токсичност и ефектите върху развитието при зайци след подкожно приложение на лидокаин в доза от 5, 10, 60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 (ГД 6-17). При тест </w:t>
      </w:r>
      <w:r w:rsidRPr="001366B8">
        <w:rPr>
          <w:rFonts w:eastAsia="Times New Roman" w:cs="Arial"/>
          <w:i/>
          <w:iCs/>
          <w:color w:val="000000"/>
          <w:lang w:val="en-US"/>
        </w:rPr>
        <w:t>in vitro,</w:t>
      </w:r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проведен с цел оценка на тератогенния ефект на ембриони на плъхове в концентрация от 250, 375, 500 </w:t>
      </w:r>
      <w:r w:rsidRPr="001366B8">
        <w:rPr>
          <w:rFonts w:eastAsia="Times New Roman" w:cs="Arial"/>
          <w:color w:val="000000"/>
          <w:lang w:val="en-US"/>
        </w:rPr>
        <w:t>u</w:t>
      </w:r>
      <w:r w:rsidRPr="001366B8">
        <w:rPr>
          <w:rFonts w:eastAsia="Times New Roman" w:cs="Arial"/>
          <w:color w:val="000000"/>
          <w:lang w:eastAsia="bg-BG"/>
        </w:rPr>
        <w:t xml:space="preserve">М лидокаин, се установява повишена честота на </w:t>
      </w:r>
      <w:r w:rsidRPr="001366B8">
        <w:rPr>
          <w:rFonts w:eastAsia="Times New Roman" w:cs="Arial"/>
          <w:color w:val="000000"/>
          <w:lang w:val="en-US"/>
        </w:rPr>
        <w:t xml:space="preserve">situs </w:t>
      </w:r>
      <w:proofErr w:type="spellStart"/>
      <w:r w:rsidRPr="001366B8">
        <w:rPr>
          <w:rFonts w:eastAsia="Times New Roman" w:cs="Arial"/>
          <w:color w:val="000000"/>
          <w:lang w:val="en-US"/>
        </w:rPr>
        <w:t>inversus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</w:t>
      </w:r>
      <w:r w:rsidRPr="001366B8">
        <w:rPr>
          <w:rFonts w:eastAsia="Times New Roman" w:cs="Arial"/>
          <w:color w:val="000000"/>
          <w:lang w:eastAsia="bg-BG"/>
        </w:rPr>
        <w:t xml:space="preserve">в групата с 250 </w:t>
      </w:r>
      <w:r w:rsidRPr="001366B8">
        <w:rPr>
          <w:rFonts w:eastAsia="Times New Roman" w:cs="Arial"/>
          <w:color w:val="000000"/>
          <w:lang w:val="en-US"/>
        </w:rPr>
        <w:t>u</w:t>
      </w:r>
      <w:r w:rsidRPr="001366B8">
        <w:rPr>
          <w:rFonts w:eastAsia="Times New Roman" w:cs="Arial"/>
          <w:color w:val="000000"/>
          <w:lang w:eastAsia="bg-BG"/>
        </w:rPr>
        <w:t xml:space="preserve">М в сравнение с контролите. При доза от 375 </w:t>
      </w:r>
      <w:r w:rsidRPr="001366B8">
        <w:rPr>
          <w:rFonts w:eastAsia="Times New Roman" w:cs="Arial"/>
          <w:color w:val="000000"/>
          <w:lang w:val="en-US"/>
        </w:rPr>
        <w:t>u</w:t>
      </w:r>
      <w:r w:rsidRPr="001366B8">
        <w:rPr>
          <w:rFonts w:eastAsia="Times New Roman" w:cs="Arial"/>
          <w:color w:val="000000"/>
          <w:lang w:eastAsia="bg-BG"/>
        </w:rPr>
        <w:t xml:space="preserve">М ембрионите показват леко забавяне на растежа, но няма значими морфологични аномалии. При доза от 500 </w:t>
      </w:r>
      <w:r w:rsidRPr="001366B8">
        <w:rPr>
          <w:rFonts w:eastAsia="Times New Roman" w:cs="Arial"/>
          <w:color w:val="000000"/>
          <w:lang w:val="en-US"/>
        </w:rPr>
        <w:t>u</w:t>
      </w:r>
      <w:r w:rsidRPr="001366B8">
        <w:rPr>
          <w:rFonts w:eastAsia="Times New Roman" w:cs="Arial"/>
          <w:color w:val="000000"/>
          <w:lang w:eastAsia="bg-BG"/>
        </w:rPr>
        <w:t>М всички жизнеспособни ембриони показват тежки морфологични аномалии. Те обаче са неспецифични.</w:t>
      </w:r>
    </w:p>
    <w:p w14:paraId="7C42FDBF" w14:textId="77777777" w:rsidR="001366B8" w:rsidRPr="001366B8" w:rsidRDefault="001366B8" w:rsidP="001366B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F0FF64" w14:textId="4A2EB0D7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i/>
          <w:iCs/>
          <w:color w:val="000000"/>
          <w:lang w:eastAsia="bg-BG"/>
        </w:rPr>
        <w:t>Фертилитет</w:t>
      </w:r>
    </w:p>
    <w:p w14:paraId="6D82B38A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A826803" w14:textId="72CAEA12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Цетнлпиридинов хлорид</w:t>
      </w:r>
    </w:p>
    <w:p w14:paraId="67DCF5E8" w14:textId="77777777" w:rsidR="001366B8" w:rsidRPr="001366B8" w:rsidRDefault="001366B8" w:rsidP="001366B8">
      <w:pPr>
        <w:spacing w:line="240" w:lineRule="auto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 xml:space="preserve">Не се наблюдават значими ефекти върху фертилитета при едно изследване на репродуктивната токсичност при 2 поколения плъхове с приложение на ЦПХ съполимер в храната в дози от 35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т.т. дневно.</w:t>
      </w:r>
    </w:p>
    <w:p w14:paraId="0BE1DC3E" w14:textId="77777777" w:rsidR="001366B8" w:rsidRPr="001366B8" w:rsidRDefault="001366B8" w:rsidP="001366B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2D2B5AD" w14:textId="2898E04E" w:rsidR="001366B8" w:rsidRPr="001366B8" w:rsidRDefault="001366B8" w:rsidP="001366B8">
      <w:pPr>
        <w:spacing w:line="240" w:lineRule="auto"/>
        <w:jc w:val="center"/>
        <w:rPr>
          <w:rFonts w:eastAsia="Times New Roman" w:cs="Arial"/>
          <w:lang w:eastAsia="bg-BG"/>
        </w:rPr>
      </w:pPr>
      <w:r w:rsidRPr="001366B8">
        <w:rPr>
          <w:rFonts w:eastAsia="Times New Roman" w:cs="Arial"/>
          <w:b/>
          <w:bCs/>
          <w:color w:val="000000"/>
          <w:lang w:eastAsia="bg-BG"/>
        </w:rPr>
        <w:t>Лидокаин</w:t>
      </w:r>
    </w:p>
    <w:p w14:paraId="13A7B62A" w14:textId="08907303" w:rsidR="007A2185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t xml:space="preserve">Лидокаин не засяга фертилитета при женски животни при прилагане под формата на непрекъсната подкожна инфузия в доза от 250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т.т. дневно. При изследването на репродуктивната токсичност, извършено при плъхове заедно с изследването за тератогенност с перорални дози от 100, 250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 xml:space="preserve">т.т (ГД 10-12) и 500 </w:t>
      </w:r>
      <w:r w:rsidRPr="001366B8">
        <w:rPr>
          <w:rFonts w:eastAsia="Times New Roman" w:cs="Arial"/>
          <w:color w:val="000000"/>
          <w:lang w:val="en-US"/>
        </w:rPr>
        <w:t xml:space="preserve">mg/kg </w:t>
      </w:r>
      <w:r w:rsidRPr="001366B8">
        <w:rPr>
          <w:rFonts w:eastAsia="Times New Roman" w:cs="Arial"/>
          <w:color w:val="000000"/>
          <w:lang w:eastAsia="bg-BG"/>
        </w:rPr>
        <w:t>т.т (ГД 3-17), не се установява ефект върху някой от показателите на репродукцията.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419CF30E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366B8">
        <w:rPr>
          <w:rFonts w:eastAsia="Times New Roman" w:cs="Arial"/>
          <w:color w:val="000000"/>
          <w:lang w:val="en-US"/>
        </w:rPr>
        <w:t>McNeil Healthcare (Ireland) Ltd.</w:t>
      </w:r>
    </w:p>
    <w:p w14:paraId="3D2526D2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1366B8">
        <w:rPr>
          <w:rFonts w:eastAsia="Times New Roman" w:cs="Arial"/>
          <w:color w:val="000000"/>
          <w:lang w:val="en-US"/>
        </w:rPr>
        <w:t>Airton</w:t>
      </w:r>
      <w:proofErr w:type="spellEnd"/>
      <w:r w:rsidRPr="001366B8">
        <w:rPr>
          <w:rFonts w:eastAsia="Times New Roman" w:cs="Arial"/>
          <w:color w:val="000000"/>
          <w:lang w:val="en-US"/>
        </w:rPr>
        <w:t xml:space="preserve"> Road, </w:t>
      </w:r>
      <w:proofErr w:type="spellStart"/>
      <w:r w:rsidRPr="001366B8">
        <w:rPr>
          <w:rFonts w:eastAsia="Times New Roman" w:cs="Arial"/>
          <w:color w:val="000000"/>
          <w:lang w:val="en-US"/>
        </w:rPr>
        <w:t>Tallaght</w:t>
      </w:r>
      <w:proofErr w:type="spellEnd"/>
    </w:p>
    <w:p w14:paraId="554F0BBF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366B8">
        <w:rPr>
          <w:rFonts w:eastAsia="Times New Roman" w:cs="Arial"/>
          <w:color w:val="000000"/>
          <w:lang w:val="en-US"/>
        </w:rPr>
        <w:t>Dublin 24</w:t>
      </w:r>
    </w:p>
    <w:p w14:paraId="4F02909F" w14:textId="548286D6" w:rsidR="007A2185" w:rsidRPr="001366B8" w:rsidRDefault="001366B8" w:rsidP="001366B8">
      <w:pPr>
        <w:rPr>
          <w:rFonts w:cs="Arial"/>
        </w:rPr>
      </w:pPr>
      <w:r w:rsidRPr="001366B8">
        <w:rPr>
          <w:rFonts w:eastAsia="Times New Roman" w:cs="Arial"/>
          <w:color w:val="000000"/>
          <w:lang w:eastAsia="bg-BG"/>
        </w:rPr>
        <w:lastRenderedPageBreak/>
        <w:t>Ирландия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0CEEE744" w:rsidR="007A2185" w:rsidRPr="001366B8" w:rsidRDefault="001366B8" w:rsidP="0091385D">
      <w:pPr>
        <w:rPr>
          <w:rFonts w:cs="Arial"/>
        </w:rPr>
      </w:pPr>
      <w:r w:rsidRPr="001366B8">
        <w:rPr>
          <w:rFonts w:cs="Arial"/>
        </w:rPr>
        <w:t>Pe</w:t>
      </w:r>
      <w:r w:rsidRPr="001366B8">
        <w:rPr>
          <w:rFonts w:cs="Arial"/>
          <w:lang w:eastAsia="bg-BG"/>
        </w:rPr>
        <w:t>г</w:t>
      </w:r>
      <w:r w:rsidRPr="001366B8">
        <w:rPr>
          <w:rFonts w:cs="Arial"/>
        </w:rPr>
        <w:t xml:space="preserve">. </w:t>
      </w:r>
      <w:r w:rsidRPr="001366B8">
        <w:rPr>
          <w:rFonts w:cs="Arial"/>
          <w:lang w:eastAsia="bg-BG"/>
        </w:rPr>
        <w:t xml:space="preserve">номер: </w:t>
      </w:r>
      <w:r w:rsidRPr="001366B8">
        <w:rPr>
          <w:rFonts w:cs="Arial"/>
        </w:rPr>
        <w:t>20011276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36484E13" w14:textId="77777777" w:rsidR="001366B8" w:rsidRPr="001366B8" w:rsidRDefault="001366B8" w:rsidP="001366B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366B8">
        <w:rPr>
          <w:rFonts w:eastAsia="Times New Roman" w:cs="Arial"/>
          <w:color w:val="000000"/>
          <w:lang w:eastAsia="bg-BG"/>
        </w:rPr>
        <w:t>Дата на първо разрешаване: 27 Декември 2001 г.</w:t>
      </w:r>
    </w:p>
    <w:p w14:paraId="6C57D8B6" w14:textId="0EE8024D" w:rsidR="007A2185" w:rsidRDefault="001366B8" w:rsidP="001366B8">
      <w:r w:rsidRPr="001366B8">
        <w:rPr>
          <w:rFonts w:eastAsia="Times New Roman" w:cs="Arial"/>
          <w:color w:val="000000"/>
          <w:lang w:eastAsia="bg-BG"/>
        </w:rPr>
        <w:t>Дата на последно подновяване: 28 Май 2012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52331FFF" w:rsidR="007A2185" w:rsidRPr="001366B8" w:rsidRDefault="001366B8" w:rsidP="0091385D">
      <w:pPr>
        <w:rPr>
          <w:rFonts w:cs="Arial"/>
        </w:rPr>
      </w:pPr>
      <w:r w:rsidRPr="001366B8">
        <w:rPr>
          <w:rFonts w:cs="Arial"/>
        </w:rPr>
        <w:t>10/2022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366B8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14171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2023-02-06T09:24:00Z</dcterms:created>
  <dcterms:modified xsi:type="dcterms:W3CDTF">2023-02-06T09:24:00Z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