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11B0849F" w:rsidR="00C40420" w:rsidRDefault="00DD466D" w:rsidP="004A448E">
      <w:pPr>
        <w:pStyle w:val="Heading1"/>
      </w:pPr>
      <w:r>
        <w:t>1.ИМЕ НА ЛЕКАРСТВЕНИЯ ПРОДУКТ</w:t>
      </w:r>
    </w:p>
    <w:p w14:paraId="3BDC868D" w14:textId="1622B14F" w:rsidR="00324FFD" w:rsidRDefault="00324FFD" w:rsidP="00324FFD"/>
    <w:p w14:paraId="302AD57E"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филмирани таблетки</w:t>
      </w:r>
    </w:p>
    <w:p w14:paraId="764D1D49"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 xml:space="preserve">CALIPRA </w:t>
      </w:r>
      <w:r w:rsidRPr="00324FFD">
        <w:rPr>
          <w:rFonts w:eastAsia="Times New Roman" w:cs="Arial"/>
          <w:color w:val="000000"/>
          <w:szCs w:val="20"/>
          <w:lang w:eastAsia="bg-BG"/>
        </w:rPr>
        <w:t xml:space="preserve">10 </w:t>
      </w:r>
      <w:r w:rsidRPr="00324FFD">
        <w:rPr>
          <w:rFonts w:eastAsia="Times New Roman" w:cs="Arial"/>
          <w:color w:val="000000"/>
          <w:szCs w:val="20"/>
          <w:lang w:val="en-US"/>
        </w:rPr>
        <w:t>mg film-coated tablets</w:t>
      </w:r>
    </w:p>
    <w:p w14:paraId="0769638C"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филмирани таблетки</w:t>
      </w:r>
    </w:p>
    <w:p w14:paraId="711CA63B"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 xml:space="preserve">CALIPRA </w:t>
      </w:r>
      <w:r w:rsidRPr="00324FFD">
        <w:rPr>
          <w:rFonts w:eastAsia="Times New Roman" w:cs="Arial"/>
          <w:color w:val="000000"/>
          <w:szCs w:val="20"/>
          <w:lang w:eastAsia="bg-BG"/>
        </w:rPr>
        <w:t xml:space="preserve">20 </w:t>
      </w:r>
      <w:r w:rsidRPr="00324FFD">
        <w:rPr>
          <w:rFonts w:eastAsia="Times New Roman" w:cs="Arial"/>
          <w:color w:val="000000"/>
          <w:szCs w:val="20"/>
          <w:lang w:val="en-US"/>
        </w:rPr>
        <w:t>mg film-coated tablets</w:t>
      </w:r>
    </w:p>
    <w:p w14:paraId="7322245C"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w:t>
      </w:r>
      <w:r w:rsidRPr="00324FFD">
        <w:rPr>
          <w:rFonts w:eastAsia="Times New Roman" w:cs="Arial"/>
          <w:color w:val="000000"/>
          <w:szCs w:val="20"/>
          <w:lang w:val="en-US"/>
        </w:rPr>
        <w:t xml:space="preserve">40 mg </w:t>
      </w:r>
      <w:r w:rsidRPr="00324FFD">
        <w:rPr>
          <w:rFonts w:eastAsia="Times New Roman" w:cs="Arial"/>
          <w:color w:val="000000"/>
          <w:szCs w:val="20"/>
          <w:lang w:eastAsia="bg-BG"/>
        </w:rPr>
        <w:t>филмирани таблетки</w:t>
      </w:r>
    </w:p>
    <w:p w14:paraId="7FD9D23B"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CALIPRA 40 mg film-coated tablets</w:t>
      </w:r>
    </w:p>
    <w:p w14:paraId="62632887"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w:t>
      </w:r>
      <w:r w:rsidRPr="00324FFD">
        <w:rPr>
          <w:rFonts w:eastAsia="Times New Roman" w:cs="Arial"/>
          <w:color w:val="000000"/>
          <w:szCs w:val="20"/>
          <w:lang w:val="en-US"/>
        </w:rPr>
        <w:t xml:space="preserve">80 mg </w:t>
      </w:r>
      <w:r w:rsidRPr="00324FFD">
        <w:rPr>
          <w:rFonts w:eastAsia="Times New Roman" w:cs="Arial"/>
          <w:color w:val="000000"/>
          <w:szCs w:val="20"/>
          <w:lang w:eastAsia="bg-BG"/>
        </w:rPr>
        <w:t>филмирани таблетки</w:t>
      </w:r>
    </w:p>
    <w:p w14:paraId="4BF8CE42" w14:textId="1116B011" w:rsidR="00324FFD" w:rsidRPr="00324FFD" w:rsidRDefault="00324FFD" w:rsidP="00324FFD">
      <w:pPr>
        <w:rPr>
          <w:rFonts w:cs="Arial"/>
          <w:sz w:val="24"/>
        </w:rPr>
      </w:pPr>
      <w:r w:rsidRPr="00324FFD">
        <w:rPr>
          <w:rFonts w:eastAsia="Times New Roman" w:cs="Arial"/>
          <w:color w:val="000000"/>
          <w:szCs w:val="20"/>
          <w:lang w:val="en-US"/>
        </w:rPr>
        <w:t>CALIPRA 80 mg film-coated tablets</w:t>
      </w:r>
    </w:p>
    <w:p w14:paraId="6920A680" w14:textId="08C50FED" w:rsidR="00C40420" w:rsidRDefault="00DD466D" w:rsidP="004A448E">
      <w:pPr>
        <w:pStyle w:val="Heading1"/>
      </w:pPr>
      <w:r>
        <w:t>2. КАЧЕСТВЕН И КОЛИЧЕСТВЕН СЪСТАВ</w:t>
      </w:r>
    </w:p>
    <w:p w14:paraId="0B00AFAC" w14:textId="34601248" w:rsidR="00324FFD" w:rsidRDefault="00324FFD" w:rsidP="00324FFD"/>
    <w:p w14:paraId="79811BA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690E3A8B"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61E8C9ED"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3A97645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470F8B85" w14:textId="77777777" w:rsidR="00324FFD" w:rsidRPr="00324FFD" w:rsidRDefault="00324FFD" w:rsidP="00324FFD">
      <w:pPr>
        <w:spacing w:line="240" w:lineRule="auto"/>
        <w:rPr>
          <w:rFonts w:eastAsia="Times New Roman" w:cs="Arial"/>
          <w:color w:val="000000"/>
          <w:szCs w:val="20"/>
          <w:u w:val="single"/>
          <w:lang w:eastAsia="bg-BG"/>
        </w:rPr>
      </w:pPr>
    </w:p>
    <w:p w14:paraId="5CF20067" w14:textId="5A0D30A2"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Помощни вещества с известно действие</w:t>
      </w:r>
      <w:r w:rsidRPr="00324FFD">
        <w:rPr>
          <w:rFonts w:eastAsia="Times New Roman" w:cs="Arial"/>
          <w:color w:val="000000"/>
          <w:szCs w:val="20"/>
          <w:lang w:eastAsia="bg-BG"/>
        </w:rPr>
        <w:t>:</w:t>
      </w:r>
    </w:p>
    <w:p w14:paraId="4EF44A64" w14:textId="77777777" w:rsidR="00324FFD" w:rsidRPr="00324FFD" w:rsidRDefault="00324FFD" w:rsidP="00324FFD">
      <w:pPr>
        <w:spacing w:line="240" w:lineRule="auto"/>
        <w:rPr>
          <w:rFonts w:eastAsia="Times New Roman" w:cs="Arial"/>
          <w:color w:val="000000"/>
          <w:szCs w:val="20"/>
          <w:lang w:eastAsia="bg-BG"/>
        </w:rPr>
      </w:pPr>
    </w:p>
    <w:p w14:paraId="4B06473C" w14:textId="3A6850E6"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45,82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4AE79E2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91,63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32AAA0A6"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183,26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56E1C46A"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366,53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248699BE" w14:textId="77777777" w:rsidR="00324FFD" w:rsidRPr="00324FFD" w:rsidRDefault="00324FFD" w:rsidP="00324FFD">
      <w:pPr>
        <w:rPr>
          <w:rFonts w:eastAsia="Times New Roman" w:cs="Arial"/>
          <w:color w:val="000000"/>
          <w:szCs w:val="20"/>
          <w:lang w:eastAsia="bg-BG"/>
        </w:rPr>
      </w:pPr>
    </w:p>
    <w:p w14:paraId="64AA21DB" w14:textId="0CD6B912" w:rsidR="00324FFD" w:rsidRPr="00324FFD" w:rsidRDefault="00324FFD" w:rsidP="00324FFD">
      <w:pPr>
        <w:rPr>
          <w:rFonts w:cs="Arial"/>
          <w:sz w:val="24"/>
        </w:rPr>
      </w:pPr>
      <w:r w:rsidRPr="00324FFD">
        <w:rPr>
          <w:rFonts w:eastAsia="Times New Roman" w:cs="Arial"/>
          <w:color w:val="000000"/>
          <w:szCs w:val="20"/>
          <w:lang w:eastAsia="bg-BG"/>
        </w:rPr>
        <w:t>За пълния списък на помощните вещества вижте точка 6.1.</w:t>
      </w:r>
    </w:p>
    <w:p w14:paraId="614984C4" w14:textId="19BDF673" w:rsidR="008A6AF2" w:rsidRDefault="00DD466D" w:rsidP="002C50EE">
      <w:pPr>
        <w:pStyle w:val="Heading1"/>
      </w:pPr>
      <w:r>
        <w:t>3. ЛЕКАРСТВЕНА ФОРМА</w:t>
      </w:r>
    </w:p>
    <w:p w14:paraId="27A468D4" w14:textId="695658B1" w:rsidR="00324FFD" w:rsidRDefault="00324FFD" w:rsidP="00324FFD"/>
    <w:p w14:paraId="167072A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Филмирана таблетка</w:t>
      </w:r>
    </w:p>
    <w:p w14:paraId="54C7C9D2" w14:textId="77777777" w:rsidR="00324FFD" w:rsidRPr="00324FFD" w:rsidRDefault="00324FFD" w:rsidP="00324FFD">
      <w:pPr>
        <w:spacing w:line="240" w:lineRule="auto"/>
        <w:rPr>
          <w:rFonts w:eastAsia="Times New Roman" w:cs="Arial"/>
          <w:color w:val="000000"/>
          <w:szCs w:val="20"/>
          <w:lang w:eastAsia="bg-BG"/>
        </w:rPr>
      </w:pPr>
    </w:p>
    <w:p w14:paraId="72EC4B49" w14:textId="0812D025"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10 от другата страна. Размерите на всяка таблетка са приблизително 7,0 </w:t>
      </w:r>
      <w:r w:rsidRPr="00324FFD">
        <w:rPr>
          <w:rFonts w:eastAsia="Times New Roman" w:cs="Arial"/>
          <w:color w:val="000000"/>
          <w:szCs w:val="20"/>
          <w:lang w:val="en-US"/>
        </w:rPr>
        <w:t>mm.</w:t>
      </w:r>
    </w:p>
    <w:p w14:paraId="6E1113B2"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20 от другата страна. Размерите на всяка таблетка са приблизително 9,0 </w:t>
      </w:r>
      <w:r w:rsidRPr="00324FFD">
        <w:rPr>
          <w:rFonts w:eastAsia="Times New Roman" w:cs="Arial"/>
          <w:color w:val="000000"/>
          <w:szCs w:val="20"/>
          <w:lang w:val="en-US"/>
        </w:rPr>
        <w:t>mm.</w:t>
      </w:r>
    </w:p>
    <w:p w14:paraId="202D8E5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40 от другата страна. Размерите на всяка таблетка са приблизително 11,0 </w:t>
      </w:r>
      <w:r w:rsidRPr="00324FFD">
        <w:rPr>
          <w:rFonts w:eastAsia="Times New Roman" w:cs="Arial"/>
          <w:color w:val="000000"/>
          <w:szCs w:val="20"/>
          <w:lang w:val="en-US"/>
        </w:rPr>
        <w:t>mm.</w:t>
      </w:r>
    </w:p>
    <w:p w14:paraId="309569AD" w14:textId="6E53E2BD" w:rsidR="00324FFD" w:rsidRDefault="00324FFD" w:rsidP="00324FFD">
      <w:pPr>
        <w:rPr>
          <w:rFonts w:eastAsia="Times New Roman" w:cs="Arial"/>
          <w:color w:val="000000"/>
          <w:szCs w:val="20"/>
          <w:lang w:val="en-US"/>
        </w:rPr>
      </w:pPr>
      <w:r w:rsidRPr="00324FFD">
        <w:rPr>
          <w:rFonts w:eastAsia="Times New Roman" w:cs="Arial"/>
          <w:color w:val="000000"/>
          <w:szCs w:val="20"/>
          <w:lang w:eastAsia="bg-BG"/>
        </w:rPr>
        <w:lastRenderedPageBreak/>
        <w:t xml:space="preserve">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Калипра филмирани таблетки са бели, продълговати, двойноизпъкнали таблетки с делител на черта от едната страна и надпис 80 от другата страна. Размерите на всяка</w:t>
      </w:r>
      <w:r w:rsidRPr="00324FFD">
        <w:rPr>
          <w:rFonts w:eastAsia="Times New Roman" w:cs="Arial"/>
          <w:i/>
          <w:iCs/>
          <w:color w:val="000000"/>
          <w:szCs w:val="20"/>
          <w:lang w:eastAsia="bg-BG"/>
        </w:rPr>
        <w:t xml:space="preserve"> </w:t>
      </w:r>
      <w:r w:rsidRPr="00324FFD">
        <w:rPr>
          <w:rFonts w:eastAsia="Times New Roman" w:cs="Arial"/>
          <w:color w:val="000000"/>
          <w:szCs w:val="20"/>
          <w:lang w:eastAsia="bg-BG"/>
        </w:rPr>
        <w:t xml:space="preserve">таблетка са приблизително 20,0 </w:t>
      </w:r>
      <w:r w:rsidRPr="00324FFD">
        <w:rPr>
          <w:rFonts w:eastAsia="Times New Roman" w:cs="Arial"/>
          <w:color w:val="000000"/>
          <w:szCs w:val="20"/>
          <w:lang w:val="en-US"/>
        </w:rPr>
        <w:t xml:space="preserve">mm </w:t>
      </w:r>
      <w:r w:rsidRPr="00324FFD">
        <w:rPr>
          <w:rFonts w:eastAsia="Times New Roman" w:cs="Arial"/>
          <w:color w:val="000000"/>
          <w:szCs w:val="20"/>
          <w:lang w:eastAsia="bg-BG"/>
        </w:rPr>
        <w:t xml:space="preserve">х 8,0 </w:t>
      </w:r>
      <w:r w:rsidRPr="00324FFD">
        <w:rPr>
          <w:rFonts w:eastAsia="Times New Roman" w:cs="Arial"/>
          <w:color w:val="000000"/>
          <w:szCs w:val="20"/>
          <w:lang w:val="en-US"/>
        </w:rPr>
        <w:t>mm.</w:t>
      </w:r>
    </w:p>
    <w:p w14:paraId="232E63E0" w14:textId="45BA3B8D" w:rsidR="00324FFD" w:rsidRDefault="00324FFD" w:rsidP="00324FFD">
      <w:pPr>
        <w:rPr>
          <w:rFonts w:eastAsia="Times New Roman" w:cs="Arial"/>
          <w:color w:val="000000"/>
          <w:szCs w:val="20"/>
          <w:lang w:val="en-US"/>
        </w:rPr>
      </w:pPr>
    </w:p>
    <w:p w14:paraId="5E0922B1" w14:textId="760685E9" w:rsidR="00324FFD" w:rsidRPr="00324FFD" w:rsidRDefault="00324FFD" w:rsidP="00324FFD">
      <w:pPr>
        <w:rPr>
          <w:rFonts w:cs="Arial"/>
          <w:sz w:val="28"/>
        </w:rPr>
      </w:pPr>
      <w:r w:rsidRPr="00324FFD">
        <w:rPr>
          <w:szCs w:val="20"/>
        </w:rPr>
        <w:t>Таблетката може да бъде разделена на равни дози.</w:t>
      </w:r>
    </w:p>
    <w:p w14:paraId="490FC2C4" w14:textId="734C2F1B" w:rsidR="002C50EE" w:rsidRDefault="002C50EE" w:rsidP="002C50EE">
      <w:pPr>
        <w:pStyle w:val="Heading1"/>
      </w:pPr>
      <w:r>
        <w:t>4. КЛИНИЧНИ ДАННИ</w:t>
      </w:r>
    </w:p>
    <w:p w14:paraId="0C8E6903" w14:textId="38092F39" w:rsidR="008134C8" w:rsidRDefault="002C50EE" w:rsidP="004A448E">
      <w:pPr>
        <w:pStyle w:val="Heading2"/>
      </w:pPr>
      <w:r>
        <w:t>4.1. Терапевтични показания</w:t>
      </w:r>
    </w:p>
    <w:p w14:paraId="2AE04F3D" w14:textId="77777777" w:rsidR="00324FFD" w:rsidRDefault="00324FFD" w:rsidP="00324FFD">
      <w:pPr>
        <w:spacing w:line="240" w:lineRule="auto"/>
        <w:rPr>
          <w:rFonts w:ascii="Times New Roman" w:eastAsia="Times New Roman" w:hAnsi="Times New Roman" w:cs="Times New Roman"/>
          <w:color w:val="000000"/>
          <w:sz w:val="20"/>
          <w:szCs w:val="20"/>
          <w:u w:val="single"/>
          <w:lang w:eastAsia="bg-BG"/>
        </w:rPr>
      </w:pPr>
    </w:p>
    <w:p w14:paraId="41826732" w14:textId="411A594A"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Хиперхолестеролемия</w:t>
      </w:r>
    </w:p>
    <w:p w14:paraId="06C92C4F" w14:textId="77777777" w:rsidR="00324FFD" w:rsidRPr="00324FFD" w:rsidRDefault="00324FFD" w:rsidP="00324FFD">
      <w:pPr>
        <w:spacing w:line="240" w:lineRule="auto"/>
        <w:rPr>
          <w:rFonts w:eastAsia="Times New Roman" w:cs="Arial"/>
          <w:color w:val="000000"/>
          <w:szCs w:val="20"/>
          <w:lang w:eastAsia="bg-BG"/>
        </w:rPr>
      </w:pPr>
    </w:p>
    <w:p w14:paraId="42BDC361" w14:textId="4FFF0E01"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Калипра е показан като допълнение към диета за намаляване на повишения общ холестерол (общ-С), </w:t>
      </w:r>
      <w:r w:rsidRPr="00324FFD">
        <w:rPr>
          <w:rFonts w:eastAsia="Times New Roman" w:cs="Arial"/>
          <w:color w:val="000000"/>
          <w:szCs w:val="20"/>
          <w:lang w:val="en-US"/>
        </w:rPr>
        <w:t>LDL</w:t>
      </w:r>
      <w:r w:rsidRPr="00324FFD">
        <w:rPr>
          <w:rFonts w:eastAsia="Times New Roman" w:cs="Arial"/>
          <w:color w:val="000000"/>
          <w:szCs w:val="20"/>
          <w:lang w:eastAsia="bg-BG"/>
        </w:rPr>
        <w:t xml:space="preserve">-холестерола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 xml:space="preserve">аполипопротеин В и триглицеридите при възрастни, юноши и деца на възраст 10 години или по-възрастни с първична хиперхолестеролемия, включително фамилна хиперхолестеролемия (хетерозиготен вариант) или комбинирана (смесена) хиперлипидемия (съответстващи на тип </w:t>
      </w:r>
      <w:r w:rsidRPr="00324FFD">
        <w:rPr>
          <w:rFonts w:ascii="MS Gothic" w:eastAsia="MS Gothic" w:hAnsi="MS Gothic" w:cs="MS Gothic" w:hint="eastAsia"/>
          <w:color w:val="000000"/>
          <w:szCs w:val="20"/>
          <w:lang w:eastAsia="bg-BG"/>
        </w:rPr>
        <w:t>Ⅱ</w:t>
      </w:r>
      <w:r w:rsidRPr="00324FFD">
        <w:rPr>
          <w:rFonts w:eastAsia="Times New Roman" w:cs="Arial"/>
          <w:color w:val="000000"/>
          <w:szCs w:val="20"/>
          <w:lang w:val="en-US"/>
        </w:rPr>
        <w:t xml:space="preserve">a </w:t>
      </w:r>
      <w:r w:rsidRPr="00324FFD">
        <w:rPr>
          <w:rFonts w:eastAsia="Times New Roman" w:cs="Arial"/>
          <w:color w:val="000000"/>
          <w:szCs w:val="20"/>
          <w:lang w:eastAsia="bg-BG"/>
        </w:rPr>
        <w:t xml:space="preserve">и </w:t>
      </w:r>
      <w:r w:rsidRPr="00324FFD">
        <w:rPr>
          <w:rFonts w:ascii="MS Gothic" w:eastAsia="MS Gothic" w:hAnsi="MS Gothic" w:cs="MS Gothic" w:hint="eastAsia"/>
          <w:color w:val="000000"/>
          <w:szCs w:val="20"/>
          <w:lang w:eastAsia="bg-BG"/>
        </w:rPr>
        <w:t>Ⅱ</w:t>
      </w:r>
      <w:r w:rsidRPr="00324FFD">
        <w:rPr>
          <w:rFonts w:eastAsia="Times New Roman" w:cs="Arial"/>
          <w:color w:val="000000"/>
          <w:szCs w:val="20"/>
          <w:lang w:val="en-US"/>
        </w:rPr>
        <w:t xml:space="preserve">b </w:t>
      </w:r>
      <w:r w:rsidRPr="00324FFD">
        <w:rPr>
          <w:rFonts w:eastAsia="Times New Roman" w:cs="Arial"/>
          <w:color w:val="000000"/>
          <w:szCs w:val="20"/>
          <w:lang w:eastAsia="bg-BG"/>
        </w:rPr>
        <w:t>по класификацията на Фредриксон), когато ефектът на диетата и другите нефармакологични методи е недостатъчен.</w:t>
      </w:r>
    </w:p>
    <w:p w14:paraId="04FD2E6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Калипра също е показан за намаляване на общия холестерол и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 xml:space="preserve">при възрастни пациенти с хомозиготна фамилна хиперхолестеролемия като допълнение към друго липидопонижаващо лечение (напр. </w:t>
      </w:r>
      <w:r w:rsidRPr="00324FFD">
        <w:rPr>
          <w:rFonts w:eastAsia="Times New Roman" w:cs="Arial"/>
          <w:color w:val="000000"/>
          <w:szCs w:val="20"/>
          <w:lang w:val="en-US"/>
        </w:rPr>
        <w:t xml:space="preserve">LDL </w:t>
      </w:r>
      <w:r w:rsidRPr="00324FFD">
        <w:rPr>
          <w:rFonts w:eastAsia="Times New Roman" w:cs="Arial"/>
          <w:color w:val="000000"/>
          <w:szCs w:val="20"/>
          <w:lang w:eastAsia="bg-BG"/>
        </w:rPr>
        <w:t>афереза) или ако няма възможност за такова лечение.</w:t>
      </w:r>
    </w:p>
    <w:p w14:paraId="470B6573" w14:textId="77777777" w:rsidR="00324FFD" w:rsidRPr="00324FFD" w:rsidRDefault="00324FFD" w:rsidP="00324FFD">
      <w:pPr>
        <w:spacing w:line="240" w:lineRule="auto"/>
        <w:rPr>
          <w:rFonts w:eastAsia="Times New Roman" w:cs="Arial"/>
          <w:color w:val="000000"/>
          <w:szCs w:val="20"/>
          <w:u w:val="single"/>
          <w:lang w:eastAsia="bg-BG"/>
        </w:rPr>
      </w:pPr>
    </w:p>
    <w:p w14:paraId="7FE9771C" w14:textId="6EB5946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Профилактика на сърдечно-съдово заболяване</w:t>
      </w:r>
    </w:p>
    <w:p w14:paraId="425023F7" w14:textId="3A8B63A2" w:rsidR="00324FFD" w:rsidRPr="00324FFD" w:rsidRDefault="00324FFD" w:rsidP="00324FFD">
      <w:pPr>
        <w:rPr>
          <w:rFonts w:cs="Arial"/>
          <w:sz w:val="24"/>
        </w:rPr>
      </w:pPr>
      <w:r w:rsidRPr="00324FFD">
        <w:rPr>
          <w:rFonts w:eastAsia="Times New Roman" w:cs="Arial"/>
          <w:color w:val="000000"/>
          <w:szCs w:val="20"/>
          <w:lang w:eastAsia="bg-BG"/>
        </w:rPr>
        <w:t>Профилактика на сърдечно-съдови инциденти при възрастни пациенти, при които е установен висок риск за първи сърдечно-съдов инцидент (вж. точка 5.1), като допълнение към корекцията на други рискови фактори.</w:t>
      </w:r>
    </w:p>
    <w:p w14:paraId="3AE495CE" w14:textId="77777777" w:rsidR="00324FFD" w:rsidRPr="00324FFD" w:rsidRDefault="00324FFD" w:rsidP="00324FFD"/>
    <w:p w14:paraId="30BE2C7B" w14:textId="7A4CAB74" w:rsidR="008134C8" w:rsidRDefault="002C50EE" w:rsidP="004A448E">
      <w:pPr>
        <w:pStyle w:val="Heading2"/>
      </w:pPr>
      <w:r>
        <w:t>4.2. Дозировка и начин на приложение</w:t>
      </w:r>
    </w:p>
    <w:p w14:paraId="6A5A683D" w14:textId="295DE9F7" w:rsidR="00324FFD" w:rsidRDefault="00324FFD" w:rsidP="00324FFD"/>
    <w:p w14:paraId="4410E66B" w14:textId="77777777" w:rsidR="00324FFD" w:rsidRPr="00324FFD" w:rsidRDefault="00324FFD" w:rsidP="00324FFD">
      <w:pPr>
        <w:pStyle w:val="Heading3"/>
        <w:rPr>
          <w:rFonts w:eastAsia="Times New Roman"/>
          <w:sz w:val="28"/>
          <w:u w:val="single"/>
          <w:lang w:eastAsia="bg-BG"/>
        </w:rPr>
      </w:pPr>
      <w:r w:rsidRPr="00324FFD">
        <w:rPr>
          <w:rFonts w:eastAsia="Times New Roman"/>
          <w:u w:val="single"/>
          <w:lang w:eastAsia="bg-BG"/>
        </w:rPr>
        <w:t>Дозировка</w:t>
      </w:r>
    </w:p>
    <w:p w14:paraId="5764634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Преди началото на лечение с Калипра, пациентът трябва да бъде поставен на стандартна холестерол-понижаваща диета, която той трябва да продължи да спазва и по време на лечението с Калипра.</w:t>
      </w:r>
    </w:p>
    <w:p w14:paraId="41423EF0"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Дозата трябва да се определя индивидуално в зависимост от изходните нива на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целите на лечението и клиничния отговор на пациента.</w:t>
      </w:r>
    </w:p>
    <w:p w14:paraId="25755F58"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Обичайната начална доза е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веднъж дневно. Корекция на дозата се извършва през интервали от 4 или повече седмици. Максималната доза е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веднъж дневно.</w:t>
      </w:r>
    </w:p>
    <w:p w14:paraId="47CB3964" w14:textId="77777777" w:rsidR="00324FFD" w:rsidRPr="00324FFD" w:rsidRDefault="00324FFD" w:rsidP="00324FFD">
      <w:pPr>
        <w:spacing w:line="240" w:lineRule="auto"/>
        <w:rPr>
          <w:rFonts w:eastAsia="Times New Roman" w:cs="Arial"/>
          <w:i/>
          <w:iCs/>
          <w:color w:val="000000"/>
          <w:szCs w:val="20"/>
          <w:lang w:eastAsia="bg-BG"/>
        </w:rPr>
      </w:pPr>
    </w:p>
    <w:p w14:paraId="22D78ADD" w14:textId="41F0A3DD"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Първична хиперхолестеролемия и комбинирана (смесена) хиперлипидемия</w:t>
      </w:r>
    </w:p>
    <w:p w14:paraId="41F6F63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Повечето пациенти се повлияват успешно с 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един път дневно. Терапевтичен отговор се проявява в рамките на 2 седмици, а максимален терапевтичен отговор обикновено се постига в рамките на 4 седмици. Ефектът се поддържа по време на продължително лечение.</w:t>
      </w:r>
    </w:p>
    <w:p w14:paraId="02B5D806" w14:textId="77777777" w:rsidR="00324FFD" w:rsidRPr="00324FFD" w:rsidRDefault="00324FFD" w:rsidP="00324FFD">
      <w:pPr>
        <w:spacing w:line="240" w:lineRule="auto"/>
        <w:rPr>
          <w:rFonts w:eastAsia="Times New Roman" w:cs="Arial"/>
          <w:i/>
          <w:iCs/>
          <w:color w:val="000000"/>
          <w:szCs w:val="20"/>
          <w:lang w:eastAsia="bg-BG"/>
        </w:rPr>
      </w:pPr>
    </w:p>
    <w:p w14:paraId="3A512D3F" w14:textId="5A657E94"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Хетерозиготна фамилна хиперхолестеролемия</w:t>
      </w:r>
    </w:p>
    <w:p w14:paraId="57418E5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Лечението трябва да започне с Калипра </w:t>
      </w:r>
      <w:r w:rsidRPr="00324FFD">
        <w:rPr>
          <w:rFonts w:eastAsia="Times New Roman" w:cs="Arial"/>
          <w:i/>
          <w:iCs/>
          <w:color w:val="000000"/>
          <w:szCs w:val="20"/>
          <w:lang w:eastAsia="bg-BG"/>
        </w:rPr>
        <w:t xml:space="preserve">10 </w:t>
      </w:r>
      <w:r w:rsidRPr="00324FFD">
        <w:rPr>
          <w:rFonts w:eastAsia="Times New Roman" w:cs="Arial"/>
          <w:i/>
          <w:iCs/>
          <w:color w:val="000000"/>
          <w:szCs w:val="20"/>
          <w:lang w:val="en-US"/>
        </w:rPr>
        <w:t xml:space="preserve">mg </w:t>
      </w:r>
      <w:r w:rsidRPr="00324FFD">
        <w:rPr>
          <w:rFonts w:eastAsia="Times New Roman" w:cs="Arial"/>
          <w:i/>
          <w:iCs/>
          <w:color w:val="000000"/>
          <w:szCs w:val="20"/>
          <w:lang w:eastAsia="bg-BG"/>
        </w:rPr>
        <w:t>дневно.</w:t>
      </w:r>
      <w:r w:rsidRPr="00324FFD">
        <w:rPr>
          <w:rFonts w:eastAsia="Times New Roman" w:cs="Arial"/>
          <w:color w:val="000000"/>
          <w:szCs w:val="20"/>
          <w:lang w:eastAsia="bg-BG"/>
        </w:rPr>
        <w:t xml:space="preserve"> Дозите трябва да се преценят индивидуално и да се коригират на всеки 4 седмици до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дневно. След това дозата </w:t>
      </w:r>
      <w:r w:rsidRPr="00324FFD">
        <w:rPr>
          <w:rFonts w:eastAsia="Times New Roman" w:cs="Arial"/>
          <w:color w:val="000000"/>
          <w:szCs w:val="20"/>
          <w:lang w:eastAsia="bg-BG"/>
        </w:rPr>
        <w:lastRenderedPageBreak/>
        <w:t xml:space="preserve">може или да бъде повишена до максимална дневна доза от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или да се прилага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аторвастатин в комбинация със секвестрант на жлъчните киселини веднъж дневно.</w:t>
      </w:r>
    </w:p>
    <w:p w14:paraId="7D3EE960" w14:textId="77777777" w:rsidR="00324FFD" w:rsidRPr="00324FFD" w:rsidRDefault="00324FFD" w:rsidP="00324FFD">
      <w:pPr>
        <w:spacing w:line="240" w:lineRule="auto"/>
        <w:rPr>
          <w:rFonts w:eastAsia="Times New Roman" w:cs="Arial"/>
          <w:i/>
          <w:iCs/>
          <w:color w:val="000000"/>
          <w:szCs w:val="20"/>
          <w:lang w:eastAsia="bg-BG"/>
        </w:rPr>
      </w:pPr>
    </w:p>
    <w:p w14:paraId="08FFAD1B" w14:textId="152D1302"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Хомозиготна фамилна хиперхолестеролемия</w:t>
      </w:r>
    </w:p>
    <w:p w14:paraId="12E58199" w14:textId="0B0031C0"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На разположение са само ограничени данни (вж. точка 5.1).</w:t>
      </w:r>
    </w:p>
    <w:p w14:paraId="218143C1" w14:textId="77111502" w:rsidR="00324FFD" w:rsidRDefault="00324FFD" w:rsidP="00324FFD">
      <w:pPr>
        <w:rPr>
          <w:rFonts w:eastAsia="Times New Roman" w:cs="Arial"/>
          <w:color w:val="000000"/>
          <w:szCs w:val="20"/>
          <w:lang w:eastAsia="bg-BG"/>
        </w:rPr>
      </w:pPr>
    </w:p>
    <w:p w14:paraId="08C854B1"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Дозата на аторвастатин при пациенти с хомозиготна фамилна хиперхолестеролемия е от 10 до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дневно (вж. точка 5.1). Аторвастатин трябва да се използва като допълнение към друго лечение за понижаване на липидите (напр. </w:t>
      </w:r>
      <w:r w:rsidRPr="00324FFD">
        <w:rPr>
          <w:rFonts w:eastAsia="Times New Roman" w:cs="Arial"/>
          <w:color w:val="000000"/>
          <w:szCs w:val="20"/>
          <w:lang w:val="en-US"/>
        </w:rPr>
        <w:t xml:space="preserve">LDL </w:t>
      </w:r>
      <w:r w:rsidRPr="00324FFD">
        <w:rPr>
          <w:rFonts w:eastAsia="Times New Roman" w:cs="Arial"/>
          <w:color w:val="000000"/>
          <w:szCs w:val="20"/>
          <w:lang w:eastAsia="bg-BG"/>
        </w:rPr>
        <w:t>афереза) при тези пациенти или ако няма възможност за такова лечение.</w:t>
      </w:r>
    </w:p>
    <w:p w14:paraId="204CA343" w14:textId="77777777" w:rsidR="00324FFD" w:rsidRPr="00324FFD" w:rsidRDefault="00324FFD" w:rsidP="00324FFD">
      <w:pPr>
        <w:spacing w:line="240" w:lineRule="auto"/>
        <w:rPr>
          <w:rFonts w:eastAsia="Times New Roman" w:cs="Arial"/>
          <w:i/>
          <w:iCs/>
          <w:color w:val="000000"/>
          <w:szCs w:val="20"/>
          <w:lang w:eastAsia="bg-BG"/>
        </w:rPr>
      </w:pPr>
    </w:p>
    <w:p w14:paraId="0865AC9F" w14:textId="13939876"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Профилактика на сърдечно-съдово заболяване</w:t>
      </w:r>
    </w:p>
    <w:p w14:paraId="3F9C0A95"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 проучванията за първична профилактика дозата е 10 </w:t>
      </w:r>
      <w:r w:rsidRPr="00324FFD">
        <w:rPr>
          <w:rFonts w:eastAsia="Times New Roman" w:cs="Arial"/>
          <w:color w:val="000000"/>
          <w:szCs w:val="20"/>
          <w:lang w:val="en-US"/>
        </w:rPr>
        <w:t>mg</w:t>
      </w:r>
      <w:r w:rsidRPr="00324FFD">
        <w:rPr>
          <w:rFonts w:eastAsia="Times New Roman" w:cs="Arial"/>
          <w:color w:val="000000"/>
          <w:szCs w:val="20"/>
          <w:lang w:eastAsia="bg-BG"/>
        </w:rPr>
        <w:t xml:space="preserve">/ден. Може да са необходими по- високи дози, за да се постигнат нива на </w:t>
      </w:r>
      <w:r w:rsidRPr="00324FFD">
        <w:rPr>
          <w:rFonts w:eastAsia="Times New Roman" w:cs="Arial"/>
          <w:color w:val="000000"/>
          <w:szCs w:val="20"/>
          <w:lang w:val="en-US"/>
        </w:rPr>
        <w:t xml:space="preserve">(LDL-) </w:t>
      </w:r>
      <w:r w:rsidRPr="00324FFD">
        <w:rPr>
          <w:rFonts w:eastAsia="Times New Roman" w:cs="Arial"/>
          <w:color w:val="000000"/>
          <w:szCs w:val="20"/>
          <w:lang w:eastAsia="bg-BG"/>
        </w:rPr>
        <w:t>холестерол в съответствие с настоящите насоки.</w:t>
      </w:r>
    </w:p>
    <w:p w14:paraId="624FECF4" w14:textId="77777777" w:rsidR="00324FFD" w:rsidRPr="00324FFD" w:rsidRDefault="00324FFD" w:rsidP="00324FFD">
      <w:pPr>
        <w:spacing w:line="240" w:lineRule="auto"/>
        <w:rPr>
          <w:rFonts w:eastAsia="Times New Roman" w:cs="Arial"/>
          <w:i/>
          <w:iCs/>
          <w:color w:val="000000"/>
          <w:szCs w:val="20"/>
          <w:lang w:eastAsia="bg-BG"/>
        </w:rPr>
      </w:pPr>
    </w:p>
    <w:p w14:paraId="604EC028" w14:textId="37200440"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Едновременно приложение с други лекарствени продукти</w:t>
      </w:r>
    </w:p>
    <w:p w14:paraId="482EAA0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При пациенти, приемащи антивирусни средства за лечение на хепатит С като елбасвир/гразопревир или летермовир за профилактика на цитомегаловирусна инфекция, съпътстващо с аторвастатин, дозата на аторвастатин не трябва да превишава 20 </w:t>
      </w:r>
      <w:r w:rsidRPr="00324FFD">
        <w:rPr>
          <w:rFonts w:eastAsia="Times New Roman" w:cs="Arial"/>
          <w:color w:val="000000"/>
          <w:szCs w:val="20"/>
          <w:lang w:val="en-US"/>
        </w:rPr>
        <w:t>mg</w:t>
      </w:r>
      <w:r w:rsidRPr="00324FFD">
        <w:rPr>
          <w:rFonts w:eastAsia="Times New Roman" w:cs="Arial"/>
          <w:color w:val="000000"/>
          <w:szCs w:val="20"/>
          <w:lang w:eastAsia="bg-BG"/>
        </w:rPr>
        <w:t>/ден (вж. точки 4.4 и 4.5).</w:t>
      </w:r>
    </w:p>
    <w:p w14:paraId="413EA7AA"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Не се препоръчва употребата на аторвастатин при пациенти приемащи едновременно летермовир и циклоспорин (вж. точки 4.4. и 4.5).</w:t>
      </w:r>
    </w:p>
    <w:p w14:paraId="1CBBD574" w14:textId="77777777" w:rsidR="00324FFD" w:rsidRPr="00324FFD" w:rsidRDefault="00324FFD" w:rsidP="00324FFD">
      <w:pPr>
        <w:spacing w:line="240" w:lineRule="auto"/>
        <w:rPr>
          <w:rFonts w:eastAsia="Times New Roman" w:cs="Arial"/>
          <w:i/>
          <w:iCs/>
          <w:color w:val="000000"/>
          <w:szCs w:val="20"/>
          <w:lang w:eastAsia="bg-BG"/>
        </w:rPr>
      </w:pPr>
    </w:p>
    <w:p w14:paraId="1BB2F0AA" w14:textId="2F424773"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Бъбречно увреждане</w:t>
      </w:r>
    </w:p>
    <w:p w14:paraId="3AC75D4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Не се налага корекция на дозата (вж. точка 4.4).</w:t>
      </w:r>
    </w:p>
    <w:p w14:paraId="1712ED39" w14:textId="77777777" w:rsidR="00324FFD" w:rsidRPr="00324FFD" w:rsidRDefault="00324FFD" w:rsidP="00324FFD">
      <w:pPr>
        <w:spacing w:line="240" w:lineRule="auto"/>
        <w:rPr>
          <w:rFonts w:eastAsia="Times New Roman" w:cs="Arial"/>
          <w:i/>
          <w:iCs/>
          <w:color w:val="000000"/>
          <w:szCs w:val="20"/>
          <w:lang w:eastAsia="bg-BG"/>
        </w:rPr>
      </w:pPr>
    </w:p>
    <w:p w14:paraId="0D537858" w14:textId="6CF89256"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Чернодробно увреждане</w:t>
      </w:r>
    </w:p>
    <w:p w14:paraId="563C76D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трябва да се използва с повишено внимание при пациенти с чернодробно увреждане (вж. точки 4.4 и 5.2). Калипра е противопоказан при пациенти с активно чернодробно заболяване (вж. точка 4.3).</w:t>
      </w:r>
    </w:p>
    <w:p w14:paraId="0438E7B7" w14:textId="77777777" w:rsidR="00324FFD" w:rsidRPr="00324FFD" w:rsidRDefault="00324FFD" w:rsidP="00324FFD">
      <w:pPr>
        <w:spacing w:line="240" w:lineRule="auto"/>
        <w:rPr>
          <w:rFonts w:eastAsia="Times New Roman" w:cs="Arial"/>
          <w:i/>
          <w:iCs/>
          <w:color w:val="000000"/>
          <w:szCs w:val="20"/>
          <w:lang w:eastAsia="bg-BG"/>
        </w:rPr>
      </w:pPr>
    </w:p>
    <w:p w14:paraId="68A93DF9" w14:textId="4C236079"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Старческа възраст</w:t>
      </w:r>
    </w:p>
    <w:p w14:paraId="655FDC05" w14:textId="1C8AB6D4"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Ефикасността и безопасността при пациенти на възраст над 70 години, приемащи препоръчителните дози, са сходни с тези, наблюдавани в общата популация.</w:t>
      </w:r>
    </w:p>
    <w:p w14:paraId="109497EB" w14:textId="2F94CEFD" w:rsidR="00324FFD" w:rsidRDefault="00324FFD" w:rsidP="00324FFD">
      <w:pPr>
        <w:rPr>
          <w:rFonts w:eastAsia="Times New Roman" w:cs="Arial"/>
          <w:color w:val="000000"/>
          <w:szCs w:val="20"/>
          <w:lang w:eastAsia="bg-BG"/>
        </w:rPr>
      </w:pPr>
    </w:p>
    <w:p w14:paraId="096B48D2" w14:textId="77777777" w:rsidR="00324FFD" w:rsidRPr="00324FFD" w:rsidRDefault="00324FFD" w:rsidP="00324FFD">
      <w:pPr>
        <w:rPr>
          <w:sz w:val="24"/>
        </w:rPr>
      </w:pPr>
      <w:r w:rsidRPr="00324FFD">
        <w:rPr>
          <w:i/>
          <w:iCs/>
          <w:szCs w:val="20"/>
        </w:rPr>
        <w:t>Педиатрична популация</w:t>
      </w:r>
    </w:p>
    <w:p w14:paraId="73D54DFE" w14:textId="77777777" w:rsidR="00324FFD" w:rsidRPr="00324FFD" w:rsidRDefault="00324FFD" w:rsidP="00324FFD">
      <w:pPr>
        <w:rPr>
          <w:sz w:val="24"/>
        </w:rPr>
      </w:pPr>
      <w:r w:rsidRPr="00324FFD">
        <w:rPr>
          <w:i/>
          <w:iCs/>
          <w:szCs w:val="20"/>
        </w:rPr>
        <w:t>Хиперхолестеролемия:</w:t>
      </w:r>
    </w:p>
    <w:p w14:paraId="591E01D5" w14:textId="77777777" w:rsidR="00324FFD" w:rsidRPr="00324FFD" w:rsidRDefault="00324FFD" w:rsidP="00324FFD">
      <w:pPr>
        <w:rPr>
          <w:sz w:val="24"/>
        </w:rPr>
      </w:pPr>
      <w:r w:rsidRPr="00324FFD">
        <w:rPr>
          <w:szCs w:val="20"/>
        </w:rPr>
        <w:t>Педиатрична употреба трябва да се извършва само от лекари с опит в лечението на педиатрични пациенти с хиперлипидемия и пациентите трябва да бъдат оценявани редовно за оценка на напредъка.</w:t>
      </w:r>
    </w:p>
    <w:p w14:paraId="6F392C41" w14:textId="77777777" w:rsidR="00324FFD" w:rsidRPr="00324FFD" w:rsidRDefault="00324FFD" w:rsidP="00324FFD">
      <w:pPr>
        <w:rPr>
          <w:sz w:val="24"/>
        </w:rPr>
      </w:pPr>
      <w:r w:rsidRPr="00324FFD">
        <w:rPr>
          <w:szCs w:val="20"/>
        </w:rPr>
        <w:t xml:space="preserve">За пациенти с хетерозиготна фамилна хиперхолестеролемия на възраст 10 и повече години, препоръчителната начална доза аторвастатин е 10 </w:t>
      </w:r>
      <w:r w:rsidRPr="00324FFD">
        <w:rPr>
          <w:szCs w:val="20"/>
          <w:lang w:val="en-US"/>
        </w:rPr>
        <w:t xml:space="preserve">mg </w:t>
      </w:r>
      <w:r w:rsidRPr="00324FFD">
        <w:rPr>
          <w:szCs w:val="20"/>
        </w:rPr>
        <w:t xml:space="preserve">на ден (вижте точка 5.1). Дозата може да се увеличи до 80 </w:t>
      </w:r>
      <w:r w:rsidRPr="00324FFD">
        <w:rPr>
          <w:szCs w:val="20"/>
          <w:lang w:val="en-US"/>
        </w:rPr>
        <w:t xml:space="preserve">mg </w:t>
      </w:r>
      <w:r w:rsidRPr="00324FFD">
        <w:rPr>
          <w:szCs w:val="20"/>
        </w:rPr>
        <w:t xml:space="preserve">дневно, в зависимост от отговора и поносимостта. Дозите трябва да бъдат индивидуализирани според препоръчаната цел на лечението. Корекции на дозите би трябвало да се правят през интервали от 4 седмици или повече. Титрирането на дозата до 80 </w:t>
      </w:r>
      <w:r w:rsidRPr="00324FFD">
        <w:rPr>
          <w:szCs w:val="20"/>
          <w:lang w:val="en-US"/>
        </w:rPr>
        <w:t xml:space="preserve">mg </w:t>
      </w:r>
      <w:r w:rsidRPr="00324FFD">
        <w:rPr>
          <w:szCs w:val="20"/>
        </w:rPr>
        <w:t>дневно е подкрепено с данни от проучвания при възрастни и с ограничени клинични данни от проучвания при деца с Хетерозиготна фамилна хиперхолестеролемия (вижте точки 4.8 и 5.1).</w:t>
      </w:r>
    </w:p>
    <w:p w14:paraId="7F63BEAF" w14:textId="77777777" w:rsidR="00324FFD" w:rsidRPr="00324FFD" w:rsidRDefault="00324FFD" w:rsidP="00324FFD">
      <w:pPr>
        <w:rPr>
          <w:sz w:val="24"/>
        </w:rPr>
      </w:pPr>
      <w:r w:rsidRPr="00324FFD">
        <w:rPr>
          <w:szCs w:val="20"/>
        </w:rPr>
        <w:lastRenderedPageBreak/>
        <w:t>Налични са ограничени данни относно безопасността и ефикасността на аторвастатин при деца с Хетерозиготна фамилна хиперхолестеролемия на възраст между 6 и 10 години, произлязли от отворени проучвания. Аторвастатин не е показан за лечение на пациенти на възраст под 10 години. Наличните в момента, данни, са описани в точките 4.8, 5.1 и 5.2, но не може да се направи препоръка относно дозировката.</w:t>
      </w:r>
    </w:p>
    <w:p w14:paraId="30973031" w14:textId="77777777" w:rsidR="00324FFD" w:rsidRPr="00324FFD" w:rsidRDefault="00324FFD" w:rsidP="00324FFD">
      <w:pPr>
        <w:rPr>
          <w:sz w:val="24"/>
        </w:rPr>
      </w:pPr>
      <w:r w:rsidRPr="00324FFD">
        <w:rPr>
          <w:szCs w:val="20"/>
        </w:rPr>
        <w:t>Други лекарствени форми/концентрации може да са по-подходящи за тази популация.</w:t>
      </w:r>
    </w:p>
    <w:p w14:paraId="4B75C49D" w14:textId="77777777" w:rsidR="00324FFD" w:rsidRPr="00324FFD" w:rsidRDefault="00324FFD" w:rsidP="00324FFD">
      <w:pPr>
        <w:rPr>
          <w:szCs w:val="20"/>
          <w:u w:val="single"/>
        </w:rPr>
      </w:pPr>
    </w:p>
    <w:p w14:paraId="3320A1F1" w14:textId="183F3234" w:rsidR="00324FFD" w:rsidRPr="00324FFD" w:rsidRDefault="00324FFD" w:rsidP="00324FFD">
      <w:pPr>
        <w:pStyle w:val="Heading3"/>
        <w:rPr>
          <w:color w:val="auto"/>
          <w:u w:val="single"/>
        </w:rPr>
      </w:pPr>
      <w:r w:rsidRPr="00324FFD">
        <w:rPr>
          <w:u w:val="single"/>
        </w:rPr>
        <w:t>Начин на приложение</w:t>
      </w:r>
    </w:p>
    <w:p w14:paraId="7AD597B9" w14:textId="05F161BD" w:rsidR="00324FFD" w:rsidRPr="00324FFD" w:rsidRDefault="00324FFD" w:rsidP="00324FFD">
      <w:pPr>
        <w:rPr>
          <w:rFonts w:eastAsia="Times New Roman" w:cs="Arial"/>
          <w:color w:val="000000"/>
          <w:sz w:val="28"/>
          <w:szCs w:val="20"/>
          <w:lang w:eastAsia="bg-BG"/>
        </w:rPr>
      </w:pPr>
      <w:r w:rsidRPr="00324FFD">
        <w:rPr>
          <w:szCs w:val="20"/>
        </w:rPr>
        <w:t>Калипра е предназначен за перорално приложение. Всяка дневна доза аторвастатин се дава наведнъж и може да се приема по всяко време на деня с или без храна.</w:t>
      </w:r>
    </w:p>
    <w:p w14:paraId="28FB0B63" w14:textId="77777777" w:rsidR="00324FFD" w:rsidRPr="00324FFD" w:rsidRDefault="00324FFD" w:rsidP="00324FFD"/>
    <w:p w14:paraId="43DF11E1" w14:textId="3ED104BD" w:rsidR="00324FFD" w:rsidRDefault="002C50EE" w:rsidP="00324FFD">
      <w:pPr>
        <w:pStyle w:val="Heading2"/>
        <w:rPr>
          <w:lang w:val="en-US"/>
        </w:rPr>
      </w:pPr>
      <w:r>
        <w:t>4.3. Противопоказания</w:t>
      </w:r>
    </w:p>
    <w:p w14:paraId="73AF933D" w14:textId="31B06E11" w:rsidR="00324FFD" w:rsidRDefault="00324FFD" w:rsidP="00324FFD">
      <w:pPr>
        <w:rPr>
          <w:lang w:val="en-US"/>
        </w:rPr>
      </w:pPr>
    </w:p>
    <w:p w14:paraId="75A065A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е противопоказан при пациенти:</w:t>
      </w:r>
    </w:p>
    <w:p w14:paraId="2569DEF1"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със свръхчувствителност към активното вещество или към някое от помощните вещества, изброени в точка 6.1;</w:t>
      </w:r>
    </w:p>
    <w:p w14:paraId="699A7A7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с активно чернодробно заболяване или необяснимо персистиращо повишение на серумните трансаминази над 3 пъти горната граница на нормата;</w:t>
      </w:r>
    </w:p>
    <w:p w14:paraId="6659534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лекувани с антивирусните средства за лечение на хепатит С глекапревир/ пибренстасвир;</w:t>
      </w:r>
    </w:p>
    <w:p w14:paraId="587B5306" w14:textId="39B1B350"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по време на бременност, по време на кърмене и при жени с детероден потенциал, които не използват подходящи контрацептивни мерки (вж. точка 4.6).</w:t>
      </w:r>
    </w:p>
    <w:p w14:paraId="7138DFB2" w14:textId="77777777" w:rsidR="00D5261D" w:rsidRPr="00324FFD" w:rsidRDefault="00D5261D" w:rsidP="00324FFD">
      <w:pPr>
        <w:rPr>
          <w:rFonts w:cs="Arial"/>
          <w:sz w:val="24"/>
          <w:lang w:val="en-US"/>
        </w:rPr>
      </w:pPr>
    </w:p>
    <w:p w14:paraId="212F509C" w14:textId="40E7502F" w:rsidR="004F498A" w:rsidRDefault="002C50EE" w:rsidP="004A448E">
      <w:pPr>
        <w:pStyle w:val="Heading2"/>
      </w:pPr>
      <w:r>
        <w:t>4.4. Специални предупреждения и предпазни мерки при употреба</w:t>
      </w:r>
    </w:p>
    <w:p w14:paraId="04FBDF0A" w14:textId="4DA82C71" w:rsidR="00324FFD" w:rsidRDefault="00324FFD" w:rsidP="00324FFD"/>
    <w:p w14:paraId="5A67A08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Ефекти върху черния дроб</w:t>
      </w:r>
    </w:p>
    <w:p w14:paraId="548743B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Трябва да се извършват чернодробни функционални тестове преди започване на лечението и периодично след това. При пациенти, които развият признаци или симптоми, предполагащи увреждане на черния дроб, трябва да се направят изследвания на чернодробната функция. Пациенти, които развият повишени нива на трансаминази, трябва да бъдат наблюдавани, докато стойностите се нормализират. В случай, че увеличението на трансаминазите се задържи над 3 пъти горната граница на нормата </w:t>
      </w:r>
      <w:r w:rsidRPr="00324FFD">
        <w:rPr>
          <w:rFonts w:eastAsia="Times New Roman" w:cs="Arial"/>
          <w:color w:val="000000"/>
          <w:szCs w:val="20"/>
          <w:lang w:val="en-US"/>
        </w:rPr>
        <w:t xml:space="preserve">(ULN), </w:t>
      </w:r>
      <w:r w:rsidRPr="00324FFD">
        <w:rPr>
          <w:rFonts w:eastAsia="Times New Roman" w:cs="Arial"/>
          <w:color w:val="000000"/>
          <w:szCs w:val="20"/>
          <w:lang w:eastAsia="bg-BG"/>
        </w:rPr>
        <w:t>се препоръчва намаляване на дозата или преустановяване приема на Калипра (вж. точка 4.8).</w:t>
      </w:r>
    </w:p>
    <w:p w14:paraId="09BA1F9A" w14:textId="77777777" w:rsidR="00324FFD" w:rsidRPr="00324FFD" w:rsidRDefault="00324FFD" w:rsidP="00324FFD">
      <w:pPr>
        <w:spacing w:line="240" w:lineRule="auto"/>
        <w:rPr>
          <w:rFonts w:eastAsia="Times New Roman" w:cs="Arial"/>
          <w:color w:val="000000"/>
          <w:szCs w:val="20"/>
          <w:lang w:eastAsia="bg-BG"/>
        </w:rPr>
      </w:pPr>
    </w:p>
    <w:p w14:paraId="643EE042" w14:textId="48A1FED5"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трябва да се използва с повишено внимание при пациенти, които консумират значителни количества алкохол и/ или имат анамнеза за чернодробно заболяване.</w:t>
      </w:r>
    </w:p>
    <w:p w14:paraId="74C8361A" w14:textId="77777777" w:rsidR="00324FFD" w:rsidRPr="00324FFD" w:rsidRDefault="00324FFD" w:rsidP="00324FFD">
      <w:pPr>
        <w:spacing w:line="240" w:lineRule="auto"/>
        <w:rPr>
          <w:rFonts w:eastAsia="Times New Roman" w:cs="Arial"/>
          <w:color w:val="000000"/>
          <w:szCs w:val="20"/>
          <w:u w:val="single"/>
          <w:lang w:eastAsia="bg-BG"/>
        </w:rPr>
      </w:pPr>
    </w:p>
    <w:p w14:paraId="5B2E3711" w14:textId="445B11D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 xml:space="preserve">Профилактика на инсулт чрез агресивно намаляване на нивата на холестерола </w:t>
      </w:r>
      <w:r w:rsidRPr="00324FFD">
        <w:rPr>
          <w:rFonts w:eastAsia="Times New Roman" w:cs="Arial"/>
          <w:color w:val="000000"/>
          <w:szCs w:val="20"/>
          <w:u w:val="single"/>
          <w:lang w:val="en-US"/>
        </w:rPr>
        <w:t>(Stroke Prevention by Aggressive Reduction in Cholesterol Levels, SPARCL)</w:t>
      </w:r>
    </w:p>
    <w:p w14:paraId="17036105"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При </w:t>
      </w:r>
      <w:r w:rsidRPr="00324FFD">
        <w:rPr>
          <w:rFonts w:eastAsia="Times New Roman" w:cs="Arial"/>
          <w:color w:val="000000"/>
          <w:szCs w:val="20"/>
          <w:lang w:val="en-US"/>
        </w:rPr>
        <w:t xml:space="preserve">post-hoc </w:t>
      </w:r>
      <w:r w:rsidRPr="00324FFD">
        <w:rPr>
          <w:rFonts w:eastAsia="Times New Roman" w:cs="Arial"/>
          <w:color w:val="000000"/>
          <w:szCs w:val="20"/>
          <w:lang w:eastAsia="bg-BG"/>
        </w:rPr>
        <w:t xml:space="preserve">анализ на подтиповете инсулти при пациенти без исхемична болест на сърцето (ИБС), които са имали скорошен инсулт или преходна исхемична атака (Т1А), се установява по-висока честота на хеморагичен инсулт при пациенти, започнали лечение с аторвастатин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в сравнение с плацебо. Повишен риск е отбелязан предимно при пациентите с предходен хеморагичен инсулт или лакунарен инфаркт при включване в проучването. За пациенти с предшестващ хеморагичен инсулт или лакунарен инфаркт, балансът на рисковете и ползите от аторвастатин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е несигурен и потенциалният </w:t>
      </w:r>
      <w:r w:rsidRPr="00324FFD">
        <w:rPr>
          <w:rFonts w:eastAsia="Times New Roman" w:cs="Arial"/>
          <w:color w:val="000000"/>
          <w:szCs w:val="20"/>
          <w:lang w:eastAsia="bg-BG"/>
        </w:rPr>
        <w:lastRenderedPageBreak/>
        <w:t>риск от хеморагичен инсулт трябва да бъде внимателно преценен преди започване на лечението (вж. точка 5.1).</w:t>
      </w:r>
    </w:p>
    <w:p w14:paraId="399FD3C9" w14:textId="77777777" w:rsidR="00324FFD" w:rsidRPr="00324FFD" w:rsidRDefault="00324FFD" w:rsidP="00324FFD">
      <w:pPr>
        <w:spacing w:line="240" w:lineRule="auto"/>
        <w:rPr>
          <w:rFonts w:eastAsia="Times New Roman" w:cs="Arial"/>
          <w:color w:val="000000"/>
          <w:szCs w:val="20"/>
          <w:u w:val="single"/>
          <w:lang w:eastAsia="bg-BG"/>
        </w:rPr>
      </w:pPr>
    </w:p>
    <w:p w14:paraId="77ADA81F" w14:textId="3FD06AD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Ефекти върху скелетната мускулатура</w:t>
      </w:r>
    </w:p>
    <w:p w14:paraId="5C17AD0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Аторвастатин, както и другите </w:t>
      </w:r>
      <w:r w:rsidRPr="00324FFD">
        <w:rPr>
          <w:rFonts w:eastAsia="Times New Roman" w:cs="Arial"/>
          <w:color w:val="000000"/>
          <w:szCs w:val="20"/>
          <w:lang w:val="en-US"/>
        </w:rPr>
        <w:t xml:space="preserve">HMG-CoA </w:t>
      </w:r>
      <w:r w:rsidRPr="00324FFD">
        <w:rPr>
          <w:rFonts w:eastAsia="Times New Roman" w:cs="Arial"/>
          <w:color w:val="000000"/>
          <w:szCs w:val="20"/>
          <w:lang w:eastAsia="bg-BG"/>
        </w:rPr>
        <w:t>редуктазни инхибитори, в редки случаи може да засегне скелетната мускулатура и да причини миалгия, миозит и миопатия, които могат да прогресират до рабдомиолиза, потенциално животозастрашаващо състояние, характеризиращо се със значително повишени нива на креатин киназата (СК) (&gt; 10 пъти горната граница на нормата), миоглобинемия и миоглобинурия, които могат да доведат до бъбречна недостатъчност.</w:t>
      </w:r>
    </w:p>
    <w:p w14:paraId="5B906755" w14:textId="77777777" w:rsidR="00324FFD" w:rsidRP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 xml:space="preserve">По време на или след лечение с някои статини е имало много редки съобщения за имуномедиирана некротизираща миопатия (ИМНМ). Клинично ИМНМ се характеризира с персистираща проксимална мускулна слабост и повишени серумни нива на креатин- киназата, които персистират въпреки прекратяването на лечението със статини. </w:t>
      </w:r>
    </w:p>
    <w:p w14:paraId="1C4B7D2D" w14:textId="77777777" w:rsidR="00324FFD" w:rsidRPr="00324FFD" w:rsidRDefault="00324FFD" w:rsidP="00324FFD">
      <w:pPr>
        <w:rPr>
          <w:rFonts w:eastAsia="Times New Roman" w:cs="Arial"/>
          <w:color w:val="000000"/>
          <w:szCs w:val="20"/>
          <w:lang w:eastAsia="bg-BG"/>
        </w:rPr>
      </w:pPr>
    </w:p>
    <w:p w14:paraId="47BDD287" w14:textId="17BC249B" w:rsidR="00324FFD" w:rsidRDefault="00324FFD" w:rsidP="00324FFD">
      <w:pPr>
        <w:rPr>
          <w:rFonts w:eastAsia="Times New Roman" w:cs="Arial"/>
          <w:i/>
          <w:iCs/>
          <w:color w:val="000000"/>
          <w:szCs w:val="20"/>
          <w:u w:val="single"/>
          <w:lang w:eastAsia="bg-BG"/>
        </w:rPr>
      </w:pPr>
      <w:r w:rsidRPr="00324FFD">
        <w:rPr>
          <w:rFonts w:eastAsia="Times New Roman" w:cs="Arial"/>
          <w:i/>
          <w:iCs/>
          <w:color w:val="000000"/>
          <w:szCs w:val="20"/>
          <w:u w:val="single"/>
          <w:lang w:eastAsia="bg-BG"/>
        </w:rPr>
        <w:t>Преди лечението</w:t>
      </w:r>
    </w:p>
    <w:p w14:paraId="70CDF39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Аторвастатин трябва да се предписва с повишено внимание при пациенти с фактори, предразполагащи към рабдомиолиза. Нивото на СК трябва да се измери преди започване на лечение със статини в следните ситуации: -</w:t>
      </w:r>
      <w:r w:rsidRPr="00324FFD">
        <w:rPr>
          <w:rFonts w:eastAsia="Times New Roman" w:cs="Arial"/>
          <w:color w:val="000000"/>
          <w:szCs w:val="20"/>
          <w:lang w:eastAsia="bg-BG"/>
        </w:rPr>
        <w:tab/>
        <w:t>бъбречно увреждане</w:t>
      </w:r>
    </w:p>
    <w:p w14:paraId="2807991D"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хипотиреоидизъм</w:t>
      </w:r>
    </w:p>
    <w:p w14:paraId="4689C7AC"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 xml:space="preserve">персонална или </w:t>
      </w:r>
      <w:r w:rsidRPr="00324FFD">
        <w:rPr>
          <w:rFonts w:eastAsia="Times New Roman" w:cs="Arial"/>
          <w:i/>
          <w:iCs/>
          <w:color w:val="000000"/>
          <w:szCs w:val="20"/>
          <w:lang w:eastAsia="bg-BG"/>
        </w:rPr>
        <w:t>фамилна</w:t>
      </w:r>
      <w:r w:rsidRPr="00324FFD">
        <w:rPr>
          <w:rFonts w:eastAsia="Times New Roman" w:cs="Arial"/>
          <w:color w:val="000000"/>
          <w:szCs w:val="20"/>
          <w:lang w:eastAsia="bg-BG"/>
        </w:rPr>
        <w:t xml:space="preserve"> анамнеза за наследствени мускулни заболявания</w:t>
      </w:r>
    </w:p>
    <w:p w14:paraId="2EBDFF08"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анамнеза за мускулна токсичност</w:t>
      </w:r>
      <w:r w:rsidRPr="00324FFD">
        <w:rPr>
          <w:rFonts w:eastAsia="Times New Roman" w:cs="Arial"/>
          <w:color w:val="000000"/>
          <w:szCs w:val="20"/>
          <w:lang w:eastAsia="bg-BG"/>
        </w:rPr>
        <w:tab/>
        <w:t>от статии или фибрат</w:t>
      </w:r>
    </w:p>
    <w:p w14:paraId="49ED9ED0"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анамнеза за чернодробно заболяване и/или</w:t>
      </w:r>
      <w:r w:rsidRPr="00324FFD">
        <w:rPr>
          <w:rFonts w:eastAsia="Times New Roman" w:cs="Arial"/>
          <w:color w:val="000000"/>
          <w:szCs w:val="20"/>
          <w:lang w:eastAsia="bg-BG"/>
        </w:rPr>
        <w:tab/>
        <w:t>употреба на значителни количества</w:t>
      </w:r>
    </w:p>
    <w:p w14:paraId="3BF2614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алкохол</w:t>
      </w:r>
    </w:p>
    <w:p w14:paraId="5C8B118C"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при пациенти в старческа възраст (над 70 години) трябва да се има предвид необходимостта от това изследване в зависимост от наличието на други фактори, предразполагащи към рабдомиолиза</w:t>
      </w:r>
    </w:p>
    <w:p w14:paraId="5E2D1481"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случаи, при които може да възникне повишение на плазмените нива, например при взаимодействия (вж. точка 4.5) и специални популации, вкл. генетични субпопулации (вж. точка 5.2).</w:t>
      </w:r>
    </w:p>
    <w:p w14:paraId="616205ED" w14:textId="77777777" w:rsidR="00324FFD" w:rsidRPr="00324FFD" w:rsidRDefault="00324FFD" w:rsidP="00324FFD">
      <w:pPr>
        <w:spacing w:line="240" w:lineRule="auto"/>
        <w:rPr>
          <w:rFonts w:eastAsia="Times New Roman" w:cs="Arial"/>
          <w:color w:val="000000"/>
          <w:szCs w:val="20"/>
          <w:lang w:eastAsia="bg-BG"/>
        </w:rPr>
      </w:pPr>
    </w:p>
    <w:p w14:paraId="0278813E" w14:textId="34A60D8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В тези случаи рискът от лечението трябва да се прецени спрямо възможните ползи и се препоръчва клинично проследяване.</w:t>
      </w:r>
    </w:p>
    <w:p w14:paraId="6402DBF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Ако нивата на СК са значително повишени (&gt; 5 пъти горната граница на нормата) при изходното ниво, лечението не трябва да започва.</w:t>
      </w:r>
    </w:p>
    <w:p w14:paraId="3BFA7389" w14:textId="77777777" w:rsidR="00324FFD" w:rsidRPr="00324FFD" w:rsidRDefault="00324FFD" w:rsidP="00324FFD">
      <w:pPr>
        <w:spacing w:line="240" w:lineRule="auto"/>
        <w:rPr>
          <w:rFonts w:eastAsia="Times New Roman" w:cs="Arial"/>
          <w:i/>
          <w:iCs/>
          <w:color w:val="000000"/>
          <w:szCs w:val="20"/>
          <w:u w:val="single"/>
          <w:lang w:eastAsia="bg-BG"/>
        </w:rPr>
      </w:pPr>
    </w:p>
    <w:p w14:paraId="5CBDBEFE" w14:textId="088A480B"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u w:val="single"/>
          <w:lang w:eastAsia="bg-BG"/>
        </w:rPr>
        <w:t>Измерване на креатин киназата</w:t>
      </w:r>
    </w:p>
    <w:p w14:paraId="27D51D0F" w14:textId="7654F774" w:rsidR="00324FFD" w:rsidRPr="00324FFD" w:rsidRDefault="00324FFD" w:rsidP="00324FFD">
      <w:pPr>
        <w:rPr>
          <w:rFonts w:eastAsia="Times New Roman" w:cs="Arial"/>
          <w:i/>
          <w:iCs/>
          <w:color w:val="000000"/>
          <w:sz w:val="24"/>
          <w:szCs w:val="20"/>
          <w:u w:val="single"/>
          <w:lang w:eastAsia="bg-BG"/>
        </w:rPr>
      </w:pPr>
      <w:r w:rsidRPr="00324FFD">
        <w:rPr>
          <w:rFonts w:eastAsia="Times New Roman" w:cs="Arial"/>
          <w:color w:val="000000"/>
          <w:szCs w:val="20"/>
          <w:lang w:eastAsia="bg-BG"/>
        </w:rPr>
        <w:t>Креатин киназата (СК) не трябва да се измерва след физическо натоварване или при наличието на друга вероятна причина за нейното увеличение, тъй като интерпретацията на резултатите в такива случаи е затруднена. Ако нивата на СК са значително повишени при изходното ниво (&gt; 5 пъти горната граница на нормата), те трябва да се изследват повторно в рамките на 5 до 7 дни, за да се потвърдят резултатите.</w:t>
      </w:r>
    </w:p>
    <w:p w14:paraId="6C79E8E4" w14:textId="63FE1711" w:rsidR="00324FFD" w:rsidRDefault="00324FFD" w:rsidP="00324FFD">
      <w:pPr>
        <w:rPr>
          <w:rFonts w:cs="Arial"/>
          <w:sz w:val="24"/>
        </w:rPr>
      </w:pPr>
    </w:p>
    <w:p w14:paraId="4767E99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По време на лечението</w:t>
      </w:r>
    </w:p>
    <w:p w14:paraId="787A33CD"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 xml:space="preserve">Пациентите трябва да бъдат помолени да съобщават за мускулни болки, спазми или слабост, особено ако са придружени от неразположение или повишена температура. - Ако се появят такива симптоми, докато пациентът получава лечение с аторвастатин, </w:t>
      </w:r>
      <w:r w:rsidRPr="00D5261D">
        <w:rPr>
          <w:rFonts w:eastAsia="Times New Roman" w:cs="Arial"/>
          <w:color w:val="000000"/>
          <w:szCs w:val="20"/>
          <w:lang w:eastAsia="bg-BG"/>
        </w:rPr>
        <w:lastRenderedPageBreak/>
        <w:t>трябва да се изследват нивата на СК. Ако се установи, че тези нива са значително повишени (&gt; 5 пъти горната граница на нормата), лечението трябва да бъде преустановено.</w:t>
      </w:r>
    </w:p>
    <w:p w14:paraId="032244C6"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Ако мускулните симптоми са тежки и причиняват ежедневен дискомфорт, дори и ако нивата на СК са повишени до ≤ 5 горната граница на нормата, трябва да се обмисли прекратяване на лечението.</w:t>
      </w:r>
    </w:p>
    <w:p w14:paraId="54B518CD"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Ако симптомите отшумят и нивата на СК се нормализират, може да се обмисли повторно приложение на аторвастатин или друг статии, като се прилага най-ниската доза и се провежда стриктно наблюдение.</w:t>
      </w:r>
    </w:p>
    <w:p w14:paraId="42854525"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Лечението с аторвастатин трябва да се преустанови, ако се появи клинично значимо повишение на нивата на СК (&gt; 10 пъти горната граница на нормата) или ако се диагностицира или подозира рабдомиолиза.</w:t>
      </w:r>
    </w:p>
    <w:p w14:paraId="2D364BCD" w14:textId="77777777" w:rsidR="00D5261D" w:rsidRPr="00D5261D" w:rsidRDefault="00D5261D" w:rsidP="00D5261D">
      <w:pPr>
        <w:spacing w:line="240" w:lineRule="auto"/>
        <w:rPr>
          <w:rFonts w:eastAsia="Times New Roman" w:cs="Arial"/>
          <w:i/>
          <w:iCs/>
          <w:color w:val="000000"/>
          <w:szCs w:val="20"/>
          <w:u w:val="single"/>
          <w:lang w:eastAsia="bg-BG"/>
        </w:rPr>
      </w:pPr>
    </w:p>
    <w:p w14:paraId="0DBA70AA" w14:textId="1FA58D9C"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Едновременно лечение с други лекарствени продукти</w:t>
      </w:r>
    </w:p>
    <w:p w14:paraId="50B07FC0" w14:textId="77777777" w:rsidR="00D5261D" w:rsidRPr="00D5261D" w:rsidRDefault="00D5261D" w:rsidP="00D5261D">
      <w:pPr>
        <w:rPr>
          <w:rFonts w:eastAsia="Times New Roman" w:cs="Arial"/>
          <w:sz w:val="28"/>
          <w:szCs w:val="24"/>
          <w:lang w:eastAsia="bg-BG"/>
        </w:rPr>
      </w:pPr>
      <w:r w:rsidRPr="00D5261D">
        <w:rPr>
          <w:rFonts w:eastAsia="Times New Roman" w:cs="Arial"/>
          <w:color w:val="000000"/>
          <w:szCs w:val="20"/>
          <w:lang w:eastAsia="bg-BG"/>
        </w:rPr>
        <w:t xml:space="preserve">Рискът от рабдомиолиза се увеличава, когато аторвастатин се прилага едновременно с някои лекарствени продукти, които могат да повишат плазмената концентрация на аторвастатин, като мощни инхибитори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или транспортни протеини (напр. циклоспорин, телитромицин, кларитромицин, делавирдин, стирипентолът, кетоконазол,</w:t>
      </w:r>
      <w:r w:rsidRPr="00D5261D">
        <w:rPr>
          <w:rFonts w:eastAsia="Times New Roman" w:cs="Arial"/>
          <w:smallCaps/>
          <w:color w:val="000000"/>
          <w:szCs w:val="20"/>
          <w:lang w:eastAsia="bg-BG"/>
        </w:rPr>
        <w:t xml:space="preserve"> </w:t>
      </w:r>
      <w:r w:rsidRPr="00D5261D">
        <w:rPr>
          <w:rFonts w:eastAsia="Times New Roman" w:cs="Arial"/>
          <w:color w:val="000000"/>
          <w:szCs w:val="20"/>
          <w:lang w:eastAsia="bg-BG"/>
        </w:rPr>
        <w:t xml:space="preserve">вориконазол, итраконазол, позаконазол, летермовир и </w:t>
      </w:r>
      <w:r w:rsidRPr="00D5261D">
        <w:rPr>
          <w:rFonts w:eastAsia="Times New Roman" w:cs="Arial"/>
          <w:color w:val="000000"/>
          <w:szCs w:val="20"/>
          <w:lang w:val="en-US"/>
        </w:rPr>
        <w:t xml:space="preserve">HIV </w:t>
      </w:r>
      <w:r w:rsidRPr="00D5261D">
        <w:rPr>
          <w:rFonts w:eastAsia="Times New Roman" w:cs="Arial"/>
          <w:color w:val="000000"/>
          <w:szCs w:val="20"/>
          <w:lang w:eastAsia="bg-BG"/>
        </w:rPr>
        <w:t xml:space="preserve">протеазни инхибитори, включително ритонавир, лопинавир, атазанавир, индинавир, дарунавир, </w:t>
      </w:r>
      <w:r w:rsidRPr="00D5261D">
        <w:rPr>
          <w:rFonts w:eastAsia="Times New Roman" w:cs="Arial"/>
          <w:i/>
          <w:iCs/>
          <w:color w:val="000000"/>
          <w:szCs w:val="20"/>
          <w:lang w:eastAsia="bg-BG"/>
        </w:rPr>
        <w:t xml:space="preserve"> </w:t>
      </w:r>
      <w:r w:rsidRPr="00D5261D">
        <w:rPr>
          <w:rFonts w:eastAsia="Times New Roman" w:cs="Arial"/>
          <w:color w:val="000000"/>
          <w:szCs w:val="20"/>
          <w:lang w:eastAsia="bg-BG"/>
        </w:rPr>
        <w:t>типранавир/ритонавир и др.). Рискът от миопатия може да се увеличи и с едновременната</w:t>
      </w:r>
      <w:r>
        <w:rPr>
          <w:rFonts w:eastAsia="Times New Roman" w:cs="Arial"/>
          <w:color w:val="000000"/>
          <w:szCs w:val="20"/>
          <w:lang w:val="en-US" w:eastAsia="bg-BG"/>
        </w:rPr>
        <w:t xml:space="preserve"> </w:t>
      </w:r>
      <w:r w:rsidRPr="00D5261D">
        <w:rPr>
          <w:rFonts w:eastAsia="Times New Roman" w:cs="Arial"/>
          <w:color w:val="000000"/>
          <w:szCs w:val="20"/>
          <w:lang w:eastAsia="bg-BG"/>
        </w:rPr>
        <w:t xml:space="preserve">употреба на гемфиброзил и други производни на фибриновата киселина, антивирусни средства за лечение на хепатит С </w:t>
      </w:r>
      <w:r w:rsidRPr="00D5261D">
        <w:rPr>
          <w:rFonts w:eastAsia="Times New Roman" w:cs="Arial"/>
          <w:color w:val="000000"/>
          <w:szCs w:val="20"/>
          <w:lang w:val="en-US"/>
        </w:rPr>
        <w:t xml:space="preserve">(HCV) </w:t>
      </w:r>
      <w:r w:rsidRPr="00D5261D">
        <w:rPr>
          <w:rFonts w:eastAsia="Times New Roman" w:cs="Arial"/>
          <w:color w:val="000000"/>
          <w:szCs w:val="20"/>
          <w:lang w:eastAsia="bg-BG"/>
        </w:rPr>
        <w:t>(боцепревир, телапревир, елбасвир/гразопревир), еритромицин, ниацин илиезетимиб.. Ако е възможно, трябва да се обмислят алтернативни (невзаимодействащи) терапии, вместо тези лекарствени продукти.</w:t>
      </w:r>
    </w:p>
    <w:p w14:paraId="1E21C42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В случаите, когато е необходимо едновременно приложение на тези лекарствени продукти с аторвастатин, ползата и рискът от съпътстващото лечение трябва да се обмислят внимателно. За пациенти, получаващи лекарствени продукти, които повишават плазмената концентрация на аторвастатин, се препоръчва по-ниска максимална доза на аторвастатин. В допълнение, в случай на мощни </w:t>
      </w:r>
      <w:r w:rsidRPr="00D5261D">
        <w:rPr>
          <w:rFonts w:eastAsia="Times New Roman" w:cs="Arial"/>
          <w:color w:val="000000"/>
          <w:szCs w:val="20"/>
          <w:lang w:val="en-US"/>
        </w:rPr>
        <w:t>CYP3</w:t>
      </w:r>
      <w:r w:rsidRPr="00D5261D">
        <w:rPr>
          <w:rFonts w:eastAsia="Times New Roman" w:cs="Arial"/>
          <w:color w:val="000000"/>
          <w:szCs w:val="20"/>
          <w:lang w:eastAsia="bg-BG"/>
        </w:rPr>
        <w:t>А4 инхибитори, трябва да се обмисли по-ниска начална доза на аторвастатин и се препоръчва подходящо клинично проследяване на тези пациенти (вж. точка 4.5).</w:t>
      </w:r>
    </w:p>
    <w:p w14:paraId="106F49D1"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Аторвастатин не трябва да се прилага едновременно с фузидова киселина за системно приложение или 7 дни след спиране на лечението с фузидова киселина. При пациенти, при които системното използване на фузидова киселина е наложително, лечението със статини трябва да бъде преустановено през целия период на лечение с фузидова киселина. Има съобщения за случаи на рабдомиолиза (включително с летален изход) при пациенти, приемащи комбинация от фузидова киселина и статини (вижте точка 4.5). Пациентът трябва да бъде информиран незабавно да потърси медицинска помощ, ако получи симптоми на мускулна слабост, болки или болезненост.</w:t>
      </w:r>
    </w:p>
    <w:p w14:paraId="186F8024"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Лечението със статии, може да бъде подновено седем дни след последната доза фузидова киселина.</w:t>
      </w:r>
    </w:p>
    <w:p w14:paraId="089394D0"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При изключителни обстоятелства, при което е необходимо продължително системно приложение на фузидова киселина, например, за лечение на тежки инфекции, необходимостта от едновременното приложение на Калипра и фузидова киселина трябва да бъде обмислена индивидуално, за всеки отделен случай и под строго медицинско наблюдение.</w:t>
      </w:r>
    </w:p>
    <w:p w14:paraId="4DE8C664" w14:textId="77777777" w:rsidR="00D5261D" w:rsidRPr="00D5261D" w:rsidRDefault="00D5261D" w:rsidP="00D5261D">
      <w:pPr>
        <w:spacing w:line="240" w:lineRule="auto"/>
        <w:rPr>
          <w:rFonts w:eastAsia="Times New Roman" w:cs="Arial"/>
          <w:color w:val="000000"/>
          <w:szCs w:val="20"/>
          <w:u w:val="single"/>
          <w:lang w:eastAsia="bg-BG"/>
        </w:rPr>
      </w:pPr>
    </w:p>
    <w:p w14:paraId="20C097BA" w14:textId="4C936725"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lastRenderedPageBreak/>
        <w:t>Педиатрична популация</w:t>
      </w:r>
    </w:p>
    <w:p w14:paraId="17897BD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Не е наблюдаван клинично значим ефект върху растежа и половото съзряване в 3-годишно проучване, базирано на оценката на цялостното съзряване и развитие, оценката на стадиите на Танер </w:t>
      </w:r>
      <w:r w:rsidRPr="00D5261D">
        <w:rPr>
          <w:rFonts w:eastAsia="Times New Roman" w:cs="Arial"/>
          <w:color w:val="000000"/>
          <w:szCs w:val="20"/>
          <w:lang w:val="en-US"/>
        </w:rPr>
        <w:t xml:space="preserve">(Tanner Stage) </w:t>
      </w:r>
      <w:r w:rsidRPr="00D5261D">
        <w:rPr>
          <w:rFonts w:eastAsia="Times New Roman" w:cs="Arial"/>
          <w:color w:val="000000"/>
          <w:szCs w:val="20"/>
          <w:lang w:eastAsia="bg-BG"/>
        </w:rPr>
        <w:t>и измерването на височината и теглото (вж. точка 4.8).</w:t>
      </w:r>
    </w:p>
    <w:p w14:paraId="54CEA3D6" w14:textId="77777777" w:rsidR="00D5261D" w:rsidRPr="00D5261D" w:rsidRDefault="00D5261D" w:rsidP="00D5261D">
      <w:pPr>
        <w:spacing w:line="240" w:lineRule="auto"/>
        <w:rPr>
          <w:rFonts w:eastAsia="Times New Roman" w:cs="Arial"/>
          <w:color w:val="000000"/>
          <w:szCs w:val="20"/>
          <w:u w:val="single"/>
          <w:lang w:eastAsia="bg-BG"/>
        </w:rPr>
      </w:pPr>
    </w:p>
    <w:p w14:paraId="10607C3D" w14:textId="760FBCE5"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Интерстициална белодробна болест</w:t>
      </w:r>
    </w:p>
    <w:p w14:paraId="25C7C404" w14:textId="234E193C"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Единични случаи на интерстициална белодробна болест са докладвани при употреба на някои статини, особено при продължително лечение (вж. точка 4.8). Болестта се проявява с диспнея, непродуктивна кашлица и влошаване на общото здравословно състояние (умора, загуба на тегло и повишена температура). Ако има съмнение за развитие на интерстициална белодробна болест, лечението със статини трябва да се преустанови.</w:t>
      </w:r>
    </w:p>
    <w:p w14:paraId="062AD87C" w14:textId="34BFBDAD" w:rsidR="00D5261D" w:rsidRDefault="00D5261D" w:rsidP="00D5261D">
      <w:pPr>
        <w:rPr>
          <w:rFonts w:eastAsia="Times New Roman" w:cs="Arial"/>
          <w:color w:val="000000"/>
          <w:szCs w:val="20"/>
          <w:lang w:eastAsia="bg-BG"/>
        </w:rPr>
      </w:pPr>
    </w:p>
    <w:p w14:paraId="1753E6E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Захарен диабет</w:t>
      </w:r>
    </w:p>
    <w:p w14:paraId="08CD5142"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Някои данни показват, че статините като клас повишават кръвната глюкоза и при някои пациенти, изложени на висок риск от развитие на диабет, това може да доведе до ниво на хипергликемия, при което е подходящо прилагането на лечение за диабет. Този риск, обаче, се компенсира от намаляване на съдовия риск при приемане на статини и затова не трябва да бъде причина за спиране на лечението със статини. Пациенти, изложени на риск (глюкоза на гладно 5,6-6,9 </w:t>
      </w:r>
      <w:proofErr w:type="spellStart"/>
      <w:r w:rsidRPr="00D5261D">
        <w:rPr>
          <w:rFonts w:eastAsia="Times New Roman" w:cs="Arial"/>
          <w:color w:val="000000"/>
          <w:szCs w:val="20"/>
          <w:lang w:val="en-US"/>
        </w:rPr>
        <w:t>mmol</w:t>
      </w:r>
      <w:proofErr w:type="spellEnd"/>
      <w:r w:rsidRPr="00D5261D">
        <w:rPr>
          <w:rFonts w:eastAsia="Times New Roman" w:cs="Arial"/>
          <w:color w:val="000000"/>
          <w:szCs w:val="20"/>
          <w:lang w:val="en-US"/>
        </w:rPr>
        <w:t xml:space="preserve">/l, </w:t>
      </w:r>
      <w:r w:rsidRPr="00D5261D">
        <w:rPr>
          <w:rFonts w:eastAsia="Times New Roman" w:cs="Arial"/>
          <w:color w:val="000000"/>
          <w:szCs w:val="20"/>
          <w:lang w:eastAsia="bg-BG"/>
        </w:rPr>
        <w:t xml:space="preserve">ИТМ&gt; </w:t>
      </w:r>
      <w:r w:rsidRPr="00D5261D">
        <w:rPr>
          <w:rFonts w:eastAsia="Times New Roman" w:cs="Arial"/>
          <w:color w:val="000000"/>
          <w:szCs w:val="20"/>
          <w:lang w:val="en-US"/>
        </w:rPr>
        <w:t xml:space="preserve">30kg/m2 </w:t>
      </w:r>
      <w:r w:rsidRPr="00D5261D">
        <w:rPr>
          <w:rFonts w:eastAsia="Times New Roman" w:cs="Arial"/>
          <w:color w:val="000000"/>
          <w:szCs w:val="20"/>
          <w:lang w:eastAsia="bg-BG"/>
        </w:rPr>
        <w:t>повишено ниво на триглицериди, хипертония), трябва да се проследяват клинично и биохимично съгласно националните насоки.</w:t>
      </w:r>
    </w:p>
    <w:p w14:paraId="47B30CB2" w14:textId="77777777" w:rsidR="00D5261D" w:rsidRPr="00D5261D" w:rsidRDefault="00D5261D" w:rsidP="00D5261D">
      <w:pPr>
        <w:spacing w:line="240" w:lineRule="auto"/>
        <w:rPr>
          <w:rFonts w:eastAsia="Times New Roman" w:cs="Arial"/>
          <w:sz w:val="28"/>
          <w:szCs w:val="24"/>
          <w:lang w:eastAsia="bg-BG"/>
        </w:rPr>
      </w:pPr>
    </w:p>
    <w:p w14:paraId="3AFAD99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Помощни вещества</w:t>
      </w:r>
    </w:p>
    <w:p w14:paraId="3ADC6B44" w14:textId="2D444504"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Калипра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2F18863E" w14:textId="5AE2BF8E" w:rsidR="00D5261D" w:rsidRDefault="00D5261D" w:rsidP="00D5261D">
      <w:pPr>
        <w:rPr>
          <w:rFonts w:eastAsia="Times New Roman" w:cs="Arial"/>
          <w:color w:val="000000"/>
          <w:szCs w:val="20"/>
          <w:lang w:eastAsia="bg-BG"/>
        </w:rPr>
      </w:pPr>
    </w:p>
    <w:p w14:paraId="47DB8BEB" w14:textId="01958F08" w:rsidR="00D5261D" w:rsidRPr="00D5261D" w:rsidRDefault="00D5261D" w:rsidP="00D5261D">
      <w:pPr>
        <w:rPr>
          <w:rFonts w:eastAsia="Times New Roman" w:cs="Arial"/>
          <w:color w:val="000000"/>
          <w:sz w:val="32"/>
          <w:szCs w:val="20"/>
          <w:lang w:val="en-US" w:eastAsia="bg-BG"/>
        </w:rPr>
      </w:pPr>
      <w:r w:rsidRPr="00D5261D">
        <w:rPr>
          <w:szCs w:val="20"/>
        </w:rPr>
        <w:t xml:space="preserve">Това лекарство съдържа по-малко от 1 </w:t>
      </w:r>
      <w:proofErr w:type="spellStart"/>
      <w:r w:rsidRPr="00D5261D">
        <w:rPr>
          <w:szCs w:val="20"/>
          <w:lang w:val="en-US"/>
        </w:rPr>
        <w:t>mmol</w:t>
      </w:r>
      <w:proofErr w:type="spellEnd"/>
      <w:r w:rsidRPr="00D5261D">
        <w:rPr>
          <w:szCs w:val="20"/>
          <w:lang w:val="en-US"/>
        </w:rPr>
        <w:t xml:space="preserve"> </w:t>
      </w:r>
      <w:r w:rsidRPr="00D5261D">
        <w:rPr>
          <w:szCs w:val="20"/>
        </w:rPr>
        <w:t xml:space="preserve">натрий (23 </w:t>
      </w:r>
      <w:r w:rsidRPr="00D5261D">
        <w:rPr>
          <w:szCs w:val="20"/>
          <w:lang w:val="en-US"/>
        </w:rPr>
        <w:t xml:space="preserve">mg) </w:t>
      </w:r>
      <w:r w:rsidRPr="00D5261D">
        <w:rPr>
          <w:szCs w:val="20"/>
        </w:rPr>
        <w:t>на доза, т.е. може да се каже, че практически не съдържа натрий.</w:t>
      </w:r>
    </w:p>
    <w:p w14:paraId="78D2BBAD" w14:textId="77777777" w:rsidR="00D5261D" w:rsidRPr="00324FFD" w:rsidRDefault="00D5261D" w:rsidP="00D5261D">
      <w:pPr>
        <w:rPr>
          <w:rFonts w:cs="Arial"/>
          <w:sz w:val="24"/>
        </w:rPr>
      </w:pPr>
    </w:p>
    <w:p w14:paraId="619DED1E" w14:textId="2DEAB57D"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20413FC6" w14:textId="02384DB9" w:rsidR="00D5261D" w:rsidRDefault="00D5261D" w:rsidP="00D5261D"/>
    <w:p w14:paraId="7BC946A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 xml:space="preserve">Въздействие на едновременно приложени лекарствени продукти върху аторвастатин </w:t>
      </w:r>
      <w:r w:rsidRPr="00D5261D">
        <w:rPr>
          <w:rFonts w:eastAsia="Times New Roman" w:cs="Arial"/>
          <w:color w:val="000000"/>
          <w:szCs w:val="20"/>
          <w:lang w:eastAsia="bg-BG"/>
        </w:rPr>
        <w:t xml:space="preserve">Аторвастатин се метаболизира от цитохром Р450 ЗАД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 е субстрат на чернодробните транспортери и на полипептидите, транспортиращи органични аниони 1В1 </w:t>
      </w:r>
      <w:r w:rsidRPr="00D5261D">
        <w:rPr>
          <w:rFonts w:eastAsia="Times New Roman" w:cs="Arial"/>
          <w:color w:val="000000"/>
          <w:szCs w:val="20"/>
          <w:lang w:val="en-US"/>
        </w:rPr>
        <w:t xml:space="preserve">(Organic anion-transporting polypeptide 1B1, OATP1B1) </w:t>
      </w:r>
      <w:r w:rsidRPr="00D5261D">
        <w:rPr>
          <w:rFonts w:eastAsia="Times New Roman" w:cs="Arial"/>
          <w:color w:val="000000"/>
          <w:szCs w:val="20"/>
          <w:lang w:eastAsia="bg-BG"/>
        </w:rPr>
        <w:t xml:space="preserve">и </w:t>
      </w:r>
      <w:r w:rsidRPr="00D5261D">
        <w:rPr>
          <w:rFonts w:eastAsia="Times New Roman" w:cs="Arial"/>
          <w:color w:val="000000"/>
          <w:szCs w:val="20"/>
          <w:lang w:val="en-US"/>
        </w:rPr>
        <w:t xml:space="preserve">1B3 (OATP1B3). </w:t>
      </w:r>
      <w:r w:rsidRPr="00D5261D">
        <w:rPr>
          <w:rFonts w:eastAsia="Times New Roman" w:cs="Arial"/>
          <w:color w:val="000000"/>
          <w:szCs w:val="20"/>
          <w:lang w:eastAsia="bg-BG"/>
        </w:rPr>
        <w:t xml:space="preserve">Метаболитите на аторвастатин са субстрати на </w:t>
      </w:r>
      <w:r w:rsidRPr="00D5261D">
        <w:rPr>
          <w:rFonts w:eastAsia="Times New Roman" w:cs="Arial"/>
          <w:color w:val="000000"/>
          <w:szCs w:val="20"/>
          <w:lang w:val="en-US"/>
        </w:rPr>
        <w:t xml:space="preserve">OATP1BI. </w:t>
      </w:r>
      <w:r w:rsidRPr="00D5261D">
        <w:rPr>
          <w:rFonts w:eastAsia="Times New Roman" w:cs="Arial"/>
          <w:color w:val="000000"/>
          <w:szCs w:val="20"/>
          <w:lang w:eastAsia="bg-BG"/>
        </w:rPr>
        <w:t xml:space="preserve">Установено е също така, че аторвастатин е субстрат на протеина, свързан с множествена лекарствена резистентност 1 </w:t>
      </w:r>
      <w:r w:rsidRPr="00D5261D">
        <w:rPr>
          <w:rFonts w:eastAsia="Times New Roman" w:cs="Arial"/>
          <w:color w:val="000000"/>
          <w:szCs w:val="20"/>
          <w:lang w:val="en-US"/>
        </w:rPr>
        <w:t>(Multi-drug resistance protein 1</w:t>
      </w:r>
      <w:r w:rsidRPr="00D5261D">
        <w:rPr>
          <w:rFonts w:eastAsia="Times New Roman" w:cs="Arial"/>
          <w:color w:val="000000"/>
          <w:szCs w:val="20"/>
          <w:lang w:eastAsia="bg-BG"/>
        </w:rPr>
        <w:t xml:space="preserve">, </w:t>
      </w:r>
      <w:r w:rsidRPr="00D5261D">
        <w:rPr>
          <w:rFonts w:eastAsia="Times New Roman" w:cs="Arial"/>
          <w:color w:val="000000"/>
          <w:szCs w:val="20"/>
          <w:lang w:val="en-US"/>
        </w:rPr>
        <w:t xml:space="preserve">MDR1), </w:t>
      </w:r>
      <w:r w:rsidRPr="00D5261D">
        <w:rPr>
          <w:rFonts w:eastAsia="Times New Roman" w:cs="Arial"/>
          <w:color w:val="000000"/>
          <w:szCs w:val="20"/>
          <w:lang w:eastAsia="bg-BG"/>
        </w:rPr>
        <w:t xml:space="preserve">и на протеина на резистентност на рака на гърдата </w:t>
      </w:r>
      <w:r w:rsidRPr="00D5261D">
        <w:rPr>
          <w:rFonts w:eastAsia="Times New Roman" w:cs="Arial"/>
          <w:color w:val="000000"/>
          <w:szCs w:val="20"/>
          <w:lang w:val="en-US"/>
        </w:rPr>
        <w:t xml:space="preserve">(Breast cancer resistance protein, BCRP), </w:t>
      </w:r>
      <w:r w:rsidRPr="00D5261D">
        <w:rPr>
          <w:rFonts w:eastAsia="Times New Roman" w:cs="Arial"/>
          <w:color w:val="000000"/>
          <w:szCs w:val="20"/>
          <w:lang w:eastAsia="bg-BG"/>
        </w:rPr>
        <w:t>които може да ограничат чревната абсорбция и жлъчния клирънс на аторвастатин (вж. точка 5.2).</w:t>
      </w:r>
    </w:p>
    <w:p w14:paraId="73A84C8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лекарствени продукти, които са инхибитори на С</w:t>
      </w:r>
      <w:r w:rsidRPr="00D5261D">
        <w:rPr>
          <w:rFonts w:eastAsia="Times New Roman" w:cs="Arial"/>
          <w:color w:val="000000"/>
          <w:szCs w:val="20"/>
          <w:lang w:val="en-US"/>
        </w:rPr>
        <w:t xml:space="preserve">YP3A4 </w:t>
      </w:r>
      <w:r w:rsidRPr="00D5261D">
        <w:rPr>
          <w:rFonts w:eastAsia="Times New Roman" w:cs="Arial"/>
          <w:color w:val="000000"/>
          <w:szCs w:val="20"/>
          <w:lang w:eastAsia="bg-BG"/>
        </w:rPr>
        <w:t>или на транспортни протеини, може да доведе до повишени плазмени концентрации на аторвастатин и повишен риск от миопатия. Рискът може да се увеличи също при едновременно приложение на аторвастатин с други лекарствени продукти, които имат потенциал за предизвикване на миопатия, като производни на фибриновата киселина и езетимиб (вж. точка 4.3 и точка 4.4).</w:t>
      </w:r>
    </w:p>
    <w:p w14:paraId="6C229905" w14:textId="77777777" w:rsidR="00D5261D" w:rsidRPr="00D5261D" w:rsidRDefault="00D5261D" w:rsidP="00D5261D">
      <w:pPr>
        <w:spacing w:line="240" w:lineRule="auto"/>
        <w:rPr>
          <w:rFonts w:eastAsia="Times New Roman" w:cs="Arial"/>
          <w:i/>
          <w:iCs/>
          <w:color w:val="000000"/>
          <w:szCs w:val="20"/>
          <w:u w:val="single"/>
          <w:lang w:eastAsia="bg-BG"/>
        </w:rPr>
      </w:pPr>
    </w:p>
    <w:p w14:paraId="1A8DE657" w14:textId="6784C91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 xml:space="preserve">Инхибитори на </w:t>
      </w:r>
      <w:r w:rsidRPr="00D5261D">
        <w:rPr>
          <w:rFonts w:eastAsia="Times New Roman" w:cs="Arial"/>
          <w:i/>
          <w:iCs/>
          <w:color w:val="000000"/>
          <w:szCs w:val="20"/>
          <w:u w:val="single"/>
          <w:lang w:val="en-US"/>
        </w:rPr>
        <w:t>CYP3A4</w:t>
      </w:r>
    </w:p>
    <w:p w14:paraId="50CA49BB"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Установено е, че мощни инхибитори на </w:t>
      </w:r>
      <w:r w:rsidRPr="00D5261D">
        <w:rPr>
          <w:rFonts w:eastAsia="Times New Roman" w:cs="Arial"/>
          <w:color w:val="000000"/>
          <w:szCs w:val="20"/>
          <w:lang w:val="en-US"/>
        </w:rPr>
        <w:t>CYP3</w:t>
      </w:r>
      <w:r w:rsidRPr="00D5261D">
        <w:rPr>
          <w:rFonts w:eastAsia="Times New Roman" w:cs="Arial"/>
          <w:color w:val="000000"/>
          <w:szCs w:val="20"/>
          <w:lang w:eastAsia="bg-BG"/>
        </w:rPr>
        <w:t xml:space="preserve">А4 водят до значително повишени концентрации на аторвастатин (вж. Таблица 1 и конкретната информация по-долу). Едновременното приложение на мощни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инхибитори (напр. циклоспорин, телитромицин, кларитромицин, делавирдин, стирипентолът, кетоконазол, вориконазол, итраконазол, позаконазол, някои антивирусни средства за лечение на хепатит С (напр. елбасвир/гразопревир) и </w:t>
      </w:r>
      <w:r w:rsidRPr="00D5261D">
        <w:rPr>
          <w:rFonts w:eastAsia="Times New Roman" w:cs="Arial"/>
          <w:color w:val="000000"/>
          <w:szCs w:val="20"/>
          <w:lang w:val="en-US"/>
        </w:rPr>
        <w:t xml:space="preserve">HIV </w:t>
      </w:r>
      <w:r w:rsidRPr="00D5261D">
        <w:rPr>
          <w:rFonts w:eastAsia="Times New Roman" w:cs="Arial"/>
          <w:color w:val="000000"/>
          <w:szCs w:val="20"/>
          <w:lang w:eastAsia="bg-BG"/>
        </w:rPr>
        <w:t>протеазни инхибитори, включително ритонавир, лопинавир, атазанавир, индинавир, дарунавир и др.) трябва да се избягва, ако е възможно. В случаите, когато едновременното приложение на тези лекарствени продукти с аторвастатин не може да се избегне, трябва да се обмисли по-ниска начална и максимална дози на аторвастатин и се препоръчва подходящо клинично проследяване на пациента (вж. Таблица 1).</w:t>
      </w:r>
    </w:p>
    <w:p w14:paraId="450A6DED" w14:textId="25CC7044"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 xml:space="preserve">Умерени инхибитори на </w:t>
      </w:r>
      <w:r w:rsidRPr="00D5261D">
        <w:rPr>
          <w:rFonts w:eastAsia="Times New Roman" w:cs="Arial"/>
          <w:color w:val="000000"/>
          <w:szCs w:val="20"/>
          <w:lang w:val="en-US"/>
        </w:rPr>
        <w:t>CYP3</w:t>
      </w:r>
      <w:r w:rsidRPr="00D5261D">
        <w:rPr>
          <w:rFonts w:eastAsia="Times New Roman" w:cs="Arial"/>
          <w:color w:val="000000"/>
          <w:szCs w:val="20"/>
          <w:lang w:eastAsia="bg-BG"/>
        </w:rPr>
        <w:t xml:space="preserve">А4 (напр. еритромицин, дилтиазем, верапамил и флуконазол) могат да повишат плазмените концентрации на аторвастатин (вж. Таблица 1). Повишен риск от миопатия се наблюдава при използването на еритромицин в комбинация със статини. Проучвания на взаимодействие за оценка на въздействието на амиодарон или верапамил върху аторвастатин не са провеждани. Известно е, че амиодарон и верапамил инхибират активността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 едновременното прилагане с аторвастатин може да доведе до повишена експозиция на аторвастатин. По тази причина трябва да се обмисли по-ниска максимална доза на аторвастатин и се препоръчва подходящо клинично наблюдение на пациента, когато се прилага едновременно с умерени инхибитори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Клинично проследяване се препоръчва при започване на лечението и при последваща промяна на дозата на инхибитора.</w:t>
      </w:r>
    </w:p>
    <w:p w14:paraId="2EFB9A79" w14:textId="0561EF86" w:rsidR="00D5261D" w:rsidRDefault="00D5261D" w:rsidP="00D5261D">
      <w:pPr>
        <w:rPr>
          <w:rFonts w:eastAsia="Times New Roman" w:cs="Arial"/>
          <w:color w:val="000000"/>
          <w:szCs w:val="20"/>
          <w:lang w:eastAsia="bg-BG"/>
        </w:rPr>
      </w:pPr>
    </w:p>
    <w:p w14:paraId="796FB9A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 xml:space="preserve">Индуктори на </w:t>
      </w:r>
      <w:r w:rsidRPr="00D5261D">
        <w:rPr>
          <w:rFonts w:eastAsia="Times New Roman" w:cs="Arial"/>
          <w:i/>
          <w:iCs/>
          <w:color w:val="000000"/>
          <w:szCs w:val="20"/>
          <w:u w:val="single"/>
          <w:lang w:val="en-US"/>
        </w:rPr>
        <w:t>CYP3A4</w:t>
      </w:r>
    </w:p>
    <w:p w14:paraId="4E32A54B"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аторвастатин с индуктори на цитохром Р450 3А (напр.</w:t>
      </w:r>
      <w:r w:rsidRPr="00D5261D">
        <w:rPr>
          <w:rFonts w:eastAsia="Times New Roman" w:cs="Arial"/>
          <w:color w:val="000000"/>
          <w:szCs w:val="20"/>
          <w:u w:val="single"/>
          <w:lang w:eastAsia="bg-BG"/>
        </w:rPr>
        <w:t xml:space="preserve"> </w:t>
      </w:r>
      <w:r w:rsidRPr="00D5261D">
        <w:rPr>
          <w:rFonts w:eastAsia="Times New Roman" w:cs="Arial"/>
          <w:color w:val="000000"/>
          <w:szCs w:val="20"/>
          <w:lang w:eastAsia="bg-BG"/>
        </w:rPr>
        <w:t>ефавиренц, рифампин, жълт кантарион) може да доведе до променливо намаляване на плазмените концентрации на аторвастатин. Поради двойния механизъм на взаимодействие  на рифампин (цитохром Р450 ЗА индукция и инхибиране на транспортера на</w:t>
      </w:r>
    </w:p>
    <w:p w14:paraId="0C9B086E" w14:textId="77777777" w:rsidR="00D5261D" w:rsidRPr="00D5261D" w:rsidRDefault="00D5261D" w:rsidP="00D5261D">
      <w:pPr>
        <w:rPr>
          <w:rFonts w:eastAsia="Times New Roman" w:cs="Arial"/>
          <w:sz w:val="28"/>
          <w:szCs w:val="24"/>
          <w:lang w:eastAsia="bg-BG"/>
        </w:rPr>
      </w:pPr>
      <w:r w:rsidRPr="00D5261D">
        <w:rPr>
          <w:rFonts w:eastAsia="Times New Roman" w:cs="Arial"/>
          <w:color w:val="000000"/>
          <w:szCs w:val="20"/>
          <w:lang w:eastAsia="bg-BG"/>
        </w:rPr>
        <w:t>хепатоцитното захващане ОАТР1В1), се препоръчва едновременно приложение на</w:t>
      </w:r>
      <w:r w:rsidRPr="00D5261D">
        <w:rPr>
          <w:rFonts w:eastAsia="Times New Roman" w:cs="Arial"/>
          <w:color w:val="000000"/>
          <w:szCs w:val="20"/>
          <w:vertAlign w:val="superscript"/>
          <w:lang w:eastAsia="bg-BG"/>
        </w:rPr>
        <w:t xml:space="preserve"> </w:t>
      </w:r>
      <w:r w:rsidRPr="00D5261D">
        <w:rPr>
          <w:rFonts w:eastAsia="Times New Roman" w:cs="Arial"/>
          <w:color w:val="000000"/>
          <w:szCs w:val="20"/>
          <w:lang w:eastAsia="bg-BG"/>
        </w:rPr>
        <w:t>аторвастатин с рифампин, тъй като отложеното прилагане на аторвастатин след прием на</w:t>
      </w:r>
      <w:r w:rsidRPr="00D5261D">
        <w:rPr>
          <w:rFonts w:eastAsia="Times New Roman" w:cs="Arial"/>
          <w:color w:val="000000"/>
          <w:szCs w:val="20"/>
          <w:lang w:val="en-US" w:eastAsia="bg-BG"/>
        </w:rPr>
        <w:t xml:space="preserve"> </w:t>
      </w:r>
      <w:r w:rsidRPr="00D5261D">
        <w:rPr>
          <w:rFonts w:eastAsia="Times New Roman" w:cs="Arial"/>
          <w:color w:val="000000"/>
          <w:szCs w:val="20"/>
          <w:lang w:eastAsia="bg-BG"/>
        </w:rPr>
        <w:t>рифампин е свързано със значително намаляване на плазмените концентрации на аторвастатин. Ефектът на рифампин върху концентрациите на аторвастатин в хепатоцитите не е известен и ако едновременното приложение не може да се избегне, пациентите трябва да бъдат внимателно наблюдавани за оценка на терапевтичния ефект.</w:t>
      </w:r>
    </w:p>
    <w:p w14:paraId="6CC6075B" w14:textId="77777777" w:rsidR="00D5261D" w:rsidRPr="00D5261D" w:rsidRDefault="00D5261D" w:rsidP="00D5261D">
      <w:pPr>
        <w:spacing w:line="240" w:lineRule="auto"/>
        <w:rPr>
          <w:rFonts w:eastAsia="Times New Roman" w:cs="Arial"/>
          <w:i/>
          <w:iCs/>
          <w:color w:val="000000"/>
          <w:szCs w:val="20"/>
          <w:u w:val="single"/>
          <w:lang w:eastAsia="bg-BG"/>
        </w:rPr>
      </w:pPr>
    </w:p>
    <w:p w14:paraId="329F1929" w14:textId="5C2E06C1"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Инхибитори на транспортерите</w:t>
      </w:r>
    </w:p>
    <w:p w14:paraId="1C95126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Инхибитори на транспортните протеини (напр. циклоспорин, летермовир) могат да повишат системната експозиция на аторвастатин (вж. Таблица 1). Ефектът на инхибиране на транспортерите на хепатоцитното захващане върху концентрациите на аторвастатин в хепатоцитите е неизвестен. Ако едновременното приложение не може да се избегне, препоръчва се намаляване на дозата и клинично наблюдение на терапевтичния ефект (вж. Таблица 1).</w:t>
      </w:r>
    </w:p>
    <w:p w14:paraId="1DEF274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Не се препоръчва употребата на аторвастатин при пациенти, приемащи едновременно летермовир и циклоспирин (вж.точка 4.4.).</w:t>
      </w:r>
    </w:p>
    <w:p w14:paraId="3AA55D36" w14:textId="77777777" w:rsidR="00D5261D" w:rsidRPr="00D5261D" w:rsidRDefault="00D5261D" w:rsidP="00D5261D">
      <w:pPr>
        <w:spacing w:line="240" w:lineRule="auto"/>
        <w:rPr>
          <w:rFonts w:eastAsia="Times New Roman" w:cs="Arial"/>
          <w:i/>
          <w:iCs/>
          <w:color w:val="000000"/>
          <w:szCs w:val="20"/>
          <w:u w:val="single"/>
          <w:lang w:eastAsia="bg-BG"/>
        </w:rPr>
      </w:pPr>
    </w:p>
    <w:p w14:paraId="7AC36573" w14:textId="041527D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lastRenderedPageBreak/>
        <w:t>Гемфиброзил/производни на фибриновата киселина</w:t>
      </w:r>
    </w:p>
    <w:p w14:paraId="3517DAA0"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Самостоятелната употреба на фибрати понякога се свързва с мускулни събития, включително рабдомиолиза. Рискът от тези събития може да се повиши при едновременната употреба на производни на фибриновата киселина и аторвастатин. Ако едновременното приложение не може да се избегне, трябва да се използва най-ниската доза на аторвастатин за постигане на терапевтичната цел и пациентите трябва да бъдат внимателно наблюдавани (вж. точка 4.4).</w:t>
      </w:r>
    </w:p>
    <w:p w14:paraId="0E97F35D" w14:textId="77777777" w:rsidR="00D5261D" w:rsidRPr="00D5261D" w:rsidRDefault="00D5261D" w:rsidP="00D5261D">
      <w:pPr>
        <w:spacing w:line="240" w:lineRule="auto"/>
        <w:rPr>
          <w:rFonts w:eastAsia="Times New Roman" w:cs="Arial"/>
          <w:i/>
          <w:iCs/>
          <w:color w:val="000000"/>
          <w:szCs w:val="20"/>
          <w:u w:val="single"/>
          <w:lang w:eastAsia="bg-BG"/>
        </w:rPr>
      </w:pPr>
    </w:p>
    <w:p w14:paraId="6F2AEAB0" w14:textId="74F5A3C0"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Езетимиб</w:t>
      </w:r>
    </w:p>
    <w:p w14:paraId="192E99CF" w14:textId="0FB88A06"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Самостоятелната употреба на езетимиб се свързва с мускулни събития, включително рабдомиолиза. По тази причина рискът от тези събития може да се повиши при едновременна употреба на езетимиб и аторвастатин. Препоръчва се подходящо наблюдение на тези пациенти.</w:t>
      </w:r>
    </w:p>
    <w:p w14:paraId="3593CB9E" w14:textId="01F73229" w:rsidR="00D5261D" w:rsidRDefault="00D5261D" w:rsidP="00D5261D">
      <w:pPr>
        <w:rPr>
          <w:rFonts w:eastAsia="Times New Roman" w:cs="Arial"/>
          <w:color w:val="000000"/>
          <w:szCs w:val="20"/>
          <w:lang w:eastAsia="bg-BG"/>
        </w:rPr>
      </w:pPr>
    </w:p>
    <w:p w14:paraId="44933E5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Колестипол</w:t>
      </w:r>
    </w:p>
    <w:p w14:paraId="5FCAE259"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Плазмените концентрации на аторвастатин и неговите активни метаболити са по-ниски (съотношение на концентрацията на аторвастатин: 0.74), когато колестипол се прилага едновременно с Калипра. Липидните ефекти обаче са по-изразени, когато Калипра и колестипол се прилагат едновременно, отколкото когато всеки лекарствен продукт се прилага самостоятелно.</w:t>
      </w:r>
    </w:p>
    <w:p w14:paraId="520F6D9B" w14:textId="77777777" w:rsidR="00D5261D" w:rsidRPr="00D5261D" w:rsidRDefault="00D5261D" w:rsidP="00D5261D">
      <w:pPr>
        <w:spacing w:line="240" w:lineRule="auto"/>
        <w:rPr>
          <w:rFonts w:eastAsia="Times New Roman" w:cs="Arial"/>
          <w:i/>
          <w:iCs/>
          <w:color w:val="000000"/>
          <w:szCs w:val="20"/>
          <w:u w:val="single"/>
          <w:lang w:eastAsia="bg-BG"/>
        </w:rPr>
      </w:pPr>
    </w:p>
    <w:p w14:paraId="055A5544" w14:textId="7FB807C8"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Фузидова киселина</w:t>
      </w:r>
    </w:p>
    <w:p w14:paraId="7585B88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Рискът от миопатия, включително рабдомиолиза може да се увличи при едновременното системно приложение на фузидова киселина и статини. Механизмът на това взаимодействие (дали е фармакодинамично или фармакокинетично) все още не е известен. Има съобщения за случаи на рабдомиолиза (включително с летален изход) при пациенти, приемащи тази комбинация.</w:t>
      </w:r>
    </w:p>
    <w:p w14:paraId="26047D3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При пациенти, при които системното приложение на фузидова киселина е наложително, лечението с аторвастатин трябва да бъде преустановено през целия период на лечение с фузидова киселина (вижте точка 4.4).</w:t>
      </w:r>
    </w:p>
    <w:p w14:paraId="75D566D2" w14:textId="77777777" w:rsidR="00D5261D" w:rsidRPr="00D5261D" w:rsidRDefault="00D5261D" w:rsidP="00D5261D">
      <w:pPr>
        <w:spacing w:line="240" w:lineRule="auto"/>
        <w:rPr>
          <w:rFonts w:eastAsia="Times New Roman" w:cs="Arial"/>
          <w:i/>
          <w:iCs/>
          <w:color w:val="000000"/>
          <w:szCs w:val="20"/>
          <w:u w:val="single"/>
          <w:lang w:eastAsia="bg-BG"/>
        </w:rPr>
      </w:pPr>
    </w:p>
    <w:p w14:paraId="15456C8C" w14:textId="34ECA728"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Колхицин</w:t>
      </w:r>
    </w:p>
    <w:p w14:paraId="034C067F" w14:textId="2361F31B" w:rsidR="00D5261D" w:rsidRPr="00D5261D" w:rsidRDefault="00D5261D" w:rsidP="00D5261D">
      <w:pPr>
        <w:rPr>
          <w:rFonts w:eastAsia="Times New Roman" w:cs="Arial"/>
          <w:color w:val="000000"/>
          <w:sz w:val="28"/>
          <w:szCs w:val="20"/>
          <w:lang w:val="en-US" w:eastAsia="bg-BG"/>
        </w:rPr>
      </w:pPr>
      <w:r w:rsidRPr="00D5261D">
        <w:rPr>
          <w:rFonts w:eastAsia="Times New Roman" w:cs="Arial"/>
          <w:color w:val="000000"/>
          <w:szCs w:val="20"/>
          <w:lang w:eastAsia="bg-BG"/>
        </w:rPr>
        <w:t>Въпреки, че не са провеждани проучвания за взаимодействия с аторвастатин и колхицин, съобщавани са случаи на миопатия при едновременно приложение на аторвастатин и колхицин и трябва да се внимава, когато се предписва аторвастатин с колхицин.</w:t>
      </w:r>
    </w:p>
    <w:p w14:paraId="17BA7770" w14:textId="6D2D14CD" w:rsidR="00D5261D" w:rsidRDefault="00D5261D" w:rsidP="00D5261D"/>
    <w:p w14:paraId="4A76A57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Въздействие на аторвастатин върху едновременно прилагани лекарствени продукти</w:t>
      </w:r>
    </w:p>
    <w:p w14:paraId="38665A7F" w14:textId="77777777" w:rsidR="00D5261D" w:rsidRPr="00D5261D" w:rsidRDefault="00D5261D" w:rsidP="00D5261D">
      <w:pPr>
        <w:spacing w:line="240" w:lineRule="auto"/>
        <w:rPr>
          <w:rFonts w:eastAsia="Times New Roman" w:cs="Arial"/>
          <w:i/>
          <w:iCs/>
          <w:color w:val="000000"/>
          <w:szCs w:val="20"/>
          <w:u w:val="single"/>
          <w:lang w:eastAsia="bg-BG"/>
        </w:rPr>
      </w:pPr>
    </w:p>
    <w:p w14:paraId="44B778C3" w14:textId="337C08B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Дигоксин</w:t>
      </w:r>
    </w:p>
    <w:p w14:paraId="4DA0AE3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При многократно приложение на дигоксин едновременно с 10 </w:t>
      </w:r>
      <w:r w:rsidRPr="00D5261D">
        <w:rPr>
          <w:rFonts w:eastAsia="Times New Roman" w:cs="Arial"/>
          <w:color w:val="000000"/>
          <w:szCs w:val="20"/>
          <w:lang w:val="en-US"/>
        </w:rPr>
        <w:t xml:space="preserve">mg </w:t>
      </w:r>
      <w:r w:rsidRPr="00D5261D">
        <w:rPr>
          <w:rFonts w:eastAsia="Times New Roman" w:cs="Arial"/>
          <w:color w:val="000000"/>
          <w:szCs w:val="20"/>
          <w:lang w:eastAsia="bg-BG"/>
        </w:rPr>
        <w:t>аторвастатин се наблюдава леко увеличаване на равновесните концентрации на дигоксин. Пациентите, приемащи дигоксин, трябва да бъдат проследявани по подходящ начин.</w:t>
      </w:r>
    </w:p>
    <w:p w14:paraId="31A51C5A" w14:textId="77777777" w:rsidR="00D5261D" w:rsidRPr="00D5261D" w:rsidRDefault="00D5261D" w:rsidP="00D5261D">
      <w:pPr>
        <w:spacing w:line="240" w:lineRule="auto"/>
        <w:rPr>
          <w:rFonts w:eastAsia="Times New Roman" w:cs="Arial"/>
          <w:i/>
          <w:iCs/>
          <w:color w:val="000000"/>
          <w:szCs w:val="20"/>
          <w:u w:val="single"/>
          <w:lang w:eastAsia="bg-BG"/>
        </w:rPr>
      </w:pPr>
    </w:p>
    <w:p w14:paraId="2847C0CE" w14:textId="49AA9F11"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Перорални контрацептиви</w:t>
      </w:r>
    </w:p>
    <w:p w14:paraId="63BC765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Калипра с перорални контрацептиви води до увеличение на плазмените концентрации на норетиндрон и етинил естрадиол.</w:t>
      </w:r>
    </w:p>
    <w:p w14:paraId="2149CD7F" w14:textId="77777777" w:rsidR="00D5261D" w:rsidRPr="00D5261D" w:rsidRDefault="00D5261D" w:rsidP="00D5261D">
      <w:pPr>
        <w:spacing w:line="240" w:lineRule="auto"/>
        <w:rPr>
          <w:rFonts w:eastAsia="Times New Roman" w:cs="Arial"/>
          <w:i/>
          <w:iCs/>
          <w:color w:val="000000"/>
          <w:szCs w:val="20"/>
          <w:u w:val="single"/>
          <w:lang w:eastAsia="bg-BG"/>
        </w:rPr>
      </w:pPr>
    </w:p>
    <w:p w14:paraId="50153A87" w14:textId="263D85FC"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Варфарин</w:t>
      </w:r>
    </w:p>
    <w:p w14:paraId="7583E90A" w14:textId="275D366A" w:rsidR="00D5261D" w:rsidRP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 xml:space="preserve">В клинично проучване при пациенти на постоянно лечение с варфарин, едновременното приложение на аторвастатин 80 </w:t>
      </w:r>
      <w:r w:rsidRPr="00D5261D">
        <w:rPr>
          <w:rFonts w:eastAsia="Times New Roman" w:cs="Arial"/>
          <w:color w:val="000000"/>
          <w:szCs w:val="20"/>
          <w:lang w:val="en-US"/>
        </w:rPr>
        <w:t xml:space="preserve">mg </w:t>
      </w:r>
      <w:r w:rsidRPr="00D5261D">
        <w:rPr>
          <w:rFonts w:eastAsia="Times New Roman" w:cs="Arial"/>
          <w:color w:val="000000"/>
          <w:szCs w:val="20"/>
          <w:lang w:eastAsia="bg-BG"/>
        </w:rPr>
        <w:t xml:space="preserve">дневно с варфарин води до слабо намаление от </w:t>
      </w:r>
      <w:r w:rsidRPr="00D5261D">
        <w:rPr>
          <w:rFonts w:eastAsia="Times New Roman" w:cs="Arial"/>
          <w:color w:val="000000"/>
          <w:szCs w:val="20"/>
          <w:lang w:eastAsia="bg-BG"/>
        </w:rPr>
        <w:lastRenderedPageBreak/>
        <w:t>около 1,7 секунди на протромбиновото време през първите 4 дни на приложение, което се връща към нормалните стойности в рамките на 15 дни от лечението с аторвастатин. Въпреки че са докладвани много редки случаи на клинично значими взаимодействия с антикоагуланти, протромбиновото време трябва да се определи преди започване на лечението с аторвастатин при пациенти, приемащи кумаринови антикоагуланти, и достатъчно често в началото на лечението, за да се гарантира, че не настъпва значима промяна в протромбиновото време. Когато се документира стабилно протромбиново време, протромбиновите времена могат да се следят на интервали, обикновено препоръчвани за пациенти, приемащи кумаринови антикоагуланти. Ако дозата на аторвастатин е променена или приемът е преустановен, трябва да се повтори същата процедура. Лечението с аторвастатин не е свързано с кървене или с промени в протромбиновото време при пациенти, които не приемат антикоагуланти.</w:t>
      </w:r>
    </w:p>
    <w:p w14:paraId="3DFD399B" w14:textId="3697B285" w:rsidR="00D5261D" w:rsidRPr="00D5261D" w:rsidRDefault="00D5261D" w:rsidP="00D5261D">
      <w:pPr>
        <w:rPr>
          <w:rFonts w:eastAsia="Times New Roman" w:cs="Arial"/>
          <w:color w:val="000000"/>
          <w:szCs w:val="20"/>
          <w:lang w:eastAsia="bg-BG"/>
        </w:rPr>
      </w:pPr>
    </w:p>
    <w:p w14:paraId="5F07E15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Педиатрична популация</w:t>
      </w:r>
    </w:p>
    <w:p w14:paraId="4C5D92C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Проучвания на лекарствени взаимодействия са провеждани само при възрастни. Степента на взаимодействие в педиатричната популация не е известна. Гореспоменатите взаимодействия при възрастни и предупрежденията в точка 4.4 трябва да бъдат взети под внимание при педиатричната популация.</w:t>
      </w:r>
    </w:p>
    <w:p w14:paraId="6FA1E119" w14:textId="77777777" w:rsidR="00D5261D" w:rsidRPr="00D5261D" w:rsidRDefault="00D5261D" w:rsidP="00D5261D">
      <w:pPr>
        <w:spacing w:line="240" w:lineRule="auto"/>
        <w:rPr>
          <w:rFonts w:eastAsia="Times New Roman" w:cs="Arial"/>
          <w:color w:val="000000"/>
          <w:szCs w:val="20"/>
          <w:u w:val="single"/>
          <w:lang w:eastAsia="bg-BG"/>
        </w:rPr>
      </w:pPr>
    </w:p>
    <w:p w14:paraId="3CD424D9" w14:textId="71589D92"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Лекарствени взаимодействия</w:t>
      </w:r>
    </w:p>
    <w:p w14:paraId="74A86F88" w14:textId="1B9C9D64" w:rsidR="00D5261D" w:rsidRDefault="00D5261D" w:rsidP="00D5261D">
      <w:pPr>
        <w:rPr>
          <w:rFonts w:eastAsia="Times New Roman" w:cs="Arial"/>
          <w:color w:val="000000"/>
          <w:szCs w:val="20"/>
          <w:u w:val="single"/>
          <w:lang w:eastAsia="bg-BG"/>
        </w:rPr>
      </w:pPr>
      <w:r w:rsidRPr="00D5261D">
        <w:rPr>
          <w:rFonts w:eastAsia="Times New Roman" w:cs="Arial"/>
          <w:color w:val="000000"/>
          <w:szCs w:val="20"/>
          <w:u w:val="single"/>
          <w:lang w:eastAsia="bg-BG"/>
        </w:rPr>
        <w:t>Таблица 1: Въздействие на едновременно прилаганите лекарствени продукти върху фармакокинетиката на аторвастатин</w:t>
      </w:r>
    </w:p>
    <w:tbl>
      <w:tblPr>
        <w:tblStyle w:val="TableGrid"/>
        <w:tblW w:w="0" w:type="auto"/>
        <w:tblLook w:val="04A0" w:firstRow="1" w:lastRow="0" w:firstColumn="1" w:lastColumn="0" w:noHBand="0" w:noVBand="1"/>
      </w:tblPr>
      <w:tblGrid>
        <w:gridCol w:w="2440"/>
        <w:gridCol w:w="2285"/>
        <w:gridCol w:w="2281"/>
        <w:gridCol w:w="2344"/>
      </w:tblGrid>
      <w:tr w:rsidR="00D5261D" w14:paraId="64F1D5D6" w14:textId="77777777" w:rsidTr="00CA4CA4">
        <w:tc>
          <w:tcPr>
            <w:tcW w:w="2440" w:type="dxa"/>
            <w:vMerge w:val="restart"/>
          </w:tcPr>
          <w:p w14:paraId="7C2A8105"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 прилаган лекарствен продукт и схема на дозиране</w:t>
            </w:r>
          </w:p>
          <w:p w14:paraId="742F5E39" w14:textId="77777777" w:rsidR="00D5261D" w:rsidRDefault="00D5261D" w:rsidP="00D5261D">
            <w:pPr>
              <w:rPr>
                <w:rFonts w:cs="Arial"/>
                <w:sz w:val="24"/>
              </w:rPr>
            </w:pPr>
          </w:p>
        </w:tc>
        <w:tc>
          <w:tcPr>
            <w:tcW w:w="6910" w:type="dxa"/>
            <w:gridSpan w:val="3"/>
          </w:tcPr>
          <w:p w14:paraId="0A8D2C86" w14:textId="0242F1F2" w:rsidR="00D5261D" w:rsidRDefault="00FD400B" w:rsidP="00D5261D">
            <w:pPr>
              <w:rPr>
                <w:rFonts w:cs="Arial"/>
                <w:sz w:val="24"/>
              </w:rPr>
            </w:pPr>
            <w:r w:rsidRPr="00FD400B">
              <w:rPr>
                <w:szCs w:val="20"/>
              </w:rPr>
              <w:t>Аторвастатин</w:t>
            </w:r>
          </w:p>
        </w:tc>
      </w:tr>
      <w:tr w:rsidR="00D5261D" w14:paraId="16B19BF5" w14:textId="77777777" w:rsidTr="00CA4CA4">
        <w:tc>
          <w:tcPr>
            <w:tcW w:w="2440" w:type="dxa"/>
            <w:vMerge/>
          </w:tcPr>
          <w:p w14:paraId="2CA565AF" w14:textId="77777777" w:rsidR="00D5261D" w:rsidRDefault="00D5261D" w:rsidP="00D5261D">
            <w:pPr>
              <w:rPr>
                <w:rFonts w:cs="Arial"/>
                <w:sz w:val="24"/>
              </w:rPr>
            </w:pPr>
          </w:p>
        </w:tc>
        <w:tc>
          <w:tcPr>
            <w:tcW w:w="2285" w:type="dxa"/>
          </w:tcPr>
          <w:p w14:paraId="603AB67A" w14:textId="07C0A96B" w:rsidR="00D5261D" w:rsidRPr="00D5261D" w:rsidRDefault="00D5261D" w:rsidP="00D5261D">
            <w:pPr>
              <w:rPr>
                <w:rFonts w:cs="Arial"/>
              </w:rPr>
            </w:pPr>
            <w:r w:rsidRPr="00D5261D">
              <w:rPr>
                <w:szCs w:val="20"/>
              </w:rPr>
              <w:t xml:space="preserve">Доза </w:t>
            </w:r>
            <w:r w:rsidRPr="00D5261D">
              <w:rPr>
                <w:szCs w:val="20"/>
                <w:lang w:val="en-US"/>
              </w:rPr>
              <w:t>(mg)</w:t>
            </w:r>
          </w:p>
        </w:tc>
        <w:tc>
          <w:tcPr>
            <w:tcW w:w="2281" w:type="dxa"/>
          </w:tcPr>
          <w:p w14:paraId="4777403C" w14:textId="05302579" w:rsidR="00D5261D" w:rsidRPr="00D5261D" w:rsidRDefault="00D5261D" w:rsidP="00D5261D">
            <w:pPr>
              <w:rPr>
                <w:rFonts w:cs="Arial"/>
              </w:rPr>
            </w:pPr>
            <w:r w:rsidRPr="00D5261D">
              <w:rPr>
                <w:szCs w:val="20"/>
              </w:rPr>
              <w:t xml:space="preserve">Промяна в </w:t>
            </w:r>
            <w:r w:rsidRPr="00D5261D">
              <w:rPr>
                <w:szCs w:val="20"/>
                <w:lang w:val="en-US"/>
              </w:rPr>
              <w:t>AUC</w:t>
            </w:r>
            <w:r w:rsidRPr="00D5261D">
              <w:rPr>
                <w:szCs w:val="20"/>
                <w:vertAlign w:val="superscript"/>
                <w:lang w:val="en-US"/>
              </w:rPr>
              <w:t>&amp;</w:t>
            </w:r>
          </w:p>
        </w:tc>
        <w:tc>
          <w:tcPr>
            <w:tcW w:w="2344" w:type="dxa"/>
          </w:tcPr>
          <w:p w14:paraId="44E81670" w14:textId="231A3DE5" w:rsidR="00D5261D" w:rsidRPr="00D5261D" w:rsidRDefault="00D5261D" w:rsidP="00D5261D">
            <w:pPr>
              <w:rPr>
                <w:rFonts w:cs="Arial"/>
              </w:rPr>
            </w:pPr>
            <w:r w:rsidRPr="00D5261D">
              <w:rPr>
                <w:szCs w:val="20"/>
              </w:rPr>
              <w:t>Клинична препоръка*</w:t>
            </w:r>
          </w:p>
        </w:tc>
      </w:tr>
      <w:tr w:rsidR="00FD400B" w14:paraId="7417A48F" w14:textId="77777777" w:rsidTr="00CA4CA4">
        <w:tc>
          <w:tcPr>
            <w:tcW w:w="2440" w:type="dxa"/>
          </w:tcPr>
          <w:p w14:paraId="36B8D49B" w14:textId="419638D9" w:rsidR="00FD400B" w:rsidRPr="00FD400B" w:rsidRDefault="00FD400B" w:rsidP="00FD400B">
            <w:pPr>
              <w:rPr>
                <w:rFonts w:cs="Arial"/>
              </w:rPr>
            </w:pPr>
            <w:r w:rsidRPr="00FD400B">
              <w:rPr>
                <w:szCs w:val="20"/>
              </w:rPr>
              <w:t xml:space="preserve">Типранавир 500 </w:t>
            </w:r>
            <w:r w:rsidRPr="00FD400B">
              <w:rPr>
                <w:szCs w:val="20"/>
                <w:lang w:val="en-US"/>
              </w:rPr>
              <w:t xml:space="preserve">mg BID/ </w:t>
            </w:r>
            <w:r w:rsidRPr="00FD400B">
              <w:rPr>
                <w:szCs w:val="20"/>
              </w:rPr>
              <w:t xml:space="preserve">ритонавир 200 </w:t>
            </w:r>
            <w:r w:rsidRPr="00FD400B">
              <w:rPr>
                <w:szCs w:val="20"/>
                <w:lang w:val="en-US"/>
              </w:rPr>
              <w:t xml:space="preserve">mg BID, </w:t>
            </w:r>
            <w:r w:rsidRPr="00FD400B">
              <w:rPr>
                <w:szCs w:val="20"/>
              </w:rPr>
              <w:t>8 дни (дни 14 до 21)</w:t>
            </w:r>
          </w:p>
        </w:tc>
        <w:tc>
          <w:tcPr>
            <w:tcW w:w="2285" w:type="dxa"/>
          </w:tcPr>
          <w:p w14:paraId="6BC1068A" w14:textId="3B0FA284" w:rsidR="00FD400B" w:rsidRPr="00FD400B" w:rsidRDefault="00FD400B" w:rsidP="00FD400B">
            <w:pPr>
              <w:rPr>
                <w:rFonts w:cs="Arial"/>
              </w:rPr>
            </w:pPr>
            <w:r w:rsidRPr="00FD400B">
              <w:rPr>
                <w:szCs w:val="20"/>
              </w:rPr>
              <w:t xml:space="preserve">40 </w:t>
            </w:r>
            <w:r w:rsidRPr="00FD400B">
              <w:rPr>
                <w:szCs w:val="20"/>
                <w:lang w:val="en-US"/>
              </w:rPr>
              <w:t xml:space="preserve">mg </w:t>
            </w:r>
            <w:r w:rsidRPr="00FD400B">
              <w:rPr>
                <w:szCs w:val="20"/>
              </w:rPr>
              <w:t xml:space="preserve">на ден 1, 10 </w:t>
            </w:r>
            <w:r w:rsidRPr="00FD400B">
              <w:rPr>
                <w:szCs w:val="20"/>
                <w:lang w:val="en-US"/>
              </w:rPr>
              <w:t xml:space="preserve">mg </w:t>
            </w:r>
            <w:r w:rsidRPr="00FD400B">
              <w:rPr>
                <w:szCs w:val="20"/>
              </w:rPr>
              <w:t>на ден 20</w:t>
            </w:r>
          </w:p>
        </w:tc>
        <w:tc>
          <w:tcPr>
            <w:tcW w:w="2281" w:type="dxa"/>
          </w:tcPr>
          <w:p w14:paraId="6724B9DE" w14:textId="61DA78F1" w:rsidR="00FD400B" w:rsidRPr="00FD400B" w:rsidRDefault="00FD400B" w:rsidP="00FD400B">
            <w:pPr>
              <w:rPr>
                <w:rFonts w:cs="Arial"/>
              </w:rPr>
            </w:pPr>
            <w:r w:rsidRPr="00FD400B">
              <w:rPr>
                <w:szCs w:val="20"/>
              </w:rPr>
              <w:t>9,4</w:t>
            </w:r>
          </w:p>
        </w:tc>
        <w:tc>
          <w:tcPr>
            <w:tcW w:w="2344" w:type="dxa"/>
            <w:vMerge w:val="restart"/>
          </w:tcPr>
          <w:p w14:paraId="06FB5C7C" w14:textId="48F50017" w:rsidR="00FD400B" w:rsidRPr="00FD400B" w:rsidRDefault="00FD400B" w:rsidP="00FD400B">
            <w:pPr>
              <w:rPr>
                <w:rFonts w:cs="Arial"/>
              </w:rPr>
            </w:pPr>
            <w:r w:rsidRPr="00FD400B">
              <w:rPr>
                <w:szCs w:val="20"/>
              </w:rPr>
              <w:t>В случаите, когато е необходимо едновременно приложение с аторвастатин, да не се надвишава</w:t>
            </w:r>
            <w:r>
              <w:rPr>
                <w:rFonts w:cs="Arial"/>
              </w:rPr>
              <w:t xml:space="preserve"> </w:t>
            </w:r>
            <w:r w:rsidRPr="00FD400B">
              <w:rPr>
                <w:szCs w:val="20"/>
              </w:rPr>
              <w:t xml:space="preserve">10 </w:t>
            </w:r>
            <w:r w:rsidRPr="00FD400B">
              <w:rPr>
                <w:szCs w:val="20"/>
                <w:lang w:val="en-US"/>
              </w:rPr>
              <w:t xml:space="preserve">mg </w:t>
            </w:r>
            <w:r w:rsidRPr="00FD400B">
              <w:rPr>
                <w:szCs w:val="20"/>
              </w:rPr>
              <w:t>аторвастатин дневно. Препоръчва се клинично наблюдение на тези пациенти.</w:t>
            </w:r>
          </w:p>
        </w:tc>
      </w:tr>
      <w:tr w:rsidR="00FD400B" w14:paraId="3F2B2244" w14:textId="77777777" w:rsidTr="00CA4CA4">
        <w:tc>
          <w:tcPr>
            <w:tcW w:w="2440" w:type="dxa"/>
          </w:tcPr>
          <w:p w14:paraId="4A1105E6" w14:textId="6CC5E66A" w:rsidR="00FD400B" w:rsidRPr="00FD400B" w:rsidRDefault="00FD400B" w:rsidP="00FD400B">
            <w:pPr>
              <w:rPr>
                <w:rFonts w:cs="Arial"/>
              </w:rPr>
            </w:pPr>
            <w:r w:rsidRPr="00FD400B">
              <w:rPr>
                <w:szCs w:val="20"/>
              </w:rPr>
              <w:t xml:space="preserve">Циклоспорин 5,2 </w:t>
            </w:r>
            <w:r w:rsidRPr="00FD400B">
              <w:rPr>
                <w:szCs w:val="20"/>
                <w:lang w:val="en-US"/>
              </w:rPr>
              <w:t>mg/kg</w:t>
            </w:r>
            <w:r w:rsidRPr="00FD400B">
              <w:rPr>
                <w:szCs w:val="20"/>
              </w:rPr>
              <w:t>/ден, стабилна доза</w:t>
            </w:r>
          </w:p>
        </w:tc>
        <w:tc>
          <w:tcPr>
            <w:tcW w:w="2285" w:type="dxa"/>
          </w:tcPr>
          <w:p w14:paraId="7F2556DB"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0A1C1D74" w14:textId="5682148E" w:rsidR="00FD400B" w:rsidRPr="00FD400B" w:rsidRDefault="00FD400B" w:rsidP="00FD400B">
            <w:pPr>
              <w:rPr>
                <w:rFonts w:cs="Arial"/>
              </w:rPr>
            </w:pPr>
            <w:r w:rsidRPr="00FD400B">
              <w:rPr>
                <w:szCs w:val="20"/>
              </w:rPr>
              <w:t>28 дни</w:t>
            </w:r>
          </w:p>
        </w:tc>
        <w:tc>
          <w:tcPr>
            <w:tcW w:w="2281" w:type="dxa"/>
          </w:tcPr>
          <w:p w14:paraId="73A296E5" w14:textId="575B754F" w:rsidR="00FD400B" w:rsidRPr="00FD400B" w:rsidRDefault="00FD400B" w:rsidP="00FD400B">
            <w:pPr>
              <w:rPr>
                <w:rFonts w:cs="Arial"/>
              </w:rPr>
            </w:pPr>
            <w:r w:rsidRPr="00FD400B">
              <w:rPr>
                <w:szCs w:val="20"/>
              </w:rPr>
              <w:t>8,7</w:t>
            </w:r>
          </w:p>
        </w:tc>
        <w:tc>
          <w:tcPr>
            <w:tcW w:w="2344" w:type="dxa"/>
            <w:vMerge/>
          </w:tcPr>
          <w:p w14:paraId="3F83D264" w14:textId="1DE5E5BD" w:rsidR="00FD400B" w:rsidRPr="00FD400B" w:rsidRDefault="00FD400B" w:rsidP="00FD400B">
            <w:pPr>
              <w:rPr>
                <w:rFonts w:cs="Arial"/>
              </w:rPr>
            </w:pPr>
          </w:p>
        </w:tc>
      </w:tr>
      <w:tr w:rsidR="00FD400B" w14:paraId="25980C16" w14:textId="77777777" w:rsidTr="00CA4CA4">
        <w:tc>
          <w:tcPr>
            <w:tcW w:w="2440" w:type="dxa"/>
          </w:tcPr>
          <w:p w14:paraId="74CE5FAB" w14:textId="061B5948" w:rsidR="00FD400B" w:rsidRPr="00FD400B" w:rsidRDefault="00FD400B" w:rsidP="00FD400B">
            <w:pPr>
              <w:rPr>
                <w:rFonts w:cs="Arial"/>
              </w:rPr>
            </w:pPr>
            <w:r w:rsidRPr="00FD400B">
              <w:rPr>
                <w:szCs w:val="20"/>
              </w:rPr>
              <w:t xml:space="preserve">Телапревир 750 </w:t>
            </w:r>
            <w:r w:rsidRPr="00FD400B">
              <w:rPr>
                <w:szCs w:val="20"/>
                <w:lang w:val="en-US"/>
              </w:rPr>
              <w:t xml:space="preserve">mg </w:t>
            </w:r>
            <w:r w:rsidRPr="00FD400B">
              <w:rPr>
                <w:szCs w:val="20"/>
              </w:rPr>
              <w:t>на 8 часа за 10 дни</w:t>
            </w:r>
          </w:p>
        </w:tc>
        <w:tc>
          <w:tcPr>
            <w:tcW w:w="2285" w:type="dxa"/>
          </w:tcPr>
          <w:p w14:paraId="2C392293" w14:textId="623CC9B7" w:rsidR="00FD400B" w:rsidRPr="00FD400B" w:rsidRDefault="00FD400B" w:rsidP="00FD400B">
            <w:pPr>
              <w:rPr>
                <w:rFonts w:cs="Arial"/>
              </w:rPr>
            </w:pPr>
            <w:r w:rsidRPr="00FD400B">
              <w:rPr>
                <w:szCs w:val="20"/>
              </w:rPr>
              <w:t xml:space="preserve">20 </w:t>
            </w:r>
            <w:r w:rsidRPr="00FD400B">
              <w:rPr>
                <w:szCs w:val="20"/>
                <w:lang w:val="en-US"/>
              </w:rPr>
              <w:t>mg, SD</w:t>
            </w:r>
          </w:p>
        </w:tc>
        <w:tc>
          <w:tcPr>
            <w:tcW w:w="2281" w:type="dxa"/>
          </w:tcPr>
          <w:p w14:paraId="26F03A32" w14:textId="511351EA" w:rsidR="00FD400B" w:rsidRPr="00FD400B" w:rsidRDefault="00FD400B" w:rsidP="00FD400B">
            <w:pPr>
              <w:rPr>
                <w:rFonts w:cs="Arial"/>
              </w:rPr>
            </w:pPr>
            <w:r w:rsidRPr="00FD400B">
              <w:rPr>
                <w:szCs w:val="20"/>
              </w:rPr>
              <w:t>7,9</w:t>
            </w:r>
          </w:p>
        </w:tc>
        <w:tc>
          <w:tcPr>
            <w:tcW w:w="2344" w:type="dxa"/>
          </w:tcPr>
          <w:p w14:paraId="68F54D01" w14:textId="77777777" w:rsidR="00FD400B" w:rsidRPr="00FD400B" w:rsidRDefault="00FD400B" w:rsidP="00FD400B">
            <w:pPr>
              <w:rPr>
                <w:rFonts w:cs="Arial"/>
              </w:rPr>
            </w:pPr>
          </w:p>
        </w:tc>
      </w:tr>
      <w:tr w:rsidR="00FD400B" w14:paraId="2011B692" w14:textId="77777777" w:rsidTr="00CA4CA4">
        <w:tc>
          <w:tcPr>
            <w:tcW w:w="2440" w:type="dxa"/>
            <w:vAlign w:val="bottom"/>
          </w:tcPr>
          <w:p w14:paraId="551470F9" w14:textId="6D3A4F14" w:rsidR="00FD400B" w:rsidRPr="00FD400B" w:rsidRDefault="00FD400B" w:rsidP="00FD400B">
            <w:pPr>
              <w:rPr>
                <w:rFonts w:cs="Arial"/>
              </w:rPr>
            </w:pPr>
            <w:r w:rsidRPr="00FD400B">
              <w:rPr>
                <w:szCs w:val="20"/>
              </w:rPr>
              <w:t xml:space="preserve">Глекапревир 400 </w:t>
            </w:r>
            <w:r w:rsidRPr="00FD400B">
              <w:rPr>
                <w:szCs w:val="20"/>
                <w:lang w:val="en-US"/>
              </w:rPr>
              <w:t xml:space="preserve">mg </w:t>
            </w:r>
            <w:r w:rsidRPr="00FD400B">
              <w:rPr>
                <w:szCs w:val="20"/>
              </w:rPr>
              <w:t>веднъж дневно/пибрентасвир</w:t>
            </w:r>
          </w:p>
        </w:tc>
        <w:tc>
          <w:tcPr>
            <w:tcW w:w="2285" w:type="dxa"/>
            <w:vAlign w:val="bottom"/>
          </w:tcPr>
          <w:p w14:paraId="0C3ED727" w14:textId="70F8A0A2" w:rsidR="00FD400B" w:rsidRPr="00FD400B" w:rsidRDefault="00FD400B" w:rsidP="00FD400B">
            <w:pPr>
              <w:rPr>
                <w:rFonts w:cs="Arial"/>
              </w:rPr>
            </w:pPr>
            <w:r w:rsidRPr="00FD400B">
              <w:rPr>
                <w:szCs w:val="20"/>
              </w:rPr>
              <w:t xml:space="preserve">10 </w:t>
            </w:r>
            <w:r w:rsidRPr="00FD400B">
              <w:rPr>
                <w:szCs w:val="20"/>
                <w:lang w:val="en-US"/>
              </w:rPr>
              <w:t xml:space="preserve">mg </w:t>
            </w:r>
            <w:r w:rsidRPr="00FD400B">
              <w:rPr>
                <w:szCs w:val="20"/>
              </w:rPr>
              <w:t>веднъж</w:t>
            </w:r>
          </w:p>
        </w:tc>
        <w:tc>
          <w:tcPr>
            <w:tcW w:w="2281" w:type="dxa"/>
          </w:tcPr>
          <w:p w14:paraId="61D0ACB6" w14:textId="0D375620" w:rsidR="00FD400B" w:rsidRPr="00FD400B" w:rsidRDefault="00FD400B" w:rsidP="00FD400B">
            <w:pPr>
              <w:rPr>
                <w:rFonts w:cs="Arial"/>
              </w:rPr>
            </w:pPr>
            <w:r w:rsidRPr="00FD400B">
              <w:rPr>
                <w:szCs w:val="20"/>
              </w:rPr>
              <w:t>8,3</w:t>
            </w:r>
          </w:p>
        </w:tc>
        <w:tc>
          <w:tcPr>
            <w:tcW w:w="2344" w:type="dxa"/>
            <w:vMerge w:val="restart"/>
            <w:vAlign w:val="bottom"/>
          </w:tcPr>
          <w:p w14:paraId="0F2BEB50" w14:textId="77777777" w:rsidR="00FD400B" w:rsidRPr="00FD400B" w:rsidRDefault="00FD400B" w:rsidP="00FD400B">
            <w:pPr>
              <w:rPr>
                <w:rFonts w:cs="Arial"/>
              </w:rPr>
            </w:pPr>
            <w:r w:rsidRPr="00FD400B">
              <w:rPr>
                <w:szCs w:val="20"/>
              </w:rPr>
              <w:t>Едновременното прилагане проду кти, съдържащи</w:t>
            </w:r>
          </w:p>
          <w:p w14:paraId="22EF1310" w14:textId="77777777" w:rsidR="00FD400B" w:rsidRPr="00FD400B" w:rsidRDefault="00FD400B" w:rsidP="00FD400B">
            <w:pPr>
              <w:rPr>
                <w:rFonts w:cs="Arial"/>
              </w:rPr>
            </w:pPr>
            <w:r w:rsidRPr="00FD400B">
              <w:rPr>
                <w:rFonts w:cs="Arial"/>
                <w:szCs w:val="20"/>
              </w:rPr>
              <w:t>глекапревир или</w:t>
            </w:r>
          </w:p>
          <w:p w14:paraId="48BB0CBA" w14:textId="77777777" w:rsidR="00FD400B" w:rsidRPr="00FD400B" w:rsidRDefault="00FD400B" w:rsidP="00FD400B">
            <w:pPr>
              <w:rPr>
                <w:rFonts w:cs="Arial"/>
              </w:rPr>
            </w:pPr>
            <w:r w:rsidRPr="00FD400B">
              <w:rPr>
                <w:rFonts w:cs="Arial"/>
                <w:szCs w:val="20"/>
              </w:rPr>
              <w:t>пибрентасвир, е противопоказано (вж. точка</w:t>
            </w:r>
          </w:p>
          <w:p w14:paraId="1D7EAF24" w14:textId="4AE41316" w:rsidR="00FD400B" w:rsidRPr="00FD400B" w:rsidRDefault="00FD400B" w:rsidP="00FD400B">
            <w:pPr>
              <w:rPr>
                <w:rFonts w:cs="Arial"/>
              </w:rPr>
            </w:pPr>
            <w:r w:rsidRPr="00FD400B">
              <w:rPr>
                <w:rFonts w:cs="Arial"/>
                <w:szCs w:val="20"/>
              </w:rPr>
              <w:t>4.3).</w:t>
            </w:r>
            <w:r w:rsidRPr="00FD400B">
              <w:rPr>
                <w:rFonts w:cs="Arial"/>
                <w:szCs w:val="20"/>
              </w:rPr>
              <w:tab/>
            </w:r>
          </w:p>
        </w:tc>
      </w:tr>
      <w:tr w:rsidR="00FD400B" w14:paraId="42F07AB6" w14:textId="77777777" w:rsidTr="00CA4CA4">
        <w:tc>
          <w:tcPr>
            <w:tcW w:w="2440" w:type="dxa"/>
          </w:tcPr>
          <w:p w14:paraId="6295C53F" w14:textId="29896D3D" w:rsidR="00FD400B" w:rsidRPr="00FD400B" w:rsidRDefault="00FD400B" w:rsidP="00FD400B">
            <w:pPr>
              <w:rPr>
                <w:rFonts w:cs="Arial"/>
              </w:rPr>
            </w:pPr>
            <w:r w:rsidRPr="00FD400B">
              <w:rPr>
                <w:rFonts w:cs="Arial"/>
                <w:szCs w:val="20"/>
              </w:rPr>
              <w:t xml:space="preserve">120 </w:t>
            </w:r>
            <w:r w:rsidRPr="00FD400B">
              <w:rPr>
                <w:rFonts w:cs="Arial"/>
                <w:szCs w:val="20"/>
                <w:lang w:val="en-US"/>
              </w:rPr>
              <w:t xml:space="preserve">mg </w:t>
            </w:r>
            <w:r w:rsidRPr="00FD400B">
              <w:rPr>
                <w:rFonts w:cs="Arial"/>
                <w:szCs w:val="20"/>
              </w:rPr>
              <w:t>веднъж дневно, 7 дни</w:t>
            </w:r>
          </w:p>
        </w:tc>
        <w:tc>
          <w:tcPr>
            <w:tcW w:w="2285" w:type="dxa"/>
          </w:tcPr>
          <w:p w14:paraId="1830816C" w14:textId="77777777" w:rsidR="00FD400B" w:rsidRPr="00FD400B" w:rsidRDefault="00FD400B" w:rsidP="00FD400B">
            <w:pPr>
              <w:rPr>
                <w:rFonts w:cs="Arial"/>
              </w:rPr>
            </w:pPr>
            <w:r w:rsidRPr="00FD400B">
              <w:rPr>
                <w:rFonts w:cs="Arial"/>
                <w:szCs w:val="20"/>
              </w:rPr>
              <w:t>дневно за 7</w:t>
            </w:r>
          </w:p>
          <w:p w14:paraId="26BCE34C" w14:textId="0E8924C3" w:rsidR="00FD400B" w:rsidRPr="00FD400B" w:rsidRDefault="00FD400B" w:rsidP="00FD400B">
            <w:pPr>
              <w:rPr>
                <w:rFonts w:cs="Arial"/>
              </w:rPr>
            </w:pPr>
            <w:r>
              <w:rPr>
                <w:rFonts w:cs="Arial"/>
                <w:bCs/>
                <w:szCs w:val="16"/>
              </w:rPr>
              <w:t>дни</w:t>
            </w:r>
          </w:p>
        </w:tc>
        <w:tc>
          <w:tcPr>
            <w:tcW w:w="2281" w:type="dxa"/>
          </w:tcPr>
          <w:p w14:paraId="3768932E" w14:textId="77777777" w:rsidR="00FD400B" w:rsidRPr="00FD400B" w:rsidRDefault="00FD400B" w:rsidP="00FD400B">
            <w:pPr>
              <w:rPr>
                <w:rFonts w:cs="Arial"/>
              </w:rPr>
            </w:pPr>
          </w:p>
        </w:tc>
        <w:tc>
          <w:tcPr>
            <w:tcW w:w="2344" w:type="dxa"/>
            <w:vMerge/>
            <w:vAlign w:val="bottom"/>
          </w:tcPr>
          <w:p w14:paraId="41E32ADF" w14:textId="23D72179" w:rsidR="00FD400B" w:rsidRPr="00FD400B" w:rsidRDefault="00FD400B" w:rsidP="00FD400B">
            <w:pPr>
              <w:rPr>
                <w:rFonts w:cs="Arial"/>
              </w:rPr>
            </w:pPr>
          </w:p>
        </w:tc>
      </w:tr>
      <w:tr w:rsidR="00FD400B" w14:paraId="2A868DFC" w14:textId="77777777" w:rsidTr="00CA4CA4">
        <w:tc>
          <w:tcPr>
            <w:tcW w:w="2440" w:type="dxa"/>
            <w:vAlign w:val="bottom"/>
          </w:tcPr>
          <w:p w14:paraId="1EA07FD2" w14:textId="5672920A" w:rsidR="00FD400B" w:rsidRPr="00FD400B" w:rsidRDefault="00FD400B" w:rsidP="00FD400B">
            <w:pPr>
              <w:rPr>
                <w:rFonts w:cs="Arial"/>
              </w:rPr>
            </w:pPr>
            <w:r w:rsidRPr="00FD400B">
              <w:rPr>
                <w:szCs w:val="20"/>
              </w:rPr>
              <w:lastRenderedPageBreak/>
              <w:t xml:space="preserve">Лопинавир 400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14 дни</w:t>
            </w:r>
          </w:p>
        </w:tc>
        <w:tc>
          <w:tcPr>
            <w:tcW w:w="2285" w:type="dxa"/>
          </w:tcPr>
          <w:p w14:paraId="04597C34" w14:textId="77777777" w:rsidR="00FD400B" w:rsidRPr="00FD400B" w:rsidRDefault="00FD400B" w:rsidP="00FD400B"/>
          <w:p w14:paraId="77FE7FF3" w14:textId="77777777" w:rsidR="00FD400B" w:rsidRPr="00FD400B" w:rsidRDefault="00FD400B" w:rsidP="00FD400B">
            <w:r w:rsidRPr="00FD400B">
              <w:rPr>
                <w:szCs w:val="20"/>
              </w:rPr>
              <w:t xml:space="preserve">20 </w:t>
            </w:r>
            <w:r w:rsidRPr="00FD400B">
              <w:rPr>
                <w:szCs w:val="20"/>
                <w:lang w:val="en-US"/>
              </w:rPr>
              <w:t xml:space="preserve">mg OD </w:t>
            </w:r>
            <w:r w:rsidRPr="00FD400B">
              <w:rPr>
                <w:szCs w:val="20"/>
              </w:rPr>
              <w:t>за</w:t>
            </w:r>
          </w:p>
          <w:p w14:paraId="0E545DC1" w14:textId="797F7BCB" w:rsidR="00FD400B" w:rsidRPr="00FD400B" w:rsidRDefault="00FD400B" w:rsidP="00FD400B">
            <w:pPr>
              <w:rPr>
                <w:rFonts w:cs="Arial"/>
              </w:rPr>
            </w:pPr>
            <w:r w:rsidRPr="00FD400B">
              <w:rPr>
                <w:szCs w:val="20"/>
              </w:rPr>
              <w:t>4 дни</w:t>
            </w:r>
          </w:p>
        </w:tc>
        <w:tc>
          <w:tcPr>
            <w:tcW w:w="2281" w:type="dxa"/>
            <w:vAlign w:val="center"/>
          </w:tcPr>
          <w:p w14:paraId="559D6D02" w14:textId="2ABD17F4" w:rsidR="00FD400B" w:rsidRPr="00FD400B" w:rsidRDefault="00FD400B" w:rsidP="00FD400B">
            <w:pPr>
              <w:rPr>
                <w:rFonts w:cs="Arial"/>
              </w:rPr>
            </w:pPr>
            <w:r w:rsidRPr="00FD400B">
              <w:rPr>
                <w:szCs w:val="20"/>
                <w:lang w:val="en-US"/>
              </w:rPr>
              <w:t>5,9</w:t>
            </w:r>
          </w:p>
        </w:tc>
        <w:tc>
          <w:tcPr>
            <w:tcW w:w="2344" w:type="dxa"/>
            <w:vMerge w:val="restart"/>
            <w:vAlign w:val="bottom"/>
          </w:tcPr>
          <w:p w14:paraId="6A9C33EE" w14:textId="77777777" w:rsidR="00FD400B" w:rsidRPr="00FD400B" w:rsidRDefault="00FD400B" w:rsidP="00FD400B">
            <w:pPr>
              <w:rPr>
                <w:rFonts w:cs="Arial"/>
              </w:rPr>
            </w:pPr>
            <w:r w:rsidRPr="00FD400B">
              <w:rPr>
                <w:szCs w:val="20"/>
              </w:rPr>
              <w:t>В случаите, когато е необходимо едновременно приложение с</w:t>
            </w:r>
          </w:p>
          <w:p w14:paraId="136BD2E6" w14:textId="05812DB2" w:rsidR="00FD400B" w:rsidRPr="00FD400B" w:rsidRDefault="00FD400B" w:rsidP="00FD400B">
            <w:pPr>
              <w:rPr>
                <w:rFonts w:cs="Arial"/>
              </w:rPr>
            </w:pPr>
            <w:r w:rsidRPr="00FD400B">
              <w:rPr>
                <w:szCs w:val="20"/>
              </w:rPr>
              <w:t xml:space="preserve">аторвастатин, препоръчват се по- ниски поддържащи дози на аторвастатин. При дози аторвастатин, превишаващи 20 </w:t>
            </w:r>
            <w:r w:rsidRPr="00FD400B">
              <w:rPr>
                <w:szCs w:val="20"/>
                <w:lang w:val="en-US"/>
              </w:rPr>
              <w:t xml:space="preserve">mg, </w:t>
            </w:r>
            <w:r w:rsidRPr="00FD400B">
              <w:rPr>
                <w:szCs w:val="20"/>
              </w:rPr>
              <w:t>се препоръчва клинично проследяване на тези пациенти.</w:t>
            </w:r>
          </w:p>
        </w:tc>
      </w:tr>
      <w:tr w:rsidR="00FD400B" w14:paraId="3A3D3542" w14:textId="77777777" w:rsidTr="00CA4CA4">
        <w:tc>
          <w:tcPr>
            <w:tcW w:w="2440" w:type="dxa"/>
          </w:tcPr>
          <w:p w14:paraId="0701BA84" w14:textId="334CB333" w:rsidR="00FD400B" w:rsidRPr="00FD400B" w:rsidRDefault="00FD400B" w:rsidP="00FD400B">
            <w:pPr>
              <w:rPr>
                <w:rFonts w:cs="Arial"/>
              </w:rPr>
            </w:pPr>
            <w:r w:rsidRPr="00FD400B">
              <w:rPr>
                <w:szCs w:val="20"/>
              </w:rPr>
              <w:t xml:space="preserve">Кларитромицин 500 </w:t>
            </w:r>
            <w:r w:rsidRPr="00FD400B">
              <w:rPr>
                <w:szCs w:val="20"/>
                <w:lang w:val="en-US"/>
              </w:rPr>
              <w:t xml:space="preserve">mg BID, </w:t>
            </w:r>
            <w:r w:rsidRPr="00FD400B">
              <w:rPr>
                <w:szCs w:val="20"/>
              </w:rPr>
              <w:t>9 дни</w:t>
            </w:r>
          </w:p>
        </w:tc>
        <w:tc>
          <w:tcPr>
            <w:tcW w:w="2285" w:type="dxa"/>
          </w:tcPr>
          <w:p w14:paraId="208370EA" w14:textId="77777777" w:rsidR="00FD400B" w:rsidRPr="00FD400B" w:rsidRDefault="00FD400B" w:rsidP="00FD400B">
            <w:r w:rsidRPr="00FD400B">
              <w:rPr>
                <w:szCs w:val="20"/>
              </w:rPr>
              <w:t xml:space="preserve">80 </w:t>
            </w:r>
            <w:r w:rsidRPr="00FD400B">
              <w:rPr>
                <w:szCs w:val="20"/>
                <w:lang w:val="en-US"/>
              </w:rPr>
              <w:t xml:space="preserve">mg OD </w:t>
            </w:r>
            <w:r w:rsidRPr="00FD400B">
              <w:rPr>
                <w:szCs w:val="20"/>
              </w:rPr>
              <w:t>за</w:t>
            </w:r>
          </w:p>
          <w:p w14:paraId="685D15BE" w14:textId="6D8F7C20" w:rsidR="00FD400B" w:rsidRPr="00FD400B" w:rsidRDefault="00FD400B" w:rsidP="00FD400B">
            <w:pPr>
              <w:rPr>
                <w:rFonts w:cs="Arial"/>
              </w:rPr>
            </w:pPr>
            <w:r w:rsidRPr="00FD400B">
              <w:rPr>
                <w:szCs w:val="20"/>
              </w:rPr>
              <w:t>8 дни</w:t>
            </w:r>
          </w:p>
        </w:tc>
        <w:tc>
          <w:tcPr>
            <w:tcW w:w="2281" w:type="dxa"/>
          </w:tcPr>
          <w:p w14:paraId="56181847" w14:textId="3499BD87" w:rsidR="00FD400B" w:rsidRPr="00FD400B" w:rsidRDefault="00FD400B" w:rsidP="00FD400B">
            <w:pPr>
              <w:rPr>
                <w:rFonts w:cs="Arial"/>
              </w:rPr>
            </w:pPr>
            <w:r w:rsidRPr="00FD400B">
              <w:rPr>
                <w:szCs w:val="20"/>
                <w:lang w:val="en-US"/>
              </w:rPr>
              <w:t>4,5</w:t>
            </w:r>
          </w:p>
        </w:tc>
        <w:tc>
          <w:tcPr>
            <w:tcW w:w="2344" w:type="dxa"/>
            <w:vMerge/>
          </w:tcPr>
          <w:p w14:paraId="7568381A" w14:textId="0D3CA540" w:rsidR="00FD400B" w:rsidRPr="00FD400B" w:rsidRDefault="00FD400B" w:rsidP="00FD400B">
            <w:pPr>
              <w:rPr>
                <w:rFonts w:cs="Arial"/>
              </w:rPr>
            </w:pPr>
          </w:p>
        </w:tc>
      </w:tr>
      <w:tr w:rsidR="00FD400B" w14:paraId="280B8189" w14:textId="77777777" w:rsidTr="00CA4CA4">
        <w:tc>
          <w:tcPr>
            <w:tcW w:w="2440" w:type="dxa"/>
          </w:tcPr>
          <w:p w14:paraId="5930E989" w14:textId="3BD0F656" w:rsidR="00FD400B" w:rsidRPr="00FD400B" w:rsidRDefault="00FD400B" w:rsidP="00FD400B">
            <w:pPr>
              <w:rPr>
                <w:rFonts w:cs="Arial"/>
              </w:rPr>
            </w:pPr>
            <w:r w:rsidRPr="00FD400B">
              <w:rPr>
                <w:szCs w:val="20"/>
              </w:rPr>
              <w:t xml:space="preserve">Саквинавир 400 </w:t>
            </w:r>
            <w:r w:rsidRPr="00FD400B">
              <w:rPr>
                <w:szCs w:val="20"/>
                <w:lang w:val="en-US"/>
              </w:rPr>
              <w:t xml:space="preserve">mg BID/ </w:t>
            </w:r>
            <w:r w:rsidRPr="00FD400B">
              <w:rPr>
                <w:szCs w:val="20"/>
              </w:rPr>
              <w:t xml:space="preserve">ритонавир (300 </w:t>
            </w:r>
            <w:r w:rsidRPr="00FD400B">
              <w:rPr>
                <w:szCs w:val="20"/>
                <w:lang w:val="en-US"/>
              </w:rPr>
              <w:t xml:space="preserve">mg BID </w:t>
            </w:r>
            <w:r w:rsidRPr="00FD400B">
              <w:rPr>
                <w:szCs w:val="20"/>
              </w:rPr>
              <w:t xml:space="preserve">за дни 5-7, увеличена до 400 </w:t>
            </w:r>
            <w:r w:rsidRPr="00FD400B">
              <w:rPr>
                <w:szCs w:val="20"/>
                <w:lang w:val="en-US"/>
              </w:rPr>
              <w:t xml:space="preserve">mg BID </w:t>
            </w:r>
            <w:r w:rsidRPr="00FD400B">
              <w:rPr>
                <w:szCs w:val="20"/>
              </w:rPr>
              <w:t>на ден 8), дни 4-18, 30 минути след дозата аторвастатин</w:t>
            </w:r>
          </w:p>
        </w:tc>
        <w:tc>
          <w:tcPr>
            <w:tcW w:w="2285" w:type="dxa"/>
          </w:tcPr>
          <w:p w14:paraId="5A871995" w14:textId="77777777" w:rsidR="00FD400B" w:rsidRPr="00FD400B" w:rsidRDefault="00FD400B" w:rsidP="00FD400B">
            <w:r w:rsidRPr="00FD400B">
              <w:rPr>
                <w:szCs w:val="20"/>
              </w:rPr>
              <w:t xml:space="preserve">40 </w:t>
            </w:r>
            <w:r w:rsidRPr="00FD400B">
              <w:rPr>
                <w:szCs w:val="20"/>
                <w:lang w:val="en-US"/>
              </w:rPr>
              <w:t xml:space="preserve">mg OD </w:t>
            </w:r>
            <w:r w:rsidRPr="00FD400B">
              <w:rPr>
                <w:szCs w:val="20"/>
              </w:rPr>
              <w:t>за</w:t>
            </w:r>
          </w:p>
          <w:p w14:paraId="447C0E54" w14:textId="0BED48E4" w:rsidR="00FD400B" w:rsidRPr="00FD400B" w:rsidRDefault="00FD400B" w:rsidP="00FD400B">
            <w:pPr>
              <w:rPr>
                <w:rFonts w:cs="Arial"/>
              </w:rPr>
            </w:pPr>
            <w:r w:rsidRPr="00FD400B">
              <w:rPr>
                <w:szCs w:val="20"/>
              </w:rPr>
              <w:t>4 дни</w:t>
            </w:r>
          </w:p>
        </w:tc>
        <w:tc>
          <w:tcPr>
            <w:tcW w:w="2281" w:type="dxa"/>
          </w:tcPr>
          <w:p w14:paraId="663E7305" w14:textId="29120B8D" w:rsidR="00FD400B" w:rsidRPr="00FD400B" w:rsidRDefault="00FD400B" w:rsidP="00FD400B">
            <w:pPr>
              <w:rPr>
                <w:rFonts w:cs="Arial"/>
              </w:rPr>
            </w:pPr>
            <w:r w:rsidRPr="00FD400B">
              <w:rPr>
                <w:szCs w:val="20"/>
                <w:lang w:val="en-US"/>
              </w:rPr>
              <w:t>3,9</w:t>
            </w:r>
          </w:p>
        </w:tc>
        <w:tc>
          <w:tcPr>
            <w:tcW w:w="2344" w:type="dxa"/>
            <w:vMerge w:val="restart"/>
            <w:vAlign w:val="bottom"/>
          </w:tcPr>
          <w:p w14:paraId="04CF841A" w14:textId="2CAE6D25" w:rsidR="00FD400B" w:rsidRPr="00FD400B" w:rsidRDefault="00FD400B" w:rsidP="00FD400B">
            <w:r w:rsidRPr="00CA4CA4">
              <w:rPr>
                <w:szCs w:val="20"/>
              </w:rPr>
              <w:t>В случаите, когато е необходимо едновременно приложение с аторвастатин, препоръчват се по-  ниски поддържащи дози на</w:t>
            </w:r>
            <w:r w:rsidRPr="00CA4CA4">
              <w:rPr>
                <w:sz w:val="24"/>
              </w:rPr>
              <w:t xml:space="preserve"> </w:t>
            </w:r>
            <w:r w:rsidRPr="00CA4CA4">
              <w:rPr>
                <w:szCs w:val="20"/>
              </w:rPr>
              <w:t xml:space="preserve">аторвастатин. При дози аторвастатин, превишаващи 40 </w:t>
            </w:r>
            <w:r w:rsidRPr="00CA4CA4">
              <w:rPr>
                <w:szCs w:val="20"/>
                <w:lang w:val="en-US"/>
              </w:rPr>
              <w:t xml:space="preserve">mg, </w:t>
            </w:r>
            <w:r w:rsidRPr="00CA4CA4">
              <w:rPr>
                <w:szCs w:val="20"/>
              </w:rPr>
              <w:t>се препоръчва клинично</w:t>
            </w:r>
            <w:r w:rsidRPr="00CA4CA4">
              <w:rPr>
                <w:sz w:val="24"/>
              </w:rPr>
              <w:t xml:space="preserve"> </w:t>
            </w:r>
            <w:r w:rsidRPr="00CA4CA4">
              <w:rPr>
                <w:szCs w:val="20"/>
              </w:rPr>
              <w:t>проследяване на тези пациенти.</w:t>
            </w:r>
          </w:p>
        </w:tc>
      </w:tr>
      <w:tr w:rsidR="00FD400B" w14:paraId="233B01B6" w14:textId="77777777" w:rsidTr="00CA4CA4">
        <w:tc>
          <w:tcPr>
            <w:tcW w:w="2440" w:type="dxa"/>
          </w:tcPr>
          <w:p w14:paraId="5C751F10" w14:textId="3451E6F5" w:rsidR="00FD400B" w:rsidRPr="00FD400B" w:rsidRDefault="00FD400B" w:rsidP="00FD400B">
            <w:pPr>
              <w:rPr>
                <w:rFonts w:cs="Arial"/>
              </w:rPr>
            </w:pPr>
            <w:r w:rsidRPr="00FD400B">
              <w:rPr>
                <w:szCs w:val="20"/>
              </w:rPr>
              <w:t xml:space="preserve">Дарунавир 300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9 дни</w:t>
            </w:r>
          </w:p>
        </w:tc>
        <w:tc>
          <w:tcPr>
            <w:tcW w:w="2285" w:type="dxa"/>
          </w:tcPr>
          <w:p w14:paraId="45160A76"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4358ECB" w14:textId="799C3950" w:rsidR="00FD400B" w:rsidRPr="00FD400B" w:rsidRDefault="00FD400B" w:rsidP="00FD400B">
            <w:pPr>
              <w:rPr>
                <w:rFonts w:cs="Arial"/>
              </w:rPr>
            </w:pPr>
            <w:r w:rsidRPr="00FD400B">
              <w:rPr>
                <w:szCs w:val="20"/>
              </w:rPr>
              <w:t>4 дни</w:t>
            </w:r>
          </w:p>
        </w:tc>
        <w:tc>
          <w:tcPr>
            <w:tcW w:w="2281" w:type="dxa"/>
          </w:tcPr>
          <w:p w14:paraId="65B3BD63" w14:textId="794FBA34" w:rsidR="00FD400B" w:rsidRPr="00FD400B" w:rsidRDefault="00FD400B" w:rsidP="00FD400B">
            <w:pPr>
              <w:rPr>
                <w:rFonts w:cs="Arial"/>
              </w:rPr>
            </w:pPr>
            <w:r w:rsidRPr="00FD400B">
              <w:rPr>
                <w:szCs w:val="20"/>
                <w:lang w:val="en-US"/>
              </w:rPr>
              <w:t>3,4</w:t>
            </w:r>
          </w:p>
        </w:tc>
        <w:tc>
          <w:tcPr>
            <w:tcW w:w="2344" w:type="dxa"/>
            <w:vMerge/>
            <w:vAlign w:val="bottom"/>
          </w:tcPr>
          <w:p w14:paraId="3B756F48" w14:textId="03EAEB09" w:rsidR="00FD400B" w:rsidRDefault="00FD400B" w:rsidP="00FD400B">
            <w:pPr>
              <w:rPr>
                <w:rFonts w:cs="Arial"/>
                <w:sz w:val="24"/>
              </w:rPr>
            </w:pPr>
          </w:p>
        </w:tc>
      </w:tr>
      <w:tr w:rsidR="00FD400B" w14:paraId="59C742D9" w14:textId="77777777" w:rsidTr="00CA4CA4">
        <w:tc>
          <w:tcPr>
            <w:tcW w:w="2440" w:type="dxa"/>
          </w:tcPr>
          <w:p w14:paraId="29BD73D1" w14:textId="02A75EBF" w:rsidR="00FD400B" w:rsidRPr="00FD400B" w:rsidRDefault="00FD400B" w:rsidP="00FD400B">
            <w:pPr>
              <w:rPr>
                <w:rFonts w:cs="Arial"/>
              </w:rPr>
            </w:pPr>
            <w:r w:rsidRPr="00FD400B">
              <w:rPr>
                <w:szCs w:val="20"/>
              </w:rPr>
              <w:t xml:space="preserve">Итраконазол 200 </w:t>
            </w:r>
            <w:r w:rsidRPr="00FD400B">
              <w:rPr>
                <w:szCs w:val="20"/>
                <w:lang w:val="en-US"/>
              </w:rPr>
              <w:t xml:space="preserve">mg OD, </w:t>
            </w:r>
            <w:r w:rsidRPr="00FD400B">
              <w:rPr>
                <w:szCs w:val="20"/>
              </w:rPr>
              <w:t>4 дни</w:t>
            </w:r>
          </w:p>
        </w:tc>
        <w:tc>
          <w:tcPr>
            <w:tcW w:w="2285" w:type="dxa"/>
          </w:tcPr>
          <w:p w14:paraId="6410E474" w14:textId="69EA709E" w:rsidR="00FD400B" w:rsidRPr="00FD400B" w:rsidRDefault="00FD400B" w:rsidP="00FD400B">
            <w:pPr>
              <w:rPr>
                <w:rFonts w:cs="Arial"/>
              </w:rPr>
            </w:pPr>
            <w:r w:rsidRPr="00FD400B">
              <w:rPr>
                <w:szCs w:val="20"/>
              </w:rPr>
              <w:t xml:space="preserve">40 </w:t>
            </w:r>
            <w:r w:rsidRPr="00FD400B">
              <w:rPr>
                <w:szCs w:val="20"/>
                <w:lang w:val="en-US"/>
              </w:rPr>
              <w:t>mg SD</w:t>
            </w:r>
          </w:p>
        </w:tc>
        <w:tc>
          <w:tcPr>
            <w:tcW w:w="2281" w:type="dxa"/>
          </w:tcPr>
          <w:p w14:paraId="77191393" w14:textId="61EF562F" w:rsidR="00FD400B" w:rsidRPr="00FD400B" w:rsidRDefault="00FD400B" w:rsidP="00FD400B">
            <w:pPr>
              <w:rPr>
                <w:rFonts w:cs="Arial"/>
              </w:rPr>
            </w:pPr>
            <w:r w:rsidRPr="00FD400B">
              <w:rPr>
                <w:szCs w:val="20"/>
                <w:lang w:val="en-US"/>
              </w:rPr>
              <w:t>3,3</w:t>
            </w:r>
          </w:p>
        </w:tc>
        <w:tc>
          <w:tcPr>
            <w:tcW w:w="2344" w:type="dxa"/>
            <w:vMerge/>
          </w:tcPr>
          <w:p w14:paraId="1810DBA7" w14:textId="561341C3" w:rsidR="00FD400B" w:rsidRDefault="00FD400B" w:rsidP="00FD400B">
            <w:pPr>
              <w:rPr>
                <w:rFonts w:cs="Arial"/>
                <w:sz w:val="24"/>
              </w:rPr>
            </w:pPr>
          </w:p>
        </w:tc>
      </w:tr>
      <w:tr w:rsidR="00FD400B" w14:paraId="2F29E41E" w14:textId="77777777" w:rsidTr="00CA4CA4">
        <w:tc>
          <w:tcPr>
            <w:tcW w:w="2440" w:type="dxa"/>
          </w:tcPr>
          <w:p w14:paraId="4C5C6CFA" w14:textId="6E0F5C7E" w:rsidR="00FD400B" w:rsidRPr="00FD400B" w:rsidRDefault="00FD400B" w:rsidP="00FD400B">
            <w:pPr>
              <w:rPr>
                <w:rFonts w:cs="Arial"/>
              </w:rPr>
            </w:pPr>
            <w:r w:rsidRPr="00FD400B">
              <w:rPr>
                <w:szCs w:val="20"/>
              </w:rPr>
              <w:t xml:space="preserve">Фозампренавир 700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14 дни</w:t>
            </w:r>
          </w:p>
        </w:tc>
        <w:tc>
          <w:tcPr>
            <w:tcW w:w="2285" w:type="dxa"/>
          </w:tcPr>
          <w:p w14:paraId="5E5C49C7"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0CD8D1D" w14:textId="158748D0" w:rsidR="00FD400B" w:rsidRPr="00FD400B" w:rsidRDefault="00FD400B" w:rsidP="00FD400B">
            <w:pPr>
              <w:rPr>
                <w:rFonts w:cs="Arial"/>
              </w:rPr>
            </w:pPr>
            <w:r w:rsidRPr="00FD400B">
              <w:rPr>
                <w:szCs w:val="20"/>
              </w:rPr>
              <w:t>4 дни</w:t>
            </w:r>
          </w:p>
        </w:tc>
        <w:tc>
          <w:tcPr>
            <w:tcW w:w="2281" w:type="dxa"/>
          </w:tcPr>
          <w:p w14:paraId="38AB404B" w14:textId="02010E29" w:rsidR="00FD400B" w:rsidRPr="00FD400B" w:rsidRDefault="00FD400B" w:rsidP="00FD400B">
            <w:pPr>
              <w:rPr>
                <w:rFonts w:cs="Arial"/>
              </w:rPr>
            </w:pPr>
            <w:r w:rsidRPr="00FD400B">
              <w:rPr>
                <w:szCs w:val="20"/>
                <w:lang w:val="en-US"/>
              </w:rPr>
              <w:t>2,5</w:t>
            </w:r>
          </w:p>
        </w:tc>
        <w:tc>
          <w:tcPr>
            <w:tcW w:w="2344" w:type="dxa"/>
          </w:tcPr>
          <w:p w14:paraId="1CCE3DE9" w14:textId="77777777" w:rsidR="00FD400B" w:rsidRDefault="00FD400B" w:rsidP="00FD400B">
            <w:pPr>
              <w:rPr>
                <w:rFonts w:cs="Arial"/>
                <w:sz w:val="24"/>
              </w:rPr>
            </w:pPr>
          </w:p>
        </w:tc>
      </w:tr>
      <w:tr w:rsidR="00FD400B" w14:paraId="5DED35A5" w14:textId="77777777" w:rsidTr="00CA4CA4">
        <w:tc>
          <w:tcPr>
            <w:tcW w:w="2440" w:type="dxa"/>
          </w:tcPr>
          <w:p w14:paraId="75212FE2" w14:textId="7D88F004" w:rsidR="00FD400B" w:rsidRPr="00FD400B" w:rsidRDefault="00FD400B" w:rsidP="00FD400B">
            <w:pPr>
              <w:rPr>
                <w:rFonts w:cs="Arial"/>
              </w:rPr>
            </w:pPr>
            <w:r w:rsidRPr="00FD400B">
              <w:rPr>
                <w:szCs w:val="20"/>
              </w:rPr>
              <w:t xml:space="preserve">Фозампренавир 1 400 </w:t>
            </w:r>
            <w:r w:rsidRPr="00FD400B">
              <w:rPr>
                <w:szCs w:val="20"/>
                <w:lang w:val="en-US"/>
              </w:rPr>
              <w:t xml:space="preserve">mg BID, </w:t>
            </w:r>
            <w:r w:rsidRPr="00FD400B">
              <w:rPr>
                <w:szCs w:val="20"/>
              </w:rPr>
              <w:t>14 дни</w:t>
            </w:r>
          </w:p>
        </w:tc>
        <w:tc>
          <w:tcPr>
            <w:tcW w:w="2285" w:type="dxa"/>
          </w:tcPr>
          <w:p w14:paraId="096CC158"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536DAE7" w14:textId="2C420923" w:rsidR="00FD400B" w:rsidRPr="00FD400B" w:rsidRDefault="00FD400B" w:rsidP="00FD400B">
            <w:pPr>
              <w:rPr>
                <w:rFonts w:cs="Arial"/>
              </w:rPr>
            </w:pPr>
            <w:r w:rsidRPr="00FD400B">
              <w:rPr>
                <w:szCs w:val="20"/>
              </w:rPr>
              <w:t>4 дни</w:t>
            </w:r>
          </w:p>
        </w:tc>
        <w:tc>
          <w:tcPr>
            <w:tcW w:w="2281" w:type="dxa"/>
          </w:tcPr>
          <w:p w14:paraId="747895AC" w14:textId="7C655815" w:rsidR="00FD400B" w:rsidRPr="00FD400B" w:rsidRDefault="00FD400B" w:rsidP="00FD400B">
            <w:pPr>
              <w:rPr>
                <w:rFonts w:cs="Arial"/>
              </w:rPr>
            </w:pPr>
            <w:r w:rsidRPr="00FD400B">
              <w:rPr>
                <w:szCs w:val="20"/>
                <w:lang w:val="en-US"/>
              </w:rPr>
              <w:t>2,3</w:t>
            </w:r>
          </w:p>
        </w:tc>
        <w:tc>
          <w:tcPr>
            <w:tcW w:w="2344" w:type="dxa"/>
          </w:tcPr>
          <w:p w14:paraId="5112EBCF" w14:textId="77777777" w:rsidR="00FD400B" w:rsidRDefault="00FD400B" w:rsidP="00FD400B">
            <w:pPr>
              <w:rPr>
                <w:rFonts w:cs="Arial"/>
                <w:sz w:val="24"/>
              </w:rPr>
            </w:pPr>
          </w:p>
        </w:tc>
      </w:tr>
      <w:tr w:rsidR="00FD400B" w14:paraId="01E5C082" w14:textId="77777777" w:rsidTr="00CA4CA4">
        <w:tc>
          <w:tcPr>
            <w:tcW w:w="2440" w:type="dxa"/>
          </w:tcPr>
          <w:p w14:paraId="702FE5C9" w14:textId="56F10BB3" w:rsidR="00FD400B" w:rsidRPr="00FD400B" w:rsidRDefault="00FD400B" w:rsidP="00FD400B">
            <w:pPr>
              <w:rPr>
                <w:rFonts w:cs="Arial"/>
              </w:rPr>
            </w:pPr>
            <w:r w:rsidRPr="00FD400B">
              <w:rPr>
                <w:szCs w:val="20"/>
              </w:rPr>
              <w:t xml:space="preserve">Елбасвир 50 </w:t>
            </w:r>
            <w:r w:rsidRPr="00FD400B">
              <w:rPr>
                <w:szCs w:val="20"/>
                <w:lang w:val="en-US"/>
              </w:rPr>
              <w:t xml:space="preserve">mg </w:t>
            </w:r>
            <w:r w:rsidRPr="00FD400B">
              <w:rPr>
                <w:szCs w:val="20"/>
              </w:rPr>
              <w:t xml:space="preserve">веднъж дневно/гразопревир 200 </w:t>
            </w:r>
            <w:r w:rsidRPr="00FD400B">
              <w:rPr>
                <w:szCs w:val="20"/>
                <w:lang w:val="en-US"/>
              </w:rPr>
              <w:t xml:space="preserve">mg </w:t>
            </w:r>
            <w:r w:rsidRPr="00FD400B">
              <w:rPr>
                <w:szCs w:val="20"/>
              </w:rPr>
              <w:t>веднъж дневно, 13 дни</w:t>
            </w:r>
          </w:p>
        </w:tc>
        <w:tc>
          <w:tcPr>
            <w:tcW w:w="2285" w:type="dxa"/>
          </w:tcPr>
          <w:p w14:paraId="788F50F8" w14:textId="785AA56B" w:rsidR="00FD400B" w:rsidRPr="00FD400B" w:rsidRDefault="00FD400B" w:rsidP="00FD400B">
            <w:pPr>
              <w:rPr>
                <w:rFonts w:cs="Arial"/>
              </w:rPr>
            </w:pPr>
            <w:r w:rsidRPr="00FD400B">
              <w:rPr>
                <w:szCs w:val="20"/>
              </w:rPr>
              <w:t xml:space="preserve">10 </w:t>
            </w:r>
            <w:r w:rsidRPr="00FD400B">
              <w:rPr>
                <w:szCs w:val="20"/>
                <w:lang w:val="en-US"/>
              </w:rPr>
              <w:t xml:space="preserve">mg </w:t>
            </w:r>
            <w:r w:rsidRPr="00FD400B">
              <w:rPr>
                <w:szCs w:val="20"/>
              </w:rPr>
              <w:t>единична доза</w:t>
            </w:r>
          </w:p>
        </w:tc>
        <w:tc>
          <w:tcPr>
            <w:tcW w:w="2281" w:type="dxa"/>
          </w:tcPr>
          <w:p w14:paraId="2D222B29" w14:textId="48890071" w:rsidR="00FD400B" w:rsidRPr="00FD400B" w:rsidRDefault="00FD400B" w:rsidP="00FD400B">
            <w:pPr>
              <w:rPr>
                <w:rFonts w:cs="Arial"/>
              </w:rPr>
            </w:pPr>
            <w:r w:rsidRPr="00FD400B">
              <w:rPr>
                <w:szCs w:val="20"/>
                <w:lang w:val="en-US"/>
              </w:rPr>
              <w:t>1,95</w:t>
            </w:r>
          </w:p>
        </w:tc>
        <w:tc>
          <w:tcPr>
            <w:tcW w:w="2344" w:type="dxa"/>
            <w:vAlign w:val="bottom"/>
          </w:tcPr>
          <w:p w14:paraId="054F4593" w14:textId="77777777" w:rsidR="00FD400B" w:rsidRPr="00FD400B" w:rsidRDefault="00FD400B" w:rsidP="00FD400B">
            <w:r w:rsidRPr="00FD400B">
              <w:rPr>
                <w:szCs w:val="20"/>
              </w:rPr>
              <w:t xml:space="preserve">Дозата на аторвастатин не трябва да превишава дневна доза от 20 </w:t>
            </w:r>
            <w:r w:rsidRPr="00FD400B">
              <w:rPr>
                <w:szCs w:val="20"/>
                <w:lang w:val="en-US"/>
              </w:rPr>
              <w:t xml:space="preserve">mg </w:t>
            </w:r>
            <w:r w:rsidRPr="00FD400B">
              <w:rPr>
                <w:szCs w:val="20"/>
              </w:rPr>
              <w:t>при</w:t>
            </w:r>
            <w:r w:rsidRPr="00FD400B">
              <w:rPr>
                <w:szCs w:val="20"/>
              </w:rPr>
              <w:tab/>
            </w:r>
          </w:p>
          <w:p w14:paraId="4D2CC62F" w14:textId="77777777" w:rsidR="00FD400B" w:rsidRPr="00FD400B" w:rsidRDefault="00FD400B" w:rsidP="00FD400B">
            <w:r w:rsidRPr="00FD400B">
              <w:rPr>
                <w:szCs w:val="20"/>
              </w:rPr>
              <w:t>едновременно прилагане на</w:t>
            </w:r>
            <w:r w:rsidRPr="00FD400B">
              <w:rPr>
                <w:szCs w:val="20"/>
              </w:rPr>
              <w:tab/>
            </w:r>
          </w:p>
          <w:p w14:paraId="12DEA17C" w14:textId="49BBD23D" w:rsidR="00FD400B" w:rsidRPr="00FD400B" w:rsidRDefault="00FD400B" w:rsidP="00FD400B">
            <w:pPr>
              <w:rPr>
                <w:rFonts w:cs="Arial"/>
              </w:rPr>
            </w:pPr>
            <w:r w:rsidRPr="00FD400B">
              <w:rPr>
                <w:szCs w:val="20"/>
              </w:rPr>
              <w:t>продукти, съдържащи елбасвир или гразопревир.</w:t>
            </w:r>
          </w:p>
        </w:tc>
      </w:tr>
      <w:tr w:rsidR="00FD400B" w14:paraId="6EE3B3C2" w14:textId="77777777" w:rsidTr="00CA4CA4">
        <w:tc>
          <w:tcPr>
            <w:tcW w:w="2440" w:type="dxa"/>
          </w:tcPr>
          <w:p w14:paraId="6616E004" w14:textId="4AE2D195" w:rsidR="00FD400B" w:rsidRPr="00FD400B" w:rsidRDefault="00FD400B" w:rsidP="00FD400B">
            <w:pPr>
              <w:rPr>
                <w:rFonts w:cs="Arial"/>
              </w:rPr>
            </w:pPr>
            <w:r w:rsidRPr="00FD400B">
              <w:rPr>
                <w:szCs w:val="20"/>
              </w:rPr>
              <w:lastRenderedPageBreak/>
              <w:t xml:space="preserve">Летермовир 480 </w:t>
            </w:r>
            <w:r w:rsidRPr="00FD400B">
              <w:rPr>
                <w:szCs w:val="20"/>
                <w:lang w:val="en-US"/>
              </w:rPr>
              <w:t xml:space="preserve">mg OD, </w:t>
            </w:r>
            <w:r w:rsidRPr="00FD400B">
              <w:rPr>
                <w:szCs w:val="20"/>
              </w:rPr>
              <w:t>10 дни</w:t>
            </w:r>
          </w:p>
        </w:tc>
        <w:tc>
          <w:tcPr>
            <w:tcW w:w="2285" w:type="dxa"/>
          </w:tcPr>
          <w:p w14:paraId="169CDA6A" w14:textId="7A8F157F" w:rsidR="00FD400B" w:rsidRPr="00FD400B" w:rsidRDefault="00FD400B" w:rsidP="00FD400B">
            <w:pPr>
              <w:rPr>
                <w:rFonts w:cs="Arial"/>
              </w:rPr>
            </w:pPr>
            <w:r w:rsidRPr="00FD400B">
              <w:rPr>
                <w:szCs w:val="20"/>
              </w:rPr>
              <w:t xml:space="preserve">20 </w:t>
            </w:r>
            <w:r w:rsidRPr="00FD400B">
              <w:rPr>
                <w:szCs w:val="20"/>
                <w:lang w:val="en-US"/>
              </w:rPr>
              <w:t>mg SD</w:t>
            </w:r>
          </w:p>
        </w:tc>
        <w:tc>
          <w:tcPr>
            <w:tcW w:w="2281" w:type="dxa"/>
          </w:tcPr>
          <w:p w14:paraId="1A73E0A3" w14:textId="5E389734" w:rsidR="00FD400B" w:rsidRPr="00FD400B" w:rsidRDefault="00FD400B" w:rsidP="00FD400B">
            <w:pPr>
              <w:rPr>
                <w:rFonts w:cs="Arial"/>
              </w:rPr>
            </w:pPr>
            <w:r w:rsidRPr="00FD400B">
              <w:rPr>
                <w:szCs w:val="20"/>
                <w:lang w:val="en-US"/>
              </w:rPr>
              <w:t>3,29</w:t>
            </w:r>
          </w:p>
        </w:tc>
        <w:tc>
          <w:tcPr>
            <w:tcW w:w="2344" w:type="dxa"/>
            <w:vAlign w:val="bottom"/>
          </w:tcPr>
          <w:p w14:paraId="457D4DD8" w14:textId="77777777" w:rsidR="00FD400B" w:rsidRPr="00FD400B" w:rsidRDefault="00FD400B" w:rsidP="00FD400B">
            <w:r w:rsidRPr="00FD400B">
              <w:rPr>
                <w:szCs w:val="20"/>
              </w:rPr>
              <w:t>Дозата на аторвастатин не</w:t>
            </w:r>
          </w:p>
          <w:p w14:paraId="73202F95" w14:textId="77777777" w:rsidR="00FD400B" w:rsidRPr="00FD400B" w:rsidRDefault="00FD400B" w:rsidP="00FD400B">
            <w:r w:rsidRPr="00FD400B">
              <w:rPr>
                <w:szCs w:val="20"/>
              </w:rPr>
              <w:t>трябва да превишава дневна</w:t>
            </w:r>
          </w:p>
          <w:p w14:paraId="6A7D95AB" w14:textId="34CE5859" w:rsidR="00FD400B" w:rsidRPr="00FD400B" w:rsidRDefault="00FD400B" w:rsidP="00FD400B">
            <w:pPr>
              <w:rPr>
                <w:rFonts w:cs="Arial"/>
              </w:rPr>
            </w:pPr>
            <w:r w:rsidRPr="00FD400B">
              <w:rPr>
                <w:szCs w:val="20"/>
              </w:rPr>
              <w:t xml:space="preserve">доза от 20 </w:t>
            </w:r>
            <w:r w:rsidRPr="00FD400B">
              <w:rPr>
                <w:szCs w:val="20"/>
                <w:lang w:val="en-US"/>
              </w:rPr>
              <w:t xml:space="preserve">mg </w:t>
            </w:r>
            <w:r w:rsidRPr="00FD400B">
              <w:rPr>
                <w:szCs w:val="20"/>
              </w:rPr>
              <w:t>при едновременно прилагане на продукти, съдържащи летермовир.</w:t>
            </w:r>
          </w:p>
        </w:tc>
      </w:tr>
      <w:tr w:rsidR="00FD400B" w14:paraId="1497E4FC" w14:textId="77777777" w:rsidTr="00CA4CA4">
        <w:tc>
          <w:tcPr>
            <w:tcW w:w="2440" w:type="dxa"/>
          </w:tcPr>
          <w:p w14:paraId="3074163C" w14:textId="7F47E546" w:rsidR="00FD400B" w:rsidRPr="00FD400B" w:rsidRDefault="00FD400B" w:rsidP="00FD400B">
            <w:pPr>
              <w:rPr>
                <w:rFonts w:cs="Arial"/>
              </w:rPr>
            </w:pPr>
            <w:r w:rsidRPr="00FD400B">
              <w:rPr>
                <w:szCs w:val="20"/>
              </w:rPr>
              <w:t xml:space="preserve">Нелфинавир 1 250 </w:t>
            </w:r>
            <w:r w:rsidRPr="00FD400B">
              <w:rPr>
                <w:szCs w:val="20"/>
                <w:lang w:val="en-US"/>
              </w:rPr>
              <w:t xml:space="preserve">mg BID, </w:t>
            </w:r>
            <w:r w:rsidRPr="00FD400B">
              <w:rPr>
                <w:szCs w:val="20"/>
              </w:rPr>
              <w:t>14 дни</w:t>
            </w:r>
          </w:p>
        </w:tc>
        <w:tc>
          <w:tcPr>
            <w:tcW w:w="2285" w:type="dxa"/>
            <w:vAlign w:val="bottom"/>
          </w:tcPr>
          <w:p w14:paraId="0433B874"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7085BFE7" w14:textId="4F37DDBB" w:rsidR="00FD400B" w:rsidRPr="00FD400B" w:rsidRDefault="00FD400B" w:rsidP="00FD400B">
            <w:pPr>
              <w:rPr>
                <w:rFonts w:cs="Arial"/>
              </w:rPr>
            </w:pPr>
            <w:r w:rsidRPr="00FD400B">
              <w:rPr>
                <w:szCs w:val="20"/>
              </w:rPr>
              <w:t>28 дни</w:t>
            </w:r>
          </w:p>
        </w:tc>
        <w:tc>
          <w:tcPr>
            <w:tcW w:w="2281" w:type="dxa"/>
          </w:tcPr>
          <w:p w14:paraId="56200564" w14:textId="2D42337D" w:rsidR="00FD400B" w:rsidRPr="00FD400B" w:rsidRDefault="00FD400B" w:rsidP="00FD400B">
            <w:pPr>
              <w:rPr>
                <w:rFonts w:cs="Arial"/>
              </w:rPr>
            </w:pPr>
            <w:r w:rsidRPr="00FD400B">
              <w:rPr>
                <w:szCs w:val="20"/>
                <w:lang w:val="en-US"/>
              </w:rPr>
              <w:t>1,74</w:t>
            </w:r>
          </w:p>
        </w:tc>
        <w:tc>
          <w:tcPr>
            <w:tcW w:w="2344" w:type="dxa"/>
          </w:tcPr>
          <w:p w14:paraId="257BAC90" w14:textId="5FBE131B" w:rsidR="00FD400B" w:rsidRPr="00FD400B" w:rsidRDefault="00FD400B" w:rsidP="00FD400B">
            <w:pPr>
              <w:rPr>
                <w:rFonts w:cs="Arial"/>
              </w:rPr>
            </w:pPr>
            <w:r w:rsidRPr="00FD400B">
              <w:rPr>
                <w:szCs w:val="20"/>
              </w:rPr>
              <w:t>Няма специфични препоръки</w:t>
            </w:r>
          </w:p>
        </w:tc>
      </w:tr>
      <w:tr w:rsidR="00D5261D" w14:paraId="07E65692" w14:textId="77777777" w:rsidTr="00CA4CA4">
        <w:tc>
          <w:tcPr>
            <w:tcW w:w="2440" w:type="dxa"/>
          </w:tcPr>
          <w:p w14:paraId="223854C4" w14:textId="7D6EB4DD" w:rsidR="00D5261D" w:rsidRPr="00FD400B" w:rsidRDefault="00FD400B" w:rsidP="00D5261D">
            <w:pPr>
              <w:rPr>
                <w:rFonts w:cs="Arial"/>
              </w:rPr>
            </w:pPr>
            <w:r w:rsidRPr="00FD400B">
              <w:rPr>
                <w:rFonts w:cs="Arial"/>
                <w:szCs w:val="20"/>
              </w:rPr>
              <w:t xml:space="preserve">Сок от грейпфрут, 240 </w:t>
            </w:r>
            <w:r w:rsidRPr="00FD400B">
              <w:rPr>
                <w:rFonts w:cs="Arial"/>
                <w:szCs w:val="20"/>
                <w:lang w:val="en-US"/>
              </w:rPr>
              <w:t xml:space="preserve">ml OD </w:t>
            </w:r>
            <w:r w:rsidRPr="00FD400B">
              <w:rPr>
                <w:rFonts w:cs="Arial"/>
                <w:szCs w:val="20"/>
              </w:rPr>
              <w:t>*</w:t>
            </w:r>
          </w:p>
        </w:tc>
        <w:tc>
          <w:tcPr>
            <w:tcW w:w="2285" w:type="dxa"/>
          </w:tcPr>
          <w:p w14:paraId="6618A60A" w14:textId="33096B76" w:rsidR="00D5261D" w:rsidRPr="00FD400B" w:rsidRDefault="00FD400B" w:rsidP="00D5261D">
            <w:pPr>
              <w:rPr>
                <w:rFonts w:cs="Arial"/>
              </w:rPr>
            </w:pPr>
            <w:r w:rsidRPr="00FD400B">
              <w:rPr>
                <w:rFonts w:cs="Arial"/>
                <w:szCs w:val="20"/>
                <w:lang w:eastAsia="bg-BG"/>
              </w:rPr>
              <w:t xml:space="preserve">40 </w:t>
            </w:r>
            <w:r w:rsidRPr="00FD400B">
              <w:rPr>
                <w:rFonts w:cs="Arial"/>
                <w:szCs w:val="20"/>
              </w:rPr>
              <w:t>mg, SD</w:t>
            </w:r>
          </w:p>
        </w:tc>
        <w:tc>
          <w:tcPr>
            <w:tcW w:w="2281" w:type="dxa"/>
          </w:tcPr>
          <w:p w14:paraId="5AA6A85F" w14:textId="41CCF505" w:rsidR="00D5261D" w:rsidRPr="00FD400B" w:rsidRDefault="00FD400B" w:rsidP="00D5261D">
            <w:pPr>
              <w:rPr>
                <w:rFonts w:cs="Arial"/>
              </w:rPr>
            </w:pPr>
            <w:r w:rsidRPr="00FD400B">
              <w:rPr>
                <w:rFonts w:cs="Arial"/>
                <w:szCs w:val="20"/>
              </w:rPr>
              <w:t>1,37</w:t>
            </w:r>
          </w:p>
        </w:tc>
        <w:tc>
          <w:tcPr>
            <w:tcW w:w="2344" w:type="dxa"/>
          </w:tcPr>
          <w:p w14:paraId="7E153679" w14:textId="77777777" w:rsidR="00FD400B" w:rsidRPr="00FD400B" w:rsidRDefault="00FD400B" w:rsidP="00FD400B">
            <w:pPr>
              <w:spacing w:line="240" w:lineRule="auto"/>
              <w:rPr>
                <w:rFonts w:eastAsia="Times New Roman" w:cs="Arial"/>
                <w:szCs w:val="24"/>
                <w:lang w:eastAsia="bg-BG"/>
              </w:rPr>
            </w:pPr>
            <w:r w:rsidRPr="00FD400B">
              <w:rPr>
                <w:rFonts w:eastAsia="Times New Roman" w:cs="Arial"/>
                <w:color w:val="000000"/>
                <w:szCs w:val="20"/>
                <w:lang w:eastAsia="bg-BG"/>
              </w:rPr>
              <w:t>Едновременното приемане на</w:t>
            </w:r>
          </w:p>
          <w:p w14:paraId="0ED7BEE4" w14:textId="77777777" w:rsidR="00FD400B" w:rsidRPr="00FD400B" w:rsidRDefault="00FD400B" w:rsidP="00FD400B">
            <w:pPr>
              <w:spacing w:line="240" w:lineRule="auto"/>
              <w:rPr>
                <w:rFonts w:eastAsia="Times New Roman" w:cs="Arial"/>
                <w:szCs w:val="24"/>
                <w:lang w:eastAsia="bg-BG"/>
              </w:rPr>
            </w:pPr>
            <w:r w:rsidRPr="00FD400B">
              <w:rPr>
                <w:rFonts w:eastAsia="Times New Roman" w:cs="Arial"/>
                <w:color w:val="000000"/>
                <w:szCs w:val="20"/>
                <w:lang w:eastAsia="bg-BG"/>
              </w:rPr>
              <w:t>големи количества сок от</w:t>
            </w:r>
          </w:p>
          <w:p w14:paraId="46961D14" w14:textId="05C2D8EB" w:rsidR="00D5261D" w:rsidRPr="00FD400B" w:rsidRDefault="00FD400B" w:rsidP="00FD400B">
            <w:pPr>
              <w:rPr>
                <w:rFonts w:cs="Arial"/>
              </w:rPr>
            </w:pPr>
            <w:r w:rsidRPr="00FD400B">
              <w:rPr>
                <w:rFonts w:eastAsia="Times New Roman" w:cs="Arial"/>
                <w:color w:val="000000"/>
                <w:szCs w:val="20"/>
                <w:lang w:eastAsia="bg-BG"/>
              </w:rPr>
              <w:t>грейпфрут и аторвастатин не се препоръчва.</w:t>
            </w:r>
          </w:p>
        </w:tc>
      </w:tr>
      <w:tr w:rsidR="00CA4CA4" w14:paraId="59867369" w14:textId="77777777" w:rsidTr="00F502CE">
        <w:trPr>
          <w:trHeight w:val="2361"/>
        </w:trPr>
        <w:tc>
          <w:tcPr>
            <w:tcW w:w="2440" w:type="dxa"/>
          </w:tcPr>
          <w:p w14:paraId="2A93CB66" w14:textId="12355A00" w:rsidR="00CA4CA4" w:rsidRPr="00FD400B" w:rsidRDefault="00CA4CA4" w:rsidP="00D5261D">
            <w:pPr>
              <w:rPr>
                <w:rFonts w:cs="Arial"/>
              </w:rPr>
            </w:pPr>
            <w:r w:rsidRPr="00FD400B">
              <w:rPr>
                <w:rFonts w:cs="Arial"/>
                <w:szCs w:val="20"/>
              </w:rPr>
              <w:t xml:space="preserve">Дилтиазем 240 </w:t>
            </w:r>
            <w:r w:rsidRPr="00FD400B">
              <w:rPr>
                <w:rFonts w:cs="Arial"/>
                <w:szCs w:val="20"/>
                <w:lang w:val="en-US"/>
              </w:rPr>
              <w:t xml:space="preserve">mg OD, </w:t>
            </w:r>
            <w:r w:rsidRPr="00FD400B">
              <w:rPr>
                <w:rFonts w:cs="Arial"/>
                <w:szCs w:val="20"/>
              </w:rPr>
              <w:t>28 дни</w:t>
            </w:r>
          </w:p>
        </w:tc>
        <w:tc>
          <w:tcPr>
            <w:tcW w:w="2285" w:type="dxa"/>
          </w:tcPr>
          <w:p w14:paraId="02EECFEA" w14:textId="441AC1A5" w:rsidR="00CA4CA4" w:rsidRPr="00FD400B" w:rsidRDefault="00CA4CA4" w:rsidP="00D5261D">
            <w:pPr>
              <w:rPr>
                <w:rFonts w:cs="Arial"/>
              </w:rPr>
            </w:pPr>
            <w:r w:rsidRPr="00FD400B">
              <w:rPr>
                <w:rFonts w:cs="Arial"/>
                <w:szCs w:val="20"/>
                <w:lang w:eastAsia="bg-BG"/>
              </w:rPr>
              <w:t xml:space="preserve">40 </w:t>
            </w:r>
            <w:r w:rsidRPr="00FD400B">
              <w:rPr>
                <w:rFonts w:cs="Arial"/>
                <w:szCs w:val="20"/>
              </w:rPr>
              <w:t>mg, SD</w:t>
            </w:r>
          </w:p>
        </w:tc>
        <w:tc>
          <w:tcPr>
            <w:tcW w:w="2281" w:type="dxa"/>
          </w:tcPr>
          <w:p w14:paraId="1EAAFEE7" w14:textId="0D2E8BD4" w:rsidR="00CA4CA4" w:rsidRPr="00FD400B" w:rsidRDefault="00CA4CA4" w:rsidP="00D5261D">
            <w:pPr>
              <w:rPr>
                <w:rFonts w:cs="Arial"/>
              </w:rPr>
            </w:pPr>
            <w:r w:rsidRPr="00FD400B">
              <w:rPr>
                <w:rFonts w:cs="Arial"/>
                <w:szCs w:val="20"/>
              </w:rPr>
              <w:t>1,51</w:t>
            </w:r>
          </w:p>
        </w:tc>
        <w:tc>
          <w:tcPr>
            <w:tcW w:w="2344" w:type="dxa"/>
          </w:tcPr>
          <w:p w14:paraId="362807D1" w14:textId="77777777" w:rsidR="00CA4CA4" w:rsidRPr="00FD400B" w:rsidRDefault="00CA4CA4" w:rsidP="00FD400B">
            <w:pPr>
              <w:spacing w:line="240" w:lineRule="auto"/>
              <w:rPr>
                <w:rFonts w:eastAsia="Times New Roman" w:cs="Arial"/>
                <w:szCs w:val="24"/>
                <w:lang w:eastAsia="bg-BG"/>
              </w:rPr>
            </w:pPr>
            <w:r w:rsidRPr="00FD400B">
              <w:rPr>
                <w:rFonts w:eastAsia="Times New Roman" w:cs="Arial"/>
                <w:color w:val="000000"/>
                <w:szCs w:val="20"/>
                <w:lang w:eastAsia="bg-BG"/>
              </w:rPr>
              <w:t>След започване</w:t>
            </w:r>
            <w:r w:rsidRPr="00FD400B">
              <w:rPr>
                <w:rFonts w:eastAsia="Times New Roman" w:cs="Arial"/>
                <w:color w:val="000000"/>
                <w:szCs w:val="20"/>
                <w:lang w:val="en-US"/>
              </w:rPr>
              <w:t xml:space="preserve"> </w:t>
            </w:r>
            <w:r w:rsidRPr="00FD400B">
              <w:rPr>
                <w:rFonts w:eastAsia="Times New Roman" w:cs="Arial"/>
                <w:color w:val="000000"/>
                <w:szCs w:val="20"/>
                <w:lang w:eastAsia="bg-BG"/>
              </w:rPr>
              <w:t xml:space="preserve">или последващи </w:t>
            </w:r>
          </w:p>
          <w:p w14:paraId="38C0B86A" w14:textId="77777777" w:rsidR="00CA4CA4" w:rsidRPr="00FD400B" w:rsidRDefault="00CA4CA4" w:rsidP="00FD400B">
            <w:pPr>
              <w:spacing w:line="240" w:lineRule="auto"/>
              <w:rPr>
                <w:rFonts w:eastAsia="Times New Roman" w:cs="Arial"/>
                <w:szCs w:val="24"/>
                <w:lang w:eastAsia="bg-BG"/>
              </w:rPr>
            </w:pPr>
            <w:r w:rsidRPr="00FD400B">
              <w:rPr>
                <w:rFonts w:eastAsia="Times New Roman" w:cs="Arial"/>
                <w:color w:val="000000"/>
                <w:szCs w:val="20"/>
                <w:lang w:eastAsia="bg-BG"/>
              </w:rPr>
              <w:t>корекции на дозата на дилтиазем,</w:t>
            </w:r>
          </w:p>
          <w:p w14:paraId="56C89284" w14:textId="77777777" w:rsidR="00CA4CA4" w:rsidRDefault="00CA4CA4" w:rsidP="00FD400B">
            <w:pPr>
              <w:rPr>
                <w:rFonts w:eastAsia="Times New Roman" w:cs="Arial"/>
                <w:color w:val="000000"/>
                <w:szCs w:val="20"/>
                <w:lang w:eastAsia="bg-BG"/>
              </w:rPr>
            </w:pPr>
            <w:r w:rsidRPr="00FD400B">
              <w:rPr>
                <w:rFonts w:eastAsia="Times New Roman" w:cs="Arial"/>
                <w:color w:val="000000"/>
                <w:szCs w:val="20"/>
                <w:lang w:eastAsia="bg-BG"/>
              </w:rPr>
              <w:t>за тези пациенти се препоръчва подходящо клинично</w:t>
            </w:r>
          </w:p>
          <w:p w14:paraId="2101B4EC" w14:textId="06BB5975" w:rsidR="00CA4CA4" w:rsidRPr="00FD400B" w:rsidRDefault="00CA4CA4" w:rsidP="00D5261D">
            <w:pPr>
              <w:rPr>
                <w:rFonts w:cs="Arial"/>
              </w:rPr>
            </w:pPr>
            <w:r w:rsidRPr="00CA4CA4">
              <w:rPr>
                <w:szCs w:val="20"/>
              </w:rPr>
              <w:t>проследяване.</w:t>
            </w:r>
          </w:p>
        </w:tc>
      </w:tr>
      <w:tr w:rsidR="00CA4CA4" w14:paraId="7835B8FD" w14:textId="77777777" w:rsidTr="00F502CE">
        <w:tc>
          <w:tcPr>
            <w:tcW w:w="2440" w:type="dxa"/>
          </w:tcPr>
          <w:p w14:paraId="0C4F36B0" w14:textId="621F8376" w:rsidR="00CA4CA4" w:rsidRPr="00CA4CA4" w:rsidRDefault="00CA4CA4" w:rsidP="00CA4CA4">
            <w:pPr>
              <w:rPr>
                <w:rFonts w:cs="Arial"/>
              </w:rPr>
            </w:pPr>
            <w:r w:rsidRPr="00CA4CA4">
              <w:rPr>
                <w:szCs w:val="20"/>
              </w:rPr>
              <w:t xml:space="preserve">Еритромицин 500 </w:t>
            </w:r>
            <w:r w:rsidRPr="00CA4CA4">
              <w:rPr>
                <w:szCs w:val="20"/>
                <w:lang w:val="en-US"/>
              </w:rPr>
              <w:t xml:space="preserve">mg QID, 7 </w:t>
            </w:r>
            <w:r w:rsidRPr="00CA4CA4">
              <w:rPr>
                <w:szCs w:val="20"/>
              </w:rPr>
              <w:t>дни</w:t>
            </w:r>
          </w:p>
        </w:tc>
        <w:tc>
          <w:tcPr>
            <w:tcW w:w="2285" w:type="dxa"/>
          </w:tcPr>
          <w:p w14:paraId="55F1BF93" w14:textId="6E0320C1" w:rsidR="00CA4CA4" w:rsidRPr="00CA4CA4" w:rsidRDefault="00CA4CA4" w:rsidP="00CA4CA4">
            <w:pPr>
              <w:rPr>
                <w:rFonts w:cs="Arial"/>
              </w:rPr>
            </w:pPr>
            <w:r w:rsidRPr="00CA4CA4">
              <w:rPr>
                <w:szCs w:val="20"/>
              </w:rPr>
              <w:t xml:space="preserve">10 </w:t>
            </w:r>
            <w:r w:rsidRPr="00CA4CA4">
              <w:rPr>
                <w:szCs w:val="20"/>
                <w:lang w:val="en-US"/>
              </w:rPr>
              <w:t>mg, SD</w:t>
            </w:r>
          </w:p>
        </w:tc>
        <w:tc>
          <w:tcPr>
            <w:tcW w:w="2281" w:type="dxa"/>
          </w:tcPr>
          <w:p w14:paraId="364F48BD" w14:textId="090C729E" w:rsidR="00CA4CA4" w:rsidRPr="00CA4CA4" w:rsidRDefault="00CA4CA4" w:rsidP="00CA4CA4">
            <w:pPr>
              <w:rPr>
                <w:rFonts w:cs="Arial"/>
              </w:rPr>
            </w:pPr>
            <w:r w:rsidRPr="00CA4CA4">
              <w:rPr>
                <w:szCs w:val="20"/>
                <w:lang w:val="en-US"/>
              </w:rPr>
              <w:t>1,33</w:t>
            </w:r>
          </w:p>
        </w:tc>
        <w:tc>
          <w:tcPr>
            <w:tcW w:w="2344" w:type="dxa"/>
            <w:vAlign w:val="bottom"/>
          </w:tcPr>
          <w:p w14:paraId="1AA64870" w14:textId="3D95DD75" w:rsidR="00CA4CA4" w:rsidRPr="00CA4CA4" w:rsidRDefault="00CA4CA4" w:rsidP="00CA4CA4">
            <w:pPr>
              <w:rPr>
                <w:rFonts w:cs="Arial"/>
              </w:rPr>
            </w:pPr>
            <w:r w:rsidRPr="00CA4CA4">
              <w:rPr>
                <w:szCs w:val="20"/>
              </w:rPr>
              <w:t>Препоръчва се по-ниска максимална доза и клинично проследяване на тези пациенти.</w:t>
            </w:r>
          </w:p>
        </w:tc>
      </w:tr>
      <w:tr w:rsidR="00CA4CA4" w14:paraId="692C6FF3" w14:textId="77777777" w:rsidTr="00F502CE">
        <w:tc>
          <w:tcPr>
            <w:tcW w:w="2440" w:type="dxa"/>
            <w:vAlign w:val="bottom"/>
          </w:tcPr>
          <w:p w14:paraId="4006CCFA" w14:textId="395DA4FA" w:rsidR="00CA4CA4" w:rsidRPr="00CA4CA4" w:rsidRDefault="00CA4CA4" w:rsidP="00CA4CA4">
            <w:pPr>
              <w:rPr>
                <w:rFonts w:cs="Arial"/>
              </w:rPr>
            </w:pPr>
            <w:r w:rsidRPr="00CA4CA4">
              <w:rPr>
                <w:szCs w:val="20"/>
              </w:rPr>
              <w:t xml:space="preserve">Амлодипин 10 </w:t>
            </w:r>
            <w:r w:rsidRPr="00CA4CA4">
              <w:rPr>
                <w:szCs w:val="20"/>
                <w:lang w:val="en-US"/>
              </w:rPr>
              <w:t xml:space="preserve">mg, </w:t>
            </w:r>
            <w:r w:rsidRPr="00CA4CA4">
              <w:rPr>
                <w:szCs w:val="20"/>
              </w:rPr>
              <w:t>еднократна доза</w:t>
            </w:r>
          </w:p>
        </w:tc>
        <w:tc>
          <w:tcPr>
            <w:tcW w:w="2285" w:type="dxa"/>
            <w:vAlign w:val="bottom"/>
          </w:tcPr>
          <w:p w14:paraId="5FF27174" w14:textId="588ECBA2" w:rsidR="00CA4CA4" w:rsidRPr="00CA4CA4" w:rsidRDefault="00CA4CA4" w:rsidP="00CA4CA4">
            <w:pPr>
              <w:rPr>
                <w:rFonts w:cs="Arial"/>
              </w:rPr>
            </w:pPr>
            <w:r w:rsidRPr="00CA4CA4">
              <w:rPr>
                <w:szCs w:val="20"/>
              </w:rPr>
              <w:t xml:space="preserve">80 </w:t>
            </w:r>
            <w:r w:rsidRPr="00CA4CA4">
              <w:rPr>
                <w:szCs w:val="20"/>
                <w:lang w:val="en-US"/>
              </w:rPr>
              <w:t>mg, SD</w:t>
            </w:r>
          </w:p>
        </w:tc>
        <w:tc>
          <w:tcPr>
            <w:tcW w:w="2281" w:type="dxa"/>
            <w:vAlign w:val="bottom"/>
          </w:tcPr>
          <w:p w14:paraId="72F758C9" w14:textId="7926E442" w:rsidR="00CA4CA4" w:rsidRPr="00CA4CA4" w:rsidRDefault="00CA4CA4" w:rsidP="00CA4CA4">
            <w:pPr>
              <w:rPr>
                <w:rFonts w:cs="Arial"/>
              </w:rPr>
            </w:pPr>
            <w:r w:rsidRPr="00CA4CA4">
              <w:rPr>
                <w:szCs w:val="20"/>
                <w:lang w:val="en-US"/>
              </w:rPr>
              <w:t>1,18</w:t>
            </w:r>
          </w:p>
        </w:tc>
        <w:tc>
          <w:tcPr>
            <w:tcW w:w="2344" w:type="dxa"/>
            <w:vAlign w:val="bottom"/>
          </w:tcPr>
          <w:p w14:paraId="16161B92" w14:textId="640FB315" w:rsidR="00CA4CA4" w:rsidRPr="00CA4CA4" w:rsidRDefault="00CA4CA4" w:rsidP="00CA4CA4">
            <w:pPr>
              <w:rPr>
                <w:rFonts w:cs="Arial"/>
              </w:rPr>
            </w:pPr>
            <w:r w:rsidRPr="00CA4CA4">
              <w:rPr>
                <w:szCs w:val="20"/>
              </w:rPr>
              <w:t>Няма специфични препоръки.</w:t>
            </w:r>
          </w:p>
        </w:tc>
      </w:tr>
      <w:tr w:rsidR="00CA4CA4" w14:paraId="6E9068C0" w14:textId="77777777" w:rsidTr="00F502CE">
        <w:tc>
          <w:tcPr>
            <w:tcW w:w="2440" w:type="dxa"/>
          </w:tcPr>
          <w:p w14:paraId="68CFBB28" w14:textId="49561740" w:rsidR="00CA4CA4" w:rsidRPr="00CA4CA4" w:rsidRDefault="00CA4CA4" w:rsidP="00CA4CA4">
            <w:pPr>
              <w:rPr>
                <w:rFonts w:cs="Arial"/>
              </w:rPr>
            </w:pPr>
            <w:r w:rsidRPr="00CA4CA4">
              <w:rPr>
                <w:szCs w:val="20"/>
              </w:rPr>
              <w:t xml:space="preserve">Циметидин 300 </w:t>
            </w:r>
            <w:r w:rsidRPr="00CA4CA4">
              <w:rPr>
                <w:szCs w:val="20"/>
                <w:lang w:val="en-US"/>
              </w:rPr>
              <w:t xml:space="preserve">mg Q1D, </w:t>
            </w:r>
            <w:r w:rsidRPr="00CA4CA4">
              <w:rPr>
                <w:szCs w:val="20"/>
              </w:rPr>
              <w:t>2 седмици</w:t>
            </w:r>
          </w:p>
        </w:tc>
        <w:tc>
          <w:tcPr>
            <w:tcW w:w="2285" w:type="dxa"/>
            <w:vAlign w:val="bottom"/>
          </w:tcPr>
          <w:p w14:paraId="044BCD5E" w14:textId="06C6DE4D" w:rsidR="00CA4CA4" w:rsidRPr="00CA4CA4" w:rsidRDefault="00CA4CA4" w:rsidP="00CA4CA4">
            <w:pPr>
              <w:rPr>
                <w:rFonts w:cs="Arial"/>
              </w:rPr>
            </w:pPr>
            <w:r w:rsidRPr="00CA4CA4">
              <w:rPr>
                <w:szCs w:val="20"/>
                <w:lang w:val="en-US"/>
              </w:rPr>
              <w:t xml:space="preserve">10 mg OD </w:t>
            </w:r>
            <w:r w:rsidRPr="00CA4CA4">
              <w:rPr>
                <w:szCs w:val="20"/>
              </w:rPr>
              <w:t xml:space="preserve">за </w:t>
            </w:r>
            <w:r w:rsidRPr="00CA4CA4">
              <w:rPr>
                <w:szCs w:val="20"/>
                <w:lang w:val="en-US"/>
              </w:rPr>
              <w:t xml:space="preserve">2 </w:t>
            </w:r>
            <w:r w:rsidRPr="00CA4CA4">
              <w:rPr>
                <w:szCs w:val="20"/>
              </w:rPr>
              <w:t>седмици</w:t>
            </w:r>
          </w:p>
        </w:tc>
        <w:tc>
          <w:tcPr>
            <w:tcW w:w="2281" w:type="dxa"/>
          </w:tcPr>
          <w:p w14:paraId="6B124ED6" w14:textId="164AE09B" w:rsidR="00CA4CA4" w:rsidRPr="00CA4CA4" w:rsidRDefault="00CA4CA4" w:rsidP="00CA4CA4">
            <w:pPr>
              <w:rPr>
                <w:rFonts w:cs="Arial"/>
              </w:rPr>
            </w:pPr>
            <w:r w:rsidRPr="00CA4CA4">
              <w:rPr>
                <w:szCs w:val="20"/>
                <w:lang w:val="en-US"/>
              </w:rPr>
              <w:t>1,00</w:t>
            </w:r>
          </w:p>
        </w:tc>
        <w:tc>
          <w:tcPr>
            <w:tcW w:w="2344" w:type="dxa"/>
          </w:tcPr>
          <w:p w14:paraId="386750B8" w14:textId="5197495D" w:rsidR="00CA4CA4" w:rsidRPr="00CA4CA4" w:rsidRDefault="00CA4CA4" w:rsidP="00CA4CA4">
            <w:pPr>
              <w:rPr>
                <w:rFonts w:cs="Arial"/>
              </w:rPr>
            </w:pPr>
            <w:r w:rsidRPr="00CA4CA4">
              <w:rPr>
                <w:szCs w:val="20"/>
              </w:rPr>
              <w:t>Няма специфични препоръки.</w:t>
            </w:r>
          </w:p>
        </w:tc>
      </w:tr>
      <w:tr w:rsidR="00CA4CA4" w14:paraId="486061FA" w14:textId="77777777" w:rsidTr="00CA4CA4">
        <w:tc>
          <w:tcPr>
            <w:tcW w:w="2440" w:type="dxa"/>
          </w:tcPr>
          <w:p w14:paraId="350F79A6" w14:textId="33E65153" w:rsidR="00CA4CA4" w:rsidRPr="00CA4CA4" w:rsidRDefault="00CA4CA4" w:rsidP="00CA4CA4">
            <w:pPr>
              <w:rPr>
                <w:rFonts w:cs="Arial"/>
              </w:rPr>
            </w:pPr>
            <w:r w:rsidRPr="00CA4CA4">
              <w:rPr>
                <w:szCs w:val="20"/>
              </w:rPr>
              <w:t xml:space="preserve">Колестипол 10 </w:t>
            </w:r>
            <w:r w:rsidRPr="00CA4CA4">
              <w:rPr>
                <w:szCs w:val="20"/>
                <w:lang w:val="en-US"/>
              </w:rPr>
              <w:t xml:space="preserve">g BID, </w:t>
            </w:r>
            <w:r w:rsidRPr="00CA4CA4">
              <w:rPr>
                <w:szCs w:val="20"/>
              </w:rPr>
              <w:t>24 седмици</w:t>
            </w:r>
          </w:p>
        </w:tc>
        <w:tc>
          <w:tcPr>
            <w:tcW w:w="2285" w:type="dxa"/>
          </w:tcPr>
          <w:p w14:paraId="2DBA9E5C" w14:textId="25CA9D25" w:rsidR="00CA4CA4" w:rsidRPr="00CA4CA4" w:rsidRDefault="00CA4CA4" w:rsidP="00CA4CA4">
            <w:pPr>
              <w:rPr>
                <w:rFonts w:cs="Arial"/>
              </w:rPr>
            </w:pPr>
            <w:r w:rsidRPr="00CA4CA4">
              <w:rPr>
                <w:szCs w:val="20"/>
                <w:lang w:val="en-US"/>
              </w:rPr>
              <w:t xml:space="preserve">40 mg OD </w:t>
            </w:r>
            <w:r w:rsidRPr="00CA4CA4">
              <w:rPr>
                <w:szCs w:val="20"/>
              </w:rPr>
              <w:t xml:space="preserve">за </w:t>
            </w:r>
            <w:r w:rsidRPr="00CA4CA4">
              <w:rPr>
                <w:szCs w:val="20"/>
                <w:lang w:val="en-US"/>
              </w:rPr>
              <w:t xml:space="preserve">8 </w:t>
            </w:r>
            <w:r w:rsidRPr="00CA4CA4">
              <w:rPr>
                <w:szCs w:val="20"/>
              </w:rPr>
              <w:t>седмици</w:t>
            </w:r>
          </w:p>
        </w:tc>
        <w:tc>
          <w:tcPr>
            <w:tcW w:w="2281" w:type="dxa"/>
          </w:tcPr>
          <w:p w14:paraId="6B5A0D14" w14:textId="68FB4C8F" w:rsidR="00CA4CA4" w:rsidRPr="00CA4CA4" w:rsidRDefault="00CA4CA4" w:rsidP="00CA4CA4">
            <w:pPr>
              <w:rPr>
                <w:rFonts w:cs="Arial"/>
              </w:rPr>
            </w:pPr>
            <w:r w:rsidRPr="00CA4CA4">
              <w:rPr>
                <w:szCs w:val="20"/>
                <w:lang w:val="en-US"/>
              </w:rPr>
              <w:t>0,74**</w:t>
            </w:r>
          </w:p>
        </w:tc>
        <w:tc>
          <w:tcPr>
            <w:tcW w:w="2344" w:type="dxa"/>
          </w:tcPr>
          <w:p w14:paraId="78B4BA6A" w14:textId="0BB50C07" w:rsidR="00CA4CA4" w:rsidRPr="00CA4CA4" w:rsidRDefault="00CA4CA4" w:rsidP="00CA4CA4">
            <w:pPr>
              <w:rPr>
                <w:rFonts w:cs="Arial"/>
              </w:rPr>
            </w:pPr>
            <w:r w:rsidRPr="00CA4CA4">
              <w:rPr>
                <w:szCs w:val="20"/>
              </w:rPr>
              <w:t>Няма специфични препоръки.</w:t>
            </w:r>
          </w:p>
        </w:tc>
      </w:tr>
      <w:tr w:rsidR="00CA4CA4" w14:paraId="10D52A42" w14:textId="77777777" w:rsidTr="00F502CE">
        <w:tc>
          <w:tcPr>
            <w:tcW w:w="2440" w:type="dxa"/>
            <w:vAlign w:val="bottom"/>
          </w:tcPr>
          <w:p w14:paraId="349B9C32" w14:textId="3B9B289B" w:rsidR="00CA4CA4" w:rsidRPr="00CA4CA4" w:rsidRDefault="00CA4CA4" w:rsidP="00CA4CA4">
            <w:pPr>
              <w:rPr>
                <w:rFonts w:cs="Arial"/>
              </w:rPr>
            </w:pPr>
            <w:r w:rsidRPr="00CA4CA4">
              <w:rPr>
                <w:szCs w:val="20"/>
              </w:rPr>
              <w:t xml:space="preserve">Антиацидна суспенция на магнезиев и алуминиев хидроксид, 30 </w:t>
            </w:r>
            <w:r w:rsidRPr="00CA4CA4">
              <w:rPr>
                <w:szCs w:val="20"/>
                <w:lang w:val="en-US"/>
              </w:rPr>
              <w:t xml:space="preserve">mL QID, </w:t>
            </w:r>
            <w:r w:rsidRPr="00CA4CA4">
              <w:rPr>
                <w:szCs w:val="20"/>
              </w:rPr>
              <w:t>17 дни</w:t>
            </w:r>
          </w:p>
        </w:tc>
        <w:tc>
          <w:tcPr>
            <w:tcW w:w="2285" w:type="dxa"/>
          </w:tcPr>
          <w:p w14:paraId="4A71A7C3" w14:textId="77777777" w:rsidR="00CA4CA4" w:rsidRPr="00CA4CA4" w:rsidRDefault="00CA4CA4" w:rsidP="00CA4CA4">
            <w:r w:rsidRPr="00CA4CA4">
              <w:rPr>
                <w:szCs w:val="20"/>
                <w:lang w:val="en-US"/>
              </w:rPr>
              <w:t xml:space="preserve">10 mg OD </w:t>
            </w:r>
            <w:r w:rsidRPr="00CA4CA4">
              <w:rPr>
                <w:szCs w:val="20"/>
              </w:rPr>
              <w:t>за</w:t>
            </w:r>
          </w:p>
          <w:p w14:paraId="50C404FA" w14:textId="053DBB6F" w:rsidR="00CA4CA4" w:rsidRPr="00CA4CA4" w:rsidRDefault="00CA4CA4" w:rsidP="00CA4CA4">
            <w:pPr>
              <w:rPr>
                <w:rFonts w:cs="Arial"/>
              </w:rPr>
            </w:pPr>
            <w:r w:rsidRPr="00CA4CA4">
              <w:rPr>
                <w:szCs w:val="20"/>
                <w:lang w:val="en-US"/>
              </w:rPr>
              <w:t xml:space="preserve">15 </w:t>
            </w:r>
            <w:r w:rsidRPr="00CA4CA4">
              <w:rPr>
                <w:szCs w:val="20"/>
              </w:rPr>
              <w:t>дни</w:t>
            </w:r>
          </w:p>
        </w:tc>
        <w:tc>
          <w:tcPr>
            <w:tcW w:w="2281" w:type="dxa"/>
          </w:tcPr>
          <w:p w14:paraId="0AFFCA5C" w14:textId="2C4C51C4" w:rsidR="00CA4CA4" w:rsidRPr="00CA4CA4" w:rsidRDefault="00CA4CA4" w:rsidP="00CA4CA4">
            <w:pPr>
              <w:rPr>
                <w:rFonts w:cs="Arial"/>
              </w:rPr>
            </w:pPr>
            <w:r w:rsidRPr="00CA4CA4">
              <w:rPr>
                <w:szCs w:val="20"/>
                <w:lang w:val="en-US"/>
              </w:rPr>
              <w:t>0,66</w:t>
            </w:r>
          </w:p>
        </w:tc>
        <w:tc>
          <w:tcPr>
            <w:tcW w:w="2344" w:type="dxa"/>
          </w:tcPr>
          <w:p w14:paraId="1202CF3E" w14:textId="06E987C6" w:rsidR="00CA4CA4" w:rsidRPr="00CA4CA4" w:rsidRDefault="00CA4CA4" w:rsidP="00CA4CA4">
            <w:pPr>
              <w:rPr>
                <w:rFonts w:cs="Arial"/>
              </w:rPr>
            </w:pPr>
            <w:r w:rsidRPr="00CA4CA4">
              <w:rPr>
                <w:szCs w:val="20"/>
              </w:rPr>
              <w:t>Няма специфични препоръки.</w:t>
            </w:r>
          </w:p>
        </w:tc>
      </w:tr>
      <w:tr w:rsidR="00CA4CA4" w14:paraId="5CC2CC80" w14:textId="77777777" w:rsidTr="00F502CE">
        <w:tc>
          <w:tcPr>
            <w:tcW w:w="2440" w:type="dxa"/>
          </w:tcPr>
          <w:p w14:paraId="5CC2EA4F" w14:textId="1C7BD108" w:rsidR="00CA4CA4" w:rsidRPr="00CA4CA4" w:rsidRDefault="00CA4CA4" w:rsidP="00CA4CA4">
            <w:pPr>
              <w:rPr>
                <w:rFonts w:cs="Arial"/>
              </w:rPr>
            </w:pPr>
            <w:r w:rsidRPr="00CA4CA4">
              <w:rPr>
                <w:szCs w:val="20"/>
              </w:rPr>
              <w:t xml:space="preserve">Ефавиренц 600 </w:t>
            </w:r>
            <w:r w:rsidRPr="00CA4CA4">
              <w:rPr>
                <w:szCs w:val="20"/>
                <w:lang w:val="en-US"/>
              </w:rPr>
              <w:t xml:space="preserve">mg OD, </w:t>
            </w:r>
            <w:r w:rsidRPr="00CA4CA4">
              <w:rPr>
                <w:szCs w:val="20"/>
              </w:rPr>
              <w:t>14 дни</w:t>
            </w:r>
          </w:p>
        </w:tc>
        <w:tc>
          <w:tcPr>
            <w:tcW w:w="2285" w:type="dxa"/>
            <w:vAlign w:val="bottom"/>
          </w:tcPr>
          <w:p w14:paraId="3CA3CBB7" w14:textId="550EE7E9" w:rsidR="00CA4CA4" w:rsidRPr="00CA4CA4" w:rsidRDefault="00CA4CA4" w:rsidP="00CA4CA4">
            <w:pPr>
              <w:rPr>
                <w:rFonts w:cs="Arial"/>
              </w:rPr>
            </w:pPr>
            <w:r w:rsidRPr="00CA4CA4">
              <w:rPr>
                <w:szCs w:val="20"/>
                <w:lang w:val="en-US"/>
              </w:rPr>
              <w:t xml:space="preserve">10 mg </w:t>
            </w:r>
            <w:r w:rsidRPr="00CA4CA4">
              <w:rPr>
                <w:szCs w:val="20"/>
              </w:rPr>
              <w:t xml:space="preserve">за </w:t>
            </w:r>
            <w:r w:rsidRPr="00CA4CA4">
              <w:rPr>
                <w:szCs w:val="20"/>
                <w:lang w:val="en-US"/>
              </w:rPr>
              <w:t xml:space="preserve">3 </w:t>
            </w:r>
            <w:r w:rsidRPr="00CA4CA4">
              <w:rPr>
                <w:szCs w:val="20"/>
              </w:rPr>
              <w:t>дни</w:t>
            </w:r>
          </w:p>
        </w:tc>
        <w:tc>
          <w:tcPr>
            <w:tcW w:w="2281" w:type="dxa"/>
          </w:tcPr>
          <w:p w14:paraId="72CAFE59" w14:textId="37E3C4D7" w:rsidR="00CA4CA4" w:rsidRPr="00CA4CA4" w:rsidRDefault="00CA4CA4" w:rsidP="00CA4CA4">
            <w:pPr>
              <w:rPr>
                <w:rFonts w:cs="Arial"/>
              </w:rPr>
            </w:pPr>
            <w:r w:rsidRPr="00CA4CA4">
              <w:rPr>
                <w:szCs w:val="20"/>
                <w:lang w:val="en-US"/>
              </w:rPr>
              <w:t>0,59</w:t>
            </w:r>
          </w:p>
        </w:tc>
        <w:tc>
          <w:tcPr>
            <w:tcW w:w="2344" w:type="dxa"/>
          </w:tcPr>
          <w:p w14:paraId="708C987C" w14:textId="380334DD" w:rsidR="00CA4CA4" w:rsidRPr="00CA4CA4" w:rsidRDefault="00CA4CA4" w:rsidP="00CA4CA4">
            <w:pPr>
              <w:rPr>
                <w:rFonts w:cs="Arial"/>
              </w:rPr>
            </w:pPr>
            <w:r w:rsidRPr="00CA4CA4">
              <w:rPr>
                <w:szCs w:val="20"/>
              </w:rPr>
              <w:t>Няма специфични препоръки.</w:t>
            </w:r>
          </w:p>
        </w:tc>
      </w:tr>
      <w:tr w:rsidR="00CA4CA4" w14:paraId="4091338F" w14:textId="77777777" w:rsidTr="00CA4CA4">
        <w:tc>
          <w:tcPr>
            <w:tcW w:w="2440" w:type="dxa"/>
          </w:tcPr>
          <w:p w14:paraId="382C234A" w14:textId="6E0FC412" w:rsidR="00CA4CA4" w:rsidRPr="00CA4CA4" w:rsidRDefault="00CA4CA4" w:rsidP="00CA4CA4">
            <w:pPr>
              <w:rPr>
                <w:rFonts w:cs="Arial"/>
              </w:rPr>
            </w:pPr>
            <w:r w:rsidRPr="00CA4CA4">
              <w:rPr>
                <w:szCs w:val="20"/>
              </w:rPr>
              <w:lastRenderedPageBreak/>
              <w:t xml:space="preserve">Рифампин 600 </w:t>
            </w:r>
            <w:r w:rsidRPr="00CA4CA4">
              <w:rPr>
                <w:szCs w:val="20"/>
                <w:lang w:val="en-US"/>
              </w:rPr>
              <w:t xml:space="preserve">mg OD, </w:t>
            </w:r>
            <w:r w:rsidRPr="00CA4CA4">
              <w:rPr>
                <w:szCs w:val="20"/>
              </w:rPr>
              <w:t>7 дни (едновременно приложение)</w:t>
            </w:r>
          </w:p>
        </w:tc>
        <w:tc>
          <w:tcPr>
            <w:tcW w:w="2285" w:type="dxa"/>
          </w:tcPr>
          <w:p w14:paraId="1052B117" w14:textId="6DE1D2CF" w:rsidR="00CA4CA4" w:rsidRPr="00CA4CA4" w:rsidRDefault="00CA4CA4" w:rsidP="00CA4CA4">
            <w:pPr>
              <w:rPr>
                <w:rFonts w:cs="Arial"/>
              </w:rPr>
            </w:pPr>
            <w:r w:rsidRPr="00CA4CA4">
              <w:rPr>
                <w:szCs w:val="20"/>
                <w:lang w:val="en-US"/>
              </w:rPr>
              <w:t>40 mg SD</w:t>
            </w:r>
          </w:p>
        </w:tc>
        <w:tc>
          <w:tcPr>
            <w:tcW w:w="2281" w:type="dxa"/>
          </w:tcPr>
          <w:p w14:paraId="4F6085B6" w14:textId="0B613B2D" w:rsidR="00CA4CA4" w:rsidRPr="00CA4CA4" w:rsidRDefault="00CA4CA4" w:rsidP="00CA4CA4">
            <w:pPr>
              <w:rPr>
                <w:rFonts w:cs="Arial"/>
              </w:rPr>
            </w:pPr>
            <w:r w:rsidRPr="00CA4CA4">
              <w:rPr>
                <w:szCs w:val="20"/>
                <w:lang w:val="en-US"/>
              </w:rPr>
              <w:t>1,12</w:t>
            </w:r>
          </w:p>
        </w:tc>
        <w:tc>
          <w:tcPr>
            <w:tcW w:w="2344" w:type="dxa"/>
            <w:vMerge w:val="restart"/>
          </w:tcPr>
          <w:p w14:paraId="1E37F4C3" w14:textId="77777777" w:rsidR="00CA4CA4" w:rsidRPr="00CA4CA4" w:rsidRDefault="00CA4CA4" w:rsidP="00CA4CA4">
            <w:pPr>
              <w:rPr>
                <w:rFonts w:cs="Arial"/>
              </w:rPr>
            </w:pPr>
            <w:r w:rsidRPr="00CA4CA4">
              <w:rPr>
                <w:szCs w:val="20"/>
              </w:rPr>
              <w:t>Ако едновременното приложение не може да се избегне,</w:t>
            </w:r>
          </w:p>
          <w:p w14:paraId="44F68676" w14:textId="02A21027" w:rsidR="00CA4CA4" w:rsidRPr="00CA4CA4" w:rsidRDefault="00CA4CA4" w:rsidP="00CA4CA4">
            <w:pPr>
              <w:rPr>
                <w:rFonts w:cs="Arial"/>
              </w:rPr>
            </w:pPr>
            <w:r>
              <w:rPr>
                <w:szCs w:val="20"/>
              </w:rPr>
              <w:t xml:space="preserve">препоръчва се клинично </w:t>
            </w:r>
            <w:r w:rsidRPr="00CA4CA4">
              <w:rPr>
                <w:szCs w:val="20"/>
              </w:rPr>
              <w:t>проследяване при едновременно приложение на аторвастатин с рифампин.</w:t>
            </w:r>
          </w:p>
        </w:tc>
      </w:tr>
      <w:tr w:rsidR="00CA4CA4" w14:paraId="0B3D4C3F" w14:textId="77777777" w:rsidTr="00CA4CA4">
        <w:tc>
          <w:tcPr>
            <w:tcW w:w="2440" w:type="dxa"/>
          </w:tcPr>
          <w:p w14:paraId="1D73D4DC" w14:textId="5FA599D2" w:rsidR="00CA4CA4" w:rsidRPr="00CA4CA4" w:rsidRDefault="00CA4CA4" w:rsidP="00CA4CA4">
            <w:pPr>
              <w:rPr>
                <w:rFonts w:cs="Arial"/>
                <w:sz w:val="24"/>
                <w:lang w:val="en-US"/>
              </w:rPr>
            </w:pPr>
            <w:r w:rsidRPr="00CA4CA4">
              <w:rPr>
                <w:szCs w:val="20"/>
              </w:rPr>
              <w:t xml:space="preserve">Рифампин 600 </w:t>
            </w:r>
            <w:r w:rsidRPr="00CA4CA4">
              <w:rPr>
                <w:szCs w:val="20"/>
                <w:lang w:val="en-US"/>
              </w:rPr>
              <w:t xml:space="preserve">mg OD, </w:t>
            </w:r>
            <w:r w:rsidRPr="00CA4CA4">
              <w:rPr>
                <w:szCs w:val="20"/>
              </w:rPr>
              <w:t>5 дни (отделени дози</w:t>
            </w:r>
            <w:r w:rsidRPr="00CA4CA4">
              <w:rPr>
                <w:szCs w:val="20"/>
                <w:lang w:val="en-US"/>
              </w:rPr>
              <w:t>)</w:t>
            </w:r>
          </w:p>
        </w:tc>
        <w:tc>
          <w:tcPr>
            <w:tcW w:w="2285" w:type="dxa"/>
          </w:tcPr>
          <w:p w14:paraId="7FB9C293" w14:textId="6D93C97F" w:rsidR="00CA4CA4" w:rsidRDefault="00CA4CA4" w:rsidP="00CA4CA4">
            <w:pPr>
              <w:rPr>
                <w:rFonts w:cs="Arial"/>
                <w:sz w:val="24"/>
              </w:rPr>
            </w:pPr>
            <w:r w:rsidRPr="00CA4CA4">
              <w:rPr>
                <w:szCs w:val="20"/>
                <w:lang w:eastAsia="bg-BG"/>
              </w:rPr>
              <w:t xml:space="preserve">40 </w:t>
            </w:r>
            <w:r w:rsidRPr="00CA4CA4">
              <w:rPr>
                <w:szCs w:val="20"/>
              </w:rPr>
              <w:t>mg SD</w:t>
            </w:r>
          </w:p>
        </w:tc>
        <w:tc>
          <w:tcPr>
            <w:tcW w:w="2281" w:type="dxa"/>
          </w:tcPr>
          <w:p w14:paraId="146A8C9F" w14:textId="4BAED540" w:rsidR="00CA4CA4" w:rsidRPr="00CA4CA4" w:rsidRDefault="00CA4CA4" w:rsidP="00CA4CA4">
            <w:pPr>
              <w:rPr>
                <w:rFonts w:cs="Arial"/>
              </w:rPr>
            </w:pPr>
            <w:r w:rsidRPr="00CA4CA4">
              <w:rPr>
                <w:szCs w:val="20"/>
                <w:lang w:val="en-US"/>
              </w:rPr>
              <w:t>0,20</w:t>
            </w:r>
          </w:p>
        </w:tc>
        <w:tc>
          <w:tcPr>
            <w:tcW w:w="2344" w:type="dxa"/>
            <w:vMerge/>
          </w:tcPr>
          <w:p w14:paraId="56A1761E" w14:textId="694BDBB1" w:rsidR="00CA4CA4" w:rsidRPr="00CA4CA4" w:rsidRDefault="00CA4CA4" w:rsidP="00CA4CA4">
            <w:pPr>
              <w:rPr>
                <w:rFonts w:cs="Arial"/>
              </w:rPr>
            </w:pPr>
          </w:p>
        </w:tc>
      </w:tr>
      <w:tr w:rsidR="00CA4CA4" w14:paraId="15558722" w14:textId="77777777" w:rsidTr="00F502CE">
        <w:tc>
          <w:tcPr>
            <w:tcW w:w="2440" w:type="dxa"/>
          </w:tcPr>
          <w:p w14:paraId="49A2BD37" w14:textId="230D51BF" w:rsidR="00CA4CA4" w:rsidRPr="00CA4CA4" w:rsidRDefault="00CA4CA4" w:rsidP="00CA4CA4">
            <w:pPr>
              <w:rPr>
                <w:rFonts w:cs="Arial"/>
              </w:rPr>
            </w:pPr>
            <w:r w:rsidRPr="00CA4CA4">
              <w:rPr>
                <w:szCs w:val="20"/>
              </w:rPr>
              <w:t xml:space="preserve">Гемфиброзил 600 </w:t>
            </w:r>
            <w:r w:rsidRPr="00CA4CA4">
              <w:rPr>
                <w:szCs w:val="20"/>
                <w:lang w:val="en-US"/>
              </w:rPr>
              <w:t xml:space="preserve">mg BID, 7 </w:t>
            </w:r>
            <w:r w:rsidRPr="00CA4CA4">
              <w:rPr>
                <w:szCs w:val="20"/>
              </w:rPr>
              <w:t>дни</w:t>
            </w:r>
          </w:p>
        </w:tc>
        <w:tc>
          <w:tcPr>
            <w:tcW w:w="2285" w:type="dxa"/>
          </w:tcPr>
          <w:p w14:paraId="0341C6E5" w14:textId="5105D96A" w:rsidR="00CA4CA4" w:rsidRPr="00CA4CA4" w:rsidRDefault="00CA4CA4" w:rsidP="00CA4CA4">
            <w:pPr>
              <w:rPr>
                <w:rFonts w:cs="Arial"/>
              </w:rPr>
            </w:pPr>
            <w:r w:rsidRPr="00CA4CA4">
              <w:rPr>
                <w:szCs w:val="20"/>
                <w:lang w:val="en-US"/>
              </w:rPr>
              <w:t>40 mg SD</w:t>
            </w:r>
          </w:p>
        </w:tc>
        <w:tc>
          <w:tcPr>
            <w:tcW w:w="2281" w:type="dxa"/>
          </w:tcPr>
          <w:p w14:paraId="0D77DF7D" w14:textId="687286DB" w:rsidR="00CA4CA4" w:rsidRPr="00CA4CA4" w:rsidRDefault="00CA4CA4" w:rsidP="00CA4CA4">
            <w:pPr>
              <w:rPr>
                <w:rFonts w:cs="Arial"/>
              </w:rPr>
            </w:pPr>
            <w:r w:rsidRPr="00CA4CA4">
              <w:rPr>
                <w:szCs w:val="20"/>
                <w:lang w:val="en-US"/>
              </w:rPr>
              <w:t>1,35</w:t>
            </w:r>
          </w:p>
        </w:tc>
        <w:tc>
          <w:tcPr>
            <w:tcW w:w="2344" w:type="dxa"/>
            <w:vAlign w:val="bottom"/>
          </w:tcPr>
          <w:p w14:paraId="4AC57CE7" w14:textId="0CAC671D" w:rsidR="00CA4CA4" w:rsidRPr="00CA4CA4" w:rsidRDefault="00CA4CA4" w:rsidP="00CA4CA4">
            <w:pPr>
              <w:rPr>
                <w:rFonts w:cs="Arial"/>
              </w:rPr>
            </w:pPr>
            <w:r w:rsidRPr="00CA4CA4">
              <w:rPr>
                <w:szCs w:val="20"/>
              </w:rPr>
              <w:t>Препоръчва се по-ниска начална доза и клинично проследяване на тези пациенти.</w:t>
            </w:r>
          </w:p>
        </w:tc>
      </w:tr>
      <w:tr w:rsidR="00CA4CA4" w14:paraId="741F2A65" w14:textId="77777777" w:rsidTr="00F502CE">
        <w:tc>
          <w:tcPr>
            <w:tcW w:w="2440" w:type="dxa"/>
          </w:tcPr>
          <w:p w14:paraId="0D2DD555" w14:textId="4CFC780F" w:rsidR="00CA4CA4" w:rsidRPr="00CA4CA4" w:rsidRDefault="00CA4CA4" w:rsidP="00CA4CA4">
            <w:pPr>
              <w:rPr>
                <w:rFonts w:cs="Arial"/>
              </w:rPr>
            </w:pPr>
            <w:r w:rsidRPr="00CA4CA4">
              <w:rPr>
                <w:szCs w:val="20"/>
              </w:rPr>
              <w:t xml:space="preserve">Фенофибрат 160 </w:t>
            </w:r>
            <w:r w:rsidRPr="00CA4CA4">
              <w:rPr>
                <w:szCs w:val="20"/>
                <w:lang w:val="en-US"/>
              </w:rPr>
              <w:t xml:space="preserve">mg OD, 7 </w:t>
            </w:r>
            <w:r w:rsidRPr="00CA4CA4">
              <w:rPr>
                <w:szCs w:val="20"/>
              </w:rPr>
              <w:t>дни</w:t>
            </w:r>
          </w:p>
        </w:tc>
        <w:tc>
          <w:tcPr>
            <w:tcW w:w="2285" w:type="dxa"/>
          </w:tcPr>
          <w:p w14:paraId="325DD746" w14:textId="0C96BDF4" w:rsidR="00CA4CA4" w:rsidRPr="00CA4CA4" w:rsidRDefault="00CA4CA4" w:rsidP="00CA4CA4">
            <w:pPr>
              <w:rPr>
                <w:rFonts w:cs="Arial"/>
              </w:rPr>
            </w:pPr>
            <w:r w:rsidRPr="00CA4CA4">
              <w:rPr>
                <w:szCs w:val="20"/>
                <w:lang w:val="en-US"/>
              </w:rPr>
              <w:t>40 mg SD</w:t>
            </w:r>
          </w:p>
        </w:tc>
        <w:tc>
          <w:tcPr>
            <w:tcW w:w="2281" w:type="dxa"/>
          </w:tcPr>
          <w:p w14:paraId="55187783" w14:textId="0E01FFB4" w:rsidR="00CA4CA4" w:rsidRPr="00CA4CA4" w:rsidRDefault="00CA4CA4" w:rsidP="00CA4CA4">
            <w:pPr>
              <w:rPr>
                <w:rFonts w:cs="Arial"/>
              </w:rPr>
            </w:pPr>
            <w:r w:rsidRPr="00CA4CA4">
              <w:rPr>
                <w:szCs w:val="20"/>
                <w:lang w:val="en-US"/>
              </w:rPr>
              <w:t>1,03</w:t>
            </w:r>
          </w:p>
        </w:tc>
        <w:tc>
          <w:tcPr>
            <w:tcW w:w="2344" w:type="dxa"/>
            <w:vAlign w:val="bottom"/>
          </w:tcPr>
          <w:p w14:paraId="26ADC9B0" w14:textId="7DBB497E" w:rsidR="00CA4CA4" w:rsidRPr="00CA4CA4" w:rsidRDefault="00CA4CA4" w:rsidP="00CA4CA4">
            <w:pPr>
              <w:rPr>
                <w:rFonts w:cs="Arial"/>
              </w:rPr>
            </w:pPr>
            <w:r w:rsidRPr="00CA4CA4">
              <w:rPr>
                <w:szCs w:val="20"/>
              </w:rPr>
              <w:t>Препоръчва се по-ниска начална доза и клинично проследяване на тези пациенти.</w:t>
            </w:r>
          </w:p>
        </w:tc>
      </w:tr>
      <w:tr w:rsidR="00CA4CA4" w14:paraId="2E4E2F27" w14:textId="77777777" w:rsidTr="00F502CE">
        <w:tc>
          <w:tcPr>
            <w:tcW w:w="2440" w:type="dxa"/>
          </w:tcPr>
          <w:p w14:paraId="1BDAA699" w14:textId="14FF7451" w:rsidR="00CA4CA4" w:rsidRPr="00CA4CA4" w:rsidRDefault="00CA4CA4" w:rsidP="00CA4CA4">
            <w:pPr>
              <w:rPr>
                <w:rFonts w:cs="Arial"/>
              </w:rPr>
            </w:pPr>
            <w:r w:rsidRPr="00CA4CA4">
              <w:rPr>
                <w:szCs w:val="20"/>
              </w:rPr>
              <w:t xml:space="preserve">Боцепревир 800 </w:t>
            </w:r>
            <w:r w:rsidRPr="00CA4CA4">
              <w:rPr>
                <w:szCs w:val="20"/>
                <w:lang w:val="en-US"/>
              </w:rPr>
              <w:t xml:space="preserve">mg </w:t>
            </w:r>
            <w:r w:rsidRPr="00CA4CA4">
              <w:rPr>
                <w:szCs w:val="20"/>
              </w:rPr>
              <w:t>ТЮ, 7 дни</w:t>
            </w:r>
          </w:p>
        </w:tc>
        <w:tc>
          <w:tcPr>
            <w:tcW w:w="2285" w:type="dxa"/>
          </w:tcPr>
          <w:p w14:paraId="2E3600E4" w14:textId="271DFF8D" w:rsidR="00CA4CA4" w:rsidRPr="00CA4CA4" w:rsidRDefault="00CA4CA4" w:rsidP="00CA4CA4">
            <w:pPr>
              <w:rPr>
                <w:rFonts w:cs="Arial"/>
              </w:rPr>
            </w:pPr>
            <w:r w:rsidRPr="00CA4CA4">
              <w:rPr>
                <w:szCs w:val="20"/>
                <w:lang w:val="en-US"/>
              </w:rPr>
              <w:t>40 mg SD</w:t>
            </w:r>
          </w:p>
        </w:tc>
        <w:tc>
          <w:tcPr>
            <w:tcW w:w="2281" w:type="dxa"/>
          </w:tcPr>
          <w:p w14:paraId="68CD0557" w14:textId="44E17992" w:rsidR="00CA4CA4" w:rsidRPr="00CA4CA4" w:rsidRDefault="00CA4CA4" w:rsidP="00CA4CA4">
            <w:pPr>
              <w:rPr>
                <w:rFonts w:cs="Arial"/>
              </w:rPr>
            </w:pPr>
            <w:r w:rsidRPr="00CA4CA4">
              <w:rPr>
                <w:szCs w:val="20"/>
                <w:lang w:val="en-US"/>
              </w:rPr>
              <w:t>2.3</w:t>
            </w:r>
          </w:p>
        </w:tc>
        <w:tc>
          <w:tcPr>
            <w:tcW w:w="2344" w:type="dxa"/>
            <w:vAlign w:val="bottom"/>
          </w:tcPr>
          <w:p w14:paraId="1C52C4A2" w14:textId="1901BC78" w:rsidR="00CA4CA4" w:rsidRPr="00CA4CA4" w:rsidRDefault="00CA4CA4" w:rsidP="00CA4CA4">
            <w:pPr>
              <w:rPr>
                <w:rFonts w:cs="Arial"/>
              </w:rPr>
            </w:pPr>
            <w:r w:rsidRPr="00CA4CA4">
              <w:rPr>
                <w:szCs w:val="20"/>
              </w:rPr>
              <w:t xml:space="preserve">Препоръчва се по-ниска начална доза и клинично проследяване на тези пациенти. Дозата на аторвастатин не трябва да превишава дневната доза от 20 </w:t>
            </w:r>
            <w:r w:rsidRPr="00CA4CA4">
              <w:rPr>
                <w:szCs w:val="20"/>
                <w:lang w:val="en-US"/>
              </w:rPr>
              <w:t xml:space="preserve">mg </w:t>
            </w:r>
            <w:r w:rsidRPr="00CA4CA4">
              <w:rPr>
                <w:szCs w:val="20"/>
              </w:rPr>
              <w:t>при едновременно приложение с боцепревир.</w:t>
            </w:r>
          </w:p>
        </w:tc>
      </w:tr>
    </w:tbl>
    <w:p w14:paraId="5B9091B5" w14:textId="77777777"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vertAlign w:val="superscript"/>
          <w:lang w:eastAsia="bg-BG"/>
        </w:rPr>
        <w:t>&amp;</w:t>
      </w:r>
      <w:r w:rsidRPr="00CA4CA4">
        <w:rPr>
          <w:rFonts w:eastAsia="Times New Roman" w:cs="Arial"/>
          <w:color w:val="000000"/>
          <w:szCs w:val="20"/>
          <w:lang w:eastAsia="bg-BG"/>
        </w:rPr>
        <w:t xml:space="preserve"> Представя съотношение на лечението (едновременно приложение на аторвастатин с друго лекарство и приложените на аторвастатин самостоятелно).</w:t>
      </w:r>
    </w:p>
    <w:p w14:paraId="5432B534"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Вижте точки 4.4 и 4.5 за клиничното значение.</w:t>
      </w:r>
    </w:p>
    <w:p w14:paraId="385E6DAC"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 xml:space="preserve">Съдържа един или повече компоненти, които инхибират </w:t>
      </w:r>
      <w:r w:rsidRPr="00CA4CA4">
        <w:rPr>
          <w:rFonts w:eastAsia="Times New Roman" w:cs="Arial"/>
          <w:color w:val="000000"/>
          <w:szCs w:val="20"/>
          <w:lang w:val="en-US"/>
        </w:rPr>
        <w:t xml:space="preserve">CYP3A4, </w:t>
      </w:r>
      <w:r w:rsidRPr="00CA4CA4">
        <w:rPr>
          <w:rFonts w:eastAsia="Times New Roman" w:cs="Arial"/>
          <w:color w:val="000000"/>
          <w:szCs w:val="20"/>
          <w:lang w:eastAsia="bg-BG"/>
        </w:rPr>
        <w:t xml:space="preserve">и може да повиши плазмените концентрации на лекарствени продукти, метаболизирани от </w:t>
      </w:r>
      <w:r w:rsidRPr="00CA4CA4">
        <w:rPr>
          <w:rFonts w:eastAsia="Times New Roman" w:cs="Arial"/>
          <w:color w:val="000000"/>
          <w:szCs w:val="20"/>
          <w:lang w:val="en-US"/>
        </w:rPr>
        <w:t xml:space="preserve">CYP3A4. </w:t>
      </w:r>
      <w:r w:rsidRPr="00CA4CA4">
        <w:rPr>
          <w:rFonts w:eastAsia="Times New Roman" w:cs="Arial"/>
          <w:color w:val="000000"/>
          <w:szCs w:val="20"/>
          <w:lang w:eastAsia="bg-BG"/>
        </w:rPr>
        <w:t xml:space="preserve">Приемането на 240 </w:t>
      </w:r>
      <w:r w:rsidRPr="00CA4CA4">
        <w:rPr>
          <w:rFonts w:eastAsia="Times New Roman" w:cs="Arial"/>
          <w:color w:val="000000"/>
          <w:szCs w:val="20"/>
          <w:lang w:val="en-US"/>
        </w:rPr>
        <w:t xml:space="preserve">ml </w:t>
      </w:r>
      <w:r w:rsidRPr="00CA4CA4">
        <w:rPr>
          <w:rFonts w:eastAsia="Times New Roman" w:cs="Arial"/>
          <w:color w:val="000000"/>
          <w:szCs w:val="20"/>
          <w:lang w:eastAsia="bg-BG"/>
        </w:rPr>
        <w:t xml:space="preserve">сок от грейпфрут води до намаляване на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с 20,4% за активния ортохидрокси метаболит. Големи количества сок от грейпфрут (над 1,2 литра дневно в продължение на 5 дни) увеличават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на аторвастатин 2,5 пъти и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на активните вещества (аторвастатин и метаболити) на инхибиторите на </w:t>
      </w:r>
      <w:proofErr w:type="spellStart"/>
      <w:r w:rsidRPr="00CA4CA4">
        <w:rPr>
          <w:rFonts w:eastAsia="Times New Roman" w:cs="Arial"/>
          <w:color w:val="000000"/>
          <w:szCs w:val="20"/>
          <w:lang w:val="en-US"/>
        </w:rPr>
        <w:t>HMGCoA</w:t>
      </w:r>
      <w:proofErr w:type="spellEnd"/>
      <w:r w:rsidRPr="00CA4CA4">
        <w:rPr>
          <w:rFonts w:eastAsia="Times New Roman" w:cs="Arial"/>
          <w:color w:val="000000"/>
          <w:szCs w:val="20"/>
          <w:lang w:val="en-US"/>
        </w:rPr>
        <w:t xml:space="preserve"> </w:t>
      </w:r>
      <w:r w:rsidRPr="00CA4CA4">
        <w:rPr>
          <w:rFonts w:eastAsia="Times New Roman" w:cs="Arial"/>
          <w:color w:val="000000"/>
          <w:szCs w:val="20"/>
          <w:lang w:eastAsia="bg-BG"/>
        </w:rPr>
        <w:t>редуктаза 1,3 пъти.</w:t>
      </w:r>
    </w:p>
    <w:p w14:paraId="19A23AE6"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 Съотношение въз основа на единична проба, взета 8-16 часа след дозата.</w:t>
      </w:r>
    </w:p>
    <w:p w14:paraId="7FBA541B" w14:textId="77777777"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lang w:val="en-US"/>
        </w:rPr>
        <w:t xml:space="preserve">OD </w:t>
      </w:r>
      <w:r w:rsidRPr="00CA4CA4">
        <w:rPr>
          <w:rFonts w:eastAsia="Times New Roman" w:cs="Arial"/>
          <w:color w:val="000000"/>
          <w:szCs w:val="20"/>
          <w:lang w:eastAsia="bg-BG"/>
        </w:rPr>
        <w:t xml:space="preserve">= веднъж дневно; </w:t>
      </w:r>
      <w:r w:rsidRPr="00CA4CA4">
        <w:rPr>
          <w:rFonts w:eastAsia="Times New Roman" w:cs="Arial"/>
          <w:color w:val="000000"/>
          <w:szCs w:val="20"/>
          <w:lang w:val="en-US"/>
        </w:rPr>
        <w:t xml:space="preserve">SD </w:t>
      </w:r>
      <w:r w:rsidRPr="00CA4CA4">
        <w:rPr>
          <w:rFonts w:eastAsia="Times New Roman" w:cs="Arial"/>
          <w:color w:val="000000"/>
          <w:szCs w:val="20"/>
          <w:lang w:eastAsia="bg-BG"/>
        </w:rPr>
        <w:t xml:space="preserve">= еднократна доза; </w:t>
      </w:r>
      <w:r w:rsidRPr="00CA4CA4">
        <w:rPr>
          <w:rFonts w:eastAsia="Times New Roman" w:cs="Arial"/>
          <w:color w:val="000000"/>
          <w:szCs w:val="20"/>
          <w:lang w:val="en-US"/>
        </w:rPr>
        <w:t xml:space="preserve">BID </w:t>
      </w:r>
      <w:r w:rsidRPr="00CA4CA4">
        <w:rPr>
          <w:rFonts w:eastAsia="Times New Roman" w:cs="Arial"/>
          <w:color w:val="000000"/>
          <w:szCs w:val="20"/>
          <w:lang w:eastAsia="bg-BG"/>
        </w:rPr>
        <w:t xml:space="preserve">= два пъти дневно; </w:t>
      </w:r>
      <w:r w:rsidRPr="00CA4CA4">
        <w:rPr>
          <w:rFonts w:eastAsia="Times New Roman" w:cs="Arial"/>
          <w:color w:val="000000"/>
          <w:szCs w:val="20"/>
          <w:lang w:val="en-US"/>
        </w:rPr>
        <w:t xml:space="preserve">TID </w:t>
      </w:r>
      <w:r w:rsidRPr="00CA4CA4">
        <w:rPr>
          <w:rFonts w:eastAsia="Times New Roman" w:cs="Arial"/>
          <w:color w:val="000000"/>
          <w:szCs w:val="20"/>
          <w:lang w:eastAsia="bg-BG"/>
        </w:rPr>
        <w:t>= три пъти дне</w:t>
      </w:r>
      <w:r w:rsidRPr="00CA4CA4">
        <w:rPr>
          <w:rFonts w:eastAsia="Times New Roman" w:cs="Arial"/>
          <w:color w:val="000000"/>
          <w:szCs w:val="20"/>
          <w:u w:val="single"/>
          <w:lang w:eastAsia="bg-BG"/>
        </w:rPr>
        <w:t xml:space="preserve">вно; </w:t>
      </w:r>
      <w:r w:rsidRPr="00CA4CA4">
        <w:rPr>
          <w:rFonts w:eastAsia="Times New Roman" w:cs="Arial"/>
          <w:color w:val="000000"/>
          <w:szCs w:val="20"/>
          <w:u w:val="single"/>
          <w:lang w:val="en-US"/>
        </w:rPr>
        <w:t>Q</w:t>
      </w:r>
      <w:r w:rsidRPr="00CA4CA4">
        <w:rPr>
          <w:rFonts w:eastAsia="Times New Roman" w:cs="Arial"/>
          <w:color w:val="000000"/>
          <w:szCs w:val="20"/>
          <w:lang w:val="en-US"/>
        </w:rPr>
        <w:t xml:space="preserve">ID </w:t>
      </w:r>
      <w:r w:rsidRPr="00CA4CA4">
        <w:rPr>
          <w:rFonts w:eastAsia="Times New Roman" w:cs="Arial"/>
          <w:color w:val="000000"/>
          <w:szCs w:val="20"/>
          <w:lang w:eastAsia="bg-BG"/>
        </w:rPr>
        <w:t>= четири пъти дневно</w:t>
      </w:r>
    </w:p>
    <w:p w14:paraId="10FE4BD0" w14:textId="77777777" w:rsidR="00CA4CA4" w:rsidRPr="00CA4CA4" w:rsidRDefault="00CA4CA4" w:rsidP="00CA4CA4">
      <w:pPr>
        <w:spacing w:line="240" w:lineRule="auto"/>
        <w:rPr>
          <w:rFonts w:eastAsia="Times New Roman" w:cs="Arial"/>
          <w:color w:val="000000"/>
          <w:szCs w:val="20"/>
          <w:u w:val="single"/>
          <w:lang w:eastAsia="bg-BG"/>
        </w:rPr>
      </w:pPr>
    </w:p>
    <w:p w14:paraId="2A3985BF" w14:textId="79ECEAF2"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u w:val="single"/>
          <w:lang w:eastAsia="bg-BG"/>
        </w:rPr>
        <w:lastRenderedPageBreak/>
        <w:t>Таблица 2: Въздействие на аторвастатин върху фармакокинетиката на</w:t>
      </w:r>
      <w:r w:rsidRPr="00CA4CA4">
        <w:rPr>
          <w:rFonts w:eastAsia="Times New Roman" w:cs="Arial"/>
          <w:color w:val="000000"/>
          <w:szCs w:val="20"/>
          <w:u w:val="single"/>
          <w:lang w:val="en-US"/>
        </w:rPr>
        <w:t xml:space="preserve"> e</w:t>
      </w:r>
      <w:r w:rsidRPr="00CA4CA4">
        <w:rPr>
          <w:rFonts w:eastAsia="Times New Roman" w:cs="Arial"/>
          <w:color w:val="000000"/>
          <w:szCs w:val="20"/>
          <w:u w:val="single"/>
          <w:lang w:eastAsia="bg-BG"/>
        </w:rPr>
        <w:t>дновременно прилагани</w:t>
      </w:r>
    </w:p>
    <w:p w14:paraId="624ECFBB" w14:textId="6D94437C" w:rsidR="00D5261D" w:rsidRDefault="00CA4CA4" w:rsidP="00CA4CA4">
      <w:pPr>
        <w:rPr>
          <w:rFonts w:eastAsia="Times New Roman" w:cs="Arial"/>
          <w:color w:val="000000"/>
          <w:szCs w:val="20"/>
          <w:u w:val="single"/>
          <w:lang w:eastAsia="bg-BG"/>
        </w:rPr>
      </w:pPr>
      <w:r w:rsidRPr="00CA4CA4">
        <w:rPr>
          <w:rFonts w:eastAsia="Times New Roman" w:cs="Arial"/>
          <w:color w:val="000000"/>
          <w:szCs w:val="20"/>
          <w:u w:val="single"/>
          <w:lang w:eastAsia="bg-BG"/>
        </w:rPr>
        <w:t>лекарствени продукти</w:t>
      </w:r>
    </w:p>
    <w:tbl>
      <w:tblPr>
        <w:tblStyle w:val="TableGrid"/>
        <w:tblW w:w="0" w:type="auto"/>
        <w:tblLook w:val="04A0" w:firstRow="1" w:lastRow="0" w:firstColumn="1" w:lastColumn="0" w:noHBand="0" w:noVBand="1"/>
      </w:tblPr>
      <w:tblGrid>
        <w:gridCol w:w="2337"/>
        <w:gridCol w:w="2337"/>
        <w:gridCol w:w="2338"/>
        <w:gridCol w:w="2338"/>
      </w:tblGrid>
      <w:tr w:rsidR="00F502CE" w14:paraId="092084A5" w14:textId="77777777" w:rsidTr="00F502CE">
        <w:tc>
          <w:tcPr>
            <w:tcW w:w="2337" w:type="dxa"/>
            <w:vMerge w:val="restart"/>
          </w:tcPr>
          <w:p w14:paraId="3E938905" w14:textId="10142EFD" w:rsidR="00F502CE" w:rsidRPr="00F502CE" w:rsidRDefault="00F502CE" w:rsidP="00CA4CA4">
            <w:pPr>
              <w:rPr>
                <w:rFonts w:cs="Arial"/>
              </w:rPr>
            </w:pPr>
            <w:r w:rsidRPr="00F502CE">
              <w:t>Аторвастатин и схема на дозиране</w:t>
            </w:r>
          </w:p>
        </w:tc>
        <w:tc>
          <w:tcPr>
            <w:tcW w:w="7013" w:type="dxa"/>
            <w:gridSpan w:val="3"/>
          </w:tcPr>
          <w:p w14:paraId="73792229" w14:textId="2D9848DF" w:rsidR="00F502CE" w:rsidRPr="00F502CE" w:rsidRDefault="00F502CE" w:rsidP="00CA4CA4">
            <w:pPr>
              <w:rPr>
                <w:rFonts w:cs="Arial"/>
              </w:rPr>
            </w:pPr>
            <w:r w:rsidRPr="00F502CE">
              <w:t>Едновременно приложен лекарствен продукт</w:t>
            </w:r>
          </w:p>
        </w:tc>
      </w:tr>
      <w:tr w:rsidR="00F502CE" w14:paraId="5DF62998" w14:textId="77777777" w:rsidTr="00F502CE">
        <w:tc>
          <w:tcPr>
            <w:tcW w:w="2337" w:type="dxa"/>
            <w:vMerge/>
          </w:tcPr>
          <w:p w14:paraId="3F8D6A42" w14:textId="77777777" w:rsidR="00F502CE" w:rsidRPr="00F502CE" w:rsidRDefault="00F502CE" w:rsidP="00F502CE">
            <w:pPr>
              <w:rPr>
                <w:rFonts w:cs="Arial"/>
              </w:rPr>
            </w:pPr>
          </w:p>
        </w:tc>
        <w:tc>
          <w:tcPr>
            <w:tcW w:w="2337" w:type="dxa"/>
          </w:tcPr>
          <w:p w14:paraId="2F324849" w14:textId="6DF45CA2" w:rsidR="00F502CE" w:rsidRPr="00F502CE" w:rsidRDefault="00F502CE" w:rsidP="00F502CE">
            <w:pPr>
              <w:rPr>
                <w:rFonts w:cs="Arial"/>
              </w:rPr>
            </w:pPr>
            <w:r w:rsidRPr="00F502CE">
              <w:t xml:space="preserve">Лекарствен продукт/доза </w:t>
            </w:r>
            <w:r w:rsidRPr="00F502CE">
              <w:rPr>
                <w:lang w:val="en-US"/>
              </w:rPr>
              <w:t>(mg)</w:t>
            </w:r>
          </w:p>
        </w:tc>
        <w:tc>
          <w:tcPr>
            <w:tcW w:w="2338" w:type="dxa"/>
            <w:vAlign w:val="bottom"/>
          </w:tcPr>
          <w:p w14:paraId="52929202" w14:textId="77777777" w:rsidR="00F502CE" w:rsidRPr="00F502CE" w:rsidRDefault="00F502CE" w:rsidP="00F502CE">
            <w:r w:rsidRPr="00F502CE">
              <w:t>Съотношение</w:t>
            </w:r>
          </w:p>
          <w:p w14:paraId="370BD7FC" w14:textId="5BF84AF0" w:rsidR="00F502CE" w:rsidRPr="00F502CE" w:rsidRDefault="00F502CE" w:rsidP="00F502CE">
            <w:pPr>
              <w:rPr>
                <w:rFonts w:cs="Arial"/>
              </w:rPr>
            </w:pPr>
            <w:r w:rsidRPr="00F502CE">
              <w:t xml:space="preserve">на </w:t>
            </w:r>
            <w:r w:rsidRPr="00F502CE">
              <w:rPr>
                <w:i/>
                <w:iCs/>
                <w:lang w:val="en-US"/>
              </w:rPr>
              <w:t>AUC</w:t>
            </w:r>
            <w:r w:rsidRPr="00F502CE">
              <w:rPr>
                <w:i/>
                <w:iCs/>
                <w:vertAlign w:val="superscript"/>
                <w:lang w:val="en-US"/>
              </w:rPr>
              <w:t>&amp;</w:t>
            </w:r>
          </w:p>
        </w:tc>
        <w:tc>
          <w:tcPr>
            <w:tcW w:w="2338" w:type="dxa"/>
          </w:tcPr>
          <w:p w14:paraId="5C69B29D" w14:textId="5F5FCED3" w:rsidR="00F502CE" w:rsidRPr="00F502CE" w:rsidRDefault="00F502CE" w:rsidP="00F502CE">
            <w:pPr>
              <w:rPr>
                <w:rFonts w:cs="Arial"/>
              </w:rPr>
            </w:pPr>
            <w:r w:rsidRPr="00F502CE">
              <w:t>Клинична препоръка</w:t>
            </w:r>
          </w:p>
        </w:tc>
      </w:tr>
      <w:tr w:rsidR="00F502CE" w14:paraId="4227AE05" w14:textId="77777777" w:rsidTr="00CA4CA4">
        <w:tc>
          <w:tcPr>
            <w:tcW w:w="2337" w:type="dxa"/>
          </w:tcPr>
          <w:p w14:paraId="47A69006" w14:textId="1628294A" w:rsidR="00F502CE" w:rsidRPr="00F502CE" w:rsidRDefault="00F502CE" w:rsidP="00F502CE">
            <w:pPr>
              <w:rPr>
                <w:rFonts w:cs="Arial"/>
              </w:rPr>
            </w:pPr>
            <w:r w:rsidRPr="00F502CE">
              <w:rPr>
                <w:rFonts w:cs="Arial"/>
                <w:szCs w:val="20"/>
              </w:rPr>
              <w:t xml:space="preserve">80 </w:t>
            </w:r>
            <w:r w:rsidRPr="00F502CE">
              <w:rPr>
                <w:rFonts w:cs="Arial"/>
                <w:szCs w:val="20"/>
                <w:lang w:val="en-US"/>
              </w:rPr>
              <w:t xml:space="preserve">mg OD </w:t>
            </w:r>
            <w:r w:rsidRPr="00F502CE">
              <w:rPr>
                <w:rFonts w:cs="Arial"/>
                <w:szCs w:val="20"/>
              </w:rPr>
              <w:t>за 10 дни</w:t>
            </w:r>
          </w:p>
        </w:tc>
        <w:tc>
          <w:tcPr>
            <w:tcW w:w="2337" w:type="dxa"/>
          </w:tcPr>
          <w:p w14:paraId="5BF00DEB" w14:textId="1DC4CA2F" w:rsidR="00F502CE" w:rsidRPr="00F502CE" w:rsidRDefault="00F502CE" w:rsidP="00F502CE">
            <w:pPr>
              <w:rPr>
                <w:rFonts w:cs="Arial"/>
              </w:rPr>
            </w:pPr>
            <w:r w:rsidRPr="00F502CE">
              <w:rPr>
                <w:rFonts w:cs="Arial"/>
                <w:szCs w:val="20"/>
              </w:rPr>
              <w:t xml:space="preserve">Дигоксин 0,25 </w:t>
            </w:r>
            <w:r w:rsidRPr="00F502CE">
              <w:rPr>
                <w:rFonts w:cs="Arial"/>
                <w:szCs w:val="20"/>
                <w:lang w:val="en-US"/>
              </w:rPr>
              <w:t xml:space="preserve">mg OD, </w:t>
            </w:r>
            <w:r w:rsidRPr="00F502CE">
              <w:rPr>
                <w:rFonts w:cs="Arial"/>
                <w:szCs w:val="20"/>
              </w:rPr>
              <w:t>20 дни</w:t>
            </w:r>
          </w:p>
        </w:tc>
        <w:tc>
          <w:tcPr>
            <w:tcW w:w="2338" w:type="dxa"/>
          </w:tcPr>
          <w:p w14:paraId="218D3FCC" w14:textId="77777777" w:rsidR="00F502CE" w:rsidRPr="00F502CE" w:rsidRDefault="00F502CE" w:rsidP="00F502CE">
            <w:pPr>
              <w:rPr>
                <w:rFonts w:cs="Arial"/>
              </w:rPr>
            </w:pPr>
            <w:r w:rsidRPr="00F502CE">
              <w:rPr>
                <w:rFonts w:cs="Arial"/>
                <w:szCs w:val="20"/>
                <w:lang w:val="en-US"/>
              </w:rPr>
              <w:t>1,15</w:t>
            </w:r>
          </w:p>
          <w:p w14:paraId="2352E51D" w14:textId="77777777" w:rsidR="00F502CE" w:rsidRPr="00F502CE" w:rsidRDefault="00F502CE" w:rsidP="00F502CE">
            <w:pPr>
              <w:rPr>
                <w:rFonts w:cs="Arial"/>
              </w:rPr>
            </w:pPr>
          </w:p>
        </w:tc>
        <w:tc>
          <w:tcPr>
            <w:tcW w:w="2338" w:type="dxa"/>
          </w:tcPr>
          <w:p w14:paraId="3E2C3CDD" w14:textId="42D53CF7" w:rsidR="00F502CE" w:rsidRPr="00F502CE" w:rsidRDefault="00F502CE" w:rsidP="00F502CE">
            <w:pPr>
              <w:rPr>
                <w:rFonts w:cs="Arial"/>
              </w:rPr>
            </w:pPr>
            <w:r w:rsidRPr="00F502CE">
              <w:rPr>
                <w:rFonts w:cs="Arial"/>
                <w:szCs w:val="20"/>
              </w:rPr>
              <w:t>Пациентите, приемащи дигоксин, трябва да бъдат проследявани по подходящ начин.</w:t>
            </w:r>
          </w:p>
        </w:tc>
      </w:tr>
      <w:tr w:rsidR="00F502CE" w14:paraId="501CED3B" w14:textId="77777777" w:rsidTr="00F502CE">
        <w:tc>
          <w:tcPr>
            <w:tcW w:w="2337" w:type="dxa"/>
          </w:tcPr>
          <w:p w14:paraId="074BD774" w14:textId="0990B0FE" w:rsidR="00F502CE" w:rsidRPr="00F502CE" w:rsidRDefault="00F502CE" w:rsidP="00F502CE">
            <w:pPr>
              <w:rPr>
                <w:rFonts w:cs="Arial"/>
              </w:rPr>
            </w:pPr>
            <w:r w:rsidRPr="00F502CE">
              <w:rPr>
                <w:rFonts w:cs="Arial"/>
                <w:szCs w:val="20"/>
              </w:rPr>
              <w:t xml:space="preserve">40 </w:t>
            </w:r>
            <w:r w:rsidRPr="00F502CE">
              <w:rPr>
                <w:rFonts w:cs="Arial"/>
                <w:szCs w:val="20"/>
                <w:lang w:val="en-US"/>
              </w:rPr>
              <w:t xml:space="preserve">mg OD </w:t>
            </w:r>
            <w:r w:rsidRPr="00F502CE">
              <w:rPr>
                <w:rFonts w:cs="Arial"/>
                <w:szCs w:val="20"/>
              </w:rPr>
              <w:t>за 22 дни</w:t>
            </w:r>
          </w:p>
        </w:tc>
        <w:tc>
          <w:tcPr>
            <w:tcW w:w="2337" w:type="dxa"/>
            <w:vAlign w:val="bottom"/>
          </w:tcPr>
          <w:p w14:paraId="0EE2AAE9" w14:textId="77777777" w:rsidR="00F502CE" w:rsidRPr="00F502CE" w:rsidRDefault="00F502CE" w:rsidP="00F502CE">
            <w:pPr>
              <w:rPr>
                <w:rFonts w:cs="Arial"/>
              </w:rPr>
            </w:pPr>
            <w:r w:rsidRPr="00F502CE">
              <w:rPr>
                <w:rFonts w:cs="Arial"/>
                <w:szCs w:val="20"/>
              </w:rPr>
              <w:t>Перорал</w:t>
            </w:r>
            <w:r w:rsidRPr="00F502CE">
              <w:rPr>
                <w:rFonts w:cs="Arial"/>
                <w:szCs w:val="20"/>
                <w:lang w:val="en-US"/>
              </w:rPr>
              <w:t>e</w:t>
            </w:r>
            <w:r w:rsidRPr="00F502CE">
              <w:rPr>
                <w:rFonts w:cs="Arial"/>
                <w:szCs w:val="20"/>
              </w:rPr>
              <w:t xml:space="preserve">н контрацептив </w:t>
            </w:r>
            <w:r w:rsidRPr="00F502CE">
              <w:rPr>
                <w:rFonts w:cs="Arial"/>
                <w:szCs w:val="20"/>
                <w:lang w:val="en-US"/>
              </w:rPr>
              <w:t xml:space="preserve">OD, </w:t>
            </w:r>
            <w:r w:rsidRPr="00F502CE">
              <w:rPr>
                <w:rFonts w:cs="Arial"/>
                <w:szCs w:val="20"/>
              </w:rPr>
              <w:t>2</w:t>
            </w:r>
          </w:p>
          <w:p w14:paraId="28C36DAF" w14:textId="77777777" w:rsidR="00F502CE" w:rsidRPr="00F502CE" w:rsidRDefault="00F502CE" w:rsidP="00F502CE">
            <w:pPr>
              <w:rPr>
                <w:rFonts w:cs="Arial"/>
              </w:rPr>
            </w:pPr>
            <w:r w:rsidRPr="00F502CE">
              <w:rPr>
                <w:rFonts w:cs="Arial"/>
                <w:szCs w:val="20"/>
              </w:rPr>
              <w:t>месеца</w:t>
            </w:r>
          </w:p>
          <w:p w14:paraId="6C539F86" w14:textId="77777777" w:rsidR="00F502CE" w:rsidRPr="00F502CE" w:rsidRDefault="00F502CE" w:rsidP="00F502CE">
            <w:pPr>
              <w:rPr>
                <w:rFonts w:cs="Arial"/>
              </w:rPr>
            </w:pPr>
            <w:r w:rsidRPr="00F502CE">
              <w:rPr>
                <w:rFonts w:cs="Arial"/>
                <w:szCs w:val="20"/>
              </w:rPr>
              <w:t>-</w:t>
            </w:r>
            <w:r w:rsidRPr="00F502CE">
              <w:rPr>
                <w:rFonts w:cs="Arial"/>
                <w:szCs w:val="20"/>
                <w:lang w:val="en-US"/>
              </w:rPr>
              <w:t xml:space="preserve"> </w:t>
            </w:r>
            <w:r w:rsidRPr="00F502CE">
              <w:rPr>
                <w:rFonts w:cs="Arial"/>
                <w:szCs w:val="20"/>
              </w:rPr>
              <w:t xml:space="preserve">норетиндрон 1 </w:t>
            </w:r>
            <w:r w:rsidRPr="00F502CE">
              <w:rPr>
                <w:rFonts w:cs="Arial"/>
                <w:szCs w:val="20"/>
                <w:lang w:val="en-US"/>
              </w:rPr>
              <w:t>mg</w:t>
            </w:r>
          </w:p>
          <w:p w14:paraId="03952442" w14:textId="7684F460" w:rsidR="00F502CE" w:rsidRPr="00F502CE" w:rsidRDefault="00F502CE" w:rsidP="00F502CE">
            <w:pPr>
              <w:rPr>
                <w:rFonts w:cs="Arial"/>
              </w:rPr>
            </w:pPr>
            <w:r w:rsidRPr="00F502CE">
              <w:rPr>
                <w:rFonts w:cs="Arial"/>
                <w:szCs w:val="20"/>
                <w:lang w:val="en-US"/>
              </w:rPr>
              <w:t xml:space="preserve">- </w:t>
            </w:r>
            <w:r w:rsidRPr="00F502CE">
              <w:rPr>
                <w:rFonts w:cs="Arial"/>
                <w:szCs w:val="20"/>
              </w:rPr>
              <w:t>етинилестрадиол 35 μ</w:t>
            </w:r>
            <w:r w:rsidRPr="00F502CE">
              <w:rPr>
                <w:rFonts w:cs="Arial"/>
                <w:szCs w:val="20"/>
                <w:lang w:val="en-US"/>
              </w:rPr>
              <w:t>g</w:t>
            </w:r>
          </w:p>
        </w:tc>
        <w:tc>
          <w:tcPr>
            <w:tcW w:w="2338" w:type="dxa"/>
          </w:tcPr>
          <w:p w14:paraId="01EA1C1C" w14:textId="77777777" w:rsidR="00F502CE" w:rsidRDefault="00F502CE" w:rsidP="00F502CE">
            <w:pPr>
              <w:rPr>
                <w:rFonts w:cs="Arial"/>
                <w:szCs w:val="20"/>
                <w:lang w:val="en-US"/>
              </w:rPr>
            </w:pPr>
            <w:r w:rsidRPr="00F502CE">
              <w:rPr>
                <w:rFonts w:cs="Arial"/>
                <w:szCs w:val="20"/>
                <w:lang w:val="en-US"/>
              </w:rPr>
              <w:t>1,28</w:t>
            </w:r>
          </w:p>
          <w:p w14:paraId="0B9CA46A" w14:textId="2ADA607A" w:rsidR="00F502CE" w:rsidRPr="00F502CE" w:rsidRDefault="00F502CE" w:rsidP="00F502CE">
            <w:pPr>
              <w:rPr>
                <w:rFonts w:cs="Arial"/>
              </w:rPr>
            </w:pPr>
            <w:r w:rsidRPr="00F502CE">
              <w:rPr>
                <w:rFonts w:cs="Arial"/>
                <w:szCs w:val="20"/>
                <w:lang w:val="en-US"/>
              </w:rPr>
              <w:t>1,19</w:t>
            </w:r>
          </w:p>
        </w:tc>
        <w:tc>
          <w:tcPr>
            <w:tcW w:w="2338" w:type="dxa"/>
          </w:tcPr>
          <w:p w14:paraId="135C1EF9" w14:textId="2EA0468A" w:rsidR="00F502CE" w:rsidRPr="00F502CE" w:rsidRDefault="00F502CE" w:rsidP="00F502CE">
            <w:pPr>
              <w:rPr>
                <w:rFonts w:cs="Arial"/>
              </w:rPr>
            </w:pPr>
            <w:r w:rsidRPr="00F502CE">
              <w:rPr>
                <w:rFonts w:cs="Arial"/>
                <w:szCs w:val="20"/>
              </w:rPr>
              <w:t>Няма специфични препоръки.</w:t>
            </w:r>
          </w:p>
        </w:tc>
      </w:tr>
      <w:tr w:rsidR="00F502CE" w14:paraId="66A9575C" w14:textId="77777777" w:rsidTr="00F502CE">
        <w:tc>
          <w:tcPr>
            <w:tcW w:w="2337" w:type="dxa"/>
            <w:vAlign w:val="bottom"/>
          </w:tcPr>
          <w:p w14:paraId="55BED78D" w14:textId="77777777" w:rsidR="00F502CE" w:rsidRPr="00F502CE" w:rsidRDefault="00F502CE" w:rsidP="00F502CE">
            <w:pPr>
              <w:rPr>
                <w:rFonts w:cs="Arial"/>
              </w:rPr>
            </w:pPr>
            <w:r w:rsidRPr="00F502CE">
              <w:rPr>
                <w:rFonts w:cs="Arial"/>
                <w:szCs w:val="20"/>
              </w:rPr>
              <w:t xml:space="preserve">80 </w:t>
            </w:r>
            <w:r w:rsidRPr="00F502CE">
              <w:rPr>
                <w:rFonts w:cs="Arial"/>
                <w:szCs w:val="20"/>
                <w:lang w:val="en-US"/>
              </w:rPr>
              <w:t xml:space="preserve">mg OD </w:t>
            </w:r>
            <w:r w:rsidRPr="00F502CE">
              <w:rPr>
                <w:rFonts w:cs="Arial"/>
                <w:szCs w:val="20"/>
              </w:rPr>
              <w:t>за 15</w:t>
            </w:r>
          </w:p>
          <w:p w14:paraId="00C5C1CF" w14:textId="2771242F" w:rsidR="00F502CE" w:rsidRPr="00F502CE" w:rsidRDefault="00F502CE" w:rsidP="00F502CE">
            <w:pPr>
              <w:rPr>
                <w:rFonts w:cs="Arial"/>
              </w:rPr>
            </w:pPr>
            <w:r w:rsidRPr="00F502CE">
              <w:rPr>
                <w:rFonts w:cs="Arial"/>
                <w:bCs/>
                <w:szCs w:val="16"/>
              </w:rPr>
              <w:t>дни</w:t>
            </w:r>
          </w:p>
        </w:tc>
        <w:tc>
          <w:tcPr>
            <w:tcW w:w="2337" w:type="dxa"/>
          </w:tcPr>
          <w:p w14:paraId="3DA8DFB7" w14:textId="227792C5" w:rsidR="00F502CE" w:rsidRPr="00F502CE" w:rsidRDefault="00F502CE" w:rsidP="00F502CE">
            <w:pPr>
              <w:rPr>
                <w:rFonts w:cs="Arial"/>
              </w:rPr>
            </w:pPr>
            <w:r w:rsidRPr="00F502CE">
              <w:rPr>
                <w:rFonts w:cs="Arial"/>
                <w:szCs w:val="20"/>
              </w:rPr>
              <w:t xml:space="preserve">* Феназон, 600 </w:t>
            </w:r>
            <w:r w:rsidRPr="00F502CE">
              <w:rPr>
                <w:rFonts w:cs="Arial"/>
                <w:szCs w:val="20"/>
                <w:lang w:val="en-US"/>
              </w:rPr>
              <w:t>mg SD</w:t>
            </w:r>
          </w:p>
        </w:tc>
        <w:tc>
          <w:tcPr>
            <w:tcW w:w="2338" w:type="dxa"/>
          </w:tcPr>
          <w:p w14:paraId="129B4E32" w14:textId="60465F23" w:rsidR="00F502CE" w:rsidRPr="00F502CE" w:rsidRDefault="00F502CE" w:rsidP="00F502CE">
            <w:pPr>
              <w:rPr>
                <w:rFonts w:cs="Arial"/>
              </w:rPr>
            </w:pPr>
            <w:r w:rsidRPr="00F502CE">
              <w:rPr>
                <w:rFonts w:cs="Arial"/>
                <w:szCs w:val="20"/>
                <w:lang w:val="en-US"/>
              </w:rPr>
              <w:t>1,03</w:t>
            </w:r>
          </w:p>
        </w:tc>
        <w:tc>
          <w:tcPr>
            <w:tcW w:w="2338" w:type="dxa"/>
            <w:vAlign w:val="bottom"/>
          </w:tcPr>
          <w:p w14:paraId="6B138384" w14:textId="06BCBE2D" w:rsidR="00F502CE" w:rsidRPr="00F502CE" w:rsidRDefault="00F502CE" w:rsidP="00F502CE">
            <w:pPr>
              <w:rPr>
                <w:rFonts w:cs="Arial"/>
              </w:rPr>
            </w:pPr>
            <w:r w:rsidRPr="00F502CE">
              <w:rPr>
                <w:rFonts w:cs="Arial"/>
                <w:szCs w:val="20"/>
              </w:rPr>
              <w:t>Няма специфични препоръки</w:t>
            </w:r>
          </w:p>
        </w:tc>
      </w:tr>
      <w:tr w:rsidR="00F502CE" w14:paraId="3C52F602" w14:textId="77777777" w:rsidTr="00F502CE">
        <w:tc>
          <w:tcPr>
            <w:tcW w:w="2337" w:type="dxa"/>
          </w:tcPr>
          <w:p w14:paraId="098960BB" w14:textId="103D4119" w:rsidR="00F502CE" w:rsidRPr="00F502CE" w:rsidRDefault="00F502CE" w:rsidP="00F502CE">
            <w:pPr>
              <w:rPr>
                <w:rFonts w:cs="Arial"/>
              </w:rPr>
            </w:pPr>
            <w:r w:rsidRPr="00F502CE">
              <w:rPr>
                <w:szCs w:val="20"/>
              </w:rPr>
              <w:t xml:space="preserve">10 </w:t>
            </w:r>
            <w:r w:rsidRPr="00F502CE">
              <w:rPr>
                <w:szCs w:val="20"/>
                <w:lang w:val="en-US"/>
              </w:rPr>
              <w:t>mg SD</w:t>
            </w:r>
          </w:p>
        </w:tc>
        <w:tc>
          <w:tcPr>
            <w:tcW w:w="2337" w:type="dxa"/>
            <w:vAlign w:val="bottom"/>
          </w:tcPr>
          <w:p w14:paraId="7650A685" w14:textId="18F72451" w:rsidR="00F502CE" w:rsidRPr="00F502CE" w:rsidRDefault="00F502CE" w:rsidP="00F502CE">
            <w:pPr>
              <w:rPr>
                <w:rFonts w:cs="Arial"/>
              </w:rPr>
            </w:pPr>
            <w:r w:rsidRPr="00F502CE">
              <w:rPr>
                <w:szCs w:val="20"/>
              </w:rPr>
              <w:t xml:space="preserve">Типранавир 500 </w:t>
            </w:r>
            <w:r w:rsidRPr="00F502CE">
              <w:rPr>
                <w:szCs w:val="20"/>
                <w:lang w:val="en-US"/>
              </w:rPr>
              <w:t xml:space="preserve">mg BID/ </w:t>
            </w:r>
            <w:r w:rsidRPr="00F502CE">
              <w:rPr>
                <w:szCs w:val="20"/>
              </w:rPr>
              <w:t xml:space="preserve">ритонавир 200 </w:t>
            </w:r>
            <w:r w:rsidRPr="00F502CE">
              <w:rPr>
                <w:szCs w:val="20"/>
                <w:lang w:val="en-US"/>
              </w:rPr>
              <w:t xml:space="preserve">mg BID, </w:t>
            </w:r>
            <w:r w:rsidRPr="00F502CE">
              <w:rPr>
                <w:szCs w:val="20"/>
              </w:rPr>
              <w:t>7 дни</w:t>
            </w:r>
          </w:p>
        </w:tc>
        <w:tc>
          <w:tcPr>
            <w:tcW w:w="2338" w:type="dxa"/>
          </w:tcPr>
          <w:p w14:paraId="0F112C30" w14:textId="52B9C119" w:rsidR="00F502CE" w:rsidRPr="00F502CE" w:rsidRDefault="00F502CE" w:rsidP="00F502CE">
            <w:pPr>
              <w:rPr>
                <w:rFonts w:cs="Arial"/>
              </w:rPr>
            </w:pPr>
            <w:r>
              <w:rPr>
                <w:szCs w:val="20"/>
                <w:lang w:val="en-US"/>
              </w:rPr>
              <w:t>1</w:t>
            </w:r>
            <w:r w:rsidRPr="00F502CE">
              <w:rPr>
                <w:szCs w:val="20"/>
                <w:lang w:val="en-US"/>
              </w:rPr>
              <w:t>,08</w:t>
            </w:r>
          </w:p>
        </w:tc>
        <w:tc>
          <w:tcPr>
            <w:tcW w:w="2338" w:type="dxa"/>
            <w:vAlign w:val="bottom"/>
          </w:tcPr>
          <w:p w14:paraId="20D8E842" w14:textId="0F2DEADE" w:rsidR="00F502CE" w:rsidRPr="00F502CE" w:rsidRDefault="00F502CE" w:rsidP="00F502CE">
            <w:pPr>
              <w:rPr>
                <w:rFonts w:cs="Arial"/>
              </w:rPr>
            </w:pPr>
            <w:r w:rsidRPr="00F502CE">
              <w:rPr>
                <w:szCs w:val="20"/>
              </w:rPr>
              <w:t>Няма специфични препоръки.</w:t>
            </w:r>
          </w:p>
        </w:tc>
      </w:tr>
      <w:tr w:rsidR="00F502CE" w14:paraId="0742AE3D" w14:textId="77777777" w:rsidTr="00CA4CA4">
        <w:tc>
          <w:tcPr>
            <w:tcW w:w="2337" w:type="dxa"/>
          </w:tcPr>
          <w:p w14:paraId="55B46FE2" w14:textId="6F98098F" w:rsidR="00F502CE" w:rsidRPr="00F502CE" w:rsidRDefault="00F502CE" w:rsidP="00F502CE">
            <w:pPr>
              <w:rPr>
                <w:rFonts w:cs="Arial"/>
              </w:rPr>
            </w:pPr>
            <w:r w:rsidRPr="00F502CE">
              <w:rPr>
                <w:szCs w:val="20"/>
              </w:rPr>
              <w:t xml:space="preserve">10 </w:t>
            </w:r>
            <w:r w:rsidRPr="00F502CE">
              <w:rPr>
                <w:szCs w:val="20"/>
                <w:lang w:val="en-US"/>
              </w:rPr>
              <w:t xml:space="preserve">mg OD </w:t>
            </w:r>
            <w:r w:rsidRPr="00F502CE">
              <w:rPr>
                <w:szCs w:val="20"/>
              </w:rPr>
              <w:t>за 4 дни</w:t>
            </w:r>
          </w:p>
        </w:tc>
        <w:tc>
          <w:tcPr>
            <w:tcW w:w="2337" w:type="dxa"/>
          </w:tcPr>
          <w:p w14:paraId="0635240C" w14:textId="36B394A8" w:rsidR="00F502CE" w:rsidRPr="00F502CE" w:rsidRDefault="00F502CE" w:rsidP="00F502CE">
            <w:pPr>
              <w:rPr>
                <w:rFonts w:cs="Arial"/>
              </w:rPr>
            </w:pPr>
            <w:r w:rsidRPr="00F502CE">
              <w:rPr>
                <w:szCs w:val="20"/>
              </w:rPr>
              <w:t xml:space="preserve">Фосампренавир 1400 </w:t>
            </w:r>
            <w:r w:rsidRPr="00F502CE">
              <w:rPr>
                <w:szCs w:val="20"/>
                <w:lang w:val="en-US"/>
              </w:rPr>
              <w:t xml:space="preserve">mg BID, </w:t>
            </w:r>
            <w:r w:rsidRPr="00F502CE">
              <w:rPr>
                <w:szCs w:val="20"/>
              </w:rPr>
              <w:t>14 дни</w:t>
            </w:r>
          </w:p>
        </w:tc>
        <w:tc>
          <w:tcPr>
            <w:tcW w:w="2338" w:type="dxa"/>
          </w:tcPr>
          <w:p w14:paraId="225AC57A" w14:textId="77777777" w:rsidR="00F502CE" w:rsidRPr="00F502CE" w:rsidRDefault="00F502CE" w:rsidP="00F502CE">
            <w:r w:rsidRPr="00F502CE">
              <w:rPr>
                <w:szCs w:val="20"/>
                <w:lang w:val="en-US"/>
              </w:rPr>
              <w:t>0,73</w:t>
            </w:r>
          </w:p>
          <w:p w14:paraId="3FB485E6" w14:textId="77777777" w:rsidR="00F502CE" w:rsidRPr="00F502CE" w:rsidRDefault="00F502CE" w:rsidP="00F502CE">
            <w:pPr>
              <w:rPr>
                <w:rFonts w:cs="Arial"/>
              </w:rPr>
            </w:pPr>
          </w:p>
        </w:tc>
        <w:tc>
          <w:tcPr>
            <w:tcW w:w="2338" w:type="dxa"/>
          </w:tcPr>
          <w:p w14:paraId="0B81A279" w14:textId="0F56A800" w:rsidR="00F502CE" w:rsidRPr="00F502CE" w:rsidRDefault="00F502CE" w:rsidP="00F502CE">
            <w:pPr>
              <w:rPr>
                <w:rFonts w:cs="Arial"/>
              </w:rPr>
            </w:pPr>
            <w:r w:rsidRPr="00F502CE">
              <w:rPr>
                <w:szCs w:val="20"/>
              </w:rPr>
              <w:t>Няма специфични препоръки.</w:t>
            </w:r>
          </w:p>
        </w:tc>
      </w:tr>
      <w:tr w:rsidR="00F502CE" w14:paraId="74FBB443" w14:textId="77777777" w:rsidTr="00F502CE">
        <w:tc>
          <w:tcPr>
            <w:tcW w:w="2337" w:type="dxa"/>
            <w:vAlign w:val="bottom"/>
          </w:tcPr>
          <w:p w14:paraId="24230911" w14:textId="0A77B0D7" w:rsidR="00F502CE" w:rsidRPr="00F502CE" w:rsidRDefault="00F502CE" w:rsidP="00F502CE">
            <w:pPr>
              <w:rPr>
                <w:rFonts w:cs="Arial"/>
              </w:rPr>
            </w:pPr>
            <w:r w:rsidRPr="00F502CE">
              <w:rPr>
                <w:szCs w:val="20"/>
              </w:rPr>
              <w:t xml:space="preserve">10 </w:t>
            </w:r>
            <w:r w:rsidRPr="00F502CE">
              <w:rPr>
                <w:szCs w:val="20"/>
                <w:lang w:val="en-US"/>
              </w:rPr>
              <w:t xml:space="preserve">mg OD </w:t>
            </w:r>
            <w:r w:rsidRPr="00F502CE">
              <w:rPr>
                <w:szCs w:val="20"/>
              </w:rPr>
              <w:t>за 4 дни</w:t>
            </w:r>
          </w:p>
        </w:tc>
        <w:tc>
          <w:tcPr>
            <w:tcW w:w="2337" w:type="dxa"/>
            <w:vAlign w:val="bottom"/>
          </w:tcPr>
          <w:p w14:paraId="6F1F9FC6" w14:textId="2CC7DB5C" w:rsidR="00F502CE" w:rsidRPr="00F502CE" w:rsidRDefault="00F502CE" w:rsidP="00F502CE">
            <w:pPr>
              <w:rPr>
                <w:rFonts w:cs="Arial"/>
              </w:rPr>
            </w:pPr>
            <w:r w:rsidRPr="00F502CE">
              <w:rPr>
                <w:szCs w:val="20"/>
              </w:rPr>
              <w:t xml:space="preserve">Фосампренавир 700 </w:t>
            </w:r>
            <w:r w:rsidRPr="00F502CE">
              <w:rPr>
                <w:szCs w:val="20"/>
                <w:lang w:val="en-US"/>
              </w:rPr>
              <w:t xml:space="preserve">mg BID/ </w:t>
            </w:r>
            <w:r w:rsidRPr="00F502CE">
              <w:rPr>
                <w:szCs w:val="20"/>
              </w:rPr>
              <w:t xml:space="preserve">ритонавир 100 </w:t>
            </w:r>
            <w:r w:rsidRPr="00F502CE">
              <w:rPr>
                <w:szCs w:val="20"/>
                <w:lang w:val="en-US"/>
              </w:rPr>
              <w:t>mg BID,</w:t>
            </w:r>
            <w:r w:rsidRPr="00F502CE">
              <w:rPr>
                <w:szCs w:val="20"/>
                <w:u w:val="single"/>
                <w:lang w:val="en-US"/>
              </w:rPr>
              <w:t xml:space="preserve"> </w:t>
            </w:r>
            <w:r w:rsidRPr="00F502CE">
              <w:rPr>
                <w:szCs w:val="20"/>
                <w:lang w:val="en-US"/>
              </w:rPr>
              <w:t>14</w:t>
            </w:r>
            <w:r w:rsidRPr="00F502CE">
              <w:rPr>
                <w:szCs w:val="20"/>
                <w:u w:val="single"/>
                <w:lang w:val="en-US"/>
              </w:rPr>
              <w:t xml:space="preserve"> </w:t>
            </w:r>
            <w:r w:rsidRPr="00F502CE">
              <w:rPr>
                <w:szCs w:val="20"/>
              </w:rPr>
              <w:t>дни</w:t>
            </w:r>
          </w:p>
        </w:tc>
        <w:tc>
          <w:tcPr>
            <w:tcW w:w="2338" w:type="dxa"/>
          </w:tcPr>
          <w:p w14:paraId="2B415D87" w14:textId="0A371531" w:rsidR="00F502CE" w:rsidRPr="00F502CE" w:rsidRDefault="00F502CE" w:rsidP="00F502CE">
            <w:pPr>
              <w:rPr>
                <w:rFonts w:cs="Arial"/>
              </w:rPr>
            </w:pPr>
            <w:r w:rsidRPr="00F502CE">
              <w:rPr>
                <w:szCs w:val="20"/>
                <w:lang w:val="en-US"/>
              </w:rPr>
              <w:t>0,99</w:t>
            </w:r>
          </w:p>
        </w:tc>
        <w:tc>
          <w:tcPr>
            <w:tcW w:w="2338" w:type="dxa"/>
            <w:vAlign w:val="bottom"/>
          </w:tcPr>
          <w:p w14:paraId="05ADBB6B" w14:textId="7E34B830" w:rsidR="00F502CE" w:rsidRPr="00F502CE" w:rsidRDefault="00F502CE" w:rsidP="00F502CE">
            <w:pPr>
              <w:rPr>
                <w:rFonts w:cs="Arial"/>
              </w:rPr>
            </w:pPr>
            <w:r w:rsidRPr="00F502CE">
              <w:rPr>
                <w:szCs w:val="20"/>
              </w:rPr>
              <w:t>Няма специфични препоръки.</w:t>
            </w:r>
          </w:p>
        </w:tc>
      </w:tr>
    </w:tbl>
    <w:p w14:paraId="44832DA0"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vertAlign w:val="superscript"/>
          <w:lang w:eastAsia="bg-BG"/>
        </w:rPr>
        <w:t>&amp;</w:t>
      </w:r>
      <w:r w:rsidRPr="00F502CE">
        <w:rPr>
          <w:rFonts w:eastAsia="Times New Roman" w:cs="Arial"/>
          <w:color w:val="000000"/>
          <w:szCs w:val="20"/>
          <w:lang w:eastAsia="bg-BG"/>
        </w:rPr>
        <w:t xml:space="preserve"> Представя лечение (едновременно приложение на друго лекарство плюс аторвастатин в сравнение с приложение на аторвастатин самостоятелно).</w:t>
      </w:r>
    </w:p>
    <w:p w14:paraId="777A255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Едновременното прилагане на многократни дози аторвастатин и феназон показва малък или недоловим ефект върху клирънса на феназон.</w:t>
      </w:r>
    </w:p>
    <w:p w14:paraId="6BEDDF6F" w14:textId="23F69E98" w:rsidR="00CA4CA4" w:rsidRPr="00F502CE" w:rsidRDefault="00F502CE" w:rsidP="00F502CE">
      <w:pPr>
        <w:rPr>
          <w:rFonts w:cs="Arial"/>
          <w:sz w:val="32"/>
        </w:rPr>
      </w:pPr>
      <w:r w:rsidRPr="00F502CE">
        <w:rPr>
          <w:rFonts w:eastAsia="Times New Roman" w:cs="Arial"/>
          <w:color w:val="000000"/>
          <w:szCs w:val="20"/>
          <w:lang w:val="en-US"/>
        </w:rPr>
        <w:t xml:space="preserve">OD </w:t>
      </w:r>
      <w:r w:rsidRPr="00F502CE">
        <w:rPr>
          <w:rFonts w:eastAsia="Times New Roman" w:cs="Arial"/>
          <w:color w:val="000000"/>
          <w:szCs w:val="20"/>
          <w:lang w:eastAsia="bg-BG"/>
        </w:rPr>
        <w:t xml:space="preserve">= веднъж дневно; </w:t>
      </w:r>
      <w:r w:rsidRPr="00F502CE">
        <w:rPr>
          <w:rFonts w:eastAsia="Times New Roman" w:cs="Arial"/>
          <w:color w:val="000000"/>
          <w:szCs w:val="20"/>
          <w:lang w:val="en-US"/>
        </w:rPr>
        <w:t xml:space="preserve">SD </w:t>
      </w:r>
      <w:r w:rsidRPr="00F502CE">
        <w:rPr>
          <w:rFonts w:eastAsia="Times New Roman" w:cs="Arial"/>
          <w:color w:val="000000"/>
          <w:szCs w:val="20"/>
          <w:lang w:eastAsia="bg-BG"/>
        </w:rPr>
        <w:t xml:space="preserve">= еднократна доза; </w:t>
      </w:r>
      <w:r w:rsidRPr="00F502CE">
        <w:rPr>
          <w:rFonts w:eastAsia="Times New Roman" w:cs="Arial"/>
          <w:color w:val="000000"/>
          <w:szCs w:val="20"/>
          <w:lang w:val="en-US"/>
        </w:rPr>
        <w:t xml:space="preserve">BID </w:t>
      </w:r>
      <w:r w:rsidRPr="00F502CE">
        <w:rPr>
          <w:rFonts w:eastAsia="Times New Roman" w:cs="Arial"/>
          <w:color w:val="000000"/>
          <w:szCs w:val="20"/>
          <w:lang w:eastAsia="bg-BG"/>
        </w:rPr>
        <w:t>= два пъти дневно;</w:t>
      </w:r>
    </w:p>
    <w:p w14:paraId="2A953C2F" w14:textId="77777777" w:rsidR="00D5261D" w:rsidRPr="00D5261D" w:rsidRDefault="00D5261D" w:rsidP="00D5261D"/>
    <w:p w14:paraId="394A7584" w14:textId="717495B6" w:rsidR="004F498A" w:rsidRDefault="002C50EE" w:rsidP="004A448E">
      <w:pPr>
        <w:pStyle w:val="Heading2"/>
      </w:pPr>
      <w:r>
        <w:t>4.6. Фертилитет, бременност и кърмене</w:t>
      </w:r>
    </w:p>
    <w:p w14:paraId="20A0514B" w14:textId="415B6C8F" w:rsidR="00F502CE" w:rsidRDefault="00F502CE" w:rsidP="00F502CE"/>
    <w:p w14:paraId="34A1FFF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Жени с детероден потенциал</w:t>
      </w:r>
    </w:p>
    <w:p w14:paraId="45E56AD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Жените с детероден потенциал трябва да използват подходящи контрацептивни мерки по време на лечението (вж. точка 4.3).</w:t>
      </w:r>
    </w:p>
    <w:p w14:paraId="4A1FE01E" w14:textId="77777777" w:rsidR="00F502CE" w:rsidRPr="00F502CE" w:rsidRDefault="00F502CE" w:rsidP="00F502CE">
      <w:pPr>
        <w:spacing w:line="240" w:lineRule="auto"/>
        <w:rPr>
          <w:rFonts w:eastAsia="Times New Roman" w:cs="Arial"/>
          <w:color w:val="000000"/>
          <w:szCs w:val="20"/>
          <w:u w:val="single"/>
          <w:lang w:eastAsia="bg-BG"/>
        </w:rPr>
      </w:pPr>
    </w:p>
    <w:p w14:paraId="0D409838" w14:textId="317E0202" w:rsidR="00F502CE" w:rsidRPr="00F502CE" w:rsidRDefault="00F502CE" w:rsidP="00F502CE">
      <w:pPr>
        <w:pStyle w:val="Heading3"/>
        <w:rPr>
          <w:rFonts w:eastAsia="Times New Roman"/>
          <w:sz w:val="28"/>
          <w:u w:val="single"/>
          <w:lang w:eastAsia="bg-BG"/>
        </w:rPr>
      </w:pPr>
      <w:r w:rsidRPr="00F502CE">
        <w:rPr>
          <w:rFonts w:eastAsia="Times New Roman"/>
          <w:u w:val="single"/>
          <w:lang w:eastAsia="bg-BG"/>
        </w:rPr>
        <w:t>Бременност</w:t>
      </w:r>
    </w:p>
    <w:p w14:paraId="021C5538"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Калипра е противопоказан по време на бременност (вж. точка 4.3). Безопасността при бременни жени не е установена. Не са провеждани контролирани клинични проучвания с аторвастатин при бременни жени. Получени са редки съобщения за вродени аномалии след вътрематочно излагане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редуктазни инхибитори. Проучванията при животни показват репродуктивна токсичност (вж. точка 5.3).</w:t>
      </w:r>
    </w:p>
    <w:p w14:paraId="5D2F7060" w14:textId="77777777" w:rsidR="00F502CE" w:rsidRPr="00F502CE" w:rsidRDefault="00F502CE" w:rsidP="00F502CE">
      <w:pPr>
        <w:spacing w:line="240" w:lineRule="auto"/>
        <w:rPr>
          <w:rFonts w:eastAsia="Times New Roman" w:cs="Arial"/>
          <w:color w:val="000000"/>
          <w:szCs w:val="20"/>
          <w:lang w:eastAsia="bg-BG"/>
        </w:rPr>
      </w:pPr>
    </w:p>
    <w:p w14:paraId="13FDF3A7" w14:textId="43E5AD20"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Лечение на майката с аторвастатин може да намали феталните нива на мевалонат, който е прекурсор в биосинтеза на холестерола. Атеросклерозата е хроничен процес и </w:t>
      </w:r>
      <w:r w:rsidRPr="00F502CE">
        <w:rPr>
          <w:rFonts w:eastAsia="Times New Roman" w:cs="Arial"/>
          <w:color w:val="000000"/>
          <w:szCs w:val="20"/>
          <w:lang w:eastAsia="bg-BG"/>
        </w:rPr>
        <w:lastRenderedPageBreak/>
        <w:t>обикновеното прекратяване на липидопонижаващите лекарствени продукти по време на бременност трябва да има малко влияние върху дългосрочния риск, свързан с първичната хиперхолестеролемия.</w:t>
      </w:r>
    </w:p>
    <w:p w14:paraId="10790AE4"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Поради тези причини, Калипра не трябва да се използва при жени, които са бременни, опитват да забременеят или подозират, че са бременни. Лечението с Калипра трябва да бъде преустановено за времето на бременността или докато се установи липса на бременност (вж. точка 4.3.)</w:t>
      </w:r>
      <w:r w:rsidRPr="00F502CE">
        <w:rPr>
          <w:rFonts w:eastAsia="Times New Roman" w:cs="Arial"/>
          <w:color w:val="000000"/>
          <w:szCs w:val="20"/>
          <w:lang w:eastAsia="bg-BG"/>
        </w:rPr>
        <w:tab/>
      </w:r>
    </w:p>
    <w:p w14:paraId="428FEFDD" w14:textId="77777777" w:rsidR="00F502CE" w:rsidRPr="00F502CE" w:rsidRDefault="00F502CE" w:rsidP="00F502CE">
      <w:pPr>
        <w:rPr>
          <w:rFonts w:eastAsia="Times New Roman" w:cs="Arial"/>
          <w:color w:val="000000"/>
          <w:szCs w:val="20"/>
          <w:u w:val="single"/>
          <w:lang w:eastAsia="bg-BG"/>
        </w:rPr>
      </w:pPr>
    </w:p>
    <w:p w14:paraId="6B607A45" w14:textId="26F1C5E2" w:rsidR="00F502CE" w:rsidRPr="00F502CE" w:rsidRDefault="00F502CE" w:rsidP="00F502CE">
      <w:pPr>
        <w:pStyle w:val="Heading3"/>
        <w:rPr>
          <w:rFonts w:eastAsia="Times New Roman"/>
          <w:u w:val="single"/>
          <w:lang w:eastAsia="bg-BG"/>
        </w:rPr>
      </w:pPr>
      <w:r w:rsidRPr="00F502CE">
        <w:rPr>
          <w:rFonts w:eastAsia="Times New Roman"/>
          <w:u w:val="single"/>
          <w:lang w:eastAsia="bg-BG"/>
        </w:rPr>
        <w:t>Кърмене</w:t>
      </w:r>
    </w:p>
    <w:p w14:paraId="5CFEB69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 е известно дали аторвастатин или неговите метаболити се екскретират в кърмата. При плъхове, плазмените концентрации на аторвастатин и неговите активни метаболити са подобни на тези в млякото (вж. точка 5.3). Поради възможността за сериозни нежелани реакции, жените, приемащи Калипра, трябва да преустановят кърменето (вж. точка 4.3). Аторвастатин е противопоказан по време на кърмене (вж. точка 4.3).</w:t>
      </w:r>
    </w:p>
    <w:p w14:paraId="463D9E70" w14:textId="77777777" w:rsidR="00F502CE" w:rsidRPr="00F502CE" w:rsidRDefault="00F502CE" w:rsidP="00F502CE">
      <w:pPr>
        <w:spacing w:line="240" w:lineRule="auto"/>
        <w:rPr>
          <w:rFonts w:eastAsia="Times New Roman" w:cs="Arial"/>
          <w:color w:val="000000"/>
          <w:szCs w:val="20"/>
          <w:u w:val="single"/>
          <w:lang w:eastAsia="bg-BG"/>
        </w:rPr>
      </w:pPr>
    </w:p>
    <w:p w14:paraId="32B07044" w14:textId="7990E211" w:rsidR="00F502CE" w:rsidRPr="00F502CE" w:rsidRDefault="00F502CE" w:rsidP="00F502CE">
      <w:pPr>
        <w:pStyle w:val="Heading3"/>
        <w:rPr>
          <w:rFonts w:eastAsia="Times New Roman"/>
          <w:sz w:val="28"/>
          <w:u w:val="single"/>
          <w:lang w:eastAsia="bg-BG"/>
        </w:rPr>
      </w:pPr>
      <w:r w:rsidRPr="00F502CE">
        <w:rPr>
          <w:rFonts w:eastAsia="Times New Roman"/>
          <w:u w:val="single"/>
          <w:lang w:eastAsia="bg-BG"/>
        </w:rPr>
        <w:t>Фертилитет</w:t>
      </w:r>
    </w:p>
    <w:p w14:paraId="2441255A" w14:textId="436DE8AB" w:rsidR="00F502CE" w:rsidRDefault="00F502CE" w:rsidP="00F502CE">
      <w:pPr>
        <w:rPr>
          <w:rFonts w:eastAsia="Times New Roman" w:cs="Arial"/>
          <w:color w:val="000000"/>
          <w:szCs w:val="20"/>
          <w:lang w:eastAsia="bg-BG"/>
        </w:rPr>
      </w:pPr>
      <w:r w:rsidRPr="00F502CE">
        <w:rPr>
          <w:rFonts w:eastAsia="Times New Roman" w:cs="Arial"/>
          <w:color w:val="000000"/>
          <w:szCs w:val="20"/>
          <w:lang w:eastAsia="bg-BG"/>
        </w:rPr>
        <w:t>При проучвания с животни аторвастатин не е оказал влияние върху мъжкия или женския фертилитет (вж, точка 5.3).</w:t>
      </w:r>
    </w:p>
    <w:p w14:paraId="6A83C5C7" w14:textId="77777777" w:rsidR="00F502CE" w:rsidRPr="00F502CE" w:rsidRDefault="00F502CE" w:rsidP="00F502CE">
      <w:pPr>
        <w:rPr>
          <w:rFonts w:cs="Arial"/>
          <w:sz w:val="24"/>
        </w:rPr>
      </w:pPr>
    </w:p>
    <w:p w14:paraId="064DF1DE" w14:textId="5C476571" w:rsidR="00CF77F7" w:rsidRDefault="002C50EE" w:rsidP="004A448E">
      <w:pPr>
        <w:pStyle w:val="Heading2"/>
      </w:pPr>
      <w:r>
        <w:t>4.7. Ефекти върху способността за шофиране и работа с машини</w:t>
      </w:r>
    </w:p>
    <w:p w14:paraId="3A0B8D72" w14:textId="683E2FBE" w:rsidR="00F502CE" w:rsidRDefault="00F502CE" w:rsidP="00F502CE"/>
    <w:p w14:paraId="34BA8A5B" w14:textId="7C59A86E" w:rsidR="00F502CE" w:rsidRPr="00F502CE" w:rsidRDefault="00F502CE" w:rsidP="00F502CE">
      <w:pPr>
        <w:rPr>
          <w:szCs w:val="20"/>
        </w:rPr>
      </w:pPr>
      <w:r w:rsidRPr="00F502CE">
        <w:rPr>
          <w:szCs w:val="20"/>
        </w:rPr>
        <w:t>Калипра повлиява в малка степен способността за шофиране и работа с машини.</w:t>
      </w:r>
    </w:p>
    <w:p w14:paraId="169F7B79" w14:textId="77777777" w:rsidR="00F502CE" w:rsidRPr="00F502CE" w:rsidRDefault="00F502CE" w:rsidP="00F502CE"/>
    <w:p w14:paraId="37A3FD9F" w14:textId="7F50A001" w:rsidR="00CF77F7" w:rsidRDefault="002C50EE" w:rsidP="004A448E">
      <w:pPr>
        <w:pStyle w:val="Heading2"/>
      </w:pPr>
      <w:r>
        <w:t>4.8. Нежелани лекарствени реакции</w:t>
      </w:r>
    </w:p>
    <w:p w14:paraId="53173867" w14:textId="3CDBB2F1" w:rsidR="00F502CE" w:rsidRDefault="00F502CE" w:rsidP="00F502CE"/>
    <w:p w14:paraId="6721787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Според базата данни на плацебо-контролирано клинично проучване с аторвастатин при 16 066 (8755 аторвастатин спрямо 7311 плацебо) пациенти, лекувани за среден период от 53 седмици, 5,2% от пациентите на аторвастатин са прекратили участието си поради нежелани реакции в сравнение с 4,0% от пациентите на плацебо.</w:t>
      </w:r>
    </w:p>
    <w:p w14:paraId="0A17DB95"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Въз основа на данните от клинични проучвания и обширния пост-маркетингов опит, в следващата таблица е представен профилът на нежеланите реакции на аторвастатин. Очакваните честоти на реакциите са групирани съгласно следната конвенция: Чести (от ≥ 1/100 до &lt; 1/10) Нечести (от ≥ 1/1 000 до &lt; 1/100) Редки (от ≥ 1/10 000 до &lt; 1/1 000)</w:t>
      </w:r>
    </w:p>
    <w:p w14:paraId="504F8EE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(&lt;1/10 000)</w:t>
      </w:r>
    </w:p>
    <w:p w14:paraId="1729774E"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С неизвестна честота (от наличните данни не може да бъ</w:t>
      </w:r>
      <w:r w:rsidRPr="00F502CE">
        <w:rPr>
          <w:rFonts w:eastAsia="Times New Roman" w:cs="Arial"/>
          <w:color w:val="000000"/>
          <w:szCs w:val="20"/>
          <w:lang w:eastAsia="bg-BG"/>
        </w:rPr>
        <w:t>де направена оценка)</w:t>
      </w:r>
    </w:p>
    <w:p w14:paraId="1557ACAB" w14:textId="77777777" w:rsidR="00F502CE" w:rsidRPr="00F502CE" w:rsidRDefault="00F502CE" w:rsidP="00F502CE">
      <w:pPr>
        <w:spacing w:line="240" w:lineRule="auto"/>
        <w:rPr>
          <w:rFonts w:eastAsia="Times New Roman" w:cs="Arial"/>
          <w:i/>
          <w:iCs/>
          <w:color w:val="000000"/>
          <w:szCs w:val="20"/>
          <w:u w:val="single"/>
          <w:lang w:eastAsia="bg-BG"/>
        </w:rPr>
      </w:pPr>
    </w:p>
    <w:p w14:paraId="2CD2A0D6" w14:textId="44B2AB05"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Инфекции и инфестаиии:</w:t>
      </w:r>
    </w:p>
    <w:p w14:paraId="2770FFB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назофарингит.</w:t>
      </w:r>
    </w:p>
    <w:p w14:paraId="350FF93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кръвта и лимфната система</w:t>
      </w:r>
    </w:p>
    <w:p w14:paraId="40D94B2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тромбоцитопения.</w:t>
      </w:r>
    </w:p>
    <w:p w14:paraId="6B245D79"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имунната система</w:t>
      </w:r>
    </w:p>
    <w:p w14:paraId="6D22CA0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алергични реакции.</w:t>
      </w:r>
    </w:p>
    <w:p w14:paraId="6AADCEC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анафилаксия.</w:t>
      </w:r>
    </w:p>
    <w:p w14:paraId="28E3815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метаболизма и храненето</w:t>
      </w:r>
    </w:p>
    <w:p w14:paraId="3AE5AB8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хипергликемия.</w:t>
      </w:r>
    </w:p>
    <w:p w14:paraId="17F2AB2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хипогликемия, наддаване на тегло, анорексия.</w:t>
      </w:r>
    </w:p>
    <w:p w14:paraId="539D68E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Психични нарушения</w:t>
      </w:r>
    </w:p>
    <w:p w14:paraId="58CDA54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кошмари, безсъние.</w:t>
      </w:r>
    </w:p>
    <w:p w14:paraId="644991D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нервната система</w:t>
      </w:r>
    </w:p>
    <w:p w14:paraId="756BEBA5"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lastRenderedPageBreak/>
        <w:t>Чести: главоболие.</w:t>
      </w:r>
    </w:p>
    <w:p w14:paraId="483C0849"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замаяност, парестезия, хипоестезия, дисгеузия, амнезия.</w:t>
      </w:r>
    </w:p>
    <w:p w14:paraId="4216AF5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периферната невропатия.</w:t>
      </w:r>
    </w:p>
    <w:p w14:paraId="7B524A4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очите</w:t>
      </w:r>
    </w:p>
    <w:p w14:paraId="1EF7F77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замъглено зрение.</w:t>
      </w:r>
    </w:p>
    <w:p w14:paraId="29DE0F5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зрителни нарушения.</w:t>
      </w:r>
    </w:p>
    <w:p w14:paraId="470028EB"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ухото и лабиринта</w:t>
      </w:r>
    </w:p>
    <w:p w14:paraId="6C2E99C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шум в ушите</w:t>
      </w:r>
    </w:p>
    <w:p w14:paraId="52CF7D4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загуба на слуха</w:t>
      </w:r>
    </w:p>
    <w:p w14:paraId="536C9420" w14:textId="7E521790" w:rsidR="00F502CE" w:rsidRDefault="00F502CE" w:rsidP="00F502CE">
      <w:pPr>
        <w:rPr>
          <w:rFonts w:eastAsia="Times New Roman" w:cs="Arial"/>
          <w:i/>
          <w:iCs/>
          <w:color w:val="000000"/>
          <w:szCs w:val="20"/>
          <w:u w:val="single"/>
          <w:lang w:eastAsia="bg-BG"/>
        </w:rPr>
      </w:pPr>
      <w:r w:rsidRPr="00F502CE">
        <w:rPr>
          <w:rFonts w:eastAsia="Times New Roman" w:cs="Arial"/>
          <w:i/>
          <w:iCs/>
          <w:color w:val="000000"/>
          <w:szCs w:val="20"/>
          <w:u w:val="single"/>
          <w:lang w:eastAsia="bg-BG"/>
        </w:rPr>
        <w:t>Респираторни, гръдни и медиастинални нарушения:</w:t>
      </w:r>
    </w:p>
    <w:p w14:paraId="632EAB21"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фаринголарингеална болка, епистаксис.</w:t>
      </w:r>
    </w:p>
    <w:p w14:paraId="10680AD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Стомашно-чревни нарушения</w:t>
      </w:r>
    </w:p>
    <w:p w14:paraId="0274017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запек, метеоризъм, диспепсия, гадене, диария.</w:t>
      </w:r>
    </w:p>
    <w:p w14:paraId="376910A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Нечести: повръщане, болка в горната и долната част на корема, оригване, панкреатит. </w:t>
      </w:r>
      <w:r w:rsidRPr="00F502CE">
        <w:rPr>
          <w:rFonts w:eastAsia="Times New Roman" w:cs="Arial"/>
          <w:i/>
          <w:iCs/>
          <w:color w:val="000000"/>
          <w:u w:val="single"/>
          <w:lang w:eastAsia="bg-BG"/>
        </w:rPr>
        <w:t>Хепатобилиарни нарушения</w:t>
      </w:r>
    </w:p>
    <w:p w14:paraId="54B0385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хепатит.</w:t>
      </w:r>
    </w:p>
    <w:p w14:paraId="076DA35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холестаза.</w:t>
      </w:r>
    </w:p>
    <w:p w14:paraId="14201C9F"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чернодробна недостатъчност.</w:t>
      </w:r>
    </w:p>
    <w:p w14:paraId="2EF6B55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Нарушения на кожата и подкожната тъкан</w:t>
      </w:r>
    </w:p>
    <w:p w14:paraId="4997793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уртикария, кожен обрив, сърбеж, алопеция.</w:t>
      </w:r>
    </w:p>
    <w:p w14:paraId="5311E5B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ангионеврогичен оток, булозен дерматит, включително еритема мултиформе, синдром на Стивън-Джоунс и токсична епидермална некролиза.</w:t>
      </w:r>
    </w:p>
    <w:p w14:paraId="70A62977"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Нарушения на мускулно-скелетната система и съединителната тъкан</w:t>
      </w:r>
    </w:p>
    <w:p w14:paraId="3191BCD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миалгия, артралгия, болка в крайниците, мускулни спазми, подуване на ставите, болки в гърба.</w:t>
      </w:r>
    </w:p>
    <w:p w14:paraId="3F0601EF"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болка в шията, мускулна умора.</w:t>
      </w:r>
    </w:p>
    <w:p w14:paraId="6484FD6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миопатия, миозит, рабдомиолиза, разкъсване на мускулите, тендинопатия, която понякога се усложнява от руптура.</w:t>
      </w:r>
    </w:p>
    <w:p w14:paraId="5CFA082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лупус-подобен синдром.</w:t>
      </w:r>
    </w:p>
    <w:p w14:paraId="7F17685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С неизвестна честота: Имуномедиирана некротизираща миопатия (вж. точка 4.4). </w:t>
      </w:r>
      <w:r w:rsidRPr="00F502CE">
        <w:rPr>
          <w:rFonts w:eastAsia="Times New Roman" w:cs="Arial"/>
          <w:i/>
          <w:iCs/>
          <w:color w:val="000000"/>
          <w:u w:val="single"/>
          <w:lang w:eastAsia="bg-BG"/>
        </w:rPr>
        <w:t>Нарушения на възпроизводителната система и гърдата</w:t>
      </w:r>
    </w:p>
    <w:p w14:paraId="400A462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гинекомастия.</w:t>
      </w:r>
    </w:p>
    <w:p w14:paraId="6531B502"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Обши нарушения и ефекти на мястото на приложение</w:t>
      </w:r>
    </w:p>
    <w:p w14:paraId="3EF9F71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Нечести: неразположение, астения, болка в гърдите, периферен оток, умора, пирексия. </w:t>
      </w:r>
      <w:r w:rsidRPr="00F502CE">
        <w:rPr>
          <w:rFonts w:eastAsia="Times New Roman" w:cs="Arial"/>
          <w:i/>
          <w:iCs/>
          <w:color w:val="000000"/>
          <w:u w:val="single"/>
          <w:lang w:eastAsia="bg-BG"/>
        </w:rPr>
        <w:t>Изследвания</w:t>
      </w:r>
    </w:p>
    <w:p w14:paraId="16887C9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патологични чернодробни функционални тестове, повишено ниво на креатин киназа.</w:t>
      </w:r>
    </w:p>
    <w:p w14:paraId="0D200A1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бели кръвни клетки в урината.</w:t>
      </w:r>
    </w:p>
    <w:p w14:paraId="2E5EE64D" w14:textId="212FE368" w:rsidR="00F502CE" w:rsidRPr="00F502CE" w:rsidRDefault="00F502CE" w:rsidP="00F502CE">
      <w:pPr>
        <w:rPr>
          <w:rFonts w:eastAsia="Times New Roman" w:cs="Arial"/>
          <w:i/>
          <w:iCs/>
          <w:color w:val="000000"/>
          <w:szCs w:val="20"/>
          <w:u w:val="single"/>
          <w:lang w:eastAsia="bg-BG"/>
        </w:rPr>
      </w:pPr>
      <w:r w:rsidRPr="00F502CE">
        <w:rPr>
          <w:rFonts w:eastAsia="Times New Roman" w:cs="Arial"/>
          <w:color w:val="000000"/>
          <w:lang w:eastAsia="bg-BG"/>
        </w:rPr>
        <w:t xml:space="preserve">Както и при другите </w:t>
      </w:r>
      <w:r w:rsidRPr="00F502CE">
        <w:rPr>
          <w:rFonts w:eastAsia="Times New Roman" w:cs="Arial"/>
          <w:color w:val="000000"/>
          <w:lang w:val="en-US"/>
        </w:rPr>
        <w:t xml:space="preserve">HMG-CoA </w:t>
      </w:r>
      <w:r w:rsidRPr="00F502CE">
        <w:rPr>
          <w:rFonts w:eastAsia="Times New Roman" w:cs="Arial"/>
          <w:color w:val="000000"/>
          <w:lang w:eastAsia="bg-BG"/>
        </w:rPr>
        <w:t>редуктазни инхибитори, при пациенти, лекувани с аторвастатин, се наблюдава повишаване на серумните трансаминази. Тези промени обикновено са леки, преходни и не изискват прекъсване на лечението. Клинично значимо повишаване на серумните трансаминази (&gt; 3 пъти горната граница на нормата) е възникнало при 0,8% от пациентите, приемащи аторвастатин. Тези повишения са дозозависими и обратими при всички пациенти.</w:t>
      </w:r>
    </w:p>
    <w:p w14:paraId="7C5E6245" w14:textId="3F8EE095" w:rsidR="00F502CE" w:rsidRDefault="00F502CE" w:rsidP="00F502CE"/>
    <w:p w14:paraId="0E953CB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В клинични проучвания, повишени серумни нива на креатин киназа (СК) над 3 пъти горната граница на нормата е наблюдавано при 2,5% от пациентите, приемащи аторвастатин, подобно на други </w:t>
      </w:r>
      <w:r w:rsidRPr="00F502CE">
        <w:rPr>
          <w:rFonts w:eastAsia="Times New Roman" w:cs="Arial"/>
          <w:color w:val="000000"/>
          <w:lang w:val="en-US"/>
        </w:rPr>
        <w:t xml:space="preserve">HMG-CoA </w:t>
      </w:r>
      <w:r w:rsidRPr="00F502CE">
        <w:rPr>
          <w:rFonts w:eastAsia="Times New Roman" w:cs="Arial"/>
          <w:color w:val="000000"/>
          <w:lang w:eastAsia="bg-BG"/>
        </w:rPr>
        <w:t>редуктазни инхибитори. Нива над 10 пъти горната граница на нормата са наблюдавани при 0,4% от пациентите, лекувани с аторвастатин (вж. точка 4.4).</w:t>
      </w:r>
    </w:p>
    <w:p w14:paraId="4C543594" w14:textId="77777777" w:rsidR="00F502CE" w:rsidRPr="00F502CE" w:rsidRDefault="00F502CE" w:rsidP="00F502CE">
      <w:pPr>
        <w:spacing w:line="240" w:lineRule="auto"/>
        <w:rPr>
          <w:rFonts w:eastAsia="Times New Roman" w:cs="Arial"/>
          <w:color w:val="000000"/>
          <w:u w:val="single"/>
          <w:lang w:eastAsia="bg-BG"/>
        </w:rPr>
      </w:pPr>
    </w:p>
    <w:p w14:paraId="0E46D0B0" w14:textId="70642108"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u w:val="single"/>
          <w:lang w:eastAsia="bg-BG"/>
        </w:rPr>
        <w:t>Педиатрична популация</w:t>
      </w:r>
    </w:p>
    <w:p w14:paraId="674A7EFB" w14:textId="6698E863" w:rsidR="00F502CE" w:rsidRDefault="00F502CE" w:rsidP="00F502CE">
      <w:pPr>
        <w:rPr>
          <w:rFonts w:eastAsia="Times New Roman" w:cs="Arial"/>
          <w:color w:val="000000"/>
          <w:lang w:eastAsia="bg-BG"/>
        </w:rPr>
      </w:pPr>
      <w:r w:rsidRPr="00F502CE">
        <w:rPr>
          <w:rFonts w:eastAsia="Times New Roman" w:cs="Arial"/>
          <w:color w:val="000000"/>
          <w:lang w:eastAsia="bg-BG"/>
        </w:rPr>
        <w:t xml:space="preserve">При педиатрични пациенти на възраст от 10 до 17 години, лекувани с аторвастатин, профилът на нежелани лекарствени реакции е сходен на този при пациенти, лекувани с плацебо. Най-честите нежелани реакции, наблюдавани в двете групи, независимо от оценката на причинно-следствената връзка, са били инфекциите. Не е наблюдаван клинично значим ефект върху растежа и половото съзряване в 3-годишното проучване, основано на оценката на цялостното съзряване и развитие, оценката на стадиите на Танер </w:t>
      </w:r>
      <w:r w:rsidRPr="00F502CE">
        <w:rPr>
          <w:rFonts w:eastAsia="Times New Roman" w:cs="Arial"/>
          <w:color w:val="000000"/>
          <w:lang w:val="en-US"/>
        </w:rPr>
        <w:t xml:space="preserve">(Tanner Stage) </w:t>
      </w:r>
      <w:r w:rsidRPr="00F502CE">
        <w:rPr>
          <w:rFonts w:eastAsia="Times New Roman" w:cs="Arial"/>
          <w:color w:val="000000"/>
          <w:lang w:eastAsia="bg-BG"/>
        </w:rPr>
        <w:t>и измерването на височината и теглото. Профилът на безопасност и  поносимост при педиатрични пациенти е подобен на известния профил на безопастност на аторвастатин при възрастни пациенти.</w:t>
      </w:r>
    </w:p>
    <w:p w14:paraId="13181C86" w14:textId="1F0AEC24" w:rsidR="00F502CE" w:rsidRDefault="00F502CE" w:rsidP="00F502CE">
      <w:pPr>
        <w:rPr>
          <w:rFonts w:eastAsia="Times New Roman" w:cs="Arial"/>
          <w:color w:val="000000"/>
          <w:lang w:eastAsia="bg-BG"/>
        </w:rPr>
      </w:pPr>
    </w:p>
    <w:p w14:paraId="7CE0CC4C"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Базата данни за клинична безопасност включва данни за безопасност за 520 педиатрични пациенти, които са получавали аторвастатин, сред които 7 пациенти под 6-годишна възраст, 121 пациенти във възрастовата група от 6 до 9 и 392 пациенти във възрастовата група от 10 до 17. Връз основа на наличните данни, честотата, видът и тежестта на нежеланите реакции при децата са подобни на тези при възрастните.</w:t>
      </w:r>
    </w:p>
    <w:p w14:paraId="206D750C" w14:textId="77777777" w:rsidR="00F502CE" w:rsidRPr="00F502CE" w:rsidRDefault="00F502CE" w:rsidP="00F502CE">
      <w:pPr>
        <w:spacing w:line="240" w:lineRule="auto"/>
        <w:rPr>
          <w:rFonts w:eastAsia="Times New Roman" w:cs="Arial"/>
          <w:color w:val="000000"/>
          <w:lang w:eastAsia="bg-BG"/>
        </w:rPr>
      </w:pPr>
    </w:p>
    <w:p w14:paraId="570A759F" w14:textId="21965CA9"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Следните нежелани реакции са докладвани при някои статини:</w:t>
      </w:r>
    </w:p>
    <w:p w14:paraId="474F31E6"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Сексуална дисфункция</w:t>
      </w:r>
    </w:p>
    <w:p w14:paraId="443A15ED"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Депресия.</w:t>
      </w:r>
    </w:p>
    <w:p w14:paraId="036808FB"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Единични случаи на интерстициална белодробна болест, особено</w:t>
      </w:r>
      <w:r w:rsidRPr="00F502CE">
        <w:rPr>
          <w:rFonts w:eastAsia="Times New Roman" w:cs="Arial"/>
          <w:color w:val="000000"/>
          <w:lang w:eastAsia="bg-BG"/>
        </w:rPr>
        <w:tab/>
        <w:t>при</w:t>
      </w:r>
    </w:p>
    <w:p w14:paraId="492D3D88"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продължително лечение (вж. точка 4.4).</w:t>
      </w:r>
    </w:p>
    <w:p w14:paraId="679E54A8"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 xml:space="preserve">Захарен диабет: Честотата ще зависи от наличието или липсата на рисковите фактори (кръвна глюкоза на гладно ≥ 5,6 </w:t>
      </w:r>
      <w:proofErr w:type="spellStart"/>
      <w:r w:rsidRPr="00F502CE">
        <w:rPr>
          <w:rFonts w:eastAsia="Times New Roman" w:cs="Arial"/>
          <w:color w:val="000000"/>
          <w:lang w:val="en-US"/>
        </w:rPr>
        <w:t>mmol</w:t>
      </w:r>
      <w:proofErr w:type="spellEnd"/>
      <w:r w:rsidRPr="00F502CE">
        <w:rPr>
          <w:rFonts w:eastAsia="Times New Roman" w:cs="Arial"/>
          <w:color w:val="000000"/>
          <w:lang w:val="en-US"/>
        </w:rPr>
        <w:t xml:space="preserve">/l, </w:t>
      </w:r>
      <w:r w:rsidRPr="00F502CE">
        <w:rPr>
          <w:rFonts w:eastAsia="Times New Roman" w:cs="Arial"/>
          <w:color w:val="000000"/>
          <w:lang w:eastAsia="bg-BG"/>
        </w:rPr>
        <w:t>И</w:t>
      </w:r>
      <w:r w:rsidRPr="00F502CE">
        <w:rPr>
          <w:rFonts w:eastAsia="Times New Roman" w:cs="Arial"/>
          <w:color w:val="000000"/>
          <w:lang w:val="en-US"/>
        </w:rPr>
        <w:t xml:space="preserve">TM&gt;30kg/m2, </w:t>
      </w:r>
      <w:r w:rsidRPr="00F502CE">
        <w:rPr>
          <w:rFonts w:eastAsia="Times New Roman" w:cs="Arial"/>
          <w:color w:val="000000"/>
          <w:lang w:eastAsia="bg-BG"/>
        </w:rPr>
        <w:t>повишено ниво на триглицериди, анамнеза за хипертония).</w:t>
      </w:r>
    </w:p>
    <w:p w14:paraId="26ED5FCB" w14:textId="77777777" w:rsidR="00F502CE" w:rsidRPr="00F502CE" w:rsidRDefault="00F502CE" w:rsidP="00F502CE">
      <w:pPr>
        <w:spacing w:line="240" w:lineRule="auto"/>
        <w:rPr>
          <w:rFonts w:eastAsia="Times New Roman" w:cs="Arial"/>
          <w:b/>
          <w:bCs/>
          <w:color w:val="000000"/>
          <w:lang w:eastAsia="bg-BG"/>
        </w:rPr>
      </w:pPr>
      <w:bookmarkStart w:id="1" w:name="bookmark0"/>
    </w:p>
    <w:p w14:paraId="4022B175" w14:textId="2932A5BE" w:rsidR="00F502CE" w:rsidRPr="00F502CE" w:rsidRDefault="00F502CE" w:rsidP="00F502CE">
      <w:pPr>
        <w:spacing w:line="240" w:lineRule="auto"/>
        <w:rPr>
          <w:rFonts w:eastAsia="Times New Roman" w:cs="Arial"/>
          <w:lang w:eastAsia="bg-BG"/>
        </w:rPr>
      </w:pPr>
      <w:r w:rsidRPr="00F502CE">
        <w:rPr>
          <w:rFonts w:eastAsia="Times New Roman" w:cs="Arial"/>
          <w:b/>
          <w:bCs/>
          <w:color w:val="000000"/>
          <w:lang w:eastAsia="bg-BG"/>
        </w:rPr>
        <w:t>Съобщаване на подозирани нежелани реакции</w:t>
      </w:r>
      <w:bookmarkEnd w:id="1"/>
    </w:p>
    <w:p w14:paraId="0DFEBC16"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00823EA9"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Изпълнителна агенция по лекарствата</w:t>
      </w:r>
    </w:p>
    <w:p w14:paraId="1FAA8262"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ул. „Дамян Груев“ № 8</w:t>
      </w:r>
    </w:p>
    <w:p w14:paraId="6B58AACA"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1303 София</w:t>
      </w:r>
    </w:p>
    <w:p w14:paraId="0111E20C" w14:textId="439CEDC6" w:rsidR="00F502CE" w:rsidRPr="00F502CE" w:rsidRDefault="00F502CE" w:rsidP="00F502CE">
      <w:pPr>
        <w:rPr>
          <w:rFonts w:eastAsia="Times New Roman" w:cs="Arial"/>
          <w:color w:val="000000"/>
          <w:lang w:eastAsia="bg-BG"/>
        </w:rPr>
      </w:pPr>
      <w:r w:rsidRPr="00F502CE">
        <w:rPr>
          <w:rFonts w:eastAsia="Times New Roman" w:cs="Arial"/>
          <w:color w:val="000000"/>
          <w:lang w:eastAsia="bg-BG"/>
        </w:rPr>
        <w:t xml:space="preserve">Тел.:+359 2 8903417 уебсайт: </w:t>
      </w:r>
      <w:r w:rsidRPr="00F502CE">
        <w:rPr>
          <w:rFonts w:eastAsia="Times New Roman" w:cs="Arial"/>
          <w:lang w:eastAsia="bg-BG"/>
        </w:rPr>
        <w:fldChar w:fldCharType="begin"/>
      </w:r>
      <w:r w:rsidRPr="00F502CE">
        <w:rPr>
          <w:rFonts w:eastAsia="Times New Roman" w:cs="Arial"/>
          <w:lang w:eastAsia="bg-BG"/>
        </w:rPr>
        <w:instrText xml:space="preserve"> HYPERLINK "http://www.bda.bg" </w:instrText>
      </w:r>
      <w:r w:rsidRPr="00F502CE">
        <w:rPr>
          <w:rFonts w:eastAsia="Times New Roman" w:cs="Arial"/>
          <w:lang w:eastAsia="bg-BG"/>
        </w:rPr>
      </w:r>
      <w:r w:rsidRPr="00F502CE">
        <w:rPr>
          <w:rFonts w:eastAsia="Times New Roman" w:cs="Arial"/>
          <w:lang w:eastAsia="bg-BG"/>
        </w:rPr>
        <w:fldChar w:fldCharType="separate"/>
      </w:r>
      <w:r w:rsidRPr="00F502CE">
        <w:rPr>
          <w:rFonts w:eastAsia="Times New Roman" w:cs="Arial"/>
          <w:color w:val="000000"/>
          <w:u w:val="single"/>
          <w:lang w:val="en-US"/>
        </w:rPr>
        <w:t>www.bda.bg</w:t>
      </w:r>
      <w:r w:rsidRPr="00F502CE">
        <w:rPr>
          <w:rFonts w:eastAsia="Times New Roman" w:cs="Arial"/>
          <w:lang w:eastAsia="bg-BG"/>
        </w:rPr>
        <w:fldChar w:fldCharType="end"/>
      </w:r>
    </w:p>
    <w:p w14:paraId="4E6B30E0" w14:textId="77777777" w:rsidR="00F502CE" w:rsidRPr="00F502CE" w:rsidRDefault="00F502CE" w:rsidP="00F502CE"/>
    <w:p w14:paraId="0A023CE0" w14:textId="0AE0DF4E" w:rsidR="00CF77F7" w:rsidRDefault="002C50EE" w:rsidP="004A448E">
      <w:pPr>
        <w:pStyle w:val="Heading2"/>
      </w:pPr>
      <w:r>
        <w:t>4.9. Предозиране</w:t>
      </w:r>
    </w:p>
    <w:p w14:paraId="6FE376B2" w14:textId="044D6FD2" w:rsidR="00F502CE" w:rsidRDefault="00F502CE" w:rsidP="00F502CE"/>
    <w:p w14:paraId="29C78729" w14:textId="6E4819DA" w:rsidR="00F502CE" w:rsidRPr="00F502CE" w:rsidRDefault="00F502CE" w:rsidP="00F502CE">
      <w:pPr>
        <w:rPr>
          <w:sz w:val="24"/>
        </w:rPr>
      </w:pPr>
      <w:r w:rsidRPr="00F502CE">
        <w:rPr>
          <w:szCs w:val="20"/>
        </w:rPr>
        <w:t>Специфично лечение при предозиране с Калипра няма. В случай на предозиране, пациентът трябва да се лекува симптоматично и при необходимост да се приложи поддържащо лечение. Трябва да се направят изследвания на чернодробната функция и да се проследят серумните нива на СК. Поради високия афинитет на свързване на аторвастатин с плазмените протеини, не се очаква хемодиализата да покачи значително клирънса на аторвастатин.</w:t>
      </w:r>
    </w:p>
    <w:p w14:paraId="02081B24" w14:textId="1F46E296" w:rsidR="00395555" w:rsidRPr="00395555" w:rsidRDefault="002C50EE" w:rsidP="008A6AF2">
      <w:pPr>
        <w:pStyle w:val="Heading1"/>
      </w:pPr>
      <w:r>
        <w:lastRenderedPageBreak/>
        <w:t>5. ФАРМАКОЛОГИЧНИ СВОЙСТВА</w:t>
      </w:r>
    </w:p>
    <w:p w14:paraId="32B6DE66" w14:textId="5F14B4DB" w:rsidR="00CF77F7" w:rsidRDefault="002C50EE" w:rsidP="004A448E">
      <w:pPr>
        <w:pStyle w:val="Heading2"/>
      </w:pPr>
      <w:r>
        <w:t>5.1. Фармакодинамични свойства</w:t>
      </w:r>
    </w:p>
    <w:p w14:paraId="386B2EB8" w14:textId="02EC17AC" w:rsidR="00F502CE" w:rsidRDefault="00F502CE" w:rsidP="00F502CE"/>
    <w:p w14:paraId="0B2D8BE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Фармакотерапевтична група: Лекарства, регулиращи липидите, </w:t>
      </w:r>
      <w:r w:rsidRPr="00F502CE">
        <w:rPr>
          <w:rFonts w:eastAsia="Times New Roman" w:cs="Arial"/>
          <w:color w:val="000000"/>
          <w:szCs w:val="20"/>
          <w:lang w:val="en-US"/>
        </w:rPr>
        <w:t>HMG</w:t>
      </w:r>
      <w:r w:rsidRPr="00F502CE">
        <w:rPr>
          <w:rFonts w:eastAsia="Times New Roman" w:cs="Arial"/>
          <w:color w:val="000000"/>
          <w:szCs w:val="20"/>
          <w:lang w:eastAsia="bg-BG"/>
        </w:rPr>
        <w:t>-СоА-редуктазни инхибитори, АТС код: С10АА05</w:t>
      </w:r>
    </w:p>
    <w:p w14:paraId="0C96EE3D" w14:textId="77777777" w:rsidR="00F502CE" w:rsidRPr="00F502CE" w:rsidRDefault="00F502CE" w:rsidP="00F502CE">
      <w:pPr>
        <w:spacing w:line="240" w:lineRule="auto"/>
        <w:rPr>
          <w:rFonts w:eastAsia="Times New Roman" w:cs="Arial"/>
          <w:color w:val="000000"/>
          <w:szCs w:val="20"/>
          <w:lang w:eastAsia="bg-BG"/>
        </w:rPr>
      </w:pPr>
    </w:p>
    <w:p w14:paraId="6D5DF463" w14:textId="40620CEE"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Аторвастатин е селективен, конкурентен инхибитор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 xml:space="preserve">редуктазата, скоростоопределящият ензим, отговорен за превръщането на 3-хидрокси-3-метил- глутарил-коензим А в мевалонат, прекурсор на стеролите, включително на холестерола. Триглицеридите и холестеролът в черния дроб са включени в състава на липопротеините с много ниска плътност </w:t>
      </w:r>
      <w:r w:rsidRPr="00F502CE">
        <w:rPr>
          <w:rFonts w:eastAsia="Times New Roman" w:cs="Arial"/>
          <w:color w:val="000000"/>
          <w:szCs w:val="20"/>
          <w:lang w:val="en-US"/>
        </w:rPr>
        <w:t xml:space="preserve">(VLDL) </w:t>
      </w:r>
      <w:r w:rsidRPr="00F502CE">
        <w:rPr>
          <w:rFonts w:eastAsia="Times New Roman" w:cs="Arial"/>
          <w:color w:val="000000"/>
          <w:szCs w:val="20"/>
          <w:lang w:eastAsia="bg-BG"/>
        </w:rPr>
        <w:t xml:space="preserve">и постъпват в плазмата, достигайки до периферните тъкани. Липопротеините с ниска плътност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се формират от </w:t>
      </w:r>
      <w:r w:rsidRPr="00F502CE">
        <w:rPr>
          <w:rFonts w:eastAsia="Times New Roman" w:cs="Arial"/>
          <w:color w:val="000000"/>
          <w:szCs w:val="20"/>
          <w:lang w:val="en-US"/>
        </w:rPr>
        <w:t xml:space="preserve">VLDL </w:t>
      </w:r>
      <w:r w:rsidRPr="00F502CE">
        <w:rPr>
          <w:rFonts w:eastAsia="Times New Roman" w:cs="Arial"/>
          <w:color w:val="000000"/>
          <w:szCs w:val="20"/>
          <w:lang w:eastAsia="bg-BG"/>
        </w:rPr>
        <w:t xml:space="preserve">и се катаболизират главно чрез рецептори с висок афинитет към </w:t>
      </w:r>
      <w:r w:rsidRPr="00F502CE">
        <w:rPr>
          <w:rFonts w:eastAsia="Times New Roman" w:cs="Arial"/>
          <w:color w:val="000000"/>
          <w:szCs w:val="20"/>
          <w:lang w:val="en-US"/>
        </w:rPr>
        <w:t>LDL (LDL</w:t>
      </w:r>
      <w:r w:rsidRPr="00F502CE">
        <w:rPr>
          <w:rFonts w:eastAsia="Times New Roman" w:cs="Arial"/>
          <w:color w:val="000000"/>
          <w:szCs w:val="20"/>
          <w:lang w:eastAsia="bg-BG"/>
        </w:rPr>
        <w:t>-рецептор).</w:t>
      </w:r>
    </w:p>
    <w:p w14:paraId="4CC7FB05" w14:textId="77777777" w:rsidR="00F502CE" w:rsidRPr="00F502CE" w:rsidRDefault="00F502CE" w:rsidP="00F502CE">
      <w:pPr>
        <w:spacing w:line="240" w:lineRule="auto"/>
        <w:rPr>
          <w:rFonts w:eastAsia="Times New Roman" w:cs="Arial"/>
          <w:color w:val="000000"/>
          <w:szCs w:val="20"/>
          <w:lang w:eastAsia="bg-BG"/>
        </w:rPr>
      </w:pPr>
    </w:p>
    <w:p w14:paraId="48756C61" w14:textId="2FBEFBA0"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Аторвастатин понижава плазмения холестерол и концентрацията на липопротеини в</w:t>
      </w:r>
    </w:p>
    <w:p w14:paraId="74261181" w14:textId="77777777" w:rsidR="00F502CE" w:rsidRPr="00F502CE" w:rsidRDefault="00F502CE" w:rsidP="00F502CE">
      <w:pPr>
        <w:rPr>
          <w:rFonts w:eastAsia="Times New Roman" w:cs="Arial"/>
          <w:sz w:val="28"/>
          <w:szCs w:val="24"/>
          <w:lang w:eastAsia="bg-BG"/>
        </w:rPr>
      </w:pPr>
      <w:r w:rsidRPr="00F502CE">
        <w:rPr>
          <w:rFonts w:eastAsia="Times New Roman" w:cs="Arial"/>
          <w:color w:val="000000"/>
          <w:szCs w:val="20"/>
          <w:lang w:eastAsia="bg-BG"/>
        </w:rPr>
        <w:t xml:space="preserve">серума чрез инхибиране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редуктазата и впоследствие на биосинтеза на</w:t>
      </w:r>
      <w:r>
        <w:rPr>
          <w:rFonts w:eastAsia="Times New Roman" w:cs="Arial"/>
          <w:color w:val="000000"/>
          <w:szCs w:val="20"/>
          <w:lang w:eastAsia="bg-BG"/>
        </w:rPr>
        <w:t xml:space="preserve"> </w:t>
      </w:r>
      <w:r w:rsidRPr="00F502CE">
        <w:rPr>
          <w:rFonts w:eastAsia="Times New Roman" w:cs="Arial"/>
          <w:color w:val="000000"/>
          <w:szCs w:val="20"/>
          <w:lang w:eastAsia="bg-BG"/>
        </w:rPr>
        <w:t xml:space="preserve">холестерол в черния дроб и увеличава броя на чернодробните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рецептори върху клетъчната повърхност за по-добро захващане и катаболизъм на </w:t>
      </w:r>
      <w:r w:rsidRPr="00F502CE">
        <w:rPr>
          <w:rFonts w:eastAsia="Times New Roman" w:cs="Arial"/>
          <w:color w:val="000000"/>
          <w:szCs w:val="20"/>
          <w:lang w:val="en-US"/>
        </w:rPr>
        <w:t>LDL.</w:t>
      </w:r>
    </w:p>
    <w:p w14:paraId="62322D50" w14:textId="77777777" w:rsidR="00F502CE" w:rsidRPr="00F502CE" w:rsidRDefault="00F502CE" w:rsidP="00F502CE">
      <w:pPr>
        <w:spacing w:line="240" w:lineRule="auto"/>
        <w:rPr>
          <w:rFonts w:eastAsia="Times New Roman" w:cs="Arial"/>
          <w:color w:val="000000"/>
          <w:szCs w:val="20"/>
          <w:lang w:eastAsia="bg-BG"/>
        </w:rPr>
      </w:pPr>
    </w:p>
    <w:p w14:paraId="737A86EF" w14:textId="5B1C27DD"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Аторвастатин намалява образуването на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и броя на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частиците. Аторвастатин води до значително и трайно повишаване на </w:t>
      </w:r>
      <w:r w:rsidRPr="00F502CE">
        <w:rPr>
          <w:rFonts w:eastAsia="Times New Roman" w:cs="Arial"/>
          <w:color w:val="000000"/>
          <w:szCs w:val="20"/>
          <w:lang w:val="en-US"/>
        </w:rPr>
        <w:t>LDL</w:t>
      </w:r>
      <w:r w:rsidRPr="00F502CE">
        <w:rPr>
          <w:rFonts w:eastAsia="Times New Roman" w:cs="Arial"/>
          <w:color w:val="000000"/>
          <w:szCs w:val="20"/>
          <w:lang w:eastAsia="bg-BG"/>
        </w:rPr>
        <w:t xml:space="preserve">-рецепторната активност, съчетано с благоприятна промяна в качеството на циркулиращите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частици. Аторвастатин е ефективен за намаляване на </w:t>
      </w:r>
      <w:r w:rsidRPr="00F502CE">
        <w:rPr>
          <w:rFonts w:eastAsia="Times New Roman" w:cs="Arial"/>
          <w:color w:val="000000"/>
          <w:szCs w:val="20"/>
          <w:lang w:val="en-US"/>
        </w:rPr>
        <w:t>LDL</w:t>
      </w:r>
      <w:r w:rsidRPr="00F502CE">
        <w:rPr>
          <w:rFonts w:eastAsia="Times New Roman" w:cs="Arial"/>
          <w:color w:val="000000"/>
          <w:szCs w:val="20"/>
          <w:lang w:eastAsia="bg-BG"/>
        </w:rPr>
        <w:t>-С при пациенти с хомозиготна фамилна хиперхолестеролемия, група пациенти, която обичайно не се повлиява от лекарствени продукти, понижаващи липидите.</w:t>
      </w:r>
    </w:p>
    <w:p w14:paraId="5D690221" w14:textId="77777777" w:rsidR="00F502CE" w:rsidRPr="00F502CE" w:rsidRDefault="00F502CE" w:rsidP="00F502CE">
      <w:pPr>
        <w:spacing w:line="240" w:lineRule="auto"/>
        <w:rPr>
          <w:rFonts w:eastAsia="Times New Roman" w:cs="Arial"/>
          <w:color w:val="000000"/>
          <w:szCs w:val="20"/>
          <w:lang w:eastAsia="bg-BG"/>
        </w:rPr>
      </w:pPr>
    </w:p>
    <w:p w14:paraId="3E976F71" w14:textId="3A0142B6"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Установено е, че аторвастатин понижава концентрацията на общия холестерол (30% - 46%),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холестерола (41% - 61%), аполипопротеин В (34% - 50%) и триглицеридите (14% - 33%), като същевременно води до вариабилно повишаване на </w:t>
      </w:r>
      <w:r w:rsidRPr="00F502CE">
        <w:rPr>
          <w:rFonts w:eastAsia="Times New Roman" w:cs="Arial"/>
          <w:color w:val="000000"/>
          <w:szCs w:val="20"/>
          <w:lang w:val="en-US"/>
        </w:rPr>
        <w:t xml:space="preserve">HDL </w:t>
      </w:r>
      <w:r w:rsidRPr="00F502CE">
        <w:rPr>
          <w:rFonts w:eastAsia="Times New Roman" w:cs="Arial"/>
          <w:color w:val="000000"/>
          <w:szCs w:val="20"/>
          <w:lang w:eastAsia="bg-BG"/>
        </w:rPr>
        <w:t>холестерола и аполиполипопротеин А1 в направено дозозависимо проучване. Тези резултати се отнасят за пациенти с хетерозиготна фамилна хиперхолестеролемия, нефамилна форма на хиперхолестеролемия и смесена хиперлипидемия, включително пациенти с неинсулинозависим захарен диабет.</w:t>
      </w:r>
    </w:p>
    <w:p w14:paraId="70D74601" w14:textId="77777777" w:rsidR="00F502CE" w:rsidRPr="00F502CE" w:rsidRDefault="00F502CE" w:rsidP="00F502CE">
      <w:pPr>
        <w:spacing w:line="240" w:lineRule="auto"/>
        <w:rPr>
          <w:rFonts w:eastAsia="Times New Roman" w:cs="Arial"/>
          <w:color w:val="000000"/>
          <w:szCs w:val="20"/>
          <w:lang w:eastAsia="bg-BG"/>
        </w:rPr>
      </w:pPr>
    </w:p>
    <w:p w14:paraId="529B1C30" w14:textId="208386CE"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Доказано е, че понижението на нивото на общия холестерол, </w:t>
      </w:r>
      <w:r w:rsidRPr="00F502CE">
        <w:rPr>
          <w:rFonts w:eastAsia="Times New Roman" w:cs="Arial"/>
          <w:color w:val="000000"/>
          <w:szCs w:val="20"/>
          <w:lang w:val="en-US"/>
        </w:rPr>
        <w:t>LDL</w:t>
      </w:r>
      <w:r w:rsidRPr="00F502CE">
        <w:rPr>
          <w:rFonts w:eastAsia="Times New Roman" w:cs="Arial"/>
          <w:color w:val="000000"/>
          <w:szCs w:val="20"/>
          <w:lang w:eastAsia="bg-BG"/>
        </w:rPr>
        <w:t>-С и аполипопротеин В намалява риска от сърдечно-съдови инциденти и сърдечно-съдова смъртност.</w:t>
      </w:r>
    </w:p>
    <w:p w14:paraId="21E88B87" w14:textId="77777777" w:rsidR="00F502CE" w:rsidRPr="00F502CE" w:rsidRDefault="00F502CE" w:rsidP="00F502CE">
      <w:pPr>
        <w:spacing w:line="240" w:lineRule="auto"/>
        <w:rPr>
          <w:rFonts w:eastAsia="Times New Roman" w:cs="Arial"/>
          <w:color w:val="000000"/>
          <w:szCs w:val="20"/>
          <w:u w:val="single"/>
          <w:lang w:eastAsia="bg-BG"/>
        </w:rPr>
      </w:pPr>
    </w:p>
    <w:p w14:paraId="23954AFC" w14:textId="0DA584E9"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Хомозиготна фамилна хиперхолестеролемия</w:t>
      </w:r>
    </w:p>
    <w:p w14:paraId="3654D842" w14:textId="316A6E74" w:rsidR="00F502CE" w:rsidRPr="00F502CE" w:rsidRDefault="00F502CE" w:rsidP="00F502CE">
      <w:pPr>
        <w:rPr>
          <w:rFonts w:eastAsia="Times New Roman" w:cs="Arial"/>
          <w:color w:val="000000"/>
          <w:sz w:val="24"/>
          <w:szCs w:val="20"/>
          <w:lang w:eastAsia="bg-BG"/>
        </w:rPr>
      </w:pPr>
      <w:r w:rsidRPr="00F502CE">
        <w:rPr>
          <w:rFonts w:eastAsia="Times New Roman" w:cs="Arial"/>
          <w:color w:val="000000"/>
          <w:szCs w:val="20"/>
          <w:lang w:eastAsia="bg-BG"/>
        </w:rPr>
        <w:t xml:space="preserve">В многоцентрово 8 седмично отворено проучване за милосърдна употреба с допълнителна удължена фаза с променлива продължителност, са включени 335 пациенти, 89 от които са били идентифицирани като пациенти с хомозиготна фамилна хиперхолестеролемия. При тези 89 пациенти, средното процентно намаление на </w:t>
      </w:r>
      <w:r w:rsidRPr="00F502CE">
        <w:rPr>
          <w:rFonts w:eastAsia="Times New Roman" w:cs="Arial"/>
          <w:color w:val="000000"/>
          <w:szCs w:val="20"/>
          <w:lang w:val="en-US"/>
        </w:rPr>
        <w:t>LDL</w:t>
      </w:r>
      <w:r w:rsidRPr="00F502CE">
        <w:rPr>
          <w:rFonts w:eastAsia="Times New Roman" w:cs="Arial"/>
          <w:color w:val="000000"/>
          <w:szCs w:val="20"/>
          <w:lang w:eastAsia="bg-BG"/>
        </w:rPr>
        <w:t xml:space="preserve">-С е приблизително 20%. Аторвастатин е прилаган в дози до 80 </w:t>
      </w:r>
      <w:r w:rsidRPr="00F502CE">
        <w:rPr>
          <w:rFonts w:eastAsia="Times New Roman" w:cs="Arial"/>
          <w:color w:val="000000"/>
          <w:szCs w:val="20"/>
          <w:lang w:val="en-US"/>
        </w:rPr>
        <w:t>mg</w:t>
      </w:r>
      <w:r w:rsidRPr="00F502CE">
        <w:rPr>
          <w:rFonts w:eastAsia="Times New Roman" w:cs="Arial"/>
          <w:color w:val="000000"/>
          <w:szCs w:val="20"/>
          <w:lang w:eastAsia="bg-BG"/>
        </w:rPr>
        <w:t>/ден.</w:t>
      </w:r>
    </w:p>
    <w:p w14:paraId="29306366" w14:textId="482B69D4" w:rsidR="00F502CE" w:rsidRDefault="00F502CE" w:rsidP="00F502CE"/>
    <w:p w14:paraId="7B86704B"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Атеросклероза</w:t>
      </w:r>
    </w:p>
    <w:p w14:paraId="6F8EEA7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В клиничното проучване „Обратно развитие на атеросклерозата чрез агресивно липидно понижаване“ </w:t>
      </w:r>
      <w:r w:rsidRPr="00F502CE">
        <w:rPr>
          <w:rFonts w:eastAsia="Times New Roman" w:cs="Arial"/>
          <w:color w:val="000000"/>
          <w:szCs w:val="20"/>
          <w:lang w:val="en-US"/>
        </w:rPr>
        <w:t xml:space="preserve">(Reversing Atherosclerosis with Aggressive Lipid- Lowering Study, REVERSAL), </w:t>
      </w:r>
      <w:r w:rsidRPr="00F502CE">
        <w:rPr>
          <w:rFonts w:eastAsia="Times New Roman" w:cs="Arial"/>
          <w:color w:val="000000"/>
          <w:szCs w:val="20"/>
          <w:lang w:eastAsia="bg-BG"/>
        </w:rPr>
        <w:t xml:space="preserve">ефектът на интензивно понижаване на липидите с аторвастатин 80 </w:t>
      </w:r>
      <w:r w:rsidRPr="00F502CE">
        <w:rPr>
          <w:rFonts w:eastAsia="Times New Roman" w:cs="Arial"/>
          <w:color w:val="000000"/>
          <w:szCs w:val="20"/>
          <w:lang w:val="en-US"/>
        </w:rPr>
        <w:t xml:space="preserve">mg </w:t>
      </w:r>
      <w:r w:rsidRPr="00F502CE">
        <w:rPr>
          <w:rFonts w:eastAsia="Times New Roman" w:cs="Arial"/>
          <w:color w:val="000000"/>
          <w:szCs w:val="20"/>
          <w:lang w:eastAsia="bg-BG"/>
        </w:rPr>
        <w:t xml:space="preserve">и стандартно ниво на понижаване на липидите с правастатин 40 </w:t>
      </w:r>
      <w:r w:rsidRPr="00F502CE">
        <w:rPr>
          <w:rFonts w:eastAsia="Times New Roman" w:cs="Arial"/>
          <w:color w:val="000000"/>
          <w:szCs w:val="20"/>
          <w:lang w:val="en-US"/>
        </w:rPr>
        <w:t xml:space="preserve">mg </w:t>
      </w:r>
      <w:r w:rsidRPr="00F502CE">
        <w:rPr>
          <w:rFonts w:eastAsia="Times New Roman" w:cs="Arial"/>
          <w:color w:val="000000"/>
          <w:szCs w:val="20"/>
          <w:lang w:eastAsia="bg-BG"/>
        </w:rPr>
        <w:t xml:space="preserve">при коронарна атеросклероза е оценен </w:t>
      </w:r>
      <w:r w:rsidRPr="00F502CE">
        <w:rPr>
          <w:rFonts w:eastAsia="Times New Roman" w:cs="Arial"/>
          <w:color w:val="000000"/>
          <w:szCs w:val="20"/>
          <w:lang w:eastAsia="bg-BG"/>
        </w:rPr>
        <w:lastRenderedPageBreak/>
        <w:t xml:space="preserve">чрез вътресъдово ултразвуково изследване </w:t>
      </w:r>
      <w:r w:rsidRPr="00F502CE">
        <w:rPr>
          <w:rFonts w:eastAsia="Times New Roman" w:cs="Arial"/>
          <w:color w:val="000000"/>
          <w:szCs w:val="20"/>
          <w:lang w:val="en-US"/>
        </w:rPr>
        <w:t xml:space="preserve">(IVUS) </w:t>
      </w:r>
      <w:r w:rsidRPr="00F502CE">
        <w:rPr>
          <w:rFonts w:eastAsia="Times New Roman" w:cs="Arial"/>
          <w:color w:val="000000"/>
          <w:szCs w:val="20"/>
          <w:lang w:eastAsia="bg-BG"/>
        </w:rPr>
        <w:t xml:space="preserve">по време на ангиография при пациенти с исхемична болест на сърцето. В това рандомизирано, двойно-сляпо, мултицентрово, контролирано клинично проучване, </w:t>
      </w:r>
      <w:r w:rsidRPr="00F502CE">
        <w:rPr>
          <w:rFonts w:eastAsia="Times New Roman" w:cs="Arial"/>
          <w:color w:val="000000"/>
          <w:szCs w:val="20"/>
          <w:lang w:val="en-US"/>
        </w:rPr>
        <w:t xml:space="preserve">IVUS </w:t>
      </w:r>
      <w:r w:rsidRPr="00F502CE">
        <w:rPr>
          <w:rFonts w:eastAsia="Times New Roman" w:cs="Arial"/>
          <w:color w:val="000000"/>
          <w:szCs w:val="20"/>
          <w:lang w:eastAsia="bg-BG"/>
        </w:rPr>
        <w:t>е направен в началото на проучването и на 18-ия месец при 502 пациента. В групата на аторвастатин (п=253) няма прогресия на атеросклерозата.</w:t>
      </w:r>
    </w:p>
    <w:p w14:paraId="6C2AEFC8" w14:textId="77777777" w:rsidR="00F502CE" w:rsidRPr="00F502CE" w:rsidRDefault="00F502CE" w:rsidP="00F502CE">
      <w:pPr>
        <w:spacing w:line="240" w:lineRule="auto"/>
        <w:rPr>
          <w:rFonts w:eastAsia="Times New Roman" w:cs="Arial"/>
          <w:color w:val="000000"/>
          <w:szCs w:val="20"/>
          <w:lang w:eastAsia="bg-BG"/>
        </w:rPr>
      </w:pPr>
    </w:p>
    <w:p w14:paraId="58C52BB2" w14:textId="4DDE81EB"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Средната процентна промяна от изходното ниво в общия обем атеромна плака (първични критерии на проучването) е -0,4% (р=0,98) в групата на аторвастатин и +2,7% (р=0,001) в групата на правастатин (</w:t>
      </w:r>
      <w:r w:rsidRPr="00F502CE">
        <w:rPr>
          <w:rFonts w:eastAsia="Times New Roman" w:cs="Arial"/>
          <w:color w:val="000000"/>
          <w:szCs w:val="20"/>
          <w:lang w:val="en-US"/>
        </w:rPr>
        <w:t>n</w:t>
      </w:r>
      <w:r w:rsidRPr="00F502CE">
        <w:rPr>
          <w:rFonts w:eastAsia="Times New Roman" w:cs="Arial"/>
          <w:color w:val="000000"/>
          <w:szCs w:val="20"/>
          <w:lang w:eastAsia="bg-BG"/>
        </w:rPr>
        <w:t>=249). При сравнение с правастатин, ефектите на аторвастатин са статистически значими (р=0,02). Ефектът на интензивното липидно понижаване върху сърдечно-съдовите крайни точки (напр. необходимост от реваскуларизация, нефатален инфаркт на миокарда, коронарна смърт) не е изследван в това проучване.</w:t>
      </w:r>
    </w:p>
    <w:p w14:paraId="1F2A377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В групата на аторвастатин, </w:t>
      </w:r>
      <w:r w:rsidRPr="00F502CE">
        <w:rPr>
          <w:rFonts w:eastAsia="Times New Roman" w:cs="Arial"/>
          <w:color w:val="000000"/>
          <w:szCs w:val="20"/>
          <w:lang w:val="en-US"/>
        </w:rPr>
        <w:t>LDL</w:t>
      </w:r>
      <w:r w:rsidRPr="00F502CE">
        <w:rPr>
          <w:rFonts w:eastAsia="Times New Roman" w:cs="Arial"/>
          <w:color w:val="000000"/>
          <w:szCs w:val="20"/>
          <w:lang w:eastAsia="bg-BG"/>
        </w:rPr>
        <w:t xml:space="preserve">-холестеролът се е понижил до средна стойност от 2,04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0,8 (78,9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30) спрямо изходната стойност от 3,89 </w:t>
      </w:r>
      <w:proofErr w:type="spellStart"/>
      <w:r w:rsidRPr="00F502CE">
        <w:rPr>
          <w:rFonts w:eastAsia="Times New Roman" w:cs="Arial"/>
          <w:color w:val="000000"/>
          <w:szCs w:val="20"/>
          <w:lang w:val="en-US"/>
        </w:rPr>
        <w:t>mmoI</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(150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28), а в групата на правастатин, </w:t>
      </w:r>
      <w:r w:rsidRPr="00F502CE">
        <w:rPr>
          <w:rFonts w:eastAsia="Times New Roman" w:cs="Arial"/>
          <w:color w:val="000000"/>
          <w:szCs w:val="20"/>
          <w:lang w:val="en-US"/>
        </w:rPr>
        <w:t>LDL</w:t>
      </w:r>
      <w:r w:rsidRPr="00F502CE">
        <w:rPr>
          <w:rFonts w:eastAsia="Times New Roman" w:cs="Arial"/>
          <w:color w:val="000000"/>
          <w:szCs w:val="20"/>
          <w:lang w:eastAsia="bg-BG"/>
        </w:rPr>
        <w:t xml:space="preserve">-холестеролът се е понижил до средна стойност от 2,85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(110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26) спрямо изходната стойност от 3,89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(150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26) (р&lt;0,0001). Аторвастатин също така значително понижава</w:t>
      </w:r>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средния </w:t>
      </w:r>
      <w:r w:rsidRPr="00F502CE">
        <w:rPr>
          <w:rFonts w:eastAsia="Times New Roman" w:cs="Arial"/>
          <w:color w:val="000000"/>
          <w:szCs w:val="20"/>
          <w:lang w:val="en-US"/>
        </w:rPr>
        <w:t xml:space="preserve">TC </w:t>
      </w:r>
      <w:r w:rsidRPr="00F502CE">
        <w:rPr>
          <w:rFonts w:eastAsia="Times New Roman" w:cs="Arial"/>
          <w:color w:val="000000"/>
          <w:szCs w:val="20"/>
          <w:lang w:eastAsia="bg-BG"/>
        </w:rPr>
        <w:t xml:space="preserve"> с 34,1 % (правастатин: -18,4%, р&lt;0,0001), средните нива на </w:t>
      </w:r>
      <w:r w:rsidRPr="00F502CE">
        <w:rPr>
          <w:rFonts w:eastAsia="Times New Roman" w:cs="Arial"/>
          <w:color w:val="000000"/>
          <w:szCs w:val="20"/>
          <w:lang w:val="en-US"/>
        </w:rPr>
        <w:t xml:space="preserve">TG </w:t>
      </w:r>
      <w:r w:rsidRPr="00F502CE">
        <w:rPr>
          <w:rFonts w:eastAsia="Times New Roman" w:cs="Arial"/>
          <w:color w:val="000000"/>
          <w:szCs w:val="20"/>
          <w:lang w:eastAsia="bg-BG"/>
        </w:rPr>
        <w:t>с 20% (правастатин:</w:t>
      </w:r>
      <w:r w:rsidRPr="00F502CE">
        <w:rPr>
          <w:rFonts w:eastAsia="Times New Roman" w:cs="Arial"/>
          <w:color w:val="000000"/>
          <w:szCs w:val="20"/>
          <w:lang w:val="en-US"/>
        </w:rPr>
        <w:t xml:space="preserve"> 6,8%,</w:t>
      </w:r>
      <w:r w:rsidRPr="00F502CE">
        <w:rPr>
          <w:rFonts w:eastAsia="Times New Roman" w:cs="Arial"/>
          <w:color w:val="000000"/>
          <w:szCs w:val="20"/>
          <w:lang w:eastAsia="bg-BG"/>
        </w:rPr>
        <w:t xml:space="preserve"> </w:t>
      </w:r>
      <w:r w:rsidRPr="00F502CE">
        <w:rPr>
          <w:rFonts w:eastAsia="Times New Roman" w:cs="Arial"/>
          <w:color w:val="000000"/>
          <w:szCs w:val="20"/>
          <w:lang w:val="en-US"/>
        </w:rPr>
        <w:t>p&lt;0,0009)</w:t>
      </w:r>
      <w:r w:rsidRPr="00F502CE">
        <w:rPr>
          <w:rFonts w:eastAsia="Times New Roman" w:cs="Arial"/>
          <w:color w:val="000000"/>
          <w:szCs w:val="20"/>
          <w:lang w:eastAsia="bg-BG"/>
        </w:rPr>
        <w:t xml:space="preserve"> и средния аполипротеин В с 39,1% (правастатин: -22,0%, р&lt;0,0001).</w:t>
      </w:r>
      <w:r w:rsidRPr="00F502CE">
        <w:rPr>
          <w:rFonts w:eastAsia="Times New Roman" w:cs="Arial"/>
          <w:color w:val="000000"/>
          <w:szCs w:val="20"/>
          <w:lang w:val="en-US"/>
        </w:rPr>
        <w:t xml:space="preserve"> </w:t>
      </w:r>
      <w:r w:rsidRPr="00F502CE">
        <w:rPr>
          <w:rFonts w:eastAsia="Times New Roman" w:cs="Arial"/>
          <w:color w:val="000000"/>
          <w:szCs w:val="20"/>
          <w:lang w:eastAsia="bg-BG"/>
        </w:rPr>
        <w:t>Аторвастатин е</w:t>
      </w:r>
    </w:p>
    <w:p w14:paraId="1121A130" w14:textId="666D910A" w:rsidR="00F502CE" w:rsidRPr="00F502CE" w:rsidRDefault="00F502CE" w:rsidP="00F502CE">
      <w:pPr>
        <w:rPr>
          <w:rFonts w:eastAsia="Times New Roman" w:cs="Arial"/>
          <w:color w:val="000000"/>
          <w:szCs w:val="20"/>
          <w:lang w:eastAsia="bg-BG"/>
        </w:rPr>
      </w:pPr>
      <w:r w:rsidRPr="00F502CE">
        <w:rPr>
          <w:rFonts w:eastAsia="Times New Roman" w:cs="Arial"/>
          <w:color w:val="000000"/>
          <w:szCs w:val="20"/>
          <w:lang w:eastAsia="bg-BG"/>
        </w:rPr>
        <w:t xml:space="preserve">повишил средния </w:t>
      </w:r>
      <w:r w:rsidRPr="00F502CE">
        <w:rPr>
          <w:rFonts w:eastAsia="Times New Roman" w:cs="Arial"/>
          <w:color w:val="000000"/>
          <w:szCs w:val="20"/>
          <w:lang w:val="en-US"/>
        </w:rPr>
        <w:t>HDL</w:t>
      </w:r>
      <w:r w:rsidRPr="00F502CE">
        <w:rPr>
          <w:rFonts w:eastAsia="Times New Roman" w:cs="Arial"/>
          <w:color w:val="000000"/>
          <w:szCs w:val="20"/>
          <w:lang w:eastAsia="bg-BG"/>
        </w:rPr>
        <w:t xml:space="preserve">-С с 2,9% (правастатин: +5,6%, </w:t>
      </w:r>
      <w:r w:rsidRPr="00F502CE">
        <w:rPr>
          <w:rFonts w:eastAsia="Times New Roman" w:cs="Arial"/>
          <w:color w:val="000000"/>
          <w:szCs w:val="20"/>
          <w:lang w:val="en-US"/>
        </w:rPr>
        <w:t xml:space="preserve">p=NS). </w:t>
      </w:r>
      <w:r w:rsidRPr="00F502CE">
        <w:rPr>
          <w:rFonts w:eastAsia="Times New Roman" w:cs="Arial"/>
          <w:color w:val="000000"/>
          <w:szCs w:val="20"/>
          <w:lang w:eastAsia="bg-BG"/>
        </w:rPr>
        <w:t>Има средно намаление от</w:t>
      </w:r>
      <w:r>
        <w:rPr>
          <w:rFonts w:eastAsia="Times New Roman" w:cs="Arial"/>
          <w:color w:val="000000"/>
          <w:szCs w:val="20"/>
          <w:lang w:eastAsia="bg-BG"/>
        </w:rPr>
        <w:t xml:space="preserve"> </w:t>
      </w:r>
      <w:r w:rsidRPr="00F502CE">
        <w:rPr>
          <w:rFonts w:ascii="Times New Roman" w:eastAsia="Times New Roman" w:hAnsi="Times New Roman" w:cs="Times New Roman"/>
          <w:color w:val="000000"/>
          <w:szCs w:val="20"/>
          <w:lang w:eastAsia="bg-BG"/>
        </w:rPr>
        <w:t xml:space="preserve">36,4% на </w:t>
      </w:r>
      <w:r w:rsidRPr="00F502CE">
        <w:rPr>
          <w:rFonts w:ascii="Times New Roman" w:eastAsia="Times New Roman" w:hAnsi="Times New Roman" w:cs="Times New Roman"/>
          <w:color w:val="000000"/>
          <w:szCs w:val="20"/>
          <w:lang w:val="en-US"/>
        </w:rPr>
        <w:t xml:space="preserve">CRP </w:t>
      </w:r>
      <w:r w:rsidRPr="00F502CE">
        <w:rPr>
          <w:rFonts w:ascii="Times New Roman" w:eastAsia="Times New Roman" w:hAnsi="Times New Roman" w:cs="Times New Roman"/>
          <w:color w:val="000000"/>
          <w:szCs w:val="20"/>
          <w:lang w:eastAsia="bg-BG"/>
        </w:rPr>
        <w:t>в групата на аторвастатин в сравнение с намаление от 5,2% групата на правастатин (р&lt;0,0001).</w:t>
      </w:r>
    </w:p>
    <w:p w14:paraId="7F03FE47"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5231679B" w14:textId="062CC812"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Резултатите от проучването са получени при дозировка от 80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Следователно, те не могат да се екстраполират върху по-ниските дозировки.</w:t>
      </w:r>
    </w:p>
    <w:p w14:paraId="4C6095DA"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Профилите на безопасност и поносимост в двете лекувани групи са били сравними. Ефектът на интензивно понижаване на липидите по отношение на големите сърдечно</w:t>
      </w:r>
      <w:r w:rsidRPr="00F502CE">
        <w:rPr>
          <w:rFonts w:ascii="Times New Roman" w:eastAsia="Times New Roman" w:hAnsi="Times New Roman" w:cs="Times New Roman"/>
          <w:color w:val="000000"/>
          <w:szCs w:val="20"/>
          <w:lang w:eastAsia="bg-BG"/>
        </w:rPr>
        <w:softHyphen/>
        <w:t>съдови крайни точки не е изследван в това проучване. Поради това, клиничното значение на тези резултати по отношение на първична и вторична профилактика на сърдечно-съдови инциденти не е известна.</w:t>
      </w:r>
    </w:p>
    <w:p w14:paraId="2195A4FA" w14:textId="77777777" w:rsidR="00F502CE" w:rsidRPr="00F502CE" w:rsidRDefault="00F502CE" w:rsidP="00F502CE">
      <w:pPr>
        <w:spacing w:line="240" w:lineRule="auto"/>
        <w:rPr>
          <w:rFonts w:ascii="Times New Roman" w:eastAsia="Times New Roman" w:hAnsi="Times New Roman" w:cs="Times New Roman"/>
          <w:color w:val="000000"/>
          <w:szCs w:val="20"/>
          <w:u w:val="single"/>
          <w:lang w:eastAsia="bg-BG"/>
        </w:rPr>
      </w:pPr>
    </w:p>
    <w:p w14:paraId="30619F4B" w14:textId="573EDC48"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u w:val="single"/>
          <w:lang w:eastAsia="bg-BG"/>
        </w:rPr>
        <w:t>Остър коронарен синдром</w:t>
      </w:r>
    </w:p>
    <w:p w14:paraId="2C28C495"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В проучването </w:t>
      </w:r>
      <w:r w:rsidRPr="00F502CE">
        <w:rPr>
          <w:rFonts w:ascii="Times New Roman" w:eastAsia="Times New Roman" w:hAnsi="Times New Roman" w:cs="Times New Roman"/>
          <w:color w:val="000000"/>
          <w:szCs w:val="20"/>
          <w:lang w:val="en-US"/>
        </w:rPr>
        <w:t xml:space="preserve">MIRACL </w:t>
      </w:r>
      <w:r w:rsidRPr="00F502CE">
        <w:rPr>
          <w:rFonts w:ascii="Times New Roman" w:eastAsia="Times New Roman" w:hAnsi="Times New Roman" w:cs="Times New Roman"/>
          <w:color w:val="000000"/>
          <w:szCs w:val="20"/>
          <w:lang w:eastAsia="bg-BG"/>
        </w:rPr>
        <w:t xml:space="preserve">е извършено оценяване на аторвастатин 80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 xml:space="preserve">при 3 086 пациенти (аторвастатин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 xml:space="preserve">1 538; плацебо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 xml:space="preserve">=1 548) с остър коронарен синдром (нетрансмурален инфаркт на миокарда или нестабилна стенокардия). Лечението е започнало по време на острата фаза след хоспитализация и е продължило за период от 16 седмици. Лечението с аторвастатин 80 </w:t>
      </w:r>
      <w:r w:rsidRPr="00F502CE">
        <w:rPr>
          <w:rFonts w:ascii="Times New Roman" w:eastAsia="Times New Roman" w:hAnsi="Times New Roman" w:cs="Times New Roman"/>
          <w:color w:val="000000"/>
          <w:szCs w:val="20"/>
          <w:lang w:val="en-US"/>
        </w:rPr>
        <w:t>mg</w:t>
      </w:r>
      <w:r w:rsidRPr="00F502CE">
        <w:rPr>
          <w:rFonts w:ascii="Times New Roman" w:eastAsia="Times New Roman" w:hAnsi="Times New Roman" w:cs="Times New Roman"/>
          <w:color w:val="000000"/>
          <w:szCs w:val="20"/>
          <w:lang w:eastAsia="bg-BG"/>
        </w:rPr>
        <w:t>/ден увеличава времето до поява на комбинираната първична крайна точка, дефинирана като смърт, независимо от причината, нефатален инфаркт на миокарда, ресусцитиран сърдечен арест или ангина пекторис с данни за миокардна исхемия, изискващи хоспитализация, което показва намаляване на риска с 16% (р=0,048). Това е предимно вследствие на 26% намаление на повторната хоспитализация за стенокардия с данни за миокардна исхемия (р=0,018). Другите вторични крайни точки не са достигнали статистическа значимост сами по себе си (общо: плацебо: 22,2%, аторвастатин: 22,4%).</w:t>
      </w:r>
    </w:p>
    <w:p w14:paraId="26D6B07A"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330A54C8" w14:textId="04E6D71A"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Профилът на безопасност на аторвастатин в проучването </w:t>
      </w:r>
      <w:r w:rsidRPr="00F502CE">
        <w:rPr>
          <w:rFonts w:ascii="Times New Roman" w:eastAsia="Times New Roman" w:hAnsi="Times New Roman" w:cs="Times New Roman"/>
          <w:color w:val="000000"/>
          <w:szCs w:val="20"/>
          <w:lang w:val="en-US"/>
        </w:rPr>
        <w:t xml:space="preserve">MIRACL </w:t>
      </w:r>
      <w:r w:rsidRPr="00F502CE">
        <w:rPr>
          <w:rFonts w:ascii="Times New Roman" w:eastAsia="Times New Roman" w:hAnsi="Times New Roman" w:cs="Times New Roman"/>
          <w:color w:val="000000"/>
          <w:szCs w:val="20"/>
          <w:lang w:eastAsia="bg-BG"/>
        </w:rPr>
        <w:t>съответства на описания в точка 4.8.</w:t>
      </w:r>
    </w:p>
    <w:p w14:paraId="5FAA0633" w14:textId="77777777" w:rsidR="00F502CE" w:rsidRPr="00F502CE" w:rsidRDefault="00F502CE" w:rsidP="00F502CE">
      <w:pPr>
        <w:spacing w:line="240" w:lineRule="auto"/>
        <w:rPr>
          <w:rFonts w:ascii="Times New Roman" w:eastAsia="Times New Roman" w:hAnsi="Times New Roman" w:cs="Times New Roman"/>
          <w:color w:val="000000"/>
          <w:szCs w:val="20"/>
          <w:u w:val="single"/>
          <w:lang w:eastAsia="bg-BG"/>
        </w:rPr>
      </w:pPr>
    </w:p>
    <w:p w14:paraId="2E634F87" w14:textId="153CFC5C"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u w:val="single"/>
          <w:lang w:eastAsia="bg-BG"/>
        </w:rPr>
        <w:t>Профилактика на сърдечно-съдово заболяване</w:t>
      </w:r>
    </w:p>
    <w:p w14:paraId="32EEC3D6"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Ефектът на аторвастатин върху фатална и нефатална исхемична болест на сърцето е оценен в рандомизирано, двойно-сляпо, плацебо-контролирано проучване, Англо- скандинавско проучване за сърдечно-съдов изход - клон с понижаване на липидите </w:t>
      </w:r>
      <w:r w:rsidRPr="00F502CE">
        <w:rPr>
          <w:rFonts w:ascii="Times New Roman" w:eastAsia="Times New Roman" w:hAnsi="Times New Roman" w:cs="Times New Roman"/>
          <w:color w:val="000000"/>
          <w:szCs w:val="20"/>
          <w:lang w:val="en-US"/>
        </w:rPr>
        <w:t xml:space="preserve">(Anglo-Scandinavian Cardiac Outcomes </w:t>
      </w:r>
      <w:r w:rsidRPr="00F502CE">
        <w:rPr>
          <w:rFonts w:ascii="Times New Roman" w:eastAsia="Times New Roman" w:hAnsi="Times New Roman" w:cs="Times New Roman"/>
          <w:color w:val="000000"/>
          <w:szCs w:val="20"/>
          <w:lang w:val="en-US"/>
        </w:rPr>
        <w:lastRenderedPageBreak/>
        <w:t xml:space="preserve">Trial Lipid Lowering Arm, ASCOT-LLA). </w:t>
      </w:r>
      <w:r w:rsidRPr="00F502CE">
        <w:rPr>
          <w:rFonts w:ascii="Times New Roman" w:eastAsia="Times New Roman" w:hAnsi="Times New Roman" w:cs="Times New Roman"/>
          <w:color w:val="000000"/>
          <w:szCs w:val="20"/>
          <w:lang w:eastAsia="bg-BG"/>
        </w:rPr>
        <w:t xml:space="preserve">Пациентите са </w:t>
      </w:r>
      <w:r w:rsidRPr="00F502CE">
        <w:rPr>
          <w:rFonts w:ascii="Times New Roman" w:eastAsia="Times New Roman" w:hAnsi="Times New Roman" w:cs="Times New Roman"/>
          <w:color w:val="000000"/>
          <w:szCs w:val="20"/>
          <w:lang w:val="en-US"/>
        </w:rPr>
        <w:t xml:space="preserve">c </w:t>
      </w:r>
      <w:r w:rsidRPr="00F502CE">
        <w:rPr>
          <w:rFonts w:ascii="Times New Roman" w:eastAsia="Times New Roman" w:hAnsi="Times New Roman" w:cs="Times New Roman"/>
          <w:color w:val="000000"/>
          <w:szCs w:val="20"/>
          <w:lang w:eastAsia="bg-BG"/>
        </w:rPr>
        <w:t xml:space="preserve">хипертония, 40-79-годишни, без предходен миокарден инфаркт или лечение за стенокардия и с нива на общ холестерол 6,5 </w:t>
      </w:r>
      <w:proofErr w:type="spellStart"/>
      <w:r w:rsidRPr="00F502CE">
        <w:rPr>
          <w:rFonts w:ascii="Times New Roman" w:eastAsia="Times New Roman" w:hAnsi="Times New Roman" w:cs="Times New Roman"/>
          <w:color w:val="000000"/>
          <w:szCs w:val="20"/>
          <w:lang w:val="en-US"/>
        </w:rPr>
        <w:t>mmol</w:t>
      </w:r>
      <w:proofErr w:type="spellEnd"/>
      <w:r w:rsidRPr="00F502CE">
        <w:rPr>
          <w:rFonts w:ascii="Times New Roman" w:eastAsia="Times New Roman" w:hAnsi="Times New Roman" w:cs="Times New Roman"/>
          <w:color w:val="000000"/>
          <w:szCs w:val="20"/>
          <w:lang w:val="en-US"/>
        </w:rPr>
        <w:t xml:space="preserve">/L </w:t>
      </w:r>
      <w:r w:rsidRPr="00F502CE">
        <w:rPr>
          <w:rFonts w:ascii="Times New Roman" w:eastAsia="Times New Roman" w:hAnsi="Times New Roman" w:cs="Times New Roman"/>
          <w:color w:val="000000"/>
          <w:szCs w:val="20"/>
          <w:lang w:eastAsia="bg-BG"/>
        </w:rPr>
        <w:t xml:space="preserve">(251 </w:t>
      </w:r>
      <w:r w:rsidRPr="00F502CE">
        <w:rPr>
          <w:rFonts w:ascii="Times New Roman" w:eastAsia="Times New Roman" w:hAnsi="Times New Roman" w:cs="Times New Roman"/>
          <w:color w:val="000000"/>
          <w:szCs w:val="20"/>
          <w:lang w:val="en-US"/>
        </w:rPr>
        <w:t>mg/</w:t>
      </w:r>
      <w:proofErr w:type="spellStart"/>
      <w:r w:rsidRPr="00F502CE">
        <w:rPr>
          <w:rFonts w:ascii="Times New Roman" w:eastAsia="Times New Roman" w:hAnsi="Times New Roman" w:cs="Times New Roman"/>
          <w:color w:val="000000"/>
          <w:szCs w:val="20"/>
          <w:lang w:val="en-US"/>
        </w:rPr>
        <w:t>dL</w:t>
      </w:r>
      <w:proofErr w:type="spellEnd"/>
      <w:r w:rsidRPr="00F502CE">
        <w:rPr>
          <w:rFonts w:ascii="Times New Roman" w:eastAsia="Times New Roman" w:hAnsi="Times New Roman" w:cs="Times New Roman"/>
          <w:color w:val="000000"/>
          <w:szCs w:val="20"/>
          <w:lang w:val="en-US"/>
        </w:rPr>
        <w:t xml:space="preserve">). </w:t>
      </w:r>
      <w:r w:rsidRPr="00F502CE">
        <w:rPr>
          <w:rFonts w:ascii="Times New Roman" w:eastAsia="Times New Roman" w:hAnsi="Times New Roman" w:cs="Times New Roman"/>
          <w:color w:val="000000"/>
          <w:szCs w:val="20"/>
          <w:lang w:eastAsia="bg-BG"/>
        </w:rPr>
        <w:t>Всички пациенти са имали най-малко 3 предварително дефинирани сърдечно-съдови рискови фактора: мъжки пол, възраст ≥</w:t>
      </w:r>
      <w:r w:rsidRPr="00F502CE">
        <w:rPr>
          <w:rFonts w:ascii="Times New Roman" w:eastAsia="Times New Roman" w:hAnsi="Times New Roman" w:cs="Times New Roman"/>
          <w:color w:val="000000"/>
          <w:szCs w:val="20"/>
          <w:lang w:val="en-US"/>
        </w:rPr>
        <w:t xml:space="preserve"> </w:t>
      </w:r>
      <w:r w:rsidRPr="00F502CE">
        <w:rPr>
          <w:rFonts w:ascii="Times New Roman" w:eastAsia="Times New Roman" w:hAnsi="Times New Roman" w:cs="Times New Roman"/>
          <w:color w:val="000000"/>
          <w:szCs w:val="20"/>
          <w:lang w:eastAsia="bg-BG"/>
        </w:rPr>
        <w:t xml:space="preserve">55 години, пушене, диабет, анамнеза за ИБС при родственик от първа линия, </w:t>
      </w:r>
      <w:r w:rsidRPr="00F502CE">
        <w:rPr>
          <w:rFonts w:ascii="Times New Roman" w:eastAsia="Times New Roman" w:hAnsi="Times New Roman" w:cs="Times New Roman"/>
          <w:color w:val="000000"/>
          <w:szCs w:val="20"/>
          <w:lang w:val="en-US"/>
        </w:rPr>
        <w:t xml:space="preserve">TC:HDL-C </w:t>
      </w:r>
      <w:r w:rsidRPr="00F502CE">
        <w:rPr>
          <w:rFonts w:ascii="Times New Roman" w:eastAsia="Times New Roman" w:hAnsi="Times New Roman" w:cs="Times New Roman"/>
          <w:color w:val="000000"/>
          <w:szCs w:val="20"/>
          <w:lang w:eastAsia="bg-BG"/>
        </w:rPr>
        <w:t>&gt;6, периферно съдово заболяване, левокамерна хипертрофия, предходен мозъчно-съдов инцидент, специфична ЕКГ аномалия, протеинурия/албуминурия. Не всички включени пациенти са преценени като пациенти с висок риск за първи сърдечно</w:t>
      </w:r>
      <w:r w:rsidRPr="00F502CE">
        <w:rPr>
          <w:rFonts w:ascii="Times New Roman" w:eastAsia="Times New Roman" w:hAnsi="Times New Roman" w:cs="Times New Roman"/>
          <w:color w:val="000000"/>
          <w:szCs w:val="20"/>
          <w:lang w:eastAsia="bg-BG"/>
        </w:rPr>
        <w:softHyphen/>
        <w:t>съдов инцидент.</w:t>
      </w:r>
    </w:p>
    <w:p w14:paraId="1A9A7366"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0CDBC1C3" w14:textId="18BCB5E3"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Пациентите са лекувани с антихипертензивна терапия (или схема, основаваща се на амлодипин, или схема, основаваща се на атенолол) в комбинация или с аторвастатин 10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дневно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5 168), или с плацебо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5 137),</w:t>
      </w:r>
    </w:p>
    <w:p w14:paraId="54DBD330" w14:textId="77777777" w:rsidR="00F502CE" w:rsidRPr="00F502CE" w:rsidRDefault="00F502CE" w:rsidP="00F502CE">
      <w:pPr>
        <w:rPr>
          <w:rFonts w:ascii="Times New Roman" w:eastAsia="Times New Roman" w:hAnsi="Times New Roman" w:cs="Times New Roman"/>
          <w:color w:val="000000"/>
          <w:szCs w:val="20"/>
          <w:lang w:eastAsia="bg-BG"/>
        </w:rPr>
      </w:pPr>
    </w:p>
    <w:p w14:paraId="06F2C623" w14:textId="3249D0CB" w:rsidR="00F502CE" w:rsidRPr="00F502CE" w:rsidRDefault="00F502CE" w:rsidP="00F502CE">
      <w:pPr>
        <w:rPr>
          <w:rFonts w:eastAsia="Times New Roman" w:cs="Arial"/>
          <w:color w:val="000000"/>
          <w:sz w:val="24"/>
          <w:szCs w:val="20"/>
          <w:lang w:eastAsia="bg-BG"/>
        </w:rPr>
      </w:pPr>
      <w:r w:rsidRPr="00F502CE">
        <w:rPr>
          <w:rFonts w:ascii="Times New Roman" w:eastAsia="Times New Roman" w:hAnsi="Times New Roman" w:cs="Times New Roman"/>
          <w:color w:val="000000"/>
          <w:szCs w:val="20"/>
          <w:lang w:eastAsia="bg-BG"/>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104"/>
        <w:gridCol w:w="1834"/>
        <w:gridCol w:w="1840"/>
        <w:gridCol w:w="1807"/>
        <w:gridCol w:w="1765"/>
      </w:tblGrid>
      <w:tr w:rsidR="00F502CE" w14:paraId="145F7D6E" w14:textId="77777777" w:rsidTr="002152B4">
        <w:tc>
          <w:tcPr>
            <w:tcW w:w="2104" w:type="dxa"/>
          </w:tcPr>
          <w:p w14:paraId="08C18EFF" w14:textId="51C11CC0" w:rsidR="00F502CE" w:rsidRPr="00F502CE" w:rsidRDefault="00F502CE" w:rsidP="00F502CE">
            <w:r w:rsidRPr="00F502CE">
              <w:rPr>
                <w:szCs w:val="20"/>
              </w:rPr>
              <w:t>Инцидент</w:t>
            </w:r>
          </w:p>
        </w:tc>
        <w:tc>
          <w:tcPr>
            <w:tcW w:w="1834" w:type="dxa"/>
          </w:tcPr>
          <w:p w14:paraId="0497873C" w14:textId="7878DED8" w:rsidR="00F502CE" w:rsidRPr="00F502CE" w:rsidRDefault="00F502CE" w:rsidP="00F502CE">
            <w:r w:rsidRPr="00F502CE">
              <w:rPr>
                <w:szCs w:val="20"/>
              </w:rPr>
              <w:t>Намаление на относителния риск (%)</w:t>
            </w:r>
          </w:p>
        </w:tc>
        <w:tc>
          <w:tcPr>
            <w:tcW w:w="1840" w:type="dxa"/>
          </w:tcPr>
          <w:p w14:paraId="442BBDEC" w14:textId="2BFAED4D" w:rsidR="00F502CE" w:rsidRPr="00F502CE" w:rsidRDefault="00F502CE" w:rsidP="00F502CE">
            <w:r w:rsidRPr="00F502CE">
              <w:rPr>
                <w:szCs w:val="20"/>
              </w:rPr>
              <w:t>Брой инциденти (аторвастатин спрямо плацебо)</w:t>
            </w:r>
          </w:p>
        </w:tc>
        <w:tc>
          <w:tcPr>
            <w:tcW w:w="1807" w:type="dxa"/>
          </w:tcPr>
          <w:p w14:paraId="28542F69" w14:textId="35006126" w:rsidR="00F502CE" w:rsidRPr="00F502CE" w:rsidRDefault="00F502CE" w:rsidP="00F502CE">
            <w:r w:rsidRPr="00F502CE">
              <w:rPr>
                <w:szCs w:val="20"/>
              </w:rPr>
              <w:t>Намаление на абсолютния риск (%)</w:t>
            </w:r>
          </w:p>
          <w:p w14:paraId="5D21D841" w14:textId="77777777" w:rsidR="00F502CE" w:rsidRPr="00F502CE" w:rsidRDefault="00F502CE" w:rsidP="00F502CE"/>
        </w:tc>
        <w:tc>
          <w:tcPr>
            <w:tcW w:w="1765" w:type="dxa"/>
          </w:tcPr>
          <w:p w14:paraId="40AB9188" w14:textId="77777777" w:rsidR="00F502CE" w:rsidRPr="00F502CE" w:rsidRDefault="00F502CE" w:rsidP="00F502CE">
            <w:r w:rsidRPr="00F502CE">
              <w:rPr>
                <w:szCs w:val="20"/>
              </w:rPr>
              <w:t xml:space="preserve">Стойност </w:t>
            </w:r>
          </w:p>
          <w:p w14:paraId="7672276D" w14:textId="10FAE5B3" w:rsidR="00F502CE" w:rsidRPr="00F502CE" w:rsidRDefault="00F502CE" w:rsidP="00F502CE">
            <w:r w:rsidRPr="00F502CE">
              <w:rPr>
                <w:szCs w:val="20"/>
              </w:rPr>
              <w:t xml:space="preserve">на </w:t>
            </w:r>
            <w:r w:rsidRPr="00F502CE">
              <w:rPr>
                <w:szCs w:val="20"/>
                <w:lang w:val="en-US"/>
              </w:rPr>
              <w:t>p</w:t>
            </w:r>
          </w:p>
        </w:tc>
      </w:tr>
      <w:tr w:rsidR="00F502CE" w14:paraId="7674EB20" w14:textId="77777777" w:rsidTr="002152B4">
        <w:tc>
          <w:tcPr>
            <w:tcW w:w="2104" w:type="dxa"/>
          </w:tcPr>
          <w:p w14:paraId="2E5BB01E" w14:textId="1BBB0098" w:rsidR="00F502CE" w:rsidRPr="00F502CE" w:rsidRDefault="00F502CE" w:rsidP="00F502CE">
            <w:r w:rsidRPr="00F502CE">
              <w:rPr>
                <w:szCs w:val="20"/>
              </w:rPr>
              <w:t>Фатална ИБС плюс нефатален МИ Общо сърдечно-съдови инциденти и процедури за реваскуларизация Общо коронарни инциденти</w:t>
            </w:r>
          </w:p>
        </w:tc>
        <w:tc>
          <w:tcPr>
            <w:tcW w:w="1834" w:type="dxa"/>
          </w:tcPr>
          <w:p w14:paraId="701288DA" w14:textId="77777777" w:rsidR="00F502CE" w:rsidRPr="00F502CE" w:rsidRDefault="00F502CE" w:rsidP="00F502CE">
            <w:r w:rsidRPr="00F502CE">
              <w:rPr>
                <w:szCs w:val="20"/>
              </w:rPr>
              <w:t xml:space="preserve">36% 20% </w:t>
            </w:r>
            <w:r w:rsidRPr="00F502CE">
              <w:rPr>
                <w:i/>
                <w:iCs/>
                <w:szCs w:val="20"/>
              </w:rPr>
              <w:t>29%</w:t>
            </w:r>
          </w:p>
          <w:p w14:paraId="121917E5" w14:textId="77777777" w:rsidR="00F502CE" w:rsidRPr="00F502CE" w:rsidRDefault="00F502CE" w:rsidP="00F502CE"/>
          <w:p w14:paraId="0E80297F" w14:textId="77777777" w:rsidR="00F502CE" w:rsidRPr="00F502CE" w:rsidRDefault="00F502CE" w:rsidP="00F502CE"/>
        </w:tc>
        <w:tc>
          <w:tcPr>
            <w:tcW w:w="1840" w:type="dxa"/>
          </w:tcPr>
          <w:p w14:paraId="67B67A0A" w14:textId="77777777" w:rsidR="00F502CE" w:rsidRPr="00F502CE" w:rsidRDefault="00F502CE" w:rsidP="00F502CE">
            <w:r w:rsidRPr="00F502CE">
              <w:rPr>
                <w:szCs w:val="20"/>
              </w:rPr>
              <w:t>100 спрямо</w:t>
            </w:r>
          </w:p>
          <w:p w14:paraId="5E74C745" w14:textId="77777777" w:rsidR="00F502CE" w:rsidRPr="00F502CE" w:rsidRDefault="00F502CE" w:rsidP="00F502CE">
            <w:r w:rsidRPr="00F502CE">
              <w:rPr>
                <w:szCs w:val="20"/>
              </w:rPr>
              <w:t>154</w:t>
            </w:r>
          </w:p>
          <w:p w14:paraId="410D82A6" w14:textId="77777777" w:rsidR="00F502CE" w:rsidRPr="00F502CE" w:rsidRDefault="00F502CE" w:rsidP="00F502CE">
            <w:r w:rsidRPr="00F502CE">
              <w:rPr>
                <w:szCs w:val="20"/>
              </w:rPr>
              <w:t>389 спрямо</w:t>
            </w:r>
          </w:p>
          <w:p w14:paraId="3E59F950" w14:textId="77777777" w:rsidR="00F502CE" w:rsidRPr="00F502CE" w:rsidRDefault="00F502CE" w:rsidP="00F502CE">
            <w:r w:rsidRPr="00F502CE">
              <w:rPr>
                <w:szCs w:val="20"/>
              </w:rPr>
              <w:t>483</w:t>
            </w:r>
          </w:p>
          <w:p w14:paraId="1CBE5831" w14:textId="77777777" w:rsidR="00F502CE" w:rsidRPr="00F502CE" w:rsidRDefault="00F502CE" w:rsidP="00F502CE">
            <w:r w:rsidRPr="00F502CE">
              <w:rPr>
                <w:szCs w:val="20"/>
              </w:rPr>
              <w:t>178 спрямо</w:t>
            </w:r>
          </w:p>
          <w:p w14:paraId="65C4A242" w14:textId="4D4A1961" w:rsidR="00F502CE" w:rsidRPr="00F502CE" w:rsidRDefault="00F502CE" w:rsidP="00F502CE">
            <w:r w:rsidRPr="00F502CE">
              <w:rPr>
                <w:szCs w:val="20"/>
              </w:rPr>
              <w:t>247</w:t>
            </w:r>
          </w:p>
        </w:tc>
        <w:tc>
          <w:tcPr>
            <w:tcW w:w="1807" w:type="dxa"/>
          </w:tcPr>
          <w:p w14:paraId="2EBC8651" w14:textId="77777777" w:rsidR="00F502CE" w:rsidRPr="00F502CE" w:rsidRDefault="00F502CE" w:rsidP="00F502CE">
            <w:r w:rsidRPr="00F502CE">
              <w:rPr>
                <w:szCs w:val="20"/>
              </w:rPr>
              <w:t>1,1%</w:t>
            </w:r>
          </w:p>
          <w:p w14:paraId="1179905E" w14:textId="77777777" w:rsidR="00F502CE" w:rsidRPr="00F502CE" w:rsidRDefault="00F502CE" w:rsidP="00F502CE">
            <w:r w:rsidRPr="00F502CE">
              <w:rPr>
                <w:szCs w:val="20"/>
              </w:rPr>
              <w:t>1,9%</w:t>
            </w:r>
          </w:p>
          <w:p w14:paraId="4391B5DD" w14:textId="7FA42FCD" w:rsidR="00F502CE" w:rsidRPr="00F502CE" w:rsidRDefault="00F502CE" w:rsidP="00F502CE">
            <w:r w:rsidRPr="00F502CE">
              <w:rPr>
                <w:szCs w:val="20"/>
              </w:rPr>
              <w:t>1,4%</w:t>
            </w:r>
          </w:p>
        </w:tc>
        <w:tc>
          <w:tcPr>
            <w:tcW w:w="1765" w:type="dxa"/>
          </w:tcPr>
          <w:p w14:paraId="58CABA84" w14:textId="77777777" w:rsidR="00F502CE" w:rsidRPr="00F502CE" w:rsidRDefault="00F502CE" w:rsidP="00F502CE">
            <w:r w:rsidRPr="00F502CE">
              <w:rPr>
                <w:szCs w:val="20"/>
              </w:rPr>
              <w:t>0,0005</w:t>
            </w:r>
          </w:p>
          <w:p w14:paraId="74623B48" w14:textId="77777777" w:rsidR="00F502CE" w:rsidRPr="00F502CE" w:rsidRDefault="00F502CE" w:rsidP="00F502CE">
            <w:r w:rsidRPr="00F502CE">
              <w:rPr>
                <w:szCs w:val="20"/>
              </w:rPr>
              <w:t>0,0008</w:t>
            </w:r>
          </w:p>
          <w:p w14:paraId="47FAAABD" w14:textId="7789377B" w:rsidR="00F502CE" w:rsidRPr="00F502CE" w:rsidRDefault="00F502CE" w:rsidP="00F502CE">
            <w:r w:rsidRPr="00F502CE">
              <w:rPr>
                <w:szCs w:val="20"/>
              </w:rPr>
              <w:t xml:space="preserve">0,0006 </w:t>
            </w:r>
          </w:p>
        </w:tc>
      </w:tr>
    </w:tbl>
    <w:p w14:paraId="4801E7EE"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vertAlign w:val="superscript"/>
          <w:lang w:eastAsia="bg-BG"/>
        </w:rPr>
        <w:t>1</w:t>
      </w:r>
      <w:r w:rsidRPr="002152B4">
        <w:rPr>
          <w:rFonts w:eastAsia="Times New Roman" w:cs="Arial"/>
          <w:color w:val="000000"/>
          <w:szCs w:val="20"/>
          <w:lang w:eastAsia="bg-BG"/>
        </w:rPr>
        <w:t>Въз основа на разликата в общата честота на инцидентите, настъпили при средно проследяване от 3,3 години.</w:t>
      </w:r>
    </w:p>
    <w:p w14:paraId="0C2B767F"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ИБС = исхемична болест на сърцето; МИ = миокарден инфаркт.</w:t>
      </w:r>
    </w:p>
    <w:p w14:paraId="0094D5CD" w14:textId="77777777" w:rsidR="002152B4" w:rsidRPr="002152B4" w:rsidRDefault="002152B4" w:rsidP="002152B4">
      <w:pPr>
        <w:spacing w:line="240" w:lineRule="auto"/>
        <w:rPr>
          <w:rFonts w:eastAsia="Times New Roman" w:cs="Arial"/>
          <w:color w:val="000000"/>
          <w:szCs w:val="20"/>
          <w:lang w:eastAsia="bg-BG"/>
        </w:rPr>
      </w:pPr>
    </w:p>
    <w:p w14:paraId="7A6DA23A" w14:textId="4F440C33"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Общата смъртност и сърдечно-съдовата смъртност не са били значимо намалени (185 спрямо 212 инцидента, р=0,17 и 74 спрямо 82 инцидента, р=0,51). В анализа на подгрупата по пол (81% мъже, 19% жени), благоприятен ефект на аторвастатин е бил наблюдаван при мъжете, но не може да се установи при жените, вероятно поради ниската честота на инциденти в женската подгрупа. Общата и сърдечно-съдовата смъртност е числено по- висока при жените (38 спрямо 30 и 17 спрямо 12), но това не е било статистически значимо. Имало е значително терапевтично взаимодействие от страна на основната антихипертензивна терапия. Първичната крайна точка (фатална ИБС плюс нефатален МИ) е значимо редуцирана от аторвастатин при пациенти, лекувани с амлодипин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0,47 (0,32-0,69), р=0,00008), но не и при тези, лекувани с атенолол </w:t>
      </w:r>
      <w:r w:rsidRPr="002152B4">
        <w:rPr>
          <w:rFonts w:eastAsia="Times New Roman" w:cs="Arial"/>
          <w:color w:val="000000"/>
          <w:szCs w:val="20"/>
          <w:lang w:val="en-US"/>
        </w:rPr>
        <w:t xml:space="preserve">(HR </w:t>
      </w:r>
      <w:r w:rsidRPr="002152B4">
        <w:rPr>
          <w:rFonts w:eastAsia="Times New Roman" w:cs="Arial"/>
          <w:color w:val="000000"/>
          <w:szCs w:val="20"/>
          <w:lang w:eastAsia="bg-BG"/>
        </w:rPr>
        <w:t>0,83 (0,59-1,17), р=0.287).</w:t>
      </w:r>
    </w:p>
    <w:p w14:paraId="2B462B5A" w14:textId="77777777" w:rsidR="002152B4" w:rsidRPr="002152B4" w:rsidRDefault="002152B4" w:rsidP="002152B4">
      <w:pPr>
        <w:spacing w:line="240" w:lineRule="auto"/>
        <w:rPr>
          <w:rFonts w:eastAsia="Times New Roman" w:cs="Arial"/>
          <w:color w:val="000000"/>
          <w:szCs w:val="20"/>
          <w:lang w:eastAsia="bg-BG"/>
        </w:rPr>
      </w:pPr>
    </w:p>
    <w:p w14:paraId="5AF57ED5" w14:textId="68DAC1B5"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Ефектът на аторвастатин върху фатално и нефатално сърдечно-съдово заболяване е също оценен в рандом из прано, двойно-сляпо, мултицентрово, плацебо контролирано проучване „Проучване на аторвастатин при диабет“ </w:t>
      </w:r>
      <w:r w:rsidRPr="002152B4">
        <w:rPr>
          <w:rFonts w:eastAsia="Times New Roman" w:cs="Arial"/>
          <w:color w:val="000000"/>
          <w:szCs w:val="20"/>
          <w:lang w:val="en-US"/>
        </w:rPr>
        <w:t xml:space="preserve">(Collaborative Atorvastatin Diabetes Study, CARDS) </w:t>
      </w:r>
      <w:r w:rsidRPr="002152B4">
        <w:rPr>
          <w:rFonts w:eastAsia="Times New Roman" w:cs="Arial"/>
          <w:color w:val="000000"/>
          <w:szCs w:val="20"/>
          <w:lang w:eastAsia="bg-BG"/>
        </w:rPr>
        <w:t xml:space="preserve">при пациенти </w:t>
      </w:r>
      <w:r w:rsidRPr="002152B4">
        <w:rPr>
          <w:rFonts w:eastAsia="Times New Roman" w:cs="Arial"/>
          <w:color w:val="000000"/>
          <w:szCs w:val="20"/>
          <w:lang w:val="en-US"/>
        </w:rPr>
        <w:t xml:space="preserve">c </w:t>
      </w:r>
      <w:r w:rsidRPr="002152B4">
        <w:rPr>
          <w:rFonts w:eastAsia="Times New Roman" w:cs="Arial"/>
          <w:color w:val="000000"/>
          <w:szCs w:val="20"/>
          <w:lang w:eastAsia="bg-BG"/>
        </w:rPr>
        <w:t xml:space="preserve">диабет тип 2,40-75-годишни, без предходна анамнеза за </w:t>
      </w:r>
      <w:r w:rsidRPr="002152B4">
        <w:rPr>
          <w:rFonts w:eastAsia="Times New Roman" w:cs="Arial"/>
          <w:color w:val="000000"/>
          <w:szCs w:val="20"/>
          <w:lang w:eastAsia="bg-BG"/>
        </w:rPr>
        <w:lastRenderedPageBreak/>
        <w:t xml:space="preserve">сърдечно-съдово заболяване и с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4,14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/L(160 mg/dl) </w:t>
      </w:r>
      <w:r w:rsidRPr="002152B4">
        <w:rPr>
          <w:rFonts w:eastAsia="Times New Roman" w:cs="Arial"/>
          <w:color w:val="000000"/>
          <w:szCs w:val="20"/>
          <w:lang w:eastAsia="bg-BG"/>
        </w:rPr>
        <w:t>и</w:t>
      </w:r>
      <w:r w:rsidRPr="002152B4">
        <w:rPr>
          <w:rFonts w:eastAsia="Times New Roman" w:cs="Arial"/>
          <w:color w:val="000000"/>
          <w:szCs w:val="20"/>
          <w:lang w:val="en-US"/>
        </w:rPr>
        <w:t xml:space="preserve"> </w:t>
      </w:r>
      <w:r w:rsidRPr="002152B4">
        <w:rPr>
          <w:rFonts w:eastAsia="Times New Roman" w:cs="Arial"/>
          <w:color w:val="000000"/>
          <w:szCs w:val="20"/>
          <w:lang w:eastAsia="bg-BG"/>
        </w:rPr>
        <w:t>триглицериди</w:t>
      </w:r>
      <w:r w:rsidRPr="002152B4">
        <w:rPr>
          <w:rFonts w:eastAsia="Times New Roman" w:cs="Arial"/>
          <w:color w:val="000000"/>
          <w:szCs w:val="20"/>
          <w:lang w:val="en-US"/>
        </w:rPr>
        <w:t xml:space="preserve"> </w:t>
      </w:r>
      <w:r w:rsidRPr="002152B4">
        <w:rPr>
          <w:rFonts w:eastAsia="Times New Roman" w:cs="Arial"/>
          <w:color w:val="000000"/>
          <w:szCs w:val="20"/>
          <w:lang w:eastAsia="bg-BG"/>
        </w:rPr>
        <w:t>≤</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6,78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(600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Всички пациенти са имали най-малко 1 от следните рискови фактори: хипертония, настоящо тютюнопушене, ретинопатия, микроалбуминурия или макроалбуминурия.</w:t>
      </w:r>
    </w:p>
    <w:p w14:paraId="35DAE225" w14:textId="77777777" w:rsidR="002152B4" w:rsidRPr="002152B4" w:rsidRDefault="002152B4" w:rsidP="002152B4">
      <w:pPr>
        <w:spacing w:line="240" w:lineRule="auto"/>
        <w:rPr>
          <w:rFonts w:eastAsia="Times New Roman" w:cs="Arial"/>
          <w:color w:val="000000"/>
          <w:szCs w:val="20"/>
          <w:lang w:eastAsia="bg-BG"/>
        </w:rPr>
      </w:pPr>
    </w:p>
    <w:p w14:paraId="2790A490"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Пациентите са лекувани с аторвастатин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дневно (</w:t>
      </w:r>
      <w:r w:rsidRPr="002152B4">
        <w:rPr>
          <w:rFonts w:eastAsia="Times New Roman" w:cs="Arial"/>
          <w:color w:val="000000"/>
          <w:szCs w:val="20"/>
          <w:lang w:val="en-US"/>
        </w:rPr>
        <w:t>n=</w:t>
      </w:r>
      <w:r w:rsidRPr="002152B4">
        <w:rPr>
          <w:rFonts w:eastAsia="Times New Roman" w:cs="Arial"/>
          <w:color w:val="000000"/>
          <w:szCs w:val="20"/>
          <w:lang w:eastAsia="bg-BG"/>
        </w:rPr>
        <w:t>1 428) или плацебо (</w:t>
      </w:r>
      <w:r w:rsidRPr="002152B4">
        <w:rPr>
          <w:rFonts w:eastAsia="Times New Roman" w:cs="Arial"/>
          <w:color w:val="000000"/>
          <w:szCs w:val="20"/>
          <w:lang w:val="en-US"/>
        </w:rPr>
        <w:t>n=</w:t>
      </w:r>
      <w:r w:rsidRPr="002152B4">
        <w:rPr>
          <w:rFonts w:eastAsia="Times New Roman" w:cs="Arial"/>
          <w:color w:val="000000"/>
          <w:szCs w:val="20"/>
          <w:lang w:eastAsia="bg-BG"/>
        </w:rPr>
        <w:t>1 410) при средно проследяване от 3,9 години.</w:t>
      </w:r>
    </w:p>
    <w:p w14:paraId="43EA3940" w14:textId="77777777" w:rsidR="002152B4" w:rsidRPr="002152B4" w:rsidRDefault="002152B4" w:rsidP="002152B4">
      <w:pPr>
        <w:spacing w:line="240" w:lineRule="auto"/>
        <w:rPr>
          <w:rFonts w:eastAsia="Times New Roman" w:cs="Arial"/>
          <w:sz w:val="28"/>
          <w:szCs w:val="24"/>
          <w:lang w:eastAsia="bg-BG"/>
        </w:rPr>
      </w:pPr>
    </w:p>
    <w:p w14:paraId="4978230D" w14:textId="7305E334" w:rsidR="00F502CE"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165"/>
        <w:gridCol w:w="1824"/>
        <w:gridCol w:w="1833"/>
        <w:gridCol w:w="1791"/>
        <w:gridCol w:w="1737"/>
      </w:tblGrid>
      <w:tr w:rsidR="002152B4" w14:paraId="1AC20ADD" w14:textId="77777777" w:rsidTr="00EA340C">
        <w:trPr>
          <w:trHeight w:val="1349"/>
        </w:trPr>
        <w:tc>
          <w:tcPr>
            <w:tcW w:w="2165" w:type="dxa"/>
          </w:tcPr>
          <w:p w14:paraId="0DEA0A62" w14:textId="2F89CCE1" w:rsidR="002152B4" w:rsidRPr="002152B4" w:rsidRDefault="002152B4" w:rsidP="002152B4">
            <w:pPr>
              <w:rPr>
                <w:rFonts w:cs="Arial"/>
              </w:rPr>
            </w:pPr>
            <w:r w:rsidRPr="002152B4">
              <w:rPr>
                <w:rFonts w:cs="Arial"/>
              </w:rPr>
              <w:t>Инцидент</w:t>
            </w:r>
          </w:p>
        </w:tc>
        <w:tc>
          <w:tcPr>
            <w:tcW w:w="1824" w:type="dxa"/>
            <w:vAlign w:val="bottom"/>
          </w:tcPr>
          <w:p w14:paraId="1C5ECE94" w14:textId="77777777" w:rsidR="002152B4" w:rsidRPr="002152B4" w:rsidRDefault="002152B4" w:rsidP="002152B4">
            <w:pPr>
              <w:rPr>
                <w:rFonts w:cs="Arial"/>
              </w:rPr>
            </w:pPr>
            <w:r w:rsidRPr="002152B4">
              <w:rPr>
                <w:rFonts w:cs="Arial"/>
              </w:rPr>
              <w:t>Намаление на относителния</w:t>
            </w:r>
          </w:p>
          <w:p w14:paraId="669D120A" w14:textId="7C27D3F0" w:rsidR="002152B4" w:rsidRPr="002152B4" w:rsidRDefault="002152B4" w:rsidP="002152B4">
            <w:pPr>
              <w:rPr>
                <w:rFonts w:cs="Arial"/>
              </w:rPr>
            </w:pPr>
            <w:r w:rsidRPr="002152B4">
              <w:rPr>
                <w:rFonts w:cs="Arial"/>
              </w:rPr>
              <w:t>риск (%)</w:t>
            </w:r>
          </w:p>
        </w:tc>
        <w:tc>
          <w:tcPr>
            <w:tcW w:w="1833" w:type="dxa"/>
            <w:vAlign w:val="bottom"/>
          </w:tcPr>
          <w:p w14:paraId="6F603507" w14:textId="77777777" w:rsidR="002152B4" w:rsidRPr="002152B4" w:rsidRDefault="002152B4" w:rsidP="002152B4">
            <w:pPr>
              <w:rPr>
                <w:rFonts w:cs="Arial"/>
              </w:rPr>
            </w:pPr>
            <w:r w:rsidRPr="002152B4">
              <w:rPr>
                <w:rFonts w:cs="Arial"/>
              </w:rPr>
              <w:t>Брой инциденти</w:t>
            </w:r>
          </w:p>
          <w:p w14:paraId="58DF3C49" w14:textId="77777777" w:rsidR="002152B4" w:rsidRPr="002152B4" w:rsidRDefault="002152B4" w:rsidP="002152B4">
            <w:pPr>
              <w:rPr>
                <w:rFonts w:cs="Arial"/>
              </w:rPr>
            </w:pPr>
            <w:r w:rsidRPr="002152B4">
              <w:rPr>
                <w:rFonts w:cs="Arial"/>
              </w:rPr>
              <w:t>(аторвастатин</w:t>
            </w:r>
          </w:p>
          <w:p w14:paraId="32C9EB91" w14:textId="0718A858" w:rsidR="002152B4" w:rsidRPr="002152B4" w:rsidRDefault="002152B4" w:rsidP="002152B4">
            <w:pPr>
              <w:rPr>
                <w:rFonts w:cs="Arial"/>
              </w:rPr>
            </w:pPr>
            <w:r w:rsidRPr="002152B4">
              <w:rPr>
                <w:rFonts w:cs="Arial"/>
              </w:rPr>
              <w:t>спрямо плацебо)</w:t>
            </w:r>
          </w:p>
        </w:tc>
        <w:tc>
          <w:tcPr>
            <w:tcW w:w="1791" w:type="dxa"/>
            <w:vAlign w:val="bottom"/>
          </w:tcPr>
          <w:p w14:paraId="075EDCAA" w14:textId="444C74B0" w:rsidR="002152B4" w:rsidRPr="002152B4" w:rsidRDefault="002152B4" w:rsidP="002152B4">
            <w:pPr>
              <w:rPr>
                <w:rFonts w:cs="Arial"/>
              </w:rPr>
            </w:pPr>
            <w:r w:rsidRPr="002152B4">
              <w:rPr>
                <w:rFonts w:cs="Arial"/>
              </w:rPr>
              <w:t>Намаление на абсолютния риск</w:t>
            </w:r>
            <w:r w:rsidRPr="002152B4">
              <w:rPr>
                <w:rFonts w:cs="Arial"/>
                <w:vertAlign w:val="superscript"/>
              </w:rPr>
              <w:t>1</w:t>
            </w:r>
            <w:r>
              <w:rPr>
                <w:rFonts w:cs="Arial"/>
              </w:rPr>
              <w:t xml:space="preserve"> </w:t>
            </w:r>
            <w:r w:rsidRPr="002152B4">
              <w:rPr>
                <w:rFonts w:cs="Arial"/>
              </w:rPr>
              <w:t>(%)</w:t>
            </w:r>
          </w:p>
        </w:tc>
        <w:tc>
          <w:tcPr>
            <w:tcW w:w="1737" w:type="dxa"/>
            <w:vAlign w:val="bottom"/>
          </w:tcPr>
          <w:p w14:paraId="5D442811" w14:textId="7ED579BC" w:rsidR="002152B4" w:rsidRPr="002152B4" w:rsidRDefault="002152B4" w:rsidP="002152B4">
            <w:pPr>
              <w:rPr>
                <w:rFonts w:cs="Arial"/>
              </w:rPr>
            </w:pPr>
            <w:r w:rsidRPr="002152B4">
              <w:rPr>
                <w:rFonts w:cs="Arial"/>
              </w:rPr>
              <w:t>Стойност на</w:t>
            </w:r>
            <w:r w:rsidRPr="002152B4">
              <w:rPr>
                <w:rFonts w:cs="Arial"/>
                <w:lang w:val="en-US"/>
              </w:rPr>
              <w:t xml:space="preserve"> p</w:t>
            </w:r>
          </w:p>
        </w:tc>
      </w:tr>
      <w:tr w:rsidR="002152B4" w14:paraId="6EA67C07" w14:textId="77777777" w:rsidTr="002152B4">
        <w:tc>
          <w:tcPr>
            <w:tcW w:w="2165" w:type="dxa"/>
            <w:vAlign w:val="bottom"/>
          </w:tcPr>
          <w:p w14:paraId="6B7D5440" w14:textId="77777777" w:rsidR="002152B4" w:rsidRPr="002152B4" w:rsidRDefault="002152B4" w:rsidP="002152B4">
            <w:pPr>
              <w:rPr>
                <w:rFonts w:cs="Arial"/>
              </w:rPr>
            </w:pPr>
            <w:r w:rsidRPr="002152B4">
              <w:rPr>
                <w:rFonts w:cs="Arial"/>
              </w:rPr>
              <w:t xml:space="preserve">Значими сърдечно-съдови инциденти (фатален и нефатален ОМИ, тих МИ, внезапна смърт в следствие на ИБС, нестабилна стенокардия, </w:t>
            </w:r>
            <w:r w:rsidRPr="002152B4">
              <w:rPr>
                <w:rFonts w:cs="Arial"/>
                <w:lang w:val="en-US"/>
              </w:rPr>
              <w:t>CABG,</w:t>
            </w:r>
          </w:p>
          <w:p w14:paraId="421609C5" w14:textId="77777777" w:rsidR="002152B4" w:rsidRPr="002152B4" w:rsidRDefault="002152B4" w:rsidP="002152B4">
            <w:pPr>
              <w:rPr>
                <w:rFonts w:cs="Arial"/>
              </w:rPr>
            </w:pPr>
            <w:r w:rsidRPr="002152B4">
              <w:rPr>
                <w:rFonts w:cs="Arial"/>
                <w:lang w:val="en-US"/>
              </w:rPr>
              <w:t>PTC</w:t>
            </w:r>
            <w:r w:rsidRPr="002152B4">
              <w:rPr>
                <w:rFonts w:cs="Arial"/>
              </w:rPr>
              <w:t>А, реваскуларизация, инсулт)</w:t>
            </w:r>
          </w:p>
          <w:p w14:paraId="6CDEFF20" w14:textId="6281A168" w:rsidR="002152B4" w:rsidRPr="002152B4" w:rsidRDefault="002152B4" w:rsidP="002152B4">
            <w:pPr>
              <w:rPr>
                <w:rFonts w:cs="Arial"/>
              </w:rPr>
            </w:pPr>
            <w:r w:rsidRPr="002152B4">
              <w:rPr>
                <w:rFonts w:cs="Arial"/>
              </w:rPr>
              <w:t>МИ (фатален и нефатален ОМИ, тих МИ)</w:t>
            </w:r>
          </w:p>
        </w:tc>
        <w:tc>
          <w:tcPr>
            <w:tcW w:w="1824" w:type="dxa"/>
          </w:tcPr>
          <w:p w14:paraId="221A00A1" w14:textId="77777777" w:rsidR="002152B4" w:rsidRPr="002152B4" w:rsidRDefault="002152B4" w:rsidP="002152B4">
            <w:pPr>
              <w:rPr>
                <w:rFonts w:cs="Arial"/>
              </w:rPr>
            </w:pPr>
            <w:r w:rsidRPr="002152B4">
              <w:rPr>
                <w:rFonts w:cs="Arial"/>
              </w:rPr>
              <w:t>37%</w:t>
            </w:r>
          </w:p>
          <w:p w14:paraId="37E86068" w14:textId="77777777" w:rsidR="002152B4" w:rsidRDefault="002152B4" w:rsidP="002152B4">
            <w:pPr>
              <w:rPr>
                <w:rFonts w:cs="Arial"/>
              </w:rPr>
            </w:pPr>
          </w:p>
          <w:p w14:paraId="5A96DEE7" w14:textId="1574AB9D" w:rsidR="002152B4" w:rsidRPr="002152B4" w:rsidRDefault="002152B4" w:rsidP="002152B4">
            <w:pPr>
              <w:rPr>
                <w:rFonts w:cs="Arial"/>
              </w:rPr>
            </w:pPr>
            <w:r w:rsidRPr="002152B4">
              <w:rPr>
                <w:rFonts w:cs="Arial"/>
              </w:rPr>
              <w:t>42%</w:t>
            </w:r>
          </w:p>
          <w:p w14:paraId="41EE6D1B" w14:textId="68F22985" w:rsidR="002152B4" w:rsidRPr="002152B4" w:rsidRDefault="002152B4" w:rsidP="002152B4">
            <w:pPr>
              <w:rPr>
                <w:rFonts w:cs="Arial"/>
              </w:rPr>
            </w:pPr>
            <w:r w:rsidRPr="002152B4">
              <w:rPr>
                <w:rFonts w:cs="Arial"/>
              </w:rPr>
              <w:t>48%</w:t>
            </w:r>
          </w:p>
        </w:tc>
        <w:tc>
          <w:tcPr>
            <w:tcW w:w="1833" w:type="dxa"/>
          </w:tcPr>
          <w:p w14:paraId="2D2FB8D9" w14:textId="77777777" w:rsidR="002152B4" w:rsidRPr="002152B4" w:rsidRDefault="002152B4" w:rsidP="002152B4">
            <w:pPr>
              <w:rPr>
                <w:rFonts w:cs="Arial"/>
              </w:rPr>
            </w:pPr>
            <w:r w:rsidRPr="002152B4">
              <w:rPr>
                <w:rFonts w:cs="Arial"/>
              </w:rPr>
              <w:t>83 спрямо</w:t>
            </w:r>
          </w:p>
          <w:p w14:paraId="1AD31508" w14:textId="77777777" w:rsidR="002152B4" w:rsidRPr="002152B4" w:rsidRDefault="002152B4" w:rsidP="002152B4">
            <w:pPr>
              <w:rPr>
                <w:rFonts w:cs="Arial"/>
              </w:rPr>
            </w:pPr>
            <w:r w:rsidRPr="002152B4">
              <w:rPr>
                <w:rFonts w:cs="Arial"/>
              </w:rPr>
              <w:t>127</w:t>
            </w:r>
          </w:p>
          <w:p w14:paraId="7B5C0D3C" w14:textId="77777777" w:rsidR="002152B4" w:rsidRDefault="002152B4" w:rsidP="002152B4">
            <w:pPr>
              <w:rPr>
                <w:rFonts w:cs="Arial"/>
              </w:rPr>
            </w:pPr>
          </w:p>
          <w:p w14:paraId="2EDA903A" w14:textId="61C5C679" w:rsidR="002152B4" w:rsidRPr="002152B4" w:rsidRDefault="002152B4" w:rsidP="002152B4">
            <w:pPr>
              <w:rPr>
                <w:rFonts w:cs="Arial"/>
              </w:rPr>
            </w:pPr>
            <w:r w:rsidRPr="002152B4">
              <w:rPr>
                <w:rFonts w:cs="Arial"/>
              </w:rPr>
              <w:t>38 спрямо 64</w:t>
            </w:r>
          </w:p>
          <w:p w14:paraId="72DC6FA9" w14:textId="11DBBD04" w:rsidR="002152B4" w:rsidRPr="002152B4" w:rsidRDefault="002152B4" w:rsidP="002152B4">
            <w:pPr>
              <w:rPr>
                <w:rFonts w:cs="Arial"/>
              </w:rPr>
            </w:pPr>
            <w:r w:rsidRPr="002152B4">
              <w:rPr>
                <w:rFonts w:cs="Arial"/>
              </w:rPr>
              <w:t>21 спрямо 39</w:t>
            </w:r>
          </w:p>
        </w:tc>
        <w:tc>
          <w:tcPr>
            <w:tcW w:w="1791" w:type="dxa"/>
            <w:vAlign w:val="bottom"/>
          </w:tcPr>
          <w:p w14:paraId="35EF01EB" w14:textId="77777777" w:rsidR="002152B4" w:rsidRPr="002152B4" w:rsidRDefault="002152B4" w:rsidP="002152B4">
            <w:pPr>
              <w:rPr>
                <w:rFonts w:cs="Arial"/>
              </w:rPr>
            </w:pPr>
            <w:r w:rsidRPr="002152B4">
              <w:rPr>
                <w:rFonts w:cs="Arial"/>
              </w:rPr>
              <w:t>3,2%</w:t>
            </w:r>
          </w:p>
          <w:p w14:paraId="44FE1058" w14:textId="77777777" w:rsidR="002152B4" w:rsidRDefault="002152B4" w:rsidP="002152B4">
            <w:pPr>
              <w:rPr>
                <w:rFonts w:cs="Arial"/>
              </w:rPr>
            </w:pPr>
          </w:p>
          <w:p w14:paraId="2D296871" w14:textId="22DE4B5E" w:rsidR="002152B4" w:rsidRPr="002152B4" w:rsidRDefault="002152B4" w:rsidP="002152B4">
            <w:pPr>
              <w:rPr>
                <w:rFonts w:cs="Arial"/>
              </w:rPr>
            </w:pPr>
            <w:r w:rsidRPr="002152B4">
              <w:rPr>
                <w:rFonts w:cs="Arial"/>
              </w:rPr>
              <w:t>1,9%</w:t>
            </w:r>
          </w:p>
          <w:p w14:paraId="0DB491D8" w14:textId="28988940" w:rsidR="002152B4" w:rsidRPr="002152B4" w:rsidRDefault="002152B4" w:rsidP="002152B4">
            <w:pPr>
              <w:rPr>
                <w:rFonts w:cs="Arial"/>
              </w:rPr>
            </w:pPr>
            <w:r w:rsidRPr="002152B4">
              <w:rPr>
                <w:rFonts w:cs="Arial"/>
              </w:rPr>
              <w:t>1,3%</w:t>
            </w:r>
          </w:p>
        </w:tc>
        <w:tc>
          <w:tcPr>
            <w:tcW w:w="1737" w:type="dxa"/>
            <w:vAlign w:val="bottom"/>
          </w:tcPr>
          <w:p w14:paraId="7ED619B0" w14:textId="77777777" w:rsidR="002152B4" w:rsidRPr="002152B4" w:rsidRDefault="002152B4" w:rsidP="002152B4">
            <w:pPr>
              <w:rPr>
                <w:rFonts w:cs="Arial"/>
              </w:rPr>
            </w:pPr>
            <w:r w:rsidRPr="002152B4">
              <w:rPr>
                <w:rFonts w:cs="Arial"/>
              </w:rPr>
              <w:t>0,0010</w:t>
            </w:r>
          </w:p>
          <w:p w14:paraId="21F3D926" w14:textId="77777777" w:rsidR="002152B4" w:rsidRDefault="002152B4" w:rsidP="002152B4">
            <w:pPr>
              <w:rPr>
                <w:rFonts w:cs="Arial"/>
              </w:rPr>
            </w:pPr>
          </w:p>
          <w:p w14:paraId="76A4730A" w14:textId="7D3CD63D" w:rsidR="002152B4" w:rsidRPr="002152B4" w:rsidRDefault="002152B4" w:rsidP="002152B4">
            <w:pPr>
              <w:rPr>
                <w:rFonts w:cs="Arial"/>
              </w:rPr>
            </w:pPr>
            <w:r w:rsidRPr="002152B4">
              <w:rPr>
                <w:rFonts w:cs="Arial"/>
              </w:rPr>
              <w:t>0,0070</w:t>
            </w:r>
          </w:p>
          <w:p w14:paraId="1DDE3B73" w14:textId="77777777" w:rsidR="002152B4" w:rsidRPr="002152B4" w:rsidRDefault="002152B4" w:rsidP="002152B4">
            <w:pPr>
              <w:rPr>
                <w:rFonts w:cs="Arial"/>
              </w:rPr>
            </w:pPr>
            <w:r w:rsidRPr="002152B4">
              <w:rPr>
                <w:rFonts w:cs="Arial"/>
              </w:rPr>
              <w:t>0,0163</w:t>
            </w:r>
          </w:p>
          <w:p w14:paraId="634BD13A" w14:textId="77777777" w:rsidR="002152B4" w:rsidRPr="002152B4" w:rsidRDefault="002152B4" w:rsidP="002152B4">
            <w:pPr>
              <w:rPr>
                <w:rFonts w:cs="Arial"/>
              </w:rPr>
            </w:pPr>
          </w:p>
        </w:tc>
      </w:tr>
      <w:tr w:rsidR="002152B4" w14:paraId="2BA52DDD" w14:textId="77777777" w:rsidTr="002152B4">
        <w:tc>
          <w:tcPr>
            <w:tcW w:w="2165" w:type="dxa"/>
          </w:tcPr>
          <w:p w14:paraId="03F11035" w14:textId="11C77ACC" w:rsidR="002152B4" w:rsidRDefault="002152B4" w:rsidP="00F502CE">
            <w:r w:rsidRPr="002152B4">
              <w:rPr>
                <w:szCs w:val="20"/>
              </w:rPr>
              <w:t>Инсулти (фатален и нефатален)</w:t>
            </w:r>
          </w:p>
        </w:tc>
        <w:tc>
          <w:tcPr>
            <w:tcW w:w="1824" w:type="dxa"/>
          </w:tcPr>
          <w:p w14:paraId="520777E0" w14:textId="77777777" w:rsidR="002152B4" w:rsidRDefault="002152B4" w:rsidP="00F502CE"/>
        </w:tc>
        <w:tc>
          <w:tcPr>
            <w:tcW w:w="1833" w:type="dxa"/>
          </w:tcPr>
          <w:p w14:paraId="038EB62E" w14:textId="77777777" w:rsidR="002152B4" w:rsidRDefault="002152B4" w:rsidP="00F502CE"/>
        </w:tc>
        <w:tc>
          <w:tcPr>
            <w:tcW w:w="1791" w:type="dxa"/>
          </w:tcPr>
          <w:p w14:paraId="14EFA21C" w14:textId="77777777" w:rsidR="002152B4" w:rsidRDefault="002152B4" w:rsidP="00F502CE"/>
        </w:tc>
        <w:tc>
          <w:tcPr>
            <w:tcW w:w="1737" w:type="dxa"/>
          </w:tcPr>
          <w:p w14:paraId="482AC3C5" w14:textId="77777777" w:rsidR="002152B4" w:rsidRDefault="002152B4" w:rsidP="00F502CE"/>
        </w:tc>
      </w:tr>
    </w:tbl>
    <w:p w14:paraId="12F844F7"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vertAlign w:val="superscript"/>
          <w:lang w:eastAsia="bg-BG"/>
        </w:rPr>
        <w:t>1</w:t>
      </w:r>
      <w:r w:rsidRPr="002152B4">
        <w:rPr>
          <w:rFonts w:eastAsia="Times New Roman" w:cs="Arial"/>
          <w:color w:val="000000"/>
          <w:szCs w:val="20"/>
          <w:lang w:eastAsia="bg-BG"/>
        </w:rPr>
        <w:t>Въз основа на разликата в общата честота на инцидентите, настъпили при средно проследяване от 3,9 години.</w:t>
      </w:r>
    </w:p>
    <w:p w14:paraId="597A67E8"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ОМИ = остър миокарден инфаркт; </w:t>
      </w:r>
      <w:r w:rsidRPr="002152B4">
        <w:rPr>
          <w:rFonts w:eastAsia="Times New Roman" w:cs="Arial"/>
          <w:color w:val="000000"/>
          <w:szCs w:val="20"/>
          <w:lang w:val="en-US"/>
        </w:rPr>
        <w:t>CABG =</w:t>
      </w:r>
      <w:r w:rsidRPr="002152B4">
        <w:rPr>
          <w:rFonts w:eastAsia="Times New Roman" w:cs="Arial"/>
          <w:color w:val="000000"/>
          <w:szCs w:val="20"/>
          <w:lang w:eastAsia="bg-BG"/>
        </w:rPr>
        <w:t xml:space="preserve"> коронарен артериален байпас; ИБС =</w:t>
      </w:r>
      <w:r w:rsidRPr="002152B4">
        <w:rPr>
          <w:rFonts w:eastAsia="Times New Roman" w:cs="Arial"/>
          <w:color w:val="000000"/>
          <w:szCs w:val="20"/>
          <w:lang w:val="en-US"/>
        </w:rPr>
        <w:t xml:space="preserve"> </w:t>
      </w:r>
      <w:r w:rsidRPr="002152B4">
        <w:rPr>
          <w:rFonts w:eastAsia="Times New Roman" w:cs="Arial"/>
          <w:color w:val="000000"/>
          <w:szCs w:val="20"/>
          <w:lang w:eastAsia="bg-BG"/>
        </w:rPr>
        <w:t>исхемична болест на сърцето; МИ = миокарден инфаркт; РТСА = перкутанна транслуминална коронарна ангиопластика.</w:t>
      </w:r>
    </w:p>
    <w:p w14:paraId="26DA9517" w14:textId="77777777" w:rsidR="002152B4" w:rsidRPr="002152B4" w:rsidRDefault="002152B4" w:rsidP="002152B4">
      <w:pPr>
        <w:spacing w:line="240" w:lineRule="auto"/>
        <w:rPr>
          <w:rFonts w:eastAsia="Times New Roman" w:cs="Arial"/>
          <w:color w:val="000000"/>
          <w:szCs w:val="20"/>
          <w:lang w:eastAsia="bg-BG"/>
        </w:rPr>
      </w:pPr>
    </w:p>
    <w:p w14:paraId="47F1279E" w14:textId="7BDEA12F"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Няма доказателство за разлика в ефекта от лечението според пола, възрастта или изходното ниво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на пациента. Благоприятна тенденция е наблюдавана по отношение нивото на смъртност (82 смъртни случаи при плацебо групата спрямо 61 в групата на аторвастатин, р=0,0592).</w:t>
      </w:r>
    </w:p>
    <w:p w14:paraId="670D72AA" w14:textId="77777777" w:rsidR="002152B4" w:rsidRPr="002152B4" w:rsidRDefault="002152B4" w:rsidP="002152B4">
      <w:pPr>
        <w:spacing w:line="240" w:lineRule="auto"/>
        <w:rPr>
          <w:rFonts w:eastAsia="Times New Roman" w:cs="Arial"/>
          <w:color w:val="000000"/>
          <w:szCs w:val="20"/>
          <w:u w:val="single"/>
          <w:lang w:eastAsia="bg-BG"/>
        </w:rPr>
      </w:pPr>
    </w:p>
    <w:p w14:paraId="0989A74D" w14:textId="2A966780"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u w:val="single"/>
          <w:lang w:eastAsia="bg-BG"/>
        </w:rPr>
        <w:t>Рецидивиращ инсулт</w:t>
      </w:r>
    </w:p>
    <w:p w14:paraId="00E3F2B8"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 проучването „Предотвратяване на инсулт чрез агресивно намаляване на нивата на холестерола“ </w:t>
      </w:r>
      <w:r w:rsidRPr="002152B4">
        <w:rPr>
          <w:rFonts w:eastAsia="Times New Roman" w:cs="Arial"/>
          <w:color w:val="000000"/>
          <w:szCs w:val="20"/>
          <w:lang w:val="en-US"/>
        </w:rPr>
        <w:t xml:space="preserve">(Stroke Prevention by Aggressive Reduction in Cholesterol Levels, SPARCL) e </w:t>
      </w:r>
      <w:r w:rsidRPr="002152B4">
        <w:rPr>
          <w:rFonts w:eastAsia="Times New Roman" w:cs="Arial"/>
          <w:color w:val="000000"/>
          <w:szCs w:val="20"/>
          <w:lang w:eastAsia="bg-BG"/>
        </w:rPr>
        <w:t xml:space="preserve">бил оценен ефектът на 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или плацебо по отношение появата </w:t>
      </w:r>
      <w:r w:rsidRPr="002152B4">
        <w:rPr>
          <w:rFonts w:eastAsia="Times New Roman" w:cs="Arial"/>
          <w:color w:val="000000"/>
          <w:szCs w:val="20"/>
          <w:lang w:eastAsia="bg-BG"/>
        </w:rPr>
        <w:lastRenderedPageBreak/>
        <w:t xml:space="preserve">на инсулт при 4 731 пациенти с инсулт или преходна исхемична атака </w:t>
      </w:r>
      <w:r w:rsidRPr="002152B4">
        <w:rPr>
          <w:rFonts w:eastAsia="Times New Roman" w:cs="Arial"/>
          <w:color w:val="000000"/>
          <w:szCs w:val="20"/>
          <w:lang w:val="en-US"/>
        </w:rPr>
        <w:t>(TI</w:t>
      </w:r>
      <w:r w:rsidRPr="002152B4">
        <w:rPr>
          <w:rFonts w:eastAsia="Times New Roman" w:cs="Arial"/>
          <w:color w:val="000000"/>
          <w:szCs w:val="20"/>
          <w:lang w:eastAsia="bg-BG"/>
        </w:rPr>
        <w:t xml:space="preserve">А) в рамките на предходните </w:t>
      </w:r>
      <w:r w:rsidRPr="002152B4">
        <w:rPr>
          <w:rFonts w:eastAsia="Times New Roman" w:cs="Arial"/>
          <w:i/>
          <w:iCs/>
          <w:color w:val="000000"/>
          <w:szCs w:val="20"/>
          <w:lang w:eastAsia="bg-BG"/>
        </w:rPr>
        <w:t>6</w:t>
      </w:r>
      <w:r w:rsidRPr="002152B4">
        <w:rPr>
          <w:rFonts w:eastAsia="Times New Roman" w:cs="Arial"/>
          <w:color w:val="000000"/>
          <w:szCs w:val="20"/>
          <w:lang w:eastAsia="bg-BG"/>
        </w:rPr>
        <w:t xml:space="preserve"> месеца и без анамнеза за исхемична болест на сърцето (ИБС). Пациентите са 60% мъже, 21-92 години (средна възраст 63 години) и средно изходно ниво на </w:t>
      </w:r>
      <w:r w:rsidRPr="002152B4">
        <w:rPr>
          <w:rFonts w:eastAsia="Times New Roman" w:cs="Arial"/>
          <w:color w:val="000000"/>
          <w:szCs w:val="20"/>
          <w:lang w:val="en-US"/>
        </w:rPr>
        <w:t xml:space="preserve">LDL </w:t>
      </w:r>
      <w:r w:rsidRPr="002152B4">
        <w:rPr>
          <w:rFonts w:eastAsia="Times New Roman" w:cs="Arial"/>
          <w:color w:val="000000"/>
          <w:szCs w:val="20"/>
          <w:lang w:eastAsia="bg-BG"/>
        </w:rPr>
        <w:t xml:space="preserve">133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(3,4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Средната стойност на </w:t>
      </w:r>
      <w:r w:rsidRPr="002152B4">
        <w:rPr>
          <w:rFonts w:eastAsia="Times New Roman" w:cs="Arial"/>
          <w:color w:val="000000"/>
          <w:szCs w:val="20"/>
          <w:lang w:val="en-US"/>
        </w:rPr>
        <w:t>LDL</w:t>
      </w:r>
      <w:r w:rsidRPr="002152B4">
        <w:rPr>
          <w:rFonts w:eastAsia="Times New Roman" w:cs="Arial"/>
          <w:color w:val="000000"/>
          <w:szCs w:val="20"/>
          <w:lang w:eastAsia="bg-BG"/>
        </w:rPr>
        <w:t xml:space="preserve">-С е била 73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(1,9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по време на лечението с аторвастатин и 129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(3,3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по време на лечението с плацебо. Средното проследяване е 4,9 години.</w:t>
      </w:r>
    </w:p>
    <w:p w14:paraId="0DFA9E2B" w14:textId="77777777" w:rsidR="002152B4" w:rsidRPr="002152B4" w:rsidRDefault="002152B4" w:rsidP="002152B4">
      <w:pPr>
        <w:rPr>
          <w:rFonts w:eastAsia="Times New Roman" w:cs="Arial"/>
          <w:color w:val="000000"/>
          <w:szCs w:val="20"/>
          <w:lang w:eastAsia="bg-BG"/>
        </w:rPr>
      </w:pPr>
    </w:p>
    <w:p w14:paraId="3EB8564C" w14:textId="0E6E1E08" w:rsidR="002152B4" w:rsidRDefault="002152B4" w:rsidP="002152B4">
      <w:pPr>
        <w:rPr>
          <w:rFonts w:eastAsia="Times New Roman" w:cs="Arial"/>
          <w:color w:val="000000"/>
          <w:szCs w:val="20"/>
          <w:lang w:eastAsia="bg-BG"/>
        </w:rPr>
      </w:pPr>
      <w:r w:rsidRPr="002152B4">
        <w:rPr>
          <w:rFonts w:eastAsia="Times New Roman" w:cs="Arial"/>
          <w:color w:val="000000"/>
          <w:szCs w:val="20"/>
          <w:lang w:eastAsia="bg-BG"/>
        </w:rPr>
        <w:t xml:space="preserve">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е намалил риска от първичната крайна точка на фатален и нефатален инсулт с 15%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0,85;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0,72-1,00; р=0,05 или 0,84;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0,71-0,99; р=0,03 след адаптиране на изходните фактори) в сравнение с плацебо. Общата смъртност е 9,1% (216/2365) за аторвастатин спрямо 8,9% (211/2366) при плацебо.</w:t>
      </w:r>
    </w:p>
    <w:p w14:paraId="3182CD35" w14:textId="02073BDB" w:rsidR="002152B4" w:rsidRDefault="002152B4" w:rsidP="002152B4">
      <w:pPr>
        <w:rPr>
          <w:rFonts w:eastAsia="Times New Roman" w:cs="Arial"/>
          <w:color w:val="000000"/>
          <w:szCs w:val="20"/>
          <w:lang w:eastAsia="bg-BG"/>
        </w:rPr>
      </w:pPr>
    </w:p>
    <w:p w14:paraId="1875D8FB"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 </w:t>
      </w:r>
      <w:r w:rsidRPr="002152B4">
        <w:rPr>
          <w:rFonts w:eastAsia="Times New Roman" w:cs="Arial"/>
          <w:color w:val="000000"/>
          <w:szCs w:val="20"/>
          <w:lang w:val="en-US"/>
        </w:rPr>
        <w:t xml:space="preserve">post-hoc </w:t>
      </w:r>
      <w:r w:rsidRPr="002152B4">
        <w:rPr>
          <w:rFonts w:eastAsia="Times New Roman" w:cs="Arial"/>
          <w:color w:val="000000"/>
          <w:szCs w:val="20"/>
          <w:lang w:eastAsia="bg-BG"/>
        </w:rPr>
        <w:t xml:space="preserve">анализ 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е намалил честотата на исхемичен инсулт (218/2365, 9,2% спрямо 274/2366, 11,6%, р=0,01) и е повишил честотата на хеморагичен инсулт (55/2365,2,3% спрямо 33/2366, 1,4%, р=0,02) в сравнение с плацебо.</w:t>
      </w:r>
    </w:p>
    <w:p w14:paraId="65DCABD9" w14:textId="77777777" w:rsidR="002152B4" w:rsidRPr="002152B4" w:rsidRDefault="002152B4" w:rsidP="002152B4">
      <w:pPr>
        <w:spacing w:line="240" w:lineRule="auto"/>
        <w:rPr>
          <w:rFonts w:eastAsia="Times New Roman" w:cs="Arial"/>
          <w:color w:val="000000"/>
          <w:szCs w:val="20"/>
          <w:lang w:eastAsia="bg-BG"/>
        </w:rPr>
      </w:pPr>
    </w:p>
    <w:p w14:paraId="7C11D4F2" w14:textId="79568A4A" w:rsidR="002152B4" w:rsidRPr="002152B4" w:rsidRDefault="002152B4" w:rsidP="002152B4">
      <w:pPr>
        <w:pStyle w:val="ListParagraph"/>
        <w:numPr>
          <w:ilvl w:val="0"/>
          <w:numId w:val="35"/>
        </w:numPr>
        <w:spacing w:line="240" w:lineRule="auto"/>
        <w:rPr>
          <w:rFonts w:eastAsia="Times New Roman" w:cs="Arial"/>
          <w:color w:val="000000"/>
          <w:szCs w:val="20"/>
          <w:lang w:eastAsia="bg-BG"/>
        </w:rPr>
      </w:pPr>
      <w:r w:rsidRPr="002152B4">
        <w:rPr>
          <w:rFonts w:eastAsia="Times New Roman" w:cs="Arial"/>
          <w:color w:val="000000"/>
          <w:szCs w:val="20"/>
          <w:lang w:eastAsia="bg-BG"/>
        </w:rPr>
        <w:t xml:space="preserve">Рискът от хеморагичен инсулт е повишен при пациенти, които са с предшестващ хеморагичен инсулт преди включване в проучването (7/45 за аторвастатин спрямо 2/48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4,06;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0,84-19,57), и рискът от исхемичен инсулт е сходен в двете групи (3/45 за аторвастатин спрямо 2/48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1,64;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0,27-9,82),</w:t>
      </w:r>
    </w:p>
    <w:p w14:paraId="494DF813" w14:textId="77777777" w:rsidR="002152B4" w:rsidRPr="002152B4" w:rsidRDefault="002152B4" w:rsidP="002152B4">
      <w:pPr>
        <w:spacing w:line="240" w:lineRule="auto"/>
        <w:rPr>
          <w:rFonts w:eastAsia="Times New Roman" w:cs="Arial"/>
          <w:color w:val="000000"/>
          <w:szCs w:val="20"/>
          <w:lang w:eastAsia="bg-BG"/>
        </w:rPr>
      </w:pPr>
    </w:p>
    <w:p w14:paraId="532337DB" w14:textId="1DEA8341" w:rsidR="002152B4" w:rsidRPr="002152B4" w:rsidRDefault="002152B4" w:rsidP="002152B4">
      <w:pPr>
        <w:pStyle w:val="ListParagraph"/>
        <w:numPr>
          <w:ilvl w:val="0"/>
          <w:numId w:val="35"/>
        </w:numPr>
        <w:spacing w:line="240" w:lineRule="auto"/>
        <w:rPr>
          <w:rFonts w:eastAsia="Times New Roman" w:cs="Arial"/>
          <w:color w:val="000000"/>
          <w:szCs w:val="20"/>
          <w:lang w:eastAsia="bg-BG"/>
        </w:rPr>
      </w:pPr>
      <w:r w:rsidRPr="002152B4">
        <w:rPr>
          <w:rFonts w:eastAsia="Times New Roman" w:cs="Arial"/>
          <w:color w:val="000000"/>
          <w:szCs w:val="20"/>
          <w:lang w:eastAsia="bg-BG"/>
        </w:rPr>
        <w:t xml:space="preserve">Рискът от хеморагичен инсулт е повишен при пациенти, които са с предшестващ лакунарен инфарк преди включване в проучването (20/708 за аторвастатин спрямо 4/701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4,99;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1,71-14,61), но и рискът от исхемичен инсулт също е намалял (79/708 за аторвастатин спрямо 102/701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0,76;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0,57-1,02). Възможно е крайният риск от инсулт да е повишен при пациенти с предходен лакунарен инфаркт, които получават аторвастатин 80 </w:t>
      </w:r>
      <w:r w:rsidRPr="002152B4">
        <w:rPr>
          <w:rFonts w:eastAsia="Times New Roman" w:cs="Arial"/>
          <w:color w:val="000000"/>
          <w:szCs w:val="20"/>
          <w:lang w:val="en-US"/>
        </w:rPr>
        <w:t>mg</w:t>
      </w:r>
      <w:r w:rsidRPr="002152B4">
        <w:rPr>
          <w:rFonts w:eastAsia="Times New Roman" w:cs="Arial"/>
          <w:color w:val="000000"/>
          <w:szCs w:val="20"/>
          <w:lang w:eastAsia="bg-BG"/>
        </w:rPr>
        <w:t>/ден.</w:t>
      </w:r>
    </w:p>
    <w:p w14:paraId="1C9E1D5F" w14:textId="77777777" w:rsidR="002152B4" w:rsidRPr="002152B4" w:rsidRDefault="002152B4" w:rsidP="002152B4">
      <w:pPr>
        <w:spacing w:line="240" w:lineRule="auto"/>
        <w:rPr>
          <w:rFonts w:eastAsia="Times New Roman" w:cs="Arial"/>
          <w:color w:val="000000"/>
          <w:szCs w:val="20"/>
          <w:lang w:eastAsia="bg-BG"/>
        </w:rPr>
      </w:pPr>
    </w:p>
    <w:p w14:paraId="0922B4CA" w14:textId="5BA9D004"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Общата смъртност е 15,6% (7/45) за аторвастатин спрямо 10,4% (5/48) в подгрупата пациенти с предходен хеморагичен инсулт. Общата смъртност е 10,9% (77/708) за аторвастатин спрямо 9,1% (64/701) за плацебо в подгрупата пациенти с предходен лакунарен инфаркт.</w:t>
      </w:r>
    </w:p>
    <w:p w14:paraId="7D285285" w14:textId="77777777" w:rsidR="002152B4" w:rsidRPr="002152B4" w:rsidRDefault="002152B4" w:rsidP="002152B4">
      <w:pPr>
        <w:rPr>
          <w:rFonts w:eastAsia="Times New Roman" w:cs="Arial"/>
          <w:color w:val="000000"/>
          <w:szCs w:val="20"/>
          <w:u w:val="single"/>
          <w:lang w:eastAsia="bg-BG"/>
        </w:rPr>
      </w:pPr>
    </w:p>
    <w:p w14:paraId="6A8FEC9D" w14:textId="2B410271" w:rsidR="002152B4" w:rsidRDefault="002152B4" w:rsidP="002152B4">
      <w:pPr>
        <w:rPr>
          <w:rFonts w:eastAsia="Times New Roman" w:cs="Arial"/>
          <w:color w:val="000000"/>
          <w:szCs w:val="20"/>
          <w:u w:val="single"/>
          <w:lang w:eastAsia="bg-BG"/>
        </w:rPr>
      </w:pPr>
      <w:r w:rsidRPr="002152B4">
        <w:rPr>
          <w:rFonts w:eastAsia="Times New Roman" w:cs="Arial"/>
          <w:color w:val="000000"/>
          <w:szCs w:val="20"/>
          <w:u w:val="single"/>
          <w:lang w:eastAsia="bg-BG"/>
        </w:rPr>
        <w:t>Педиатрична популация</w:t>
      </w:r>
    </w:p>
    <w:p w14:paraId="7E1FAB7F" w14:textId="77777777" w:rsidR="002152B4" w:rsidRDefault="002152B4" w:rsidP="002152B4">
      <w:pPr>
        <w:spacing w:line="240" w:lineRule="auto"/>
        <w:rPr>
          <w:rFonts w:ascii="Times New Roman" w:eastAsia="Times New Roman" w:hAnsi="Times New Roman" w:cs="Times New Roman"/>
          <w:i/>
          <w:iCs/>
          <w:color w:val="000000"/>
          <w:sz w:val="20"/>
          <w:szCs w:val="20"/>
          <w:u w:val="single"/>
          <w:lang w:eastAsia="bg-BG"/>
        </w:rPr>
      </w:pPr>
    </w:p>
    <w:p w14:paraId="705BBD01" w14:textId="494F3135" w:rsidR="002152B4" w:rsidRPr="002152B4" w:rsidRDefault="002152B4" w:rsidP="002152B4">
      <w:pPr>
        <w:spacing w:line="240" w:lineRule="auto"/>
        <w:rPr>
          <w:rFonts w:eastAsia="Times New Roman" w:cs="Arial"/>
          <w:sz w:val="28"/>
          <w:szCs w:val="24"/>
          <w:lang w:eastAsia="bg-BG"/>
        </w:rPr>
      </w:pPr>
      <w:r w:rsidRPr="002152B4">
        <w:rPr>
          <w:rFonts w:eastAsia="Times New Roman" w:cs="Arial"/>
          <w:i/>
          <w:iCs/>
          <w:color w:val="000000"/>
          <w:szCs w:val="20"/>
          <w:u w:val="single"/>
          <w:lang w:eastAsia="bg-BG"/>
        </w:rPr>
        <w:t>Хетерозиготна фамилна хиперхолестеролемия при педиатрични пациенти на възраст от 6-17 години</w:t>
      </w:r>
    </w:p>
    <w:p w14:paraId="0A6EC4DB"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юноши с генетично потвърдена хетерозиготна фамилна хиперхолестеролемия и изходно ниво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 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Включени са общо 39 деца и юноши на възраст от 6 до 17 години. В рамо А са включени 15 деца на възраст от 6 до 12 години и в етап 1 на пубертета. В рамо В са включени 24 деца на възраст от 10 до 17 години и в етап ≥ 2 на пубертета.</w:t>
      </w:r>
    </w:p>
    <w:p w14:paraId="3311D17A" w14:textId="77777777" w:rsidR="002152B4" w:rsidRPr="002152B4" w:rsidRDefault="002152B4" w:rsidP="002152B4">
      <w:pPr>
        <w:spacing w:line="240" w:lineRule="auto"/>
        <w:rPr>
          <w:rFonts w:eastAsia="Times New Roman" w:cs="Arial"/>
          <w:color w:val="000000"/>
          <w:szCs w:val="20"/>
          <w:lang w:eastAsia="bg-BG"/>
        </w:rPr>
      </w:pPr>
    </w:p>
    <w:p w14:paraId="5682B1D7" w14:textId="200320E6"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Началната доза на аторвастатин е 5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като таблетка за дъвчене в рамо А и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в таблетна форма в рамо В. Разрешено е дозата на аторвастатин да се удвои, ако пациентът не постигне целта на </w:t>
      </w:r>
      <w:r w:rsidRPr="002152B4">
        <w:rPr>
          <w:rFonts w:eastAsia="Times New Roman" w:cs="Arial"/>
          <w:color w:val="000000"/>
          <w:szCs w:val="20"/>
          <w:lang w:val="en-US"/>
        </w:rPr>
        <w:t>LDL</w:t>
      </w:r>
      <w:r w:rsidRPr="002152B4">
        <w:rPr>
          <w:rFonts w:eastAsia="Times New Roman" w:cs="Arial"/>
          <w:color w:val="000000"/>
          <w:szCs w:val="20"/>
          <w:lang w:eastAsia="bg-BG"/>
        </w:rPr>
        <w:t xml:space="preserve">-С от &lt; 3,35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в седмица 4 и ако аторвастатин се понася добре.</w:t>
      </w:r>
    </w:p>
    <w:p w14:paraId="405170C1" w14:textId="77777777" w:rsidR="002152B4" w:rsidRPr="002152B4" w:rsidRDefault="002152B4" w:rsidP="002152B4">
      <w:pPr>
        <w:spacing w:line="240" w:lineRule="auto"/>
        <w:rPr>
          <w:rFonts w:eastAsia="Times New Roman" w:cs="Arial"/>
          <w:color w:val="000000"/>
          <w:szCs w:val="20"/>
          <w:lang w:eastAsia="bg-BG"/>
        </w:rPr>
      </w:pPr>
    </w:p>
    <w:p w14:paraId="6EED6C5B" w14:textId="4D9DF875"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Средните стойности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ТС, </w:t>
      </w:r>
      <w:r w:rsidRPr="002152B4">
        <w:rPr>
          <w:rFonts w:eastAsia="Times New Roman" w:cs="Arial"/>
          <w:color w:val="000000"/>
          <w:szCs w:val="20"/>
          <w:lang w:val="en-US"/>
        </w:rPr>
        <w:t>VLDL</w:t>
      </w:r>
      <w:r w:rsidRPr="002152B4">
        <w:rPr>
          <w:rFonts w:eastAsia="Times New Roman" w:cs="Arial"/>
          <w:color w:val="000000"/>
          <w:szCs w:val="20"/>
          <w:lang w:eastAsia="bg-BG"/>
        </w:rPr>
        <w:t xml:space="preserve">-С и Аро В са намалели във 2-ра седмица при всички пациенти. При пациентите, за които дозата е била удвоена, допълнителни понижения се наблюдават най-рано след 2 седмици, при първа оценка, след повишаване на дозата. Средният процент понижение в липидните параметри е подобен и за двете рамена, независимо от това дали пациентите остават на първоначалната доза или първоначалната доза е удвоена. В 8-та седмица, средно, процентната промяна спрямо изходните стойности на </w:t>
      </w:r>
      <w:r w:rsidRPr="002152B4">
        <w:rPr>
          <w:rFonts w:eastAsia="Times New Roman" w:cs="Arial"/>
          <w:color w:val="000000"/>
          <w:szCs w:val="20"/>
          <w:lang w:val="en-US"/>
        </w:rPr>
        <w:t>LDL</w:t>
      </w:r>
      <w:r w:rsidRPr="002152B4">
        <w:rPr>
          <w:rFonts w:eastAsia="Times New Roman" w:cs="Arial"/>
          <w:color w:val="000000"/>
          <w:szCs w:val="20"/>
          <w:lang w:eastAsia="bg-BG"/>
        </w:rPr>
        <w:t>-С и ТС е с около 40% и 30% съответно над обхвата на експозициите.</w:t>
      </w:r>
    </w:p>
    <w:p w14:paraId="5993A1F6" w14:textId="77777777" w:rsidR="002152B4" w:rsidRPr="002152B4" w:rsidRDefault="002152B4" w:rsidP="002152B4">
      <w:pPr>
        <w:spacing w:line="240" w:lineRule="auto"/>
        <w:rPr>
          <w:rFonts w:eastAsia="Times New Roman" w:cs="Arial"/>
          <w:color w:val="000000"/>
          <w:szCs w:val="20"/>
          <w:lang w:eastAsia="bg-BG"/>
        </w:rPr>
      </w:pPr>
    </w:p>
    <w:p w14:paraId="2562C470" w14:textId="0F5F6433"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Във второто отворено, едно-рамо проучване, 271 момчета и момичета с Хетерозиготна фамилна хиперхолестеролемия </w:t>
      </w:r>
      <w:r w:rsidRPr="002152B4">
        <w:rPr>
          <w:rFonts w:eastAsia="Times New Roman" w:cs="Arial"/>
          <w:color w:val="000000"/>
          <w:szCs w:val="20"/>
          <w:lang w:val="en-US"/>
        </w:rPr>
        <w:t>(</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на възраст от 6-15 години, са били включени и лекувани е аторватстатин до три години. Включването в проучването е изисквало потвърдена хетерозиготна фамилна хиперхолестеролемия </w:t>
      </w:r>
      <w:r w:rsidRPr="002152B4">
        <w:rPr>
          <w:rFonts w:eastAsia="Times New Roman" w:cs="Arial"/>
          <w:color w:val="000000"/>
          <w:szCs w:val="20"/>
          <w:lang w:val="en-US"/>
        </w:rPr>
        <w:t>(</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и изходно ниво на </w:t>
      </w:r>
      <w:r w:rsidRPr="002152B4">
        <w:rPr>
          <w:rFonts w:eastAsia="Times New Roman" w:cs="Arial"/>
          <w:color w:val="000000"/>
          <w:szCs w:val="20"/>
          <w:lang w:val="en-US"/>
        </w:rPr>
        <w:t xml:space="preserve">LDL- </w:t>
      </w:r>
      <w:r w:rsidRPr="002152B4">
        <w:rPr>
          <w:rFonts w:eastAsia="Times New Roman" w:cs="Arial"/>
          <w:color w:val="000000"/>
          <w:szCs w:val="20"/>
          <w:lang w:eastAsia="bg-BG"/>
        </w:rPr>
        <w:t xml:space="preserve">С ≥ 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(приблизително 152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Проучването е включвало 139 деца в стадий 1 на развитие по Танер (обикновено вариращи от 6-10 години). Дозировката на аторвастатин (веднъж дневно) е била започната с 5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(таблетка за дъвчене) при деца на възраст под 10 години. Децата на възраст 10 години и повече са започнали с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аторвастатин (веднъж дневно). Всички деца са могли да бъдат титрирани до по-високи дози, за да се постигне целта &lt;3,35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 /L LDL-C. </w:t>
      </w:r>
      <w:r w:rsidRPr="002152B4">
        <w:rPr>
          <w:rFonts w:eastAsia="Times New Roman" w:cs="Arial"/>
          <w:color w:val="000000"/>
          <w:szCs w:val="20"/>
          <w:lang w:eastAsia="bg-BG"/>
        </w:rPr>
        <w:t xml:space="preserve">Средната измерена доза за деца на възраст от 6 до 9 години е 19,6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и средната измерена доза за деца на възраст 10 години и повече е 23,9 </w:t>
      </w:r>
      <w:r w:rsidRPr="002152B4">
        <w:rPr>
          <w:rFonts w:eastAsia="Times New Roman" w:cs="Arial"/>
          <w:color w:val="000000"/>
          <w:szCs w:val="20"/>
          <w:lang w:val="en-US"/>
        </w:rPr>
        <w:t>mg.</w:t>
      </w:r>
    </w:p>
    <w:p w14:paraId="5916CD62"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Средната </w:t>
      </w:r>
      <w:r w:rsidRPr="002152B4">
        <w:rPr>
          <w:rFonts w:eastAsia="Times New Roman" w:cs="Arial"/>
          <w:color w:val="000000"/>
          <w:szCs w:val="20"/>
          <w:lang w:val="en-US"/>
        </w:rPr>
        <w:t xml:space="preserve">(+/SD) </w:t>
      </w:r>
      <w:r w:rsidRPr="002152B4">
        <w:rPr>
          <w:rFonts w:eastAsia="Times New Roman" w:cs="Arial"/>
          <w:color w:val="000000"/>
          <w:szCs w:val="20"/>
          <w:lang w:eastAsia="bg-BG"/>
        </w:rPr>
        <w:t xml:space="preserve">базова стойност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е 6,12 (1,26)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което е приблизително 233 (48)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Вижте Таблица 3. по-долу за окончателните резултати.</w:t>
      </w:r>
    </w:p>
    <w:p w14:paraId="78076AFC" w14:textId="5AD21A7E" w:rsidR="002152B4" w:rsidRPr="002152B4" w:rsidRDefault="002152B4" w:rsidP="002152B4">
      <w:pPr>
        <w:rPr>
          <w:rFonts w:eastAsia="Times New Roman" w:cs="Arial"/>
          <w:color w:val="000000"/>
          <w:sz w:val="28"/>
          <w:szCs w:val="20"/>
          <w:lang w:eastAsia="bg-BG"/>
        </w:rPr>
      </w:pPr>
      <w:r w:rsidRPr="002152B4">
        <w:rPr>
          <w:rFonts w:eastAsia="Times New Roman" w:cs="Arial"/>
          <w:color w:val="000000"/>
          <w:szCs w:val="20"/>
          <w:lang w:eastAsia="bg-BG"/>
        </w:rPr>
        <w:t xml:space="preserve">Данните са съвместими с липсата на лекарствен ефект върху всеки един от параметрите на растежа и развитието (т.е. височина, тегло, </w:t>
      </w:r>
      <w:r w:rsidRPr="002152B4">
        <w:rPr>
          <w:rFonts w:eastAsia="Times New Roman" w:cs="Arial"/>
          <w:color w:val="000000"/>
          <w:szCs w:val="20"/>
          <w:lang w:val="en-US"/>
        </w:rPr>
        <w:t xml:space="preserve">BMI, </w:t>
      </w:r>
      <w:r w:rsidRPr="002152B4">
        <w:rPr>
          <w:rFonts w:eastAsia="Times New Roman" w:cs="Arial"/>
          <w:color w:val="000000"/>
          <w:szCs w:val="20"/>
          <w:lang w:eastAsia="bg-BG"/>
        </w:rPr>
        <w:t xml:space="preserve">стадий по Танер, оценка на изследователя за цялостно съзряване и развитие) при деца и юноши с </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получаващи лечение с аторвастатин през 3- годишно проучване. Не е имало оценен лекарствен ефект от страна на изследовател, отбелязан по височина, тегло, </w:t>
      </w:r>
      <w:r w:rsidRPr="002152B4">
        <w:rPr>
          <w:rFonts w:eastAsia="Times New Roman" w:cs="Arial"/>
          <w:color w:val="000000"/>
          <w:szCs w:val="20"/>
          <w:lang w:val="en-US"/>
        </w:rPr>
        <w:t xml:space="preserve">BMI </w:t>
      </w:r>
      <w:r w:rsidRPr="002152B4">
        <w:rPr>
          <w:rFonts w:eastAsia="Times New Roman" w:cs="Arial"/>
          <w:color w:val="000000"/>
          <w:szCs w:val="20"/>
          <w:lang w:eastAsia="bg-BG"/>
        </w:rPr>
        <w:t>по възраст или по пол при посещение.</w:t>
      </w:r>
    </w:p>
    <w:tbl>
      <w:tblPr>
        <w:tblStyle w:val="TableGrid"/>
        <w:tblW w:w="0" w:type="auto"/>
        <w:tblLook w:val="04A0" w:firstRow="1" w:lastRow="0" w:firstColumn="1" w:lastColumn="0" w:noHBand="0" w:noVBand="1"/>
      </w:tblPr>
      <w:tblGrid>
        <w:gridCol w:w="1251"/>
        <w:gridCol w:w="1088"/>
        <w:gridCol w:w="1326"/>
        <w:gridCol w:w="1297"/>
        <w:gridCol w:w="1586"/>
        <w:gridCol w:w="1326"/>
        <w:gridCol w:w="1476"/>
      </w:tblGrid>
      <w:tr w:rsidR="002152B4" w14:paraId="31853970" w14:textId="77777777" w:rsidTr="003D00B5">
        <w:tc>
          <w:tcPr>
            <w:tcW w:w="9350" w:type="dxa"/>
            <w:gridSpan w:val="7"/>
          </w:tcPr>
          <w:p w14:paraId="44B3670D" w14:textId="07B2205E" w:rsidR="002152B4" w:rsidRDefault="002152B4" w:rsidP="002152B4">
            <w:pPr>
              <w:jc w:val="center"/>
            </w:pPr>
            <w:r w:rsidRPr="002152B4">
              <w:rPr>
                <w:szCs w:val="20"/>
              </w:rPr>
              <w:t xml:space="preserve">Таблица 3. Ефектът на намаляване на мазнините с аторвастатин при юноши- момчета и момичета с Хетерозиготна фамилна хиперхолестеролемия </w:t>
            </w:r>
            <w:r w:rsidRPr="002152B4">
              <w:rPr>
                <w:szCs w:val="20"/>
                <w:lang w:val="en-US"/>
              </w:rPr>
              <w:t>(</w:t>
            </w:r>
            <w:proofErr w:type="spellStart"/>
            <w:r w:rsidRPr="002152B4">
              <w:rPr>
                <w:szCs w:val="20"/>
                <w:lang w:val="en-US"/>
              </w:rPr>
              <w:t>mmol</w:t>
            </w:r>
            <w:proofErr w:type="spellEnd"/>
            <w:r w:rsidRPr="002152B4">
              <w:rPr>
                <w:szCs w:val="20"/>
                <w:lang w:val="en-US"/>
              </w:rPr>
              <w:t>/L)</w:t>
            </w:r>
          </w:p>
        </w:tc>
      </w:tr>
      <w:tr w:rsidR="002152B4" w14:paraId="1BDC66AD" w14:textId="77777777" w:rsidTr="002152B4">
        <w:tc>
          <w:tcPr>
            <w:tcW w:w="1251" w:type="dxa"/>
            <w:vAlign w:val="bottom"/>
          </w:tcPr>
          <w:p w14:paraId="5EF93DC0" w14:textId="5AB67D63" w:rsidR="002152B4" w:rsidRPr="002152B4" w:rsidRDefault="002152B4" w:rsidP="002152B4">
            <w:r w:rsidRPr="002152B4">
              <w:rPr>
                <w:szCs w:val="20"/>
              </w:rPr>
              <w:t>Период на оценка</w:t>
            </w:r>
          </w:p>
        </w:tc>
        <w:tc>
          <w:tcPr>
            <w:tcW w:w="1088" w:type="dxa"/>
          </w:tcPr>
          <w:p w14:paraId="1AC2D435" w14:textId="25F51C07" w:rsidR="002152B4" w:rsidRPr="002152B4" w:rsidRDefault="002152B4" w:rsidP="002152B4">
            <w:r w:rsidRPr="002152B4">
              <w:rPr>
                <w:szCs w:val="20"/>
                <w:lang w:val="en-US"/>
              </w:rPr>
              <w:t>N</w:t>
            </w:r>
          </w:p>
        </w:tc>
        <w:tc>
          <w:tcPr>
            <w:tcW w:w="1326" w:type="dxa"/>
          </w:tcPr>
          <w:p w14:paraId="3F53A67B" w14:textId="474102F2" w:rsidR="002152B4" w:rsidRPr="002152B4" w:rsidRDefault="002152B4" w:rsidP="002152B4">
            <w:r w:rsidRPr="002152B4">
              <w:rPr>
                <w:szCs w:val="20"/>
              </w:rPr>
              <w:t xml:space="preserve">ТС </w:t>
            </w:r>
            <w:r w:rsidRPr="002152B4">
              <w:rPr>
                <w:szCs w:val="20"/>
                <w:lang w:val="en-US"/>
              </w:rPr>
              <w:t>(S.D.)</w:t>
            </w:r>
          </w:p>
        </w:tc>
        <w:tc>
          <w:tcPr>
            <w:tcW w:w="1297" w:type="dxa"/>
            <w:vAlign w:val="bottom"/>
          </w:tcPr>
          <w:p w14:paraId="0726A37D" w14:textId="241AE5EB" w:rsidR="002152B4" w:rsidRPr="002152B4" w:rsidRDefault="002152B4" w:rsidP="002152B4">
            <w:r w:rsidRPr="002152B4">
              <w:rPr>
                <w:szCs w:val="20"/>
                <w:lang w:val="en-US"/>
              </w:rPr>
              <w:t>LDL-C (S.D.)</w:t>
            </w:r>
          </w:p>
        </w:tc>
        <w:tc>
          <w:tcPr>
            <w:tcW w:w="1586" w:type="dxa"/>
            <w:vAlign w:val="bottom"/>
          </w:tcPr>
          <w:p w14:paraId="7A25D052" w14:textId="77777777" w:rsidR="002152B4" w:rsidRDefault="002152B4" w:rsidP="002152B4">
            <w:pPr>
              <w:rPr>
                <w:szCs w:val="20"/>
                <w:lang w:val="en-US"/>
              </w:rPr>
            </w:pPr>
            <w:r w:rsidRPr="002152B4">
              <w:rPr>
                <w:szCs w:val="20"/>
                <w:lang w:val="en-US"/>
              </w:rPr>
              <w:t xml:space="preserve">HDL-C </w:t>
            </w:r>
          </w:p>
          <w:p w14:paraId="705AADFA" w14:textId="1930A48F" w:rsidR="002152B4" w:rsidRPr="002152B4" w:rsidRDefault="002152B4" w:rsidP="002152B4">
            <w:r w:rsidRPr="002152B4">
              <w:rPr>
                <w:szCs w:val="20"/>
                <w:lang w:val="en-US"/>
              </w:rPr>
              <w:t>(S.D.)</w:t>
            </w:r>
          </w:p>
        </w:tc>
        <w:tc>
          <w:tcPr>
            <w:tcW w:w="1326" w:type="dxa"/>
          </w:tcPr>
          <w:p w14:paraId="61D1392B" w14:textId="282C9DBF" w:rsidR="002152B4" w:rsidRPr="002152B4" w:rsidRDefault="002152B4" w:rsidP="002152B4">
            <w:r w:rsidRPr="002152B4">
              <w:rPr>
                <w:szCs w:val="20"/>
                <w:lang w:val="en-US"/>
              </w:rPr>
              <w:t>TG (S.D.)</w:t>
            </w:r>
          </w:p>
        </w:tc>
        <w:tc>
          <w:tcPr>
            <w:tcW w:w="1476" w:type="dxa"/>
            <w:vAlign w:val="bottom"/>
          </w:tcPr>
          <w:p w14:paraId="52AC70B1" w14:textId="77777777" w:rsidR="002152B4" w:rsidRPr="002152B4" w:rsidRDefault="002152B4" w:rsidP="002152B4">
            <w:r w:rsidRPr="002152B4">
              <w:rPr>
                <w:szCs w:val="20"/>
              </w:rPr>
              <w:t>Аро В</w:t>
            </w:r>
          </w:p>
          <w:p w14:paraId="328B0F72" w14:textId="3C6C1B01" w:rsidR="002152B4" w:rsidRPr="002152B4" w:rsidRDefault="002152B4" w:rsidP="002152B4">
            <w:r w:rsidRPr="002152B4">
              <w:rPr>
                <w:szCs w:val="20"/>
                <w:lang w:val="en-US"/>
              </w:rPr>
              <w:t>(S.D.)#</w:t>
            </w:r>
          </w:p>
        </w:tc>
      </w:tr>
      <w:tr w:rsidR="002152B4" w14:paraId="0B8D5D61" w14:textId="77777777" w:rsidTr="002152B4">
        <w:tc>
          <w:tcPr>
            <w:tcW w:w="1251" w:type="dxa"/>
          </w:tcPr>
          <w:p w14:paraId="715BC1A7" w14:textId="1A54D400" w:rsidR="002152B4" w:rsidRPr="002152B4" w:rsidRDefault="002152B4" w:rsidP="002152B4">
            <w:r w:rsidRPr="002152B4">
              <w:rPr>
                <w:szCs w:val="20"/>
              </w:rPr>
              <w:t>Изходно ниво</w:t>
            </w:r>
          </w:p>
        </w:tc>
        <w:tc>
          <w:tcPr>
            <w:tcW w:w="1088" w:type="dxa"/>
          </w:tcPr>
          <w:p w14:paraId="68211675" w14:textId="4355C749" w:rsidR="002152B4" w:rsidRPr="002152B4" w:rsidRDefault="002152B4" w:rsidP="002152B4">
            <w:r w:rsidRPr="002152B4">
              <w:rPr>
                <w:szCs w:val="20"/>
              </w:rPr>
              <w:t>271</w:t>
            </w:r>
          </w:p>
        </w:tc>
        <w:tc>
          <w:tcPr>
            <w:tcW w:w="1326" w:type="dxa"/>
          </w:tcPr>
          <w:p w14:paraId="58676AD5" w14:textId="4CCB19B4" w:rsidR="002152B4" w:rsidRPr="002152B4" w:rsidRDefault="002152B4" w:rsidP="002152B4">
            <w:r w:rsidRPr="002152B4">
              <w:rPr>
                <w:szCs w:val="20"/>
              </w:rPr>
              <w:t>7,86(1,30)</w:t>
            </w:r>
          </w:p>
        </w:tc>
        <w:tc>
          <w:tcPr>
            <w:tcW w:w="1297" w:type="dxa"/>
          </w:tcPr>
          <w:p w14:paraId="127A4F8A" w14:textId="26A5F498" w:rsidR="002152B4" w:rsidRPr="002152B4" w:rsidRDefault="002152B4" w:rsidP="002152B4">
            <w:r w:rsidRPr="002152B4">
              <w:rPr>
                <w:szCs w:val="20"/>
              </w:rPr>
              <w:t>6,12(1,26)</w:t>
            </w:r>
          </w:p>
        </w:tc>
        <w:tc>
          <w:tcPr>
            <w:tcW w:w="1586" w:type="dxa"/>
          </w:tcPr>
          <w:p w14:paraId="794A12A8" w14:textId="47A53BC4" w:rsidR="002152B4" w:rsidRPr="002152B4" w:rsidRDefault="002152B4" w:rsidP="002152B4">
            <w:r w:rsidRPr="002152B4">
              <w:rPr>
                <w:szCs w:val="20"/>
              </w:rPr>
              <w:t>1,314(0,2663)</w:t>
            </w:r>
          </w:p>
        </w:tc>
        <w:tc>
          <w:tcPr>
            <w:tcW w:w="1326" w:type="dxa"/>
          </w:tcPr>
          <w:p w14:paraId="29BAB9B5" w14:textId="28F2B229" w:rsidR="002152B4" w:rsidRPr="002152B4" w:rsidRDefault="002152B4" w:rsidP="002152B4">
            <w:r w:rsidRPr="002152B4">
              <w:rPr>
                <w:szCs w:val="20"/>
              </w:rPr>
              <w:t>0,93(0,47)</w:t>
            </w:r>
          </w:p>
        </w:tc>
        <w:tc>
          <w:tcPr>
            <w:tcW w:w="1476" w:type="dxa"/>
          </w:tcPr>
          <w:p w14:paraId="7B732633" w14:textId="01A98E37" w:rsidR="002152B4" w:rsidRPr="002152B4" w:rsidRDefault="002152B4" w:rsidP="002152B4">
            <w:r w:rsidRPr="002152B4">
              <w:rPr>
                <w:szCs w:val="20"/>
              </w:rPr>
              <w:t>1,42(0,28)**</w:t>
            </w:r>
          </w:p>
        </w:tc>
      </w:tr>
      <w:tr w:rsidR="002152B4" w14:paraId="09843980" w14:textId="77777777" w:rsidTr="002152B4">
        <w:tc>
          <w:tcPr>
            <w:tcW w:w="1251" w:type="dxa"/>
            <w:vAlign w:val="bottom"/>
          </w:tcPr>
          <w:p w14:paraId="4944069D" w14:textId="60C173C0" w:rsidR="002152B4" w:rsidRPr="002152B4" w:rsidRDefault="002152B4" w:rsidP="002152B4">
            <w:r w:rsidRPr="002152B4">
              <w:rPr>
                <w:szCs w:val="20"/>
              </w:rPr>
              <w:t>Месец 30</w:t>
            </w:r>
          </w:p>
        </w:tc>
        <w:tc>
          <w:tcPr>
            <w:tcW w:w="1088" w:type="dxa"/>
            <w:vAlign w:val="bottom"/>
          </w:tcPr>
          <w:p w14:paraId="51BE8D9A" w14:textId="78826730" w:rsidR="002152B4" w:rsidRPr="002152B4" w:rsidRDefault="002152B4" w:rsidP="002152B4">
            <w:r w:rsidRPr="002152B4">
              <w:rPr>
                <w:szCs w:val="20"/>
              </w:rPr>
              <w:t>206</w:t>
            </w:r>
          </w:p>
        </w:tc>
        <w:tc>
          <w:tcPr>
            <w:tcW w:w="1326" w:type="dxa"/>
            <w:vAlign w:val="bottom"/>
          </w:tcPr>
          <w:p w14:paraId="164B1B40" w14:textId="3DBD8AF5" w:rsidR="002152B4" w:rsidRPr="002152B4" w:rsidRDefault="002152B4" w:rsidP="002152B4">
            <w:r w:rsidRPr="002152B4">
              <w:rPr>
                <w:szCs w:val="20"/>
              </w:rPr>
              <w:t>4,95(0,77)*</w:t>
            </w:r>
          </w:p>
        </w:tc>
        <w:tc>
          <w:tcPr>
            <w:tcW w:w="1297" w:type="dxa"/>
            <w:vAlign w:val="bottom"/>
          </w:tcPr>
          <w:p w14:paraId="5A61129B" w14:textId="2B88AFD9" w:rsidR="002152B4" w:rsidRPr="002152B4" w:rsidRDefault="002152B4" w:rsidP="002152B4">
            <w:r w:rsidRPr="002152B4">
              <w:rPr>
                <w:szCs w:val="20"/>
              </w:rPr>
              <w:t>3,25(0,67)</w:t>
            </w:r>
          </w:p>
        </w:tc>
        <w:tc>
          <w:tcPr>
            <w:tcW w:w="1586" w:type="dxa"/>
            <w:vAlign w:val="bottom"/>
          </w:tcPr>
          <w:p w14:paraId="5913B287" w14:textId="35CEDF51" w:rsidR="002152B4" w:rsidRPr="002152B4" w:rsidRDefault="002152B4" w:rsidP="002152B4">
            <w:r w:rsidRPr="002152B4">
              <w:rPr>
                <w:szCs w:val="20"/>
              </w:rPr>
              <w:t>1,327(0,2796)</w:t>
            </w:r>
          </w:p>
        </w:tc>
        <w:tc>
          <w:tcPr>
            <w:tcW w:w="1326" w:type="dxa"/>
            <w:vAlign w:val="bottom"/>
          </w:tcPr>
          <w:p w14:paraId="63B4C64C" w14:textId="5C59E4D7" w:rsidR="002152B4" w:rsidRPr="002152B4" w:rsidRDefault="002152B4" w:rsidP="002152B4">
            <w:r w:rsidRPr="002152B4">
              <w:rPr>
                <w:szCs w:val="20"/>
              </w:rPr>
              <w:t>0,79(0,38)*</w:t>
            </w:r>
          </w:p>
        </w:tc>
        <w:tc>
          <w:tcPr>
            <w:tcW w:w="1476" w:type="dxa"/>
          </w:tcPr>
          <w:p w14:paraId="292848F9" w14:textId="7FACF1B4" w:rsidR="002152B4" w:rsidRPr="002152B4" w:rsidRDefault="002152B4" w:rsidP="002152B4">
            <w:r w:rsidRPr="002152B4">
              <w:rPr>
                <w:szCs w:val="20"/>
                <w:lang w:val="en-US"/>
              </w:rPr>
              <w:t>0,90 (0,17)*</w:t>
            </w:r>
          </w:p>
        </w:tc>
      </w:tr>
      <w:tr w:rsidR="002152B4" w14:paraId="600746E1" w14:textId="77777777" w:rsidTr="002152B4">
        <w:tc>
          <w:tcPr>
            <w:tcW w:w="1251" w:type="dxa"/>
          </w:tcPr>
          <w:p w14:paraId="309E8A17" w14:textId="28C19249" w:rsidR="002152B4" w:rsidRPr="002152B4" w:rsidRDefault="002152B4" w:rsidP="002152B4">
            <w:r w:rsidRPr="002152B4">
              <w:rPr>
                <w:szCs w:val="20"/>
              </w:rPr>
              <w:t>Месец 36/ЕТ</w:t>
            </w:r>
          </w:p>
        </w:tc>
        <w:tc>
          <w:tcPr>
            <w:tcW w:w="1088" w:type="dxa"/>
          </w:tcPr>
          <w:p w14:paraId="4D245CBC" w14:textId="2515B2CB" w:rsidR="002152B4" w:rsidRPr="002152B4" w:rsidRDefault="002152B4" w:rsidP="002152B4">
            <w:r w:rsidRPr="002152B4">
              <w:rPr>
                <w:szCs w:val="20"/>
              </w:rPr>
              <w:t>240</w:t>
            </w:r>
          </w:p>
        </w:tc>
        <w:tc>
          <w:tcPr>
            <w:tcW w:w="1326" w:type="dxa"/>
          </w:tcPr>
          <w:p w14:paraId="070683F9" w14:textId="4C78D908" w:rsidR="002152B4" w:rsidRPr="002152B4" w:rsidRDefault="002152B4" w:rsidP="002152B4">
            <w:r w:rsidRPr="002152B4">
              <w:rPr>
                <w:szCs w:val="20"/>
              </w:rPr>
              <w:t>5,12(0,86)</w:t>
            </w:r>
          </w:p>
        </w:tc>
        <w:tc>
          <w:tcPr>
            <w:tcW w:w="1297" w:type="dxa"/>
          </w:tcPr>
          <w:p w14:paraId="20019B9C" w14:textId="532AE617" w:rsidR="002152B4" w:rsidRPr="002152B4" w:rsidRDefault="002152B4" w:rsidP="002152B4">
            <w:r w:rsidRPr="002152B4">
              <w:rPr>
                <w:szCs w:val="20"/>
              </w:rPr>
              <w:t>3,45(0,81)</w:t>
            </w:r>
          </w:p>
        </w:tc>
        <w:tc>
          <w:tcPr>
            <w:tcW w:w="1586" w:type="dxa"/>
          </w:tcPr>
          <w:p w14:paraId="78BB7354" w14:textId="2FC9E68F" w:rsidR="002152B4" w:rsidRPr="002152B4" w:rsidRDefault="002152B4" w:rsidP="002152B4">
            <w:r w:rsidRPr="002152B4">
              <w:rPr>
                <w:szCs w:val="20"/>
              </w:rPr>
              <w:t>1,308(0,2739)</w:t>
            </w:r>
          </w:p>
        </w:tc>
        <w:tc>
          <w:tcPr>
            <w:tcW w:w="1326" w:type="dxa"/>
          </w:tcPr>
          <w:p w14:paraId="4A445E8B" w14:textId="6F9ECC7F" w:rsidR="002152B4" w:rsidRPr="002152B4" w:rsidRDefault="002152B4" w:rsidP="002152B4">
            <w:r w:rsidRPr="002152B4">
              <w:rPr>
                <w:szCs w:val="20"/>
              </w:rPr>
              <w:t>0,78(0,41)</w:t>
            </w:r>
          </w:p>
        </w:tc>
        <w:tc>
          <w:tcPr>
            <w:tcW w:w="1476" w:type="dxa"/>
          </w:tcPr>
          <w:p w14:paraId="3BEBCC3E" w14:textId="66C47104" w:rsidR="002152B4" w:rsidRPr="002152B4" w:rsidRDefault="002152B4" w:rsidP="002152B4">
            <w:r>
              <w:rPr>
                <w:szCs w:val="20"/>
                <w:lang w:val="en-US"/>
              </w:rPr>
              <w:t>0,93</w:t>
            </w:r>
            <w:r w:rsidRPr="002152B4">
              <w:rPr>
                <w:szCs w:val="20"/>
                <w:lang w:val="en-US"/>
              </w:rPr>
              <w:t>(0,20)***</w:t>
            </w:r>
          </w:p>
        </w:tc>
      </w:tr>
      <w:tr w:rsidR="002152B4" w14:paraId="5BCFCF53" w14:textId="77777777" w:rsidTr="00845B10">
        <w:tc>
          <w:tcPr>
            <w:tcW w:w="9350" w:type="dxa"/>
            <w:gridSpan w:val="7"/>
          </w:tcPr>
          <w:p w14:paraId="3A07EB3E" w14:textId="77777777" w:rsidR="002152B4" w:rsidRPr="002152B4" w:rsidRDefault="002152B4" w:rsidP="002152B4">
            <w:pPr>
              <w:rPr>
                <w:rFonts w:eastAsia="Times New Roman" w:cs="Arial"/>
                <w:sz w:val="28"/>
                <w:szCs w:val="24"/>
                <w:lang w:eastAsia="bg-BG"/>
              </w:rPr>
            </w:pPr>
            <w:r w:rsidRPr="002152B4">
              <w:rPr>
                <w:szCs w:val="20"/>
              </w:rPr>
              <w:t xml:space="preserve">ТС= общ холестерол; </w:t>
            </w:r>
            <w:r w:rsidRPr="002152B4">
              <w:rPr>
                <w:szCs w:val="20"/>
                <w:lang w:val="en-US"/>
              </w:rPr>
              <w:t xml:space="preserve">LDLC </w:t>
            </w:r>
            <w:r w:rsidRPr="002152B4">
              <w:rPr>
                <w:szCs w:val="20"/>
              </w:rPr>
              <w:t xml:space="preserve">= холестерол с низка плътност С; </w:t>
            </w:r>
            <w:r w:rsidRPr="002152B4">
              <w:rPr>
                <w:szCs w:val="20"/>
                <w:lang w:val="en-US"/>
              </w:rPr>
              <w:t xml:space="preserve">HDLC </w:t>
            </w:r>
            <w:r w:rsidRPr="002152B4">
              <w:rPr>
                <w:szCs w:val="20"/>
              </w:rPr>
              <w:t>= холестерол с висока</w:t>
            </w:r>
            <w:r>
              <w:rPr>
                <w:szCs w:val="20"/>
              </w:rPr>
              <w:t xml:space="preserve"> </w:t>
            </w:r>
            <w:r w:rsidRPr="002152B4">
              <w:rPr>
                <w:rFonts w:eastAsia="Times New Roman" w:cs="Arial"/>
                <w:color w:val="000000"/>
                <w:szCs w:val="20"/>
                <w:lang w:eastAsia="bg-BG"/>
              </w:rPr>
              <w:t xml:space="preserve">плътност С; </w:t>
            </w:r>
            <w:r w:rsidRPr="002152B4">
              <w:rPr>
                <w:rFonts w:eastAsia="Times New Roman" w:cs="Arial"/>
                <w:color w:val="000000"/>
                <w:szCs w:val="20"/>
                <w:lang w:val="en-US"/>
              </w:rPr>
              <w:t xml:space="preserve">TG </w:t>
            </w:r>
            <w:r w:rsidRPr="002152B4">
              <w:rPr>
                <w:rFonts w:eastAsia="Times New Roman" w:cs="Arial"/>
                <w:color w:val="000000"/>
                <w:szCs w:val="20"/>
                <w:lang w:eastAsia="bg-BG"/>
              </w:rPr>
              <w:t>= триглицериди; Аро В =</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аполипопротеин В; “Месец 36/ЕТ” Включени са данни от последната визитация на участниците които са приключили участието в проучването преди планирания 36-месечен период от време, както и пълни данни за 36 месеца за участниците които са приключили 36- месечното проучване.; “*”= Месец 30 </w:t>
            </w:r>
            <w:r w:rsidRPr="002152B4">
              <w:rPr>
                <w:rFonts w:eastAsia="Times New Roman" w:cs="Arial"/>
                <w:color w:val="000000"/>
                <w:szCs w:val="20"/>
                <w:lang w:val="en-US"/>
              </w:rPr>
              <w:t xml:space="preserve">N </w:t>
            </w:r>
            <w:r w:rsidRPr="002152B4">
              <w:rPr>
                <w:rFonts w:eastAsia="Times New Roman" w:cs="Arial"/>
                <w:color w:val="000000"/>
                <w:szCs w:val="20"/>
                <w:lang w:eastAsia="bg-BG"/>
              </w:rPr>
              <w:t>за този параметър е 207;</w:t>
            </w:r>
          </w:p>
          <w:p w14:paraId="0D38EC59" w14:textId="5CD884A3" w:rsidR="002152B4" w:rsidRDefault="002152B4" w:rsidP="002152B4">
            <w:r w:rsidRPr="002152B4">
              <w:rPr>
                <w:rFonts w:eastAsia="Times New Roman" w:cs="Arial"/>
                <w:color w:val="000000"/>
                <w:szCs w:val="20"/>
                <w:lang w:eastAsia="bg-BG"/>
              </w:rPr>
              <w:t xml:space="preserve">Изходно ниво </w:t>
            </w:r>
            <w:r w:rsidRPr="002152B4">
              <w:rPr>
                <w:rFonts w:eastAsia="Times New Roman" w:cs="Arial"/>
                <w:color w:val="000000"/>
                <w:szCs w:val="20"/>
                <w:lang w:val="en-US"/>
              </w:rPr>
              <w:t xml:space="preserve">N </w:t>
            </w:r>
            <w:r w:rsidRPr="002152B4">
              <w:rPr>
                <w:rFonts w:eastAsia="Times New Roman" w:cs="Arial"/>
                <w:color w:val="000000"/>
                <w:szCs w:val="20"/>
                <w:lang w:eastAsia="bg-BG"/>
              </w:rPr>
              <w:t xml:space="preserve">за този параметър е 270; “***” = Месец 36/ЕТ </w:t>
            </w:r>
            <w:r w:rsidRPr="002152B4">
              <w:rPr>
                <w:rFonts w:eastAsia="Times New Roman" w:cs="Arial"/>
                <w:color w:val="000000"/>
                <w:szCs w:val="20"/>
                <w:lang w:val="en-US"/>
              </w:rPr>
              <w:t xml:space="preserve">N </w:t>
            </w:r>
            <w:r w:rsidRPr="002152B4">
              <w:rPr>
                <w:rFonts w:eastAsia="Times New Roman" w:cs="Arial"/>
                <w:color w:val="000000"/>
                <w:szCs w:val="20"/>
                <w:lang w:eastAsia="bg-BG"/>
              </w:rPr>
              <w:t xml:space="preserve">за този параметър е 243; </w:t>
            </w:r>
            <w:r w:rsidRPr="002152B4">
              <w:rPr>
                <w:rFonts w:eastAsia="Times New Roman" w:cs="Arial"/>
                <w:color w:val="000000"/>
                <w:szCs w:val="20"/>
                <w:lang w:val="en-US"/>
              </w:rPr>
              <w:t xml:space="preserve">“#”=g/L </w:t>
            </w:r>
            <w:r w:rsidRPr="002152B4">
              <w:rPr>
                <w:rFonts w:eastAsia="Times New Roman" w:cs="Arial"/>
                <w:color w:val="000000"/>
                <w:szCs w:val="20"/>
                <w:lang w:eastAsia="bg-BG"/>
              </w:rPr>
              <w:t>за Аро В.</w:t>
            </w:r>
          </w:p>
        </w:tc>
      </w:tr>
    </w:tbl>
    <w:p w14:paraId="2E6FE768" w14:textId="0189E879" w:rsidR="002152B4" w:rsidRDefault="002152B4" w:rsidP="002152B4"/>
    <w:p w14:paraId="48E3DE4B"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lastRenderedPageBreak/>
        <w:t>Хетерозиготна фамилна хиперхолестеролемия при педиатрични пациенти на възраст от 10-17 години</w:t>
      </w:r>
    </w:p>
    <w:p w14:paraId="68D3B45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В двойно-сляпо, плацебо-контролирано проучване, последвано от отворено фаза, 187 момчета и момичета след първа менструация на възраст 10-17 години (средна възраст 14,1 години) с хетерозиготна фамилна хиперхолестеролемия </w:t>
      </w:r>
      <w:r w:rsidRPr="00D235FD">
        <w:rPr>
          <w:rFonts w:eastAsia="Times New Roman" w:cs="Arial"/>
          <w:color w:val="000000"/>
          <w:szCs w:val="20"/>
          <w:lang w:val="en-US"/>
        </w:rPr>
        <w:t xml:space="preserve">(FH) </w:t>
      </w:r>
      <w:r w:rsidRPr="00D235FD">
        <w:rPr>
          <w:rFonts w:eastAsia="Times New Roman" w:cs="Arial"/>
          <w:color w:val="000000"/>
          <w:szCs w:val="20"/>
          <w:lang w:eastAsia="bg-BG"/>
        </w:rPr>
        <w:t>или тежка хиперхолестеролемия са рандомизирани на аторвастатин (</w:t>
      </w:r>
      <w:r w:rsidRPr="00D235FD">
        <w:rPr>
          <w:rFonts w:eastAsia="Times New Roman" w:cs="Arial"/>
          <w:color w:val="000000"/>
          <w:szCs w:val="20"/>
          <w:lang w:val="en-US"/>
        </w:rPr>
        <w:t>n</w:t>
      </w:r>
      <w:r w:rsidRPr="00D235FD">
        <w:rPr>
          <w:rFonts w:eastAsia="Times New Roman" w:cs="Arial"/>
          <w:color w:val="000000"/>
          <w:szCs w:val="20"/>
          <w:lang w:eastAsia="bg-BG"/>
        </w:rPr>
        <w:t>=140) или плацебо (</w:t>
      </w:r>
      <w:r w:rsidRPr="00D235FD">
        <w:rPr>
          <w:rFonts w:eastAsia="Times New Roman" w:cs="Arial"/>
          <w:color w:val="000000"/>
          <w:szCs w:val="20"/>
          <w:lang w:val="en-US"/>
        </w:rPr>
        <w:t>n=</w:t>
      </w:r>
      <w:r w:rsidRPr="00D235FD">
        <w:rPr>
          <w:rFonts w:eastAsia="Times New Roman" w:cs="Arial"/>
          <w:color w:val="000000"/>
          <w:szCs w:val="20"/>
          <w:lang w:eastAsia="bg-BG"/>
        </w:rPr>
        <w:t xml:space="preserve">47) за 26 седмици и след това всички са получавали аторвастатин в продължение на 26 седмици. Дозировката на аторвастатин (веднъж дневно) е 10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за първите 4 седмици и е повишена до 20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ако нивото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е &gt; 3,36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Аторвастатин значително намалява плазмените нива на общия холестерол,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триглицеридите и аполипопротеин В по време на 26-седмичната двойна сляпа фаза. Постигнатата средна стойност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е 3,38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(диапазон: 1,81-6,26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при групата на аторвастатин в сравнение с 5,91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(диапазон: 3,93-9,96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при плацебо групата по време на 26-седмичната двойна сляпа фаза.</w:t>
      </w:r>
    </w:p>
    <w:p w14:paraId="1CB975CC"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Допълнително педиатрично проучване на аторвастатин спрямо колестипол при пациенти с хиперхолестеролемия на възраст 10-18 години показва, че аторвастатин </w:t>
      </w:r>
      <w:r w:rsidRPr="00D235FD">
        <w:rPr>
          <w:rFonts w:eastAsia="Times New Roman" w:cs="Arial"/>
          <w:color w:val="000000"/>
          <w:szCs w:val="20"/>
          <w:lang w:val="en-US"/>
        </w:rPr>
        <w:t xml:space="preserve">(N=25) </w:t>
      </w:r>
      <w:r w:rsidRPr="00D235FD">
        <w:rPr>
          <w:rFonts w:eastAsia="Times New Roman" w:cs="Arial"/>
          <w:color w:val="000000"/>
          <w:szCs w:val="20"/>
          <w:lang w:eastAsia="bg-BG"/>
        </w:rPr>
        <w:t xml:space="preserve">е довел до значително намаляване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в седмица 26 (р&lt;0,05) в сравнение с колестипол </w:t>
      </w:r>
      <w:r w:rsidRPr="00D235FD">
        <w:rPr>
          <w:rFonts w:eastAsia="Times New Roman" w:cs="Arial"/>
          <w:color w:val="000000"/>
          <w:szCs w:val="20"/>
          <w:lang w:val="en-US"/>
        </w:rPr>
        <w:t>(N=3</w:t>
      </w:r>
      <w:r w:rsidRPr="00D235FD">
        <w:rPr>
          <w:rFonts w:eastAsia="Times New Roman" w:cs="Arial"/>
          <w:color w:val="000000"/>
          <w:szCs w:val="20"/>
          <w:lang w:eastAsia="bg-BG"/>
        </w:rPr>
        <w:t xml:space="preserve">1). Проучване за милосърдна употреба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отговора (някои пациенти са получавали 80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аторвастатин дневно). Проучването е продължило 3 години: Понижението на </w:t>
      </w:r>
      <w:r w:rsidRPr="00D235FD">
        <w:rPr>
          <w:rFonts w:eastAsia="Times New Roman" w:cs="Arial"/>
          <w:color w:val="000000"/>
          <w:szCs w:val="20"/>
          <w:lang w:val="en-US"/>
        </w:rPr>
        <w:t>LDL</w:t>
      </w:r>
      <w:r w:rsidRPr="00D235FD">
        <w:rPr>
          <w:rFonts w:eastAsia="Times New Roman" w:cs="Arial"/>
          <w:color w:val="000000"/>
          <w:szCs w:val="20"/>
          <w:lang w:eastAsia="bg-BG"/>
        </w:rPr>
        <w:t>-холестерола е 36%.</w:t>
      </w:r>
    </w:p>
    <w:p w14:paraId="11E8DBF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Дългосрочна ефикасност на лечението с аторвастатин в детството за намаляване на заболеваемостта и смъртността в зряла възраст не е установена.</w:t>
      </w:r>
    </w:p>
    <w:p w14:paraId="6C759651" w14:textId="77777777" w:rsidR="00D235FD" w:rsidRPr="00D235FD" w:rsidRDefault="00D235FD" w:rsidP="00D235FD">
      <w:pPr>
        <w:rPr>
          <w:rFonts w:eastAsia="Times New Roman" w:cs="Arial"/>
          <w:color w:val="000000"/>
          <w:szCs w:val="20"/>
          <w:lang w:eastAsia="bg-BG"/>
        </w:rPr>
      </w:pPr>
    </w:p>
    <w:p w14:paraId="22A80FA6" w14:textId="76148D52" w:rsidR="002152B4" w:rsidRPr="00D235FD" w:rsidRDefault="00D235FD" w:rsidP="00D235FD">
      <w:pPr>
        <w:rPr>
          <w:rFonts w:eastAsia="Times New Roman" w:cs="Arial"/>
          <w:color w:val="000000"/>
          <w:szCs w:val="20"/>
          <w:lang w:eastAsia="bg-BG"/>
        </w:rPr>
      </w:pPr>
      <w:r w:rsidRPr="00D235FD">
        <w:rPr>
          <w:rFonts w:eastAsia="Times New Roman" w:cs="Arial"/>
          <w:color w:val="000000"/>
          <w:szCs w:val="20"/>
          <w:lang w:eastAsia="bg-BG"/>
        </w:rPr>
        <w:t>Европейската агенция по лекарствата освобождава от задължението за предоставяне на резултатите от проучванията с аторвастатин при деца на възраст от 0 до 6 години при лечението на хетерозиготна хиперхолестеролемия и при деца на възраст от 0 до 18 години при лечението на хомозиготна фамилна хиперхолестеролемия, комбинирана (смесена) хиперхолестеролемия, първична хиперхолестеролемия и в предотвратяването на сърдечно</w:t>
      </w:r>
      <w:r w:rsidRPr="00D235FD">
        <w:rPr>
          <w:rFonts w:eastAsia="Times New Roman" w:cs="Arial"/>
          <w:color w:val="000000"/>
          <w:szCs w:val="20"/>
          <w:lang w:eastAsia="bg-BG"/>
        </w:rPr>
        <w:softHyphen/>
        <w:t>съдови инциденти (вж. точка 4.2 за информация относно употреба в педиатрията).</w:t>
      </w:r>
    </w:p>
    <w:p w14:paraId="0D7E7236" w14:textId="77777777" w:rsidR="00D235FD" w:rsidRPr="00F502CE" w:rsidRDefault="00D235FD" w:rsidP="00D235FD"/>
    <w:p w14:paraId="35F84B81" w14:textId="5AD67708" w:rsidR="00CF77F7" w:rsidRDefault="002C50EE" w:rsidP="004A448E">
      <w:pPr>
        <w:pStyle w:val="Heading2"/>
      </w:pPr>
      <w:r>
        <w:t>5.2. Фармакокинетични свойства</w:t>
      </w:r>
    </w:p>
    <w:p w14:paraId="70A14F9C" w14:textId="77780E7A" w:rsidR="00D235FD" w:rsidRDefault="00D235FD" w:rsidP="00D235FD"/>
    <w:p w14:paraId="20A08036" w14:textId="77777777"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Абсор</w:t>
      </w:r>
      <w:bookmarkStart w:id="2" w:name="_GoBack"/>
      <w:bookmarkEnd w:id="2"/>
      <w:r w:rsidRPr="00D235FD">
        <w:rPr>
          <w:rFonts w:eastAsia="Times New Roman"/>
          <w:u w:val="single"/>
          <w:lang w:eastAsia="bg-BG"/>
        </w:rPr>
        <w:t>бция</w:t>
      </w:r>
    </w:p>
    <w:p w14:paraId="48635C1A"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Аторвастатин се абсорбира бързо след перорално приложение, максимални плазмени концентрации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се постигат в рамките на 1 до 2 часа. Степента на абсорбция нараства пропорционално на дозата на аторвастатин. След перорално приложение, бионаличността на аторвастатин филмирани таблетки е 95% до 99% в сравнение с тази на пероралния разтвор. Абсолютната бионаличност на аторвастатин е приблизително 12% и системната наличност на инхибиторната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е приблизително 30%</w:t>
      </w:r>
    </w:p>
    <w:p w14:paraId="26D12C09"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Ниската системна наличност се отдава на пресистемен клирънс в гастроинтестиналната мукоза и/или на метаболизма при първото преминаване през черния дроб.</w:t>
      </w:r>
    </w:p>
    <w:p w14:paraId="41931FE6" w14:textId="77777777" w:rsidR="00D235FD" w:rsidRPr="00D235FD" w:rsidRDefault="00D235FD" w:rsidP="00D235FD">
      <w:pPr>
        <w:spacing w:line="240" w:lineRule="auto"/>
        <w:rPr>
          <w:rFonts w:eastAsia="Times New Roman" w:cs="Arial"/>
          <w:sz w:val="28"/>
          <w:szCs w:val="24"/>
          <w:lang w:eastAsia="bg-BG"/>
        </w:rPr>
      </w:pPr>
    </w:p>
    <w:p w14:paraId="53D0536F" w14:textId="599102A0" w:rsidR="00D235FD" w:rsidRPr="00D235FD" w:rsidRDefault="00D235FD" w:rsidP="00D235FD">
      <w:pPr>
        <w:pStyle w:val="Heading3"/>
        <w:rPr>
          <w:rFonts w:eastAsia="Times New Roman"/>
          <w:u w:val="single"/>
          <w:lang w:eastAsia="bg-BG"/>
        </w:rPr>
      </w:pPr>
      <w:r w:rsidRPr="00D235FD">
        <w:rPr>
          <w:rFonts w:eastAsia="Times New Roman"/>
          <w:u w:val="single"/>
          <w:lang w:eastAsia="bg-BG"/>
        </w:rPr>
        <w:t>Разпределение</w:t>
      </w:r>
    </w:p>
    <w:p w14:paraId="048E6DE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Средният обем на разпределение на аторвастатин е приблизително 381 </w:t>
      </w:r>
      <w:r w:rsidRPr="00D235FD">
        <w:rPr>
          <w:rFonts w:eastAsia="Times New Roman" w:cs="Arial"/>
          <w:color w:val="000000"/>
          <w:szCs w:val="20"/>
          <w:lang w:val="en-US"/>
        </w:rPr>
        <w:t>l</w:t>
      </w:r>
      <w:r w:rsidRPr="00D235FD">
        <w:rPr>
          <w:rFonts w:eastAsia="Times New Roman" w:cs="Arial"/>
          <w:color w:val="000000"/>
          <w:szCs w:val="20"/>
          <w:lang w:eastAsia="bg-BG"/>
        </w:rPr>
        <w:t>. Аторвастатин се свързва с плазмените протеини в 98%.</w:t>
      </w:r>
    </w:p>
    <w:p w14:paraId="272B4149" w14:textId="77777777" w:rsidR="00D235FD" w:rsidRPr="00D235FD" w:rsidRDefault="00D235FD" w:rsidP="00D235FD">
      <w:pPr>
        <w:spacing w:line="240" w:lineRule="auto"/>
        <w:rPr>
          <w:rFonts w:eastAsia="Times New Roman" w:cs="Arial"/>
          <w:color w:val="000000"/>
          <w:szCs w:val="20"/>
          <w:u w:val="single"/>
          <w:lang w:eastAsia="bg-BG"/>
        </w:rPr>
      </w:pPr>
    </w:p>
    <w:p w14:paraId="671A0F87" w14:textId="2629A853"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Биотрансформация</w:t>
      </w:r>
    </w:p>
    <w:p w14:paraId="6DD2901F"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се метаболизира от цитохром Р450 ЗА4 до орто- и парахидроксилирани деривати и различни продукти на бета окислението. Освен другите пътища, тези продукти се метаболизират чрез глюкурониране. </w:t>
      </w:r>
      <w:r w:rsidRPr="00D235FD">
        <w:rPr>
          <w:rFonts w:eastAsia="Times New Roman" w:cs="Arial"/>
          <w:i/>
          <w:iCs/>
          <w:color w:val="000000"/>
          <w:szCs w:val="20"/>
          <w:lang w:val="en-US"/>
        </w:rPr>
        <w:t>In vitro,</w:t>
      </w:r>
      <w:r w:rsidRPr="00D235FD">
        <w:rPr>
          <w:rFonts w:eastAsia="Times New Roman" w:cs="Arial"/>
          <w:color w:val="000000"/>
          <w:szCs w:val="20"/>
          <w:lang w:val="en-US"/>
        </w:rPr>
        <w:t xml:space="preserve"> </w:t>
      </w:r>
      <w:r w:rsidRPr="00D235FD">
        <w:rPr>
          <w:rFonts w:eastAsia="Times New Roman" w:cs="Arial"/>
          <w:color w:val="000000"/>
          <w:szCs w:val="20"/>
          <w:lang w:eastAsia="bg-BG"/>
        </w:rPr>
        <w:t xml:space="preserve">инхибирането на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 xml:space="preserve">редуктазата от орто- и парахидроксилираните метаболити е еквивалентно на това на аторвастатин. Приблизително 70% от циркулиращата инхибиторна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се дължи на активните метаболити.</w:t>
      </w:r>
    </w:p>
    <w:p w14:paraId="258C35B0" w14:textId="77777777" w:rsidR="00D235FD" w:rsidRPr="00D235FD" w:rsidRDefault="00D235FD" w:rsidP="00D235FD">
      <w:pPr>
        <w:spacing w:line="240" w:lineRule="auto"/>
        <w:rPr>
          <w:rFonts w:eastAsia="Times New Roman" w:cs="Arial"/>
          <w:color w:val="000000"/>
          <w:szCs w:val="20"/>
          <w:u w:val="single"/>
          <w:lang w:eastAsia="bg-BG"/>
        </w:rPr>
      </w:pPr>
    </w:p>
    <w:p w14:paraId="41EFEC8C" w14:textId="41744BC9"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Елиминиране</w:t>
      </w:r>
    </w:p>
    <w:p w14:paraId="2C52974B"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се елиминира главно с жлъчката след чернодробен и/или екстрахепатален метаболизъм. Въпреки това, аторвастатин не претърпява значителна ентерохепатална рециркулация. Средният плазмен елиминационен полуживот на аторвастатин при хора е приблизително 14 часа. Полуживотът на инхибиторна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е приблизително 20 до 30 часа поради участието на активни метаболити.</w:t>
      </w:r>
    </w:p>
    <w:p w14:paraId="5153D5C7" w14:textId="77777777" w:rsidR="00D235FD" w:rsidRPr="00D235FD" w:rsidRDefault="00D235FD" w:rsidP="00D235FD">
      <w:pPr>
        <w:spacing w:line="240" w:lineRule="auto"/>
        <w:rPr>
          <w:rFonts w:eastAsia="Times New Roman" w:cs="Arial"/>
          <w:color w:val="000000"/>
          <w:szCs w:val="20"/>
          <w:lang w:eastAsia="bg-BG"/>
        </w:rPr>
      </w:pPr>
    </w:p>
    <w:p w14:paraId="7782E951" w14:textId="0EF46859"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е субстрат на чернодробните транспортери и на полипептидите, транспортиращи органични аниони 1В1 (ОАТР1В1) и 1ВЗ (ОАТР1ВЗ). Метаболитите на аторвастатин са субстрати на ОАТР1В1. Установено е също така, че аторвастатин е субстрат на ефлуксните транспортери на протеина, свързан с множествена лекарствена резистентност 1 </w:t>
      </w:r>
      <w:r w:rsidRPr="00D235FD">
        <w:rPr>
          <w:rFonts w:eastAsia="Times New Roman" w:cs="Arial"/>
          <w:color w:val="000000"/>
          <w:szCs w:val="20"/>
          <w:lang w:val="en-US"/>
        </w:rPr>
        <w:t xml:space="preserve">(MDR1), </w:t>
      </w:r>
      <w:r w:rsidRPr="00D235FD">
        <w:rPr>
          <w:rFonts w:eastAsia="Times New Roman" w:cs="Arial"/>
          <w:color w:val="000000"/>
          <w:szCs w:val="20"/>
          <w:lang w:eastAsia="bg-BG"/>
        </w:rPr>
        <w:t xml:space="preserve">и на протеина на резистентност на рака на гърдата </w:t>
      </w:r>
      <w:r w:rsidRPr="00D235FD">
        <w:rPr>
          <w:rFonts w:eastAsia="Times New Roman" w:cs="Arial"/>
          <w:color w:val="000000"/>
          <w:szCs w:val="20"/>
          <w:lang w:val="en-US"/>
        </w:rPr>
        <w:t xml:space="preserve">(BCRP), </w:t>
      </w:r>
      <w:r w:rsidRPr="00D235FD">
        <w:rPr>
          <w:rFonts w:eastAsia="Times New Roman" w:cs="Arial"/>
          <w:color w:val="000000"/>
          <w:szCs w:val="20"/>
          <w:lang w:eastAsia="bg-BG"/>
        </w:rPr>
        <w:t>които може да ограничат чревната абсорбция и жлъчния клирънс на аторвастатин.</w:t>
      </w:r>
    </w:p>
    <w:p w14:paraId="7B8F079A" w14:textId="77777777" w:rsidR="00D235FD" w:rsidRPr="00D235FD" w:rsidRDefault="00D235FD" w:rsidP="00D235FD">
      <w:pPr>
        <w:spacing w:line="240" w:lineRule="auto"/>
        <w:rPr>
          <w:rFonts w:eastAsia="Times New Roman" w:cs="Arial"/>
          <w:color w:val="000000"/>
          <w:szCs w:val="20"/>
          <w:u w:val="single"/>
          <w:lang w:eastAsia="bg-BG"/>
        </w:rPr>
      </w:pPr>
    </w:p>
    <w:p w14:paraId="743DB6CB" w14:textId="183D1D05"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Специални популации</w:t>
      </w:r>
    </w:p>
    <w:p w14:paraId="27D97854" w14:textId="77777777" w:rsidR="00D235FD" w:rsidRPr="00D235FD" w:rsidRDefault="00D235FD" w:rsidP="00D235FD">
      <w:pPr>
        <w:spacing w:line="240" w:lineRule="auto"/>
        <w:rPr>
          <w:rFonts w:eastAsia="Times New Roman" w:cs="Arial"/>
          <w:i/>
          <w:iCs/>
          <w:color w:val="000000"/>
          <w:szCs w:val="20"/>
          <w:u w:val="single"/>
          <w:lang w:eastAsia="bg-BG"/>
        </w:rPr>
      </w:pPr>
    </w:p>
    <w:p w14:paraId="7E9A7903" w14:textId="3923A764"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Пациенти в старческа възраст</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Плазмените концентрации на аторвастатин и неговите активни метаболити са по-високи при здрави лица в старческа възраст, отколкото при млади хора, докато ефектите по отношение на липидите са сравними с тези, наблюдавани при по-млади пациенти.</w:t>
      </w:r>
    </w:p>
    <w:p w14:paraId="1597E78A" w14:textId="77777777" w:rsidR="00D235FD" w:rsidRPr="00D235FD" w:rsidRDefault="00D235FD" w:rsidP="00D235FD">
      <w:pPr>
        <w:rPr>
          <w:rFonts w:eastAsia="Times New Roman" w:cs="Arial"/>
          <w:i/>
          <w:iCs/>
          <w:color w:val="000000"/>
          <w:szCs w:val="20"/>
          <w:u w:val="single"/>
          <w:lang w:eastAsia="bg-BG"/>
        </w:rPr>
      </w:pPr>
    </w:p>
    <w:p w14:paraId="2B1E8F50" w14:textId="53AB46ED" w:rsid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eastAsia="bg-BG"/>
        </w:rPr>
        <w:t>Педиатрична популация</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В отворено, 8-седмично проучване при педиатрични пациенти в етап 1 на пубертета </w:t>
      </w:r>
      <w:r w:rsidRPr="00D235FD">
        <w:rPr>
          <w:rFonts w:eastAsia="Times New Roman" w:cs="Arial"/>
          <w:color w:val="000000"/>
          <w:szCs w:val="20"/>
          <w:lang w:val="en-US"/>
        </w:rPr>
        <w:t xml:space="preserve">(N=15) </w:t>
      </w:r>
      <w:r w:rsidRPr="00D235FD">
        <w:rPr>
          <w:rFonts w:eastAsia="Times New Roman" w:cs="Arial"/>
          <w:color w:val="000000"/>
          <w:szCs w:val="20"/>
          <w:lang w:eastAsia="bg-BG"/>
        </w:rPr>
        <w:t xml:space="preserve">и етап 2 на пубертета </w:t>
      </w:r>
      <w:r w:rsidRPr="00D235FD">
        <w:rPr>
          <w:rFonts w:eastAsia="Times New Roman" w:cs="Arial"/>
          <w:color w:val="000000"/>
          <w:szCs w:val="20"/>
          <w:lang w:val="en-US"/>
        </w:rPr>
        <w:t xml:space="preserve">(N=24) </w:t>
      </w:r>
      <w:r w:rsidRPr="00D235FD">
        <w:rPr>
          <w:rFonts w:eastAsia="Times New Roman" w:cs="Arial"/>
          <w:color w:val="000000"/>
          <w:szCs w:val="20"/>
          <w:lang w:eastAsia="bg-BG"/>
        </w:rPr>
        <w:t xml:space="preserve">(на възраст 6-17 години) с хетерозиготна фамилна хиперхолестеролемия и изходно ниво на </w:t>
      </w:r>
      <w:r w:rsidRPr="00D235FD">
        <w:rPr>
          <w:rFonts w:eastAsia="Times New Roman" w:cs="Arial"/>
          <w:color w:val="000000"/>
          <w:szCs w:val="20"/>
          <w:lang w:val="en-US"/>
        </w:rPr>
        <w:t xml:space="preserve">LDL-C </w:t>
      </w:r>
      <w:r w:rsidRPr="00D235FD">
        <w:rPr>
          <w:rFonts w:eastAsia="Times New Roman" w:cs="Arial"/>
          <w:color w:val="000000"/>
          <w:szCs w:val="20"/>
          <w:lang w:eastAsia="bg-BG"/>
        </w:rPr>
        <w:t xml:space="preserve">≥ 4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са лекувани със съответно 5 или 10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дъвчаща или 10, или 20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филмирани таблетки аторвастатин веднъж дневно. Телесното тегло е единствената значима коварната в аторвастатин РК модела на популацията. Очевидният перорален клирънс на аторвастатин при педиатрични пациенти изглежда подобен на този при възрастни, когато се мащабира алометрично от телесното тегло. Последователното намаляване на </w:t>
      </w:r>
      <w:r w:rsidRPr="00D235FD">
        <w:rPr>
          <w:rFonts w:eastAsia="Times New Roman" w:cs="Arial"/>
          <w:color w:val="000000"/>
          <w:szCs w:val="20"/>
          <w:lang w:val="en-US"/>
        </w:rPr>
        <w:t xml:space="preserve">LDL-C </w:t>
      </w:r>
      <w:r w:rsidRPr="00D235FD">
        <w:rPr>
          <w:rFonts w:eastAsia="Times New Roman" w:cs="Arial"/>
          <w:color w:val="000000"/>
          <w:szCs w:val="20"/>
          <w:lang w:eastAsia="bg-BG"/>
        </w:rPr>
        <w:t>и ТС се наблюдава в рамките на диапазона на експозиция на аторвастатин и о-хидроксиаторвастатин.</w:t>
      </w:r>
    </w:p>
    <w:p w14:paraId="6CCCE316" w14:textId="0B30BFE7" w:rsidR="00D235FD" w:rsidRDefault="00D235FD" w:rsidP="00D235FD">
      <w:pPr>
        <w:rPr>
          <w:rFonts w:eastAsia="Times New Roman" w:cs="Arial"/>
          <w:color w:val="000000"/>
          <w:szCs w:val="20"/>
          <w:lang w:eastAsia="bg-BG"/>
        </w:rPr>
      </w:pPr>
    </w:p>
    <w:p w14:paraId="58191645"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Пол</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Концентрациите на аторвастатин и неговите активни метаболити при жените се различават от тези при мъжете (жени: прибл. 20% по-високи за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и прибл. 10% по-ниски за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Тези разлики нямат клинично значение и няма клинично значими разлики между ефектите по отношение на липидите при мъже и жени.</w:t>
      </w:r>
    </w:p>
    <w:p w14:paraId="361CDFA0" w14:textId="77777777" w:rsidR="00D235FD" w:rsidRPr="00D235FD" w:rsidRDefault="00D235FD" w:rsidP="00D235FD">
      <w:pPr>
        <w:rPr>
          <w:rFonts w:eastAsia="Times New Roman" w:cs="Arial"/>
          <w:i/>
          <w:iCs/>
          <w:color w:val="000000"/>
          <w:szCs w:val="20"/>
          <w:u w:val="single"/>
          <w:lang w:eastAsia="bg-BG"/>
        </w:rPr>
      </w:pPr>
    </w:p>
    <w:p w14:paraId="3BE02D20" w14:textId="00FF9F7D" w:rsid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eastAsia="bg-BG"/>
        </w:rPr>
        <w:t>Бъбречно увреждане</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Бъбречните заболявания нямат влияние върху плазменит</w:t>
      </w:r>
      <w:r w:rsidRPr="00D235FD">
        <w:rPr>
          <w:rFonts w:eastAsia="Times New Roman" w:cs="Arial"/>
          <w:color w:val="000000"/>
          <w:szCs w:val="20"/>
          <w:lang w:val="en-US"/>
        </w:rPr>
        <w:t>e</w:t>
      </w:r>
      <w:r w:rsidRPr="00D235FD">
        <w:rPr>
          <w:rFonts w:eastAsia="Times New Roman" w:cs="Arial"/>
          <w:color w:val="000000"/>
          <w:szCs w:val="20"/>
          <w:lang w:eastAsia="bg-BG"/>
        </w:rPr>
        <w:t xml:space="preserve"> концентрации или върху липидните ефекти на аторвастатин и неговите активни метаболити.</w:t>
      </w:r>
    </w:p>
    <w:p w14:paraId="69963CF9" w14:textId="43AE0FFF" w:rsidR="00D235FD" w:rsidRDefault="00D235FD" w:rsidP="00D235FD">
      <w:pPr>
        <w:rPr>
          <w:rFonts w:eastAsia="Times New Roman" w:cs="Arial"/>
          <w:color w:val="000000"/>
          <w:szCs w:val="20"/>
          <w:lang w:eastAsia="bg-BG"/>
        </w:rPr>
      </w:pPr>
    </w:p>
    <w:p w14:paraId="7A5ED113"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Чернодробно увреждане:</w:t>
      </w:r>
      <w:r w:rsidRPr="00D235FD">
        <w:rPr>
          <w:rFonts w:eastAsia="Times New Roman" w:cs="Arial"/>
          <w:color w:val="000000"/>
          <w:szCs w:val="20"/>
          <w:lang w:eastAsia="bg-BG"/>
        </w:rPr>
        <w:t xml:space="preserve"> Плазмените концентрации на аторвастатин и неговите активни метаболити са значително по-високи (прибл. 16 пъти за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и прибл. 11 пъти за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 xml:space="preserve">при пациенти с хронична алкохолна чернодробна болест </w:t>
      </w:r>
      <w:r w:rsidRPr="00D235FD">
        <w:rPr>
          <w:rFonts w:eastAsia="Times New Roman" w:cs="Arial"/>
          <w:color w:val="000000"/>
          <w:szCs w:val="20"/>
          <w:lang w:val="en-US"/>
        </w:rPr>
        <w:t xml:space="preserve">(Child-Pugh </w:t>
      </w:r>
      <w:r w:rsidRPr="00D235FD">
        <w:rPr>
          <w:rFonts w:eastAsia="Times New Roman" w:cs="Arial"/>
          <w:color w:val="000000"/>
          <w:szCs w:val="20"/>
          <w:lang w:eastAsia="bg-BG"/>
        </w:rPr>
        <w:t>В).</w:t>
      </w:r>
    </w:p>
    <w:p w14:paraId="6D67C4C5" w14:textId="77777777" w:rsidR="00D235FD" w:rsidRPr="00D235FD" w:rsidRDefault="00D235FD" w:rsidP="00D235FD">
      <w:pPr>
        <w:rPr>
          <w:rFonts w:eastAsia="Times New Roman" w:cs="Arial"/>
          <w:i/>
          <w:iCs/>
          <w:color w:val="000000"/>
          <w:szCs w:val="20"/>
          <w:u w:val="single"/>
          <w:lang w:val="en-US"/>
        </w:rPr>
      </w:pPr>
    </w:p>
    <w:p w14:paraId="07A89264" w14:textId="40F4AC6F" w:rsidR="00D235FD" w:rsidRP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val="en-US"/>
        </w:rPr>
        <w:t xml:space="preserve">SLOC1B1 </w:t>
      </w:r>
      <w:r w:rsidRPr="00D235FD">
        <w:rPr>
          <w:rFonts w:eastAsia="Times New Roman" w:cs="Arial"/>
          <w:i/>
          <w:iCs/>
          <w:color w:val="000000"/>
          <w:szCs w:val="20"/>
          <w:u w:val="single"/>
          <w:lang w:eastAsia="bg-BG"/>
        </w:rPr>
        <w:t>полиморфизъм</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Чернодробното захващане на всички </w:t>
      </w:r>
      <w:r w:rsidRPr="00D235FD">
        <w:rPr>
          <w:rFonts w:eastAsia="Times New Roman" w:cs="Arial"/>
          <w:color w:val="000000"/>
          <w:szCs w:val="20"/>
          <w:lang w:val="en-US"/>
        </w:rPr>
        <w:t>HMG</w:t>
      </w:r>
      <w:r w:rsidRPr="00D235FD">
        <w:rPr>
          <w:rFonts w:eastAsia="Times New Roman" w:cs="Arial"/>
          <w:color w:val="000000"/>
          <w:szCs w:val="20"/>
          <w:lang w:eastAsia="bg-BG"/>
        </w:rPr>
        <w:t xml:space="preserve">-СоА-редуктазни инхибитори, включително аторвастатин, се извършва посредством ОАТР1В1 транспортен протеин. При пациенти със </w:t>
      </w:r>
      <w:r w:rsidRPr="00D235FD">
        <w:rPr>
          <w:rFonts w:eastAsia="Times New Roman" w:cs="Arial"/>
          <w:color w:val="000000"/>
          <w:szCs w:val="20"/>
          <w:lang w:val="en-US"/>
        </w:rPr>
        <w:t xml:space="preserve">SLCO1B1 </w:t>
      </w:r>
      <w:r w:rsidRPr="00D235FD">
        <w:rPr>
          <w:rFonts w:eastAsia="Times New Roman" w:cs="Arial"/>
          <w:color w:val="000000"/>
          <w:szCs w:val="20"/>
          <w:lang w:eastAsia="bg-BG"/>
        </w:rPr>
        <w:t xml:space="preserve">полиморфизъм има риск от повишена експозиция на аторвастатин, което може да доведе до повишен риск от рабдомиолиза (вж. точка 4.4). Полиморфизмът при гена, кодиращ ОАТР1В1 </w:t>
      </w:r>
      <w:r w:rsidRPr="00D235FD">
        <w:rPr>
          <w:rFonts w:eastAsia="Times New Roman" w:cs="Arial"/>
          <w:color w:val="000000"/>
          <w:szCs w:val="20"/>
          <w:lang w:val="en-US"/>
        </w:rPr>
        <w:t xml:space="preserve">(SLCO1B1 </w:t>
      </w:r>
      <w:r w:rsidRPr="00D235FD">
        <w:rPr>
          <w:rFonts w:eastAsia="Times New Roman" w:cs="Arial"/>
          <w:color w:val="000000"/>
          <w:szCs w:val="20"/>
          <w:lang w:eastAsia="bg-BG"/>
        </w:rPr>
        <w:t xml:space="preserve">с.521СС), е свързан с 2,4 пъти по- висока експозиция на аторвастатин </w:t>
      </w:r>
      <w:r w:rsidRPr="00D235FD">
        <w:rPr>
          <w:rFonts w:eastAsia="Times New Roman" w:cs="Arial"/>
          <w:color w:val="000000"/>
          <w:szCs w:val="20"/>
          <w:lang w:val="en-US"/>
        </w:rPr>
        <w:t xml:space="preserve">(AUC) </w:t>
      </w:r>
      <w:r w:rsidRPr="00D235FD">
        <w:rPr>
          <w:rFonts w:eastAsia="Times New Roman" w:cs="Arial"/>
          <w:color w:val="000000"/>
          <w:szCs w:val="20"/>
          <w:lang w:eastAsia="bg-BG"/>
        </w:rPr>
        <w:t>в сравнение с индивиди без този генотипен вариант (с.521ТТ). При тези пациенти е възможно също генетично да е нарушено чернодробното захващане на аторвастатин. Възможните последствия върху ефикасността са неизвестни.</w:t>
      </w:r>
    </w:p>
    <w:p w14:paraId="0587E356" w14:textId="77777777" w:rsidR="00D235FD" w:rsidRPr="00D235FD" w:rsidRDefault="00D235FD" w:rsidP="00D235FD">
      <w:pPr>
        <w:rPr>
          <w:rFonts w:eastAsia="Times New Roman" w:cs="Arial"/>
          <w:color w:val="000000"/>
          <w:szCs w:val="20"/>
          <w:lang w:eastAsia="bg-BG"/>
        </w:rPr>
      </w:pPr>
    </w:p>
    <w:p w14:paraId="648E39DA" w14:textId="0FA6B63B" w:rsidR="00CF77F7" w:rsidRDefault="002C50EE" w:rsidP="004A448E">
      <w:pPr>
        <w:pStyle w:val="Heading2"/>
      </w:pPr>
      <w:r>
        <w:t>5.3. Предклинични данни за безопасност</w:t>
      </w:r>
    </w:p>
    <w:p w14:paraId="09A9BB32" w14:textId="4F7F24C3" w:rsidR="00D235FD" w:rsidRDefault="00D235FD" w:rsidP="00D235FD"/>
    <w:p w14:paraId="43F40E84"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не е показал мутагенен или кластогенен потенциал в батерия от 4 </w:t>
      </w:r>
      <w:r w:rsidRPr="00D235FD">
        <w:rPr>
          <w:rFonts w:eastAsia="Times New Roman" w:cs="Arial"/>
          <w:i/>
          <w:iCs/>
          <w:color w:val="000000"/>
          <w:szCs w:val="20"/>
          <w:lang w:val="en-US"/>
        </w:rPr>
        <w:t xml:space="preserve">in vitro </w:t>
      </w:r>
      <w:r w:rsidRPr="00D235FD">
        <w:rPr>
          <w:rFonts w:eastAsia="Times New Roman" w:cs="Arial"/>
          <w:color w:val="000000"/>
          <w:szCs w:val="20"/>
          <w:lang w:eastAsia="bg-BG"/>
        </w:rPr>
        <w:t xml:space="preserve">теста и в един анализ </w:t>
      </w:r>
      <w:r w:rsidRPr="00D235FD">
        <w:rPr>
          <w:rFonts w:eastAsia="Times New Roman" w:cs="Arial"/>
          <w:i/>
          <w:iCs/>
          <w:color w:val="000000"/>
          <w:szCs w:val="20"/>
          <w:lang w:val="en-US"/>
        </w:rPr>
        <w:t>in vivo.</w:t>
      </w:r>
      <w:r w:rsidRPr="00D235FD">
        <w:rPr>
          <w:rFonts w:eastAsia="Times New Roman" w:cs="Arial"/>
          <w:color w:val="000000"/>
          <w:szCs w:val="20"/>
          <w:lang w:val="en-US"/>
        </w:rPr>
        <w:t xml:space="preserve"> </w:t>
      </w:r>
      <w:r w:rsidRPr="00D235FD">
        <w:rPr>
          <w:rFonts w:eastAsia="Times New Roman" w:cs="Arial"/>
          <w:color w:val="000000"/>
          <w:szCs w:val="20"/>
          <w:lang w:eastAsia="bg-BG"/>
        </w:rPr>
        <w:t xml:space="preserve">Аторвастатин не е канцерогенен за плъхове, но при прилагане на високи дози при мишки (довели до 6-11 пъти по-високи стойности на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(0 до 24 часа) в сравнение с тези при хора, приемали най-високата препоръчителна доза) са се появили случаи на хепатоцелударен аденом при мъжките и хепатоцелуларен карцином при женските животни.</w:t>
      </w:r>
    </w:p>
    <w:p w14:paraId="0B4BC4B1" w14:textId="77777777" w:rsidR="00D235FD" w:rsidRPr="00D235FD" w:rsidRDefault="00D235FD" w:rsidP="00D235FD">
      <w:pPr>
        <w:rPr>
          <w:rFonts w:eastAsia="Times New Roman" w:cs="Arial"/>
          <w:color w:val="000000"/>
          <w:szCs w:val="20"/>
          <w:lang w:eastAsia="bg-BG"/>
        </w:rPr>
      </w:pPr>
    </w:p>
    <w:p w14:paraId="5BB21E23" w14:textId="74C57EDB" w:rsidR="00D235FD" w:rsidRPr="00D235FD" w:rsidRDefault="00D235FD" w:rsidP="00D235FD">
      <w:pPr>
        <w:rPr>
          <w:rFonts w:eastAsia="Times New Roman" w:cs="Arial"/>
          <w:color w:val="000000"/>
          <w:szCs w:val="20"/>
          <w:lang w:eastAsia="bg-BG"/>
        </w:rPr>
      </w:pPr>
      <w:r w:rsidRPr="00D235FD">
        <w:rPr>
          <w:rFonts w:eastAsia="Times New Roman" w:cs="Arial"/>
          <w:color w:val="000000"/>
          <w:szCs w:val="20"/>
          <w:lang w:eastAsia="bg-BG"/>
        </w:rPr>
        <w:t xml:space="preserve">Има данни от проучвания при животни, че </w:t>
      </w:r>
      <w:r w:rsidRPr="00D235FD">
        <w:rPr>
          <w:rFonts w:eastAsia="Times New Roman" w:cs="Arial"/>
          <w:color w:val="000000"/>
          <w:szCs w:val="20"/>
          <w:lang w:val="en-US"/>
        </w:rPr>
        <w:t>HMG</w:t>
      </w:r>
      <w:r w:rsidRPr="00D235FD">
        <w:rPr>
          <w:rFonts w:eastAsia="Times New Roman" w:cs="Arial"/>
          <w:color w:val="000000"/>
          <w:szCs w:val="2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наблюдавана фетална токсичност. Развитието на поколението при плъхове е забавено и постнаталното оцеляване е намалено при експозиция на майката на високи дози аторвастатин. При плъхове има доказателство за преминаване през плацентата. При плъхове плазмените концентрации на аторвастатин са подобни на тези в млякото. Не е известно дали аторвастатин или неговите метаболити се екскретират в кърмата.</w:t>
      </w:r>
    </w:p>
    <w:p w14:paraId="57A09F7A" w14:textId="77777777" w:rsidR="00D235FD" w:rsidRPr="00D235FD" w:rsidRDefault="00D235FD" w:rsidP="00D235FD"/>
    <w:p w14:paraId="6A7820AB" w14:textId="446C42A2" w:rsidR="008A6AF2" w:rsidRDefault="002C50EE" w:rsidP="00395555">
      <w:pPr>
        <w:pStyle w:val="Heading1"/>
      </w:pPr>
      <w:r>
        <w:t>7. ПРИТЕЖАТЕЛ НА РАЗРЕШЕНИЕТО ЗА УПОТРЕБА</w:t>
      </w:r>
    </w:p>
    <w:p w14:paraId="08452004" w14:textId="5EE9E0CA" w:rsidR="00D235FD" w:rsidRDefault="00D235FD" w:rsidP="00D235FD"/>
    <w:p w14:paraId="2A039745" w14:textId="77777777" w:rsidR="00D235FD" w:rsidRPr="00D235FD" w:rsidRDefault="00D235FD" w:rsidP="00D235FD">
      <w:pPr>
        <w:spacing w:line="240" w:lineRule="auto"/>
        <w:rPr>
          <w:rFonts w:eastAsia="Times New Roman" w:cs="Arial"/>
          <w:lang w:val="en-US" w:eastAsia="bg-BG"/>
        </w:rPr>
      </w:pPr>
      <w:r w:rsidRPr="00D235FD">
        <w:rPr>
          <w:rFonts w:eastAsia="Times New Roman" w:cs="Arial"/>
          <w:color w:val="000000"/>
          <w:lang w:val="en-US"/>
        </w:rPr>
        <w:t xml:space="preserve">ALKALOID-INT </w:t>
      </w:r>
      <w:proofErr w:type="spellStart"/>
      <w:r w:rsidRPr="00D235FD">
        <w:rPr>
          <w:rFonts w:eastAsia="Times New Roman" w:cs="Arial"/>
          <w:color w:val="000000"/>
          <w:lang w:val="en-US"/>
        </w:rPr>
        <w:t>d.o.o</w:t>
      </w:r>
      <w:proofErr w:type="spellEnd"/>
      <w:r w:rsidRPr="00D235FD">
        <w:rPr>
          <w:rFonts w:eastAsia="Times New Roman" w:cs="Arial"/>
          <w:color w:val="000000"/>
          <w:lang w:val="en-US"/>
        </w:rPr>
        <w:t>.</w:t>
      </w:r>
    </w:p>
    <w:p w14:paraId="66CEF86C" w14:textId="77777777" w:rsidR="00D235FD" w:rsidRPr="00D235FD" w:rsidRDefault="00D235FD" w:rsidP="00D235FD">
      <w:pPr>
        <w:spacing w:line="240" w:lineRule="auto"/>
        <w:rPr>
          <w:rFonts w:eastAsia="Times New Roman" w:cs="Arial"/>
          <w:lang w:val="en-US" w:eastAsia="bg-BG"/>
        </w:rPr>
      </w:pPr>
      <w:proofErr w:type="spellStart"/>
      <w:r w:rsidRPr="00D235FD">
        <w:rPr>
          <w:rFonts w:eastAsia="Times New Roman" w:cs="Arial"/>
          <w:color w:val="000000"/>
          <w:lang w:val="en-US"/>
        </w:rPr>
        <w:t>Slandrova</w:t>
      </w:r>
      <w:proofErr w:type="spellEnd"/>
      <w:r w:rsidRPr="00D235FD">
        <w:rPr>
          <w:rFonts w:eastAsia="Times New Roman" w:cs="Arial"/>
          <w:color w:val="000000"/>
          <w:lang w:val="en-US"/>
        </w:rPr>
        <w:t xml:space="preserve"> </w:t>
      </w:r>
      <w:proofErr w:type="spellStart"/>
      <w:r w:rsidRPr="00D235FD">
        <w:rPr>
          <w:rFonts w:eastAsia="Times New Roman" w:cs="Arial"/>
          <w:color w:val="000000"/>
          <w:lang w:val="en-US"/>
        </w:rPr>
        <w:t>ulica</w:t>
      </w:r>
      <w:proofErr w:type="spellEnd"/>
      <w:r w:rsidRPr="00D235FD">
        <w:rPr>
          <w:rFonts w:eastAsia="Times New Roman" w:cs="Arial"/>
          <w:color w:val="000000"/>
          <w:lang w:val="en-US"/>
        </w:rPr>
        <w:t xml:space="preserve"> </w:t>
      </w:r>
      <w:r w:rsidRPr="00D235FD">
        <w:rPr>
          <w:rFonts w:eastAsia="Times New Roman" w:cs="Arial"/>
          <w:color w:val="000000"/>
          <w:lang w:eastAsia="bg-BG"/>
        </w:rPr>
        <w:t>4</w:t>
      </w:r>
    </w:p>
    <w:p w14:paraId="4D618D15" w14:textId="2D1D3694" w:rsidR="00D235FD" w:rsidRPr="00D235FD" w:rsidRDefault="00D235FD" w:rsidP="00D235FD">
      <w:pPr>
        <w:rPr>
          <w:rFonts w:cs="Arial"/>
        </w:rPr>
      </w:pPr>
      <w:r w:rsidRPr="00D235FD">
        <w:rPr>
          <w:rFonts w:eastAsia="Times New Roman" w:cs="Arial"/>
          <w:color w:val="000000"/>
          <w:lang w:eastAsia="bg-BG"/>
        </w:rPr>
        <w:t xml:space="preserve">1231 </w:t>
      </w:r>
      <w:r w:rsidRPr="00D235FD">
        <w:rPr>
          <w:rFonts w:eastAsia="Times New Roman" w:cs="Arial"/>
          <w:color w:val="000000"/>
          <w:lang w:val="en-US"/>
        </w:rPr>
        <w:t xml:space="preserve">Ljubljana </w:t>
      </w:r>
      <w:r w:rsidRPr="00D235FD">
        <w:rPr>
          <w:rFonts w:eastAsia="Times New Roman" w:cs="Arial"/>
          <w:color w:val="000000"/>
          <w:lang w:eastAsia="bg-BG"/>
        </w:rPr>
        <w:t>- Črnuče Словения</w:t>
      </w:r>
    </w:p>
    <w:p w14:paraId="7BA1BA64" w14:textId="54C3A275" w:rsidR="00CF77F7" w:rsidRDefault="002C50EE" w:rsidP="004A448E">
      <w:pPr>
        <w:pStyle w:val="Heading1"/>
      </w:pPr>
      <w:r>
        <w:t>8. НОМЕР НА РАЗРЕШЕНИЕТО ЗА УПОТРЕБА</w:t>
      </w:r>
    </w:p>
    <w:p w14:paraId="703C4269" w14:textId="52CCA32A" w:rsidR="00D235FD" w:rsidRDefault="00D235FD" w:rsidP="00D235FD"/>
    <w:p w14:paraId="7A983FE6"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10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20130018</w:t>
      </w:r>
    </w:p>
    <w:p w14:paraId="3DD843FB"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20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20130019</w:t>
      </w:r>
    </w:p>
    <w:p w14:paraId="2CB4BD8A"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40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20130020</w:t>
      </w:r>
    </w:p>
    <w:p w14:paraId="0F9C6731" w14:textId="2CD82A4E" w:rsidR="00D235FD" w:rsidRPr="00D235FD" w:rsidRDefault="00D235FD" w:rsidP="00D235FD">
      <w:pPr>
        <w:rPr>
          <w:rFonts w:cs="Arial"/>
        </w:rPr>
      </w:pPr>
      <w:r w:rsidRPr="00D235FD">
        <w:rPr>
          <w:rFonts w:eastAsia="Times New Roman" w:cs="Arial"/>
          <w:color w:val="000000"/>
          <w:lang w:eastAsia="bg-BG"/>
        </w:rPr>
        <w:t xml:space="preserve">КАЛИПРА 80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20130021</w:t>
      </w:r>
    </w:p>
    <w:p w14:paraId="2CCB5832" w14:textId="7BDBBDA3" w:rsidR="007C605B" w:rsidRDefault="002C50EE" w:rsidP="007C605B">
      <w:pPr>
        <w:pStyle w:val="Heading1"/>
      </w:pPr>
      <w:r>
        <w:lastRenderedPageBreak/>
        <w:t>9. ДАТА НА ПЪРВО РАЗРЕШАВАНЕ/ПОДНОВЯВАНЕ НА РАЗРЕШЕНИЕТО ЗА УПОТРЕБА</w:t>
      </w:r>
    </w:p>
    <w:p w14:paraId="3807051C" w14:textId="005BD66C" w:rsidR="00D235FD" w:rsidRDefault="00D235FD" w:rsidP="00D235FD"/>
    <w:p w14:paraId="5E3D9924" w14:textId="717EB67B" w:rsidR="00D235FD" w:rsidRPr="00D235FD" w:rsidRDefault="00D235FD" w:rsidP="00D235FD">
      <w:pPr>
        <w:rPr>
          <w:rFonts w:cs="Arial"/>
        </w:rPr>
      </w:pPr>
      <w:r w:rsidRPr="00D235FD">
        <w:rPr>
          <w:rFonts w:cs="Arial"/>
        </w:rPr>
        <w:t>07 Януари 2013</w:t>
      </w:r>
    </w:p>
    <w:p w14:paraId="0E9D0119" w14:textId="36852DAB" w:rsidR="002C50EE" w:rsidRDefault="002C50EE" w:rsidP="002C50EE">
      <w:pPr>
        <w:pStyle w:val="Heading1"/>
      </w:pPr>
      <w:r>
        <w:t>10. ДАТА НА АКТУАЛИЗИРАНЕ НА ТЕКСТА</w:t>
      </w:r>
    </w:p>
    <w:p w14:paraId="2E35BF68" w14:textId="5EFCBACB" w:rsidR="00D235FD" w:rsidRDefault="00D235FD" w:rsidP="00D235FD"/>
    <w:p w14:paraId="2096D890" w14:textId="714EB0F1" w:rsidR="00D235FD" w:rsidRPr="00D235FD" w:rsidRDefault="00D235FD" w:rsidP="00D235FD">
      <w:pPr>
        <w:rPr>
          <w:rFonts w:cs="Arial"/>
        </w:rPr>
      </w:pPr>
      <w:r w:rsidRPr="00D235FD">
        <w:rPr>
          <w:rFonts w:cs="Arial"/>
        </w:rPr>
        <w:t>07/2020</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7662E5A"/>
    <w:multiLevelType w:val="hybridMultilevel"/>
    <w:tmpl w:val="036E0DE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3"/>
  </w:num>
  <w:num w:numId="4">
    <w:abstractNumId w:val="3"/>
  </w:num>
  <w:num w:numId="5">
    <w:abstractNumId w:val="1"/>
  </w:num>
  <w:num w:numId="6">
    <w:abstractNumId w:val="16"/>
  </w:num>
  <w:num w:numId="7">
    <w:abstractNumId w:val="10"/>
  </w:num>
  <w:num w:numId="8">
    <w:abstractNumId w:val="15"/>
  </w:num>
  <w:num w:numId="9">
    <w:abstractNumId w:val="2"/>
  </w:num>
  <w:num w:numId="10">
    <w:abstractNumId w:val="4"/>
  </w:num>
  <w:num w:numId="11">
    <w:abstractNumId w:val="30"/>
  </w:num>
  <w:num w:numId="12">
    <w:abstractNumId w:val="14"/>
  </w:num>
  <w:num w:numId="13">
    <w:abstractNumId w:val="19"/>
  </w:num>
  <w:num w:numId="14">
    <w:abstractNumId w:val="12"/>
  </w:num>
  <w:num w:numId="15">
    <w:abstractNumId w:val="29"/>
  </w:num>
  <w:num w:numId="16">
    <w:abstractNumId w:val="9"/>
  </w:num>
  <w:num w:numId="17">
    <w:abstractNumId w:val="24"/>
  </w:num>
  <w:num w:numId="18">
    <w:abstractNumId w:val="7"/>
  </w:num>
  <w:num w:numId="19">
    <w:abstractNumId w:val="26"/>
  </w:num>
  <w:num w:numId="20">
    <w:abstractNumId w:val="23"/>
  </w:num>
  <w:num w:numId="21">
    <w:abstractNumId w:val="17"/>
  </w:num>
  <w:num w:numId="22">
    <w:abstractNumId w:val="25"/>
  </w:num>
  <w:num w:numId="23">
    <w:abstractNumId w:val="18"/>
  </w:num>
  <w:num w:numId="24">
    <w:abstractNumId w:val="8"/>
  </w:num>
  <w:num w:numId="25">
    <w:abstractNumId w:val="22"/>
  </w:num>
  <w:num w:numId="26">
    <w:abstractNumId w:val="21"/>
  </w:num>
  <w:num w:numId="27">
    <w:abstractNumId w:val="31"/>
  </w:num>
  <w:num w:numId="28">
    <w:abstractNumId w:val="6"/>
  </w:num>
  <w:num w:numId="29">
    <w:abstractNumId w:val="20"/>
  </w:num>
  <w:num w:numId="30">
    <w:abstractNumId w:val="34"/>
  </w:num>
  <w:num w:numId="31">
    <w:abstractNumId w:val="5"/>
  </w:num>
  <w:num w:numId="32">
    <w:abstractNumId w:val="33"/>
  </w:num>
  <w:num w:numId="33">
    <w:abstractNumId w:val="28"/>
  </w:num>
  <w:num w:numId="34">
    <w:abstractNumId w:val="3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152B4"/>
    <w:rsid w:val="002B3C38"/>
    <w:rsid w:val="002B4DBB"/>
    <w:rsid w:val="002C50EE"/>
    <w:rsid w:val="00324FFD"/>
    <w:rsid w:val="00340A0A"/>
    <w:rsid w:val="003765DC"/>
    <w:rsid w:val="00395555"/>
    <w:rsid w:val="003C4E52"/>
    <w:rsid w:val="003E3126"/>
    <w:rsid w:val="00426E5F"/>
    <w:rsid w:val="00442332"/>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A4CA4"/>
    <w:rsid w:val="00CF77F7"/>
    <w:rsid w:val="00D235FD"/>
    <w:rsid w:val="00D36F36"/>
    <w:rsid w:val="00D5261D"/>
    <w:rsid w:val="00D86297"/>
    <w:rsid w:val="00DD466D"/>
    <w:rsid w:val="00EB6364"/>
    <w:rsid w:val="00F37B64"/>
    <w:rsid w:val="00F502CE"/>
    <w:rsid w:val="00FD400B"/>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9634</Words>
  <Characters>54920</Characters>
  <Application>Microsoft Office Word</Application>
  <DocSecurity>0</DocSecurity>
  <Lines>457</Lines>
  <Paragraphs>128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2022-05-25T17:18:00Z</dcterms:created>
  <dcterms:modified xsi:type="dcterms:W3CDTF">2022-05-25T17:18:00Z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