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7C4C656B" w:rsidR="00C40420" w:rsidRDefault="00DD466D" w:rsidP="004A448E">
      <w:pPr>
        <w:pStyle w:val="Heading1"/>
      </w:pPr>
      <w:r>
        <w:t>1.ИМЕ НА ЛЕКАРСТВЕНИЯ ПРОДУКТ</w:t>
      </w:r>
    </w:p>
    <w:p w14:paraId="19DBA1A6" w14:textId="19D526D0" w:rsidR="005873C2" w:rsidRDefault="005873C2" w:rsidP="005873C2"/>
    <w:p w14:paraId="69CCC417" w14:textId="77777777" w:rsidR="005873C2" w:rsidRPr="005873C2" w:rsidRDefault="005873C2" w:rsidP="005873C2">
      <w:pPr>
        <w:spacing w:line="240" w:lineRule="auto"/>
        <w:rPr>
          <w:rFonts w:eastAsia="Times New Roman" w:cs="Arial"/>
          <w:sz w:val="28"/>
          <w:szCs w:val="24"/>
          <w:lang w:val="en-US" w:eastAsia="bg-BG"/>
        </w:rPr>
      </w:pPr>
      <w:r w:rsidRPr="005873C2">
        <w:rPr>
          <w:rFonts w:eastAsia="Times New Roman" w:cs="Arial"/>
          <w:color w:val="000000"/>
          <w:szCs w:val="20"/>
          <w:lang w:eastAsia="bg-BG"/>
        </w:rPr>
        <w:t xml:space="preserve">КАЛУТИД 50 </w:t>
      </w:r>
      <w:r w:rsidRPr="005873C2">
        <w:rPr>
          <w:rFonts w:eastAsia="Times New Roman" w:cs="Arial"/>
          <w:color w:val="000000"/>
          <w:szCs w:val="20"/>
          <w:lang w:val="en-US"/>
        </w:rPr>
        <w:t xml:space="preserve">mg </w:t>
      </w:r>
      <w:r w:rsidRPr="005873C2">
        <w:rPr>
          <w:rFonts w:eastAsia="Times New Roman" w:cs="Arial"/>
          <w:color w:val="000000"/>
          <w:szCs w:val="20"/>
          <w:lang w:eastAsia="bg-BG"/>
        </w:rPr>
        <w:t>филмирани таблетки</w:t>
      </w:r>
    </w:p>
    <w:p w14:paraId="213EB44F" w14:textId="6F8B87D6" w:rsidR="005873C2" w:rsidRPr="005873C2" w:rsidRDefault="005873C2" w:rsidP="005873C2">
      <w:pPr>
        <w:rPr>
          <w:rFonts w:cs="Arial"/>
          <w:sz w:val="24"/>
        </w:rPr>
      </w:pPr>
      <w:r w:rsidRPr="005873C2">
        <w:rPr>
          <w:rFonts w:eastAsia="Times New Roman" w:cs="Arial"/>
          <w:color w:val="000000"/>
          <w:szCs w:val="20"/>
          <w:lang w:val="en-US"/>
        </w:rPr>
        <w:t xml:space="preserve">CALUTIDE </w:t>
      </w:r>
      <w:r w:rsidRPr="005873C2">
        <w:rPr>
          <w:rFonts w:eastAsia="Times New Roman" w:cs="Arial"/>
          <w:color w:val="000000"/>
          <w:szCs w:val="20"/>
          <w:lang w:eastAsia="bg-BG"/>
        </w:rPr>
        <w:t xml:space="preserve">50 </w:t>
      </w:r>
      <w:r w:rsidRPr="005873C2">
        <w:rPr>
          <w:rFonts w:eastAsia="Times New Roman" w:cs="Arial"/>
          <w:color w:val="000000"/>
          <w:szCs w:val="20"/>
          <w:lang w:val="en-US"/>
        </w:rPr>
        <w:t>mg film-coated tablets</w:t>
      </w:r>
    </w:p>
    <w:p w14:paraId="6920A680" w14:textId="56E702A5" w:rsidR="00C40420" w:rsidRDefault="00DD466D" w:rsidP="004A448E">
      <w:pPr>
        <w:pStyle w:val="Heading1"/>
      </w:pPr>
      <w:r>
        <w:t>2. КАЧЕСТВЕН И КОЛИЧЕСТВЕН СЪСТАВ</w:t>
      </w:r>
    </w:p>
    <w:p w14:paraId="775D4EFA" w14:textId="51ABC142" w:rsidR="005873C2" w:rsidRDefault="005873C2" w:rsidP="005873C2"/>
    <w:p w14:paraId="37D39B64"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 xml:space="preserve">Всяка таблетка съдържа бикалутамид </w:t>
      </w:r>
      <w:r w:rsidRPr="005873C2">
        <w:rPr>
          <w:rFonts w:eastAsia="Times New Roman" w:cs="Arial"/>
          <w:i/>
          <w:iCs/>
          <w:color w:val="000000"/>
          <w:szCs w:val="20"/>
          <w:lang w:val="en-US"/>
        </w:rPr>
        <w:t>(</w:t>
      </w:r>
      <w:proofErr w:type="spellStart"/>
      <w:r w:rsidRPr="005873C2">
        <w:rPr>
          <w:rFonts w:eastAsia="Times New Roman" w:cs="Arial"/>
          <w:i/>
          <w:iCs/>
          <w:color w:val="000000"/>
          <w:szCs w:val="20"/>
          <w:lang w:val="en-US"/>
        </w:rPr>
        <w:t>bicalutamide</w:t>
      </w:r>
      <w:proofErr w:type="spellEnd"/>
      <w:r w:rsidRPr="005873C2">
        <w:rPr>
          <w:rFonts w:eastAsia="Times New Roman" w:cs="Arial"/>
          <w:i/>
          <w:iCs/>
          <w:color w:val="000000"/>
          <w:szCs w:val="20"/>
          <w:lang w:val="en-US"/>
        </w:rPr>
        <w:t>)</w:t>
      </w:r>
      <w:r w:rsidRPr="005873C2">
        <w:rPr>
          <w:rFonts w:eastAsia="Times New Roman" w:cs="Arial"/>
          <w:color w:val="000000"/>
          <w:szCs w:val="20"/>
          <w:lang w:val="en-US"/>
        </w:rPr>
        <w:t xml:space="preserve"> </w:t>
      </w:r>
      <w:r w:rsidRPr="005873C2">
        <w:rPr>
          <w:rFonts w:eastAsia="Times New Roman" w:cs="Arial"/>
          <w:color w:val="000000"/>
          <w:szCs w:val="20"/>
          <w:lang w:eastAsia="bg-BG"/>
        </w:rPr>
        <w:t xml:space="preserve">50 </w:t>
      </w:r>
      <w:r w:rsidRPr="005873C2">
        <w:rPr>
          <w:rFonts w:eastAsia="Times New Roman" w:cs="Arial"/>
          <w:color w:val="000000"/>
          <w:szCs w:val="20"/>
          <w:lang w:val="en-US"/>
        </w:rPr>
        <w:t>mg.</w:t>
      </w:r>
    </w:p>
    <w:p w14:paraId="1D9514A6" w14:textId="77777777" w:rsidR="005873C2" w:rsidRPr="005873C2" w:rsidRDefault="005873C2" w:rsidP="005873C2">
      <w:pPr>
        <w:spacing w:line="240" w:lineRule="auto"/>
        <w:rPr>
          <w:rFonts w:eastAsia="Times New Roman" w:cs="Arial"/>
          <w:color w:val="000000"/>
          <w:szCs w:val="20"/>
          <w:lang w:eastAsia="bg-BG"/>
        </w:rPr>
      </w:pPr>
    </w:p>
    <w:p w14:paraId="4BFD0A44" w14:textId="515DFBE3"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Помощни вещества с известно действие: лактоза монохидрат и др.</w:t>
      </w:r>
    </w:p>
    <w:p w14:paraId="4521E54E" w14:textId="457FC2B9" w:rsidR="005873C2" w:rsidRPr="005873C2" w:rsidRDefault="005873C2" w:rsidP="005873C2">
      <w:pPr>
        <w:rPr>
          <w:rFonts w:cs="Arial"/>
          <w:sz w:val="24"/>
        </w:rPr>
      </w:pPr>
      <w:r w:rsidRPr="005873C2">
        <w:rPr>
          <w:rFonts w:eastAsia="Times New Roman" w:cs="Arial"/>
          <w:color w:val="000000"/>
          <w:szCs w:val="20"/>
          <w:lang w:eastAsia="bg-BG"/>
        </w:rPr>
        <w:t>За пълния списък на помощните вещества, вж. точка 6.1.</w:t>
      </w:r>
    </w:p>
    <w:p w14:paraId="614984C4" w14:textId="7B45EE55" w:rsidR="008A6AF2" w:rsidRDefault="00DD466D" w:rsidP="002C50EE">
      <w:pPr>
        <w:pStyle w:val="Heading1"/>
      </w:pPr>
      <w:r>
        <w:t>3. ЛЕКАРСТВЕНА ФОРМА</w:t>
      </w:r>
    </w:p>
    <w:p w14:paraId="44D51E67" w14:textId="3EFC2212" w:rsidR="005873C2" w:rsidRDefault="005873C2" w:rsidP="005873C2"/>
    <w:p w14:paraId="0031157D"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Филмирана таблетка.</w:t>
      </w:r>
    </w:p>
    <w:p w14:paraId="69B3DF68" w14:textId="76120744" w:rsidR="005873C2" w:rsidRPr="005873C2" w:rsidRDefault="005873C2" w:rsidP="005873C2">
      <w:pPr>
        <w:rPr>
          <w:rFonts w:cs="Arial"/>
          <w:sz w:val="24"/>
        </w:rPr>
      </w:pPr>
      <w:r w:rsidRPr="005873C2">
        <w:rPr>
          <w:rFonts w:eastAsia="Times New Roman" w:cs="Arial"/>
          <w:color w:val="000000"/>
          <w:szCs w:val="20"/>
          <w:lang w:eastAsia="bg-BG"/>
        </w:rPr>
        <w:t>Бяла до почти бяла, кръгла двойноизпъкнала, филмирана таблетка</w:t>
      </w:r>
    </w:p>
    <w:p w14:paraId="490FC2C4" w14:textId="03ECA2C2" w:rsidR="002C50EE" w:rsidRDefault="002C50EE" w:rsidP="002C50EE">
      <w:pPr>
        <w:pStyle w:val="Heading1"/>
      </w:pPr>
      <w:r>
        <w:t>4. КЛИНИЧНИ ДАННИ</w:t>
      </w:r>
    </w:p>
    <w:p w14:paraId="282CB17D" w14:textId="55A1C70D" w:rsidR="005873C2" w:rsidRDefault="005873C2" w:rsidP="005873C2"/>
    <w:p w14:paraId="3A5E11DE" w14:textId="77777777" w:rsidR="005873C2" w:rsidRPr="005873C2" w:rsidRDefault="005873C2" w:rsidP="005873C2"/>
    <w:p w14:paraId="0C8E6903" w14:textId="45E04AD0" w:rsidR="008134C8" w:rsidRDefault="002C50EE" w:rsidP="004A448E">
      <w:pPr>
        <w:pStyle w:val="Heading2"/>
      </w:pPr>
      <w:r>
        <w:t>4.1. Терапевтични показания</w:t>
      </w:r>
    </w:p>
    <w:p w14:paraId="48A2ED3F" w14:textId="2D746201" w:rsidR="005873C2" w:rsidRDefault="005873C2" w:rsidP="005873C2"/>
    <w:p w14:paraId="64E08B37" w14:textId="0916AA2F" w:rsidR="005873C2" w:rsidRPr="005873C2" w:rsidRDefault="005873C2" w:rsidP="005873C2">
      <w:pPr>
        <w:rPr>
          <w:szCs w:val="20"/>
        </w:rPr>
      </w:pPr>
      <w:r w:rsidRPr="005873C2">
        <w:rPr>
          <w:szCs w:val="20"/>
        </w:rPr>
        <w:t xml:space="preserve">Калутид е показан за лечение на напреднал рак на простатата в комбинация с аналог на </w:t>
      </w:r>
      <w:r w:rsidRPr="005873C2">
        <w:rPr>
          <w:szCs w:val="20"/>
          <w:lang w:val="en-US"/>
        </w:rPr>
        <w:t xml:space="preserve">LHRH </w:t>
      </w:r>
      <w:r w:rsidRPr="005873C2">
        <w:rPr>
          <w:szCs w:val="20"/>
        </w:rPr>
        <w:t>или оперативна кастрация.</w:t>
      </w:r>
    </w:p>
    <w:p w14:paraId="458B7B61" w14:textId="77777777" w:rsidR="005873C2" w:rsidRPr="005873C2" w:rsidRDefault="005873C2" w:rsidP="005873C2"/>
    <w:p w14:paraId="30BE2C7B" w14:textId="13091BD2" w:rsidR="008134C8" w:rsidRDefault="002C50EE" w:rsidP="004A448E">
      <w:pPr>
        <w:pStyle w:val="Heading2"/>
      </w:pPr>
      <w:r>
        <w:t>4.2. Дозировка и начин на приложение</w:t>
      </w:r>
    </w:p>
    <w:p w14:paraId="5F7D0A20" w14:textId="5AFA485D" w:rsidR="005873C2" w:rsidRDefault="005873C2" w:rsidP="005873C2"/>
    <w:p w14:paraId="3FA3BEC8"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 xml:space="preserve">Възрастни мъже, включително индивиди в старческа възраст: една таблетка (50 </w:t>
      </w:r>
      <w:r w:rsidRPr="005873C2">
        <w:rPr>
          <w:rFonts w:eastAsia="Times New Roman" w:cs="Arial"/>
          <w:color w:val="000000"/>
          <w:szCs w:val="20"/>
          <w:lang w:val="en-US"/>
        </w:rPr>
        <w:t xml:space="preserve">mg) </w:t>
      </w:r>
      <w:r w:rsidRPr="005873C2">
        <w:rPr>
          <w:rFonts w:eastAsia="Times New Roman" w:cs="Arial"/>
          <w:color w:val="000000"/>
          <w:szCs w:val="20"/>
          <w:lang w:eastAsia="bg-BG"/>
        </w:rPr>
        <w:t>веднъж дневно.</w:t>
      </w:r>
    </w:p>
    <w:p w14:paraId="39988AE4" w14:textId="77777777" w:rsidR="005873C2" w:rsidRPr="005873C2" w:rsidRDefault="005873C2" w:rsidP="005873C2">
      <w:pPr>
        <w:spacing w:line="240" w:lineRule="auto"/>
        <w:rPr>
          <w:rFonts w:eastAsia="Times New Roman" w:cs="Arial"/>
          <w:color w:val="000000"/>
          <w:szCs w:val="20"/>
          <w:lang w:eastAsia="bg-BG"/>
        </w:rPr>
      </w:pPr>
    </w:p>
    <w:p w14:paraId="07DAD1C1" w14:textId="79F1500A"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 xml:space="preserve">Лечението с бикалутамид трябва да започне поне 3 дни преди започването на лечението с аналога на </w:t>
      </w:r>
      <w:r w:rsidRPr="005873C2">
        <w:rPr>
          <w:rFonts w:eastAsia="Times New Roman" w:cs="Arial"/>
          <w:color w:val="000000"/>
          <w:szCs w:val="20"/>
          <w:lang w:val="en-US"/>
        </w:rPr>
        <w:t xml:space="preserve">LHRH </w:t>
      </w:r>
      <w:r w:rsidRPr="005873C2">
        <w:rPr>
          <w:rFonts w:eastAsia="Times New Roman" w:cs="Arial"/>
          <w:color w:val="000000"/>
          <w:szCs w:val="20"/>
          <w:lang w:eastAsia="bg-BG"/>
        </w:rPr>
        <w:t>или по едно и също време с хирургична кастрация.</w:t>
      </w:r>
    </w:p>
    <w:p w14:paraId="4EDC3847" w14:textId="77777777" w:rsidR="005873C2" w:rsidRDefault="005873C2" w:rsidP="005873C2">
      <w:pPr>
        <w:spacing w:line="240" w:lineRule="auto"/>
        <w:rPr>
          <w:rFonts w:eastAsia="Times New Roman" w:cs="Arial"/>
          <w:color w:val="000000"/>
          <w:szCs w:val="20"/>
          <w:lang w:eastAsia="bg-BG"/>
        </w:rPr>
      </w:pPr>
    </w:p>
    <w:p w14:paraId="70AD9D72" w14:textId="79E12F30"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Деца и юноши: бикалутамид не е показан при деца и юноши.</w:t>
      </w:r>
    </w:p>
    <w:p w14:paraId="41540CFC" w14:textId="77777777" w:rsidR="005873C2" w:rsidRPr="005873C2" w:rsidRDefault="005873C2" w:rsidP="005873C2">
      <w:pPr>
        <w:spacing w:line="240" w:lineRule="auto"/>
        <w:rPr>
          <w:rFonts w:eastAsia="Times New Roman" w:cs="Arial"/>
          <w:color w:val="000000"/>
          <w:szCs w:val="20"/>
          <w:lang w:eastAsia="bg-BG"/>
        </w:rPr>
      </w:pPr>
    </w:p>
    <w:p w14:paraId="4F7E116E" w14:textId="2C151F0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 xml:space="preserve">Бъбречно увреждане: Не е необходимо коригиране на дозата при пациенти с бъбречно увреждане. Липсва опит с употребата на бикалутамид при пациенти с тежко бъбречно увреждане (креатининов клирънс &lt; 30 </w:t>
      </w:r>
      <w:r w:rsidRPr="005873C2">
        <w:rPr>
          <w:rFonts w:eastAsia="Times New Roman" w:cs="Arial"/>
          <w:color w:val="000000"/>
          <w:szCs w:val="20"/>
          <w:lang w:val="en-US"/>
        </w:rPr>
        <w:t xml:space="preserve">ml/min) </w:t>
      </w:r>
      <w:r w:rsidRPr="005873C2">
        <w:rPr>
          <w:rFonts w:eastAsia="Times New Roman" w:cs="Arial"/>
          <w:color w:val="000000"/>
          <w:szCs w:val="20"/>
          <w:lang w:eastAsia="bg-BG"/>
        </w:rPr>
        <w:t>(вж. точка 4.4).</w:t>
      </w:r>
    </w:p>
    <w:p w14:paraId="4B55A042" w14:textId="77777777" w:rsidR="005873C2" w:rsidRPr="005873C2" w:rsidRDefault="005873C2" w:rsidP="005873C2">
      <w:pPr>
        <w:rPr>
          <w:rFonts w:eastAsia="Times New Roman" w:cs="Arial"/>
          <w:color w:val="000000"/>
          <w:szCs w:val="20"/>
          <w:lang w:eastAsia="bg-BG"/>
        </w:rPr>
      </w:pPr>
    </w:p>
    <w:p w14:paraId="4EB6F05A" w14:textId="5082F74A" w:rsidR="005873C2" w:rsidRPr="005873C2" w:rsidRDefault="005873C2" w:rsidP="005873C2">
      <w:pPr>
        <w:rPr>
          <w:rFonts w:cs="Arial"/>
          <w:sz w:val="24"/>
        </w:rPr>
      </w:pPr>
      <w:r w:rsidRPr="005873C2">
        <w:rPr>
          <w:rFonts w:eastAsia="Times New Roman" w:cs="Arial"/>
          <w:color w:val="000000"/>
          <w:szCs w:val="20"/>
          <w:lang w:eastAsia="bg-BG"/>
        </w:rPr>
        <w:t>Чернодробно увреждане: Не е необходимо коригиране на дозата при пациенти с леко чернодробно увреждане. При пациенти с умерено до тежко чернодробно увреждане може да се наблюдава повишено натрупване (вж. точка 4.4).</w:t>
      </w:r>
    </w:p>
    <w:p w14:paraId="28C984E8" w14:textId="7167CEBC" w:rsidR="008134C8" w:rsidRDefault="002C50EE" w:rsidP="004A448E">
      <w:pPr>
        <w:pStyle w:val="Heading2"/>
      </w:pPr>
      <w:r>
        <w:lastRenderedPageBreak/>
        <w:t>4.3. Противопоказания</w:t>
      </w:r>
    </w:p>
    <w:p w14:paraId="3673056C" w14:textId="75A3D546" w:rsidR="005873C2" w:rsidRDefault="005873C2" w:rsidP="005873C2"/>
    <w:p w14:paraId="058B3D57"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Свръхчувствителност към бикалутамид или към някое от помощните вещества, изброени в точка 6.1.</w:t>
      </w:r>
    </w:p>
    <w:p w14:paraId="0F97AAF4" w14:textId="77777777" w:rsidR="005873C2" w:rsidRPr="005873C2" w:rsidRDefault="005873C2" w:rsidP="005873C2">
      <w:pPr>
        <w:spacing w:line="240" w:lineRule="auto"/>
        <w:rPr>
          <w:rFonts w:eastAsia="Times New Roman" w:cs="Arial"/>
          <w:color w:val="000000"/>
          <w:szCs w:val="20"/>
          <w:lang w:eastAsia="bg-BG"/>
        </w:rPr>
      </w:pPr>
    </w:p>
    <w:p w14:paraId="49BCEF4C" w14:textId="5EA75C47" w:rsidR="005873C2" w:rsidRPr="005873C2" w:rsidRDefault="005873C2" w:rsidP="005873C2">
      <w:pPr>
        <w:pStyle w:val="ListParagraph"/>
        <w:numPr>
          <w:ilvl w:val="0"/>
          <w:numId w:val="35"/>
        </w:numPr>
        <w:spacing w:line="240" w:lineRule="auto"/>
        <w:rPr>
          <w:rFonts w:eastAsia="Times New Roman" w:cs="Arial"/>
          <w:sz w:val="28"/>
          <w:szCs w:val="24"/>
          <w:lang w:eastAsia="bg-BG"/>
        </w:rPr>
      </w:pPr>
      <w:r w:rsidRPr="005873C2">
        <w:rPr>
          <w:rFonts w:eastAsia="Times New Roman" w:cs="Arial"/>
          <w:color w:val="000000"/>
          <w:szCs w:val="20"/>
          <w:lang w:eastAsia="bg-BG"/>
        </w:rPr>
        <w:t>Употребата при жени, деца и юноши е противопоказана (вижте точка 4.6).</w:t>
      </w:r>
    </w:p>
    <w:p w14:paraId="5A9C87F0" w14:textId="77777777" w:rsidR="005873C2" w:rsidRPr="005873C2" w:rsidRDefault="005873C2" w:rsidP="005873C2">
      <w:pPr>
        <w:rPr>
          <w:rFonts w:eastAsia="Times New Roman" w:cs="Arial"/>
          <w:color w:val="000000"/>
          <w:szCs w:val="20"/>
          <w:lang w:eastAsia="bg-BG"/>
        </w:rPr>
      </w:pPr>
    </w:p>
    <w:p w14:paraId="2939E4DA" w14:textId="35C0676C" w:rsidR="005873C2" w:rsidRPr="005873C2" w:rsidRDefault="005873C2" w:rsidP="005873C2">
      <w:pPr>
        <w:pStyle w:val="ListParagraph"/>
        <w:numPr>
          <w:ilvl w:val="0"/>
          <w:numId w:val="35"/>
        </w:numPr>
        <w:rPr>
          <w:rFonts w:eastAsia="Times New Roman" w:cs="Arial"/>
          <w:color w:val="000000"/>
          <w:szCs w:val="20"/>
          <w:lang w:eastAsia="bg-BG"/>
        </w:rPr>
      </w:pPr>
      <w:r w:rsidRPr="005873C2">
        <w:rPr>
          <w:rFonts w:eastAsia="Times New Roman" w:cs="Arial"/>
          <w:color w:val="000000"/>
          <w:szCs w:val="20"/>
          <w:lang w:eastAsia="bg-BG"/>
        </w:rPr>
        <w:t>Съвместното приложение на терфенадин, астемизол или цизаприд</w:t>
      </w:r>
      <w:r w:rsidRPr="005873C2">
        <w:rPr>
          <w:rFonts w:eastAsia="Times New Roman" w:cs="Arial"/>
          <w:color w:val="000000"/>
          <w:szCs w:val="20"/>
          <w:lang w:val="en-US"/>
        </w:rPr>
        <w:t xml:space="preserve"> </w:t>
      </w:r>
      <w:r w:rsidRPr="005873C2">
        <w:rPr>
          <w:rFonts w:eastAsia="Times New Roman" w:cs="Arial"/>
          <w:color w:val="000000"/>
          <w:szCs w:val="20"/>
          <w:lang w:eastAsia="bg-BG"/>
        </w:rPr>
        <w:t>с бикалутамид противопоказано.</w:t>
      </w:r>
    </w:p>
    <w:p w14:paraId="29779DAC" w14:textId="77777777" w:rsidR="005873C2" w:rsidRPr="005873C2" w:rsidRDefault="005873C2" w:rsidP="005873C2"/>
    <w:p w14:paraId="212F509C" w14:textId="160520A7" w:rsidR="004F498A" w:rsidRDefault="002C50EE" w:rsidP="004A448E">
      <w:pPr>
        <w:pStyle w:val="Heading2"/>
      </w:pPr>
      <w:r>
        <w:t>4.4. Специални предупреждения и предпазни мерки при употреба</w:t>
      </w:r>
    </w:p>
    <w:p w14:paraId="5DC27258" w14:textId="07A98558" w:rsidR="005873C2" w:rsidRDefault="005873C2" w:rsidP="005873C2"/>
    <w:p w14:paraId="0F9B8084"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Започването на лечение трябва да става под прекия надзор на специалист.</w:t>
      </w:r>
    </w:p>
    <w:p w14:paraId="5B9E0E16"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 xml:space="preserve">Тъй като липсва опит с употребата на бикалутамид при пациенти с тежко бъбречно увреждане (креатининов клирънс &lt; 30 </w:t>
      </w:r>
      <w:r w:rsidRPr="005873C2">
        <w:rPr>
          <w:rFonts w:eastAsia="Times New Roman" w:cs="Arial"/>
          <w:color w:val="000000"/>
          <w:szCs w:val="20"/>
          <w:lang w:val="en-US"/>
        </w:rPr>
        <w:t xml:space="preserve">ml/min), </w:t>
      </w:r>
      <w:r w:rsidRPr="005873C2">
        <w:rPr>
          <w:rFonts w:eastAsia="Times New Roman" w:cs="Arial"/>
          <w:color w:val="000000"/>
          <w:szCs w:val="20"/>
          <w:lang w:eastAsia="bg-BG"/>
        </w:rPr>
        <w:t>бикалутамид трябва да се прилага с повишено внимание при тези пациенти.</w:t>
      </w:r>
    </w:p>
    <w:p w14:paraId="531EFF7D" w14:textId="77777777" w:rsidR="005873C2" w:rsidRPr="005873C2" w:rsidRDefault="005873C2" w:rsidP="005873C2">
      <w:pPr>
        <w:spacing w:line="240" w:lineRule="auto"/>
        <w:rPr>
          <w:rFonts w:eastAsia="Times New Roman" w:cs="Arial"/>
          <w:color w:val="000000"/>
          <w:szCs w:val="20"/>
          <w:lang w:eastAsia="bg-BG"/>
        </w:rPr>
      </w:pPr>
    </w:p>
    <w:p w14:paraId="598F3C6E" w14:textId="4629F814"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Бикалутамид се метаболизира екстензивно в черния дроб. Данните предполагат, че елиминирането му може да се забави при индивиди с тежко чернодробно увреждане и това може да доведе до повишено натрупване на бикалутамид. Следователно бикалутамид трябва да се прилага с повишено внимание при пациенти с умерено до тежко чернодробно увреждане.</w:t>
      </w:r>
    </w:p>
    <w:p w14:paraId="670E2B04"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Трябва да се обмисли периодично изследване на чернодробната функция поради възможността за чернодробни промени. Очаква се по-голямата част от промените да настъпят през първите 6 месеца на терапията с бикалутамид.</w:t>
      </w:r>
    </w:p>
    <w:p w14:paraId="10153515" w14:textId="77777777" w:rsidR="005873C2" w:rsidRPr="005873C2" w:rsidRDefault="005873C2" w:rsidP="005873C2">
      <w:pPr>
        <w:spacing w:line="240" w:lineRule="auto"/>
        <w:rPr>
          <w:rFonts w:eastAsia="Times New Roman" w:cs="Arial"/>
          <w:color w:val="000000"/>
          <w:szCs w:val="20"/>
          <w:lang w:eastAsia="bg-BG"/>
        </w:rPr>
      </w:pPr>
    </w:p>
    <w:p w14:paraId="2595173D" w14:textId="673C51A6"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Тежки чернодробни промени и чернодробна недостатъчност са наблюдавани рядко при бикалутамид, като има съобщения и за фатален изход (вж. точка 4.8).</w:t>
      </w:r>
    </w:p>
    <w:p w14:paraId="211A8997" w14:textId="77777777" w:rsidR="005873C2" w:rsidRPr="005873C2" w:rsidRDefault="005873C2" w:rsidP="005873C2">
      <w:pPr>
        <w:spacing w:line="240" w:lineRule="auto"/>
        <w:rPr>
          <w:rFonts w:eastAsia="Times New Roman" w:cs="Arial"/>
          <w:color w:val="000000"/>
          <w:szCs w:val="20"/>
          <w:lang w:eastAsia="bg-BG"/>
        </w:rPr>
      </w:pPr>
    </w:p>
    <w:p w14:paraId="63A95061" w14:textId="18A23010"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Терапията с бикалутамид трябва да се преустанови, ако промените са тежки.</w:t>
      </w:r>
    </w:p>
    <w:p w14:paraId="0455A18B" w14:textId="77777777" w:rsidR="005873C2" w:rsidRPr="005873C2" w:rsidRDefault="005873C2" w:rsidP="005873C2">
      <w:pPr>
        <w:spacing w:line="240" w:lineRule="auto"/>
        <w:rPr>
          <w:rFonts w:eastAsia="Times New Roman" w:cs="Arial"/>
          <w:color w:val="000000"/>
          <w:szCs w:val="20"/>
          <w:lang w:eastAsia="bg-BG"/>
        </w:rPr>
      </w:pPr>
    </w:p>
    <w:p w14:paraId="717D958B" w14:textId="121D2D0A"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 xml:space="preserve">Понижаване на глюкозния толеранс е наблюдавано при мъже, получаващи </w:t>
      </w:r>
      <w:r w:rsidRPr="005873C2">
        <w:rPr>
          <w:rFonts w:eastAsia="Times New Roman" w:cs="Arial"/>
          <w:color w:val="000000"/>
          <w:szCs w:val="20"/>
          <w:lang w:val="en-US"/>
        </w:rPr>
        <w:t xml:space="preserve">LHRH </w:t>
      </w:r>
      <w:r w:rsidRPr="005873C2">
        <w:rPr>
          <w:rFonts w:eastAsia="Times New Roman" w:cs="Arial"/>
          <w:color w:val="000000"/>
          <w:szCs w:val="20"/>
          <w:lang w:eastAsia="bg-BG"/>
        </w:rPr>
        <w:t xml:space="preserve">агонисти. Това може да се прояви като диабет или загуба на гликемичния контрол при индивиди с вече наличен диабет. Поради това трябва да се обмисли мониториране на глюкозата в кръвта при пациенти, получаващи бикалутамид в комбинация с </w:t>
      </w:r>
      <w:r w:rsidRPr="005873C2">
        <w:rPr>
          <w:rFonts w:eastAsia="Times New Roman" w:cs="Arial"/>
          <w:color w:val="000000"/>
          <w:szCs w:val="20"/>
          <w:lang w:val="en-US"/>
        </w:rPr>
        <w:t xml:space="preserve">LHRH </w:t>
      </w:r>
      <w:r w:rsidRPr="005873C2">
        <w:rPr>
          <w:rFonts w:eastAsia="Times New Roman" w:cs="Arial"/>
          <w:color w:val="000000"/>
          <w:szCs w:val="20"/>
          <w:lang w:eastAsia="bg-BG"/>
        </w:rPr>
        <w:t>агонисти.</w:t>
      </w:r>
    </w:p>
    <w:p w14:paraId="2CFE8797" w14:textId="77777777" w:rsidR="005873C2" w:rsidRPr="005873C2" w:rsidRDefault="005873C2" w:rsidP="005873C2">
      <w:pPr>
        <w:spacing w:line="240" w:lineRule="auto"/>
        <w:rPr>
          <w:rFonts w:eastAsia="Times New Roman" w:cs="Arial"/>
          <w:color w:val="000000"/>
          <w:szCs w:val="20"/>
          <w:lang w:eastAsia="bg-BG"/>
        </w:rPr>
      </w:pPr>
    </w:p>
    <w:p w14:paraId="79DEDC72" w14:textId="6422FADB"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 xml:space="preserve">Доказано е, че бикалутамид инхибира цитохром Р450 </w:t>
      </w:r>
      <w:r w:rsidRPr="005873C2">
        <w:rPr>
          <w:rFonts w:eastAsia="Times New Roman" w:cs="Arial"/>
          <w:color w:val="000000"/>
          <w:szCs w:val="20"/>
          <w:lang w:val="en-US"/>
        </w:rPr>
        <w:t>(CYP 3</w:t>
      </w:r>
      <w:r w:rsidRPr="005873C2">
        <w:rPr>
          <w:rFonts w:eastAsia="Times New Roman" w:cs="Arial"/>
          <w:color w:val="000000"/>
          <w:szCs w:val="20"/>
          <w:lang w:eastAsia="bg-BG"/>
        </w:rPr>
        <w:t xml:space="preserve">А4), поради което е необходимо повишено внимание при съвместно прилагане с лекарства, метаболизирани предимно от </w:t>
      </w:r>
      <w:r w:rsidRPr="005873C2">
        <w:rPr>
          <w:rFonts w:eastAsia="Times New Roman" w:cs="Arial"/>
          <w:color w:val="000000"/>
          <w:szCs w:val="20"/>
          <w:lang w:val="en-US"/>
        </w:rPr>
        <w:t>CYP 3</w:t>
      </w:r>
      <w:r w:rsidRPr="005873C2">
        <w:rPr>
          <w:rFonts w:eastAsia="Times New Roman" w:cs="Arial"/>
          <w:color w:val="000000"/>
          <w:szCs w:val="20"/>
          <w:lang w:eastAsia="bg-BG"/>
        </w:rPr>
        <w:t>А4, вж. точки 4.3 и 4.5.</w:t>
      </w:r>
    </w:p>
    <w:p w14:paraId="2EBB9117" w14:textId="77777777" w:rsidR="005873C2" w:rsidRPr="005873C2" w:rsidRDefault="005873C2" w:rsidP="005873C2">
      <w:pPr>
        <w:rPr>
          <w:rFonts w:eastAsia="Times New Roman" w:cs="Arial"/>
          <w:b/>
          <w:bCs/>
          <w:color w:val="000000"/>
          <w:szCs w:val="20"/>
          <w:lang w:eastAsia="bg-BG"/>
        </w:rPr>
      </w:pPr>
    </w:p>
    <w:p w14:paraId="0D6D3F9D" w14:textId="24E6CA4F" w:rsidR="005873C2" w:rsidRDefault="005873C2" w:rsidP="005873C2">
      <w:pPr>
        <w:rPr>
          <w:rFonts w:eastAsia="Times New Roman" w:cs="Arial"/>
          <w:color w:val="000000"/>
          <w:szCs w:val="20"/>
          <w:lang w:eastAsia="bg-BG"/>
        </w:rPr>
      </w:pPr>
      <w:r w:rsidRPr="005873C2">
        <w:rPr>
          <w:rFonts w:eastAsia="Times New Roman" w:cs="Arial"/>
          <w:b/>
          <w:bCs/>
          <w:color w:val="000000"/>
          <w:szCs w:val="20"/>
          <w:lang w:eastAsia="bg-BG"/>
        </w:rPr>
        <w:t xml:space="preserve">Лактоза: </w:t>
      </w:r>
      <w:r w:rsidRPr="005873C2">
        <w:rPr>
          <w:rFonts w:eastAsia="Times New Roman" w:cs="Arial"/>
          <w:color w:val="000000"/>
          <w:szCs w:val="20"/>
          <w:lang w:eastAsia="bg-BG"/>
        </w:rPr>
        <w:t xml:space="preserve">Този продукт съдържа лактоза. Пациентите с редки наследствени проблеми на галактозна непоносимост, </w:t>
      </w:r>
      <w:r w:rsidRPr="005873C2">
        <w:rPr>
          <w:rFonts w:eastAsia="Times New Roman" w:cs="Arial"/>
          <w:color w:val="000000"/>
          <w:szCs w:val="20"/>
          <w:lang w:val="en-US"/>
        </w:rPr>
        <w:t xml:space="preserve">Lapp </w:t>
      </w:r>
      <w:r w:rsidRPr="005873C2">
        <w:rPr>
          <w:rFonts w:eastAsia="Times New Roman" w:cs="Arial"/>
          <w:color w:val="000000"/>
          <w:szCs w:val="20"/>
          <w:lang w:eastAsia="bg-BG"/>
        </w:rPr>
        <w:t>лактазен дефицит или глюкозо-галактозна малабсорбция не трябва да приемат този лекарствен продукт.</w:t>
      </w:r>
    </w:p>
    <w:p w14:paraId="44EC0307" w14:textId="77777777" w:rsidR="00E27225" w:rsidRPr="005873C2" w:rsidRDefault="00E27225" w:rsidP="005873C2">
      <w:pPr>
        <w:rPr>
          <w:rFonts w:cs="Arial"/>
          <w:sz w:val="24"/>
        </w:rPr>
      </w:pPr>
    </w:p>
    <w:p w14:paraId="619DED1E" w14:textId="6B1D3834"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B0221C8" w14:textId="7BD6D3B0" w:rsidR="005873C2" w:rsidRDefault="005873C2" w:rsidP="005873C2"/>
    <w:p w14:paraId="62B762ED"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lastRenderedPageBreak/>
        <w:t xml:space="preserve">Липсват данни за някакви фармакодинамични или фармакокинетични взаимодействия между бикалутамид и </w:t>
      </w:r>
      <w:r w:rsidRPr="005873C2">
        <w:rPr>
          <w:rFonts w:eastAsia="Times New Roman" w:cs="Arial"/>
          <w:color w:val="000000"/>
          <w:szCs w:val="20"/>
          <w:lang w:val="en-US"/>
        </w:rPr>
        <w:t xml:space="preserve">LHRH </w:t>
      </w:r>
      <w:r w:rsidRPr="005873C2">
        <w:rPr>
          <w:rFonts w:eastAsia="Times New Roman" w:cs="Arial"/>
          <w:color w:val="000000"/>
          <w:szCs w:val="20"/>
          <w:lang w:eastAsia="bg-BG"/>
        </w:rPr>
        <w:t>аналози.</w:t>
      </w:r>
    </w:p>
    <w:p w14:paraId="62C36AC8" w14:textId="77777777" w:rsidR="005873C2" w:rsidRPr="005873C2" w:rsidRDefault="005873C2" w:rsidP="005873C2">
      <w:pPr>
        <w:spacing w:line="240" w:lineRule="auto"/>
        <w:rPr>
          <w:rFonts w:eastAsia="Times New Roman" w:cs="Arial"/>
          <w:i/>
          <w:iCs/>
          <w:color w:val="000000"/>
          <w:szCs w:val="20"/>
          <w:lang w:val="en-US"/>
        </w:rPr>
      </w:pPr>
    </w:p>
    <w:p w14:paraId="305B0427" w14:textId="0E0EA458" w:rsidR="005873C2" w:rsidRPr="005873C2" w:rsidRDefault="005873C2" w:rsidP="005873C2">
      <w:pPr>
        <w:spacing w:line="240" w:lineRule="auto"/>
        <w:rPr>
          <w:rFonts w:eastAsia="Times New Roman" w:cs="Arial"/>
          <w:sz w:val="28"/>
          <w:szCs w:val="24"/>
          <w:lang w:eastAsia="bg-BG"/>
        </w:rPr>
      </w:pPr>
      <w:r w:rsidRPr="005873C2">
        <w:rPr>
          <w:rFonts w:eastAsia="Times New Roman" w:cs="Arial"/>
          <w:i/>
          <w:iCs/>
          <w:color w:val="000000"/>
          <w:szCs w:val="20"/>
          <w:lang w:val="en-US"/>
        </w:rPr>
        <w:t>In vitro</w:t>
      </w:r>
      <w:r w:rsidRPr="005873C2">
        <w:rPr>
          <w:rFonts w:eastAsia="Times New Roman" w:cs="Arial"/>
          <w:color w:val="000000"/>
          <w:szCs w:val="20"/>
          <w:lang w:val="en-US"/>
        </w:rPr>
        <w:t xml:space="preserve"> </w:t>
      </w:r>
      <w:r w:rsidRPr="005873C2">
        <w:rPr>
          <w:rFonts w:eastAsia="Times New Roman" w:cs="Arial"/>
          <w:color w:val="000000"/>
          <w:szCs w:val="20"/>
          <w:lang w:eastAsia="bg-BG"/>
        </w:rPr>
        <w:t xml:space="preserve">проучвания са доказали, че </w:t>
      </w:r>
      <w:r w:rsidRPr="005873C2">
        <w:rPr>
          <w:rFonts w:eastAsia="Times New Roman" w:cs="Arial"/>
          <w:color w:val="000000"/>
          <w:szCs w:val="20"/>
          <w:lang w:val="en-US"/>
        </w:rPr>
        <w:t>R</w:t>
      </w:r>
      <w:r w:rsidRPr="005873C2">
        <w:rPr>
          <w:rFonts w:eastAsia="Times New Roman" w:cs="Arial"/>
          <w:color w:val="000000"/>
          <w:szCs w:val="20"/>
          <w:lang w:eastAsia="bg-BG"/>
        </w:rPr>
        <w:t xml:space="preserve">-бикалутамид е инхибитор на </w:t>
      </w:r>
      <w:r w:rsidRPr="005873C2">
        <w:rPr>
          <w:rFonts w:eastAsia="Times New Roman" w:cs="Arial"/>
          <w:color w:val="000000"/>
          <w:szCs w:val="20"/>
          <w:lang w:val="en-US"/>
        </w:rPr>
        <w:t>CYP 3</w:t>
      </w:r>
      <w:r w:rsidRPr="005873C2">
        <w:rPr>
          <w:rFonts w:eastAsia="Times New Roman" w:cs="Arial"/>
          <w:color w:val="000000"/>
          <w:szCs w:val="20"/>
          <w:lang w:eastAsia="bg-BG"/>
        </w:rPr>
        <w:t xml:space="preserve">А4, с по-слаби инхибиторни ефекти върху активността на </w:t>
      </w:r>
      <w:r w:rsidRPr="005873C2">
        <w:rPr>
          <w:rFonts w:eastAsia="Times New Roman" w:cs="Arial"/>
          <w:color w:val="000000"/>
          <w:szCs w:val="20"/>
          <w:lang w:val="en-US"/>
        </w:rPr>
        <w:t>CYP</w:t>
      </w:r>
      <w:r w:rsidRPr="005873C2">
        <w:rPr>
          <w:rFonts w:eastAsia="Times New Roman" w:cs="Arial"/>
          <w:color w:val="000000"/>
          <w:szCs w:val="20"/>
          <w:lang w:eastAsia="bg-BG"/>
        </w:rPr>
        <w:t xml:space="preserve"> 2С9, 2С19 и </w:t>
      </w:r>
      <w:r w:rsidRPr="005873C2">
        <w:rPr>
          <w:rFonts w:eastAsia="Times New Roman" w:cs="Arial"/>
          <w:color w:val="000000"/>
          <w:szCs w:val="20"/>
          <w:lang w:val="en-US"/>
        </w:rPr>
        <w:t>2D6.</w:t>
      </w:r>
    </w:p>
    <w:p w14:paraId="2EBB0EC8"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 xml:space="preserve">Макар че клинични проучвания с използване на антипирин като маркер за активността на цитохром Р450 </w:t>
      </w:r>
      <w:r w:rsidRPr="005873C2">
        <w:rPr>
          <w:rFonts w:eastAsia="Times New Roman" w:cs="Arial"/>
          <w:color w:val="000000"/>
          <w:szCs w:val="20"/>
          <w:lang w:val="en-US"/>
        </w:rPr>
        <w:t xml:space="preserve">(CYP) </w:t>
      </w:r>
      <w:r w:rsidRPr="005873C2">
        <w:rPr>
          <w:rFonts w:eastAsia="Times New Roman" w:cs="Arial"/>
          <w:color w:val="000000"/>
          <w:szCs w:val="20"/>
          <w:lang w:eastAsia="bg-BG"/>
        </w:rPr>
        <w:t xml:space="preserve">не дават доказателства за потенциал за лекарствено взаимодействие с бикалутамид, средната експозиция на мидазолам </w:t>
      </w:r>
      <w:r w:rsidRPr="005873C2">
        <w:rPr>
          <w:rFonts w:eastAsia="Times New Roman" w:cs="Arial"/>
          <w:color w:val="000000"/>
          <w:szCs w:val="20"/>
          <w:lang w:val="en-US"/>
        </w:rPr>
        <w:t xml:space="preserve">(AUC) </w:t>
      </w:r>
      <w:r w:rsidRPr="005873C2">
        <w:rPr>
          <w:rFonts w:eastAsia="Times New Roman" w:cs="Arial"/>
          <w:color w:val="000000"/>
          <w:szCs w:val="20"/>
          <w:lang w:eastAsia="bg-BG"/>
        </w:rPr>
        <w:t>се увеличава с до 80% след съвместно приложение с бикалутамид в продължение на 28 дни. За лекарства с тесен терапевтичен индекс такова увеличение може да бъде от значение. Поради това съпътстващата употреба на терфенадин, астемизол и цизаприд е противопоказана (вж. точка 4.3) и трябва да се подхожда с повишено внимание при съвместното приложение на бикалутамид със съединения като циклоспорин и блокери на калциевите каналчета. Може да се наложи да се понижи дозата на тези лекарства, особено ако има данни за усилена или нежелана лекарствена реакция. За циклоспорин се препоръчва плазмените концентрации и клиничното състояние да се мониторират стриктно</w:t>
      </w:r>
      <w:r w:rsidRPr="005873C2">
        <w:rPr>
          <w:rFonts w:eastAsia="Times New Roman" w:cs="Arial"/>
          <w:color w:val="000000"/>
          <w:szCs w:val="20"/>
          <w:u w:val="single"/>
          <w:lang w:eastAsia="bg-BG"/>
        </w:rPr>
        <w:t xml:space="preserve"> </w:t>
      </w:r>
      <w:r w:rsidRPr="005873C2">
        <w:rPr>
          <w:rFonts w:eastAsia="Times New Roman" w:cs="Arial"/>
          <w:color w:val="000000"/>
          <w:szCs w:val="20"/>
          <w:lang w:eastAsia="bg-BG"/>
        </w:rPr>
        <w:t>след започване или прекратяване на терапия с бикалутамид.</w:t>
      </w:r>
    </w:p>
    <w:p w14:paraId="6236D92B" w14:textId="77777777" w:rsidR="005873C2" w:rsidRPr="005873C2" w:rsidRDefault="005873C2" w:rsidP="005873C2">
      <w:pPr>
        <w:rPr>
          <w:rFonts w:eastAsia="Times New Roman" w:cs="Arial"/>
          <w:sz w:val="28"/>
          <w:szCs w:val="24"/>
          <w:lang w:eastAsia="bg-BG"/>
        </w:rPr>
      </w:pPr>
      <w:r w:rsidRPr="005873C2">
        <w:rPr>
          <w:rFonts w:eastAsia="Times New Roman" w:cs="Arial"/>
          <w:color w:val="000000"/>
          <w:szCs w:val="20"/>
          <w:lang w:eastAsia="bg-BG"/>
        </w:rPr>
        <w:t xml:space="preserve">Трябва да се подхожда с повишено внимание при предписване на бикалутамид с други лекарства, които могат да инхибират оксидирането на лекарството, напр. циметидин и кетоконазол. На </w:t>
      </w:r>
      <w:r w:rsidRPr="005873C2">
        <w:rPr>
          <w:rFonts w:eastAsia="Times New Roman" w:cs="Arial"/>
          <w:b/>
          <w:bCs/>
          <w:color w:val="000000"/>
          <w:szCs w:val="20"/>
          <w:lang w:eastAsia="bg-BG"/>
        </w:rPr>
        <w:t xml:space="preserve"> </w:t>
      </w:r>
      <w:r w:rsidRPr="005873C2">
        <w:rPr>
          <w:rFonts w:eastAsia="Times New Roman" w:cs="Arial"/>
          <w:color w:val="000000"/>
          <w:szCs w:val="20"/>
          <w:lang w:eastAsia="bg-BG"/>
        </w:rPr>
        <w:t>теория това би могло да доведе до повишени плазмени концентрации на бикалутамид, което теоретично би могло да доведе до увеличаване на страничните ефекти.</w:t>
      </w:r>
    </w:p>
    <w:p w14:paraId="7B840590" w14:textId="6D361EBC" w:rsidR="005873C2" w:rsidRPr="005873C2" w:rsidRDefault="005873C2" w:rsidP="005873C2">
      <w:pPr>
        <w:rPr>
          <w:rFonts w:eastAsia="Times New Roman" w:cs="Arial"/>
          <w:color w:val="000000"/>
          <w:sz w:val="24"/>
          <w:szCs w:val="20"/>
          <w:lang w:eastAsia="bg-BG"/>
        </w:rPr>
      </w:pPr>
      <w:r w:rsidRPr="005873C2">
        <w:rPr>
          <w:rFonts w:eastAsia="Times New Roman" w:cs="Arial"/>
          <w:i/>
          <w:iCs/>
          <w:color w:val="000000"/>
          <w:szCs w:val="20"/>
          <w:lang w:val="en-US"/>
        </w:rPr>
        <w:t>In vitro</w:t>
      </w:r>
      <w:r w:rsidRPr="005873C2">
        <w:rPr>
          <w:rFonts w:eastAsia="Times New Roman" w:cs="Arial"/>
          <w:color w:val="000000"/>
          <w:szCs w:val="20"/>
          <w:lang w:val="en-US"/>
        </w:rPr>
        <w:t xml:space="preserve"> </w:t>
      </w:r>
      <w:r w:rsidRPr="005873C2">
        <w:rPr>
          <w:rFonts w:eastAsia="Times New Roman" w:cs="Arial"/>
          <w:color w:val="000000"/>
          <w:szCs w:val="20"/>
          <w:lang w:eastAsia="bg-BG"/>
        </w:rPr>
        <w:t>проучвания са доказали, че бикалутамид може да измести кумариновия антикоагулант варфарин от местата за свързване с протеините. Следователно се препоръчва стриктно мониториране на протромбиновото време, ако се започва терапия с бикалутамид при пациенти, които вече получават кумаринови антикоагуланти.</w:t>
      </w:r>
    </w:p>
    <w:p w14:paraId="3C0E97DC" w14:textId="77777777" w:rsidR="005873C2" w:rsidRPr="005873C2" w:rsidRDefault="005873C2" w:rsidP="005873C2"/>
    <w:p w14:paraId="394A7584" w14:textId="3F01B91D" w:rsidR="004F498A" w:rsidRDefault="002C50EE" w:rsidP="004A448E">
      <w:pPr>
        <w:pStyle w:val="Heading2"/>
      </w:pPr>
      <w:r>
        <w:t>4.6. Фертилитет, бременност и кърмене</w:t>
      </w:r>
    </w:p>
    <w:p w14:paraId="40275970" w14:textId="409EF79A" w:rsidR="005873C2" w:rsidRDefault="005873C2" w:rsidP="005873C2"/>
    <w:p w14:paraId="2D8DA796" w14:textId="7B99F842" w:rsidR="005873C2" w:rsidRDefault="005873C2" w:rsidP="005873C2">
      <w:pPr>
        <w:rPr>
          <w:szCs w:val="20"/>
        </w:rPr>
      </w:pPr>
      <w:r w:rsidRPr="005873C2">
        <w:rPr>
          <w:szCs w:val="20"/>
        </w:rPr>
        <w:t xml:space="preserve">Бикалутамид 50 </w:t>
      </w:r>
      <w:r w:rsidRPr="005873C2">
        <w:rPr>
          <w:szCs w:val="20"/>
          <w:lang w:val="en-US"/>
        </w:rPr>
        <w:t xml:space="preserve">mg </w:t>
      </w:r>
      <w:r w:rsidRPr="005873C2">
        <w:rPr>
          <w:szCs w:val="20"/>
        </w:rPr>
        <w:t>таблетки е противопоказан при жени и не трябва да се дава на бременни жени или кърмачки.</w:t>
      </w:r>
    </w:p>
    <w:p w14:paraId="5CD601F2" w14:textId="77777777" w:rsidR="00E27225" w:rsidRPr="005873C2" w:rsidRDefault="00E27225" w:rsidP="005873C2">
      <w:pPr>
        <w:rPr>
          <w:sz w:val="24"/>
        </w:rPr>
      </w:pPr>
    </w:p>
    <w:p w14:paraId="064DF1DE" w14:textId="0E414AAA" w:rsidR="00CF77F7" w:rsidRDefault="002C50EE" w:rsidP="004A448E">
      <w:pPr>
        <w:pStyle w:val="Heading2"/>
      </w:pPr>
      <w:r>
        <w:t>4.7. Ефекти върху способността за шофиране и работа с машини</w:t>
      </w:r>
    </w:p>
    <w:p w14:paraId="79DA0677" w14:textId="3C36F19A" w:rsidR="005873C2" w:rsidRDefault="005873C2" w:rsidP="005873C2"/>
    <w:p w14:paraId="22DF69DA" w14:textId="4E90F23B" w:rsidR="005873C2" w:rsidRPr="005873C2" w:rsidRDefault="005873C2" w:rsidP="005873C2">
      <w:pPr>
        <w:rPr>
          <w:szCs w:val="20"/>
        </w:rPr>
      </w:pPr>
      <w:r w:rsidRPr="005873C2">
        <w:rPr>
          <w:szCs w:val="20"/>
        </w:rPr>
        <w:t xml:space="preserve">Не са провеждани проучвания за ефектите върху </w:t>
      </w:r>
      <w:r w:rsidRPr="005873C2">
        <w:rPr>
          <w:i/>
          <w:iCs/>
          <w:szCs w:val="20"/>
        </w:rPr>
        <w:t>способността за</w:t>
      </w:r>
      <w:r w:rsidRPr="005873C2">
        <w:rPr>
          <w:szCs w:val="20"/>
        </w:rPr>
        <w:t xml:space="preserve"> шофиране и работа с машини. Въпреки това трябва да се отбележи, че понякога могат да възникнат замаяност и сънливост (вж. точка 4.8). Всички засегнати пациенти трябва да действат с повишено внимание.</w:t>
      </w:r>
    </w:p>
    <w:p w14:paraId="29A99ECC" w14:textId="77777777" w:rsidR="005873C2" w:rsidRPr="005873C2" w:rsidRDefault="005873C2" w:rsidP="005873C2"/>
    <w:p w14:paraId="37A3FD9F" w14:textId="6B3DB805" w:rsidR="00CF77F7" w:rsidRDefault="002C50EE" w:rsidP="004A448E">
      <w:pPr>
        <w:pStyle w:val="Heading2"/>
      </w:pPr>
      <w:r>
        <w:t>4.8. Нежелани лекарствени реакции</w:t>
      </w:r>
    </w:p>
    <w:p w14:paraId="39C995B2" w14:textId="0580AD80" w:rsidR="005873C2" w:rsidRDefault="005873C2" w:rsidP="005873C2"/>
    <w:p w14:paraId="35BFC305" w14:textId="77777777" w:rsidR="005873C2" w:rsidRPr="005873C2" w:rsidRDefault="005873C2" w:rsidP="005873C2">
      <w:pPr>
        <w:spacing w:line="240" w:lineRule="auto"/>
        <w:rPr>
          <w:rFonts w:eastAsia="Times New Roman" w:cs="Arial"/>
          <w:sz w:val="28"/>
          <w:szCs w:val="24"/>
          <w:lang w:eastAsia="bg-BG"/>
        </w:rPr>
      </w:pPr>
      <w:r w:rsidRPr="005873C2">
        <w:rPr>
          <w:rFonts w:eastAsia="Times New Roman" w:cs="Arial"/>
          <w:color w:val="000000"/>
          <w:szCs w:val="20"/>
          <w:lang w:eastAsia="bg-BG"/>
        </w:rPr>
        <w:t>Нежеланите събития се подреждат по честота по следния начин: много чести (≥1/10); чести (≥1/100, &lt; 1/10); нечести (≥1/1,000, &lt; 1/100); редки (≥1/10 000, &lt; 1/1 000); много редки (&lt; 1/10 000); с неизвестна честота (от наличните данни не може да бъде направена оценка).</w:t>
      </w:r>
    </w:p>
    <w:p w14:paraId="0506E140" w14:textId="77777777" w:rsidR="005873C2" w:rsidRPr="005873C2" w:rsidRDefault="005873C2" w:rsidP="005873C2">
      <w:pPr>
        <w:rPr>
          <w:rFonts w:eastAsia="Times New Roman" w:cs="Arial"/>
          <w:b/>
          <w:bCs/>
          <w:color w:val="000000"/>
          <w:szCs w:val="20"/>
          <w:lang w:eastAsia="bg-BG"/>
        </w:rPr>
      </w:pPr>
    </w:p>
    <w:p w14:paraId="348CC731" w14:textId="73FBF7C3" w:rsidR="005873C2" w:rsidRPr="005873C2" w:rsidRDefault="005873C2" w:rsidP="005873C2">
      <w:pPr>
        <w:rPr>
          <w:rFonts w:eastAsia="Times New Roman" w:cs="Arial"/>
          <w:b/>
          <w:bCs/>
          <w:color w:val="000000"/>
          <w:szCs w:val="20"/>
          <w:lang w:eastAsia="bg-BG"/>
        </w:rPr>
      </w:pPr>
      <w:r w:rsidRPr="005873C2">
        <w:rPr>
          <w:rFonts w:eastAsia="Times New Roman" w:cs="Arial"/>
          <w:b/>
          <w:bCs/>
          <w:color w:val="000000"/>
          <w:szCs w:val="20"/>
          <w:lang w:eastAsia="bg-BG"/>
        </w:rPr>
        <w:t>Таблица 1 Честота на нежеланите лекарствени реакции</w:t>
      </w:r>
    </w:p>
    <w:tbl>
      <w:tblPr>
        <w:tblStyle w:val="TableGrid"/>
        <w:tblW w:w="0" w:type="auto"/>
        <w:tblLook w:val="04A0" w:firstRow="1" w:lastRow="0" w:firstColumn="1" w:lastColumn="0" w:noHBand="0" w:noVBand="1"/>
      </w:tblPr>
      <w:tblGrid>
        <w:gridCol w:w="3166"/>
        <w:gridCol w:w="3167"/>
        <w:gridCol w:w="3167"/>
      </w:tblGrid>
      <w:tr w:rsidR="005873C2" w:rsidRPr="00E27225" w14:paraId="2CF40C8A" w14:textId="77777777" w:rsidTr="005873C2">
        <w:tc>
          <w:tcPr>
            <w:tcW w:w="3166" w:type="dxa"/>
          </w:tcPr>
          <w:p w14:paraId="0694D797" w14:textId="6923E24A" w:rsidR="005873C2" w:rsidRPr="00E27225" w:rsidRDefault="005873C2" w:rsidP="005873C2">
            <w:pPr>
              <w:rPr>
                <w:rFonts w:cs="Arial"/>
              </w:rPr>
            </w:pPr>
            <w:r w:rsidRPr="00E27225">
              <w:rPr>
                <w:rFonts w:cs="Arial"/>
                <w:b/>
                <w:bCs/>
              </w:rPr>
              <w:t>Системо-органен клас</w:t>
            </w:r>
          </w:p>
        </w:tc>
        <w:tc>
          <w:tcPr>
            <w:tcW w:w="3167" w:type="dxa"/>
          </w:tcPr>
          <w:p w14:paraId="171F758E" w14:textId="20AD1D02" w:rsidR="005873C2" w:rsidRPr="00E27225" w:rsidRDefault="005873C2" w:rsidP="005873C2">
            <w:pPr>
              <w:rPr>
                <w:rFonts w:cs="Arial"/>
              </w:rPr>
            </w:pPr>
            <w:r w:rsidRPr="00E27225">
              <w:rPr>
                <w:rFonts w:cs="Arial"/>
                <w:b/>
                <w:bCs/>
              </w:rPr>
              <w:t>Честота</w:t>
            </w:r>
          </w:p>
        </w:tc>
        <w:tc>
          <w:tcPr>
            <w:tcW w:w="3167" w:type="dxa"/>
          </w:tcPr>
          <w:p w14:paraId="2CED76D1" w14:textId="2C3E8D53" w:rsidR="005873C2" w:rsidRPr="00E27225" w:rsidRDefault="005873C2" w:rsidP="005873C2">
            <w:pPr>
              <w:rPr>
                <w:rFonts w:cs="Arial"/>
              </w:rPr>
            </w:pPr>
            <w:r w:rsidRPr="00E27225">
              <w:rPr>
                <w:rFonts w:cs="Arial"/>
                <w:b/>
                <w:bCs/>
              </w:rPr>
              <w:t>Събитие</w:t>
            </w:r>
          </w:p>
        </w:tc>
      </w:tr>
      <w:tr w:rsidR="005873C2" w:rsidRPr="00E27225" w14:paraId="733D445D" w14:textId="77777777" w:rsidTr="005873C2">
        <w:tc>
          <w:tcPr>
            <w:tcW w:w="3166" w:type="dxa"/>
          </w:tcPr>
          <w:p w14:paraId="2991D117" w14:textId="76C07A72" w:rsidR="005873C2" w:rsidRPr="00E27225" w:rsidRDefault="005873C2" w:rsidP="005873C2">
            <w:pPr>
              <w:rPr>
                <w:rFonts w:cs="Arial"/>
              </w:rPr>
            </w:pPr>
            <w:r w:rsidRPr="00E27225">
              <w:rPr>
                <w:rFonts w:cs="Arial"/>
              </w:rPr>
              <w:lastRenderedPageBreak/>
              <w:t>Нарушения на кръвта и лимфната система</w:t>
            </w:r>
          </w:p>
        </w:tc>
        <w:tc>
          <w:tcPr>
            <w:tcW w:w="3167" w:type="dxa"/>
          </w:tcPr>
          <w:p w14:paraId="5A0F39B8" w14:textId="51266AB0" w:rsidR="005873C2" w:rsidRPr="00E27225" w:rsidRDefault="005873C2" w:rsidP="005873C2">
            <w:pPr>
              <w:rPr>
                <w:rFonts w:cs="Arial"/>
              </w:rPr>
            </w:pPr>
            <w:r w:rsidRPr="00E27225">
              <w:rPr>
                <w:rFonts w:cs="Arial"/>
              </w:rPr>
              <w:t>Много чести</w:t>
            </w:r>
          </w:p>
        </w:tc>
        <w:tc>
          <w:tcPr>
            <w:tcW w:w="3167" w:type="dxa"/>
          </w:tcPr>
          <w:p w14:paraId="152623EF" w14:textId="49D7C4C5" w:rsidR="005873C2" w:rsidRPr="00E27225" w:rsidRDefault="005873C2" w:rsidP="005873C2">
            <w:pPr>
              <w:rPr>
                <w:rFonts w:cs="Arial"/>
              </w:rPr>
            </w:pPr>
            <w:r w:rsidRPr="00E27225">
              <w:rPr>
                <w:rFonts w:cs="Arial"/>
              </w:rPr>
              <w:t>Анемия</w:t>
            </w:r>
          </w:p>
        </w:tc>
      </w:tr>
      <w:tr w:rsidR="005873C2" w:rsidRPr="00E27225" w14:paraId="3099E91A" w14:textId="77777777" w:rsidTr="005873C2">
        <w:tc>
          <w:tcPr>
            <w:tcW w:w="3166" w:type="dxa"/>
          </w:tcPr>
          <w:p w14:paraId="10749B00" w14:textId="75A48371" w:rsidR="005873C2" w:rsidRPr="00E27225" w:rsidRDefault="005873C2" w:rsidP="005873C2">
            <w:pPr>
              <w:rPr>
                <w:rFonts w:cs="Arial"/>
              </w:rPr>
            </w:pPr>
            <w:r w:rsidRPr="00E27225">
              <w:rPr>
                <w:rFonts w:cs="Arial"/>
              </w:rPr>
              <w:t>Нарушения на имунната система</w:t>
            </w:r>
          </w:p>
        </w:tc>
        <w:tc>
          <w:tcPr>
            <w:tcW w:w="3167" w:type="dxa"/>
          </w:tcPr>
          <w:p w14:paraId="646B022D" w14:textId="43538A00" w:rsidR="005873C2" w:rsidRPr="00E27225" w:rsidRDefault="005873C2" w:rsidP="005873C2">
            <w:pPr>
              <w:rPr>
                <w:rFonts w:cs="Arial"/>
              </w:rPr>
            </w:pPr>
            <w:r w:rsidRPr="00E27225">
              <w:rPr>
                <w:rFonts w:cs="Arial"/>
              </w:rPr>
              <w:t>Нечести</w:t>
            </w:r>
          </w:p>
        </w:tc>
        <w:tc>
          <w:tcPr>
            <w:tcW w:w="3167" w:type="dxa"/>
          </w:tcPr>
          <w:p w14:paraId="783F5482" w14:textId="76E1F6E4" w:rsidR="005873C2" w:rsidRPr="00E27225" w:rsidRDefault="005873C2" w:rsidP="005873C2">
            <w:pPr>
              <w:rPr>
                <w:rFonts w:cs="Arial"/>
              </w:rPr>
            </w:pPr>
            <w:r w:rsidRPr="00E27225">
              <w:rPr>
                <w:rFonts w:cs="Arial"/>
              </w:rPr>
              <w:t>Свръхчувствителност, ангиоедем и уртикария</w:t>
            </w:r>
          </w:p>
        </w:tc>
      </w:tr>
      <w:tr w:rsidR="005873C2" w:rsidRPr="00E27225" w14:paraId="04A4B5C0" w14:textId="77777777" w:rsidTr="005873C2">
        <w:tc>
          <w:tcPr>
            <w:tcW w:w="3166" w:type="dxa"/>
          </w:tcPr>
          <w:p w14:paraId="1B905740" w14:textId="6FB6E040" w:rsidR="005873C2" w:rsidRPr="00E27225" w:rsidRDefault="005873C2" w:rsidP="005873C2">
            <w:pPr>
              <w:rPr>
                <w:rFonts w:cs="Arial"/>
              </w:rPr>
            </w:pPr>
            <w:r w:rsidRPr="00E27225">
              <w:rPr>
                <w:rFonts w:cs="Arial"/>
              </w:rPr>
              <w:t>Нарушения на метаболизма и храненето</w:t>
            </w:r>
          </w:p>
        </w:tc>
        <w:tc>
          <w:tcPr>
            <w:tcW w:w="3167" w:type="dxa"/>
          </w:tcPr>
          <w:p w14:paraId="0B6FECB3" w14:textId="55C5DF53" w:rsidR="005873C2" w:rsidRPr="00E27225" w:rsidRDefault="005873C2" w:rsidP="005873C2">
            <w:pPr>
              <w:rPr>
                <w:rFonts w:cs="Arial"/>
              </w:rPr>
            </w:pPr>
            <w:r w:rsidRPr="00E27225">
              <w:rPr>
                <w:rFonts w:cs="Arial"/>
              </w:rPr>
              <w:t>Чести</w:t>
            </w:r>
          </w:p>
        </w:tc>
        <w:tc>
          <w:tcPr>
            <w:tcW w:w="3167" w:type="dxa"/>
          </w:tcPr>
          <w:p w14:paraId="5FD83637" w14:textId="23155888" w:rsidR="005873C2" w:rsidRPr="00E27225" w:rsidRDefault="005873C2" w:rsidP="005873C2">
            <w:pPr>
              <w:rPr>
                <w:rFonts w:cs="Arial"/>
              </w:rPr>
            </w:pPr>
            <w:r w:rsidRPr="00E27225">
              <w:rPr>
                <w:rFonts w:cs="Arial"/>
              </w:rPr>
              <w:t>Намален апетит</w:t>
            </w:r>
          </w:p>
        </w:tc>
      </w:tr>
      <w:tr w:rsidR="005873C2" w:rsidRPr="00E27225" w14:paraId="7C9365C5" w14:textId="77777777" w:rsidTr="005873C2">
        <w:tc>
          <w:tcPr>
            <w:tcW w:w="3166" w:type="dxa"/>
          </w:tcPr>
          <w:p w14:paraId="3DDD2B17" w14:textId="5304BE57" w:rsidR="005873C2" w:rsidRPr="00E27225" w:rsidRDefault="005873C2" w:rsidP="005873C2">
            <w:pPr>
              <w:rPr>
                <w:rFonts w:cs="Arial"/>
              </w:rPr>
            </w:pPr>
            <w:r w:rsidRPr="00E27225">
              <w:rPr>
                <w:rFonts w:cs="Arial"/>
              </w:rPr>
              <w:t>Психични нарушения</w:t>
            </w:r>
          </w:p>
        </w:tc>
        <w:tc>
          <w:tcPr>
            <w:tcW w:w="3167" w:type="dxa"/>
          </w:tcPr>
          <w:p w14:paraId="68CAEEDD" w14:textId="7806F25C" w:rsidR="005873C2" w:rsidRPr="00E27225" w:rsidRDefault="005873C2" w:rsidP="005873C2">
            <w:pPr>
              <w:rPr>
                <w:rFonts w:cs="Arial"/>
              </w:rPr>
            </w:pPr>
            <w:r w:rsidRPr="00E27225">
              <w:rPr>
                <w:rFonts w:cs="Arial"/>
              </w:rPr>
              <w:t>Чести</w:t>
            </w:r>
          </w:p>
        </w:tc>
        <w:tc>
          <w:tcPr>
            <w:tcW w:w="3167" w:type="dxa"/>
          </w:tcPr>
          <w:p w14:paraId="5E2302D3" w14:textId="77777777" w:rsidR="005873C2" w:rsidRPr="00E27225" w:rsidRDefault="005873C2" w:rsidP="005873C2">
            <w:pPr>
              <w:rPr>
                <w:rFonts w:cs="Arial"/>
              </w:rPr>
            </w:pPr>
            <w:r w:rsidRPr="00E27225">
              <w:rPr>
                <w:rFonts w:cs="Arial"/>
              </w:rPr>
              <w:t>Намалено либидо</w:t>
            </w:r>
          </w:p>
          <w:p w14:paraId="4C3A8880" w14:textId="05942A41" w:rsidR="005873C2" w:rsidRPr="00E27225" w:rsidRDefault="005873C2" w:rsidP="005873C2">
            <w:pPr>
              <w:rPr>
                <w:rFonts w:cs="Arial"/>
              </w:rPr>
            </w:pPr>
            <w:r w:rsidRPr="00E27225">
              <w:rPr>
                <w:rFonts w:cs="Arial"/>
              </w:rPr>
              <w:t>Депресия</w:t>
            </w:r>
          </w:p>
        </w:tc>
      </w:tr>
      <w:tr w:rsidR="005873C2" w:rsidRPr="00E27225" w14:paraId="4CF5D196" w14:textId="77777777" w:rsidTr="005873C2">
        <w:tc>
          <w:tcPr>
            <w:tcW w:w="3166" w:type="dxa"/>
            <w:vMerge w:val="restart"/>
          </w:tcPr>
          <w:p w14:paraId="3DB43D83" w14:textId="5E4E39AE" w:rsidR="005873C2" w:rsidRPr="00E27225" w:rsidRDefault="005873C2" w:rsidP="005873C2">
            <w:pPr>
              <w:rPr>
                <w:rFonts w:cs="Arial"/>
              </w:rPr>
            </w:pPr>
            <w:r w:rsidRPr="00E27225">
              <w:rPr>
                <w:rFonts w:cs="Arial"/>
              </w:rPr>
              <w:t>Нарушения на нервната система</w:t>
            </w:r>
          </w:p>
        </w:tc>
        <w:tc>
          <w:tcPr>
            <w:tcW w:w="3167" w:type="dxa"/>
          </w:tcPr>
          <w:p w14:paraId="46A8A9AC" w14:textId="296E4BB4" w:rsidR="005873C2" w:rsidRPr="00E27225" w:rsidRDefault="005873C2" w:rsidP="005873C2">
            <w:pPr>
              <w:rPr>
                <w:rFonts w:cs="Arial"/>
              </w:rPr>
            </w:pPr>
            <w:r w:rsidRPr="00E27225">
              <w:rPr>
                <w:rFonts w:cs="Arial"/>
              </w:rPr>
              <w:t>Много чести</w:t>
            </w:r>
          </w:p>
        </w:tc>
        <w:tc>
          <w:tcPr>
            <w:tcW w:w="3167" w:type="dxa"/>
          </w:tcPr>
          <w:p w14:paraId="4F821894" w14:textId="075AFB15" w:rsidR="005873C2" w:rsidRPr="00E27225" w:rsidRDefault="005873C2" w:rsidP="005873C2">
            <w:pPr>
              <w:rPr>
                <w:rFonts w:cs="Arial"/>
              </w:rPr>
            </w:pPr>
            <w:r w:rsidRPr="00E27225">
              <w:rPr>
                <w:rFonts w:cs="Arial"/>
              </w:rPr>
              <w:t>Замаяност</w:t>
            </w:r>
          </w:p>
        </w:tc>
      </w:tr>
      <w:tr w:rsidR="005873C2" w:rsidRPr="00E27225" w14:paraId="54B701CC" w14:textId="77777777" w:rsidTr="005873C2">
        <w:tc>
          <w:tcPr>
            <w:tcW w:w="3166" w:type="dxa"/>
            <w:vMerge/>
          </w:tcPr>
          <w:p w14:paraId="0D764FF2" w14:textId="77777777" w:rsidR="005873C2" w:rsidRPr="00E27225" w:rsidRDefault="005873C2" w:rsidP="005873C2">
            <w:pPr>
              <w:rPr>
                <w:rFonts w:cs="Arial"/>
              </w:rPr>
            </w:pPr>
          </w:p>
        </w:tc>
        <w:tc>
          <w:tcPr>
            <w:tcW w:w="3167" w:type="dxa"/>
          </w:tcPr>
          <w:p w14:paraId="0EE5B256" w14:textId="485EFB11" w:rsidR="005873C2" w:rsidRPr="00E27225" w:rsidRDefault="005873C2" w:rsidP="005873C2">
            <w:pPr>
              <w:rPr>
                <w:rFonts w:cs="Arial"/>
              </w:rPr>
            </w:pPr>
            <w:r w:rsidRPr="00E27225">
              <w:rPr>
                <w:rFonts w:cs="Arial"/>
              </w:rPr>
              <w:t>Чести</w:t>
            </w:r>
          </w:p>
        </w:tc>
        <w:tc>
          <w:tcPr>
            <w:tcW w:w="3167" w:type="dxa"/>
          </w:tcPr>
          <w:p w14:paraId="1CF7424B" w14:textId="7ED29BFB" w:rsidR="005873C2" w:rsidRPr="00E27225" w:rsidRDefault="005873C2" w:rsidP="005873C2">
            <w:pPr>
              <w:rPr>
                <w:rFonts w:cs="Arial"/>
              </w:rPr>
            </w:pPr>
            <w:r w:rsidRPr="00E27225">
              <w:rPr>
                <w:rFonts w:cs="Arial"/>
              </w:rPr>
              <w:t>Сънливост</w:t>
            </w:r>
          </w:p>
        </w:tc>
      </w:tr>
      <w:tr w:rsidR="005873C2" w:rsidRPr="00E27225" w14:paraId="673D7C62" w14:textId="77777777" w:rsidTr="005873C2">
        <w:tc>
          <w:tcPr>
            <w:tcW w:w="3166" w:type="dxa"/>
          </w:tcPr>
          <w:p w14:paraId="0BCCE50D" w14:textId="6DCAE254" w:rsidR="005873C2" w:rsidRPr="00E27225" w:rsidRDefault="005873C2" w:rsidP="005873C2">
            <w:pPr>
              <w:rPr>
                <w:rFonts w:cs="Arial"/>
              </w:rPr>
            </w:pPr>
            <w:r w:rsidRPr="00E27225">
              <w:rPr>
                <w:rFonts w:cs="Arial"/>
              </w:rPr>
              <w:t>Сърдечни нарушения</w:t>
            </w:r>
          </w:p>
        </w:tc>
        <w:tc>
          <w:tcPr>
            <w:tcW w:w="3167" w:type="dxa"/>
          </w:tcPr>
          <w:p w14:paraId="4E7BD374" w14:textId="1B598FE7" w:rsidR="005873C2" w:rsidRPr="00E27225" w:rsidRDefault="005873C2" w:rsidP="005873C2">
            <w:pPr>
              <w:rPr>
                <w:rFonts w:cs="Arial"/>
              </w:rPr>
            </w:pPr>
            <w:r w:rsidRPr="00E27225">
              <w:rPr>
                <w:rFonts w:cs="Arial"/>
              </w:rPr>
              <w:t>Чести</w:t>
            </w:r>
          </w:p>
        </w:tc>
        <w:tc>
          <w:tcPr>
            <w:tcW w:w="3167" w:type="dxa"/>
          </w:tcPr>
          <w:p w14:paraId="7F6BD7A9" w14:textId="55F24D3C" w:rsidR="005873C2" w:rsidRPr="00E27225" w:rsidRDefault="005873C2" w:rsidP="005873C2">
            <w:pPr>
              <w:rPr>
                <w:rFonts w:cs="Arial"/>
              </w:rPr>
            </w:pPr>
            <w:r w:rsidRPr="00E27225">
              <w:rPr>
                <w:rFonts w:cs="Arial"/>
              </w:rPr>
              <w:t>Миокарден инфаркт (докладвани са смъртни случаи)</w:t>
            </w:r>
            <w:r w:rsidRPr="00E27225">
              <w:rPr>
                <w:rFonts w:cs="Arial"/>
                <w:vertAlign w:val="superscript"/>
              </w:rPr>
              <w:t>4</w:t>
            </w:r>
            <w:r w:rsidRPr="00E27225">
              <w:rPr>
                <w:rFonts w:cs="Arial"/>
              </w:rPr>
              <w:t>, Сърдечна недостатъчност</w:t>
            </w:r>
            <w:r w:rsidRPr="00E27225">
              <w:rPr>
                <w:rFonts w:cs="Arial"/>
                <w:vertAlign w:val="superscript"/>
              </w:rPr>
              <w:t>4</w:t>
            </w:r>
          </w:p>
        </w:tc>
      </w:tr>
      <w:tr w:rsidR="005873C2" w:rsidRPr="00E27225" w14:paraId="5F8244B4" w14:textId="77777777" w:rsidTr="005873C2">
        <w:tc>
          <w:tcPr>
            <w:tcW w:w="3166" w:type="dxa"/>
          </w:tcPr>
          <w:p w14:paraId="3CD99D89" w14:textId="4B89D91A" w:rsidR="005873C2" w:rsidRPr="00E27225" w:rsidRDefault="005873C2" w:rsidP="005873C2">
            <w:pPr>
              <w:rPr>
                <w:rFonts w:cs="Arial"/>
              </w:rPr>
            </w:pPr>
            <w:r w:rsidRPr="00E27225">
              <w:rPr>
                <w:rFonts w:cs="Arial"/>
              </w:rPr>
              <w:t>Съдови нарушения</w:t>
            </w:r>
          </w:p>
        </w:tc>
        <w:tc>
          <w:tcPr>
            <w:tcW w:w="3167" w:type="dxa"/>
          </w:tcPr>
          <w:p w14:paraId="037D53C2" w14:textId="025AA047" w:rsidR="005873C2" w:rsidRPr="00E27225" w:rsidRDefault="005873C2" w:rsidP="005873C2">
            <w:pPr>
              <w:rPr>
                <w:rFonts w:cs="Arial"/>
              </w:rPr>
            </w:pPr>
            <w:r w:rsidRPr="00E27225">
              <w:rPr>
                <w:rFonts w:cs="Arial"/>
              </w:rPr>
              <w:t>Много чести</w:t>
            </w:r>
          </w:p>
        </w:tc>
        <w:tc>
          <w:tcPr>
            <w:tcW w:w="3167" w:type="dxa"/>
          </w:tcPr>
          <w:p w14:paraId="7A02FBC9" w14:textId="69C3717F" w:rsidR="005873C2" w:rsidRPr="00E27225" w:rsidRDefault="005873C2" w:rsidP="005873C2">
            <w:pPr>
              <w:rPr>
                <w:rFonts w:cs="Arial"/>
              </w:rPr>
            </w:pPr>
            <w:r w:rsidRPr="00E27225">
              <w:rPr>
                <w:rFonts w:cs="Arial"/>
              </w:rPr>
              <w:t>Горещи вълни</w:t>
            </w:r>
          </w:p>
        </w:tc>
      </w:tr>
      <w:tr w:rsidR="005873C2" w:rsidRPr="00E27225" w14:paraId="7904425E" w14:textId="77777777" w:rsidTr="005873C2">
        <w:tc>
          <w:tcPr>
            <w:tcW w:w="3166" w:type="dxa"/>
          </w:tcPr>
          <w:p w14:paraId="2392A2CE" w14:textId="04C4FB33" w:rsidR="005873C2" w:rsidRPr="00E27225" w:rsidRDefault="005873C2" w:rsidP="005873C2">
            <w:pPr>
              <w:rPr>
                <w:rFonts w:eastAsia="Times New Roman" w:cs="Arial"/>
                <w:lang w:eastAsia="bg-BG"/>
              </w:rPr>
            </w:pPr>
            <w:r w:rsidRPr="00E27225">
              <w:rPr>
                <w:rFonts w:cs="Arial"/>
              </w:rPr>
              <w:t xml:space="preserve">Респираторни, гръдни и </w:t>
            </w:r>
            <w:r w:rsidRPr="00E27225">
              <w:rPr>
                <w:rFonts w:eastAsia="Times New Roman" w:cs="Arial"/>
                <w:color w:val="000000"/>
                <w:lang w:eastAsia="bg-BG"/>
              </w:rPr>
              <w:t>медиастинални нарушения</w:t>
            </w:r>
          </w:p>
        </w:tc>
        <w:tc>
          <w:tcPr>
            <w:tcW w:w="3167" w:type="dxa"/>
          </w:tcPr>
          <w:p w14:paraId="4B7C8483" w14:textId="59A86078" w:rsidR="005873C2" w:rsidRPr="00E27225" w:rsidRDefault="005873C2" w:rsidP="005873C2">
            <w:pPr>
              <w:rPr>
                <w:rFonts w:cs="Arial"/>
              </w:rPr>
            </w:pPr>
            <w:r w:rsidRPr="00E27225">
              <w:rPr>
                <w:rFonts w:cs="Arial"/>
              </w:rPr>
              <w:t>С неизвестна честота</w:t>
            </w:r>
          </w:p>
        </w:tc>
        <w:tc>
          <w:tcPr>
            <w:tcW w:w="3167" w:type="dxa"/>
          </w:tcPr>
          <w:p w14:paraId="02F480F7" w14:textId="17D376EA" w:rsidR="005873C2" w:rsidRPr="00E27225" w:rsidRDefault="005873C2" w:rsidP="005873C2">
            <w:pPr>
              <w:rPr>
                <w:rFonts w:cs="Arial"/>
              </w:rPr>
            </w:pPr>
            <w:r w:rsidRPr="00E27225">
              <w:rPr>
                <w:rFonts w:cs="Arial"/>
              </w:rPr>
              <w:t xml:space="preserve">Интерстициална белодробна </w:t>
            </w:r>
            <w:r w:rsidRPr="00E27225">
              <w:rPr>
                <w:rFonts w:cs="Arial"/>
              </w:rPr>
              <w:t>болест</w:t>
            </w:r>
            <w:r w:rsidRPr="00E27225">
              <w:rPr>
                <w:rFonts w:cs="Arial"/>
                <w:vertAlign w:val="superscript"/>
              </w:rPr>
              <w:t>5</w:t>
            </w:r>
            <w:r w:rsidRPr="00E27225">
              <w:rPr>
                <w:rFonts w:cs="Arial"/>
              </w:rPr>
              <w:t xml:space="preserve"> (има съобщения за случаи на фатален изход)</w:t>
            </w:r>
          </w:p>
        </w:tc>
      </w:tr>
      <w:tr w:rsidR="005873C2" w:rsidRPr="00E27225" w14:paraId="322A0A62" w14:textId="77777777" w:rsidTr="005873C2">
        <w:tc>
          <w:tcPr>
            <w:tcW w:w="3166" w:type="dxa"/>
            <w:vMerge w:val="restart"/>
          </w:tcPr>
          <w:p w14:paraId="33730AA9" w14:textId="15448227" w:rsidR="005873C2" w:rsidRPr="00E27225" w:rsidRDefault="00E27225" w:rsidP="005873C2">
            <w:pPr>
              <w:rPr>
                <w:rFonts w:cs="Arial"/>
              </w:rPr>
            </w:pPr>
            <w:r w:rsidRPr="00E27225">
              <w:rPr>
                <w:rFonts w:cs="Arial"/>
              </w:rPr>
              <w:t>Стомашно-чревни нарушения</w:t>
            </w:r>
          </w:p>
        </w:tc>
        <w:tc>
          <w:tcPr>
            <w:tcW w:w="3167" w:type="dxa"/>
          </w:tcPr>
          <w:p w14:paraId="5F6CBF33" w14:textId="06AB8F1C" w:rsidR="005873C2" w:rsidRPr="00E27225" w:rsidRDefault="005873C2" w:rsidP="005873C2">
            <w:pPr>
              <w:rPr>
                <w:rFonts w:cs="Arial"/>
              </w:rPr>
            </w:pPr>
            <w:r w:rsidRPr="00E27225">
              <w:rPr>
                <w:rFonts w:cs="Arial"/>
              </w:rPr>
              <w:t>Много чести</w:t>
            </w:r>
          </w:p>
        </w:tc>
        <w:tc>
          <w:tcPr>
            <w:tcW w:w="3167" w:type="dxa"/>
          </w:tcPr>
          <w:p w14:paraId="7E9DE455" w14:textId="77777777" w:rsidR="005873C2" w:rsidRPr="00E27225" w:rsidRDefault="005873C2" w:rsidP="005873C2">
            <w:pPr>
              <w:rPr>
                <w:rFonts w:cs="Arial"/>
              </w:rPr>
            </w:pPr>
            <w:r w:rsidRPr="00E27225">
              <w:rPr>
                <w:rFonts w:cs="Arial"/>
              </w:rPr>
              <w:t>Коремна болка</w:t>
            </w:r>
          </w:p>
          <w:p w14:paraId="0A4D95CE" w14:textId="77777777" w:rsidR="005873C2" w:rsidRPr="00E27225" w:rsidRDefault="005873C2" w:rsidP="005873C2">
            <w:pPr>
              <w:rPr>
                <w:rFonts w:cs="Arial"/>
              </w:rPr>
            </w:pPr>
            <w:r w:rsidRPr="00E27225">
              <w:rPr>
                <w:rFonts w:cs="Arial"/>
              </w:rPr>
              <w:t>Запек</w:t>
            </w:r>
          </w:p>
          <w:p w14:paraId="69EFDE24" w14:textId="5D78BC4D" w:rsidR="005873C2" w:rsidRPr="00E27225" w:rsidRDefault="005873C2" w:rsidP="005873C2">
            <w:pPr>
              <w:rPr>
                <w:rFonts w:cs="Arial"/>
              </w:rPr>
            </w:pPr>
            <w:r w:rsidRPr="00E27225">
              <w:rPr>
                <w:rFonts w:cs="Arial"/>
              </w:rPr>
              <w:t>Гадене</w:t>
            </w:r>
          </w:p>
        </w:tc>
      </w:tr>
      <w:tr w:rsidR="005873C2" w:rsidRPr="00E27225" w14:paraId="7CA7640C" w14:textId="77777777" w:rsidTr="005873C2">
        <w:tc>
          <w:tcPr>
            <w:tcW w:w="3166" w:type="dxa"/>
            <w:vMerge/>
          </w:tcPr>
          <w:p w14:paraId="11DD1C62" w14:textId="77777777" w:rsidR="005873C2" w:rsidRPr="00E27225" w:rsidRDefault="005873C2" w:rsidP="005873C2">
            <w:pPr>
              <w:rPr>
                <w:rFonts w:cs="Arial"/>
              </w:rPr>
            </w:pPr>
          </w:p>
        </w:tc>
        <w:tc>
          <w:tcPr>
            <w:tcW w:w="3167" w:type="dxa"/>
          </w:tcPr>
          <w:p w14:paraId="6A9699B7" w14:textId="7BDCC636" w:rsidR="005873C2" w:rsidRPr="00E27225" w:rsidRDefault="005873C2" w:rsidP="005873C2">
            <w:pPr>
              <w:rPr>
                <w:rFonts w:cs="Arial"/>
              </w:rPr>
            </w:pPr>
            <w:r w:rsidRPr="00E27225">
              <w:rPr>
                <w:rFonts w:cs="Arial"/>
              </w:rPr>
              <w:t>Чести</w:t>
            </w:r>
          </w:p>
        </w:tc>
        <w:tc>
          <w:tcPr>
            <w:tcW w:w="3167" w:type="dxa"/>
          </w:tcPr>
          <w:p w14:paraId="5FAD0990" w14:textId="77777777" w:rsidR="005873C2" w:rsidRPr="00E27225" w:rsidRDefault="005873C2" w:rsidP="005873C2">
            <w:pPr>
              <w:rPr>
                <w:rFonts w:cs="Arial"/>
              </w:rPr>
            </w:pPr>
            <w:r w:rsidRPr="00E27225">
              <w:rPr>
                <w:rFonts w:cs="Arial"/>
              </w:rPr>
              <w:t>Диспепсия</w:t>
            </w:r>
          </w:p>
          <w:p w14:paraId="2E93F193" w14:textId="0C54D493" w:rsidR="005873C2" w:rsidRPr="00E27225" w:rsidRDefault="005873C2" w:rsidP="005873C2">
            <w:pPr>
              <w:rPr>
                <w:rFonts w:cs="Arial"/>
              </w:rPr>
            </w:pPr>
            <w:r w:rsidRPr="00E27225">
              <w:rPr>
                <w:rFonts w:cs="Arial"/>
              </w:rPr>
              <w:t>Флатуленция</w:t>
            </w:r>
          </w:p>
        </w:tc>
      </w:tr>
      <w:tr w:rsidR="00E27225" w:rsidRPr="00E27225" w14:paraId="503AAAEA" w14:textId="77777777" w:rsidTr="005873C2">
        <w:tc>
          <w:tcPr>
            <w:tcW w:w="3166" w:type="dxa"/>
            <w:vMerge w:val="restart"/>
          </w:tcPr>
          <w:p w14:paraId="3CB623C9" w14:textId="0CF115CE" w:rsidR="00E27225" w:rsidRPr="00E27225" w:rsidRDefault="00E27225" w:rsidP="00E27225">
            <w:pPr>
              <w:rPr>
                <w:rFonts w:cs="Arial"/>
              </w:rPr>
            </w:pPr>
            <w:r w:rsidRPr="00E27225">
              <w:rPr>
                <w:rFonts w:cs="Arial"/>
              </w:rPr>
              <w:t>Хепатобилиарни нарушения</w:t>
            </w:r>
          </w:p>
        </w:tc>
        <w:tc>
          <w:tcPr>
            <w:tcW w:w="3167" w:type="dxa"/>
          </w:tcPr>
          <w:p w14:paraId="3287A093" w14:textId="57952479" w:rsidR="00E27225" w:rsidRPr="00E27225" w:rsidRDefault="00E27225" w:rsidP="00E27225">
            <w:pPr>
              <w:rPr>
                <w:rFonts w:cs="Arial"/>
              </w:rPr>
            </w:pPr>
            <w:r w:rsidRPr="00E27225">
              <w:rPr>
                <w:rFonts w:cs="Arial"/>
              </w:rPr>
              <w:t>Чести</w:t>
            </w:r>
          </w:p>
        </w:tc>
        <w:tc>
          <w:tcPr>
            <w:tcW w:w="3167" w:type="dxa"/>
          </w:tcPr>
          <w:p w14:paraId="1827F6FB" w14:textId="0FA509BB" w:rsidR="00E27225" w:rsidRPr="00E27225" w:rsidRDefault="00E27225" w:rsidP="00E27225">
            <w:pPr>
              <w:rPr>
                <w:rFonts w:cs="Arial"/>
              </w:rPr>
            </w:pPr>
            <w:r w:rsidRPr="00E27225">
              <w:rPr>
                <w:rFonts w:cs="Arial"/>
              </w:rPr>
              <w:t>Хепатотоксичност, жълтеница, хипертрансаминаземия</w:t>
            </w:r>
            <w:r w:rsidRPr="00E27225">
              <w:rPr>
                <w:rFonts w:cs="Arial"/>
                <w:vertAlign w:val="superscript"/>
              </w:rPr>
              <w:t>1</w:t>
            </w:r>
          </w:p>
        </w:tc>
      </w:tr>
      <w:tr w:rsidR="00E27225" w:rsidRPr="00E27225" w14:paraId="72BBB517" w14:textId="77777777" w:rsidTr="005873C2">
        <w:tc>
          <w:tcPr>
            <w:tcW w:w="3166" w:type="dxa"/>
            <w:vMerge/>
          </w:tcPr>
          <w:p w14:paraId="75BBA188" w14:textId="77777777" w:rsidR="00E27225" w:rsidRPr="00E27225" w:rsidRDefault="00E27225" w:rsidP="00E27225">
            <w:pPr>
              <w:rPr>
                <w:rFonts w:cs="Arial"/>
              </w:rPr>
            </w:pPr>
          </w:p>
        </w:tc>
        <w:tc>
          <w:tcPr>
            <w:tcW w:w="3167" w:type="dxa"/>
          </w:tcPr>
          <w:p w14:paraId="3A30C608" w14:textId="49730142" w:rsidR="00E27225" w:rsidRPr="00E27225" w:rsidRDefault="00E27225" w:rsidP="00E27225">
            <w:pPr>
              <w:rPr>
                <w:rFonts w:cs="Arial"/>
              </w:rPr>
            </w:pPr>
            <w:r w:rsidRPr="00E27225">
              <w:rPr>
                <w:rFonts w:cs="Arial"/>
              </w:rPr>
              <w:t>Редки</w:t>
            </w:r>
          </w:p>
        </w:tc>
        <w:tc>
          <w:tcPr>
            <w:tcW w:w="3167" w:type="dxa"/>
          </w:tcPr>
          <w:p w14:paraId="7C2A02D6" w14:textId="79FA6594" w:rsidR="00E27225" w:rsidRPr="00E27225" w:rsidRDefault="00E27225" w:rsidP="00E27225">
            <w:pPr>
              <w:rPr>
                <w:rFonts w:cs="Arial"/>
              </w:rPr>
            </w:pPr>
            <w:r w:rsidRPr="00E27225">
              <w:rPr>
                <w:rFonts w:cs="Arial"/>
              </w:rPr>
              <w:t>Чернодробна недостатъчност</w:t>
            </w:r>
            <w:r w:rsidRPr="00E27225">
              <w:rPr>
                <w:rFonts w:cs="Arial"/>
                <w:vertAlign w:val="superscript"/>
              </w:rPr>
              <w:t>2</w:t>
            </w:r>
            <w:r w:rsidRPr="00E27225">
              <w:rPr>
                <w:rFonts w:cs="Arial"/>
              </w:rPr>
              <w:t>(има съобщения за случаи на фатален изход)</w:t>
            </w:r>
          </w:p>
        </w:tc>
      </w:tr>
      <w:tr w:rsidR="00E27225" w:rsidRPr="00E27225" w14:paraId="1132A006" w14:textId="77777777" w:rsidTr="005873C2">
        <w:tc>
          <w:tcPr>
            <w:tcW w:w="3166" w:type="dxa"/>
          </w:tcPr>
          <w:p w14:paraId="261F1C2F" w14:textId="6FBE141E" w:rsidR="00E27225" w:rsidRPr="00E27225" w:rsidRDefault="00E27225" w:rsidP="00E27225">
            <w:pPr>
              <w:rPr>
                <w:rFonts w:cs="Arial"/>
              </w:rPr>
            </w:pPr>
            <w:r w:rsidRPr="00E27225">
              <w:rPr>
                <w:rFonts w:cs="Arial"/>
              </w:rPr>
              <w:t>Нарушения на кожата и подкожната тъкан</w:t>
            </w:r>
          </w:p>
        </w:tc>
        <w:tc>
          <w:tcPr>
            <w:tcW w:w="3167" w:type="dxa"/>
          </w:tcPr>
          <w:p w14:paraId="1288EF0C" w14:textId="6A16B397" w:rsidR="00E27225" w:rsidRPr="00E27225" w:rsidRDefault="00E27225" w:rsidP="00E27225">
            <w:pPr>
              <w:rPr>
                <w:rFonts w:cs="Arial"/>
              </w:rPr>
            </w:pPr>
            <w:r w:rsidRPr="00E27225">
              <w:rPr>
                <w:rFonts w:cs="Arial"/>
              </w:rPr>
              <w:t>Чести</w:t>
            </w:r>
          </w:p>
        </w:tc>
        <w:tc>
          <w:tcPr>
            <w:tcW w:w="3167" w:type="dxa"/>
          </w:tcPr>
          <w:p w14:paraId="03F488E4" w14:textId="77777777" w:rsidR="00E27225" w:rsidRPr="00E27225" w:rsidRDefault="00E27225" w:rsidP="00E27225">
            <w:pPr>
              <w:rPr>
                <w:rFonts w:cs="Arial"/>
              </w:rPr>
            </w:pPr>
            <w:r w:rsidRPr="00E27225">
              <w:rPr>
                <w:rFonts w:cs="Arial"/>
              </w:rPr>
              <w:t>Алопеция</w:t>
            </w:r>
          </w:p>
          <w:p w14:paraId="57344EEB" w14:textId="77777777" w:rsidR="00E27225" w:rsidRPr="00E27225" w:rsidRDefault="00E27225" w:rsidP="00E27225">
            <w:pPr>
              <w:rPr>
                <w:rFonts w:cs="Arial"/>
              </w:rPr>
            </w:pPr>
            <w:r w:rsidRPr="00E27225">
              <w:rPr>
                <w:rFonts w:cs="Arial"/>
              </w:rPr>
              <w:t>Хирзутизъм/повторно израстване на косми</w:t>
            </w:r>
          </w:p>
          <w:p w14:paraId="0CC48124" w14:textId="77777777" w:rsidR="00E27225" w:rsidRPr="00E27225" w:rsidRDefault="00E27225" w:rsidP="00E27225">
            <w:pPr>
              <w:rPr>
                <w:rFonts w:cs="Arial"/>
              </w:rPr>
            </w:pPr>
            <w:r w:rsidRPr="00E27225">
              <w:rPr>
                <w:rFonts w:cs="Arial"/>
              </w:rPr>
              <w:t>Суха кожа</w:t>
            </w:r>
          </w:p>
          <w:p w14:paraId="699AE78A" w14:textId="77777777" w:rsidR="00E27225" w:rsidRPr="00E27225" w:rsidRDefault="00E27225" w:rsidP="00E27225">
            <w:pPr>
              <w:rPr>
                <w:rFonts w:cs="Arial"/>
              </w:rPr>
            </w:pPr>
            <w:r w:rsidRPr="00E27225">
              <w:rPr>
                <w:rFonts w:cs="Arial"/>
              </w:rPr>
              <w:t>Пруритус</w:t>
            </w:r>
          </w:p>
          <w:p w14:paraId="2A476D23" w14:textId="76B19270" w:rsidR="00E27225" w:rsidRPr="00E27225" w:rsidRDefault="00E27225" w:rsidP="00E27225">
            <w:pPr>
              <w:rPr>
                <w:rFonts w:cs="Arial"/>
              </w:rPr>
            </w:pPr>
            <w:r w:rsidRPr="00E27225">
              <w:rPr>
                <w:rFonts w:cs="Arial"/>
              </w:rPr>
              <w:t>Обрив</w:t>
            </w:r>
          </w:p>
        </w:tc>
      </w:tr>
      <w:tr w:rsidR="00E27225" w:rsidRPr="00E27225" w14:paraId="49E28948" w14:textId="77777777" w:rsidTr="005873C2">
        <w:tc>
          <w:tcPr>
            <w:tcW w:w="3166" w:type="dxa"/>
          </w:tcPr>
          <w:p w14:paraId="5E31C485" w14:textId="154BD5D1" w:rsidR="00E27225" w:rsidRPr="00E27225" w:rsidRDefault="00E27225" w:rsidP="00E27225">
            <w:pPr>
              <w:rPr>
                <w:rFonts w:cs="Arial"/>
              </w:rPr>
            </w:pPr>
            <w:r w:rsidRPr="00E27225">
              <w:rPr>
                <w:rFonts w:cs="Arial"/>
              </w:rPr>
              <w:t>Нарушения на бъбреците и пикочните пътища</w:t>
            </w:r>
          </w:p>
        </w:tc>
        <w:tc>
          <w:tcPr>
            <w:tcW w:w="3167" w:type="dxa"/>
          </w:tcPr>
          <w:p w14:paraId="364D00F4" w14:textId="1956619C" w:rsidR="00E27225" w:rsidRPr="00E27225" w:rsidRDefault="00E27225" w:rsidP="00E27225">
            <w:pPr>
              <w:rPr>
                <w:rFonts w:cs="Arial"/>
              </w:rPr>
            </w:pPr>
            <w:r w:rsidRPr="00E27225">
              <w:rPr>
                <w:rFonts w:cs="Arial"/>
              </w:rPr>
              <w:t>Много чести</w:t>
            </w:r>
          </w:p>
        </w:tc>
        <w:tc>
          <w:tcPr>
            <w:tcW w:w="3167" w:type="dxa"/>
          </w:tcPr>
          <w:p w14:paraId="432A53ED" w14:textId="21EB575E" w:rsidR="00E27225" w:rsidRPr="00E27225" w:rsidRDefault="00E27225" w:rsidP="00E27225">
            <w:pPr>
              <w:rPr>
                <w:rFonts w:cs="Arial"/>
              </w:rPr>
            </w:pPr>
            <w:r w:rsidRPr="00E27225">
              <w:rPr>
                <w:rFonts w:cs="Arial"/>
              </w:rPr>
              <w:t>Хематурия</w:t>
            </w:r>
          </w:p>
        </w:tc>
      </w:tr>
      <w:tr w:rsidR="00E27225" w:rsidRPr="00E27225" w14:paraId="2C303230" w14:textId="77777777" w:rsidTr="005873C2">
        <w:tc>
          <w:tcPr>
            <w:tcW w:w="3166" w:type="dxa"/>
            <w:vMerge w:val="restart"/>
          </w:tcPr>
          <w:p w14:paraId="146229B4" w14:textId="77777777" w:rsidR="00E27225" w:rsidRPr="00E27225" w:rsidRDefault="00E27225" w:rsidP="00E27225">
            <w:pPr>
              <w:spacing w:line="240" w:lineRule="auto"/>
              <w:rPr>
                <w:rFonts w:eastAsia="Times New Roman" w:cs="Arial"/>
                <w:lang w:eastAsia="bg-BG"/>
              </w:rPr>
            </w:pPr>
            <w:r w:rsidRPr="00E27225">
              <w:rPr>
                <w:rFonts w:eastAsia="Times New Roman" w:cs="Arial"/>
                <w:color w:val="000000"/>
                <w:lang w:eastAsia="bg-BG"/>
              </w:rPr>
              <w:t>Нарушения на</w:t>
            </w:r>
          </w:p>
          <w:p w14:paraId="12B9755D" w14:textId="14E6A906" w:rsidR="00E27225" w:rsidRPr="00E27225" w:rsidRDefault="00E27225" w:rsidP="00E27225">
            <w:pPr>
              <w:rPr>
                <w:rFonts w:cs="Arial"/>
              </w:rPr>
            </w:pPr>
            <w:r w:rsidRPr="00E27225">
              <w:rPr>
                <w:rFonts w:eastAsia="Times New Roman" w:cs="Arial"/>
                <w:color w:val="000000"/>
                <w:lang w:eastAsia="bg-BG"/>
              </w:rPr>
              <w:t>възпроизводителната система и гърдата</w:t>
            </w:r>
          </w:p>
        </w:tc>
        <w:tc>
          <w:tcPr>
            <w:tcW w:w="3167" w:type="dxa"/>
          </w:tcPr>
          <w:p w14:paraId="6FD81AF8" w14:textId="0C6D5080" w:rsidR="00E27225" w:rsidRPr="00E27225" w:rsidRDefault="00E27225" w:rsidP="00E27225">
            <w:pPr>
              <w:rPr>
                <w:rFonts w:cs="Arial"/>
              </w:rPr>
            </w:pPr>
            <w:r w:rsidRPr="00E27225">
              <w:rPr>
                <w:rFonts w:cs="Arial"/>
              </w:rPr>
              <w:t>Много чести</w:t>
            </w:r>
          </w:p>
        </w:tc>
        <w:tc>
          <w:tcPr>
            <w:tcW w:w="3167" w:type="dxa"/>
          </w:tcPr>
          <w:p w14:paraId="508F800C" w14:textId="358A8DC3" w:rsidR="00E27225" w:rsidRPr="00E27225" w:rsidRDefault="00E27225" w:rsidP="00E27225">
            <w:pPr>
              <w:rPr>
                <w:rFonts w:cs="Arial"/>
              </w:rPr>
            </w:pPr>
            <w:r w:rsidRPr="00E27225">
              <w:rPr>
                <w:rFonts w:cs="Arial"/>
              </w:rPr>
              <w:t>Гинекомастия и болезненост  на гърдата</w:t>
            </w:r>
            <w:r w:rsidRPr="00E27225">
              <w:rPr>
                <w:rFonts w:cs="Arial"/>
                <w:vertAlign w:val="superscript"/>
              </w:rPr>
              <w:t>3</w:t>
            </w:r>
          </w:p>
        </w:tc>
      </w:tr>
      <w:tr w:rsidR="00E27225" w:rsidRPr="00E27225" w14:paraId="5F689E5F" w14:textId="77777777" w:rsidTr="005873C2">
        <w:tc>
          <w:tcPr>
            <w:tcW w:w="3166" w:type="dxa"/>
            <w:vMerge/>
          </w:tcPr>
          <w:p w14:paraId="50022F82" w14:textId="77777777" w:rsidR="00E27225" w:rsidRPr="00E27225" w:rsidRDefault="00E27225" w:rsidP="00E27225">
            <w:pPr>
              <w:rPr>
                <w:rFonts w:cs="Arial"/>
              </w:rPr>
            </w:pPr>
          </w:p>
        </w:tc>
        <w:tc>
          <w:tcPr>
            <w:tcW w:w="3167" w:type="dxa"/>
          </w:tcPr>
          <w:p w14:paraId="7EE5606B" w14:textId="5505C406" w:rsidR="00E27225" w:rsidRPr="00E27225" w:rsidRDefault="00E27225" w:rsidP="00E27225">
            <w:pPr>
              <w:rPr>
                <w:rFonts w:cs="Arial"/>
              </w:rPr>
            </w:pPr>
            <w:r w:rsidRPr="00E27225">
              <w:rPr>
                <w:rFonts w:cs="Arial"/>
              </w:rPr>
              <w:t>Чести</w:t>
            </w:r>
          </w:p>
        </w:tc>
        <w:tc>
          <w:tcPr>
            <w:tcW w:w="3167" w:type="dxa"/>
          </w:tcPr>
          <w:p w14:paraId="40B0F30A" w14:textId="593DF059" w:rsidR="00E27225" w:rsidRPr="00E27225" w:rsidRDefault="00E27225" w:rsidP="00E27225">
            <w:pPr>
              <w:rPr>
                <w:rFonts w:cs="Arial"/>
              </w:rPr>
            </w:pPr>
            <w:r w:rsidRPr="00E27225">
              <w:rPr>
                <w:rFonts w:cs="Arial"/>
              </w:rPr>
              <w:t>Еректилна дисфункция</w:t>
            </w:r>
          </w:p>
        </w:tc>
      </w:tr>
      <w:tr w:rsidR="00E27225" w:rsidRPr="00E27225" w14:paraId="07587228" w14:textId="77777777" w:rsidTr="005873C2">
        <w:tc>
          <w:tcPr>
            <w:tcW w:w="3166" w:type="dxa"/>
            <w:vMerge w:val="restart"/>
          </w:tcPr>
          <w:p w14:paraId="4B909740" w14:textId="1D20C6A2" w:rsidR="00E27225" w:rsidRPr="00E27225" w:rsidRDefault="00E27225" w:rsidP="00E27225">
            <w:pPr>
              <w:rPr>
                <w:rFonts w:cs="Arial"/>
              </w:rPr>
            </w:pPr>
            <w:r w:rsidRPr="00E27225">
              <w:rPr>
                <w:rFonts w:cs="Arial"/>
              </w:rPr>
              <w:t>Общи нарушения и ефекти на мястото на приложение</w:t>
            </w:r>
          </w:p>
        </w:tc>
        <w:tc>
          <w:tcPr>
            <w:tcW w:w="3167" w:type="dxa"/>
          </w:tcPr>
          <w:p w14:paraId="05074BF1" w14:textId="37E820E4" w:rsidR="00E27225" w:rsidRPr="00E27225" w:rsidRDefault="00E27225" w:rsidP="00E27225">
            <w:pPr>
              <w:rPr>
                <w:rFonts w:cs="Arial"/>
              </w:rPr>
            </w:pPr>
            <w:r w:rsidRPr="00E27225">
              <w:rPr>
                <w:rFonts w:cs="Arial"/>
              </w:rPr>
              <w:t>Много чести</w:t>
            </w:r>
          </w:p>
        </w:tc>
        <w:tc>
          <w:tcPr>
            <w:tcW w:w="3167" w:type="dxa"/>
          </w:tcPr>
          <w:p w14:paraId="03F9204A" w14:textId="5F42A258" w:rsidR="00E27225" w:rsidRPr="00E27225" w:rsidRDefault="00E27225" w:rsidP="00E27225">
            <w:pPr>
              <w:rPr>
                <w:rFonts w:cs="Arial"/>
              </w:rPr>
            </w:pPr>
            <w:r w:rsidRPr="00E27225">
              <w:rPr>
                <w:rFonts w:cs="Arial"/>
              </w:rPr>
              <w:t>Астения</w:t>
            </w:r>
          </w:p>
        </w:tc>
      </w:tr>
      <w:tr w:rsidR="00E27225" w:rsidRPr="00E27225" w14:paraId="7D25A62E" w14:textId="77777777" w:rsidTr="005873C2">
        <w:tc>
          <w:tcPr>
            <w:tcW w:w="3166" w:type="dxa"/>
            <w:vMerge/>
          </w:tcPr>
          <w:p w14:paraId="67200FA4" w14:textId="77777777" w:rsidR="00E27225" w:rsidRPr="00E27225" w:rsidRDefault="00E27225" w:rsidP="00E27225">
            <w:pPr>
              <w:rPr>
                <w:rFonts w:cs="Arial"/>
              </w:rPr>
            </w:pPr>
          </w:p>
        </w:tc>
        <w:tc>
          <w:tcPr>
            <w:tcW w:w="3167" w:type="dxa"/>
          </w:tcPr>
          <w:p w14:paraId="5404FFBC" w14:textId="1A5AE9CE" w:rsidR="00E27225" w:rsidRPr="00E27225" w:rsidRDefault="00E27225" w:rsidP="00E27225">
            <w:pPr>
              <w:rPr>
                <w:rFonts w:cs="Arial"/>
              </w:rPr>
            </w:pPr>
            <w:r w:rsidRPr="00E27225">
              <w:rPr>
                <w:rFonts w:cs="Arial"/>
              </w:rPr>
              <w:t>Чести</w:t>
            </w:r>
          </w:p>
        </w:tc>
        <w:tc>
          <w:tcPr>
            <w:tcW w:w="3167" w:type="dxa"/>
          </w:tcPr>
          <w:p w14:paraId="5ED3C47C" w14:textId="2CC84387" w:rsidR="00E27225" w:rsidRPr="00E27225" w:rsidRDefault="00E27225" w:rsidP="00E27225">
            <w:pPr>
              <w:rPr>
                <w:rFonts w:cs="Arial"/>
              </w:rPr>
            </w:pPr>
            <w:r w:rsidRPr="00E27225">
              <w:rPr>
                <w:rFonts w:cs="Arial"/>
              </w:rPr>
              <w:t>Гръдна болка</w:t>
            </w:r>
          </w:p>
        </w:tc>
      </w:tr>
      <w:tr w:rsidR="00E27225" w:rsidRPr="00E27225" w14:paraId="06A9770B" w14:textId="77777777" w:rsidTr="005873C2">
        <w:tc>
          <w:tcPr>
            <w:tcW w:w="3166" w:type="dxa"/>
          </w:tcPr>
          <w:p w14:paraId="28652A73" w14:textId="457571C6" w:rsidR="00E27225" w:rsidRPr="00E27225" w:rsidRDefault="00E27225" w:rsidP="00E27225">
            <w:pPr>
              <w:rPr>
                <w:rFonts w:cs="Arial"/>
              </w:rPr>
            </w:pPr>
            <w:r w:rsidRPr="00E27225">
              <w:rPr>
                <w:rFonts w:cs="Arial"/>
              </w:rPr>
              <w:t>Изследвания</w:t>
            </w:r>
          </w:p>
        </w:tc>
        <w:tc>
          <w:tcPr>
            <w:tcW w:w="3167" w:type="dxa"/>
          </w:tcPr>
          <w:p w14:paraId="4C1A3B71" w14:textId="19D354A8" w:rsidR="00E27225" w:rsidRPr="00E27225" w:rsidRDefault="00E27225" w:rsidP="00E27225">
            <w:pPr>
              <w:rPr>
                <w:rFonts w:cs="Arial"/>
              </w:rPr>
            </w:pPr>
            <w:r w:rsidRPr="00E27225">
              <w:rPr>
                <w:rFonts w:cs="Arial"/>
              </w:rPr>
              <w:t>Чести</w:t>
            </w:r>
          </w:p>
        </w:tc>
        <w:tc>
          <w:tcPr>
            <w:tcW w:w="3167" w:type="dxa"/>
          </w:tcPr>
          <w:p w14:paraId="25674AB3" w14:textId="5B6376DD" w:rsidR="00E27225" w:rsidRPr="00E27225" w:rsidRDefault="00E27225" w:rsidP="00E27225">
            <w:pPr>
              <w:rPr>
                <w:rFonts w:cs="Arial"/>
              </w:rPr>
            </w:pPr>
            <w:r w:rsidRPr="00E27225">
              <w:rPr>
                <w:rFonts w:cs="Arial"/>
              </w:rPr>
              <w:t>Наддаване на тегло</w:t>
            </w:r>
          </w:p>
        </w:tc>
      </w:tr>
    </w:tbl>
    <w:p w14:paraId="44BBD0F7" w14:textId="1B1FC2C7" w:rsidR="00E27225" w:rsidRPr="00E27225" w:rsidRDefault="00E27225" w:rsidP="00E27225">
      <w:pPr>
        <w:rPr>
          <w:sz w:val="24"/>
        </w:rPr>
      </w:pPr>
      <w:r w:rsidRPr="00E27225">
        <w:rPr>
          <w:szCs w:val="20"/>
        </w:rPr>
        <w:lastRenderedPageBreak/>
        <w:footnoteRef/>
      </w:r>
      <w:r>
        <w:rPr>
          <w:szCs w:val="20"/>
        </w:rPr>
        <w:t>.</w:t>
      </w:r>
      <w:r w:rsidRPr="00E27225">
        <w:rPr>
          <w:szCs w:val="20"/>
        </w:rPr>
        <w:t>Чернодробните промени рядко са тежки и често са преходни, изчезващи или подобряващи се при продължителна терапия или последващо прекратяване на терапията (вж. точка 4.4)</w:t>
      </w:r>
    </w:p>
    <w:p w14:paraId="744C5B0F" w14:textId="4C205E87" w:rsidR="00E27225" w:rsidRPr="00E27225" w:rsidRDefault="00E27225" w:rsidP="00E27225">
      <w:pPr>
        <w:rPr>
          <w:sz w:val="24"/>
        </w:rPr>
      </w:pPr>
      <w:r>
        <w:rPr>
          <w:szCs w:val="20"/>
        </w:rPr>
        <w:t>2.</w:t>
      </w:r>
      <w:r w:rsidRPr="00E27225">
        <w:rPr>
          <w:szCs w:val="20"/>
        </w:rPr>
        <w:t>Изброена като нежелана лекарствена реакция, след преглед на пост-маркетинговите данни.</w:t>
      </w:r>
    </w:p>
    <w:p w14:paraId="304E4BA8" w14:textId="77777777" w:rsidR="00E27225" w:rsidRPr="00E27225" w:rsidRDefault="00E27225" w:rsidP="00E27225">
      <w:pPr>
        <w:rPr>
          <w:sz w:val="24"/>
        </w:rPr>
      </w:pPr>
      <w:r w:rsidRPr="00E27225">
        <w:rPr>
          <w:szCs w:val="20"/>
        </w:rPr>
        <w:t>Честотата се определя от честотата на докладваните нежелани лекарствени реакции на чернодробна недостатъчност при пациенти, получаващи лечение в отворени практически</w:t>
      </w:r>
      <w:r w:rsidRPr="00E27225">
        <w:rPr>
          <w:rFonts w:cs="Arial"/>
          <w:b/>
          <w:bCs/>
          <w:smallCaps/>
          <w:szCs w:val="20"/>
        </w:rPr>
        <w:t xml:space="preserve"> </w:t>
      </w:r>
      <w:r w:rsidRPr="00E27225">
        <w:rPr>
          <w:szCs w:val="20"/>
        </w:rPr>
        <w:t xml:space="preserve">центрове, основани на научни доказателства (ЕРС), свързани с бикалутамид 150 </w:t>
      </w:r>
      <w:r w:rsidRPr="00E27225">
        <w:rPr>
          <w:szCs w:val="20"/>
          <w:lang w:val="en-US"/>
        </w:rPr>
        <w:t>mg.</w:t>
      </w:r>
    </w:p>
    <w:p w14:paraId="07261EA5" w14:textId="4C3E6A60" w:rsidR="00E27225" w:rsidRDefault="00E27225" w:rsidP="00E27225">
      <w:pPr>
        <w:pStyle w:val="Heading2"/>
        <w:rPr>
          <w:sz w:val="22"/>
          <w:szCs w:val="20"/>
        </w:rPr>
      </w:pPr>
      <w:r>
        <w:rPr>
          <w:sz w:val="22"/>
          <w:szCs w:val="20"/>
        </w:rPr>
        <w:t>3.</w:t>
      </w:r>
      <w:r w:rsidRPr="00E27225">
        <w:rPr>
          <w:sz w:val="22"/>
          <w:szCs w:val="20"/>
        </w:rPr>
        <w:t>Може да се намали от съпътстваща кастрация.</w:t>
      </w:r>
    </w:p>
    <w:p w14:paraId="4C3B94D0"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 xml:space="preserve">4. Наблюдавана във фармакоепидемиологично проучване на </w:t>
      </w:r>
      <w:r w:rsidRPr="00E27225">
        <w:rPr>
          <w:rFonts w:eastAsia="Times New Roman" w:cs="Arial"/>
          <w:color w:val="000000"/>
          <w:szCs w:val="20"/>
          <w:lang w:val="en-US"/>
        </w:rPr>
        <w:t xml:space="preserve">LHRH </w:t>
      </w:r>
      <w:r w:rsidRPr="00E27225">
        <w:rPr>
          <w:rFonts w:eastAsia="Times New Roman" w:cs="Arial"/>
          <w:color w:val="000000"/>
          <w:szCs w:val="20"/>
          <w:lang w:eastAsia="bg-BG"/>
        </w:rPr>
        <w:t xml:space="preserve">агонисти и антиандрогени, използвани за лечение на рак на простатата. Рискът изглежда повишен, когато бикалутамид е използван в комбинация с </w:t>
      </w:r>
      <w:r w:rsidRPr="00E27225">
        <w:rPr>
          <w:rFonts w:eastAsia="Times New Roman" w:cs="Arial"/>
          <w:color w:val="000000"/>
          <w:szCs w:val="20"/>
          <w:lang w:val="en-US"/>
        </w:rPr>
        <w:t xml:space="preserve">LHRH </w:t>
      </w:r>
      <w:r w:rsidRPr="00E27225">
        <w:rPr>
          <w:rFonts w:eastAsia="Times New Roman" w:cs="Arial"/>
          <w:color w:val="000000"/>
          <w:szCs w:val="20"/>
          <w:lang w:eastAsia="bg-BG"/>
        </w:rPr>
        <w:t>агонисти, но не е наблюдавано повишение на риска, когато бикалутамид е използван като монотерапия за лечение на рак на простатата.</w:t>
      </w:r>
    </w:p>
    <w:p w14:paraId="1183CEAD" w14:textId="24C8CF9F" w:rsidR="00E27225" w:rsidRPr="00E27225" w:rsidRDefault="00E27225" w:rsidP="00E27225">
      <w:pPr>
        <w:rPr>
          <w:rFonts w:cs="Arial"/>
          <w:sz w:val="24"/>
        </w:rPr>
      </w:pPr>
      <w:r w:rsidRPr="00E27225">
        <w:rPr>
          <w:rFonts w:eastAsia="Times New Roman" w:cs="Arial"/>
          <w:color w:val="000000"/>
          <w:szCs w:val="20"/>
          <w:lang w:eastAsia="bg-BG"/>
        </w:rPr>
        <w:t xml:space="preserve">5. Изброена като нежелана лекарствена реакция, след преглед на пост-маркетинговите данни.Честотата се определя от честотата на докладваните нежелани лекарствени реакции на интерстициална пневмония в рандомизиран период на лечение от 150 </w:t>
      </w:r>
      <w:r w:rsidRPr="00E27225">
        <w:rPr>
          <w:rFonts w:eastAsia="Times New Roman" w:cs="Arial"/>
          <w:color w:val="000000"/>
          <w:szCs w:val="20"/>
          <w:lang w:val="en-US"/>
        </w:rPr>
        <w:t xml:space="preserve">mg </w:t>
      </w:r>
      <w:r w:rsidRPr="00E27225">
        <w:rPr>
          <w:rFonts w:eastAsia="Times New Roman" w:cs="Arial"/>
          <w:color w:val="000000"/>
          <w:szCs w:val="20"/>
          <w:lang w:eastAsia="bg-BG"/>
        </w:rPr>
        <w:t>в практически центрове, основани на научни доказателства (ЕРС).</w:t>
      </w:r>
    </w:p>
    <w:p w14:paraId="2AC5CCB9" w14:textId="77777777" w:rsidR="00E27225" w:rsidRDefault="00E27225" w:rsidP="00E27225">
      <w:pPr>
        <w:pStyle w:val="Heading2"/>
        <w:rPr>
          <w:sz w:val="20"/>
          <w:szCs w:val="20"/>
        </w:rPr>
      </w:pPr>
    </w:p>
    <w:p w14:paraId="0A023CE0" w14:textId="6070DCAC" w:rsidR="00CF77F7" w:rsidRDefault="002C50EE" w:rsidP="00E27225">
      <w:pPr>
        <w:pStyle w:val="Heading2"/>
      </w:pPr>
      <w:r>
        <w:t>4.9. Предозиране</w:t>
      </w:r>
    </w:p>
    <w:p w14:paraId="64CEAECA" w14:textId="68146255" w:rsidR="00E27225" w:rsidRDefault="00E27225" w:rsidP="00E27225"/>
    <w:p w14:paraId="710D46BF" w14:textId="30539046" w:rsidR="00E27225" w:rsidRPr="00E27225" w:rsidRDefault="00E27225" w:rsidP="00E27225">
      <w:pPr>
        <w:rPr>
          <w:sz w:val="24"/>
        </w:rPr>
      </w:pPr>
      <w:r w:rsidRPr="00E27225">
        <w:rPr>
          <w:szCs w:val="20"/>
        </w:rPr>
        <w:t>Няма съобщения за случаи на предозиране. Тъй като бикалутамид спада към анилидните съединения, съществува теоретичен риск от развитие на метхемоглобинемия. Метхемоглобинемия е наблюдав</w:t>
      </w:r>
      <w:bookmarkStart w:id="1" w:name="_GoBack"/>
      <w:bookmarkEnd w:id="1"/>
      <w:r w:rsidRPr="00E27225">
        <w:rPr>
          <w:szCs w:val="20"/>
        </w:rPr>
        <w:t>ана при животни след предозиране. Това означава, че пациент с остра интоксикация може да има цианоза. Не съществува специфичен антидот; лечението трябва да бъде симптоматично. Няма голяма вероятност диализата да бъде от полза, тъй като бикалутамид е свързан във висока степен с протеините и не се открива непроменен в урината. Показани са общи поддържащи грижи, включващи често мониториране на виталните показатели.</w:t>
      </w:r>
    </w:p>
    <w:p w14:paraId="02081B24" w14:textId="1915986D" w:rsidR="00395555" w:rsidRDefault="002C50EE" w:rsidP="008A6AF2">
      <w:pPr>
        <w:pStyle w:val="Heading1"/>
      </w:pPr>
      <w:r>
        <w:t>5. ФАРМАКОЛОГИЧНИ СВОЙСТВА</w:t>
      </w:r>
    </w:p>
    <w:p w14:paraId="6E9E79BD" w14:textId="58528AA6" w:rsidR="00E27225" w:rsidRPr="00E27225" w:rsidRDefault="00E27225" w:rsidP="00E27225"/>
    <w:p w14:paraId="32B6DE66" w14:textId="50B13342" w:rsidR="00CF77F7" w:rsidRDefault="002C50EE" w:rsidP="004A448E">
      <w:pPr>
        <w:pStyle w:val="Heading2"/>
      </w:pPr>
      <w:r>
        <w:t>5.1. Фармакодинамични свойства</w:t>
      </w:r>
    </w:p>
    <w:p w14:paraId="39083E86" w14:textId="719DE954" w:rsidR="00E27225" w:rsidRDefault="00E27225" w:rsidP="00E27225"/>
    <w:p w14:paraId="1D3DCE97"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b/>
          <w:bCs/>
          <w:color w:val="000000"/>
          <w:szCs w:val="20"/>
          <w:lang w:eastAsia="bg-BG"/>
        </w:rPr>
        <w:t xml:space="preserve">Фармакотерапевтична група: </w:t>
      </w:r>
      <w:r w:rsidRPr="00E27225">
        <w:rPr>
          <w:rFonts w:eastAsia="Times New Roman" w:cs="Arial"/>
          <w:color w:val="000000"/>
          <w:szCs w:val="20"/>
          <w:lang w:eastAsia="bg-BG"/>
        </w:rPr>
        <w:t>Хормонални антагонисти и свързани средства, нестероидни антиандрогени,</w:t>
      </w:r>
    </w:p>
    <w:p w14:paraId="672B40CF"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АТС</w:t>
      </w:r>
      <w:r w:rsidRPr="00E27225">
        <w:rPr>
          <w:rFonts w:eastAsia="Times New Roman" w:cs="Arial"/>
          <w:color w:val="000000"/>
          <w:szCs w:val="20"/>
          <w:lang w:val="en-US"/>
        </w:rPr>
        <w:t xml:space="preserve"> </w:t>
      </w:r>
      <w:r w:rsidRPr="00E27225">
        <w:rPr>
          <w:rFonts w:eastAsia="Times New Roman" w:cs="Arial"/>
          <w:color w:val="000000"/>
          <w:szCs w:val="20"/>
          <w:lang w:eastAsia="bg-BG"/>
        </w:rPr>
        <w:t xml:space="preserve">код: </w:t>
      </w:r>
      <w:r w:rsidRPr="00E27225">
        <w:rPr>
          <w:rFonts w:eastAsia="Times New Roman" w:cs="Arial"/>
          <w:color w:val="000000"/>
          <w:szCs w:val="20"/>
          <w:lang w:val="en-US"/>
        </w:rPr>
        <w:t>L02 BB03.</w:t>
      </w:r>
    </w:p>
    <w:p w14:paraId="6A367F4A" w14:textId="77777777" w:rsidR="00E27225" w:rsidRPr="00E27225" w:rsidRDefault="00E27225" w:rsidP="00E27225">
      <w:pPr>
        <w:spacing w:line="240" w:lineRule="auto"/>
        <w:rPr>
          <w:rFonts w:eastAsia="Times New Roman" w:cs="Arial"/>
          <w:color w:val="000000"/>
          <w:szCs w:val="20"/>
          <w:lang w:eastAsia="bg-BG"/>
        </w:rPr>
      </w:pPr>
    </w:p>
    <w:p w14:paraId="016229C2" w14:textId="5094741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Бикалутамид е нестроиден антиандроген, лишен от друга ендокринна активност. Той се свързва към андрогеновите рецептори, без да активира генна експресия, като по такъв начин инхибира андрогенния стимул. Регресията на простатните тумори се дължи на това инхибиране. Клинично спирането на бикалутамид може да причини антиандрогенен синдром на отнемане при една подгрупа от пациенти.</w:t>
      </w:r>
    </w:p>
    <w:p w14:paraId="520D325A" w14:textId="2DE8A1D0" w:rsidR="00E27225" w:rsidRPr="00E27225" w:rsidRDefault="00E27225" w:rsidP="00E27225">
      <w:pPr>
        <w:rPr>
          <w:rFonts w:cs="Arial"/>
          <w:sz w:val="24"/>
        </w:rPr>
      </w:pPr>
      <w:r w:rsidRPr="00E27225">
        <w:rPr>
          <w:rFonts w:eastAsia="Times New Roman" w:cs="Arial"/>
          <w:color w:val="000000"/>
          <w:szCs w:val="20"/>
          <w:lang w:eastAsia="bg-BG"/>
        </w:rPr>
        <w:t xml:space="preserve">Бикалутамид е рацемат, чиято антиандрогенна активност се пада почти изключително на </w:t>
      </w:r>
      <w:r w:rsidRPr="00E27225">
        <w:rPr>
          <w:rFonts w:eastAsia="Times New Roman" w:cs="Arial"/>
          <w:color w:val="000000"/>
          <w:szCs w:val="20"/>
          <w:lang w:val="en-US"/>
        </w:rPr>
        <w:t xml:space="preserve">(R)- </w:t>
      </w:r>
      <w:r w:rsidRPr="00E27225">
        <w:rPr>
          <w:rFonts w:eastAsia="Times New Roman" w:cs="Arial"/>
          <w:color w:val="000000"/>
          <w:szCs w:val="20"/>
          <w:lang w:eastAsia="bg-BG"/>
        </w:rPr>
        <w:t>енантиомера.</w:t>
      </w:r>
    </w:p>
    <w:p w14:paraId="75F52327" w14:textId="77777777" w:rsidR="00E27225" w:rsidRPr="00E27225" w:rsidRDefault="00E27225" w:rsidP="00E27225"/>
    <w:p w14:paraId="35F84B81" w14:textId="51CED261" w:rsidR="00CF77F7" w:rsidRDefault="002C50EE" w:rsidP="004A448E">
      <w:pPr>
        <w:pStyle w:val="Heading2"/>
      </w:pPr>
      <w:r>
        <w:lastRenderedPageBreak/>
        <w:t>5.2. Фармакокинетични свойства</w:t>
      </w:r>
    </w:p>
    <w:p w14:paraId="0669B27A" w14:textId="1FF0A0A1" w:rsidR="00E27225" w:rsidRDefault="00E27225" w:rsidP="00E27225"/>
    <w:p w14:paraId="429DA303"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Бикалутамид се абсорбира добре след перорално приложение. Липсват данни за клинично значим ефект на храната върху бионаличността.</w:t>
      </w:r>
    </w:p>
    <w:p w14:paraId="34837FA9"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w:t>
      </w:r>
      <w:r w:rsidRPr="00E27225">
        <w:rPr>
          <w:rFonts w:eastAsia="Times New Roman" w:cs="Arial"/>
          <w:color w:val="000000"/>
          <w:szCs w:val="20"/>
          <w:lang w:val="en-US"/>
        </w:rPr>
        <w:t>S</w:t>
      </w:r>
      <w:r w:rsidRPr="00E27225">
        <w:rPr>
          <w:rFonts w:eastAsia="Times New Roman" w:cs="Arial"/>
          <w:color w:val="000000"/>
          <w:szCs w:val="20"/>
          <w:lang w:eastAsia="bg-BG"/>
        </w:rPr>
        <w:t>)-енантиомерът има бърз клирънс в сравнение с (</w:t>
      </w:r>
      <w:r w:rsidRPr="00E27225">
        <w:rPr>
          <w:rFonts w:eastAsia="Times New Roman" w:cs="Arial"/>
          <w:color w:val="000000"/>
          <w:szCs w:val="20"/>
          <w:lang w:val="en-US"/>
        </w:rPr>
        <w:t>R</w:t>
      </w:r>
      <w:r w:rsidRPr="00E27225">
        <w:rPr>
          <w:rFonts w:eastAsia="Times New Roman" w:cs="Arial"/>
          <w:color w:val="000000"/>
          <w:szCs w:val="20"/>
          <w:lang w:eastAsia="bg-BG"/>
        </w:rPr>
        <w:t>)-енантиомера, а последният има около 1 седмица полуживот на елиминиране от плазмата.</w:t>
      </w:r>
    </w:p>
    <w:p w14:paraId="2F2062B4" w14:textId="77777777" w:rsidR="00E27225" w:rsidRPr="00E27225" w:rsidRDefault="00E27225" w:rsidP="00E27225">
      <w:pPr>
        <w:spacing w:line="240" w:lineRule="auto"/>
        <w:rPr>
          <w:rFonts w:eastAsia="Times New Roman" w:cs="Arial"/>
          <w:color w:val="000000"/>
          <w:szCs w:val="20"/>
          <w:lang w:eastAsia="bg-BG"/>
        </w:rPr>
      </w:pPr>
    </w:p>
    <w:p w14:paraId="33C53A81" w14:textId="1CF2F151"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 xml:space="preserve">При ежедневно прилагане на бикалутамид 50 </w:t>
      </w:r>
      <w:r w:rsidRPr="00E27225">
        <w:rPr>
          <w:rFonts w:eastAsia="Times New Roman" w:cs="Arial"/>
          <w:color w:val="000000"/>
          <w:szCs w:val="20"/>
          <w:lang w:val="en-US"/>
        </w:rPr>
        <w:t xml:space="preserve">mg </w:t>
      </w:r>
      <w:r w:rsidRPr="00E27225">
        <w:rPr>
          <w:rFonts w:eastAsia="Times New Roman" w:cs="Arial"/>
          <w:color w:val="000000"/>
          <w:szCs w:val="20"/>
          <w:lang w:eastAsia="bg-BG"/>
        </w:rPr>
        <w:t>таблетки (</w:t>
      </w:r>
      <w:r w:rsidRPr="00E27225">
        <w:rPr>
          <w:rFonts w:eastAsia="Times New Roman" w:cs="Arial"/>
          <w:color w:val="000000"/>
          <w:szCs w:val="20"/>
          <w:lang w:val="en-US"/>
        </w:rPr>
        <w:t>R</w:t>
      </w:r>
      <w:r w:rsidRPr="00E27225">
        <w:rPr>
          <w:rFonts w:eastAsia="Times New Roman" w:cs="Arial"/>
          <w:color w:val="000000"/>
          <w:szCs w:val="20"/>
          <w:lang w:eastAsia="bg-BG"/>
        </w:rPr>
        <w:t>)-енантиомерът се натрупва около 10 пъти повече в плазмата вследствие на дългия си полуживот.</w:t>
      </w:r>
    </w:p>
    <w:p w14:paraId="67F6E9FE" w14:textId="77777777" w:rsidR="00E27225" w:rsidRPr="00E27225" w:rsidRDefault="00E27225" w:rsidP="00E27225">
      <w:pPr>
        <w:spacing w:line="240" w:lineRule="auto"/>
        <w:rPr>
          <w:rFonts w:eastAsia="Times New Roman" w:cs="Arial"/>
          <w:color w:val="000000"/>
          <w:szCs w:val="20"/>
          <w:lang w:eastAsia="bg-BG"/>
        </w:rPr>
      </w:pPr>
    </w:p>
    <w:p w14:paraId="306244F9" w14:textId="087768AA"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 xml:space="preserve">Плазмени концентрации при стационарно състояние </w:t>
      </w:r>
      <w:r w:rsidRPr="00E27225">
        <w:rPr>
          <w:rFonts w:eastAsia="Times New Roman" w:cs="Arial"/>
          <w:color w:val="000000"/>
          <w:szCs w:val="20"/>
          <w:lang w:val="en-US"/>
        </w:rPr>
        <w:t xml:space="preserve">(steady state) </w:t>
      </w:r>
      <w:r w:rsidRPr="00E27225">
        <w:rPr>
          <w:rFonts w:eastAsia="Times New Roman" w:cs="Arial"/>
          <w:color w:val="000000"/>
          <w:szCs w:val="20"/>
          <w:lang w:eastAsia="bg-BG"/>
        </w:rPr>
        <w:t>на (</w:t>
      </w:r>
      <w:r w:rsidRPr="00E27225">
        <w:rPr>
          <w:rFonts w:eastAsia="Times New Roman" w:cs="Arial"/>
          <w:color w:val="000000"/>
          <w:szCs w:val="20"/>
          <w:lang w:val="en-US"/>
        </w:rPr>
        <w:t>R</w:t>
      </w:r>
      <w:r w:rsidRPr="00E27225">
        <w:rPr>
          <w:rFonts w:eastAsia="Times New Roman" w:cs="Arial"/>
          <w:color w:val="000000"/>
          <w:szCs w:val="20"/>
          <w:lang w:eastAsia="bg-BG"/>
        </w:rPr>
        <w:t>)-енантиомера от приблизително 9 микрограма</w:t>
      </w:r>
      <w:r w:rsidRPr="00E27225">
        <w:rPr>
          <w:rFonts w:eastAsia="Times New Roman" w:cs="Arial"/>
          <w:color w:val="000000"/>
          <w:szCs w:val="20"/>
          <w:lang w:val="en-US"/>
        </w:rPr>
        <w:t xml:space="preserve">/ml </w:t>
      </w:r>
      <w:r w:rsidRPr="00E27225">
        <w:rPr>
          <w:rFonts w:eastAsia="Times New Roman" w:cs="Arial"/>
          <w:color w:val="000000"/>
          <w:szCs w:val="20"/>
          <w:lang w:eastAsia="bg-BG"/>
        </w:rPr>
        <w:t xml:space="preserve">са наблюдавани по време на перорално приложение на дози от 50 </w:t>
      </w:r>
      <w:r w:rsidRPr="00E27225">
        <w:rPr>
          <w:rFonts w:eastAsia="Times New Roman" w:cs="Arial"/>
          <w:color w:val="000000"/>
          <w:szCs w:val="20"/>
          <w:lang w:val="en-US"/>
        </w:rPr>
        <w:t xml:space="preserve">mg </w:t>
      </w:r>
      <w:r w:rsidRPr="00E27225">
        <w:rPr>
          <w:rFonts w:eastAsia="Times New Roman" w:cs="Arial"/>
          <w:color w:val="000000"/>
          <w:szCs w:val="20"/>
          <w:lang w:eastAsia="bg-BG"/>
        </w:rPr>
        <w:t xml:space="preserve">Бикалутамид таблетки. В стационарно състояние преимуществено активният </w:t>
      </w:r>
      <w:r w:rsidRPr="00E27225">
        <w:rPr>
          <w:rFonts w:eastAsia="Times New Roman" w:cs="Arial"/>
          <w:color w:val="000000"/>
          <w:szCs w:val="20"/>
          <w:lang w:val="en-US"/>
        </w:rPr>
        <w:t xml:space="preserve">(R)- </w:t>
      </w:r>
      <w:r w:rsidRPr="00E27225">
        <w:rPr>
          <w:rFonts w:eastAsia="Times New Roman" w:cs="Arial"/>
          <w:color w:val="000000"/>
          <w:szCs w:val="20"/>
          <w:lang w:eastAsia="bg-BG"/>
        </w:rPr>
        <w:t>енантиомер съставя 99% от общото количество енантиомери в циркулацията.</w:t>
      </w:r>
    </w:p>
    <w:p w14:paraId="504A5962" w14:textId="77777777" w:rsidR="00E27225" w:rsidRPr="00E27225" w:rsidRDefault="00E27225" w:rsidP="00E27225">
      <w:pPr>
        <w:spacing w:line="240" w:lineRule="auto"/>
        <w:rPr>
          <w:rFonts w:eastAsia="Times New Roman" w:cs="Arial"/>
          <w:color w:val="000000"/>
          <w:szCs w:val="20"/>
          <w:lang w:eastAsia="bg-BG"/>
        </w:rPr>
      </w:pPr>
    </w:p>
    <w:p w14:paraId="44FCE3B1" w14:textId="067BA3DF"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Фармакокинетиката на (</w:t>
      </w:r>
      <w:r w:rsidRPr="00E27225">
        <w:rPr>
          <w:rFonts w:eastAsia="Times New Roman" w:cs="Arial"/>
          <w:color w:val="000000"/>
          <w:szCs w:val="20"/>
          <w:lang w:val="en-US"/>
        </w:rPr>
        <w:t>R</w:t>
      </w:r>
      <w:r w:rsidRPr="00E27225">
        <w:rPr>
          <w:rFonts w:eastAsia="Times New Roman" w:cs="Arial"/>
          <w:color w:val="000000"/>
          <w:szCs w:val="20"/>
          <w:lang w:eastAsia="bg-BG"/>
        </w:rPr>
        <w:t>)-енантиомера не се повлиява от възрастта, бъбрено увреждане или леко до умерено чернодробно увреждане. Има данни, че при индивиди с тежко чернодробно увреждане (</w:t>
      </w:r>
      <w:r w:rsidRPr="00E27225">
        <w:rPr>
          <w:rFonts w:eastAsia="Times New Roman" w:cs="Arial"/>
          <w:color w:val="000000"/>
          <w:szCs w:val="20"/>
          <w:lang w:val="en-US"/>
        </w:rPr>
        <w:t>R</w:t>
      </w:r>
      <w:r w:rsidRPr="00E27225">
        <w:rPr>
          <w:rFonts w:eastAsia="Times New Roman" w:cs="Arial"/>
          <w:color w:val="000000"/>
          <w:szCs w:val="20"/>
          <w:lang w:eastAsia="bg-BG"/>
        </w:rPr>
        <w:t>)-енантиомерът се елиминира по-бавно от плазмата.</w:t>
      </w:r>
    </w:p>
    <w:p w14:paraId="60DF7755" w14:textId="77777777" w:rsidR="00E27225" w:rsidRPr="00E27225" w:rsidRDefault="00E27225" w:rsidP="00E27225">
      <w:pPr>
        <w:rPr>
          <w:rFonts w:eastAsia="Times New Roman" w:cs="Arial"/>
          <w:color w:val="000000"/>
          <w:szCs w:val="20"/>
          <w:lang w:eastAsia="bg-BG"/>
        </w:rPr>
      </w:pPr>
    </w:p>
    <w:p w14:paraId="6D4EFDB4" w14:textId="4F53E75B" w:rsidR="00E27225" w:rsidRPr="00E27225" w:rsidRDefault="00E27225" w:rsidP="00E27225">
      <w:pPr>
        <w:rPr>
          <w:rFonts w:eastAsia="Times New Roman" w:cs="Arial"/>
          <w:color w:val="000000"/>
          <w:szCs w:val="20"/>
          <w:lang w:eastAsia="bg-BG"/>
        </w:rPr>
      </w:pPr>
      <w:r w:rsidRPr="00E27225">
        <w:rPr>
          <w:rFonts w:eastAsia="Times New Roman" w:cs="Arial"/>
          <w:color w:val="000000"/>
          <w:szCs w:val="20"/>
          <w:lang w:eastAsia="bg-BG"/>
        </w:rPr>
        <w:t xml:space="preserve">Бикалутамид е свързан във висока степен с протеините (рацемат 96%, </w:t>
      </w:r>
      <w:r w:rsidRPr="00E27225">
        <w:rPr>
          <w:rFonts w:eastAsia="Times New Roman" w:cs="Arial"/>
          <w:color w:val="000000"/>
          <w:szCs w:val="20"/>
          <w:lang w:val="en-US"/>
        </w:rPr>
        <w:t>R</w:t>
      </w:r>
      <w:r w:rsidRPr="00E27225">
        <w:rPr>
          <w:rFonts w:eastAsia="Times New Roman" w:cs="Arial"/>
          <w:color w:val="000000"/>
          <w:szCs w:val="20"/>
          <w:lang w:eastAsia="bg-BG"/>
        </w:rPr>
        <w:t>-бикалутамид 99,6%)</w:t>
      </w:r>
      <w:r w:rsidRPr="00E27225">
        <w:rPr>
          <w:rFonts w:eastAsia="Times New Roman" w:cs="Arial"/>
          <w:color w:val="000000"/>
          <w:szCs w:val="20"/>
          <w:lang w:val="en-US"/>
        </w:rPr>
        <w:t xml:space="preserve"> </w:t>
      </w:r>
      <w:r w:rsidRPr="00E27225">
        <w:rPr>
          <w:rFonts w:eastAsia="Times New Roman" w:cs="Arial"/>
          <w:color w:val="000000"/>
          <w:szCs w:val="20"/>
          <w:lang w:eastAsia="bg-BG"/>
        </w:rPr>
        <w:t>и се метаболизира екстензивно (чрез оксидиране и глукурониране). Метаболитите му се елиминират през бъбреците и жлъчката в приблизително равни пропорции.</w:t>
      </w:r>
    </w:p>
    <w:p w14:paraId="72E381AE" w14:textId="55B07CF0" w:rsidR="00E27225" w:rsidRDefault="00E27225" w:rsidP="00E27225"/>
    <w:p w14:paraId="6EB5D95A" w14:textId="252889E1" w:rsidR="00E27225" w:rsidRPr="00E27225" w:rsidRDefault="00E27225" w:rsidP="00E27225">
      <w:pPr>
        <w:rPr>
          <w:szCs w:val="20"/>
        </w:rPr>
      </w:pPr>
      <w:r w:rsidRPr="00E27225">
        <w:rPr>
          <w:szCs w:val="20"/>
        </w:rPr>
        <w:t xml:space="preserve">В едно клинично проучване средната концентрация на бикалутамид в семенната течност на мъже, получаващи бикалутамид 150 </w:t>
      </w:r>
      <w:r w:rsidRPr="00E27225">
        <w:rPr>
          <w:szCs w:val="20"/>
          <w:lang w:val="en-US"/>
        </w:rPr>
        <w:t xml:space="preserve">mg, </w:t>
      </w:r>
      <w:r w:rsidRPr="00E27225">
        <w:rPr>
          <w:szCs w:val="20"/>
        </w:rPr>
        <w:t>е 4,9 микрограма</w:t>
      </w:r>
      <w:r w:rsidRPr="00E27225">
        <w:rPr>
          <w:szCs w:val="20"/>
          <w:lang w:val="en-US"/>
        </w:rPr>
        <w:t xml:space="preserve">/ml. </w:t>
      </w:r>
      <w:r w:rsidRPr="00E27225">
        <w:rPr>
          <w:szCs w:val="20"/>
        </w:rPr>
        <w:t>Количеството бикалутамид, потенциално предадено на жена партньорка по време на полов акт, е малко и чрез екстраполиране вероятно се равнява на приблизително 0,3 микрограма</w:t>
      </w:r>
      <w:r w:rsidRPr="00E27225">
        <w:rPr>
          <w:szCs w:val="20"/>
          <w:lang w:val="en-US"/>
        </w:rPr>
        <w:t xml:space="preserve">/kg. </w:t>
      </w:r>
      <w:r w:rsidRPr="00E27225">
        <w:rPr>
          <w:szCs w:val="20"/>
        </w:rPr>
        <w:t>Това е под необходимия минимум за провокиране на промени в потомството на лабораторните животни.</w:t>
      </w:r>
    </w:p>
    <w:p w14:paraId="1F3E4040" w14:textId="77777777" w:rsidR="00E27225" w:rsidRPr="00E27225" w:rsidRDefault="00E27225" w:rsidP="00E27225"/>
    <w:p w14:paraId="648E39DA" w14:textId="3233A3FA" w:rsidR="00CF77F7" w:rsidRDefault="002C50EE" w:rsidP="004A448E">
      <w:pPr>
        <w:pStyle w:val="Heading2"/>
      </w:pPr>
      <w:r>
        <w:t>5.3. Предклинични данни за безопасност</w:t>
      </w:r>
    </w:p>
    <w:p w14:paraId="022687AA" w14:textId="1B2F3012" w:rsidR="00E27225" w:rsidRDefault="00E27225" w:rsidP="00E27225"/>
    <w:p w14:paraId="7C53D590" w14:textId="68A3095D" w:rsidR="00E27225" w:rsidRPr="00E27225" w:rsidRDefault="00E27225" w:rsidP="00E27225">
      <w:pPr>
        <w:rPr>
          <w:sz w:val="24"/>
        </w:rPr>
      </w:pPr>
      <w:r w:rsidRPr="00E27225">
        <w:rPr>
          <w:szCs w:val="20"/>
        </w:rPr>
        <w:t xml:space="preserve">Бикалутамид е чист и мощен антагонист на андрогенните рецептори при експериментални животни и хора. Главното вторично фармакологично действие е индукцията на </w:t>
      </w:r>
      <w:r w:rsidRPr="00E27225">
        <w:rPr>
          <w:szCs w:val="20"/>
          <w:lang w:val="en-US"/>
        </w:rPr>
        <w:t xml:space="preserve">CYP450- </w:t>
      </w:r>
      <w:r w:rsidRPr="00E27225">
        <w:rPr>
          <w:szCs w:val="20"/>
        </w:rPr>
        <w:t>зависимите оксидази със смесена функция в черния дроб. Ензимна индукция не е наблюдавана при хора. Промените в таргетните органи при животни са явно свързани с първичното и вторичното фармакологично действие на бикалутамид. Това действие включва обратно развитие на андроген-зависими тъкани; фоликуларни аденоми на щитовидната жлеза, хиперплазии, неоплазми или рак на чернодробните и Лайдиговите клетки; смущение в сексуалната диференциация на потомството от мъжки пол; обратимо увреждане на фертилитета при мъжките екземпляри. Проучвания на генотоксичността не разкриват мутагенен потенциал при бикалутамид. Смята се, че всички нежелани реакции, наблюдавани в проучвания при животни, не са от значение за лечението на пациенти с авансирал простатен рак.</w:t>
      </w:r>
    </w:p>
    <w:p w14:paraId="6A7820AB" w14:textId="51AB2F38" w:rsidR="008A6AF2" w:rsidRDefault="002C50EE" w:rsidP="00395555">
      <w:pPr>
        <w:pStyle w:val="Heading1"/>
      </w:pPr>
      <w:r>
        <w:t>7. ПРИТЕЖАТЕЛ НА РАЗРЕШЕНИЕТО ЗА УПОТРЕБА</w:t>
      </w:r>
    </w:p>
    <w:p w14:paraId="2F3F498B" w14:textId="29F516F0" w:rsidR="00E27225" w:rsidRDefault="00E27225" w:rsidP="00E27225"/>
    <w:p w14:paraId="3E757E85"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lastRenderedPageBreak/>
        <w:t>НЕО БАЛКАНИКА ЕООД</w:t>
      </w:r>
    </w:p>
    <w:p w14:paraId="3C839B45"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Ул. „Земляне” № 35</w:t>
      </w:r>
    </w:p>
    <w:p w14:paraId="1FE86F93"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София 1618</w:t>
      </w:r>
    </w:p>
    <w:p w14:paraId="3A7DCCEE" w14:textId="330D1526" w:rsidR="00E27225" w:rsidRPr="00E27225" w:rsidRDefault="00E27225" w:rsidP="00E27225">
      <w:pPr>
        <w:rPr>
          <w:rFonts w:cs="Arial"/>
          <w:sz w:val="24"/>
        </w:rPr>
      </w:pPr>
      <w:r w:rsidRPr="00E27225">
        <w:rPr>
          <w:rFonts w:eastAsia="Times New Roman" w:cs="Arial"/>
          <w:color w:val="000000"/>
          <w:szCs w:val="20"/>
          <w:lang w:eastAsia="bg-BG"/>
        </w:rPr>
        <w:t>България</w:t>
      </w:r>
    </w:p>
    <w:p w14:paraId="7BA1BA64" w14:textId="17F115DE" w:rsidR="00CF77F7" w:rsidRDefault="002C50EE" w:rsidP="004A448E">
      <w:pPr>
        <w:pStyle w:val="Heading1"/>
      </w:pPr>
      <w:r>
        <w:t>8. НОМЕР НА РАЗРЕШЕНИЕТО ЗА УПОТРЕБА</w:t>
      </w:r>
    </w:p>
    <w:p w14:paraId="16E0AEEE" w14:textId="44A3ACAA" w:rsidR="00E27225" w:rsidRDefault="00E27225" w:rsidP="00E27225"/>
    <w:p w14:paraId="5623C52E" w14:textId="3DAAE006" w:rsidR="00E27225" w:rsidRPr="00E27225" w:rsidRDefault="00E27225" w:rsidP="00E27225">
      <w:pPr>
        <w:rPr>
          <w:rFonts w:cs="Arial"/>
          <w:sz w:val="24"/>
        </w:rPr>
      </w:pPr>
      <w:proofErr w:type="spellStart"/>
      <w:r w:rsidRPr="00E27225">
        <w:rPr>
          <w:rFonts w:cs="Arial"/>
          <w:szCs w:val="20"/>
          <w:lang w:val="en-US"/>
        </w:rPr>
        <w:t>Pe</w:t>
      </w:r>
      <w:proofErr w:type="spellEnd"/>
      <w:r w:rsidRPr="00E27225">
        <w:rPr>
          <w:rFonts w:cs="Arial"/>
          <w:szCs w:val="20"/>
        </w:rPr>
        <w:t>г.</w:t>
      </w:r>
      <w:r w:rsidRPr="00E27225">
        <w:rPr>
          <w:rFonts w:cs="Arial"/>
          <w:szCs w:val="20"/>
          <w:lang w:val="en-US"/>
        </w:rPr>
        <w:t xml:space="preserve"> </w:t>
      </w:r>
      <w:r w:rsidRPr="00E27225">
        <w:rPr>
          <w:rFonts w:cs="Arial"/>
          <w:szCs w:val="20"/>
        </w:rPr>
        <w:t>№20080187</w:t>
      </w:r>
    </w:p>
    <w:p w14:paraId="2CCB5832" w14:textId="5F611035" w:rsidR="007C605B" w:rsidRDefault="002C50EE" w:rsidP="007C605B">
      <w:pPr>
        <w:pStyle w:val="Heading1"/>
      </w:pPr>
      <w:r>
        <w:t>9. ДАТА НА ПЪРВО РАЗРЕШАВАНЕ/ПОДНОВЯВАНЕ НА РАЗРЕШЕНИЕТО ЗА УПОТРЕБА</w:t>
      </w:r>
    </w:p>
    <w:p w14:paraId="29B7ACC7" w14:textId="066C1AE0" w:rsidR="00E27225" w:rsidRDefault="00E27225" w:rsidP="00E27225"/>
    <w:p w14:paraId="3F1FA6F0" w14:textId="77777777" w:rsidR="00E27225" w:rsidRPr="00E27225" w:rsidRDefault="00E27225" w:rsidP="00E27225">
      <w:pPr>
        <w:spacing w:line="240" w:lineRule="auto"/>
        <w:rPr>
          <w:rFonts w:eastAsia="Times New Roman" w:cs="Arial"/>
          <w:sz w:val="28"/>
          <w:szCs w:val="24"/>
          <w:lang w:eastAsia="bg-BG"/>
        </w:rPr>
      </w:pPr>
      <w:r w:rsidRPr="00E27225">
        <w:rPr>
          <w:rFonts w:eastAsia="Times New Roman" w:cs="Arial"/>
          <w:color w:val="000000"/>
          <w:szCs w:val="20"/>
          <w:lang w:eastAsia="bg-BG"/>
        </w:rPr>
        <w:t>Дата на първо разрешаване: 17.09.2008 г.</w:t>
      </w:r>
    </w:p>
    <w:p w14:paraId="7C4FA8E9" w14:textId="3C542924" w:rsidR="00E27225" w:rsidRPr="00E27225" w:rsidRDefault="00E27225" w:rsidP="00E27225">
      <w:pPr>
        <w:rPr>
          <w:rFonts w:cs="Arial"/>
          <w:sz w:val="24"/>
        </w:rPr>
      </w:pPr>
      <w:r w:rsidRPr="00E27225">
        <w:rPr>
          <w:rFonts w:eastAsia="Times New Roman" w:cs="Arial"/>
          <w:color w:val="000000"/>
          <w:szCs w:val="20"/>
          <w:lang w:eastAsia="bg-BG"/>
        </w:rPr>
        <w:t>Дата на последно подновяване: 14.10.2013 г.</w:t>
      </w:r>
    </w:p>
    <w:p w14:paraId="0E9D0119" w14:textId="44AF073A" w:rsidR="002C50EE" w:rsidRDefault="002C50EE" w:rsidP="002C50EE">
      <w:pPr>
        <w:pStyle w:val="Heading1"/>
      </w:pPr>
      <w:r>
        <w:t>10. ДАТА НА АКТУАЛИЗИРАНЕ НА ТЕКСТА</w:t>
      </w:r>
    </w:p>
    <w:p w14:paraId="09B51ADC" w14:textId="03D414C9" w:rsidR="00E27225" w:rsidRDefault="00E27225" w:rsidP="00E27225"/>
    <w:p w14:paraId="7A2E1299" w14:textId="7C7E14C3" w:rsidR="00E27225" w:rsidRPr="00E27225" w:rsidRDefault="00E27225" w:rsidP="00E27225">
      <w:pPr>
        <w:rPr>
          <w:rFonts w:cs="Arial"/>
          <w:sz w:val="24"/>
        </w:rPr>
      </w:pPr>
      <w:r w:rsidRPr="00E27225">
        <w:rPr>
          <w:rFonts w:cs="Arial"/>
          <w:szCs w:val="20"/>
        </w:rPr>
        <w:t>Март 2020</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B77B2"/>
    <w:multiLevelType w:val="hybridMultilevel"/>
    <w:tmpl w:val="39F61ABA"/>
    <w:lvl w:ilvl="0" w:tplc="0B54EB08">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30"/>
  </w:num>
  <w:num w:numId="12">
    <w:abstractNumId w:val="13"/>
  </w:num>
  <w:num w:numId="13">
    <w:abstractNumId w:val="18"/>
  </w:num>
  <w:num w:numId="14">
    <w:abstractNumId w:val="11"/>
  </w:num>
  <w:num w:numId="15">
    <w:abstractNumId w:val="29"/>
  </w:num>
  <w:num w:numId="16">
    <w:abstractNumId w:val="9"/>
  </w:num>
  <w:num w:numId="17">
    <w:abstractNumId w:val="23"/>
  </w:num>
  <w:num w:numId="18">
    <w:abstractNumId w:val="7"/>
  </w:num>
  <w:num w:numId="19">
    <w:abstractNumId w:val="26"/>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1"/>
  </w:num>
  <w:num w:numId="28">
    <w:abstractNumId w:val="6"/>
  </w:num>
  <w:num w:numId="29">
    <w:abstractNumId w:val="19"/>
  </w:num>
  <w:num w:numId="30">
    <w:abstractNumId w:val="34"/>
  </w:num>
  <w:num w:numId="31">
    <w:abstractNumId w:val="5"/>
  </w:num>
  <w:num w:numId="32">
    <w:abstractNumId w:val="33"/>
  </w:num>
  <w:num w:numId="33">
    <w:abstractNumId w:val="28"/>
  </w:num>
  <w:num w:numId="34">
    <w:abstractNumId w:val="3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873C2"/>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27225"/>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11154</Characters>
  <Application>Microsoft Office Word</Application>
  <DocSecurity>0</DocSecurity>
  <Lines>92</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2022-06-04T18:05:00Z</dcterms:created>
  <dcterms:modified xsi:type="dcterms:W3CDTF">2022-06-04T18:05:00Z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