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3320F4BE" w14:textId="20DB2FDB" w:rsidR="00C40420" w:rsidRDefault="00DD466D" w:rsidP="004A448E">
      <w:pPr>
        <w:pStyle w:val="Heading1"/>
      </w:pPr>
      <w:r>
        <w:t>1.ИМЕ НА ЛЕКАРСТВЕНИЯ ПРОДУКТ</w:t>
      </w:r>
    </w:p>
    <w:p w14:paraId="13C7BB67" w14:textId="706D25E6" w:rsidR="00A42C8B" w:rsidRDefault="00A42C8B" w:rsidP="00A42C8B"/>
    <w:p w14:paraId="4B6BFA0F" w14:textId="77777777" w:rsidR="00A42C8B" w:rsidRPr="00A42C8B" w:rsidRDefault="00A42C8B" w:rsidP="00A42C8B">
      <w:pPr>
        <w:spacing w:line="240" w:lineRule="auto"/>
        <w:rPr>
          <w:rFonts w:eastAsia="Times New Roman" w:cs="Arial"/>
          <w:sz w:val="24"/>
          <w:szCs w:val="24"/>
          <w:lang w:val="en-US" w:eastAsia="bg-BG"/>
        </w:rPr>
      </w:pPr>
      <w:r w:rsidRPr="00A42C8B">
        <w:rPr>
          <w:rFonts w:eastAsia="Times New Roman" w:cs="Arial"/>
          <w:color w:val="000000"/>
          <w:lang w:eastAsia="bg-BG"/>
        </w:rPr>
        <w:t xml:space="preserve">Кандекард 16 </w:t>
      </w:r>
      <w:r w:rsidRPr="00A42C8B">
        <w:rPr>
          <w:rFonts w:eastAsia="Times New Roman" w:cs="Arial"/>
          <w:color w:val="000000"/>
          <w:lang w:val="en-US"/>
        </w:rPr>
        <w:t xml:space="preserve">mg </w:t>
      </w:r>
      <w:r w:rsidRPr="00A42C8B">
        <w:rPr>
          <w:rFonts w:eastAsia="Times New Roman" w:cs="Arial"/>
          <w:color w:val="000000"/>
          <w:lang w:eastAsia="bg-BG"/>
        </w:rPr>
        <w:t>таблетки</w:t>
      </w:r>
    </w:p>
    <w:p w14:paraId="0864EE70" w14:textId="77777777" w:rsidR="00A42C8B" w:rsidRPr="00A42C8B" w:rsidRDefault="00A42C8B" w:rsidP="00A42C8B">
      <w:pPr>
        <w:spacing w:line="240" w:lineRule="auto"/>
        <w:rPr>
          <w:rFonts w:eastAsia="Times New Roman" w:cs="Arial"/>
          <w:sz w:val="24"/>
          <w:szCs w:val="24"/>
          <w:lang w:val="en-US" w:eastAsia="bg-BG"/>
        </w:rPr>
      </w:pPr>
      <w:r w:rsidRPr="00A42C8B">
        <w:rPr>
          <w:rFonts w:eastAsia="Times New Roman" w:cs="Arial"/>
          <w:color w:val="000000"/>
          <w:lang w:eastAsia="bg-BG"/>
        </w:rPr>
        <w:t xml:space="preserve">Кандекард 32 </w:t>
      </w:r>
      <w:r w:rsidRPr="00A42C8B">
        <w:rPr>
          <w:rFonts w:eastAsia="Times New Roman" w:cs="Arial"/>
          <w:color w:val="000000"/>
          <w:lang w:val="en-US"/>
        </w:rPr>
        <w:t xml:space="preserve">mg </w:t>
      </w:r>
      <w:r w:rsidRPr="00A42C8B">
        <w:rPr>
          <w:rFonts w:eastAsia="Times New Roman" w:cs="Arial"/>
          <w:color w:val="000000"/>
          <w:lang w:eastAsia="bg-BG"/>
        </w:rPr>
        <w:t>таблетки</w:t>
      </w:r>
    </w:p>
    <w:p w14:paraId="2A06819D" w14:textId="77777777" w:rsidR="00A42C8B" w:rsidRPr="00A42C8B" w:rsidRDefault="00A42C8B" w:rsidP="00A42C8B">
      <w:pPr>
        <w:spacing w:line="240" w:lineRule="auto"/>
        <w:rPr>
          <w:rFonts w:eastAsia="Times New Roman" w:cs="Arial"/>
          <w:color w:val="000000"/>
          <w:lang w:val="en-US"/>
        </w:rPr>
      </w:pPr>
    </w:p>
    <w:p w14:paraId="231C0220" w14:textId="487ACC90" w:rsidR="00A42C8B" w:rsidRPr="00A42C8B" w:rsidRDefault="00A42C8B" w:rsidP="00A42C8B">
      <w:pPr>
        <w:spacing w:line="240" w:lineRule="auto"/>
        <w:rPr>
          <w:rFonts w:eastAsia="Times New Roman" w:cs="Arial"/>
          <w:sz w:val="24"/>
          <w:szCs w:val="24"/>
          <w:lang w:val="en-US" w:eastAsia="bg-BG"/>
        </w:rPr>
      </w:pPr>
      <w:proofErr w:type="spellStart"/>
      <w:r w:rsidRPr="00A42C8B">
        <w:rPr>
          <w:rFonts w:eastAsia="Times New Roman" w:cs="Arial"/>
          <w:color w:val="000000"/>
          <w:lang w:val="en-US"/>
        </w:rPr>
        <w:t>Candecard</w:t>
      </w:r>
      <w:proofErr w:type="spellEnd"/>
      <w:r w:rsidRPr="00A42C8B">
        <w:rPr>
          <w:rFonts w:eastAsia="Times New Roman" w:cs="Arial"/>
          <w:color w:val="000000"/>
          <w:lang w:val="en-US"/>
        </w:rPr>
        <w:t xml:space="preserve"> </w:t>
      </w:r>
      <w:r w:rsidRPr="00A42C8B">
        <w:rPr>
          <w:rFonts w:eastAsia="Times New Roman" w:cs="Arial"/>
          <w:color w:val="000000"/>
          <w:lang w:eastAsia="bg-BG"/>
        </w:rPr>
        <w:t xml:space="preserve">16 </w:t>
      </w:r>
      <w:r w:rsidRPr="00A42C8B">
        <w:rPr>
          <w:rFonts w:eastAsia="Times New Roman" w:cs="Arial"/>
          <w:color w:val="000000"/>
          <w:lang w:val="en-US"/>
        </w:rPr>
        <w:t>mg tablets</w:t>
      </w:r>
    </w:p>
    <w:p w14:paraId="2653CD56" w14:textId="048A4B63" w:rsidR="00A42C8B" w:rsidRPr="00A42C8B" w:rsidRDefault="00A42C8B" w:rsidP="00A42C8B">
      <w:pPr>
        <w:rPr>
          <w:rFonts w:cs="Arial"/>
        </w:rPr>
      </w:pPr>
      <w:proofErr w:type="spellStart"/>
      <w:r w:rsidRPr="00A42C8B">
        <w:rPr>
          <w:rFonts w:eastAsia="Times New Roman" w:cs="Arial"/>
          <w:color w:val="000000"/>
          <w:lang w:val="en-US"/>
        </w:rPr>
        <w:t>Candecard</w:t>
      </w:r>
      <w:proofErr w:type="spellEnd"/>
      <w:r w:rsidRPr="00A42C8B">
        <w:rPr>
          <w:rFonts w:eastAsia="Times New Roman" w:cs="Arial"/>
          <w:color w:val="000000"/>
          <w:lang w:val="en-US"/>
        </w:rPr>
        <w:t xml:space="preserve"> 32 mg tablets</w:t>
      </w:r>
    </w:p>
    <w:p w14:paraId="6920A680" w14:textId="22D6B3DA" w:rsidR="00C40420" w:rsidRDefault="00DD466D" w:rsidP="004A448E">
      <w:pPr>
        <w:pStyle w:val="Heading1"/>
      </w:pPr>
      <w:r>
        <w:t>2. КАЧЕСТВЕН И КОЛИЧЕСТВЕН СЪСТАВ</w:t>
      </w:r>
    </w:p>
    <w:p w14:paraId="21BE8452" w14:textId="24E6F444" w:rsidR="00A42C8B" w:rsidRDefault="00A42C8B" w:rsidP="00A42C8B"/>
    <w:p w14:paraId="6CC04FCC" w14:textId="77777777"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 xml:space="preserve">Всяка таблетка съдържа 16 </w:t>
      </w:r>
      <w:r w:rsidRPr="00A42C8B">
        <w:rPr>
          <w:rFonts w:eastAsia="Times New Roman" w:cs="Arial"/>
          <w:color w:val="000000"/>
          <w:lang w:val="en-US"/>
        </w:rPr>
        <w:t xml:space="preserve">mg </w:t>
      </w:r>
      <w:r w:rsidRPr="00A42C8B">
        <w:rPr>
          <w:rFonts w:eastAsia="Times New Roman" w:cs="Arial"/>
          <w:color w:val="000000"/>
          <w:lang w:eastAsia="bg-BG"/>
        </w:rPr>
        <w:t xml:space="preserve">кандесартан цилексетил </w:t>
      </w:r>
      <w:r w:rsidRPr="00A42C8B">
        <w:rPr>
          <w:rFonts w:eastAsia="Times New Roman" w:cs="Arial"/>
          <w:i/>
          <w:iCs/>
          <w:color w:val="000000"/>
          <w:lang w:val="en-US"/>
        </w:rPr>
        <w:t xml:space="preserve">(candesartan </w:t>
      </w:r>
      <w:proofErr w:type="spellStart"/>
      <w:r w:rsidRPr="00A42C8B">
        <w:rPr>
          <w:rFonts w:eastAsia="Times New Roman" w:cs="Arial"/>
          <w:i/>
          <w:iCs/>
          <w:color w:val="000000"/>
          <w:lang w:val="en-US"/>
        </w:rPr>
        <w:t>cilexetil</w:t>
      </w:r>
      <w:proofErr w:type="spellEnd"/>
      <w:r w:rsidRPr="00A42C8B">
        <w:rPr>
          <w:rFonts w:eastAsia="Times New Roman" w:cs="Arial"/>
          <w:i/>
          <w:iCs/>
          <w:color w:val="000000"/>
          <w:lang w:val="en-US"/>
        </w:rPr>
        <w:t>)</w:t>
      </w:r>
    </w:p>
    <w:p w14:paraId="28C23C2C" w14:textId="77777777"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u w:val="single"/>
          <w:lang w:eastAsia="bg-BG"/>
        </w:rPr>
        <w:t>Помощни вещества с известно действие</w:t>
      </w:r>
    </w:p>
    <w:p w14:paraId="3E8B2F96" w14:textId="562C34B5"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 xml:space="preserve">Всяка таблетка съдържа 132,18 </w:t>
      </w:r>
      <w:r w:rsidRPr="00A42C8B">
        <w:rPr>
          <w:rFonts w:eastAsia="Times New Roman" w:cs="Arial"/>
          <w:color w:val="000000"/>
          <w:lang w:val="en-US"/>
        </w:rPr>
        <w:t xml:space="preserve">mg </w:t>
      </w:r>
      <w:r w:rsidRPr="00A42C8B">
        <w:rPr>
          <w:rFonts w:eastAsia="Times New Roman" w:cs="Arial"/>
          <w:color w:val="000000"/>
          <w:lang w:eastAsia="bg-BG"/>
        </w:rPr>
        <w:t xml:space="preserve">лактоза (като монохидрат) и до 0,006 </w:t>
      </w:r>
      <w:r w:rsidRPr="00A42C8B">
        <w:rPr>
          <w:rFonts w:eastAsia="Times New Roman" w:cs="Arial"/>
          <w:color w:val="000000"/>
          <w:lang w:val="en-US"/>
        </w:rPr>
        <w:t xml:space="preserve">mg </w:t>
      </w:r>
      <w:r w:rsidRPr="00A42C8B">
        <w:rPr>
          <w:rFonts w:eastAsia="Times New Roman" w:cs="Arial"/>
          <w:color w:val="000000"/>
          <w:lang w:eastAsia="bg-BG"/>
        </w:rPr>
        <w:t xml:space="preserve">(0,0003 </w:t>
      </w:r>
      <w:proofErr w:type="spellStart"/>
      <w:r w:rsidRPr="00A42C8B">
        <w:rPr>
          <w:rFonts w:eastAsia="Times New Roman" w:cs="Arial"/>
          <w:color w:val="000000"/>
          <w:lang w:val="en-US"/>
        </w:rPr>
        <w:t>mmol</w:t>
      </w:r>
      <w:proofErr w:type="spellEnd"/>
      <w:r w:rsidRPr="00A42C8B">
        <w:rPr>
          <w:rFonts w:eastAsia="Times New Roman" w:cs="Arial"/>
          <w:color w:val="000000"/>
          <w:lang w:val="en-US"/>
        </w:rPr>
        <w:t xml:space="preserve">) </w:t>
      </w:r>
      <w:r w:rsidRPr="00A42C8B">
        <w:rPr>
          <w:rFonts w:eastAsia="Times New Roman" w:cs="Arial"/>
          <w:color w:val="000000"/>
          <w:lang w:eastAsia="bg-BG"/>
        </w:rPr>
        <w:t>натрий.</w:t>
      </w:r>
    </w:p>
    <w:p w14:paraId="7E956370" w14:textId="77777777" w:rsidR="00A42C8B" w:rsidRPr="00A42C8B" w:rsidRDefault="00A42C8B" w:rsidP="00A42C8B">
      <w:pPr>
        <w:spacing w:line="240" w:lineRule="auto"/>
        <w:rPr>
          <w:rFonts w:eastAsia="Times New Roman" w:cs="Arial"/>
          <w:color w:val="000000"/>
          <w:lang w:eastAsia="bg-BG"/>
        </w:rPr>
      </w:pPr>
    </w:p>
    <w:p w14:paraId="7CAD71E5" w14:textId="78EEDCB1"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Всяка</w:t>
      </w:r>
      <w:r w:rsidRPr="00A42C8B">
        <w:rPr>
          <w:rFonts w:eastAsia="Times New Roman" w:cs="Arial"/>
          <w:color w:val="000000"/>
          <w:u w:val="single"/>
          <w:lang w:eastAsia="bg-BG"/>
        </w:rPr>
        <w:t xml:space="preserve"> </w:t>
      </w:r>
      <w:r w:rsidRPr="00A42C8B">
        <w:rPr>
          <w:rFonts w:eastAsia="Times New Roman" w:cs="Arial"/>
          <w:color w:val="000000"/>
          <w:lang w:eastAsia="bg-BG"/>
        </w:rPr>
        <w:t xml:space="preserve">таблетка съдържа 32 </w:t>
      </w:r>
      <w:r w:rsidRPr="00A42C8B">
        <w:rPr>
          <w:rFonts w:eastAsia="Times New Roman" w:cs="Arial"/>
          <w:color w:val="000000"/>
          <w:lang w:val="en-US"/>
        </w:rPr>
        <w:t xml:space="preserve">mg </w:t>
      </w:r>
      <w:r w:rsidRPr="00A42C8B">
        <w:rPr>
          <w:rFonts w:eastAsia="Times New Roman" w:cs="Arial"/>
          <w:color w:val="000000"/>
          <w:lang w:eastAsia="bg-BG"/>
        </w:rPr>
        <w:t xml:space="preserve">кандесартан цилексетил </w:t>
      </w:r>
      <w:r w:rsidRPr="00A42C8B">
        <w:rPr>
          <w:rFonts w:eastAsia="Times New Roman" w:cs="Arial"/>
          <w:i/>
          <w:iCs/>
          <w:color w:val="000000"/>
          <w:lang w:val="en-US"/>
        </w:rPr>
        <w:t xml:space="preserve">(candesartan </w:t>
      </w:r>
      <w:proofErr w:type="spellStart"/>
      <w:r w:rsidRPr="00A42C8B">
        <w:rPr>
          <w:rFonts w:eastAsia="Times New Roman" w:cs="Arial"/>
          <w:i/>
          <w:iCs/>
          <w:color w:val="000000"/>
          <w:lang w:val="en-US"/>
        </w:rPr>
        <w:t>cilexetil</w:t>
      </w:r>
      <w:proofErr w:type="spellEnd"/>
      <w:r w:rsidRPr="00A42C8B">
        <w:rPr>
          <w:rFonts w:eastAsia="Times New Roman" w:cs="Arial"/>
          <w:i/>
          <w:iCs/>
          <w:color w:val="000000"/>
          <w:lang w:val="en-US"/>
        </w:rPr>
        <w:t>)</w:t>
      </w:r>
    </w:p>
    <w:p w14:paraId="6CB04CF3" w14:textId="77777777" w:rsidR="00A42C8B" w:rsidRPr="00A42C8B" w:rsidRDefault="00A42C8B" w:rsidP="00A42C8B">
      <w:pPr>
        <w:spacing w:line="240" w:lineRule="auto"/>
        <w:rPr>
          <w:rFonts w:eastAsia="Times New Roman" w:cs="Arial"/>
          <w:color w:val="000000"/>
          <w:lang w:eastAsia="bg-BG"/>
        </w:rPr>
      </w:pPr>
    </w:p>
    <w:p w14:paraId="24F74751" w14:textId="4414CAAE"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 xml:space="preserve">Всяка таблетка съдържа 264,35 </w:t>
      </w:r>
      <w:r w:rsidRPr="00A42C8B">
        <w:rPr>
          <w:rFonts w:eastAsia="Times New Roman" w:cs="Arial"/>
          <w:color w:val="000000"/>
          <w:lang w:val="en-US"/>
        </w:rPr>
        <w:t xml:space="preserve">mg </w:t>
      </w:r>
      <w:r w:rsidRPr="00A42C8B">
        <w:rPr>
          <w:rFonts w:eastAsia="Times New Roman" w:cs="Arial"/>
          <w:color w:val="000000"/>
          <w:lang w:eastAsia="bg-BG"/>
        </w:rPr>
        <w:t xml:space="preserve">лактоза (като монохидрат) и до 0,012 </w:t>
      </w:r>
      <w:r w:rsidRPr="00A42C8B">
        <w:rPr>
          <w:rFonts w:eastAsia="Times New Roman" w:cs="Arial"/>
          <w:color w:val="000000"/>
          <w:lang w:val="en-US"/>
        </w:rPr>
        <w:t xml:space="preserve">mg </w:t>
      </w:r>
      <w:r w:rsidRPr="00A42C8B">
        <w:rPr>
          <w:rFonts w:eastAsia="Times New Roman" w:cs="Arial"/>
          <w:color w:val="000000"/>
          <w:lang w:eastAsia="bg-BG"/>
        </w:rPr>
        <w:t xml:space="preserve">(0,0005 </w:t>
      </w:r>
      <w:proofErr w:type="spellStart"/>
      <w:r w:rsidRPr="00A42C8B">
        <w:rPr>
          <w:rFonts w:eastAsia="Times New Roman" w:cs="Arial"/>
          <w:color w:val="000000"/>
          <w:lang w:val="en-US"/>
        </w:rPr>
        <w:t>mmol</w:t>
      </w:r>
      <w:proofErr w:type="spellEnd"/>
      <w:r w:rsidRPr="00A42C8B">
        <w:rPr>
          <w:rFonts w:eastAsia="Times New Roman" w:cs="Arial"/>
          <w:color w:val="000000"/>
          <w:lang w:val="en-US"/>
        </w:rPr>
        <w:t xml:space="preserve">) </w:t>
      </w:r>
      <w:r w:rsidRPr="00A42C8B">
        <w:rPr>
          <w:rFonts w:eastAsia="Times New Roman" w:cs="Arial"/>
          <w:color w:val="000000"/>
          <w:lang w:eastAsia="bg-BG"/>
        </w:rPr>
        <w:t>натрий.</w:t>
      </w:r>
    </w:p>
    <w:p w14:paraId="029EA24C" w14:textId="77777777" w:rsidR="00A42C8B" w:rsidRPr="00A42C8B" w:rsidRDefault="00A42C8B" w:rsidP="00A42C8B">
      <w:pPr>
        <w:rPr>
          <w:rFonts w:eastAsia="Times New Roman" w:cs="Arial"/>
          <w:color w:val="000000"/>
          <w:lang w:eastAsia="bg-BG"/>
        </w:rPr>
      </w:pPr>
    </w:p>
    <w:p w14:paraId="4B358A34" w14:textId="4284FB04" w:rsidR="00A42C8B" w:rsidRPr="00A42C8B" w:rsidRDefault="00A42C8B" w:rsidP="00A42C8B">
      <w:pPr>
        <w:rPr>
          <w:rFonts w:cs="Arial"/>
        </w:rPr>
      </w:pPr>
      <w:r w:rsidRPr="00A42C8B">
        <w:rPr>
          <w:rFonts w:eastAsia="Times New Roman" w:cs="Arial"/>
          <w:color w:val="000000"/>
          <w:lang w:eastAsia="bg-BG"/>
        </w:rPr>
        <w:t>За пълния списък на помощните вещества, вижте точка 6.1.</w:t>
      </w:r>
    </w:p>
    <w:p w14:paraId="614984C4" w14:textId="19E21612" w:rsidR="008A6AF2" w:rsidRDefault="00DD466D" w:rsidP="002C50EE">
      <w:pPr>
        <w:pStyle w:val="Heading1"/>
      </w:pPr>
      <w:r>
        <w:t>3. ЛЕКАРСТВЕНА ФОРМА</w:t>
      </w:r>
    </w:p>
    <w:p w14:paraId="1175733A" w14:textId="61D244DF" w:rsidR="00A42C8B" w:rsidRDefault="00A42C8B" w:rsidP="00A42C8B"/>
    <w:p w14:paraId="7D64E9C8" w14:textId="77777777"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Таблетка</w:t>
      </w:r>
    </w:p>
    <w:p w14:paraId="0DD5D852" w14:textId="77777777" w:rsidR="00A42C8B" w:rsidRPr="00A42C8B" w:rsidRDefault="00A42C8B" w:rsidP="00A42C8B">
      <w:pPr>
        <w:spacing w:line="240" w:lineRule="auto"/>
        <w:rPr>
          <w:rFonts w:eastAsia="Times New Roman" w:cs="Arial"/>
          <w:color w:val="000000"/>
          <w:u w:val="single"/>
          <w:lang w:eastAsia="bg-BG"/>
        </w:rPr>
      </w:pPr>
    </w:p>
    <w:p w14:paraId="2369910C" w14:textId="0149F8AE"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u w:val="single"/>
          <w:lang w:eastAsia="bg-BG"/>
        </w:rPr>
        <w:t xml:space="preserve">16 </w:t>
      </w:r>
      <w:r w:rsidRPr="00A42C8B">
        <w:rPr>
          <w:rFonts w:eastAsia="Times New Roman" w:cs="Arial"/>
          <w:color w:val="000000"/>
          <w:u w:val="single"/>
          <w:lang w:val="en-US"/>
        </w:rPr>
        <w:t xml:space="preserve">mg </w:t>
      </w:r>
      <w:r w:rsidRPr="00A42C8B">
        <w:rPr>
          <w:rFonts w:eastAsia="Times New Roman" w:cs="Arial"/>
          <w:color w:val="000000"/>
          <w:u w:val="single"/>
          <w:lang w:eastAsia="bg-BG"/>
        </w:rPr>
        <w:t>таблетки</w:t>
      </w:r>
      <w:r w:rsidRPr="00A42C8B">
        <w:rPr>
          <w:rFonts w:eastAsia="Times New Roman" w:cs="Arial"/>
          <w:color w:val="000000"/>
          <w:lang w:eastAsia="bg-BG"/>
        </w:rPr>
        <w:t>:</w:t>
      </w:r>
    </w:p>
    <w:p w14:paraId="23EE48B6" w14:textId="7E0009D5"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Розова, шарена, кръгла, двойноизпъкнала таблетка, с гравиран надпис „16” от едната страна и делителна черта от другата страна.</w:t>
      </w:r>
    </w:p>
    <w:p w14:paraId="101737DC" w14:textId="77777777" w:rsidR="00A42C8B" w:rsidRPr="00A42C8B" w:rsidRDefault="00A42C8B" w:rsidP="00A42C8B">
      <w:pPr>
        <w:spacing w:line="240" w:lineRule="auto"/>
        <w:rPr>
          <w:rFonts w:eastAsia="Times New Roman" w:cs="Arial"/>
          <w:color w:val="000000"/>
          <w:u w:val="single"/>
          <w:lang w:eastAsia="bg-BG"/>
        </w:rPr>
      </w:pPr>
    </w:p>
    <w:p w14:paraId="07682F4F" w14:textId="5FD8829A"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u w:val="single"/>
          <w:lang w:eastAsia="bg-BG"/>
        </w:rPr>
        <w:t xml:space="preserve">32 </w:t>
      </w:r>
      <w:r w:rsidRPr="00A42C8B">
        <w:rPr>
          <w:rFonts w:eastAsia="Times New Roman" w:cs="Arial"/>
          <w:color w:val="000000"/>
          <w:u w:val="single"/>
          <w:lang w:val="en-US"/>
        </w:rPr>
        <w:t xml:space="preserve">mg </w:t>
      </w:r>
      <w:r w:rsidRPr="00A42C8B">
        <w:rPr>
          <w:rFonts w:eastAsia="Times New Roman" w:cs="Arial"/>
          <w:color w:val="000000"/>
          <w:u w:val="single"/>
          <w:lang w:eastAsia="bg-BG"/>
        </w:rPr>
        <w:t>таблетки</w:t>
      </w:r>
      <w:r w:rsidRPr="00A42C8B">
        <w:rPr>
          <w:rFonts w:eastAsia="Times New Roman" w:cs="Arial"/>
          <w:color w:val="000000"/>
          <w:lang w:eastAsia="bg-BG"/>
        </w:rPr>
        <w:t>:</w:t>
      </w:r>
    </w:p>
    <w:p w14:paraId="42EB9E39" w14:textId="62861A8D"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Розова, шарена, кръгла, двойноизпъкнала таблетка, с гравиран надпис „32” от едната страна и делителна черта от другата страна.</w:t>
      </w:r>
    </w:p>
    <w:p w14:paraId="465EF6E1" w14:textId="77777777" w:rsidR="00A42C8B" w:rsidRPr="00A42C8B" w:rsidRDefault="00A42C8B" w:rsidP="00A42C8B">
      <w:pPr>
        <w:rPr>
          <w:rFonts w:eastAsia="Times New Roman" w:cs="Arial"/>
          <w:color w:val="000000"/>
          <w:lang w:eastAsia="bg-BG"/>
        </w:rPr>
      </w:pPr>
    </w:p>
    <w:p w14:paraId="5AA8FFD1" w14:textId="4DB57BE6" w:rsidR="00A42C8B" w:rsidRPr="00A42C8B" w:rsidRDefault="00A42C8B" w:rsidP="00A42C8B">
      <w:pPr>
        <w:rPr>
          <w:rFonts w:cs="Arial"/>
        </w:rPr>
      </w:pPr>
      <w:r w:rsidRPr="00A42C8B">
        <w:rPr>
          <w:rFonts w:eastAsia="Times New Roman" w:cs="Arial"/>
          <w:color w:val="000000"/>
          <w:lang w:eastAsia="bg-BG"/>
        </w:rPr>
        <w:t>Таблетката може да бъде разделена на две равни дози.</w:t>
      </w:r>
    </w:p>
    <w:p w14:paraId="490FC2C4" w14:textId="5ABA5BD2" w:rsidR="002C50EE" w:rsidRDefault="002C50EE" w:rsidP="002C50EE">
      <w:pPr>
        <w:pStyle w:val="Heading1"/>
      </w:pPr>
      <w:r>
        <w:t>4. КЛИНИЧНИ ДАННИ</w:t>
      </w:r>
    </w:p>
    <w:p w14:paraId="3A616C4B" w14:textId="77777777" w:rsidR="00A42C8B" w:rsidRPr="00A42C8B" w:rsidRDefault="00A42C8B" w:rsidP="00A42C8B"/>
    <w:p w14:paraId="0C8E6903" w14:textId="46844D64" w:rsidR="008134C8" w:rsidRDefault="002C50EE" w:rsidP="004A448E">
      <w:pPr>
        <w:pStyle w:val="Heading2"/>
      </w:pPr>
      <w:r>
        <w:t>4.1. Терапевтични показания</w:t>
      </w:r>
    </w:p>
    <w:p w14:paraId="5C99CE7E" w14:textId="13939776" w:rsidR="00A42C8B" w:rsidRDefault="00A42C8B" w:rsidP="00A42C8B"/>
    <w:p w14:paraId="250A8B22" w14:textId="77777777"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Каидекард е показан за:</w:t>
      </w:r>
    </w:p>
    <w:p w14:paraId="208866DA" w14:textId="77777777" w:rsidR="00A42C8B" w:rsidRPr="00A42C8B" w:rsidRDefault="00A42C8B" w:rsidP="00A42C8B">
      <w:pPr>
        <w:pStyle w:val="ListParagraph"/>
        <w:numPr>
          <w:ilvl w:val="0"/>
          <w:numId w:val="35"/>
        </w:numPr>
        <w:spacing w:line="240" w:lineRule="auto"/>
        <w:rPr>
          <w:rFonts w:eastAsia="Times New Roman" w:cs="Arial"/>
          <w:color w:val="000000"/>
          <w:lang w:eastAsia="bg-BG"/>
        </w:rPr>
      </w:pPr>
      <w:r w:rsidRPr="00A42C8B">
        <w:rPr>
          <w:rFonts w:eastAsia="Times New Roman" w:cs="Arial"/>
          <w:color w:val="000000"/>
          <w:lang w:eastAsia="bg-BG"/>
        </w:rPr>
        <w:t>Лечение на есенциална хипертония при възрастни</w:t>
      </w:r>
    </w:p>
    <w:p w14:paraId="2BDE8852" w14:textId="77777777" w:rsidR="00A42C8B" w:rsidRPr="00A42C8B" w:rsidRDefault="00A42C8B" w:rsidP="00A42C8B">
      <w:pPr>
        <w:pStyle w:val="ListParagraph"/>
        <w:numPr>
          <w:ilvl w:val="0"/>
          <w:numId w:val="35"/>
        </w:numPr>
        <w:spacing w:line="240" w:lineRule="auto"/>
        <w:rPr>
          <w:rFonts w:eastAsia="Times New Roman" w:cs="Arial"/>
          <w:color w:val="000000"/>
          <w:lang w:eastAsia="bg-BG"/>
        </w:rPr>
      </w:pPr>
      <w:r w:rsidRPr="00A42C8B">
        <w:rPr>
          <w:rFonts w:eastAsia="Times New Roman" w:cs="Arial"/>
          <w:color w:val="000000"/>
          <w:lang w:eastAsia="bg-BG"/>
        </w:rPr>
        <w:t>Лечение на хипертония при деца и юноши на възраст от 6 до под 18 години.</w:t>
      </w:r>
    </w:p>
    <w:p w14:paraId="20263B9F" w14:textId="59D51204" w:rsidR="00A42C8B" w:rsidRPr="00A42C8B" w:rsidRDefault="00A42C8B" w:rsidP="00A42C8B">
      <w:pPr>
        <w:pStyle w:val="ListParagraph"/>
        <w:numPr>
          <w:ilvl w:val="0"/>
          <w:numId w:val="35"/>
        </w:numPr>
        <w:rPr>
          <w:rFonts w:eastAsia="Times New Roman" w:cs="Arial"/>
          <w:color w:val="000000"/>
          <w:lang w:eastAsia="bg-BG"/>
        </w:rPr>
      </w:pPr>
      <w:r w:rsidRPr="00A42C8B">
        <w:rPr>
          <w:rFonts w:eastAsia="Times New Roman" w:cs="Arial"/>
          <w:color w:val="000000"/>
          <w:lang w:eastAsia="bg-BG"/>
        </w:rPr>
        <w:lastRenderedPageBreak/>
        <w:t>Лечение на възрастни пациенти със сърдечна недостатъчност и увредена систолна функция на лявата камера (левокамерна фракция на изтласкване</w:t>
      </w:r>
      <w:r w:rsidRPr="00A42C8B">
        <w:rPr>
          <w:rFonts w:eastAsia="Times New Roman" w:cs="Arial"/>
          <w:color w:val="000000"/>
          <w:lang w:val="en-US"/>
        </w:rPr>
        <w:t xml:space="preserve"> </w:t>
      </w:r>
      <w:r w:rsidRPr="00A42C8B">
        <w:rPr>
          <w:rFonts w:eastAsia="Times New Roman" w:cs="Arial"/>
          <w:color w:val="000000"/>
          <w:lang w:eastAsia="bg-BG"/>
        </w:rPr>
        <w:t>≤40%)</w:t>
      </w:r>
      <w:r w:rsidRPr="00A42C8B">
        <w:rPr>
          <w:rFonts w:eastAsia="Times New Roman" w:cs="Arial"/>
          <w:color w:val="000000"/>
          <w:lang w:val="en-US"/>
        </w:rPr>
        <w:t xml:space="preserve"> </w:t>
      </w:r>
      <w:r w:rsidRPr="00A42C8B">
        <w:rPr>
          <w:rFonts w:eastAsia="Times New Roman" w:cs="Arial"/>
          <w:color w:val="000000"/>
          <w:lang w:eastAsia="bg-BG"/>
        </w:rPr>
        <w:t>при непоносимост към инхибитори на ангиотензин конвертиращия ензим (</w:t>
      </w:r>
      <w:r w:rsidRPr="00A42C8B">
        <w:rPr>
          <w:rFonts w:eastAsia="Times New Roman" w:cs="Arial"/>
          <w:color w:val="000000"/>
          <w:lang w:val="en-US"/>
        </w:rPr>
        <w:t xml:space="preserve">ACE) </w:t>
      </w:r>
      <w:r w:rsidRPr="00A42C8B">
        <w:rPr>
          <w:rFonts w:eastAsia="Times New Roman" w:cs="Arial"/>
          <w:color w:val="000000"/>
          <w:lang w:eastAsia="bg-BG"/>
        </w:rPr>
        <w:t>или като  допълнение към лечението с АСЕ инхибитори при пациенти със симптоматична</w:t>
      </w:r>
      <w:r>
        <w:rPr>
          <w:rFonts w:eastAsia="Times New Roman" w:cs="Arial"/>
          <w:color w:val="000000"/>
          <w:lang w:val="en-US" w:eastAsia="bg-BG"/>
        </w:rPr>
        <w:t xml:space="preserve"> </w:t>
      </w:r>
      <w:r>
        <w:t>сърдечна недостатъчност, въпреки оптималната терапия, когато има непоносимост към антагонисти на минералкортикоидните рецептори (вижте точка 4.2,4.4, 4.5 и 5.1).</w:t>
      </w:r>
    </w:p>
    <w:p w14:paraId="592F55C7" w14:textId="07FAAA48" w:rsidR="00A42C8B" w:rsidRDefault="00A42C8B" w:rsidP="00A42C8B">
      <w:pPr>
        <w:rPr>
          <w:rFonts w:ascii="Times New Roman" w:eastAsia="Times New Roman" w:hAnsi="Times New Roman" w:cs="Times New Roman"/>
          <w:color w:val="000000"/>
          <w:lang w:eastAsia="bg-BG"/>
        </w:rPr>
      </w:pPr>
    </w:p>
    <w:p w14:paraId="366350B7" w14:textId="77777777" w:rsidR="00A42C8B" w:rsidRPr="00A42C8B" w:rsidRDefault="00A42C8B" w:rsidP="00A42C8B"/>
    <w:p w14:paraId="30BE2C7B" w14:textId="5E210515" w:rsidR="008134C8" w:rsidRDefault="002C50EE" w:rsidP="004A448E">
      <w:pPr>
        <w:pStyle w:val="Heading2"/>
      </w:pPr>
      <w:r>
        <w:t>4.2. Дозировка и начин на приложение</w:t>
      </w:r>
    </w:p>
    <w:p w14:paraId="33CCEA78" w14:textId="574BD063" w:rsidR="00A42C8B" w:rsidRDefault="00A42C8B" w:rsidP="00A42C8B"/>
    <w:p w14:paraId="1B24E30B" w14:textId="77777777" w:rsidR="00A42C8B" w:rsidRPr="00E54A9D" w:rsidRDefault="00A42C8B" w:rsidP="00E54A9D">
      <w:pPr>
        <w:pStyle w:val="Heading3"/>
        <w:rPr>
          <w:rFonts w:eastAsia="Times New Roman"/>
          <w:u w:val="single"/>
          <w:lang w:eastAsia="bg-BG"/>
        </w:rPr>
      </w:pPr>
      <w:r w:rsidRPr="00E54A9D">
        <w:rPr>
          <w:rFonts w:eastAsia="Times New Roman"/>
          <w:u w:val="single"/>
          <w:lang w:eastAsia="bg-BG"/>
        </w:rPr>
        <w:t>Дозировка при хипертония</w:t>
      </w:r>
    </w:p>
    <w:p w14:paraId="7126CF58" w14:textId="77777777"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 xml:space="preserve">Препоръчителната начална доза и обичайната поддържаща доза от Кандекард е 8 </w:t>
      </w:r>
      <w:r w:rsidRPr="00A42C8B">
        <w:rPr>
          <w:rFonts w:eastAsia="Times New Roman" w:cs="Arial"/>
          <w:color w:val="000000"/>
          <w:lang w:val="en-US"/>
        </w:rPr>
        <w:t xml:space="preserve">mg </w:t>
      </w:r>
      <w:r w:rsidRPr="00A42C8B">
        <w:rPr>
          <w:rFonts w:eastAsia="Times New Roman" w:cs="Arial"/>
          <w:color w:val="000000"/>
          <w:lang w:eastAsia="bg-BG"/>
        </w:rPr>
        <w:t xml:space="preserve">веднъж дневно. Основният антихипертензивен ефект се постига в рамките на 4 седмици. При някои пациенти, чието кръвно налягане не се контролира адекватно, дозата може да бъде увеличена до 16 </w:t>
      </w:r>
      <w:r w:rsidRPr="00A42C8B">
        <w:rPr>
          <w:rFonts w:eastAsia="Times New Roman" w:cs="Arial"/>
          <w:color w:val="000000"/>
          <w:lang w:val="en-US"/>
        </w:rPr>
        <w:t xml:space="preserve">mg </w:t>
      </w:r>
      <w:r w:rsidRPr="00A42C8B">
        <w:rPr>
          <w:rFonts w:eastAsia="Times New Roman" w:cs="Arial"/>
          <w:color w:val="000000"/>
          <w:lang w:eastAsia="bg-BG"/>
        </w:rPr>
        <w:t xml:space="preserve">веднъж дневно и до не повече от 32 </w:t>
      </w:r>
      <w:r w:rsidRPr="00A42C8B">
        <w:rPr>
          <w:rFonts w:eastAsia="Times New Roman" w:cs="Arial"/>
          <w:color w:val="000000"/>
          <w:lang w:val="en-US"/>
        </w:rPr>
        <w:t xml:space="preserve">mg </w:t>
      </w:r>
      <w:r w:rsidRPr="00A42C8B">
        <w:rPr>
          <w:rFonts w:eastAsia="Times New Roman" w:cs="Arial"/>
          <w:color w:val="000000"/>
          <w:lang w:eastAsia="bg-BG"/>
        </w:rPr>
        <w:t>веднъж дневно. Лечението трябва да бъде коригирано според повлияването на кръвното налягане.</w:t>
      </w:r>
    </w:p>
    <w:p w14:paraId="78ED6591" w14:textId="77777777"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Кандекард може да се прилага с други антихипертензивни лекарства (вижте точка 4.3,4.4,4.5 и 5.1). Доказано е, че добавянето на хидрохлоротиазид има адитивен ефект при различни дози на Кандекард.</w:t>
      </w:r>
    </w:p>
    <w:p w14:paraId="4A8E6BB9" w14:textId="77777777" w:rsidR="00A42C8B" w:rsidRPr="00A42C8B" w:rsidRDefault="00A42C8B" w:rsidP="00A42C8B">
      <w:pPr>
        <w:spacing w:line="240" w:lineRule="auto"/>
        <w:rPr>
          <w:rFonts w:eastAsia="Times New Roman" w:cs="Arial"/>
          <w:i/>
          <w:iCs/>
          <w:color w:val="000000"/>
          <w:lang w:eastAsia="bg-BG"/>
        </w:rPr>
      </w:pPr>
    </w:p>
    <w:p w14:paraId="465E5C98" w14:textId="04B90F59" w:rsidR="00A42C8B" w:rsidRPr="00A42C8B" w:rsidRDefault="00A42C8B" w:rsidP="00A42C8B">
      <w:pPr>
        <w:spacing w:line="240" w:lineRule="auto"/>
        <w:rPr>
          <w:rFonts w:eastAsia="Times New Roman" w:cs="Arial"/>
          <w:sz w:val="24"/>
          <w:szCs w:val="24"/>
          <w:lang w:eastAsia="bg-BG"/>
        </w:rPr>
      </w:pPr>
      <w:r w:rsidRPr="00A42C8B">
        <w:rPr>
          <w:rFonts w:eastAsia="Times New Roman" w:cs="Arial"/>
          <w:i/>
          <w:iCs/>
          <w:color w:val="000000"/>
          <w:lang w:eastAsia="bg-BG"/>
        </w:rPr>
        <w:t>Старческа възраст</w:t>
      </w:r>
    </w:p>
    <w:p w14:paraId="2D1302DE" w14:textId="77777777"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Не е необходимо начално коригиране на дозата при пациенти в старческа възраст.</w:t>
      </w:r>
    </w:p>
    <w:p w14:paraId="54FFAC90" w14:textId="77777777" w:rsidR="00A42C8B" w:rsidRPr="00A42C8B" w:rsidRDefault="00A42C8B" w:rsidP="00A42C8B">
      <w:pPr>
        <w:spacing w:line="240" w:lineRule="auto"/>
        <w:rPr>
          <w:rFonts w:eastAsia="Times New Roman" w:cs="Arial"/>
          <w:i/>
          <w:iCs/>
          <w:color w:val="000000"/>
          <w:lang w:eastAsia="bg-BG"/>
        </w:rPr>
      </w:pPr>
    </w:p>
    <w:p w14:paraId="4D61DBB5" w14:textId="3F1CF56A" w:rsidR="00A42C8B" w:rsidRPr="00A42C8B" w:rsidRDefault="00A42C8B" w:rsidP="00A42C8B">
      <w:pPr>
        <w:spacing w:line="240" w:lineRule="auto"/>
        <w:rPr>
          <w:rFonts w:eastAsia="Times New Roman" w:cs="Arial"/>
          <w:sz w:val="24"/>
          <w:szCs w:val="24"/>
          <w:lang w:eastAsia="bg-BG"/>
        </w:rPr>
      </w:pPr>
      <w:r w:rsidRPr="00A42C8B">
        <w:rPr>
          <w:rFonts w:eastAsia="Times New Roman" w:cs="Arial"/>
          <w:i/>
          <w:iCs/>
          <w:color w:val="000000"/>
          <w:lang w:eastAsia="bg-BG"/>
        </w:rPr>
        <w:t>Пациенти с намален вътресъдов обем</w:t>
      </w:r>
    </w:p>
    <w:p w14:paraId="3E369F85" w14:textId="77777777"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 xml:space="preserve">Може да се обмисли приложение на начална доза от 4 </w:t>
      </w:r>
      <w:r w:rsidRPr="00A42C8B">
        <w:rPr>
          <w:rFonts w:eastAsia="Times New Roman" w:cs="Arial"/>
          <w:color w:val="000000"/>
          <w:lang w:val="en-US"/>
        </w:rPr>
        <w:t xml:space="preserve">mg </w:t>
      </w:r>
      <w:r w:rsidRPr="00A42C8B">
        <w:rPr>
          <w:rFonts w:eastAsia="Times New Roman" w:cs="Arial"/>
          <w:color w:val="000000"/>
          <w:lang w:eastAsia="bg-BG"/>
        </w:rPr>
        <w:t>при пациенти с риск от хипотония, например пациенти, при които има вероятност обемът да е намален (вж. точка 4.4).</w:t>
      </w:r>
    </w:p>
    <w:p w14:paraId="04940F55" w14:textId="77777777" w:rsidR="00A42C8B" w:rsidRPr="00A42C8B" w:rsidRDefault="00A42C8B" w:rsidP="00A42C8B">
      <w:pPr>
        <w:spacing w:line="240" w:lineRule="auto"/>
        <w:rPr>
          <w:rFonts w:eastAsia="Times New Roman" w:cs="Arial"/>
          <w:i/>
          <w:iCs/>
          <w:color w:val="000000"/>
          <w:lang w:eastAsia="bg-BG"/>
        </w:rPr>
      </w:pPr>
    </w:p>
    <w:p w14:paraId="50929951" w14:textId="54C7805B" w:rsidR="00A42C8B" w:rsidRPr="00A42C8B" w:rsidRDefault="00A42C8B" w:rsidP="00A42C8B">
      <w:pPr>
        <w:spacing w:line="240" w:lineRule="auto"/>
        <w:rPr>
          <w:rFonts w:eastAsia="Times New Roman" w:cs="Arial"/>
          <w:sz w:val="24"/>
          <w:szCs w:val="24"/>
          <w:lang w:eastAsia="bg-BG"/>
        </w:rPr>
      </w:pPr>
      <w:r w:rsidRPr="00A42C8B">
        <w:rPr>
          <w:rFonts w:eastAsia="Times New Roman" w:cs="Arial"/>
          <w:i/>
          <w:iCs/>
          <w:color w:val="000000"/>
          <w:lang w:eastAsia="bg-BG"/>
        </w:rPr>
        <w:t>Бъбречно увреждане</w:t>
      </w:r>
    </w:p>
    <w:p w14:paraId="231096C3" w14:textId="77777777"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 xml:space="preserve">Началната доза при пациенти с бъбречно увреждане, включително пациенти на хемодиализа, е 4 </w:t>
      </w:r>
      <w:r w:rsidRPr="00A42C8B">
        <w:rPr>
          <w:rFonts w:eastAsia="Times New Roman" w:cs="Arial"/>
          <w:color w:val="000000"/>
          <w:lang w:val="en-US"/>
        </w:rPr>
        <w:t xml:space="preserve">mg. </w:t>
      </w:r>
      <w:r w:rsidRPr="00A42C8B">
        <w:rPr>
          <w:rFonts w:eastAsia="Times New Roman" w:cs="Arial"/>
          <w:color w:val="000000"/>
          <w:lang w:eastAsia="bg-BG"/>
        </w:rPr>
        <w:t xml:space="preserve">Дозата трябва да се титрира според степента на повлияване. Опитът при пациенти с много тежко или бъбречно увреждане в терминален стадий (креатининов клирънс 15 </w:t>
      </w:r>
      <w:r w:rsidRPr="00A42C8B">
        <w:rPr>
          <w:rFonts w:eastAsia="Times New Roman" w:cs="Arial"/>
          <w:color w:val="000000"/>
          <w:lang w:val="en-US"/>
        </w:rPr>
        <w:t xml:space="preserve">ml/min) </w:t>
      </w:r>
      <w:r w:rsidRPr="00A42C8B">
        <w:rPr>
          <w:rFonts w:eastAsia="Times New Roman" w:cs="Arial"/>
          <w:color w:val="000000"/>
          <w:lang w:eastAsia="bg-BG"/>
        </w:rPr>
        <w:t>е ограничен, (вж. точка 4.4)</w:t>
      </w:r>
    </w:p>
    <w:p w14:paraId="6635453E" w14:textId="77777777" w:rsidR="00A42C8B" w:rsidRPr="00A42C8B" w:rsidRDefault="00A42C8B" w:rsidP="00A42C8B">
      <w:pPr>
        <w:spacing w:line="240" w:lineRule="auto"/>
        <w:rPr>
          <w:rFonts w:eastAsia="Times New Roman" w:cs="Arial"/>
          <w:i/>
          <w:iCs/>
          <w:color w:val="000000"/>
          <w:lang w:eastAsia="bg-BG"/>
        </w:rPr>
      </w:pPr>
    </w:p>
    <w:p w14:paraId="4E74849D" w14:textId="6F8BEDF8" w:rsidR="00A42C8B" w:rsidRPr="00A42C8B" w:rsidRDefault="00A42C8B" w:rsidP="00A42C8B">
      <w:pPr>
        <w:spacing w:line="240" w:lineRule="auto"/>
        <w:rPr>
          <w:rFonts w:eastAsia="Times New Roman" w:cs="Arial"/>
          <w:sz w:val="24"/>
          <w:szCs w:val="24"/>
          <w:lang w:eastAsia="bg-BG"/>
        </w:rPr>
      </w:pPr>
      <w:r w:rsidRPr="00A42C8B">
        <w:rPr>
          <w:rFonts w:eastAsia="Times New Roman" w:cs="Arial"/>
          <w:i/>
          <w:iCs/>
          <w:color w:val="000000"/>
          <w:lang w:eastAsia="bg-BG"/>
        </w:rPr>
        <w:t>Чернодробно увреждане</w:t>
      </w:r>
    </w:p>
    <w:p w14:paraId="671069B4" w14:textId="77777777"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 xml:space="preserve">При пациенти с леко до умерено чернодробно увреждане се препоръчва първоначална доза от 4 </w:t>
      </w:r>
      <w:r w:rsidRPr="00A42C8B">
        <w:rPr>
          <w:rFonts w:eastAsia="Times New Roman" w:cs="Arial"/>
          <w:color w:val="000000"/>
          <w:lang w:val="en-US"/>
        </w:rPr>
        <w:t xml:space="preserve">mg </w:t>
      </w:r>
      <w:r w:rsidRPr="00A42C8B">
        <w:rPr>
          <w:rFonts w:eastAsia="Times New Roman" w:cs="Arial"/>
          <w:color w:val="000000"/>
          <w:lang w:eastAsia="bg-BG"/>
        </w:rPr>
        <w:t>веднъж дневно. Дозата трябва да се коригира според степента на повлияване. Кандекард е противопоказан при пациенти с тежко чернодробно увреждане и/или холестаза (вж. точки 4.3 и 5.2).</w:t>
      </w:r>
    </w:p>
    <w:p w14:paraId="4D332093" w14:textId="77777777" w:rsidR="00A42C8B" w:rsidRPr="00A42C8B" w:rsidRDefault="00A42C8B" w:rsidP="00A42C8B">
      <w:pPr>
        <w:spacing w:line="240" w:lineRule="auto"/>
        <w:rPr>
          <w:rFonts w:eastAsia="Times New Roman" w:cs="Arial"/>
          <w:i/>
          <w:iCs/>
          <w:color w:val="000000"/>
          <w:lang w:eastAsia="bg-BG"/>
        </w:rPr>
      </w:pPr>
    </w:p>
    <w:p w14:paraId="7BB40317" w14:textId="24AE48FF" w:rsidR="00A42C8B" w:rsidRPr="00A42C8B" w:rsidRDefault="00A42C8B" w:rsidP="00A42C8B">
      <w:pPr>
        <w:spacing w:line="240" w:lineRule="auto"/>
        <w:rPr>
          <w:rFonts w:eastAsia="Times New Roman" w:cs="Arial"/>
          <w:sz w:val="24"/>
          <w:szCs w:val="24"/>
          <w:lang w:eastAsia="bg-BG"/>
        </w:rPr>
      </w:pPr>
      <w:r w:rsidRPr="00A42C8B">
        <w:rPr>
          <w:rFonts w:eastAsia="Times New Roman" w:cs="Arial"/>
          <w:i/>
          <w:iCs/>
          <w:color w:val="000000"/>
          <w:lang w:eastAsia="bg-BG"/>
        </w:rPr>
        <w:t>Чернокожи пациенти</w:t>
      </w:r>
    </w:p>
    <w:p w14:paraId="43E78E5A" w14:textId="77777777"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Антихипертензивният ефект на кандесартан е по-слаб при чернокожи пациенти в сравнение с нечернокожи пациенти. Поради това, при чернокожи в сравнение с нечернокожи пациенти може по-често да е необходимо повишаване на дозата на Кандекард и да се прилага комбинирана терапия с цел контролиране на кръвното налягане (вж. точка 5.1).</w:t>
      </w:r>
    </w:p>
    <w:p w14:paraId="5F06038A" w14:textId="77777777" w:rsidR="00A42C8B" w:rsidRPr="00A42C8B" w:rsidRDefault="00A42C8B" w:rsidP="00A42C8B">
      <w:pPr>
        <w:spacing w:line="240" w:lineRule="auto"/>
        <w:rPr>
          <w:rFonts w:eastAsia="Times New Roman" w:cs="Arial"/>
          <w:i/>
          <w:iCs/>
          <w:color w:val="000000"/>
          <w:lang w:eastAsia="bg-BG"/>
        </w:rPr>
      </w:pPr>
    </w:p>
    <w:p w14:paraId="254CFC6C" w14:textId="3D757B3F" w:rsidR="00A42C8B" w:rsidRPr="00A42C8B" w:rsidRDefault="00A42C8B" w:rsidP="00A42C8B">
      <w:pPr>
        <w:spacing w:line="240" w:lineRule="auto"/>
        <w:rPr>
          <w:rFonts w:eastAsia="Times New Roman" w:cs="Arial"/>
          <w:sz w:val="24"/>
          <w:szCs w:val="24"/>
          <w:lang w:eastAsia="bg-BG"/>
        </w:rPr>
      </w:pPr>
      <w:r w:rsidRPr="00A42C8B">
        <w:rPr>
          <w:rFonts w:eastAsia="Times New Roman" w:cs="Arial"/>
          <w:i/>
          <w:iCs/>
          <w:color w:val="000000"/>
          <w:lang w:eastAsia="bg-BG"/>
        </w:rPr>
        <w:t>Педиатрична популация</w:t>
      </w:r>
    </w:p>
    <w:p w14:paraId="157C7A07" w14:textId="77777777"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lastRenderedPageBreak/>
        <w:t>Деца и юноши на възраст от 6 до под 18 години:</w:t>
      </w:r>
    </w:p>
    <w:p w14:paraId="043D3AE4" w14:textId="77777777"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 xml:space="preserve">Препоръчителната начална доза е 4 </w:t>
      </w:r>
      <w:r w:rsidRPr="00A42C8B">
        <w:rPr>
          <w:rFonts w:eastAsia="Times New Roman" w:cs="Arial"/>
          <w:color w:val="000000"/>
          <w:lang w:val="en-US"/>
        </w:rPr>
        <w:t xml:space="preserve">mg </w:t>
      </w:r>
      <w:r w:rsidRPr="00A42C8B">
        <w:rPr>
          <w:rFonts w:eastAsia="Times New Roman" w:cs="Arial"/>
          <w:color w:val="000000"/>
          <w:lang w:eastAsia="bg-BG"/>
        </w:rPr>
        <w:t>веднъж дневно.</w:t>
      </w:r>
    </w:p>
    <w:p w14:paraId="3F8FDFA5" w14:textId="77777777" w:rsidR="00A42C8B" w:rsidRPr="00A42C8B" w:rsidRDefault="00A42C8B" w:rsidP="00A42C8B">
      <w:pPr>
        <w:spacing w:line="240" w:lineRule="auto"/>
        <w:rPr>
          <w:rFonts w:eastAsia="Times New Roman" w:cs="Arial"/>
          <w:sz w:val="24"/>
          <w:szCs w:val="24"/>
          <w:lang w:eastAsia="bg-BG"/>
        </w:rPr>
      </w:pPr>
    </w:p>
    <w:p w14:paraId="45964D43" w14:textId="3C08FAF2"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w:t>
      </w:r>
      <w:r w:rsidRPr="00A42C8B">
        <w:rPr>
          <w:rFonts w:eastAsia="Times New Roman" w:cs="Arial"/>
          <w:color w:val="000000"/>
          <w:lang w:eastAsia="bg-BG"/>
        </w:rPr>
        <w:tab/>
        <w:t xml:space="preserve">Пациенти с тегло под 50 </w:t>
      </w:r>
      <w:r w:rsidRPr="00A42C8B">
        <w:rPr>
          <w:rFonts w:eastAsia="Times New Roman" w:cs="Arial"/>
          <w:color w:val="000000"/>
          <w:lang w:val="en-US"/>
        </w:rPr>
        <w:t xml:space="preserve">kg: </w:t>
      </w:r>
      <w:r w:rsidRPr="00A42C8B">
        <w:rPr>
          <w:rFonts w:eastAsia="Times New Roman" w:cs="Arial"/>
          <w:color w:val="000000"/>
          <w:lang w:eastAsia="bg-BG"/>
        </w:rPr>
        <w:t xml:space="preserve">При пациентите без адекватен контрол на артериалното налягане дозата може да бъде повишена до не повече от 8 </w:t>
      </w:r>
      <w:r w:rsidRPr="00A42C8B">
        <w:rPr>
          <w:rFonts w:eastAsia="Times New Roman" w:cs="Arial"/>
          <w:color w:val="000000"/>
          <w:lang w:val="en-US"/>
        </w:rPr>
        <w:t xml:space="preserve">mg </w:t>
      </w:r>
      <w:r w:rsidRPr="00A42C8B">
        <w:rPr>
          <w:rFonts w:eastAsia="Times New Roman" w:cs="Arial"/>
          <w:color w:val="000000"/>
          <w:lang w:eastAsia="bg-BG"/>
        </w:rPr>
        <w:t>веднъж дневно.</w:t>
      </w:r>
    </w:p>
    <w:p w14:paraId="0AB559EC" w14:textId="77777777" w:rsidR="00A42C8B" w:rsidRPr="00A42C8B" w:rsidRDefault="00A42C8B" w:rsidP="00A42C8B">
      <w:pPr>
        <w:spacing w:line="240" w:lineRule="auto"/>
        <w:rPr>
          <w:rFonts w:eastAsia="Times New Roman" w:cs="Arial"/>
          <w:color w:val="000000"/>
          <w:lang w:eastAsia="bg-BG"/>
        </w:rPr>
      </w:pPr>
    </w:p>
    <w:p w14:paraId="321EE3C6" w14:textId="0D838C98"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w:t>
      </w:r>
      <w:r w:rsidRPr="00A42C8B">
        <w:rPr>
          <w:rFonts w:eastAsia="Times New Roman" w:cs="Arial"/>
          <w:color w:val="000000"/>
          <w:lang w:eastAsia="bg-BG"/>
        </w:rPr>
        <w:tab/>
        <w:t xml:space="preserve">Пациенти с тегло ≥ 50 </w:t>
      </w:r>
      <w:r w:rsidRPr="00A42C8B">
        <w:rPr>
          <w:rFonts w:eastAsia="Times New Roman" w:cs="Arial"/>
          <w:color w:val="000000"/>
          <w:lang w:val="en-US"/>
        </w:rPr>
        <w:t xml:space="preserve">kg: </w:t>
      </w:r>
      <w:r w:rsidRPr="00A42C8B">
        <w:rPr>
          <w:rFonts w:eastAsia="Times New Roman" w:cs="Arial"/>
          <w:color w:val="000000"/>
          <w:lang w:eastAsia="bg-BG"/>
        </w:rPr>
        <w:t xml:space="preserve">При пациентите без адекватен контрол на артериалното налягане дозата може да бъде повишена до 8 </w:t>
      </w:r>
      <w:r w:rsidRPr="00A42C8B">
        <w:rPr>
          <w:rFonts w:eastAsia="Times New Roman" w:cs="Arial"/>
          <w:color w:val="000000"/>
          <w:lang w:val="en-US"/>
        </w:rPr>
        <w:t xml:space="preserve">mg </w:t>
      </w:r>
      <w:r w:rsidRPr="00A42C8B">
        <w:rPr>
          <w:rFonts w:eastAsia="Times New Roman" w:cs="Arial"/>
          <w:color w:val="000000"/>
          <w:lang w:eastAsia="bg-BG"/>
        </w:rPr>
        <w:t xml:space="preserve">веднъж дневно, след което до 16 </w:t>
      </w:r>
      <w:r w:rsidRPr="00A42C8B">
        <w:rPr>
          <w:rFonts w:eastAsia="Times New Roman" w:cs="Arial"/>
          <w:color w:val="000000"/>
          <w:lang w:val="en-US"/>
        </w:rPr>
        <w:t>mg</w:t>
      </w:r>
      <w:r w:rsidRPr="00A42C8B">
        <w:rPr>
          <w:rFonts w:eastAsia="Times New Roman" w:cs="Arial"/>
          <w:color w:val="000000"/>
          <w:lang w:eastAsia="bg-BG"/>
        </w:rPr>
        <w:t xml:space="preserve"> веднъж дневно, при необходимост (вж. точка 5.1).</w:t>
      </w:r>
    </w:p>
    <w:p w14:paraId="4DD8D1EE" w14:textId="77777777" w:rsidR="00A42C8B" w:rsidRPr="00A42C8B" w:rsidRDefault="00A42C8B" w:rsidP="00A42C8B">
      <w:pPr>
        <w:spacing w:line="240" w:lineRule="auto"/>
        <w:rPr>
          <w:rFonts w:eastAsia="Times New Roman" w:cs="Arial"/>
          <w:color w:val="000000"/>
          <w:lang w:eastAsia="bg-BG"/>
        </w:rPr>
      </w:pPr>
    </w:p>
    <w:p w14:paraId="6614F400" w14:textId="6A4756C6"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 xml:space="preserve">Дози над 32 </w:t>
      </w:r>
      <w:r w:rsidRPr="00A42C8B">
        <w:rPr>
          <w:rFonts w:eastAsia="Times New Roman" w:cs="Arial"/>
          <w:color w:val="000000"/>
          <w:lang w:val="en-US"/>
        </w:rPr>
        <w:t xml:space="preserve">mg </w:t>
      </w:r>
      <w:r w:rsidRPr="00A42C8B">
        <w:rPr>
          <w:rFonts w:eastAsia="Times New Roman" w:cs="Arial"/>
          <w:color w:val="000000"/>
          <w:lang w:eastAsia="bg-BG"/>
        </w:rPr>
        <w:t>не се проучвани при педиатрични пациенти.</w:t>
      </w:r>
    </w:p>
    <w:p w14:paraId="5085E0E2" w14:textId="77777777" w:rsidR="00A42C8B" w:rsidRPr="00A42C8B" w:rsidRDefault="00A42C8B" w:rsidP="00A42C8B">
      <w:pPr>
        <w:rPr>
          <w:rFonts w:eastAsia="Times New Roman" w:cs="Arial"/>
          <w:color w:val="000000"/>
          <w:lang w:eastAsia="bg-BG"/>
        </w:rPr>
      </w:pPr>
    </w:p>
    <w:p w14:paraId="12865B28" w14:textId="78B2B9AA" w:rsidR="00A42C8B" w:rsidRDefault="00A42C8B" w:rsidP="00A42C8B">
      <w:pPr>
        <w:rPr>
          <w:rFonts w:eastAsia="Times New Roman" w:cs="Arial"/>
          <w:color w:val="000000"/>
          <w:lang w:eastAsia="bg-BG"/>
        </w:rPr>
      </w:pPr>
      <w:r w:rsidRPr="00A42C8B">
        <w:rPr>
          <w:rFonts w:eastAsia="Times New Roman" w:cs="Arial"/>
          <w:color w:val="000000"/>
          <w:lang w:eastAsia="bg-BG"/>
        </w:rPr>
        <w:t>По-голямата част от антихипертензивния ефект се получава в рамките на 4</w:t>
      </w:r>
      <w:r w:rsidRPr="00A42C8B">
        <w:rPr>
          <w:rFonts w:eastAsia="Times New Roman" w:cs="Arial"/>
          <w:color w:val="000000"/>
          <w:lang w:val="en-US"/>
        </w:rPr>
        <w:t xml:space="preserve"> </w:t>
      </w:r>
      <w:r w:rsidRPr="00A42C8B">
        <w:rPr>
          <w:rFonts w:eastAsia="Times New Roman" w:cs="Arial"/>
          <w:color w:val="000000"/>
          <w:lang w:eastAsia="bg-BG"/>
        </w:rPr>
        <w:t>седмици.</w:t>
      </w:r>
    </w:p>
    <w:p w14:paraId="7B89958E" w14:textId="683B70E1" w:rsidR="00A42C8B" w:rsidRDefault="00A42C8B" w:rsidP="00A42C8B">
      <w:pPr>
        <w:rPr>
          <w:rFonts w:eastAsia="Times New Roman" w:cs="Arial"/>
          <w:color w:val="000000"/>
          <w:lang w:eastAsia="bg-BG"/>
        </w:rPr>
      </w:pPr>
    </w:p>
    <w:p w14:paraId="498814CB" w14:textId="77777777"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При деца с възможен намален вътресъдов обем (напр. след лечение с диуретици, по-специално, при пациенти с нарушена бъбречна функция) лечението с Кандекард трябва да започне под стриктно лекарско наблюдение и следва да се има предвид по-ниска начална доза от общата начална доза (вж. точка 4.4).</w:t>
      </w:r>
    </w:p>
    <w:p w14:paraId="4314CDB3" w14:textId="77777777" w:rsidR="00A42C8B" w:rsidRPr="00A42C8B" w:rsidRDefault="00A42C8B" w:rsidP="00A42C8B">
      <w:pPr>
        <w:spacing w:line="240" w:lineRule="auto"/>
        <w:rPr>
          <w:rFonts w:eastAsia="Times New Roman" w:cs="Arial"/>
          <w:color w:val="000000"/>
          <w:lang w:eastAsia="bg-BG"/>
        </w:rPr>
      </w:pPr>
    </w:p>
    <w:p w14:paraId="04927F2D" w14:textId="56923C01"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 xml:space="preserve">Не са провеждани проучвания на кандесартан при деца със скорост на гломерулна филтрация под 30 </w:t>
      </w:r>
      <w:r w:rsidRPr="00A42C8B">
        <w:rPr>
          <w:rFonts w:eastAsia="Times New Roman" w:cs="Arial"/>
          <w:color w:val="000000"/>
          <w:lang w:val="en-US"/>
        </w:rPr>
        <w:t>ml/min/1,73 m</w:t>
      </w:r>
      <w:r w:rsidRPr="00A42C8B">
        <w:rPr>
          <w:rFonts w:eastAsia="Times New Roman" w:cs="Arial"/>
          <w:color w:val="000000"/>
          <w:vertAlign w:val="superscript"/>
          <w:lang w:val="en-US"/>
        </w:rPr>
        <w:t>2</w:t>
      </w:r>
      <w:r w:rsidRPr="00A42C8B">
        <w:rPr>
          <w:rFonts w:eastAsia="Times New Roman" w:cs="Arial"/>
          <w:color w:val="000000"/>
          <w:lang w:val="en-US"/>
        </w:rPr>
        <w:t xml:space="preserve"> </w:t>
      </w:r>
      <w:r w:rsidRPr="00A42C8B">
        <w:rPr>
          <w:rFonts w:eastAsia="Times New Roman" w:cs="Arial"/>
          <w:color w:val="000000"/>
          <w:lang w:eastAsia="bg-BG"/>
        </w:rPr>
        <w:t>(вж. точка 4.4).</w:t>
      </w:r>
    </w:p>
    <w:p w14:paraId="58378B84" w14:textId="77777777" w:rsidR="00A42C8B" w:rsidRPr="00A42C8B" w:rsidRDefault="00A42C8B" w:rsidP="00A42C8B">
      <w:pPr>
        <w:spacing w:line="240" w:lineRule="auto"/>
        <w:rPr>
          <w:rFonts w:eastAsia="Times New Roman" w:cs="Arial"/>
          <w:i/>
          <w:iCs/>
          <w:color w:val="000000"/>
          <w:lang w:eastAsia="bg-BG"/>
        </w:rPr>
      </w:pPr>
    </w:p>
    <w:p w14:paraId="03258325" w14:textId="102435FB" w:rsidR="00A42C8B" w:rsidRPr="00A42C8B" w:rsidRDefault="00A42C8B" w:rsidP="00A42C8B">
      <w:pPr>
        <w:spacing w:line="240" w:lineRule="auto"/>
        <w:rPr>
          <w:rFonts w:eastAsia="Times New Roman" w:cs="Arial"/>
          <w:sz w:val="24"/>
          <w:szCs w:val="24"/>
          <w:lang w:eastAsia="bg-BG"/>
        </w:rPr>
      </w:pPr>
      <w:r w:rsidRPr="00A42C8B">
        <w:rPr>
          <w:rFonts w:eastAsia="Times New Roman" w:cs="Arial"/>
          <w:i/>
          <w:iCs/>
          <w:color w:val="000000"/>
          <w:lang w:eastAsia="bg-BG"/>
        </w:rPr>
        <w:t>Чернокожи педиатрични пациенти</w:t>
      </w:r>
    </w:p>
    <w:p w14:paraId="5124D2D8" w14:textId="77777777"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Антихипертензивният ефект на кандесартан е по-слабо изявен при чернокожи пациенти отколкото при другите пациенти (вж. точка 5.1).</w:t>
      </w:r>
    </w:p>
    <w:p w14:paraId="4788C488" w14:textId="77777777" w:rsidR="00A42C8B" w:rsidRPr="00A42C8B" w:rsidRDefault="00A42C8B" w:rsidP="00A42C8B">
      <w:pPr>
        <w:spacing w:line="240" w:lineRule="auto"/>
        <w:rPr>
          <w:rFonts w:eastAsia="Times New Roman" w:cs="Arial"/>
          <w:color w:val="000000"/>
          <w:lang w:eastAsia="bg-BG"/>
        </w:rPr>
      </w:pPr>
    </w:p>
    <w:p w14:paraId="0CB98F5A" w14:textId="65F01CAB"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Деца на възраст под 1 година и до 6 години</w:t>
      </w:r>
    </w:p>
    <w:p w14:paraId="45BD22DF" w14:textId="77777777"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w:t>
      </w:r>
      <w:r w:rsidRPr="00A42C8B">
        <w:rPr>
          <w:rFonts w:eastAsia="Times New Roman" w:cs="Arial"/>
          <w:color w:val="000000"/>
          <w:lang w:eastAsia="bg-BG"/>
        </w:rPr>
        <w:tab/>
        <w:t>Не са установени безопасността и ефикасността при деца на възраст от 1 до под 6 години. Наличните данни са описани в точка 5.1, но не могат да се направят препоръки относно дозировката.</w:t>
      </w:r>
    </w:p>
    <w:p w14:paraId="03EFA12D" w14:textId="77777777"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w:t>
      </w:r>
      <w:r w:rsidRPr="00A42C8B">
        <w:rPr>
          <w:rFonts w:eastAsia="Times New Roman" w:cs="Arial"/>
          <w:color w:val="000000"/>
          <w:lang w:eastAsia="bg-BG"/>
        </w:rPr>
        <w:tab/>
        <w:t>Употребата на Кандекард е противопоказана при деца на възраст под 1 година (вж. точка 4.3).</w:t>
      </w:r>
    </w:p>
    <w:p w14:paraId="43683C6A" w14:textId="77777777" w:rsidR="00A42C8B" w:rsidRPr="00A42C8B" w:rsidRDefault="00A42C8B" w:rsidP="00A42C8B">
      <w:pPr>
        <w:spacing w:line="240" w:lineRule="auto"/>
        <w:rPr>
          <w:rFonts w:eastAsia="Times New Roman" w:cs="Arial"/>
          <w:color w:val="000000"/>
          <w:u w:val="single"/>
          <w:lang w:eastAsia="bg-BG"/>
        </w:rPr>
      </w:pPr>
    </w:p>
    <w:p w14:paraId="1B06FEDC" w14:textId="64E86B46" w:rsidR="00A42C8B" w:rsidRPr="00E54A9D" w:rsidRDefault="00A42C8B" w:rsidP="00E54A9D">
      <w:pPr>
        <w:pStyle w:val="Heading3"/>
        <w:rPr>
          <w:rFonts w:eastAsia="Times New Roman"/>
          <w:u w:val="single"/>
          <w:lang w:eastAsia="bg-BG"/>
        </w:rPr>
      </w:pPr>
      <w:r w:rsidRPr="00E54A9D">
        <w:rPr>
          <w:rFonts w:eastAsia="Times New Roman"/>
          <w:u w:val="single"/>
          <w:lang w:eastAsia="bg-BG"/>
        </w:rPr>
        <w:t>Дозировка при сърдечна недостатъчност</w:t>
      </w:r>
    </w:p>
    <w:p w14:paraId="766C0AA5" w14:textId="77777777"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 xml:space="preserve">Обичайната препоръчителна начална доза Кандекард е 4 </w:t>
      </w:r>
      <w:r w:rsidRPr="00A42C8B">
        <w:rPr>
          <w:rFonts w:eastAsia="Times New Roman" w:cs="Arial"/>
          <w:color w:val="000000"/>
          <w:lang w:val="en-US"/>
        </w:rPr>
        <w:t xml:space="preserve">mg </w:t>
      </w:r>
      <w:r w:rsidRPr="00A42C8B">
        <w:rPr>
          <w:rFonts w:eastAsia="Times New Roman" w:cs="Arial"/>
          <w:color w:val="000000"/>
          <w:lang w:eastAsia="bg-BG"/>
        </w:rPr>
        <w:t xml:space="preserve">веднъж дневно. Повишаването на дозата до прицелната доза от 32 </w:t>
      </w:r>
      <w:r w:rsidRPr="00A42C8B">
        <w:rPr>
          <w:rFonts w:eastAsia="Times New Roman" w:cs="Arial"/>
          <w:color w:val="000000"/>
          <w:lang w:val="en-US"/>
        </w:rPr>
        <w:t xml:space="preserve">mg </w:t>
      </w:r>
      <w:r w:rsidRPr="00A42C8B">
        <w:rPr>
          <w:rFonts w:eastAsia="Times New Roman" w:cs="Arial"/>
          <w:color w:val="000000"/>
          <w:lang w:eastAsia="bg-BG"/>
        </w:rPr>
        <w:t>веднъж дневно (максимална доза) или до най-високата поносима доза се извършва чрез удвояване на дозата на интервали от най-малко 2 седмици (вж. точка 4.4). Оценката на пациентите със сърдечна недостатъчност винаги трябва да включва оценка на бъбречната функция, включително и проследяването на серумния креатинин и калий.</w:t>
      </w:r>
    </w:p>
    <w:p w14:paraId="29E15C25" w14:textId="77777777"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Кандекард може да се прилага заедно с други видове лечение за сърдечна недостатъчност, включително АСЕ-инхибитори, бета-блокери, диуретици и дигиталис или комбинация от тези лекарствени продукти. Кандекард може да бъде прилаган съвместно с АСЕ-инхибитори при пациенти със симптоматична сърдечна недостатъчност, въпреки оптималната стандартна терапия, когато е налице непоносимост към антагонистите на минералкортикоидните рецептори. Комбинацията от АСЕ-инхибитори, калий-съхраняващи диуретици и Кандекард не се препоръчва и трябва да се обсъжда само след внимателна оценка на потенциалните ползи и рискове (вж. точки 4.4, 4.8 и 5.1).</w:t>
      </w:r>
    </w:p>
    <w:p w14:paraId="0796F1A7" w14:textId="77777777" w:rsidR="00A42C8B" w:rsidRPr="00A42C8B" w:rsidRDefault="00A42C8B" w:rsidP="00A42C8B">
      <w:pPr>
        <w:spacing w:line="240" w:lineRule="auto"/>
        <w:rPr>
          <w:rFonts w:eastAsia="Times New Roman" w:cs="Arial"/>
          <w:i/>
          <w:iCs/>
          <w:color w:val="000000"/>
          <w:lang w:eastAsia="bg-BG"/>
        </w:rPr>
      </w:pPr>
    </w:p>
    <w:p w14:paraId="4598C930" w14:textId="65584D36" w:rsidR="00A42C8B" w:rsidRPr="00A42C8B" w:rsidRDefault="00A42C8B" w:rsidP="00A42C8B">
      <w:pPr>
        <w:spacing w:line="240" w:lineRule="auto"/>
        <w:rPr>
          <w:rFonts w:eastAsia="Times New Roman" w:cs="Arial"/>
          <w:sz w:val="24"/>
          <w:szCs w:val="24"/>
          <w:lang w:eastAsia="bg-BG"/>
        </w:rPr>
      </w:pPr>
      <w:r w:rsidRPr="00A42C8B">
        <w:rPr>
          <w:rFonts w:eastAsia="Times New Roman" w:cs="Arial"/>
          <w:i/>
          <w:iCs/>
          <w:color w:val="000000"/>
          <w:lang w:eastAsia="bg-BG"/>
        </w:rPr>
        <w:lastRenderedPageBreak/>
        <w:t>Специални групи пациенти</w:t>
      </w:r>
    </w:p>
    <w:p w14:paraId="116B16CC" w14:textId="77777777"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Не е необходимо начално коригиране на дозата при пациенти в старческа възраст или пациенти с намален вътресъдов обем, бъбречно увреждане или леко до умерено чернодробно увреждане.</w:t>
      </w:r>
    </w:p>
    <w:p w14:paraId="5BC10515" w14:textId="77777777" w:rsidR="00A42C8B" w:rsidRPr="00A42C8B" w:rsidRDefault="00A42C8B" w:rsidP="00A42C8B">
      <w:pPr>
        <w:spacing w:line="240" w:lineRule="auto"/>
        <w:rPr>
          <w:rFonts w:eastAsia="Times New Roman" w:cs="Arial"/>
          <w:color w:val="000000"/>
          <w:u w:val="single"/>
          <w:lang w:eastAsia="bg-BG"/>
        </w:rPr>
      </w:pPr>
    </w:p>
    <w:p w14:paraId="54565A36" w14:textId="10E27C23"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u w:val="single"/>
          <w:lang w:eastAsia="bg-BG"/>
        </w:rPr>
        <w:t>Педиатрична популация</w:t>
      </w:r>
    </w:p>
    <w:p w14:paraId="0FCFBC1C" w14:textId="77777777"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Безопасността и ефикасността на Кандекард при деца на възраст между раждането и 18 години не са установени при лечението на хипертония и сърдечна недостатъчност. Няма налични данни.</w:t>
      </w:r>
    </w:p>
    <w:p w14:paraId="18E35C4A" w14:textId="77777777" w:rsidR="00A42C8B" w:rsidRPr="00A42C8B" w:rsidRDefault="00A42C8B" w:rsidP="00A42C8B">
      <w:pPr>
        <w:spacing w:line="240" w:lineRule="auto"/>
        <w:rPr>
          <w:rFonts w:eastAsia="Times New Roman" w:cs="Arial"/>
          <w:color w:val="000000"/>
          <w:u w:val="single"/>
          <w:lang w:eastAsia="bg-BG"/>
        </w:rPr>
      </w:pPr>
    </w:p>
    <w:p w14:paraId="2F7046A1" w14:textId="16ECE394" w:rsidR="00A42C8B" w:rsidRPr="00E54A9D" w:rsidRDefault="00A42C8B" w:rsidP="00E54A9D">
      <w:pPr>
        <w:pStyle w:val="Heading3"/>
        <w:rPr>
          <w:rFonts w:eastAsia="Times New Roman"/>
          <w:u w:val="single"/>
          <w:lang w:eastAsia="bg-BG"/>
        </w:rPr>
      </w:pPr>
      <w:r w:rsidRPr="00E54A9D">
        <w:rPr>
          <w:rFonts w:eastAsia="Times New Roman"/>
          <w:u w:val="single"/>
          <w:lang w:eastAsia="bg-BG"/>
        </w:rPr>
        <w:t>Начин на приложение</w:t>
      </w:r>
    </w:p>
    <w:p w14:paraId="01525AC5" w14:textId="77777777"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Перорално приложение.</w:t>
      </w:r>
    </w:p>
    <w:p w14:paraId="4F70E798" w14:textId="77777777"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Кандекард трябва да се приема веднъж дневно с или без храна.</w:t>
      </w:r>
    </w:p>
    <w:p w14:paraId="4B665129" w14:textId="39719C9E" w:rsidR="00A42C8B" w:rsidRPr="00A42C8B" w:rsidRDefault="00A42C8B" w:rsidP="00A42C8B">
      <w:pPr>
        <w:rPr>
          <w:rFonts w:eastAsia="Times New Roman" w:cs="Arial"/>
          <w:color w:val="000000"/>
          <w:lang w:eastAsia="bg-BG"/>
        </w:rPr>
      </w:pPr>
      <w:r w:rsidRPr="00A42C8B">
        <w:rPr>
          <w:rFonts w:eastAsia="Times New Roman" w:cs="Arial"/>
          <w:color w:val="000000"/>
          <w:lang w:eastAsia="bg-BG"/>
        </w:rPr>
        <w:t>Бионаличността на кандесартан не се повлиява от храна.</w:t>
      </w:r>
    </w:p>
    <w:p w14:paraId="1CEF6646" w14:textId="77777777" w:rsidR="00A42C8B" w:rsidRPr="00A42C8B" w:rsidRDefault="00A42C8B" w:rsidP="00A42C8B"/>
    <w:p w14:paraId="28C984E8" w14:textId="6F200656" w:rsidR="008134C8" w:rsidRDefault="002C50EE" w:rsidP="004A448E">
      <w:pPr>
        <w:pStyle w:val="Heading2"/>
      </w:pPr>
      <w:r>
        <w:t>4.3. Противопоказания</w:t>
      </w:r>
    </w:p>
    <w:p w14:paraId="3AA00C80" w14:textId="290C5CB3" w:rsidR="00A42C8B" w:rsidRDefault="00A42C8B" w:rsidP="00A42C8B"/>
    <w:p w14:paraId="5A4CFC78" w14:textId="166185CE" w:rsidR="00A42C8B" w:rsidRDefault="00A42C8B" w:rsidP="00A42C8B">
      <w:r>
        <w:t>•</w:t>
      </w:r>
      <w:r>
        <w:tab/>
        <w:t>Свръхчувствителност към кандесартан цилексетил или към някое от помощните вещества изброени в точка 6.1.</w:t>
      </w:r>
    </w:p>
    <w:p w14:paraId="2F9B0119" w14:textId="77777777"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w:t>
      </w:r>
      <w:r w:rsidRPr="00A42C8B">
        <w:rPr>
          <w:rFonts w:eastAsia="Times New Roman" w:cs="Arial"/>
          <w:color w:val="000000"/>
          <w:lang w:eastAsia="bg-BG"/>
        </w:rPr>
        <w:tab/>
        <w:t>Втори и трети триместър на бременността (вж. точки 4.4 и 4.6).</w:t>
      </w:r>
    </w:p>
    <w:p w14:paraId="6885D8B2" w14:textId="77777777"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w:t>
      </w:r>
      <w:r w:rsidRPr="00A42C8B">
        <w:rPr>
          <w:rFonts w:eastAsia="Times New Roman" w:cs="Arial"/>
          <w:color w:val="000000"/>
          <w:lang w:eastAsia="bg-BG"/>
        </w:rPr>
        <w:tab/>
        <w:t>Тежко чернодробно увреждане и/или холестаза.</w:t>
      </w:r>
    </w:p>
    <w:p w14:paraId="71D722D7" w14:textId="77777777"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w:t>
      </w:r>
      <w:r w:rsidRPr="00A42C8B">
        <w:rPr>
          <w:rFonts w:eastAsia="Times New Roman" w:cs="Arial"/>
          <w:color w:val="000000"/>
          <w:lang w:eastAsia="bg-BG"/>
        </w:rPr>
        <w:tab/>
        <w:t xml:space="preserve">Едновременното приложение на Кандекард с алискирен-съдържащи продукти е противопоказано при пациенти със захарен диабет или бъбречно увреждане </w:t>
      </w:r>
      <w:r w:rsidRPr="00A42C8B">
        <w:rPr>
          <w:rFonts w:eastAsia="Times New Roman" w:cs="Arial"/>
          <w:color w:val="000000"/>
          <w:lang w:val="en-US"/>
        </w:rPr>
        <w:t xml:space="preserve">(GFR </w:t>
      </w:r>
      <w:r w:rsidRPr="00A42C8B">
        <w:rPr>
          <w:rFonts w:eastAsia="Times New Roman" w:cs="Arial"/>
          <w:color w:val="000000"/>
          <w:lang w:eastAsia="bg-BG"/>
        </w:rPr>
        <w:t xml:space="preserve">&lt;60 </w:t>
      </w:r>
      <w:r w:rsidRPr="00A42C8B">
        <w:rPr>
          <w:rFonts w:eastAsia="Times New Roman" w:cs="Arial"/>
          <w:color w:val="000000"/>
          <w:lang w:val="en-US"/>
        </w:rPr>
        <w:t>ml/min/1,73 m</w:t>
      </w:r>
      <w:r w:rsidRPr="00A42C8B">
        <w:rPr>
          <w:rFonts w:eastAsia="Times New Roman" w:cs="Arial"/>
          <w:color w:val="000000"/>
          <w:vertAlign w:val="superscript"/>
          <w:lang w:eastAsia="bg-BG"/>
        </w:rPr>
        <w:t>2</w:t>
      </w:r>
      <w:r w:rsidRPr="00A42C8B">
        <w:rPr>
          <w:rFonts w:eastAsia="Times New Roman" w:cs="Arial"/>
          <w:color w:val="000000"/>
          <w:lang w:eastAsia="bg-BG"/>
        </w:rPr>
        <w:t>) (вижте точки 4.5 и 5.1).</w:t>
      </w:r>
    </w:p>
    <w:p w14:paraId="270FE821" w14:textId="65608DCF" w:rsidR="00A42C8B" w:rsidRPr="00A42C8B" w:rsidRDefault="00A42C8B" w:rsidP="00A42C8B">
      <w:pPr>
        <w:rPr>
          <w:rFonts w:cs="Arial"/>
        </w:rPr>
      </w:pPr>
      <w:r w:rsidRPr="00A42C8B">
        <w:rPr>
          <w:rFonts w:eastAsia="Times New Roman" w:cs="Arial"/>
          <w:color w:val="000000"/>
          <w:lang w:eastAsia="bg-BG"/>
        </w:rPr>
        <w:t>•</w:t>
      </w:r>
      <w:r w:rsidRPr="00A42C8B">
        <w:rPr>
          <w:rFonts w:eastAsia="Times New Roman" w:cs="Arial"/>
          <w:color w:val="000000"/>
          <w:lang w:eastAsia="bg-BG"/>
        </w:rPr>
        <w:tab/>
        <w:t>Деца на възраст под 1 година (вж. точка 5.3).</w:t>
      </w:r>
    </w:p>
    <w:p w14:paraId="760E1C53" w14:textId="77777777" w:rsidR="00A42C8B" w:rsidRPr="00A42C8B" w:rsidRDefault="00A42C8B" w:rsidP="00A42C8B"/>
    <w:p w14:paraId="212F509C" w14:textId="32909520" w:rsidR="004F498A" w:rsidRDefault="002C50EE" w:rsidP="004A448E">
      <w:pPr>
        <w:pStyle w:val="Heading2"/>
      </w:pPr>
      <w:r>
        <w:t>4.4. Специални предупреждения и предпазни мерки при употреба</w:t>
      </w:r>
    </w:p>
    <w:p w14:paraId="6FB5BB99" w14:textId="29EAC7A8" w:rsidR="00A42C8B" w:rsidRDefault="00A42C8B" w:rsidP="00A42C8B"/>
    <w:p w14:paraId="73D02037" w14:textId="77777777" w:rsidR="00A42C8B" w:rsidRPr="00A42C8B" w:rsidRDefault="00A42C8B" w:rsidP="00A42C8B">
      <w:pPr>
        <w:spacing w:line="240" w:lineRule="auto"/>
        <w:rPr>
          <w:rFonts w:eastAsia="Times New Roman" w:cs="Arial"/>
          <w:sz w:val="24"/>
          <w:szCs w:val="24"/>
          <w:lang w:eastAsia="bg-BG"/>
        </w:rPr>
      </w:pPr>
      <w:r w:rsidRPr="00A42C8B">
        <w:rPr>
          <w:rFonts w:eastAsia="Times New Roman" w:cs="Arial"/>
          <w:i/>
          <w:iCs/>
          <w:color w:val="000000"/>
          <w:u w:val="single"/>
          <w:lang w:eastAsia="bg-BG"/>
        </w:rPr>
        <w:t>Бъбречно увреждане</w:t>
      </w:r>
    </w:p>
    <w:p w14:paraId="1270D558" w14:textId="77777777"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Както при други лекарства, които инхибират ренин-ангиотензин-алдостероновата система, може да се очакват промени в бъбречната функция при чувствителни пациенти, лекувани с Кандекард.</w:t>
      </w:r>
    </w:p>
    <w:p w14:paraId="7D87A99B" w14:textId="77777777" w:rsidR="00A42C8B" w:rsidRPr="00A42C8B" w:rsidRDefault="00A42C8B" w:rsidP="00A42C8B">
      <w:pPr>
        <w:spacing w:line="240" w:lineRule="auto"/>
        <w:rPr>
          <w:rFonts w:eastAsia="Times New Roman" w:cs="Arial"/>
          <w:color w:val="000000"/>
          <w:lang w:eastAsia="bg-BG"/>
        </w:rPr>
      </w:pPr>
    </w:p>
    <w:p w14:paraId="0DB55216" w14:textId="5675BAAF"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 xml:space="preserve">Когато Кандекард се прилага при пациенти с хипертония, които имат бъбречно увреждане, се препоръчва периодично проследяване на стойностите на серумния калий и креатинина. Има ограничен опит при пациенти с много тежко бъбречно увреждане или бъбречно увреждане в терминален стадий (креатининов клирънс &lt;15 </w:t>
      </w:r>
      <w:r w:rsidRPr="00A42C8B">
        <w:rPr>
          <w:rFonts w:eastAsia="Times New Roman" w:cs="Arial"/>
          <w:color w:val="000000"/>
          <w:lang w:val="en-US"/>
        </w:rPr>
        <w:t xml:space="preserve">ml/min). </w:t>
      </w:r>
      <w:r w:rsidRPr="00A42C8B">
        <w:rPr>
          <w:rFonts w:eastAsia="Times New Roman" w:cs="Arial"/>
          <w:color w:val="000000"/>
          <w:lang w:eastAsia="bg-BG"/>
        </w:rPr>
        <w:t>При тези пациенти дозата на Кандекард трябва внимателно да се титрира, като стриктно се следи кръвното налягане.</w:t>
      </w:r>
    </w:p>
    <w:p w14:paraId="25F1D921" w14:textId="77777777" w:rsidR="00A42C8B" w:rsidRPr="00A42C8B" w:rsidRDefault="00A42C8B" w:rsidP="00A42C8B">
      <w:pPr>
        <w:spacing w:line="240" w:lineRule="auto"/>
        <w:rPr>
          <w:rFonts w:eastAsia="Times New Roman" w:cs="Arial"/>
          <w:color w:val="000000"/>
          <w:lang w:eastAsia="bg-BG"/>
        </w:rPr>
      </w:pPr>
    </w:p>
    <w:p w14:paraId="001AC38E" w14:textId="58829DF0"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Оценката на пациентите със сърдечна недостатъчност трябва да включва периодично изследване на бъбречната функция, особено при пациенти в старческа възраст -75 години или по-възрастни, и при пациенти с увредена бъбречна функция.</w:t>
      </w:r>
    </w:p>
    <w:p w14:paraId="1DCCBC7C" w14:textId="77777777"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По време на титриране на дозата на Кандекард, се препоръчва проследяване на серумния креатинин и калия. Клиничните изпитвания при сърдечна недостатъчност не са включвали пациенти със серумен креатинин &gt;265 μ</w:t>
      </w:r>
      <w:proofErr w:type="spellStart"/>
      <w:r w:rsidRPr="00A42C8B">
        <w:rPr>
          <w:rFonts w:eastAsia="Times New Roman" w:cs="Arial"/>
          <w:color w:val="000000"/>
          <w:lang w:val="en-US"/>
        </w:rPr>
        <w:t>mol</w:t>
      </w:r>
      <w:proofErr w:type="spellEnd"/>
      <w:r w:rsidRPr="00A42C8B">
        <w:rPr>
          <w:rFonts w:eastAsia="Times New Roman" w:cs="Arial"/>
          <w:color w:val="000000"/>
          <w:lang w:val="en-US"/>
        </w:rPr>
        <w:t xml:space="preserve">/1 </w:t>
      </w:r>
      <w:r w:rsidRPr="00A42C8B">
        <w:rPr>
          <w:rFonts w:eastAsia="Times New Roman" w:cs="Arial"/>
          <w:color w:val="000000"/>
          <w:lang w:eastAsia="bg-BG"/>
        </w:rPr>
        <w:t xml:space="preserve">(&gt;3 </w:t>
      </w:r>
      <w:r w:rsidRPr="00A42C8B">
        <w:rPr>
          <w:rFonts w:eastAsia="Times New Roman" w:cs="Arial"/>
          <w:color w:val="000000"/>
          <w:lang w:val="en-US"/>
        </w:rPr>
        <w:t>mg/dl).</w:t>
      </w:r>
    </w:p>
    <w:p w14:paraId="519BF0AE" w14:textId="77777777" w:rsidR="00A42C8B" w:rsidRPr="00A42C8B" w:rsidRDefault="00A42C8B" w:rsidP="00A42C8B">
      <w:pPr>
        <w:spacing w:line="240" w:lineRule="auto"/>
        <w:rPr>
          <w:rFonts w:eastAsia="Times New Roman" w:cs="Arial"/>
          <w:i/>
          <w:iCs/>
          <w:color w:val="000000"/>
          <w:u w:val="single"/>
          <w:lang w:eastAsia="bg-BG"/>
        </w:rPr>
      </w:pPr>
    </w:p>
    <w:p w14:paraId="5267A6BB" w14:textId="4A2391C4" w:rsidR="00A42C8B" w:rsidRPr="00A42C8B" w:rsidRDefault="00A42C8B" w:rsidP="00A42C8B">
      <w:pPr>
        <w:spacing w:line="240" w:lineRule="auto"/>
        <w:rPr>
          <w:rFonts w:eastAsia="Times New Roman" w:cs="Arial"/>
          <w:sz w:val="24"/>
          <w:szCs w:val="24"/>
          <w:lang w:eastAsia="bg-BG"/>
        </w:rPr>
      </w:pPr>
      <w:r w:rsidRPr="00A42C8B">
        <w:rPr>
          <w:rFonts w:eastAsia="Times New Roman" w:cs="Arial"/>
          <w:i/>
          <w:iCs/>
          <w:color w:val="000000"/>
          <w:u w:val="single"/>
          <w:lang w:eastAsia="bg-BG"/>
        </w:rPr>
        <w:t>Комбинирана терапия с АСЕ-инхибитор при сърдечна недостатъчност</w:t>
      </w:r>
    </w:p>
    <w:p w14:paraId="6D74394F" w14:textId="77777777"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lastRenderedPageBreak/>
        <w:t>Рискът от нежелани лекарствени реакции, особено хипотония, хиперкалиемия или понижена бъбречна функция (включително остра бъбречна недостатъчност) може да се повиши, когато Кандекард се прилага в комбинация с АСЕ-инхибитор (вж. точка 4.8).Тройна комбинация от АСЕ инхибитор, антагонист на минералкортикоидните рецептори и кандесартан също не е препоръчителна. Нужно е наблюдение от специалист при употреба на такива комбинации и често, непосредствено мониториране на бъбречната функция, електролитите и кръвното налягане.</w:t>
      </w:r>
    </w:p>
    <w:p w14:paraId="065606FD" w14:textId="77777777" w:rsidR="00A42C8B" w:rsidRPr="00A42C8B" w:rsidRDefault="00A42C8B" w:rsidP="00A42C8B">
      <w:pPr>
        <w:spacing w:line="240" w:lineRule="auto"/>
        <w:rPr>
          <w:rFonts w:eastAsia="Times New Roman" w:cs="Arial"/>
          <w:color w:val="000000"/>
          <w:lang w:eastAsia="bg-BG"/>
        </w:rPr>
      </w:pPr>
    </w:p>
    <w:p w14:paraId="1EC782B0" w14:textId="666D334D"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АСЕ инхибитори и ангиотензин II рецепторни блокери не трябва да се използват едновременно при пациенти с диабетна нефропатия.</w:t>
      </w:r>
    </w:p>
    <w:p w14:paraId="76410113" w14:textId="77777777" w:rsidR="00A42C8B" w:rsidRPr="00A42C8B" w:rsidRDefault="00A42C8B" w:rsidP="00A42C8B">
      <w:pPr>
        <w:spacing w:line="240" w:lineRule="auto"/>
        <w:rPr>
          <w:rFonts w:eastAsia="Times New Roman" w:cs="Arial"/>
          <w:i/>
          <w:iCs/>
          <w:color w:val="000000"/>
          <w:u w:val="single"/>
          <w:lang w:eastAsia="bg-BG"/>
        </w:rPr>
      </w:pPr>
    </w:p>
    <w:p w14:paraId="66ED5E7F" w14:textId="2D56CE9C" w:rsidR="00A42C8B" w:rsidRPr="00A42C8B" w:rsidRDefault="00A42C8B" w:rsidP="00A42C8B">
      <w:pPr>
        <w:spacing w:line="240" w:lineRule="auto"/>
        <w:rPr>
          <w:rFonts w:eastAsia="Times New Roman" w:cs="Arial"/>
          <w:sz w:val="24"/>
          <w:szCs w:val="24"/>
          <w:lang w:eastAsia="bg-BG"/>
        </w:rPr>
      </w:pPr>
      <w:r w:rsidRPr="00A42C8B">
        <w:rPr>
          <w:rFonts w:eastAsia="Times New Roman" w:cs="Arial"/>
          <w:i/>
          <w:iCs/>
          <w:color w:val="000000"/>
          <w:u w:val="single"/>
          <w:lang w:eastAsia="bg-BG"/>
        </w:rPr>
        <w:t xml:space="preserve">Двойна блокада на ренин-ангиотензин-алдостероновата система </w:t>
      </w:r>
      <w:r w:rsidRPr="00A42C8B">
        <w:rPr>
          <w:rFonts w:eastAsia="Times New Roman" w:cs="Arial"/>
          <w:i/>
          <w:iCs/>
          <w:color w:val="000000"/>
          <w:u w:val="single"/>
          <w:lang w:val="en-US"/>
        </w:rPr>
        <w:t>(RAAS)</w:t>
      </w:r>
    </w:p>
    <w:p w14:paraId="3B4F0FB2" w14:textId="77777777"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Има данни, че едновременната употреба на АСЕ инхибитори, ангиотензин II рецепторни блокери или алискирен повишава риска от хипотония, хиперкалиемия и намаляване на бъбречната функция (включително остра бъбречна недостатъчност). Поради това не се препоръчва двойно блокиране на РААС чрез комбинираната употреба на АСЕ инхибитори, ангиотензин II рецепторни блокери или алискирен (вижте точки 4.5 и 5.1).</w:t>
      </w:r>
    </w:p>
    <w:p w14:paraId="5C2F0540" w14:textId="77777777" w:rsidR="00A42C8B" w:rsidRPr="00A42C8B" w:rsidRDefault="00A42C8B" w:rsidP="00A42C8B">
      <w:pPr>
        <w:spacing w:line="240" w:lineRule="auto"/>
        <w:rPr>
          <w:rFonts w:eastAsia="Times New Roman" w:cs="Arial"/>
          <w:color w:val="000000"/>
          <w:lang w:eastAsia="bg-BG"/>
        </w:rPr>
      </w:pPr>
    </w:p>
    <w:p w14:paraId="6319E62B" w14:textId="36D31DE7"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Ако се прецени, че терапията с двойно блокиране е абсолютно необходима, това трябва да става само под наблюдението на специалист и при често, непосредствено мониториране на бъбречната функция, електролитите и кръвното налягане.</w:t>
      </w:r>
    </w:p>
    <w:p w14:paraId="739FFCE6" w14:textId="77777777"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АСЕ инхибитори и АРБ не трябва да се използват едновременно при пациенти с диабетна нефропатия.</w:t>
      </w:r>
      <w:bookmarkStart w:id="1" w:name="bookmark0"/>
      <w:bookmarkEnd w:id="1"/>
    </w:p>
    <w:p w14:paraId="5BB5F85E" w14:textId="77777777" w:rsidR="00A42C8B" w:rsidRPr="00A42C8B" w:rsidRDefault="00A42C8B" w:rsidP="00A42C8B">
      <w:pPr>
        <w:spacing w:line="240" w:lineRule="auto"/>
        <w:rPr>
          <w:rFonts w:eastAsia="Times New Roman" w:cs="Arial"/>
          <w:sz w:val="24"/>
          <w:szCs w:val="24"/>
          <w:lang w:eastAsia="bg-BG"/>
        </w:rPr>
      </w:pPr>
    </w:p>
    <w:p w14:paraId="2EFA413D" w14:textId="7741CEFD" w:rsidR="00A42C8B" w:rsidRDefault="00A42C8B" w:rsidP="00A42C8B">
      <w:pPr>
        <w:rPr>
          <w:rFonts w:eastAsia="Times New Roman" w:cs="Arial"/>
          <w:i/>
          <w:iCs/>
          <w:color w:val="000000"/>
          <w:u w:val="single"/>
          <w:lang w:eastAsia="bg-BG"/>
        </w:rPr>
      </w:pPr>
      <w:r w:rsidRPr="00A42C8B">
        <w:rPr>
          <w:rFonts w:eastAsia="Times New Roman" w:cs="Arial"/>
          <w:i/>
          <w:iCs/>
          <w:color w:val="000000"/>
          <w:u w:val="single"/>
          <w:lang w:eastAsia="bg-BG"/>
        </w:rPr>
        <w:t>Хемодиализа</w:t>
      </w:r>
    </w:p>
    <w:p w14:paraId="0102FD1E" w14:textId="77777777"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По време на диализа кръвното налягане може да бъде особено чувствително към блокада на АТ1-рецепторите, поради намален плазмен обем и активиране на ренин-ангиотензин- алдостероновата система. Следователно, дозата на Кандекард трябва да се титрира внимателно, като стриктно се проследява кръвното налягане на пациентите на хемодиализа.</w:t>
      </w:r>
    </w:p>
    <w:p w14:paraId="576FE2E7" w14:textId="77777777" w:rsidR="00A42C8B" w:rsidRPr="00A42C8B" w:rsidRDefault="00A42C8B" w:rsidP="00A42C8B">
      <w:pPr>
        <w:spacing w:line="240" w:lineRule="auto"/>
        <w:rPr>
          <w:rFonts w:eastAsia="Times New Roman" w:cs="Arial"/>
          <w:i/>
          <w:iCs/>
          <w:color w:val="000000"/>
          <w:u w:val="single"/>
          <w:lang w:eastAsia="bg-BG"/>
        </w:rPr>
      </w:pPr>
    </w:p>
    <w:p w14:paraId="6AB5287C" w14:textId="192910A2" w:rsidR="00A42C8B" w:rsidRPr="00A42C8B" w:rsidRDefault="00A42C8B" w:rsidP="00A42C8B">
      <w:pPr>
        <w:spacing w:line="240" w:lineRule="auto"/>
        <w:rPr>
          <w:rFonts w:eastAsia="Times New Roman" w:cs="Arial"/>
          <w:sz w:val="24"/>
          <w:szCs w:val="24"/>
          <w:lang w:eastAsia="bg-BG"/>
        </w:rPr>
      </w:pPr>
      <w:r w:rsidRPr="00A42C8B">
        <w:rPr>
          <w:rFonts w:eastAsia="Times New Roman" w:cs="Arial"/>
          <w:i/>
          <w:iCs/>
          <w:color w:val="000000"/>
          <w:u w:val="single"/>
          <w:lang w:eastAsia="bg-BG"/>
        </w:rPr>
        <w:t>Стеноза на бъбречната артерия</w:t>
      </w:r>
    </w:p>
    <w:p w14:paraId="42DF0CEB" w14:textId="1ABC4ACC"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 xml:space="preserve">Лекарствени продукти, които влияят на ренин-ангиотензин-алдостероновата система, включително ангиотензин II рецепторни антагонисти </w:t>
      </w:r>
      <w:r w:rsidRPr="00A42C8B">
        <w:rPr>
          <w:rFonts w:eastAsia="Times New Roman" w:cs="Arial"/>
          <w:color w:val="000000"/>
          <w:lang w:val="en-US"/>
        </w:rPr>
        <w:t>(AURA)</w:t>
      </w:r>
      <w:r w:rsidRPr="00A42C8B">
        <w:rPr>
          <w:rFonts w:eastAsia="Times New Roman" w:cs="Arial"/>
          <w:color w:val="000000"/>
          <w:lang w:eastAsia="bg-BG"/>
        </w:rPr>
        <w:t>, може да повишат кръвната урея и серумния креатинин при пациенти с двустранна стеноза на бъбречната артерия или стеноза на артерията към единствен бъбрек. Подобен ефект може да се очаква пр</w:t>
      </w:r>
      <w:r w:rsidR="00E54A9D">
        <w:rPr>
          <w:rFonts w:eastAsia="Times New Roman" w:cs="Arial"/>
          <w:color w:val="000000"/>
          <w:lang w:eastAsia="bg-BG"/>
        </w:rPr>
        <w:t xml:space="preserve">и антагонистите на ангиотензин </w:t>
      </w:r>
      <w:r w:rsidR="00E54A9D" w:rsidRPr="00A42C8B">
        <w:rPr>
          <w:rFonts w:eastAsia="Times New Roman" w:cs="Arial"/>
          <w:color w:val="000000"/>
          <w:lang w:eastAsia="bg-BG"/>
        </w:rPr>
        <w:t>II</w:t>
      </w:r>
      <w:r w:rsidRPr="00A42C8B">
        <w:rPr>
          <w:rFonts w:eastAsia="Times New Roman" w:cs="Arial"/>
          <w:color w:val="000000"/>
          <w:lang w:eastAsia="bg-BG"/>
        </w:rPr>
        <w:t xml:space="preserve"> рецепторите.</w:t>
      </w:r>
    </w:p>
    <w:p w14:paraId="67DE18F6" w14:textId="77777777" w:rsidR="00A42C8B" w:rsidRPr="00A42C8B" w:rsidRDefault="00A42C8B" w:rsidP="00A42C8B">
      <w:pPr>
        <w:spacing w:line="240" w:lineRule="auto"/>
        <w:rPr>
          <w:rFonts w:eastAsia="Times New Roman" w:cs="Arial"/>
          <w:i/>
          <w:iCs/>
          <w:color w:val="000000"/>
          <w:u w:val="single"/>
          <w:lang w:eastAsia="bg-BG"/>
        </w:rPr>
      </w:pPr>
    </w:p>
    <w:p w14:paraId="01FF5995" w14:textId="7A609FC4" w:rsidR="00A42C8B" w:rsidRPr="00A42C8B" w:rsidRDefault="00A42C8B" w:rsidP="00A42C8B">
      <w:pPr>
        <w:spacing w:line="240" w:lineRule="auto"/>
        <w:rPr>
          <w:rFonts w:eastAsia="Times New Roman" w:cs="Arial"/>
          <w:sz w:val="24"/>
          <w:szCs w:val="24"/>
          <w:lang w:eastAsia="bg-BG"/>
        </w:rPr>
      </w:pPr>
      <w:r w:rsidRPr="00A42C8B">
        <w:rPr>
          <w:rFonts w:eastAsia="Times New Roman" w:cs="Arial"/>
          <w:i/>
          <w:iCs/>
          <w:color w:val="000000"/>
          <w:u w:val="single"/>
          <w:lang w:eastAsia="bg-BG"/>
        </w:rPr>
        <w:t>Бъбречна трансплантация</w:t>
      </w:r>
    </w:p>
    <w:p w14:paraId="3C1C642C" w14:textId="77777777"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Има ограничен клиничен опит по отношение на приложението на Кандекард при пациенти, преминали наскоро направена бъбречна трансплантация.</w:t>
      </w:r>
    </w:p>
    <w:p w14:paraId="4F971A2D" w14:textId="77777777" w:rsidR="00A42C8B" w:rsidRPr="00A42C8B" w:rsidRDefault="00A42C8B" w:rsidP="00A42C8B">
      <w:pPr>
        <w:spacing w:line="240" w:lineRule="auto"/>
        <w:rPr>
          <w:rFonts w:eastAsia="Times New Roman" w:cs="Arial"/>
          <w:i/>
          <w:iCs/>
          <w:color w:val="000000"/>
          <w:u w:val="single"/>
          <w:lang w:eastAsia="bg-BG"/>
        </w:rPr>
      </w:pPr>
    </w:p>
    <w:p w14:paraId="283BCAEC" w14:textId="4E7091D3" w:rsidR="00A42C8B" w:rsidRPr="00A42C8B" w:rsidRDefault="00A42C8B" w:rsidP="00A42C8B">
      <w:pPr>
        <w:spacing w:line="240" w:lineRule="auto"/>
        <w:rPr>
          <w:rFonts w:eastAsia="Times New Roman" w:cs="Arial"/>
          <w:sz w:val="24"/>
          <w:szCs w:val="24"/>
          <w:lang w:eastAsia="bg-BG"/>
        </w:rPr>
      </w:pPr>
      <w:r w:rsidRPr="00A42C8B">
        <w:rPr>
          <w:rFonts w:eastAsia="Times New Roman" w:cs="Arial"/>
          <w:i/>
          <w:iCs/>
          <w:color w:val="000000"/>
          <w:u w:val="single"/>
          <w:lang w:eastAsia="bg-BG"/>
        </w:rPr>
        <w:t>Хипотония</w:t>
      </w:r>
    </w:p>
    <w:p w14:paraId="18E48F89" w14:textId="77777777"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По време на лечението с Кандекард при пациенти със сърдечна недостатъчност може да възникне хипотония. Това може да се случи също и при пациенти с хипертония, при които има намаление на вътресъдовия обем, като например пациенти, приемащи високи дози диуретици. При започване на лечението трябва да се внимава и трябва да се направи опит за коригиране на хиповолемията.</w:t>
      </w:r>
    </w:p>
    <w:p w14:paraId="4DA88D50" w14:textId="77777777" w:rsidR="00A42C8B" w:rsidRPr="00A42C8B" w:rsidRDefault="00A42C8B" w:rsidP="00A42C8B">
      <w:pPr>
        <w:spacing w:line="240" w:lineRule="auto"/>
        <w:rPr>
          <w:rFonts w:eastAsia="Times New Roman" w:cs="Arial"/>
          <w:i/>
          <w:iCs/>
          <w:color w:val="000000"/>
          <w:u w:val="single"/>
          <w:lang w:eastAsia="bg-BG"/>
        </w:rPr>
      </w:pPr>
    </w:p>
    <w:p w14:paraId="13633F68" w14:textId="72D417F9" w:rsidR="00A42C8B" w:rsidRPr="00A42C8B" w:rsidRDefault="00A42C8B" w:rsidP="00A42C8B">
      <w:pPr>
        <w:spacing w:line="240" w:lineRule="auto"/>
        <w:rPr>
          <w:rFonts w:eastAsia="Times New Roman" w:cs="Arial"/>
          <w:sz w:val="24"/>
          <w:szCs w:val="24"/>
          <w:lang w:eastAsia="bg-BG"/>
        </w:rPr>
      </w:pPr>
      <w:r w:rsidRPr="00A42C8B">
        <w:rPr>
          <w:rFonts w:eastAsia="Times New Roman" w:cs="Arial"/>
          <w:i/>
          <w:iCs/>
          <w:color w:val="000000"/>
          <w:u w:val="single"/>
          <w:lang w:eastAsia="bg-BG"/>
        </w:rPr>
        <w:t>Анестезия и оперативно лечение</w:t>
      </w:r>
    </w:p>
    <w:p w14:paraId="61843AF1" w14:textId="77777777"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lastRenderedPageBreak/>
        <w:t>По време на анестезия и оперативна намеса на пациенти, лекувани с антагонисти на ангиотензин II, може да възникне хипотония поради блокада на ренин-ангиотензин системата. Много рядко хипотонията може да бъде тежка, така че да се наложи приложението на интравенозни течности и/или вазопресори.</w:t>
      </w:r>
    </w:p>
    <w:p w14:paraId="40B65397" w14:textId="77777777" w:rsidR="00A42C8B" w:rsidRPr="00A42C8B" w:rsidRDefault="00A42C8B" w:rsidP="00A42C8B">
      <w:pPr>
        <w:spacing w:line="240" w:lineRule="auto"/>
        <w:rPr>
          <w:rFonts w:eastAsia="Times New Roman" w:cs="Arial"/>
          <w:i/>
          <w:iCs/>
          <w:color w:val="000000"/>
          <w:u w:val="single"/>
          <w:lang w:eastAsia="bg-BG"/>
        </w:rPr>
      </w:pPr>
    </w:p>
    <w:p w14:paraId="28D6184D" w14:textId="32E9B2B0" w:rsidR="00A42C8B" w:rsidRPr="00A42C8B" w:rsidRDefault="00A42C8B" w:rsidP="00A42C8B">
      <w:pPr>
        <w:spacing w:line="240" w:lineRule="auto"/>
        <w:rPr>
          <w:rFonts w:eastAsia="Times New Roman" w:cs="Arial"/>
          <w:sz w:val="24"/>
          <w:szCs w:val="24"/>
          <w:lang w:eastAsia="bg-BG"/>
        </w:rPr>
      </w:pPr>
      <w:r w:rsidRPr="00A42C8B">
        <w:rPr>
          <w:rFonts w:eastAsia="Times New Roman" w:cs="Arial"/>
          <w:i/>
          <w:iCs/>
          <w:color w:val="000000"/>
          <w:u w:val="single"/>
          <w:lang w:eastAsia="bg-BG"/>
        </w:rPr>
        <w:t>Стеноза на аортната и митралната клапа (</w:t>
      </w:r>
      <w:r>
        <w:rPr>
          <w:rFonts w:eastAsia="Times New Roman" w:cs="Arial"/>
          <w:i/>
          <w:iCs/>
          <w:color w:val="000000"/>
          <w:u w:val="single"/>
          <w:lang w:eastAsia="bg-BG"/>
        </w:rPr>
        <w:t>обструктивна хипертрофична кард</w:t>
      </w:r>
      <w:r w:rsidRPr="00A42C8B">
        <w:rPr>
          <w:rFonts w:eastAsia="Times New Roman" w:cs="Arial"/>
          <w:i/>
          <w:iCs/>
          <w:color w:val="000000"/>
          <w:u w:val="single"/>
          <w:lang w:eastAsia="bg-BG"/>
        </w:rPr>
        <w:t>иомиопатия)</w:t>
      </w:r>
    </w:p>
    <w:p w14:paraId="32AEC476" w14:textId="62D97C6F" w:rsidR="00A42C8B" w:rsidRDefault="00A42C8B" w:rsidP="00A42C8B">
      <w:pPr>
        <w:rPr>
          <w:rFonts w:eastAsia="Times New Roman" w:cs="Arial"/>
          <w:color w:val="000000"/>
          <w:lang w:eastAsia="bg-BG"/>
        </w:rPr>
      </w:pPr>
      <w:r w:rsidRPr="00A42C8B">
        <w:rPr>
          <w:rFonts w:eastAsia="Times New Roman" w:cs="Arial"/>
          <w:color w:val="000000"/>
          <w:lang w:eastAsia="bg-BG"/>
        </w:rPr>
        <w:t>Както и при другите вазодилататори, необходимо е специално внимание при пациенти, страдащи от хемодинамично значима стеноза на аортната и митралната клапа или обструктивна хипертрофична кардиомиопатия.</w:t>
      </w:r>
    </w:p>
    <w:p w14:paraId="00769F64" w14:textId="61CD6B89" w:rsidR="00A42C8B" w:rsidRPr="00A42C8B" w:rsidRDefault="00A42C8B" w:rsidP="00A42C8B">
      <w:pPr>
        <w:rPr>
          <w:rFonts w:eastAsia="Times New Roman" w:cs="Arial"/>
          <w:color w:val="000000"/>
          <w:lang w:eastAsia="bg-BG"/>
        </w:rPr>
      </w:pPr>
    </w:p>
    <w:p w14:paraId="3968E8B4" w14:textId="77777777" w:rsidR="00A42C8B" w:rsidRPr="00A42C8B" w:rsidRDefault="00A42C8B" w:rsidP="00A42C8B">
      <w:pPr>
        <w:spacing w:line="240" w:lineRule="auto"/>
        <w:rPr>
          <w:rFonts w:eastAsia="Times New Roman" w:cs="Arial"/>
          <w:sz w:val="24"/>
          <w:szCs w:val="24"/>
          <w:lang w:eastAsia="bg-BG"/>
        </w:rPr>
      </w:pPr>
      <w:r w:rsidRPr="00A42C8B">
        <w:rPr>
          <w:rFonts w:eastAsia="Times New Roman" w:cs="Arial"/>
          <w:i/>
          <w:iCs/>
          <w:color w:val="000000"/>
          <w:u w:val="single"/>
          <w:lang w:eastAsia="bg-BG"/>
        </w:rPr>
        <w:t>Първичен хипералдостеронизъм</w:t>
      </w:r>
    </w:p>
    <w:p w14:paraId="08B41730" w14:textId="77777777"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Пациенти с първичен хипералдостеронизъм обикновено не се повлияват от лечение с антихипертензивни лекарствени продукти, действащи чрез инхибиране на ренин-ангиотензин- алдостероновата система. Поради това приложението на Кандекард не се препоръчва при тази популация.</w:t>
      </w:r>
    </w:p>
    <w:p w14:paraId="121C68DF" w14:textId="77777777" w:rsidR="00A42C8B" w:rsidRDefault="00A42C8B" w:rsidP="00A42C8B">
      <w:pPr>
        <w:spacing w:line="240" w:lineRule="auto"/>
        <w:rPr>
          <w:rFonts w:ascii="Times New Roman" w:eastAsia="Times New Roman" w:hAnsi="Times New Roman" w:cs="Times New Roman"/>
          <w:i/>
          <w:iCs/>
          <w:color w:val="000000"/>
          <w:u w:val="single"/>
          <w:lang w:eastAsia="bg-BG"/>
        </w:rPr>
      </w:pPr>
    </w:p>
    <w:p w14:paraId="7FEA3F16" w14:textId="55E6CB91" w:rsidR="00A42C8B" w:rsidRPr="00A42C8B" w:rsidRDefault="00A42C8B" w:rsidP="00A42C8B">
      <w:pPr>
        <w:spacing w:line="240" w:lineRule="auto"/>
        <w:rPr>
          <w:rFonts w:eastAsia="Times New Roman" w:cs="Arial"/>
          <w:sz w:val="24"/>
          <w:szCs w:val="24"/>
          <w:lang w:eastAsia="bg-BG"/>
        </w:rPr>
      </w:pPr>
      <w:r w:rsidRPr="00A42C8B">
        <w:rPr>
          <w:rFonts w:eastAsia="Times New Roman" w:cs="Arial"/>
          <w:i/>
          <w:iCs/>
          <w:color w:val="000000"/>
          <w:u w:val="single"/>
          <w:lang w:eastAsia="bg-BG"/>
        </w:rPr>
        <w:t>Хиперкалиемия</w:t>
      </w:r>
    </w:p>
    <w:p w14:paraId="5883271A" w14:textId="77777777"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Едновременното приложение на Кандекард с калий-съхраняващи диуретици, калиеви добавки, заместители на солта, съдържащи калий, или други лекарствени продукти, които могат да повишат стойностите на калия (напр. хепарин, ко-тримоксазол известен още като триметоприм/сулфаметоксазол), може да доведе до повишаване на серумния калий при пациенти с хипертония. Мониторинг на калия трябва да се предприеме при необходимост.</w:t>
      </w:r>
    </w:p>
    <w:p w14:paraId="1F9A765B" w14:textId="77777777" w:rsidR="00A42C8B" w:rsidRPr="00A42C8B" w:rsidRDefault="00A42C8B" w:rsidP="00A42C8B">
      <w:pPr>
        <w:spacing w:line="240" w:lineRule="auto"/>
        <w:rPr>
          <w:rFonts w:eastAsia="Times New Roman" w:cs="Arial"/>
          <w:color w:val="000000"/>
          <w:lang w:eastAsia="bg-BG"/>
        </w:rPr>
      </w:pPr>
    </w:p>
    <w:p w14:paraId="3A7FF0E1" w14:textId="66EFFBC4"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При пациенти със сърдечна недостатъчност, лекувани с Кандекард, може да възникне</w:t>
      </w:r>
      <w:r w:rsidRPr="00A42C8B">
        <w:rPr>
          <w:rFonts w:eastAsia="Times New Roman" w:cs="Arial"/>
          <w:color w:val="000000"/>
          <w:u w:val="single"/>
          <w:lang w:eastAsia="bg-BG"/>
        </w:rPr>
        <w:t xml:space="preserve"> </w:t>
      </w:r>
      <w:r w:rsidRPr="00A42C8B">
        <w:rPr>
          <w:rFonts w:eastAsia="Times New Roman" w:cs="Arial"/>
          <w:color w:val="000000"/>
          <w:lang w:eastAsia="bg-BG"/>
        </w:rPr>
        <w:t xml:space="preserve">хиперкалиемия. Препоръчва се периодично проследяване на серумния калий.Комбинирането на АСЕ-инхибитор, калий-съхраняващ диуретик и Кандекард не се препоръчва и трябва да се обсъди само след внимателна оценка на потенциалните ползи и рискове. </w:t>
      </w:r>
    </w:p>
    <w:p w14:paraId="429E5DA1" w14:textId="77777777" w:rsidR="00A42C8B" w:rsidRPr="00A42C8B" w:rsidRDefault="00A42C8B" w:rsidP="00A42C8B">
      <w:pPr>
        <w:rPr>
          <w:rFonts w:eastAsia="Times New Roman" w:cs="Arial"/>
          <w:i/>
          <w:iCs/>
          <w:color w:val="000000"/>
          <w:u w:val="single"/>
          <w:lang w:eastAsia="bg-BG"/>
        </w:rPr>
      </w:pPr>
    </w:p>
    <w:p w14:paraId="7568D8B6" w14:textId="03BB46F8" w:rsidR="00A42C8B" w:rsidRPr="00A42C8B" w:rsidRDefault="00A42C8B" w:rsidP="00A42C8B">
      <w:pPr>
        <w:rPr>
          <w:rFonts w:cs="Arial"/>
        </w:rPr>
      </w:pPr>
      <w:r w:rsidRPr="00A42C8B">
        <w:rPr>
          <w:rFonts w:eastAsia="Times New Roman" w:cs="Arial"/>
          <w:i/>
          <w:iCs/>
          <w:color w:val="000000"/>
          <w:u w:val="single"/>
          <w:lang w:eastAsia="bg-BG"/>
        </w:rPr>
        <w:t>Общи</w:t>
      </w:r>
    </w:p>
    <w:p w14:paraId="0B6881AD" w14:textId="77777777"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 xml:space="preserve">При пациенти, чийто съдов тонус и бъбречна функция зависят предимно от активността на ренин-ангиотензин-аддостероновата система (напр. пациенти с тежка застойна сърдечна недостатъчност или подлежащо бъбречно заболяване, включително стеноза на бъбречната артерия), лечението с други лекарствени продукти, които влияят на тази система, се свързва с остра хипотония, азотемия, олигурия или, рядко, с остра бъбречна недостатъчност. Вероятността за възникване на подобни ефекти не може да се изключи при лечение с </w:t>
      </w:r>
      <w:r w:rsidRPr="00A42C8B">
        <w:rPr>
          <w:rFonts w:eastAsia="Times New Roman" w:cs="Arial"/>
          <w:color w:val="000000"/>
          <w:lang w:val="en-US"/>
        </w:rPr>
        <w:t>A</w:t>
      </w:r>
      <w:r w:rsidRPr="00A42C8B">
        <w:rPr>
          <w:rFonts w:eastAsia="Times New Roman" w:cs="Arial"/>
          <w:color w:val="000000"/>
          <w:lang w:eastAsia="bg-BG"/>
        </w:rPr>
        <w:t>II</w:t>
      </w:r>
      <w:r w:rsidRPr="00A42C8B">
        <w:rPr>
          <w:rFonts w:eastAsia="Times New Roman" w:cs="Arial"/>
          <w:color w:val="000000"/>
          <w:lang w:val="en-US"/>
        </w:rPr>
        <w:t xml:space="preserve">RA. </w:t>
      </w:r>
      <w:r w:rsidRPr="00A42C8B">
        <w:rPr>
          <w:rFonts w:eastAsia="Times New Roman" w:cs="Arial"/>
          <w:color w:val="000000"/>
          <w:lang w:eastAsia="bg-BG"/>
        </w:rPr>
        <w:t>Както при всяко друго антихипертензивно средство, прекомерното намаление на артериалното налягане при пациенти с исхемична кардиопатия или исхемично мозъчно-съдово заболяване може да доведе до миокарден инфаркт или инсулт.</w:t>
      </w:r>
    </w:p>
    <w:p w14:paraId="79B943B0" w14:textId="77777777" w:rsidR="00A42C8B" w:rsidRPr="00A42C8B" w:rsidRDefault="00A42C8B" w:rsidP="00A42C8B">
      <w:pPr>
        <w:spacing w:line="240" w:lineRule="auto"/>
        <w:rPr>
          <w:rFonts w:eastAsia="Times New Roman" w:cs="Arial"/>
          <w:color w:val="000000"/>
          <w:lang w:eastAsia="bg-BG"/>
        </w:rPr>
      </w:pPr>
    </w:p>
    <w:p w14:paraId="43437ED2" w14:textId="51926F00"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Антихипертензивният ефект на кандесартан може да бъде усилен от други лекарствени продукти, притежаващи свойства за понижаване на артериалното налягане, независимо дали са предписани за антихипертензивно лечение или по други показания.</w:t>
      </w:r>
    </w:p>
    <w:p w14:paraId="27A0A569" w14:textId="77777777" w:rsidR="00A42C8B" w:rsidRDefault="00A42C8B" w:rsidP="00A42C8B">
      <w:pPr>
        <w:spacing w:line="240" w:lineRule="auto"/>
        <w:rPr>
          <w:rFonts w:ascii="Times New Roman" w:eastAsia="Times New Roman" w:hAnsi="Times New Roman" w:cs="Times New Roman"/>
          <w:i/>
          <w:iCs/>
          <w:color w:val="000000"/>
          <w:u w:val="single"/>
          <w:lang w:eastAsia="bg-BG"/>
        </w:rPr>
      </w:pPr>
    </w:p>
    <w:p w14:paraId="0F65283E" w14:textId="5366BE55" w:rsidR="00A42C8B" w:rsidRPr="00A42C8B" w:rsidRDefault="00A42C8B" w:rsidP="00A42C8B">
      <w:pPr>
        <w:spacing w:line="240" w:lineRule="auto"/>
        <w:rPr>
          <w:rFonts w:eastAsia="Times New Roman" w:cs="Arial"/>
          <w:sz w:val="24"/>
          <w:szCs w:val="24"/>
          <w:lang w:eastAsia="bg-BG"/>
        </w:rPr>
      </w:pPr>
      <w:r w:rsidRPr="00A42C8B">
        <w:rPr>
          <w:rFonts w:eastAsia="Times New Roman" w:cs="Arial"/>
          <w:i/>
          <w:iCs/>
          <w:color w:val="000000"/>
          <w:u w:val="single"/>
          <w:lang w:eastAsia="bg-BG"/>
        </w:rPr>
        <w:t>Бременност</w:t>
      </w:r>
    </w:p>
    <w:p w14:paraId="36C57FDB" w14:textId="77777777"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 xml:space="preserve">Не трябва да се започва употребата на ангиотензин II антагонисти </w:t>
      </w:r>
      <w:r w:rsidRPr="00A42C8B">
        <w:rPr>
          <w:rFonts w:eastAsia="Times New Roman" w:cs="Arial"/>
          <w:color w:val="000000"/>
          <w:lang w:val="en-US"/>
        </w:rPr>
        <w:t>(A</w:t>
      </w:r>
      <w:r w:rsidRPr="00A42C8B">
        <w:rPr>
          <w:rFonts w:eastAsia="Times New Roman" w:cs="Arial"/>
          <w:color w:val="000000"/>
          <w:lang w:eastAsia="bg-BG"/>
        </w:rPr>
        <w:t>II</w:t>
      </w:r>
      <w:r w:rsidRPr="00A42C8B">
        <w:rPr>
          <w:rFonts w:eastAsia="Times New Roman" w:cs="Arial"/>
          <w:color w:val="000000"/>
          <w:lang w:val="en-US"/>
        </w:rPr>
        <w:t xml:space="preserve">RA) </w:t>
      </w:r>
      <w:r w:rsidRPr="00A42C8B">
        <w:rPr>
          <w:rFonts w:eastAsia="Times New Roman" w:cs="Arial"/>
          <w:color w:val="000000"/>
          <w:lang w:eastAsia="bg-BG"/>
        </w:rPr>
        <w:t xml:space="preserve">по време на бременност. Освен ако продължаването на терапията с ангиотензин II антагонисти не се </w:t>
      </w:r>
      <w:r w:rsidRPr="00A42C8B">
        <w:rPr>
          <w:rFonts w:eastAsia="Times New Roman" w:cs="Arial"/>
          <w:color w:val="000000"/>
          <w:lang w:eastAsia="bg-BG"/>
        </w:rPr>
        <w:lastRenderedPageBreak/>
        <w:t>смята за особено важна, при пациентките, които планират да забременеят трябва да се направи промяна в терапията, като се назначи алтернативно антихипертензивно лечение, което има установен профил на безопасност за употреба по време на бременност. При диагностициране на бременност, лечението с ангиотензин II антагонисти трябва незабавно да се спре и, ако е уместно, трябва да се започне алтернативна терапия (вж. точки 4.3 и 4.6).</w:t>
      </w:r>
    </w:p>
    <w:p w14:paraId="03D36CAA" w14:textId="77777777" w:rsidR="00A42C8B" w:rsidRPr="00A42C8B" w:rsidRDefault="00A42C8B" w:rsidP="00A42C8B">
      <w:pPr>
        <w:spacing w:line="240" w:lineRule="auto"/>
        <w:rPr>
          <w:rFonts w:eastAsia="Times New Roman" w:cs="Arial"/>
          <w:color w:val="000000"/>
          <w:lang w:eastAsia="bg-BG"/>
        </w:rPr>
      </w:pPr>
    </w:p>
    <w:p w14:paraId="51C6CA47" w14:textId="58F68183"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При пациентки с менструация трябва редовно да се оценява възможността за забременяване. Трябва да се предостави съответната информация и/или да се предприемат съответните действия, за да се неутрализира рискът от експозиция на действието на лекарството по време на бременност (вж. точки 4.3 и 4.6).</w:t>
      </w:r>
    </w:p>
    <w:p w14:paraId="4D63DFB8" w14:textId="77777777" w:rsidR="00A42C8B" w:rsidRPr="00A42C8B" w:rsidRDefault="00A42C8B" w:rsidP="00A42C8B">
      <w:pPr>
        <w:spacing w:line="240" w:lineRule="auto"/>
        <w:rPr>
          <w:rFonts w:eastAsia="Times New Roman" w:cs="Arial"/>
          <w:i/>
          <w:iCs/>
          <w:color w:val="000000"/>
          <w:u w:val="single"/>
          <w:lang w:eastAsia="bg-BG"/>
        </w:rPr>
      </w:pPr>
    </w:p>
    <w:p w14:paraId="524AD7D7" w14:textId="60FC62B7" w:rsidR="00A42C8B" w:rsidRPr="00A42C8B" w:rsidRDefault="00A42C8B" w:rsidP="00A42C8B">
      <w:pPr>
        <w:spacing w:line="240" w:lineRule="auto"/>
        <w:rPr>
          <w:rFonts w:eastAsia="Times New Roman" w:cs="Arial"/>
          <w:sz w:val="24"/>
          <w:szCs w:val="24"/>
          <w:lang w:eastAsia="bg-BG"/>
        </w:rPr>
      </w:pPr>
      <w:r w:rsidRPr="00A42C8B">
        <w:rPr>
          <w:rFonts w:eastAsia="Times New Roman" w:cs="Arial"/>
          <w:i/>
          <w:iCs/>
          <w:color w:val="000000"/>
          <w:u w:val="single"/>
          <w:lang w:eastAsia="bg-BG"/>
        </w:rPr>
        <w:t>Употреба при педиатрични пациенти, включително с бъбречно увреждане</w:t>
      </w:r>
    </w:p>
    <w:p w14:paraId="1C4728FA" w14:textId="77777777"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 xml:space="preserve">Не са провеждани проучвания на кандесартан при деца със скорост на гломерулна филтрация под 30 </w:t>
      </w:r>
      <w:r w:rsidRPr="00A42C8B">
        <w:rPr>
          <w:rFonts w:eastAsia="Times New Roman" w:cs="Arial"/>
          <w:color w:val="000000"/>
          <w:lang w:val="en-US"/>
        </w:rPr>
        <w:t>ml/min/1,73 m</w:t>
      </w:r>
      <w:r w:rsidRPr="00A42C8B">
        <w:rPr>
          <w:rFonts w:eastAsia="Times New Roman" w:cs="Arial"/>
          <w:color w:val="000000"/>
          <w:vertAlign w:val="superscript"/>
          <w:lang w:val="en-US"/>
        </w:rPr>
        <w:t>2</w:t>
      </w:r>
      <w:r w:rsidRPr="00A42C8B">
        <w:rPr>
          <w:rFonts w:eastAsia="Times New Roman" w:cs="Arial"/>
          <w:color w:val="000000"/>
          <w:lang w:val="en-US"/>
        </w:rPr>
        <w:t xml:space="preserve"> </w:t>
      </w:r>
      <w:r w:rsidRPr="00A42C8B">
        <w:rPr>
          <w:rFonts w:eastAsia="Times New Roman" w:cs="Arial"/>
          <w:color w:val="000000"/>
          <w:lang w:eastAsia="bg-BG"/>
        </w:rPr>
        <w:t>(вж. точка 4.2).</w:t>
      </w:r>
    </w:p>
    <w:p w14:paraId="5AD6E821" w14:textId="77777777" w:rsidR="00A42C8B" w:rsidRPr="00A42C8B" w:rsidRDefault="00A42C8B" w:rsidP="00A42C8B">
      <w:pPr>
        <w:spacing w:line="240" w:lineRule="auto"/>
        <w:rPr>
          <w:rFonts w:eastAsia="Times New Roman" w:cs="Arial"/>
          <w:color w:val="000000"/>
          <w:lang w:eastAsia="bg-BG"/>
        </w:rPr>
      </w:pPr>
    </w:p>
    <w:p w14:paraId="70FBB870" w14:textId="0B8A7C80"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При деца с възможен намален вътресъдов обем (напр. след лечение с диуретици, по-специално, при пациенти с нарушена бъбречна функция) лечението с Кандекард трябва да започне под стриктно лекарско наблюдение и следва да се има предвид начална доза, по-ниска от общата начална доза (вж. точка 4.2).</w:t>
      </w:r>
    </w:p>
    <w:p w14:paraId="2C58B4B1" w14:textId="77777777" w:rsidR="00A42C8B" w:rsidRPr="00A42C8B" w:rsidRDefault="00A42C8B" w:rsidP="00A42C8B">
      <w:pPr>
        <w:spacing w:line="240" w:lineRule="auto"/>
        <w:rPr>
          <w:rFonts w:eastAsia="Times New Roman" w:cs="Arial"/>
          <w:i/>
          <w:iCs/>
          <w:color w:val="000000"/>
          <w:lang w:eastAsia="bg-BG"/>
        </w:rPr>
      </w:pPr>
    </w:p>
    <w:p w14:paraId="03DF94AE" w14:textId="01942B95" w:rsidR="00A42C8B" w:rsidRPr="00A42C8B" w:rsidRDefault="00A42C8B" w:rsidP="00A42C8B">
      <w:pPr>
        <w:spacing w:line="240" w:lineRule="auto"/>
        <w:rPr>
          <w:rFonts w:eastAsia="Times New Roman" w:cs="Arial"/>
          <w:sz w:val="24"/>
          <w:szCs w:val="24"/>
          <w:lang w:eastAsia="bg-BG"/>
        </w:rPr>
      </w:pPr>
      <w:r w:rsidRPr="00A42C8B">
        <w:rPr>
          <w:rFonts w:eastAsia="Times New Roman" w:cs="Arial"/>
          <w:i/>
          <w:iCs/>
          <w:color w:val="000000"/>
          <w:lang w:eastAsia="bg-BG"/>
        </w:rPr>
        <w:t>Специални предупреждения, относно помощните вещества</w:t>
      </w:r>
    </w:p>
    <w:p w14:paraId="33579195" w14:textId="77777777"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Този лекарствен продукт съдържа лактоза. Пациенти с редки наследствени нарушения, като непоносимост към галактоза, обща лактазна недостатъчност или глюкозо-галактозна малабсорбция не трябва да приемат този лекарствен продукт.</w:t>
      </w:r>
    </w:p>
    <w:p w14:paraId="6ACA9A84" w14:textId="77777777" w:rsidR="00A42C8B" w:rsidRPr="00A42C8B" w:rsidRDefault="00A42C8B" w:rsidP="00A42C8B">
      <w:pPr>
        <w:rPr>
          <w:rFonts w:eastAsia="Times New Roman" w:cs="Arial"/>
          <w:color w:val="000000"/>
          <w:lang w:eastAsia="bg-BG"/>
        </w:rPr>
      </w:pPr>
    </w:p>
    <w:p w14:paraId="1823995C" w14:textId="7996B6EE" w:rsidR="00A42C8B" w:rsidRPr="00A42C8B" w:rsidRDefault="00A42C8B" w:rsidP="00A42C8B">
      <w:pPr>
        <w:rPr>
          <w:rFonts w:eastAsia="Times New Roman" w:cs="Arial"/>
          <w:color w:val="000000"/>
          <w:lang w:eastAsia="bg-BG"/>
        </w:rPr>
      </w:pPr>
      <w:r w:rsidRPr="00A42C8B">
        <w:rPr>
          <w:rFonts w:eastAsia="Times New Roman" w:cs="Arial"/>
          <w:color w:val="000000"/>
          <w:lang w:eastAsia="bg-BG"/>
        </w:rPr>
        <w:t xml:space="preserve">Това лекарство съдържа по-малко от 1 </w:t>
      </w:r>
      <w:proofErr w:type="spellStart"/>
      <w:r w:rsidRPr="00A42C8B">
        <w:rPr>
          <w:rFonts w:eastAsia="Times New Roman" w:cs="Arial"/>
          <w:color w:val="000000"/>
          <w:lang w:val="en-US"/>
        </w:rPr>
        <w:t>mmol</w:t>
      </w:r>
      <w:proofErr w:type="spellEnd"/>
      <w:r w:rsidRPr="00A42C8B">
        <w:rPr>
          <w:rFonts w:eastAsia="Times New Roman" w:cs="Arial"/>
          <w:color w:val="000000"/>
          <w:lang w:val="en-US"/>
        </w:rPr>
        <w:t xml:space="preserve"> </w:t>
      </w:r>
      <w:r w:rsidRPr="00A42C8B">
        <w:rPr>
          <w:rFonts w:eastAsia="Times New Roman" w:cs="Arial"/>
          <w:color w:val="000000"/>
          <w:lang w:eastAsia="bg-BG"/>
        </w:rPr>
        <w:t xml:space="preserve">натрий (23 </w:t>
      </w:r>
      <w:r w:rsidRPr="00A42C8B">
        <w:rPr>
          <w:rFonts w:eastAsia="Times New Roman" w:cs="Arial"/>
          <w:color w:val="000000"/>
          <w:lang w:val="en-US"/>
        </w:rPr>
        <w:t xml:space="preserve">mg) </w:t>
      </w:r>
      <w:r w:rsidRPr="00A42C8B">
        <w:rPr>
          <w:rFonts w:eastAsia="Times New Roman" w:cs="Arial"/>
          <w:color w:val="000000"/>
          <w:lang w:eastAsia="bg-BG"/>
        </w:rPr>
        <w:t>на таблетка, т.е. може да се каже, че практически не съдържа натрий.</w:t>
      </w:r>
    </w:p>
    <w:p w14:paraId="25F4C7C4" w14:textId="77777777" w:rsidR="00A42C8B" w:rsidRPr="00A42C8B" w:rsidRDefault="00A42C8B" w:rsidP="00A42C8B">
      <w:pPr>
        <w:rPr>
          <w:rFonts w:cs="Arial"/>
        </w:rPr>
      </w:pPr>
    </w:p>
    <w:p w14:paraId="619DED1E" w14:textId="79C85A0F" w:rsidR="004F498A" w:rsidRDefault="002C50EE" w:rsidP="004A448E">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1633DFAC" w14:textId="5F188474" w:rsidR="00A42C8B" w:rsidRDefault="00A42C8B" w:rsidP="00A42C8B"/>
    <w:p w14:paraId="49797B1F" w14:textId="77777777"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Съединения, които са били изследвани в клинични фармакокинетични проучвания включват хидрохлоротиазид, варфарин, дигоксин, перорални контрацептиви (т.е. етинилестрадиол/ левоноргестрел), глибенкламид, нифедипин и еналаприл. Не са наблюдавани клинично значими фармакокинетични взаимодействия с тези лекарствени продукти.</w:t>
      </w:r>
    </w:p>
    <w:p w14:paraId="54752F39" w14:textId="77777777"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sz w:val="30"/>
          <w:szCs w:val="30"/>
          <w:lang w:val="en-US"/>
        </w:rPr>
        <w:tab/>
      </w:r>
    </w:p>
    <w:p w14:paraId="2EA18B2E" w14:textId="77777777"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Едновременната употреба на калий-съхраняващи диуретици, калиеви добавки, заместители на</w:t>
      </w:r>
    </w:p>
    <w:p w14:paraId="37E4EEB8" w14:textId="77777777" w:rsidR="00A42C8B" w:rsidRPr="00ED7AF9" w:rsidRDefault="00A42C8B" w:rsidP="00A42C8B">
      <w:pPr>
        <w:rPr>
          <w:rFonts w:eastAsia="Times New Roman" w:cs="Arial"/>
          <w:sz w:val="24"/>
          <w:szCs w:val="24"/>
          <w:lang w:eastAsia="bg-BG"/>
        </w:rPr>
      </w:pPr>
      <w:r w:rsidRPr="00ED7AF9">
        <w:rPr>
          <w:rFonts w:eastAsia="Times New Roman" w:cs="Arial"/>
          <w:color w:val="000000"/>
          <w:lang w:eastAsia="bg-BG"/>
        </w:rPr>
        <w:t>солта, съдържащи калий, или други лекарствени продукти (напр. хепарин) могат да повишат</w:t>
      </w:r>
      <w:r w:rsidRPr="00ED7AF9">
        <w:rPr>
          <w:rFonts w:eastAsia="Times New Roman" w:cs="Arial"/>
          <w:color w:val="000000"/>
          <w:lang w:val="en-US" w:eastAsia="bg-BG"/>
        </w:rPr>
        <w:t xml:space="preserve"> </w:t>
      </w:r>
      <w:r w:rsidRPr="00ED7AF9">
        <w:rPr>
          <w:rFonts w:eastAsia="Times New Roman" w:cs="Arial"/>
          <w:color w:val="000000"/>
          <w:lang w:eastAsia="bg-BG"/>
        </w:rPr>
        <w:t>нивата на калий. Мониторинг на калия трябва да се предприеме при необходимост (вж. точка 4.4).</w:t>
      </w:r>
    </w:p>
    <w:p w14:paraId="6B47680B" w14:textId="77777777" w:rsidR="00ED7AF9" w:rsidRDefault="00ED7AF9" w:rsidP="00A42C8B">
      <w:pPr>
        <w:spacing w:line="240" w:lineRule="auto"/>
        <w:rPr>
          <w:rFonts w:ascii="Times New Roman" w:eastAsia="Times New Roman" w:hAnsi="Times New Roman" w:cs="Times New Roman"/>
          <w:i/>
          <w:iCs/>
          <w:color w:val="000000"/>
          <w:lang w:eastAsia="bg-BG"/>
        </w:rPr>
      </w:pPr>
    </w:p>
    <w:p w14:paraId="64A6CA54" w14:textId="72A62787" w:rsidR="00A42C8B" w:rsidRPr="00A42C8B" w:rsidRDefault="00A42C8B" w:rsidP="00A42C8B">
      <w:pPr>
        <w:spacing w:line="240" w:lineRule="auto"/>
        <w:rPr>
          <w:rFonts w:eastAsia="Times New Roman" w:cs="Arial"/>
          <w:sz w:val="24"/>
          <w:szCs w:val="24"/>
          <w:lang w:eastAsia="bg-BG"/>
        </w:rPr>
      </w:pPr>
      <w:r w:rsidRPr="00A42C8B">
        <w:rPr>
          <w:rFonts w:eastAsia="Times New Roman" w:cs="Arial"/>
          <w:i/>
          <w:iCs/>
          <w:color w:val="000000"/>
          <w:lang w:eastAsia="bg-BG"/>
        </w:rPr>
        <w:t xml:space="preserve">Двойна блокада на </w:t>
      </w:r>
      <w:r w:rsidRPr="00A42C8B">
        <w:rPr>
          <w:rFonts w:eastAsia="Times New Roman" w:cs="Arial"/>
          <w:i/>
          <w:iCs/>
          <w:color w:val="000000"/>
          <w:lang w:val="en-US"/>
        </w:rPr>
        <w:t xml:space="preserve">RAAS </w:t>
      </w:r>
      <w:r w:rsidRPr="00A42C8B">
        <w:rPr>
          <w:rFonts w:eastAsia="Times New Roman" w:cs="Arial"/>
          <w:i/>
          <w:iCs/>
          <w:color w:val="000000"/>
          <w:lang w:eastAsia="bg-BG"/>
        </w:rPr>
        <w:t xml:space="preserve">с </w:t>
      </w:r>
      <w:r w:rsidRPr="00A42C8B">
        <w:rPr>
          <w:rFonts w:eastAsia="Times New Roman" w:cs="Arial"/>
          <w:i/>
          <w:iCs/>
          <w:color w:val="000000"/>
          <w:lang w:val="en-US"/>
        </w:rPr>
        <w:t xml:space="preserve">AIIRA, </w:t>
      </w:r>
      <w:r w:rsidRPr="00A42C8B">
        <w:rPr>
          <w:rFonts w:eastAsia="Times New Roman" w:cs="Arial"/>
          <w:i/>
          <w:iCs/>
          <w:color w:val="000000"/>
          <w:lang w:eastAsia="bg-BG"/>
        </w:rPr>
        <w:t>АСЕ-инхибитори или алискирен</w:t>
      </w:r>
    </w:p>
    <w:p w14:paraId="6DACEF46" w14:textId="77777777"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 xml:space="preserve">Данни от клинични проучвания показват, че двойното блокиране на РААС чрез комбинираната употреба на АСЕ инхибитори, АРБ или алискирен се свързва с по-висока честота на нежелани събития, като например хипотония, хиперкалиемия и намаляване на </w:t>
      </w:r>
      <w:r w:rsidRPr="00A42C8B">
        <w:rPr>
          <w:rFonts w:eastAsia="Times New Roman" w:cs="Arial"/>
          <w:color w:val="000000"/>
          <w:lang w:eastAsia="bg-BG"/>
        </w:rPr>
        <w:lastRenderedPageBreak/>
        <w:t>бъбречната функция (включително остра бъбречна недостатъчност), в сравнение с употребата само на едно средство, действащо върху РААС (вижте точки 4.3,4.4 и 5.1).</w:t>
      </w:r>
    </w:p>
    <w:p w14:paraId="21FE24AA" w14:textId="77777777" w:rsidR="00ED7AF9" w:rsidRPr="00ED7AF9" w:rsidRDefault="00ED7AF9" w:rsidP="00A42C8B">
      <w:pPr>
        <w:spacing w:line="240" w:lineRule="auto"/>
        <w:rPr>
          <w:rFonts w:eastAsia="Times New Roman" w:cs="Arial"/>
          <w:color w:val="000000"/>
          <w:lang w:eastAsia="bg-BG"/>
        </w:rPr>
      </w:pPr>
    </w:p>
    <w:p w14:paraId="1E644CD0" w14:textId="2D6F4D88"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 xml:space="preserve">Има съобщения за обратимо повишаване серумните концентрации на литий и токсичността при едновременно приложение на литий с АСЕ инхибитори. Подобен ефект може да възникне при приложение на антагонисти на ангиотензин II рецепторите </w:t>
      </w:r>
      <w:r w:rsidRPr="00A42C8B">
        <w:rPr>
          <w:rFonts w:eastAsia="Times New Roman" w:cs="Arial"/>
          <w:color w:val="000000"/>
          <w:lang w:val="en-US"/>
        </w:rPr>
        <w:t xml:space="preserve">(AIIRA). </w:t>
      </w:r>
      <w:r w:rsidRPr="00A42C8B">
        <w:rPr>
          <w:rFonts w:eastAsia="Times New Roman" w:cs="Arial"/>
          <w:color w:val="000000"/>
          <w:lang w:eastAsia="bg-BG"/>
        </w:rPr>
        <w:t>Използването на кандесартан с литий не се препоръчва. Ако тази комбинация е необходима, се препоръчва внимателно наблюдаване на серумните нива на литий.</w:t>
      </w:r>
    </w:p>
    <w:p w14:paraId="4FC90C15" w14:textId="77777777" w:rsidR="00ED7AF9" w:rsidRPr="00ED7AF9" w:rsidRDefault="00ED7AF9" w:rsidP="00A42C8B">
      <w:pPr>
        <w:spacing w:line="240" w:lineRule="auto"/>
        <w:rPr>
          <w:rFonts w:eastAsia="Times New Roman" w:cs="Arial"/>
          <w:color w:val="000000"/>
          <w:lang w:eastAsia="bg-BG"/>
        </w:rPr>
      </w:pPr>
    </w:p>
    <w:p w14:paraId="08E38F1F" w14:textId="2DD14176"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 xml:space="preserve">Когато ангиотензин II антагонисти </w:t>
      </w:r>
      <w:r w:rsidRPr="00A42C8B">
        <w:rPr>
          <w:rFonts w:eastAsia="Times New Roman" w:cs="Arial"/>
          <w:color w:val="000000"/>
          <w:lang w:val="en-US"/>
        </w:rPr>
        <w:t xml:space="preserve">(AIIRA) </w:t>
      </w:r>
      <w:r w:rsidRPr="00A42C8B">
        <w:rPr>
          <w:rFonts w:eastAsia="Times New Roman" w:cs="Arial"/>
          <w:color w:val="000000"/>
          <w:lang w:eastAsia="bg-BG"/>
        </w:rPr>
        <w:t xml:space="preserve">се прилагат едновременно с нестероидни противовъзпалителни средства (напр. селективни СОХ-2 инхибитори, ацетилсалицилова киселина &gt; 3 </w:t>
      </w:r>
      <w:r w:rsidRPr="00A42C8B">
        <w:rPr>
          <w:rFonts w:eastAsia="Times New Roman" w:cs="Arial"/>
          <w:color w:val="000000"/>
          <w:lang w:val="en-US"/>
        </w:rPr>
        <w:t>g</w:t>
      </w:r>
      <w:r w:rsidRPr="00A42C8B">
        <w:rPr>
          <w:rFonts w:eastAsia="Times New Roman" w:cs="Arial"/>
          <w:color w:val="000000"/>
          <w:lang w:eastAsia="bg-BG"/>
        </w:rPr>
        <w:t>/ден) и неселективни нестероидни противовъзпалителни средства), може да се получи отслабване на антихипертензивния ефект.</w:t>
      </w:r>
    </w:p>
    <w:p w14:paraId="54935261" w14:textId="77777777" w:rsidR="00ED7AF9" w:rsidRPr="00ED7AF9" w:rsidRDefault="00ED7AF9" w:rsidP="00A42C8B">
      <w:pPr>
        <w:spacing w:line="240" w:lineRule="auto"/>
        <w:rPr>
          <w:rFonts w:eastAsia="Times New Roman" w:cs="Arial"/>
          <w:color w:val="000000"/>
          <w:lang w:eastAsia="bg-BG"/>
        </w:rPr>
      </w:pPr>
    </w:p>
    <w:p w14:paraId="1CF65DA6" w14:textId="6EE14EA7" w:rsidR="00A42C8B" w:rsidRPr="00A42C8B" w:rsidRDefault="00A42C8B" w:rsidP="00A42C8B">
      <w:pPr>
        <w:spacing w:line="240" w:lineRule="auto"/>
        <w:rPr>
          <w:rFonts w:eastAsia="Times New Roman" w:cs="Arial"/>
          <w:sz w:val="24"/>
          <w:szCs w:val="24"/>
          <w:lang w:eastAsia="bg-BG"/>
        </w:rPr>
      </w:pPr>
      <w:r w:rsidRPr="00A42C8B">
        <w:rPr>
          <w:rFonts w:eastAsia="Times New Roman" w:cs="Arial"/>
          <w:color w:val="000000"/>
          <w:lang w:eastAsia="bg-BG"/>
        </w:rPr>
        <w:t xml:space="preserve">Както при АСЕ инхибиторите, едновременната употреба на ангиотензин II-антагонисти </w:t>
      </w:r>
      <w:r w:rsidRPr="00A42C8B">
        <w:rPr>
          <w:rFonts w:eastAsia="Times New Roman" w:cs="Arial"/>
          <w:color w:val="000000"/>
          <w:lang w:val="en-US"/>
        </w:rPr>
        <w:t xml:space="preserve">(AIIRA) </w:t>
      </w:r>
      <w:r w:rsidRPr="00A42C8B">
        <w:rPr>
          <w:rFonts w:eastAsia="Times New Roman" w:cs="Arial"/>
          <w:color w:val="000000"/>
          <w:lang w:eastAsia="bg-BG"/>
        </w:rPr>
        <w:t>и нестероидни противовъзпалителни средства може да доведе до увеличен риск от влошаване на бъбречната функция, включително е възможна остра бъбречна недостатъчност и увеличаване на серумния калий, особено при пациенти с влошена от преди това бъбречна функция. Комбинацията трябва да се прилага внимателно, особено при пациенти в старческа възраст. Пациентите трябва да се хидратират достатъчно и трябва да се обмисли проследяване на бъбречната функция след започването на едновременна терапия и периодично след това.</w:t>
      </w:r>
    </w:p>
    <w:p w14:paraId="5FFB1224" w14:textId="77777777" w:rsidR="00ED7AF9" w:rsidRPr="00ED7AF9" w:rsidRDefault="00ED7AF9" w:rsidP="00A42C8B">
      <w:pPr>
        <w:spacing w:line="240" w:lineRule="auto"/>
        <w:rPr>
          <w:rFonts w:eastAsia="Times New Roman" w:cs="Arial"/>
          <w:i/>
          <w:iCs/>
          <w:color w:val="000000"/>
          <w:u w:val="single"/>
          <w:lang w:eastAsia="bg-BG"/>
        </w:rPr>
      </w:pPr>
    </w:p>
    <w:p w14:paraId="3273646D" w14:textId="32CC3ADE" w:rsidR="00A42C8B" w:rsidRPr="00A42C8B" w:rsidRDefault="00A42C8B" w:rsidP="00A42C8B">
      <w:pPr>
        <w:spacing w:line="240" w:lineRule="auto"/>
        <w:rPr>
          <w:rFonts w:eastAsia="Times New Roman" w:cs="Arial"/>
          <w:sz w:val="24"/>
          <w:szCs w:val="24"/>
          <w:lang w:eastAsia="bg-BG"/>
        </w:rPr>
      </w:pPr>
      <w:r w:rsidRPr="00A42C8B">
        <w:rPr>
          <w:rFonts w:eastAsia="Times New Roman" w:cs="Arial"/>
          <w:i/>
          <w:iCs/>
          <w:color w:val="000000"/>
          <w:u w:val="single"/>
          <w:lang w:eastAsia="bg-BG"/>
        </w:rPr>
        <w:t>Педиатрична популация</w:t>
      </w:r>
    </w:p>
    <w:p w14:paraId="4A9E2E1B" w14:textId="3DF3D176" w:rsidR="00A42C8B" w:rsidRPr="00ED7AF9" w:rsidRDefault="00A42C8B" w:rsidP="00A42C8B">
      <w:pPr>
        <w:rPr>
          <w:rFonts w:eastAsia="Times New Roman" w:cs="Arial"/>
          <w:color w:val="000000"/>
          <w:lang w:eastAsia="bg-BG"/>
        </w:rPr>
      </w:pPr>
      <w:r w:rsidRPr="00ED7AF9">
        <w:rPr>
          <w:rFonts w:eastAsia="Times New Roman" w:cs="Arial"/>
          <w:color w:val="000000"/>
          <w:lang w:eastAsia="bg-BG"/>
        </w:rPr>
        <w:t>Проучвания на взаимодействията са провеждани само при възрастни.</w:t>
      </w:r>
    </w:p>
    <w:p w14:paraId="4DB7624D" w14:textId="77777777" w:rsidR="00ED7AF9" w:rsidRPr="00A42C8B" w:rsidRDefault="00ED7AF9" w:rsidP="00A42C8B">
      <w:pPr>
        <w:rPr>
          <w:lang w:val="en-US"/>
        </w:rPr>
      </w:pPr>
    </w:p>
    <w:p w14:paraId="394A7584" w14:textId="3DF3BD2C" w:rsidR="004F498A" w:rsidRDefault="002C50EE" w:rsidP="004A448E">
      <w:pPr>
        <w:pStyle w:val="Heading2"/>
      </w:pPr>
      <w:r>
        <w:t>4.6. Фертилитет, бременност и кърмене</w:t>
      </w:r>
    </w:p>
    <w:p w14:paraId="4AAD059E" w14:textId="6ABD66EC" w:rsidR="00ED7AF9" w:rsidRDefault="00ED7AF9" w:rsidP="00ED7AF9"/>
    <w:p w14:paraId="7F22547B" w14:textId="46EA32DA" w:rsidR="00ED7AF9" w:rsidRDefault="00ED7AF9" w:rsidP="00ED7AF9">
      <w:pPr>
        <w:rPr>
          <w:i/>
          <w:iCs/>
          <w:u w:val="single"/>
        </w:rPr>
      </w:pPr>
      <w:r>
        <w:rPr>
          <w:i/>
          <w:iCs/>
          <w:u w:val="single"/>
        </w:rPr>
        <w:t>Употреба по време на бременност</w:t>
      </w:r>
    </w:p>
    <w:p w14:paraId="21ADAEF6" w14:textId="44C1E51F" w:rsidR="00ED7AF9" w:rsidRDefault="00ED7AF9" w:rsidP="00ED7AF9">
      <w:r>
        <w:t xml:space="preserve">Употребата на ангиотензин II рецепторни антагонисти </w:t>
      </w:r>
      <w:r>
        <w:rPr>
          <w:lang w:val="en-US"/>
        </w:rPr>
        <w:t xml:space="preserve">(AIIRA) </w:t>
      </w:r>
      <w:r>
        <w:t xml:space="preserve">не се препоръчва през първия триместър на бременността (вж. точка 4.4). Употребата на ангиотензин II антагонисти </w:t>
      </w:r>
      <w:r>
        <w:rPr>
          <w:lang w:val="en-US"/>
        </w:rPr>
        <w:t xml:space="preserve">(AIIRA) </w:t>
      </w:r>
      <w:r>
        <w:t>е противопоказна през втория и третия триместър на бременността (вж. точки 4.3 и 4.4)</w:t>
      </w:r>
    </w:p>
    <w:p w14:paraId="5D7FB917" w14:textId="07EC979A" w:rsidR="00ED7AF9" w:rsidRDefault="00ED7AF9" w:rsidP="00ED7AF9"/>
    <w:p w14:paraId="45D400D6" w14:textId="77777777" w:rsidR="00ED7AF9" w:rsidRPr="00ED7AF9" w:rsidRDefault="00ED7AF9" w:rsidP="00ED7AF9">
      <w:pPr>
        <w:spacing w:line="240" w:lineRule="auto"/>
        <w:rPr>
          <w:rFonts w:eastAsia="Times New Roman" w:cs="Arial"/>
          <w:sz w:val="24"/>
          <w:szCs w:val="24"/>
          <w:lang w:eastAsia="bg-BG"/>
        </w:rPr>
      </w:pPr>
      <w:r w:rsidRPr="00ED7AF9">
        <w:rPr>
          <w:rFonts w:eastAsia="Times New Roman" w:cs="Arial"/>
          <w:color w:val="000000"/>
          <w:lang w:eastAsia="bg-BG"/>
        </w:rPr>
        <w:t xml:space="preserve">Епидемиологичните данни за риска от тератогенност след експозиция на АСЕ инхибитори през първия триместър на бременността не са довели до заключение; въпреки това, не може да се изключи леко увеличение на риска. Макар че няма контролирани епидемиологични данни за риска при ангиотензин II рецепторните инхибитори </w:t>
      </w:r>
      <w:r w:rsidRPr="00ED7AF9">
        <w:rPr>
          <w:rFonts w:eastAsia="Times New Roman" w:cs="Arial"/>
          <w:color w:val="000000"/>
          <w:lang w:val="en-US"/>
        </w:rPr>
        <w:t xml:space="preserve">(AIIRA), </w:t>
      </w:r>
      <w:r w:rsidRPr="00ED7AF9">
        <w:rPr>
          <w:rFonts w:eastAsia="Times New Roman" w:cs="Arial"/>
          <w:color w:val="000000"/>
          <w:lang w:eastAsia="bg-BG"/>
        </w:rPr>
        <w:t xml:space="preserve">при този клас лекарствени продукти може да съществува подобен риск. Освен ако продължаването на терапията с ангиотензин рецепторни блокери </w:t>
      </w:r>
      <w:r w:rsidRPr="00ED7AF9">
        <w:rPr>
          <w:rFonts w:eastAsia="Times New Roman" w:cs="Arial"/>
          <w:color w:val="000000"/>
          <w:lang w:val="en-US"/>
        </w:rPr>
        <w:t>(A</w:t>
      </w:r>
      <w:r w:rsidRPr="00ED7AF9">
        <w:rPr>
          <w:rFonts w:eastAsia="Times New Roman" w:cs="Arial"/>
          <w:color w:val="000000"/>
          <w:lang w:eastAsia="bg-BG"/>
        </w:rPr>
        <w:t>II</w:t>
      </w:r>
      <w:r w:rsidRPr="00ED7AF9">
        <w:rPr>
          <w:rFonts w:eastAsia="Times New Roman" w:cs="Arial"/>
          <w:color w:val="000000"/>
          <w:lang w:val="en-US"/>
        </w:rPr>
        <w:t xml:space="preserve">RA) </w:t>
      </w:r>
      <w:r w:rsidRPr="00ED7AF9">
        <w:rPr>
          <w:rFonts w:eastAsia="Times New Roman" w:cs="Arial"/>
          <w:color w:val="000000"/>
          <w:lang w:eastAsia="bg-BG"/>
        </w:rPr>
        <w:t xml:space="preserve">се смята за особено важна, при пациентките, които планират да забременеят, трябва да се направи промяна в терапията, като се назначи алтернативно антихипертензивно лечение, което има установен профил на безопасност за употреба по време на бременност. При диагностициране на бременност, лечението с ангиотензин II антагонисти </w:t>
      </w:r>
      <w:r w:rsidRPr="00ED7AF9">
        <w:rPr>
          <w:rFonts w:eastAsia="Times New Roman" w:cs="Arial"/>
          <w:color w:val="000000"/>
          <w:lang w:val="en-US"/>
        </w:rPr>
        <w:t>(A</w:t>
      </w:r>
      <w:r w:rsidRPr="00ED7AF9">
        <w:rPr>
          <w:rFonts w:eastAsia="Times New Roman" w:cs="Arial"/>
          <w:color w:val="000000"/>
          <w:lang w:eastAsia="bg-BG"/>
        </w:rPr>
        <w:t>II</w:t>
      </w:r>
      <w:r w:rsidRPr="00ED7AF9">
        <w:rPr>
          <w:rFonts w:eastAsia="Times New Roman" w:cs="Arial"/>
          <w:color w:val="000000"/>
          <w:lang w:val="en-US"/>
        </w:rPr>
        <w:t xml:space="preserve">RA) </w:t>
      </w:r>
      <w:r w:rsidRPr="00ED7AF9">
        <w:rPr>
          <w:rFonts w:eastAsia="Times New Roman" w:cs="Arial"/>
          <w:color w:val="000000"/>
          <w:lang w:eastAsia="bg-BG"/>
        </w:rPr>
        <w:t>трябва незабавно да се спре и, ако е уместно, трябва да се започне алтернативна терапия.</w:t>
      </w:r>
    </w:p>
    <w:p w14:paraId="5B39AFF1" w14:textId="77777777" w:rsidR="00ED7AF9" w:rsidRPr="00ED7AF9" w:rsidRDefault="00ED7AF9" w:rsidP="00ED7AF9">
      <w:pPr>
        <w:rPr>
          <w:rFonts w:eastAsia="Times New Roman" w:cs="Arial"/>
          <w:color w:val="000000"/>
          <w:lang w:eastAsia="bg-BG"/>
        </w:rPr>
      </w:pPr>
    </w:p>
    <w:p w14:paraId="58FDE3D1" w14:textId="77777777" w:rsidR="00ED7AF9" w:rsidRPr="00ED7AF9" w:rsidRDefault="00ED7AF9" w:rsidP="00ED7AF9">
      <w:pPr>
        <w:rPr>
          <w:rFonts w:eastAsia="Times New Roman" w:cs="Arial"/>
          <w:sz w:val="24"/>
          <w:szCs w:val="24"/>
          <w:lang w:eastAsia="bg-BG"/>
        </w:rPr>
      </w:pPr>
      <w:r w:rsidRPr="00ED7AF9">
        <w:rPr>
          <w:rFonts w:eastAsia="Times New Roman" w:cs="Arial"/>
          <w:color w:val="000000"/>
          <w:lang w:eastAsia="bg-BG"/>
        </w:rPr>
        <w:t xml:space="preserve">Известно е, че експозицията на ангиотензин II антагонисти </w:t>
      </w:r>
      <w:r w:rsidRPr="00ED7AF9">
        <w:rPr>
          <w:rFonts w:eastAsia="Times New Roman" w:cs="Arial"/>
          <w:color w:val="000000"/>
          <w:lang w:val="en-US"/>
        </w:rPr>
        <w:t xml:space="preserve">(AIIRA) </w:t>
      </w:r>
      <w:r w:rsidRPr="00ED7AF9">
        <w:rPr>
          <w:rFonts w:eastAsia="Times New Roman" w:cs="Arial"/>
          <w:color w:val="000000"/>
          <w:lang w:eastAsia="bg-BG"/>
        </w:rPr>
        <w:t>през втория и третия триместър на бременността предизвиква фетотоксичност при хората (намалена бъбречна</w:t>
      </w:r>
      <w:r>
        <w:rPr>
          <w:rFonts w:eastAsia="Times New Roman" w:cs="Arial"/>
          <w:color w:val="000000"/>
          <w:lang w:val="en-US" w:eastAsia="bg-BG"/>
        </w:rPr>
        <w:t xml:space="preserve"> </w:t>
      </w:r>
      <w:r w:rsidRPr="00ED7AF9">
        <w:rPr>
          <w:rFonts w:eastAsia="Times New Roman" w:cs="Arial"/>
          <w:color w:val="000000"/>
          <w:lang w:eastAsia="bg-BG"/>
        </w:rPr>
        <w:lastRenderedPageBreak/>
        <w:t>функция, олигохидрамнион, забавяне на осификацията на черепа) и неонатална токсичност (бъбречна недостатъчност, хипотония, хиперкалиемия) (вж. точка 5.3).</w:t>
      </w:r>
    </w:p>
    <w:p w14:paraId="1F19A8D6" w14:textId="77777777" w:rsidR="00ED7AF9" w:rsidRPr="00ED7AF9" w:rsidRDefault="00ED7AF9" w:rsidP="00ED7AF9">
      <w:pPr>
        <w:spacing w:line="240" w:lineRule="auto"/>
        <w:rPr>
          <w:rFonts w:eastAsia="Times New Roman" w:cs="Arial"/>
          <w:sz w:val="24"/>
          <w:szCs w:val="24"/>
          <w:lang w:eastAsia="bg-BG"/>
        </w:rPr>
      </w:pPr>
      <w:r w:rsidRPr="00ED7AF9">
        <w:rPr>
          <w:rFonts w:eastAsia="Times New Roman" w:cs="Arial"/>
          <w:color w:val="000000"/>
          <w:lang w:eastAsia="bg-BG"/>
        </w:rPr>
        <w:t>Ако експозицията на ангиотензин II антагонисти е започнала от втория триместър на бременността, се препоръчва ултразвуково изследване на бъбречната функция и черепа. Деца, чиито майки са приемали ангиотензин П антагонисти, трябва да бъдат наблюдавани внимателно за хипотония (вж. точки 4.3 и 4.4).</w:t>
      </w:r>
    </w:p>
    <w:p w14:paraId="0823319B" w14:textId="77777777" w:rsidR="00ED7AF9" w:rsidRPr="00ED7AF9" w:rsidRDefault="00ED7AF9" w:rsidP="00ED7AF9">
      <w:pPr>
        <w:spacing w:line="240" w:lineRule="auto"/>
        <w:rPr>
          <w:rFonts w:eastAsia="Times New Roman" w:cs="Arial"/>
          <w:i/>
          <w:iCs/>
          <w:color w:val="000000"/>
          <w:lang w:eastAsia="bg-BG"/>
        </w:rPr>
      </w:pPr>
    </w:p>
    <w:p w14:paraId="366EE067" w14:textId="5B87E9DA" w:rsidR="00ED7AF9" w:rsidRPr="00E54A9D" w:rsidRDefault="00ED7AF9" w:rsidP="00E54A9D">
      <w:pPr>
        <w:pStyle w:val="Heading3"/>
        <w:rPr>
          <w:rFonts w:eastAsia="Times New Roman"/>
          <w:u w:val="single"/>
          <w:lang w:eastAsia="bg-BG"/>
        </w:rPr>
      </w:pPr>
      <w:r w:rsidRPr="00E54A9D">
        <w:rPr>
          <w:rFonts w:eastAsia="Times New Roman"/>
          <w:u w:val="single"/>
          <w:lang w:eastAsia="bg-BG"/>
        </w:rPr>
        <w:t>Кърмене</w:t>
      </w:r>
    </w:p>
    <w:p w14:paraId="1A80A62C" w14:textId="56A38DE8" w:rsidR="00ED7AF9" w:rsidRPr="00ED7AF9" w:rsidRDefault="00ED7AF9" w:rsidP="00ED7AF9">
      <w:pPr>
        <w:rPr>
          <w:rFonts w:eastAsia="Times New Roman" w:cs="Arial"/>
          <w:color w:val="000000"/>
          <w:lang w:val="en-US" w:eastAsia="bg-BG"/>
        </w:rPr>
      </w:pPr>
      <w:r w:rsidRPr="00ED7AF9">
        <w:rPr>
          <w:rFonts w:eastAsia="Times New Roman" w:cs="Arial"/>
          <w:color w:val="000000"/>
          <w:lang w:eastAsia="bg-BG"/>
        </w:rPr>
        <w:t>Тъй като няма информация за употребата на Кандекард по време на кърмене, Кандекард не се препоръчва, а се предпочитат алтернативни лечения с по-добре установени профили на безопасност, особено при кърмене на новородено или недоносено дете.</w:t>
      </w:r>
    </w:p>
    <w:p w14:paraId="50AEFF68" w14:textId="77777777" w:rsidR="00ED7AF9" w:rsidRPr="00ED7AF9" w:rsidRDefault="00ED7AF9" w:rsidP="00ED7AF9"/>
    <w:p w14:paraId="064DF1DE" w14:textId="243EE0E4" w:rsidR="00CF77F7" w:rsidRDefault="002C50EE" w:rsidP="004A448E">
      <w:pPr>
        <w:pStyle w:val="Heading2"/>
      </w:pPr>
      <w:r>
        <w:t>4.7. Ефекти върху способността за шофиране и работа с машини</w:t>
      </w:r>
    </w:p>
    <w:p w14:paraId="1B4642BA" w14:textId="717AA060" w:rsidR="00ED7AF9" w:rsidRDefault="00ED7AF9" w:rsidP="00ED7AF9"/>
    <w:p w14:paraId="086775AB" w14:textId="7FD32384" w:rsidR="00ED7AF9" w:rsidRDefault="00ED7AF9" w:rsidP="00ED7AF9">
      <w:r>
        <w:t>Няма проведени проучвания за влиянието на кандесартан върху способността за шофиране и работа с машини. Независимо от това, трябва да се има предвид, че по време на лечението с Кандекард понякога могат да възникнат замайване или умора.</w:t>
      </w:r>
    </w:p>
    <w:p w14:paraId="62066AD9" w14:textId="77777777" w:rsidR="00ED7AF9" w:rsidRPr="00ED7AF9" w:rsidRDefault="00ED7AF9" w:rsidP="00ED7AF9"/>
    <w:p w14:paraId="37A3FD9F" w14:textId="2B3DF641" w:rsidR="00CF77F7" w:rsidRDefault="002C50EE" w:rsidP="004A448E">
      <w:pPr>
        <w:pStyle w:val="Heading2"/>
      </w:pPr>
      <w:r>
        <w:t>4.8. Нежелани лекарствени реакции</w:t>
      </w:r>
    </w:p>
    <w:p w14:paraId="031CD2EA" w14:textId="03D41070" w:rsidR="00ED7AF9" w:rsidRDefault="00ED7AF9" w:rsidP="00ED7AF9"/>
    <w:p w14:paraId="3EE7656E" w14:textId="77777777" w:rsidR="00ED7AF9" w:rsidRPr="00ED7AF9" w:rsidRDefault="00ED7AF9" w:rsidP="00ED7AF9">
      <w:pPr>
        <w:spacing w:line="240" w:lineRule="auto"/>
        <w:rPr>
          <w:rFonts w:eastAsia="Times New Roman" w:cs="Arial"/>
          <w:sz w:val="24"/>
          <w:szCs w:val="24"/>
          <w:lang w:eastAsia="bg-BG"/>
        </w:rPr>
      </w:pPr>
      <w:r w:rsidRPr="00ED7AF9">
        <w:rPr>
          <w:rFonts w:eastAsia="Times New Roman" w:cs="Arial"/>
          <w:i/>
          <w:iCs/>
          <w:color w:val="000000"/>
          <w:u w:val="single"/>
          <w:lang w:eastAsia="bg-BG"/>
        </w:rPr>
        <w:t>Лечение на хипертония</w:t>
      </w:r>
    </w:p>
    <w:p w14:paraId="4E2B060D" w14:textId="77777777" w:rsidR="00ED7AF9" w:rsidRPr="00ED7AF9" w:rsidRDefault="00ED7AF9" w:rsidP="00ED7AF9">
      <w:pPr>
        <w:spacing w:line="240" w:lineRule="auto"/>
        <w:rPr>
          <w:rFonts w:eastAsia="Times New Roman" w:cs="Arial"/>
          <w:sz w:val="24"/>
          <w:szCs w:val="24"/>
          <w:lang w:eastAsia="bg-BG"/>
        </w:rPr>
      </w:pPr>
      <w:r w:rsidRPr="00ED7AF9">
        <w:rPr>
          <w:rFonts w:eastAsia="Times New Roman" w:cs="Arial"/>
          <w:color w:val="000000"/>
          <w:lang w:eastAsia="bg-BG"/>
        </w:rPr>
        <w:t>При контролирани клинични изпитвания нежеланите лекарствени реакции са били леки и преходни. Общата честота на нежеланите лекарствени реакции не показва връзка с дозата или възрастта. Броят на случаите на прекъсване на лечението поради нежелани лекарствени реакции е подобен при кандесартан цилексетил (3,1%) и плацебо (3,2%).</w:t>
      </w:r>
    </w:p>
    <w:p w14:paraId="7708ED5E" w14:textId="77777777" w:rsidR="00ED7AF9" w:rsidRPr="00ED7AF9" w:rsidRDefault="00ED7AF9" w:rsidP="00ED7AF9">
      <w:pPr>
        <w:spacing w:line="240" w:lineRule="auto"/>
        <w:rPr>
          <w:rFonts w:eastAsia="Times New Roman" w:cs="Arial"/>
          <w:color w:val="000000"/>
          <w:lang w:eastAsia="bg-BG"/>
        </w:rPr>
      </w:pPr>
    </w:p>
    <w:p w14:paraId="6393F970" w14:textId="10506394" w:rsidR="00ED7AF9" w:rsidRPr="00ED7AF9" w:rsidRDefault="00ED7AF9" w:rsidP="00ED7AF9">
      <w:pPr>
        <w:spacing w:line="240" w:lineRule="auto"/>
        <w:rPr>
          <w:rFonts w:eastAsia="Times New Roman" w:cs="Arial"/>
          <w:sz w:val="24"/>
          <w:szCs w:val="24"/>
          <w:lang w:eastAsia="bg-BG"/>
        </w:rPr>
      </w:pPr>
      <w:r w:rsidRPr="00ED7AF9">
        <w:rPr>
          <w:rFonts w:eastAsia="Times New Roman" w:cs="Arial"/>
          <w:color w:val="000000"/>
          <w:lang w:eastAsia="bg-BG"/>
        </w:rPr>
        <w:t>При обобщен анализ на данните от клинични изпитвания при хипертензивни пациенти нежеланите лекарствени реакции с кандесартан цилексетил са дефинирани въз основа на честота на нежеланите лекарствени реакции при кандесартан цилексетил най-малко с 1% по- висока от честотата, наблюдавана при плацебо.</w:t>
      </w:r>
    </w:p>
    <w:p w14:paraId="593EC0B8" w14:textId="77777777" w:rsidR="00ED7AF9" w:rsidRPr="00ED7AF9" w:rsidRDefault="00ED7AF9" w:rsidP="00ED7AF9">
      <w:pPr>
        <w:rPr>
          <w:rFonts w:eastAsia="Times New Roman" w:cs="Arial"/>
          <w:color w:val="000000"/>
          <w:lang w:eastAsia="bg-BG"/>
        </w:rPr>
      </w:pPr>
    </w:p>
    <w:p w14:paraId="7987395B" w14:textId="14A988CF" w:rsidR="00ED7AF9" w:rsidRDefault="00ED7AF9" w:rsidP="00ED7AF9">
      <w:pPr>
        <w:rPr>
          <w:rFonts w:eastAsia="Times New Roman" w:cs="Arial"/>
          <w:color w:val="000000"/>
          <w:lang w:eastAsia="bg-BG"/>
        </w:rPr>
      </w:pPr>
      <w:r w:rsidRPr="00ED7AF9">
        <w:rPr>
          <w:rFonts w:eastAsia="Times New Roman" w:cs="Arial"/>
          <w:color w:val="000000"/>
          <w:lang w:eastAsia="bg-BG"/>
        </w:rPr>
        <w:t>В таблицата по-долу са представени нежеланите реакции от клинични проучвания и през постмаркетинговия период. Според честотата нежеланите реакции в точка 4.8 се разделят на: много чести (≥1/10); чести (≥1/100 до &lt;1/10); нечести (≥1/1 000 до &lt;1/100); редки (≥1/10 000 до &lt;1/1 000) и много редки (&lt;1/10 000).</w:t>
      </w:r>
    </w:p>
    <w:tbl>
      <w:tblPr>
        <w:tblStyle w:val="TableGrid"/>
        <w:tblW w:w="0" w:type="auto"/>
        <w:tblLook w:val="04A0" w:firstRow="1" w:lastRow="0" w:firstColumn="1" w:lastColumn="0" w:noHBand="0" w:noVBand="1"/>
      </w:tblPr>
      <w:tblGrid>
        <w:gridCol w:w="3166"/>
        <w:gridCol w:w="3167"/>
        <w:gridCol w:w="3167"/>
      </w:tblGrid>
      <w:tr w:rsidR="00ED7AF9" w14:paraId="64E8A394" w14:textId="77777777" w:rsidTr="00ED7AF9">
        <w:tc>
          <w:tcPr>
            <w:tcW w:w="3166" w:type="dxa"/>
          </w:tcPr>
          <w:p w14:paraId="38965069" w14:textId="715099E6" w:rsidR="00ED7AF9" w:rsidRDefault="00ED7AF9" w:rsidP="00ED7AF9">
            <w:pPr>
              <w:rPr>
                <w:rFonts w:cs="Arial"/>
              </w:rPr>
            </w:pPr>
            <w:r>
              <w:rPr>
                <w:b/>
                <w:bCs/>
              </w:rPr>
              <w:t>Системо-органни класове</w:t>
            </w:r>
          </w:p>
        </w:tc>
        <w:tc>
          <w:tcPr>
            <w:tcW w:w="3167" w:type="dxa"/>
          </w:tcPr>
          <w:p w14:paraId="7997A8D4" w14:textId="3C2CF90D" w:rsidR="00ED7AF9" w:rsidRDefault="00ED7AF9" w:rsidP="00ED7AF9">
            <w:pPr>
              <w:rPr>
                <w:rFonts w:cs="Arial"/>
              </w:rPr>
            </w:pPr>
            <w:r>
              <w:rPr>
                <w:b/>
                <w:bCs/>
              </w:rPr>
              <w:t>Честота</w:t>
            </w:r>
          </w:p>
        </w:tc>
        <w:tc>
          <w:tcPr>
            <w:tcW w:w="3167" w:type="dxa"/>
          </w:tcPr>
          <w:p w14:paraId="4A34C14E" w14:textId="245B422A" w:rsidR="00ED7AF9" w:rsidRDefault="00ED7AF9" w:rsidP="00ED7AF9">
            <w:pPr>
              <w:rPr>
                <w:rFonts w:cs="Arial"/>
              </w:rPr>
            </w:pPr>
            <w:r>
              <w:rPr>
                <w:b/>
                <w:bCs/>
              </w:rPr>
              <w:t>Нежелани лекарствени реакции</w:t>
            </w:r>
          </w:p>
        </w:tc>
      </w:tr>
      <w:tr w:rsidR="00ED7AF9" w14:paraId="137F83BA" w14:textId="77777777" w:rsidTr="00ED7AF9">
        <w:tc>
          <w:tcPr>
            <w:tcW w:w="3166" w:type="dxa"/>
          </w:tcPr>
          <w:p w14:paraId="4BD8413A" w14:textId="5C0601F3" w:rsidR="00ED7AF9" w:rsidRDefault="00ED7AF9" w:rsidP="00ED7AF9">
            <w:pPr>
              <w:rPr>
                <w:rFonts w:cs="Arial"/>
              </w:rPr>
            </w:pPr>
            <w:r>
              <w:t>Инфекции и инфестации</w:t>
            </w:r>
          </w:p>
        </w:tc>
        <w:tc>
          <w:tcPr>
            <w:tcW w:w="3167" w:type="dxa"/>
          </w:tcPr>
          <w:p w14:paraId="424B2D74" w14:textId="6D85A60F" w:rsidR="00ED7AF9" w:rsidRDefault="00ED7AF9" w:rsidP="00ED7AF9">
            <w:pPr>
              <w:rPr>
                <w:rFonts w:cs="Arial"/>
              </w:rPr>
            </w:pPr>
            <w:r>
              <w:t>Чести</w:t>
            </w:r>
          </w:p>
        </w:tc>
        <w:tc>
          <w:tcPr>
            <w:tcW w:w="3167" w:type="dxa"/>
          </w:tcPr>
          <w:p w14:paraId="591B9DBF" w14:textId="3B408509" w:rsidR="00ED7AF9" w:rsidRDefault="00ED7AF9" w:rsidP="00ED7AF9">
            <w:pPr>
              <w:rPr>
                <w:rFonts w:cs="Arial"/>
              </w:rPr>
            </w:pPr>
            <w:r>
              <w:t>Респираторна инфекция</w:t>
            </w:r>
          </w:p>
        </w:tc>
      </w:tr>
      <w:tr w:rsidR="00ED7AF9" w14:paraId="31A3C96E" w14:textId="77777777" w:rsidTr="00ED7AF9">
        <w:tc>
          <w:tcPr>
            <w:tcW w:w="3166" w:type="dxa"/>
          </w:tcPr>
          <w:p w14:paraId="1DED3A28" w14:textId="353C8037" w:rsidR="00ED7AF9" w:rsidRDefault="00ED7AF9" w:rsidP="00ED7AF9">
            <w:pPr>
              <w:rPr>
                <w:rFonts w:cs="Arial"/>
              </w:rPr>
            </w:pPr>
            <w:r>
              <w:t>Нарушения на кръвта и лимфната система</w:t>
            </w:r>
          </w:p>
        </w:tc>
        <w:tc>
          <w:tcPr>
            <w:tcW w:w="3167" w:type="dxa"/>
          </w:tcPr>
          <w:p w14:paraId="30DCE43A" w14:textId="6D0F7E91" w:rsidR="00ED7AF9" w:rsidRDefault="00ED7AF9" w:rsidP="00ED7AF9">
            <w:pPr>
              <w:rPr>
                <w:rFonts w:cs="Arial"/>
              </w:rPr>
            </w:pPr>
            <w:r>
              <w:t>Много редки</w:t>
            </w:r>
          </w:p>
        </w:tc>
        <w:tc>
          <w:tcPr>
            <w:tcW w:w="3167" w:type="dxa"/>
          </w:tcPr>
          <w:p w14:paraId="252C5ACA" w14:textId="0677708C" w:rsidR="00ED7AF9" w:rsidRDefault="00ED7AF9" w:rsidP="00ED7AF9">
            <w:pPr>
              <w:rPr>
                <w:rFonts w:cs="Arial"/>
              </w:rPr>
            </w:pPr>
            <w:r>
              <w:t>Левкопения, неутропения и агранулоцитоза</w:t>
            </w:r>
          </w:p>
        </w:tc>
      </w:tr>
      <w:tr w:rsidR="00ED7AF9" w14:paraId="7A8B6EBA" w14:textId="77777777" w:rsidTr="00ED7AF9">
        <w:tc>
          <w:tcPr>
            <w:tcW w:w="3166" w:type="dxa"/>
          </w:tcPr>
          <w:p w14:paraId="737356D3" w14:textId="2F2565AE" w:rsidR="00ED7AF9" w:rsidRDefault="00ED7AF9" w:rsidP="00ED7AF9">
            <w:pPr>
              <w:rPr>
                <w:rFonts w:cs="Arial"/>
              </w:rPr>
            </w:pPr>
            <w:r>
              <w:t>Нарушения на метаболизма и храненето</w:t>
            </w:r>
          </w:p>
        </w:tc>
        <w:tc>
          <w:tcPr>
            <w:tcW w:w="3167" w:type="dxa"/>
          </w:tcPr>
          <w:p w14:paraId="2AD6E300" w14:textId="48BA8E3D" w:rsidR="00ED7AF9" w:rsidRDefault="00ED7AF9" w:rsidP="00ED7AF9">
            <w:pPr>
              <w:rPr>
                <w:rFonts w:cs="Arial"/>
              </w:rPr>
            </w:pPr>
            <w:r>
              <w:t>Много редки</w:t>
            </w:r>
          </w:p>
        </w:tc>
        <w:tc>
          <w:tcPr>
            <w:tcW w:w="3167" w:type="dxa"/>
          </w:tcPr>
          <w:p w14:paraId="10CF44B4" w14:textId="37EFA5AF" w:rsidR="00ED7AF9" w:rsidRDefault="00ED7AF9" w:rsidP="00ED7AF9">
            <w:pPr>
              <w:rPr>
                <w:rFonts w:cs="Arial"/>
              </w:rPr>
            </w:pPr>
            <w:r>
              <w:t>Хиперкалиемия, хипонатриемия</w:t>
            </w:r>
          </w:p>
        </w:tc>
      </w:tr>
      <w:tr w:rsidR="00ED7AF9" w14:paraId="5359C318" w14:textId="77777777" w:rsidTr="00ED7AF9">
        <w:tc>
          <w:tcPr>
            <w:tcW w:w="3166" w:type="dxa"/>
          </w:tcPr>
          <w:p w14:paraId="5223BE65" w14:textId="7FB3F726" w:rsidR="00ED7AF9" w:rsidRDefault="00ED7AF9" w:rsidP="00ED7AF9">
            <w:pPr>
              <w:rPr>
                <w:rFonts w:cs="Arial"/>
              </w:rPr>
            </w:pPr>
            <w:r>
              <w:t>Нарушения на нервната система</w:t>
            </w:r>
          </w:p>
        </w:tc>
        <w:tc>
          <w:tcPr>
            <w:tcW w:w="3167" w:type="dxa"/>
          </w:tcPr>
          <w:p w14:paraId="404C0707" w14:textId="361D5F12" w:rsidR="00ED7AF9" w:rsidRDefault="00ED7AF9" w:rsidP="00ED7AF9">
            <w:pPr>
              <w:rPr>
                <w:rFonts w:cs="Arial"/>
              </w:rPr>
            </w:pPr>
            <w:r>
              <w:t>Чести</w:t>
            </w:r>
          </w:p>
        </w:tc>
        <w:tc>
          <w:tcPr>
            <w:tcW w:w="3167" w:type="dxa"/>
          </w:tcPr>
          <w:p w14:paraId="3FB66552" w14:textId="1FD50F88" w:rsidR="00ED7AF9" w:rsidRDefault="00ED7AF9" w:rsidP="00ED7AF9">
            <w:pPr>
              <w:rPr>
                <w:rFonts w:cs="Arial"/>
              </w:rPr>
            </w:pPr>
            <w:r>
              <w:t>Замайване/вертиго, главоболие</w:t>
            </w:r>
          </w:p>
        </w:tc>
      </w:tr>
      <w:tr w:rsidR="00ED7AF9" w14:paraId="3ED2D0CB" w14:textId="77777777" w:rsidTr="00ED7AF9">
        <w:tc>
          <w:tcPr>
            <w:tcW w:w="3166" w:type="dxa"/>
          </w:tcPr>
          <w:p w14:paraId="359E546C" w14:textId="4BC18DA7" w:rsidR="00ED7AF9" w:rsidRDefault="00ED7AF9" w:rsidP="00ED7AF9">
            <w:pPr>
              <w:rPr>
                <w:rFonts w:cs="Arial"/>
              </w:rPr>
            </w:pPr>
            <w:r>
              <w:t>Респираторни, гръдни и медиастинални нарушения</w:t>
            </w:r>
          </w:p>
        </w:tc>
        <w:tc>
          <w:tcPr>
            <w:tcW w:w="3167" w:type="dxa"/>
          </w:tcPr>
          <w:p w14:paraId="161991DF" w14:textId="5B6410D0" w:rsidR="00ED7AF9" w:rsidRDefault="00ED7AF9" w:rsidP="00ED7AF9">
            <w:pPr>
              <w:rPr>
                <w:rFonts w:cs="Arial"/>
              </w:rPr>
            </w:pPr>
            <w:r>
              <w:t>Много редки</w:t>
            </w:r>
          </w:p>
        </w:tc>
        <w:tc>
          <w:tcPr>
            <w:tcW w:w="3167" w:type="dxa"/>
          </w:tcPr>
          <w:p w14:paraId="6DFDDB4B" w14:textId="28E5F0E7" w:rsidR="00ED7AF9" w:rsidRDefault="00ED7AF9" w:rsidP="00ED7AF9">
            <w:pPr>
              <w:rPr>
                <w:rFonts w:cs="Arial"/>
              </w:rPr>
            </w:pPr>
            <w:r>
              <w:t>Кашлица</w:t>
            </w:r>
          </w:p>
        </w:tc>
      </w:tr>
      <w:tr w:rsidR="00ED7AF9" w14:paraId="4E4C9930" w14:textId="77777777" w:rsidTr="00ED7AF9">
        <w:tc>
          <w:tcPr>
            <w:tcW w:w="3166" w:type="dxa"/>
            <w:vMerge w:val="restart"/>
          </w:tcPr>
          <w:p w14:paraId="38A0E206" w14:textId="185792A1" w:rsidR="00ED7AF9" w:rsidRDefault="00ED7AF9" w:rsidP="00ED7AF9">
            <w:pPr>
              <w:rPr>
                <w:rFonts w:cs="Arial"/>
              </w:rPr>
            </w:pPr>
            <w:r>
              <w:t xml:space="preserve">Стомашно-чревни </w:t>
            </w:r>
            <w:r>
              <w:lastRenderedPageBreak/>
              <w:t>нарушения</w:t>
            </w:r>
          </w:p>
        </w:tc>
        <w:tc>
          <w:tcPr>
            <w:tcW w:w="3167" w:type="dxa"/>
          </w:tcPr>
          <w:p w14:paraId="0F0BD7B3" w14:textId="72A0F39E" w:rsidR="00ED7AF9" w:rsidRDefault="00ED7AF9" w:rsidP="00ED7AF9">
            <w:pPr>
              <w:rPr>
                <w:rFonts w:cs="Arial"/>
              </w:rPr>
            </w:pPr>
            <w:r>
              <w:lastRenderedPageBreak/>
              <w:t>Много редки</w:t>
            </w:r>
          </w:p>
        </w:tc>
        <w:tc>
          <w:tcPr>
            <w:tcW w:w="3167" w:type="dxa"/>
          </w:tcPr>
          <w:p w14:paraId="545EA77F" w14:textId="23AED907" w:rsidR="00ED7AF9" w:rsidRDefault="00ED7AF9" w:rsidP="00ED7AF9">
            <w:pPr>
              <w:rPr>
                <w:rFonts w:cs="Arial"/>
              </w:rPr>
            </w:pPr>
            <w:r>
              <w:t>Гадене</w:t>
            </w:r>
          </w:p>
        </w:tc>
      </w:tr>
      <w:tr w:rsidR="00ED7AF9" w14:paraId="1E351DF3" w14:textId="77777777" w:rsidTr="00ED7AF9">
        <w:tc>
          <w:tcPr>
            <w:tcW w:w="3166" w:type="dxa"/>
            <w:vMerge/>
          </w:tcPr>
          <w:p w14:paraId="6B9DAF69" w14:textId="77777777" w:rsidR="00ED7AF9" w:rsidRDefault="00ED7AF9" w:rsidP="00ED7AF9">
            <w:pPr>
              <w:rPr>
                <w:rFonts w:cs="Arial"/>
              </w:rPr>
            </w:pPr>
          </w:p>
        </w:tc>
        <w:tc>
          <w:tcPr>
            <w:tcW w:w="3167" w:type="dxa"/>
          </w:tcPr>
          <w:p w14:paraId="1B5F3B58" w14:textId="05C8B94A" w:rsidR="00ED7AF9" w:rsidRDefault="00ED7AF9" w:rsidP="00ED7AF9">
            <w:pPr>
              <w:rPr>
                <w:rFonts w:cs="Arial"/>
              </w:rPr>
            </w:pPr>
            <w:r>
              <w:t>С неизвестна честота</w:t>
            </w:r>
          </w:p>
        </w:tc>
        <w:tc>
          <w:tcPr>
            <w:tcW w:w="3167" w:type="dxa"/>
          </w:tcPr>
          <w:p w14:paraId="2F745D89" w14:textId="0078F3E6" w:rsidR="00ED7AF9" w:rsidRDefault="00ED7AF9" w:rsidP="00ED7AF9">
            <w:pPr>
              <w:rPr>
                <w:rFonts w:cs="Arial"/>
              </w:rPr>
            </w:pPr>
            <w:r>
              <w:t>Диария</w:t>
            </w:r>
          </w:p>
        </w:tc>
      </w:tr>
      <w:tr w:rsidR="00ED7AF9" w14:paraId="0F32AEB3" w14:textId="77777777" w:rsidTr="00ED7AF9">
        <w:tc>
          <w:tcPr>
            <w:tcW w:w="3166" w:type="dxa"/>
          </w:tcPr>
          <w:p w14:paraId="76CAAA32" w14:textId="3B3171E2" w:rsidR="00ED7AF9" w:rsidRDefault="00ED7AF9" w:rsidP="00ED7AF9">
            <w:pPr>
              <w:rPr>
                <w:rFonts w:cs="Arial"/>
              </w:rPr>
            </w:pPr>
            <w:r>
              <w:t>Хепатобилиарни нарушения</w:t>
            </w:r>
          </w:p>
        </w:tc>
        <w:tc>
          <w:tcPr>
            <w:tcW w:w="3167" w:type="dxa"/>
          </w:tcPr>
          <w:p w14:paraId="57F045D6" w14:textId="72EAAED6" w:rsidR="00ED7AF9" w:rsidRDefault="00ED7AF9" w:rsidP="00ED7AF9">
            <w:pPr>
              <w:rPr>
                <w:rFonts w:cs="Arial"/>
              </w:rPr>
            </w:pPr>
            <w:r>
              <w:t>Много редки</w:t>
            </w:r>
          </w:p>
        </w:tc>
        <w:tc>
          <w:tcPr>
            <w:tcW w:w="3167" w:type="dxa"/>
          </w:tcPr>
          <w:p w14:paraId="37B3FE61" w14:textId="304234D7" w:rsidR="00ED7AF9" w:rsidRDefault="00ED7AF9" w:rsidP="00ED7AF9">
            <w:pPr>
              <w:rPr>
                <w:rFonts w:cs="Arial"/>
              </w:rPr>
            </w:pPr>
            <w:r>
              <w:t>Повишени чернодробни ензими, увредена чернодробна хепатит</w:t>
            </w:r>
          </w:p>
        </w:tc>
      </w:tr>
      <w:tr w:rsidR="00ED7AF9" w14:paraId="68567CB3" w14:textId="77777777" w:rsidTr="00ED7AF9">
        <w:tc>
          <w:tcPr>
            <w:tcW w:w="3166" w:type="dxa"/>
          </w:tcPr>
          <w:p w14:paraId="2664CC3D" w14:textId="76F1E190" w:rsidR="00ED7AF9" w:rsidRDefault="00ED7AF9" w:rsidP="00ED7AF9">
            <w:pPr>
              <w:rPr>
                <w:rFonts w:cs="Arial"/>
              </w:rPr>
            </w:pPr>
            <w:r>
              <w:t>Нарушения на кожата и подкожната тъкан</w:t>
            </w:r>
          </w:p>
        </w:tc>
        <w:tc>
          <w:tcPr>
            <w:tcW w:w="3167" w:type="dxa"/>
          </w:tcPr>
          <w:p w14:paraId="03FC1761" w14:textId="386739C3" w:rsidR="00ED7AF9" w:rsidRDefault="00ED7AF9" w:rsidP="00ED7AF9">
            <w:pPr>
              <w:rPr>
                <w:rFonts w:cs="Arial"/>
              </w:rPr>
            </w:pPr>
            <w:r>
              <w:t>Много редки</w:t>
            </w:r>
          </w:p>
        </w:tc>
        <w:tc>
          <w:tcPr>
            <w:tcW w:w="3167" w:type="dxa"/>
          </w:tcPr>
          <w:p w14:paraId="7919A832" w14:textId="6B1FCFC5" w:rsidR="00ED7AF9" w:rsidRDefault="00ED7AF9" w:rsidP="00ED7AF9">
            <w:pPr>
              <w:rPr>
                <w:rFonts w:cs="Arial"/>
              </w:rPr>
            </w:pPr>
            <w:r>
              <w:t>Ангионевротичен оток, обрив уртикария, пруритус</w:t>
            </w:r>
          </w:p>
        </w:tc>
      </w:tr>
      <w:tr w:rsidR="00ED7AF9" w14:paraId="4EC3A46C" w14:textId="77777777" w:rsidTr="00ED7AF9">
        <w:tc>
          <w:tcPr>
            <w:tcW w:w="3166" w:type="dxa"/>
          </w:tcPr>
          <w:p w14:paraId="328DF96D" w14:textId="4B26D89F" w:rsidR="00ED7AF9" w:rsidRDefault="00ED7AF9" w:rsidP="00ED7AF9">
            <w:r>
              <w:t>Нарушения на мускулно-скелетната система и съединителната тъкан</w:t>
            </w:r>
          </w:p>
        </w:tc>
        <w:tc>
          <w:tcPr>
            <w:tcW w:w="3167" w:type="dxa"/>
          </w:tcPr>
          <w:p w14:paraId="0BA6AB8F" w14:textId="2C5135A3" w:rsidR="00ED7AF9" w:rsidRDefault="00ED7AF9" w:rsidP="00ED7AF9">
            <w:r>
              <w:t>Много редки</w:t>
            </w:r>
          </w:p>
        </w:tc>
        <w:tc>
          <w:tcPr>
            <w:tcW w:w="3167" w:type="dxa"/>
          </w:tcPr>
          <w:p w14:paraId="14104214" w14:textId="42837AF1" w:rsidR="00ED7AF9" w:rsidRDefault="00ED7AF9" w:rsidP="00ED7AF9">
            <w:r>
              <w:t>Болки в гърба, артралгия, миалгия</w:t>
            </w:r>
          </w:p>
        </w:tc>
      </w:tr>
      <w:tr w:rsidR="00ED7AF9" w14:paraId="76CC50BA" w14:textId="77777777" w:rsidTr="00ED7AF9">
        <w:tc>
          <w:tcPr>
            <w:tcW w:w="3166" w:type="dxa"/>
          </w:tcPr>
          <w:p w14:paraId="0F9765EF" w14:textId="49104964" w:rsidR="00ED7AF9" w:rsidRDefault="00ED7AF9" w:rsidP="00ED7AF9">
            <w:r>
              <w:t>Нарушения на бъбреците и пикочните пътища</w:t>
            </w:r>
          </w:p>
        </w:tc>
        <w:tc>
          <w:tcPr>
            <w:tcW w:w="3167" w:type="dxa"/>
          </w:tcPr>
          <w:p w14:paraId="3E2E4629" w14:textId="10DC5301" w:rsidR="00ED7AF9" w:rsidRDefault="00ED7AF9" w:rsidP="00ED7AF9">
            <w:r>
              <w:t>Много редки</w:t>
            </w:r>
          </w:p>
        </w:tc>
        <w:tc>
          <w:tcPr>
            <w:tcW w:w="3167" w:type="dxa"/>
          </w:tcPr>
          <w:p w14:paraId="10465F8D" w14:textId="6F690063" w:rsidR="00ED7AF9" w:rsidRDefault="00ED7AF9" w:rsidP="00ED7AF9">
            <w:r>
              <w:t>Бъбречно увреждане, включително бъбречна недостатъчност при чувствителни пациенти (вж. точка 4.4)</w:t>
            </w:r>
          </w:p>
        </w:tc>
      </w:tr>
    </w:tbl>
    <w:p w14:paraId="2B05A86E" w14:textId="77777777" w:rsidR="00ED7AF9" w:rsidRPr="00ED7AF9" w:rsidRDefault="00ED7AF9" w:rsidP="00ED7AF9">
      <w:pPr>
        <w:spacing w:line="240" w:lineRule="auto"/>
        <w:rPr>
          <w:rFonts w:eastAsia="Times New Roman" w:cs="Arial"/>
          <w:sz w:val="24"/>
          <w:szCs w:val="24"/>
          <w:lang w:eastAsia="bg-BG"/>
        </w:rPr>
      </w:pPr>
      <w:r w:rsidRPr="00ED7AF9">
        <w:rPr>
          <w:rFonts w:eastAsia="Times New Roman" w:cs="Arial"/>
          <w:i/>
          <w:iCs/>
          <w:color w:val="000000"/>
          <w:lang w:eastAsia="bg-BG"/>
        </w:rPr>
        <w:t>Лабораторни изследвания</w:t>
      </w:r>
    </w:p>
    <w:p w14:paraId="131B5569" w14:textId="77777777" w:rsidR="00ED7AF9" w:rsidRPr="00ED7AF9" w:rsidRDefault="00ED7AF9" w:rsidP="00ED7AF9">
      <w:pPr>
        <w:spacing w:line="240" w:lineRule="auto"/>
        <w:rPr>
          <w:rFonts w:eastAsia="Times New Roman" w:cs="Arial"/>
          <w:sz w:val="24"/>
          <w:szCs w:val="24"/>
          <w:lang w:eastAsia="bg-BG"/>
        </w:rPr>
      </w:pPr>
      <w:r w:rsidRPr="00ED7AF9">
        <w:rPr>
          <w:rFonts w:eastAsia="Times New Roman" w:cs="Arial"/>
          <w:color w:val="000000"/>
          <w:lang w:eastAsia="bg-BG"/>
        </w:rPr>
        <w:t>По принцип не е установено клинично значимо повлияване на рутинните лабораторни показатели от кандесартан цилексетил. Както при другите инхибитори на ренин-ангиотензин- алдостероновата система, наблюдавано е слабо понижение на хемоглобина. Обикновено не е необходимо рутинно проследяване на лабораторните показатели при пациенти, които приемат Кандекард. При пациенти с бъбречно увреждане, обаче, се препоръчва периодично проследяване на стойностите на серумния калий и креатинина.</w:t>
      </w:r>
    </w:p>
    <w:p w14:paraId="034301DA" w14:textId="77777777" w:rsidR="00ED7AF9" w:rsidRPr="00ED7AF9" w:rsidRDefault="00ED7AF9" w:rsidP="00ED7AF9">
      <w:pPr>
        <w:spacing w:line="240" w:lineRule="auto"/>
        <w:rPr>
          <w:rFonts w:eastAsia="Times New Roman" w:cs="Arial"/>
          <w:i/>
          <w:iCs/>
          <w:color w:val="000000"/>
          <w:u w:val="single"/>
          <w:lang w:eastAsia="bg-BG"/>
        </w:rPr>
      </w:pPr>
    </w:p>
    <w:p w14:paraId="1AA861A2" w14:textId="35867BAA" w:rsidR="00ED7AF9" w:rsidRPr="00ED7AF9" w:rsidRDefault="00ED7AF9" w:rsidP="00ED7AF9">
      <w:pPr>
        <w:spacing w:line="240" w:lineRule="auto"/>
        <w:rPr>
          <w:rFonts w:eastAsia="Times New Roman" w:cs="Arial"/>
          <w:sz w:val="24"/>
          <w:szCs w:val="24"/>
          <w:lang w:eastAsia="bg-BG"/>
        </w:rPr>
      </w:pPr>
      <w:r w:rsidRPr="00ED7AF9">
        <w:rPr>
          <w:rFonts w:eastAsia="Times New Roman" w:cs="Arial"/>
          <w:i/>
          <w:iCs/>
          <w:color w:val="000000"/>
          <w:u w:val="single"/>
          <w:lang w:eastAsia="bg-BG"/>
        </w:rPr>
        <w:t>Педиатрична популация</w:t>
      </w:r>
    </w:p>
    <w:p w14:paraId="48B63814" w14:textId="77777777" w:rsidR="00ED7AF9" w:rsidRPr="00ED7AF9" w:rsidRDefault="00ED7AF9" w:rsidP="00ED7AF9">
      <w:pPr>
        <w:spacing w:line="240" w:lineRule="auto"/>
        <w:rPr>
          <w:rFonts w:eastAsia="Times New Roman" w:cs="Arial"/>
          <w:sz w:val="24"/>
          <w:szCs w:val="24"/>
          <w:lang w:eastAsia="bg-BG"/>
        </w:rPr>
      </w:pPr>
      <w:r w:rsidRPr="00ED7AF9">
        <w:rPr>
          <w:rFonts w:eastAsia="Times New Roman" w:cs="Arial"/>
          <w:color w:val="000000"/>
          <w:lang w:eastAsia="bg-BG"/>
        </w:rPr>
        <w:t>Безопасността на кандесартан цилексетил е наблюдавана при 255 деца и юноши с хипертония, на възраст от 6 до под 18 години, по време на 4-седмични клинично изпитване на ефикасността и 1-годишно отворено проучване (вж. точка 5.1). При почти всички системо-органни класове честотата на нежеланите реакции при деца са в рамките на категориите „чести” и „нечести”. Докато естеството и степента на тежест на нежеланите реакции са сходни с тези при възрастните (вж. таблицата по-горе), честотата на всички нежелани реакции са по-високи при децата и юношите, по-конкретно:</w:t>
      </w:r>
    </w:p>
    <w:p w14:paraId="119221E6" w14:textId="77777777" w:rsidR="00ED7AF9" w:rsidRPr="00ED7AF9" w:rsidRDefault="00ED7AF9" w:rsidP="00ED7AF9">
      <w:pPr>
        <w:spacing w:line="240" w:lineRule="auto"/>
        <w:rPr>
          <w:rFonts w:eastAsia="Times New Roman" w:cs="Arial"/>
          <w:sz w:val="24"/>
          <w:szCs w:val="24"/>
          <w:lang w:eastAsia="bg-BG"/>
        </w:rPr>
      </w:pPr>
      <w:r w:rsidRPr="00ED7AF9">
        <w:rPr>
          <w:rFonts w:eastAsia="Times New Roman" w:cs="Arial"/>
          <w:color w:val="000000"/>
          <w:lang w:eastAsia="bg-BG"/>
        </w:rPr>
        <w:t>•</w:t>
      </w:r>
      <w:r w:rsidRPr="00ED7AF9">
        <w:rPr>
          <w:rFonts w:eastAsia="Times New Roman" w:cs="Arial"/>
          <w:color w:val="000000"/>
          <w:lang w:eastAsia="bg-BG"/>
        </w:rPr>
        <w:tab/>
        <w:t>Главоболие, замаяност и инфекции на горните дихателни пътища са „много чести” реакции (т.е.≥1/10) при децата и „чести” (≥1/100 до &lt;1/10) при възрастните</w:t>
      </w:r>
    </w:p>
    <w:p w14:paraId="2E2B24BC" w14:textId="77777777" w:rsidR="00ED7AF9" w:rsidRPr="00ED7AF9" w:rsidRDefault="00ED7AF9" w:rsidP="00ED7AF9">
      <w:pPr>
        <w:spacing w:line="240" w:lineRule="auto"/>
        <w:rPr>
          <w:rFonts w:eastAsia="Times New Roman" w:cs="Arial"/>
          <w:sz w:val="24"/>
          <w:szCs w:val="24"/>
          <w:lang w:eastAsia="bg-BG"/>
        </w:rPr>
      </w:pPr>
      <w:r w:rsidRPr="00ED7AF9">
        <w:rPr>
          <w:rFonts w:eastAsia="Times New Roman" w:cs="Arial"/>
          <w:color w:val="000000"/>
          <w:lang w:eastAsia="bg-BG"/>
        </w:rPr>
        <w:t>•</w:t>
      </w:r>
      <w:r w:rsidRPr="00ED7AF9">
        <w:rPr>
          <w:rFonts w:eastAsia="Times New Roman" w:cs="Arial"/>
          <w:color w:val="000000"/>
          <w:lang w:eastAsia="bg-BG"/>
        </w:rPr>
        <w:tab/>
        <w:t>Кашлица е „много честа” реакция (т.е.&gt;1/10) при децата и „много рядка” ( &lt; 1/10 000) при възрастните</w:t>
      </w:r>
    </w:p>
    <w:p w14:paraId="482D1245" w14:textId="77777777" w:rsidR="00ED7AF9" w:rsidRPr="00ED7AF9" w:rsidRDefault="00ED7AF9" w:rsidP="00ED7AF9">
      <w:pPr>
        <w:spacing w:line="240" w:lineRule="auto"/>
        <w:rPr>
          <w:rFonts w:eastAsia="Times New Roman" w:cs="Arial"/>
          <w:sz w:val="24"/>
          <w:szCs w:val="24"/>
          <w:lang w:eastAsia="bg-BG"/>
        </w:rPr>
      </w:pPr>
      <w:r w:rsidRPr="00ED7AF9">
        <w:rPr>
          <w:rFonts w:eastAsia="Times New Roman" w:cs="Arial"/>
          <w:color w:val="000000"/>
          <w:lang w:eastAsia="bg-BG"/>
        </w:rPr>
        <w:t>•</w:t>
      </w:r>
      <w:r w:rsidRPr="00ED7AF9">
        <w:rPr>
          <w:rFonts w:eastAsia="Times New Roman" w:cs="Arial"/>
          <w:color w:val="000000"/>
          <w:lang w:eastAsia="bg-BG"/>
        </w:rPr>
        <w:tab/>
        <w:t>Обрив е „честа” реакция (т.е.≥ 1 /100 до &lt;1/10) при децата и „много рядка” (&lt; 1/10 000) при възрастните</w:t>
      </w:r>
    </w:p>
    <w:p w14:paraId="0422AFF8" w14:textId="77777777" w:rsidR="00ED7AF9" w:rsidRPr="00ED7AF9" w:rsidRDefault="00ED7AF9" w:rsidP="00ED7AF9">
      <w:pPr>
        <w:spacing w:line="240" w:lineRule="auto"/>
        <w:rPr>
          <w:rFonts w:eastAsia="Times New Roman" w:cs="Arial"/>
          <w:sz w:val="24"/>
          <w:szCs w:val="24"/>
          <w:lang w:eastAsia="bg-BG"/>
        </w:rPr>
      </w:pPr>
      <w:r w:rsidRPr="00ED7AF9">
        <w:rPr>
          <w:rFonts w:eastAsia="Times New Roman" w:cs="Arial"/>
          <w:color w:val="000000"/>
          <w:lang w:eastAsia="bg-BG"/>
        </w:rPr>
        <w:t>•</w:t>
      </w:r>
      <w:r w:rsidRPr="00ED7AF9">
        <w:rPr>
          <w:rFonts w:eastAsia="Times New Roman" w:cs="Arial"/>
          <w:color w:val="000000"/>
          <w:lang w:eastAsia="bg-BG"/>
        </w:rPr>
        <w:tab/>
        <w:t>Хиперкалиемия, хипонатриемия и отклонения в чернодробните показатели са „нечести” реакции (≥ 1/1 000 до &lt; 1/100) при децата и „много редки” (&lt;1/10 000) при възрастните</w:t>
      </w:r>
    </w:p>
    <w:p w14:paraId="41C57AD6" w14:textId="77777777" w:rsidR="00ED7AF9" w:rsidRPr="00ED7AF9" w:rsidRDefault="00ED7AF9" w:rsidP="00ED7AF9">
      <w:pPr>
        <w:spacing w:line="240" w:lineRule="auto"/>
        <w:rPr>
          <w:rFonts w:eastAsia="Times New Roman" w:cs="Arial"/>
          <w:sz w:val="24"/>
          <w:szCs w:val="24"/>
          <w:lang w:eastAsia="bg-BG"/>
        </w:rPr>
      </w:pPr>
      <w:r w:rsidRPr="00ED7AF9">
        <w:rPr>
          <w:rFonts w:eastAsia="Times New Roman" w:cs="Arial"/>
          <w:color w:val="000000"/>
          <w:lang w:eastAsia="bg-BG"/>
        </w:rPr>
        <w:t>•</w:t>
      </w:r>
      <w:r w:rsidRPr="00ED7AF9">
        <w:rPr>
          <w:rFonts w:eastAsia="Times New Roman" w:cs="Arial"/>
          <w:color w:val="000000"/>
          <w:lang w:eastAsia="bg-BG"/>
        </w:rPr>
        <w:tab/>
        <w:t>Синусова аритмия, назофарингит, пирексия са „чести” реакции (т.е.≥1/100 до 1/10), а орофарингеалната болка е „много честа” реакция (т.е.≥1/10) при децата, но никоя от тях не е съобщавана при възрастните пациенти. Тези заболявания обаче са временни и широко разпространени сред децата.</w:t>
      </w:r>
    </w:p>
    <w:p w14:paraId="7CC36918" w14:textId="77777777" w:rsidR="00ED7AF9" w:rsidRPr="00ED7AF9" w:rsidRDefault="00ED7AF9" w:rsidP="00ED7AF9">
      <w:pPr>
        <w:spacing w:line="240" w:lineRule="auto"/>
        <w:rPr>
          <w:rFonts w:eastAsia="Times New Roman" w:cs="Arial"/>
          <w:color w:val="000000"/>
          <w:lang w:eastAsia="bg-BG"/>
        </w:rPr>
      </w:pPr>
    </w:p>
    <w:p w14:paraId="500630FE" w14:textId="3CAABA8C" w:rsidR="00ED7AF9" w:rsidRPr="00ED7AF9" w:rsidRDefault="00ED7AF9" w:rsidP="00ED7AF9">
      <w:pPr>
        <w:spacing w:line="240" w:lineRule="auto"/>
        <w:rPr>
          <w:rFonts w:eastAsia="Times New Roman" w:cs="Arial"/>
          <w:sz w:val="24"/>
          <w:szCs w:val="24"/>
          <w:lang w:eastAsia="bg-BG"/>
        </w:rPr>
      </w:pPr>
      <w:r w:rsidRPr="00ED7AF9">
        <w:rPr>
          <w:rFonts w:eastAsia="Times New Roman" w:cs="Arial"/>
          <w:color w:val="000000"/>
          <w:lang w:eastAsia="bg-BG"/>
        </w:rPr>
        <w:t>Като цяло профилът на безопасност на кандесартан цилексетил при педиатричните пациенти не се различава значително от този при възрастните пациенти.</w:t>
      </w:r>
    </w:p>
    <w:p w14:paraId="78DF0B49" w14:textId="77777777" w:rsidR="00ED7AF9" w:rsidRPr="00ED7AF9" w:rsidRDefault="00ED7AF9" w:rsidP="00ED7AF9">
      <w:pPr>
        <w:spacing w:line="240" w:lineRule="auto"/>
        <w:rPr>
          <w:rFonts w:eastAsia="Times New Roman" w:cs="Arial"/>
          <w:i/>
          <w:iCs/>
          <w:color w:val="000000"/>
          <w:u w:val="single"/>
          <w:lang w:eastAsia="bg-BG"/>
        </w:rPr>
      </w:pPr>
    </w:p>
    <w:p w14:paraId="18926488" w14:textId="6FA3C590" w:rsidR="00ED7AF9" w:rsidRPr="00ED7AF9" w:rsidRDefault="00ED7AF9" w:rsidP="00ED7AF9">
      <w:pPr>
        <w:spacing w:line="240" w:lineRule="auto"/>
        <w:rPr>
          <w:rFonts w:eastAsia="Times New Roman" w:cs="Arial"/>
          <w:sz w:val="24"/>
          <w:szCs w:val="24"/>
          <w:lang w:eastAsia="bg-BG"/>
        </w:rPr>
      </w:pPr>
      <w:r w:rsidRPr="00ED7AF9">
        <w:rPr>
          <w:rFonts w:eastAsia="Times New Roman" w:cs="Arial"/>
          <w:i/>
          <w:iCs/>
          <w:color w:val="000000"/>
          <w:u w:val="single"/>
          <w:lang w:eastAsia="bg-BG"/>
        </w:rPr>
        <w:t>Лечение на сърдечна недостатъчност</w:t>
      </w:r>
    </w:p>
    <w:p w14:paraId="43276A3B" w14:textId="77777777" w:rsidR="00ED7AF9" w:rsidRPr="00ED7AF9" w:rsidRDefault="00ED7AF9" w:rsidP="00ED7AF9">
      <w:pPr>
        <w:spacing w:line="240" w:lineRule="auto"/>
        <w:rPr>
          <w:rFonts w:eastAsia="Times New Roman" w:cs="Arial"/>
          <w:sz w:val="24"/>
          <w:szCs w:val="24"/>
          <w:lang w:eastAsia="bg-BG"/>
        </w:rPr>
      </w:pPr>
      <w:r w:rsidRPr="00ED7AF9">
        <w:rPr>
          <w:rFonts w:eastAsia="Times New Roman" w:cs="Arial"/>
          <w:color w:val="000000"/>
          <w:lang w:eastAsia="bg-BG"/>
        </w:rPr>
        <w:lastRenderedPageBreak/>
        <w:t xml:space="preserve">Профилът на нежеланите лекарствени реакции на кандесартан цилексетил при пациенти със сърдечна недостатъчност съответства на фармакологичните свойства на лекарствения продукт и на здравословното състояние на пациентите. В клиничната програма </w:t>
      </w:r>
      <w:r w:rsidRPr="00ED7AF9">
        <w:rPr>
          <w:rFonts w:eastAsia="Times New Roman" w:cs="Arial"/>
          <w:color w:val="000000"/>
          <w:lang w:val="en-US"/>
        </w:rPr>
        <w:t xml:space="preserve">CHARM, </w:t>
      </w:r>
      <w:r w:rsidRPr="00ED7AF9">
        <w:rPr>
          <w:rFonts w:eastAsia="Times New Roman" w:cs="Arial"/>
          <w:color w:val="000000"/>
          <w:lang w:eastAsia="bg-BG"/>
        </w:rPr>
        <w:t xml:space="preserve">сравняваща кандесартан цилексетил в дози до 32 </w:t>
      </w:r>
      <w:r w:rsidRPr="00ED7AF9">
        <w:rPr>
          <w:rFonts w:eastAsia="Times New Roman" w:cs="Arial"/>
          <w:color w:val="000000"/>
          <w:lang w:val="en-US"/>
        </w:rPr>
        <w:t xml:space="preserve">mg </w:t>
      </w:r>
      <w:r w:rsidRPr="00ED7AF9">
        <w:rPr>
          <w:rFonts w:eastAsia="Times New Roman" w:cs="Arial"/>
          <w:color w:val="000000"/>
          <w:lang w:eastAsia="bg-BG"/>
        </w:rPr>
        <w:t>(</w:t>
      </w:r>
      <w:r w:rsidRPr="00ED7AF9">
        <w:rPr>
          <w:rFonts w:eastAsia="Times New Roman" w:cs="Arial"/>
          <w:color w:val="000000"/>
          <w:lang w:val="en-US"/>
        </w:rPr>
        <w:t>n</w:t>
      </w:r>
      <w:r w:rsidRPr="00ED7AF9">
        <w:rPr>
          <w:rFonts w:eastAsia="Times New Roman" w:cs="Arial"/>
          <w:color w:val="000000"/>
          <w:lang w:eastAsia="bg-BG"/>
        </w:rPr>
        <w:t xml:space="preserve"> = 3 803) с плацебо (</w:t>
      </w:r>
      <w:r w:rsidRPr="00ED7AF9">
        <w:rPr>
          <w:rFonts w:eastAsia="Times New Roman" w:cs="Arial"/>
          <w:color w:val="000000"/>
          <w:lang w:val="en-US"/>
        </w:rPr>
        <w:t>n</w:t>
      </w:r>
      <w:r w:rsidRPr="00ED7AF9">
        <w:rPr>
          <w:rFonts w:eastAsia="Times New Roman" w:cs="Arial"/>
          <w:color w:val="000000"/>
          <w:lang w:eastAsia="bg-BG"/>
        </w:rPr>
        <w:t xml:space="preserve"> = 3 796), 21,0% от пациентите в групата с кандесартан цилексетил и 16,1% от групата с плацебо са преустановили лечението поради нежелани лекарствени реакции. Най-често наблюдаваните нежелани реакции са хиперкалиемия, хипотония и бъбречно увреждане. Тези събития са по-чести при пациенти над</w:t>
      </w:r>
      <w:r w:rsidRPr="00ED7AF9">
        <w:rPr>
          <w:rFonts w:eastAsia="Times New Roman" w:cs="Arial"/>
          <w:color w:val="000000"/>
          <w:u w:val="single"/>
          <w:lang w:eastAsia="bg-BG"/>
        </w:rPr>
        <w:t xml:space="preserve"> </w:t>
      </w:r>
      <w:r w:rsidRPr="00ED7AF9">
        <w:rPr>
          <w:rFonts w:eastAsia="Times New Roman" w:cs="Arial"/>
          <w:color w:val="000000"/>
          <w:lang w:eastAsia="bg-BG"/>
        </w:rPr>
        <w:t>70-годишна възраст, диабетици или пациенти, получаващи други лекарствени продукти, които засягат ренин-ангиотензин-алдостероновата система, и по-конкретно, АСЕ инхибитори/или спиронолактон.</w:t>
      </w:r>
    </w:p>
    <w:p w14:paraId="48F58FBA" w14:textId="77777777" w:rsidR="00ED7AF9" w:rsidRPr="00ED7AF9" w:rsidRDefault="00ED7AF9" w:rsidP="00ED7AF9">
      <w:pPr>
        <w:spacing w:line="240" w:lineRule="auto"/>
        <w:rPr>
          <w:rFonts w:eastAsia="Times New Roman" w:cs="Arial"/>
          <w:color w:val="000000"/>
          <w:lang w:eastAsia="bg-BG"/>
        </w:rPr>
      </w:pPr>
    </w:p>
    <w:p w14:paraId="5A233572" w14:textId="1FC0F7F7" w:rsidR="00ED7AF9" w:rsidRPr="00ED7AF9" w:rsidRDefault="00ED7AF9" w:rsidP="00ED7AF9">
      <w:pPr>
        <w:spacing w:line="240" w:lineRule="auto"/>
        <w:rPr>
          <w:rFonts w:eastAsia="Times New Roman" w:cs="Arial"/>
          <w:sz w:val="24"/>
          <w:szCs w:val="24"/>
          <w:lang w:eastAsia="bg-BG"/>
        </w:rPr>
      </w:pPr>
      <w:r w:rsidRPr="00ED7AF9">
        <w:rPr>
          <w:rFonts w:eastAsia="Times New Roman" w:cs="Arial"/>
          <w:color w:val="000000"/>
          <w:lang w:eastAsia="bg-BG"/>
        </w:rPr>
        <w:t>В таблицата по-долу са представени нежеланите реакции от клинични проучвания и чрез</w:t>
      </w:r>
    </w:p>
    <w:p w14:paraId="46F23667" w14:textId="0F97B9FA" w:rsidR="00ED7AF9" w:rsidRPr="00ED7AF9" w:rsidRDefault="00ED7AF9" w:rsidP="00ED7AF9">
      <w:pPr>
        <w:rPr>
          <w:rFonts w:eastAsia="Times New Roman" w:cs="Arial"/>
          <w:color w:val="000000"/>
          <w:lang w:eastAsia="bg-BG"/>
        </w:rPr>
      </w:pPr>
      <w:r w:rsidRPr="00ED7AF9">
        <w:rPr>
          <w:rFonts w:eastAsia="Times New Roman" w:cs="Arial"/>
          <w:color w:val="000000"/>
          <w:lang w:eastAsia="bg-BG"/>
        </w:rPr>
        <w:t>постмаркетинговия период.</w:t>
      </w:r>
    </w:p>
    <w:tbl>
      <w:tblPr>
        <w:tblStyle w:val="TableGrid"/>
        <w:tblW w:w="0" w:type="auto"/>
        <w:tblLook w:val="04A0" w:firstRow="1" w:lastRow="0" w:firstColumn="1" w:lastColumn="0" w:noHBand="0" w:noVBand="1"/>
      </w:tblPr>
      <w:tblGrid>
        <w:gridCol w:w="3166"/>
        <w:gridCol w:w="3167"/>
        <w:gridCol w:w="3167"/>
      </w:tblGrid>
      <w:tr w:rsidR="00ED7AF9" w14:paraId="46975C41" w14:textId="77777777" w:rsidTr="00ED7AF9">
        <w:tc>
          <w:tcPr>
            <w:tcW w:w="3166" w:type="dxa"/>
          </w:tcPr>
          <w:p w14:paraId="3A126315" w14:textId="6A1EDBD7" w:rsidR="00ED7AF9" w:rsidRDefault="00ED7AF9" w:rsidP="00ED7AF9">
            <w:pPr>
              <w:rPr>
                <w:rFonts w:cs="Arial"/>
              </w:rPr>
            </w:pPr>
            <w:r>
              <w:rPr>
                <w:b/>
                <w:bCs/>
              </w:rPr>
              <w:t>Системо-органни класове</w:t>
            </w:r>
          </w:p>
        </w:tc>
        <w:tc>
          <w:tcPr>
            <w:tcW w:w="3167" w:type="dxa"/>
          </w:tcPr>
          <w:p w14:paraId="6E700201" w14:textId="3CE4B015" w:rsidR="00ED7AF9" w:rsidRDefault="00ED7AF9" w:rsidP="00ED7AF9">
            <w:pPr>
              <w:rPr>
                <w:rFonts w:cs="Arial"/>
              </w:rPr>
            </w:pPr>
            <w:r>
              <w:rPr>
                <w:b/>
                <w:bCs/>
              </w:rPr>
              <w:t>Честота</w:t>
            </w:r>
          </w:p>
        </w:tc>
        <w:tc>
          <w:tcPr>
            <w:tcW w:w="3167" w:type="dxa"/>
          </w:tcPr>
          <w:p w14:paraId="5A09D759" w14:textId="2C43DB77" w:rsidR="00ED7AF9" w:rsidRDefault="00ED7AF9" w:rsidP="00ED7AF9">
            <w:pPr>
              <w:rPr>
                <w:rFonts w:cs="Arial"/>
              </w:rPr>
            </w:pPr>
            <w:r>
              <w:rPr>
                <w:b/>
                <w:bCs/>
              </w:rPr>
              <w:t>Нежелани лекарствени реакции</w:t>
            </w:r>
          </w:p>
        </w:tc>
      </w:tr>
      <w:tr w:rsidR="00ED7AF9" w14:paraId="23D731C1" w14:textId="77777777" w:rsidTr="00ED7AF9">
        <w:tc>
          <w:tcPr>
            <w:tcW w:w="3166" w:type="dxa"/>
          </w:tcPr>
          <w:p w14:paraId="37BB0B2C" w14:textId="424722CC" w:rsidR="00ED7AF9" w:rsidRDefault="00ED7AF9" w:rsidP="00ED7AF9">
            <w:pPr>
              <w:rPr>
                <w:rFonts w:cs="Arial"/>
              </w:rPr>
            </w:pPr>
            <w:r>
              <w:t>Нарушения на кръвта и лимфната система</w:t>
            </w:r>
          </w:p>
        </w:tc>
        <w:tc>
          <w:tcPr>
            <w:tcW w:w="3167" w:type="dxa"/>
          </w:tcPr>
          <w:p w14:paraId="1DA85D7F" w14:textId="3E0EB949" w:rsidR="00ED7AF9" w:rsidRDefault="00ED7AF9" w:rsidP="00ED7AF9">
            <w:pPr>
              <w:rPr>
                <w:rFonts w:cs="Arial"/>
              </w:rPr>
            </w:pPr>
            <w:r>
              <w:t>Много редки</w:t>
            </w:r>
          </w:p>
        </w:tc>
        <w:tc>
          <w:tcPr>
            <w:tcW w:w="3167" w:type="dxa"/>
          </w:tcPr>
          <w:p w14:paraId="5F1781B0" w14:textId="55E702CE" w:rsidR="00ED7AF9" w:rsidRDefault="00ED7AF9" w:rsidP="00ED7AF9">
            <w:pPr>
              <w:rPr>
                <w:rFonts w:cs="Arial"/>
              </w:rPr>
            </w:pPr>
            <w:r>
              <w:t>Левкопения, неутропения и агранулоцитоза</w:t>
            </w:r>
          </w:p>
        </w:tc>
      </w:tr>
      <w:tr w:rsidR="00ED7AF9" w14:paraId="23A6D501" w14:textId="77777777" w:rsidTr="00ED7AF9">
        <w:tc>
          <w:tcPr>
            <w:tcW w:w="3166" w:type="dxa"/>
            <w:vMerge w:val="restart"/>
          </w:tcPr>
          <w:p w14:paraId="119C7369" w14:textId="1A637826" w:rsidR="00ED7AF9" w:rsidRDefault="00ED7AF9" w:rsidP="00ED7AF9">
            <w:pPr>
              <w:rPr>
                <w:rFonts w:cs="Arial"/>
              </w:rPr>
            </w:pPr>
            <w:r>
              <w:t>Нарушения на метаболизма и храненето</w:t>
            </w:r>
          </w:p>
        </w:tc>
        <w:tc>
          <w:tcPr>
            <w:tcW w:w="3167" w:type="dxa"/>
          </w:tcPr>
          <w:p w14:paraId="3A0442C2" w14:textId="7504FF13" w:rsidR="00ED7AF9" w:rsidRDefault="00ED7AF9" w:rsidP="00ED7AF9">
            <w:pPr>
              <w:rPr>
                <w:rFonts w:cs="Arial"/>
              </w:rPr>
            </w:pPr>
            <w:r>
              <w:t>Чести</w:t>
            </w:r>
          </w:p>
        </w:tc>
        <w:tc>
          <w:tcPr>
            <w:tcW w:w="3167" w:type="dxa"/>
          </w:tcPr>
          <w:p w14:paraId="5081EE7B" w14:textId="5BBA81B9" w:rsidR="00ED7AF9" w:rsidRDefault="00ED7AF9" w:rsidP="00ED7AF9">
            <w:pPr>
              <w:rPr>
                <w:rFonts w:cs="Arial"/>
              </w:rPr>
            </w:pPr>
            <w:r>
              <w:t>Хиперкалиемия</w:t>
            </w:r>
          </w:p>
        </w:tc>
      </w:tr>
      <w:tr w:rsidR="00ED7AF9" w14:paraId="3A5A26CC" w14:textId="77777777" w:rsidTr="00ED7AF9">
        <w:tc>
          <w:tcPr>
            <w:tcW w:w="3166" w:type="dxa"/>
            <w:vMerge/>
          </w:tcPr>
          <w:p w14:paraId="5246458E" w14:textId="77777777" w:rsidR="00ED7AF9" w:rsidRDefault="00ED7AF9" w:rsidP="00ED7AF9">
            <w:pPr>
              <w:rPr>
                <w:rFonts w:cs="Arial"/>
              </w:rPr>
            </w:pPr>
          </w:p>
        </w:tc>
        <w:tc>
          <w:tcPr>
            <w:tcW w:w="3167" w:type="dxa"/>
          </w:tcPr>
          <w:p w14:paraId="6CE72948" w14:textId="1D0F7FEF" w:rsidR="00ED7AF9" w:rsidRDefault="00ED7AF9" w:rsidP="00ED7AF9">
            <w:pPr>
              <w:rPr>
                <w:rFonts w:cs="Arial"/>
              </w:rPr>
            </w:pPr>
            <w:r>
              <w:t>Много редки</w:t>
            </w:r>
          </w:p>
        </w:tc>
        <w:tc>
          <w:tcPr>
            <w:tcW w:w="3167" w:type="dxa"/>
          </w:tcPr>
          <w:p w14:paraId="7B27A10B" w14:textId="76ABB29C" w:rsidR="00ED7AF9" w:rsidRDefault="00ED7AF9" w:rsidP="00ED7AF9">
            <w:pPr>
              <w:rPr>
                <w:rFonts w:cs="Arial"/>
              </w:rPr>
            </w:pPr>
            <w:r>
              <w:t>Хипонатриемия</w:t>
            </w:r>
          </w:p>
        </w:tc>
      </w:tr>
      <w:tr w:rsidR="00ED7AF9" w14:paraId="11694241" w14:textId="77777777" w:rsidTr="00ED7AF9">
        <w:tc>
          <w:tcPr>
            <w:tcW w:w="3166" w:type="dxa"/>
          </w:tcPr>
          <w:p w14:paraId="2F8F2711" w14:textId="33F0131E" w:rsidR="00ED7AF9" w:rsidRDefault="00ED7AF9" w:rsidP="00ED7AF9">
            <w:pPr>
              <w:rPr>
                <w:rFonts w:cs="Arial"/>
              </w:rPr>
            </w:pPr>
            <w:r>
              <w:t>Нарушения на нервната система</w:t>
            </w:r>
          </w:p>
        </w:tc>
        <w:tc>
          <w:tcPr>
            <w:tcW w:w="3167" w:type="dxa"/>
          </w:tcPr>
          <w:p w14:paraId="21DA918B" w14:textId="1C1A36E6" w:rsidR="00ED7AF9" w:rsidRDefault="00ED7AF9" w:rsidP="00ED7AF9">
            <w:pPr>
              <w:rPr>
                <w:rFonts w:cs="Arial"/>
              </w:rPr>
            </w:pPr>
            <w:r>
              <w:t>Много редки</w:t>
            </w:r>
          </w:p>
        </w:tc>
        <w:tc>
          <w:tcPr>
            <w:tcW w:w="3167" w:type="dxa"/>
          </w:tcPr>
          <w:p w14:paraId="590E3738" w14:textId="34B8D698" w:rsidR="00ED7AF9" w:rsidRDefault="00ED7AF9" w:rsidP="00ED7AF9">
            <w:pPr>
              <w:rPr>
                <w:rFonts w:cs="Arial"/>
              </w:rPr>
            </w:pPr>
            <w:r>
              <w:t>Замайване, главоболие</w:t>
            </w:r>
          </w:p>
        </w:tc>
      </w:tr>
      <w:tr w:rsidR="00ED7AF9" w14:paraId="74A3B2B7" w14:textId="77777777" w:rsidTr="00ED7AF9">
        <w:tc>
          <w:tcPr>
            <w:tcW w:w="3166" w:type="dxa"/>
          </w:tcPr>
          <w:p w14:paraId="0E1F621A" w14:textId="320D522C" w:rsidR="00ED7AF9" w:rsidRDefault="00ED7AF9" w:rsidP="00ED7AF9">
            <w:pPr>
              <w:rPr>
                <w:rFonts w:cs="Arial"/>
              </w:rPr>
            </w:pPr>
            <w:r>
              <w:t>Съдови нарушения</w:t>
            </w:r>
          </w:p>
        </w:tc>
        <w:tc>
          <w:tcPr>
            <w:tcW w:w="3167" w:type="dxa"/>
          </w:tcPr>
          <w:p w14:paraId="6503328B" w14:textId="44162A5D" w:rsidR="00ED7AF9" w:rsidRDefault="00ED7AF9" w:rsidP="00ED7AF9">
            <w:pPr>
              <w:rPr>
                <w:rFonts w:cs="Arial"/>
              </w:rPr>
            </w:pPr>
            <w:r>
              <w:t>Чести</w:t>
            </w:r>
          </w:p>
        </w:tc>
        <w:tc>
          <w:tcPr>
            <w:tcW w:w="3167" w:type="dxa"/>
          </w:tcPr>
          <w:p w14:paraId="46B6FA0E" w14:textId="21641D76" w:rsidR="00ED7AF9" w:rsidRDefault="00ED7AF9" w:rsidP="00ED7AF9">
            <w:pPr>
              <w:rPr>
                <w:rFonts w:cs="Arial"/>
              </w:rPr>
            </w:pPr>
            <w:r>
              <w:t>Хипотония</w:t>
            </w:r>
          </w:p>
        </w:tc>
      </w:tr>
      <w:tr w:rsidR="00ED7AF9" w14:paraId="2DFD6A6A" w14:textId="77777777" w:rsidTr="00ED7AF9">
        <w:tc>
          <w:tcPr>
            <w:tcW w:w="3166" w:type="dxa"/>
          </w:tcPr>
          <w:p w14:paraId="470C0932" w14:textId="18CAEC05" w:rsidR="00ED7AF9" w:rsidRDefault="00ED7AF9" w:rsidP="00ED7AF9">
            <w:pPr>
              <w:rPr>
                <w:rFonts w:cs="Arial"/>
              </w:rPr>
            </w:pPr>
            <w:r>
              <w:t>Респираторни, гръдни и медиастинални нарушения</w:t>
            </w:r>
          </w:p>
        </w:tc>
        <w:tc>
          <w:tcPr>
            <w:tcW w:w="3167" w:type="dxa"/>
          </w:tcPr>
          <w:p w14:paraId="33C9A09A" w14:textId="3BCD3F7A" w:rsidR="00ED7AF9" w:rsidRDefault="00ED7AF9" w:rsidP="00ED7AF9">
            <w:pPr>
              <w:rPr>
                <w:rFonts w:cs="Arial"/>
              </w:rPr>
            </w:pPr>
            <w:r>
              <w:t>Много редки</w:t>
            </w:r>
          </w:p>
        </w:tc>
        <w:tc>
          <w:tcPr>
            <w:tcW w:w="3167" w:type="dxa"/>
          </w:tcPr>
          <w:p w14:paraId="5922FAD4" w14:textId="4C0905FC" w:rsidR="00ED7AF9" w:rsidRDefault="00ED7AF9" w:rsidP="00ED7AF9">
            <w:pPr>
              <w:rPr>
                <w:rFonts w:cs="Arial"/>
              </w:rPr>
            </w:pPr>
            <w:r>
              <w:t>Кашлица</w:t>
            </w:r>
          </w:p>
        </w:tc>
      </w:tr>
      <w:tr w:rsidR="00ED7AF9" w14:paraId="7B8014B3" w14:textId="77777777" w:rsidTr="00ED7AF9">
        <w:tc>
          <w:tcPr>
            <w:tcW w:w="3166" w:type="dxa"/>
            <w:vMerge w:val="restart"/>
          </w:tcPr>
          <w:p w14:paraId="6DE81E5A" w14:textId="11376626" w:rsidR="00ED7AF9" w:rsidRDefault="00ED7AF9" w:rsidP="00ED7AF9">
            <w:pPr>
              <w:rPr>
                <w:rFonts w:cs="Arial"/>
              </w:rPr>
            </w:pPr>
            <w:r>
              <w:t>Стомашно-чревни нарушения</w:t>
            </w:r>
          </w:p>
        </w:tc>
        <w:tc>
          <w:tcPr>
            <w:tcW w:w="3167" w:type="dxa"/>
          </w:tcPr>
          <w:p w14:paraId="7CE14539" w14:textId="15566BDE" w:rsidR="00ED7AF9" w:rsidRDefault="00ED7AF9" w:rsidP="00ED7AF9">
            <w:pPr>
              <w:rPr>
                <w:rFonts w:cs="Arial"/>
              </w:rPr>
            </w:pPr>
            <w:r>
              <w:t>Много редки</w:t>
            </w:r>
          </w:p>
        </w:tc>
        <w:tc>
          <w:tcPr>
            <w:tcW w:w="3167" w:type="dxa"/>
          </w:tcPr>
          <w:p w14:paraId="69299683" w14:textId="2F74CFA2" w:rsidR="00ED7AF9" w:rsidRDefault="00ED7AF9" w:rsidP="00ED7AF9">
            <w:pPr>
              <w:rPr>
                <w:rFonts w:cs="Arial"/>
              </w:rPr>
            </w:pPr>
            <w:r>
              <w:t>Гадене</w:t>
            </w:r>
          </w:p>
        </w:tc>
      </w:tr>
      <w:tr w:rsidR="00ED7AF9" w14:paraId="6F2C2177" w14:textId="77777777" w:rsidTr="00ED7AF9">
        <w:tc>
          <w:tcPr>
            <w:tcW w:w="3166" w:type="dxa"/>
            <w:vMerge/>
          </w:tcPr>
          <w:p w14:paraId="7BA7138E" w14:textId="77777777" w:rsidR="00ED7AF9" w:rsidRDefault="00ED7AF9" w:rsidP="00ED7AF9">
            <w:pPr>
              <w:rPr>
                <w:rFonts w:cs="Arial"/>
              </w:rPr>
            </w:pPr>
          </w:p>
        </w:tc>
        <w:tc>
          <w:tcPr>
            <w:tcW w:w="3167" w:type="dxa"/>
          </w:tcPr>
          <w:p w14:paraId="53A62A97" w14:textId="2F4E453B" w:rsidR="00ED7AF9" w:rsidRDefault="00ED7AF9" w:rsidP="00ED7AF9">
            <w:pPr>
              <w:rPr>
                <w:rFonts w:cs="Arial"/>
              </w:rPr>
            </w:pPr>
            <w:r>
              <w:t>С неизвестна честота</w:t>
            </w:r>
          </w:p>
        </w:tc>
        <w:tc>
          <w:tcPr>
            <w:tcW w:w="3167" w:type="dxa"/>
          </w:tcPr>
          <w:p w14:paraId="28BCD460" w14:textId="68C2B7EE" w:rsidR="00ED7AF9" w:rsidRDefault="00ED7AF9" w:rsidP="00ED7AF9">
            <w:pPr>
              <w:rPr>
                <w:rFonts w:cs="Arial"/>
              </w:rPr>
            </w:pPr>
            <w:r>
              <w:t>Диария</w:t>
            </w:r>
          </w:p>
        </w:tc>
      </w:tr>
      <w:tr w:rsidR="00ED7AF9" w14:paraId="6E265E1E" w14:textId="77777777" w:rsidTr="00ED7AF9">
        <w:tc>
          <w:tcPr>
            <w:tcW w:w="3166" w:type="dxa"/>
          </w:tcPr>
          <w:p w14:paraId="0B0CD416" w14:textId="11171AF4" w:rsidR="00ED7AF9" w:rsidRDefault="00ED7AF9" w:rsidP="00ED7AF9">
            <w:pPr>
              <w:rPr>
                <w:rFonts w:cs="Arial"/>
              </w:rPr>
            </w:pPr>
            <w:r>
              <w:t>Хепатобилиарни нарушения</w:t>
            </w:r>
          </w:p>
        </w:tc>
        <w:tc>
          <w:tcPr>
            <w:tcW w:w="3167" w:type="dxa"/>
          </w:tcPr>
          <w:p w14:paraId="0630FB3B" w14:textId="3E71AEEC" w:rsidR="00ED7AF9" w:rsidRDefault="00ED7AF9" w:rsidP="00ED7AF9">
            <w:pPr>
              <w:rPr>
                <w:rFonts w:cs="Arial"/>
              </w:rPr>
            </w:pPr>
            <w:r>
              <w:t>Много редки</w:t>
            </w:r>
          </w:p>
        </w:tc>
        <w:tc>
          <w:tcPr>
            <w:tcW w:w="3167" w:type="dxa"/>
          </w:tcPr>
          <w:p w14:paraId="2022B27E" w14:textId="2A507AFD" w:rsidR="00ED7AF9" w:rsidRDefault="00ED7AF9" w:rsidP="00ED7AF9">
            <w:pPr>
              <w:rPr>
                <w:rFonts w:cs="Arial"/>
              </w:rPr>
            </w:pPr>
            <w:r>
              <w:t>Повишени чернодробни ензими, нарушена чернодробна функция или хепатит</w:t>
            </w:r>
          </w:p>
        </w:tc>
      </w:tr>
      <w:tr w:rsidR="00ED7AF9" w14:paraId="006821E9" w14:textId="77777777" w:rsidTr="00ED7AF9">
        <w:tc>
          <w:tcPr>
            <w:tcW w:w="3166" w:type="dxa"/>
          </w:tcPr>
          <w:p w14:paraId="50F596A4" w14:textId="6C8AFAEC" w:rsidR="00ED7AF9" w:rsidRDefault="00ED7AF9" w:rsidP="00ED7AF9">
            <w:pPr>
              <w:rPr>
                <w:rFonts w:cs="Arial"/>
              </w:rPr>
            </w:pPr>
            <w:r>
              <w:t>Нарушения на кожата и подкожната тъкан</w:t>
            </w:r>
          </w:p>
        </w:tc>
        <w:tc>
          <w:tcPr>
            <w:tcW w:w="3167" w:type="dxa"/>
          </w:tcPr>
          <w:p w14:paraId="78A0E139" w14:textId="2AC926B9" w:rsidR="00ED7AF9" w:rsidRDefault="00ED7AF9" w:rsidP="00ED7AF9">
            <w:pPr>
              <w:rPr>
                <w:rFonts w:cs="Arial"/>
              </w:rPr>
            </w:pPr>
            <w:r>
              <w:t>Много редки</w:t>
            </w:r>
          </w:p>
        </w:tc>
        <w:tc>
          <w:tcPr>
            <w:tcW w:w="3167" w:type="dxa"/>
          </w:tcPr>
          <w:p w14:paraId="4EED4B21" w14:textId="01DF4BC5" w:rsidR="00ED7AF9" w:rsidRDefault="00ED7AF9" w:rsidP="00ED7AF9">
            <w:pPr>
              <w:rPr>
                <w:rFonts w:cs="Arial"/>
              </w:rPr>
            </w:pPr>
            <w:r>
              <w:t>Ангионевротичен оток, обрив, уртикария, пруритус</w:t>
            </w:r>
          </w:p>
        </w:tc>
      </w:tr>
      <w:tr w:rsidR="00ED7AF9" w14:paraId="119759B9" w14:textId="77777777" w:rsidTr="00ED7AF9">
        <w:tc>
          <w:tcPr>
            <w:tcW w:w="3166" w:type="dxa"/>
          </w:tcPr>
          <w:p w14:paraId="71CB7698" w14:textId="6E6A7FC2" w:rsidR="00ED7AF9" w:rsidRDefault="00ED7AF9" w:rsidP="00ED7AF9">
            <w:pPr>
              <w:rPr>
                <w:rFonts w:cs="Arial"/>
              </w:rPr>
            </w:pPr>
            <w:r>
              <w:t>Нарушения на мускулно-скелетната система и съединителната тъкан</w:t>
            </w:r>
          </w:p>
        </w:tc>
        <w:tc>
          <w:tcPr>
            <w:tcW w:w="3167" w:type="dxa"/>
          </w:tcPr>
          <w:p w14:paraId="2591958A" w14:textId="06B4225B" w:rsidR="00ED7AF9" w:rsidRDefault="00ED7AF9" w:rsidP="00ED7AF9">
            <w:pPr>
              <w:rPr>
                <w:rFonts w:cs="Arial"/>
              </w:rPr>
            </w:pPr>
            <w:r>
              <w:t>Много редки</w:t>
            </w:r>
          </w:p>
        </w:tc>
        <w:tc>
          <w:tcPr>
            <w:tcW w:w="3167" w:type="dxa"/>
          </w:tcPr>
          <w:p w14:paraId="5D228D66" w14:textId="47969E40" w:rsidR="00ED7AF9" w:rsidRDefault="00ED7AF9" w:rsidP="00ED7AF9">
            <w:pPr>
              <w:rPr>
                <w:rFonts w:cs="Arial"/>
              </w:rPr>
            </w:pPr>
            <w:r>
              <w:t>Болки в гърба, артралгия, миалгия</w:t>
            </w:r>
          </w:p>
        </w:tc>
      </w:tr>
      <w:tr w:rsidR="00ED7AF9" w14:paraId="22BC1BA0" w14:textId="77777777" w:rsidTr="00ED7AF9">
        <w:tc>
          <w:tcPr>
            <w:tcW w:w="3166" w:type="dxa"/>
          </w:tcPr>
          <w:p w14:paraId="09C71208" w14:textId="7841E8FE" w:rsidR="00ED7AF9" w:rsidRDefault="00ED7AF9" w:rsidP="00ED7AF9">
            <w:pPr>
              <w:rPr>
                <w:rFonts w:cs="Arial"/>
              </w:rPr>
            </w:pPr>
            <w:r>
              <w:t>Нарушения на бъбреците и пикочните пътища</w:t>
            </w:r>
          </w:p>
        </w:tc>
        <w:tc>
          <w:tcPr>
            <w:tcW w:w="3167" w:type="dxa"/>
          </w:tcPr>
          <w:p w14:paraId="350B7F98" w14:textId="1394601F" w:rsidR="00ED7AF9" w:rsidRDefault="00ED7AF9" w:rsidP="00ED7AF9">
            <w:pPr>
              <w:rPr>
                <w:rFonts w:cs="Arial"/>
              </w:rPr>
            </w:pPr>
            <w:r>
              <w:t>Чести</w:t>
            </w:r>
          </w:p>
        </w:tc>
        <w:tc>
          <w:tcPr>
            <w:tcW w:w="3167" w:type="dxa"/>
          </w:tcPr>
          <w:p w14:paraId="152AB706" w14:textId="3E3844E0" w:rsidR="00ED7AF9" w:rsidRDefault="00ED7AF9" w:rsidP="00ED7AF9">
            <w:pPr>
              <w:rPr>
                <w:rFonts w:cs="Arial"/>
              </w:rPr>
            </w:pPr>
            <w:r>
              <w:t>Бъбречно увреждане, включително бъбречна недостатъчност при чувствителни пациенти (вж. точка 4.4).</w:t>
            </w:r>
          </w:p>
        </w:tc>
      </w:tr>
    </w:tbl>
    <w:p w14:paraId="4AC65268" w14:textId="2ADE9536" w:rsidR="00ED7AF9" w:rsidRDefault="00ED7AF9" w:rsidP="00ED7AF9">
      <w:pPr>
        <w:rPr>
          <w:rFonts w:cs="Arial"/>
        </w:rPr>
      </w:pPr>
    </w:p>
    <w:p w14:paraId="3F22C159" w14:textId="77777777" w:rsidR="00ED7AF9" w:rsidRPr="00ED7AF9" w:rsidRDefault="00ED7AF9" w:rsidP="00ED7AF9">
      <w:pPr>
        <w:spacing w:line="240" w:lineRule="auto"/>
        <w:rPr>
          <w:rFonts w:eastAsia="Times New Roman" w:cs="Arial"/>
          <w:lang w:eastAsia="bg-BG"/>
        </w:rPr>
      </w:pPr>
      <w:r w:rsidRPr="00ED7AF9">
        <w:rPr>
          <w:rFonts w:eastAsia="Times New Roman" w:cs="Arial"/>
          <w:i/>
          <w:iCs/>
          <w:color w:val="000000"/>
          <w:lang w:eastAsia="bg-BG"/>
        </w:rPr>
        <w:t>Лабораторни изследвания:</w:t>
      </w:r>
    </w:p>
    <w:p w14:paraId="336038DE" w14:textId="77777777" w:rsidR="00ED7AF9" w:rsidRPr="00ED7AF9" w:rsidRDefault="00ED7AF9" w:rsidP="00ED7AF9">
      <w:pPr>
        <w:spacing w:line="240" w:lineRule="auto"/>
        <w:rPr>
          <w:rFonts w:eastAsia="Times New Roman" w:cs="Arial"/>
          <w:lang w:eastAsia="bg-BG"/>
        </w:rPr>
      </w:pPr>
      <w:r w:rsidRPr="00ED7AF9">
        <w:rPr>
          <w:rFonts w:eastAsia="Times New Roman" w:cs="Arial"/>
          <w:color w:val="000000"/>
          <w:lang w:eastAsia="bg-BG"/>
        </w:rPr>
        <w:t>Хиперкалиемия и бъбречно увреждане са чести при пациенти, лекувани с Кандекард по показанието сърдечна недостатъчност. Препоръчва се периодично проследяване на серумния креатинин и калий (вж.точка 4.4).</w:t>
      </w:r>
    </w:p>
    <w:p w14:paraId="283C06B3" w14:textId="77777777" w:rsidR="00ED7AF9" w:rsidRPr="00ED7AF9" w:rsidRDefault="00ED7AF9" w:rsidP="00ED7AF9">
      <w:pPr>
        <w:spacing w:line="240" w:lineRule="auto"/>
        <w:rPr>
          <w:rFonts w:eastAsia="Times New Roman" w:cs="Arial"/>
          <w:color w:val="000000"/>
          <w:u w:val="single"/>
          <w:lang w:eastAsia="bg-BG"/>
        </w:rPr>
      </w:pPr>
    </w:p>
    <w:p w14:paraId="0D7265B5" w14:textId="40D43683" w:rsidR="00ED7AF9" w:rsidRPr="00ED7AF9" w:rsidRDefault="00ED7AF9" w:rsidP="00ED7AF9">
      <w:pPr>
        <w:spacing w:line="240" w:lineRule="auto"/>
        <w:rPr>
          <w:rFonts w:eastAsia="Times New Roman" w:cs="Arial"/>
          <w:lang w:eastAsia="bg-BG"/>
        </w:rPr>
      </w:pPr>
      <w:r w:rsidRPr="00ED7AF9">
        <w:rPr>
          <w:rFonts w:eastAsia="Times New Roman" w:cs="Arial"/>
          <w:color w:val="000000"/>
          <w:u w:val="single"/>
          <w:lang w:eastAsia="bg-BG"/>
        </w:rPr>
        <w:t>Съобщаване на подозирани нежелани реакции</w:t>
      </w:r>
    </w:p>
    <w:p w14:paraId="380EFC47" w14:textId="21D9C2F7" w:rsidR="00ED7AF9" w:rsidRPr="00ED7AF9" w:rsidRDefault="00ED7AF9" w:rsidP="00ED7AF9">
      <w:pPr>
        <w:rPr>
          <w:rFonts w:eastAsia="Times New Roman" w:cs="Arial"/>
          <w:color w:val="000000"/>
          <w:lang w:val="en-US"/>
        </w:rPr>
      </w:pPr>
      <w:r w:rsidRPr="00ED7AF9">
        <w:rPr>
          <w:rFonts w:eastAsia="Times New Roman" w:cs="Arial"/>
          <w:color w:val="000000"/>
          <w:lang w:eastAsia="bg-BG"/>
        </w:rPr>
        <w:lastRenderedPageBreak/>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 система за съобщаване към Изпълнителната агенция по лекарствата, ул. „Дамян Груев” № 8, 1303 София, тел.: +35928903417, уебсайт: </w:t>
      </w:r>
      <w:r w:rsidRPr="00ED7AF9">
        <w:rPr>
          <w:rFonts w:eastAsia="Times New Roman" w:cs="Arial"/>
          <w:lang w:eastAsia="bg-BG"/>
        </w:rPr>
        <w:fldChar w:fldCharType="begin"/>
      </w:r>
      <w:r w:rsidRPr="00ED7AF9">
        <w:rPr>
          <w:rFonts w:eastAsia="Times New Roman" w:cs="Arial"/>
          <w:lang w:eastAsia="bg-BG"/>
        </w:rPr>
        <w:instrText xml:space="preserve"> HYPERLINK "http://www.bda.bg" </w:instrText>
      </w:r>
      <w:r w:rsidRPr="00ED7AF9">
        <w:rPr>
          <w:rFonts w:eastAsia="Times New Roman" w:cs="Arial"/>
          <w:lang w:eastAsia="bg-BG"/>
        </w:rPr>
      </w:r>
      <w:r w:rsidRPr="00ED7AF9">
        <w:rPr>
          <w:rFonts w:eastAsia="Times New Roman" w:cs="Arial"/>
          <w:lang w:eastAsia="bg-BG"/>
        </w:rPr>
        <w:fldChar w:fldCharType="separate"/>
      </w:r>
      <w:r w:rsidRPr="00ED7AF9">
        <w:rPr>
          <w:rFonts w:eastAsia="Times New Roman" w:cs="Arial"/>
          <w:color w:val="000000"/>
          <w:lang w:val="en-US"/>
        </w:rPr>
        <w:t>www.bda.bg</w:t>
      </w:r>
      <w:r w:rsidRPr="00ED7AF9">
        <w:rPr>
          <w:rFonts w:eastAsia="Times New Roman" w:cs="Arial"/>
          <w:lang w:eastAsia="bg-BG"/>
        </w:rPr>
        <w:fldChar w:fldCharType="end"/>
      </w:r>
      <w:r w:rsidRPr="00ED7AF9">
        <w:rPr>
          <w:rFonts w:eastAsia="Times New Roman" w:cs="Arial"/>
          <w:color w:val="000000"/>
          <w:lang w:val="en-US"/>
        </w:rPr>
        <w:t>.</w:t>
      </w:r>
    </w:p>
    <w:p w14:paraId="3A195193" w14:textId="77777777" w:rsidR="00ED7AF9" w:rsidRPr="00ED7AF9" w:rsidRDefault="00ED7AF9" w:rsidP="00ED7AF9">
      <w:pPr>
        <w:rPr>
          <w:rFonts w:cs="Arial"/>
        </w:rPr>
      </w:pPr>
    </w:p>
    <w:p w14:paraId="0A023CE0" w14:textId="2CC537E8" w:rsidR="00CF77F7" w:rsidRDefault="002C50EE" w:rsidP="004A448E">
      <w:pPr>
        <w:pStyle w:val="Heading2"/>
      </w:pPr>
      <w:r>
        <w:t>4.9. Предозиране</w:t>
      </w:r>
    </w:p>
    <w:p w14:paraId="24FE7A54" w14:textId="51A7A116" w:rsidR="00ED7AF9" w:rsidRDefault="00ED7AF9" w:rsidP="00ED7AF9"/>
    <w:p w14:paraId="356EC7CF" w14:textId="77777777" w:rsidR="00ED7AF9" w:rsidRPr="00E54A9D" w:rsidRDefault="00ED7AF9" w:rsidP="00E54A9D">
      <w:pPr>
        <w:pStyle w:val="Heading3"/>
        <w:rPr>
          <w:rFonts w:eastAsia="Times New Roman"/>
          <w:u w:val="single"/>
          <w:lang w:eastAsia="bg-BG"/>
        </w:rPr>
      </w:pPr>
      <w:r w:rsidRPr="00E54A9D">
        <w:rPr>
          <w:rFonts w:eastAsia="Times New Roman"/>
          <w:u w:val="single"/>
          <w:lang w:eastAsia="bg-BG"/>
        </w:rPr>
        <w:t>Симптоми</w:t>
      </w:r>
    </w:p>
    <w:p w14:paraId="75F42085" w14:textId="77777777" w:rsidR="00ED7AF9" w:rsidRPr="00ED7AF9" w:rsidRDefault="00ED7AF9" w:rsidP="00ED7AF9">
      <w:pPr>
        <w:spacing w:line="240" w:lineRule="auto"/>
        <w:rPr>
          <w:rFonts w:eastAsia="Times New Roman" w:cs="Arial"/>
          <w:sz w:val="24"/>
          <w:szCs w:val="24"/>
          <w:lang w:eastAsia="bg-BG"/>
        </w:rPr>
      </w:pPr>
      <w:r w:rsidRPr="00ED7AF9">
        <w:rPr>
          <w:rFonts w:eastAsia="Times New Roman" w:cs="Arial"/>
          <w:color w:val="000000"/>
          <w:lang w:eastAsia="bg-BG"/>
        </w:rPr>
        <w:t xml:space="preserve">Въз основа на фармакологични съображения се счита, че най-вероятно основната проява на предозиране ще бъде симптоматична хипотония и замайване. При отделните съобщения за предозиране (с до 672 </w:t>
      </w:r>
      <w:r w:rsidRPr="00ED7AF9">
        <w:rPr>
          <w:rFonts w:eastAsia="Times New Roman" w:cs="Arial"/>
          <w:color w:val="000000"/>
          <w:lang w:val="en-US"/>
        </w:rPr>
        <w:t xml:space="preserve">mg </w:t>
      </w:r>
      <w:r w:rsidRPr="00ED7AF9">
        <w:rPr>
          <w:rFonts w:eastAsia="Times New Roman" w:cs="Arial"/>
          <w:color w:val="000000"/>
          <w:lang w:eastAsia="bg-BG"/>
        </w:rPr>
        <w:t>кандесартан цилексетил) пациентите са се възстановили без проблеми.</w:t>
      </w:r>
    </w:p>
    <w:p w14:paraId="14A3575A" w14:textId="77777777" w:rsidR="00ED7AF9" w:rsidRPr="00ED7AF9" w:rsidRDefault="00ED7AF9" w:rsidP="00ED7AF9">
      <w:pPr>
        <w:spacing w:line="240" w:lineRule="auto"/>
        <w:rPr>
          <w:rFonts w:eastAsia="Times New Roman" w:cs="Arial"/>
          <w:i/>
          <w:iCs/>
          <w:color w:val="000000"/>
          <w:u w:val="single"/>
          <w:lang w:eastAsia="bg-BG"/>
        </w:rPr>
      </w:pPr>
    </w:p>
    <w:p w14:paraId="319083BB" w14:textId="045038E5" w:rsidR="00ED7AF9" w:rsidRPr="00E54A9D" w:rsidRDefault="00ED7AF9" w:rsidP="00E54A9D">
      <w:pPr>
        <w:pStyle w:val="Heading3"/>
        <w:rPr>
          <w:rFonts w:eastAsia="Times New Roman"/>
          <w:u w:val="single"/>
          <w:lang w:eastAsia="bg-BG"/>
        </w:rPr>
      </w:pPr>
      <w:r w:rsidRPr="00E54A9D">
        <w:rPr>
          <w:rFonts w:eastAsia="Times New Roman"/>
          <w:u w:val="single"/>
          <w:lang w:eastAsia="bg-BG"/>
        </w:rPr>
        <w:t>Лечение</w:t>
      </w:r>
    </w:p>
    <w:p w14:paraId="26DBA827" w14:textId="448E4050" w:rsidR="00ED7AF9" w:rsidRDefault="00ED7AF9" w:rsidP="00ED7AF9">
      <w:pPr>
        <w:spacing w:line="240" w:lineRule="auto"/>
        <w:rPr>
          <w:rFonts w:eastAsia="Times New Roman" w:cs="Arial"/>
          <w:color w:val="000000"/>
          <w:lang w:eastAsia="bg-BG"/>
        </w:rPr>
      </w:pPr>
      <w:r w:rsidRPr="00ED7AF9">
        <w:rPr>
          <w:rFonts w:eastAsia="Times New Roman" w:cs="Arial"/>
          <w:color w:val="000000"/>
          <w:lang w:eastAsia="bg-BG"/>
        </w:rPr>
        <w:t>Ако се появи симптоматична хипотония, трябва да се започне симптоматично лечение и да се проследяват жизнените показатели. Пациентът трябва да се постави в легнало положение с повдигнати крака. Ако това не е достатъчно, трябва да се увеличи плазменият обем чрез инфузия, например на изотоничен физиологичен разтвор. Може да се приложат симпатомиметични лекарствени продукти, ако гореспо</w:t>
      </w:r>
      <w:r>
        <w:rPr>
          <w:rFonts w:eastAsia="Times New Roman" w:cs="Arial"/>
          <w:color w:val="000000"/>
          <w:lang w:eastAsia="bg-BG"/>
        </w:rPr>
        <w:t>менатите мерки не са достатъчни</w:t>
      </w:r>
      <w:r>
        <w:rPr>
          <w:rFonts w:eastAsia="Times New Roman" w:cs="Arial"/>
          <w:color w:val="000000"/>
          <w:lang w:val="en-US" w:eastAsia="bg-BG"/>
        </w:rPr>
        <w:t xml:space="preserve">. </w:t>
      </w:r>
      <w:r w:rsidRPr="00ED7AF9">
        <w:rPr>
          <w:rFonts w:eastAsia="Times New Roman" w:cs="Arial"/>
          <w:color w:val="000000"/>
          <w:lang w:eastAsia="bg-BG"/>
        </w:rPr>
        <w:t>Кандесартан цилексетил не се отстранява чрез хемодиализа.</w:t>
      </w:r>
    </w:p>
    <w:p w14:paraId="20460C7D" w14:textId="77777777" w:rsidR="00E54A9D" w:rsidRPr="00ED7AF9" w:rsidRDefault="00E54A9D" w:rsidP="00ED7AF9">
      <w:pPr>
        <w:spacing w:line="240" w:lineRule="auto"/>
        <w:rPr>
          <w:rFonts w:eastAsia="Times New Roman" w:cs="Arial"/>
          <w:sz w:val="24"/>
          <w:szCs w:val="24"/>
          <w:lang w:eastAsia="bg-BG"/>
        </w:rPr>
      </w:pPr>
    </w:p>
    <w:p w14:paraId="02081B24" w14:textId="28110947" w:rsidR="00395555" w:rsidRDefault="002C50EE" w:rsidP="008A6AF2">
      <w:pPr>
        <w:pStyle w:val="Heading1"/>
      </w:pPr>
      <w:r>
        <w:t>5. ФАРМАКОЛОГИЧНИ СВОЙСТВА</w:t>
      </w:r>
    </w:p>
    <w:p w14:paraId="309DA7A9" w14:textId="77777777" w:rsidR="00ED7AF9" w:rsidRPr="00ED7AF9" w:rsidRDefault="00ED7AF9" w:rsidP="00ED7AF9"/>
    <w:p w14:paraId="32B6DE66" w14:textId="2B35C115" w:rsidR="00CF77F7" w:rsidRDefault="002C50EE" w:rsidP="004A448E">
      <w:pPr>
        <w:pStyle w:val="Heading2"/>
      </w:pPr>
      <w:r>
        <w:t>5.1. Фармакодинамични свойства</w:t>
      </w:r>
    </w:p>
    <w:p w14:paraId="483D0F6E" w14:textId="6985CFC4" w:rsidR="00ED7AF9" w:rsidRDefault="00ED7AF9" w:rsidP="00ED7AF9"/>
    <w:p w14:paraId="63502D9C" w14:textId="77777777" w:rsidR="00ED7AF9" w:rsidRPr="00ED7AF9" w:rsidRDefault="00ED7AF9" w:rsidP="00ED7AF9">
      <w:pPr>
        <w:spacing w:line="240" w:lineRule="auto"/>
        <w:rPr>
          <w:rFonts w:eastAsia="Times New Roman" w:cs="Arial"/>
          <w:sz w:val="24"/>
          <w:szCs w:val="24"/>
          <w:lang w:eastAsia="bg-BG"/>
        </w:rPr>
      </w:pPr>
      <w:r w:rsidRPr="00ED7AF9">
        <w:rPr>
          <w:rFonts w:eastAsia="Times New Roman" w:cs="Arial"/>
          <w:color w:val="000000"/>
          <w:lang w:eastAsia="bg-BG"/>
        </w:rPr>
        <w:t>Фармакотерапевтична група:</w:t>
      </w:r>
    </w:p>
    <w:p w14:paraId="15F298D6" w14:textId="77777777" w:rsidR="00ED7AF9" w:rsidRPr="00ED7AF9" w:rsidRDefault="00ED7AF9" w:rsidP="00ED7AF9">
      <w:pPr>
        <w:spacing w:line="240" w:lineRule="auto"/>
        <w:rPr>
          <w:rFonts w:eastAsia="Times New Roman" w:cs="Arial"/>
          <w:sz w:val="24"/>
          <w:szCs w:val="24"/>
          <w:lang w:eastAsia="bg-BG"/>
        </w:rPr>
      </w:pPr>
      <w:r w:rsidRPr="00ED7AF9">
        <w:rPr>
          <w:rFonts w:eastAsia="Times New Roman" w:cs="Arial"/>
          <w:color w:val="000000"/>
          <w:lang w:eastAsia="bg-BG"/>
        </w:rPr>
        <w:t xml:space="preserve">Лекарствени продукти, повлияващи системата ренин-ангиотенин, антагонисти на ангиотензин </w:t>
      </w:r>
      <w:r w:rsidRPr="00ED7AF9">
        <w:rPr>
          <w:rFonts w:eastAsia="Times New Roman" w:cs="Arial"/>
          <w:color w:val="000000"/>
          <w:lang w:val="en-US"/>
        </w:rPr>
        <w:t>II</w:t>
      </w:r>
      <w:r w:rsidRPr="00ED7AF9">
        <w:rPr>
          <w:rFonts w:eastAsia="Times New Roman" w:cs="Arial"/>
          <w:color w:val="000000"/>
          <w:lang w:eastAsia="bg-BG"/>
        </w:rPr>
        <w:t>, самостоятелно</w:t>
      </w:r>
    </w:p>
    <w:p w14:paraId="16DDFF78" w14:textId="77777777" w:rsidR="00ED7AF9" w:rsidRPr="00ED7AF9" w:rsidRDefault="00ED7AF9" w:rsidP="00ED7AF9">
      <w:pPr>
        <w:spacing w:line="240" w:lineRule="auto"/>
        <w:rPr>
          <w:rFonts w:eastAsia="Times New Roman" w:cs="Arial"/>
          <w:sz w:val="24"/>
          <w:szCs w:val="24"/>
          <w:lang w:eastAsia="bg-BG"/>
        </w:rPr>
      </w:pPr>
      <w:r w:rsidRPr="00ED7AF9">
        <w:rPr>
          <w:rFonts w:eastAsia="Times New Roman" w:cs="Arial"/>
          <w:color w:val="000000"/>
          <w:lang w:eastAsia="bg-BG"/>
        </w:rPr>
        <w:t>АТС код С09СА06.</w:t>
      </w:r>
    </w:p>
    <w:p w14:paraId="4BF582C8" w14:textId="77777777" w:rsidR="00ED7AF9" w:rsidRPr="00ED7AF9" w:rsidRDefault="00ED7AF9" w:rsidP="00ED7AF9">
      <w:pPr>
        <w:spacing w:line="240" w:lineRule="auto"/>
        <w:rPr>
          <w:rFonts w:eastAsia="Times New Roman" w:cs="Arial"/>
          <w:color w:val="000000"/>
          <w:u w:val="single"/>
          <w:lang w:eastAsia="bg-BG"/>
        </w:rPr>
      </w:pPr>
    </w:p>
    <w:p w14:paraId="5D9E5B22" w14:textId="0966E896" w:rsidR="00ED7AF9" w:rsidRPr="00ED7AF9" w:rsidRDefault="00ED7AF9" w:rsidP="00ED7AF9">
      <w:pPr>
        <w:spacing w:line="240" w:lineRule="auto"/>
        <w:rPr>
          <w:rFonts w:eastAsia="Times New Roman" w:cs="Arial"/>
          <w:sz w:val="24"/>
          <w:szCs w:val="24"/>
          <w:lang w:eastAsia="bg-BG"/>
        </w:rPr>
      </w:pPr>
      <w:r w:rsidRPr="00ED7AF9">
        <w:rPr>
          <w:rFonts w:eastAsia="Times New Roman" w:cs="Arial"/>
          <w:color w:val="000000"/>
          <w:u w:val="single"/>
          <w:lang w:eastAsia="bg-BG"/>
        </w:rPr>
        <w:t>Механизъм на действие</w:t>
      </w:r>
    </w:p>
    <w:p w14:paraId="1F1B1E91" w14:textId="77777777" w:rsidR="00ED7AF9" w:rsidRPr="00ED7AF9" w:rsidRDefault="00ED7AF9" w:rsidP="00ED7AF9">
      <w:pPr>
        <w:spacing w:line="240" w:lineRule="auto"/>
        <w:rPr>
          <w:rFonts w:eastAsia="Times New Roman" w:cs="Arial"/>
          <w:sz w:val="24"/>
          <w:szCs w:val="24"/>
          <w:lang w:eastAsia="bg-BG"/>
        </w:rPr>
      </w:pPr>
      <w:r w:rsidRPr="00ED7AF9">
        <w:rPr>
          <w:rFonts w:eastAsia="Times New Roman" w:cs="Arial"/>
          <w:color w:val="000000"/>
          <w:lang w:eastAsia="bg-BG"/>
        </w:rPr>
        <w:t xml:space="preserve">Ангиотензин </w:t>
      </w:r>
      <w:r w:rsidRPr="00ED7AF9">
        <w:rPr>
          <w:rFonts w:eastAsia="Times New Roman" w:cs="Arial"/>
          <w:color w:val="000000"/>
          <w:lang w:val="en-US"/>
        </w:rPr>
        <w:t>II</w:t>
      </w:r>
      <w:r w:rsidRPr="00ED7AF9">
        <w:rPr>
          <w:rFonts w:eastAsia="Times New Roman" w:cs="Arial"/>
          <w:color w:val="000000"/>
          <w:lang w:eastAsia="bg-BG"/>
        </w:rPr>
        <w:t xml:space="preserve"> е главният вазоактивен хормон от ренин-ангиотензин-алдостероновата система и играе важна роля в патофизиологията на хипертонията, сърдечната недостатъчност и други сърдечно-съдови нарушения. Той играе важна роля и в патогенезата на органната хипертрофия и увреждане. Основните физиологични ефекти на ангиотензин </w:t>
      </w:r>
      <w:r w:rsidRPr="00ED7AF9">
        <w:rPr>
          <w:rFonts w:eastAsia="Times New Roman" w:cs="Arial"/>
          <w:color w:val="000000"/>
          <w:lang w:val="en-US"/>
        </w:rPr>
        <w:t>II</w:t>
      </w:r>
      <w:r w:rsidRPr="00ED7AF9">
        <w:rPr>
          <w:rFonts w:eastAsia="Times New Roman" w:cs="Arial"/>
          <w:color w:val="000000"/>
          <w:lang w:eastAsia="bg-BG"/>
        </w:rPr>
        <w:t xml:space="preserve">, като вазоконстрикция, стимулиране на алдостерона, регулиране на солевата и водната хомеостаза и стимулиране на клетъчния растеж се медиират чрез рецептор от тип 1 </w:t>
      </w:r>
      <w:r w:rsidRPr="00ED7AF9">
        <w:rPr>
          <w:rFonts w:eastAsia="Times New Roman" w:cs="Arial"/>
          <w:color w:val="000000"/>
          <w:lang w:val="en-US"/>
        </w:rPr>
        <w:t>(AT1).</w:t>
      </w:r>
    </w:p>
    <w:p w14:paraId="6E7053C6" w14:textId="77777777" w:rsidR="00ED7AF9" w:rsidRPr="00ED7AF9" w:rsidRDefault="00ED7AF9" w:rsidP="00ED7AF9">
      <w:pPr>
        <w:spacing w:line="240" w:lineRule="auto"/>
        <w:rPr>
          <w:rFonts w:eastAsia="Times New Roman" w:cs="Arial"/>
          <w:sz w:val="24"/>
          <w:szCs w:val="24"/>
          <w:lang w:eastAsia="bg-BG"/>
        </w:rPr>
      </w:pPr>
      <w:r w:rsidRPr="00ED7AF9">
        <w:rPr>
          <w:rFonts w:eastAsia="Times New Roman" w:cs="Arial"/>
          <w:color w:val="000000"/>
          <w:lang w:eastAsia="bg-BG"/>
        </w:rPr>
        <w:t>Кандесартан цилексетил е прекурсор, подходящ за перорално приложение. Чрез естерна хидролиза по време на абсорбцията от стомашно-чревния тракт той бързо се превръща в активното вещество кандесартан.</w:t>
      </w:r>
    </w:p>
    <w:p w14:paraId="664ACE7C" w14:textId="77777777" w:rsidR="00ED7AF9" w:rsidRPr="00ED7AF9" w:rsidRDefault="00ED7AF9" w:rsidP="00ED7AF9">
      <w:pPr>
        <w:spacing w:line="240" w:lineRule="auto"/>
        <w:rPr>
          <w:rFonts w:eastAsia="Times New Roman" w:cs="Arial"/>
          <w:sz w:val="24"/>
          <w:szCs w:val="24"/>
          <w:lang w:eastAsia="bg-BG"/>
        </w:rPr>
      </w:pPr>
      <w:r w:rsidRPr="00ED7AF9">
        <w:rPr>
          <w:rFonts w:eastAsia="Times New Roman" w:cs="Arial"/>
          <w:color w:val="000000"/>
          <w:lang w:eastAsia="bg-BG"/>
        </w:rPr>
        <w:t xml:space="preserve">Кандесартан е антагонист на ангиотензин </w:t>
      </w:r>
      <w:r w:rsidRPr="00ED7AF9">
        <w:rPr>
          <w:rFonts w:eastAsia="Times New Roman" w:cs="Arial"/>
          <w:color w:val="000000"/>
          <w:lang w:val="en-US"/>
        </w:rPr>
        <w:t>II</w:t>
      </w:r>
      <w:r w:rsidRPr="00ED7AF9">
        <w:rPr>
          <w:rFonts w:eastAsia="Times New Roman" w:cs="Arial"/>
          <w:color w:val="000000"/>
          <w:lang w:eastAsia="bg-BG"/>
        </w:rPr>
        <w:t xml:space="preserve"> рецепторите </w:t>
      </w:r>
      <w:r w:rsidRPr="00ED7AF9">
        <w:rPr>
          <w:rFonts w:eastAsia="Times New Roman" w:cs="Arial"/>
          <w:color w:val="000000"/>
          <w:lang w:val="en-US"/>
        </w:rPr>
        <w:t xml:space="preserve">(AIIRA), </w:t>
      </w:r>
      <w:r w:rsidRPr="00ED7AF9">
        <w:rPr>
          <w:rFonts w:eastAsia="Times New Roman" w:cs="Arial"/>
          <w:color w:val="000000"/>
          <w:lang w:eastAsia="bg-BG"/>
        </w:rPr>
        <w:t xml:space="preserve">селективен за </w:t>
      </w:r>
      <w:r w:rsidRPr="00ED7AF9">
        <w:rPr>
          <w:rFonts w:eastAsia="Times New Roman" w:cs="Arial"/>
          <w:color w:val="000000"/>
          <w:lang w:val="en-US"/>
        </w:rPr>
        <w:t xml:space="preserve">AT1 </w:t>
      </w:r>
      <w:r w:rsidRPr="00ED7AF9">
        <w:rPr>
          <w:rFonts w:eastAsia="Times New Roman" w:cs="Arial"/>
          <w:color w:val="000000"/>
          <w:lang w:eastAsia="bg-BG"/>
        </w:rPr>
        <w:t>рецепторите, който се свързва здраво с рецептора и се дисоциира бавно. Той няма агонистично действие.</w:t>
      </w:r>
    </w:p>
    <w:p w14:paraId="36B6FFE6" w14:textId="77777777" w:rsidR="00ED7AF9" w:rsidRPr="00ED7AF9" w:rsidRDefault="00ED7AF9" w:rsidP="00ED7AF9">
      <w:pPr>
        <w:spacing w:line="240" w:lineRule="auto"/>
        <w:rPr>
          <w:rFonts w:eastAsia="Times New Roman" w:cs="Arial"/>
          <w:color w:val="000000"/>
          <w:u w:val="single"/>
          <w:lang w:eastAsia="bg-BG"/>
        </w:rPr>
      </w:pPr>
    </w:p>
    <w:p w14:paraId="5EE0591D" w14:textId="24A706A7" w:rsidR="00ED7AF9" w:rsidRPr="00ED7AF9" w:rsidRDefault="00ED7AF9" w:rsidP="00ED7AF9">
      <w:pPr>
        <w:spacing w:line="240" w:lineRule="auto"/>
        <w:rPr>
          <w:rFonts w:eastAsia="Times New Roman" w:cs="Arial"/>
          <w:sz w:val="24"/>
          <w:szCs w:val="24"/>
          <w:lang w:eastAsia="bg-BG"/>
        </w:rPr>
      </w:pPr>
      <w:r w:rsidRPr="00ED7AF9">
        <w:rPr>
          <w:rFonts w:eastAsia="Times New Roman" w:cs="Arial"/>
          <w:color w:val="000000"/>
          <w:u w:val="single"/>
          <w:lang w:eastAsia="bg-BG"/>
        </w:rPr>
        <w:lastRenderedPageBreak/>
        <w:t>Фармакодинамични ефекти</w:t>
      </w:r>
    </w:p>
    <w:p w14:paraId="4D80861E" w14:textId="2583DC1E" w:rsidR="00ED7AF9" w:rsidRPr="00ED7AF9" w:rsidRDefault="00ED7AF9" w:rsidP="00ED7AF9">
      <w:pPr>
        <w:rPr>
          <w:rFonts w:eastAsia="Times New Roman" w:cs="Arial"/>
          <w:color w:val="000000"/>
          <w:lang w:eastAsia="bg-BG"/>
        </w:rPr>
      </w:pPr>
      <w:r w:rsidRPr="00ED7AF9">
        <w:rPr>
          <w:rFonts w:eastAsia="Times New Roman" w:cs="Arial"/>
          <w:color w:val="000000"/>
          <w:lang w:eastAsia="bg-BG"/>
        </w:rPr>
        <w:t xml:space="preserve">Кандесартан не инхибира АСЕ (ангиотензин-конвертиращия ензим), който превръща ангиотензин I в ангиотензин II и разгражда брадикинина. Няма ефект върху АСЕ и не потенцира брадикинина или субстанция Р. При контролирани клинични изпитвания, сравняващи кандесартан цилексетил с АСЕ инхибитори, честотата на кашлица е била по-ниска при пациентите, приемащи кандесартан цилексетил. Кандесартан не се свързва и не блокира други хормонални рецептори или йонни канали, за които се знае, че имат важно значение за регулирането на сърдечносъдовата дейност. Антагонизмът на ангиотензин II </w:t>
      </w:r>
      <w:r w:rsidRPr="00ED7AF9">
        <w:rPr>
          <w:rFonts w:eastAsia="Times New Roman" w:cs="Arial"/>
          <w:color w:val="000000"/>
          <w:lang w:val="en-US"/>
        </w:rPr>
        <w:t xml:space="preserve">(AT1) </w:t>
      </w:r>
      <w:r w:rsidRPr="00ED7AF9">
        <w:rPr>
          <w:rFonts w:eastAsia="Times New Roman" w:cs="Arial"/>
          <w:color w:val="000000"/>
          <w:lang w:eastAsia="bg-BG"/>
        </w:rPr>
        <w:t>рецепторите води до свързано с дозата повишение на стойностите на плазмения ренин, стойностите на ангиотензин I и ангиотензин П и до понижение на плазмените концентрации на алдостерон.</w:t>
      </w:r>
    </w:p>
    <w:p w14:paraId="4EA04244" w14:textId="751AFC99" w:rsidR="00ED7AF9" w:rsidRPr="00ED7AF9" w:rsidRDefault="00ED7AF9" w:rsidP="00ED7AF9">
      <w:pPr>
        <w:rPr>
          <w:rFonts w:eastAsia="Times New Roman" w:cs="Arial"/>
          <w:color w:val="000000"/>
          <w:lang w:eastAsia="bg-BG"/>
        </w:rPr>
      </w:pPr>
    </w:p>
    <w:p w14:paraId="3E758EE1" w14:textId="77777777" w:rsidR="00ED7AF9" w:rsidRPr="00ED7AF9" w:rsidRDefault="00ED7AF9" w:rsidP="00ED7AF9">
      <w:pPr>
        <w:spacing w:line="240" w:lineRule="auto"/>
        <w:rPr>
          <w:rFonts w:eastAsia="Times New Roman" w:cs="Arial"/>
          <w:sz w:val="24"/>
          <w:szCs w:val="24"/>
          <w:lang w:eastAsia="bg-BG"/>
        </w:rPr>
      </w:pPr>
      <w:r w:rsidRPr="00ED7AF9">
        <w:rPr>
          <w:rFonts w:eastAsia="Times New Roman" w:cs="Arial"/>
          <w:color w:val="000000"/>
          <w:u w:val="single"/>
          <w:lang w:eastAsia="bg-BG"/>
        </w:rPr>
        <w:t>Клинична ефикасност и безопасност</w:t>
      </w:r>
    </w:p>
    <w:p w14:paraId="3EF72422" w14:textId="77777777" w:rsidR="00ED7AF9" w:rsidRPr="00ED7AF9" w:rsidRDefault="00ED7AF9" w:rsidP="00ED7AF9">
      <w:pPr>
        <w:spacing w:line="240" w:lineRule="auto"/>
        <w:rPr>
          <w:rFonts w:eastAsia="Times New Roman" w:cs="Arial"/>
          <w:sz w:val="24"/>
          <w:szCs w:val="24"/>
          <w:lang w:eastAsia="bg-BG"/>
        </w:rPr>
      </w:pPr>
      <w:r w:rsidRPr="00ED7AF9">
        <w:rPr>
          <w:rFonts w:eastAsia="Times New Roman" w:cs="Arial"/>
          <w:i/>
          <w:iCs/>
          <w:color w:val="000000"/>
          <w:u w:val="single"/>
          <w:lang w:eastAsia="bg-BG"/>
        </w:rPr>
        <w:t>Хипертония</w:t>
      </w:r>
    </w:p>
    <w:p w14:paraId="2A31F063" w14:textId="77777777" w:rsidR="00ED7AF9" w:rsidRPr="00ED7AF9" w:rsidRDefault="00ED7AF9" w:rsidP="00ED7AF9">
      <w:pPr>
        <w:spacing w:line="240" w:lineRule="auto"/>
        <w:rPr>
          <w:rFonts w:eastAsia="Times New Roman" w:cs="Arial"/>
          <w:sz w:val="24"/>
          <w:szCs w:val="24"/>
          <w:lang w:eastAsia="bg-BG"/>
        </w:rPr>
      </w:pPr>
      <w:r w:rsidRPr="00ED7AF9">
        <w:rPr>
          <w:rFonts w:eastAsia="Times New Roman" w:cs="Arial"/>
          <w:color w:val="000000"/>
          <w:lang w:eastAsia="bg-BG"/>
        </w:rPr>
        <w:t xml:space="preserve">При хипертония кандесартан причинява дозозависимо, продължително намаление на артериалното налягане. Антихипертензивното действие се дължи на намаленото системно периферно съпротивление, без рефлекторно увеличаване на сърдечната честота. Няма признаци за сериозна или прекомерна хипотония след първата доза или синдром на отнемане </w:t>
      </w:r>
      <w:r w:rsidRPr="00ED7AF9">
        <w:rPr>
          <w:rFonts w:eastAsia="Times New Roman" w:cs="Arial"/>
          <w:color w:val="000000"/>
          <w:lang w:val="en-US"/>
        </w:rPr>
        <w:t xml:space="preserve">(rebound </w:t>
      </w:r>
      <w:r w:rsidRPr="00ED7AF9">
        <w:rPr>
          <w:rFonts w:eastAsia="Times New Roman" w:cs="Arial"/>
          <w:color w:val="000000"/>
          <w:lang w:eastAsia="bg-BG"/>
        </w:rPr>
        <w:t>ефект) след преустановяване на лечението.</w:t>
      </w:r>
    </w:p>
    <w:p w14:paraId="64A1778D" w14:textId="77777777" w:rsidR="00ED7AF9" w:rsidRPr="00ED7AF9" w:rsidRDefault="00ED7AF9" w:rsidP="00ED7AF9">
      <w:pPr>
        <w:rPr>
          <w:rFonts w:eastAsia="Times New Roman" w:cs="Arial"/>
          <w:color w:val="000000"/>
          <w:lang w:eastAsia="bg-BG"/>
        </w:rPr>
      </w:pPr>
    </w:p>
    <w:p w14:paraId="71A06510" w14:textId="77777777" w:rsidR="00ED7AF9" w:rsidRPr="00ED7AF9" w:rsidRDefault="00ED7AF9" w:rsidP="00ED7AF9">
      <w:pPr>
        <w:rPr>
          <w:rFonts w:ascii="Times New Roman" w:eastAsia="Times New Roman" w:hAnsi="Times New Roman" w:cs="Times New Roman"/>
          <w:sz w:val="24"/>
          <w:szCs w:val="24"/>
          <w:lang w:eastAsia="bg-BG"/>
        </w:rPr>
      </w:pPr>
      <w:r w:rsidRPr="00ED7AF9">
        <w:rPr>
          <w:rFonts w:eastAsia="Times New Roman" w:cs="Arial"/>
          <w:color w:val="000000"/>
          <w:lang w:eastAsia="bg-BG"/>
        </w:rPr>
        <w:t xml:space="preserve">След прилагане на еднократна доза на кандесартан цилексетил, началото на антихипертензивния ефект обикновено настъпва в рамките на 2 часа. При продължително лечение, максимално намаляване на кръвното налягане при каквато и да е доза обикновено се постига в рамките на четири седмици и се поддържа по време на продължително лечение. Според мета-анализ, средният допълнителен ефект от увеличаване на дозата от 16 </w:t>
      </w:r>
      <w:r w:rsidRPr="00ED7AF9">
        <w:rPr>
          <w:rFonts w:eastAsia="Times New Roman" w:cs="Arial"/>
          <w:color w:val="000000"/>
          <w:lang w:val="en-US"/>
        </w:rPr>
        <w:t xml:space="preserve">mg </w:t>
      </w:r>
      <w:r w:rsidRPr="00ED7AF9">
        <w:rPr>
          <w:rFonts w:eastAsia="Times New Roman" w:cs="Arial"/>
          <w:color w:val="000000"/>
          <w:lang w:eastAsia="bg-BG"/>
        </w:rPr>
        <w:t xml:space="preserve">на 32 </w:t>
      </w:r>
      <w:r w:rsidRPr="00ED7AF9">
        <w:rPr>
          <w:rFonts w:eastAsia="Times New Roman" w:cs="Arial"/>
          <w:color w:val="000000"/>
          <w:lang w:val="en-US"/>
        </w:rPr>
        <w:t xml:space="preserve">mg </w:t>
      </w:r>
      <w:r w:rsidRPr="00ED7AF9">
        <w:rPr>
          <w:rFonts w:eastAsia="Times New Roman" w:cs="Arial"/>
          <w:color w:val="000000"/>
          <w:lang w:eastAsia="bg-BG"/>
        </w:rPr>
        <w:t>веднъж дневно е малък. Като се има предвид вариабилностга между отделните индивиди, при ня</w:t>
      </w:r>
      <w:r w:rsidRPr="00ED7AF9">
        <w:rPr>
          <w:rFonts w:eastAsia="Times New Roman" w:cs="Arial"/>
          <w:color w:val="000000"/>
          <w:u w:val="single"/>
          <w:lang w:eastAsia="bg-BG"/>
        </w:rPr>
        <w:t>кои па</w:t>
      </w:r>
      <w:r w:rsidRPr="00ED7AF9">
        <w:rPr>
          <w:rFonts w:eastAsia="Times New Roman" w:cs="Arial"/>
          <w:color w:val="000000"/>
          <w:lang w:eastAsia="bg-BG"/>
        </w:rPr>
        <w:t>циенти може да се очаква ефект над средния. Приложението на кандесартан цилексетил веднъж дневно осигурява ефективно и плавно намаляване на кръвното налягане в продължение на 24 часа, с малка разлика между максималния и минималния ефект през интервала на дозиране Антихипертензивният ефект и поносимостта на кандесартан и лосартан са сравнени при две рандомизирани, двойно-слепи изпитвания при общо 1 268 пациенти с лека до умерена</w:t>
      </w:r>
      <w:r>
        <w:rPr>
          <w:rFonts w:eastAsia="Times New Roman" w:cs="Arial"/>
          <w:color w:val="000000"/>
          <w:lang w:eastAsia="bg-BG"/>
        </w:rPr>
        <w:t xml:space="preserve"> </w:t>
      </w:r>
      <w:r w:rsidRPr="00ED7AF9">
        <w:rPr>
          <w:rFonts w:eastAsia="Times New Roman" w:cs="Arial"/>
          <w:color w:val="000000"/>
          <w:lang w:eastAsia="bg-BG"/>
        </w:rPr>
        <w:t xml:space="preserve">хипертония. Минималното намаляване на кръвното налягане (систолично/диастолично) е 13,1/10,5 </w:t>
      </w:r>
      <w:r w:rsidRPr="00ED7AF9">
        <w:rPr>
          <w:rFonts w:eastAsia="Times New Roman" w:cs="Arial"/>
          <w:color w:val="000000"/>
          <w:lang w:val="en-US"/>
        </w:rPr>
        <w:t xml:space="preserve">mm Hg </w:t>
      </w:r>
      <w:r w:rsidRPr="00ED7AF9">
        <w:rPr>
          <w:rFonts w:eastAsia="Times New Roman" w:cs="Arial"/>
          <w:color w:val="000000"/>
          <w:lang w:eastAsia="bg-BG"/>
        </w:rPr>
        <w:t xml:space="preserve">при кандесартан цилексетил 32 </w:t>
      </w:r>
      <w:r w:rsidRPr="00ED7AF9">
        <w:rPr>
          <w:rFonts w:eastAsia="Times New Roman" w:cs="Arial"/>
          <w:color w:val="000000"/>
          <w:lang w:val="en-US"/>
        </w:rPr>
        <w:t xml:space="preserve">mg </w:t>
      </w:r>
      <w:r w:rsidRPr="00ED7AF9">
        <w:rPr>
          <w:rFonts w:eastAsia="Times New Roman" w:cs="Arial"/>
          <w:color w:val="000000"/>
          <w:lang w:eastAsia="bg-BG"/>
        </w:rPr>
        <w:t xml:space="preserve">веднъж дневно и 10,0 /8,7 </w:t>
      </w:r>
      <w:r w:rsidRPr="00ED7AF9">
        <w:rPr>
          <w:rFonts w:eastAsia="Times New Roman" w:cs="Arial"/>
          <w:color w:val="000000"/>
          <w:lang w:val="en-US"/>
        </w:rPr>
        <w:t xml:space="preserve">mm Hg </w:t>
      </w:r>
      <w:r w:rsidRPr="00ED7AF9">
        <w:rPr>
          <w:rFonts w:eastAsia="Times New Roman" w:cs="Arial"/>
          <w:color w:val="000000"/>
          <w:lang w:eastAsia="bg-BG"/>
        </w:rPr>
        <w:t xml:space="preserve">при лосартан калий 100 </w:t>
      </w:r>
      <w:r w:rsidRPr="00ED7AF9">
        <w:rPr>
          <w:rFonts w:eastAsia="Times New Roman" w:cs="Arial"/>
          <w:color w:val="000000"/>
          <w:lang w:val="en-US"/>
        </w:rPr>
        <w:t xml:space="preserve">mg </w:t>
      </w:r>
      <w:r w:rsidRPr="00ED7AF9">
        <w:rPr>
          <w:rFonts w:eastAsia="Times New Roman" w:cs="Arial"/>
          <w:color w:val="000000"/>
          <w:lang w:eastAsia="bg-BG"/>
        </w:rPr>
        <w:t xml:space="preserve">веднъж дневно (разлика в намаляването на кръвното налягане 3,1/1,8 </w:t>
      </w:r>
      <w:r w:rsidRPr="00ED7AF9">
        <w:rPr>
          <w:rFonts w:eastAsia="Times New Roman" w:cs="Arial"/>
          <w:color w:val="000000"/>
          <w:lang w:val="en-US"/>
        </w:rPr>
        <w:t xml:space="preserve">mm Hg, </w:t>
      </w:r>
      <w:r w:rsidRPr="00ED7AF9">
        <w:rPr>
          <w:rFonts w:eastAsia="Times New Roman" w:cs="Arial"/>
          <w:color w:val="000000"/>
          <w:lang w:eastAsia="bg-BG"/>
        </w:rPr>
        <w:t>р&lt;0,0001/р&lt;0,0001).</w:t>
      </w:r>
    </w:p>
    <w:p w14:paraId="754116B2" w14:textId="77777777" w:rsidR="00ED7AF9" w:rsidRDefault="00ED7AF9" w:rsidP="00ED7AF9">
      <w:pPr>
        <w:spacing w:line="240" w:lineRule="auto"/>
        <w:rPr>
          <w:rFonts w:ascii="Times New Roman" w:eastAsia="Times New Roman" w:hAnsi="Times New Roman" w:cs="Times New Roman"/>
          <w:color w:val="000000"/>
          <w:lang w:eastAsia="bg-BG"/>
        </w:rPr>
      </w:pPr>
    </w:p>
    <w:p w14:paraId="31520B67" w14:textId="4D70A39A" w:rsidR="00ED7AF9" w:rsidRPr="00ED7AF9" w:rsidRDefault="00ED7AF9" w:rsidP="00ED7AF9">
      <w:pPr>
        <w:spacing w:line="240" w:lineRule="auto"/>
        <w:rPr>
          <w:rFonts w:eastAsia="Times New Roman" w:cs="Arial"/>
          <w:sz w:val="24"/>
          <w:szCs w:val="24"/>
          <w:lang w:eastAsia="bg-BG"/>
        </w:rPr>
      </w:pPr>
      <w:r w:rsidRPr="00ED7AF9">
        <w:rPr>
          <w:rFonts w:eastAsia="Times New Roman" w:cs="Arial"/>
          <w:color w:val="000000"/>
          <w:lang w:eastAsia="bg-BG"/>
        </w:rPr>
        <w:t>Когато кандесартан цилексетил се прилага заедно с хидрохлоротиазид, намаляването на артериалното налягане е адитивно. Повишен антихипертензивен ефект е наблюдаван също и когато кандесартан цилексетил се комбинира с амлодипин или фелодипин.</w:t>
      </w:r>
    </w:p>
    <w:p w14:paraId="61641065" w14:textId="77777777" w:rsidR="00ED7AF9" w:rsidRPr="00ED7AF9" w:rsidRDefault="00ED7AF9" w:rsidP="00ED7AF9">
      <w:pPr>
        <w:spacing w:line="240" w:lineRule="auto"/>
        <w:rPr>
          <w:rFonts w:eastAsia="Times New Roman" w:cs="Arial"/>
          <w:color w:val="000000"/>
          <w:lang w:eastAsia="bg-BG"/>
        </w:rPr>
      </w:pPr>
    </w:p>
    <w:p w14:paraId="338C3A2C" w14:textId="5D109D01" w:rsidR="00ED7AF9" w:rsidRPr="00ED7AF9" w:rsidRDefault="00ED7AF9" w:rsidP="00ED7AF9">
      <w:pPr>
        <w:spacing w:line="240" w:lineRule="auto"/>
        <w:rPr>
          <w:rFonts w:eastAsia="Times New Roman" w:cs="Arial"/>
          <w:sz w:val="24"/>
          <w:szCs w:val="24"/>
          <w:lang w:eastAsia="bg-BG"/>
        </w:rPr>
      </w:pPr>
      <w:r w:rsidRPr="00ED7AF9">
        <w:rPr>
          <w:rFonts w:eastAsia="Times New Roman" w:cs="Arial"/>
          <w:color w:val="000000"/>
          <w:lang w:eastAsia="bg-BG"/>
        </w:rPr>
        <w:t xml:space="preserve">Лекарствените продукти, които блокират ренин-ангиотензин-алдостероновата система, имат по-слабо изразен антихипертензивен ефект при чернокожи пациенти (тази популация обикновено е с ниско ниво на ренин) в сравнение с нечернокожи пациенти. Това се отнася също и за кандесартан. При открито клинично изпитване, при което са участвали 5 156 пациенти с диастолична хипертония, намаляването на кръвното налягане по време на лечение с кандесартан е значимо по-малко при чернокожи в сравнение с нечернокожи пациенти (14,4/10,3 </w:t>
      </w:r>
      <w:r w:rsidRPr="00ED7AF9">
        <w:rPr>
          <w:rFonts w:eastAsia="Times New Roman" w:cs="Arial"/>
          <w:color w:val="000000"/>
          <w:lang w:val="en-US"/>
        </w:rPr>
        <w:t xml:space="preserve">mm Hg </w:t>
      </w:r>
      <w:r w:rsidRPr="00ED7AF9">
        <w:rPr>
          <w:rFonts w:eastAsia="Times New Roman" w:cs="Arial"/>
          <w:color w:val="000000"/>
          <w:lang w:eastAsia="bg-BG"/>
        </w:rPr>
        <w:t xml:space="preserve">спрямо 19,0/12,7 </w:t>
      </w:r>
      <w:r w:rsidRPr="00ED7AF9">
        <w:rPr>
          <w:rFonts w:eastAsia="Times New Roman" w:cs="Arial"/>
          <w:color w:val="000000"/>
          <w:lang w:val="en-US"/>
        </w:rPr>
        <w:t xml:space="preserve">mm Hg, </w:t>
      </w:r>
      <w:r w:rsidRPr="00ED7AF9">
        <w:rPr>
          <w:rFonts w:eastAsia="Times New Roman" w:cs="Arial"/>
          <w:color w:val="000000"/>
          <w:lang w:eastAsia="bg-BG"/>
        </w:rPr>
        <w:t>р&lt;0,0001/р&lt;0,0001).</w:t>
      </w:r>
    </w:p>
    <w:p w14:paraId="645EE034" w14:textId="77777777" w:rsidR="00ED7AF9" w:rsidRPr="00ED7AF9" w:rsidRDefault="00ED7AF9" w:rsidP="00ED7AF9">
      <w:pPr>
        <w:spacing w:line="240" w:lineRule="auto"/>
        <w:rPr>
          <w:rFonts w:eastAsia="Times New Roman" w:cs="Arial"/>
          <w:color w:val="000000"/>
          <w:lang w:eastAsia="bg-BG"/>
        </w:rPr>
      </w:pPr>
    </w:p>
    <w:p w14:paraId="25A075F7" w14:textId="56D5D525" w:rsidR="00ED7AF9" w:rsidRPr="00ED7AF9" w:rsidRDefault="00ED7AF9" w:rsidP="00ED7AF9">
      <w:pPr>
        <w:spacing w:line="240" w:lineRule="auto"/>
        <w:rPr>
          <w:rFonts w:eastAsia="Times New Roman" w:cs="Arial"/>
          <w:sz w:val="24"/>
          <w:szCs w:val="24"/>
          <w:lang w:eastAsia="bg-BG"/>
        </w:rPr>
      </w:pPr>
      <w:r w:rsidRPr="00ED7AF9">
        <w:rPr>
          <w:rFonts w:eastAsia="Times New Roman" w:cs="Arial"/>
          <w:color w:val="000000"/>
          <w:lang w:eastAsia="bg-BG"/>
        </w:rPr>
        <w:t xml:space="preserve">Кандесартан увеличава бъбречния кръвоток и или не влияе, или увеличава скоростта на гломерулна филтрация, като бъбречното съдово съпротивление и филтрационната фракция се намаляват. При 3-месечно клинично изпитване, в което са участвали пациенти с хипертония и захарен диабет тип 2 и микроалбуминурия, антихипертензивното лечение с кандесартан цилексетил е намалило екскрецията на албумин с урината (съотношение албумин/креатинин средно 30%, 95% доверителен интервал </w:t>
      </w:r>
      <w:r w:rsidRPr="00ED7AF9">
        <w:rPr>
          <w:rFonts w:eastAsia="Times New Roman" w:cs="Arial"/>
          <w:color w:val="000000"/>
          <w:lang w:val="en-US"/>
        </w:rPr>
        <w:t xml:space="preserve">(CI) </w:t>
      </w:r>
      <w:r w:rsidRPr="00ED7AF9">
        <w:rPr>
          <w:rFonts w:eastAsia="Times New Roman" w:cs="Arial"/>
          <w:color w:val="000000"/>
          <w:lang w:eastAsia="bg-BG"/>
        </w:rPr>
        <w:t>15-42%). Понастоящем няма данни за влиянието на кандесартан цилексетил върху прогресирането на диабетната нефропатия.</w:t>
      </w:r>
    </w:p>
    <w:p w14:paraId="7F848192" w14:textId="77777777" w:rsidR="00ED7AF9" w:rsidRPr="00ED7AF9" w:rsidRDefault="00ED7AF9" w:rsidP="00ED7AF9">
      <w:pPr>
        <w:spacing w:line="240" w:lineRule="auto"/>
        <w:rPr>
          <w:rFonts w:eastAsia="Times New Roman" w:cs="Arial"/>
          <w:color w:val="000000"/>
          <w:lang w:eastAsia="bg-BG"/>
        </w:rPr>
      </w:pPr>
    </w:p>
    <w:p w14:paraId="17DA3F41" w14:textId="26CC1D15" w:rsidR="00ED7AF9" w:rsidRPr="00ED7AF9" w:rsidRDefault="00ED7AF9" w:rsidP="00ED7AF9">
      <w:pPr>
        <w:spacing w:line="240" w:lineRule="auto"/>
        <w:rPr>
          <w:rFonts w:eastAsia="Times New Roman" w:cs="Arial"/>
          <w:sz w:val="24"/>
          <w:szCs w:val="24"/>
          <w:lang w:eastAsia="bg-BG"/>
        </w:rPr>
      </w:pPr>
      <w:r w:rsidRPr="00ED7AF9">
        <w:rPr>
          <w:rFonts w:eastAsia="Times New Roman" w:cs="Arial"/>
          <w:color w:val="000000"/>
          <w:lang w:eastAsia="bg-BG"/>
        </w:rPr>
        <w:t xml:space="preserve">Ефектите на кандесартан цилексетил 8-16 </w:t>
      </w:r>
      <w:r w:rsidRPr="00ED7AF9">
        <w:rPr>
          <w:rFonts w:eastAsia="Times New Roman" w:cs="Arial"/>
          <w:color w:val="000000"/>
          <w:lang w:val="en-US"/>
        </w:rPr>
        <w:t xml:space="preserve">mg </w:t>
      </w:r>
      <w:r w:rsidRPr="00ED7AF9">
        <w:rPr>
          <w:rFonts w:eastAsia="Times New Roman" w:cs="Arial"/>
          <w:color w:val="000000"/>
          <w:lang w:eastAsia="bg-BG"/>
        </w:rPr>
        <w:t xml:space="preserve">(средна доза 12 </w:t>
      </w:r>
      <w:r w:rsidRPr="00ED7AF9">
        <w:rPr>
          <w:rFonts w:eastAsia="Times New Roman" w:cs="Arial"/>
          <w:color w:val="000000"/>
          <w:lang w:val="en-US"/>
        </w:rPr>
        <w:t xml:space="preserve">mg) </w:t>
      </w:r>
      <w:r w:rsidRPr="00ED7AF9">
        <w:rPr>
          <w:rFonts w:eastAsia="Times New Roman" w:cs="Arial"/>
          <w:color w:val="000000"/>
          <w:lang w:eastAsia="bg-BG"/>
        </w:rPr>
        <w:t xml:space="preserve">веднъж дневно, върху сърдечно-съдовата заболеваемост и смъртност са оценени при рандомизирано клинично изпитване, в което са участвали 4 937 пациенти в старческа възраст (на възраст 70-89 години; 21% на възраст 80 или повече години) с лека до умерена хипертония, проследявани средно 3,7 години </w:t>
      </w:r>
      <w:r w:rsidRPr="00ED7AF9">
        <w:rPr>
          <w:rFonts w:eastAsia="Times New Roman" w:cs="Arial"/>
          <w:color w:val="000000"/>
          <w:lang w:val="en-US"/>
        </w:rPr>
        <w:t xml:space="preserve">(Study on </w:t>
      </w:r>
      <w:proofErr w:type="spellStart"/>
      <w:r w:rsidRPr="00ED7AF9">
        <w:rPr>
          <w:rFonts w:eastAsia="Times New Roman" w:cs="Arial"/>
          <w:color w:val="000000"/>
          <w:lang w:val="en-US"/>
        </w:rPr>
        <w:t>COgnition</w:t>
      </w:r>
      <w:proofErr w:type="spellEnd"/>
      <w:r w:rsidRPr="00ED7AF9">
        <w:rPr>
          <w:rFonts w:eastAsia="Times New Roman" w:cs="Arial"/>
          <w:color w:val="000000"/>
          <w:lang w:val="en-US"/>
        </w:rPr>
        <w:t xml:space="preserve"> and Prognosis in the Elderly). </w:t>
      </w:r>
      <w:r w:rsidRPr="00ED7AF9">
        <w:rPr>
          <w:rFonts w:eastAsia="Times New Roman" w:cs="Arial"/>
          <w:color w:val="000000"/>
          <w:lang w:eastAsia="bg-BG"/>
        </w:rPr>
        <w:t>Пациентите са приемали кандесартан цилексетил или плацебо с добавяне на друго антихипертензивно лечение според нуждите.</w:t>
      </w:r>
    </w:p>
    <w:p w14:paraId="2AB94EC5" w14:textId="77777777" w:rsidR="00ED7AF9" w:rsidRPr="00ED7AF9" w:rsidRDefault="00ED7AF9" w:rsidP="00ED7AF9">
      <w:pPr>
        <w:spacing w:line="240" w:lineRule="auto"/>
        <w:rPr>
          <w:rFonts w:eastAsia="Times New Roman" w:cs="Arial"/>
          <w:sz w:val="24"/>
          <w:szCs w:val="24"/>
          <w:lang w:eastAsia="bg-BG"/>
        </w:rPr>
      </w:pPr>
      <w:r w:rsidRPr="00ED7AF9">
        <w:rPr>
          <w:rFonts w:eastAsia="Times New Roman" w:cs="Arial"/>
          <w:color w:val="000000"/>
          <w:lang w:eastAsia="bg-BG"/>
        </w:rPr>
        <w:t xml:space="preserve">Кръвното налягане е намалено от 166/90 на 145/80 </w:t>
      </w:r>
      <w:r w:rsidRPr="00ED7AF9">
        <w:rPr>
          <w:rFonts w:eastAsia="Times New Roman" w:cs="Arial"/>
          <w:color w:val="000000"/>
          <w:lang w:val="en-US"/>
        </w:rPr>
        <w:t xml:space="preserve">mm Hg </w:t>
      </w:r>
      <w:r w:rsidRPr="00ED7AF9">
        <w:rPr>
          <w:rFonts w:eastAsia="Times New Roman" w:cs="Arial"/>
          <w:color w:val="000000"/>
          <w:lang w:eastAsia="bg-BG"/>
        </w:rPr>
        <w:t xml:space="preserve">в групата с кандесартан цилексетил и от 167/90 на 149/82 </w:t>
      </w:r>
      <w:r w:rsidRPr="00ED7AF9">
        <w:rPr>
          <w:rFonts w:eastAsia="Times New Roman" w:cs="Arial"/>
          <w:color w:val="000000"/>
          <w:lang w:val="en-US"/>
        </w:rPr>
        <w:t xml:space="preserve">mm Hg </w:t>
      </w:r>
      <w:r w:rsidRPr="00ED7AF9">
        <w:rPr>
          <w:rFonts w:eastAsia="Times New Roman" w:cs="Arial"/>
          <w:color w:val="000000"/>
          <w:lang w:eastAsia="bg-BG"/>
        </w:rPr>
        <w:t xml:space="preserve">в контролната група. Няма статистически значима разлика в първичната крайна точка, големите сърдечносъдови инциденти (сърдечно-съдова смъртност, нелегален инсулт и нелегален инфаркт на миокарда). Наблюдавани са 26,7 събития на 1 000 пациенто-години в групата с кандесартан спрямо 30,0 събития на 1 000 пациенто-години в контролната група (относителен риск 0,89, 95% </w:t>
      </w:r>
      <w:r w:rsidRPr="00ED7AF9">
        <w:rPr>
          <w:rFonts w:eastAsia="Times New Roman" w:cs="Arial"/>
          <w:color w:val="000000"/>
          <w:lang w:val="en-US"/>
        </w:rPr>
        <w:t xml:space="preserve">CI </w:t>
      </w:r>
      <w:r w:rsidRPr="00ED7AF9">
        <w:rPr>
          <w:rFonts w:eastAsia="Times New Roman" w:cs="Arial"/>
          <w:color w:val="000000"/>
          <w:lang w:eastAsia="bg-BG"/>
        </w:rPr>
        <w:t>0,75 до 1,06, р=0,19).</w:t>
      </w:r>
    </w:p>
    <w:p w14:paraId="55DE3D4D" w14:textId="77777777" w:rsidR="00ED7AF9" w:rsidRPr="00ED7AF9" w:rsidRDefault="00ED7AF9" w:rsidP="00ED7AF9">
      <w:pPr>
        <w:spacing w:line="240" w:lineRule="auto"/>
        <w:rPr>
          <w:rFonts w:eastAsia="Times New Roman" w:cs="Arial"/>
          <w:i/>
          <w:iCs/>
          <w:color w:val="000000"/>
          <w:u w:val="single"/>
          <w:lang w:eastAsia="bg-BG"/>
        </w:rPr>
      </w:pPr>
    </w:p>
    <w:p w14:paraId="220FB136" w14:textId="196BC12B" w:rsidR="00ED7AF9" w:rsidRPr="00ED7AF9" w:rsidRDefault="00ED7AF9" w:rsidP="00ED7AF9">
      <w:pPr>
        <w:spacing w:line="240" w:lineRule="auto"/>
        <w:rPr>
          <w:rFonts w:eastAsia="Times New Roman" w:cs="Arial"/>
          <w:sz w:val="24"/>
          <w:szCs w:val="24"/>
          <w:lang w:eastAsia="bg-BG"/>
        </w:rPr>
      </w:pPr>
      <w:r w:rsidRPr="00ED7AF9">
        <w:rPr>
          <w:rFonts w:eastAsia="Times New Roman" w:cs="Arial"/>
          <w:i/>
          <w:iCs/>
          <w:color w:val="000000"/>
          <w:u w:val="single"/>
          <w:lang w:eastAsia="bg-BG"/>
        </w:rPr>
        <w:t>Двойно блокиране на ренин ангиотензин -алдостероновата система (РААС)</w:t>
      </w:r>
    </w:p>
    <w:p w14:paraId="4F0E2FB2" w14:textId="77777777" w:rsidR="00ED7AF9" w:rsidRPr="00ED7AF9" w:rsidRDefault="00ED7AF9" w:rsidP="00ED7AF9">
      <w:pPr>
        <w:spacing w:line="240" w:lineRule="auto"/>
        <w:rPr>
          <w:rFonts w:eastAsia="Times New Roman" w:cs="Arial"/>
          <w:sz w:val="24"/>
          <w:szCs w:val="24"/>
          <w:lang w:eastAsia="bg-BG"/>
        </w:rPr>
      </w:pPr>
      <w:r w:rsidRPr="00ED7AF9">
        <w:rPr>
          <w:rFonts w:eastAsia="Times New Roman" w:cs="Arial"/>
          <w:color w:val="000000"/>
          <w:lang w:eastAsia="bg-BG"/>
        </w:rPr>
        <w:t xml:space="preserve">Две големи рандомизирани контролирани проучвания - </w:t>
      </w:r>
      <w:r w:rsidRPr="00ED7AF9">
        <w:rPr>
          <w:rFonts w:eastAsia="Times New Roman" w:cs="Arial"/>
          <w:color w:val="000000"/>
          <w:lang w:val="en-US"/>
        </w:rPr>
        <w:t>ONTARGET (</w:t>
      </w:r>
      <w:proofErr w:type="spellStart"/>
      <w:r w:rsidRPr="00ED7AF9">
        <w:rPr>
          <w:rFonts w:eastAsia="Times New Roman" w:cs="Arial"/>
          <w:color w:val="000000"/>
          <w:lang w:val="en-US"/>
        </w:rPr>
        <w:t>ONgoing</w:t>
      </w:r>
      <w:proofErr w:type="spellEnd"/>
      <w:r w:rsidRPr="00ED7AF9">
        <w:rPr>
          <w:rFonts w:eastAsia="Times New Roman" w:cs="Arial"/>
          <w:color w:val="000000"/>
          <w:lang w:val="en-US"/>
        </w:rPr>
        <w:t xml:space="preserve"> </w:t>
      </w:r>
      <w:proofErr w:type="spellStart"/>
      <w:r w:rsidRPr="00ED7AF9">
        <w:rPr>
          <w:rFonts w:eastAsia="Times New Roman" w:cs="Arial"/>
          <w:color w:val="000000"/>
          <w:lang w:val="en-US"/>
        </w:rPr>
        <w:t>Telmisartan</w:t>
      </w:r>
      <w:proofErr w:type="spellEnd"/>
      <w:r w:rsidRPr="00ED7AF9">
        <w:rPr>
          <w:rFonts w:eastAsia="Times New Roman" w:cs="Arial"/>
          <w:color w:val="000000"/>
          <w:lang w:val="en-US"/>
        </w:rPr>
        <w:t xml:space="preserve"> Alone and in combination with Ramipril Global Endpoint Trial - </w:t>
      </w:r>
      <w:r w:rsidRPr="00ED7AF9">
        <w:rPr>
          <w:rFonts w:eastAsia="Times New Roman" w:cs="Arial"/>
          <w:color w:val="000000"/>
          <w:lang w:eastAsia="bg-BG"/>
        </w:rPr>
        <w:t xml:space="preserve">текущо глобално изпитване за крайни точки на телмисартан, самостоятелно и в комбинация с рамиприл) и </w:t>
      </w:r>
      <w:r w:rsidRPr="00ED7AF9">
        <w:rPr>
          <w:rFonts w:eastAsia="Times New Roman" w:cs="Arial"/>
          <w:color w:val="000000"/>
          <w:lang w:val="en-US"/>
        </w:rPr>
        <w:t xml:space="preserve">VA NEPHRON-D </w:t>
      </w:r>
      <w:r w:rsidRPr="00ED7AF9">
        <w:rPr>
          <w:rFonts w:eastAsia="Times New Roman" w:cs="Arial"/>
          <w:color w:val="000000"/>
          <w:lang w:eastAsia="bg-BG"/>
        </w:rPr>
        <w:t>(Клинично проучване свързано с развитие на нефропатия при диабет, проведено от Министерство по въпросите на ветераните) - проучват употребата на комбинацията от АСЕ инхибитор и АРБ.</w:t>
      </w:r>
    </w:p>
    <w:p w14:paraId="6E4899A7" w14:textId="77777777" w:rsidR="00ED7AF9" w:rsidRPr="00ED7AF9" w:rsidRDefault="00ED7AF9" w:rsidP="00ED7AF9">
      <w:pPr>
        <w:spacing w:line="240" w:lineRule="auto"/>
        <w:rPr>
          <w:rFonts w:eastAsia="Times New Roman" w:cs="Arial"/>
          <w:sz w:val="24"/>
          <w:szCs w:val="24"/>
          <w:lang w:eastAsia="bg-BG"/>
        </w:rPr>
      </w:pPr>
      <w:r w:rsidRPr="00ED7AF9">
        <w:rPr>
          <w:rFonts w:eastAsia="Times New Roman" w:cs="Arial"/>
          <w:color w:val="000000"/>
          <w:lang w:val="en-US"/>
        </w:rPr>
        <w:t xml:space="preserve">ONTARGET </w:t>
      </w:r>
      <w:r w:rsidRPr="00ED7AF9">
        <w:rPr>
          <w:rFonts w:eastAsia="Times New Roman" w:cs="Arial"/>
          <w:color w:val="000000"/>
          <w:lang w:eastAsia="bg-BG"/>
        </w:rPr>
        <w:t xml:space="preserve">е проучване, проведено при пациенти с анамнеза за сърдечно-съдова или мозъчносъдова болест, или захарен диабет тип 2, придружени с данни за увреждане на ефекторни органи. </w:t>
      </w:r>
      <w:r w:rsidRPr="00ED7AF9">
        <w:rPr>
          <w:rFonts w:eastAsia="Times New Roman" w:cs="Arial"/>
          <w:color w:val="000000"/>
          <w:lang w:val="en-US"/>
        </w:rPr>
        <w:t xml:space="preserve">VA NEPHRON-D </w:t>
      </w:r>
      <w:r w:rsidRPr="00ED7AF9">
        <w:rPr>
          <w:rFonts w:eastAsia="Times New Roman" w:cs="Arial"/>
          <w:color w:val="000000"/>
          <w:lang w:eastAsia="bg-BG"/>
        </w:rPr>
        <w:t>е проучване при пациенти със захарен диабет тип 2 и диабетна нефропатия.</w:t>
      </w:r>
    </w:p>
    <w:p w14:paraId="275967E1" w14:textId="5921BB98" w:rsidR="00ED7AF9" w:rsidRPr="00194F9F" w:rsidRDefault="00ED7AF9" w:rsidP="00194F9F">
      <w:pPr>
        <w:spacing w:line="240" w:lineRule="auto"/>
        <w:rPr>
          <w:rFonts w:eastAsia="Times New Roman" w:cs="Arial"/>
          <w:sz w:val="24"/>
          <w:szCs w:val="24"/>
          <w:lang w:eastAsia="bg-BG"/>
        </w:rPr>
      </w:pPr>
      <w:r w:rsidRPr="00ED7AF9">
        <w:rPr>
          <w:rFonts w:eastAsia="Times New Roman" w:cs="Arial"/>
          <w:color w:val="000000"/>
          <w:lang w:eastAsia="bg-BG"/>
        </w:rPr>
        <w:t>Тези проучвания не показват значим благоприятен ефект върху бъбречните и/или сърдечно-</w:t>
      </w:r>
      <w:r w:rsidRPr="00ED7AF9">
        <w:rPr>
          <w:rFonts w:eastAsia="Times New Roman" w:cs="Arial"/>
          <w:smallCaps/>
          <w:color w:val="000000"/>
          <w:lang w:eastAsia="bg-BG"/>
        </w:rPr>
        <w:t xml:space="preserve"> </w:t>
      </w:r>
      <w:r w:rsidRPr="00ED7AF9">
        <w:rPr>
          <w:rFonts w:eastAsia="Times New Roman" w:cs="Arial"/>
          <w:color w:val="000000"/>
          <w:lang w:eastAsia="bg-BG"/>
        </w:rPr>
        <w:t>съдовите последици и смъртност, като същевременно са наблюдавани повишен риск от хиперкалиемия, остро увреждане на бъбреците и/или хипото</w:t>
      </w:r>
      <w:r w:rsidR="00194F9F">
        <w:rPr>
          <w:rFonts w:eastAsia="Times New Roman" w:cs="Arial"/>
          <w:color w:val="000000"/>
          <w:lang w:eastAsia="bg-BG"/>
        </w:rPr>
        <w:t>ния в сравнение с монотерапията.</w:t>
      </w:r>
      <w:r w:rsidR="00194F9F">
        <w:rPr>
          <w:rFonts w:eastAsia="Times New Roman" w:cs="Arial"/>
          <w:sz w:val="24"/>
          <w:szCs w:val="24"/>
          <w:lang w:eastAsia="bg-BG"/>
        </w:rPr>
        <w:t xml:space="preserve"> </w:t>
      </w:r>
      <w:r w:rsidRPr="00ED7AF9">
        <w:rPr>
          <w:rFonts w:eastAsia="Times New Roman" w:cs="Arial"/>
          <w:color w:val="000000"/>
          <w:lang w:eastAsia="bg-BG"/>
        </w:rPr>
        <w:t>Като се имат предвид сходните им фармакодинамични свойства, тези резултати са приложими и за други АСЕ инхибитори и АРБ.</w:t>
      </w:r>
    </w:p>
    <w:p w14:paraId="04479E99" w14:textId="336C7F45" w:rsidR="00ED7AF9" w:rsidRDefault="00ED7AF9" w:rsidP="00ED7AF9"/>
    <w:p w14:paraId="1E5656AF" w14:textId="77777777" w:rsidR="00ED7AF9" w:rsidRPr="00ED7AF9" w:rsidRDefault="00ED7AF9" w:rsidP="00ED7AF9">
      <w:pPr>
        <w:spacing w:line="240" w:lineRule="auto"/>
        <w:rPr>
          <w:rFonts w:eastAsia="Times New Roman" w:cs="Arial"/>
          <w:sz w:val="24"/>
          <w:szCs w:val="24"/>
          <w:lang w:eastAsia="bg-BG"/>
        </w:rPr>
      </w:pPr>
      <w:r w:rsidRPr="00ED7AF9">
        <w:rPr>
          <w:rFonts w:eastAsia="Times New Roman" w:cs="Arial"/>
          <w:color w:val="000000"/>
          <w:lang w:eastAsia="bg-BG"/>
        </w:rPr>
        <w:t>АСЕ инхибитори и АРБ следователно не трябва да се използват едновременно при пациенти с диабетна нефропатия (вж. точка 4.4).</w:t>
      </w:r>
    </w:p>
    <w:p w14:paraId="71483E27" w14:textId="77777777" w:rsidR="00ED7AF9" w:rsidRPr="00ED7AF9" w:rsidRDefault="00ED7AF9" w:rsidP="00ED7AF9">
      <w:pPr>
        <w:spacing w:line="240" w:lineRule="auto"/>
        <w:rPr>
          <w:rFonts w:eastAsia="Times New Roman" w:cs="Arial"/>
          <w:sz w:val="24"/>
          <w:szCs w:val="24"/>
          <w:lang w:eastAsia="bg-BG"/>
        </w:rPr>
      </w:pPr>
      <w:r w:rsidRPr="00ED7AF9">
        <w:rPr>
          <w:rFonts w:eastAsia="Times New Roman" w:cs="Arial"/>
          <w:color w:val="000000"/>
          <w:lang w:val="en-US"/>
        </w:rPr>
        <w:t xml:space="preserve">ALTITUDE </w:t>
      </w:r>
      <w:r w:rsidRPr="00ED7AF9">
        <w:rPr>
          <w:rFonts w:eastAsia="Times New Roman" w:cs="Arial"/>
          <w:color w:val="000000"/>
          <w:lang w:eastAsia="bg-BG"/>
        </w:rPr>
        <w:t xml:space="preserve">(Клинично проучване проведено с алискирен при пациенти със захарен диабет тип 2 с използване на сърдечно-съдови и бъбречни заболявания като крайни точки) е проучване, предназначено да изследва ползата от добавянето на алискирен към стандартна терапия с АСЕ инхибитор или АРБ при пациенти със захарен диабет тип 2 и хронично бъбречно заболяване, сърдечно-съдово заболяване или и двете. Проучването е прекратено преждевременно поради повишен риск от неблагоприятни последици. Както сърдечно-съдовата смърт, така и инсултът са по-чести в групата на алискирен, отколкото </w:t>
      </w:r>
      <w:r w:rsidRPr="00ED7AF9">
        <w:rPr>
          <w:rFonts w:eastAsia="Times New Roman" w:cs="Arial"/>
          <w:color w:val="000000"/>
          <w:lang w:eastAsia="bg-BG"/>
        </w:rPr>
        <w:lastRenderedPageBreak/>
        <w:t>в групата на плацебо, а представляващите интерес нежелани събития и сериозни нежелани събития (хиперкалиемия, хипотония и бъбречна дисфункция) се съобщават по-често в групата на алискирен, отколкото в групата на плацебо.</w:t>
      </w:r>
    </w:p>
    <w:p w14:paraId="1E648575" w14:textId="77777777" w:rsidR="00ED7AF9" w:rsidRPr="00194F9F" w:rsidRDefault="00ED7AF9" w:rsidP="00ED7AF9">
      <w:pPr>
        <w:spacing w:line="240" w:lineRule="auto"/>
        <w:rPr>
          <w:rFonts w:eastAsia="Times New Roman" w:cs="Arial"/>
          <w:i/>
          <w:iCs/>
          <w:color w:val="000000"/>
          <w:lang w:eastAsia="bg-BG"/>
        </w:rPr>
      </w:pPr>
    </w:p>
    <w:p w14:paraId="7B85626A" w14:textId="5E4F2C54" w:rsidR="00ED7AF9" w:rsidRPr="00ED7AF9" w:rsidRDefault="00ED7AF9" w:rsidP="00ED7AF9">
      <w:pPr>
        <w:spacing w:line="240" w:lineRule="auto"/>
        <w:rPr>
          <w:rFonts w:eastAsia="Times New Roman" w:cs="Arial"/>
          <w:sz w:val="24"/>
          <w:szCs w:val="24"/>
          <w:lang w:eastAsia="bg-BG"/>
        </w:rPr>
      </w:pPr>
      <w:r w:rsidRPr="00ED7AF9">
        <w:rPr>
          <w:rFonts w:eastAsia="Times New Roman" w:cs="Arial"/>
          <w:i/>
          <w:iCs/>
          <w:color w:val="000000"/>
          <w:lang w:eastAsia="bg-BG"/>
        </w:rPr>
        <w:t>Педиатрична популация</w:t>
      </w:r>
    </w:p>
    <w:p w14:paraId="471D6D46" w14:textId="77777777" w:rsidR="00ED7AF9" w:rsidRPr="00ED7AF9" w:rsidRDefault="00ED7AF9" w:rsidP="00ED7AF9">
      <w:pPr>
        <w:spacing w:line="240" w:lineRule="auto"/>
        <w:rPr>
          <w:rFonts w:eastAsia="Times New Roman" w:cs="Arial"/>
          <w:sz w:val="24"/>
          <w:szCs w:val="24"/>
          <w:lang w:eastAsia="bg-BG"/>
        </w:rPr>
      </w:pPr>
      <w:r w:rsidRPr="00ED7AF9">
        <w:rPr>
          <w:rFonts w:eastAsia="Times New Roman" w:cs="Arial"/>
          <w:color w:val="000000"/>
          <w:lang w:eastAsia="bg-BG"/>
        </w:rPr>
        <w:t>Антихипертензивните ефекти на кандесартан са проучвани при деца на възраст от 1 до под 6 години и от 6 до под 17 години с хипертония, в две рандомизирани, двойно-слепи, многоцентрови, 4-седмични изпитвания с различни дози.</w:t>
      </w:r>
    </w:p>
    <w:p w14:paraId="4EF5FE81" w14:textId="46A8654E" w:rsidR="00ED7AF9" w:rsidRPr="00ED7AF9" w:rsidRDefault="00ED7AF9" w:rsidP="00ED7AF9">
      <w:pPr>
        <w:spacing w:line="240" w:lineRule="auto"/>
        <w:rPr>
          <w:rFonts w:eastAsia="Times New Roman" w:cs="Arial"/>
          <w:sz w:val="24"/>
          <w:szCs w:val="24"/>
          <w:lang w:eastAsia="bg-BG"/>
        </w:rPr>
      </w:pPr>
      <w:r w:rsidRPr="00ED7AF9">
        <w:rPr>
          <w:rFonts w:eastAsia="Times New Roman" w:cs="Arial"/>
          <w:color w:val="000000"/>
          <w:lang w:eastAsia="bg-BG"/>
        </w:rPr>
        <w:t xml:space="preserve">При децата на възраст от 1 до под 6 години 93 пациенти, 74% от които с бъбречно увреждане, са рандомизирани за перорален прием на кандесартан цилексетил суспензия в доза от 0,05,0,20 или 0,40 </w:t>
      </w:r>
      <w:r w:rsidRPr="00ED7AF9">
        <w:rPr>
          <w:rFonts w:eastAsia="Times New Roman" w:cs="Arial"/>
          <w:color w:val="000000"/>
          <w:lang w:val="en-US"/>
        </w:rPr>
        <w:t xml:space="preserve">mg/kg </w:t>
      </w:r>
      <w:r w:rsidRPr="00ED7AF9">
        <w:rPr>
          <w:rFonts w:eastAsia="Times New Roman" w:cs="Arial"/>
          <w:color w:val="000000"/>
          <w:lang w:eastAsia="bg-BG"/>
        </w:rPr>
        <w:t>веднъж дневно.</w:t>
      </w:r>
    </w:p>
    <w:p w14:paraId="4E31802A" w14:textId="77777777" w:rsidR="00ED7AF9" w:rsidRPr="00ED7AF9" w:rsidRDefault="00ED7AF9" w:rsidP="00ED7AF9">
      <w:pPr>
        <w:spacing w:line="240" w:lineRule="auto"/>
        <w:rPr>
          <w:rFonts w:eastAsia="Times New Roman" w:cs="Arial"/>
          <w:sz w:val="24"/>
          <w:szCs w:val="24"/>
          <w:lang w:eastAsia="bg-BG"/>
        </w:rPr>
      </w:pPr>
      <w:r w:rsidRPr="00ED7AF9">
        <w:rPr>
          <w:rFonts w:eastAsia="Times New Roman" w:cs="Arial"/>
          <w:color w:val="000000"/>
          <w:lang w:eastAsia="bg-BG"/>
        </w:rPr>
        <w:t xml:space="preserve">Първичният метод за анализ е промяната в систоличното артериално налягане (САН) като функция на дозата. САН и диастоличното артериално налягане (ДАН) са се понижили с 6,0/5,2 до 12,0 /11,1 </w:t>
      </w:r>
      <w:r w:rsidRPr="00ED7AF9">
        <w:rPr>
          <w:rFonts w:eastAsia="Times New Roman" w:cs="Arial"/>
          <w:color w:val="000000"/>
          <w:lang w:val="en-US"/>
        </w:rPr>
        <w:t xml:space="preserve">mmHg </w:t>
      </w:r>
      <w:r w:rsidRPr="00ED7AF9">
        <w:rPr>
          <w:rFonts w:eastAsia="Times New Roman" w:cs="Arial"/>
          <w:color w:val="000000"/>
          <w:lang w:eastAsia="bg-BG"/>
        </w:rPr>
        <w:t>спрямо изходните стойности при трите дози на кандесартан цилексетил. Поради липсата на група с плацебо, обаче, действителният размер на ефекта върху артериалното налягане остава неизвестен, което затруднява формулирането на окончателна оценка относно съотношението полза-риск при тази възрастова група.</w:t>
      </w:r>
    </w:p>
    <w:p w14:paraId="4146D85F" w14:textId="77777777" w:rsidR="00194F9F" w:rsidRPr="00194F9F" w:rsidRDefault="00194F9F" w:rsidP="00ED7AF9">
      <w:pPr>
        <w:spacing w:line="240" w:lineRule="auto"/>
        <w:rPr>
          <w:rFonts w:eastAsia="Times New Roman" w:cs="Arial"/>
          <w:color w:val="000000"/>
          <w:lang w:eastAsia="bg-BG"/>
        </w:rPr>
      </w:pPr>
    </w:p>
    <w:p w14:paraId="5C0EBB46" w14:textId="58D367ED" w:rsidR="00ED7AF9" w:rsidRPr="00ED7AF9" w:rsidRDefault="00ED7AF9" w:rsidP="00ED7AF9">
      <w:pPr>
        <w:spacing w:line="240" w:lineRule="auto"/>
        <w:rPr>
          <w:rFonts w:eastAsia="Times New Roman" w:cs="Arial"/>
          <w:sz w:val="24"/>
          <w:szCs w:val="24"/>
          <w:lang w:eastAsia="bg-BG"/>
        </w:rPr>
      </w:pPr>
      <w:r w:rsidRPr="00ED7AF9">
        <w:rPr>
          <w:rFonts w:eastAsia="Times New Roman" w:cs="Arial"/>
          <w:color w:val="000000"/>
          <w:lang w:eastAsia="bg-BG"/>
        </w:rPr>
        <w:t xml:space="preserve">При децата на възраст от 6 до под 17 години 240 пациенти са рандомизирани за прием на плацебо или на ниска, средна или висока доза от кандесартан цилексетил в съотношение 1:2:2:2. При децата с тегло под 50 </w:t>
      </w:r>
      <w:r w:rsidRPr="00ED7AF9">
        <w:rPr>
          <w:rFonts w:eastAsia="Times New Roman" w:cs="Arial"/>
          <w:color w:val="000000"/>
          <w:lang w:val="en-US"/>
        </w:rPr>
        <w:t xml:space="preserve">kg </w:t>
      </w:r>
      <w:r w:rsidRPr="00ED7AF9">
        <w:rPr>
          <w:rFonts w:eastAsia="Times New Roman" w:cs="Arial"/>
          <w:color w:val="000000"/>
          <w:lang w:eastAsia="bg-BG"/>
        </w:rPr>
        <w:t xml:space="preserve">дозата на кандесартан цилексетил е била 2, 8 или 16 </w:t>
      </w:r>
      <w:r w:rsidRPr="00ED7AF9">
        <w:rPr>
          <w:rFonts w:eastAsia="Times New Roman" w:cs="Arial"/>
          <w:color w:val="000000"/>
          <w:lang w:val="en-US"/>
        </w:rPr>
        <w:t xml:space="preserve">mg </w:t>
      </w:r>
      <w:r w:rsidRPr="00ED7AF9">
        <w:rPr>
          <w:rFonts w:eastAsia="Times New Roman" w:cs="Arial"/>
          <w:color w:val="000000"/>
          <w:lang w:eastAsia="bg-BG"/>
        </w:rPr>
        <w:t xml:space="preserve">веднъж дневно. При децата с тегло над 50 </w:t>
      </w:r>
      <w:r w:rsidRPr="00ED7AF9">
        <w:rPr>
          <w:rFonts w:eastAsia="Times New Roman" w:cs="Arial"/>
          <w:color w:val="000000"/>
          <w:lang w:val="en-US"/>
        </w:rPr>
        <w:t xml:space="preserve">mg </w:t>
      </w:r>
      <w:r w:rsidRPr="00ED7AF9">
        <w:rPr>
          <w:rFonts w:eastAsia="Times New Roman" w:cs="Arial"/>
          <w:color w:val="000000"/>
          <w:lang w:eastAsia="bg-BG"/>
        </w:rPr>
        <w:t xml:space="preserve">дозата от кандесартан цилексетил е била 4, 16 или 32 </w:t>
      </w:r>
      <w:r w:rsidRPr="00ED7AF9">
        <w:rPr>
          <w:rFonts w:eastAsia="Times New Roman" w:cs="Arial"/>
          <w:color w:val="000000"/>
          <w:lang w:val="en-US"/>
        </w:rPr>
        <w:t xml:space="preserve">mg </w:t>
      </w:r>
      <w:r w:rsidRPr="00ED7AF9">
        <w:rPr>
          <w:rFonts w:eastAsia="Times New Roman" w:cs="Arial"/>
          <w:color w:val="000000"/>
          <w:lang w:eastAsia="bg-BG"/>
        </w:rPr>
        <w:t xml:space="preserve">веднъж дневно. При сборен анализ на дозите кандесартан е понижил САН, измерено в седнало положение, с 10,22 </w:t>
      </w:r>
      <w:r w:rsidRPr="00ED7AF9">
        <w:rPr>
          <w:rFonts w:eastAsia="Times New Roman" w:cs="Arial"/>
          <w:color w:val="000000"/>
          <w:lang w:val="en-US"/>
        </w:rPr>
        <w:t xml:space="preserve">mmHg </w:t>
      </w:r>
      <w:r w:rsidRPr="00ED7AF9">
        <w:rPr>
          <w:rFonts w:eastAsia="Times New Roman" w:cs="Arial"/>
          <w:color w:val="000000"/>
          <w:lang w:eastAsia="bg-BG"/>
        </w:rPr>
        <w:t xml:space="preserve">(Р&lt;0,0001), а ДАН, измерено в седнало положение (Р =0,0029) - с 6,56 </w:t>
      </w:r>
      <w:r w:rsidRPr="00ED7AF9">
        <w:rPr>
          <w:rFonts w:eastAsia="Times New Roman" w:cs="Arial"/>
          <w:color w:val="000000"/>
          <w:lang w:val="en-US"/>
        </w:rPr>
        <w:t xml:space="preserve">mmHg </w:t>
      </w:r>
      <w:r w:rsidRPr="00ED7AF9">
        <w:rPr>
          <w:rFonts w:eastAsia="Times New Roman" w:cs="Arial"/>
          <w:color w:val="000000"/>
          <w:lang w:eastAsia="bg-BG"/>
        </w:rPr>
        <w:t xml:space="preserve">спрямо изходните стойности. В групата с плацебо също е отчетено понижение от 3,667 </w:t>
      </w:r>
      <w:r w:rsidRPr="00ED7AF9">
        <w:rPr>
          <w:rFonts w:eastAsia="Times New Roman" w:cs="Arial"/>
          <w:color w:val="000000"/>
          <w:lang w:val="en-US"/>
        </w:rPr>
        <w:t xml:space="preserve">mmHg </w:t>
      </w:r>
      <w:r w:rsidRPr="00ED7AF9">
        <w:rPr>
          <w:rFonts w:eastAsia="Times New Roman" w:cs="Arial"/>
          <w:color w:val="000000"/>
          <w:lang w:eastAsia="bg-BG"/>
        </w:rPr>
        <w:t xml:space="preserve">при САН в седнало положение (р=0,0074) и 1,80 </w:t>
      </w:r>
      <w:r w:rsidRPr="00ED7AF9">
        <w:rPr>
          <w:rFonts w:eastAsia="Times New Roman" w:cs="Arial"/>
          <w:color w:val="000000"/>
          <w:lang w:val="en-US"/>
        </w:rPr>
        <w:t xml:space="preserve">mmHg </w:t>
      </w:r>
      <w:r w:rsidRPr="00ED7AF9">
        <w:rPr>
          <w:rFonts w:eastAsia="Times New Roman" w:cs="Arial"/>
          <w:color w:val="000000"/>
          <w:lang w:eastAsia="bg-BG"/>
        </w:rPr>
        <w:t xml:space="preserve">ДАН в седнало положение (р=0,992) спрямо изходните стойности. Независимо от големия плацебо ефект, при всички отделни дози (и всички сборни дози) кандесартан е значително по- ефективен от плацебо. Максимално повлияване по отношение понижение на кръвното налягане при деца с тегло под и над 50 </w:t>
      </w:r>
      <w:r w:rsidRPr="00ED7AF9">
        <w:rPr>
          <w:rFonts w:eastAsia="Times New Roman" w:cs="Arial"/>
          <w:color w:val="000000"/>
          <w:lang w:val="en-US"/>
        </w:rPr>
        <w:t xml:space="preserve">kg </w:t>
      </w:r>
      <w:r w:rsidRPr="00ED7AF9">
        <w:rPr>
          <w:rFonts w:eastAsia="Times New Roman" w:cs="Arial"/>
          <w:color w:val="000000"/>
          <w:lang w:eastAsia="bg-BG"/>
        </w:rPr>
        <w:t xml:space="preserve">е постигнато съответно при дози 8 </w:t>
      </w:r>
      <w:r w:rsidRPr="00ED7AF9">
        <w:rPr>
          <w:rFonts w:eastAsia="Times New Roman" w:cs="Arial"/>
          <w:color w:val="000000"/>
          <w:lang w:val="en-US"/>
        </w:rPr>
        <w:t xml:space="preserve">mg </w:t>
      </w:r>
      <w:r w:rsidRPr="00ED7AF9">
        <w:rPr>
          <w:rFonts w:eastAsia="Times New Roman" w:cs="Arial"/>
          <w:color w:val="000000"/>
          <w:lang w:eastAsia="bg-BG"/>
        </w:rPr>
        <w:t xml:space="preserve">и 16 </w:t>
      </w:r>
      <w:r w:rsidRPr="00ED7AF9">
        <w:rPr>
          <w:rFonts w:eastAsia="Times New Roman" w:cs="Arial"/>
          <w:color w:val="000000"/>
          <w:lang w:val="en-US"/>
        </w:rPr>
        <w:t xml:space="preserve">mg, </w:t>
      </w:r>
      <w:r w:rsidRPr="00ED7AF9">
        <w:rPr>
          <w:rFonts w:eastAsia="Times New Roman" w:cs="Arial"/>
          <w:color w:val="000000"/>
          <w:lang w:eastAsia="bg-BG"/>
        </w:rPr>
        <w:t>като след тази точка ефектът остава без промяна.</w:t>
      </w:r>
    </w:p>
    <w:p w14:paraId="307AB6CA" w14:textId="77777777" w:rsidR="00194F9F" w:rsidRPr="00194F9F" w:rsidRDefault="00194F9F" w:rsidP="00ED7AF9">
      <w:pPr>
        <w:spacing w:line="240" w:lineRule="auto"/>
        <w:rPr>
          <w:rFonts w:eastAsia="Times New Roman" w:cs="Arial"/>
          <w:color w:val="000000"/>
          <w:lang w:eastAsia="bg-BG"/>
        </w:rPr>
      </w:pPr>
    </w:p>
    <w:p w14:paraId="3C335B79" w14:textId="55E79638" w:rsidR="00ED7AF9" w:rsidRPr="00ED7AF9" w:rsidRDefault="00ED7AF9" w:rsidP="00ED7AF9">
      <w:pPr>
        <w:spacing w:line="240" w:lineRule="auto"/>
        <w:rPr>
          <w:rFonts w:eastAsia="Times New Roman" w:cs="Arial"/>
          <w:sz w:val="24"/>
          <w:szCs w:val="24"/>
          <w:lang w:eastAsia="bg-BG"/>
        </w:rPr>
      </w:pPr>
      <w:r w:rsidRPr="00ED7AF9">
        <w:rPr>
          <w:rFonts w:eastAsia="Times New Roman" w:cs="Arial"/>
          <w:color w:val="000000"/>
          <w:lang w:eastAsia="bg-BG"/>
        </w:rPr>
        <w:t>От всички включени участници, 47% са чернокожи, а 29% са от женски пол; при средна възраст (± стандартно отклонение) 12,9 ±2,6 години. При децата на възраст от 6 до под 17 години е наблюдавана тенденция за по-слаб ефект върху кръвното налягане при чернокожите пациенти в сравнение с другите пациенти.</w:t>
      </w:r>
    </w:p>
    <w:p w14:paraId="516438A6" w14:textId="77777777" w:rsidR="00194F9F" w:rsidRPr="00194F9F" w:rsidRDefault="00194F9F" w:rsidP="00ED7AF9">
      <w:pPr>
        <w:spacing w:line="240" w:lineRule="auto"/>
        <w:rPr>
          <w:rFonts w:eastAsia="Times New Roman" w:cs="Arial"/>
          <w:i/>
          <w:iCs/>
          <w:color w:val="000000"/>
          <w:u w:val="single"/>
          <w:lang w:eastAsia="bg-BG"/>
        </w:rPr>
      </w:pPr>
    </w:p>
    <w:p w14:paraId="19491224" w14:textId="6EC3320E" w:rsidR="00ED7AF9" w:rsidRPr="00ED7AF9" w:rsidRDefault="00ED7AF9" w:rsidP="00ED7AF9">
      <w:pPr>
        <w:spacing w:line="240" w:lineRule="auto"/>
        <w:rPr>
          <w:rFonts w:eastAsia="Times New Roman" w:cs="Arial"/>
          <w:sz w:val="24"/>
          <w:szCs w:val="24"/>
          <w:lang w:eastAsia="bg-BG"/>
        </w:rPr>
      </w:pPr>
      <w:r w:rsidRPr="00ED7AF9">
        <w:rPr>
          <w:rFonts w:eastAsia="Times New Roman" w:cs="Arial"/>
          <w:i/>
          <w:iCs/>
          <w:color w:val="000000"/>
          <w:u w:val="single"/>
          <w:lang w:eastAsia="bg-BG"/>
        </w:rPr>
        <w:t>Сърдечна недостатъчност</w:t>
      </w:r>
    </w:p>
    <w:p w14:paraId="645B4B49" w14:textId="7E269A18" w:rsidR="00ED7AF9" w:rsidRDefault="00ED7AF9" w:rsidP="00ED7AF9">
      <w:pPr>
        <w:rPr>
          <w:rFonts w:eastAsia="Times New Roman" w:cs="Arial"/>
          <w:color w:val="000000"/>
          <w:lang w:eastAsia="bg-BG"/>
        </w:rPr>
      </w:pPr>
      <w:r w:rsidRPr="00194F9F">
        <w:rPr>
          <w:rFonts w:eastAsia="Times New Roman" w:cs="Arial"/>
          <w:color w:val="000000"/>
          <w:lang w:eastAsia="bg-BG"/>
        </w:rPr>
        <w:t>Лечението с кандесартан цилексетил намалява смъртността, намалява случаите на хоспитализация поради сърдечна недостатъчност и подобрява симптомите при пациенти с</w:t>
      </w:r>
      <w:r w:rsidRPr="00194F9F">
        <w:rPr>
          <w:rFonts w:eastAsia="Times New Roman" w:cs="Arial"/>
          <w:color w:val="000000"/>
          <w:u w:val="single"/>
          <w:lang w:eastAsia="bg-BG"/>
        </w:rPr>
        <w:t xml:space="preserve"> </w:t>
      </w:r>
      <w:r w:rsidRPr="00194F9F">
        <w:rPr>
          <w:rFonts w:eastAsia="Times New Roman" w:cs="Arial"/>
          <w:color w:val="000000"/>
          <w:lang w:eastAsia="bg-BG"/>
        </w:rPr>
        <w:t xml:space="preserve">левокамерна систолна дисфункция, както показват резултатите от програмата </w:t>
      </w:r>
      <w:r w:rsidRPr="00194F9F">
        <w:rPr>
          <w:rFonts w:eastAsia="Times New Roman" w:cs="Arial"/>
          <w:color w:val="000000"/>
          <w:lang w:val="en-US"/>
        </w:rPr>
        <w:t xml:space="preserve">CHARM (Candesartan </w:t>
      </w:r>
      <w:proofErr w:type="spellStart"/>
      <w:r w:rsidRPr="00194F9F">
        <w:rPr>
          <w:rFonts w:eastAsia="Times New Roman" w:cs="Arial"/>
          <w:color w:val="000000"/>
          <w:lang w:val="en-US"/>
        </w:rPr>
        <w:t>cilexetil</w:t>
      </w:r>
      <w:proofErr w:type="spellEnd"/>
      <w:r w:rsidRPr="00194F9F">
        <w:rPr>
          <w:rFonts w:eastAsia="Times New Roman" w:cs="Arial"/>
          <w:color w:val="000000"/>
          <w:lang w:val="en-US"/>
        </w:rPr>
        <w:t xml:space="preserve"> in Heart failure - Assessment of Reduction in Mortality and</w:t>
      </w:r>
      <w:r w:rsidRPr="00194F9F">
        <w:rPr>
          <w:rFonts w:eastAsia="Times New Roman" w:cs="Arial"/>
          <w:color w:val="000000"/>
          <w:lang w:eastAsia="bg-BG"/>
        </w:rPr>
        <w:t xml:space="preserve"> </w:t>
      </w:r>
      <w:r w:rsidRPr="00194F9F">
        <w:rPr>
          <w:rFonts w:eastAsia="Times New Roman" w:cs="Arial"/>
          <w:color w:val="000000"/>
          <w:lang w:val="en-US"/>
        </w:rPr>
        <w:t xml:space="preserve">morbidity </w:t>
      </w:r>
      <w:r w:rsidRPr="00194F9F">
        <w:rPr>
          <w:rFonts w:eastAsia="Times New Roman" w:cs="Arial"/>
          <w:color w:val="000000"/>
          <w:lang w:eastAsia="bg-BG"/>
        </w:rPr>
        <w:t>(Кандесартан при сърдечна недостатъчност - оценка на намаляването на</w:t>
      </w:r>
      <w:r w:rsidRPr="00194F9F">
        <w:rPr>
          <w:rFonts w:eastAsia="Times New Roman" w:cs="Arial"/>
          <w:color w:val="000000"/>
          <w:lang w:val="en-US"/>
        </w:rPr>
        <w:t xml:space="preserve"> </w:t>
      </w:r>
      <w:r w:rsidRPr="00194F9F">
        <w:rPr>
          <w:rFonts w:eastAsia="Times New Roman" w:cs="Arial"/>
          <w:color w:val="000000"/>
          <w:lang w:eastAsia="bg-BG"/>
        </w:rPr>
        <w:t>смъртността и заболеваемостта).</w:t>
      </w:r>
    </w:p>
    <w:p w14:paraId="29F28FCB" w14:textId="59832900" w:rsidR="00194F9F" w:rsidRDefault="00194F9F" w:rsidP="00ED7AF9">
      <w:pPr>
        <w:rPr>
          <w:rFonts w:eastAsia="Times New Roman" w:cs="Arial"/>
          <w:color w:val="000000"/>
          <w:lang w:eastAsia="bg-BG"/>
        </w:rPr>
      </w:pPr>
    </w:p>
    <w:p w14:paraId="6A6393D0" w14:textId="72AA565E" w:rsidR="00194F9F" w:rsidRPr="00194F9F" w:rsidRDefault="00194F9F" w:rsidP="00194F9F">
      <w:pPr>
        <w:spacing w:line="240" w:lineRule="auto"/>
        <w:rPr>
          <w:rFonts w:eastAsia="Times New Roman" w:cs="Arial"/>
          <w:sz w:val="24"/>
          <w:szCs w:val="24"/>
          <w:lang w:eastAsia="bg-BG"/>
        </w:rPr>
      </w:pPr>
      <w:r w:rsidRPr="00194F9F">
        <w:rPr>
          <w:rFonts w:eastAsia="Times New Roman" w:cs="Arial"/>
          <w:color w:val="000000"/>
          <w:lang w:eastAsia="bg-BG"/>
        </w:rPr>
        <w:t xml:space="preserve">Тази програма за плацебо-контролирани, двойно-слепи клинични изпитвания при пациенти с хронична сърдечна недостатъчност (ХСН) с II до IV функционален клас по </w:t>
      </w:r>
      <w:r w:rsidRPr="00194F9F">
        <w:rPr>
          <w:rFonts w:eastAsia="Times New Roman" w:cs="Arial"/>
          <w:color w:val="000000"/>
          <w:lang w:val="en-US"/>
        </w:rPr>
        <w:t xml:space="preserve">NYHA </w:t>
      </w:r>
      <w:r w:rsidRPr="00194F9F">
        <w:rPr>
          <w:rFonts w:eastAsia="Times New Roman" w:cs="Arial"/>
          <w:color w:val="000000"/>
          <w:lang w:eastAsia="bg-BG"/>
        </w:rPr>
        <w:t xml:space="preserve">се състои от три отделни изпитвания: </w:t>
      </w:r>
      <w:r w:rsidRPr="00194F9F">
        <w:rPr>
          <w:rFonts w:eastAsia="Times New Roman" w:cs="Arial"/>
          <w:color w:val="000000"/>
          <w:lang w:val="en-US"/>
        </w:rPr>
        <w:t>CHARM-</w:t>
      </w:r>
      <w:proofErr w:type="spellStart"/>
      <w:r w:rsidRPr="00194F9F">
        <w:rPr>
          <w:rFonts w:eastAsia="Times New Roman" w:cs="Arial"/>
          <w:color w:val="000000"/>
          <w:lang w:val="en-US"/>
        </w:rPr>
        <w:t>Altemative</w:t>
      </w:r>
      <w:proofErr w:type="spellEnd"/>
      <w:r w:rsidRPr="00194F9F">
        <w:rPr>
          <w:rFonts w:eastAsia="Times New Roman" w:cs="Arial"/>
          <w:color w:val="000000"/>
          <w:lang w:val="en-US"/>
        </w:rPr>
        <w:t xml:space="preserve"> </w:t>
      </w:r>
      <w:r w:rsidRPr="00194F9F">
        <w:rPr>
          <w:rFonts w:eastAsia="Times New Roman" w:cs="Arial"/>
          <w:color w:val="000000"/>
          <w:lang w:eastAsia="bg-BG"/>
        </w:rPr>
        <w:t>(</w:t>
      </w:r>
      <w:r>
        <w:rPr>
          <w:rFonts w:eastAsia="Times New Roman" w:cs="Arial"/>
          <w:color w:val="000000"/>
          <w:lang w:val="en-US"/>
        </w:rPr>
        <w:t xml:space="preserve">n </w:t>
      </w:r>
      <w:r w:rsidRPr="00194F9F">
        <w:rPr>
          <w:rFonts w:eastAsia="Times New Roman" w:cs="Arial"/>
          <w:color w:val="000000"/>
          <w:lang w:eastAsia="bg-BG"/>
        </w:rPr>
        <w:t xml:space="preserve">= 2 028) при пациенти с </w:t>
      </w:r>
      <w:r w:rsidRPr="00194F9F">
        <w:rPr>
          <w:rFonts w:eastAsia="Times New Roman" w:cs="Arial"/>
          <w:color w:val="000000"/>
          <w:lang w:eastAsia="bg-BG"/>
        </w:rPr>
        <w:lastRenderedPageBreak/>
        <w:t xml:space="preserve">левокамерна фракция на изтласкване (ЛКФИ) 40%, нелекувани с АСЕ инхибитор поради непоносимост (предимно дължаща се на кашлица, 72%), </w:t>
      </w:r>
      <w:r w:rsidRPr="00194F9F">
        <w:rPr>
          <w:rFonts w:eastAsia="Times New Roman" w:cs="Arial"/>
          <w:color w:val="000000"/>
          <w:lang w:val="en-US"/>
        </w:rPr>
        <w:t xml:space="preserve">CHARM-Added </w:t>
      </w:r>
      <w:r w:rsidRPr="00194F9F">
        <w:rPr>
          <w:rFonts w:eastAsia="Times New Roman" w:cs="Arial"/>
          <w:color w:val="000000"/>
          <w:lang w:eastAsia="bg-BG"/>
        </w:rPr>
        <w:t>(</w:t>
      </w:r>
      <w:r w:rsidRPr="00194F9F">
        <w:rPr>
          <w:rFonts w:eastAsia="Times New Roman" w:cs="Arial"/>
          <w:color w:val="000000"/>
          <w:lang w:val="en-US"/>
        </w:rPr>
        <w:t>n</w:t>
      </w:r>
      <w:r w:rsidRPr="00194F9F">
        <w:rPr>
          <w:rFonts w:eastAsia="Times New Roman" w:cs="Arial"/>
          <w:color w:val="000000"/>
          <w:lang w:eastAsia="bg-BG"/>
        </w:rPr>
        <w:t xml:space="preserve"> = 2548) при пациенти с ЛКФИ 40%, лекувани с АСЕ инхибитор, и </w:t>
      </w:r>
      <w:r w:rsidRPr="00194F9F">
        <w:rPr>
          <w:rFonts w:eastAsia="Times New Roman" w:cs="Arial"/>
          <w:color w:val="000000"/>
          <w:lang w:val="en-US"/>
        </w:rPr>
        <w:t xml:space="preserve">CHARM-Preserved </w:t>
      </w:r>
      <w:r w:rsidRPr="00194F9F">
        <w:rPr>
          <w:rFonts w:eastAsia="Times New Roman" w:cs="Arial"/>
          <w:color w:val="000000"/>
          <w:lang w:eastAsia="bg-BG"/>
        </w:rPr>
        <w:t>(</w:t>
      </w:r>
      <w:r w:rsidRPr="00194F9F">
        <w:rPr>
          <w:rFonts w:eastAsia="Times New Roman" w:cs="Arial"/>
          <w:color w:val="000000"/>
          <w:lang w:val="en-US"/>
        </w:rPr>
        <w:t>n</w:t>
      </w:r>
      <w:r w:rsidRPr="00194F9F">
        <w:rPr>
          <w:rFonts w:eastAsia="Times New Roman" w:cs="Arial"/>
          <w:color w:val="000000"/>
          <w:lang w:eastAsia="bg-BG"/>
        </w:rPr>
        <w:t xml:space="preserve"> = 3023) при пациенти с ЛКФИ &gt;40%. Пациентите с оптимална терапия на ХСН при изходното ниво са рандомизирани (разпределени на случаен принцип) в група с плацебо или кандесартан цилексетил (с постепенно повишение на дозата от 4 </w:t>
      </w:r>
      <w:r w:rsidRPr="00194F9F">
        <w:rPr>
          <w:rFonts w:eastAsia="Times New Roman" w:cs="Arial"/>
          <w:color w:val="000000"/>
          <w:lang w:val="en-US"/>
        </w:rPr>
        <w:t xml:space="preserve">mg </w:t>
      </w:r>
      <w:r w:rsidRPr="00194F9F">
        <w:rPr>
          <w:rFonts w:eastAsia="Times New Roman" w:cs="Arial"/>
          <w:color w:val="000000"/>
          <w:lang w:eastAsia="bg-BG"/>
        </w:rPr>
        <w:t xml:space="preserve">или 8 </w:t>
      </w:r>
      <w:r w:rsidRPr="00194F9F">
        <w:rPr>
          <w:rFonts w:eastAsia="Times New Roman" w:cs="Arial"/>
          <w:color w:val="000000"/>
          <w:lang w:val="en-US"/>
        </w:rPr>
        <w:t xml:space="preserve">mg </w:t>
      </w:r>
      <w:r w:rsidRPr="00194F9F">
        <w:rPr>
          <w:rFonts w:eastAsia="Times New Roman" w:cs="Arial"/>
          <w:color w:val="000000"/>
          <w:lang w:eastAsia="bg-BG"/>
        </w:rPr>
        <w:t xml:space="preserve">веднъж дневно до 32 </w:t>
      </w:r>
      <w:r w:rsidRPr="00194F9F">
        <w:rPr>
          <w:rFonts w:eastAsia="Times New Roman" w:cs="Arial"/>
          <w:color w:val="000000"/>
          <w:lang w:val="en-US"/>
        </w:rPr>
        <w:t xml:space="preserve">mg </w:t>
      </w:r>
      <w:r w:rsidRPr="00194F9F">
        <w:rPr>
          <w:rFonts w:eastAsia="Times New Roman" w:cs="Arial"/>
          <w:color w:val="000000"/>
          <w:lang w:eastAsia="bg-BG"/>
        </w:rPr>
        <w:t xml:space="preserve">веднъж дневно или до най-високата поносима доза, средна доза от 24 </w:t>
      </w:r>
      <w:r w:rsidRPr="00194F9F">
        <w:rPr>
          <w:rFonts w:eastAsia="Times New Roman" w:cs="Arial"/>
          <w:color w:val="000000"/>
          <w:lang w:val="en-US"/>
        </w:rPr>
        <w:t xml:space="preserve">mg) </w:t>
      </w:r>
      <w:r w:rsidRPr="00194F9F">
        <w:rPr>
          <w:rFonts w:eastAsia="Times New Roman" w:cs="Arial"/>
          <w:color w:val="000000"/>
          <w:lang w:eastAsia="bg-BG"/>
        </w:rPr>
        <w:t xml:space="preserve">и са проследявани в продължение на средно 37,7 месеца. След 6-месечно лечение 63% от пациентите, все още приемащи кандесартан цилексетил (89%), са достигнали прицелната доза от 32 </w:t>
      </w:r>
      <w:r w:rsidRPr="00194F9F">
        <w:rPr>
          <w:rFonts w:eastAsia="Times New Roman" w:cs="Arial"/>
          <w:color w:val="000000"/>
          <w:lang w:val="en-US"/>
        </w:rPr>
        <w:t>mg.</w:t>
      </w:r>
    </w:p>
    <w:p w14:paraId="48106FAB" w14:textId="77777777" w:rsidR="00194F9F" w:rsidRPr="00194F9F" w:rsidRDefault="00194F9F" w:rsidP="00194F9F">
      <w:pPr>
        <w:spacing w:line="240" w:lineRule="auto"/>
        <w:rPr>
          <w:rFonts w:eastAsia="Times New Roman" w:cs="Arial"/>
          <w:color w:val="000000"/>
          <w:lang w:eastAsia="bg-BG"/>
        </w:rPr>
      </w:pPr>
    </w:p>
    <w:p w14:paraId="092A7C97" w14:textId="6C886826" w:rsidR="00194F9F" w:rsidRPr="00194F9F" w:rsidRDefault="00194F9F" w:rsidP="00194F9F">
      <w:pPr>
        <w:spacing w:line="240" w:lineRule="auto"/>
        <w:rPr>
          <w:rFonts w:eastAsia="Times New Roman" w:cs="Arial"/>
          <w:sz w:val="24"/>
          <w:szCs w:val="24"/>
          <w:lang w:eastAsia="bg-BG"/>
        </w:rPr>
      </w:pPr>
      <w:r w:rsidRPr="00194F9F">
        <w:rPr>
          <w:rFonts w:eastAsia="Times New Roman" w:cs="Arial"/>
          <w:color w:val="000000"/>
          <w:lang w:eastAsia="bg-BG"/>
        </w:rPr>
        <w:t xml:space="preserve">При </w:t>
      </w:r>
      <w:r w:rsidRPr="00194F9F">
        <w:rPr>
          <w:rFonts w:eastAsia="Times New Roman" w:cs="Arial"/>
          <w:color w:val="000000"/>
          <w:lang w:val="en-US"/>
        </w:rPr>
        <w:t>CHARM-</w:t>
      </w:r>
      <w:proofErr w:type="spellStart"/>
      <w:r w:rsidRPr="00194F9F">
        <w:rPr>
          <w:rFonts w:eastAsia="Times New Roman" w:cs="Arial"/>
          <w:color w:val="000000"/>
          <w:lang w:val="en-US"/>
        </w:rPr>
        <w:t>Altemative</w:t>
      </w:r>
      <w:proofErr w:type="spellEnd"/>
      <w:r w:rsidRPr="00194F9F">
        <w:rPr>
          <w:rFonts w:eastAsia="Times New Roman" w:cs="Arial"/>
          <w:color w:val="000000"/>
          <w:lang w:val="en-US"/>
        </w:rPr>
        <w:t xml:space="preserve">, </w:t>
      </w:r>
      <w:r w:rsidRPr="00194F9F">
        <w:rPr>
          <w:rFonts w:eastAsia="Times New Roman" w:cs="Arial"/>
          <w:color w:val="000000"/>
          <w:lang w:eastAsia="bg-BG"/>
        </w:rPr>
        <w:t xml:space="preserve">съставната крайна точка от сърдечно-съдова смъртност или първа хоспитализация поради ХСН е значимо намалена при кандесартан в сравнение с плацебо, рисков коефициент </w:t>
      </w:r>
      <w:r w:rsidRPr="00194F9F">
        <w:rPr>
          <w:rFonts w:eastAsia="Times New Roman" w:cs="Arial"/>
          <w:color w:val="000000"/>
          <w:lang w:val="en-US"/>
        </w:rPr>
        <w:t xml:space="preserve">(HR) </w:t>
      </w:r>
      <w:r w:rsidRPr="00194F9F">
        <w:rPr>
          <w:rFonts w:eastAsia="Times New Roman" w:cs="Arial"/>
          <w:color w:val="000000"/>
          <w:lang w:eastAsia="bg-BG"/>
        </w:rPr>
        <w:t xml:space="preserve">0,77 (95% </w:t>
      </w:r>
      <w:r w:rsidRPr="00194F9F">
        <w:rPr>
          <w:rFonts w:eastAsia="Times New Roman" w:cs="Arial"/>
          <w:color w:val="000000"/>
          <w:lang w:val="en-US"/>
        </w:rPr>
        <w:t xml:space="preserve">CI </w:t>
      </w:r>
      <w:r w:rsidRPr="00194F9F">
        <w:rPr>
          <w:rFonts w:eastAsia="Times New Roman" w:cs="Arial"/>
          <w:color w:val="000000"/>
          <w:lang w:eastAsia="bg-BG"/>
        </w:rPr>
        <w:t xml:space="preserve">0,67-0,89, р&lt;0,001). Това съответства на намаление на относителния риск с 23% от пациентите на кандесартан 33,0% (95% </w:t>
      </w:r>
      <w:r w:rsidRPr="00194F9F">
        <w:rPr>
          <w:rFonts w:eastAsia="Times New Roman" w:cs="Arial"/>
          <w:color w:val="000000"/>
          <w:lang w:val="en-US"/>
        </w:rPr>
        <w:t xml:space="preserve">CI: </w:t>
      </w:r>
      <w:r w:rsidRPr="00194F9F">
        <w:rPr>
          <w:rFonts w:eastAsia="Times New Roman" w:cs="Arial"/>
          <w:color w:val="000000"/>
          <w:lang w:eastAsia="bg-BG"/>
        </w:rPr>
        <w:t xml:space="preserve">30,1 до 36,0) и от пациентите на плацебо 40,0% (95% </w:t>
      </w:r>
      <w:r w:rsidRPr="00194F9F">
        <w:rPr>
          <w:rFonts w:eastAsia="Times New Roman" w:cs="Arial"/>
          <w:color w:val="000000"/>
          <w:lang w:val="en-US"/>
        </w:rPr>
        <w:t xml:space="preserve">CI: </w:t>
      </w:r>
      <w:r w:rsidRPr="00194F9F">
        <w:rPr>
          <w:rFonts w:eastAsia="Times New Roman" w:cs="Arial"/>
          <w:color w:val="000000"/>
          <w:lang w:eastAsia="bg-BG"/>
        </w:rPr>
        <w:t xml:space="preserve">37,0 до 43,1), които са имали тази крайна точка, при абсолютната разлика от 7,0% (95% </w:t>
      </w:r>
      <w:r w:rsidRPr="00194F9F">
        <w:rPr>
          <w:rFonts w:eastAsia="Times New Roman" w:cs="Arial"/>
          <w:color w:val="000000"/>
          <w:lang w:val="en-US"/>
        </w:rPr>
        <w:t xml:space="preserve">CI: </w:t>
      </w:r>
      <w:r w:rsidRPr="00194F9F">
        <w:rPr>
          <w:rFonts w:eastAsia="Times New Roman" w:cs="Arial"/>
          <w:color w:val="000000"/>
          <w:lang w:eastAsia="bg-BG"/>
        </w:rPr>
        <w:t xml:space="preserve">11.02-02.08). Четиринадесет пациенти е трябвало да бъдат лекувани в продължение на цялото изпитване, за да се предотврати смъртта на пациент от сърдечносъдово събитие или хоспитализирането му за лечение на сърдечна недостатъчност. Съставната крайна точка от смъртност по всякакви причини или първа хоспитализация поради ХСН е също значимо намалена при кандесартан </w:t>
      </w:r>
      <w:r w:rsidRPr="00194F9F">
        <w:rPr>
          <w:rFonts w:eastAsia="Times New Roman" w:cs="Arial"/>
          <w:color w:val="000000"/>
          <w:lang w:val="en-US"/>
        </w:rPr>
        <w:t xml:space="preserve">HR </w:t>
      </w:r>
      <w:r w:rsidRPr="00194F9F">
        <w:rPr>
          <w:rFonts w:eastAsia="Times New Roman" w:cs="Arial"/>
          <w:color w:val="000000"/>
          <w:lang w:eastAsia="bg-BG"/>
        </w:rPr>
        <w:t xml:space="preserve">0,80 (95% </w:t>
      </w:r>
      <w:r w:rsidRPr="00194F9F">
        <w:rPr>
          <w:rFonts w:eastAsia="Times New Roman" w:cs="Arial"/>
          <w:color w:val="000000"/>
          <w:lang w:val="en-US"/>
        </w:rPr>
        <w:t xml:space="preserve">CI </w:t>
      </w:r>
      <w:r w:rsidRPr="00194F9F">
        <w:rPr>
          <w:rFonts w:eastAsia="Times New Roman" w:cs="Arial"/>
          <w:color w:val="000000"/>
          <w:lang w:eastAsia="bg-BG"/>
        </w:rPr>
        <w:t>0,70-0,92, р=0,001). От пациентите на кандесартан 36,6% (95%С1: 33,7 до 39,7) и от пациентите на плацебо 42,7% (95%С1: 39,6 до 45,8), които са имали тази крайна точка, при абсолютната разлика 6.0% (95%С1: 10,3 до 1,8).</w:t>
      </w:r>
    </w:p>
    <w:p w14:paraId="3DFA6128" w14:textId="77777777" w:rsidR="00194F9F" w:rsidRPr="00194F9F" w:rsidRDefault="00194F9F" w:rsidP="00194F9F">
      <w:pPr>
        <w:spacing w:line="240" w:lineRule="auto"/>
        <w:rPr>
          <w:rFonts w:eastAsia="Times New Roman" w:cs="Arial"/>
          <w:sz w:val="24"/>
          <w:szCs w:val="24"/>
          <w:lang w:eastAsia="bg-BG"/>
        </w:rPr>
      </w:pPr>
      <w:r w:rsidRPr="00194F9F">
        <w:rPr>
          <w:rFonts w:eastAsia="Times New Roman" w:cs="Arial"/>
          <w:color w:val="000000"/>
          <w:lang w:eastAsia="bg-BG"/>
        </w:rPr>
        <w:t xml:space="preserve">И двете компоненти на тези съставни крайни точки — смъртността и заболеваемостта (хоспитализация поради ХСН), са допринесли за благоприятните ефекти на кандесартан цилексетил. Лечението с кандесартан цилексетил е довело до подобряване на функционалния клас по </w:t>
      </w:r>
      <w:r w:rsidRPr="00194F9F">
        <w:rPr>
          <w:rFonts w:eastAsia="Times New Roman" w:cs="Arial"/>
          <w:color w:val="000000"/>
          <w:lang w:val="en-US"/>
        </w:rPr>
        <w:t xml:space="preserve">NYHA </w:t>
      </w:r>
      <w:r w:rsidRPr="00194F9F">
        <w:rPr>
          <w:rFonts w:eastAsia="Times New Roman" w:cs="Arial"/>
          <w:color w:val="000000"/>
          <w:lang w:eastAsia="bg-BG"/>
        </w:rPr>
        <w:t>(р=0,008).</w:t>
      </w:r>
    </w:p>
    <w:p w14:paraId="34639D68" w14:textId="77777777" w:rsidR="00194F9F" w:rsidRPr="00194F9F" w:rsidRDefault="00194F9F" w:rsidP="00194F9F">
      <w:pPr>
        <w:spacing w:line="240" w:lineRule="auto"/>
        <w:rPr>
          <w:rFonts w:eastAsia="Times New Roman" w:cs="Arial"/>
          <w:color w:val="000000"/>
          <w:lang w:eastAsia="bg-BG"/>
        </w:rPr>
      </w:pPr>
    </w:p>
    <w:p w14:paraId="496E0D21" w14:textId="3998C252" w:rsidR="00194F9F" w:rsidRPr="00194F9F" w:rsidRDefault="00194F9F" w:rsidP="00194F9F">
      <w:pPr>
        <w:spacing w:line="240" w:lineRule="auto"/>
        <w:rPr>
          <w:rFonts w:eastAsia="Times New Roman" w:cs="Arial"/>
          <w:sz w:val="24"/>
          <w:szCs w:val="24"/>
          <w:lang w:eastAsia="bg-BG"/>
        </w:rPr>
      </w:pPr>
      <w:r w:rsidRPr="00194F9F">
        <w:rPr>
          <w:rFonts w:eastAsia="Times New Roman" w:cs="Arial"/>
          <w:color w:val="000000"/>
          <w:lang w:eastAsia="bg-BG"/>
        </w:rPr>
        <w:t xml:space="preserve">В </w:t>
      </w:r>
      <w:r w:rsidRPr="00194F9F">
        <w:rPr>
          <w:rFonts w:eastAsia="Times New Roman" w:cs="Arial"/>
          <w:color w:val="000000"/>
          <w:lang w:val="en-US"/>
        </w:rPr>
        <w:t xml:space="preserve">CHARM-Added, </w:t>
      </w:r>
      <w:r w:rsidRPr="00194F9F">
        <w:rPr>
          <w:rFonts w:eastAsia="Times New Roman" w:cs="Arial"/>
          <w:color w:val="000000"/>
          <w:lang w:eastAsia="bg-BG"/>
        </w:rPr>
        <w:t xml:space="preserve">съставната крайна точка от сърдечно-съдова смъртност или първа хоспитализация поради ХСН е значимо намалена при кандесартан цилексетил в сравнение с плацебо, </w:t>
      </w:r>
      <w:r w:rsidRPr="00194F9F">
        <w:rPr>
          <w:rFonts w:eastAsia="Times New Roman" w:cs="Arial"/>
          <w:color w:val="000000"/>
          <w:lang w:val="en-US"/>
        </w:rPr>
        <w:t xml:space="preserve">HR </w:t>
      </w:r>
      <w:r w:rsidRPr="00194F9F">
        <w:rPr>
          <w:rFonts w:eastAsia="Times New Roman" w:cs="Arial"/>
          <w:color w:val="000000"/>
          <w:lang w:eastAsia="bg-BG"/>
        </w:rPr>
        <w:t xml:space="preserve">0,85 (95% </w:t>
      </w:r>
      <w:r w:rsidRPr="00194F9F">
        <w:rPr>
          <w:rFonts w:eastAsia="Times New Roman" w:cs="Arial"/>
          <w:color w:val="000000"/>
          <w:lang w:val="en-US"/>
        </w:rPr>
        <w:t xml:space="preserve">CI </w:t>
      </w:r>
      <w:r w:rsidRPr="00194F9F">
        <w:rPr>
          <w:rFonts w:eastAsia="Times New Roman" w:cs="Arial"/>
          <w:color w:val="000000"/>
          <w:lang w:eastAsia="bg-BG"/>
        </w:rPr>
        <w:t>0,75-0,96, р=0,011). Това съответства на намаляване на относителния риск с 15% от пациентите на кандесартан 37,9% (95%С1: 35,2 до 40,6) и от пациентите на плацебо 42,3% (95%С1: 39,6 до 45,1), които са имали тази крайна точка, при абсолютната разлика от 4,4% (95%С1: 8,2 до 0,6). Двадесет и трима пациенти е трябвало да бъдат лекувани в продължение на цялото изпитване, за да се предотврати смъртта на пациент от сърдечно</w:t>
      </w:r>
      <w:r w:rsidRPr="00194F9F">
        <w:rPr>
          <w:rFonts w:eastAsia="Times New Roman" w:cs="Arial"/>
          <w:color w:val="000000"/>
          <w:lang w:eastAsia="bg-BG"/>
        </w:rPr>
        <w:softHyphen/>
        <w:t xml:space="preserve">съдово събитие или хоспитализирането му за лечение на сърдечна недостатъчност. Съставната крайна точка от смъртност поради всякаква причина или първа хоспитализация поради ХСН е също значимо намалена при кандесартан цилексетил, </w:t>
      </w:r>
      <w:r w:rsidRPr="00194F9F">
        <w:rPr>
          <w:rFonts w:eastAsia="Times New Roman" w:cs="Arial"/>
          <w:color w:val="000000"/>
          <w:lang w:val="en-US"/>
        </w:rPr>
        <w:t xml:space="preserve">HR </w:t>
      </w:r>
      <w:r w:rsidRPr="00194F9F">
        <w:rPr>
          <w:rFonts w:eastAsia="Times New Roman" w:cs="Arial"/>
          <w:color w:val="000000"/>
          <w:lang w:eastAsia="bg-BG"/>
        </w:rPr>
        <w:t xml:space="preserve">0,87 (95% </w:t>
      </w:r>
      <w:r w:rsidRPr="00194F9F">
        <w:rPr>
          <w:rFonts w:eastAsia="Times New Roman" w:cs="Arial"/>
          <w:color w:val="000000"/>
          <w:lang w:val="en-US"/>
        </w:rPr>
        <w:t xml:space="preserve">CI </w:t>
      </w:r>
      <w:r w:rsidRPr="00194F9F">
        <w:rPr>
          <w:rFonts w:eastAsia="Times New Roman" w:cs="Arial"/>
          <w:color w:val="000000"/>
          <w:lang w:eastAsia="bg-BG"/>
        </w:rPr>
        <w:t xml:space="preserve">0,78-0,98, р = 0,021). От пациентите на кандесартан 42,2% (95%С1: 39,5 до 45,0) и от пациентите на плацебо 46,1% (95%С1: 43,4 до 48,9), коти са имали тази крайна точка, абсолютната разлика 3,9% (95%С1: 7,8 до 0,1). И двете компоненти на тези съставни крайни точки — смъртността и заболеваемостта (хоспитализация поради ХСН) са допринесли за благоприятните ефекти на кандесартан цилексетил . Лечението с кандесартан цилексетил е довело до подобряване на функционалния клас по </w:t>
      </w:r>
      <w:r w:rsidRPr="00194F9F">
        <w:rPr>
          <w:rFonts w:eastAsia="Times New Roman" w:cs="Arial"/>
          <w:color w:val="000000"/>
          <w:lang w:val="en-US"/>
        </w:rPr>
        <w:t xml:space="preserve">NYHA </w:t>
      </w:r>
      <w:r w:rsidRPr="00194F9F">
        <w:rPr>
          <w:rFonts w:eastAsia="Times New Roman" w:cs="Arial"/>
          <w:color w:val="000000"/>
          <w:lang w:eastAsia="bg-BG"/>
        </w:rPr>
        <w:t>(р = 0,020).</w:t>
      </w:r>
    </w:p>
    <w:p w14:paraId="78B6EF9C" w14:textId="77777777" w:rsidR="00194F9F" w:rsidRPr="00194F9F" w:rsidRDefault="00194F9F" w:rsidP="00194F9F">
      <w:pPr>
        <w:spacing w:line="240" w:lineRule="auto"/>
        <w:rPr>
          <w:rFonts w:eastAsia="Times New Roman" w:cs="Arial"/>
          <w:color w:val="000000"/>
          <w:lang w:eastAsia="bg-BG"/>
        </w:rPr>
      </w:pPr>
    </w:p>
    <w:p w14:paraId="1DFA7D69" w14:textId="6C9A5B8C" w:rsidR="00194F9F" w:rsidRPr="00194F9F" w:rsidRDefault="00194F9F" w:rsidP="00194F9F">
      <w:pPr>
        <w:spacing w:line="240" w:lineRule="auto"/>
        <w:rPr>
          <w:rFonts w:eastAsia="Times New Roman" w:cs="Arial"/>
          <w:sz w:val="24"/>
          <w:szCs w:val="24"/>
          <w:lang w:eastAsia="bg-BG"/>
        </w:rPr>
      </w:pPr>
      <w:r w:rsidRPr="00194F9F">
        <w:rPr>
          <w:rFonts w:eastAsia="Times New Roman" w:cs="Arial"/>
          <w:color w:val="000000"/>
          <w:lang w:eastAsia="bg-BG"/>
        </w:rPr>
        <w:t xml:space="preserve">В </w:t>
      </w:r>
      <w:r w:rsidRPr="00194F9F">
        <w:rPr>
          <w:rFonts w:eastAsia="Times New Roman" w:cs="Arial"/>
          <w:color w:val="000000"/>
          <w:lang w:val="en-US"/>
        </w:rPr>
        <w:t xml:space="preserve">CHARM-Preserved, </w:t>
      </w:r>
      <w:r w:rsidRPr="00194F9F">
        <w:rPr>
          <w:rFonts w:eastAsia="Times New Roman" w:cs="Arial"/>
          <w:color w:val="000000"/>
          <w:lang w:eastAsia="bg-BG"/>
        </w:rPr>
        <w:t xml:space="preserve">не е постигнато статистически значимо намаляване на съставната крайна точка от сърдечно-съдова смъртност или първа хоспитализация поради ХСН, </w:t>
      </w:r>
      <w:r w:rsidRPr="00194F9F">
        <w:rPr>
          <w:rFonts w:eastAsia="Times New Roman" w:cs="Arial"/>
          <w:color w:val="000000"/>
          <w:lang w:val="en-US"/>
        </w:rPr>
        <w:t xml:space="preserve">HR </w:t>
      </w:r>
      <w:r w:rsidRPr="00194F9F">
        <w:rPr>
          <w:rFonts w:eastAsia="Times New Roman" w:cs="Arial"/>
          <w:color w:val="000000"/>
          <w:lang w:eastAsia="bg-BG"/>
        </w:rPr>
        <w:t>0,77 до 1,03, р=0,118).</w:t>
      </w:r>
    </w:p>
    <w:p w14:paraId="02D6FFDA" w14:textId="77777777" w:rsidR="00194F9F" w:rsidRPr="00194F9F" w:rsidRDefault="00194F9F" w:rsidP="00194F9F">
      <w:pPr>
        <w:rPr>
          <w:rFonts w:eastAsia="Times New Roman" w:cs="Arial"/>
          <w:color w:val="000000"/>
          <w:lang w:eastAsia="bg-BG"/>
        </w:rPr>
      </w:pPr>
    </w:p>
    <w:p w14:paraId="2A160F3A" w14:textId="77777777" w:rsidR="00194F9F" w:rsidRPr="00194F9F" w:rsidRDefault="00194F9F" w:rsidP="00194F9F">
      <w:pPr>
        <w:rPr>
          <w:rFonts w:ascii="Times New Roman" w:eastAsia="Times New Roman" w:hAnsi="Times New Roman" w:cs="Times New Roman"/>
          <w:sz w:val="24"/>
          <w:szCs w:val="24"/>
          <w:lang w:eastAsia="bg-BG"/>
        </w:rPr>
      </w:pPr>
      <w:r w:rsidRPr="00194F9F">
        <w:rPr>
          <w:rFonts w:eastAsia="Times New Roman" w:cs="Arial"/>
          <w:color w:val="000000"/>
          <w:lang w:eastAsia="bg-BG"/>
        </w:rPr>
        <w:lastRenderedPageBreak/>
        <w:t xml:space="preserve">Смъртността поради всякакви причини не е статистически значима при изследване поотделно при всяко от трите изпитвания </w:t>
      </w:r>
      <w:r w:rsidRPr="00194F9F">
        <w:rPr>
          <w:rFonts w:eastAsia="Times New Roman" w:cs="Arial"/>
          <w:color w:val="000000"/>
          <w:lang w:val="en-US"/>
        </w:rPr>
        <w:t xml:space="preserve">CHARM. </w:t>
      </w:r>
      <w:r w:rsidRPr="00194F9F">
        <w:rPr>
          <w:rFonts w:eastAsia="Times New Roman" w:cs="Arial"/>
          <w:color w:val="000000"/>
          <w:lang w:eastAsia="bg-BG"/>
        </w:rPr>
        <w:t>Смъртността поради всякакви причини обаче е</w:t>
      </w:r>
      <w:r>
        <w:rPr>
          <w:rFonts w:eastAsia="Times New Roman" w:cs="Arial"/>
          <w:color w:val="000000"/>
          <w:lang w:eastAsia="bg-BG"/>
        </w:rPr>
        <w:t xml:space="preserve"> </w:t>
      </w:r>
      <w:r w:rsidRPr="00194F9F">
        <w:rPr>
          <w:rFonts w:eastAsia="Times New Roman" w:cs="Arial"/>
          <w:color w:val="000000"/>
          <w:lang w:eastAsia="bg-BG"/>
        </w:rPr>
        <w:t xml:space="preserve">изследвана и при обобщените данни от популациите, </w:t>
      </w:r>
      <w:r w:rsidRPr="00194F9F">
        <w:rPr>
          <w:rFonts w:eastAsia="Times New Roman" w:cs="Arial"/>
          <w:color w:val="000000"/>
          <w:lang w:val="en-US"/>
        </w:rPr>
        <w:t>CHARM-</w:t>
      </w:r>
      <w:proofErr w:type="spellStart"/>
      <w:r w:rsidRPr="00194F9F">
        <w:rPr>
          <w:rFonts w:eastAsia="Times New Roman" w:cs="Arial"/>
          <w:color w:val="000000"/>
          <w:lang w:val="en-US"/>
        </w:rPr>
        <w:t>Altemative</w:t>
      </w:r>
      <w:proofErr w:type="spellEnd"/>
      <w:r w:rsidRPr="00194F9F">
        <w:rPr>
          <w:rFonts w:eastAsia="Times New Roman" w:cs="Arial"/>
          <w:color w:val="000000"/>
          <w:lang w:val="en-US"/>
        </w:rPr>
        <w:t xml:space="preserve"> </w:t>
      </w:r>
      <w:r w:rsidRPr="00194F9F">
        <w:rPr>
          <w:rFonts w:eastAsia="Times New Roman" w:cs="Arial"/>
          <w:color w:val="000000"/>
          <w:lang w:eastAsia="bg-BG"/>
        </w:rPr>
        <w:t xml:space="preserve">и </w:t>
      </w:r>
      <w:r w:rsidRPr="00194F9F">
        <w:rPr>
          <w:rFonts w:eastAsia="Times New Roman" w:cs="Arial"/>
          <w:color w:val="000000"/>
          <w:lang w:val="en-US"/>
        </w:rPr>
        <w:t xml:space="preserve">CHARM-Added, HR </w:t>
      </w:r>
      <w:r w:rsidRPr="00194F9F">
        <w:rPr>
          <w:rFonts w:eastAsia="Times New Roman" w:cs="Arial"/>
          <w:color w:val="000000"/>
          <w:lang w:eastAsia="bg-BG"/>
        </w:rPr>
        <w:t xml:space="preserve">0,88 (95% </w:t>
      </w:r>
      <w:r w:rsidRPr="00194F9F">
        <w:rPr>
          <w:rFonts w:eastAsia="Times New Roman" w:cs="Arial"/>
          <w:color w:val="000000"/>
          <w:lang w:val="en-US"/>
        </w:rPr>
        <w:t xml:space="preserve">CI </w:t>
      </w:r>
      <w:r w:rsidRPr="00194F9F">
        <w:rPr>
          <w:rFonts w:eastAsia="Times New Roman" w:cs="Arial"/>
          <w:color w:val="000000"/>
          <w:lang w:eastAsia="bg-BG"/>
        </w:rPr>
        <w:t xml:space="preserve">0,79 до 0,98, р=0,018) и при трите изпитвания, </w:t>
      </w:r>
      <w:r w:rsidRPr="00194F9F">
        <w:rPr>
          <w:rFonts w:eastAsia="Times New Roman" w:cs="Arial"/>
          <w:color w:val="000000"/>
          <w:lang w:val="en-US"/>
        </w:rPr>
        <w:t xml:space="preserve">HR </w:t>
      </w:r>
      <w:r w:rsidRPr="00194F9F">
        <w:rPr>
          <w:rFonts w:eastAsia="Times New Roman" w:cs="Arial"/>
          <w:color w:val="000000"/>
          <w:lang w:eastAsia="bg-BG"/>
        </w:rPr>
        <w:t xml:space="preserve">0,91 (95% </w:t>
      </w:r>
      <w:r w:rsidRPr="00194F9F">
        <w:rPr>
          <w:rFonts w:eastAsia="Times New Roman" w:cs="Arial"/>
          <w:color w:val="000000"/>
          <w:lang w:val="en-US"/>
        </w:rPr>
        <w:t xml:space="preserve">CI </w:t>
      </w:r>
      <w:r w:rsidRPr="00194F9F">
        <w:rPr>
          <w:rFonts w:eastAsia="Times New Roman" w:cs="Arial"/>
          <w:color w:val="000000"/>
          <w:lang w:eastAsia="bg-BG"/>
        </w:rPr>
        <w:t>0,83-1.00, р=0,055).</w:t>
      </w:r>
    </w:p>
    <w:p w14:paraId="6A795CC3" w14:textId="77777777" w:rsidR="00194F9F" w:rsidRDefault="00194F9F" w:rsidP="00194F9F">
      <w:pPr>
        <w:spacing w:line="240" w:lineRule="auto"/>
        <w:rPr>
          <w:rFonts w:ascii="Times New Roman" w:eastAsia="Times New Roman" w:hAnsi="Times New Roman" w:cs="Times New Roman"/>
          <w:color w:val="000000"/>
          <w:lang w:eastAsia="bg-BG"/>
        </w:rPr>
      </w:pPr>
    </w:p>
    <w:p w14:paraId="2B52F36C" w14:textId="4EC8051F" w:rsidR="00194F9F" w:rsidRPr="00194F9F" w:rsidRDefault="00194F9F" w:rsidP="00194F9F">
      <w:pPr>
        <w:spacing w:line="240" w:lineRule="auto"/>
        <w:rPr>
          <w:rFonts w:eastAsia="Times New Roman" w:cs="Arial"/>
          <w:sz w:val="24"/>
          <w:szCs w:val="24"/>
          <w:lang w:eastAsia="bg-BG"/>
        </w:rPr>
      </w:pPr>
      <w:r w:rsidRPr="00194F9F">
        <w:rPr>
          <w:rFonts w:eastAsia="Times New Roman" w:cs="Arial"/>
          <w:color w:val="000000"/>
          <w:lang w:eastAsia="bg-BG"/>
        </w:rPr>
        <w:t>Благоприятните ефекти на кандесартан са сходни, независимо от възрастта, пола и съпътстващото медикаментозно лечение. Кандесартан е ефективен и при пациенти, приемащи едновременно бета-блокери и АСЕ инхибитори, и има полза, независимо дали пациентите са приемали АСЕ инхибитори в прицелната доза, препоръчвана от указанията за лечение.</w:t>
      </w:r>
    </w:p>
    <w:p w14:paraId="11198AD0" w14:textId="77777777" w:rsidR="00194F9F" w:rsidRPr="00194F9F" w:rsidRDefault="00194F9F" w:rsidP="00194F9F">
      <w:pPr>
        <w:rPr>
          <w:rFonts w:eastAsia="Times New Roman" w:cs="Arial"/>
          <w:color w:val="000000"/>
          <w:lang w:eastAsia="bg-BG"/>
        </w:rPr>
      </w:pPr>
    </w:p>
    <w:p w14:paraId="17C8BF11" w14:textId="1BEF0E61" w:rsidR="00194F9F" w:rsidRPr="00194F9F" w:rsidRDefault="00194F9F" w:rsidP="00194F9F">
      <w:pPr>
        <w:rPr>
          <w:rFonts w:eastAsia="Times New Roman" w:cs="Arial"/>
          <w:color w:val="000000"/>
          <w:lang w:eastAsia="bg-BG"/>
        </w:rPr>
      </w:pPr>
      <w:r w:rsidRPr="00194F9F">
        <w:rPr>
          <w:rFonts w:eastAsia="Times New Roman" w:cs="Arial"/>
          <w:color w:val="000000"/>
          <w:lang w:eastAsia="bg-BG"/>
        </w:rPr>
        <w:t>При пациентите с ХСН и потисната систолна функция на лявата камера (левокамерна фракция на изтласкване, ЛКФИ ≤40%), кандесартан намалява системното съдово съпротивление и налягането в крайните белодробни капиляри, повишава активността на плазмения ренин и концентрацията на ангиотензин II и намалява стойностите на алдостерона.</w:t>
      </w:r>
    </w:p>
    <w:p w14:paraId="3D075749" w14:textId="77777777" w:rsidR="00194F9F" w:rsidRPr="00194F9F" w:rsidRDefault="00194F9F" w:rsidP="00194F9F">
      <w:pPr>
        <w:rPr>
          <w:rFonts w:cs="Arial"/>
        </w:rPr>
      </w:pPr>
    </w:p>
    <w:p w14:paraId="35F84B81" w14:textId="2B4CA3BA" w:rsidR="00CF77F7" w:rsidRDefault="002C50EE" w:rsidP="004A448E">
      <w:pPr>
        <w:pStyle w:val="Heading2"/>
      </w:pPr>
      <w:r>
        <w:t>5.2. Фармакокинетични свойства</w:t>
      </w:r>
    </w:p>
    <w:p w14:paraId="3631F32F" w14:textId="354B1908" w:rsidR="00194F9F" w:rsidRDefault="00194F9F" w:rsidP="00194F9F"/>
    <w:p w14:paraId="6A55B115" w14:textId="77777777" w:rsidR="00194F9F" w:rsidRPr="00E54A9D" w:rsidRDefault="00194F9F" w:rsidP="00E54A9D">
      <w:pPr>
        <w:pStyle w:val="Heading3"/>
        <w:rPr>
          <w:rFonts w:eastAsia="Times New Roman"/>
          <w:u w:val="single"/>
          <w:lang w:eastAsia="bg-BG"/>
        </w:rPr>
      </w:pPr>
      <w:r w:rsidRPr="00E54A9D">
        <w:rPr>
          <w:rFonts w:eastAsia="Times New Roman"/>
          <w:u w:val="single"/>
          <w:lang w:eastAsia="bg-BG"/>
        </w:rPr>
        <w:t>Абсорбиия и разпределение</w:t>
      </w:r>
    </w:p>
    <w:p w14:paraId="7477560E" w14:textId="77777777" w:rsidR="00194F9F" w:rsidRPr="00194F9F" w:rsidRDefault="00194F9F" w:rsidP="00194F9F">
      <w:pPr>
        <w:spacing w:line="240" w:lineRule="auto"/>
        <w:rPr>
          <w:rFonts w:eastAsia="Times New Roman" w:cs="Arial"/>
          <w:sz w:val="24"/>
          <w:szCs w:val="24"/>
          <w:lang w:eastAsia="bg-BG"/>
        </w:rPr>
      </w:pPr>
      <w:r w:rsidRPr="00194F9F">
        <w:rPr>
          <w:rFonts w:eastAsia="Times New Roman" w:cs="Arial"/>
          <w:color w:val="000000"/>
          <w:lang w:eastAsia="bg-BG"/>
        </w:rPr>
        <w:t>След перорално приложение кандесартан цилексетил се превръща в активното вещество кандесартан. Абсолютната бионаличност на кандесартан е приблизително 40% след приложение на разтвор за перорално приложение на кандесартан цилексетил. Относителната бионаличност на таблетната форма в сравнение със същия разтвор за перорално приложение е приблизително 34% с много малка вариабилност. Следователно изчислената абсолютна бионаличност на таблетката е 14%. Средната максимална серумна концентрация (</w:t>
      </w:r>
      <w:proofErr w:type="spellStart"/>
      <w:r w:rsidRPr="00194F9F">
        <w:rPr>
          <w:rFonts w:eastAsia="Times New Roman" w:cs="Arial"/>
          <w:color w:val="000000"/>
          <w:lang w:val="en-US"/>
        </w:rPr>
        <w:t>C</w:t>
      </w:r>
      <w:r w:rsidRPr="00194F9F">
        <w:rPr>
          <w:rFonts w:eastAsia="Times New Roman" w:cs="Arial"/>
          <w:color w:val="000000"/>
          <w:vertAlign w:val="subscript"/>
          <w:lang w:val="en-US"/>
        </w:rPr>
        <w:t>max</w:t>
      </w:r>
      <w:proofErr w:type="spellEnd"/>
      <w:r w:rsidRPr="00194F9F">
        <w:rPr>
          <w:rFonts w:eastAsia="Times New Roman" w:cs="Arial"/>
          <w:color w:val="000000"/>
          <w:lang w:eastAsia="bg-BG"/>
        </w:rPr>
        <w:t xml:space="preserve">) се достига 3-4 часа след приема на таблетката. Серумните концентрации на кандесартан нарастват линейно с увеличаване на дозите в терапевтичните дозови граници. Не са наблюдавани междуполови различия във фармакокинетиката на кандесартан. Площта под кривата серумна концентрация/ време </w:t>
      </w:r>
      <w:r w:rsidRPr="00194F9F">
        <w:rPr>
          <w:rFonts w:eastAsia="Times New Roman" w:cs="Arial"/>
          <w:color w:val="000000"/>
          <w:lang w:val="en-US"/>
        </w:rPr>
        <w:t xml:space="preserve">(AUC) </w:t>
      </w:r>
      <w:r w:rsidRPr="00194F9F">
        <w:rPr>
          <w:rFonts w:eastAsia="Times New Roman" w:cs="Arial"/>
          <w:color w:val="000000"/>
          <w:lang w:eastAsia="bg-BG"/>
        </w:rPr>
        <w:t>на кандесартан не се влияе значимо от храна.</w:t>
      </w:r>
    </w:p>
    <w:p w14:paraId="212D58B7" w14:textId="77777777" w:rsidR="00194F9F" w:rsidRPr="00194F9F" w:rsidRDefault="00194F9F" w:rsidP="00194F9F">
      <w:pPr>
        <w:spacing w:line="240" w:lineRule="auto"/>
        <w:rPr>
          <w:rFonts w:eastAsia="Times New Roman" w:cs="Arial"/>
          <w:sz w:val="24"/>
          <w:szCs w:val="24"/>
          <w:lang w:eastAsia="bg-BG"/>
        </w:rPr>
      </w:pPr>
      <w:r w:rsidRPr="00194F9F">
        <w:rPr>
          <w:rFonts w:eastAsia="Times New Roman" w:cs="Arial"/>
          <w:color w:val="000000"/>
          <w:lang w:eastAsia="bg-BG"/>
        </w:rPr>
        <w:t xml:space="preserve">Кандесартан се свързва с плазмените протеини във висока степен (над 99%). Видимият обем на разпределение на кандесартан е 0,1 </w:t>
      </w:r>
      <w:r w:rsidRPr="00194F9F">
        <w:rPr>
          <w:rFonts w:eastAsia="Times New Roman" w:cs="Arial"/>
          <w:color w:val="000000"/>
          <w:lang w:val="en-US"/>
        </w:rPr>
        <w:t>l/kg.</w:t>
      </w:r>
    </w:p>
    <w:p w14:paraId="2F3CCBBB" w14:textId="77777777" w:rsidR="00194F9F" w:rsidRPr="00194F9F" w:rsidRDefault="00194F9F" w:rsidP="00194F9F">
      <w:pPr>
        <w:spacing w:line="240" w:lineRule="auto"/>
        <w:rPr>
          <w:rFonts w:eastAsia="Times New Roman" w:cs="Arial"/>
          <w:color w:val="000000"/>
          <w:lang w:eastAsia="bg-BG"/>
        </w:rPr>
      </w:pPr>
    </w:p>
    <w:p w14:paraId="63B1213F" w14:textId="17EE6246" w:rsidR="00194F9F" w:rsidRPr="00194F9F" w:rsidRDefault="00194F9F" w:rsidP="00194F9F">
      <w:pPr>
        <w:spacing w:line="240" w:lineRule="auto"/>
        <w:rPr>
          <w:rFonts w:eastAsia="Times New Roman" w:cs="Arial"/>
          <w:sz w:val="24"/>
          <w:szCs w:val="24"/>
          <w:lang w:eastAsia="bg-BG"/>
        </w:rPr>
      </w:pPr>
      <w:r w:rsidRPr="00194F9F">
        <w:rPr>
          <w:rFonts w:eastAsia="Times New Roman" w:cs="Arial"/>
          <w:color w:val="000000"/>
          <w:lang w:eastAsia="bg-BG"/>
        </w:rPr>
        <w:t>Бионаличността на кандесартан не се повлиява от храна.</w:t>
      </w:r>
    </w:p>
    <w:p w14:paraId="767BB1D3" w14:textId="77777777" w:rsidR="00194F9F" w:rsidRPr="00194F9F" w:rsidRDefault="00194F9F" w:rsidP="00194F9F">
      <w:pPr>
        <w:spacing w:line="240" w:lineRule="auto"/>
        <w:rPr>
          <w:rFonts w:eastAsia="Times New Roman" w:cs="Arial"/>
          <w:i/>
          <w:iCs/>
          <w:color w:val="000000"/>
          <w:u w:val="single"/>
          <w:lang w:eastAsia="bg-BG"/>
        </w:rPr>
      </w:pPr>
    </w:p>
    <w:p w14:paraId="1D5553A4" w14:textId="4A609688" w:rsidR="00194F9F" w:rsidRPr="00E54A9D" w:rsidRDefault="00194F9F" w:rsidP="00E54A9D">
      <w:pPr>
        <w:pStyle w:val="Heading3"/>
        <w:rPr>
          <w:rFonts w:eastAsia="Times New Roman"/>
          <w:u w:val="single"/>
          <w:lang w:eastAsia="bg-BG"/>
        </w:rPr>
      </w:pPr>
      <w:r w:rsidRPr="00E54A9D">
        <w:rPr>
          <w:rFonts w:eastAsia="Times New Roman"/>
          <w:u w:val="single"/>
          <w:lang w:eastAsia="bg-BG"/>
        </w:rPr>
        <w:t>Биотрансформаиия и елиминиране</w:t>
      </w:r>
    </w:p>
    <w:p w14:paraId="6D7687AD" w14:textId="77777777" w:rsidR="00194F9F" w:rsidRPr="00194F9F" w:rsidRDefault="00194F9F" w:rsidP="00194F9F">
      <w:pPr>
        <w:spacing w:line="240" w:lineRule="auto"/>
        <w:rPr>
          <w:rFonts w:eastAsia="Times New Roman" w:cs="Arial"/>
          <w:sz w:val="24"/>
          <w:szCs w:val="24"/>
          <w:lang w:eastAsia="bg-BG"/>
        </w:rPr>
      </w:pPr>
      <w:r w:rsidRPr="00194F9F">
        <w:rPr>
          <w:rFonts w:eastAsia="Times New Roman" w:cs="Arial"/>
          <w:color w:val="000000"/>
          <w:lang w:eastAsia="bg-BG"/>
        </w:rPr>
        <w:t xml:space="preserve">Кандесартан се елиминира предимно в непроменена форма с урината и жлъчката и само в малка степен се елиминира чрез чернодробен метаболизъм </w:t>
      </w:r>
      <w:r w:rsidRPr="00194F9F">
        <w:rPr>
          <w:rFonts w:eastAsia="Times New Roman" w:cs="Arial"/>
          <w:color w:val="000000"/>
          <w:lang w:val="en-US"/>
        </w:rPr>
        <w:t xml:space="preserve">(CYP2C9). </w:t>
      </w:r>
      <w:r w:rsidRPr="00194F9F">
        <w:rPr>
          <w:rFonts w:eastAsia="Times New Roman" w:cs="Arial"/>
          <w:color w:val="000000"/>
          <w:lang w:eastAsia="bg-BG"/>
        </w:rPr>
        <w:t xml:space="preserve">Съществуващите проучвания на взаимодействията не показват влияние върху </w:t>
      </w:r>
      <w:r w:rsidRPr="00194F9F">
        <w:rPr>
          <w:rFonts w:eastAsia="Times New Roman" w:cs="Arial"/>
          <w:color w:val="000000"/>
          <w:lang w:val="en-US"/>
        </w:rPr>
        <w:t xml:space="preserve">CYP2C9 </w:t>
      </w:r>
      <w:r w:rsidRPr="00194F9F">
        <w:rPr>
          <w:rFonts w:eastAsia="Times New Roman" w:cs="Arial"/>
          <w:color w:val="000000"/>
          <w:lang w:eastAsia="bg-BG"/>
        </w:rPr>
        <w:t xml:space="preserve">и </w:t>
      </w:r>
      <w:r w:rsidRPr="00194F9F">
        <w:rPr>
          <w:rFonts w:eastAsia="Times New Roman" w:cs="Arial"/>
          <w:color w:val="000000"/>
          <w:lang w:val="en-US"/>
        </w:rPr>
        <w:t xml:space="preserve">CYP3A4. </w:t>
      </w:r>
      <w:r w:rsidRPr="00194F9F">
        <w:rPr>
          <w:rFonts w:eastAsia="Times New Roman" w:cs="Arial"/>
          <w:color w:val="000000"/>
          <w:lang w:eastAsia="bg-BG"/>
        </w:rPr>
        <w:t xml:space="preserve">Възоснова на </w:t>
      </w:r>
      <w:r w:rsidRPr="00194F9F">
        <w:rPr>
          <w:rFonts w:eastAsia="Times New Roman" w:cs="Arial"/>
          <w:i/>
          <w:iCs/>
          <w:color w:val="000000"/>
          <w:lang w:val="en-US"/>
        </w:rPr>
        <w:t>in vitro</w:t>
      </w:r>
      <w:r w:rsidRPr="00194F9F">
        <w:rPr>
          <w:rFonts w:eastAsia="Times New Roman" w:cs="Arial"/>
          <w:color w:val="000000"/>
          <w:lang w:val="en-US"/>
        </w:rPr>
        <w:t xml:space="preserve"> </w:t>
      </w:r>
      <w:r w:rsidRPr="00194F9F">
        <w:rPr>
          <w:rFonts w:eastAsia="Times New Roman" w:cs="Arial"/>
          <w:color w:val="000000"/>
          <w:lang w:eastAsia="bg-BG"/>
        </w:rPr>
        <w:t xml:space="preserve">днни не се очаква да се проявят взаимодействия </w:t>
      </w:r>
      <w:r w:rsidRPr="00194F9F">
        <w:rPr>
          <w:rFonts w:eastAsia="Times New Roman" w:cs="Arial"/>
          <w:i/>
          <w:iCs/>
          <w:color w:val="000000"/>
          <w:lang w:val="en-US"/>
        </w:rPr>
        <w:t>in vivo</w:t>
      </w:r>
      <w:r w:rsidRPr="00194F9F">
        <w:rPr>
          <w:rFonts w:eastAsia="Times New Roman" w:cs="Arial"/>
          <w:color w:val="000000"/>
          <w:lang w:val="en-US"/>
        </w:rPr>
        <w:t xml:space="preserve"> </w:t>
      </w:r>
      <w:r w:rsidRPr="00194F9F">
        <w:rPr>
          <w:rFonts w:eastAsia="Times New Roman" w:cs="Arial"/>
          <w:color w:val="000000"/>
          <w:lang w:eastAsia="bg-BG"/>
        </w:rPr>
        <w:t xml:space="preserve">с лекарствени продукти, чийто метаболизъм е зависим от цитохром Р450 изоензимите </w:t>
      </w:r>
      <w:r w:rsidRPr="00194F9F">
        <w:rPr>
          <w:rFonts w:eastAsia="Times New Roman" w:cs="Arial"/>
          <w:color w:val="000000"/>
          <w:lang w:val="en-US"/>
        </w:rPr>
        <w:t xml:space="preserve">CYP1A2, CYP2A6, CYP2C9, CYP2C19, CYP2D6, CYP2E1 </w:t>
      </w:r>
      <w:r w:rsidRPr="00194F9F">
        <w:rPr>
          <w:rFonts w:eastAsia="Times New Roman" w:cs="Arial"/>
          <w:color w:val="000000"/>
          <w:lang w:eastAsia="bg-BG"/>
        </w:rPr>
        <w:t xml:space="preserve">или </w:t>
      </w:r>
      <w:r w:rsidRPr="00194F9F">
        <w:rPr>
          <w:rFonts w:eastAsia="Times New Roman" w:cs="Arial"/>
          <w:color w:val="000000"/>
          <w:lang w:val="en-US"/>
        </w:rPr>
        <w:t xml:space="preserve">CYP3A4. </w:t>
      </w:r>
      <w:r w:rsidRPr="00194F9F">
        <w:rPr>
          <w:rFonts w:eastAsia="Times New Roman" w:cs="Arial"/>
          <w:color w:val="000000"/>
          <w:lang w:eastAsia="bg-BG"/>
        </w:rPr>
        <w:t>Терминалният елиминационен полуживот на кандесартан е приблизително 9 часа. Няма кумулиране след многократно приложение.</w:t>
      </w:r>
    </w:p>
    <w:p w14:paraId="30521B7D" w14:textId="77777777" w:rsidR="00194F9F" w:rsidRPr="00194F9F" w:rsidRDefault="00194F9F" w:rsidP="00194F9F">
      <w:pPr>
        <w:spacing w:line="240" w:lineRule="auto"/>
        <w:rPr>
          <w:rFonts w:eastAsia="Times New Roman" w:cs="Arial"/>
          <w:color w:val="000000"/>
          <w:lang w:eastAsia="bg-BG"/>
        </w:rPr>
      </w:pPr>
    </w:p>
    <w:p w14:paraId="773FF486" w14:textId="2BBDEDA2" w:rsidR="00194F9F" w:rsidRPr="00194F9F" w:rsidRDefault="00194F9F" w:rsidP="00194F9F">
      <w:pPr>
        <w:spacing w:line="240" w:lineRule="auto"/>
        <w:rPr>
          <w:rFonts w:eastAsia="Times New Roman" w:cs="Arial"/>
          <w:sz w:val="24"/>
          <w:szCs w:val="24"/>
          <w:lang w:eastAsia="bg-BG"/>
        </w:rPr>
      </w:pPr>
      <w:r w:rsidRPr="00194F9F">
        <w:rPr>
          <w:rFonts w:eastAsia="Times New Roman" w:cs="Arial"/>
          <w:color w:val="000000"/>
          <w:lang w:eastAsia="bg-BG"/>
        </w:rPr>
        <w:t xml:space="preserve">Общият плазмен клирънс на кандесартан е около 0,37 </w:t>
      </w:r>
      <w:r w:rsidRPr="00194F9F">
        <w:rPr>
          <w:rFonts w:eastAsia="Times New Roman" w:cs="Arial"/>
          <w:color w:val="000000"/>
          <w:lang w:val="en-US"/>
        </w:rPr>
        <w:t xml:space="preserve">ml/min/kg, </w:t>
      </w:r>
      <w:r w:rsidRPr="00194F9F">
        <w:rPr>
          <w:rFonts w:eastAsia="Times New Roman" w:cs="Arial"/>
          <w:color w:val="000000"/>
          <w:lang w:eastAsia="bg-BG"/>
        </w:rPr>
        <w:t xml:space="preserve">като бъбречният клирънс е около 0,19 </w:t>
      </w:r>
      <w:r w:rsidRPr="00194F9F">
        <w:rPr>
          <w:rFonts w:eastAsia="Times New Roman" w:cs="Arial"/>
          <w:color w:val="000000"/>
          <w:lang w:val="en-US"/>
        </w:rPr>
        <w:t xml:space="preserve">ml/min/kg. </w:t>
      </w:r>
      <w:r w:rsidRPr="00194F9F">
        <w:rPr>
          <w:rFonts w:eastAsia="Times New Roman" w:cs="Arial"/>
          <w:color w:val="000000"/>
          <w:lang w:eastAsia="bg-BG"/>
        </w:rPr>
        <w:t xml:space="preserve">Елиминирането на кандесартан през бъбреците се </w:t>
      </w:r>
      <w:r w:rsidRPr="00194F9F">
        <w:rPr>
          <w:rFonts w:eastAsia="Times New Roman" w:cs="Arial"/>
          <w:color w:val="000000"/>
          <w:lang w:eastAsia="bg-BG"/>
        </w:rPr>
        <w:lastRenderedPageBreak/>
        <w:t xml:space="preserve">осъществява и чрез гломерулна филтрация, и чрез активна тубулна секреция. След перорално приложение на </w:t>
      </w:r>
      <w:r w:rsidRPr="00194F9F">
        <w:rPr>
          <w:rFonts w:eastAsia="Times New Roman" w:cs="Arial"/>
          <w:color w:val="000000"/>
          <w:vertAlign w:val="superscript"/>
          <w:lang w:eastAsia="bg-BG"/>
        </w:rPr>
        <w:t>14</w:t>
      </w:r>
      <w:r w:rsidRPr="00194F9F">
        <w:rPr>
          <w:rFonts w:eastAsia="Times New Roman" w:cs="Arial"/>
          <w:color w:val="000000"/>
          <w:lang w:eastAsia="bg-BG"/>
        </w:rPr>
        <w:t>С- белязан кандесартан цилексетил, приблизително 26% от дозата се екскретира в урината като кандесартан и 7% като неактивен метаболит, а приблизително 56% от дозата се открива във фекалиите като кандесартан и 10% като неактивен метаболит.</w:t>
      </w:r>
    </w:p>
    <w:p w14:paraId="00828F3E" w14:textId="77777777" w:rsidR="00194F9F" w:rsidRPr="00194F9F" w:rsidRDefault="00194F9F" w:rsidP="00194F9F">
      <w:pPr>
        <w:spacing w:line="240" w:lineRule="auto"/>
        <w:rPr>
          <w:rFonts w:eastAsia="Times New Roman" w:cs="Arial"/>
          <w:i/>
          <w:iCs/>
          <w:color w:val="000000"/>
          <w:u w:val="single"/>
          <w:lang w:eastAsia="bg-BG"/>
        </w:rPr>
      </w:pPr>
    </w:p>
    <w:p w14:paraId="6B94C278" w14:textId="0261E45E" w:rsidR="00194F9F" w:rsidRPr="00E54A9D" w:rsidRDefault="00194F9F" w:rsidP="00E54A9D">
      <w:pPr>
        <w:pStyle w:val="Heading3"/>
        <w:rPr>
          <w:rFonts w:eastAsia="Times New Roman"/>
          <w:u w:val="single"/>
          <w:lang w:eastAsia="bg-BG"/>
        </w:rPr>
      </w:pPr>
      <w:bookmarkStart w:id="2" w:name="_GoBack"/>
      <w:r w:rsidRPr="00E54A9D">
        <w:rPr>
          <w:rFonts w:eastAsia="Times New Roman"/>
          <w:u w:val="single"/>
          <w:lang w:eastAsia="bg-BG"/>
        </w:rPr>
        <w:t>Фармакокинетика при спеииални популации</w:t>
      </w:r>
    </w:p>
    <w:bookmarkEnd w:id="2"/>
    <w:p w14:paraId="3FC646C2" w14:textId="77777777" w:rsidR="00194F9F" w:rsidRPr="00194F9F" w:rsidRDefault="00194F9F" w:rsidP="00194F9F">
      <w:pPr>
        <w:rPr>
          <w:rFonts w:ascii="Times New Roman" w:eastAsia="Times New Roman" w:hAnsi="Times New Roman" w:cs="Times New Roman"/>
          <w:sz w:val="24"/>
          <w:szCs w:val="24"/>
          <w:lang w:eastAsia="bg-BG"/>
        </w:rPr>
      </w:pPr>
      <w:r w:rsidRPr="00194F9F">
        <w:rPr>
          <w:rFonts w:eastAsia="Times New Roman" w:cs="Arial"/>
          <w:color w:val="000000"/>
          <w:lang w:eastAsia="bg-BG"/>
        </w:rPr>
        <w:t>При лица в старческа възраст (над 65 години) С</w:t>
      </w:r>
      <w:r w:rsidRPr="00194F9F">
        <w:rPr>
          <w:rFonts w:eastAsia="Times New Roman" w:cs="Arial"/>
          <w:color w:val="000000"/>
          <w:vertAlign w:val="subscript"/>
          <w:lang w:val="en-US"/>
        </w:rPr>
        <w:t xml:space="preserve">max </w:t>
      </w:r>
      <w:r w:rsidRPr="00194F9F">
        <w:rPr>
          <w:rFonts w:eastAsia="Times New Roman" w:cs="Arial"/>
          <w:color w:val="000000"/>
          <w:lang w:eastAsia="bg-BG"/>
        </w:rPr>
        <w:t xml:space="preserve">и </w:t>
      </w:r>
      <w:r w:rsidRPr="00194F9F">
        <w:rPr>
          <w:rFonts w:eastAsia="Times New Roman" w:cs="Arial"/>
          <w:color w:val="000000"/>
          <w:lang w:val="en-US"/>
        </w:rPr>
        <w:t xml:space="preserve">AUC </w:t>
      </w:r>
      <w:r w:rsidRPr="00194F9F">
        <w:rPr>
          <w:rFonts w:eastAsia="Times New Roman" w:cs="Arial"/>
          <w:color w:val="000000"/>
          <w:lang w:eastAsia="bg-BG"/>
        </w:rPr>
        <w:t>на кандесартан се  увеличават приблизително с 50% и 80% съответно в сравнение с млади индивиди Повлияването на кръвното налягане и честотата на нежеланите лекарствени реакции, обаче са</w:t>
      </w:r>
      <w:r>
        <w:rPr>
          <w:rFonts w:eastAsia="Times New Roman" w:cs="Arial"/>
          <w:color w:val="000000"/>
          <w:lang w:eastAsia="bg-BG"/>
        </w:rPr>
        <w:t xml:space="preserve"> </w:t>
      </w:r>
      <w:r w:rsidRPr="00194F9F">
        <w:rPr>
          <w:rFonts w:eastAsia="Times New Roman" w:cs="Arial"/>
          <w:color w:val="000000"/>
          <w:lang w:eastAsia="bg-BG"/>
        </w:rPr>
        <w:t>подобни след определена доза Кандекард при млади пациенти и пациенти в старческа възраст (вж. точка 4.2).</w:t>
      </w:r>
    </w:p>
    <w:p w14:paraId="70AF3D70" w14:textId="77777777" w:rsidR="00194F9F" w:rsidRDefault="00194F9F" w:rsidP="00194F9F">
      <w:pPr>
        <w:spacing w:line="240" w:lineRule="auto"/>
        <w:rPr>
          <w:rFonts w:ascii="Times New Roman" w:eastAsia="Times New Roman" w:hAnsi="Times New Roman" w:cs="Times New Roman"/>
          <w:color w:val="000000"/>
          <w:lang w:eastAsia="bg-BG"/>
        </w:rPr>
      </w:pPr>
    </w:p>
    <w:p w14:paraId="34956050" w14:textId="79C4098C" w:rsidR="00194F9F" w:rsidRPr="00194F9F" w:rsidRDefault="00194F9F" w:rsidP="00194F9F">
      <w:pPr>
        <w:spacing w:line="240" w:lineRule="auto"/>
        <w:rPr>
          <w:rFonts w:eastAsia="Times New Roman" w:cs="Arial"/>
          <w:sz w:val="24"/>
          <w:szCs w:val="24"/>
          <w:lang w:eastAsia="bg-BG"/>
        </w:rPr>
      </w:pPr>
      <w:r w:rsidRPr="00194F9F">
        <w:rPr>
          <w:rFonts w:eastAsia="Times New Roman" w:cs="Arial"/>
          <w:color w:val="000000"/>
          <w:lang w:eastAsia="bg-BG"/>
        </w:rPr>
        <w:t>При пациенти с леко до умерено бъбречно увреждане С</w:t>
      </w:r>
      <w:r w:rsidRPr="00194F9F">
        <w:rPr>
          <w:rFonts w:eastAsia="Times New Roman" w:cs="Arial"/>
          <w:color w:val="000000"/>
          <w:vertAlign w:val="subscript"/>
          <w:lang w:val="en-US"/>
        </w:rPr>
        <w:t>max</w:t>
      </w:r>
      <w:r w:rsidRPr="00194F9F">
        <w:rPr>
          <w:rFonts w:eastAsia="Times New Roman" w:cs="Arial"/>
          <w:color w:val="000000"/>
          <w:lang w:eastAsia="bg-BG"/>
        </w:rPr>
        <w:t xml:space="preserve"> и </w:t>
      </w:r>
      <w:r w:rsidRPr="00194F9F">
        <w:rPr>
          <w:rFonts w:eastAsia="Times New Roman" w:cs="Arial"/>
          <w:color w:val="000000"/>
          <w:lang w:val="en-US"/>
        </w:rPr>
        <w:t xml:space="preserve">AUC </w:t>
      </w:r>
      <w:r w:rsidRPr="00194F9F">
        <w:rPr>
          <w:rFonts w:eastAsia="Times New Roman" w:cs="Arial"/>
          <w:color w:val="000000"/>
          <w:lang w:eastAsia="bg-BG"/>
        </w:rPr>
        <w:t xml:space="preserve">на кандесартан се повишават при многократно приложение съответно с приблизително 50% и 70%, но </w:t>
      </w:r>
      <w:r w:rsidRPr="00194F9F">
        <w:rPr>
          <w:rFonts w:eastAsia="Times New Roman" w:cs="Arial"/>
          <w:color w:val="000000"/>
          <w:lang w:val="en-US"/>
        </w:rPr>
        <w:t>t</w:t>
      </w:r>
      <w:r w:rsidRPr="00194F9F">
        <w:rPr>
          <w:rFonts w:eastAsia="Times New Roman" w:cs="Arial"/>
          <w:color w:val="000000"/>
          <w:vertAlign w:val="subscript"/>
          <w:lang w:val="en-US"/>
        </w:rPr>
        <w:t>1/2</w:t>
      </w:r>
      <w:r w:rsidRPr="00194F9F">
        <w:rPr>
          <w:rFonts w:eastAsia="Times New Roman" w:cs="Arial"/>
          <w:color w:val="000000"/>
          <w:lang w:val="en-US"/>
        </w:rPr>
        <w:t xml:space="preserve"> </w:t>
      </w:r>
      <w:r w:rsidRPr="00194F9F">
        <w:rPr>
          <w:rFonts w:eastAsia="Times New Roman" w:cs="Arial"/>
          <w:color w:val="000000"/>
          <w:lang w:eastAsia="bg-BG"/>
        </w:rPr>
        <w:t>не се променя в сравнение с пациентите с нормална бъбречна функция. Съответстващите промени при пациенти с тежко бъбречно увреждане са приблизително 50% и 110%, съответно.</w:t>
      </w:r>
    </w:p>
    <w:p w14:paraId="619C9CC0" w14:textId="77777777" w:rsidR="00194F9F" w:rsidRPr="00194F9F" w:rsidRDefault="00194F9F" w:rsidP="00194F9F">
      <w:pPr>
        <w:spacing w:line="240" w:lineRule="auto"/>
        <w:rPr>
          <w:rFonts w:eastAsia="Times New Roman" w:cs="Arial"/>
          <w:sz w:val="24"/>
          <w:szCs w:val="24"/>
          <w:lang w:eastAsia="bg-BG"/>
        </w:rPr>
      </w:pPr>
      <w:r w:rsidRPr="00194F9F">
        <w:rPr>
          <w:rFonts w:eastAsia="Times New Roman" w:cs="Arial"/>
          <w:color w:val="000000"/>
          <w:lang w:eastAsia="bg-BG"/>
        </w:rPr>
        <w:t xml:space="preserve">Терминалното </w:t>
      </w:r>
      <w:r w:rsidRPr="00194F9F">
        <w:rPr>
          <w:rFonts w:eastAsia="Times New Roman" w:cs="Arial"/>
          <w:color w:val="000000"/>
          <w:lang w:val="en-US"/>
        </w:rPr>
        <w:t>t</w:t>
      </w:r>
      <w:r w:rsidRPr="00194F9F">
        <w:rPr>
          <w:rFonts w:eastAsia="Times New Roman" w:cs="Arial"/>
          <w:color w:val="000000"/>
          <w:vertAlign w:val="subscript"/>
          <w:lang w:val="en-US"/>
        </w:rPr>
        <w:t>1/2</w:t>
      </w:r>
      <w:r w:rsidRPr="00194F9F">
        <w:rPr>
          <w:rFonts w:eastAsia="Times New Roman" w:cs="Arial"/>
          <w:color w:val="000000"/>
          <w:lang w:eastAsia="bg-BG"/>
        </w:rPr>
        <w:t xml:space="preserve"> на кандесартан приблизително се удвоява при пациенти с тежко бъбречно увреждане. </w:t>
      </w:r>
      <w:r w:rsidRPr="00194F9F">
        <w:rPr>
          <w:rFonts w:eastAsia="Times New Roman" w:cs="Arial"/>
          <w:color w:val="000000"/>
          <w:lang w:val="en-US"/>
        </w:rPr>
        <w:t xml:space="preserve">AUC </w:t>
      </w:r>
      <w:r w:rsidRPr="00194F9F">
        <w:rPr>
          <w:rFonts w:eastAsia="Times New Roman" w:cs="Arial"/>
          <w:color w:val="000000"/>
          <w:lang w:eastAsia="bg-BG"/>
        </w:rPr>
        <w:t>на кандесартан при пациенти на хемодиализа е подобна на тази при пациенти с тежко бъбречно увреждане.</w:t>
      </w:r>
    </w:p>
    <w:p w14:paraId="3A092F57" w14:textId="77777777" w:rsidR="00194F9F" w:rsidRPr="00194F9F" w:rsidRDefault="00194F9F" w:rsidP="00194F9F">
      <w:pPr>
        <w:spacing w:line="240" w:lineRule="auto"/>
        <w:rPr>
          <w:rFonts w:eastAsia="Times New Roman" w:cs="Arial"/>
          <w:color w:val="000000"/>
          <w:lang w:eastAsia="bg-BG"/>
        </w:rPr>
      </w:pPr>
    </w:p>
    <w:p w14:paraId="50365AB9" w14:textId="0DD4DC04" w:rsidR="00194F9F" w:rsidRPr="00194F9F" w:rsidRDefault="00194F9F" w:rsidP="00194F9F">
      <w:pPr>
        <w:spacing w:line="240" w:lineRule="auto"/>
        <w:rPr>
          <w:rFonts w:eastAsia="Times New Roman" w:cs="Arial"/>
          <w:sz w:val="24"/>
          <w:szCs w:val="24"/>
          <w:lang w:eastAsia="bg-BG"/>
        </w:rPr>
      </w:pPr>
      <w:r w:rsidRPr="00194F9F">
        <w:rPr>
          <w:rFonts w:eastAsia="Times New Roman" w:cs="Arial"/>
          <w:color w:val="000000"/>
          <w:lang w:eastAsia="bg-BG"/>
        </w:rPr>
        <w:t xml:space="preserve">В две проучвания, включващи пациенти с леко до умерено чернодробно увреждане, се наблюдава повишение на средната </w:t>
      </w:r>
      <w:r w:rsidRPr="00194F9F">
        <w:rPr>
          <w:rFonts w:eastAsia="Times New Roman" w:cs="Arial"/>
          <w:color w:val="000000"/>
          <w:lang w:val="en-US"/>
        </w:rPr>
        <w:t xml:space="preserve">AUC </w:t>
      </w:r>
      <w:r w:rsidRPr="00194F9F">
        <w:rPr>
          <w:rFonts w:eastAsia="Times New Roman" w:cs="Arial"/>
          <w:color w:val="000000"/>
          <w:lang w:eastAsia="bg-BG"/>
        </w:rPr>
        <w:t>на кандесартан с приблизително 20% в едното проучване и 80% в другото проучване (вж. точка 4.2). Няма опит при пациенти с тежко чернодробно увреждане.</w:t>
      </w:r>
    </w:p>
    <w:p w14:paraId="327703BD" w14:textId="77777777" w:rsidR="00194F9F" w:rsidRPr="00194F9F" w:rsidRDefault="00194F9F" w:rsidP="00194F9F">
      <w:pPr>
        <w:spacing w:line="240" w:lineRule="auto"/>
        <w:rPr>
          <w:rFonts w:eastAsia="Times New Roman" w:cs="Arial"/>
          <w:i/>
          <w:iCs/>
          <w:color w:val="000000"/>
          <w:lang w:eastAsia="bg-BG"/>
        </w:rPr>
      </w:pPr>
    </w:p>
    <w:p w14:paraId="50435767" w14:textId="0D69E4B1" w:rsidR="00194F9F" w:rsidRPr="00194F9F" w:rsidRDefault="00194F9F" w:rsidP="00194F9F">
      <w:pPr>
        <w:spacing w:line="240" w:lineRule="auto"/>
        <w:rPr>
          <w:rFonts w:eastAsia="Times New Roman" w:cs="Arial"/>
          <w:sz w:val="24"/>
          <w:szCs w:val="24"/>
          <w:lang w:eastAsia="bg-BG"/>
        </w:rPr>
      </w:pPr>
      <w:r w:rsidRPr="00194F9F">
        <w:rPr>
          <w:rFonts w:eastAsia="Times New Roman" w:cs="Arial"/>
          <w:i/>
          <w:iCs/>
          <w:color w:val="000000"/>
          <w:lang w:eastAsia="bg-BG"/>
        </w:rPr>
        <w:t>Педиатрична популация</w:t>
      </w:r>
    </w:p>
    <w:p w14:paraId="427CEF59" w14:textId="77777777" w:rsidR="00194F9F" w:rsidRPr="00194F9F" w:rsidRDefault="00194F9F" w:rsidP="00194F9F">
      <w:pPr>
        <w:spacing w:line="240" w:lineRule="auto"/>
        <w:rPr>
          <w:rFonts w:eastAsia="Times New Roman" w:cs="Arial"/>
          <w:sz w:val="24"/>
          <w:szCs w:val="24"/>
          <w:lang w:eastAsia="bg-BG"/>
        </w:rPr>
      </w:pPr>
      <w:r w:rsidRPr="00194F9F">
        <w:rPr>
          <w:rFonts w:eastAsia="Times New Roman" w:cs="Arial"/>
          <w:color w:val="000000"/>
          <w:lang w:eastAsia="bg-BG"/>
        </w:rPr>
        <w:t>Фармакокинетичните свойства на кандесартан са проучвани при деца на възраст от 1 до под 6 години и от 6 до под 17 години с хипертония, в две ФК изпитвания с единични дози.</w:t>
      </w:r>
    </w:p>
    <w:p w14:paraId="4C17DBC5" w14:textId="77777777" w:rsidR="00194F9F" w:rsidRPr="00194F9F" w:rsidRDefault="00194F9F" w:rsidP="00194F9F">
      <w:pPr>
        <w:spacing w:line="240" w:lineRule="auto"/>
        <w:rPr>
          <w:rFonts w:eastAsia="Times New Roman" w:cs="Arial"/>
          <w:color w:val="000000"/>
          <w:lang w:eastAsia="bg-BG"/>
        </w:rPr>
      </w:pPr>
    </w:p>
    <w:p w14:paraId="4DF6F682" w14:textId="1AD72E4C" w:rsidR="00194F9F" w:rsidRPr="00194F9F" w:rsidRDefault="00194F9F" w:rsidP="00194F9F">
      <w:pPr>
        <w:spacing w:line="240" w:lineRule="auto"/>
        <w:rPr>
          <w:rFonts w:eastAsia="Times New Roman" w:cs="Arial"/>
          <w:sz w:val="24"/>
          <w:szCs w:val="24"/>
          <w:lang w:eastAsia="bg-BG"/>
        </w:rPr>
      </w:pPr>
      <w:r w:rsidRPr="00194F9F">
        <w:rPr>
          <w:rFonts w:eastAsia="Times New Roman" w:cs="Arial"/>
          <w:color w:val="000000"/>
          <w:lang w:eastAsia="bg-BG"/>
        </w:rPr>
        <w:t xml:space="preserve">В групата на възраст от 1 до под 6 години 10 деца с тегло от 10 до под 25 </w:t>
      </w:r>
      <w:r w:rsidRPr="00194F9F">
        <w:rPr>
          <w:rFonts w:eastAsia="Times New Roman" w:cs="Arial"/>
          <w:color w:val="000000"/>
          <w:lang w:val="en-US"/>
        </w:rPr>
        <w:t xml:space="preserve">kg </w:t>
      </w:r>
      <w:r w:rsidRPr="00194F9F">
        <w:rPr>
          <w:rFonts w:eastAsia="Times New Roman" w:cs="Arial"/>
          <w:color w:val="000000"/>
          <w:lang w:eastAsia="bg-BG"/>
        </w:rPr>
        <w:t xml:space="preserve">са приемали единична доза 0,2 </w:t>
      </w:r>
      <w:r w:rsidRPr="00194F9F">
        <w:rPr>
          <w:rFonts w:eastAsia="Times New Roman" w:cs="Arial"/>
          <w:color w:val="000000"/>
          <w:lang w:val="en-US"/>
        </w:rPr>
        <w:t xml:space="preserve">mg/kg </w:t>
      </w:r>
      <w:r w:rsidRPr="00194F9F">
        <w:rPr>
          <w:rFonts w:eastAsia="Times New Roman" w:cs="Arial"/>
          <w:color w:val="000000"/>
          <w:lang w:eastAsia="bg-BG"/>
        </w:rPr>
        <w:t>от перорална суспензия. Не е наблюдавана взаимовръзка между С</w:t>
      </w:r>
      <w:r w:rsidRPr="00194F9F">
        <w:rPr>
          <w:rFonts w:eastAsia="Times New Roman" w:cs="Arial"/>
          <w:color w:val="000000"/>
          <w:vertAlign w:val="subscript"/>
          <w:lang w:val="en-US"/>
        </w:rPr>
        <w:t>max</w:t>
      </w:r>
      <w:r w:rsidRPr="00194F9F">
        <w:rPr>
          <w:rFonts w:eastAsia="Times New Roman" w:cs="Arial"/>
          <w:color w:val="000000"/>
          <w:lang w:eastAsia="bg-BG"/>
        </w:rPr>
        <w:t xml:space="preserve"> и </w:t>
      </w:r>
      <w:r w:rsidRPr="00194F9F">
        <w:rPr>
          <w:rFonts w:eastAsia="Times New Roman" w:cs="Arial"/>
          <w:color w:val="000000"/>
          <w:lang w:val="en-US"/>
        </w:rPr>
        <w:t xml:space="preserve">AUC </w:t>
      </w:r>
      <w:r w:rsidRPr="00194F9F">
        <w:rPr>
          <w:rFonts w:eastAsia="Times New Roman" w:cs="Arial"/>
          <w:color w:val="000000"/>
          <w:lang w:eastAsia="bg-BG"/>
        </w:rPr>
        <w:t>с възрастта и теглото.</w:t>
      </w:r>
    </w:p>
    <w:p w14:paraId="165BB684" w14:textId="77777777" w:rsidR="00194F9F" w:rsidRPr="00194F9F" w:rsidRDefault="00194F9F" w:rsidP="00194F9F">
      <w:pPr>
        <w:spacing w:line="240" w:lineRule="auto"/>
        <w:rPr>
          <w:rFonts w:eastAsia="Times New Roman" w:cs="Arial"/>
          <w:sz w:val="24"/>
          <w:szCs w:val="24"/>
          <w:lang w:eastAsia="bg-BG"/>
        </w:rPr>
      </w:pPr>
      <w:r w:rsidRPr="00194F9F">
        <w:rPr>
          <w:rFonts w:eastAsia="Times New Roman" w:cs="Arial"/>
          <w:color w:val="000000"/>
          <w:lang w:eastAsia="bg-BG"/>
        </w:rPr>
        <w:t>Не са събирани данни относно елиминирането, поради което не е известно дали има взаимовръзка между елиминирането и теглото/възрастта при тази популация.</w:t>
      </w:r>
    </w:p>
    <w:p w14:paraId="0640E3B9" w14:textId="77777777" w:rsidR="00194F9F" w:rsidRPr="00194F9F" w:rsidRDefault="00194F9F" w:rsidP="00194F9F">
      <w:pPr>
        <w:spacing w:line="240" w:lineRule="auto"/>
        <w:rPr>
          <w:rFonts w:eastAsia="Times New Roman" w:cs="Arial"/>
          <w:color w:val="000000"/>
          <w:lang w:eastAsia="bg-BG"/>
        </w:rPr>
      </w:pPr>
    </w:p>
    <w:p w14:paraId="57759EE6" w14:textId="4A56FD51" w:rsidR="00194F9F" w:rsidRPr="00194F9F" w:rsidRDefault="00194F9F" w:rsidP="00194F9F">
      <w:pPr>
        <w:spacing w:line="240" w:lineRule="auto"/>
        <w:rPr>
          <w:rFonts w:eastAsia="Times New Roman" w:cs="Arial"/>
          <w:sz w:val="24"/>
          <w:szCs w:val="24"/>
          <w:lang w:eastAsia="bg-BG"/>
        </w:rPr>
      </w:pPr>
      <w:r w:rsidRPr="00194F9F">
        <w:rPr>
          <w:rFonts w:eastAsia="Times New Roman" w:cs="Arial"/>
          <w:color w:val="000000"/>
          <w:lang w:eastAsia="bg-BG"/>
        </w:rPr>
        <w:t xml:space="preserve">В групата на възраст от 6 до под 17 години 22 деца са приемали единична доза от 16 </w:t>
      </w:r>
      <w:r w:rsidRPr="00194F9F">
        <w:rPr>
          <w:rFonts w:eastAsia="Times New Roman" w:cs="Arial"/>
          <w:color w:val="000000"/>
          <w:lang w:val="en-US"/>
        </w:rPr>
        <w:t xml:space="preserve">mg </w:t>
      </w:r>
      <w:r w:rsidRPr="00194F9F">
        <w:rPr>
          <w:rFonts w:eastAsia="Times New Roman" w:cs="Arial"/>
          <w:color w:val="000000"/>
          <w:lang w:eastAsia="bg-BG"/>
        </w:rPr>
        <w:t>таблетки. Не е установена взаимовръзка между С</w:t>
      </w:r>
      <w:r w:rsidRPr="00194F9F">
        <w:rPr>
          <w:rFonts w:eastAsia="Times New Roman" w:cs="Arial"/>
          <w:color w:val="000000"/>
          <w:vertAlign w:val="subscript"/>
          <w:lang w:val="en-US"/>
        </w:rPr>
        <w:t>max</w:t>
      </w:r>
      <w:r w:rsidRPr="00194F9F">
        <w:rPr>
          <w:rFonts w:eastAsia="Times New Roman" w:cs="Arial"/>
          <w:color w:val="000000"/>
          <w:lang w:eastAsia="bg-BG"/>
        </w:rPr>
        <w:t xml:space="preserve"> и </w:t>
      </w:r>
      <w:r w:rsidRPr="00194F9F">
        <w:rPr>
          <w:rFonts w:eastAsia="Times New Roman" w:cs="Arial"/>
          <w:color w:val="000000"/>
          <w:lang w:val="en-US"/>
        </w:rPr>
        <w:t xml:space="preserve">AUC </w:t>
      </w:r>
      <w:r w:rsidRPr="00194F9F">
        <w:rPr>
          <w:rFonts w:eastAsia="Times New Roman" w:cs="Arial"/>
          <w:color w:val="000000"/>
          <w:lang w:eastAsia="bg-BG"/>
        </w:rPr>
        <w:t>с възрастта. Изглежда, обаче, че теглото значително корелира с С</w:t>
      </w:r>
      <w:r w:rsidRPr="00194F9F">
        <w:rPr>
          <w:rFonts w:eastAsia="Times New Roman" w:cs="Arial"/>
          <w:color w:val="000000"/>
          <w:vertAlign w:val="subscript"/>
          <w:lang w:val="en-US"/>
        </w:rPr>
        <w:t>max</w:t>
      </w:r>
      <w:r w:rsidRPr="00194F9F">
        <w:rPr>
          <w:rFonts w:eastAsia="Times New Roman" w:cs="Arial"/>
          <w:color w:val="000000"/>
          <w:lang w:eastAsia="bg-BG"/>
        </w:rPr>
        <w:t xml:space="preserve"> (р=0,012) и </w:t>
      </w:r>
      <w:r w:rsidRPr="00194F9F">
        <w:rPr>
          <w:rFonts w:eastAsia="Times New Roman" w:cs="Arial"/>
          <w:color w:val="000000"/>
          <w:lang w:val="en-US"/>
        </w:rPr>
        <w:t xml:space="preserve">AUC </w:t>
      </w:r>
      <w:r w:rsidRPr="00194F9F">
        <w:rPr>
          <w:rFonts w:eastAsia="Times New Roman" w:cs="Arial"/>
          <w:color w:val="000000"/>
          <w:lang w:eastAsia="bg-BG"/>
        </w:rPr>
        <w:t>(р=0,011). Не са събирани данни относно елиминирането, поради което не е известно дали има взаимовръзка между елиминирането и теглото/възрастта при тази популация.</w:t>
      </w:r>
    </w:p>
    <w:p w14:paraId="242B7BFC" w14:textId="77777777" w:rsidR="00194F9F" w:rsidRPr="00194F9F" w:rsidRDefault="00194F9F" w:rsidP="00194F9F">
      <w:pPr>
        <w:spacing w:line="240" w:lineRule="auto"/>
        <w:rPr>
          <w:rFonts w:eastAsia="Times New Roman" w:cs="Arial"/>
          <w:color w:val="000000"/>
          <w:lang w:eastAsia="bg-BG"/>
        </w:rPr>
      </w:pPr>
    </w:p>
    <w:p w14:paraId="565DB931" w14:textId="026CD4C7" w:rsidR="00194F9F" w:rsidRPr="00194F9F" w:rsidRDefault="00194F9F" w:rsidP="00194F9F">
      <w:pPr>
        <w:spacing w:line="240" w:lineRule="auto"/>
        <w:rPr>
          <w:rFonts w:eastAsia="Times New Roman" w:cs="Arial"/>
          <w:sz w:val="24"/>
          <w:szCs w:val="24"/>
          <w:lang w:eastAsia="bg-BG"/>
        </w:rPr>
      </w:pPr>
      <w:r w:rsidRPr="00194F9F">
        <w:rPr>
          <w:rFonts w:eastAsia="Times New Roman" w:cs="Arial"/>
          <w:color w:val="000000"/>
          <w:lang w:eastAsia="bg-BG"/>
        </w:rPr>
        <w:t>При децата на възраст под 6 години експозицията е сходна с тази при възрастни пациенти, приели същата доза.</w:t>
      </w:r>
    </w:p>
    <w:p w14:paraId="411924AC" w14:textId="77777777" w:rsidR="00194F9F" w:rsidRPr="00194F9F" w:rsidRDefault="00194F9F" w:rsidP="00194F9F">
      <w:pPr>
        <w:rPr>
          <w:rFonts w:eastAsia="Times New Roman" w:cs="Arial"/>
          <w:color w:val="000000"/>
          <w:lang w:eastAsia="bg-BG"/>
        </w:rPr>
      </w:pPr>
    </w:p>
    <w:p w14:paraId="29158DB2" w14:textId="3340340A" w:rsidR="00194F9F" w:rsidRPr="00194F9F" w:rsidRDefault="00194F9F" w:rsidP="00194F9F">
      <w:pPr>
        <w:rPr>
          <w:rFonts w:eastAsia="Times New Roman" w:cs="Arial"/>
          <w:color w:val="000000"/>
          <w:lang w:eastAsia="bg-BG"/>
        </w:rPr>
      </w:pPr>
      <w:r w:rsidRPr="00194F9F">
        <w:rPr>
          <w:rFonts w:eastAsia="Times New Roman" w:cs="Arial"/>
          <w:color w:val="000000"/>
          <w:lang w:eastAsia="bg-BG"/>
        </w:rPr>
        <w:t>Фармакокинетиката на кандесартан цилексетил не е проучвана при педиатрични пациенти на възраст под 1 година.</w:t>
      </w:r>
    </w:p>
    <w:p w14:paraId="5E91C302" w14:textId="53FAAF8D" w:rsidR="00194F9F" w:rsidRPr="00194F9F" w:rsidRDefault="00194F9F" w:rsidP="00194F9F">
      <w:pPr>
        <w:rPr>
          <w:rFonts w:eastAsia="Times New Roman" w:cs="Arial"/>
          <w:color w:val="000000"/>
          <w:lang w:eastAsia="bg-BG"/>
        </w:rPr>
      </w:pPr>
    </w:p>
    <w:p w14:paraId="648E39DA" w14:textId="6C710BC5" w:rsidR="00CF77F7" w:rsidRDefault="002C50EE" w:rsidP="004A448E">
      <w:pPr>
        <w:pStyle w:val="Heading2"/>
      </w:pPr>
      <w:r>
        <w:lastRenderedPageBreak/>
        <w:t>5.3. Предклинични данни за безопасност</w:t>
      </w:r>
    </w:p>
    <w:p w14:paraId="47DD8658" w14:textId="1877A886" w:rsidR="00194F9F" w:rsidRDefault="00194F9F" w:rsidP="00194F9F"/>
    <w:p w14:paraId="6BCD79C4" w14:textId="77777777" w:rsidR="00194F9F" w:rsidRPr="00194F9F" w:rsidRDefault="00194F9F" w:rsidP="00194F9F">
      <w:pPr>
        <w:spacing w:line="240" w:lineRule="auto"/>
        <w:rPr>
          <w:rFonts w:eastAsia="Times New Roman" w:cs="Arial"/>
          <w:sz w:val="24"/>
          <w:szCs w:val="24"/>
          <w:lang w:eastAsia="bg-BG"/>
        </w:rPr>
      </w:pPr>
      <w:r w:rsidRPr="00194F9F">
        <w:rPr>
          <w:rFonts w:eastAsia="Times New Roman" w:cs="Arial"/>
          <w:color w:val="000000"/>
          <w:lang w:eastAsia="bg-BG"/>
        </w:rPr>
        <w:t>Няма данни за абнормна системна токсичност или токсичност на прицелните органи при клинично приложими дози. При предклинични изпитвания за безопасност кандесартан е оказал въздействие върху бъбреците и стойностите на червените кръвни клетки след приложение във високи дози при мишки, плъхове, кучета и маймуни. Кандесартан предизвиква намаление на параметрите на червените кръвни клетки (еритроцити, хемоглобин, хематокрит).</w:t>
      </w:r>
    </w:p>
    <w:p w14:paraId="4188EC41" w14:textId="5D055C69" w:rsidR="00194F9F" w:rsidRPr="00194F9F" w:rsidRDefault="00194F9F" w:rsidP="00194F9F">
      <w:pPr>
        <w:rPr>
          <w:rFonts w:eastAsia="Times New Roman" w:cs="Arial"/>
          <w:color w:val="000000"/>
          <w:lang w:eastAsia="bg-BG"/>
        </w:rPr>
      </w:pPr>
      <w:r w:rsidRPr="00194F9F">
        <w:rPr>
          <w:rFonts w:eastAsia="Times New Roman" w:cs="Arial"/>
          <w:color w:val="000000"/>
          <w:lang w:eastAsia="bg-BG"/>
        </w:rPr>
        <w:t xml:space="preserve">Въздействието върху бъбреците (като интсрстициалсн нефрит, тубулна дистснзия, базофилни тубули; повишена плазмена концентрация на урея и креатинин) са предизвикани от кандесартан, което може да е резултат от хипотензивния ефект, водещ до промени на бъбречната перфузия. Освен това, кандесартан индуцира хиперплазия/хипертрофия на юкстагломерулните клетки. Счита се, че тези промени са причинени от фармакологичното действие на кандесартан. При терапевтични дози кандесартан при хора  </w:t>
      </w:r>
      <w:r w:rsidRPr="00194F9F">
        <w:rPr>
          <w:rFonts w:eastAsia="Times New Roman" w:cs="Arial"/>
          <w:i/>
          <w:iCs/>
          <w:color w:val="000000"/>
          <w:lang w:eastAsia="bg-BG"/>
        </w:rPr>
        <w:t xml:space="preserve"> </w:t>
      </w:r>
      <w:r w:rsidRPr="00194F9F">
        <w:rPr>
          <w:rFonts w:eastAsia="Times New Roman" w:cs="Arial"/>
          <w:color w:val="000000"/>
          <w:lang w:eastAsia="bg-BG"/>
        </w:rPr>
        <w:t>хиперплазията/хипертрофията на бъбречните юкстагломерулни клетки изглежда няма някакво значение.</w:t>
      </w:r>
    </w:p>
    <w:p w14:paraId="31B71FBB" w14:textId="59491EE0" w:rsidR="00194F9F" w:rsidRPr="00194F9F" w:rsidRDefault="00194F9F" w:rsidP="00194F9F">
      <w:pPr>
        <w:rPr>
          <w:rFonts w:eastAsia="Times New Roman" w:cs="Arial"/>
          <w:color w:val="000000"/>
          <w:lang w:eastAsia="bg-BG"/>
        </w:rPr>
      </w:pPr>
    </w:p>
    <w:p w14:paraId="33974A7F" w14:textId="77777777" w:rsidR="00194F9F" w:rsidRPr="00194F9F" w:rsidRDefault="00194F9F" w:rsidP="00194F9F">
      <w:pPr>
        <w:spacing w:line="240" w:lineRule="auto"/>
        <w:rPr>
          <w:rFonts w:eastAsia="Times New Roman" w:cs="Arial"/>
          <w:sz w:val="24"/>
          <w:szCs w:val="24"/>
          <w:lang w:eastAsia="bg-BG"/>
        </w:rPr>
      </w:pPr>
      <w:r w:rsidRPr="00194F9F">
        <w:rPr>
          <w:rFonts w:eastAsia="Times New Roman" w:cs="Arial"/>
          <w:color w:val="000000"/>
          <w:lang w:eastAsia="bg-BG"/>
        </w:rPr>
        <w:t>Наблюдавана е фетотоксичност при късна бременност (вж. точка 4.6).</w:t>
      </w:r>
    </w:p>
    <w:p w14:paraId="328CD90A" w14:textId="77777777" w:rsidR="00194F9F" w:rsidRPr="00194F9F" w:rsidRDefault="00194F9F" w:rsidP="00194F9F">
      <w:pPr>
        <w:spacing w:line="240" w:lineRule="auto"/>
        <w:rPr>
          <w:rFonts w:eastAsia="Times New Roman" w:cs="Arial"/>
          <w:color w:val="000000"/>
          <w:lang w:eastAsia="bg-BG"/>
        </w:rPr>
      </w:pPr>
    </w:p>
    <w:p w14:paraId="4E11B5E4" w14:textId="10D0BA6E" w:rsidR="00194F9F" w:rsidRPr="00194F9F" w:rsidRDefault="00194F9F" w:rsidP="00194F9F">
      <w:pPr>
        <w:spacing w:line="240" w:lineRule="auto"/>
        <w:rPr>
          <w:rFonts w:eastAsia="Times New Roman" w:cs="Arial"/>
          <w:sz w:val="24"/>
          <w:szCs w:val="24"/>
          <w:lang w:eastAsia="bg-BG"/>
        </w:rPr>
      </w:pPr>
      <w:r w:rsidRPr="00194F9F">
        <w:rPr>
          <w:rFonts w:eastAsia="Times New Roman" w:cs="Arial"/>
          <w:color w:val="000000"/>
          <w:lang w:eastAsia="bg-BG"/>
        </w:rPr>
        <w:t xml:space="preserve">В предклинични проучвания при нормотензивни новородени и млади плъхове кандесартан е довел до понижение на телесното тегло и теглото на сърцето. Както и при възрастните индивиди, счита се, че тези ефекти се дължат на фармакологичното действие на кандесартан. При най-ниската доза от 10 </w:t>
      </w:r>
      <w:r w:rsidRPr="00194F9F">
        <w:rPr>
          <w:rFonts w:eastAsia="Times New Roman" w:cs="Arial"/>
          <w:color w:val="000000"/>
          <w:lang w:val="en-US"/>
        </w:rPr>
        <w:t xml:space="preserve">mg/kg </w:t>
      </w:r>
      <w:r w:rsidRPr="00194F9F">
        <w:rPr>
          <w:rFonts w:eastAsia="Times New Roman" w:cs="Arial"/>
          <w:color w:val="000000"/>
          <w:lang w:eastAsia="bg-BG"/>
        </w:rPr>
        <w:t xml:space="preserve">експозицията на кандесартан е била между 12 и 78 пъти над нивата, установени при деца на възраст от 1 до под 6 години, приемали кандесартан цилексетил в доза от 0,2 </w:t>
      </w:r>
      <w:r w:rsidRPr="00194F9F">
        <w:rPr>
          <w:rFonts w:eastAsia="Times New Roman" w:cs="Arial"/>
          <w:color w:val="000000"/>
          <w:lang w:val="en-US"/>
        </w:rPr>
        <w:t xml:space="preserve">mg/kg, </w:t>
      </w:r>
      <w:r w:rsidRPr="00194F9F">
        <w:rPr>
          <w:rFonts w:eastAsia="Times New Roman" w:cs="Arial"/>
          <w:color w:val="000000"/>
          <w:lang w:eastAsia="bg-BG"/>
        </w:rPr>
        <w:t xml:space="preserve">и от 7 до 54 пъти над експозицията, наблюдавана при деца на възраст от 6 до под 17 години, приемали кандесартан цилексетил в доза от 16 </w:t>
      </w:r>
      <w:r w:rsidRPr="00194F9F">
        <w:rPr>
          <w:rFonts w:eastAsia="Times New Roman" w:cs="Arial"/>
          <w:color w:val="000000"/>
          <w:lang w:val="en-US"/>
        </w:rPr>
        <w:t xml:space="preserve">mg. </w:t>
      </w:r>
      <w:r w:rsidRPr="00194F9F">
        <w:rPr>
          <w:rFonts w:eastAsia="Times New Roman" w:cs="Arial"/>
          <w:color w:val="000000"/>
          <w:lang w:eastAsia="bg-BG"/>
        </w:rPr>
        <w:t>Тъй като в тези проучвания не е имало ниво без наблюдавани ефекти, границата на безопасност по отношение ефектите върху теглото на сърцето и клиничното значение на тези находки са неизвестни.</w:t>
      </w:r>
    </w:p>
    <w:p w14:paraId="245C695F" w14:textId="77777777" w:rsidR="00194F9F" w:rsidRPr="00194F9F" w:rsidRDefault="00194F9F" w:rsidP="00194F9F">
      <w:pPr>
        <w:spacing w:line="240" w:lineRule="auto"/>
        <w:rPr>
          <w:rFonts w:eastAsia="Times New Roman" w:cs="Arial"/>
          <w:color w:val="000000"/>
          <w:lang w:eastAsia="bg-BG"/>
        </w:rPr>
      </w:pPr>
    </w:p>
    <w:p w14:paraId="187BB7CF" w14:textId="606F2E9F" w:rsidR="00194F9F" w:rsidRPr="00194F9F" w:rsidRDefault="00194F9F" w:rsidP="00194F9F">
      <w:pPr>
        <w:spacing w:line="240" w:lineRule="auto"/>
        <w:rPr>
          <w:rFonts w:eastAsia="Times New Roman" w:cs="Arial"/>
          <w:sz w:val="24"/>
          <w:szCs w:val="24"/>
          <w:lang w:eastAsia="bg-BG"/>
        </w:rPr>
      </w:pPr>
      <w:r w:rsidRPr="00194F9F">
        <w:rPr>
          <w:rFonts w:eastAsia="Times New Roman" w:cs="Arial"/>
          <w:color w:val="000000"/>
          <w:lang w:eastAsia="bg-BG"/>
        </w:rPr>
        <w:t xml:space="preserve">Данни от проучванията на мутагенността </w:t>
      </w:r>
      <w:r w:rsidRPr="00194F9F">
        <w:rPr>
          <w:rFonts w:eastAsia="Times New Roman" w:cs="Arial"/>
          <w:i/>
          <w:iCs/>
          <w:color w:val="000000"/>
          <w:lang w:val="en-US"/>
        </w:rPr>
        <w:t>in vitro</w:t>
      </w:r>
      <w:r w:rsidRPr="00194F9F">
        <w:rPr>
          <w:rFonts w:eastAsia="Times New Roman" w:cs="Arial"/>
          <w:color w:val="000000"/>
          <w:lang w:val="en-US"/>
        </w:rPr>
        <w:t xml:space="preserve"> </w:t>
      </w:r>
      <w:r w:rsidRPr="00194F9F">
        <w:rPr>
          <w:rFonts w:eastAsia="Times New Roman" w:cs="Arial"/>
          <w:color w:val="000000"/>
          <w:lang w:eastAsia="bg-BG"/>
        </w:rPr>
        <w:t xml:space="preserve">и </w:t>
      </w:r>
      <w:r w:rsidRPr="00194F9F">
        <w:rPr>
          <w:rFonts w:eastAsia="Times New Roman" w:cs="Arial"/>
          <w:i/>
          <w:iCs/>
          <w:color w:val="000000"/>
          <w:lang w:val="en-US"/>
        </w:rPr>
        <w:t>in vivo</w:t>
      </w:r>
      <w:r w:rsidRPr="00194F9F">
        <w:rPr>
          <w:rFonts w:eastAsia="Times New Roman" w:cs="Arial"/>
          <w:color w:val="000000"/>
          <w:lang w:val="en-US"/>
        </w:rPr>
        <w:t xml:space="preserve"> </w:t>
      </w:r>
      <w:r w:rsidRPr="00194F9F">
        <w:rPr>
          <w:rFonts w:eastAsia="Times New Roman" w:cs="Arial"/>
          <w:color w:val="000000"/>
          <w:lang w:eastAsia="bg-BG"/>
        </w:rPr>
        <w:t>показват, че кандесартан няма мутагенна или кластогенна активност в условията на клинична употреба.</w:t>
      </w:r>
    </w:p>
    <w:p w14:paraId="14FB4C5F" w14:textId="77777777" w:rsidR="00194F9F" w:rsidRPr="00194F9F" w:rsidRDefault="00194F9F" w:rsidP="00194F9F">
      <w:pPr>
        <w:spacing w:line="240" w:lineRule="auto"/>
        <w:rPr>
          <w:rFonts w:eastAsia="Times New Roman" w:cs="Arial"/>
          <w:color w:val="000000"/>
          <w:lang w:eastAsia="bg-BG"/>
        </w:rPr>
      </w:pPr>
    </w:p>
    <w:p w14:paraId="5D473AB7" w14:textId="084332AA" w:rsidR="00194F9F" w:rsidRPr="00194F9F" w:rsidRDefault="00194F9F" w:rsidP="00194F9F">
      <w:pPr>
        <w:spacing w:line="240" w:lineRule="auto"/>
        <w:rPr>
          <w:rFonts w:eastAsia="Times New Roman" w:cs="Arial"/>
          <w:sz w:val="24"/>
          <w:szCs w:val="24"/>
          <w:lang w:eastAsia="bg-BG"/>
        </w:rPr>
      </w:pPr>
      <w:r w:rsidRPr="00194F9F">
        <w:rPr>
          <w:rFonts w:eastAsia="Times New Roman" w:cs="Arial"/>
          <w:color w:val="000000"/>
          <w:lang w:eastAsia="bg-BG"/>
        </w:rPr>
        <w:t>Няма данни за канцерогенност.</w:t>
      </w:r>
    </w:p>
    <w:p w14:paraId="2A755CD7" w14:textId="77777777" w:rsidR="00194F9F" w:rsidRPr="00194F9F" w:rsidRDefault="00194F9F" w:rsidP="00194F9F">
      <w:pPr>
        <w:rPr>
          <w:rFonts w:eastAsia="Times New Roman" w:cs="Arial"/>
          <w:color w:val="000000"/>
          <w:lang w:eastAsia="bg-BG"/>
        </w:rPr>
      </w:pPr>
    </w:p>
    <w:p w14:paraId="65325E53" w14:textId="42C9BC54" w:rsidR="00194F9F" w:rsidRDefault="00194F9F" w:rsidP="00194F9F">
      <w:pPr>
        <w:rPr>
          <w:rFonts w:eastAsia="Times New Roman" w:cs="Arial"/>
          <w:color w:val="000000"/>
          <w:lang w:eastAsia="bg-BG"/>
        </w:rPr>
      </w:pPr>
      <w:r w:rsidRPr="00194F9F">
        <w:rPr>
          <w:rFonts w:eastAsia="Times New Roman" w:cs="Arial"/>
          <w:color w:val="000000"/>
          <w:lang w:eastAsia="bg-BG"/>
        </w:rPr>
        <w:t>Ренин-ангиотензин-алдостероновата система играе съществена роля при вътреутробното развитие на бъбречната система. Доказано е, че блокадата на ренин-ангиотензин- алдостероновата система води до патологично развитие на бъбреците при много млади мишки. Приложението на лекарствени продукти, които оказват пряко действие върху ренин- ангиотензин-алдостероновата система, може да промени нормалното бъбречно развитие. Поради това децата на възраст под 1 година не трябва да приемат Кандекард (вж. точка 4.3).</w:t>
      </w:r>
    </w:p>
    <w:p w14:paraId="504AC14D" w14:textId="77777777" w:rsidR="00194F9F" w:rsidRPr="00194F9F" w:rsidRDefault="00194F9F" w:rsidP="00194F9F">
      <w:pPr>
        <w:rPr>
          <w:rFonts w:cs="Arial"/>
        </w:rPr>
      </w:pPr>
    </w:p>
    <w:p w14:paraId="6A7820AB" w14:textId="3525BB43" w:rsidR="008A6AF2" w:rsidRDefault="002C50EE" w:rsidP="00395555">
      <w:pPr>
        <w:pStyle w:val="Heading1"/>
      </w:pPr>
      <w:r>
        <w:t>7. ПРИТЕЖАТЕЛ НА РАЗРЕШЕНИЕТО ЗА УПОТРЕБА</w:t>
      </w:r>
    </w:p>
    <w:p w14:paraId="038DB8E2" w14:textId="6EFA6AC6" w:rsidR="00194F9F" w:rsidRDefault="00194F9F" w:rsidP="00194F9F"/>
    <w:p w14:paraId="05D0573E" w14:textId="77777777" w:rsidR="00194F9F" w:rsidRPr="00194F9F" w:rsidRDefault="00194F9F" w:rsidP="00194F9F">
      <w:pPr>
        <w:spacing w:line="240" w:lineRule="auto"/>
        <w:rPr>
          <w:rFonts w:eastAsia="Times New Roman" w:cs="Arial"/>
          <w:sz w:val="24"/>
          <w:szCs w:val="24"/>
          <w:lang w:val="en-US" w:eastAsia="bg-BG"/>
        </w:rPr>
      </w:pPr>
      <w:r w:rsidRPr="00194F9F">
        <w:rPr>
          <w:rFonts w:eastAsia="Times New Roman" w:cs="Arial"/>
          <w:color w:val="000000"/>
          <w:lang w:val="en-US"/>
        </w:rPr>
        <w:t xml:space="preserve">Sandoz </w:t>
      </w:r>
      <w:proofErr w:type="spellStart"/>
      <w:r w:rsidRPr="00194F9F">
        <w:rPr>
          <w:rFonts w:eastAsia="Times New Roman" w:cs="Arial"/>
          <w:color w:val="000000"/>
          <w:lang w:val="en-US"/>
        </w:rPr>
        <w:t>d.d</w:t>
      </w:r>
      <w:proofErr w:type="spellEnd"/>
      <w:r w:rsidRPr="00194F9F">
        <w:rPr>
          <w:rFonts w:eastAsia="Times New Roman" w:cs="Arial"/>
          <w:color w:val="000000"/>
          <w:lang w:val="en-US"/>
        </w:rPr>
        <w:t>.</w:t>
      </w:r>
    </w:p>
    <w:p w14:paraId="24AFA00B" w14:textId="77777777" w:rsidR="00194F9F" w:rsidRPr="00194F9F" w:rsidRDefault="00194F9F" w:rsidP="00194F9F">
      <w:pPr>
        <w:spacing w:line="240" w:lineRule="auto"/>
        <w:rPr>
          <w:rFonts w:eastAsia="Times New Roman" w:cs="Arial"/>
          <w:sz w:val="24"/>
          <w:szCs w:val="24"/>
          <w:lang w:val="en-US" w:eastAsia="bg-BG"/>
        </w:rPr>
      </w:pPr>
      <w:proofErr w:type="spellStart"/>
      <w:r w:rsidRPr="00194F9F">
        <w:rPr>
          <w:rFonts w:eastAsia="Times New Roman" w:cs="Arial"/>
          <w:color w:val="000000"/>
          <w:lang w:val="en-US"/>
        </w:rPr>
        <w:t>Verov</w:t>
      </w:r>
      <w:proofErr w:type="spellEnd"/>
      <w:r w:rsidRPr="00194F9F">
        <w:rPr>
          <w:rFonts w:eastAsia="Times New Roman" w:cs="Arial"/>
          <w:color w:val="000000"/>
          <w:lang w:eastAsia="bg-BG"/>
        </w:rPr>
        <w:t>š</w:t>
      </w:r>
      <w:proofErr w:type="spellStart"/>
      <w:r w:rsidRPr="00194F9F">
        <w:rPr>
          <w:rFonts w:eastAsia="Times New Roman" w:cs="Arial"/>
          <w:color w:val="000000"/>
          <w:lang w:val="en-US"/>
        </w:rPr>
        <w:t>kova</w:t>
      </w:r>
      <w:proofErr w:type="spellEnd"/>
      <w:r w:rsidRPr="00194F9F">
        <w:rPr>
          <w:rFonts w:eastAsia="Times New Roman" w:cs="Arial"/>
          <w:color w:val="000000"/>
          <w:lang w:val="en-US"/>
        </w:rPr>
        <w:t xml:space="preserve"> </w:t>
      </w:r>
      <w:r w:rsidRPr="00194F9F">
        <w:rPr>
          <w:rFonts w:eastAsia="Times New Roman" w:cs="Arial"/>
          <w:color w:val="000000"/>
          <w:lang w:eastAsia="bg-BG"/>
        </w:rPr>
        <w:t xml:space="preserve">57, 1000 </w:t>
      </w:r>
      <w:r w:rsidRPr="00194F9F">
        <w:rPr>
          <w:rFonts w:eastAsia="Times New Roman" w:cs="Arial"/>
          <w:color w:val="000000"/>
          <w:lang w:val="en-US"/>
        </w:rPr>
        <w:t>Ljubljana</w:t>
      </w:r>
    </w:p>
    <w:p w14:paraId="17DF225F" w14:textId="6C838F98" w:rsidR="00194F9F" w:rsidRPr="00194F9F" w:rsidRDefault="00194F9F" w:rsidP="00194F9F">
      <w:pPr>
        <w:rPr>
          <w:rFonts w:eastAsia="Times New Roman" w:cs="Arial"/>
          <w:color w:val="000000"/>
          <w:lang w:eastAsia="bg-BG"/>
        </w:rPr>
      </w:pPr>
      <w:r w:rsidRPr="00194F9F">
        <w:rPr>
          <w:rFonts w:eastAsia="Times New Roman" w:cs="Arial"/>
          <w:color w:val="000000"/>
          <w:lang w:eastAsia="bg-BG"/>
        </w:rPr>
        <w:t>Словения</w:t>
      </w:r>
    </w:p>
    <w:p w14:paraId="0E28ABAA" w14:textId="77777777" w:rsidR="00194F9F" w:rsidRPr="00194F9F" w:rsidRDefault="00194F9F" w:rsidP="00194F9F"/>
    <w:p w14:paraId="7BA1BA64" w14:textId="494E57EC" w:rsidR="00CF77F7" w:rsidRDefault="002C50EE" w:rsidP="004A448E">
      <w:pPr>
        <w:pStyle w:val="Heading1"/>
      </w:pPr>
      <w:r>
        <w:t>8. НОМЕР НА РАЗРЕШЕНИЕТО ЗА УПОТРЕБА</w:t>
      </w:r>
    </w:p>
    <w:p w14:paraId="5D8FD74B" w14:textId="72433AED" w:rsidR="00194F9F" w:rsidRDefault="00194F9F" w:rsidP="00194F9F"/>
    <w:p w14:paraId="300743CA" w14:textId="77777777" w:rsidR="00194F9F" w:rsidRPr="00194F9F" w:rsidRDefault="00194F9F" w:rsidP="00194F9F">
      <w:pPr>
        <w:spacing w:line="240" w:lineRule="auto"/>
        <w:rPr>
          <w:rFonts w:eastAsia="Times New Roman" w:cs="Arial"/>
          <w:sz w:val="24"/>
          <w:szCs w:val="24"/>
          <w:lang w:eastAsia="bg-BG"/>
        </w:rPr>
      </w:pPr>
      <w:r w:rsidRPr="00194F9F">
        <w:rPr>
          <w:rFonts w:eastAsia="Times New Roman" w:cs="Arial"/>
          <w:color w:val="000000"/>
          <w:lang w:eastAsia="bg-BG"/>
        </w:rPr>
        <w:t xml:space="preserve">16 </w:t>
      </w:r>
      <w:r w:rsidRPr="00194F9F">
        <w:rPr>
          <w:rFonts w:eastAsia="Times New Roman" w:cs="Arial"/>
          <w:color w:val="000000"/>
          <w:lang w:val="en-US"/>
        </w:rPr>
        <w:t xml:space="preserve">mg </w:t>
      </w:r>
      <w:r w:rsidRPr="00194F9F">
        <w:rPr>
          <w:rFonts w:eastAsia="Times New Roman" w:cs="Arial"/>
          <w:color w:val="000000"/>
          <w:lang w:eastAsia="bg-BG"/>
        </w:rPr>
        <w:t>20090263</w:t>
      </w:r>
    </w:p>
    <w:p w14:paraId="18387868" w14:textId="21C07673" w:rsidR="00194F9F" w:rsidRPr="00194F9F" w:rsidRDefault="00194F9F" w:rsidP="00194F9F">
      <w:pPr>
        <w:rPr>
          <w:rFonts w:cs="Arial"/>
        </w:rPr>
      </w:pPr>
      <w:r w:rsidRPr="00194F9F">
        <w:rPr>
          <w:rFonts w:eastAsia="Times New Roman" w:cs="Arial"/>
          <w:color w:val="000000"/>
          <w:lang w:eastAsia="bg-BG"/>
        </w:rPr>
        <w:t xml:space="preserve">32 </w:t>
      </w:r>
      <w:r w:rsidRPr="00194F9F">
        <w:rPr>
          <w:rFonts w:eastAsia="Times New Roman" w:cs="Arial"/>
          <w:color w:val="000000"/>
          <w:lang w:val="en-US"/>
        </w:rPr>
        <w:t>mg 20090264</w:t>
      </w:r>
    </w:p>
    <w:p w14:paraId="65ED5DF4" w14:textId="77777777" w:rsidR="00194F9F" w:rsidRPr="00194F9F" w:rsidRDefault="00194F9F" w:rsidP="00194F9F"/>
    <w:p w14:paraId="2CCB5832" w14:textId="6F8CD9FD" w:rsidR="007C605B" w:rsidRDefault="002C50EE" w:rsidP="007C605B">
      <w:pPr>
        <w:pStyle w:val="Heading1"/>
      </w:pPr>
      <w:r>
        <w:t>9. ДАТА НА ПЪРВО РАЗРЕШАВАНЕ/ПОДНОВЯВАНЕ НА РАЗРЕШЕНИЕТО ЗА УПОТРЕБА</w:t>
      </w:r>
    </w:p>
    <w:p w14:paraId="0993B24E" w14:textId="022C0353" w:rsidR="00194F9F" w:rsidRDefault="00194F9F" w:rsidP="00194F9F"/>
    <w:p w14:paraId="3843AE86" w14:textId="77777777" w:rsidR="00194F9F" w:rsidRPr="00194F9F" w:rsidRDefault="00194F9F" w:rsidP="00194F9F">
      <w:pPr>
        <w:spacing w:line="240" w:lineRule="auto"/>
        <w:rPr>
          <w:rFonts w:eastAsia="Times New Roman" w:cs="Arial"/>
          <w:sz w:val="24"/>
          <w:szCs w:val="24"/>
          <w:lang w:eastAsia="bg-BG"/>
        </w:rPr>
      </w:pPr>
      <w:r w:rsidRPr="00194F9F">
        <w:rPr>
          <w:rFonts w:eastAsia="Times New Roman" w:cs="Arial"/>
          <w:color w:val="000000"/>
          <w:lang w:eastAsia="bg-BG"/>
        </w:rPr>
        <w:t>Дата на първо разрешаване: 03/06/2009</w:t>
      </w:r>
    </w:p>
    <w:p w14:paraId="6D884856" w14:textId="178B13AA" w:rsidR="00194F9F" w:rsidRPr="00194F9F" w:rsidRDefault="00194F9F" w:rsidP="00194F9F">
      <w:pPr>
        <w:rPr>
          <w:rFonts w:cs="Arial"/>
        </w:rPr>
      </w:pPr>
      <w:r w:rsidRPr="00194F9F">
        <w:rPr>
          <w:rFonts w:eastAsia="Times New Roman" w:cs="Arial"/>
          <w:color w:val="000000"/>
          <w:lang w:eastAsia="bg-BG"/>
        </w:rPr>
        <w:t>Дата на последно подновяване: 08/04/2015</w:t>
      </w:r>
    </w:p>
    <w:p w14:paraId="20883B48" w14:textId="77777777" w:rsidR="00194F9F" w:rsidRPr="00194F9F" w:rsidRDefault="00194F9F" w:rsidP="00194F9F"/>
    <w:p w14:paraId="0E9D0119" w14:textId="4C615855" w:rsidR="002C50EE" w:rsidRDefault="002C50EE" w:rsidP="002C50EE">
      <w:pPr>
        <w:pStyle w:val="Heading1"/>
      </w:pPr>
      <w:r>
        <w:t>10. ДАТА НА АКТУАЛИЗИРАНЕ НА ТЕКСТА</w:t>
      </w:r>
    </w:p>
    <w:p w14:paraId="4D868221" w14:textId="3C3B103E" w:rsidR="00194F9F" w:rsidRDefault="00194F9F" w:rsidP="00194F9F"/>
    <w:p w14:paraId="40EAF5B6" w14:textId="36A5A732" w:rsidR="00194F9F" w:rsidRPr="00194F9F" w:rsidRDefault="00194F9F" w:rsidP="00194F9F">
      <w:pPr>
        <w:rPr>
          <w:rFonts w:cs="Arial"/>
        </w:rPr>
      </w:pPr>
      <w:r w:rsidRPr="00194F9F">
        <w:rPr>
          <w:rFonts w:cs="Arial"/>
        </w:rPr>
        <w:t>04/2018</w:t>
      </w:r>
    </w:p>
    <w:bookmarkEnd w:id="0"/>
    <w:p w14:paraId="43FB38A2" w14:textId="5500C507" w:rsidR="007C605B" w:rsidRPr="003E3126" w:rsidRDefault="007C605B" w:rsidP="00CF77F7"/>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0"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5"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0"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2764DC"/>
    <w:multiLevelType w:val="hybridMultilevel"/>
    <w:tmpl w:val="9FCCE70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6"/>
  </w:num>
  <w:num w:numId="2">
    <w:abstractNumId w:val="0"/>
  </w:num>
  <w:num w:numId="3">
    <w:abstractNumId w:val="12"/>
  </w:num>
  <w:num w:numId="4">
    <w:abstractNumId w:val="3"/>
  </w:num>
  <w:num w:numId="5">
    <w:abstractNumId w:val="1"/>
  </w:num>
  <w:num w:numId="6">
    <w:abstractNumId w:val="15"/>
  </w:num>
  <w:num w:numId="7">
    <w:abstractNumId w:val="10"/>
  </w:num>
  <w:num w:numId="8">
    <w:abstractNumId w:val="14"/>
  </w:num>
  <w:num w:numId="9">
    <w:abstractNumId w:val="2"/>
  </w:num>
  <w:num w:numId="10">
    <w:abstractNumId w:val="4"/>
  </w:num>
  <w:num w:numId="11">
    <w:abstractNumId w:val="29"/>
  </w:num>
  <w:num w:numId="12">
    <w:abstractNumId w:val="13"/>
  </w:num>
  <w:num w:numId="13">
    <w:abstractNumId w:val="18"/>
  </w:num>
  <w:num w:numId="14">
    <w:abstractNumId w:val="11"/>
  </w:num>
  <w:num w:numId="15">
    <w:abstractNumId w:val="28"/>
  </w:num>
  <w:num w:numId="16">
    <w:abstractNumId w:val="9"/>
  </w:num>
  <w:num w:numId="17">
    <w:abstractNumId w:val="23"/>
  </w:num>
  <w:num w:numId="18">
    <w:abstractNumId w:val="7"/>
  </w:num>
  <w:num w:numId="19">
    <w:abstractNumId w:val="25"/>
  </w:num>
  <w:num w:numId="20">
    <w:abstractNumId w:val="22"/>
  </w:num>
  <w:num w:numId="21">
    <w:abstractNumId w:val="16"/>
  </w:num>
  <w:num w:numId="22">
    <w:abstractNumId w:val="24"/>
  </w:num>
  <w:num w:numId="23">
    <w:abstractNumId w:val="17"/>
  </w:num>
  <w:num w:numId="24">
    <w:abstractNumId w:val="8"/>
  </w:num>
  <w:num w:numId="25">
    <w:abstractNumId w:val="21"/>
  </w:num>
  <w:num w:numId="26">
    <w:abstractNumId w:val="20"/>
  </w:num>
  <w:num w:numId="27">
    <w:abstractNumId w:val="30"/>
  </w:num>
  <w:num w:numId="28">
    <w:abstractNumId w:val="6"/>
  </w:num>
  <w:num w:numId="29">
    <w:abstractNumId w:val="19"/>
  </w:num>
  <w:num w:numId="30">
    <w:abstractNumId w:val="34"/>
  </w:num>
  <w:num w:numId="31">
    <w:abstractNumId w:val="5"/>
  </w:num>
  <w:num w:numId="32">
    <w:abstractNumId w:val="33"/>
  </w:num>
  <w:num w:numId="33">
    <w:abstractNumId w:val="27"/>
  </w:num>
  <w:num w:numId="34">
    <w:abstractNumId w:val="31"/>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94F9F"/>
    <w:rsid w:val="001D1B23"/>
    <w:rsid w:val="002B3C38"/>
    <w:rsid w:val="002B4DBB"/>
    <w:rsid w:val="002C50EE"/>
    <w:rsid w:val="00340A0A"/>
    <w:rsid w:val="003765DC"/>
    <w:rsid w:val="00395555"/>
    <w:rsid w:val="003E3126"/>
    <w:rsid w:val="00426E5F"/>
    <w:rsid w:val="004A448E"/>
    <w:rsid w:val="004D4D6B"/>
    <w:rsid w:val="004F1CE7"/>
    <w:rsid w:val="004F498A"/>
    <w:rsid w:val="00517A5B"/>
    <w:rsid w:val="00593A00"/>
    <w:rsid w:val="005A66D9"/>
    <w:rsid w:val="00605BCA"/>
    <w:rsid w:val="006158A1"/>
    <w:rsid w:val="00617B1F"/>
    <w:rsid w:val="00672487"/>
    <w:rsid w:val="00672600"/>
    <w:rsid w:val="00681D4A"/>
    <w:rsid w:val="00685882"/>
    <w:rsid w:val="0075649D"/>
    <w:rsid w:val="007C605B"/>
    <w:rsid w:val="008134C8"/>
    <w:rsid w:val="00814073"/>
    <w:rsid w:val="00826F0D"/>
    <w:rsid w:val="00893B92"/>
    <w:rsid w:val="008A6AF2"/>
    <w:rsid w:val="008C70A2"/>
    <w:rsid w:val="009773E4"/>
    <w:rsid w:val="009B171C"/>
    <w:rsid w:val="009F1313"/>
    <w:rsid w:val="00A20351"/>
    <w:rsid w:val="00A42C8B"/>
    <w:rsid w:val="00A65A81"/>
    <w:rsid w:val="00AA23EC"/>
    <w:rsid w:val="00AC63CE"/>
    <w:rsid w:val="00AE2107"/>
    <w:rsid w:val="00B275A8"/>
    <w:rsid w:val="00BF2600"/>
    <w:rsid w:val="00C0049F"/>
    <w:rsid w:val="00C07B84"/>
    <w:rsid w:val="00C33464"/>
    <w:rsid w:val="00C40420"/>
    <w:rsid w:val="00C809A7"/>
    <w:rsid w:val="00C83063"/>
    <w:rsid w:val="00C87E90"/>
    <w:rsid w:val="00CA1B57"/>
    <w:rsid w:val="00CF77F7"/>
    <w:rsid w:val="00D86297"/>
    <w:rsid w:val="00DD466D"/>
    <w:rsid w:val="00E54A9D"/>
    <w:rsid w:val="00EB6364"/>
    <w:rsid w:val="00ED7AF9"/>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7673</Words>
  <Characters>43739</Characters>
  <Application>Microsoft Office Word</Application>
  <DocSecurity>0</DocSecurity>
  <Lines>364</Lines>
  <Paragraphs>102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51310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Потребител на Windows</cp:lastModifiedBy>
  <cp:revision>2</cp:revision>
  <dcterms:created xsi:type="dcterms:W3CDTF">2022-06-17T12:16:00Z</dcterms:created>
  <dcterms:modified xsi:type="dcterms:W3CDTF">2022-06-17T12:16:00Z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