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5E9ACCB6" w:rsidR="007122AD" w:rsidRDefault="00DD466D" w:rsidP="00936AD0">
      <w:pPr>
        <w:pStyle w:val="Heading1"/>
      </w:pPr>
      <w:r>
        <w:t>1.ИМЕ НА ЛЕКАРСТВЕНИЯ ПРОДУКТ</w:t>
      </w:r>
    </w:p>
    <w:p w14:paraId="73AC56ED" w14:textId="358FC91F" w:rsidR="00967986" w:rsidRDefault="00967986" w:rsidP="00967986"/>
    <w:p w14:paraId="749EBA3E" w14:textId="77777777" w:rsidR="00967986" w:rsidRDefault="00967986" w:rsidP="00967986">
      <w:pPr>
        <w:rPr>
          <w:lang w:eastAsia="bg-BG"/>
        </w:rPr>
      </w:pPr>
      <w:r>
        <w:rPr>
          <w:lang w:eastAsia="bg-BG"/>
        </w:rPr>
        <w:t xml:space="preserve">Кандекард Н 16 </w:t>
      </w:r>
      <w:r>
        <w:t>mg/1</w:t>
      </w:r>
      <w:r>
        <w:rPr>
          <w:lang w:eastAsia="bg-BG"/>
        </w:rPr>
        <w:t xml:space="preserve">2,5 </w:t>
      </w:r>
      <w:r>
        <w:t xml:space="preserve">mg </w:t>
      </w:r>
      <w:r>
        <w:rPr>
          <w:lang w:eastAsia="bg-BG"/>
        </w:rPr>
        <w:t xml:space="preserve">таблетки </w:t>
      </w:r>
    </w:p>
    <w:p w14:paraId="68236A06" w14:textId="626C6D01" w:rsidR="00967986" w:rsidRPr="00967986" w:rsidRDefault="00967986" w:rsidP="00967986">
      <w:r>
        <w:t xml:space="preserve">Candecard </w:t>
      </w:r>
      <w:r>
        <w:rPr>
          <w:lang w:eastAsia="bg-BG"/>
        </w:rPr>
        <w:t xml:space="preserve">Н 16 </w:t>
      </w:r>
      <w:r>
        <w:t>mg/12.5 mg tablets</w:t>
      </w:r>
    </w:p>
    <w:p w14:paraId="6920A680" w14:textId="085BD889" w:rsidR="00C40420" w:rsidRDefault="00DD466D" w:rsidP="004A448E">
      <w:pPr>
        <w:pStyle w:val="Heading1"/>
      </w:pPr>
      <w:r>
        <w:t>2. КАЧЕСТВЕН И КОЛИЧЕСТВЕН СЪСТАВ</w:t>
      </w:r>
    </w:p>
    <w:p w14:paraId="468EA48F" w14:textId="694BE2E7" w:rsidR="00967986" w:rsidRDefault="00967986" w:rsidP="00967986"/>
    <w:p w14:paraId="79E3F12D"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 xml:space="preserve">Всяка таблетка съдържа 16 </w:t>
      </w:r>
      <w:r w:rsidRPr="00967986">
        <w:rPr>
          <w:rFonts w:eastAsia="Times New Roman" w:cs="Arial"/>
          <w:color w:val="000000"/>
          <w:szCs w:val="20"/>
          <w:lang w:val="en-US"/>
        </w:rPr>
        <w:t>mg</w:t>
      </w:r>
      <w:r w:rsidRPr="00967986">
        <w:rPr>
          <w:rFonts w:eastAsia="Times New Roman" w:cs="Arial"/>
          <w:color w:val="000000"/>
          <w:szCs w:val="20"/>
        </w:rPr>
        <w:t xml:space="preserve"> </w:t>
      </w:r>
      <w:r w:rsidRPr="00967986">
        <w:rPr>
          <w:rFonts w:eastAsia="Times New Roman" w:cs="Arial"/>
          <w:color w:val="000000"/>
          <w:szCs w:val="20"/>
          <w:lang w:eastAsia="bg-BG"/>
        </w:rPr>
        <w:t xml:space="preserve">кандесартан цилексетил </w:t>
      </w:r>
      <w:r w:rsidRPr="00967986">
        <w:rPr>
          <w:rFonts w:eastAsia="Times New Roman" w:cs="Arial"/>
          <w:i/>
          <w:iCs/>
          <w:color w:val="000000"/>
          <w:szCs w:val="20"/>
        </w:rPr>
        <w:t>(</w:t>
      </w:r>
      <w:r w:rsidRPr="00967986">
        <w:rPr>
          <w:rFonts w:eastAsia="Times New Roman" w:cs="Arial"/>
          <w:i/>
          <w:iCs/>
          <w:color w:val="000000"/>
          <w:szCs w:val="20"/>
          <w:lang w:val="en-US"/>
        </w:rPr>
        <w:t>candesartan</w:t>
      </w:r>
      <w:r w:rsidRPr="00967986">
        <w:rPr>
          <w:rFonts w:eastAsia="Times New Roman" w:cs="Arial"/>
          <w:i/>
          <w:iCs/>
          <w:color w:val="000000"/>
          <w:szCs w:val="20"/>
        </w:rPr>
        <w:t xml:space="preserve"> </w:t>
      </w:r>
      <w:proofErr w:type="spellStart"/>
      <w:r w:rsidRPr="00967986">
        <w:rPr>
          <w:rFonts w:eastAsia="Times New Roman" w:cs="Arial"/>
          <w:i/>
          <w:iCs/>
          <w:color w:val="000000"/>
          <w:szCs w:val="20"/>
          <w:lang w:val="en-US"/>
        </w:rPr>
        <w:t>cilexetil</w:t>
      </w:r>
      <w:proofErr w:type="spellEnd"/>
      <w:r w:rsidRPr="00967986">
        <w:rPr>
          <w:rFonts w:eastAsia="Times New Roman" w:cs="Arial"/>
          <w:i/>
          <w:iCs/>
          <w:color w:val="000000"/>
          <w:szCs w:val="20"/>
        </w:rPr>
        <w:t>)</w:t>
      </w:r>
      <w:r w:rsidRPr="00967986">
        <w:rPr>
          <w:rFonts w:eastAsia="Times New Roman" w:cs="Arial"/>
          <w:i/>
          <w:iCs/>
          <w:color w:val="000000"/>
          <w:szCs w:val="20"/>
          <w:lang w:eastAsia="bg-BG"/>
        </w:rPr>
        <w:t xml:space="preserve"> </w:t>
      </w:r>
      <w:r w:rsidRPr="00967986">
        <w:rPr>
          <w:rFonts w:eastAsia="Times New Roman" w:cs="Arial"/>
          <w:color w:val="000000"/>
          <w:szCs w:val="20"/>
          <w:lang w:eastAsia="bg-BG"/>
        </w:rPr>
        <w:t xml:space="preserve">и 12,5 </w:t>
      </w:r>
      <w:r w:rsidRPr="00967986">
        <w:rPr>
          <w:rFonts w:eastAsia="Times New Roman" w:cs="Arial"/>
          <w:color w:val="000000"/>
          <w:szCs w:val="20"/>
          <w:lang w:val="en-US"/>
        </w:rPr>
        <w:t>mg</w:t>
      </w:r>
      <w:r w:rsidRPr="00967986">
        <w:rPr>
          <w:rFonts w:eastAsia="Times New Roman" w:cs="Arial"/>
          <w:color w:val="000000"/>
          <w:szCs w:val="20"/>
        </w:rPr>
        <w:t xml:space="preserve"> </w:t>
      </w:r>
      <w:r w:rsidRPr="00967986">
        <w:rPr>
          <w:rFonts w:eastAsia="Times New Roman" w:cs="Arial"/>
          <w:color w:val="000000"/>
          <w:szCs w:val="20"/>
          <w:lang w:eastAsia="bg-BG"/>
        </w:rPr>
        <w:t xml:space="preserve">хидрохлоротиазид </w:t>
      </w:r>
      <w:r w:rsidRPr="00967986">
        <w:rPr>
          <w:rFonts w:eastAsia="Times New Roman" w:cs="Arial"/>
          <w:i/>
          <w:iCs/>
          <w:color w:val="000000"/>
          <w:szCs w:val="20"/>
        </w:rPr>
        <w:t>(</w:t>
      </w:r>
      <w:r w:rsidRPr="00967986">
        <w:rPr>
          <w:rFonts w:eastAsia="Times New Roman" w:cs="Arial"/>
          <w:i/>
          <w:iCs/>
          <w:color w:val="000000"/>
          <w:szCs w:val="20"/>
          <w:lang w:val="en-US"/>
        </w:rPr>
        <w:t>hydrochlorothiazide</w:t>
      </w:r>
      <w:r w:rsidRPr="00967986">
        <w:rPr>
          <w:rFonts w:eastAsia="Times New Roman" w:cs="Arial"/>
          <w:i/>
          <w:iCs/>
          <w:color w:val="000000"/>
          <w:szCs w:val="20"/>
        </w:rPr>
        <w:t>)</w:t>
      </w:r>
      <w:r w:rsidRPr="00967986">
        <w:rPr>
          <w:rFonts w:eastAsia="Times New Roman" w:cs="Arial"/>
          <w:i/>
          <w:iCs/>
          <w:color w:val="000000"/>
          <w:szCs w:val="20"/>
          <w:lang w:eastAsia="bg-BG"/>
        </w:rPr>
        <w:t>.</w:t>
      </w:r>
    </w:p>
    <w:p w14:paraId="146AEF89" w14:textId="77777777" w:rsidR="00967986" w:rsidRPr="00967986" w:rsidRDefault="00967986" w:rsidP="00967986">
      <w:pPr>
        <w:spacing w:line="240" w:lineRule="auto"/>
        <w:rPr>
          <w:rFonts w:eastAsia="Times New Roman" w:cs="Arial"/>
          <w:color w:val="000000"/>
          <w:szCs w:val="20"/>
          <w:lang w:eastAsia="bg-BG"/>
        </w:rPr>
      </w:pPr>
    </w:p>
    <w:p w14:paraId="38A850DF" w14:textId="467F158F"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Помощно вещество с известно действие:</w:t>
      </w:r>
    </w:p>
    <w:p w14:paraId="2C3348DD"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 xml:space="preserve">Всяка таблетка съдържа 72,1 </w:t>
      </w:r>
      <w:r w:rsidRPr="00967986">
        <w:rPr>
          <w:rFonts w:eastAsia="Times New Roman" w:cs="Arial"/>
          <w:color w:val="000000"/>
          <w:szCs w:val="20"/>
          <w:lang w:val="en-US"/>
        </w:rPr>
        <w:t>mg</w:t>
      </w:r>
      <w:r w:rsidRPr="00967986">
        <w:rPr>
          <w:rFonts w:eastAsia="Times New Roman" w:cs="Arial"/>
          <w:color w:val="000000"/>
          <w:szCs w:val="20"/>
          <w:lang w:val="ru-RU"/>
        </w:rPr>
        <w:t xml:space="preserve"> </w:t>
      </w:r>
      <w:r w:rsidRPr="00967986">
        <w:rPr>
          <w:rFonts w:eastAsia="Times New Roman" w:cs="Arial"/>
          <w:color w:val="000000"/>
          <w:szCs w:val="20"/>
          <w:lang w:eastAsia="bg-BG"/>
        </w:rPr>
        <w:t>лактоза (като лактоза монохидрат).</w:t>
      </w:r>
    </w:p>
    <w:p w14:paraId="1F4CB9C5" w14:textId="77777777" w:rsidR="00967986" w:rsidRPr="00967986" w:rsidRDefault="00967986" w:rsidP="00967986"/>
    <w:p w14:paraId="614984C4" w14:textId="4173C9CB" w:rsidR="008A6AF2" w:rsidRDefault="00DD466D" w:rsidP="002C50EE">
      <w:pPr>
        <w:pStyle w:val="Heading1"/>
      </w:pPr>
      <w:r>
        <w:t>3. ЛЕКАРСТВЕНА ФОРМА</w:t>
      </w:r>
    </w:p>
    <w:p w14:paraId="121158D3" w14:textId="3E895598" w:rsidR="00967986" w:rsidRDefault="00967986" w:rsidP="00967986"/>
    <w:p w14:paraId="18498584" w14:textId="77777777" w:rsidR="00967986" w:rsidRPr="00967986" w:rsidRDefault="00967986" w:rsidP="00967986">
      <w:pPr>
        <w:rPr>
          <w:sz w:val="24"/>
          <w:szCs w:val="24"/>
        </w:rPr>
      </w:pPr>
      <w:r w:rsidRPr="00967986">
        <w:rPr>
          <w:lang w:eastAsia="bg-BG"/>
        </w:rPr>
        <w:t>Таблетка</w:t>
      </w:r>
    </w:p>
    <w:p w14:paraId="0F3672DE" w14:textId="77777777" w:rsidR="00967986" w:rsidRDefault="00967986" w:rsidP="00967986">
      <w:pPr>
        <w:rPr>
          <w:lang w:eastAsia="bg-BG"/>
        </w:rPr>
      </w:pPr>
    </w:p>
    <w:p w14:paraId="5793D605" w14:textId="7C6A25BB" w:rsidR="00967986" w:rsidRPr="00967986" w:rsidRDefault="00967986" w:rsidP="00967986">
      <w:pPr>
        <w:rPr>
          <w:sz w:val="24"/>
          <w:szCs w:val="24"/>
        </w:rPr>
      </w:pPr>
      <w:r w:rsidRPr="00967986">
        <w:rPr>
          <w:lang w:eastAsia="bg-BG"/>
        </w:rPr>
        <w:t>Оранжево-розова, пъстра, овална, двойноизпъкнала таблетка с делителна черта от двете страни</w:t>
      </w:r>
    </w:p>
    <w:p w14:paraId="509843B4" w14:textId="77777777" w:rsidR="00967986" w:rsidRDefault="00967986" w:rsidP="00967986">
      <w:pPr>
        <w:rPr>
          <w:lang w:eastAsia="bg-BG"/>
        </w:rPr>
      </w:pPr>
    </w:p>
    <w:p w14:paraId="5D865914" w14:textId="06143740" w:rsidR="00967986" w:rsidRPr="00967986" w:rsidRDefault="00967986" w:rsidP="00967986">
      <w:pPr>
        <w:rPr>
          <w:sz w:val="24"/>
          <w:szCs w:val="24"/>
        </w:rPr>
      </w:pPr>
      <w:r w:rsidRPr="00967986">
        <w:rPr>
          <w:lang w:eastAsia="bg-BG"/>
        </w:rPr>
        <w:t>Делителната черта е само за улесняване на счупването, за по-лесно поглъщане, а не за да разделя на равни дози.</w:t>
      </w:r>
    </w:p>
    <w:p w14:paraId="35A571E0" w14:textId="77777777" w:rsidR="00967986" w:rsidRPr="00967986" w:rsidRDefault="00967986" w:rsidP="00967986"/>
    <w:p w14:paraId="490FC2C4" w14:textId="0F4A4A75" w:rsidR="002C50EE" w:rsidRDefault="002C50EE" w:rsidP="002C50EE">
      <w:pPr>
        <w:pStyle w:val="Heading1"/>
      </w:pPr>
      <w:r>
        <w:t>4. КЛИНИЧНИ ДАННИ</w:t>
      </w:r>
    </w:p>
    <w:p w14:paraId="74330405" w14:textId="36E172E9" w:rsidR="007122AD" w:rsidRDefault="002C50EE" w:rsidP="00936AD0">
      <w:pPr>
        <w:pStyle w:val="Heading2"/>
      </w:pPr>
      <w:r>
        <w:t>4.1. Терапевтични показания</w:t>
      </w:r>
    </w:p>
    <w:p w14:paraId="02021A55" w14:textId="25B8DF82" w:rsidR="00967986" w:rsidRDefault="00967986" w:rsidP="00967986"/>
    <w:p w14:paraId="063990D8" w14:textId="7333A3FC" w:rsidR="00967986" w:rsidRDefault="00967986" w:rsidP="00967986">
      <w:pPr>
        <w:spacing w:line="240" w:lineRule="auto"/>
        <w:rPr>
          <w:rFonts w:eastAsia="Times New Roman" w:cs="Arial"/>
          <w:color w:val="000000"/>
          <w:szCs w:val="20"/>
          <w:lang w:eastAsia="bg-BG"/>
        </w:rPr>
      </w:pPr>
      <w:r w:rsidRPr="00967986">
        <w:rPr>
          <w:rFonts w:eastAsia="Times New Roman" w:cs="Arial"/>
          <w:color w:val="000000"/>
          <w:szCs w:val="20"/>
          <w:lang w:eastAsia="bg-BG"/>
        </w:rPr>
        <w:t>Кандекард Н се прилага при:</w:t>
      </w:r>
    </w:p>
    <w:p w14:paraId="1F26DECE" w14:textId="77777777" w:rsidR="00967986" w:rsidRPr="00967986" w:rsidRDefault="00967986" w:rsidP="00967986">
      <w:pPr>
        <w:spacing w:line="240" w:lineRule="auto"/>
        <w:rPr>
          <w:rFonts w:eastAsia="Times New Roman" w:cs="Arial"/>
          <w:sz w:val="28"/>
          <w:szCs w:val="24"/>
        </w:rPr>
      </w:pPr>
    </w:p>
    <w:p w14:paraId="406353A6" w14:textId="13594B65" w:rsidR="00967986" w:rsidRPr="00967986" w:rsidRDefault="00967986" w:rsidP="00967986">
      <w:pPr>
        <w:pStyle w:val="ListParagraph"/>
        <w:numPr>
          <w:ilvl w:val="0"/>
          <w:numId w:val="37"/>
        </w:numPr>
        <w:rPr>
          <w:rFonts w:cs="Arial"/>
          <w:sz w:val="24"/>
        </w:rPr>
      </w:pPr>
      <w:r w:rsidRPr="00967986">
        <w:rPr>
          <w:rFonts w:eastAsia="Times New Roman" w:cs="Arial"/>
          <w:color w:val="000000"/>
          <w:szCs w:val="20"/>
          <w:lang w:eastAsia="bg-BG"/>
        </w:rPr>
        <w:t>Лечение на първична хипертония при възрастни, когато кръвното налягане не е оптимално контролирано чрез монотерапията с кандесартан цилексетил или хидрохлоротиазид.</w:t>
      </w:r>
    </w:p>
    <w:p w14:paraId="63AE1132" w14:textId="77777777" w:rsidR="00967986" w:rsidRPr="00967986" w:rsidRDefault="00967986" w:rsidP="00967986">
      <w:pPr>
        <w:rPr>
          <w:rFonts w:cs="Arial"/>
          <w:sz w:val="24"/>
        </w:rPr>
      </w:pPr>
    </w:p>
    <w:p w14:paraId="53F5B866" w14:textId="313E39D0" w:rsidR="007122AD" w:rsidRDefault="002C50EE" w:rsidP="00936AD0">
      <w:pPr>
        <w:pStyle w:val="Heading2"/>
      </w:pPr>
      <w:r>
        <w:t>4.2. Дозировка и начин на приложение</w:t>
      </w:r>
    </w:p>
    <w:p w14:paraId="3B3CA426" w14:textId="20721980" w:rsidR="00967986" w:rsidRDefault="00967986" w:rsidP="00967986"/>
    <w:p w14:paraId="2C24A6FC" w14:textId="77777777" w:rsidR="00967986" w:rsidRPr="00967986" w:rsidRDefault="00967986" w:rsidP="00967986">
      <w:pPr>
        <w:pStyle w:val="Heading3"/>
        <w:rPr>
          <w:rFonts w:eastAsia="Times New Roman"/>
          <w:sz w:val="28"/>
          <w:u w:val="single"/>
        </w:rPr>
      </w:pPr>
      <w:r w:rsidRPr="00967986">
        <w:rPr>
          <w:rFonts w:eastAsia="Times New Roman"/>
          <w:u w:val="single"/>
          <w:lang w:eastAsia="bg-BG"/>
        </w:rPr>
        <w:t>Дозировка</w:t>
      </w:r>
    </w:p>
    <w:p w14:paraId="1526D296"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Препоръчителната доза Кандекард Н е една таблетка веднъж дневно.</w:t>
      </w:r>
    </w:p>
    <w:p w14:paraId="61B8D862" w14:textId="77777777" w:rsidR="00967986" w:rsidRPr="00967986" w:rsidRDefault="00967986" w:rsidP="00967986">
      <w:pPr>
        <w:spacing w:line="240" w:lineRule="auto"/>
        <w:rPr>
          <w:rFonts w:eastAsia="Times New Roman" w:cs="Arial"/>
          <w:color w:val="000000"/>
          <w:szCs w:val="20"/>
          <w:lang w:eastAsia="bg-BG"/>
        </w:rPr>
      </w:pPr>
    </w:p>
    <w:p w14:paraId="0D699172" w14:textId="0AC2796C"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 xml:space="preserve">Препоръчва се титриране на дозата на отделните компоненти (кандесартан цилексетил и хидрохлортиазид). Когато е уместно от клинична гледна точка, може директно да се премине от монотерапия към Кандекард Н. Препоръчва се титриране на дозата </w:t>
      </w:r>
      <w:r w:rsidRPr="00967986">
        <w:rPr>
          <w:rFonts w:eastAsia="Times New Roman" w:cs="Arial"/>
          <w:color w:val="000000"/>
          <w:szCs w:val="20"/>
          <w:lang w:eastAsia="bg-BG"/>
        </w:rPr>
        <w:lastRenderedPageBreak/>
        <w:t>кандесартан цилексетил когато се преминава от монотерапия с хидрохлоротиазид. Кандекард Н може да се прилага на пациенти, при които кръвното налягане не е оптимално контролирано чрез монотерапията с кандесартан цилексетил или хидрохлоротиазид или чрез ниски дози Кандекард Н.</w:t>
      </w:r>
    </w:p>
    <w:p w14:paraId="54491938" w14:textId="0B5211A1" w:rsidR="00967986" w:rsidRPr="00967986" w:rsidRDefault="00967986" w:rsidP="00967986">
      <w:pPr>
        <w:rPr>
          <w:rFonts w:eastAsia="Times New Roman" w:cs="Arial"/>
          <w:color w:val="000000"/>
          <w:szCs w:val="20"/>
          <w:lang w:eastAsia="bg-BG"/>
        </w:rPr>
      </w:pPr>
      <w:r w:rsidRPr="00967986">
        <w:rPr>
          <w:rFonts w:eastAsia="Times New Roman" w:cs="Arial"/>
          <w:color w:val="000000"/>
          <w:szCs w:val="20"/>
          <w:lang w:eastAsia="bg-BG"/>
        </w:rPr>
        <w:t>Пълната изява на антихипертензивния ефект обикновено се постига в рамкит</w:t>
      </w:r>
      <w:r w:rsidRPr="00967986">
        <w:rPr>
          <w:rFonts w:eastAsia="Times New Roman" w:cs="Arial"/>
          <w:color w:val="000000"/>
          <w:szCs w:val="20"/>
          <w:lang w:val="en-US"/>
        </w:rPr>
        <w:t>e</w:t>
      </w:r>
      <w:r w:rsidRPr="00967986">
        <w:rPr>
          <w:rFonts w:eastAsia="Times New Roman" w:cs="Arial"/>
          <w:color w:val="000000"/>
          <w:szCs w:val="20"/>
          <w:lang w:val="ru-RU"/>
        </w:rPr>
        <w:t xml:space="preserve"> </w:t>
      </w:r>
      <w:r w:rsidRPr="00967986">
        <w:rPr>
          <w:rFonts w:eastAsia="Times New Roman" w:cs="Arial"/>
          <w:color w:val="000000"/>
          <w:szCs w:val="20"/>
          <w:lang w:eastAsia="bg-BG"/>
        </w:rPr>
        <w:t>на 4 седмици от започването на лечението.</w:t>
      </w:r>
    </w:p>
    <w:p w14:paraId="667B01C9" w14:textId="180073FC" w:rsidR="00967986" w:rsidRPr="00967986" w:rsidRDefault="00967986" w:rsidP="00967986">
      <w:pPr>
        <w:rPr>
          <w:rFonts w:eastAsia="Times New Roman" w:cs="Arial"/>
          <w:color w:val="000000"/>
          <w:szCs w:val="20"/>
          <w:lang w:eastAsia="bg-BG"/>
        </w:rPr>
      </w:pPr>
    </w:p>
    <w:p w14:paraId="220D11DB"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u w:val="single"/>
          <w:lang w:eastAsia="bg-BG"/>
        </w:rPr>
        <w:t>Специални популации</w:t>
      </w:r>
    </w:p>
    <w:p w14:paraId="27B44E45" w14:textId="77777777" w:rsidR="00967986" w:rsidRPr="00967986" w:rsidRDefault="00967986" w:rsidP="00967986">
      <w:pPr>
        <w:spacing w:line="240" w:lineRule="auto"/>
        <w:rPr>
          <w:rFonts w:eastAsia="Times New Roman" w:cs="Arial"/>
          <w:i/>
          <w:iCs/>
          <w:color w:val="000000"/>
          <w:szCs w:val="20"/>
          <w:lang w:eastAsia="bg-BG"/>
        </w:rPr>
      </w:pPr>
    </w:p>
    <w:p w14:paraId="6A72D506" w14:textId="388D81AB" w:rsidR="00967986" w:rsidRPr="00967986" w:rsidRDefault="00967986" w:rsidP="00967986">
      <w:pPr>
        <w:spacing w:line="240" w:lineRule="auto"/>
        <w:rPr>
          <w:rFonts w:eastAsia="Times New Roman" w:cs="Arial"/>
          <w:sz w:val="28"/>
          <w:szCs w:val="24"/>
        </w:rPr>
      </w:pPr>
      <w:r w:rsidRPr="00967986">
        <w:rPr>
          <w:rFonts w:eastAsia="Times New Roman" w:cs="Arial"/>
          <w:i/>
          <w:iCs/>
          <w:color w:val="000000"/>
          <w:szCs w:val="20"/>
          <w:lang w:eastAsia="bg-BG"/>
        </w:rPr>
        <w:t>Старческа възраст</w:t>
      </w:r>
    </w:p>
    <w:p w14:paraId="5263388C"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Не е необходима никаква корекция на дозата при пациенти в старческа възраст.</w:t>
      </w:r>
    </w:p>
    <w:p w14:paraId="14310B5C" w14:textId="77777777" w:rsidR="00967986" w:rsidRPr="00967986" w:rsidRDefault="00967986" w:rsidP="00967986">
      <w:pPr>
        <w:spacing w:line="240" w:lineRule="auto"/>
        <w:rPr>
          <w:rFonts w:eastAsia="Times New Roman" w:cs="Arial"/>
          <w:i/>
          <w:iCs/>
          <w:color w:val="000000"/>
          <w:szCs w:val="20"/>
          <w:lang w:eastAsia="bg-BG"/>
        </w:rPr>
      </w:pPr>
    </w:p>
    <w:p w14:paraId="437D25E1" w14:textId="0BDF64F7" w:rsidR="00967986" w:rsidRPr="00967986" w:rsidRDefault="00967986" w:rsidP="00967986">
      <w:pPr>
        <w:spacing w:line="240" w:lineRule="auto"/>
        <w:rPr>
          <w:rFonts w:eastAsia="Times New Roman" w:cs="Arial"/>
          <w:sz w:val="28"/>
          <w:szCs w:val="24"/>
        </w:rPr>
      </w:pPr>
      <w:r w:rsidRPr="00967986">
        <w:rPr>
          <w:rFonts w:eastAsia="Times New Roman" w:cs="Arial"/>
          <w:i/>
          <w:iCs/>
          <w:color w:val="000000"/>
          <w:szCs w:val="20"/>
          <w:lang w:eastAsia="bg-BG"/>
        </w:rPr>
        <w:t>Намален вътресъдов обем</w:t>
      </w:r>
    </w:p>
    <w:p w14:paraId="33230C78"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 xml:space="preserve">Препоръчва се титриране на дозата на кандесартан цилексетил при пациенти с риск от хипотоиия, например пациентите с възможно намален вътресъдов обем (при тези пациенти може да се предвиди начална доза от 4 </w:t>
      </w:r>
      <w:r w:rsidRPr="00967986">
        <w:rPr>
          <w:rFonts w:eastAsia="Times New Roman" w:cs="Arial"/>
          <w:color w:val="000000"/>
          <w:szCs w:val="20"/>
          <w:lang w:val="en-US"/>
        </w:rPr>
        <w:t>mg</w:t>
      </w:r>
      <w:r w:rsidRPr="00967986">
        <w:rPr>
          <w:rFonts w:eastAsia="Times New Roman" w:cs="Arial"/>
          <w:color w:val="000000"/>
          <w:szCs w:val="20"/>
          <w:lang w:val="ru-RU"/>
        </w:rPr>
        <w:t xml:space="preserve"> </w:t>
      </w:r>
      <w:r w:rsidRPr="00967986">
        <w:rPr>
          <w:rFonts w:eastAsia="Times New Roman" w:cs="Arial"/>
          <w:color w:val="000000"/>
          <w:szCs w:val="20"/>
          <w:lang w:eastAsia="bg-BG"/>
        </w:rPr>
        <w:t>кандесартан цилексетил).</w:t>
      </w:r>
    </w:p>
    <w:p w14:paraId="5E4276B4" w14:textId="77777777" w:rsidR="00967986" w:rsidRPr="00967986" w:rsidRDefault="00967986" w:rsidP="00967986">
      <w:pPr>
        <w:spacing w:line="240" w:lineRule="auto"/>
        <w:rPr>
          <w:rFonts w:eastAsia="Times New Roman" w:cs="Arial"/>
          <w:i/>
          <w:iCs/>
          <w:color w:val="000000"/>
          <w:szCs w:val="20"/>
          <w:lang w:eastAsia="bg-BG"/>
        </w:rPr>
      </w:pPr>
    </w:p>
    <w:p w14:paraId="62A2285D" w14:textId="4B2B7C0A" w:rsidR="00967986" w:rsidRPr="00967986" w:rsidRDefault="00967986" w:rsidP="00967986">
      <w:pPr>
        <w:spacing w:line="240" w:lineRule="auto"/>
        <w:rPr>
          <w:rFonts w:eastAsia="Times New Roman" w:cs="Arial"/>
          <w:sz w:val="28"/>
          <w:szCs w:val="24"/>
        </w:rPr>
      </w:pPr>
      <w:r w:rsidRPr="00967986">
        <w:rPr>
          <w:rFonts w:eastAsia="Times New Roman" w:cs="Arial"/>
          <w:i/>
          <w:iCs/>
          <w:color w:val="000000"/>
          <w:szCs w:val="20"/>
          <w:lang w:eastAsia="bg-BG"/>
        </w:rPr>
        <w:t>Бъбречно увреждане</w:t>
      </w:r>
    </w:p>
    <w:p w14:paraId="01F370A6"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 xml:space="preserve">При пациенти с леко до умерено бъбречно увреждане (креатининов клирънс е 30-80 </w:t>
      </w:r>
      <w:r w:rsidRPr="00967986">
        <w:rPr>
          <w:rFonts w:eastAsia="Times New Roman" w:cs="Arial"/>
          <w:color w:val="000000"/>
          <w:szCs w:val="20"/>
          <w:lang w:val="en-US"/>
        </w:rPr>
        <w:t>ml</w:t>
      </w:r>
      <w:r w:rsidRPr="00967986">
        <w:rPr>
          <w:rFonts w:eastAsia="Times New Roman" w:cs="Arial"/>
          <w:color w:val="000000"/>
          <w:szCs w:val="20"/>
          <w:lang w:val="ru-RU"/>
        </w:rPr>
        <w:t>/</w:t>
      </w:r>
      <w:r w:rsidRPr="00967986">
        <w:rPr>
          <w:rFonts w:eastAsia="Times New Roman" w:cs="Arial"/>
          <w:color w:val="000000"/>
          <w:szCs w:val="20"/>
          <w:lang w:val="en-US"/>
        </w:rPr>
        <w:t>min</w:t>
      </w:r>
      <w:r w:rsidRPr="00967986">
        <w:rPr>
          <w:rFonts w:eastAsia="Times New Roman" w:cs="Arial"/>
          <w:color w:val="000000"/>
          <w:szCs w:val="20"/>
          <w:lang w:val="ru-RU"/>
        </w:rPr>
        <w:t xml:space="preserve">/1,73 </w:t>
      </w:r>
      <w:r w:rsidRPr="00967986">
        <w:rPr>
          <w:rFonts w:eastAsia="Times New Roman" w:cs="Arial"/>
          <w:color w:val="000000"/>
          <w:szCs w:val="20"/>
          <w:lang w:val="en-US"/>
        </w:rPr>
        <w:t>m</w:t>
      </w:r>
      <w:r w:rsidRPr="00967986">
        <w:rPr>
          <w:rFonts w:eastAsia="Times New Roman" w:cs="Arial"/>
          <w:color w:val="000000"/>
          <w:szCs w:val="20"/>
          <w:vertAlign w:val="superscript"/>
          <w:lang w:val="ru-RU"/>
        </w:rPr>
        <w:t xml:space="preserve">2 </w:t>
      </w:r>
      <w:r w:rsidRPr="00967986">
        <w:rPr>
          <w:rFonts w:eastAsia="Times New Roman" w:cs="Arial"/>
          <w:color w:val="000000"/>
          <w:szCs w:val="20"/>
          <w:lang w:eastAsia="bg-BG"/>
        </w:rPr>
        <w:t xml:space="preserve">телесна повърхност </w:t>
      </w:r>
      <w:r w:rsidRPr="00967986">
        <w:rPr>
          <w:rFonts w:eastAsia="Times New Roman" w:cs="Arial"/>
          <w:color w:val="000000"/>
          <w:szCs w:val="20"/>
          <w:lang w:val="ru-RU"/>
        </w:rPr>
        <w:t>(</w:t>
      </w:r>
      <w:r w:rsidRPr="00967986">
        <w:rPr>
          <w:rFonts w:eastAsia="Times New Roman" w:cs="Arial"/>
          <w:color w:val="000000"/>
          <w:szCs w:val="20"/>
          <w:lang w:val="en-US"/>
        </w:rPr>
        <w:t>BS</w:t>
      </w:r>
      <w:r w:rsidRPr="00967986">
        <w:rPr>
          <w:rFonts w:eastAsia="Times New Roman" w:cs="Arial"/>
          <w:color w:val="000000"/>
          <w:szCs w:val="20"/>
          <w:lang w:eastAsia="bg-BG"/>
        </w:rPr>
        <w:t xml:space="preserve">А) се препоръчва титриране на дозата. Кандекард Н е противопоказан при пациенти с тежко бъбречно увреждане (креатининов клирънс &lt;30 </w:t>
      </w:r>
      <w:r w:rsidRPr="00967986">
        <w:rPr>
          <w:rFonts w:eastAsia="Times New Roman" w:cs="Arial"/>
          <w:color w:val="000000"/>
          <w:szCs w:val="20"/>
          <w:lang w:val="en-US"/>
        </w:rPr>
        <w:t>ml</w:t>
      </w:r>
      <w:r w:rsidRPr="00967986">
        <w:rPr>
          <w:rFonts w:eastAsia="Times New Roman" w:cs="Arial"/>
          <w:color w:val="000000"/>
          <w:szCs w:val="20"/>
          <w:lang w:val="ru-RU"/>
        </w:rPr>
        <w:t>/</w:t>
      </w:r>
      <w:r w:rsidRPr="00967986">
        <w:rPr>
          <w:rFonts w:eastAsia="Times New Roman" w:cs="Arial"/>
          <w:color w:val="000000"/>
          <w:szCs w:val="20"/>
          <w:lang w:val="en-US"/>
        </w:rPr>
        <w:t>min</w:t>
      </w:r>
      <w:r w:rsidRPr="00967986">
        <w:rPr>
          <w:rFonts w:eastAsia="Times New Roman" w:cs="Arial"/>
          <w:color w:val="000000"/>
          <w:szCs w:val="20"/>
          <w:lang w:val="ru-RU"/>
        </w:rPr>
        <w:t xml:space="preserve">/1,73 </w:t>
      </w:r>
      <w:r w:rsidRPr="00967986">
        <w:rPr>
          <w:rFonts w:eastAsia="Times New Roman" w:cs="Arial"/>
          <w:color w:val="000000"/>
          <w:szCs w:val="20"/>
          <w:lang w:val="en-US"/>
        </w:rPr>
        <w:t>m</w:t>
      </w:r>
      <w:r w:rsidRPr="00967986">
        <w:rPr>
          <w:rFonts w:eastAsia="Times New Roman" w:cs="Arial"/>
          <w:color w:val="000000"/>
          <w:szCs w:val="20"/>
          <w:vertAlign w:val="superscript"/>
          <w:lang w:val="ru-RU"/>
        </w:rPr>
        <w:t>2</w:t>
      </w:r>
      <w:r w:rsidRPr="00967986">
        <w:rPr>
          <w:rFonts w:eastAsia="Times New Roman" w:cs="Arial"/>
          <w:color w:val="000000"/>
          <w:szCs w:val="20"/>
          <w:lang w:val="ru-RU"/>
        </w:rPr>
        <w:t xml:space="preserve"> </w:t>
      </w:r>
      <w:r w:rsidRPr="00967986">
        <w:rPr>
          <w:rFonts w:eastAsia="Times New Roman" w:cs="Arial"/>
          <w:color w:val="000000"/>
          <w:szCs w:val="20"/>
          <w:lang w:eastAsia="bg-BG"/>
        </w:rPr>
        <w:t>телесна повърхност) (вж. точка 4.3).</w:t>
      </w:r>
    </w:p>
    <w:p w14:paraId="026AB0BC" w14:textId="77777777" w:rsidR="00967986" w:rsidRPr="00967986" w:rsidRDefault="00967986" w:rsidP="00967986">
      <w:pPr>
        <w:spacing w:line="240" w:lineRule="auto"/>
        <w:rPr>
          <w:rFonts w:eastAsia="Times New Roman" w:cs="Arial"/>
          <w:i/>
          <w:iCs/>
          <w:color w:val="000000"/>
          <w:szCs w:val="20"/>
          <w:lang w:eastAsia="bg-BG"/>
        </w:rPr>
      </w:pPr>
    </w:p>
    <w:p w14:paraId="73354341" w14:textId="36D0C6E3" w:rsidR="00967986" w:rsidRPr="00967986" w:rsidRDefault="00967986" w:rsidP="00967986">
      <w:pPr>
        <w:spacing w:line="240" w:lineRule="auto"/>
        <w:rPr>
          <w:rFonts w:eastAsia="Times New Roman" w:cs="Arial"/>
          <w:sz w:val="28"/>
          <w:szCs w:val="24"/>
        </w:rPr>
      </w:pPr>
      <w:r w:rsidRPr="00967986">
        <w:rPr>
          <w:rFonts w:eastAsia="Times New Roman" w:cs="Arial"/>
          <w:i/>
          <w:iCs/>
          <w:color w:val="000000"/>
          <w:szCs w:val="20"/>
          <w:lang w:eastAsia="bg-BG"/>
        </w:rPr>
        <w:t>Чернодробно увреждане</w:t>
      </w:r>
    </w:p>
    <w:p w14:paraId="5D62023C"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При пациенти с леко до умерено тежко хронично чернодробно заболяване се препоръчва титриране на дозата.</w:t>
      </w:r>
    </w:p>
    <w:p w14:paraId="13FC9EAD"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Кандекард Н е противопоказан при пациенти с тежко чернодробно увреждане и/или холестаза (вж. точка 4.3).</w:t>
      </w:r>
    </w:p>
    <w:p w14:paraId="037E545C" w14:textId="77777777" w:rsidR="00967986" w:rsidRPr="00967986" w:rsidRDefault="00967986" w:rsidP="00967986">
      <w:pPr>
        <w:spacing w:line="240" w:lineRule="auto"/>
        <w:rPr>
          <w:rFonts w:eastAsia="Times New Roman" w:cs="Arial"/>
          <w:color w:val="000000"/>
          <w:szCs w:val="20"/>
          <w:u w:val="single"/>
          <w:lang w:eastAsia="bg-BG"/>
        </w:rPr>
      </w:pPr>
    </w:p>
    <w:p w14:paraId="5D601562" w14:textId="520ACD99"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u w:val="single"/>
          <w:lang w:eastAsia="bg-BG"/>
        </w:rPr>
        <w:t>Педиатрична популация</w:t>
      </w:r>
    </w:p>
    <w:p w14:paraId="4A2135D4"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Безопасността и ефикасността на Кандекард Н при деца и юноши от новородени до 18 години не е установена. Няма налични данни.</w:t>
      </w:r>
    </w:p>
    <w:p w14:paraId="0EB55CE3" w14:textId="77777777" w:rsidR="00967986" w:rsidRPr="00967986" w:rsidRDefault="00967986" w:rsidP="00967986">
      <w:pPr>
        <w:spacing w:line="240" w:lineRule="auto"/>
        <w:rPr>
          <w:rFonts w:eastAsia="Times New Roman" w:cs="Arial"/>
          <w:color w:val="000000"/>
          <w:szCs w:val="20"/>
          <w:u w:val="single"/>
          <w:lang w:eastAsia="bg-BG"/>
        </w:rPr>
      </w:pPr>
    </w:p>
    <w:p w14:paraId="771AEF10" w14:textId="2076F583" w:rsidR="00967986" w:rsidRPr="00967986" w:rsidRDefault="00967986" w:rsidP="00967986">
      <w:pPr>
        <w:pStyle w:val="Heading3"/>
        <w:rPr>
          <w:rFonts w:eastAsia="Times New Roman"/>
          <w:sz w:val="28"/>
          <w:u w:val="single"/>
        </w:rPr>
      </w:pPr>
      <w:r w:rsidRPr="00967986">
        <w:rPr>
          <w:rFonts w:eastAsia="Times New Roman"/>
          <w:u w:val="single"/>
          <w:lang w:eastAsia="bg-BG"/>
        </w:rPr>
        <w:t>Начин на приложение</w:t>
      </w:r>
    </w:p>
    <w:p w14:paraId="5F522BFA"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Перорално приложение.</w:t>
      </w:r>
    </w:p>
    <w:p w14:paraId="6E6DF6B3"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Кандекард Н може да се приема със или без храна.</w:t>
      </w:r>
    </w:p>
    <w:p w14:paraId="0B9E2BEA"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Бионаличността на кандесартан не се повлиява от храната.</w:t>
      </w:r>
    </w:p>
    <w:p w14:paraId="4E075F49" w14:textId="77777777" w:rsidR="00967986" w:rsidRPr="00967986" w:rsidRDefault="00967986" w:rsidP="00967986">
      <w:pPr>
        <w:spacing w:line="240" w:lineRule="auto"/>
        <w:rPr>
          <w:rFonts w:ascii="Times New Roman" w:eastAsia="Times New Roman" w:hAnsi="Times New Roman" w:cs="Times New Roman"/>
          <w:sz w:val="24"/>
          <w:szCs w:val="24"/>
        </w:rPr>
      </w:pPr>
      <w:r w:rsidRPr="00967986">
        <w:rPr>
          <w:rFonts w:eastAsia="Times New Roman" w:cs="Arial"/>
          <w:color w:val="000000"/>
          <w:szCs w:val="20"/>
          <w:lang w:eastAsia="bg-BG"/>
        </w:rPr>
        <w:t>Няма клинично значимо взаимодействие между хидрохлортиазид и храната.</w:t>
      </w:r>
    </w:p>
    <w:p w14:paraId="646E369A" w14:textId="77777777" w:rsidR="00967986" w:rsidRPr="00967986" w:rsidRDefault="00967986" w:rsidP="00967986"/>
    <w:p w14:paraId="0F253247" w14:textId="3318B463" w:rsidR="007122AD" w:rsidRDefault="002C50EE" w:rsidP="00936AD0">
      <w:pPr>
        <w:pStyle w:val="Heading2"/>
      </w:pPr>
      <w:r>
        <w:t>4.3. Противопоказания</w:t>
      </w:r>
    </w:p>
    <w:p w14:paraId="55CCF828" w14:textId="3358F2BB" w:rsidR="00967986" w:rsidRDefault="00967986" w:rsidP="00967986"/>
    <w:p w14:paraId="60F5F0D9" w14:textId="77777777" w:rsidR="00967986" w:rsidRPr="00967986" w:rsidRDefault="00967986" w:rsidP="00967986">
      <w:pPr>
        <w:pStyle w:val="ListParagraph"/>
        <w:numPr>
          <w:ilvl w:val="0"/>
          <w:numId w:val="37"/>
        </w:numPr>
        <w:spacing w:line="240" w:lineRule="auto"/>
        <w:rPr>
          <w:rFonts w:eastAsia="Times New Roman" w:cs="Arial"/>
          <w:sz w:val="28"/>
          <w:szCs w:val="24"/>
        </w:rPr>
      </w:pPr>
      <w:r w:rsidRPr="00967986">
        <w:rPr>
          <w:rFonts w:eastAsia="Times New Roman" w:cs="Arial"/>
          <w:color w:val="000000"/>
          <w:szCs w:val="20"/>
          <w:lang w:eastAsia="bg-BG"/>
        </w:rPr>
        <w:t>Свръхчувствителност към активното вещество или някое от помощните вещества, изброени в точка 6.1 или сулфонамидни производни активни субстанции, Хидрохлоротиазид е сулфонамидно производна активна субстанция.</w:t>
      </w:r>
    </w:p>
    <w:p w14:paraId="45F57367" w14:textId="77777777" w:rsidR="00967986" w:rsidRPr="00967986" w:rsidRDefault="00967986" w:rsidP="00967986">
      <w:pPr>
        <w:pStyle w:val="ListParagraph"/>
        <w:numPr>
          <w:ilvl w:val="0"/>
          <w:numId w:val="37"/>
        </w:numPr>
        <w:spacing w:line="240" w:lineRule="auto"/>
        <w:rPr>
          <w:rFonts w:eastAsia="Times New Roman" w:cs="Arial"/>
          <w:sz w:val="28"/>
          <w:szCs w:val="24"/>
        </w:rPr>
      </w:pPr>
      <w:r w:rsidRPr="00967986">
        <w:rPr>
          <w:rFonts w:eastAsia="Times New Roman" w:cs="Arial"/>
          <w:color w:val="000000"/>
          <w:szCs w:val="20"/>
          <w:lang w:eastAsia="bg-BG"/>
        </w:rPr>
        <w:t>Втори и грети гриместър на бременността (вижте точки 4.4 и 4.6)</w:t>
      </w:r>
    </w:p>
    <w:p w14:paraId="1FA5E8DB" w14:textId="77777777" w:rsidR="00967986" w:rsidRPr="00967986" w:rsidRDefault="00967986" w:rsidP="00967986">
      <w:pPr>
        <w:pStyle w:val="ListParagraph"/>
        <w:numPr>
          <w:ilvl w:val="0"/>
          <w:numId w:val="37"/>
        </w:numPr>
        <w:spacing w:line="240" w:lineRule="auto"/>
        <w:rPr>
          <w:rFonts w:eastAsia="Times New Roman" w:cs="Arial"/>
          <w:sz w:val="28"/>
          <w:szCs w:val="24"/>
        </w:rPr>
      </w:pPr>
      <w:r w:rsidRPr="00967986">
        <w:rPr>
          <w:rFonts w:eastAsia="Times New Roman" w:cs="Arial"/>
          <w:color w:val="000000"/>
          <w:szCs w:val="20"/>
          <w:lang w:eastAsia="bg-BG"/>
        </w:rPr>
        <w:t xml:space="preserve">Тежко бъбречно увреждане (креатининов клирънс &lt;30 </w:t>
      </w:r>
      <w:r w:rsidRPr="00967986">
        <w:rPr>
          <w:rFonts w:eastAsia="Times New Roman" w:cs="Arial"/>
          <w:color w:val="000000"/>
          <w:szCs w:val="20"/>
          <w:lang w:val="en-US"/>
        </w:rPr>
        <w:t>ml</w:t>
      </w:r>
      <w:r w:rsidRPr="00967986">
        <w:rPr>
          <w:rFonts w:eastAsia="Times New Roman" w:cs="Arial"/>
          <w:color w:val="000000"/>
          <w:szCs w:val="20"/>
          <w:lang w:val="ru-RU"/>
        </w:rPr>
        <w:t>/</w:t>
      </w:r>
      <w:r w:rsidRPr="00967986">
        <w:rPr>
          <w:rFonts w:eastAsia="Times New Roman" w:cs="Arial"/>
          <w:color w:val="000000"/>
          <w:szCs w:val="20"/>
          <w:lang w:val="en-US"/>
        </w:rPr>
        <w:t>min</w:t>
      </w:r>
      <w:r w:rsidRPr="00967986">
        <w:rPr>
          <w:rFonts w:eastAsia="Times New Roman" w:cs="Arial"/>
          <w:color w:val="000000"/>
          <w:szCs w:val="20"/>
          <w:lang w:val="ru-RU"/>
        </w:rPr>
        <w:t xml:space="preserve">/1,73 </w:t>
      </w:r>
      <w:r w:rsidRPr="00967986">
        <w:rPr>
          <w:rFonts w:eastAsia="Times New Roman" w:cs="Arial"/>
          <w:color w:val="000000"/>
          <w:szCs w:val="20"/>
          <w:lang w:val="en-US"/>
        </w:rPr>
        <w:t>m</w:t>
      </w:r>
      <w:r w:rsidRPr="00967986">
        <w:rPr>
          <w:rFonts w:eastAsia="Times New Roman" w:cs="Arial"/>
          <w:color w:val="000000"/>
          <w:szCs w:val="20"/>
          <w:vertAlign w:val="superscript"/>
          <w:lang w:val="ru-RU"/>
        </w:rPr>
        <w:t>2</w:t>
      </w:r>
      <w:r w:rsidRPr="00967986">
        <w:rPr>
          <w:rFonts w:eastAsia="Times New Roman" w:cs="Arial"/>
          <w:color w:val="000000"/>
          <w:szCs w:val="20"/>
          <w:lang w:val="ru-RU"/>
        </w:rPr>
        <w:t xml:space="preserve"> </w:t>
      </w:r>
      <w:r w:rsidRPr="00967986">
        <w:rPr>
          <w:rFonts w:eastAsia="Times New Roman" w:cs="Arial"/>
          <w:color w:val="000000"/>
          <w:szCs w:val="20"/>
          <w:lang w:eastAsia="bg-BG"/>
        </w:rPr>
        <w:t>телесна повърхност)</w:t>
      </w:r>
    </w:p>
    <w:p w14:paraId="2C26138B" w14:textId="77777777" w:rsidR="00967986" w:rsidRPr="00967986" w:rsidRDefault="00967986" w:rsidP="00967986">
      <w:pPr>
        <w:pStyle w:val="ListParagraph"/>
        <w:numPr>
          <w:ilvl w:val="0"/>
          <w:numId w:val="37"/>
        </w:numPr>
        <w:spacing w:line="240" w:lineRule="auto"/>
        <w:rPr>
          <w:rFonts w:eastAsia="Times New Roman" w:cs="Arial"/>
          <w:sz w:val="28"/>
          <w:szCs w:val="24"/>
        </w:rPr>
      </w:pPr>
      <w:r w:rsidRPr="00967986">
        <w:rPr>
          <w:rFonts w:eastAsia="Times New Roman" w:cs="Arial"/>
          <w:color w:val="000000"/>
          <w:szCs w:val="20"/>
          <w:lang w:eastAsia="bg-BG"/>
        </w:rPr>
        <w:t>Тежко чернодробно увреждане и/или холестаза</w:t>
      </w:r>
    </w:p>
    <w:p w14:paraId="4F2798F3" w14:textId="77777777" w:rsidR="00967986" w:rsidRPr="00967986" w:rsidRDefault="00967986" w:rsidP="00967986">
      <w:pPr>
        <w:pStyle w:val="ListParagraph"/>
        <w:numPr>
          <w:ilvl w:val="0"/>
          <w:numId w:val="37"/>
        </w:numPr>
        <w:spacing w:line="240" w:lineRule="auto"/>
        <w:rPr>
          <w:rFonts w:eastAsia="Times New Roman" w:cs="Arial"/>
          <w:sz w:val="28"/>
          <w:szCs w:val="24"/>
        </w:rPr>
      </w:pPr>
      <w:r w:rsidRPr="00967986">
        <w:rPr>
          <w:rFonts w:eastAsia="Times New Roman" w:cs="Arial"/>
          <w:color w:val="000000"/>
          <w:szCs w:val="20"/>
          <w:lang w:eastAsia="bg-BG"/>
        </w:rPr>
        <w:lastRenderedPageBreak/>
        <w:t>Рефрактерни хипокалиемия и хиперкалциемия</w:t>
      </w:r>
    </w:p>
    <w:p w14:paraId="5B28E994" w14:textId="77777777" w:rsidR="00967986" w:rsidRPr="00967986" w:rsidRDefault="00967986" w:rsidP="00967986">
      <w:pPr>
        <w:pStyle w:val="ListParagraph"/>
        <w:numPr>
          <w:ilvl w:val="0"/>
          <w:numId w:val="37"/>
        </w:numPr>
        <w:spacing w:line="240" w:lineRule="auto"/>
        <w:rPr>
          <w:rFonts w:eastAsia="Times New Roman" w:cs="Arial"/>
          <w:sz w:val="28"/>
          <w:szCs w:val="24"/>
        </w:rPr>
      </w:pPr>
      <w:r w:rsidRPr="00967986">
        <w:rPr>
          <w:rFonts w:eastAsia="Times New Roman" w:cs="Arial"/>
          <w:color w:val="000000"/>
          <w:szCs w:val="20"/>
          <w:lang w:eastAsia="bg-BG"/>
        </w:rPr>
        <w:t>Подагра</w:t>
      </w:r>
    </w:p>
    <w:p w14:paraId="5E536BD9" w14:textId="0D06DBBF" w:rsidR="00967986" w:rsidRPr="00967986" w:rsidRDefault="00967986" w:rsidP="00967986">
      <w:pPr>
        <w:pStyle w:val="ListParagraph"/>
        <w:numPr>
          <w:ilvl w:val="0"/>
          <w:numId w:val="37"/>
        </w:numPr>
        <w:spacing w:line="240" w:lineRule="auto"/>
        <w:rPr>
          <w:rFonts w:eastAsia="Times New Roman" w:cs="Arial"/>
          <w:sz w:val="28"/>
          <w:szCs w:val="24"/>
        </w:rPr>
      </w:pPr>
      <w:r w:rsidRPr="00967986">
        <w:rPr>
          <w:rFonts w:eastAsia="Times New Roman" w:cs="Arial"/>
          <w:color w:val="000000"/>
          <w:szCs w:val="20"/>
          <w:lang w:eastAsia="bg-BG"/>
        </w:rPr>
        <w:t xml:space="preserve">Едновременното приложение на Кандекард Н с лекарства, съдържаши алискирен е противопоказано при пациенти със захарен диабет или бъберчно увреждане </w:t>
      </w:r>
      <w:r w:rsidRPr="00967986">
        <w:rPr>
          <w:rFonts w:eastAsia="Times New Roman" w:cs="Arial"/>
          <w:color w:val="000000"/>
          <w:szCs w:val="20"/>
          <w:lang w:val="ru-RU"/>
        </w:rPr>
        <w:t>(</w:t>
      </w:r>
      <w:r w:rsidRPr="00967986">
        <w:rPr>
          <w:rFonts w:eastAsia="Times New Roman" w:cs="Arial"/>
          <w:color w:val="000000"/>
          <w:szCs w:val="20"/>
          <w:lang w:val="en-US"/>
        </w:rPr>
        <w:t>GFR</w:t>
      </w:r>
      <w:r w:rsidRPr="00967986">
        <w:rPr>
          <w:rFonts w:eastAsia="Times New Roman" w:cs="Arial"/>
          <w:color w:val="000000"/>
          <w:szCs w:val="20"/>
          <w:lang w:val="ru-RU"/>
        </w:rPr>
        <w:t xml:space="preserve"> </w:t>
      </w:r>
      <w:r w:rsidRPr="00967986">
        <w:rPr>
          <w:rFonts w:eastAsia="Times New Roman" w:cs="Arial"/>
          <w:color w:val="000000"/>
          <w:szCs w:val="20"/>
          <w:lang w:eastAsia="bg-BG"/>
        </w:rPr>
        <w:t xml:space="preserve">&lt; 60 </w:t>
      </w:r>
      <w:r w:rsidRPr="00967986">
        <w:rPr>
          <w:rFonts w:eastAsia="Times New Roman" w:cs="Arial"/>
          <w:color w:val="000000"/>
          <w:szCs w:val="20"/>
          <w:lang w:val="en-US"/>
        </w:rPr>
        <w:t>ml</w:t>
      </w:r>
      <w:r w:rsidRPr="00967986">
        <w:rPr>
          <w:rFonts w:eastAsia="Times New Roman" w:cs="Arial"/>
          <w:color w:val="000000"/>
          <w:szCs w:val="20"/>
          <w:lang w:val="ru-RU"/>
        </w:rPr>
        <w:t>/</w:t>
      </w:r>
      <w:r w:rsidRPr="00967986">
        <w:rPr>
          <w:rFonts w:eastAsia="Times New Roman" w:cs="Arial"/>
          <w:color w:val="000000"/>
          <w:szCs w:val="20"/>
          <w:lang w:val="en-US"/>
        </w:rPr>
        <w:t>min</w:t>
      </w:r>
      <w:r w:rsidRPr="00967986">
        <w:rPr>
          <w:rFonts w:eastAsia="Times New Roman" w:cs="Arial"/>
          <w:color w:val="000000"/>
          <w:szCs w:val="20"/>
          <w:lang w:val="ru-RU"/>
        </w:rPr>
        <w:t xml:space="preserve">/1.73 </w:t>
      </w:r>
      <w:r w:rsidRPr="00967986">
        <w:rPr>
          <w:rFonts w:eastAsia="Times New Roman" w:cs="Arial"/>
          <w:color w:val="000000"/>
          <w:szCs w:val="20"/>
          <w:lang w:val="en-US"/>
        </w:rPr>
        <w:t>m</w:t>
      </w:r>
      <w:r w:rsidRPr="00967986">
        <w:rPr>
          <w:rFonts w:eastAsia="Times New Roman" w:cs="Arial"/>
          <w:color w:val="000000"/>
          <w:szCs w:val="20"/>
          <w:vertAlign w:val="superscript"/>
          <w:lang w:val="ru-RU"/>
        </w:rPr>
        <w:t>2</w:t>
      </w:r>
      <w:r w:rsidRPr="00967986">
        <w:rPr>
          <w:rFonts w:eastAsia="Times New Roman" w:cs="Arial"/>
          <w:color w:val="000000"/>
          <w:szCs w:val="20"/>
          <w:vertAlign w:val="superscript"/>
          <w:lang w:eastAsia="bg-BG"/>
        </w:rPr>
        <w:t xml:space="preserve"> </w:t>
      </w:r>
      <w:r w:rsidRPr="00967986">
        <w:rPr>
          <w:rFonts w:eastAsia="Times New Roman" w:cs="Arial"/>
          <w:color w:val="000000"/>
          <w:szCs w:val="20"/>
          <w:lang w:eastAsia="bg-BG"/>
        </w:rPr>
        <w:t>телесна повърхност) (вижте точки 4.5 и 5.1).</w:t>
      </w:r>
    </w:p>
    <w:p w14:paraId="7664CA25" w14:textId="77777777" w:rsidR="00967986" w:rsidRPr="00967986" w:rsidRDefault="00967986" w:rsidP="00967986"/>
    <w:p w14:paraId="0E0BDCC7" w14:textId="4B95BFA3" w:rsidR="007122AD" w:rsidRDefault="002C50EE" w:rsidP="00936AD0">
      <w:pPr>
        <w:pStyle w:val="Heading2"/>
      </w:pPr>
      <w:r>
        <w:t>4.4. Специални предупреждения и предпазни мерки при употреба</w:t>
      </w:r>
    </w:p>
    <w:p w14:paraId="4AE5A722" w14:textId="674991CD" w:rsidR="00967986" w:rsidRDefault="00967986" w:rsidP="00967986"/>
    <w:p w14:paraId="3EE591CF" w14:textId="77777777" w:rsidR="00967986" w:rsidRPr="00967986" w:rsidRDefault="00967986" w:rsidP="00967986">
      <w:pPr>
        <w:rPr>
          <w:rFonts w:eastAsia="Times New Roman" w:cs="Arial"/>
        </w:rPr>
      </w:pPr>
      <w:r w:rsidRPr="00967986">
        <w:rPr>
          <w:rFonts w:eastAsia="Times New Roman" w:cs="Arial"/>
          <w:b/>
          <w:bCs/>
          <w:i/>
          <w:iCs/>
          <w:color w:val="000000"/>
          <w:lang w:eastAsia="bg-BG"/>
        </w:rPr>
        <w:t xml:space="preserve">Двойна блокада на ренин-ангиотензин-алдостероновата система (РААС) </w:t>
      </w:r>
      <w:r w:rsidRPr="00967986">
        <w:rPr>
          <w:rFonts w:eastAsia="Times New Roman" w:cs="Arial"/>
          <w:color w:val="000000"/>
          <w:lang w:eastAsia="bg-BG"/>
        </w:rPr>
        <w:t>Има данни, че едновременната употреба на АСЕ инхибитори, ангиотензин II 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II рецепторни блокери или алискирен (вж. точки 4.5 и 5.1).</w:t>
      </w:r>
    </w:p>
    <w:p w14:paraId="081790EA" w14:textId="77777777" w:rsidR="00967986" w:rsidRPr="00967986" w:rsidRDefault="00967986" w:rsidP="00967986">
      <w:pPr>
        <w:spacing w:line="240" w:lineRule="auto"/>
        <w:rPr>
          <w:rFonts w:eastAsia="Times New Roman" w:cs="Arial"/>
        </w:rPr>
      </w:pPr>
      <w:r w:rsidRPr="00967986">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 АСЕ инхибитори и АРБ не трябва да се използват едновременно при пациенти с диабетна нефропатия.</w:t>
      </w:r>
    </w:p>
    <w:p w14:paraId="12AC940A" w14:textId="77777777" w:rsidR="00967986" w:rsidRPr="00967986" w:rsidRDefault="00967986" w:rsidP="00967986">
      <w:pPr>
        <w:spacing w:line="240" w:lineRule="auto"/>
        <w:rPr>
          <w:rFonts w:eastAsia="Times New Roman" w:cs="Arial"/>
          <w:b/>
          <w:bCs/>
          <w:i/>
          <w:iCs/>
          <w:color w:val="000000"/>
          <w:lang w:eastAsia="bg-BG"/>
        </w:rPr>
      </w:pPr>
    </w:p>
    <w:p w14:paraId="0B1F04E7" w14:textId="18626AEC" w:rsidR="00967986" w:rsidRPr="00967986" w:rsidRDefault="00967986" w:rsidP="00967986">
      <w:pPr>
        <w:spacing w:line="240" w:lineRule="auto"/>
        <w:rPr>
          <w:rFonts w:eastAsia="Times New Roman" w:cs="Arial"/>
        </w:rPr>
      </w:pPr>
      <w:r w:rsidRPr="00967986">
        <w:rPr>
          <w:rFonts w:eastAsia="Times New Roman" w:cs="Arial"/>
          <w:b/>
          <w:bCs/>
          <w:i/>
          <w:iCs/>
          <w:color w:val="000000"/>
          <w:lang w:eastAsia="bg-BG"/>
        </w:rPr>
        <w:t>Бъ бречно увреждане</w:t>
      </w:r>
    </w:p>
    <w:p w14:paraId="400BC59E" w14:textId="77777777" w:rsidR="00967986" w:rsidRPr="00967986" w:rsidRDefault="00967986" w:rsidP="00967986">
      <w:pPr>
        <w:spacing w:line="240" w:lineRule="auto"/>
        <w:rPr>
          <w:rFonts w:eastAsia="Times New Roman" w:cs="Arial"/>
        </w:rPr>
      </w:pPr>
      <w:r w:rsidRPr="00967986">
        <w:rPr>
          <w:rFonts w:eastAsia="Times New Roman" w:cs="Arial"/>
          <w:color w:val="000000"/>
          <w:lang w:eastAsia="bg-BG"/>
        </w:rPr>
        <w:t>Както при други средства, инхибиращи ренин-ангиотензин-алдостероновата система, могат да се очакват промени в бъбречната функция при чувствителни пациенти, лекувани с Кандекард Н (вж. точка 4.3).</w:t>
      </w:r>
    </w:p>
    <w:p w14:paraId="08538D13" w14:textId="77777777" w:rsidR="00967986" w:rsidRPr="00967986" w:rsidRDefault="00967986" w:rsidP="00967986">
      <w:pPr>
        <w:spacing w:line="240" w:lineRule="auto"/>
        <w:rPr>
          <w:rFonts w:eastAsia="Times New Roman" w:cs="Arial"/>
          <w:b/>
          <w:bCs/>
          <w:i/>
          <w:iCs/>
          <w:color w:val="000000"/>
          <w:lang w:eastAsia="bg-BG"/>
        </w:rPr>
      </w:pPr>
    </w:p>
    <w:p w14:paraId="1EA924FA" w14:textId="01B7EEDF" w:rsidR="00967986" w:rsidRPr="00967986" w:rsidRDefault="00967986" w:rsidP="00967986">
      <w:pPr>
        <w:spacing w:line="240" w:lineRule="auto"/>
        <w:rPr>
          <w:rFonts w:eastAsia="Times New Roman" w:cs="Arial"/>
        </w:rPr>
      </w:pPr>
      <w:r w:rsidRPr="00967986">
        <w:rPr>
          <w:rFonts w:eastAsia="Times New Roman" w:cs="Arial"/>
          <w:b/>
          <w:bCs/>
          <w:i/>
          <w:iCs/>
          <w:color w:val="000000"/>
          <w:lang w:eastAsia="bg-BG"/>
        </w:rPr>
        <w:t>Бъбречна трансплантация</w:t>
      </w:r>
    </w:p>
    <w:p w14:paraId="59FC57D8" w14:textId="77777777" w:rsidR="00967986" w:rsidRPr="00967986" w:rsidRDefault="00967986" w:rsidP="00967986">
      <w:pPr>
        <w:spacing w:line="240" w:lineRule="auto"/>
        <w:rPr>
          <w:rFonts w:eastAsia="Times New Roman" w:cs="Arial"/>
        </w:rPr>
      </w:pPr>
      <w:r w:rsidRPr="00967986">
        <w:rPr>
          <w:rFonts w:eastAsia="Times New Roman" w:cs="Arial"/>
          <w:color w:val="000000"/>
          <w:lang w:eastAsia="bg-BG"/>
        </w:rPr>
        <w:t>Съществуват ограничено количество данни, свързани с употребата на Кандекард Н при пациенти с бъбречна транс плантация.</w:t>
      </w:r>
    </w:p>
    <w:p w14:paraId="291C8FD7" w14:textId="77777777" w:rsidR="00967986" w:rsidRPr="00967986" w:rsidRDefault="00967986" w:rsidP="00967986">
      <w:pPr>
        <w:spacing w:line="240" w:lineRule="auto"/>
        <w:rPr>
          <w:rFonts w:eastAsia="Times New Roman" w:cs="Arial"/>
          <w:b/>
          <w:bCs/>
          <w:i/>
          <w:iCs/>
          <w:color w:val="000000"/>
          <w:lang w:eastAsia="bg-BG"/>
        </w:rPr>
      </w:pPr>
    </w:p>
    <w:p w14:paraId="40C2EF2E" w14:textId="0857BDE4" w:rsidR="00967986" w:rsidRPr="00967986" w:rsidRDefault="00967986" w:rsidP="00967986">
      <w:pPr>
        <w:spacing w:line="240" w:lineRule="auto"/>
        <w:rPr>
          <w:rFonts w:eastAsia="Times New Roman" w:cs="Arial"/>
        </w:rPr>
      </w:pPr>
      <w:r w:rsidRPr="00967986">
        <w:rPr>
          <w:rFonts w:eastAsia="Times New Roman" w:cs="Arial"/>
          <w:b/>
          <w:bCs/>
          <w:i/>
          <w:iCs/>
          <w:color w:val="000000"/>
          <w:lang w:eastAsia="bg-BG"/>
        </w:rPr>
        <w:t>Стеноза на бъбречната артерия</w:t>
      </w:r>
    </w:p>
    <w:p w14:paraId="115E9F44" w14:textId="77777777" w:rsidR="00967986" w:rsidRPr="00967986" w:rsidRDefault="00967986" w:rsidP="00967986">
      <w:pPr>
        <w:spacing w:line="240" w:lineRule="auto"/>
        <w:rPr>
          <w:rFonts w:eastAsia="Times New Roman" w:cs="Arial"/>
        </w:rPr>
      </w:pPr>
      <w:r w:rsidRPr="00967986">
        <w:rPr>
          <w:rFonts w:eastAsia="Times New Roman" w:cs="Arial"/>
          <w:color w:val="000000"/>
          <w:lang w:eastAsia="bg-BG"/>
        </w:rPr>
        <w:t>Лекарствени продукти, които повлияват ренин-ангиотензин-алдостероновата система, включително ангиотензин II рецепторни антагонисти (АТ</w:t>
      </w:r>
      <w:r w:rsidRPr="00967986">
        <w:rPr>
          <w:rFonts w:eastAsia="Times New Roman" w:cs="Arial"/>
          <w:color w:val="000000"/>
          <w:lang w:val="en-US"/>
        </w:rPr>
        <w:t>II</w:t>
      </w:r>
      <w:r w:rsidRPr="00967986">
        <w:rPr>
          <w:rFonts w:eastAsia="Times New Roman" w:cs="Arial"/>
          <w:color w:val="000000"/>
          <w:lang w:eastAsia="bg-BG"/>
        </w:rPr>
        <w:t>РА), може да повишат кръвните нива на уреята и серумния креатинин при пациенти с двустранна стеноза на бъбречните артерии или стеноза на артерията при единствен бъбрек.</w:t>
      </w:r>
    </w:p>
    <w:p w14:paraId="33E3B96D" w14:textId="77777777" w:rsidR="00967986" w:rsidRPr="00967986" w:rsidRDefault="00967986" w:rsidP="00967986">
      <w:pPr>
        <w:spacing w:line="240" w:lineRule="auto"/>
        <w:rPr>
          <w:rFonts w:eastAsia="Times New Roman" w:cs="Arial"/>
          <w:b/>
          <w:bCs/>
          <w:i/>
          <w:iCs/>
          <w:color w:val="000000"/>
          <w:lang w:eastAsia="bg-BG"/>
        </w:rPr>
      </w:pPr>
    </w:p>
    <w:p w14:paraId="7610A83A" w14:textId="47C6E248" w:rsidR="00967986" w:rsidRPr="00967986" w:rsidRDefault="00967986" w:rsidP="00967986">
      <w:pPr>
        <w:spacing w:line="240" w:lineRule="auto"/>
        <w:rPr>
          <w:rFonts w:eastAsia="Times New Roman" w:cs="Arial"/>
        </w:rPr>
      </w:pPr>
      <w:r w:rsidRPr="00967986">
        <w:rPr>
          <w:rFonts w:eastAsia="Times New Roman" w:cs="Arial"/>
          <w:b/>
          <w:bCs/>
          <w:i/>
          <w:iCs/>
          <w:color w:val="000000"/>
          <w:lang w:eastAsia="bg-BG"/>
        </w:rPr>
        <w:t>Понижение на вътресъдовия обем</w:t>
      </w:r>
    </w:p>
    <w:p w14:paraId="78129F92" w14:textId="77777777" w:rsidR="00967986" w:rsidRPr="00967986" w:rsidRDefault="00967986" w:rsidP="00967986">
      <w:pPr>
        <w:spacing w:line="240" w:lineRule="auto"/>
        <w:rPr>
          <w:rFonts w:eastAsia="Times New Roman" w:cs="Arial"/>
        </w:rPr>
      </w:pPr>
      <w:r w:rsidRPr="00967986">
        <w:rPr>
          <w:rFonts w:eastAsia="Times New Roman" w:cs="Arial"/>
          <w:color w:val="000000"/>
          <w:lang w:eastAsia="bg-BG"/>
        </w:rPr>
        <w:t>При пациентите с понижен вътресъдов обем и/или натрий може да настъпи симптоматична хипотония, както е описано за други активни вещества, действащи върху ренин-ангиотензин- алдостероновата система. Ето защо не се препоръчва употребата на Кандекард Н, докато това състояние не се коригира.</w:t>
      </w:r>
    </w:p>
    <w:p w14:paraId="2C63C1C2" w14:textId="77777777" w:rsidR="00967986" w:rsidRPr="00967986" w:rsidRDefault="00967986" w:rsidP="00967986">
      <w:pPr>
        <w:spacing w:line="240" w:lineRule="auto"/>
        <w:rPr>
          <w:rFonts w:eastAsia="Times New Roman" w:cs="Arial"/>
          <w:b/>
          <w:bCs/>
          <w:i/>
          <w:iCs/>
          <w:color w:val="000000"/>
          <w:lang w:eastAsia="bg-BG"/>
        </w:rPr>
      </w:pPr>
    </w:p>
    <w:p w14:paraId="7D809075" w14:textId="424D5933" w:rsidR="00967986" w:rsidRPr="00967986" w:rsidRDefault="00967986" w:rsidP="00967986">
      <w:pPr>
        <w:spacing w:line="240" w:lineRule="auto"/>
        <w:rPr>
          <w:rFonts w:eastAsia="Times New Roman" w:cs="Arial"/>
        </w:rPr>
      </w:pPr>
      <w:r w:rsidRPr="00967986">
        <w:rPr>
          <w:rFonts w:eastAsia="Times New Roman" w:cs="Arial"/>
          <w:b/>
          <w:bCs/>
          <w:i/>
          <w:iCs/>
          <w:color w:val="000000"/>
          <w:lang w:eastAsia="bg-BG"/>
        </w:rPr>
        <w:t>Анестезия и хирургични операции</w:t>
      </w:r>
    </w:p>
    <w:p w14:paraId="4832D269" w14:textId="77777777" w:rsidR="00967986" w:rsidRPr="00967986" w:rsidRDefault="00967986" w:rsidP="00967986">
      <w:pPr>
        <w:spacing w:line="240" w:lineRule="auto"/>
        <w:rPr>
          <w:rFonts w:eastAsia="Times New Roman" w:cs="Arial"/>
        </w:rPr>
      </w:pPr>
      <w:r w:rsidRPr="00967986">
        <w:rPr>
          <w:rFonts w:eastAsia="Times New Roman" w:cs="Arial"/>
          <w:color w:val="000000"/>
          <w:lang w:eastAsia="bg-BG"/>
        </w:rPr>
        <w:t>При пациенти лекувани с АТ</w:t>
      </w:r>
      <w:r w:rsidRPr="00967986">
        <w:rPr>
          <w:rFonts w:eastAsia="Times New Roman" w:cs="Arial"/>
          <w:color w:val="000000"/>
          <w:lang w:val="en-US"/>
        </w:rPr>
        <w:t>II</w:t>
      </w:r>
      <w:r w:rsidRPr="00967986">
        <w:rPr>
          <w:rFonts w:eastAsia="Times New Roman" w:cs="Arial"/>
          <w:color w:val="000000"/>
          <w:lang w:eastAsia="bg-BG"/>
        </w:rPr>
        <w:t>РА може да настъпи хипотония по време на анестезия и хирургични операции поради блокада на ренин-ангиотензиновата система. В много редки случаи хипотонията може да е толкова тежка, така че да наложи интравенозно приложение на течности и/или вазопресори.</w:t>
      </w:r>
    </w:p>
    <w:p w14:paraId="31C0B360" w14:textId="77777777" w:rsidR="00967986" w:rsidRPr="00967986" w:rsidRDefault="00967986" w:rsidP="00967986">
      <w:pPr>
        <w:spacing w:line="240" w:lineRule="auto"/>
        <w:rPr>
          <w:rFonts w:eastAsia="Times New Roman" w:cs="Arial"/>
          <w:b/>
          <w:bCs/>
          <w:i/>
          <w:iCs/>
          <w:color w:val="000000"/>
          <w:lang w:eastAsia="bg-BG"/>
        </w:rPr>
      </w:pPr>
    </w:p>
    <w:p w14:paraId="60BEF45D" w14:textId="0A0D0D37" w:rsidR="00967986" w:rsidRPr="00967986" w:rsidRDefault="00967986" w:rsidP="00967986">
      <w:pPr>
        <w:spacing w:line="240" w:lineRule="auto"/>
        <w:rPr>
          <w:rFonts w:eastAsia="Times New Roman" w:cs="Arial"/>
        </w:rPr>
      </w:pPr>
      <w:r w:rsidRPr="00967986">
        <w:rPr>
          <w:rFonts w:eastAsia="Times New Roman" w:cs="Arial"/>
          <w:b/>
          <w:bCs/>
          <w:i/>
          <w:iCs/>
          <w:color w:val="000000"/>
          <w:lang w:eastAsia="bg-BG"/>
        </w:rPr>
        <w:t>Чернодробно нарушение</w:t>
      </w:r>
    </w:p>
    <w:p w14:paraId="18B1750B" w14:textId="77777777" w:rsidR="00967986" w:rsidRPr="00967986" w:rsidRDefault="00967986" w:rsidP="00967986">
      <w:pPr>
        <w:spacing w:line="240" w:lineRule="auto"/>
        <w:rPr>
          <w:rFonts w:eastAsia="Times New Roman" w:cs="Arial"/>
        </w:rPr>
      </w:pPr>
      <w:r w:rsidRPr="00967986">
        <w:rPr>
          <w:rFonts w:eastAsia="Times New Roman" w:cs="Arial"/>
          <w:color w:val="000000"/>
          <w:lang w:eastAsia="bg-BG"/>
        </w:rPr>
        <w:t xml:space="preserve">Тиазидите трябва да се използват предпазливо при пациенти с увредена чернодробна функция или прогресивно чернодробно заболяване, тъй като леки промени във водното и </w:t>
      </w:r>
      <w:r w:rsidRPr="00967986">
        <w:rPr>
          <w:rFonts w:eastAsia="Times New Roman" w:cs="Arial"/>
          <w:color w:val="000000"/>
          <w:lang w:eastAsia="bg-BG"/>
        </w:rPr>
        <w:lastRenderedPageBreak/>
        <w:t>електролитното равновесие може да доведат до чернодробна кома. Липсва клиничен опит с Кандекард Н при пациенти с чернодробно увреждане.</w:t>
      </w:r>
    </w:p>
    <w:p w14:paraId="5CF8FCB9" w14:textId="77777777" w:rsidR="00967986" w:rsidRPr="00967986" w:rsidRDefault="00967986" w:rsidP="00967986">
      <w:pPr>
        <w:spacing w:line="240" w:lineRule="auto"/>
        <w:rPr>
          <w:rFonts w:eastAsia="Times New Roman" w:cs="Arial"/>
          <w:b/>
          <w:bCs/>
          <w:i/>
          <w:iCs/>
          <w:color w:val="000000"/>
          <w:lang w:eastAsia="bg-BG"/>
        </w:rPr>
      </w:pPr>
    </w:p>
    <w:p w14:paraId="6AE3F7FE" w14:textId="48AE2CC9" w:rsidR="00967986" w:rsidRPr="00967986" w:rsidRDefault="00967986" w:rsidP="00967986">
      <w:pPr>
        <w:spacing w:line="240" w:lineRule="auto"/>
        <w:rPr>
          <w:rFonts w:eastAsia="Times New Roman" w:cs="Arial"/>
        </w:rPr>
      </w:pPr>
      <w:r w:rsidRPr="00967986">
        <w:rPr>
          <w:rFonts w:eastAsia="Times New Roman" w:cs="Arial"/>
          <w:b/>
          <w:bCs/>
          <w:i/>
          <w:iCs/>
          <w:color w:val="000000"/>
          <w:lang w:eastAsia="bg-BG"/>
        </w:rPr>
        <w:t xml:space="preserve">Стеноза на аортната и митралната клапа (обстуктивна, хипертрофична кардиомиопатия) </w:t>
      </w:r>
      <w:r w:rsidRPr="00967986">
        <w:rPr>
          <w:rFonts w:eastAsia="Times New Roman" w:cs="Arial"/>
          <w:color w:val="000000"/>
          <w:lang w:eastAsia="bg-BG"/>
        </w:rPr>
        <w:t>Както и при останалите вазодилататори, при пациентите, страдащи от хемодинамично значима стеноза на митралната клапа или от обструктивна хипертрофична кардиомиопатия, е необходимо специално внимание.</w:t>
      </w:r>
    </w:p>
    <w:p w14:paraId="5918A820" w14:textId="77777777" w:rsidR="00967986" w:rsidRPr="00967986" w:rsidRDefault="00967986" w:rsidP="00967986">
      <w:pPr>
        <w:spacing w:line="240" w:lineRule="auto"/>
        <w:rPr>
          <w:rFonts w:eastAsia="Times New Roman" w:cs="Arial"/>
          <w:b/>
          <w:bCs/>
          <w:i/>
          <w:iCs/>
          <w:color w:val="000000"/>
          <w:lang w:eastAsia="bg-BG"/>
        </w:rPr>
      </w:pPr>
    </w:p>
    <w:p w14:paraId="46ADB2AD" w14:textId="57044003" w:rsidR="00967986" w:rsidRPr="00967986" w:rsidRDefault="00967986" w:rsidP="00967986">
      <w:pPr>
        <w:spacing w:line="240" w:lineRule="auto"/>
        <w:rPr>
          <w:rFonts w:eastAsia="Times New Roman" w:cs="Arial"/>
        </w:rPr>
      </w:pPr>
      <w:r w:rsidRPr="00967986">
        <w:rPr>
          <w:rFonts w:eastAsia="Times New Roman" w:cs="Arial"/>
          <w:b/>
          <w:bCs/>
          <w:i/>
          <w:iCs/>
          <w:color w:val="000000"/>
          <w:lang w:eastAsia="bg-BG"/>
        </w:rPr>
        <w:t>Първичен хипералдостеронизъм</w:t>
      </w:r>
    </w:p>
    <w:p w14:paraId="10AC63CD" w14:textId="77777777" w:rsidR="00967986" w:rsidRPr="00967986" w:rsidRDefault="00967986" w:rsidP="00967986">
      <w:pPr>
        <w:spacing w:line="240" w:lineRule="auto"/>
        <w:rPr>
          <w:rFonts w:eastAsia="Times New Roman" w:cs="Arial"/>
        </w:rPr>
      </w:pPr>
      <w:r w:rsidRPr="00967986">
        <w:rPr>
          <w:rFonts w:eastAsia="Times New Roman" w:cs="Arial"/>
          <w:color w:val="000000"/>
          <w:lang w:eastAsia="bg-BG"/>
        </w:rPr>
        <w:t>Пациентите с първичен хипералдостеронизъм по правило не се очаква да отговорят на антихипертензивни средства, действащи чрез инхибиране на ренин-ангиотензин-алдостероновата система, затова не се препоръчва употребата на Кандекард Н при такива пациенти.</w:t>
      </w:r>
    </w:p>
    <w:p w14:paraId="1391100E" w14:textId="77777777" w:rsidR="00967986" w:rsidRPr="00967986" w:rsidRDefault="00967986" w:rsidP="00967986">
      <w:pPr>
        <w:spacing w:line="240" w:lineRule="auto"/>
        <w:rPr>
          <w:rFonts w:eastAsia="Times New Roman" w:cs="Arial"/>
          <w:b/>
          <w:bCs/>
          <w:i/>
          <w:iCs/>
          <w:color w:val="000000"/>
          <w:lang w:eastAsia="bg-BG"/>
        </w:rPr>
      </w:pPr>
    </w:p>
    <w:p w14:paraId="407D77DB" w14:textId="21F6C931" w:rsidR="00967986" w:rsidRPr="00967986" w:rsidRDefault="00967986" w:rsidP="00967986">
      <w:pPr>
        <w:spacing w:line="240" w:lineRule="auto"/>
        <w:rPr>
          <w:rFonts w:eastAsia="Times New Roman" w:cs="Arial"/>
        </w:rPr>
      </w:pPr>
      <w:r w:rsidRPr="00967986">
        <w:rPr>
          <w:rFonts w:eastAsia="Times New Roman" w:cs="Arial"/>
          <w:b/>
          <w:bCs/>
          <w:i/>
          <w:iCs/>
          <w:color w:val="000000"/>
          <w:lang w:eastAsia="bg-BG"/>
        </w:rPr>
        <w:t>Нарушение на електролитното равновесие</w:t>
      </w:r>
    </w:p>
    <w:p w14:paraId="286BD1DE" w14:textId="77777777" w:rsidR="00967986" w:rsidRPr="00967986" w:rsidRDefault="00967986" w:rsidP="00967986">
      <w:pPr>
        <w:spacing w:line="240" w:lineRule="auto"/>
        <w:rPr>
          <w:rFonts w:eastAsia="Times New Roman" w:cs="Arial"/>
        </w:rPr>
      </w:pPr>
      <w:r w:rsidRPr="00967986">
        <w:rPr>
          <w:rFonts w:eastAsia="Times New Roman" w:cs="Arial"/>
          <w:color w:val="000000"/>
          <w:lang w:eastAsia="bg-BG"/>
        </w:rPr>
        <w:t>Периодично трябва да се извършва определяне на серумните електролити на подходящи</w:t>
      </w:r>
    </w:p>
    <w:p w14:paraId="264B56EE" w14:textId="77777777" w:rsidR="00967986" w:rsidRPr="00967986" w:rsidRDefault="00967986" w:rsidP="00967986">
      <w:pPr>
        <w:rPr>
          <w:rFonts w:eastAsia="Times New Roman" w:cs="Arial"/>
        </w:rPr>
      </w:pPr>
      <w:r w:rsidRPr="00967986">
        <w:rPr>
          <w:rFonts w:eastAsia="Times New Roman" w:cs="Arial"/>
          <w:color w:val="000000"/>
          <w:lang w:eastAsia="bg-BG"/>
        </w:rPr>
        <w:t>интервали. Тиазидите, включително хидрохлоротиазид, може да причинят нарушение на водното и електролитното равновесие (хиперкалциемия, хипокалиемия, хипомагнезнемия и хипохлоремична алкалоза).</w:t>
      </w:r>
    </w:p>
    <w:p w14:paraId="022BA6BA" w14:textId="77777777" w:rsidR="00967986" w:rsidRPr="00967986" w:rsidRDefault="00967986" w:rsidP="00967986">
      <w:pPr>
        <w:spacing w:line="240" w:lineRule="auto"/>
        <w:rPr>
          <w:rFonts w:eastAsia="Times New Roman" w:cs="Arial"/>
          <w:color w:val="000000"/>
          <w:lang w:eastAsia="bg-BG"/>
        </w:rPr>
      </w:pPr>
    </w:p>
    <w:p w14:paraId="3352A5C1" w14:textId="74808999" w:rsidR="00967986" w:rsidRPr="00967986" w:rsidRDefault="00967986" w:rsidP="00967986">
      <w:pPr>
        <w:spacing w:line="240" w:lineRule="auto"/>
        <w:rPr>
          <w:rFonts w:eastAsia="Times New Roman" w:cs="Arial"/>
        </w:rPr>
      </w:pPr>
      <w:r w:rsidRPr="00967986">
        <w:rPr>
          <w:rFonts w:eastAsia="Times New Roman" w:cs="Arial"/>
          <w:color w:val="000000"/>
          <w:lang w:eastAsia="bg-BG"/>
        </w:rPr>
        <w:t>Тиазидните диуретици може да понижат екскрецията на калций с урината и да причинят интермитентни и леко повишени серумни концентрации на калция.</w:t>
      </w:r>
      <w:r w:rsidRPr="00967986">
        <w:rPr>
          <w:rFonts w:eastAsia="Times New Roman" w:cs="Arial"/>
          <w:color w:val="000000"/>
          <w:lang w:val="ru-RU"/>
        </w:rPr>
        <w:t xml:space="preserve"> </w:t>
      </w:r>
      <w:r w:rsidRPr="00967986">
        <w:rPr>
          <w:rFonts w:eastAsia="Times New Roman" w:cs="Arial"/>
          <w:color w:val="000000"/>
          <w:lang w:eastAsia="bg-BG"/>
        </w:rPr>
        <w:t>Изразената хиперкалциемия може да е признак на скрит хиперпаратиреоидизъм. Тиазидите трябва да се спрат преди извършване на изследвания на паратиреоидната функция.</w:t>
      </w:r>
    </w:p>
    <w:p w14:paraId="43D6790A" w14:textId="77777777" w:rsidR="00967986" w:rsidRPr="00967986" w:rsidRDefault="00967986" w:rsidP="00967986">
      <w:pPr>
        <w:spacing w:line="240" w:lineRule="auto"/>
        <w:rPr>
          <w:rFonts w:eastAsia="Times New Roman" w:cs="Arial"/>
          <w:color w:val="000000"/>
          <w:lang w:eastAsia="bg-BG"/>
        </w:rPr>
      </w:pPr>
    </w:p>
    <w:p w14:paraId="04ADA6EC" w14:textId="5FA7CFA9" w:rsidR="00967986" w:rsidRPr="00967986" w:rsidRDefault="00967986" w:rsidP="00967986">
      <w:pPr>
        <w:spacing w:line="240" w:lineRule="auto"/>
        <w:rPr>
          <w:rFonts w:eastAsia="Times New Roman" w:cs="Arial"/>
        </w:rPr>
      </w:pPr>
      <w:r w:rsidRPr="00967986">
        <w:rPr>
          <w:rFonts w:eastAsia="Times New Roman" w:cs="Arial"/>
          <w:color w:val="000000"/>
          <w:lang w:eastAsia="bg-BG"/>
        </w:rPr>
        <w:t>Хидрохлоротиазид повишава дозозависимо екскрецията на калий в урината, което може да доведе до хипокалиемия. Този ефект на хидрохлоротиазид изглежда е по-слабо изявен в комбинация с кандесартан цилексетил. Рискът от хипокалиемия може да е повишен при пациенти с цироза на черния дроб, при пациенти с увеличена диуреза, при пациенти с недостатъчен перорален прием на електролити и при пациенти, получаващи съпътстваща терапия с кортикостероиди или адренокортикотропен хормон (АКТХ).</w:t>
      </w:r>
    </w:p>
    <w:p w14:paraId="6F73CA16" w14:textId="77777777" w:rsidR="00967986" w:rsidRPr="00967986" w:rsidRDefault="00967986" w:rsidP="00967986">
      <w:pPr>
        <w:spacing w:line="240" w:lineRule="auto"/>
        <w:rPr>
          <w:rFonts w:eastAsia="Times New Roman" w:cs="Arial"/>
          <w:color w:val="000000"/>
          <w:lang w:eastAsia="bg-BG"/>
        </w:rPr>
      </w:pPr>
    </w:p>
    <w:p w14:paraId="14E95BFE" w14:textId="15EE3BAB" w:rsidR="00967986" w:rsidRPr="00967986" w:rsidRDefault="00967986" w:rsidP="00967986">
      <w:pPr>
        <w:spacing w:line="240" w:lineRule="auto"/>
        <w:rPr>
          <w:rFonts w:eastAsia="Times New Roman" w:cs="Arial"/>
        </w:rPr>
      </w:pPr>
      <w:r w:rsidRPr="00967986">
        <w:rPr>
          <w:rFonts w:eastAsia="Times New Roman" w:cs="Arial"/>
          <w:color w:val="000000"/>
          <w:lang w:eastAsia="bg-BG"/>
        </w:rPr>
        <w:t>Лечението с кандесартан цилексетил може да причини хиперкалиемия, особено при съпътстваща сърдечна недостатъчност или бъбречно нарушение. Едновременната употреба на Кандекард Н и АСЕ-инхибитори, алискирен, калий-съхраняващи диуретици, калиеви добавки или заместители на солта, или други лекарствени продукти, които могат да повишат серумните нива на калия (напр. хепарин натрий, ко-тримоксазол известен още като триметоприм/сулфаметоксазол) могат да доведат до повишение на серумния калий и не се препоръчват (вижте точка 4.5). Подходящо е да се извършва проследяване на серумния калий.</w:t>
      </w:r>
    </w:p>
    <w:p w14:paraId="577AD1D9" w14:textId="77777777" w:rsidR="00967986" w:rsidRPr="00967986" w:rsidRDefault="00967986" w:rsidP="00967986">
      <w:pPr>
        <w:spacing w:line="240" w:lineRule="auto"/>
        <w:rPr>
          <w:rFonts w:eastAsia="Times New Roman" w:cs="Arial"/>
        </w:rPr>
      </w:pPr>
      <w:r w:rsidRPr="00967986">
        <w:rPr>
          <w:rFonts w:eastAsia="Times New Roman" w:cs="Arial"/>
          <w:color w:val="000000"/>
          <w:lang w:eastAsia="bg-BG"/>
        </w:rPr>
        <w:t>За тиазидите е доказано, че повишават екскрецията на магнезий с урината, което може да доведе до хипомагнезиемия.</w:t>
      </w:r>
    </w:p>
    <w:p w14:paraId="0F0BA939" w14:textId="77777777" w:rsidR="00967986" w:rsidRPr="00967986" w:rsidRDefault="00967986" w:rsidP="00967986">
      <w:pPr>
        <w:spacing w:line="240" w:lineRule="auto"/>
        <w:rPr>
          <w:rFonts w:eastAsia="Times New Roman" w:cs="Arial"/>
          <w:b/>
          <w:bCs/>
          <w:i/>
          <w:iCs/>
          <w:color w:val="000000"/>
          <w:lang w:eastAsia="bg-BG"/>
        </w:rPr>
      </w:pPr>
    </w:p>
    <w:p w14:paraId="1DD162FA" w14:textId="481CAC52" w:rsidR="00967986" w:rsidRPr="00967986" w:rsidRDefault="00967986" w:rsidP="00967986">
      <w:pPr>
        <w:spacing w:line="240" w:lineRule="auto"/>
        <w:rPr>
          <w:rFonts w:eastAsia="Times New Roman" w:cs="Arial"/>
        </w:rPr>
      </w:pPr>
      <w:r w:rsidRPr="00967986">
        <w:rPr>
          <w:rFonts w:eastAsia="Times New Roman" w:cs="Arial"/>
          <w:b/>
          <w:bCs/>
          <w:i/>
          <w:iCs/>
          <w:color w:val="000000"/>
          <w:lang w:eastAsia="bg-BG"/>
        </w:rPr>
        <w:t>Метаболитни и ендокринни ефекти</w:t>
      </w:r>
    </w:p>
    <w:p w14:paraId="04CECEF1" w14:textId="77777777" w:rsidR="00967986" w:rsidRPr="00967986" w:rsidRDefault="00967986" w:rsidP="00967986">
      <w:pPr>
        <w:spacing w:line="240" w:lineRule="auto"/>
        <w:rPr>
          <w:rFonts w:eastAsia="Times New Roman" w:cs="Arial"/>
        </w:rPr>
      </w:pPr>
      <w:r w:rsidRPr="00967986">
        <w:rPr>
          <w:rFonts w:eastAsia="Times New Roman" w:cs="Arial"/>
          <w:color w:val="000000"/>
          <w:lang w:eastAsia="bg-BG"/>
        </w:rPr>
        <w:t>Лечението с тиазиден диуретик може да наруши глюкозния толеранс. Може да е необходима корекция на дозата на антидиабетните лекарствени средства, включително инсулин. Латентният захарен диабет може да се манифестира по време на терапия с тиазид. Повишените нива на холестерола и триглицеридите са свързани с терапията с тиазиден диуретик. За дозата, която се съдържа в Кандекард Н се наблюдават само минимални ефекти. Тиазидните диуретици повишават серумната концентрация на пикочната киселина и може да отключат подагра при предразположени пациенти.</w:t>
      </w:r>
    </w:p>
    <w:p w14:paraId="1C22B14B" w14:textId="77777777" w:rsidR="00967986" w:rsidRPr="00967986" w:rsidRDefault="00967986" w:rsidP="00967986">
      <w:pPr>
        <w:spacing w:line="240" w:lineRule="auto"/>
        <w:rPr>
          <w:rFonts w:eastAsia="Times New Roman" w:cs="Arial"/>
          <w:b/>
          <w:bCs/>
          <w:i/>
          <w:iCs/>
          <w:color w:val="000000"/>
          <w:lang w:eastAsia="bg-BG"/>
        </w:rPr>
      </w:pPr>
    </w:p>
    <w:p w14:paraId="0CE596EC" w14:textId="4D67A49B" w:rsidR="00967986" w:rsidRPr="00967986" w:rsidRDefault="00967986" w:rsidP="00967986">
      <w:pPr>
        <w:spacing w:line="240" w:lineRule="auto"/>
        <w:rPr>
          <w:rFonts w:eastAsia="Times New Roman" w:cs="Arial"/>
        </w:rPr>
      </w:pPr>
      <w:r w:rsidRPr="00967986">
        <w:rPr>
          <w:rFonts w:eastAsia="Times New Roman" w:cs="Arial"/>
          <w:b/>
          <w:bCs/>
          <w:i/>
          <w:iCs/>
          <w:color w:val="000000"/>
          <w:lang w:eastAsia="bg-BG"/>
        </w:rPr>
        <w:t>Фоточувствителност:</w:t>
      </w:r>
    </w:p>
    <w:p w14:paraId="5EDB8505" w14:textId="77777777" w:rsidR="00967986" w:rsidRPr="00967986" w:rsidRDefault="00967986" w:rsidP="00967986">
      <w:pPr>
        <w:spacing w:line="240" w:lineRule="auto"/>
        <w:rPr>
          <w:rFonts w:eastAsia="Times New Roman" w:cs="Arial"/>
        </w:rPr>
      </w:pPr>
      <w:r w:rsidRPr="00967986">
        <w:rPr>
          <w:rFonts w:eastAsia="Times New Roman" w:cs="Arial"/>
          <w:color w:val="000000"/>
          <w:lang w:eastAsia="bg-BG"/>
        </w:rPr>
        <w:t>Съобщават се случаи на реакции на фоточувствителност с тиазидни диуретици (вижте точка 4.8). Ако по време на лечението настъпи реакция на фоточувствителност, се препоръчва да се спре лечението. Ако е необходимо повторно приложение на диуретик, се препоръчва откритите области да се предпазват от слънце или изкуствена УВ светлина.</w:t>
      </w:r>
    </w:p>
    <w:p w14:paraId="4317175F" w14:textId="77777777" w:rsidR="00967986" w:rsidRPr="00967986" w:rsidRDefault="00967986" w:rsidP="00967986">
      <w:pPr>
        <w:spacing w:line="240" w:lineRule="auto"/>
        <w:rPr>
          <w:rFonts w:eastAsia="Times New Roman" w:cs="Arial"/>
          <w:b/>
          <w:bCs/>
          <w:i/>
          <w:iCs/>
          <w:color w:val="000000"/>
          <w:lang w:eastAsia="bg-BG"/>
        </w:rPr>
      </w:pPr>
    </w:p>
    <w:p w14:paraId="268AEDE1" w14:textId="79F83BB2" w:rsidR="00967986" w:rsidRPr="00967986" w:rsidRDefault="00967986" w:rsidP="00967986">
      <w:pPr>
        <w:spacing w:line="240" w:lineRule="auto"/>
        <w:rPr>
          <w:rFonts w:eastAsia="Times New Roman" w:cs="Arial"/>
        </w:rPr>
      </w:pPr>
      <w:r w:rsidRPr="00967986">
        <w:rPr>
          <w:rFonts w:eastAsia="Times New Roman" w:cs="Arial"/>
          <w:b/>
          <w:bCs/>
          <w:i/>
          <w:iCs/>
          <w:color w:val="000000"/>
          <w:lang w:eastAsia="bg-BG"/>
        </w:rPr>
        <w:t>Немеланомен рак на кожата</w:t>
      </w:r>
    </w:p>
    <w:p w14:paraId="3AD49B25" w14:textId="77777777" w:rsidR="00967986" w:rsidRPr="00967986" w:rsidRDefault="00967986" w:rsidP="00967986">
      <w:pPr>
        <w:spacing w:line="240" w:lineRule="auto"/>
        <w:rPr>
          <w:rFonts w:eastAsia="Times New Roman" w:cs="Arial"/>
        </w:rPr>
      </w:pPr>
      <w:r w:rsidRPr="00967986">
        <w:rPr>
          <w:rFonts w:eastAsia="Times New Roman" w:cs="Arial"/>
          <w:color w:val="000000"/>
          <w:lang w:eastAsia="bg-BG"/>
        </w:rPr>
        <w:t>В две епидемиологични проучвания, основаващи се на датския национален раков регистър, е наблюдаван повишен риск от немеланомен рак на кожата (НМРК) [базалноклетъчен карцином (БКК) и сквамозноклетьчен карцином (СКК)] при нарастваща експозиция на кумулативна доза хидрохлоротиазид (ХХТЗ). Фотосенсибилизиращите ефекти на ХХТЗ могат да действат като вероятен механизъм за развитие на НМРК.</w:t>
      </w:r>
    </w:p>
    <w:p w14:paraId="74B8A786" w14:textId="77777777" w:rsidR="00967986" w:rsidRPr="00967986" w:rsidRDefault="00967986" w:rsidP="00967986">
      <w:pPr>
        <w:rPr>
          <w:rFonts w:eastAsia="Times New Roman" w:cs="Arial"/>
        </w:rPr>
      </w:pPr>
      <w:r w:rsidRPr="00967986">
        <w:rPr>
          <w:rFonts w:eastAsia="Times New Roman" w:cs="Arial"/>
          <w:color w:val="000000"/>
          <w:lang w:eastAsia="bg-BG"/>
        </w:rPr>
        <w:t>Пациентите, приемащи ХХТЗ, трябва да бъдат информирани за риска от НМРК и съветвани редовно да проверяват кожата си за нови лезии и незабавно да съобщават при поява на подозрителни кожни лезии. На пациентите трябва да се препоръчат възможни превантивни мерки, като ограничено излагане на слънчева светлина и ултравиолетови лъчи, а в случай на експозиция, подходяща защита, за да се сведе до минимум рискът от рак на кожата. Подозрителните кожни лезии трябва да бъдат подложени на незабавно изследване, потенциално включващо хистологични изследвания на биопсични материали. Преразглеждане на употребата на ХХТЗ може да се наложи и при пациенти, които са имали предходен НМРК (вж. също точка 4.8).</w:t>
      </w:r>
    </w:p>
    <w:p w14:paraId="42EEBF33" w14:textId="77777777" w:rsidR="00967986" w:rsidRPr="00967986" w:rsidRDefault="00967986" w:rsidP="00967986">
      <w:pPr>
        <w:spacing w:line="240" w:lineRule="auto"/>
        <w:rPr>
          <w:rFonts w:eastAsia="Times New Roman" w:cs="Arial"/>
          <w:i/>
          <w:iCs/>
          <w:color w:val="000000"/>
          <w:lang w:eastAsia="bg-BG"/>
        </w:rPr>
      </w:pPr>
    </w:p>
    <w:p w14:paraId="6AFFC008" w14:textId="532B65D7" w:rsidR="00967986" w:rsidRPr="00967986" w:rsidRDefault="00967986" w:rsidP="00967986">
      <w:pPr>
        <w:spacing w:line="240" w:lineRule="auto"/>
        <w:rPr>
          <w:rFonts w:eastAsia="Times New Roman" w:cs="Arial"/>
        </w:rPr>
      </w:pPr>
      <w:r w:rsidRPr="00967986">
        <w:rPr>
          <w:rFonts w:eastAsia="Times New Roman" w:cs="Arial"/>
          <w:i/>
          <w:iCs/>
          <w:color w:val="000000"/>
          <w:lang w:eastAsia="bg-BG"/>
        </w:rPr>
        <w:t xml:space="preserve">Хороидален излив, остра миопия и вторична закритоъгълна глаукома </w:t>
      </w:r>
      <w:r w:rsidRPr="00967986">
        <w:rPr>
          <w:rFonts w:eastAsia="Times New Roman" w:cs="Arial"/>
          <w:color w:val="000000"/>
          <w:lang w:eastAsia="bg-BG"/>
        </w:rPr>
        <w:t>Сулфонамидни лекарствени продукти или производни на сулфонамидни лекарства могат да причинят реакция на идиосинкразия, водеща до хороидален излив с нарушаване на зрителното поле, преходна миопия и остра закритооъгълна глаукома. Симптомите включват остро начало на намалена зрителна острота или очна болка и обикновено се проявяват в рамките на часове до седмици след започване на лекарствения продукт. Нелекуваната остра закритоъгълна глаукома може да доведе до трайна загуба на зрението. Основното лечение е да се прекрати приема на лекарствените продукти възможно най-скоро. Възможно е да се обмислят бързи медицински или хирургични намеси, ако вътреочното налягане продължава да е неконтролирано. Рисковите фактори за развитие на остра закритоъгълна глаукома могат да включват анамнеза за алергия към сулфонамид или пеницилин.</w:t>
      </w:r>
    </w:p>
    <w:p w14:paraId="4C059859" w14:textId="77777777" w:rsidR="00967986" w:rsidRPr="00967986" w:rsidRDefault="00967986" w:rsidP="00967986">
      <w:pPr>
        <w:spacing w:line="240" w:lineRule="auto"/>
        <w:rPr>
          <w:rFonts w:eastAsia="Times New Roman" w:cs="Arial"/>
          <w:b/>
          <w:bCs/>
          <w:i/>
          <w:iCs/>
          <w:color w:val="000000"/>
          <w:lang w:eastAsia="bg-BG"/>
        </w:rPr>
      </w:pPr>
    </w:p>
    <w:p w14:paraId="7076D296" w14:textId="5C29D60D" w:rsidR="00967986" w:rsidRPr="00967986" w:rsidRDefault="00967986" w:rsidP="00967986">
      <w:pPr>
        <w:spacing w:line="240" w:lineRule="auto"/>
        <w:rPr>
          <w:rFonts w:eastAsia="Times New Roman" w:cs="Arial"/>
        </w:rPr>
      </w:pPr>
      <w:r w:rsidRPr="00967986">
        <w:rPr>
          <w:rFonts w:eastAsia="Times New Roman" w:cs="Arial"/>
          <w:b/>
          <w:bCs/>
          <w:i/>
          <w:iCs/>
          <w:color w:val="000000"/>
          <w:lang w:eastAsia="bg-BG"/>
        </w:rPr>
        <w:t>Общи</w:t>
      </w:r>
    </w:p>
    <w:p w14:paraId="1979C30C" w14:textId="77777777" w:rsidR="00967986" w:rsidRPr="00967986" w:rsidRDefault="00967986" w:rsidP="00967986">
      <w:pPr>
        <w:spacing w:line="240" w:lineRule="auto"/>
        <w:rPr>
          <w:rFonts w:eastAsia="Times New Roman" w:cs="Arial"/>
        </w:rPr>
      </w:pPr>
      <w:r w:rsidRPr="00967986">
        <w:rPr>
          <w:rFonts w:eastAsia="Times New Roman" w:cs="Arial"/>
          <w:color w:val="000000"/>
          <w:lang w:eastAsia="bg-BG"/>
        </w:rPr>
        <w:t>Пациенти, при които съдовият тонус и бъбречната функция зависят основно от активността на ренин-ангиотензин-алдостероновата система (напр. пациентите с тежка застойна сърдечна недостатъчност или подлежащо бъбречно заболяване, включително стеноза на бъбречната артерия), лечение с други лекарствени продукти, които повлияват тази система, включително и АТПРА, са свързани с остра хипотония, азотемия, олигурия или, в редки случаи, остра бъбречна недостатъчност. Както при всяко антихипертензивно средство, силното понижаване на кръвното налягане при пациентите с исхемична болест на сърцето или атеросклероза на мозъчните съдове може да доведе до миокарден инфаркт или инсулт.</w:t>
      </w:r>
    </w:p>
    <w:p w14:paraId="6F3C7541" w14:textId="77777777" w:rsidR="00967986" w:rsidRPr="00967986" w:rsidRDefault="00967986" w:rsidP="00967986">
      <w:pPr>
        <w:spacing w:line="240" w:lineRule="auto"/>
        <w:rPr>
          <w:rFonts w:eastAsia="Times New Roman" w:cs="Arial"/>
        </w:rPr>
      </w:pPr>
      <w:r w:rsidRPr="00967986">
        <w:rPr>
          <w:rFonts w:eastAsia="Times New Roman" w:cs="Arial"/>
          <w:color w:val="000000"/>
          <w:lang w:eastAsia="bg-BG"/>
        </w:rPr>
        <w:t>Реакции на свръхчувствителност към хидрохлоротиазид може да настъпят при пациенти с или без предходна анамнеза за алергия или бронхиална астма, но са по-вероятни при тези с такава анамнеза.</w:t>
      </w:r>
    </w:p>
    <w:p w14:paraId="7D6B2CE8" w14:textId="77777777" w:rsidR="00967986" w:rsidRPr="00967986" w:rsidRDefault="00967986" w:rsidP="00967986">
      <w:pPr>
        <w:spacing w:line="240" w:lineRule="auto"/>
        <w:rPr>
          <w:rFonts w:eastAsia="Times New Roman" w:cs="Arial"/>
        </w:rPr>
      </w:pPr>
      <w:r w:rsidRPr="00967986">
        <w:rPr>
          <w:rFonts w:eastAsia="Times New Roman" w:cs="Arial"/>
          <w:color w:val="000000"/>
          <w:lang w:eastAsia="bg-BG"/>
        </w:rPr>
        <w:lastRenderedPageBreak/>
        <w:t>При употребата на тиазидни диуретици се съобщават екзацербации или активиране на лупус еритематозус.</w:t>
      </w:r>
    </w:p>
    <w:p w14:paraId="13A6A882" w14:textId="77777777" w:rsidR="00967986" w:rsidRPr="00967986" w:rsidRDefault="00967986" w:rsidP="00967986">
      <w:pPr>
        <w:spacing w:line="240" w:lineRule="auto"/>
        <w:rPr>
          <w:rFonts w:eastAsia="Times New Roman" w:cs="Arial"/>
        </w:rPr>
      </w:pPr>
      <w:r w:rsidRPr="00967986">
        <w:rPr>
          <w:rFonts w:eastAsia="Times New Roman" w:cs="Arial"/>
          <w:color w:val="000000"/>
          <w:lang w:eastAsia="bg-BG"/>
        </w:rPr>
        <w:t>Антихипертензивният ефект на Кандекард Н може да се усили от други антихипертензивни средства.</w:t>
      </w:r>
    </w:p>
    <w:p w14:paraId="1186C3D2" w14:textId="77777777" w:rsidR="00967986" w:rsidRPr="00967986" w:rsidRDefault="00967986" w:rsidP="00967986">
      <w:pPr>
        <w:spacing w:line="240" w:lineRule="auto"/>
        <w:rPr>
          <w:rFonts w:eastAsia="Times New Roman" w:cs="Arial"/>
          <w:b/>
          <w:bCs/>
          <w:i/>
          <w:iCs/>
          <w:color w:val="000000"/>
          <w:lang w:eastAsia="bg-BG"/>
        </w:rPr>
      </w:pPr>
    </w:p>
    <w:p w14:paraId="7B9B502D" w14:textId="0DB27031" w:rsidR="00967986" w:rsidRPr="00967986" w:rsidRDefault="00967986" w:rsidP="00967986">
      <w:pPr>
        <w:spacing w:line="240" w:lineRule="auto"/>
        <w:rPr>
          <w:rFonts w:eastAsia="Times New Roman" w:cs="Arial"/>
        </w:rPr>
      </w:pPr>
      <w:r w:rsidRPr="00967986">
        <w:rPr>
          <w:rFonts w:eastAsia="Times New Roman" w:cs="Arial"/>
          <w:b/>
          <w:bCs/>
          <w:i/>
          <w:iCs/>
          <w:color w:val="000000"/>
          <w:lang w:eastAsia="bg-BG"/>
        </w:rPr>
        <w:t>Остра респораторна токсичност</w:t>
      </w:r>
    </w:p>
    <w:p w14:paraId="105FBD18" w14:textId="77777777" w:rsidR="00967986" w:rsidRPr="00967986" w:rsidRDefault="00967986" w:rsidP="00967986">
      <w:pPr>
        <w:spacing w:line="240" w:lineRule="auto"/>
        <w:rPr>
          <w:rFonts w:eastAsia="Times New Roman" w:cs="Arial"/>
        </w:rPr>
      </w:pPr>
      <w:r w:rsidRPr="00967986">
        <w:rPr>
          <w:rFonts w:eastAsia="Times New Roman" w:cs="Arial"/>
          <w:color w:val="000000"/>
          <w:lang w:eastAsia="bg-BG"/>
        </w:rPr>
        <w:t xml:space="preserve">След прием на хидрохлоротиазид се съобщават много редки тежки случаи на остра респираторна токсичност, включително остър респираторен дистрес синдром (ОРДС). След прием на хидрохлоротиазид обикновено се развива белодробен оток в рамките на минути до часове. В началото симптомите включват диспнея, повишена температура, влошаване на белодробната функция и хипотония. При съмнение за </w:t>
      </w:r>
      <w:r w:rsidRPr="00967986">
        <w:rPr>
          <w:rFonts w:eastAsia="Times New Roman" w:cs="Arial"/>
          <w:color w:val="000000"/>
          <w:lang w:val="en-US"/>
        </w:rPr>
        <w:t>ARDS</w:t>
      </w:r>
      <w:r w:rsidRPr="00967986">
        <w:rPr>
          <w:rFonts w:eastAsia="Times New Roman" w:cs="Arial"/>
          <w:color w:val="000000"/>
          <w:lang w:val="ru-RU"/>
        </w:rPr>
        <w:t xml:space="preserve"> </w:t>
      </w:r>
      <w:r w:rsidRPr="00967986">
        <w:rPr>
          <w:rFonts w:eastAsia="Times New Roman" w:cs="Arial"/>
          <w:color w:val="000000"/>
          <w:lang w:eastAsia="bg-BG"/>
        </w:rPr>
        <w:t>трябва да бъде спрян приемът на Кандекард Н и да се приложи подходящо лечение. Хидрохлоротиазид не трябва да се прилага при пациенти, които преди това са получавали ОРДС след прием на хидрохлоротиазид.</w:t>
      </w:r>
    </w:p>
    <w:p w14:paraId="49352A28" w14:textId="77777777" w:rsidR="00967986" w:rsidRPr="00967986" w:rsidRDefault="00967986" w:rsidP="00967986">
      <w:pPr>
        <w:spacing w:line="240" w:lineRule="auto"/>
        <w:rPr>
          <w:rFonts w:eastAsia="Times New Roman" w:cs="Arial"/>
          <w:i/>
          <w:iCs/>
          <w:color w:val="000000"/>
          <w:lang w:eastAsia="bg-BG"/>
        </w:rPr>
      </w:pPr>
    </w:p>
    <w:p w14:paraId="43E6072D" w14:textId="7A1315B8" w:rsidR="00967986" w:rsidRPr="00967986" w:rsidRDefault="00967986" w:rsidP="00967986">
      <w:pPr>
        <w:spacing w:line="240" w:lineRule="auto"/>
        <w:rPr>
          <w:rFonts w:eastAsia="Times New Roman" w:cs="Arial"/>
        </w:rPr>
      </w:pPr>
      <w:r w:rsidRPr="00967986">
        <w:rPr>
          <w:rFonts w:eastAsia="Times New Roman" w:cs="Arial"/>
          <w:i/>
          <w:iCs/>
          <w:color w:val="000000"/>
          <w:lang w:eastAsia="bg-BG"/>
        </w:rPr>
        <w:t>Специални предупреждения, относно помощните вещества</w:t>
      </w:r>
    </w:p>
    <w:p w14:paraId="6AAE31CC" w14:textId="77777777" w:rsidR="00967986" w:rsidRPr="00967986" w:rsidRDefault="00967986" w:rsidP="00967986">
      <w:pPr>
        <w:spacing w:line="240" w:lineRule="auto"/>
        <w:rPr>
          <w:rFonts w:eastAsia="Times New Roman" w:cs="Arial"/>
        </w:rPr>
      </w:pPr>
      <w:r w:rsidRPr="00967986">
        <w:rPr>
          <w:rFonts w:eastAsia="Times New Roman" w:cs="Arial"/>
          <w:color w:val="000000"/>
          <w:lang w:eastAsia="bg-BG"/>
        </w:rPr>
        <w:t>Този лекарствен продукт съдържа лактоза.Помощно вещество, и пациентите с редки наследствени състояния на галактозна непоносимост, общ лактазен дефицит или глюкозо-галактозна малабсорбция, не трябва да приемат този лекарствен продукт.</w:t>
      </w:r>
    </w:p>
    <w:p w14:paraId="4CAF8C99" w14:textId="77777777" w:rsidR="00967986" w:rsidRPr="00967986" w:rsidRDefault="00967986" w:rsidP="00967986">
      <w:pPr>
        <w:spacing w:line="240" w:lineRule="auto"/>
        <w:rPr>
          <w:rFonts w:eastAsia="Times New Roman" w:cs="Arial"/>
          <w:color w:val="000000"/>
          <w:lang w:eastAsia="bg-BG"/>
        </w:rPr>
      </w:pPr>
    </w:p>
    <w:p w14:paraId="37B940E4" w14:textId="179F132E" w:rsidR="00967986" w:rsidRPr="00967986" w:rsidRDefault="00967986" w:rsidP="00967986">
      <w:pPr>
        <w:spacing w:line="240" w:lineRule="auto"/>
        <w:rPr>
          <w:rFonts w:eastAsia="Times New Roman" w:cs="Arial"/>
        </w:rPr>
      </w:pPr>
      <w:r w:rsidRPr="00967986">
        <w:rPr>
          <w:rFonts w:eastAsia="Times New Roman" w:cs="Arial"/>
          <w:color w:val="000000"/>
          <w:lang w:eastAsia="bg-BG"/>
        </w:rPr>
        <w:t xml:space="preserve">Този лекарствен продукт съдържа по-малко от 1 </w:t>
      </w:r>
      <w:proofErr w:type="spellStart"/>
      <w:r w:rsidRPr="00967986">
        <w:rPr>
          <w:rFonts w:eastAsia="Times New Roman" w:cs="Arial"/>
          <w:color w:val="000000"/>
          <w:lang w:val="en-US"/>
        </w:rPr>
        <w:t>mmol</w:t>
      </w:r>
      <w:proofErr w:type="spellEnd"/>
      <w:r w:rsidRPr="00967986">
        <w:rPr>
          <w:rFonts w:eastAsia="Times New Roman" w:cs="Arial"/>
          <w:color w:val="000000"/>
          <w:lang w:val="ru-RU"/>
        </w:rPr>
        <w:t xml:space="preserve"> </w:t>
      </w:r>
      <w:r w:rsidRPr="00967986">
        <w:rPr>
          <w:rFonts w:eastAsia="Times New Roman" w:cs="Arial"/>
          <w:color w:val="000000"/>
          <w:lang w:eastAsia="bg-BG"/>
        </w:rPr>
        <w:t xml:space="preserve">натрий (23 </w:t>
      </w:r>
      <w:r w:rsidRPr="00967986">
        <w:rPr>
          <w:rFonts w:eastAsia="Times New Roman" w:cs="Arial"/>
          <w:color w:val="000000"/>
          <w:lang w:val="en-US"/>
        </w:rPr>
        <w:t>mg</w:t>
      </w:r>
      <w:r w:rsidRPr="00967986">
        <w:rPr>
          <w:rFonts w:eastAsia="Times New Roman" w:cs="Arial"/>
          <w:color w:val="000000"/>
          <w:lang w:val="ru-RU"/>
        </w:rPr>
        <w:t xml:space="preserve">) </w:t>
      </w:r>
      <w:r w:rsidRPr="00967986">
        <w:rPr>
          <w:rFonts w:eastAsia="Times New Roman" w:cs="Arial"/>
          <w:color w:val="000000"/>
          <w:lang w:eastAsia="bg-BG"/>
        </w:rPr>
        <w:t>в една таблетка, което означава, че по същество не съдържа натрий.</w:t>
      </w:r>
    </w:p>
    <w:p w14:paraId="0C91E3FE" w14:textId="77777777" w:rsidR="00967986" w:rsidRPr="00967986" w:rsidRDefault="00967986" w:rsidP="00967986">
      <w:pPr>
        <w:spacing w:line="240" w:lineRule="auto"/>
        <w:rPr>
          <w:rFonts w:eastAsia="Times New Roman" w:cs="Arial"/>
          <w:b/>
          <w:bCs/>
          <w:i/>
          <w:iCs/>
          <w:color w:val="000000"/>
          <w:lang w:eastAsia="bg-BG"/>
        </w:rPr>
      </w:pPr>
    </w:p>
    <w:p w14:paraId="58FB463D" w14:textId="05B1AEF7" w:rsidR="00967986" w:rsidRPr="00967986" w:rsidRDefault="00967986" w:rsidP="00967986">
      <w:pPr>
        <w:spacing w:line="240" w:lineRule="auto"/>
        <w:rPr>
          <w:rFonts w:eastAsia="Times New Roman" w:cs="Arial"/>
        </w:rPr>
      </w:pPr>
      <w:r w:rsidRPr="00967986">
        <w:rPr>
          <w:rFonts w:eastAsia="Times New Roman" w:cs="Arial"/>
          <w:b/>
          <w:bCs/>
          <w:i/>
          <w:iCs/>
          <w:color w:val="000000"/>
          <w:lang w:eastAsia="bg-BG"/>
        </w:rPr>
        <w:t>Бременност</w:t>
      </w:r>
    </w:p>
    <w:p w14:paraId="19FFDEEF" w14:textId="77777777" w:rsidR="00967986" w:rsidRPr="00967986" w:rsidRDefault="00967986" w:rsidP="00967986">
      <w:pPr>
        <w:rPr>
          <w:rFonts w:eastAsia="Times New Roman" w:cs="Arial"/>
        </w:rPr>
      </w:pPr>
      <w:r w:rsidRPr="00967986">
        <w:rPr>
          <w:rFonts w:eastAsia="Times New Roman" w:cs="Arial"/>
          <w:color w:val="000000"/>
          <w:lang w:eastAsia="bg-BG"/>
        </w:rPr>
        <w:t>Употребата на антагонисти на ангиотензин II рецепторите (АТПРА) не трябва да се започва по време на бременност. Ако продължаването на терапията с тези лекарства се счита за необходимо пациентките, планиращи бременност, трябва да преминат на алтернативно антихипертензивно лечение, което има установен профил на безопасност за употреба при бременност. Когато се установи бременност, лечението с антагонистите на ангиотензин II рецепторите (АТ</w:t>
      </w:r>
      <w:r w:rsidRPr="00967986">
        <w:rPr>
          <w:rFonts w:eastAsia="Times New Roman" w:cs="Arial"/>
          <w:color w:val="000000"/>
          <w:lang w:val="en-US"/>
        </w:rPr>
        <w:t>II</w:t>
      </w:r>
      <w:r w:rsidRPr="00967986">
        <w:rPr>
          <w:rFonts w:eastAsia="Times New Roman" w:cs="Arial"/>
          <w:color w:val="000000"/>
          <w:lang w:eastAsia="bg-BG"/>
        </w:rPr>
        <w:t>РА) трябва да се спре, и ако е уместно, да се започне алтернативна терапия.(вж. точки 4.3 и 4.6).</w:t>
      </w:r>
    </w:p>
    <w:p w14:paraId="1A43634A" w14:textId="77777777" w:rsidR="00967986" w:rsidRPr="00967986" w:rsidRDefault="00967986" w:rsidP="00967986">
      <w:pPr>
        <w:spacing w:line="240" w:lineRule="auto"/>
        <w:rPr>
          <w:rFonts w:eastAsia="Times New Roman" w:cs="Arial"/>
          <w:color w:val="000000"/>
          <w:lang w:eastAsia="bg-BG"/>
        </w:rPr>
      </w:pPr>
    </w:p>
    <w:p w14:paraId="081831DF" w14:textId="233DF096" w:rsidR="00967986" w:rsidRPr="00967986" w:rsidRDefault="00967986" w:rsidP="00967986">
      <w:pPr>
        <w:spacing w:line="240" w:lineRule="auto"/>
        <w:rPr>
          <w:rFonts w:eastAsia="Times New Roman" w:cs="Arial"/>
        </w:rPr>
      </w:pPr>
      <w:r w:rsidRPr="00967986">
        <w:rPr>
          <w:rFonts w:eastAsia="Times New Roman" w:cs="Arial"/>
          <w:color w:val="000000"/>
          <w:lang w:eastAsia="bg-BG"/>
        </w:rPr>
        <w:t>Употребата на Кандекард Н може да доведе до положителни резултати при допинг контрол, които се дължат на хидрохлоротиазид.</w:t>
      </w:r>
    </w:p>
    <w:p w14:paraId="0C6B4622" w14:textId="77C7A0B0" w:rsidR="00967986" w:rsidRPr="00967986" w:rsidRDefault="00967986" w:rsidP="00967986"/>
    <w:p w14:paraId="0734264C" w14:textId="11A8A21C"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0D5FC040" w14:textId="406C8768" w:rsidR="00967986" w:rsidRDefault="00967986" w:rsidP="00967986"/>
    <w:p w14:paraId="169B2E25"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Съединенията, които са изследвани при клиничните фармакокинетични проучвания, включват варфарин, дигоксин, перорални контрацептиви (напр. етинилестрадиол/левоноргестрел), глибенкламид и нифедипин. Не са наблюдавани никакви клинично значими фармакокинетични взаимодействия.</w:t>
      </w:r>
    </w:p>
    <w:p w14:paraId="19DA9168" w14:textId="77777777" w:rsidR="00967986" w:rsidRPr="00967986" w:rsidRDefault="00967986" w:rsidP="00967986">
      <w:pPr>
        <w:spacing w:line="240" w:lineRule="auto"/>
        <w:rPr>
          <w:rFonts w:eastAsia="Times New Roman" w:cs="Arial"/>
          <w:color w:val="000000"/>
          <w:szCs w:val="20"/>
          <w:lang w:eastAsia="bg-BG"/>
        </w:rPr>
      </w:pPr>
    </w:p>
    <w:p w14:paraId="5A46034D" w14:textId="39E4CEB4"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 xml:space="preserve">Може да се очаква калий изчерпващият ефект на хидрохлоротиазид да се потенцира от други лекарства, водещи до загуба на калий и хипокалиемия (напр. други калийуретични диуретици, лаксативи, амфотерицин, карбеноксолон, пеницилин </w:t>
      </w:r>
      <w:r w:rsidRPr="00967986">
        <w:rPr>
          <w:rFonts w:eastAsia="Times New Roman" w:cs="Arial"/>
          <w:color w:val="000000"/>
          <w:szCs w:val="20"/>
          <w:lang w:val="en-US"/>
        </w:rPr>
        <w:t>G</w:t>
      </w:r>
      <w:r w:rsidRPr="00967986">
        <w:rPr>
          <w:rFonts w:eastAsia="Times New Roman" w:cs="Arial"/>
          <w:color w:val="000000"/>
          <w:szCs w:val="20"/>
          <w:lang w:val="ru-RU"/>
        </w:rPr>
        <w:t xml:space="preserve"> </w:t>
      </w:r>
      <w:r w:rsidRPr="00967986">
        <w:rPr>
          <w:rFonts w:eastAsia="Times New Roman" w:cs="Arial"/>
          <w:color w:val="000000"/>
          <w:szCs w:val="20"/>
          <w:lang w:eastAsia="bg-BG"/>
        </w:rPr>
        <w:t>натрий, производни на салициловата киселина, стероиди, АКТХ).</w:t>
      </w:r>
    </w:p>
    <w:p w14:paraId="000171F9" w14:textId="77777777" w:rsidR="00967986" w:rsidRPr="00967986" w:rsidRDefault="00967986" w:rsidP="00967986">
      <w:pPr>
        <w:spacing w:line="240" w:lineRule="auto"/>
        <w:rPr>
          <w:rFonts w:eastAsia="Times New Roman" w:cs="Arial"/>
          <w:color w:val="000000"/>
          <w:szCs w:val="20"/>
          <w:lang w:eastAsia="bg-BG"/>
        </w:rPr>
      </w:pPr>
    </w:p>
    <w:p w14:paraId="4AF99436" w14:textId="7108F73A"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lastRenderedPageBreak/>
        <w:t>Едновременната употреба на Кандекард Н и калий-съхраняващи диуретици, калиеви добавки и заместители на солта или други лекарства, които биха могли да повишат серумните нива на калия (напр. хепарин натрий, ко-тримоксазол известен още като триметоприм/сулфаметоксазол), може да доведе до повишение на серумния калий. Подходящо е да се извършва проследяване на серумния калий, (вж. точка 4.4)</w:t>
      </w:r>
    </w:p>
    <w:p w14:paraId="47068D66" w14:textId="77777777" w:rsidR="00967986" w:rsidRPr="00967986" w:rsidRDefault="00967986" w:rsidP="00967986">
      <w:pPr>
        <w:spacing w:line="240" w:lineRule="auto"/>
        <w:rPr>
          <w:rFonts w:eastAsia="Times New Roman" w:cs="Arial"/>
          <w:color w:val="000000"/>
          <w:szCs w:val="20"/>
          <w:lang w:eastAsia="bg-BG"/>
        </w:rPr>
      </w:pPr>
    </w:p>
    <w:p w14:paraId="63B7C364" w14:textId="527E0159"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 xml:space="preserve">Индуцираните от диуретици хипокалиемия и хипомагнезиемия предразполагат към появата на потенциални кардиотоксични ефекти на дигиталисовите гликозиди и антиаритмични средства. Препоръчва се периодично проследяване на серумния калий, когато Кандекард Н се прилага с такива лекарствени продукти, както и с изброените лекарствени продукти, които могат да индуцират ” </w:t>
      </w:r>
      <w:proofErr w:type="spellStart"/>
      <w:r w:rsidRPr="00967986">
        <w:rPr>
          <w:rFonts w:eastAsia="Times New Roman" w:cs="Arial"/>
          <w:i/>
          <w:iCs/>
          <w:color w:val="000000"/>
          <w:szCs w:val="20"/>
          <w:lang w:val="en-US"/>
        </w:rPr>
        <w:t>torsades</w:t>
      </w:r>
      <w:proofErr w:type="spellEnd"/>
      <w:r w:rsidRPr="00967986">
        <w:rPr>
          <w:rFonts w:eastAsia="Times New Roman" w:cs="Arial"/>
          <w:i/>
          <w:iCs/>
          <w:color w:val="000000"/>
          <w:szCs w:val="20"/>
          <w:lang w:val="ru-RU"/>
        </w:rPr>
        <w:t xml:space="preserve"> </w:t>
      </w:r>
      <w:r w:rsidRPr="00967986">
        <w:rPr>
          <w:rFonts w:eastAsia="Times New Roman" w:cs="Arial"/>
          <w:i/>
          <w:iCs/>
          <w:color w:val="000000"/>
          <w:szCs w:val="20"/>
          <w:lang w:val="en-US"/>
        </w:rPr>
        <w:t>de</w:t>
      </w:r>
      <w:r w:rsidRPr="00967986">
        <w:rPr>
          <w:rFonts w:eastAsia="Times New Roman" w:cs="Arial"/>
          <w:i/>
          <w:iCs/>
          <w:color w:val="000000"/>
          <w:szCs w:val="20"/>
          <w:lang w:val="ru-RU"/>
        </w:rPr>
        <w:t xml:space="preserve"> </w:t>
      </w:r>
      <w:r w:rsidRPr="00967986">
        <w:rPr>
          <w:rFonts w:eastAsia="Times New Roman" w:cs="Arial"/>
          <w:i/>
          <w:iCs/>
          <w:color w:val="000000"/>
          <w:szCs w:val="20"/>
          <w:lang w:val="en-US"/>
        </w:rPr>
        <w:t>pointes</w:t>
      </w:r>
    </w:p>
    <w:p w14:paraId="2AA45084" w14:textId="77777777" w:rsidR="00967986" w:rsidRPr="00967986" w:rsidRDefault="00967986" w:rsidP="00967986">
      <w:pPr>
        <w:pStyle w:val="ListParagraph"/>
        <w:numPr>
          <w:ilvl w:val="0"/>
          <w:numId w:val="38"/>
        </w:numPr>
        <w:spacing w:line="240" w:lineRule="auto"/>
        <w:rPr>
          <w:rFonts w:eastAsia="Times New Roman" w:cs="Arial"/>
          <w:sz w:val="28"/>
          <w:szCs w:val="24"/>
        </w:rPr>
      </w:pPr>
      <w:r w:rsidRPr="00967986">
        <w:rPr>
          <w:rFonts w:eastAsia="Times New Roman" w:cs="Arial"/>
          <w:color w:val="000000"/>
          <w:szCs w:val="20"/>
          <w:lang w:eastAsia="bg-BG"/>
        </w:rPr>
        <w:t xml:space="preserve">Клас </w:t>
      </w:r>
      <w:proofErr w:type="spellStart"/>
      <w:r w:rsidRPr="00967986">
        <w:rPr>
          <w:rFonts w:eastAsia="Times New Roman" w:cs="Arial"/>
          <w:color w:val="000000"/>
          <w:szCs w:val="20"/>
          <w:lang w:val="en-US"/>
        </w:rPr>
        <w:t>Ia</w:t>
      </w:r>
      <w:proofErr w:type="spellEnd"/>
      <w:r w:rsidRPr="00967986">
        <w:rPr>
          <w:rFonts w:eastAsia="Times New Roman" w:cs="Arial"/>
          <w:color w:val="000000"/>
          <w:szCs w:val="20"/>
          <w:lang w:val="ru-RU"/>
        </w:rPr>
        <w:t xml:space="preserve"> </w:t>
      </w:r>
      <w:r w:rsidRPr="00967986">
        <w:rPr>
          <w:rFonts w:eastAsia="Times New Roman" w:cs="Arial"/>
          <w:color w:val="000000"/>
          <w:szCs w:val="20"/>
          <w:lang w:eastAsia="bg-BG"/>
        </w:rPr>
        <w:t>антиаритмични средства (хинидин, хидрохинидин, дизопирамид)</w:t>
      </w:r>
    </w:p>
    <w:p w14:paraId="24289277" w14:textId="77777777" w:rsidR="00967986" w:rsidRPr="00967986" w:rsidRDefault="00967986" w:rsidP="00967986">
      <w:pPr>
        <w:pStyle w:val="ListParagraph"/>
        <w:numPr>
          <w:ilvl w:val="0"/>
          <w:numId w:val="38"/>
        </w:numPr>
        <w:spacing w:line="240" w:lineRule="auto"/>
        <w:rPr>
          <w:rFonts w:eastAsia="Times New Roman" w:cs="Arial"/>
          <w:sz w:val="28"/>
          <w:szCs w:val="24"/>
        </w:rPr>
      </w:pPr>
      <w:r w:rsidRPr="00967986">
        <w:rPr>
          <w:rFonts w:eastAsia="Times New Roman" w:cs="Arial"/>
          <w:color w:val="000000"/>
          <w:szCs w:val="20"/>
          <w:lang w:eastAsia="bg-BG"/>
        </w:rPr>
        <w:t>Клас III антиаритмични средства (амиодарон, соталол, дофетилид, ибутилид)</w:t>
      </w:r>
    </w:p>
    <w:p w14:paraId="0D2A995E" w14:textId="77777777" w:rsidR="00967986" w:rsidRPr="00967986" w:rsidRDefault="00967986" w:rsidP="00967986">
      <w:pPr>
        <w:pStyle w:val="ListParagraph"/>
        <w:numPr>
          <w:ilvl w:val="0"/>
          <w:numId w:val="38"/>
        </w:numPr>
        <w:spacing w:line="240" w:lineRule="auto"/>
        <w:rPr>
          <w:rFonts w:eastAsia="Times New Roman" w:cs="Arial"/>
          <w:sz w:val="28"/>
          <w:szCs w:val="24"/>
        </w:rPr>
      </w:pPr>
      <w:r w:rsidRPr="00967986">
        <w:rPr>
          <w:rFonts w:eastAsia="Times New Roman" w:cs="Arial"/>
          <w:color w:val="000000"/>
          <w:szCs w:val="20"/>
          <w:lang w:eastAsia="bg-BG"/>
        </w:rPr>
        <w:t>Някои антипсихотици (тиоридазин, хлорпромазин, левомепромазин, трифлуоперазин, циамемазин, сулпирид, султоприд, амисулприд, тиаприд, пимозид, халоперидол, дроперидол)</w:t>
      </w:r>
    </w:p>
    <w:p w14:paraId="254E00DA" w14:textId="59AE4219" w:rsidR="00967986" w:rsidRPr="00967986" w:rsidRDefault="00967986" w:rsidP="00967986">
      <w:pPr>
        <w:pStyle w:val="ListParagraph"/>
        <w:numPr>
          <w:ilvl w:val="0"/>
          <w:numId w:val="38"/>
        </w:numPr>
        <w:spacing w:line="240" w:lineRule="auto"/>
        <w:rPr>
          <w:rFonts w:eastAsia="Times New Roman" w:cs="Arial"/>
          <w:sz w:val="28"/>
          <w:szCs w:val="24"/>
        </w:rPr>
      </w:pPr>
      <w:r w:rsidRPr="00967986">
        <w:rPr>
          <w:rFonts w:eastAsia="Times New Roman" w:cs="Arial"/>
          <w:color w:val="000000"/>
          <w:szCs w:val="20"/>
          <w:lang w:eastAsia="bg-BG"/>
        </w:rPr>
        <w:t xml:space="preserve">Други (бепридил, цизаприд, дифеманил, еритромицин </w:t>
      </w:r>
      <w:proofErr w:type="spellStart"/>
      <w:r w:rsidRPr="00967986">
        <w:rPr>
          <w:rFonts w:eastAsia="Times New Roman" w:cs="Arial"/>
          <w:color w:val="000000"/>
          <w:szCs w:val="20"/>
          <w:lang w:val="en-US"/>
        </w:rPr>
        <w:t>i</w:t>
      </w:r>
      <w:proofErr w:type="spellEnd"/>
      <w:r w:rsidRPr="00967986">
        <w:rPr>
          <w:rFonts w:eastAsia="Times New Roman" w:cs="Arial"/>
          <w:color w:val="000000"/>
          <w:szCs w:val="20"/>
        </w:rPr>
        <w:t>.</w:t>
      </w:r>
      <w:r w:rsidRPr="00967986">
        <w:rPr>
          <w:rFonts w:eastAsia="Times New Roman" w:cs="Arial"/>
          <w:color w:val="000000"/>
          <w:szCs w:val="20"/>
          <w:lang w:val="en-US"/>
        </w:rPr>
        <w:t>v</w:t>
      </w:r>
      <w:r w:rsidRPr="00967986">
        <w:rPr>
          <w:rFonts w:eastAsia="Times New Roman" w:cs="Arial"/>
          <w:color w:val="000000"/>
          <w:szCs w:val="20"/>
        </w:rPr>
        <w:t xml:space="preserve">., </w:t>
      </w:r>
      <w:r w:rsidRPr="00967986">
        <w:rPr>
          <w:rFonts w:eastAsia="Times New Roman" w:cs="Arial"/>
          <w:color w:val="000000"/>
          <w:szCs w:val="20"/>
          <w:lang w:eastAsia="bg-BG"/>
        </w:rPr>
        <w:t xml:space="preserve">халофантрин, кетансерин, мизоластин, пентамидин, спарфлоксацин, терфенадин, винкамин </w:t>
      </w:r>
      <w:proofErr w:type="spellStart"/>
      <w:r w:rsidRPr="00967986">
        <w:rPr>
          <w:rFonts w:eastAsia="Times New Roman" w:cs="Arial"/>
          <w:color w:val="000000"/>
          <w:szCs w:val="20"/>
          <w:lang w:val="en-US"/>
        </w:rPr>
        <w:t>i</w:t>
      </w:r>
      <w:proofErr w:type="spellEnd"/>
      <w:r w:rsidRPr="00967986">
        <w:rPr>
          <w:rFonts w:eastAsia="Times New Roman" w:cs="Arial"/>
          <w:color w:val="000000"/>
          <w:szCs w:val="20"/>
        </w:rPr>
        <w:t>.</w:t>
      </w:r>
      <w:r w:rsidRPr="00967986">
        <w:rPr>
          <w:rFonts w:eastAsia="Times New Roman" w:cs="Arial"/>
          <w:color w:val="000000"/>
          <w:szCs w:val="20"/>
          <w:lang w:val="en-US"/>
        </w:rPr>
        <w:t>v</w:t>
      </w:r>
      <w:r w:rsidRPr="00967986">
        <w:rPr>
          <w:rFonts w:eastAsia="Times New Roman" w:cs="Arial"/>
          <w:color w:val="000000"/>
          <w:szCs w:val="20"/>
        </w:rPr>
        <w:t>.)</w:t>
      </w:r>
    </w:p>
    <w:p w14:paraId="6075B6C4" w14:textId="77777777" w:rsidR="00967986" w:rsidRPr="00967986" w:rsidRDefault="00967986" w:rsidP="00967986">
      <w:pPr>
        <w:spacing w:line="240" w:lineRule="auto"/>
        <w:rPr>
          <w:rFonts w:eastAsia="Times New Roman" w:cs="Arial"/>
          <w:color w:val="000000"/>
          <w:szCs w:val="20"/>
          <w:lang w:eastAsia="bg-BG"/>
        </w:rPr>
      </w:pPr>
    </w:p>
    <w:p w14:paraId="3C837AEB" w14:textId="364A6E49"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Съобщават се обратими повишения на серумните концентрации на лития и токсичност при едновременното приложение на литий с АСЕ инхибитори или хидрохлоротиазид. Подобен ефект може да настъпи с антагонистите на ангиотензин II рецептора. Употребата на кандесартан и хидрохлоротиазид с литий не се препоръчва. Ако със сигурност е необходимо едновременно приложение се препоръчва внимателно проследяване на серумните нива на лития.</w:t>
      </w:r>
    </w:p>
    <w:p w14:paraId="49EFAE93" w14:textId="77777777" w:rsidR="00967986" w:rsidRPr="00967986" w:rsidRDefault="00967986" w:rsidP="00967986">
      <w:pPr>
        <w:spacing w:line="240" w:lineRule="auto"/>
        <w:rPr>
          <w:rFonts w:eastAsia="Times New Roman" w:cs="Arial"/>
          <w:color w:val="000000"/>
          <w:szCs w:val="20"/>
          <w:lang w:eastAsia="bg-BG"/>
        </w:rPr>
      </w:pPr>
    </w:p>
    <w:p w14:paraId="2EBB8F1B" w14:textId="6C6DC371" w:rsidR="00967986" w:rsidRPr="00967986" w:rsidRDefault="00967986" w:rsidP="00967986">
      <w:pPr>
        <w:spacing w:line="240" w:lineRule="auto"/>
        <w:rPr>
          <w:rFonts w:eastAsia="Times New Roman" w:cs="Arial"/>
          <w:color w:val="000000"/>
          <w:szCs w:val="20"/>
          <w:lang w:eastAsia="bg-BG"/>
        </w:rPr>
      </w:pPr>
      <w:r w:rsidRPr="00967986">
        <w:rPr>
          <w:rFonts w:eastAsia="Times New Roman" w:cs="Arial"/>
          <w:color w:val="000000"/>
          <w:szCs w:val="20"/>
          <w:lang w:eastAsia="bg-BG"/>
        </w:rPr>
        <w:t xml:space="preserve">Когато ангиотензин </w:t>
      </w:r>
      <w:r w:rsidRPr="00967986">
        <w:rPr>
          <w:rFonts w:eastAsia="Times New Roman" w:cs="Arial"/>
          <w:i/>
          <w:iCs/>
          <w:color w:val="000000"/>
          <w:szCs w:val="20"/>
          <w:lang w:eastAsia="bg-BG"/>
        </w:rPr>
        <w:t>II</w:t>
      </w:r>
      <w:r w:rsidRPr="00967986">
        <w:rPr>
          <w:rFonts w:eastAsia="Times New Roman" w:cs="Arial"/>
          <w:color w:val="000000"/>
          <w:szCs w:val="20"/>
          <w:lang w:eastAsia="bg-BG"/>
        </w:rPr>
        <w:t xml:space="preserve"> рецепторни антагонисти се прилагат едновременно с нестероидни </w:t>
      </w:r>
    </w:p>
    <w:p w14:paraId="3ECEF6D3" w14:textId="77777777" w:rsidR="00967986" w:rsidRPr="00967986" w:rsidRDefault="00967986" w:rsidP="00967986">
      <w:pPr>
        <w:rPr>
          <w:rFonts w:eastAsia="Times New Roman" w:cs="Arial"/>
          <w:sz w:val="28"/>
          <w:szCs w:val="24"/>
        </w:rPr>
      </w:pPr>
      <w:r w:rsidRPr="00967986">
        <w:rPr>
          <w:rFonts w:eastAsia="Times New Roman" w:cs="Arial"/>
          <w:color w:val="000000"/>
          <w:szCs w:val="20"/>
          <w:lang w:eastAsia="bg-BG"/>
        </w:rPr>
        <w:t>противовъзпалителни вещества (напр. селективни СОХ-2 инхибитори, ацетилсалицилова киселина (&gt;3</w:t>
      </w:r>
      <w:r w:rsidRPr="00967986">
        <w:rPr>
          <w:rFonts w:eastAsia="Times New Roman" w:cs="Arial"/>
          <w:color w:val="000000"/>
          <w:szCs w:val="20"/>
          <w:lang w:val="en-US"/>
        </w:rPr>
        <w:t>g</w:t>
      </w:r>
      <w:r w:rsidRPr="00967986">
        <w:rPr>
          <w:rFonts w:eastAsia="Times New Roman" w:cs="Arial"/>
          <w:color w:val="000000"/>
          <w:szCs w:val="20"/>
          <w:lang w:eastAsia="bg-BG"/>
        </w:rPr>
        <w:t>/ден) и неселективни НСПВС), може да настъпи отслабване на антихипертензивния ефект. Както при АСЕ инхибиторите, едновременното приложение на ангиотензин II рецепторни антагонисти и НСПВС може да доведе до повишен риск от влошаване на бъбречната функция включително възможна остра бъбречна недостатъчност и повишение на серумния калий, особено при пациенти с влошена преди това бъбречна функция. Комбинацията трябва да се прилага предпазливо, особено при хора в напреднала възраст. Пациентите трябва да бъдат добре хидратирани и трябва да се предвиди проследяване на бъбречната функция след започване на едновременна терапия и периодично след това.</w:t>
      </w:r>
    </w:p>
    <w:p w14:paraId="24DFD6AE"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Диуретичният, натриуретичният и антихипертензивният ефекти на хидрохлоротиазид се понижават от НСПВС.</w:t>
      </w:r>
    </w:p>
    <w:p w14:paraId="05979DC6" w14:textId="77777777" w:rsidR="00967986" w:rsidRPr="00967986" w:rsidRDefault="00967986" w:rsidP="00967986">
      <w:pPr>
        <w:spacing w:line="240" w:lineRule="auto"/>
        <w:rPr>
          <w:rFonts w:eastAsia="Times New Roman" w:cs="Arial"/>
          <w:color w:val="000000"/>
          <w:szCs w:val="20"/>
          <w:lang w:eastAsia="bg-BG"/>
        </w:rPr>
      </w:pPr>
    </w:p>
    <w:p w14:paraId="3A3BA116" w14:textId="7E510772"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Абсорбцията на хидрохлоротиазид се понижава от колестипол или холестирамин.</w:t>
      </w:r>
    </w:p>
    <w:p w14:paraId="38E776F4" w14:textId="77777777" w:rsidR="00967986" w:rsidRPr="00967986" w:rsidRDefault="00967986" w:rsidP="00967986">
      <w:pPr>
        <w:spacing w:line="240" w:lineRule="auto"/>
        <w:rPr>
          <w:rFonts w:eastAsia="Times New Roman" w:cs="Arial"/>
          <w:color w:val="000000"/>
          <w:szCs w:val="20"/>
          <w:lang w:eastAsia="bg-BG"/>
        </w:rPr>
      </w:pPr>
    </w:p>
    <w:p w14:paraId="1C9F9499" w14:textId="248C6410"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Ефектът на недеполяризиращите миорелаксанти (напр. тубокурарин) може да се потенцира от хидрохлоротиазид.</w:t>
      </w:r>
    </w:p>
    <w:p w14:paraId="6CEA59DE" w14:textId="77777777" w:rsidR="00967986" w:rsidRPr="00967986" w:rsidRDefault="00967986" w:rsidP="00967986">
      <w:pPr>
        <w:spacing w:line="240" w:lineRule="auto"/>
        <w:rPr>
          <w:rFonts w:eastAsia="Times New Roman" w:cs="Arial"/>
          <w:color w:val="000000"/>
          <w:szCs w:val="20"/>
          <w:lang w:eastAsia="bg-BG"/>
        </w:rPr>
      </w:pPr>
    </w:p>
    <w:p w14:paraId="31146FA0" w14:textId="22CB50E0"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 xml:space="preserve">Тиазидните диуретици може да повишат серумните нива на калция поради понижената екскреция. Ако трябва да се предпишат калциеви добавки или витамин </w:t>
      </w:r>
      <w:r w:rsidRPr="00967986">
        <w:rPr>
          <w:rFonts w:eastAsia="Times New Roman" w:cs="Arial"/>
          <w:color w:val="000000"/>
          <w:szCs w:val="20"/>
          <w:lang w:val="en-US"/>
        </w:rPr>
        <w:t>D</w:t>
      </w:r>
      <w:r w:rsidRPr="00967986">
        <w:rPr>
          <w:rFonts w:eastAsia="Times New Roman" w:cs="Arial"/>
          <w:color w:val="000000"/>
          <w:szCs w:val="20"/>
          <w:lang w:val="ru-RU"/>
        </w:rPr>
        <w:t xml:space="preserve">, </w:t>
      </w:r>
      <w:r w:rsidRPr="00967986">
        <w:rPr>
          <w:rFonts w:eastAsia="Times New Roman" w:cs="Arial"/>
          <w:color w:val="000000"/>
          <w:szCs w:val="20"/>
          <w:lang w:eastAsia="bg-BG"/>
        </w:rPr>
        <w:t>серумните нива на калция трябва да се проследяват и съответно да се коригира дозировката.</w:t>
      </w:r>
    </w:p>
    <w:p w14:paraId="4789D4CA" w14:textId="77777777" w:rsidR="00967986" w:rsidRPr="00967986" w:rsidRDefault="00967986" w:rsidP="00967986">
      <w:pPr>
        <w:spacing w:line="240" w:lineRule="auto"/>
        <w:rPr>
          <w:rFonts w:eastAsia="Times New Roman" w:cs="Arial"/>
          <w:color w:val="000000"/>
          <w:szCs w:val="20"/>
          <w:lang w:eastAsia="bg-BG"/>
        </w:rPr>
      </w:pPr>
    </w:p>
    <w:p w14:paraId="780B0FE2" w14:textId="75869833"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lastRenderedPageBreak/>
        <w:t>Хипергликемичният ефект на бета-блокерите и диазоксид може да бъде засилен от тиазидите.</w:t>
      </w:r>
    </w:p>
    <w:p w14:paraId="7668F228" w14:textId="77777777" w:rsidR="00967986" w:rsidRPr="00967986" w:rsidRDefault="00967986" w:rsidP="00967986">
      <w:pPr>
        <w:spacing w:line="240" w:lineRule="auto"/>
        <w:rPr>
          <w:rFonts w:eastAsia="Times New Roman" w:cs="Arial"/>
          <w:color w:val="000000"/>
          <w:szCs w:val="20"/>
          <w:lang w:eastAsia="bg-BG"/>
        </w:rPr>
      </w:pPr>
    </w:p>
    <w:p w14:paraId="5B6D4B3C" w14:textId="0DB51164"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Антихолинергичните средства (напр. атропин, бипериден) могат да повишат бионаличността на диуретиците от тиазиден тип като понижат стомашно-чревния мотилитет и скоростта на изпразване на стомаха.</w:t>
      </w:r>
    </w:p>
    <w:p w14:paraId="4143E388" w14:textId="77777777" w:rsidR="00967986" w:rsidRPr="00967986" w:rsidRDefault="00967986" w:rsidP="00967986">
      <w:pPr>
        <w:spacing w:line="240" w:lineRule="auto"/>
        <w:rPr>
          <w:rFonts w:eastAsia="Times New Roman" w:cs="Arial"/>
          <w:color w:val="000000"/>
          <w:szCs w:val="20"/>
          <w:lang w:eastAsia="bg-BG"/>
        </w:rPr>
      </w:pPr>
    </w:p>
    <w:p w14:paraId="0AEC19A3" w14:textId="331ED7A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Тиазидите могат да повишат риска от нежелани реакции, причинени от амантадин.</w:t>
      </w:r>
    </w:p>
    <w:p w14:paraId="1EA037B7"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Тиазидите могат да понижат бъбречната екскреция на цитотоксични лекарства (напр. циклофосфамид, метотрексат) и да потенцират техните миелосупресивни ефекти.</w:t>
      </w:r>
    </w:p>
    <w:p w14:paraId="0386357C"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Постуралната хипотензия може да се влоши при едновремен прием на алкохол, барбитурати или анестетици.</w:t>
      </w:r>
    </w:p>
    <w:p w14:paraId="4EBE8CE5"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Лечението с тиазиден диуретик може да наруши глюкозния толеранс. Може да е необходима корекция на дозата на антидиабетните средства, включително инсулин. Метформин трябва да се използва с повишено внимание, поради риска от млечно кисела ацидоза, причинена от възможна функционална бъбречна недостатъчност свързана с хидрохлортиазид.</w:t>
      </w:r>
    </w:p>
    <w:p w14:paraId="7F300587"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Хидрохлоротиазид може да причини отслабване на артериалния отговор към вазопресорни амини (напр. адреналин), но не в такава степен, че да се антагонизира съдосвиващият им ефект.</w:t>
      </w:r>
    </w:p>
    <w:p w14:paraId="70511229"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Хидрохлоротиазид може да повиши риска от остра бъбречна недостатъчност, особено при високи дози от йодирани контрастни вещества.</w:t>
      </w:r>
    </w:p>
    <w:p w14:paraId="7132B47D"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Едновременното лечение с циклоспорини може да увеличи риска от хиперурикемия и подобни на подагра усложнения.</w:t>
      </w:r>
    </w:p>
    <w:p w14:paraId="41431A85"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Едновременното лечение с баклофен, амифостин, трициклични антидепресанти или невролептици може да доведе до усилване на антихипертензивния ефект и може да причини хипотония.</w:t>
      </w:r>
    </w:p>
    <w:p w14:paraId="1CDDA2EF" w14:textId="77777777" w:rsidR="00967986" w:rsidRPr="00967986" w:rsidRDefault="00967986" w:rsidP="00967986">
      <w:pPr>
        <w:spacing w:line="240" w:lineRule="auto"/>
        <w:rPr>
          <w:rFonts w:eastAsia="Times New Roman" w:cs="Arial"/>
          <w:color w:val="000000"/>
          <w:szCs w:val="20"/>
          <w:lang w:eastAsia="bg-BG"/>
        </w:rPr>
      </w:pPr>
    </w:p>
    <w:p w14:paraId="465D2493" w14:textId="647CA548"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 xml:space="preserve">Данни от клинични проучвания показват, че двойното блокиране на РААС чрез комбинираната употреба на АСЕ-инхибитори, блокери на ангиотензин </w:t>
      </w:r>
      <w:r w:rsidRPr="00967986">
        <w:rPr>
          <w:rFonts w:eastAsia="Times New Roman" w:cs="Arial"/>
          <w:color w:val="000000"/>
          <w:szCs w:val="20"/>
          <w:lang w:val="en-US"/>
        </w:rPr>
        <w:t>II</w:t>
      </w:r>
      <w:r w:rsidRPr="00967986">
        <w:rPr>
          <w:rFonts w:eastAsia="Times New Roman" w:cs="Arial"/>
          <w:color w:val="000000"/>
          <w:szCs w:val="20"/>
          <w:lang w:eastAsia="bg-BG"/>
        </w:rPr>
        <w:t xml:space="preserve"> рецептори или алискирен се свързва с по- висока честота на нежелани реакции,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 4.4 и 5.1).</w:t>
      </w:r>
    </w:p>
    <w:p w14:paraId="7F9C9263" w14:textId="34A8DA19" w:rsidR="00967986" w:rsidRPr="00967986" w:rsidRDefault="00967986" w:rsidP="00967986"/>
    <w:p w14:paraId="5D9F40EA" w14:textId="306CE663" w:rsidR="007122AD" w:rsidRDefault="002C50EE" w:rsidP="00936AD0">
      <w:pPr>
        <w:pStyle w:val="Heading2"/>
      </w:pPr>
      <w:r>
        <w:t>4.6. Фертилитет, бременност и кърмене</w:t>
      </w:r>
    </w:p>
    <w:p w14:paraId="5CCF2F91" w14:textId="4CC3CDEB" w:rsidR="00967986" w:rsidRDefault="00967986" w:rsidP="00967986"/>
    <w:p w14:paraId="6C967A85" w14:textId="77777777" w:rsidR="00967986" w:rsidRPr="00A235DC" w:rsidRDefault="00967986" w:rsidP="00A235DC">
      <w:pPr>
        <w:pStyle w:val="Heading3"/>
        <w:rPr>
          <w:rFonts w:eastAsia="Times New Roman"/>
          <w:sz w:val="28"/>
          <w:u w:val="single"/>
        </w:rPr>
      </w:pPr>
      <w:r w:rsidRPr="00A235DC">
        <w:rPr>
          <w:rFonts w:eastAsia="Times New Roman"/>
          <w:u w:val="single"/>
          <w:lang w:eastAsia="bg-BG"/>
        </w:rPr>
        <w:t>Бременност</w:t>
      </w:r>
    </w:p>
    <w:p w14:paraId="63008DA4" w14:textId="77777777" w:rsidR="00967986" w:rsidRPr="00967986" w:rsidRDefault="00967986" w:rsidP="00967986">
      <w:pPr>
        <w:spacing w:line="240" w:lineRule="auto"/>
        <w:rPr>
          <w:rFonts w:eastAsia="Times New Roman" w:cs="Arial"/>
          <w:i/>
          <w:iCs/>
          <w:color w:val="000000"/>
          <w:szCs w:val="20"/>
          <w:lang w:eastAsia="bg-BG"/>
        </w:rPr>
      </w:pPr>
    </w:p>
    <w:p w14:paraId="63E73474" w14:textId="37D434F6" w:rsidR="00967986" w:rsidRPr="00967986" w:rsidRDefault="00967986" w:rsidP="00967986">
      <w:pPr>
        <w:spacing w:line="240" w:lineRule="auto"/>
        <w:rPr>
          <w:rFonts w:eastAsia="Times New Roman" w:cs="Arial"/>
          <w:sz w:val="28"/>
          <w:szCs w:val="24"/>
        </w:rPr>
      </w:pPr>
      <w:r w:rsidRPr="00967986">
        <w:rPr>
          <w:rFonts w:eastAsia="Times New Roman" w:cs="Arial"/>
          <w:i/>
          <w:iCs/>
          <w:color w:val="000000"/>
          <w:szCs w:val="20"/>
          <w:lang w:eastAsia="bg-BG"/>
        </w:rPr>
        <w:t>Ангиотензин 11 рецепторни антагонисти (АТ</w:t>
      </w:r>
      <w:r w:rsidRPr="00967986">
        <w:rPr>
          <w:rFonts w:eastAsia="Times New Roman" w:cs="Arial"/>
          <w:i/>
          <w:iCs/>
          <w:color w:val="000000"/>
          <w:szCs w:val="20"/>
          <w:lang w:val="en-US"/>
        </w:rPr>
        <w:t>II</w:t>
      </w:r>
      <w:r w:rsidRPr="00967986">
        <w:rPr>
          <w:rFonts w:eastAsia="Times New Roman" w:cs="Arial"/>
          <w:i/>
          <w:iCs/>
          <w:color w:val="000000"/>
          <w:szCs w:val="20"/>
          <w:lang w:eastAsia="bg-BG"/>
        </w:rPr>
        <w:t>РА)</w:t>
      </w:r>
    </w:p>
    <w:p w14:paraId="0EBF8C3D" w14:textId="399F4302" w:rsidR="00967986" w:rsidRDefault="00967986" w:rsidP="00967986"/>
    <w:tbl>
      <w:tblPr>
        <w:tblStyle w:val="TableGrid"/>
        <w:tblW w:w="0" w:type="auto"/>
        <w:tblLook w:val="04A0" w:firstRow="1" w:lastRow="0" w:firstColumn="1" w:lastColumn="0" w:noHBand="0" w:noVBand="1"/>
      </w:tblPr>
      <w:tblGrid>
        <w:gridCol w:w="9350"/>
      </w:tblGrid>
      <w:tr w:rsidR="00967986" w14:paraId="21E6EBB6" w14:textId="77777777" w:rsidTr="00967986">
        <w:tc>
          <w:tcPr>
            <w:tcW w:w="9576" w:type="dxa"/>
          </w:tcPr>
          <w:p w14:paraId="11609E98" w14:textId="77777777" w:rsidR="00967986" w:rsidRPr="00967986" w:rsidRDefault="00967986" w:rsidP="00967986">
            <w:pPr>
              <w:rPr>
                <w:sz w:val="24"/>
                <w:szCs w:val="24"/>
              </w:rPr>
            </w:pPr>
            <w:r w:rsidRPr="00967986">
              <w:rPr>
                <w:lang w:eastAsia="bg-BG"/>
              </w:rPr>
              <w:t>Употребата на АТ</w:t>
            </w:r>
            <w:r w:rsidRPr="00967986">
              <w:rPr>
                <w:lang w:val="en-US"/>
              </w:rPr>
              <w:t>II</w:t>
            </w:r>
            <w:r w:rsidRPr="00967986">
              <w:rPr>
                <w:lang w:eastAsia="bg-BG"/>
              </w:rPr>
              <w:t>РА не се препоръчва през първия триместър на брсмеността (вижте точка 4.4).</w:t>
            </w:r>
          </w:p>
          <w:p w14:paraId="23D79E76" w14:textId="42B0E9FC" w:rsidR="00967986" w:rsidRDefault="00967986" w:rsidP="00967986">
            <w:r w:rsidRPr="00967986">
              <w:rPr>
                <w:lang w:eastAsia="bg-BG"/>
              </w:rPr>
              <w:t>Употребата на АТ</w:t>
            </w:r>
            <w:r w:rsidRPr="00967986">
              <w:rPr>
                <w:lang w:val="en-US"/>
              </w:rPr>
              <w:t>II</w:t>
            </w:r>
            <w:r w:rsidRPr="00967986">
              <w:rPr>
                <w:lang w:eastAsia="bg-BG"/>
              </w:rPr>
              <w:t>РА е противопоказана през втория и третия триместър на бременността (вижте точки 4.3 и 4.4).</w:t>
            </w:r>
          </w:p>
        </w:tc>
      </w:tr>
    </w:tbl>
    <w:p w14:paraId="2DDA648A" w14:textId="180D4E4D" w:rsidR="00967986" w:rsidRDefault="00967986" w:rsidP="00967986"/>
    <w:p w14:paraId="6522BF47"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 xml:space="preserve">Епидемиологичните данни относно риска от тератогенност след експозиция на АСЕ инхибитори през първия триместър на бременността не са категорични, но въпреки това не може да се изключи леко повишение на риска. Докато липсват контролирани </w:t>
      </w:r>
      <w:r w:rsidRPr="00967986">
        <w:rPr>
          <w:rFonts w:eastAsia="Times New Roman" w:cs="Arial"/>
          <w:color w:val="000000"/>
          <w:szCs w:val="20"/>
          <w:lang w:eastAsia="bg-BG"/>
        </w:rPr>
        <w:lastRenderedPageBreak/>
        <w:t>епидемиологични данни за риска от ангиотензин II рецепторни антагонисти (АТ</w:t>
      </w:r>
      <w:r w:rsidRPr="00967986">
        <w:rPr>
          <w:rFonts w:eastAsia="Times New Roman" w:cs="Arial"/>
          <w:color w:val="000000"/>
          <w:szCs w:val="20"/>
          <w:lang w:val="en-US"/>
        </w:rPr>
        <w:t>II</w:t>
      </w:r>
      <w:r w:rsidRPr="00967986">
        <w:rPr>
          <w:rFonts w:eastAsia="Times New Roman" w:cs="Arial"/>
          <w:color w:val="000000"/>
          <w:szCs w:val="20"/>
          <w:lang w:eastAsia="bg-BG"/>
        </w:rPr>
        <w:t>РА), може да се предположат подобни рискове и за този клас лекарствени продукти. Ако продължаващата терапия с АТ</w:t>
      </w:r>
      <w:r w:rsidRPr="00967986">
        <w:rPr>
          <w:rFonts w:eastAsia="Times New Roman" w:cs="Arial"/>
          <w:color w:val="000000"/>
          <w:szCs w:val="20"/>
          <w:lang w:val="en-US"/>
        </w:rPr>
        <w:t>II</w:t>
      </w:r>
      <w:r w:rsidRPr="00967986">
        <w:rPr>
          <w:rFonts w:eastAsia="Times New Roman" w:cs="Arial"/>
          <w:color w:val="000000"/>
          <w:szCs w:val="20"/>
          <w:lang w:eastAsia="bg-BG"/>
        </w:rPr>
        <w:t>РА се счита за необходима, пациентките, планиращи бременност, трябва да преминат на алтернативно антихипертензивно лечение, което има установен профил на безопасност за употреба по време на бременност. Когато се установи бременност, лечението с АТ</w:t>
      </w:r>
      <w:r w:rsidRPr="00967986">
        <w:rPr>
          <w:rFonts w:eastAsia="Times New Roman" w:cs="Arial"/>
          <w:color w:val="000000"/>
          <w:szCs w:val="20"/>
          <w:lang w:val="en-US"/>
        </w:rPr>
        <w:t>II</w:t>
      </w:r>
      <w:r w:rsidRPr="00967986">
        <w:rPr>
          <w:rFonts w:eastAsia="Times New Roman" w:cs="Arial"/>
          <w:color w:val="000000"/>
          <w:szCs w:val="20"/>
          <w:lang w:eastAsia="bg-BG"/>
        </w:rPr>
        <w:t>РА трябва да се спре незабавно и, ако е уместно, да се започне алтернативна терапия.</w:t>
      </w:r>
    </w:p>
    <w:p w14:paraId="3CDD87CC" w14:textId="77777777" w:rsidR="00A235DC" w:rsidRPr="00A235DC" w:rsidRDefault="00A235DC" w:rsidP="00967986">
      <w:pPr>
        <w:spacing w:line="240" w:lineRule="auto"/>
        <w:rPr>
          <w:rFonts w:eastAsia="Times New Roman" w:cs="Arial"/>
          <w:color w:val="000000"/>
          <w:szCs w:val="20"/>
          <w:lang w:eastAsia="bg-BG"/>
        </w:rPr>
      </w:pPr>
    </w:p>
    <w:p w14:paraId="01110547" w14:textId="6DE6732D"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Експозицията на терапия с АТ</w:t>
      </w:r>
      <w:r w:rsidRPr="00967986">
        <w:rPr>
          <w:rFonts w:eastAsia="Times New Roman" w:cs="Arial"/>
          <w:color w:val="000000"/>
          <w:szCs w:val="20"/>
          <w:lang w:val="en-US"/>
        </w:rPr>
        <w:t>II</w:t>
      </w:r>
      <w:r w:rsidRPr="00967986">
        <w:rPr>
          <w:rFonts w:eastAsia="Times New Roman" w:cs="Arial"/>
          <w:color w:val="000000"/>
          <w:szCs w:val="20"/>
          <w:lang w:eastAsia="bg-BG"/>
        </w:rPr>
        <w:t>РА през втория и третия триместър индуцира фетотоксичност при хората (отслабена бъбречна функция, олигохидрамниони, забавяне на осификацията на черепа) и токсичност върху новороденото (бъбречна недостатъчност, хипотония, хиперкалиемия) (вижте точка 5.3).</w:t>
      </w:r>
    </w:p>
    <w:p w14:paraId="7CD1CA2B" w14:textId="77777777" w:rsidR="00A235DC" w:rsidRPr="00A235DC" w:rsidRDefault="00A235DC" w:rsidP="00967986">
      <w:pPr>
        <w:spacing w:line="240" w:lineRule="auto"/>
        <w:rPr>
          <w:rFonts w:eastAsia="Times New Roman" w:cs="Arial"/>
          <w:color w:val="000000"/>
          <w:szCs w:val="20"/>
          <w:lang w:eastAsia="bg-BG"/>
        </w:rPr>
      </w:pPr>
    </w:p>
    <w:p w14:paraId="05041949" w14:textId="19AF8018"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Ако има експозиция на АТ</w:t>
      </w:r>
      <w:r w:rsidRPr="00967986">
        <w:rPr>
          <w:rFonts w:eastAsia="Times New Roman" w:cs="Arial"/>
          <w:color w:val="000000"/>
          <w:szCs w:val="20"/>
          <w:lang w:val="en-US"/>
        </w:rPr>
        <w:t>II</w:t>
      </w:r>
      <w:r w:rsidRPr="00967986">
        <w:rPr>
          <w:rFonts w:eastAsia="Times New Roman" w:cs="Arial"/>
          <w:color w:val="000000"/>
          <w:szCs w:val="20"/>
          <w:lang w:eastAsia="bg-BG"/>
        </w:rPr>
        <w:t>РА от втория триместър на бременността, се препоръчва ултразвуков преглед на бъбречната функция и черепа.</w:t>
      </w:r>
    </w:p>
    <w:p w14:paraId="094ACA9C"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Кърмачетата, чиито майки са приемали АТ</w:t>
      </w:r>
      <w:r w:rsidRPr="00967986">
        <w:rPr>
          <w:rFonts w:eastAsia="Times New Roman" w:cs="Arial"/>
          <w:color w:val="000000"/>
          <w:szCs w:val="20"/>
          <w:lang w:val="en-US"/>
        </w:rPr>
        <w:t>II</w:t>
      </w:r>
      <w:r w:rsidRPr="00967986">
        <w:rPr>
          <w:rFonts w:eastAsia="Times New Roman" w:cs="Arial"/>
          <w:color w:val="000000"/>
          <w:szCs w:val="20"/>
          <w:lang w:eastAsia="bg-BG"/>
        </w:rPr>
        <w:t>РА, трябва да бъдат стриктно проследявани за хипотония (вижте точки 4.3 и 4.4).</w:t>
      </w:r>
    </w:p>
    <w:p w14:paraId="6C2F9F28" w14:textId="77777777" w:rsidR="00A235DC" w:rsidRPr="00A235DC" w:rsidRDefault="00A235DC" w:rsidP="00967986">
      <w:pPr>
        <w:spacing w:line="240" w:lineRule="auto"/>
        <w:rPr>
          <w:rFonts w:eastAsia="Times New Roman" w:cs="Arial"/>
          <w:i/>
          <w:iCs/>
          <w:color w:val="000000"/>
          <w:szCs w:val="20"/>
          <w:lang w:eastAsia="bg-BG"/>
        </w:rPr>
      </w:pPr>
    </w:p>
    <w:p w14:paraId="154B6D6B" w14:textId="1745CF55" w:rsidR="00967986" w:rsidRPr="00967986" w:rsidRDefault="00967986" w:rsidP="00967986">
      <w:pPr>
        <w:spacing w:line="240" w:lineRule="auto"/>
        <w:rPr>
          <w:rFonts w:eastAsia="Times New Roman" w:cs="Arial"/>
          <w:sz w:val="28"/>
          <w:szCs w:val="24"/>
        </w:rPr>
      </w:pPr>
      <w:r w:rsidRPr="00967986">
        <w:rPr>
          <w:rFonts w:eastAsia="Times New Roman" w:cs="Arial"/>
          <w:i/>
          <w:iCs/>
          <w:color w:val="000000"/>
          <w:szCs w:val="20"/>
          <w:lang w:eastAsia="bg-BG"/>
        </w:rPr>
        <w:t>Хидрохлоротиазид</w:t>
      </w:r>
    </w:p>
    <w:p w14:paraId="09B1528F"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Опитът с хидрохлоротиазид по време на бременност, особено през първия триместър, е ограничен. Проучванията върху животни са недостатъчни.</w:t>
      </w:r>
    </w:p>
    <w:p w14:paraId="72B8F5D2"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Хидрохлоротиазид преминава през плацентата. Съдейки по фармакологичния механизъм на действие на хидрохлоротиазид употребата му през втория и третия триместър може да компрометира фетоплацентарната перфузия и да причини фетални и неонатални ефекти като иктер, нарушения на електролитното равновесие и тромбоцитопения.</w:t>
      </w:r>
    </w:p>
    <w:p w14:paraId="3CBB5C53"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Хидрохлоротиазид не трябва да се използва при гестационни отоци, гестационна хипертония или прееклампсия поради риска от понижен плазмен обем и плацентарна хипоперфузия, без благоприятен ефект върху хода на заболяването.</w:t>
      </w:r>
    </w:p>
    <w:p w14:paraId="7AD1C2E0"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Хидрохлоротиазид не трябва да се използва при есенциална хипертония при бременни жени, освен в редки случаи, когато не може да се използва никакво друго лечение.</w:t>
      </w:r>
    </w:p>
    <w:p w14:paraId="7B53D498" w14:textId="77777777" w:rsidR="00A235DC" w:rsidRPr="00A235DC" w:rsidRDefault="00A235DC" w:rsidP="00967986">
      <w:pPr>
        <w:spacing w:line="240" w:lineRule="auto"/>
        <w:rPr>
          <w:rFonts w:eastAsia="Times New Roman" w:cs="Arial"/>
          <w:i/>
          <w:iCs/>
          <w:color w:val="000000"/>
          <w:szCs w:val="20"/>
          <w:u w:val="single"/>
          <w:lang w:eastAsia="bg-BG"/>
        </w:rPr>
      </w:pPr>
    </w:p>
    <w:p w14:paraId="5C2E0CB3" w14:textId="79F9B2F8" w:rsidR="00967986" w:rsidRPr="00A235DC" w:rsidRDefault="00967986" w:rsidP="00A235DC">
      <w:pPr>
        <w:pStyle w:val="Heading3"/>
        <w:rPr>
          <w:rFonts w:eastAsia="Times New Roman"/>
          <w:sz w:val="28"/>
          <w:u w:val="single"/>
        </w:rPr>
      </w:pPr>
      <w:r w:rsidRPr="00A235DC">
        <w:rPr>
          <w:rFonts w:eastAsia="Times New Roman"/>
          <w:u w:val="single"/>
          <w:lang w:eastAsia="bg-BG"/>
        </w:rPr>
        <w:t>Кърмене</w:t>
      </w:r>
    </w:p>
    <w:p w14:paraId="6DAA1CA5" w14:textId="77777777" w:rsidR="00967986" w:rsidRPr="00967986" w:rsidRDefault="00967986" w:rsidP="00967986">
      <w:pPr>
        <w:spacing w:line="240" w:lineRule="auto"/>
        <w:rPr>
          <w:rFonts w:eastAsia="Times New Roman" w:cs="Arial"/>
          <w:sz w:val="28"/>
          <w:szCs w:val="24"/>
        </w:rPr>
      </w:pPr>
      <w:r w:rsidRPr="00967986">
        <w:rPr>
          <w:rFonts w:eastAsia="Times New Roman" w:cs="Arial"/>
          <w:i/>
          <w:iCs/>
          <w:color w:val="000000"/>
          <w:szCs w:val="20"/>
          <w:lang w:eastAsia="bg-BG"/>
        </w:rPr>
        <w:t>Ангиотензин II рецепторни антагонисти (АТ</w:t>
      </w:r>
      <w:r w:rsidRPr="00967986">
        <w:rPr>
          <w:rFonts w:eastAsia="Times New Roman" w:cs="Arial"/>
          <w:i/>
          <w:iCs/>
          <w:color w:val="000000"/>
          <w:szCs w:val="20"/>
          <w:lang w:val="en-US"/>
        </w:rPr>
        <w:t>II</w:t>
      </w:r>
      <w:r w:rsidRPr="00967986">
        <w:rPr>
          <w:rFonts w:eastAsia="Times New Roman" w:cs="Arial"/>
          <w:i/>
          <w:iCs/>
          <w:color w:val="000000"/>
          <w:szCs w:val="20"/>
          <w:lang w:eastAsia="bg-BG"/>
        </w:rPr>
        <w:t>РА)</w:t>
      </w:r>
    </w:p>
    <w:p w14:paraId="3219DC2E"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Кандекард Н не се препоръчва по време на кърмене, тъй като липсва каквато и да е информация относно употребата му през този период. Предпочита се алтернативно лечение с по-добре установен профил на безопасност при кърмене, особено при новородени или недоносени кърмачета.</w:t>
      </w:r>
    </w:p>
    <w:p w14:paraId="2832E00E" w14:textId="77777777" w:rsidR="00A235DC" w:rsidRPr="00A235DC" w:rsidRDefault="00A235DC" w:rsidP="00967986">
      <w:pPr>
        <w:spacing w:line="240" w:lineRule="auto"/>
        <w:rPr>
          <w:rFonts w:eastAsia="Times New Roman" w:cs="Arial"/>
          <w:i/>
          <w:iCs/>
          <w:color w:val="000000"/>
          <w:szCs w:val="20"/>
          <w:lang w:eastAsia="bg-BG"/>
        </w:rPr>
      </w:pPr>
    </w:p>
    <w:p w14:paraId="25209C77" w14:textId="5A0FB8D6" w:rsidR="00967986" w:rsidRPr="00967986" w:rsidRDefault="00967986" w:rsidP="00967986">
      <w:pPr>
        <w:spacing w:line="240" w:lineRule="auto"/>
        <w:rPr>
          <w:rFonts w:eastAsia="Times New Roman" w:cs="Arial"/>
          <w:sz w:val="28"/>
          <w:szCs w:val="24"/>
        </w:rPr>
      </w:pPr>
      <w:r w:rsidRPr="00967986">
        <w:rPr>
          <w:rFonts w:eastAsia="Times New Roman" w:cs="Arial"/>
          <w:i/>
          <w:iCs/>
          <w:color w:val="000000"/>
          <w:szCs w:val="20"/>
          <w:lang w:eastAsia="bg-BG"/>
        </w:rPr>
        <w:t>Хидрохлоротиазид</w:t>
      </w:r>
    </w:p>
    <w:p w14:paraId="6F1F4D35"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Хидрохлоротиазид се екскретира в малки количества в майчиното мляко. Високите дози тиазиди предизвикват силна диуреза и може да потиснат лактацията. Употребата на Кандекард Н по време на кърмене не се препоръчва.</w:t>
      </w:r>
    </w:p>
    <w:p w14:paraId="5181AD13" w14:textId="77777777" w:rsidR="00967986" w:rsidRPr="00967986" w:rsidRDefault="00967986" w:rsidP="00967986"/>
    <w:p w14:paraId="5DD7A76D" w14:textId="180DC265" w:rsidR="007122AD" w:rsidRDefault="002C50EE" w:rsidP="00936AD0">
      <w:pPr>
        <w:pStyle w:val="Heading2"/>
      </w:pPr>
      <w:r>
        <w:t>4.7. Ефекти върху способността за шофиране и работа с машини</w:t>
      </w:r>
    </w:p>
    <w:p w14:paraId="62E76C7D" w14:textId="6339E268" w:rsidR="00A235DC" w:rsidRDefault="00A235DC" w:rsidP="00A235DC"/>
    <w:p w14:paraId="08CC5F65" w14:textId="77777777" w:rsidR="00A235DC" w:rsidRPr="00A235DC" w:rsidRDefault="00A235DC" w:rsidP="00A235DC">
      <w:pPr>
        <w:rPr>
          <w:sz w:val="24"/>
          <w:szCs w:val="24"/>
        </w:rPr>
      </w:pPr>
      <w:r w:rsidRPr="00A235DC">
        <w:rPr>
          <w:lang w:eastAsia="bg-BG"/>
        </w:rPr>
        <w:t>Не са провеждани проучвания за ефектите върху способността за шофиране и работа с машини. При шофиране или работа с машини, трябва да се има предвид, че понякога при лечение на хипертония с Кандекард Н може да настъпи замаяност или слабост.</w:t>
      </w:r>
    </w:p>
    <w:p w14:paraId="3EAF984E" w14:textId="77777777" w:rsidR="00A235DC" w:rsidRPr="00A235DC" w:rsidRDefault="00A235DC" w:rsidP="00A235DC"/>
    <w:p w14:paraId="44CE30A3" w14:textId="23744A09" w:rsidR="007122AD" w:rsidRDefault="002C50EE" w:rsidP="00936AD0">
      <w:pPr>
        <w:pStyle w:val="Heading2"/>
      </w:pPr>
      <w:r>
        <w:lastRenderedPageBreak/>
        <w:t>4.8. Нежелани лекарствени реакции</w:t>
      </w:r>
    </w:p>
    <w:p w14:paraId="3F48F26B" w14:textId="6C88C0B8" w:rsidR="00A235DC" w:rsidRDefault="00A235DC" w:rsidP="00A235DC"/>
    <w:p w14:paraId="770A9AFA"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По време на контролирани клинични проучвания с кандесартан цилексетил/ хидрохлоротиазид нежеланите реакции са били леки и преходни. Прекратяването на терапията поради нежелани реакции е сходно при кандесартан цилексетил/ хидрохлоротиазид (2.3-33%) и плацебо (2.7-43%). При клинични проучвания с кандесартан цилексетил/ хидрохлоротиазид, нежеланите реакции са били ограничени до досега познатите нежелани реакции на кандесартан цилексетил/ хидрохлоротиазид.</w:t>
      </w:r>
    </w:p>
    <w:p w14:paraId="6CE852B1"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В таблицата по-долу са представени нежеланите реакции на кандесартан цилексетил/ хидрохлоротиазид то клинични проучвания и постмаркетинговия опит. При един обобщен анализ на данни от клинични проучвания се съобщават следните нежелани реакции при кандесартан цилексетил/хидрохлоротиазид основани на честотата на нежелани реакции с кандесартан цилексетил/хидрохлоротиазид, която е с поне 1 % по-висока от честотата, наблюдавана при плацебо:</w:t>
      </w:r>
    </w:p>
    <w:p w14:paraId="2734E13A" w14:textId="77777777" w:rsidR="00A235DC" w:rsidRPr="00A235DC" w:rsidRDefault="00A235DC" w:rsidP="00A235DC">
      <w:pPr>
        <w:spacing w:line="240" w:lineRule="auto"/>
        <w:rPr>
          <w:rFonts w:eastAsia="Times New Roman" w:cs="Arial"/>
          <w:color w:val="000000"/>
          <w:szCs w:val="20"/>
          <w:lang w:eastAsia="bg-BG"/>
        </w:rPr>
      </w:pPr>
    </w:p>
    <w:p w14:paraId="27B94378" w14:textId="1D7B889E"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Честотата на нежеланите реакции в таблиците, включени в 4.8 са:</w:t>
      </w:r>
    </w:p>
    <w:p w14:paraId="095E0D1E"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Много чести (≥ 1/10)</w:t>
      </w:r>
    </w:p>
    <w:p w14:paraId="7829E60D"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Чести (≥1/100 до &lt;1/10)</w:t>
      </w:r>
    </w:p>
    <w:p w14:paraId="7A6B7CBA"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Нечессти (≥1/1 000 до &lt;1/100)</w:t>
      </w:r>
    </w:p>
    <w:p w14:paraId="089CDD17"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Редки (≥1/10 000 до &lt;1/1 000)</w:t>
      </w:r>
    </w:p>
    <w:p w14:paraId="00E89853" w14:textId="0389D599" w:rsidR="00A235DC" w:rsidRPr="00A235DC" w:rsidRDefault="00A235DC" w:rsidP="00A235DC">
      <w:pPr>
        <w:spacing w:line="240" w:lineRule="auto"/>
        <w:rPr>
          <w:rFonts w:eastAsia="Times New Roman" w:cs="Arial"/>
          <w:color w:val="000000"/>
          <w:szCs w:val="20"/>
          <w:lang w:eastAsia="bg-BG"/>
        </w:rPr>
      </w:pPr>
      <w:r w:rsidRPr="00A235DC">
        <w:rPr>
          <w:rFonts w:eastAsia="Times New Roman" w:cs="Arial"/>
          <w:color w:val="000000"/>
          <w:szCs w:val="20"/>
          <w:lang w:eastAsia="bg-BG"/>
        </w:rPr>
        <w:t>Много редки (&lt;1/10 000)</w:t>
      </w:r>
    </w:p>
    <w:p w14:paraId="5556487B" w14:textId="59D40C19" w:rsidR="00A235DC" w:rsidRDefault="00A235DC" w:rsidP="00A235DC">
      <w:pPr>
        <w:rPr>
          <w:rFonts w:eastAsia="Times New Roman" w:cs="Arial"/>
          <w:color w:val="000000"/>
          <w:szCs w:val="20"/>
          <w:lang w:eastAsia="bg-BG"/>
        </w:rPr>
      </w:pPr>
      <w:r w:rsidRPr="00A235DC">
        <w:rPr>
          <w:rFonts w:eastAsia="Times New Roman" w:cs="Arial"/>
          <w:color w:val="000000"/>
          <w:szCs w:val="20"/>
          <w:lang w:eastAsia="bg-BG"/>
        </w:rPr>
        <w:t>С неизвестна честота (от наличните данни не може да бъде установено)</w:t>
      </w:r>
    </w:p>
    <w:p w14:paraId="36E0F9CB" w14:textId="6FDBAAFF" w:rsidR="00A235DC" w:rsidRDefault="00A235DC" w:rsidP="00A235DC">
      <w:pPr>
        <w:rPr>
          <w:rFonts w:eastAsia="Times New Roman" w:cs="Arial"/>
          <w:color w:val="000000"/>
          <w:szCs w:val="20"/>
          <w:lang w:eastAsia="bg-BG"/>
        </w:rPr>
      </w:pPr>
    </w:p>
    <w:tbl>
      <w:tblPr>
        <w:tblStyle w:val="TableGrid"/>
        <w:tblW w:w="0" w:type="auto"/>
        <w:tblLook w:val="04A0" w:firstRow="1" w:lastRow="0" w:firstColumn="1" w:lastColumn="0" w:noHBand="0" w:noVBand="1"/>
      </w:tblPr>
      <w:tblGrid>
        <w:gridCol w:w="3126"/>
        <w:gridCol w:w="3101"/>
        <w:gridCol w:w="3123"/>
      </w:tblGrid>
      <w:tr w:rsidR="00A235DC" w14:paraId="765F3C0A" w14:textId="77777777" w:rsidTr="00A235DC">
        <w:tc>
          <w:tcPr>
            <w:tcW w:w="3192" w:type="dxa"/>
          </w:tcPr>
          <w:p w14:paraId="0D0B9823" w14:textId="3BBE2225" w:rsidR="00A235DC" w:rsidRDefault="00A235DC" w:rsidP="00A235DC">
            <w:pPr>
              <w:rPr>
                <w:rFonts w:eastAsia="Times New Roman" w:cs="Arial"/>
                <w:color w:val="000000"/>
                <w:szCs w:val="20"/>
                <w:lang w:eastAsia="bg-BG"/>
              </w:rPr>
            </w:pPr>
            <w:r>
              <w:rPr>
                <w:b/>
                <w:bCs/>
                <w:sz w:val="20"/>
                <w:szCs w:val="20"/>
              </w:rPr>
              <w:t>Системно-органен клас</w:t>
            </w:r>
          </w:p>
        </w:tc>
        <w:tc>
          <w:tcPr>
            <w:tcW w:w="3192" w:type="dxa"/>
          </w:tcPr>
          <w:p w14:paraId="10D8397B" w14:textId="0830C3B4" w:rsidR="00A235DC" w:rsidRDefault="00A235DC" w:rsidP="00A235DC">
            <w:pPr>
              <w:rPr>
                <w:rFonts w:eastAsia="Times New Roman" w:cs="Arial"/>
                <w:color w:val="000000"/>
                <w:szCs w:val="20"/>
                <w:lang w:eastAsia="bg-BG"/>
              </w:rPr>
            </w:pPr>
            <w:r>
              <w:rPr>
                <w:b/>
                <w:bCs/>
                <w:sz w:val="20"/>
                <w:szCs w:val="20"/>
              </w:rPr>
              <w:t>Честота</w:t>
            </w:r>
          </w:p>
        </w:tc>
        <w:tc>
          <w:tcPr>
            <w:tcW w:w="3192" w:type="dxa"/>
          </w:tcPr>
          <w:p w14:paraId="5221D117" w14:textId="51D09732" w:rsidR="00A235DC" w:rsidRDefault="00A235DC" w:rsidP="00A235DC">
            <w:pPr>
              <w:rPr>
                <w:rFonts w:eastAsia="Times New Roman" w:cs="Arial"/>
                <w:color w:val="000000"/>
                <w:szCs w:val="20"/>
                <w:lang w:eastAsia="bg-BG"/>
              </w:rPr>
            </w:pPr>
            <w:r>
              <w:rPr>
                <w:b/>
                <w:bCs/>
                <w:sz w:val="20"/>
                <w:szCs w:val="20"/>
              </w:rPr>
              <w:t>Нежелана реакция</w:t>
            </w:r>
          </w:p>
        </w:tc>
      </w:tr>
      <w:tr w:rsidR="00A235DC" w14:paraId="7F351689" w14:textId="77777777" w:rsidTr="00A235DC">
        <w:tc>
          <w:tcPr>
            <w:tcW w:w="3192" w:type="dxa"/>
          </w:tcPr>
          <w:p w14:paraId="3E8F3FEC" w14:textId="4A454BF4" w:rsidR="00A235DC" w:rsidRDefault="00A235DC" w:rsidP="00A235DC">
            <w:pPr>
              <w:rPr>
                <w:rFonts w:eastAsia="Times New Roman" w:cs="Arial"/>
                <w:color w:val="000000"/>
                <w:szCs w:val="20"/>
                <w:lang w:eastAsia="bg-BG"/>
              </w:rPr>
            </w:pPr>
            <w:r>
              <w:rPr>
                <w:sz w:val="20"/>
                <w:szCs w:val="20"/>
              </w:rPr>
              <w:t>Инфекции и инфестации</w:t>
            </w:r>
          </w:p>
        </w:tc>
        <w:tc>
          <w:tcPr>
            <w:tcW w:w="3192" w:type="dxa"/>
          </w:tcPr>
          <w:p w14:paraId="189416FB" w14:textId="5F7FB3F8" w:rsidR="00A235DC" w:rsidRDefault="00A235DC" w:rsidP="00A235DC">
            <w:pPr>
              <w:rPr>
                <w:rFonts w:eastAsia="Times New Roman" w:cs="Arial"/>
                <w:color w:val="000000"/>
                <w:szCs w:val="20"/>
                <w:lang w:eastAsia="bg-BG"/>
              </w:rPr>
            </w:pPr>
            <w:r>
              <w:rPr>
                <w:sz w:val="20"/>
                <w:szCs w:val="20"/>
              </w:rPr>
              <w:t>Чести</w:t>
            </w:r>
          </w:p>
        </w:tc>
        <w:tc>
          <w:tcPr>
            <w:tcW w:w="3192" w:type="dxa"/>
          </w:tcPr>
          <w:p w14:paraId="04425149" w14:textId="41281340" w:rsidR="00A235DC" w:rsidRDefault="00A235DC" w:rsidP="00A235DC">
            <w:pPr>
              <w:rPr>
                <w:rFonts w:eastAsia="Times New Roman" w:cs="Arial"/>
                <w:color w:val="000000"/>
                <w:szCs w:val="20"/>
                <w:lang w:eastAsia="bg-BG"/>
              </w:rPr>
            </w:pPr>
            <w:r>
              <w:rPr>
                <w:sz w:val="20"/>
                <w:szCs w:val="20"/>
              </w:rPr>
              <w:t>Респираторни инфекции</w:t>
            </w:r>
          </w:p>
        </w:tc>
      </w:tr>
      <w:tr w:rsidR="00A235DC" w14:paraId="465C0956" w14:textId="77777777" w:rsidTr="00A235DC">
        <w:tc>
          <w:tcPr>
            <w:tcW w:w="3192" w:type="dxa"/>
          </w:tcPr>
          <w:p w14:paraId="32AE8EBD" w14:textId="39775624" w:rsidR="00A235DC" w:rsidRDefault="00A235DC" w:rsidP="00A235DC">
            <w:pPr>
              <w:rPr>
                <w:rFonts w:eastAsia="Times New Roman" w:cs="Arial"/>
                <w:color w:val="000000"/>
                <w:szCs w:val="20"/>
                <w:lang w:eastAsia="bg-BG"/>
              </w:rPr>
            </w:pPr>
            <w:r>
              <w:rPr>
                <w:sz w:val="20"/>
                <w:szCs w:val="20"/>
              </w:rPr>
              <w:t>Нарушения на кръвта и лимфната система</w:t>
            </w:r>
          </w:p>
        </w:tc>
        <w:tc>
          <w:tcPr>
            <w:tcW w:w="3192" w:type="dxa"/>
          </w:tcPr>
          <w:p w14:paraId="6DA6C3FF" w14:textId="32307F64" w:rsidR="00A235DC" w:rsidRDefault="00A235DC" w:rsidP="00A235DC">
            <w:pPr>
              <w:rPr>
                <w:rFonts w:eastAsia="Times New Roman" w:cs="Arial"/>
                <w:color w:val="000000"/>
                <w:szCs w:val="20"/>
                <w:lang w:eastAsia="bg-BG"/>
              </w:rPr>
            </w:pPr>
            <w:r>
              <w:rPr>
                <w:sz w:val="20"/>
                <w:szCs w:val="20"/>
              </w:rPr>
              <w:t>Много редки</w:t>
            </w:r>
          </w:p>
        </w:tc>
        <w:tc>
          <w:tcPr>
            <w:tcW w:w="3192" w:type="dxa"/>
          </w:tcPr>
          <w:p w14:paraId="31B9F796" w14:textId="0993F0C7" w:rsidR="00A235DC" w:rsidRDefault="00A235DC" w:rsidP="00A235DC">
            <w:pPr>
              <w:rPr>
                <w:rFonts w:eastAsia="Times New Roman" w:cs="Arial"/>
                <w:color w:val="000000"/>
                <w:szCs w:val="20"/>
                <w:lang w:eastAsia="bg-BG"/>
              </w:rPr>
            </w:pPr>
            <w:r>
              <w:rPr>
                <w:sz w:val="20"/>
                <w:szCs w:val="20"/>
              </w:rPr>
              <w:t>Левкопения, неутропения и агранулоцитоза</w:t>
            </w:r>
          </w:p>
        </w:tc>
      </w:tr>
      <w:tr w:rsidR="00A235DC" w14:paraId="1684B893" w14:textId="77777777" w:rsidTr="00A235DC">
        <w:tc>
          <w:tcPr>
            <w:tcW w:w="3192" w:type="dxa"/>
          </w:tcPr>
          <w:p w14:paraId="53DF0BE5" w14:textId="0B88C6C8" w:rsidR="00A235DC" w:rsidRDefault="00A235DC" w:rsidP="00A235DC">
            <w:pPr>
              <w:rPr>
                <w:rFonts w:eastAsia="Times New Roman" w:cs="Arial"/>
                <w:color w:val="000000"/>
                <w:szCs w:val="20"/>
                <w:lang w:eastAsia="bg-BG"/>
              </w:rPr>
            </w:pPr>
            <w:r>
              <w:rPr>
                <w:sz w:val="20"/>
                <w:szCs w:val="20"/>
              </w:rPr>
              <w:t>Нарушения на метаболизма и храненето</w:t>
            </w:r>
          </w:p>
        </w:tc>
        <w:tc>
          <w:tcPr>
            <w:tcW w:w="3192" w:type="dxa"/>
          </w:tcPr>
          <w:p w14:paraId="2ED8405C" w14:textId="193E9AE2" w:rsidR="00A235DC" w:rsidRDefault="00A235DC" w:rsidP="00A235DC">
            <w:pPr>
              <w:rPr>
                <w:rFonts w:eastAsia="Times New Roman" w:cs="Arial"/>
                <w:color w:val="000000"/>
                <w:szCs w:val="20"/>
                <w:lang w:eastAsia="bg-BG"/>
              </w:rPr>
            </w:pPr>
            <w:r>
              <w:rPr>
                <w:sz w:val="20"/>
                <w:szCs w:val="20"/>
              </w:rPr>
              <w:t>Много редки</w:t>
            </w:r>
          </w:p>
        </w:tc>
        <w:tc>
          <w:tcPr>
            <w:tcW w:w="3192" w:type="dxa"/>
          </w:tcPr>
          <w:p w14:paraId="3929E00A" w14:textId="11C89ABC" w:rsidR="00A235DC" w:rsidRDefault="00A235DC" w:rsidP="00A235DC">
            <w:pPr>
              <w:rPr>
                <w:rFonts w:eastAsia="Times New Roman" w:cs="Arial"/>
                <w:color w:val="000000"/>
                <w:szCs w:val="20"/>
                <w:lang w:eastAsia="bg-BG"/>
              </w:rPr>
            </w:pPr>
            <w:r>
              <w:rPr>
                <w:sz w:val="20"/>
                <w:szCs w:val="20"/>
              </w:rPr>
              <w:t>Хиперкалиемия, хипонатриемия</w:t>
            </w:r>
          </w:p>
        </w:tc>
      </w:tr>
      <w:tr w:rsidR="00A235DC" w14:paraId="5D6830ED" w14:textId="77777777" w:rsidTr="00A235DC">
        <w:tc>
          <w:tcPr>
            <w:tcW w:w="3192" w:type="dxa"/>
          </w:tcPr>
          <w:p w14:paraId="7CA9AA2D" w14:textId="57E4CE7A" w:rsidR="00A235DC" w:rsidRDefault="00A235DC" w:rsidP="00A235DC">
            <w:pPr>
              <w:rPr>
                <w:rFonts w:eastAsia="Times New Roman" w:cs="Arial"/>
                <w:color w:val="000000"/>
                <w:szCs w:val="20"/>
                <w:lang w:eastAsia="bg-BG"/>
              </w:rPr>
            </w:pPr>
            <w:r>
              <w:rPr>
                <w:sz w:val="20"/>
                <w:szCs w:val="20"/>
              </w:rPr>
              <w:t xml:space="preserve">Нарушения </w:t>
            </w:r>
            <w:r>
              <w:rPr>
                <w:i/>
                <w:iCs/>
                <w:sz w:val="20"/>
                <w:szCs w:val="20"/>
              </w:rPr>
              <w:t xml:space="preserve">на нервната </w:t>
            </w:r>
            <w:r>
              <w:rPr>
                <w:sz w:val="20"/>
                <w:szCs w:val="20"/>
              </w:rPr>
              <w:t>система</w:t>
            </w:r>
          </w:p>
        </w:tc>
        <w:tc>
          <w:tcPr>
            <w:tcW w:w="3192" w:type="dxa"/>
          </w:tcPr>
          <w:p w14:paraId="13F28B31" w14:textId="7FD1F04A" w:rsidR="00A235DC" w:rsidRDefault="00A235DC" w:rsidP="00A235DC">
            <w:pPr>
              <w:rPr>
                <w:rFonts w:eastAsia="Times New Roman" w:cs="Arial"/>
                <w:color w:val="000000"/>
                <w:szCs w:val="20"/>
                <w:lang w:eastAsia="bg-BG"/>
              </w:rPr>
            </w:pPr>
            <w:r>
              <w:rPr>
                <w:sz w:val="20"/>
                <w:szCs w:val="20"/>
              </w:rPr>
              <w:t>Чести</w:t>
            </w:r>
          </w:p>
        </w:tc>
        <w:tc>
          <w:tcPr>
            <w:tcW w:w="3192" w:type="dxa"/>
          </w:tcPr>
          <w:p w14:paraId="5AD2A09B" w14:textId="33FC3C26" w:rsidR="00A235DC" w:rsidRDefault="00A235DC" w:rsidP="00A235DC">
            <w:pPr>
              <w:rPr>
                <w:rFonts w:eastAsia="Times New Roman" w:cs="Arial"/>
                <w:color w:val="000000"/>
                <w:szCs w:val="20"/>
                <w:lang w:eastAsia="bg-BG"/>
              </w:rPr>
            </w:pPr>
            <w:r>
              <w:rPr>
                <w:sz w:val="20"/>
                <w:szCs w:val="20"/>
              </w:rPr>
              <w:t>Замаяност/ вертиго, главоболие</w:t>
            </w:r>
          </w:p>
        </w:tc>
      </w:tr>
      <w:tr w:rsidR="00A235DC" w14:paraId="5A1E0A51" w14:textId="77777777" w:rsidTr="00A235DC">
        <w:tc>
          <w:tcPr>
            <w:tcW w:w="3192" w:type="dxa"/>
          </w:tcPr>
          <w:p w14:paraId="0129CD0B" w14:textId="6E9C3B9E" w:rsidR="00A235DC" w:rsidRDefault="00A235DC" w:rsidP="00A235DC">
            <w:pPr>
              <w:rPr>
                <w:rFonts w:eastAsia="Times New Roman" w:cs="Arial"/>
                <w:color w:val="000000"/>
                <w:szCs w:val="20"/>
                <w:lang w:eastAsia="bg-BG"/>
              </w:rPr>
            </w:pPr>
            <w:r>
              <w:rPr>
                <w:sz w:val="20"/>
                <w:szCs w:val="20"/>
              </w:rPr>
              <w:t>Респираторни, гръдни и медиастинални нарушения</w:t>
            </w:r>
          </w:p>
        </w:tc>
        <w:tc>
          <w:tcPr>
            <w:tcW w:w="3192" w:type="dxa"/>
          </w:tcPr>
          <w:p w14:paraId="3BABC369" w14:textId="7AA816FA" w:rsidR="00A235DC" w:rsidRDefault="00A235DC" w:rsidP="00A235DC">
            <w:pPr>
              <w:rPr>
                <w:rFonts w:eastAsia="Times New Roman" w:cs="Arial"/>
                <w:color w:val="000000"/>
                <w:szCs w:val="20"/>
                <w:lang w:eastAsia="bg-BG"/>
              </w:rPr>
            </w:pPr>
            <w:r>
              <w:rPr>
                <w:sz w:val="20"/>
                <w:szCs w:val="20"/>
              </w:rPr>
              <w:t>Много редки</w:t>
            </w:r>
          </w:p>
        </w:tc>
        <w:tc>
          <w:tcPr>
            <w:tcW w:w="3192" w:type="dxa"/>
          </w:tcPr>
          <w:p w14:paraId="477477A0" w14:textId="1D867B52" w:rsidR="00A235DC" w:rsidRDefault="00A235DC" w:rsidP="00A235DC">
            <w:pPr>
              <w:rPr>
                <w:rFonts w:eastAsia="Times New Roman" w:cs="Arial"/>
                <w:color w:val="000000"/>
                <w:szCs w:val="20"/>
                <w:lang w:eastAsia="bg-BG"/>
              </w:rPr>
            </w:pPr>
            <w:r>
              <w:rPr>
                <w:sz w:val="20"/>
                <w:szCs w:val="20"/>
              </w:rPr>
              <w:t>Кашлица</w:t>
            </w:r>
          </w:p>
        </w:tc>
      </w:tr>
      <w:tr w:rsidR="00A235DC" w14:paraId="324FBE79" w14:textId="77777777" w:rsidTr="00A235DC">
        <w:tc>
          <w:tcPr>
            <w:tcW w:w="3192" w:type="dxa"/>
            <w:vMerge w:val="restart"/>
          </w:tcPr>
          <w:p w14:paraId="67DB600F" w14:textId="77777777" w:rsidR="00A235DC" w:rsidRDefault="00A235DC" w:rsidP="00A235DC">
            <w:pPr>
              <w:rPr>
                <w:rFonts w:eastAsia="Times New Roman" w:cs="Arial"/>
                <w:color w:val="000000"/>
                <w:szCs w:val="20"/>
                <w:lang w:eastAsia="bg-BG"/>
              </w:rPr>
            </w:pPr>
            <w:r>
              <w:rPr>
                <w:sz w:val="20"/>
                <w:szCs w:val="20"/>
              </w:rPr>
              <w:t>Стомашно-чревни</w:t>
            </w:r>
          </w:p>
          <w:p w14:paraId="4D7EB36C" w14:textId="66011C0E" w:rsidR="00A235DC" w:rsidRDefault="00A235DC" w:rsidP="00A235DC">
            <w:pPr>
              <w:rPr>
                <w:rFonts w:eastAsia="Times New Roman" w:cs="Arial"/>
                <w:color w:val="000000"/>
                <w:szCs w:val="20"/>
                <w:lang w:eastAsia="bg-BG"/>
              </w:rPr>
            </w:pPr>
            <w:r>
              <w:rPr>
                <w:sz w:val="20"/>
                <w:szCs w:val="20"/>
              </w:rPr>
              <w:t>нарушения</w:t>
            </w:r>
          </w:p>
        </w:tc>
        <w:tc>
          <w:tcPr>
            <w:tcW w:w="3192" w:type="dxa"/>
          </w:tcPr>
          <w:p w14:paraId="10B60297" w14:textId="65637B45" w:rsidR="00A235DC" w:rsidRDefault="00A235DC" w:rsidP="00A235DC">
            <w:pPr>
              <w:rPr>
                <w:rFonts w:eastAsia="Times New Roman" w:cs="Arial"/>
                <w:color w:val="000000"/>
                <w:szCs w:val="20"/>
                <w:lang w:eastAsia="bg-BG"/>
              </w:rPr>
            </w:pPr>
            <w:r>
              <w:rPr>
                <w:sz w:val="20"/>
                <w:szCs w:val="20"/>
              </w:rPr>
              <w:t>Много редки</w:t>
            </w:r>
          </w:p>
        </w:tc>
        <w:tc>
          <w:tcPr>
            <w:tcW w:w="3192" w:type="dxa"/>
          </w:tcPr>
          <w:p w14:paraId="318E11DB" w14:textId="347CEFA4" w:rsidR="00A235DC" w:rsidRDefault="00A235DC" w:rsidP="00A235DC">
            <w:pPr>
              <w:rPr>
                <w:rFonts w:eastAsia="Times New Roman" w:cs="Arial"/>
                <w:color w:val="000000"/>
                <w:szCs w:val="20"/>
                <w:lang w:eastAsia="bg-BG"/>
              </w:rPr>
            </w:pPr>
            <w:r>
              <w:rPr>
                <w:sz w:val="20"/>
                <w:szCs w:val="20"/>
              </w:rPr>
              <w:t>Гадене</w:t>
            </w:r>
          </w:p>
        </w:tc>
      </w:tr>
      <w:tr w:rsidR="00A235DC" w14:paraId="2DF1EE4D" w14:textId="77777777" w:rsidTr="00A235DC">
        <w:tc>
          <w:tcPr>
            <w:tcW w:w="3192" w:type="dxa"/>
            <w:vMerge/>
          </w:tcPr>
          <w:p w14:paraId="384AFF79" w14:textId="7C73218F" w:rsidR="00A235DC" w:rsidRDefault="00A235DC" w:rsidP="00A235DC">
            <w:pPr>
              <w:rPr>
                <w:rFonts w:eastAsia="Times New Roman" w:cs="Arial"/>
                <w:color w:val="000000"/>
                <w:szCs w:val="20"/>
                <w:lang w:eastAsia="bg-BG"/>
              </w:rPr>
            </w:pPr>
          </w:p>
        </w:tc>
        <w:tc>
          <w:tcPr>
            <w:tcW w:w="3192" w:type="dxa"/>
          </w:tcPr>
          <w:p w14:paraId="3037A4CB" w14:textId="49097F12" w:rsidR="00A235DC" w:rsidRDefault="00A235DC" w:rsidP="00A235DC">
            <w:pPr>
              <w:rPr>
                <w:rFonts w:eastAsia="Times New Roman" w:cs="Arial"/>
                <w:color w:val="000000"/>
                <w:szCs w:val="20"/>
                <w:lang w:eastAsia="bg-BG"/>
              </w:rPr>
            </w:pPr>
            <w:r>
              <w:rPr>
                <w:sz w:val="20"/>
                <w:szCs w:val="20"/>
              </w:rPr>
              <w:t>С неизвестна честота</w:t>
            </w:r>
          </w:p>
        </w:tc>
        <w:tc>
          <w:tcPr>
            <w:tcW w:w="3192" w:type="dxa"/>
          </w:tcPr>
          <w:p w14:paraId="61B9BF6F" w14:textId="0C5CA5B7" w:rsidR="00A235DC" w:rsidRDefault="00A235DC" w:rsidP="00A235DC">
            <w:pPr>
              <w:rPr>
                <w:rFonts w:eastAsia="Times New Roman" w:cs="Arial"/>
                <w:color w:val="000000"/>
                <w:szCs w:val="20"/>
                <w:lang w:eastAsia="bg-BG"/>
              </w:rPr>
            </w:pPr>
            <w:r>
              <w:rPr>
                <w:sz w:val="20"/>
                <w:szCs w:val="20"/>
              </w:rPr>
              <w:t>Диария</w:t>
            </w:r>
          </w:p>
        </w:tc>
      </w:tr>
      <w:tr w:rsidR="00A235DC" w14:paraId="18BF5687" w14:textId="77777777" w:rsidTr="00A235DC">
        <w:tc>
          <w:tcPr>
            <w:tcW w:w="3192" w:type="dxa"/>
          </w:tcPr>
          <w:p w14:paraId="354FC5CF" w14:textId="594E1E98" w:rsidR="00A235DC" w:rsidRDefault="00A235DC" w:rsidP="00A235DC">
            <w:pPr>
              <w:rPr>
                <w:rFonts w:eastAsia="Times New Roman" w:cs="Arial"/>
                <w:color w:val="000000"/>
                <w:szCs w:val="20"/>
                <w:lang w:eastAsia="bg-BG"/>
              </w:rPr>
            </w:pPr>
            <w:r>
              <w:rPr>
                <w:sz w:val="20"/>
                <w:szCs w:val="20"/>
              </w:rPr>
              <w:t>Хепатобилиарни нарушения</w:t>
            </w:r>
          </w:p>
        </w:tc>
        <w:tc>
          <w:tcPr>
            <w:tcW w:w="3192" w:type="dxa"/>
          </w:tcPr>
          <w:p w14:paraId="506454C3" w14:textId="24F88124" w:rsidR="00A235DC" w:rsidRDefault="00A235DC" w:rsidP="00A235DC">
            <w:pPr>
              <w:rPr>
                <w:rFonts w:eastAsia="Times New Roman" w:cs="Arial"/>
                <w:color w:val="000000"/>
                <w:szCs w:val="20"/>
                <w:lang w:eastAsia="bg-BG"/>
              </w:rPr>
            </w:pPr>
            <w:r>
              <w:rPr>
                <w:sz w:val="20"/>
                <w:szCs w:val="20"/>
              </w:rPr>
              <w:t>Много редки</w:t>
            </w:r>
          </w:p>
        </w:tc>
        <w:tc>
          <w:tcPr>
            <w:tcW w:w="3192" w:type="dxa"/>
          </w:tcPr>
          <w:p w14:paraId="3414B061" w14:textId="6C7F0656" w:rsidR="00A235DC" w:rsidRDefault="00A235DC" w:rsidP="00A235DC">
            <w:pPr>
              <w:rPr>
                <w:rFonts w:eastAsia="Times New Roman" w:cs="Arial"/>
                <w:color w:val="000000"/>
                <w:szCs w:val="20"/>
                <w:lang w:eastAsia="bg-BG"/>
              </w:rPr>
            </w:pPr>
            <w:r>
              <w:rPr>
                <w:sz w:val="20"/>
                <w:szCs w:val="20"/>
              </w:rPr>
              <w:t>Повишени чернодробни ензими, нарушена чернодробна функция и хепатит</w:t>
            </w:r>
          </w:p>
        </w:tc>
      </w:tr>
      <w:tr w:rsidR="00A235DC" w14:paraId="4C5DC0DF" w14:textId="77777777" w:rsidTr="00A235DC">
        <w:tc>
          <w:tcPr>
            <w:tcW w:w="3192" w:type="dxa"/>
          </w:tcPr>
          <w:p w14:paraId="7F6731FC" w14:textId="6022FD4A" w:rsidR="00A235DC" w:rsidRDefault="00A235DC" w:rsidP="00A235DC">
            <w:pPr>
              <w:rPr>
                <w:rFonts w:eastAsia="Times New Roman" w:cs="Arial"/>
                <w:color w:val="000000"/>
                <w:szCs w:val="20"/>
                <w:lang w:eastAsia="bg-BG"/>
              </w:rPr>
            </w:pPr>
            <w:r>
              <w:rPr>
                <w:sz w:val="20"/>
                <w:szCs w:val="20"/>
              </w:rPr>
              <w:t>Нарушения на кожата и подкожната тъкан</w:t>
            </w:r>
          </w:p>
        </w:tc>
        <w:tc>
          <w:tcPr>
            <w:tcW w:w="3192" w:type="dxa"/>
          </w:tcPr>
          <w:p w14:paraId="34F5928C" w14:textId="395BD706" w:rsidR="00A235DC" w:rsidRDefault="00A235DC" w:rsidP="00A235DC">
            <w:pPr>
              <w:rPr>
                <w:rFonts w:eastAsia="Times New Roman" w:cs="Arial"/>
                <w:color w:val="000000"/>
                <w:szCs w:val="20"/>
                <w:lang w:eastAsia="bg-BG"/>
              </w:rPr>
            </w:pPr>
            <w:r>
              <w:rPr>
                <w:sz w:val="20"/>
                <w:szCs w:val="20"/>
              </w:rPr>
              <w:t>Много редки</w:t>
            </w:r>
          </w:p>
        </w:tc>
        <w:tc>
          <w:tcPr>
            <w:tcW w:w="3192" w:type="dxa"/>
          </w:tcPr>
          <w:p w14:paraId="4C03E464" w14:textId="1354E48A" w:rsidR="00A235DC" w:rsidRDefault="00A235DC" w:rsidP="00A235DC">
            <w:pPr>
              <w:rPr>
                <w:rFonts w:eastAsia="Times New Roman" w:cs="Arial"/>
                <w:color w:val="000000"/>
                <w:szCs w:val="20"/>
                <w:lang w:eastAsia="bg-BG"/>
              </w:rPr>
            </w:pPr>
            <w:r>
              <w:rPr>
                <w:sz w:val="20"/>
                <w:szCs w:val="20"/>
              </w:rPr>
              <w:t>Ангиоедем, обрив, уртикария, сърбеж</w:t>
            </w:r>
          </w:p>
        </w:tc>
      </w:tr>
      <w:tr w:rsidR="00A235DC" w14:paraId="6382719B" w14:textId="77777777" w:rsidTr="00A235DC">
        <w:tc>
          <w:tcPr>
            <w:tcW w:w="3192" w:type="dxa"/>
          </w:tcPr>
          <w:p w14:paraId="43BCFE1B" w14:textId="3AD03011" w:rsidR="00A235DC" w:rsidRDefault="00A235DC" w:rsidP="00A235DC">
            <w:pPr>
              <w:rPr>
                <w:rFonts w:eastAsia="Times New Roman" w:cs="Arial"/>
                <w:color w:val="000000"/>
                <w:szCs w:val="20"/>
                <w:lang w:eastAsia="bg-BG"/>
              </w:rPr>
            </w:pPr>
            <w:r>
              <w:rPr>
                <w:sz w:val="20"/>
                <w:szCs w:val="20"/>
              </w:rPr>
              <w:t>Нарушения на мускулно- скелетната система и съединителната тъкан</w:t>
            </w:r>
          </w:p>
        </w:tc>
        <w:tc>
          <w:tcPr>
            <w:tcW w:w="3192" w:type="dxa"/>
          </w:tcPr>
          <w:p w14:paraId="446D3C82" w14:textId="5FD0BCEA" w:rsidR="00A235DC" w:rsidRDefault="00A235DC" w:rsidP="00A235DC">
            <w:pPr>
              <w:rPr>
                <w:rFonts w:eastAsia="Times New Roman" w:cs="Arial"/>
                <w:color w:val="000000"/>
                <w:szCs w:val="20"/>
                <w:lang w:eastAsia="bg-BG"/>
              </w:rPr>
            </w:pPr>
            <w:r>
              <w:rPr>
                <w:sz w:val="20"/>
                <w:szCs w:val="20"/>
              </w:rPr>
              <w:t>Много редки</w:t>
            </w:r>
          </w:p>
        </w:tc>
        <w:tc>
          <w:tcPr>
            <w:tcW w:w="3192" w:type="dxa"/>
          </w:tcPr>
          <w:p w14:paraId="2DB713E1" w14:textId="65EC3472" w:rsidR="00A235DC" w:rsidRDefault="00A235DC" w:rsidP="00A235DC">
            <w:pPr>
              <w:rPr>
                <w:rFonts w:eastAsia="Times New Roman" w:cs="Arial"/>
                <w:color w:val="000000"/>
                <w:szCs w:val="20"/>
                <w:lang w:eastAsia="bg-BG"/>
              </w:rPr>
            </w:pPr>
            <w:r>
              <w:rPr>
                <w:sz w:val="20"/>
                <w:szCs w:val="20"/>
              </w:rPr>
              <w:t>Болки в гърба, артралгия, миалгия</w:t>
            </w:r>
          </w:p>
        </w:tc>
      </w:tr>
      <w:tr w:rsidR="00A235DC" w14:paraId="306E0E36" w14:textId="77777777" w:rsidTr="00A235DC">
        <w:tc>
          <w:tcPr>
            <w:tcW w:w="3192" w:type="dxa"/>
          </w:tcPr>
          <w:p w14:paraId="1E4D4378" w14:textId="31A4F8A5" w:rsidR="00A235DC" w:rsidRDefault="00A235DC" w:rsidP="00A235DC">
            <w:pPr>
              <w:rPr>
                <w:rFonts w:eastAsia="Times New Roman" w:cs="Arial"/>
                <w:color w:val="000000"/>
                <w:szCs w:val="20"/>
                <w:lang w:eastAsia="bg-BG"/>
              </w:rPr>
            </w:pPr>
            <w:r>
              <w:rPr>
                <w:sz w:val="20"/>
                <w:szCs w:val="20"/>
              </w:rPr>
              <w:t>Нарушения на бъбреците и пикочните пътища</w:t>
            </w:r>
          </w:p>
        </w:tc>
        <w:tc>
          <w:tcPr>
            <w:tcW w:w="3192" w:type="dxa"/>
          </w:tcPr>
          <w:p w14:paraId="15220540" w14:textId="20E395C1" w:rsidR="00A235DC" w:rsidRDefault="00A235DC" w:rsidP="00A235DC">
            <w:pPr>
              <w:rPr>
                <w:rFonts w:eastAsia="Times New Roman" w:cs="Arial"/>
                <w:color w:val="000000"/>
                <w:szCs w:val="20"/>
                <w:lang w:eastAsia="bg-BG"/>
              </w:rPr>
            </w:pPr>
            <w:r>
              <w:rPr>
                <w:sz w:val="20"/>
                <w:szCs w:val="20"/>
              </w:rPr>
              <w:t>Много редки</w:t>
            </w:r>
          </w:p>
        </w:tc>
        <w:tc>
          <w:tcPr>
            <w:tcW w:w="3192" w:type="dxa"/>
          </w:tcPr>
          <w:p w14:paraId="553013A2" w14:textId="55F4CF59" w:rsidR="00A235DC" w:rsidRDefault="00A235DC" w:rsidP="00A235DC">
            <w:pPr>
              <w:rPr>
                <w:rFonts w:eastAsia="Times New Roman" w:cs="Arial"/>
                <w:color w:val="000000"/>
                <w:szCs w:val="20"/>
                <w:lang w:eastAsia="bg-BG"/>
              </w:rPr>
            </w:pPr>
            <w:r>
              <w:rPr>
                <w:sz w:val="20"/>
                <w:szCs w:val="20"/>
              </w:rPr>
              <w:t>Бъбречно увреждане, включително бъбречна недостатъчност при податливи пациенти (вижте точка 4.4)</w:t>
            </w:r>
          </w:p>
        </w:tc>
      </w:tr>
    </w:tbl>
    <w:p w14:paraId="593BF910" w14:textId="77777777" w:rsidR="00A235DC" w:rsidRPr="00A235DC" w:rsidRDefault="00A235DC" w:rsidP="00A235DC">
      <w:pPr>
        <w:rPr>
          <w:rFonts w:eastAsia="Times New Roman" w:cs="Arial"/>
          <w:color w:val="000000"/>
          <w:szCs w:val="20"/>
          <w:lang w:eastAsia="bg-BG"/>
        </w:rPr>
      </w:pPr>
    </w:p>
    <w:p w14:paraId="31D6BD4C" w14:textId="1628CA34" w:rsidR="00A235DC" w:rsidRDefault="00A235DC" w:rsidP="00A235DC">
      <w:pPr>
        <w:rPr>
          <w:lang w:eastAsia="bg-BG"/>
        </w:rPr>
      </w:pPr>
      <w:r w:rsidRPr="00A235DC">
        <w:rPr>
          <w:lang w:eastAsia="bg-BG"/>
        </w:rPr>
        <w:lastRenderedPageBreak/>
        <w:t xml:space="preserve">Таблицата по-долу представя нежеланите реакции при монотерапия с хидрохлоротиазид, обикновено при дози от 25 </w:t>
      </w:r>
      <w:r w:rsidRPr="00A235DC">
        <w:rPr>
          <w:lang w:val="en-US"/>
        </w:rPr>
        <w:t>mg</w:t>
      </w:r>
      <w:r w:rsidRPr="00A235DC">
        <w:rPr>
          <w:lang w:val="ru-RU"/>
        </w:rPr>
        <w:t xml:space="preserve"> </w:t>
      </w:r>
      <w:r w:rsidRPr="00A235DC">
        <w:rPr>
          <w:lang w:eastAsia="bg-BG"/>
        </w:rPr>
        <w:t>или повече.</w:t>
      </w:r>
    </w:p>
    <w:p w14:paraId="35E1EC35" w14:textId="372F7363" w:rsidR="00A235DC" w:rsidRDefault="00A235DC" w:rsidP="00A235DC">
      <w:pPr>
        <w:rPr>
          <w:lang w:eastAsia="bg-BG"/>
        </w:rPr>
      </w:pPr>
    </w:p>
    <w:tbl>
      <w:tblPr>
        <w:tblStyle w:val="TableGrid"/>
        <w:tblW w:w="0" w:type="auto"/>
        <w:tblLook w:val="04A0" w:firstRow="1" w:lastRow="0" w:firstColumn="1" w:lastColumn="0" w:noHBand="0" w:noVBand="1"/>
      </w:tblPr>
      <w:tblGrid>
        <w:gridCol w:w="3092"/>
        <w:gridCol w:w="3038"/>
        <w:gridCol w:w="3220"/>
      </w:tblGrid>
      <w:tr w:rsidR="00A235DC" w14:paraId="14D2E5B1" w14:textId="77777777" w:rsidTr="00A235DC">
        <w:tc>
          <w:tcPr>
            <w:tcW w:w="3179" w:type="dxa"/>
            <w:vAlign w:val="bottom"/>
          </w:tcPr>
          <w:p w14:paraId="64D2E9D4" w14:textId="73C34F68" w:rsidR="00A235DC" w:rsidRPr="00A235DC" w:rsidRDefault="00A235DC" w:rsidP="00A235DC">
            <w:pPr>
              <w:rPr>
                <w:rFonts w:cs="Arial"/>
              </w:rPr>
            </w:pPr>
            <w:r w:rsidRPr="00A235DC">
              <w:rPr>
                <w:rFonts w:cs="Arial"/>
                <w:b/>
                <w:bCs/>
              </w:rPr>
              <w:t>Системно-органен клас</w:t>
            </w:r>
          </w:p>
        </w:tc>
        <w:tc>
          <w:tcPr>
            <w:tcW w:w="3177" w:type="dxa"/>
            <w:vAlign w:val="bottom"/>
          </w:tcPr>
          <w:p w14:paraId="0A6150F8" w14:textId="26CA4504" w:rsidR="00A235DC" w:rsidRPr="00A235DC" w:rsidRDefault="00A235DC" w:rsidP="00A235DC">
            <w:pPr>
              <w:rPr>
                <w:rFonts w:cs="Arial"/>
              </w:rPr>
            </w:pPr>
            <w:r w:rsidRPr="00A235DC">
              <w:rPr>
                <w:rFonts w:cs="Arial"/>
                <w:b/>
                <w:bCs/>
              </w:rPr>
              <w:t>Честота</w:t>
            </w:r>
          </w:p>
        </w:tc>
        <w:tc>
          <w:tcPr>
            <w:tcW w:w="3220" w:type="dxa"/>
            <w:vAlign w:val="bottom"/>
          </w:tcPr>
          <w:p w14:paraId="526C0399" w14:textId="38C66439" w:rsidR="00A235DC" w:rsidRPr="00A235DC" w:rsidRDefault="00A235DC" w:rsidP="00A235DC">
            <w:pPr>
              <w:rPr>
                <w:rFonts w:cs="Arial"/>
              </w:rPr>
            </w:pPr>
            <w:r w:rsidRPr="00A235DC">
              <w:rPr>
                <w:rFonts w:cs="Arial"/>
                <w:b/>
                <w:bCs/>
              </w:rPr>
              <w:t>Нежелана реакция</w:t>
            </w:r>
          </w:p>
        </w:tc>
      </w:tr>
      <w:tr w:rsidR="00A235DC" w14:paraId="1E70B368" w14:textId="77777777" w:rsidTr="00A235DC">
        <w:tc>
          <w:tcPr>
            <w:tcW w:w="3179" w:type="dxa"/>
            <w:vAlign w:val="bottom"/>
          </w:tcPr>
          <w:p w14:paraId="79C27A5C" w14:textId="2DFFBA45" w:rsidR="00A235DC" w:rsidRPr="00A235DC" w:rsidRDefault="00A235DC" w:rsidP="00A235DC">
            <w:pPr>
              <w:rPr>
                <w:rFonts w:cs="Arial"/>
              </w:rPr>
            </w:pPr>
            <w:r w:rsidRPr="00A235DC">
              <w:rPr>
                <w:rFonts w:cs="Arial"/>
              </w:rPr>
              <w:t>Нарушения на кръвта и лимфната система</w:t>
            </w:r>
          </w:p>
        </w:tc>
        <w:tc>
          <w:tcPr>
            <w:tcW w:w="3177" w:type="dxa"/>
          </w:tcPr>
          <w:p w14:paraId="34DD0B11" w14:textId="4699C18F" w:rsidR="00A235DC" w:rsidRPr="00A235DC" w:rsidRDefault="00A235DC" w:rsidP="00A235DC">
            <w:pPr>
              <w:rPr>
                <w:rFonts w:cs="Arial"/>
              </w:rPr>
            </w:pPr>
            <w:r w:rsidRPr="00A235DC">
              <w:rPr>
                <w:rFonts w:cs="Arial"/>
              </w:rPr>
              <w:t>Редки</w:t>
            </w:r>
          </w:p>
        </w:tc>
        <w:tc>
          <w:tcPr>
            <w:tcW w:w="3220" w:type="dxa"/>
            <w:vAlign w:val="bottom"/>
          </w:tcPr>
          <w:p w14:paraId="1EFE5788" w14:textId="62CE65E7" w:rsidR="00A235DC" w:rsidRPr="00A235DC" w:rsidRDefault="00A235DC" w:rsidP="00A235DC">
            <w:pPr>
              <w:rPr>
                <w:rFonts w:eastAsia="Times New Roman" w:cs="Arial"/>
              </w:rPr>
            </w:pPr>
            <w:r w:rsidRPr="00A235DC">
              <w:rPr>
                <w:rFonts w:cs="Arial"/>
              </w:rPr>
              <w:t xml:space="preserve">Левкопения, неутропения/агранилоцитоза тромбоцитопения, апластична анемия, </w:t>
            </w:r>
            <w:r w:rsidRPr="00A235DC">
              <w:rPr>
                <w:rFonts w:eastAsia="Times New Roman" w:cs="Arial"/>
                <w:color w:val="000000"/>
                <w:lang w:eastAsia="bg-BG"/>
              </w:rPr>
              <w:t>потискане на костния мозък, хемолитична анемия</w:t>
            </w:r>
          </w:p>
        </w:tc>
      </w:tr>
      <w:tr w:rsidR="00A235DC" w14:paraId="25DF5E8D" w14:textId="77777777" w:rsidTr="00200DAB">
        <w:tc>
          <w:tcPr>
            <w:tcW w:w="3179" w:type="dxa"/>
            <w:vAlign w:val="bottom"/>
          </w:tcPr>
          <w:p w14:paraId="649F5CB1" w14:textId="0F7E544A" w:rsidR="00A235DC" w:rsidRPr="00A235DC" w:rsidRDefault="00A235DC" w:rsidP="00A235DC">
            <w:pPr>
              <w:rPr>
                <w:rFonts w:cs="Arial"/>
              </w:rPr>
            </w:pPr>
            <w:r w:rsidRPr="00A235DC">
              <w:rPr>
                <w:rFonts w:cs="Arial"/>
              </w:rPr>
              <w:t>Нарушения на имунната система</w:t>
            </w:r>
          </w:p>
        </w:tc>
        <w:tc>
          <w:tcPr>
            <w:tcW w:w="3177" w:type="dxa"/>
          </w:tcPr>
          <w:p w14:paraId="50B3F02E" w14:textId="7C744EF4" w:rsidR="00A235DC" w:rsidRPr="00A235DC" w:rsidRDefault="00A235DC" w:rsidP="00A235DC">
            <w:pPr>
              <w:rPr>
                <w:rFonts w:cs="Arial"/>
              </w:rPr>
            </w:pPr>
            <w:r w:rsidRPr="00A235DC">
              <w:rPr>
                <w:rFonts w:cs="Arial"/>
              </w:rPr>
              <w:t>Редки</w:t>
            </w:r>
          </w:p>
        </w:tc>
        <w:tc>
          <w:tcPr>
            <w:tcW w:w="3220" w:type="dxa"/>
          </w:tcPr>
          <w:p w14:paraId="2211F48C" w14:textId="1505F010" w:rsidR="00A235DC" w:rsidRPr="00A235DC" w:rsidRDefault="00A235DC" w:rsidP="00A235DC">
            <w:pPr>
              <w:rPr>
                <w:rFonts w:cs="Arial"/>
              </w:rPr>
            </w:pPr>
            <w:r w:rsidRPr="00A235DC">
              <w:rPr>
                <w:rFonts w:cs="Arial"/>
              </w:rPr>
              <w:t>Анафилактични реакции</w:t>
            </w:r>
          </w:p>
        </w:tc>
      </w:tr>
      <w:tr w:rsidR="00A235DC" w14:paraId="23F0420F" w14:textId="77777777" w:rsidTr="00200DAB">
        <w:tc>
          <w:tcPr>
            <w:tcW w:w="3179" w:type="dxa"/>
          </w:tcPr>
          <w:p w14:paraId="053B09D6" w14:textId="1FD74E63" w:rsidR="00A235DC" w:rsidRPr="00A235DC" w:rsidRDefault="00A235DC" w:rsidP="00A235DC">
            <w:pPr>
              <w:rPr>
                <w:rFonts w:cs="Arial"/>
              </w:rPr>
            </w:pPr>
            <w:r w:rsidRPr="00A235DC">
              <w:rPr>
                <w:rFonts w:cs="Arial"/>
              </w:rPr>
              <w:t>Нарушения на метаболизма и храненето</w:t>
            </w:r>
          </w:p>
        </w:tc>
        <w:tc>
          <w:tcPr>
            <w:tcW w:w="3177" w:type="dxa"/>
          </w:tcPr>
          <w:p w14:paraId="44F51C93" w14:textId="21E6E4C3" w:rsidR="00A235DC" w:rsidRPr="00A235DC" w:rsidRDefault="00A235DC" w:rsidP="00A235DC">
            <w:pPr>
              <w:rPr>
                <w:rFonts w:cs="Arial"/>
              </w:rPr>
            </w:pPr>
            <w:r w:rsidRPr="00A235DC">
              <w:rPr>
                <w:rFonts w:cs="Arial"/>
              </w:rPr>
              <w:t>Чести</w:t>
            </w:r>
          </w:p>
        </w:tc>
        <w:tc>
          <w:tcPr>
            <w:tcW w:w="3220" w:type="dxa"/>
            <w:vAlign w:val="bottom"/>
          </w:tcPr>
          <w:p w14:paraId="0A561856" w14:textId="31E2DA8B" w:rsidR="00A235DC" w:rsidRPr="00A235DC" w:rsidRDefault="00A235DC" w:rsidP="00A235DC">
            <w:pPr>
              <w:rPr>
                <w:rFonts w:cs="Arial"/>
              </w:rPr>
            </w:pPr>
            <w:r w:rsidRPr="00A235DC">
              <w:rPr>
                <w:rFonts w:cs="Arial"/>
              </w:rPr>
              <w:t>Хипергликемия, хиперурикемия, електролитно нарушение (включително хипонатриемия и хипокалиемия)</w:t>
            </w:r>
          </w:p>
        </w:tc>
      </w:tr>
      <w:tr w:rsidR="00A235DC" w14:paraId="3A026DA2" w14:textId="77777777" w:rsidTr="00200DAB">
        <w:tc>
          <w:tcPr>
            <w:tcW w:w="3179" w:type="dxa"/>
          </w:tcPr>
          <w:p w14:paraId="5322F05F" w14:textId="66E6C7D5" w:rsidR="00A235DC" w:rsidRPr="00A235DC" w:rsidRDefault="00A235DC" w:rsidP="00A235DC">
            <w:pPr>
              <w:rPr>
                <w:rFonts w:cs="Arial"/>
              </w:rPr>
            </w:pPr>
            <w:r w:rsidRPr="00A235DC">
              <w:rPr>
                <w:rFonts w:cs="Arial"/>
              </w:rPr>
              <w:t>Психични нарушения</w:t>
            </w:r>
          </w:p>
        </w:tc>
        <w:tc>
          <w:tcPr>
            <w:tcW w:w="3177" w:type="dxa"/>
          </w:tcPr>
          <w:p w14:paraId="7E6C4BD1" w14:textId="3E8D1F34" w:rsidR="00A235DC" w:rsidRPr="00A235DC" w:rsidRDefault="00A235DC" w:rsidP="00A235DC">
            <w:pPr>
              <w:rPr>
                <w:rFonts w:cs="Arial"/>
              </w:rPr>
            </w:pPr>
            <w:r w:rsidRPr="00A235DC">
              <w:rPr>
                <w:rFonts w:cs="Arial"/>
              </w:rPr>
              <w:t>Редки</w:t>
            </w:r>
          </w:p>
        </w:tc>
        <w:tc>
          <w:tcPr>
            <w:tcW w:w="3220" w:type="dxa"/>
            <w:vAlign w:val="bottom"/>
          </w:tcPr>
          <w:p w14:paraId="1BA592EE" w14:textId="46F2EC26" w:rsidR="00A235DC" w:rsidRPr="00A235DC" w:rsidRDefault="00A235DC" w:rsidP="00A235DC">
            <w:pPr>
              <w:rPr>
                <w:rFonts w:cs="Arial"/>
              </w:rPr>
            </w:pPr>
            <w:r w:rsidRPr="00A235DC">
              <w:rPr>
                <w:rFonts w:cs="Arial"/>
              </w:rPr>
              <w:t>Нарушения на съня, депресия, безпокойство</w:t>
            </w:r>
          </w:p>
        </w:tc>
      </w:tr>
      <w:tr w:rsidR="00A235DC" w14:paraId="61DCA9AD" w14:textId="77777777" w:rsidTr="00200DAB">
        <w:tc>
          <w:tcPr>
            <w:tcW w:w="3179" w:type="dxa"/>
            <w:vMerge w:val="restart"/>
          </w:tcPr>
          <w:p w14:paraId="0A34AA09" w14:textId="705A5AF9" w:rsidR="00A235DC" w:rsidRPr="00A235DC" w:rsidRDefault="00A235DC" w:rsidP="00A235DC">
            <w:pPr>
              <w:rPr>
                <w:rFonts w:cs="Arial"/>
              </w:rPr>
            </w:pPr>
            <w:r w:rsidRPr="00A235DC">
              <w:rPr>
                <w:rFonts w:cs="Arial"/>
              </w:rPr>
              <w:t>Нарушения на нервната система</w:t>
            </w:r>
          </w:p>
        </w:tc>
        <w:tc>
          <w:tcPr>
            <w:tcW w:w="3177" w:type="dxa"/>
            <w:vAlign w:val="bottom"/>
          </w:tcPr>
          <w:p w14:paraId="216BC801" w14:textId="5560F53F" w:rsidR="00A235DC" w:rsidRPr="00A235DC" w:rsidRDefault="00A235DC" w:rsidP="00A235DC">
            <w:pPr>
              <w:rPr>
                <w:rFonts w:cs="Arial"/>
              </w:rPr>
            </w:pPr>
            <w:r w:rsidRPr="00A235DC">
              <w:rPr>
                <w:rFonts w:cs="Arial"/>
              </w:rPr>
              <w:t>Чести</w:t>
            </w:r>
          </w:p>
        </w:tc>
        <w:tc>
          <w:tcPr>
            <w:tcW w:w="3220" w:type="dxa"/>
            <w:vAlign w:val="bottom"/>
          </w:tcPr>
          <w:p w14:paraId="3EE492B3" w14:textId="03AD5638" w:rsidR="00A235DC" w:rsidRPr="00A235DC" w:rsidRDefault="00A235DC" w:rsidP="00A235DC">
            <w:pPr>
              <w:rPr>
                <w:rFonts w:cs="Arial"/>
              </w:rPr>
            </w:pPr>
            <w:r w:rsidRPr="00A235DC">
              <w:rPr>
                <w:rFonts w:cs="Arial"/>
              </w:rPr>
              <w:t>Замаяност, световъртеж</w:t>
            </w:r>
          </w:p>
        </w:tc>
      </w:tr>
      <w:tr w:rsidR="00A235DC" w14:paraId="5F44DAFF" w14:textId="77777777" w:rsidTr="00200DAB">
        <w:tc>
          <w:tcPr>
            <w:tcW w:w="3179" w:type="dxa"/>
            <w:vMerge/>
          </w:tcPr>
          <w:p w14:paraId="69664B14" w14:textId="77777777" w:rsidR="00A235DC" w:rsidRPr="00A235DC" w:rsidRDefault="00A235DC" w:rsidP="00A235DC">
            <w:pPr>
              <w:rPr>
                <w:rFonts w:cs="Arial"/>
              </w:rPr>
            </w:pPr>
          </w:p>
        </w:tc>
        <w:tc>
          <w:tcPr>
            <w:tcW w:w="3177" w:type="dxa"/>
            <w:vAlign w:val="bottom"/>
          </w:tcPr>
          <w:p w14:paraId="145B3A6D" w14:textId="2BD15E23" w:rsidR="00A235DC" w:rsidRPr="00A235DC" w:rsidRDefault="00A235DC" w:rsidP="00A235DC">
            <w:pPr>
              <w:rPr>
                <w:rFonts w:cs="Arial"/>
              </w:rPr>
            </w:pPr>
            <w:r w:rsidRPr="00A235DC">
              <w:rPr>
                <w:rFonts w:cs="Arial"/>
              </w:rPr>
              <w:t>Редки</w:t>
            </w:r>
          </w:p>
        </w:tc>
        <w:tc>
          <w:tcPr>
            <w:tcW w:w="3220" w:type="dxa"/>
            <w:vAlign w:val="bottom"/>
          </w:tcPr>
          <w:p w14:paraId="0ADD1A41" w14:textId="1A153C9C" w:rsidR="00A235DC" w:rsidRPr="00A235DC" w:rsidRDefault="00A235DC" w:rsidP="00A235DC">
            <w:pPr>
              <w:rPr>
                <w:rFonts w:cs="Arial"/>
              </w:rPr>
            </w:pPr>
            <w:r w:rsidRPr="00A235DC">
              <w:rPr>
                <w:rFonts w:cs="Arial"/>
              </w:rPr>
              <w:t>Парестезия</w:t>
            </w:r>
          </w:p>
        </w:tc>
      </w:tr>
      <w:tr w:rsidR="00A235DC" w14:paraId="6977F97E" w14:textId="77777777" w:rsidTr="00200DAB">
        <w:tc>
          <w:tcPr>
            <w:tcW w:w="3179" w:type="dxa"/>
            <w:vMerge w:val="restart"/>
          </w:tcPr>
          <w:p w14:paraId="6F9248FE" w14:textId="3BC2E29F" w:rsidR="00A235DC" w:rsidRPr="00A235DC" w:rsidRDefault="00A235DC" w:rsidP="00A235DC">
            <w:pPr>
              <w:rPr>
                <w:rFonts w:cs="Arial"/>
              </w:rPr>
            </w:pPr>
            <w:r w:rsidRPr="00A235DC">
              <w:rPr>
                <w:rFonts w:cs="Arial"/>
              </w:rPr>
              <w:t>Нарушения на очите</w:t>
            </w:r>
          </w:p>
        </w:tc>
        <w:tc>
          <w:tcPr>
            <w:tcW w:w="3177" w:type="dxa"/>
            <w:vAlign w:val="bottom"/>
          </w:tcPr>
          <w:p w14:paraId="5A0728BD" w14:textId="3E7CBF36" w:rsidR="00A235DC" w:rsidRPr="00A235DC" w:rsidRDefault="00A235DC" w:rsidP="00A235DC">
            <w:pPr>
              <w:rPr>
                <w:rFonts w:cs="Arial"/>
              </w:rPr>
            </w:pPr>
            <w:r w:rsidRPr="00A235DC">
              <w:rPr>
                <w:rFonts w:cs="Arial"/>
              </w:rPr>
              <w:t>Редки</w:t>
            </w:r>
          </w:p>
        </w:tc>
        <w:tc>
          <w:tcPr>
            <w:tcW w:w="3220" w:type="dxa"/>
            <w:vAlign w:val="bottom"/>
          </w:tcPr>
          <w:p w14:paraId="5FB2CD39" w14:textId="52C03F1A" w:rsidR="00A235DC" w:rsidRPr="00A235DC" w:rsidRDefault="00A235DC" w:rsidP="00A235DC">
            <w:pPr>
              <w:rPr>
                <w:rFonts w:cs="Arial"/>
              </w:rPr>
            </w:pPr>
            <w:r w:rsidRPr="00A235DC">
              <w:rPr>
                <w:rFonts w:cs="Arial"/>
              </w:rPr>
              <w:t>Преходно замъглено виждане</w:t>
            </w:r>
          </w:p>
        </w:tc>
      </w:tr>
      <w:tr w:rsidR="00A235DC" w14:paraId="352D4EA2" w14:textId="77777777" w:rsidTr="00200DAB">
        <w:tc>
          <w:tcPr>
            <w:tcW w:w="3179" w:type="dxa"/>
            <w:vMerge/>
          </w:tcPr>
          <w:p w14:paraId="3AAB454B" w14:textId="77777777" w:rsidR="00A235DC" w:rsidRPr="00A235DC" w:rsidRDefault="00A235DC" w:rsidP="00A235DC">
            <w:pPr>
              <w:rPr>
                <w:rFonts w:cs="Arial"/>
              </w:rPr>
            </w:pPr>
          </w:p>
        </w:tc>
        <w:tc>
          <w:tcPr>
            <w:tcW w:w="3177" w:type="dxa"/>
            <w:vAlign w:val="bottom"/>
          </w:tcPr>
          <w:p w14:paraId="578E2503" w14:textId="3441A309" w:rsidR="00A235DC" w:rsidRPr="00A235DC" w:rsidRDefault="00A235DC" w:rsidP="00A235DC">
            <w:pPr>
              <w:rPr>
                <w:rFonts w:cs="Arial"/>
              </w:rPr>
            </w:pPr>
            <w:r w:rsidRPr="00A235DC">
              <w:rPr>
                <w:rFonts w:cs="Arial"/>
              </w:rPr>
              <w:t>С неизвестна честота</w:t>
            </w:r>
          </w:p>
        </w:tc>
        <w:tc>
          <w:tcPr>
            <w:tcW w:w="3220" w:type="dxa"/>
            <w:vAlign w:val="bottom"/>
          </w:tcPr>
          <w:p w14:paraId="032ECAF8" w14:textId="55185AE6" w:rsidR="00A235DC" w:rsidRPr="00A235DC" w:rsidRDefault="00A235DC" w:rsidP="00A235DC">
            <w:pPr>
              <w:rPr>
                <w:rFonts w:cs="Arial"/>
              </w:rPr>
            </w:pPr>
            <w:r w:rsidRPr="00A235DC">
              <w:rPr>
                <w:rFonts w:cs="Arial"/>
              </w:rPr>
              <w:t>Хороидален излив, остра миопия, остра закритоъгълна глаукома</w:t>
            </w:r>
          </w:p>
        </w:tc>
      </w:tr>
      <w:tr w:rsidR="00A235DC" w14:paraId="1CD3087F" w14:textId="77777777" w:rsidTr="00200DAB">
        <w:tc>
          <w:tcPr>
            <w:tcW w:w="3179" w:type="dxa"/>
            <w:vAlign w:val="bottom"/>
          </w:tcPr>
          <w:p w14:paraId="262E5BB8" w14:textId="22640019" w:rsidR="00A235DC" w:rsidRPr="00A235DC" w:rsidRDefault="00A235DC" w:rsidP="00A235DC">
            <w:pPr>
              <w:rPr>
                <w:rFonts w:cs="Arial"/>
              </w:rPr>
            </w:pPr>
            <w:r w:rsidRPr="00A235DC">
              <w:rPr>
                <w:rFonts w:cs="Arial"/>
              </w:rPr>
              <w:t>Сърдечни нарушения</w:t>
            </w:r>
          </w:p>
        </w:tc>
        <w:tc>
          <w:tcPr>
            <w:tcW w:w="3177" w:type="dxa"/>
            <w:vAlign w:val="bottom"/>
          </w:tcPr>
          <w:p w14:paraId="5B817B88" w14:textId="7164910D" w:rsidR="00A235DC" w:rsidRPr="00A235DC" w:rsidRDefault="00A235DC" w:rsidP="00A235DC">
            <w:pPr>
              <w:rPr>
                <w:rFonts w:cs="Arial"/>
              </w:rPr>
            </w:pPr>
            <w:r w:rsidRPr="00A235DC">
              <w:rPr>
                <w:rFonts w:cs="Arial"/>
              </w:rPr>
              <w:t>Редки</w:t>
            </w:r>
          </w:p>
        </w:tc>
        <w:tc>
          <w:tcPr>
            <w:tcW w:w="3220" w:type="dxa"/>
            <w:vAlign w:val="bottom"/>
          </w:tcPr>
          <w:p w14:paraId="116CFA82" w14:textId="3A1D94FC" w:rsidR="00A235DC" w:rsidRPr="00A235DC" w:rsidRDefault="00A235DC" w:rsidP="00A235DC">
            <w:pPr>
              <w:rPr>
                <w:rFonts w:cs="Arial"/>
              </w:rPr>
            </w:pPr>
            <w:r w:rsidRPr="00A235DC">
              <w:rPr>
                <w:rFonts w:cs="Arial"/>
              </w:rPr>
              <w:t>Сърдечна аритмия</w:t>
            </w:r>
          </w:p>
        </w:tc>
      </w:tr>
      <w:tr w:rsidR="00A235DC" w14:paraId="0FB7CC08" w14:textId="77777777" w:rsidTr="00647591">
        <w:trPr>
          <w:trHeight w:val="127"/>
        </w:trPr>
        <w:tc>
          <w:tcPr>
            <w:tcW w:w="3179" w:type="dxa"/>
            <w:vMerge w:val="restart"/>
          </w:tcPr>
          <w:p w14:paraId="66F9BD9C" w14:textId="1A938DA3" w:rsidR="00A235DC" w:rsidRPr="00A235DC" w:rsidRDefault="00A235DC" w:rsidP="00A235DC">
            <w:pPr>
              <w:rPr>
                <w:rFonts w:cs="Arial"/>
              </w:rPr>
            </w:pPr>
            <w:r w:rsidRPr="00A235DC">
              <w:rPr>
                <w:rFonts w:cs="Arial"/>
              </w:rPr>
              <w:t>Съдови нарушения</w:t>
            </w:r>
          </w:p>
        </w:tc>
        <w:tc>
          <w:tcPr>
            <w:tcW w:w="3177" w:type="dxa"/>
            <w:vAlign w:val="bottom"/>
          </w:tcPr>
          <w:p w14:paraId="15EC02D5" w14:textId="29AD7890" w:rsidR="00A235DC" w:rsidRPr="00A235DC" w:rsidRDefault="00A235DC" w:rsidP="00A235DC">
            <w:pPr>
              <w:rPr>
                <w:rFonts w:cs="Arial"/>
              </w:rPr>
            </w:pPr>
            <w:r w:rsidRPr="00A235DC">
              <w:rPr>
                <w:rFonts w:cs="Arial"/>
              </w:rPr>
              <w:t>Нечести</w:t>
            </w:r>
          </w:p>
        </w:tc>
        <w:tc>
          <w:tcPr>
            <w:tcW w:w="3220" w:type="dxa"/>
            <w:vAlign w:val="bottom"/>
          </w:tcPr>
          <w:p w14:paraId="1A357435" w14:textId="7EF6F7B0" w:rsidR="00A235DC" w:rsidRPr="00A235DC" w:rsidRDefault="00A235DC" w:rsidP="00A235DC">
            <w:pPr>
              <w:rPr>
                <w:rFonts w:cs="Arial"/>
              </w:rPr>
            </w:pPr>
            <w:r w:rsidRPr="00A235DC">
              <w:rPr>
                <w:rFonts w:cs="Arial"/>
              </w:rPr>
              <w:t>Постурална хипотония</w:t>
            </w:r>
          </w:p>
        </w:tc>
      </w:tr>
      <w:tr w:rsidR="00A235DC" w14:paraId="07A7709B" w14:textId="77777777" w:rsidTr="00647591">
        <w:tc>
          <w:tcPr>
            <w:tcW w:w="3179" w:type="dxa"/>
            <w:vMerge/>
          </w:tcPr>
          <w:p w14:paraId="191AF9EB" w14:textId="77777777" w:rsidR="00A235DC" w:rsidRPr="00A235DC" w:rsidRDefault="00A235DC" w:rsidP="00A235DC">
            <w:pPr>
              <w:rPr>
                <w:rFonts w:cs="Arial"/>
              </w:rPr>
            </w:pPr>
          </w:p>
        </w:tc>
        <w:tc>
          <w:tcPr>
            <w:tcW w:w="3177" w:type="dxa"/>
          </w:tcPr>
          <w:p w14:paraId="3AF269E3" w14:textId="638910CC" w:rsidR="00A235DC" w:rsidRPr="00A235DC" w:rsidRDefault="00A235DC" w:rsidP="00A235DC">
            <w:pPr>
              <w:rPr>
                <w:rFonts w:cs="Arial"/>
              </w:rPr>
            </w:pPr>
            <w:r w:rsidRPr="00A235DC">
              <w:rPr>
                <w:rFonts w:cs="Arial"/>
              </w:rPr>
              <w:t>Редки</w:t>
            </w:r>
          </w:p>
        </w:tc>
        <w:tc>
          <w:tcPr>
            <w:tcW w:w="3220" w:type="dxa"/>
            <w:vAlign w:val="bottom"/>
          </w:tcPr>
          <w:p w14:paraId="00D5082E" w14:textId="1C5657AD" w:rsidR="00A235DC" w:rsidRPr="00A235DC" w:rsidRDefault="00A235DC" w:rsidP="00A235DC">
            <w:pPr>
              <w:rPr>
                <w:rFonts w:cs="Arial"/>
              </w:rPr>
            </w:pPr>
            <w:r w:rsidRPr="00A235DC">
              <w:rPr>
                <w:rFonts w:cs="Arial"/>
              </w:rPr>
              <w:t>Некротизиращ ангиит (васкулит, кожен васкулит)</w:t>
            </w:r>
          </w:p>
        </w:tc>
      </w:tr>
      <w:tr w:rsidR="00A235DC" w14:paraId="1F32374A" w14:textId="77777777" w:rsidTr="00647591">
        <w:tc>
          <w:tcPr>
            <w:tcW w:w="3179" w:type="dxa"/>
            <w:vMerge w:val="restart"/>
          </w:tcPr>
          <w:p w14:paraId="3D979E03" w14:textId="376E3B19" w:rsidR="00A235DC" w:rsidRPr="00A235DC" w:rsidRDefault="00A235DC" w:rsidP="00A235DC">
            <w:pPr>
              <w:rPr>
                <w:rFonts w:cs="Arial"/>
              </w:rPr>
            </w:pPr>
            <w:r w:rsidRPr="00A235DC">
              <w:rPr>
                <w:rFonts w:cs="Arial"/>
              </w:rPr>
              <w:t>Респираторни, гръдни и медиастинални нарушения</w:t>
            </w:r>
          </w:p>
        </w:tc>
        <w:tc>
          <w:tcPr>
            <w:tcW w:w="3177" w:type="dxa"/>
          </w:tcPr>
          <w:p w14:paraId="7C95A4CD" w14:textId="1ADE1137" w:rsidR="00A235DC" w:rsidRPr="00A235DC" w:rsidRDefault="00A235DC" w:rsidP="00A235DC">
            <w:pPr>
              <w:rPr>
                <w:rFonts w:cs="Arial"/>
              </w:rPr>
            </w:pPr>
            <w:r w:rsidRPr="00A235DC">
              <w:rPr>
                <w:rFonts w:cs="Arial"/>
              </w:rPr>
              <w:t>Редки</w:t>
            </w:r>
          </w:p>
        </w:tc>
        <w:tc>
          <w:tcPr>
            <w:tcW w:w="3220" w:type="dxa"/>
            <w:vAlign w:val="bottom"/>
          </w:tcPr>
          <w:p w14:paraId="13E04E8D" w14:textId="54472A5E" w:rsidR="00A235DC" w:rsidRPr="00A235DC" w:rsidRDefault="00A235DC" w:rsidP="00A235DC">
            <w:pPr>
              <w:rPr>
                <w:rFonts w:cs="Arial"/>
              </w:rPr>
            </w:pPr>
            <w:r w:rsidRPr="00A235DC">
              <w:rPr>
                <w:rFonts w:cs="Arial"/>
              </w:rPr>
              <w:t>Респираторен дистрес (включително пневмонит и белодробен оток)</w:t>
            </w:r>
          </w:p>
        </w:tc>
      </w:tr>
      <w:tr w:rsidR="00A235DC" w14:paraId="18E485D4" w14:textId="77777777" w:rsidTr="00647591">
        <w:tc>
          <w:tcPr>
            <w:tcW w:w="3179" w:type="dxa"/>
            <w:vMerge/>
          </w:tcPr>
          <w:p w14:paraId="647FD0F8" w14:textId="77777777" w:rsidR="00A235DC" w:rsidRPr="00A235DC" w:rsidRDefault="00A235DC" w:rsidP="00A235DC">
            <w:pPr>
              <w:rPr>
                <w:rFonts w:cs="Arial"/>
              </w:rPr>
            </w:pPr>
          </w:p>
        </w:tc>
        <w:tc>
          <w:tcPr>
            <w:tcW w:w="3177" w:type="dxa"/>
          </w:tcPr>
          <w:p w14:paraId="1680B80D" w14:textId="49314B9D" w:rsidR="00A235DC" w:rsidRPr="00A235DC" w:rsidRDefault="00A235DC" w:rsidP="00A235DC">
            <w:pPr>
              <w:rPr>
                <w:rFonts w:cs="Arial"/>
              </w:rPr>
            </w:pPr>
            <w:r w:rsidRPr="00A235DC">
              <w:rPr>
                <w:rFonts w:cs="Arial"/>
              </w:rPr>
              <w:t>Много редки</w:t>
            </w:r>
          </w:p>
        </w:tc>
        <w:tc>
          <w:tcPr>
            <w:tcW w:w="3220" w:type="dxa"/>
            <w:vAlign w:val="bottom"/>
          </w:tcPr>
          <w:p w14:paraId="63218B29" w14:textId="032E9C5B" w:rsidR="00A235DC" w:rsidRPr="00A235DC" w:rsidRDefault="00A235DC" w:rsidP="00A235DC">
            <w:pPr>
              <w:rPr>
                <w:rFonts w:cs="Arial"/>
              </w:rPr>
            </w:pPr>
            <w:r w:rsidRPr="00A235DC">
              <w:rPr>
                <w:rFonts w:cs="Arial"/>
              </w:rPr>
              <w:t xml:space="preserve">Остър респираторен дистрес синдром </w:t>
            </w:r>
            <w:r w:rsidRPr="00A235DC">
              <w:rPr>
                <w:rFonts w:cs="Arial"/>
                <w:lang w:val="ru-RU"/>
              </w:rPr>
              <w:t>(</w:t>
            </w:r>
            <w:r w:rsidRPr="00A235DC">
              <w:rPr>
                <w:rFonts w:cs="Arial"/>
                <w:lang w:val="en-US"/>
              </w:rPr>
              <w:t>ARDS</w:t>
            </w:r>
            <w:r w:rsidRPr="00A235DC">
              <w:rPr>
                <w:rFonts w:cs="Arial"/>
                <w:lang w:val="ru-RU"/>
              </w:rPr>
              <w:t xml:space="preserve">) </w:t>
            </w:r>
            <w:r w:rsidRPr="00A235DC">
              <w:rPr>
                <w:rFonts w:cs="Arial"/>
              </w:rPr>
              <w:t>(вж. точка 4.4)</w:t>
            </w:r>
          </w:p>
        </w:tc>
      </w:tr>
      <w:tr w:rsidR="00A235DC" w14:paraId="62D07508" w14:textId="77777777" w:rsidTr="00647591">
        <w:tc>
          <w:tcPr>
            <w:tcW w:w="3179" w:type="dxa"/>
            <w:vMerge w:val="restart"/>
          </w:tcPr>
          <w:p w14:paraId="11EED901" w14:textId="2E310C20" w:rsidR="00A235DC" w:rsidRPr="00A235DC" w:rsidRDefault="00A235DC" w:rsidP="00A235DC">
            <w:pPr>
              <w:rPr>
                <w:rFonts w:cs="Arial"/>
              </w:rPr>
            </w:pPr>
            <w:r w:rsidRPr="00A235DC">
              <w:rPr>
                <w:rFonts w:cs="Arial"/>
              </w:rPr>
              <w:t>Стомашно-чревни нарушения</w:t>
            </w:r>
          </w:p>
        </w:tc>
        <w:tc>
          <w:tcPr>
            <w:tcW w:w="3177" w:type="dxa"/>
          </w:tcPr>
          <w:p w14:paraId="1307BDAE" w14:textId="2AAB02E4" w:rsidR="00A235DC" w:rsidRPr="00A235DC" w:rsidRDefault="00A235DC" w:rsidP="00A235DC">
            <w:pPr>
              <w:rPr>
                <w:rFonts w:cs="Arial"/>
              </w:rPr>
            </w:pPr>
            <w:r w:rsidRPr="00A235DC">
              <w:rPr>
                <w:rFonts w:cs="Arial"/>
              </w:rPr>
              <w:t>Нечести</w:t>
            </w:r>
          </w:p>
        </w:tc>
        <w:tc>
          <w:tcPr>
            <w:tcW w:w="3220" w:type="dxa"/>
            <w:vAlign w:val="bottom"/>
          </w:tcPr>
          <w:p w14:paraId="2B04662C" w14:textId="7D9AB872" w:rsidR="00A235DC" w:rsidRPr="00A235DC" w:rsidRDefault="00A235DC" w:rsidP="00A235DC">
            <w:pPr>
              <w:rPr>
                <w:rFonts w:cs="Arial"/>
              </w:rPr>
            </w:pPr>
            <w:r w:rsidRPr="00A235DC">
              <w:rPr>
                <w:rFonts w:cs="Arial"/>
              </w:rPr>
              <w:t>Анорексия, загуба на апетит, стомашно дразнене, диария, запек</w:t>
            </w:r>
          </w:p>
        </w:tc>
      </w:tr>
      <w:tr w:rsidR="00A235DC" w14:paraId="216449B2" w14:textId="77777777" w:rsidTr="00647591">
        <w:tc>
          <w:tcPr>
            <w:tcW w:w="3179" w:type="dxa"/>
            <w:vMerge/>
          </w:tcPr>
          <w:p w14:paraId="7226A5F2" w14:textId="77777777" w:rsidR="00A235DC" w:rsidRPr="00A235DC" w:rsidRDefault="00A235DC" w:rsidP="00A235DC">
            <w:pPr>
              <w:rPr>
                <w:rFonts w:cs="Arial"/>
              </w:rPr>
            </w:pPr>
          </w:p>
        </w:tc>
        <w:tc>
          <w:tcPr>
            <w:tcW w:w="3177" w:type="dxa"/>
            <w:vAlign w:val="bottom"/>
          </w:tcPr>
          <w:p w14:paraId="4FB92049" w14:textId="33A2E287" w:rsidR="00A235DC" w:rsidRPr="00A235DC" w:rsidRDefault="00A235DC" w:rsidP="00A235DC">
            <w:pPr>
              <w:rPr>
                <w:rFonts w:cs="Arial"/>
              </w:rPr>
            </w:pPr>
            <w:r w:rsidRPr="00A235DC">
              <w:rPr>
                <w:rFonts w:cs="Arial"/>
              </w:rPr>
              <w:t>Редки</w:t>
            </w:r>
          </w:p>
        </w:tc>
        <w:tc>
          <w:tcPr>
            <w:tcW w:w="3220" w:type="dxa"/>
            <w:vAlign w:val="bottom"/>
          </w:tcPr>
          <w:p w14:paraId="0C18759A" w14:textId="0AD92B4A" w:rsidR="00A235DC" w:rsidRPr="00A235DC" w:rsidRDefault="00A235DC" w:rsidP="00A235DC">
            <w:pPr>
              <w:rPr>
                <w:rFonts w:cs="Arial"/>
              </w:rPr>
            </w:pPr>
            <w:r w:rsidRPr="00A235DC">
              <w:rPr>
                <w:rFonts w:cs="Arial"/>
              </w:rPr>
              <w:t>Панкреатит</w:t>
            </w:r>
          </w:p>
        </w:tc>
      </w:tr>
      <w:tr w:rsidR="00A235DC" w14:paraId="10853025" w14:textId="77777777" w:rsidTr="00647591">
        <w:tc>
          <w:tcPr>
            <w:tcW w:w="3179" w:type="dxa"/>
            <w:vAlign w:val="bottom"/>
          </w:tcPr>
          <w:p w14:paraId="1F6C06B6" w14:textId="485E6BFB" w:rsidR="00A235DC" w:rsidRPr="00A235DC" w:rsidRDefault="00A235DC" w:rsidP="00A235DC">
            <w:pPr>
              <w:rPr>
                <w:rFonts w:cs="Arial"/>
              </w:rPr>
            </w:pPr>
            <w:r w:rsidRPr="00A235DC">
              <w:rPr>
                <w:rFonts w:cs="Arial"/>
              </w:rPr>
              <w:t>Хепатобилиарни нарушения</w:t>
            </w:r>
          </w:p>
        </w:tc>
        <w:tc>
          <w:tcPr>
            <w:tcW w:w="3177" w:type="dxa"/>
          </w:tcPr>
          <w:p w14:paraId="0E4A2DD1" w14:textId="69615B91" w:rsidR="00A235DC" w:rsidRPr="00A235DC" w:rsidRDefault="00A235DC" w:rsidP="00A235DC">
            <w:pPr>
              <w:rPr>
                <w:rFonts w:cs="Arial"/>
              </w:rPr>
            </w:pPr>
            <w:r w:rsidRPr="00A235DC">
              <w:rPr>
                <w:rFonts w:cs="Arial"/>
              </w:rPr>
              <w:t>Редки</w:t>
            </w:r>
          </w:p>
        </w:tc>
        <w:tc>
          <w:tcPr>
            <w:tcW w:w="3220" w:type="dxa"/>
            <w:vAlign w:val="bottom"/>
          </w:tcPr>
          <w:p w14:paraId="4ECC5928" w14:textId="5702AC48" w:rsidR="00A235DC" w:rsidRPr="00A235DC" w:rsidRDefault="00A235DC" w:rsidP="00A235DC">
            <w:pPr>
              <w:rPr>
                <w:rFonts w:cs="Arial"/>
              </w:rPr>
            </w:pPr>
            <w:r w:rsidRPr="00A235DC">
              <w:rPr>
                <w:rFonts w:cs="Arial"/>
              </w:rPr>
              <w:t>Жълтеница (интрахепатална холестатична жълтеница)</w:t>
            </w:r>
          </w:p>
        </w:tc>
      </w:tr>
      <w:tr w:rsidR="00A235DC" w14:paraId="6AEEB2E8" w14:textId="77777777" w:rsidTr="007B2D00">
        <w:trPr>
          <w:trHeight w:val="115"/>
        </w:trPr>
        <w:tc>
          <w:tcPr>
            <w:tcW w:w="3179" w:type="dxa"/>
            <w:vMerge w:val="restart"/>
          </w:tcPr>
          <w:p w14:paraId="6094C266" w14:textId="1F6C9DF5" w:rsidR="00A235DC" w:rsidRPr="00A235DC" w:rsidRDefault="00A235DC" w:rsidP="00A235DC">
            <w:pPr>
              <w:rPr>
                <w:rFonts w:cs="Arial"/>
              </w:rPr>
            </w:pPr>
            <w:r w:rsidRPr="00A235DC">
              <w:rPr>
                <w:rFonts w:cs="Arial"/>
              </w:rPr>
              <w:t>Нарушения на кожата и подкожната тъкан</w:t>
            </w:r>
          </w:p>
        </w:tc>
        <w:tc>
          <w:tcPr>
            <w:tcW w:w="3177" w:type="dxa"/>
          </w:tcPr>
          <w:p w14:paraId="45F29D6B" w14:textId="24F4726F" w:rsidR="00A235DC" w:rsidRPr="00A235DC" w:rsidRDefault="00A235DC" w:rsidP="00A235DC">
            <w:pPr>
              <w:rPr>
                <w:rFonts w:cs="Arial"/>
              </w:rPr>
            </w:pPr>
            <w:r w:rsidRPr="00A235DC">
              <w:rPr>
                <w:rFonts w:cs="Arial"/>
              </w:rPr>
              <w:t>Нечести</w:t>
            </w:r>
          </w:p>
        </w:tc>
        <w:tc>
          <w:tcPr>
            <w:tcW w:w="3220" w:type="dxa"/>
            <w:vAlign w:val="bottom"/>
          </w:tcPr>
          <w:p w14:paraId="078DEDF6" w14:textId="50D6C92A" w:rsidR="00A235DC" w:rsidRPr="00A235DC" w:rsidRDefault="00A235DC" w:rsidP="00A235DC">
            <w:pPr>
              <w:rPr>
                <w:rFonts w:cs="Arial"/>
              </w:rPr>
            </w:pPr>
            <w:r w:rsidRPr="00A235DC">
              <w:rPr>
                <w:rFonts w:cs="Arial"/>
              </w:rPr>
              <w:t>Обрив, уртикария, реакции на фоточувствителност</w:t>
            </w:r>
          </w:p>
        </w:tc>
      </w:tr>
      <w:tr w:rsidR="00A235DC" w14:paraId="6ACF1594" w14:textId="77777777" w:rsidTr="007B2D00">
        <w:tc>
          <w:tcPr>
            <w:tcW w:w="3179" w:type="dxa"/>
            <w:vMerge/>
          </w:tcPr>
          <w:p w14:paraId="6252657E" w14:textId="77777777" w:rsidR="00A235DC" w:rsidRPr="00A235DC" w:rsidRDefault="00A235DC" w:rsidP="00A235DC">
            <w:pPr>
              <w:rPr>
                <w:rFonts w:cs="Arial"/>
              </w:rPr>
            </w:pPr>
          </w:p>
        </w:tc>
        <w:tc>
          <w:tcPr>
            <w:tcW w:w="3177" w:type="dxa"/>
            <w:vAlign w:val="bottom"/>
          </w:tcPr>
          <w:p w14:paraId="0E0C6C51" w14:textId="5AF03CFA" w:rsidR="00A235DC" w:rsidRPr="00A235DC" w:rsidRDefault="00A235DC" w:rsidP="00A235DC">
            <w:pPr>
              <w:rPr>
                <w:rFonts w:cs="Arial"/>
              </w:rPr>
            </w:pPr>
            <w:r w:rsidRPr="00A235DC">
              <w:rPr>
                <w:rFonts w:cs="Arial"/>
              </w:rPr>
              <w:t>Редки</w:t>
            </w:r>
          </w:p>
        </w:tc>
        <w:tc>
          <w:tcPr>
            <w:tcW w:w="3220" w:type="dxa"/>
            <w:vAlign w:val="bottom"/>
          </w:tcPr>
          <w:p w14:paraId="0DA4153A" w14:textId="4D60322A" w:rsidR="00A235DC" w:rsidRPr="00A235DC" w:rsidRDefault="00A235DC" w:rsidP="00A235DC">
            <w:pPr>
              <w:rPr>
                <w:rFonts w:cs="Arial"/>
              </w:rPr>
            </w:pPr>
            <w:r w:rsidRPr="00A235DC">
              <w:rPr>
                <w:rFonts w:cs="Arial"/>
              </w:rPr>
              <w:t>Токсична епидермална некролиза</w:t>
            </w:r>
          </w:p>
        </w:tc>
      </w:tr>
      <w:tr w:rsidR="00A235DC" w14:paraId="408732F6" w14:textId="77777777" w:rsidTr="007B2D00">
        <w:tc>
          <w:tcPr>
            <w:tcW w:w="3179" w:type="dxa"/>
            <w:vMerge/>
          </w:tcPr>
          <w:p w14:paraId="257BC1DC" w14:textId="77777777" w:rsidR="00A235DC" w:rsidRPr="00A235DC" w:rsidRDefault="00A235DC" w:rsidP="00A235DC">
            <w:pPr>
              <w:rPr>
                <w:rFonts w:cs="Arial"/>
              </w:rPr>
            </w:pPr>
          </w:p>
        </w:tc>
        <w:tc>
          <w:tcPr>
            <w:tcW w:w="3177" w:type="dxa"/>
            <w:vAlign w:val="bottom"/>
          </w:tcPr>
          <w:p w14:paraId="17C8C867" w14:textId="7E714BF2" w:rsidR="00A235DC" w:rsidRPr="00A235DC" w:rsidRDefault="00A235DC" w:rsidP="00A235DC">
            <w:pPr>
              <w:rPr>
                <w:rFonts w:cs="Arial"/>
              </w:rPr>
            </w:pPr>
            <w:r w:rsidRPr="00A235DC">
              <w:rPr>
                <w:rFonts w:cs="Arial"/>
              </w:rPr>
              <w:t>С неизвестна честота</w:t>
            </w:r>
          </w:p>
        </w:tc>
        <w:tc>
          <w:tcPr>
            <w:tcW w:w="3220" w:type="dxa"/>
            <w:vAlign w:val="bottom"/>
          </w:tcPr>
          <w:p w14:paraId="0CBCC2BB" w14:textId="5B7B892F" w:rsidR="00A235DC" w:rsidRPr="00A235DC" w:rsidRDefault="00A235DC" w:rsidP="00A235DC">
            <w:pPr>
              <w:rPr>
                <w:rFonts w:cs="Arial"/>
              </w:rPr>
            </w:pPr>
            <w:r w:rsidRPr="00A235DC">
              <w:rPr>
                <w:rFonts w:cs="Arial"/>
              </w:rPr>
              <w:t>Системен лупус еритематозус, кожен лупус еритематозус</w:t>
            </w:r>
          </w:p>
        </w:tc>
      </w:tr>
      <w:tr w:rsidR="00A235DC" w14:paraId="063F7A36" w14:textId="77777777" w:rsidTr="007B2D00">
        <w:tc>
          <w:tcPr>
            <w:tcW w:w="3179" w:type="dxa"/>
            <w:vAlign w:val="bottom"/>
          </w:tcPr>
          <w:p w14:paraId="1DBAD598" w14:textId="2D4ABD19" w:rsidR="00A235DC" w:rsidRPr="00A235DC" w:rsidRDefault="00A235DC" w:rsidP="00A235DC">
            <w:pPr>
              <w:rPr>
                <w:rFonts w:cs="Arial"/>
              </w:rPr>
            </w:pPr>
            <w:r w:rsidRPr="00A235DC">
              <w:rPr>
                <w:rFonts w:cs="Arial"/>
              </w:rPr>
              <w:t>Нарушения на мускулно- скелетната система и съединителната тъкан</w:t>
            </w:r>
          </w:p>
        </w:tc>
        <w:tc>
          <w:tcPr>
            <w:tcW w:w="3177" w:type="dxa"/>
          </w:tcPr>
          <w:p w14:paraId="23A0F3F9" w14:textId="27452693" w:rsidR="00A235DC" w:rsidRPr="00A235DC" w:rsidRDefault="00A235DC" w:rsidP="00A235DC">
            <w:pPr>
              <w:rPr>
                <w:rFonts w:cs="Arial"/>
              </w:rPr>
            </w:pPr>
            <w:r w:rsidRPr="00A235DC">
              <w:rPr>
                <w:rFonts w:cs="Arial"/>
              </w:rPr>
              <w:t>Редки</w:t>
            </w:r>
          </w:p>
        </w:tc>
        <w:tc>
          <w:tcPr>
            <w:tcW w:w="3220" w:type="dxa"/>
          </w:tcPr>
          <w:p w14:paraId="70BC636F" w14:textId="22E59B9D" w:rsidR="00A235DC" w:rsidRPr="00A235DC" w:rsidRDefault="00A235DC" w:rsidP="00A235DC">
            <w:pPr>
              <w:rPr>
                <w:rFonts w:cs="Arial"/>
              </w:rPr>
            </w:pPr>
            <w:r w:rsidRPr="00A235DC">
              <w:rPr>
                <w:rFonts w:cs="Arial"/>
              </w:rPr>
              <w:t>Мускулен спазъм</w:t>
            </w:r>
          </w:p>
        </w:tc>
      </w:tr>
      <w:tr w:rsidR="00A235DC" w14:paraId="1E129EE1" w14:textId="77777777" w:rsidTr="007B2D00">
        <w:tc>
          <w:tcPr>
            <w:tcW w:w="3179" w:type="dxa"/>
            <w:vAlign w:val="bottom"/>
          </w:tcPr>
          <w:p w14:paraId="4C4017D9" w14:textId="5D8F9114" w:rsidR="00A235DC" w:rsidRPr="00A235DC" w:rsidRDefault="00A235DC" w:rsidP="00A235DC">
            <w:pPr>
              <w:rPr>
                <w:rFonts w:cs="Arial"/>
              </w:rPr>
            </w:pPr>
            <w:r w:rsidRPr="00A235DC">
              <w:rPr>
                <w:rFonts w:cs="Arial"/>
              </w:rPr>
              <w:t>Неоплазми — доброкачествени, злокачествени и неопределени (вкл. кисти и полипи)</w:t>
            </w:r>
          </w:p>
        </w:tc>
        <w:tc>
          <w:tcPr>
            <w:tcW w:w="3177" w:type="dxa"/>
          </w:tcPr>
          <w:p w14:paraId="51DFBC71" w14:textId="67BD8B33" w:rsidR="00A235DC" w:rsidRPr="00A235DC" w:rsidRDefault="00A235DC" w:rsidP="00A235DC">
            <w:pPr>
              <w:rPr>
                <w:rFonts w:cs="Arial"/>
              </w:rPr>
            </w:pPr>
            <w:r w:rsidRPr="00A235DC">
              <w:rPr>
                <w:rFonts w:cs="Arial"/>
              </w:rPr>
              <w:t>С неизвестна честота</w:t>
            </w:r>
          </w:p>
        </w:tc>
        <w:tc>
          <w:tcPr>
            <w:tcW w:w="3220" w:type="dxa"/>
          </w:tcPr>
          <w:p w14:paraId="0F4D2860" w14:textId="6D9202AF" w:rsidR="00A235DC" w:rsidRPr="00A235DC" w:rsidRDefault="00A235DC" w:rsidP="00A235DC">
            <w:pPr>
              <w:rPr>
                <w:rFonts w:cs="Arial"/>
              </w:rPr>
            </w:pPr>
            <w:r w:rsidRPr="00A235DC">
              <w:rPr>
                <w:rFonts w:cs="Arial"/>
              </w:rPr>
              <w:t>Немеланомен рак на кожата (базалноклетъчен карцином и сквамозноклетъчен карцином)*</w:t>
            </w:r>
          </w:p>
        </w:tc>
      </w:tr>
      <w:tr w:rsidR="00A235DC" w14:paraId="41E3AFC2" w14:textId="77777777" w:rsidTr="00D60316">
        <w:tc>
          <w:tcPr>
            <w:tcW w:w="3179" w:type="dxa"/>
            <w:vMerge w:val="restart"/>
          </w:tcPr>
          <w:p w14:paraId="4B65D376" w14:textId="1F465084" w:rsidR="00A235DC" w:rsidRPr="00A235DC" w:rsidRDefault="00A235DC" w:rsidP="00A235DC">
            <w:pPr>
              <w:rPr>
                <w:szCs w:val="24"/>
              </w:rPr>
            </w:pPr>
            <w:r w:rsidRPr="00A235DC">
              <w:rPr>
                <w:szCs w:val="20"/>
              </w:rPr>
              <w:t>Нарушения на бъбреците и пикочните пътища</w:t>
            </w:r>
          </w:p>
        </w:tc>
        <w:tc>
          <w:tcPr>
            <w:tcW w:w="3177" w:type="dxa"/>
            <w:vAlign w:val="bottom"/>
          </w:tcPr>
          <w:p w14:paraId="1C6E38C6" w14:textId="678BA727" w:rsidR="00A235DC" w:rsidRPr="00A235DC" w:rsidRDefault="00A235DC" w:rsidP="00A235DC">
            <w:pPr>
              <w:rPr>
                <w:szCs w:val="24"/>
              </w:rPr>
            </w:pPr>
            <w:r w:rsidRPr="00A235DC">
              <w:rPr>
                <w:szCs w:val="20"/>
              </w:rPr>
              <w:t>Чести</w:t>
            </w:r>
          </w:p>
        </w:tc>
        <w:tc>
          <w:tcPr>
            <w:tcW w:w="3220" w:type="dxa"/>
            <w:vAlign w:val="bottom"/>
          </w:tcPr>
          <w:p w14:paraId="4B84D4C7" w14:textId="739873C8" w:rsidR="00A235DC" w:rsidRPr="00A235DC" w:rsidRDefault="00A235DC" w:rsidP="00A235DC">
            <w:pPr>
              <w:rPr>
                <w:szCs w:val="24"/>
              </w:rPr>
            </w:pPr>
            <w:r w:rsidRPr="00A235DC">
              <w:rPr>
                <w:szCs w:val="20"/>
              </w:rPr>
              <w:t>Глюкозурия</w:t>
            </w:r>
          </w:p>
        </w:tc>
      </w:tr>
      <w:tr w:rsidR="00A235DC" w14:paraId="2B30939D" w14:textId="77777777" w:rsidTr="00D60316">
        <w:tc>
          <w:tcPr>
            <w:tcW w:w="3179" w:type="dxa"/>
            <w:vMerge/>
          </w:tcPr>
          <w:p w14:paraId="56DA7AAB" w14:textId="77777777" w:rsidR="00A235DC" w:rsidRPr="00A235DC" w:rsidRDefault="00A235DC" w:rsidP="00A235DC">
            <w:pPr>
              <w:rPr>
                <w:szCs w:val="24"/>
              </w:rPr>
            </w:pPr>
          </w:p>
        </w:tc>
        <w:tc>
          <w:tcPr>
            <w:tcW w:w="3177" w:type="dxa"/>
          </w:tcPr>
          <w:p w14:paraId="16A0E01E" w14:textId="3A9EC016" w:rsidR="00A235DC" w:rsidRPr="00A235DC" w:rsidRDefault="00A235DC" w:rsidP="00A235DC">
            <w:pPr>
              <w:rPr>
                <w:szCs w:val="24"/>
              </w:rPr>
            </w:pPr>
            <w:r w:rsidRPr="00A235DC">
              <w:rPr>
                <w:szCs w:val="20"/>
              </w:rPr>
              <w:t>Редки</w:t>
            </w:r>
          </w:p>
        </w:tc>
        <w:tc>
          <w:tcPr>
            <w:tcW w:w="3220" w:type="dxa"/>
            <w:vAlign w:val="bottom"/>
          </w:tcPr>
          <w:p w14:paraId="34C2AB40" w14:textId="773BCC5A" w:rsidR="00A235DC" w:rsidRPr="00A235DC" w:rsidRDefault="00A235DC" w:rsidP="00A235DC">
            <w:pPr>
              <w:rPr>
                <w:szCs w:val="24"/>
              </w:rPr>
            </w:pPr>
            <w:r w:rsidRPr="00A235DC">
              <w:rPr>
                <w:szCs w:val="20"/>
              </w:rPr>
              <w:t>Бъбречна дисфункция и интерстициален нефрит</w:t>
            </w:r>
          </w:p>
        </w:tc>
      </w:tr>
      <w:tr w:rsidR="00A235DC" w14:paraId="5ADAC848" w14:textId="77777777" w:rsidTr="00D60316">
        <w:tc>
          <w:tcPr>
            <w:tcW w:w="3179" w:type="dxa"/>
            <w:vMerge w:val="restart"/>
            <w:vAlign w:val="bottom"/>
          </w:tcPr>
          <w:p w14:paraId="019BADF4" w14:textId="4C1B9A05" w:rsidR="00A235DC" w:rsidRPr="00A235DC" w:rsidRDefault="00A235DC" w:rsidP="00A235DC">
            <w:pPr>
              <w:rPr>
                <w:szCs w:val="24"/>
              </w:rPr>
            </w:pPr>
            <w:r w:rsidRPr="00A235DC">
              <w:rPr>
                <w:szCs w:val="20"/>
              </w:rPr>
              <w:t>Общи нарушения и ефекти на мястото на приложение</w:t>
            </w:r>
          </w:p>
        </w:tc>
        <w:tc>
          <w:tcPr>
            <w:tcW w:w="3177" w:type="dxa"/>
            <w:vAlign w:val="bottom"/>
          </w:tcPr>
          <w:p w14:paraId="4C6D1ACB" w14:textId="59F09F6F" w:rsidR="00A235DC" w:rsidRPr="00A235DC" w:rsidRDefault="00A235DC" w:rsidP="00A235DC">
            <w:pPr>
              <w:rPr>
                <w:szCs w:val="24"/>
              </w:rPr>
            </w:pPr>
            <w:r w:rsidRPr="00A235DC">
              <w:rPr>
                <w:szCs w:val="20"/>
              </w:rPr>
              <w:t>Чести</w:t>
            </w:r>
          </w:p>
        </w:tc>
        <w:tc>
          <w:tcPr>
            <w:tcW w:w="3220" w:type="dxa"/>
            <w:vAlign w:val="bottom"/>
          </w:tcPr>
          <w:p w14:paraId="10A9BD95" w14:textId="7F215B8F" w:rsidR="00A235DC" w:rsidRPr="00A235DC" w:rsidRDefault="00A235DC" w:rsidP="00A235DC">
            <w:pPr>
              <w:rPr>
                <w:szCs w:val="24"/>
              </w:rPr>
            </w:pPr>
            <w:r w:rsidRPr="00A235DC">
              <w:rPr>
                <w:szCs w:val="20"/>
              </w:rPr>
              <w:t>Слабост</w:t>
            </w:r>
          </w:p>
        </w:tc>
      </w:tr>
      <w:tr w:rsidR="00A235DC" w14:paraId="6156B2D7" w14:textId="77777777" w:rsidTr="00D60316">
        <w:tc>
          <w:tcPr>
            <w:tcW w:w="3179" w:type="dxa"/>
            <w:vMerge/>
            <w:vAlign w:val="bottom"/>
          </w:tcPr>
          <w:p w14:paraId="1642531E" w14:textId="77777777" w:rsidR="00A235DC" w:rsidRPr="00A235DC" w:rsidRDefault="00A235DC" w:rsidP="00A235DC">
            <w:pPr>
              <w:rPr>
                <w:szCs w:val="24"/>
              </w:rPr>
            </w:pPr>
          </w:p>
        </w:tc>
        <w:tc>
          <w:tcPr>
            <w:tcW w:w="3177" w:type="dxa"/>
            <w:vAlign w:val="bottom"/>
          </w:tcPr>
          <w:p w14:paraId="097B5B07" w14:textId="3DC26EEA" w:rsidR="00A235DC" w:rsidRPr="00A235DC" w:rsidRDefault="00A235DC" w:rsidP="00A235DC">
            <w:pPr>
              <w:rPr>
                <w:szCs w:val="24"/>
              </w:rPr>
            </w:pPr>
            <w:r w:rsidRPr="00A235DC">
              <w:rPr>
                <w:szCs w:val="20"/>
              </w:rPr>
              <w:t>Редки</w:t>
            </w:r>
          </w:p>
        </w:tc>
        <w:tc>
          <w:tcPr>
            <w:tcW w:w="3220" w:type="dxa"/>
            <w:vAlign w:val="bottom"/>
          </w:tcPr>
          <w:p w14:paraId="5C5FC6B3" w14:textId="6725EB7C" w:rsidR="00A235DC" w:rsidRPr="00A235DC" w:rsidRDefault="00A235DC" w:rsidP="00A235DC">
            <w:pPr>
              <w:rPr>
                <w:szCs w:val="24"/>
              </w:rPr>
            </w:pPr>
            <w:r w:rsidRPr="00A235DC">
              <w:rPr>
                <w:szCs w:val="20"/>
              </w:rPr>
              <w:t>Фебрилитет</w:t>
            </w:r>
          </w:p>
        </w:tc>
      </w:tr>
      <w:tr w:rsidR="00A235DC" w14:paraId="54254605" w14:textId="77777777" w:rsidTr="00D60316">
        <w:tc>
          <w:tcPr>
            <w:tcW w:w="3179" w:type="dxa"/>
            <w:vMerge w:val="restart"/>
          </w:tcPr>
          <w:p w14:paraId="5617DEEF" w14:textId="34C7E424" w:rsidR="00A235DC" w:rsidRPr="00A235DC" w:rsidRDefault="00A235DC" w:rsidP="00A235DC">
            <w:pPr>
              <w:rPr>
                <w:szCs w:val="24"/>
              </w:rPr>
            </w:pPr>
            <w:r w:rsidRPr="00A235DC">
              <w:rPr>
                <w:szCs w:val="20"/>
              </w:rPr>
              <w:t>Изследвания</w:t>
            </w:r>
          </w:p>
        </w:tc>
        <w:tc>
          <w:tcPr>
            <w:tcW w:w="3177" w:type="dxa"/>
          </w:tcPr>
          <w:p w14:paraId="6CD06830" w14:textId="738808B9" w:rsidR="00A235DC" w:rsidRPr="00A235DC" w:rsidRDefault="00A235DC" w:rsidP="00A235DC">
            <w:pPr>
              <w:rPr>
                <w:szCs w:val="24"/>
              </w:rPr>
            </w:pPr>
            <w:r w:rsidRPr="00A235DC">
              <w:rPr>
                <w:szCs w:val="20"/>
              </w:rPr>
              <w:t>Чести</w:t>
            </w:r>
          </w:p>
        </w:tc>
        <w:tc>
          <w:tcPr>
            <w:tcW w:w="3220" w:type="dxa"/>
            <w:vAlign w:val="bottom"/>
          </w:tcPr>
          <w:p w14:paraId="1239F2D3" w14:textId="44C3A4A2" w:rsidR="00A235DC" w:rsidRPr="00A235DC" w:rsidRDefault="00A235DC" w:rsidP="00A235DC">
            <w:pPr>
              <w:rPr>
                <w:szCs w:val="24"/>
              </w:rPr>
            </w:pPr>
            <w:r w:rsidRPr="00A235DC">
              <w:rPr>
                <w:szCs w:val="20"/>
              </w:rPr>
              <w:t>Повишение на холестерола и триглицеридите</w:t>
            </w:r>
          </w:p>
        </w:tc>
      </w:tr>
      <w:tr w:rsidR="00A235DC" w14:paraId="657AB958" w14:textId="77777777" w:rsidTr="00A235DC">
        <w:tc>
          <w:tcPr>
            <w:tcW w:w="3179" w:type="dxa"/>
            <w:vMerge/>
          </w:tcPr>
          <w:p w14:paraId="34FBFE97" w14:textId="77777777" w:rsidR="00A235DC" w:rsidRPr="00A235DC" w:rsidRDefault="00A235DC" w:rsidP="00A235DC">
            <w:pPr>
              <w:rPr>
                <w:szCs w:val="24"/>
              </w:rPr>
            </w:pPr>
          </w:p>
        </w:tc>
        <w:tc>
          <w:tcPr>
            <w:tcW w:w="3177" w:type="dxa"/>
          </w:tcPr>
          <w:p w14:paraId="4262B95A" w14:textId="208FA568" w:rsidR="00A235DC" w:rsidRPr="00A235DC" w:rsidRDefault="00A235DC" w:rsidP="00A235DC">
            <w:pPr>
              <w:rPr>
                <w:szCs w:val="24"/>
              </w:rPr>
            </w:pPr>
            <w:r w:rsidRPr="00A235DC">
              <w:rPr>
                <w:szCs w:val="20"/>
              </w:rPr>
              <w:t>Редки</w:t>
            </w:r>
          </w:p>
        </w:tc>
        <w:tc>
          <w:tcPr>
            <w:tcW w:w="3220" w:type="dxa"/>
          </w:tcPr>
          <w:p w14:paraId="606D8B02" w14:textId="41C9565B" w:rsidR="00A235DC" w:rsidRPr="00A235DC" w:rsidRDefault="00A235DC" w:rsidP="00A235DC">
            <w:pPr>
              <w:rPr>
                <w:szCs w:val="24"/>
              </w:rPr>
            </w:pPr>
            <w:r w:rsidRPr="00A235DC">
              <w:rPr>
                <w:szCs w:val="20"/>
              </w:rPr>
              <w:t>Повишение на уреята и серумния креатинин</w:t>
            </w:r>
          </w:p>
        </w:tc>
      </w:tr>
    </w:tbl>
    <w:p w14:paraId="326A7768" w14:textId="5A6C7902" w:rsidR="00A235DC" w:rsidRPr="00A235DC" w:rsidRDefault="00A235DC" w:rsidP="00A235DC">
      <w:pPr>
        <w:rPr>
          <w:sz w:val="28"/>
          <w:szCs w:val="24"/>
        </w:rPr>
      </w:pPr>
      <w:r w:rsidRPr="00A235DC">
        <w:rPr>
          <w:szCs w:val="20"/>
        </w:rPr>
        <w:t>* Немеланомен рак на кожата: Въз основа на наличните данни от епидемиологични приучвания е наблюдавана зависима от кумулативната доза връзка между ХХТЗ и НМРК (вж. също точки 4.4 и 5.1).</w:t>
      </w:r>
    </w:p>
    <w:p w14:paraId="01434822" w14:textId="0E6B2B27" w:rsidR="00A235DC" w:rsidRDefault="00A235DC" w:rsidP="00A235DC"/>
    <w:p w14:paraId="66B92F32" w14:textId="48551802" w:rsidR="00A235DC" w:rsidRPr="00A235DC" w:rsidRDefault="00A235DC" w:rsidP="00A235DC">
      <w:pPr>
        <w:spacing w:line="240" w:lineRule="auto"/>
        <w:rPr>
          <w:rFonts w:eastAsia="Times New Roman" w:cs="Arial"/>
        </w:rPr>
      </w:pPr>
      <w:r w:rsidRPr="00A235DC">
        <w:rPr>
          <w:rFonts w:eastAsia="Times New Roman" w:cs="Arial"/>
          <w:color w:val="000000"/>
          <w:u w:val="single"/>
          <w:lang w:eastAsia="bg-BG"/>
        </w:rPr>
        <w:t>Съобщаване на подозирани нежелани реакции</w:t>
      </w:r>
    </w:p>
    <w:p w14:paraId="7E52379B" w14:textId="7B52BAA3" w:rsidR="00A235DC" w:rsidRDefault="00A235DC" w:rsidP="00A235DC">
      <w:pPr>
        <w:rPr>
          <w:rFonts w:eastAsia="Times New Roman" w:cs="Arial"/>
          <w:color w:val="000000"/>
          <w:lang w:val="en-US"/>
        </w:rPr>
      </w:pPr>
      <w:r w:rsidRPr="00A235DC">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към Изпълнителната агенция по лекарствата, ул. „Дамян Груев”№ 8, </w:t>
      </w:r>
      <w:r w:rsidRPr="00A235DC">
        <w:rPr>
          <w:rFonts w:eastAsia="Times New Roman" w:cs="Arial"/>
          <w:i/>
          <w:iCs/>
          <w:color w:val="000000"/>
          <w:lang w:eastAsia="bg-BG"/>
        </w:rPr>
        <w:t>1303</w:t>
      </w:r>
      <w:r w:rsidRPr="00A235DC">
        <w:rPr>
          <w:rFonts w:eastAsia="Times New Roman" w:cs="Arial"/>
          <w:color w:val="000000"/>
          <w:lang w:eastAsia="bg-BG"/>
        </w:rPr>
        <w:t xml:space="preserve"> София, тел.: +35928903417, уебсайт: </w:t>
      </w:r>
      <w:r w:rsidRPr="00A235DC">
        <w:rPr>
          <w:rFonts w:eastAsia="Times New Roman" w:cs="Arial"/>
        </w:rPr>
        <w:fldChar w:fldCharType="begin"/>
      </w:r>
      <w:r w:rsidRPr="00A235DC">
        <w:rPr>
          <w:rFonts w:eastAsia="Times New Roman" w:cs="Arial"/>
        </w:rPr>
        <w:instrText xml:space="preserve"> HYPERLINK "http://www.bda.bg" </w:instrText>
      </w:r>
      <w:r w:rsidRPr="00A235DC">
        <w:rPr>
          <w:rFonts w:eastAsia="Times New Roman" w:cs="Arial"/>
        </w:rPr>
      </w:r>
      <w:r w:rsidRPr="00A235DC">
        <w:rPr>
          <w:rFonts w:eastAsia="Times New Roman" w:cs="Arial"/>
        </w:rPr>
        <w:fldChar w:fldCharType="separate"/>
      </w:r>
      <w:r w:rsidRPr="00A235DC">
        <w:rPr>
          <w:rFonts w:eastAsia="Times New Roman" w:cs="Arial"/>
          <w:color w:val="000000"/>
          <w:u w:val="single"/>
          <w:lang w:val="en-US"/>
        </w:rPr>
        <w:t>www.bda.bg</w:t>
      </w:r>
      <w:r w:rsidRPr="00A235DC">
        <w:rPr>
          <w:rFonts w:eastAsia="Times New Roman" w:cs="Arial"/>
        </w:rPr>
        <w:fldChar w:fldCharType="end"/>
      </w:r>
      <w:r w:rsidRPr="00A235DC">
        <w:rPr>
          <w:rFonts w:eastAsia="Times New Roman" w:cs="Arial"/>
          <w:color w:val="000000"/>
          <w:lang w:val="en-US"/>
        </w:rPr>
        <w:t>.</w:t>
      </w:r>
    </w:p>
    <w:p w14:paraId="2FCF0809" w14:textId="77777777" w:rsidR="00A235DC" w:rsidRPr="00A235DC" w:rsidRDefault="00A235DC" w:rsidP="00A235DC">
      <w:pPr>
        <w:rPr>
          <w:rFonts w:cs="Arial"/>
        </w:rPr>
      </w:pPr>
    </w:p>
    <w:p w14:paraId="5A87DBA3" w14:textId="45BB8458" w:rsidR="007122AD" w:rsidRDefault="002C50EE" w:rsidP="00936AD0">
      <w:pPr>
        <w:pStyle w:val="Heading2"/>
      </w:pPr>
      <w:r>
        <w:t>4.9. Предозиране</w:t>
      </w:r>
    </w:p>
    <w:p w14:paraId="45D0EE4C" w14:textId="34740ED2" w:rsidR="00A235DC" w:rsidRDefault="00A235DC" w:rsidP="00A235DC"/>
    <w:p w14:paraId="3BFA27B9" w14:textId="77777777" w:rsidR="00A235DC" w:rsidRPr="00A235DC" w:rsidRDefault="00A235DC" w:rsidP="00A235DC">
      <w:pPr>
        <w:pStyle w:val="Heading3"/>
        <w:rPr>
          <w:rFonts w:eastAsia="Times New Roman"/>
          <w:i/>
          <w:sz w:val="28"/>
        </w:rPr>
      </w:pPr>
      <w:r w:rsidRPr="00A235DC">
        <w:rPr>
          <w:rFonts w:eastAsia="Times New Roman"/>
          <w:i/>
          <w:lang w:eastAsia="bg-BG"/>
        </w:rPr>
        <w:t>Симптоми</w:t>
      </w:r>
    </w:p>
    <w:p w14:paraId="06D2BD13"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 xml:space="preserve">Базирайки се на фармакологичните свойства, основните прояви на предозирането на кандесартан цилексетил е вероятно да бъдат симптоматична хипотония и замаяност. При отделни съобщения за предозиране (до 672 </w:t>
      </w:r>
      <w:r w:rsidRPr="00A235DC">
        <w:rPr>
          <w:rFonts w:eastAsia="Times New Roman" w:cs="Arial"/>
          <w:color w:val="000000"/>
          <w:szCs w:val="20"/>
          <w:lang w:val="en-US"/>
        </w:rPr>
        <w:t>mg</w:t>
      </w:r>
      <w:r w:rsidRPr="00A235DC">
        <w:rPr>
          <w:rFonts w:eastAsia="Times New Roman" w:cs="Arial"/>
          <w:color w:val="000000"/>
          <w:szCs w:val="20"/>
          <w:lang w:val="ru-RU"/>
        </w:rPr>
        <w:t xml:space="preserve"> </w:t>
      </w:r>
      <w:r w:rsidRPr="00A235DC">
        <w:rPr>
          <w:rFonts w:eastAsia="Times New Roman" w:cs="Arial"/>
          <w:color w:val="000000"/>
          <w:szCs w:val="20"/>
          <w:lang w:eastAsia="bg-BG"/>
        </w:rPr>
        <w:t>кандесартан цилексетил) възстановяването на пациента е без последствия.</w:t>
      </w:r>
    </w:p>
    <w:p w14:paraId="1CFF9569" w14:textId="77777777" w:rsidR="00A235DC" w:rsidRPr="00A235DC" w:rsidRDefault="00A235DC" w:rsidP="00A235DC">
      <w:pPr>
        <w:spacing w:line="240" w:lineRule="auto"/>
        <w:rPr>
          <w:rFonts w:eastAsia="Times New Roman" w:cs="Arial"/>
          <w:color w:val="000000"/>
          <w:szCs w:val="20"/>
          <w:lang w:eastAsia="bg-BG"/>
        </w:rPr>
      </w:pPr>
    </w:p>
    <w:p w14:paraId="5DAC45B6" w14:textId="7CFD5054"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Основната проява на предозирането на хидрохлоротиазид е остра загуба на течности и електролити. Възможно е да се наблюдават симптоми като замаяност, хипотония, жажда, тахикардия, камерни аритмии, седиране/нарушение на съзнанието и мускулни крампи.</w:t>
      </w:r>
    </w:p>
    <w:p w14:paraId="5262BE99" w14:textId="77777777" w:rsidR="00A235DC" w:rsidRPr="00A235DC" w:rsidRDefault="00A235DC" w:rsidP="00A235DC">
      <w:pPr>
        <w:spacing w:line="240" w:lineRule="auto"/>
        <w:rPr>
          <w:rFonts w:eastAsia="Times New Roman" w:cs="Arial"/>
          <w:i/>
          <w:iCs/>
          <w:color w:val="000000"/>
          <w:szCs w:val="20"/>
          <w:lang w:eastAsia="bg-BG"/>
        </w:rPr>
      </w:pPr>
    </w:p>
    <w:p w14:paraId="34FB3FB8" w14:textId="1413B065" w:rsidR="00A235DC" w:rsidRPr="00A235DC" w:rsidRDefault="00A235DC" w:rsidP="00A235DC">
      <w:pPr>
        <w:pStyle w:val="Heading3"/>
        <w:rPr>
          <w:rFonts w:eastAsia="Times New Roman"/>
          <w:i/>
          <w:sz w:val="28"/>
        </w:rPr>
      </w:pPr>
      <w:r w:rsidRPr="00A235DC">
        <w:rPr>
          <w:rFonts w:eastAsia="Times New Roman"/>
          <w:i/>
          <w:lang w:eastAsia="bg-BG"/>
        </w:rPr>
        <w:t>Лечение</w:t>
      </w:r>
    </w:p>
    <w:p w14:paraId="25C83F33"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Липсва специална информация за лечението на предозиране с Кандекард Н. В случай на предозиране се предлагат следните мерки.</w:t>
      </w:r>
    </w:p>
    <w:p w14:paraId="0E2D5AB3"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lastRenderedPageBreak/>
        <w:t>Трябва да се имат предвид идуциране на повръщането и стомашна промивка, когато това е показано. Ако настъпи симптоматична хипотония, трябва да се започне симптоматично лечение и да се следят жизнените показатели. Пациентът трябва да се постави в легнало положение с повдигнати долни крайници. Ако това не е достатъчно плазменият обем трябва да се увеличи чрез вливане на изотоничен разтвор на натриев хлорид. Трябва да се проследяват електролитното и киселинно равновесие и да се коригира, ако е необходимо. Може да се прилагат симпатикомиметични лекарствени продукти, ако гореспоменатите мерки не са достатъчни. Кандесартан не може да се отстрани чрез хемодиализа. Не е известно до каква степен хидрохлоротиазид се отстранява чрез хемодиализа.</w:t>
      </w:r>
    </w:p>
    <w:p w14:paraId="6369680D" w14:textId="77777777" w:rsidR="00A235DC" w:rsidRPr="00A235DC" w:rsidRDefault="00A235DC" w:rsidP="00A235DC"/>
    <w:p w14:paraId="02081B24" w14:textId="1F46E296" w:rsidR="00395555" w:rsidRPr="00395555" w:rsidRDefault="002C50EE" w:rsidP="008A6AF2">
      <w:pPr>
        <w:pStyle w:val="Heading1"/>
      </w:pPr>
      <w:r>
        <w:t>5. ФАРМАКОЛОГИЧНИ СВОЙСТВА</w:t>
      </w:r>
    </w:p>
    <w:p w14:paraId="7DE36AC8" w14:textId="29420DF6" w:rsidR="00B6672E" w:rsidRDefault="002C50EE" w:rsidP="00936AD0">
      <w:pPr>
        <w:pStyle w:val="Heading2"/>
      </w:pPr>
      <w:r>
        <w:t>5.1. Фармакодинамични свойства</w:t>
      </w:r>
    </w:p>
    <w:p w14:paraId="661E6C88" w14:textId="38369943" w:rsidR="00A235DC" w:rsidRDefault="00A235DC" w:rsidP="00A235DC"/>
    <w:p w14:paraId="6F144CA0" w14:textId="77777777" w:rsidR="00A235DC" w:rsidRPr="00A235DC" w:rsidRDefault="00A235DC" w:rsidP="00A235DC">
      <w:pPr>
        <w:spacing w:line="240" w:lineRule="auto"/>
        <w:rPr>
          <w:rFonts w:eastAsia="Times New Roman" w:cs="Arial"/>
          <w:sz w:val="28"/>
          <w:szCs w:val="24"/>
        </w:rPr>
      </w:pPr>
      <w:r w:rsidRPr="00A235DC">
        <w:rPr>
          <w:rFonts w:eastAsia="Times New Roman" w:cs="Arial"/>
          <w:b/>
          <w:bCs/>
          <w:color w:val="000000"/>
          <w:szCs w:val="20"/>
          <w:lang w:eastAsia="bg-BG"/>
        </w:rPr>
        <w:t xml:space="preserve">Фармакотерапевтична група: </w:t>
      </w:r>
      <w:r w:rsidRPr="00A235DC">
        <w:rPr>
          <w:rFonts w:eastAsia="Times New Roman" w:cs="Arial"/>
          <w:color w:val="000000"/>
          <w:szCs w:val="20"/>
          <w:lang w:eastAsia="bg-BG"/>
        </w:rPr>
        <w:t xml:space="preserve">Антагонисти на ангиотензин II + диуретици </w:t>
      </w:r>
      <w:r w:rsidRPr="00A235DC">
        <w:rPr>
          <w:rFonts w:eastAsia="Times New Roman" w:cs="Arial"/>
          <w:b/>
          <w:bCs/>
          <w:color w:val="000000"/>
          <w:szCs w:val="20"/>
          <w:lang w:eastAsia="bg-BG"/>
        </w:rPr>
        <w:t xml:space="preserve">АТС код: </w:t>
      </w:r>
      <w:r w:rsidRPr="00A235DC">
        <w:rPr>
          <w:rFonts w:eastAsia="Times New Roman" w:cs="Arial"/>
          <w:color w:val="000000"/>
          <w:szCs w:val="20"/>
          <w:lang w:val="en-US"/>
        </w:rPr>
        <w:t>C</w:t>
      </w:r>
      <w:r w:rsidRPr="00A235DC">
        <w:rPr>
          <w:rFonts w:eastAsia="Times New Roman" w:cs="Arial"/>
          <w:color w:val="000000"/>
          <w:szCs w:val="20"/>
          <w:lang w:val="ru-RU"/>
        </w:rPr>
        <w:t>09</w:t>
      </w:r>
      <w:r w:rsidRPr="00A235DC">
        <w:rPr>
          <w:rFonts w:eastAsia="Times New Roman" w:cs="Arial"/>
          <w:color w:val="000000"/>
          <w:szCs w:val="20"/>
          <w:lang w:val="en-US"/>
        </w:rPr>
        <w:t>DA</w:t>
      </w:r>
      <w:r w:rsidRPr="00A235DC">
        <w:rPr>
          <w:rFonts w:eastAsia="Times New Roman" w:cs="Arial"/>
          <w:color w:val="000000"/>
          <w:szCs w:val="20"/>
          <w:lang w:val="ru-RU"/>
        </w:rPr>
        <w:t>06</w:t>
      </w:r>
    </w:p>
    <w:p w14:paraId="15053DC7" w14:textId="77777777" w:rsidR="00A235DC" w:rsidRPr="00A235DC" w:rsidRDefault="00A235DC" w:rsidP="00A235DC">
      <w:pPr>
        <w:spacing w:line="240" w:lineRule="auto"/>
        <w:rPr>
          <w:rFonts w:eastAsia="Times New Roman" w:cs="Arial"/>
          <w:color w:val="000000"/>
          <w:szCs w:val="20"/>
          <w:u w:val="single"/>
          <w:lang w:eastAsia="bg-BG"/>
        </w:rPr>
      </w:pPr>
    </w:p>
    <w:p w14:paraId="78CC9BB8" w14:textId="630013D2"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u w:val="single"/>
          <w:lang w:eastAsia="bg-BG"/>
        </w:rPr>
        <w:t>Механизъм на действие</w:t>
      </w:r>
    </w:p>
    <w:p w14:paraId="5C7EDCF3"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 xml:space="preserve">Ангиотензин II е основният вазоактивен хормон на ренин-ангиотензин-алдостероновата система и участва в патофизиологията на хипертонията и други сърдечно-съдови заболявания. Той участва също в патогенезата на органната хипертрофия и терминалното органно увреждане. Основните физиологични ефекти на ангиотензин II като вазоконстрикция, стимулиране на алдостерон, регулация на водната и солевата хомеостаза и стимулирането на клетъчния растеж се медиират от тип 1 </w:t>
      </w:r>
      <w:r w:rsidRPr="00A235DC">
        <w:rPr>
          <w:rFonts w:eastAsia="Times New Roman" w:cs="Arial"/>
          <w:color w:val="000000"/>
          <w:szCs w:val="20"/>
          <w:lang w:val="ru-RU"/>
        </w:rPr>
        <w:t>(</w:t>
      </w:r>
      <w:r w:rsidRPr="00A235DC">
        <w:rPr>
          <w:rFonts w:eastAsia="Times New Roman" w:cs="Arial"/>
          <w:color w:val="000000"/>
          <w:szCs w:val="20"/>
          <w:lang w:val="en-US"/>
        </w:rPr>
        <w:t>AT</w:t>
      </w:r>
      <w:r w:rsidRPr="00A235DC">
        <w:rPr>
          <w:rFonts w:eastAsia="Times New Roman" w:cs="Arial"/>
          <w:color w:val="000000"/>
          <w:szCs w:val="20"/>
          <w:lang w:val="ru-RU"/>
        </w:rPr>
        <w:t xml:space="preserve">1) </w:t>
      </w:r>
      <w:r w:rsidRPr="00A235DC">
        <w:rPr>
          <w:rFonts w:eastAsia="Times New Roman" w:cs="Arial"/>
          <w:color w:val="000000"/>
          <w:szCs w:val="20"/>
          <w:lang w:eastAsia="bg-BG"/>
        </w:rPr>
        <w:t>рецептор.</w:t>
      </w:r>
    </w:p>
    <w:p w14:paraId="28731BD9" w14:textId="77777777" w:rsidR="00A235DC" w:rsidRPr="00A235DC" w:rsidRDefault="00A235DC" w:rsidP="00A235DC">
      <w:pPr>
        <w:spacing w:line="240" w:lineRule="auto"/>
        <w:rPr>
          <w:rFonts w:eastAsia="Times New Roman" w:cs="Arial"/>
          <w:color w:val="000000"/>
          <w:szCs w:val="20"/>
          <w:u w:val="single"/>
          <w:lang w:eastAsia="bg-BG"/>
        </w:rPr>
      </w:pPr>
    </w:p>
    <w:p w14:paraId="09EF40E7" w14:textId="58F0C99B"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u w:val="single"/>
          <w:lang w:eastAsia="bg-BG"/>
        </w:rPr>
        <w:t>Фармакодинамичнн ефекти</w:t>
      </w:r>
    </w:p>
    <w:p w14:paraId="3A99A39A"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 xml:space="preserve">Кандесартан цилексетил е прекурсорно лекарство, което бързо се </w:t>
      </w:r>
      <w:r w:rsidRPr="00A235DC">
        <w:rPr>
          <w:rFonts w:eastAsia="Times New Roman" w:cs="Arial"/>
          <w:i/>
          <w:iCs/>
          <w:color w:val="000000"/>
          <w:szCs w:val="20"/>
          <w:lang w:eastAsia="bg-BG"/>
        </w:rPr>
        <w:t xml:space="preserve">превръща в активното вещество </w:t>
      </w:r>
      <w:r w:rsidRPr="00A235DC">
        <w:rPr>
          <w:rFonts w:eastAsia="Times New Roman" w:cs="Arial"/>
          <w:color w:val="000000"/>
          <w:szCs w:val="20"/>
          <w:lang w:eastAsia="bg-BG"/>
        </w:rPr>
        <w:t>кандесартан чрез естерна хидролиза по време на абсорбцията от стомашно-чревния тракт Кандесартан е а АТ</w:t>
      </w:r>
      <w:r w:rsidRPr="00A235DC">
        <w:rPr>
          <w:rFonts w:eastAsia="Times New Roman" w:cs="Arial"/>
          <w:color w:val="000000"/>
          <w:szCs w:val="20"/>
          <w:lang w:val="en-US"/>
        </w:rPr>
        <w:t>II</w:t>
      </w:r>
      <w:r w:rsidRPr="00A235DC">
        <w:rPr>
          <w:rFonts w:eastAsia="Times New Roman" w:cs="Arial"/>
          <w:color w:val="000000"/>
          <w:szCs w:val="20"/>
          <w:lang w:eastAsia="bg-BG"/>
        </w:rPr>
        <w:t xml:space="preserve">РА, селективен за </w:t>
      </w:r>
      <w:r w:rsidRPr="00A235DC">
        <w:rPr>
          <w:rFonts w:eastAsia="Times New Roman" w:cs="Arial"/>
          <w:color w:val="000000"/>
          <w:szCs w:val="20"/>
          <w:lang w:val="en-US"/>
        </w:rPr>
        <w:t>AT</w:t>
      </w:r>
      <w:r w:rsidRPr="00A235DC">
        <w:rPr>
          <w:rFonts w:eastAsia="Times New Roman" w:cs="Arial"/>
          <w:color w:val="000000"/>
          <w:szCs w:val="20"/>
          <w:lang w:val="ru-RU"/>
        </w:rPr>
        <w:t xml:space="preserve">1 </w:t>
      </w:r>
      <w:r w:rsidRPr="00A235DC">
        <w:rPr>
          <w:rFonts w:eastAsia="Times New Roman" w:cs="Arial"/>
          <w:color w:val="000000"/>
          <w:szCs w:val="20"/>
          <w:lang w:eastAsia="bg-BG"/>
        </w:rPr>
        <w:t>рецепторите със здраво свързване и бавна дисоциция</w:t>
      </w:r>
    </w:p>
    <w:p w14:paraId="21A282D9" w14:textId="051FB0A5" w:rsidR="00A235DC" w:rsidRPr="00A235DC" w:rsidRDefault="00A235DC" w:rsidP="00A235DC">
      <w:pPr>
        <w:rPr>
          <w:rFonts w:eastAsia="Times New Roman" w:cs="Arial"/>
          <w:color w:val="000000"/>
          <w:szCs w:val="20"/>
          <w:lang w:eastAsia="bg-BG"/>
        </w:rPr>
      </w:pPr>
      <w:r w:rsidRPr="00A235DC">
        <w:rPr>
          <w:rFonts w:eastAsia="Times New Roman" w:cs="Arial"/>
          <w:color w:val="000000"/>
          <w:szCs w:val="20"/>
          <w:lang w:eastAsia="bg-BG"/>
        </w:rPr>
        <w:t>от рецептора. Той не притежава никаква активност на агонист.</w:t>
      </w:r>
    </w:p>
    <w:p w14:paraId="2BC86A02" w14:textId="42978DD1" w:rsidR="00A235DC" w:rsidRPr="00A235DC" w:rsidRDefault="00A235DC" w:rsidP="00A235DC">
      <w:pPr>
        <w:rPr>
          <w:rFonts w:eastAsia="Times New Roman" w:cs="Arial"/>
          <w:color w:val="000000"/>
          <w:szCs w:val="20"/>
          <w:lang w:eastAsia="bg-BG"/>
        </w:rPr>
      </w:pPr>
    </w:p>
    <w:p w14:paraId="061E8820"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Кандесартан не повлиява АСЕ или други ензимни системи, които обикновено са свързани с употребата на АСЕ инхибитори. Тъй като няма никакъв ефект върху разграждането на кинините или върху метаболизма на други вещества като субстанция Р, АТ</w:t>
      </w:r>
      <w:r w:rsidRPr="00A235DC">
        <w:rPr>
          <w:rFonts w:eastAsia="Times New Roman" w:cs="Arial"/>
          <w:color w:val="000000"/>
          <w:szCs w:val="20"/>
          <w:lang w:val="en-US"/>
        </w:rPr>
        <w:t>II</w:t>
      </w:r>
      <w:r w:rsidRPr="00A235DC">
        <w:rPr>
          <w:rFonts w:eastAsia="Times New Roman" w:cs="Arial"/>
          <w:color w:val="000000"/>
          <w:szCs w:val="20"/>
          <w:lang w:eastAsia="bg-BG"/>
        </w:rPr>
        <w:t>РА е малко вероятно да са свързани с кашлица. При контролираните клинични проучвания, сравняващи кандесартан цилексетил с АСЕ инхибитори, честотата на кашлицата е по-ниска при пациентите, получаващи кандесартан цилексетил. Кандесартан не се свързва и не блокира други хормонални рецептори или йонни канали, за които е известно, че са от значение за сърдечно-съдовата регулация.</w:t>
      </w:r>
    </w:p>
    <w:p w14:paraId="5C58E081"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 xml:space="preserve">Антагонизмът на </w:t>
      </w:r>
      <w:r w:rsidRPr="00A235DC">
        <w:rPr>
          <w:rFonts w:eastAsia="Times New Roman" w:cs="Arial"/>
          <w:color w:val="000000"/>
          <w:szCs w:val="20"/>
          <w:lang w:val="en-US"/>
        </w:rPr>
        <w:t>AT</w:t>
      </w:r>
      <w:r w:rsidRPr="00A235DC">
        <w:rPr>
          <w:rFonts w:eastAsia="Times New Roman" w:cs="Arial"/>
          <w:color w:val="000000"/>
          <w:szCs w:val="20"/>
          <w:lang w:val="ru-RU"/>
        </w:rPr>
        <w:t xml:space="preserve">1 </w:t>
      </w:r>
      <w:r w:rsidRPr="00A235DC">
        <w:rPr>
          <w:rFonts w:eastAsia="Times New Roman" w:cs="Arial"/>
          <w:color w:val="000000"/>
          <w:szCs w:val="20"/>
          <w:lang w:eastAsia="bg-BG"/>
        </w:rPr>
        <w:t>рецепторите води до свързано с дозата повишение на плазмените нива на ренина, ангиотензин I и ангиотензин II и понижение на плазмената концентрация на алдостерона.</w:t>
      </w:r>
    </w:p>
    <w:p w14:paraId="5A41DC6A" w14:textId="77777777" w:rsidR="00A235DC" w:rsidRPr="00A235DC" w:rsidRDefault="00A235DC" w:rsidP="00A235DC">
      <w:pPr>
        <w:spacing w:line="240" w:lineRule="auto"/>
        <w:rPr>
          <w:rFonts w:eastAsia="Times New Roman" w:cs="Arial"/>
          <w:color w:val="000000"/>
          <w:szCs w:val="20"/>
          <w:u w:val="single"/>
          <w:lang w:eastAsia="bg-BG"/>
        </w:rPr>
      </w:pPr>
    </w:p>
    <w:p w14:paraId="58A9AD7F" w14:textId="7E994D92"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u w:val="single"/>
          <w:lang w:eastAsia="bg-BG"/>
        </w:rPr>
        <w:t>Клинична ефикасност и безопасност</w:t>
      </w:r>
    </w:p>
    <w:p w14:paraId="0071CBEA"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 xml:space="preserve">Ефектите на кандесартан цилексетил 8-16 </w:t>
      </w:r>
      <w:r w:rsidRPr="00A235DC">
        <w:rPr>
          <w:rFonts w:eastAsia="Times New Roman" w:cs="Arial"/>
          <w:color w:val="000000"/>
          <w:szCs w:val="20"/>
          <w:lang w:val="en-US"/>
        </w:rPr>
        <w:t>mg</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(средна доза 12 </w:t>
      </w:r>
      <w:r w:rsidRPr="00A235DC">
        <w:rPr>
          <w:rFonts w:eastAsia="Times New Roman" w:cs="Arial"/>
          <w:color w:val="000000"/>
          <w:szCs w:val="20"/>
          <w:lang w:val="en-US"/>
        </w:rPr>
        <w:t>mg</w:t>
      </w:r>
      <w:r w:rsidRPr="00A235DC">
        <w:rPr>
          <w:rFonts w:eastAsia="Times New Roman" w:cs="Arial"/>
          <w:color w:val="000000"/>
          <w:szCs w:val="20"/>
          <w:lang w:val="ru-RU"/>
        </w:rPr>
        <w:t xml:space="preserve">) </w:t>
      </w:r>
      <w:r w:rsidRPr="00A235DC">
        <w:rPr>
          <w:rFonts w:eastAsia="Times New Roman" w:cs="Arial"/>
          <w:color w:val="000000"/>
          <w:szCs w:val="20"/>
          <w:lang w:eastAsia="bg-BG"/>
        </w:rPr>
        <w:t>веднъж дневно върху сърдечно</w:t>
      </w:r>
      <w:r w:rsidRPr="00A235DC">
        <w:rPr>
          <w:rFonts w:eastAsia="Times New Roman" w:cs="Arial"/>
          <w:color w:val="000000"/>
          <w:szCs w:val="20"/>
          <w:lang w:eastAsia="bg-BG"/>
        </w:rPr>
        <w:softHyphen/>
        <w:t xml:space="preserve">съдовата заболеваемост и смъртност са оценени при едно рандомизирано клинично проучване с 4 937 пациенти в напреднала възраст (на възраст 70-89 години, 21% на възраст 80 и повече години) с лека до умерено тежка хипертония, проследявани </w:t>
      </w:r>
      <w:r w:rsidRPr="00A235DC">
        <w:rPr>
          <w:rFonts w:eastAsia="Times New Roman" w:cs="Arial"/>
          <w:color w:val="000000"/>
          <w:szCs w:val="20"/>
          <w:lang w:eastAsia="bg-BG"/>
        </w:rPr>
        <w:lastRenderedPageBreak/>
        <w:t xml:space="preserve">за средно 3,7 години </w:t>
      </w:r>
      <w:r w:rsidRPr="00A235DC">
        <w:rPr>
          <w:rFonts w:eastAsia="Times New Roman" w:cs="Arial"/>
          <w:color w:val="000000"/>
          <w:szCs w:val="20"/>
          <w:lang w:val="ru-RU"/>
        </w:rPr>
        <w:t>(</w:t>
      </w:r>
      <w:r w:rsidRPr="00A235DC">
        <w:rPr>
          <w:rFonts w:eastAsia="Times New Roman" w:cs="Arial"/>
          <w:color w:val="000000"/>
          <w:szCs w:val="20"/>
          <w:lang w:val="en-US"/>
        </w:rPr>
        <w:t>Study</w:t>
      </w:r>
      <w:r w:rsidRPr="00A235DC">
        <w:rPr>
          <w:rFonts w:eastAsia="Times New Roman" w:cs="Arial"/>
          <w:color w:val="000000"/>
          <w:szCs w:val="20"/>
          <w:lang w:val="ru-RU"/>
        </w:rPr>
        <w:t xml:space="preserve"> </w:t>
      </w:r>
      <w:r w:rsidRPr="00A235DC">
        <w:rPr>
          <w:rFonts w:eastAsia="Times New Roman" w:cs="Arial"/>
          <w:color w:val="000000"/>
          <w:szCs w:val="20"/>
          <w:lang w:val="en-US"/>
        </w:rPr>
        <w:t>on</w:t>
      </w:r>
      <w:r w:rsidRPr="00A235DC">
        <w:rPr>
          <w:rFonts w:eastAsia="Times New Roman" w:cs="Arial"/>
          <w:color w:val="000000"/>
          <w:szCs w:val="20"/>
          <w:lang w:val="ru-RU"/>
        </w:rPr>
        <w:t xml:space="preserve"> </w:t>
      </w:r>
      <w:proofErr w:type="spellStart"/>
      <w:r w:rsidRPr="00A235DC">
        <w:rPr>
          <w:rFonts w:eastAsia="Times New Roman" w:cs="Arial"/>
          <w:color w:val="000000"/>
          <w:szCs w:val="20"/>
          <w:lang w:val="en-US"/>
        </w:rPr>
        <w:t>COgnition</w:t>
      </w:r>
      <w:proofErr w:type="spellEnd"/>
      <w:r w:rsidRPr="00A235DC">
        <w:rPr>
          <w:rFonts w:eastAsia="Times New Roman" w:cs="Arial"/>
          <w:color w:val="000000"/>
          <w:szCs w:val="20"/>
          <w:lang w:val="ru-RU"/>
        </w:rPr>
        <w:t xml:space="preserve"> </w:t>
      </w:r>
      <w:r w:rsidRPr="00A235DC">
        <w:rPr>
          <w:rFonts w:eastAsia="Times New Roman" w:cs="Arial"/>
          <w:color w:val="000000"/>
          <w:szCs w:val="20"/>
          <w:lang w:val="en-US"/>
        </w:rPr>
        <w:t>and</w:t>
      </w:r>
      <w:r w:rsidRPr="00A235DC">
        <w:rPr>
          <w:rFonts w:eastAsia="Times New Roman" w:cs="Arial"/>
          <w:color w:val="000000"/>
          <w:szCs w:val="20"/>
          <w:lang w:val="ru-RU"/>
        </w:rPr>
        <w:t xml:space="preserve"> </w:t>
      </w:r>
      <w:r w:rsidRPr="00A235DC">
        <w:rPr>
          <w:rFonts w:eastAsia="Times New Roman" w:cs="Arial"/>
          <w:color w:val="000000"/>
          <w:szCs w:val="20"/>
          <w:lang w:val="en-US"/>
        </w:rPr>
        <w:t>Prognosis</w:t>
      </w:r>
      <w:r w:rsidRPr="00A235DC">
        <w:rPr>
          <w:rFonts w:eastAsia="Times New Roman" w:cs="Arial"/>
          <w:color w:val="000000"/>
          <w:szCs w:val="20"/>
          <w:lang w:val="ru-RU"/>
        </w:rPr>
        <w:t xml:space="preserve"> </w:t>
      </w:r>
      <w:r w:rsidRPr="00A235DC">
        <w:rPr>
          <w:rFonts w:eastAsia="Times New Roman" w:cs="Arial"/>
          <w:color w:val="000000"/>
          <w:szCs w:val="20"/>
          <w:lang w:val="en-US"/>
        </w:rPr>
        <w:t>in</w:t>
      </w:r>
      <w:r w:rsidRPr="00A235DC">
        <w:rPr>
          <w:rFonts w:eastAsia="Times New Roman" w:cs="Arial"/>
          <w:color w:val="000000"/>
          <w:szCs w:val="20"/>
          <w:lang w:val="ru-RU"/>
        </w:rPr>
        <w:t xml:space="preserve"> </w:t>
      </w:r>
      <w:r w:rsidRPr="00A235DC">
        <w:rPr>
          <w:rFonts w:eastAsia="Times New Roman" w:cs="Arial"/>
          <w:color w:val="000000"/>
          <w:szCs w:val="20"/>
          <w:lang w:val="en-US"/>
        </w:rPr>
        <w:t>the</w:t>
      </w:r>
      <w:r w:rsidRPr="00A235DC">
        <w:rPr>
          <w:rFonts w:eastAsia="Times New Roman" w:cs="Arial"/>
          <w:color w:val="000000"/>
          <w:szCs w:val="20"/>
          <w:lang w:val="ru-RU"/>
        </w:rPr>
        <w:t xml:space="preserve"> </w:t>
      </w:r>
      <w:r w:rsidRPr="00A235DC">
        <w:rPr>
          <w:rFonts w:eastAsia="Times New Roman" w:cs="Arial"/>
          <w:color w:val="000000"/>
          <w:szCs w:val="20"/>
          <w:lang w:val="en-US"/>
        </w:rPr>
        <w:t>Elderly</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Пациентите получават кандесартан или плацебо с включване на друг вид антихипертензивно лечение при нужда. Кръвното налягане се понижава от 166/90 до 145/80 </w:t>
      </w:r>
      <w:r w:rsidRPr="00A235DC">
        <w:rPr>
          <w:rFonts w:eastAsia="Times New Roman" w:cs="Arial"/>
          <w:color w:val="000000"/>
          <w:szCs w:val="20"/>
          <w:lang w:val="en-US"/>
        </w:rPr>
        <w:t>mmHg</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в групата на кандесартан и от 167/90 до 149/82 </w:t>
      </w:r>
      <w:r w:rsidRPr="00A235DC">
        <w:rPr>
          <w:rFonts w:eastAsia="Times New Roman" w:cs="Arial"/>
          <w:color w:val="000000"/>
          <w:szCs w:val="20"/>
          <w:lang w:val="en-US"/>
        </w:rPr>
        <w:t>mmHg</w:t>
      </w:r>
      <w:r w:rsidRPr="00A235DC">
        <w:rPr>
          <w:rFonts w:eastAsia="Times New Roman" w:cs="Arial"/>
          <w:color w:val="000000"/>
          <w:szCs w:val="20"/>
          <w:lang w:val="ru-RU"/>
        </w:rPr>
        <w:t xml:space="preserve"> </w:t>
      </w:r>
      <w:r w:rsidRPr="00A235DC">
        <w:rPr>
          <w:rFonts w:eastAsia="Times New Roman" w:cs="Arial"/>
          <w:color w:val="000000"/>
          <w:szCs w:val="20"/>
          <w:lang w:eastAsia="bg-BG"/>
        </w:rPr>
        <w:t>в контролната група. Липсва статистически значима разлика по отношение на първичната крайна цел, основните сърдечно-съдови реакции (сърдечно-съдова смъртност, нефатален инсулт и нефатален миокарден инфаркт). Имало е 26,7 реакции на 1000 пациентогодини в групата на кандесартан спрямо 30,0 реакции на 1000 пациентогодини в контролната група (относителен риск 0,89, 95% ДИ 0,75 до 1,06, р-0,19).</w:t>
      </w:r>
    </w:p>
    <w:p w14:paraId="45DED304" w14:textId="77777777" w:rsidR="00A235DC" w:rsidRPr="00A235DC" w:rsidRDefault="00A235DC" w:rsidP="00A235DC">
      <w:pPr>
        <w:spacing w:line="240" w:lineRule="auto"/>
        <w:rPr>
          <w:rFonts w:eastAsia="Times New Roman" w:cs="Arial"/>
          <w:color w:val="000000"/>
          <w:szCs w:val="20"/>
          <w:lang w:eastAsia="bg-BG"/>
        </w:rPr>
      </w:pPr>
    </w:p>
    <w:p w14:paraId="28A87D44" w14:textId="34B604B1"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Хидрохлоротиазид инхибира активната реабсорбция на натрий, главно в дисталните бъбречни каналчета и засилва екскрецията на натрий, хлориди и вода. Бъбречната екскреция на калий и магнезий нараства дозозависимо, докато калцият се реабсорбира в по-голяма степен.</w:t>
      </w:r>
    </w:p>
    <w:p w14:paraId="59E4AC62" w14:textId="77777777" w:rsidR="00A235DC" w:rsidRPr="00A235DC" w:rsidRDefault="00A235DC" w:rsidP="00A235DC">
      <w:pPr>
        <w:spacing w:line="240" w:lineRule="auto"/>
        <w:rPr>
          <w:rFonts w:eastAsia="Times New Roman" w:cs="Arial"/>
          <w:color w:val="000000"/>
          <w:szCs w:val="20"/>
          <w:lang w:eastAsia="bg-BG"/>
        </w:rPr>
      </w:pPr>
    </w:p>
    <w:p w14:paraId="62DA6874" w14:textId="2BB1AA72"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Хидрохлоротиазид понижава плазмения обем и екстрацелуларната течност и понижава следнатоварването на сърцето и кръвното налягане.</w:t>
      </w:r>
    </w:p>
    <w:p w14:paraId="6FE60BCF"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По време на дългосрочна терапия понижената периферна резистентност допринася за понижението на кръвното налягане.</w:t>
      </w:r>
    </w:p>
    <w:p w14:paraId="39237CC8" w14:textId="77777777" w:rsidR="00A235DC" w:rsidRPr="00A235DC" w:rsidRDefault="00A235DC" w:rsidP="00A235DC">
      <w:pPr>
        <w:spacing w:line="240" w:lineRule="auto"/>
        <w:rPr>
          <w:rFonts w:eastAsia="Times New Roman" w:cs="Arial"/>
          <w:color w:val="000000"/>
          <w:szCs w:val="20"/>
          <w:lang w:eastAsia="bg-BG"/>
        </w:rPr>
      </w:pPr>
    </w:p>
    <w:p w14:paraId="675FE84D" w14:textId="10521CB1"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Големите клинични проучвания показват, че дългосрочното лечение с хидрохлоротиазид понижава риска от сърдечно-съдова заболеваемост и смъртност.</w:t>
      </w:r>
    </w:p>
    <w:p w14:paraId="65AD5D8D" w14:textId="77777777" w:rsidR="00A235DC" w:rsidRPr="00A235DC" w:rsidRDefault="00A235DC" w:rsidP="00A235DC">
      <w:pPr>
        <w:spacing w:line="240" w:lineRule="auto"/>
        <w:rPr>
          <w:rFonts w:eastAsia="Times New Roman" w:cs="Arial"/>
          <w:color w:val="000000"/>
          <w:szCs w:val="20"/>
          <w:lang w:eastAsia="bg-BG"/>
        </w:rPr>
      </w:pPr>
    </w:p>
    <w:p w14:paraId="655FC596" w14:textId="2176CD44"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Кандесартан и хидрохлоротиазид притежават адитивни антихипертензивни ефекти.</w:t>
      </w:r>
    </w:p>
    <w:p w14:paraId="3B6FBD72" w14:textId="77777777" w:rsidR="00A235DC" w:rsidRPr="00A235DC" w:rsidRDefault="00A235DC" w:rsidP="00A235DC">
      <w:pPr>
        <w:rPr>
          <w:rFonts w:eastAsia="Times New Roman" w:cs="Arial"/>
          <w:color w:val="000000"/>
          <w:szCs w:val="20"/>
          <w:lang w:eastAsia="bg-BG"/>
        </w:rPr>
      </w:pPr>
    </w:p>
    <w:p w14:paraId="4B286284" w14:textId="48C38E83" w:rsidR="00A235DC" w:rsidRPr="00A235DC" w:rsidRDefault="00A235DC" w:rsidP="00A235DC">
      <w:pPr>
        <w:rPr>
          <w:rFonts w:eastAsia="Times New Roman" w:cs="Arial"/>
          <w:color w:val="000000"/>
          <w:szCs w:val="20"/>
          <w:lang w:eastAsia="bg-BG"/>
        </w:rPr>
      </w:pPr>
      <w:r w:rsidRPr="00A235DC">
        <w:rPr>
          <w:rFonts w:eastAsia="Times New Roman" w:cs="Arial"/>
          <w:color w:val="000000"/>
          <w:szCs w:val="20"/>
          <w:lang w:eastAsia="bg-BG"/>
        </w:rPr>
        <w:t xml:space="preserve">При хипертонично болни пациенти, кандесартан цилексетил/хидрохлоротиазид води до дозозависимо и дълготрайно понижение на артериалното кръвно налягане без рефлекторно повишение на сърдечната честота. Няма данни за сериозна или засилена хипотония след първата доза или рибаунд ефект след спиране на лечението. Началото на антихипертензивния ефект обикновено настъпва в рамките на 2 часа след приложението на единична доза кандесартан цилексетил/хидрохлоротиазид. При продължително приложение ефектът се разгръща в рамките на четири седмици и се поддържа по време на дългосрочното лечение. Кандесартан цилексетил/хидрохлоротиазид веднъж дневно осигурява ефективно и гладко понижение на кръвното налягане за 24 часа с малка разлика между максималните и плато ефекти по време на дозовия интервал. При двойно-сляпо рандомизирано проучване е установено, че кандесартан цилексетил/ хидрохлоротиазид 16 </w:t>
      </w:r>
      <w:r w:rsidRPr="00A235DC">
        <w:rPr>
          <w:rFonts w:eastAsia="Times New Roman" w:cs="Arial"/>
          <w:color w:val="000000"/>
          <w:szCs w:val="20"/>
          <w:lang w:val="en-US"/>
        </w:rPr>
        <w:t>mg</w:t>
      </w:r>
      <w:r w:rsidRPr="00A235DC">
        <w:rPr>
          <w:rFonts w:eastAsia="Times New Roman" w:cs="Arial"/>
          <w:color w:val="000000"/>
          <w:szCs w:val="20"/>
        </w:rPr>
        <w:t>/</w:t>
      </w:r>
      <w:r w:rsidRPr="00A235DC">
        <w:rPr>
          <w:rFonts w:eastAsia="Times New Roman" w:cs="Arial"/>
          <w:color w:val="000000"/>
          <w:szCs w:val="20"/>
          <w:lang w:eastAsia="bg-BG"/>
        </w:rPr>
        <w:t xml:space="preserve">12,5 </w:t>
      </w:r>
      <w:r w:rsidRPr="00A235DC">
        <w:rPr>
          <w:rFonts w:eastAsia="Times New Roman" w:cs="Arial"/>
          <w:color w:val="000000"/>
          <w:szCs w:val="20"/>
          <w:lang w:val="en-US"/>
        </w:rPr>
        <w:t>mg</w:t>
      </w:r>
      <w:r w:rsidRPr="00A235DC">
        <w:rPr>
          <w:rFonts w:eastAsia="Times New Roman" w:cs="Arial"/>
          <w:color w:val="000000"/>
          <w:szCs w:val="20"/>
        </w:rPr>
        <w:t xml:space="preserve"> </w:t>
      </w:r>
      <w:r w:rsidRPr="00A235DC">
        <w:rPr>
          <w:rFonts w:eastAsia="Times New Roman" w:cs="Arial"/>
          <w:color w:val="000000"/>
          <w:szCs w:val="20"/>
          <w:lang w:eastAsia="bg-BG"/>
        </w:rPr>
        <w:t xml:space="preserve">веднъж дневно понижава кръвното налягане значително повече и контролира значително повече пациенти отколкото комбинацията лозартан/ хидрохлоротиазид 50 </w:t>
      </w:r>
      <w:r w:rsidRPr="00A235DC">
        <w:rPr>
          <w:rFonts w:eastAsia="Times New Roman" w:cs="Arial"/>
          <w:color w:val="000000"/>
          <w:szCs w:val="20"/>
          <w:lang w:val="en-US"/>
        </w:rPr>
        <w:t>mg</w:t>
      </w:r>
      <w:r w:rsidRPr="00A235DC">
        <w:rPr>
          <w:rFonts w:eastAsia="Times New Roman" w:cs="Arial"/>
          <w:color w:val="000000"/>
          <w:szCs w:val="20"/>
        </w:rPr>
        <w:t xml:space="preserve">/12,5 </w:t>
      </w:r>
      <w:r w:rsidRPr="00A235DC">
        <w:rPr>
          <w:rFonts w:eastAsia="Times New Roman" w:cs="Arial"/>
          <w:color w:val="000000"/>
          <w:szCs w:val="20"/>
          <w:lang w:val="en-US"/>
        </w:rPr>
        <w:t>mg</w:t>
      </w:r>
      <w:r w:rsidRPr="00A235DC">
        <w:rPr>
          <w:rFonts w:eastAsia="Times New Roman" w:cs="Arial"/>
          <w:color w:val="000000"/>
          <w:szCs w:val="20"/>
        </w:rPr>
        <w:t xml:space="preserve"> </w:t>
      </w:r>
      <w:r w:rsidRPr="00A235DC">
        <w:rPr>
          <w:rFonts w:eastAsia="Times New Roman" w:cs="Arial"/>
          <w:color w:val="000000"/>
          <w:szCs w:val="20"/>
          <w:lang w:eastAsia="bg-BG"/>
        </w:rPr>
        <w:t>веднъж дневно.</w:t>
      </w:r>
    </w:p>
    <w:p w14:paraId="113F181A" w14:textId="3C8C4F20" w:rsidR="00A235DC" w:rsidRPr="00A235DC" w:rsidRDefault="00A235DC" w:rsidP="00A235DC">
      <w:pPr>
        <w:rPr>
          <w:rFonts w:eastAsia="Times New Roman" w:cs="Arial"/>
          <w:color w:val="000000"/>
          <w:szCs w:val="20"/>
          <w:lang w:eastAsia="bg-BG"/>
        </w:rPr>
      </w:pPr>
    </w:p>
    <w:p w14:paraId="6D0CDEFF"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При двойно-слепите рандомизирани проучвания честотата на нежеланите реакции, особено кашлица, е по-ниска по време на лечение с кандесартан цилексетил/хидрохлоротиазид отколкото с комбинации от АСЕ инхибитори и хидрохлоротиазид.</w:t>
      </w:r>
    </w:p>
    <w:p w14:paraId="77E9AE7A" w14:textId="77777777" w:rsidR="00A235DC" w:rsidRPr="00A235DC" w:rsidRDefault="00A235DC" w:rsidP="00A235DC">
      <w:pPr>
        <w:spacing w:line="240" w:lineRule="auto"/>
        <w:rPr>
          <w:rFonts w:eastAsia="Times New Roman" w:cs="Arial"/>
          <w:color w:val="000000"/>
          <w:szCs w:val="20"/>
          <w:lang w:eastAsia="bg-BG"/>
        </w:rPr>
      </w:pPr>
    </w:p>
    <w:p w14:paraId="21D3DBCB" w14:textId="23DD3291"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 xml:space="preserve">В две клинични проучвания (рандомизирани, двойно-слепи, плацебо контролирани , паралелни групи), включващи 275 и 1524 рандомизирани пациенти, съответно кандесартан цилексетил/ хидрохлоротиазид комбинации </w:t>
      </w:r>
      <w:r w:rsidRPr="00A235DC">
        <w:rPr>
          <w:rFonts w:eastAsia="Times New Roman" w:cs="Arial"/>
          <w:i/>
          <w:iCs/>
          <w:color w:val="000000"/>
          <w:szCs w:val="20"/>
          <w:lang w:eastAsia="bg-BG"/>
        </w:rPr>
        <w:t>32</w:t>
      </w:r>
      <w:r w:rsidRPr="00A235DC">
        <w:rPr>
          <w:rFonts w:eastAsia="Times New Roman" w:cs="Arial"/>
          <w:color w:val="000000"/>
          <w:szCs w:val="20"/>
          <w:lang w:eastAsia="bg-BG"/>
        </w:rPr>
        <w:t xml:space="preserve"> </w:t>
      </w:r>
      <w:r w:rsidRPr="00A235DC">
        <w:rPr>
          <w:rFonts w:eastAsia="Times New Roman" w:cs="Arial"/>
          <w:color w:val="000000"/>
          <w:szCs w:val="20"/>
          <w:lang w:val="en-US"/>
        </w:rPr>
        <w:t>mg</w:t>
      </w:r>
      <w:r w:rsidRPr="00A235DC">
        <w:rPr>
          <w:rFonts w:eastAsia="Times New Roman" w:cs="Arial"/>
          <w:color w:val="000000"/>
          <w:szCs w:val="20"/>
          <w:lang w:val="ru-RU"/>
        </w:rPr>
        <w:t xml:space="preserve">/12,5 </w:t>
      </w:r>
      <w:r w:rsidRPr="00A235DC">
        <w:rPr>
          <w:rFonts w:eastAsia="Times New Roman" w:cs="Arial"/>
          <w:color w:val="000000"/>
          <w:szCs w:val="20"/>
          <w:lang w:val="en-US"/>
        </w:rPr>
        <w:t>mg</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и 32 </w:t>
      </w:r>
      <w:r w:rsidRPr="00A235DC">
        <w:rPr>
          <w:rFonts w:eastAsia="Times New Roman" w:cs="Arial"/>
          <w:color w:val="000000"/>
          <w:szCs w:val="20"/>
          <w:lang w:val="en-US"/>
        </w:rPr>
        <w:t>mg</w:t>
      </w:r>
      <w:r w:rsidRPr="00A235DC">
        <w:rPr>
          <w:rFonts w:eastAsia="Times New Roman" w:cs="Arial"/>
          <w:color w:val="000000"/>
          <w:szCs w:val="20"/>
          <w:lang w:val="ru-RU"/>
        </w:rPr>
        <w:t xml:space="preserve">/25 </w:t>
      </w:r>
      <w:r w:rsidRPr="00A235DC">
        <w:rPr>
          <w:rFonts w:eastAsia="Times New Roman" w:cs="Arial"/>
          <w:color w:val="000000"/>
          <w:szCs w:val="20"/>
          <w:lang w:val="en-US"/>
        </w:rPr>
        <w:t>mg</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довели до понижение на кръвното налягане съответно с 22/15 </w:t>
      </w:r>
      <w:r w:rsidRPr="00A235DC">
        <w:rPr>
          <w:rFonts w:eastAsia="Times New Roman" w:cs="Arial"/>
          <w:color w:val="000000"/>
          <w:szCs w:val="20"/>
          <w:lang w:val="en-US"/>
        </w:rPr>
        <w:t>mmHg</w:t>
      </w:r>
      <w:r w:rsidRPr="00A235DC">
        <w:rPr>
          <w:rFonts w:eastAsia="Times New Roman" w:cs="Arial"/>
          <w:color w:val="000000"/>
          <w:szCs w:val="20"/>
          <w:lang w:val="ru-RU"/>
        </w:rPr>
        <w:t xml:space="preserve"> </w:t>
      </w:r>
      <w:r w:rsidRPr="00A235DC">
        <w:rPr>
          <w:rFonts w:eastAsia="Times New Roman" w:cs="Arial"/>
          <w:color w:val="000000"/>
          <w:szCs w:val="20"/>
          <w:lang w:val="en-US"/>
        </w:rPr>
        <w:t>and</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21/14 </w:t>
      </w:r>
      <w:r w:rsidRPr="00A235DC">
        <w:rPr>
          <w:rFonts w:eastAsia="Times New Roman" w:cs="Arial"/>
          <w:color w:val="000000"/>
          <w:szCs w:val="20"/>
          <w:lang w:val="en-US"/>
        </w:rPr>
        <w:t>mmHg</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и </w:t>
      </w:r>
      <w:r w:rsidRPr="00A235DC">
        <w:rPr>
          <w:rFonts w:eastAsia="Times New Roman" w:cs="Arial"/>
          <w:color w:val="000000"/>
          <w:szCs w:val="20"/>
          <w:lang w:eastAsia="bg-BG"/>
        </w:rPr>
        <w:lastRenderedPageBreak/>
        <w:t>комбинациите са били значително по- ефективни отколкото всеки от компонентите по отделно.</w:t>
      </w:r>
    </w:p>
    <w:p w14:paraId="2943A9FE" w14:textId="77777777" w:rsidR="00A235DC" w:rsidRPr="00A235DC" w:rsidRDefault="00A235DC" w:rsidP="00A235DC">
      <w:pPr>
        <w:spacing w:line="240" w:lineRule="auto"/>
        <w:rPr>
          <w:rFonts w:eastAsia="Times New Roman" w:cs="Arial"/>
          <w:color w:val="000000"/>
          <w:szCs w:val="20"/>
          <w:lang w:eastAsia="bg-BG"/>
        </w:rPr>
      </w:pPr>
    </w:p>
    <w:p w14:paraId="57A3B7A9" w14:textId="26DDE269"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 xml:space="preserve">При рандомизирано, двойно сляпо клинично проучване с паралелни групи, включващо 1975 рандомизирани пациенти с недостатъчно добър контрол на хипертонията посредством 32 </w:t>
      </w:r>
      <w:r w:rsidRPr="00A235DC">
        <w:rPr>
          <w:rFonts w:eastAsia="Times New Roman" w:cs="Arial"/>
          <w:color w:val="000000"/>
          <w:szCs w:val="20"/>
          <w:lang w:val="en-US"/>
        </w:rPr>
        <w:t>mg</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кандесартан цилексетил веднъж дневно, добавянето на 12,5 </w:t>
      </w:r>
      <w:r w:rsidRPr="00A235DC">
        <w:rPr>
          <w:rFonts w:eastAsia="Times New Roman" w:cs="Arial"/>
          <w:color w:val="000000"/>
          <w:szCs w:val="20"/>
          <w:lang w:val="en-US"/>
        </w:rPr>
        <w:t>mg</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или 25 </w:t>
      </w:r>
      <w:r w:rsidRPr="00A235DC">
        <w:rPr>
          <w:rFonts w:eastAsia="Times New Roman" w:cs="Arial"/>
          <w:color w:val="000000"/>
          <w:szCs w:val="20"/>
          <w:lang w:val="en-US"/>
        </w:rPr>
        <w:t>mg</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хидрохлоротиазид довело до допълнителна редукция на кръвното налягане. Комбинацията кандесартан цилексетил/ хидрохлоротиазид 32 </w:t>
      </w:r>
      <w:r w:rsidRPr="00A235DC">
        <w:rPr>
          <w:rFonts w:eastAsia="Times New Roman" w:cs="Arial"/>
          <w:color w:val="000000"/>
          <w:szCs w:val="20"/>
          <w:lang w:val="en-US"/>
        </w:rPr>
        <w:t>mg</w:t>
      </w:r>
      <w:r w:rsidRPr="00A235DC">
        <w:rPr>
          <w:rFonts w:eastAsia="Times New Roman" w:cs="Arial"/>
          <w:color w:val="000000"/>
          <w:szCs w:val="20"/>
          <w:lang w:val="ru-RU"/>
        </w:rPr>
        <w:t xml:space="preserve">/25 </w:t>
      </w:r>
      <w:r w:rsidRPr="00A235DC">
        <w:rPr>
          <w:rFonts w:eastAsia="Times New Roman" w:cs="Arial"/>
          <w:color w:val="000000"/>
          <w:szCs w:val="20"/>
          <w:lang w:val="en-US"/>
        </w:rPr>
        <w:t>mg</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е била значително по-ефективна от в сравнение с комбинацията 32 </w:t>
      </w:r>
      <w:r w:rsidRPr="00A235DC">
        <w:rPr>
          <w:rFonts w:eastAsia="Times New Roman" w:cs="Arial"/>
          <w:color w:val="000000"/>
          <w:szCs w:val="20"/>
          <w:lang w:val="en-US"/>
        </w:rPr>
        <w:t>mg</w:t>
      </w:r>
      <w:r w:rsidRPr="00A235DC">
        <w:rPr>
          <w:rFonts w:eastAsia="Times New Roman" w:cs="Arial"/>
          <w:color w:val="000000"/>
          <w:szCs w:val="20"/>
          <w:lang w:val="ru-RU"/>
        </w:rPr>
        <w:t xml:space="preserve">/12,5 </w:t>
      </w:r>
      <w:r w:rsidRPr="00A235DC">
        <w:rPr>
          <w:rFonts w:eastAsia="Times New Roman" w:cs="Arial"/>
          <w:color w:val="000000"/>
          <w:szCs w:val="20"/>
          <w:lang w:val="en-US"/>
        </w:rPr>
        <w:t>mg</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и средното крайно понижение на кръвното налягане съответно с 16/10 </w:t>
      </w:r>
      <w:r w:rsidRPr="00A235DC">
        <w:rPr>
          <w:rFonts w:eastAsia="Times New Roman" w:cs="Arial"/>
          <w:color w:val="000000"/>
          <w:szCs w:val="20"/>
          <w:lang w:val="en-US"/>
        </w:rPr>
        <w:t>mmHg</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и 13/9 </w:t>
      </w:r>
      <w:r w:rsidRPr="00A235DC">
        <w:rPr>
          <w:rFonts w:eastAsia="Times New Roman" w:cs="Arial"/>
          <w:color w:val="000000"/>
          <w:szCs w:val="20"/>
          <w:lang w:val="en-US"/>
        </w:rPr>
        <w:t>mmHg</w:t>
      </w:r>
      <w:r w:rsidRPr="00A235DC">
        <w:rPr>
          <w:rFonts w:eastAsia="Times New Roman" w:cs="Arial"/>
          <w:color w:val="000000"/>
          <w:szCs w:val="20"/>
          <w:lang w:val="ru-RU"/>
        </w:rPr>
        <w:t>.</w:t>
      </w:r>
    </w:p>
    <w:p w14:paraId="17A211EA" w14:textId="77777777" w:rsidR="00A235DC" w:rsidRPr="00A235DC" w:rsidRDefault="00A235DC" w:rsidP="00A235DC">
      <w:pPr>
        <w:spacing w:line="240" w:lineRule="auto"/>
        <w:rPr>
          <w:rFonts w:eastAsia="Times New Roman" w:cs="Arial"/>
          <w:color w:val="000000"/>
          <w:szCs w:val="20"/>
          <w:lang w:eastAsia="bg-BG"/>
        </w:rPr>
      </w:pPr>
    </w:p>
    <w:p w14:paraId="3EC9C216" w14:textId="5AD77B4D"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Кандесартан цилексетил/хидрохлоротиазид е със сходна ефективност при пациентите независимо от възрастта и пола.</w:t>
      </w:r>
    </w:p>
    <w:p w14:paraId="79DBEB7F" w14:textId="77777777" w:rsidR="00A235DC" w:rsidRPr="00A235DC" w:rsidRDefault="00A235DC" w:rsidP="00A235DC">
      <w:pPr>
        <w:spacing w:line="240" w:lineRule="auto"/>
        <w:rPr>
          <w:rFonts w:eastAsia="Times New Roman" w:cs="Arial"/>
          <w:color w:val="000000"/>
          <w:szCs w:val="20"/>
          <w:lang w:eastAsia="bg-BG"/>
        </w:rPr>
      </w:pPr>
    </w:p>
    <w:p w14:paraId="5D278ADA" w14:textId="3F9608C9"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Понастоящем липсват данни за употребата на кандесартан цилексетил/хидрохлоротиазид при пациенти с бъбречно заболяване/нефропатия, понижена функция на лявата камера/застойна сърдечна недостатъчност и след миокарден инфаркт.</w:t>
      </w:r>
    </w:p>
    <w:p w14:paraId="13AD4216" w14:textId="77777777" w:rsidR="00A235DC" w:rsidRPr="00A235DC" w:rsidRDefault="00A235DC" w:rsidP="00A235DC">
      <w:pPr>
        <w:spacing w:line="240" w:lineRule="auto"/>
        <w:rPr>
          <w:rFonts w:eastAsia="Times New Roman" w:cs="Arial"/>
          <w:color w:val="000000"/>
          <w:szCs w:val="20"/>
          <w:lang w:eastAsia="bg-BG"/>
        </w:rPr>
      </w:pPr>
    </w:p>
    <w:p w14:paraId="5106A443" w14:textId="04E6573C"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 xml:space="preserve">Две големи рандомизирани контролирани проучвания - </w:t>
      </w:r>
      <w:r w:rsidRPr="00A235DC">
        <w:rPr>
          <w:rFonts w:eastAsia="Times New Roman" w:cs="Arial"/>
          <w:color w:val="000000"/>
          <w:szCs w:val="20"/>
          <w:lang w:val="en-US"/>
        </w:rPr>
        <w:t>ONTARGET</w:t>
      </w:r>
      <w:r w:rsidRPr="00A235DC">
        <w:rPr>
          <w:rFonts w:eastAsia="Times New Roman" w:cs="Arial"/>
          <w:color w:val="000000"/>
          <w:szCs w:val="20"/>
        </w:rPr>
        <w:t xml:space="preserve"> (</w:t>
      </w:r>
      <w:r w:rsidRPr="00A235DC">
        <w:rPr>
          <w:rFonts w:eastAsia="Times New Roman" w:cs="Arial"/>
          <w:color w:val="000000"/>
          <w:szCs w:val="20"/>
          <w:lang w:val="en-US"/>
        </w:rPr>
        <w:t>Ongoing</w:t>
      </w:r>
      <w:r w:rsidRPr="00A235DC">
        <w:rPr>
          <w:rFonts w:eastAsia="Times New Roman" w:cs="Arial"/>
          <w:color w:val="000000"/>
          <w:szCs w:val="20"/>
        </w:rPr>
        <w:t xml:space="preserve"> </w:t>
      </w:r>
      <w:proofErr w:type="spellStart"/>
      <w:r w:rsidRPr="00A235DC">
        <w:rPr>
          <w:rFonts w:eastAsia="Times New Roman" w:cs="Arial"/>
          <w:color w:val="000000"/>
          <w:szCs w:val="20"/>
          <w:lang w:val="en-US"/>
        </w:rPr>
        <w:t>Telmisartan</w:t>
      </w:r>
      <w:proofErr w:type="spellEnd"/>
      <w:r w:rsidRPr="00A235DC">
        <w:rPr>
          <w:rFonts w:eastAsia="Times New Roman" w:cs="Arial"/>
          <w:color w:val="000000"/>
          <w:szCs w:val="20"/>
        </w:rPr>
        <w:t xml:space="preserve"> </w:t>
      </w:r>
      <w:r w:rsidRPr="00A235DC">
        <w:rPr>
          <w:rFonts w:eastAsia="Times New Roman" w:cs="Arial"/>
          <w:color w:val="000000"/>
          <w:szCs w:val="20"/>
          <w:lang w:val="en-US"/>
        </w:rPr>
        <w:t>Alone</w:t>
      </w:r>
      <w:r w:rsidRPr="00A235DC">
        <w:rPr>
          <w:rFonts w:eastAsia="Times New Roman" w:cs="Arial"/>
          <w:color w:val="000000"/>
          <w:szCs w:val="20"/>
        </w:rPr>
        <w:t xml:space="preserve"> </w:t>
      </w:r>
      <w:r w:rsidRPr="00A235DC">
        <w:rPr>
          <w:rFonts w:eastAsia="Times New Roman" w:cs="Arial"/>
          <w:color w:val="000000"/>
          <w:szCs w:val="20"/>
          <w:lang w:val="en-US"/>
        </w:rPr>
        <w:t>and</w:t>
      </w:r>
      <w:r w:rsidRPr="00A235DC">
        <w:rPr>
          <w:rFonts w:eastAsia="Times New Roman" w:cs="Arial"/>
          <w:color w:val="000000"/>
          <w:szCs w:val="20"/>
        </w:rPr>
        <w:t xml:space="preserve"> </w:t>
      </w:r>
      <w:r w:rsidRPr="00A235DC">
        <w:rPr>
          <w:rFonts w:eastAsia="Times New Roman" w:cs="Arial"/>
          <w:color w:val="000000"/>
          <w:szCs w:val="20"/>
          <w:lang w:val="en-US"/>
        </w:rPr>
        <w:t>in</w:t>
      </w:r>
      <w:r w:rsidRPr="00A235DC">
        <w:rPr>
          <w:rFonts w:eastAsia="Times New Roman" w:cs="Arial"/>
          <w:color w:val="000000"/>
          <w:szCs w:val="20"/>
        </w:rPr>
        <w:t xml:space="preserve"> </w:t>
      </w:r>
      <w:r w:rsidRPr="00A235DC">
        <w:rPr>
          <w:rFonts w:eastAsia="Times New Roman" w:cs="Arial"/>
          <w:color w:val="000000"/>
          <w:szCs w:val="20"/>
          <w:lang w:val="en-US"/>
        </w:rPr>
        <w:t>combination</w:t>
      </w:r>
      <w:r w:rsidRPr="00A235DC">
        <w:rPr>
          <w:rFonts w:eastAsia="Times New Roman" w:cs="Arial"/>
          <w:color w:val="000000"/>
          <w:szCs w:val="20"/>
        </w:rPr>
        <w:t xml:space="preserve"> </w:t>
      </w:r>
      <w:r w:rsidRPr="00A235DC">
        <w:rPr>
          <w:rFonts w:eastAsia="Times New Roman" w:cs="Arial"/>
          <w:color w:val="000000"/>
          <w:szCs w:val="20"/>
          <w:lang w:val="en-US"/>
        </w:rPr>
        <w:t>with</w:t>
      </w:r>
      <w:r w:rsidRPr="00A235DC">
        <w:rPr>
          <w:rFonts w:eastAsia="Times New Roman" w:cs="Arial"/>
          <w:color w:val="000000"/>
          <w:szCs w:val="20"/>
        </w:rPr>
        <w:t xml:space="preserve"> </w:t>
      </w:r>
      <w:r w:rsidRPr="00A235DC">
        <w:rPr>
          <w:rFonts w:eastAsia="Times New Roman" w:cs="Arial"/>
          <w:color w:val="000000"/>
          <w:szCs w:val="20"/>
          <w:lang w:val="en-US"/>
        </w:rPr>
        <w:t>Ramipril</w:t>
      </w:r>
      <w:r w:rsidRPr="00A235DC">
        <w:rPr>
          <w:rFonts w:eastAsia="Times New Roman" w:cs="Arial"/>
          <w:color w:val="000000"/>
          <w:szCs w:val="20"/>
        </w:rPr>
        <w:t xml:space="preserve"> </w:t>
      </w:r>
      <w:r w:rsidRPr="00A235DC">
        <w:rPr>
          <w:rFonts w:eastAsia="Times New Roman" w:cs="Arial"/>
          <w:color w:val="000000"/>
          <w:szCs w:val="20"/>
          <w:lang w:val="en-US"/>
        </w:rPr>
        <w:t>Global</w:t>
      </w:r>
      <w:r w:rsidRPr="00A235DC">
        <w:rPr>
          <w:rFonts w:eastAsia="Times New Roman" w:cs="Arial"/>
          <w:color w:val="000000"/>
          <w:szCs w:val="20"/>
        </w:rPr>
        <w:t xml:space="preserve"> </w:t>
      </w:r>
      <w:r w:rsidRPr="00A235DC">
        <w:rPr>
          <w:rFonts w:eastAsia="Times New Roman" w:cs="Arial"/>
          <w:color w:val="000000"/>
          <w:szCs w:val="20"/>
          <w:lang w:val="en-US"/>
        </w:rPr>
        <w:t>Endpoint</w:t>
      </w:r>
      <w:r w:rsidRPr="00A235DC">
        <w:rPr>
          <w:rFonts w:eastAsia="Times New Roman" w:cs="Arial"/>
          <w:color w:val="000000"/>
          <w:szCs w:val="20"/>
        </w:rPr>
        <w:t xml:space="preserve"> </w:t>
      </w:r>
      <w:r w:rsidRPr="00A235DC">
        <w:rPr>
          <w:rFonts w:eastAsia="Times New Roman" w:cs="Arial"/>
          <w:color w:val="000000"/>
          <w:szCs w:val="20"/>
          <w:lang w:val="en-US"/>
        </w:rPr>
        <w:t>Trial</w:t>
      </w:r>
      <w:r w:rsidRPr="00A235DC">
        <w:rPr>
          <w:rFonts w:eastAsia="Times New Roman" w:cs="Arial"/>
          <w:color w:val="000000"/>
          <w:szCs w:val="20"/>
        </w:rPr>
        <w:t xml:space="preserve"> - </w:t>
      </w:r>
      <w:r w:rsidRPr="00A235DC">
        <w:rPr>
          <w:rFonts w:eastAsia="Times New Roman" w:cs="Arial"/>
          <w:color w:val="000000"/>
          <w:szCs w:val="20"/>
          <w:lang w:eastAsia="bg-BG"/>
        </w:rPr>
        <w:t xml:space="preserve">текущо глобално изпитване за крайни точки на телмисартан, самостоятелно и в комбинация с рамиприл) и </w:t>
      </w:r>
      <w:r w:rsidRPr="00A235DC">
        <w:rPr>
          <w:rFonts w:eastAsia="Times New Roman" w:cs="Arial"/>
          <w:color w:val="000000"/>
          <w:szCs w:val="20"/>
          <w:lang w:val="en-US"/>
        </w:rPr>
        <w:t>VA</w:t>
      </w:r>
      <w:r w:rsidRPr="00A235DC">
        <w:rPr>
          <w:rFonts w:eastAsia="Times New Roman" w:cs="Arial"/>
          <w:color w:val="000000"/>
          <w:szCs w:val="20"/>
        </w:rPr>
        <w:t xml:space="preserve"> </w:t>
      </w:r>
      <w:r w:rsidRPr="00A235DC">
        <w:rPr>
          <w:rFonts w:eastAsia="Times New Roman" w:cs="Arial"/>
          <w:color w:val="000000"/>
          <w:szCs w:val="20"/>
          <w:lang w:val="en-US"/>
        </w:rPr>
        <w:t>NEPHRON</w:t>
      </w:r>
      <w:r w:rsidRPr="00A235DC">
        <w:rPr>
          <w:rFonts w:eastAsia="Times New Roman" w:cs="Arial"/>
          <w:color w:val="000000"/>
          <w:szCs w:val="20"/>
        </w:rPr>
        <w:t>-</w:t>
      </w:r>
      <w:r w:rsidRPr="00A235DC">
        <w:rPr>
          <w:rFonts w:eastAsia="Times New Roman" w:cs="Arial"/>
          <w:color w:val="000000"/>
          <w:szCs w:val="20"/>
          <w:lang w:val="en-US"/>
        </w:rPr>
        <w:t>D</w:t>
      </w:r>
      <w:r w:rsidRPr="00A235DC">
        <w:rPr>
          <w:rFonts w:eastAsia="Times New Roman" w:cs="Arial"/>
          <w:color w:val="000000"/>
          <w:szCs w:val="20"/>
        </w:rPr>
        <w:t xml:space="preserve"> </w:t>
      </w:r>
      <w:r w:rsidRPr="00A235DC">
        <w:rPr>
          <w:rFonts w:eastAsia="Times New Roman" w:cs="Arial"/>
          <w:color w:val="000000"/>
          <w:szCs w:val="20"/>
          <w:lang w:eastAsia="bg-BG"/>
        </w:rPr>
        <w:t>(Клинично проучване свързано с нефрология при диабет, проведено от Министерство по въпросите на ветераните) - проучват употребата на комбинацията от АСЕ инхибитор и АРБ.</w:t>
      </w:r>
    </w:p>
    <w:p w14:paraId="06D87ABB"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val="en-US"/>
        </w:rPr>
        <w:t>ONTARGET</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A235DC">
        <w:rPr>
          <w:rFonts w:eastAsia="Times New Roman" w:cs="Arial"/>
          <w:color w:val="000000"/>
          <w:szCs w:val="20"/>
          <w:lang w:val="en-US"/>
        </w:rPr>
        <w:t>VA</w:t>
      </w:r>
      <w:r w:rsidRPr="00A235DC">
        <w:rPr>
          <w:rFonts w:eastAsia="Times New Roman" w:cs="Arial"/>
          <w:color w:val="000000"/>
          <w:szCs w:val="20"/>
          <w:lang w:val="ru-RU"/>
        </w:rPr>
        <w:t xml:space="preserve"> </w:t>
      </w:r>
      <w:r w:rsidRPr="00A235DC">
        <w:rPr>
          <w:rFonts w:eastAsia="Times New Roman" w:cs="Arial"/>
          <w:color w:val="000000"/>
          <w:szCs w:val="20"/>
          <w:lang w:val="en-US"/>
        </w:rPr>
        <w:t>NEPHRON</w:t>
      </w:r>
      <w:r w:rsidRPr="00A235DC">
        <w:rPr>
          <w:rFonts w:eastAsia="Times New Roman" w:cs="Arial"/>
          <w:color w:val="000000"/>
          <w:szCs w:val="20"/>
          <w:lang w:val="ru-RU"/>
        </w:rPr>
        <w:t>-</w:t>
      </w:r>
      <w:r w:rsidRPr="00A235DC">
        <w:rPr>
          <w:rFonts w:eastAsia="Times New Roman" w:cs="Arial"/>
          <w:color w:val="000000"/>
          <w:szCs w:val="20"/>
          <w:lang w:val="en-US"/>
        </w:rPr>
        <w:t>D</w:t>
      </w:r>
      <w:r w:rsidRPr="00A235DC">
        <w:rPr>
          <w:rFonts w:eastAsia="Times New Roman" w:cs="Arial"/>
          <w:color w:val="000000"/>
          <w:szCs w:val="20"/>
          <w:lang w:val="ru-RU"/>
        </w:rPr>
        <w:t xml:space="preserve"> </w:t>
      </w:r>
      <w:r w:rsidRPr="00A235DC">
        <w:rPr>
          <w:rFonts w:eastAsia="Times New Roman" w:cs="Arial"/>
          <w:color w:val="000000"/>
          <w:szCs w:val="20"/>
          <w:lang w:eastAsia="bg-BG"/>
        </w:rPr>
        <w:t>е проучване при пациенти със захарен диабет тип 2 и диабетна нефропатия.</w:t>
      </w:r>
    </w:p>
    <w:p w14:paraId="39E909FD"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Тези проучвания не показват значим благоприятен ефект върху бъбречните и/или сърдечно</w:t>
      </w:r>
      <w:r w:rsidRPr="00A235DC">
        <w:rPr>
          <w:rFonts w:eastAsia="Times New Roman" w:cs="Arial"/>
          <w:color w:val="000000"/>
          <w:szCs w:val="20"/>
          <w:lang w:eastAsia="bg-BG"/>
        </w:rPr>
        <w:softHyphen/>
        <w:t>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АРБ.</w:t>
      </w:r>
    </w:p>
    <w:p w14:paraId="3C30EF46"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АСЕ инхибитори и АРБ следователно не трябва да се използват едновременно при пациенти с диабетна нефропатия (вж. точка 4.4).</w:t>
      </w:r>
    </w:p>
    <w:p w14:paraId="3C582B65"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val="en-US"/>
        </w:rPr>
        <w:t>ALTITUDE</w:t>
      </w:r>
      <w:r w:rsidRPr="00A235DC">
        <w:rPr>
          <w:rFonts w:eastAsia="Times New Roman" w:cs="Arial"/>
          <w:color w:val="000000"/>
          <w:szCs w:val="20"/>
          <w:lang w:val="ru-RU"/>
        </w:rPr>
        <w:t xml:space="preserve"> </w:t>
      </w:r>
      <w:r w:rsidRPr="00A235DC">
        <w:rPr>
          <w:rFonts w:eastAsia="Times New Roman" w:cs="Arial"/>
          <w:color w:val="000000"/>
          <w:szCs w:val="20"/>
          <w:lang w:eastAsia="bg-BG"/>
        </w:rPr>
        <w:t>(Клинично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АРБ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6B06DCB4" w14:textId="77777777" w:rsidR="00A235DC" w:rsidRPr="00A235DC" w:rsidRDefault="00A235DC" w:rsidP="00A235DC">
      <w:pPr>
        <w:rPr>
          <w:rFonts w:eastAsia="Times New Roman" w:cs="Arial"/>
          <w:color w:val="000000"/>
          <w:szCs w:val="20"/>
          <w:lang w:eastAsia="bg-BG"/>
        </w:rPr>
      </w:pPr>
    </w:p>
    <w:p w14:paraId="7A4CE1C1" w14:textId="77777777" w:rsidR="00A235DC" w:rsidRPr="00A235DC" w:rsidRDefault="00A235DC" w:rsidP="00A235DC">
      <w:pPr>
        <w:rPr>
          <w:rFonts w:eastAsia="Times New Roman" w:cs="Arial"/>
          <w:sz w:val="28"/>
          <w:szCs w:val="24"/>
        </w:rPr>
      </w:pPr>
      <w:r w:rsidRPr="00A235DC">
        <w:rPr>
          <w:rFonts w:eastAsia="Times New Roman" w:cs="Arial"/>
          <w:color w:val="000000"/>
          <w:szCs w:val="20"/>
          <w:lang w:eastAsia="bg-BG"/>
        </w:rPr>
        <w:t xml:space="preserve">Немеланомен рак на кожата: Въз основа на наличните данни от епидемиологични проучвания е наблюдавана зависима от кумулативната доза връзка между ХХТЗ и НМРК. Едно проучване включва популация, състояща се от 71 533 случаи на БКК и 8 629 случаи </w:t>
      </w:r>
      <w:r w:rsidRPr="00A235DC">
        <w:rPr>
          <w:rFonts w:eastAsia="Times New Roman" w:cs="Arial"/>
          <w:color w:val="000000"/>
          <w:szCs w:val="20"/>
          <w:lang w:eastAsia="bg-BG"/>
        </w:rPr>
        <w:lastRenderedPageBreak/>
        <w:t xml:space="preserve">на СКК, и популация от съответно 1 430 833 и 172 462 подходящи контроли. Високата употреба на ХХТЗ (кумулативно ≥50 000 </w:t>
      </w:r>
      <w:r w:rsidRPr="00A235DC">
        <w:rPr>
          <w:rFonts w:eastAsia="Times New Roman" w:cs="Arial"/>
          <w:color w:val="000000"/>
          <w:szCs w:val="20"/>
          <w:lang w:val="en-US"/>
        </w:rPr>
        <w:t>mg</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е свързана с коригиран </w:t>
      </w:r>
      <w:r w:rsidRPr="00A235DC">
        <w:rPr>
          <w:rFonts w:eastAsia="Times New Roman" w:cs="Arial"/>
          <w:color w:val="000000"/>
          <w:szCs w:val="20"/>
          <w:lang w:val="en-US"/>
        </w:rPr>
        <w:t>OR</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1,29 (95% ДИ: 1,23-1,35) за БКК и 3,98 (95% ДИ: 3,68-4,31) за СКК. Наблюдавана е ясна връзка кумулативна доза-отговор както за БКК, така и за СКК. Друго проучване показва възможна връзка между рака на устните (СКК) и експозицията на ХХТЗ: за 633 случаи на рак на устните е подбрана популация от 63 067 подходящи контроли, като се използва стратегия за вземане на проби, определена от риска. Демонстрирана е връзка кумулативна доза- отговор с коригиран </w:t>
      </w:r>
      <w:r w:rsidRPr="00A235DC">
        <w:rPr>
          <w:rFonts w:eastAsia="Times New Roman" w:cs="Arial"/>
          <w:color w:val="000000"/>
          <w:szCs w:val="20"/>
          <w:lang w:val="en-US"/>
        </w:rPr>
        <w:t>OR</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2,1 (95% ДИ: 1,7-2,6), нарастващ до </w:t>
      </w:r>
      <w:r w:rsidRPr="00A235DC">
        <w:rPr>
          <w:rFonts w:eastAsia="Times New Roman" w:cs="Arial"/>
          <w:color w:val="000000"/>
          <w:szCs w:val="20"/>
          <w:lang w:val="en-US"/>
        </w:rPr>
        <w:t>OR</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3,9 (3,0-4,9) за висока употреба (~ 25 000 </w:t>
      </w:r>
      <w:r w:rsidRPr="00A235DC">
        <w:rPr>
          <w:rFonts w:eastAsia="Times New Roman" w:cs="Arial"/>
          <w:color w:val="000000"/>
          <w:szCs w:val="20"/>
          <w:lang w:val="en-US"/>
        </w:rPr>
        <w:t>mg</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и </w:t>
      </w:r>
      <w:r w:rsidRPr="00A235DC">
        <w:rPr>
          <w:rFonts w:eastAsia="Times New Roman" w:cs="Arial"/>
          <w:color w:val="000000"/>
          <w:szCs w:val="20"/>
          <w:lang w:val="en-US"/>
        </w:rPr>
        <w:t>OR</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7,7 (5,7-10,5) за най-високата кумулативна доза (~ 100 000 </w:t>
      </w:r>
      <w:r w:rsidRPr="00A235DC">
        <w:rPr>
          <w:rFonts w:eastAsia="Times New Roman" w:cs="Arial"/>
          <w:color w:val="000000"/>
          <w:szCs w:val="20"/>
          <w:lang w:val="en-US"/>
        </w:rPr>
        <w:t>mg</w:t>
      </w:r>
      <w:r w:rsidRPr="00A235DC">
        <w:rPr>
          <w:rFonts w:eastAsia="Times New Roman" w:cs="Arial"/>
          <w:color w:val="000000"/>
          <w:szCs w:val="20"/>
          <w:lang w:val="ru-RU"/>
        </w:rPr>
        <w:t xml:space="preserve">) </w:t>
      </w:r>
      <w:r w:rsidRPr="00A235DC">
        <w:rPr>
          <w:rFonts w:eastAsia="Times New Roman" w:cs="Arial"/>
          <w:color w:val="000000"/>
          <w:szCs w:val="20"/>
          <w:lang w:eastAsia="bg-BG"/>
        </w:rPr>
        <w:t>(вж. също точка 4.4).</w:t>
      </w:r>
    </w:p>
    <w:p w14:paraId="6DC44282" w14:textId="014DCD78" w:rsidR="00A235DC" w:rsidRPr="00A235DC" w:rsidRDefault="00A235DC" w:rsidP="00A235DC"/>
    <w:p w14:paraId="78DD93AA" w14:textId="6011F54A" w:rsidR="00B6672E" w:rsidRDefault="002C50EE" w:rsidP="00936AD0">
      <w:pPr>
        <w:pStyle w:val="Heading2"/>
      </w:pPr>
      <w:r>
        <w:t>5.2. Фармакокинетични свойства</w:t>
      </w:r>
    </w:p>
    <w:p w14:paraId="2BFC04FB" w14:textId="7E57D6A3" w:rsidR="00A235DC" w:rsidRDefault="00A235DC" w:rsidP="00A235DC"/>
    <w:p w14:paraId="00FAE9A2"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Едновременното приложение на кандесартан цилексетил и хидрохлоротиазид няма клинично значимо въздействие върху фармакокинетиката на всеки от двата лекарствени продукта поотделно.</w:t>
      </w:r>
    </w:p>
    <w:p w14:paraId="4A94FFF1" w14:textId="77777777" w:rsidR="00A235DC" w:rsidRPr="00A235DC" w:rsidRDefault="00A235DC" w:rsidP="00A235DC">
      <w:pPr>
        <w:spacing w:line="240" w:lineRule="auto"/>
        <w:rPr>
          <w:rFonts w:eastAsia="Times New Roman" w:cs="Arial"/>
          <w:i/>
          <w:iCs/>
          <w:color w:val="000000"/>
          <w:szCs w:val="20"/>
          <w:u w:val="single"/>
          <w:lang w:eastAsia="bg-BG"/>
        </w:rPr>
      </w:pPr>
    </w:p>
    <w:p w14:paraId="34E194EA" w14:textId="0E82CA3B" w:rsidR="00A235DC" w:rsidRPr="00A235DC" w:rsidRDefault="00A235DC" w:rsidP="00A235DC">
      <w:pPr>
        <w:spacing w:line="240" w:lineRule="auto"/>
        <w:rPr>
          <w:rFonts w:eastAsia="Times New Roman" w:cs="Arial"/>
          <w:sz w:val="28"/>
          <w:szCs w:val="24"/>
        </w:rPr>
      </w:pPr>
      <w:r w:rsidRPr="00A235DC">
        <w:rPr>
          <w:rFonts w:eastAsia="Times New Roman" w:cs="Arial"/>
          <w:i/>
          <w:iCs/>
          <w:color w:val="000000"/>
          <w:szCs w:val="20"/>
          <w:u w:val="single"/>
          <w:lang w:eastAsia="bg-BG"/>
        </w:rPr>
        <w:t>Абсорбиия и разпределение</w:t>
      </w:r>
    </w:p>
    <w:p w14:paraId="105EA50C" w14:textId="77777777" w:rsidR="00A235DC" w:rsidRPr="00A235DC" w:rsidRDefault="00A235DC" w:rsidP="00A235DC">
      <w:pPr>
        <w:spacing w:line="240" w:lineRule="auto"/>
        <w:rPr>
          <w:rFonts w:eastAsia="Times New Roman" w:cs="Arial"/>
          <w:i/>
          <w:iCs/>
          <w:color w:val="000000"/>
          <w:szCs w:val="20"/>
          <w:lang w:eastAsia="bg-BG"/>
        </w:rPr>
      </w:pPr>
    </w:p>
    <w:p w14:paraId="4D1A9D2A" w14:textId="512B9778" w:rsidR="00A235DC" w:rsidRPr="00A235DC" w:rsidRDefault="00A235DC" w:rsidP="00A235DC">
      <w:pPr>
        <w:spacing w:line="240" w:lineRule="auto"/>
        <w:rPr>
          <w:rFonts w:eastAsia="Times New Roman" w:cs="Arial"/>
          <w:sz w:val="28"/>
          <w:szCs w:val="24"/>
        </w:rPr>
      </w:pPr>
      <w:r w:rsidRPr="00A235DC">
        <w:rPr>
          <w:rFonts w:eastAsia="Times New Roman" w:cs="Arial"/>
          <w:i/>
          <w:iCs/>
          <w:color w:val="000000"/>
          <w:szCs w:val="20"/>
          <w:lang w:eastAsia="bg-BG"/>
        </w:rPr>
        <w:t>Кандесартан цилексетил</w:t>
      </w:r>
    </w:p>
    <w:p w14:paraId="110C3688"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След перорално приложение кандесартан цилексетил се превръща в активната субстанция кандесартан. Абсолютната бионаличност на кандесартан след приложение на перорален разтвор, съдържащ кандесартан цилексетил е приблизително 40%. Относителната бионаличност на таблетната форма на кандесартан цилексетил в сравнение с перорален разтвор е приблизително 34% с много малка вариабилност. Средната максимална серумна концентрация (С</w:t>
      </w:r>
      <w:r w:rsidRPr="00A235DC">
        <w:rPr>
          <w:rFonts w:eastAsia="Times New Roman" w:cs="Arial"/>
          <w:color w:val="000000"/>
          <w:szCs w:val="20"/>
          <w:lang w:val="en-US"/>
        </w:rPr>
        <w:t>max</w:t>
      </w:r>
      <w:r w:rsidRPr="00A235DC">
        <w:rPr>
          <w:rFonts w:eastAsia="Times New Roman" w:cs="Arial"/>
          <w:color w:val="000000"/>
          <w:szCs w:val="20"/>
          <w:lang w:eastAsia="bg-BG"/>
        </w:rPr>
        <w:t xml:space="preserve">) се достига 3-4 часа след приема на таблетката. Серумните концентрации на кандесартан нарастват линейно с повишаването на дозите в границите на терапевтичния интервал. Не се наблюдават никакви свързани с пола разлики във фармакокинетиката на кандесартан. Площта под кривата на серумната концентрация във времето </w:t>
      </w:r>
      <w:r w:rsidRPr="00A235DC">
        <w:rPr>
          <w:rFonts w:eastAsia="Times New Roman" w:cs="Arial"/>
          <w:color w:val="000000"/>
          <w:szCs w:val="20"/>
          <w:lang w:val="ru-RU"/>
        </w:rPr>
        <w:t>(</w:t>
      </w:r>
      <w:r w:rsidRPr="00A235DC">
        <w:rPr>
          <w:rFonts w:eastAsia="Times New Roman" w:cs="Arial"/>
          <w:color w:val="000000"/>
          <w:szCs w:val="20"/>
          <w:lang w:val="en-US"/>
        </w:rPr>
        <w:t>AUC</w:t>
      </w:r>
      <w:r w:rsidRPr="00A235DC">
        <w:rPr>
          <w:rFonts w:eastAsia="Times New Roman" w:cs="Arial"/>
          <w:color w:val="000000"/>
          <w:szCs w:val="20"/>
          <w:lang w:val="ru-RU"/>
        </w:rPr>
        <w:t xml:space="preserve">) </w:t>
      </w:r>
      <w:r w:rsidRPr="00A235DC">
        <w:rPr>
          <w:rFonts w:eastAsia="Times New Roman" w:cs="Arial"/>
          <w:color w:val="000000"/>
          <w:szCs w:val="20"/>
          <w:lang w:eastAsia="bg-BG"/>
        </w:rPr>
        <w:t>на кандесартан не се повлиява значимо от храната.</w:t>
      </w:r>
    </w:p>
    <w:p w14:paraId="1C94A82B"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Кандесартан се свързва в голяма степен с плазмените белтъци (повече от 99%). Привидният обем иа разпределение на кандесартан е 0,1</w:t>
      </w:r>
      <w:r w:rsidRPr="00A235DC">
        <w:rPr>
          <w:rFonts w:eastAsia="Times New Roman" w:cs="Arial"/>
          <w:color w:val="000000"/>
          <w:szCs w:val="20"/>
          <w:lang w:val="ru-RU"/>
        </w:rPr>
        <w:t>1/</w:t>
      </w:r>
      <w:r w:rsidRPr="00A235DC">
        <w:rPr>
          <w:rFonts w:eastAsia="Times New Roman" w:cs="Arial"/>
          <w:color w:val="000000"/>
          <w:szCs w:val="20"/>
          <w:lang w:val="en-US"/>
        </w:rPr>
        <w:t>kg</w:t>
      </w:r>
      <w:r w:rsidRPr="00A235DC">
        <w:rPr>
          <w:rFonts w:eastAsia="Times New Roman" w:cs="Arial"/>
          <w:color w:val="000000"/>
          <w:szCs w:val="20"/>
          <w:lang w:val="ru-RU"/>
        </w:rPr>
        <w:t>.</w:t>
      </w:r>
    </w:p>
    <w:p w14:paraId="6C7127A5" w14:textId="77777777" w:rsidR="00A235DC" w:rsidRPr="00A235DC" w:rsidRDefault="00A235DC" w:rsidP="00A235DC">
      <w:pPr>
        <w:spacing w:line="240" w:lineRule="auto"/>
        <w:rPr>
          <w:rFonts w:eastAsia="Times New Roman" w:cs="Arial"/>
          <w:i/>
          <w:iCs/>
          <w:color w:val="000000"/>
          <w:szCs w:val="20"/>
          <w:lang w:eastAsia="bg-BG"/>
        </w:rPr>
      </w:pPr>
    </w:p>
    <w:p w14:paraId="0E044C45" w14:textId="19EE77A8" w:rsidR="00A235DC" w:rsidRPr="00A235DC" w:rsidRDefault="00A235DC" w:rsidP="00A235DC">
      <w:pPr>
        <w:spacing w:line="240" w:lineRule="auto"/>
        <w:rPr>
          <w:rFonts w:eastAsia="Times New Roman" w:cs="Arial"/>
          <w:sz w:val="28"/>
          <w:szCs w:val="24"/>
        </w:rPr>
      </w:pPr>
      <w:r w:rsidRPr="00A235DC">
        <w:rPr>
          <w:rFonts w:eastAsia="Times New Roman" w:cs="Arial"/>
          <w:i/>
          <w:iCs/>
          <w:color w:val="000000"/>
          <w:szCs w:val="20"/>
          <w:lang w:eastAsia="bg-BG"/>
        </w:rPr>
        <w:t>Хидрохлоротиазид</w:t>
      </w:r>
    </w:p>
    <w:p w14:paraId="55EEB3F4"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 xml:space="preserve">Хидрохлоротиазид се абсорбира бързо от стомашно-чревния тракт с абсолютна бионаличност приблизително 70%. Едновременният прием на храна повишава абсорбцията с приблизително 15%. Бионаличността може да се понижи при пациенти със сърдечна недостатъчност и изразени отоци. Свързването с плазмените белтъци на хидрохлоротиазид е приблизително 60%. Привидният обем на разпределение е приблизително 0,8 </w:t>
      </w:r>
      <w:r w:rsidRPr="00A235DC">
        <w:rPr>
          <w:rFonts w:eastAsia="Times New Roman" w:cs="Arial"/>
          <w:color w:val="000000"/>
          <w:szCs w:val="20"/>
          <w:lang w:val="ru-RU"/>
        </w:rPr>
        <w:t>1/</w:t>
      </w:r>
      <w:r w:rsidRPr="00A235DC">
        <w:rPr>
          <w:rFonts w:eastAsia="Times New Roman" w:cs="Arial"/>
          <w:color w:val="000000"/>
          <w:szCs w:val="20"/>
          <w:lang w:val="en-US"/>
        </w:rPr>
        <w:t>kg</w:t>
      </w:r>
      <w:r w:rsidRPr="00A235DC">
        <w:rPr>
          <w:rFonts w:eastAsia="Times New Roman" w:cs="Arial"/>
          <w:color w:val="000000"/>
          <w:szCs w:val="20"/>
          <w:lang w:val="ru-RU"/>
        </w:rPr>
        <w:t>.</w:t>
      </w:r>
    </w:p>
    <w:p w14:paraId="547F223B" w14:textId="77777777" w:rsidR="00A235DC" w:rsidRPr="00A235DC" w:rsidRDefault="00A235DC" w:rsidP="00A235DC">
      <w:pPr>
        <w:spacing w:line="240" w:lineRule="auto"/>
        <w:rPr>
          <w:rFonts w:eastAsia="Times New Roman" w:cs="Arial"/>
          <w:i/>
          <w:iCs/>
          <w:color w:val="000000"/>
          <w:szCs w:val="20"/>
          <w:u w:val="single"/>
          <w:lang w:eastAsia="bg-BG"/>
        </w:rPr>
      </w:pPr>
    </w:p>
    <w:p w14:paraId="417A7D05" w14:textId="4C0AC6F2" w:rsidR="00A235DC" w:rsidRPr="00A235DC" w:rsidRDefault="00A235DC" w:rsidP="00A235DC">
      <w:pPr>
        <w:spacing w:line="240" w:lineRule="auto"/>
        <w:rPr>
          <w:rFonts w:eastAsia="Times New Roman" w:cs="Arial"/>
          <w:sz w:val="28"/>
          <w:szCs w:val="24"/>
        </w:rPr>
      </w:pPr>
      <w:r w:rsidRPr="00A235DC">
        <w:rPr>
          <w:rFonts w:eastAsia="Times New Roman" w:cs="Arial"/>
          <w:i/>
          <w:iCs/>
          <w:color w:val="000000"/>
          <w:szCs w:val="20"/>
          <w:u w:val="single"/>
          <w:lang w:eastAsia="bg-BG"/>
        </w:rPr>
        <w:t>Биотрансформаиия и елиминиране</w:t>
      </w:r>
    </w:p>
    <w:p w14:paraId="3DC55B9C" w14:textId="77777777" w:rsidR="00A235DC" w:rsidRPr="00A235DC" w:rsidRDefault="00A235DC" w:rsidP="00A235DC">
      <w:pPr>
        <w:spacing w:line="240" w:lineRule="auto"/>
        <w:rPr>
          <w:rFonts w:eastAsia="Times New Roman" w:cs="Arial"/>
          <w:i/>
          <w:iCs/>
          <w:color w:val="000000"/>
          <w:szCs w:val="20"/>
          <w:lang w:eastAsia="bg-BG"/>
        </w:rPr>
      </w:pPr>
    </w:p>
    <w:p w14:paraId="131AF971" w14:textId="2C5115FD" w:rsidR="00A235DC" w:rsidRPr="00A235DC" w:rsidRDefault="00A235DC" w:rsidP="00A235DC">
      <w:pPr>
        <w:spacing w:line="240" w:lineRule="auto"/>
        <w:rPr>
          <w:rFonts w:eastAsia="Times New Roman" w:cs="Arial"/>
          <w:sz w:val="28"/>
          <w:szCs w:val="24"/>
        </w:rPr>
      </w:pPr>
      <w:r w:rsidRPr="00A235DC">
        <w:rPr>
          <w:rFonts w:eastAsia="Times New Roman" w:cs="Arial"/>
          <w:i/>
          <w:iCs/>
          <w:color w:val="000000"/>
          <w:szCs w:val="20"/>
          <w:lang w:eastAsia="bg-BG"/>
        </w:rPr>
        <w:t>Кандесартан цилексетил</w:t>
      </w:r>
    </w:p>
    <w:p w14:paraId="0AD23A08" w14:textId="57583B33" w:rsidR="00A235DC" w:rsidRPr="00A235DC" w:rsidRDefault="00A235DC" w:rsidP="00A235DC">
      <w:pPr>
        <w:rPr>
          <w:rFonts w:eastAsia="Times New Roman" w:cs="Arial"/>
          <w:color w:val="000000"/>
          <w:szCs w:val="20"/>
          <w:lang w:eastAsia="bg-BG"/>
        </w:rPr>
      </w:pPr>
      <w:r w:rsidRPr="00A235DC">
        <w:rPr>
          <w:rFonts w:eastAsia="Times New Roman" w:cs="Arial"/>
          <w:color w:val="000000"/>
          <w:szCs w:val="20"/>
          <w:lang w:eastAsia="bg-BG"/>
        </w:rPr>
        <w:t xml:space="preserve">Кандесартан се елиминира главно непроменен чрез урината и жлъчката и само в малка степен се елиминира чрез чернодробния метаболизъм </w:t>
      </w:r>
      <w:r w:rsidRPr="00A235DC">
        <w:rPr>
          <w:rFonts w:eastAsia="Times New Roman" w:cs="Arial"/>
          <w:color w:val="000000"/>
          <w:szCs w:val="20"/>
          <w:lang w:val="ru-RU"/>
        </w:rPr>
        <w:t>(</w:t>
      </w:r>
      <w:r w:rsidRPr="00A235DC">
        <w:rPr>
          <w:rFonts w:eastAsia="Times New Roman" w:cs="Arial"/>
          <w:color w:val="000000"/>
          <w:szCs w:val="20"/>
          <w:lang w:val="en-US"/>
        </w:rPr>
        <w:t>CYP</w:t>
      </w:r>
      <w:r w:rsidRPr="00A235DC">
        <w:rPr>
          <w:rFonts w:eastAsia="Times New Roman" w:cs="Arial"/>
          <w:color w:val="000000"/>
          <w:szCs w:val="20"/>
          <w:lang w:val="ru-RU"/>
        </w:rPr>
        <w:t>2</w:t>
      </w:r>
      <w:r w:rsidRPr="00A235DC">
        <w:rPr>
          <w:rFonts w:eastAsia="Times New Roman" w:cs="Arial"/>
          <w:color w:val="000000"/>
          <w:szCs w:val="20"/>
          <w:lang w:val="en-US"/>
        </w:rPr>
        <w:t>C</w:t>
      </w:r>
      <w:r w:rsidRPr="00A235DC">
        <w:rPr>
          <w:rFonts w:eastAsia="Times New Roman" w:cs="Arial"/>
          <w:color w:val="000000"/>
          <w:szCs w:val="20"/>
          <w:lang w:val="ru-RU"/>
        </w:rPr>
        <w:t xml:space="preserve">9). </w:t>
      </w:r>
      <w:r w:rsidRPr="00A235DC">
        <w:rPr>
          <w:rFonts w:eastAsia="Times New Roman" w:cs="Arial"/>
          <w:color w:val="000000"/>
          <w:szCs w:val="20"/>
          <w:lang w:eastAsia="bg-BG"/>
        </w:rPr>
        <w:t xml:space="preserve">Наличните проучвания за взаимодействия не показват никакъв ефект върху </w:t>
      </w:r>
      <w:r w:rsidRPr="00A235DC">
        <w:rPr>
          <w:rFonts w:eastAsia="Times New Roman" w:cs="Arial"/>
          <w:color w:val="000000"/>
          <w:szCs w:val="20"/>
          <w:lang w:val="en-US"/>
        </w:rPr>
        <w:t>CYP</w:t>
      </w:r>
      <w:r w:rsidRPr="00A235DC">
        <w:rPr>
          <w:rFonts w:eastAsia="Times New Roman" w:cs="Arial"/>
          <w:color w:val="000000"/>
          <w:szCs w:val="20"/>
          <w:lang w:val="ru-RU"/>
        </w:rPr>
        <w:t>2</w:t>
      </w:r>
      <w:r w:rsidRPr="00A235DC">
        <w:rPr>
          <w:rFonts w:eastAsia="Times New Roman" w:cs="Arial"/>
          <w:color w:val="000000"/>
          <w:szCs w:val="20"/>
          <w:lang w:val="en-US"/>
        </w:rPr>
        <w:t>C</w:t>
      </w:r>
      <w:r w:rsidRPr="00A235DC">
        <w:rPr>
          <w:rFonts w:eastAsia="Times New Roman" w:cs="Arial"/>
          <w:color w:val="000000"/>
          <w:szCs w:val="20"/>
          <w:lang w:val="ru-RU"/>
        </w:rPr>
        <w:t xml:space="preserve">9 </w:t>
      </w:r>
      <w:r w:rsidRPr="00A235DC">
        <w:rPr>
          <w:rFonts w:eastAsia="Times New Roman" w:cs="Arial"/>
          <w:color w:val="000000"/>
          <w:szCs w:val="20"/>
          <w:lang w:eastAsia="bg-BG"/>
        </w:rPr>
        <w:t xml:space="preserve">и </w:t>
      </w:r>
      <w:r w:rsidRPr="00A235DC">
        <w:rPr>
          <w:rFonts w:eastAsia="Times New Roman" w:cs="Arial"/>
          <w:color w:val="000000"/>
          <w:szCs w:val="20"/>
          <w:lang w:val="en-US"/>
        </w:rPr>
        <w:t>CYP</w:t>
      </w:r>
      <w:r w:rsidRPr="00A235DC">
        <w:rPr>
          <w:rFonts w:eastAsia="Times New Roman" w:cs="Arial"/>
          <w:color w:val="000000"/>
          <w:szCs w:val="20"/>
          <w:lang w:val="ru-RU"/>
        </w:rPr>
        <w:t>3</w:t>
      </w:r>
      <w:r w:rsidRPr="00A235DC">
        <w:rPr>
          <w:rFonts w:eastAsia="Times New Roman" w:cs="Arial"/>
          <w:color w:val="000000"/>
          <w:szCs w:val="20"/>
          <w:lang w:val="en-US"/>
        </w:rPr>
        <w:t>A</w:t>
      </w:r>
      <w:r w:rsidRPr="00A235DC">
        <w:rPr>
          <w:rFonts w:eastAsia="Times New Roman" w:cs="Arial"/>
          <w:color w:val="000000"/>
          <w:szCs w:val="20"/>
          <w:lang w:val="ru-RU"/>
        </w:rPr>
        <w:t xml:space="preserve">4. </w:t>
      </w:r>
      <w:r w:rsidRPr="00A235DC">
        <w:rPr>
          <w:rFonts w:eastAsia="Times New Roman" w:cs="Arial"/>
          <w:color w:val="000000"/>
          <w:szCs w:val="20"/>
          <w:lang w:eastAsia="bg-BG"/>
        </w:rPr>
        <w:t xml:space="preserve">Въз основа на </w:t>
      </w:r>
      <w:r w:rsidRPr="00A235DC">
        <w:rPr>
          <w:rFonts w:eastAsia="Times New Roman" w:cs="Arial"/>
          <w:i/>
          <w:iCs/>
          <w:color w:val="000000"/>
          <w:szCs w:val="20"/>
          <w:lang w:val="en-US"/>
        </w:rPr>
        <w:t>in</w:t>
      </w:r>
      <w:r w:rsidRPr="00A235DC">
        <w:rPr>
          <w:rFonts w:eastAsia="Times New Roman" w:cs="Arial"/>
          <w:i/>
          <w:iCs/>
          <w:color w:val="000000"/>
          <w:szCs w:val="20"/>
          <w:lang w:val="ru-RU"/>
        </w:rPr>
        <w:t xml:space="preserve"> </w:t>
      </w:r>
      <w:r w:rsidRPr="00A235DC">
        <w:rPr>
          <w:rFonts w:eastAsia="Times New Roman" w:cs="Arial"/>
          <w:i/>
          <w:iCs/>
          <w:color w:val="000000"/>
          <w:szCs w:val="20"/>
          <w:lang w:val="en-US"/>
        </w:rPr>
        <w:t>vitro</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данните не трябва да се очаква никакво взаимодействие </w:t>
      </w:r>
      <w:r w:rsidRPr="00A235DC">
        <w:rPr>
          <w:rFonts w:eastAsia="Times New Roman" w:cs="Arial"/>
          <w:i/>
          <w:iCs/>
          <w:color w:val="000000"/>
          <w:szCs w:val="20"/>
          <w:lang w:val="en-US"/>
        </w:rPr>
        <w:t>in</w:t>
      </w:r>
      <w:r w:rsidRPr="00A235DC">
        <w:rPr>
          <w:rFonts w:eastAsia="Times New Roman" w:cs="Arial"/>
          <w:i/>
          <w:iCs/>
          <w:color w:val="000000"/>
          <w:szCs w:val="20"/>
          <w:lang w:val="ru-RU"/>
        </w:rPr>
        <w:t xml:space="preserve"> </w:t>
      </w:r>
      <w:r w:rsidRPr="00A235DC">
        <w:rPr>
          <w:rFonts w:eastAsia="Times New Roman" w:cs="Arial"/>
          <w:i/>
          <w:iCs/>
          <w:color w:val="000000"/>
          <w:szCs w:val="20"/>
          <w:lang w:val="en-US"/>
        </w:rPr>
        <w:t>vivo</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с лекарствени продукти, чийто метаболизъм зависи от цитохром Р450 изоензимите </w:t>
      </w:r>
      <w:r w:rsidRPr="00A235DC">
        <w:rPr>
          <w:rFonts w:eastAsia="Times New Roman" w:cs="Arial"/>
          <w:color w:val="000000"/>
          <w:szCs w:val="20"/>
          <w:lang w:val="en-US"/>
        </w:rPr>
        <w:t>CYP</w:t>
      </w:r>
      <w:r w:rsidRPr="00A235DC">
        <w:rPr>
          <w:rFonts w:eastAsia="Times New Roman" w:cs="Arial"/>
          <w:color w:val="000000"/>
          <w:szCs w:val="20"/>
          <w:lang w:val="ru-RU"/>
        </w:rPr>
        <w:t>1</w:t>
      </w:r>
      <w:r w:rsidRPr="00A235DC">
        <w:rPr>
          <w:rFonts w:eastAsia="Times New Roman" w:cs="Arial"/>
          <w:color w:val="000000"/>
          <w:szCs w:val="20"/>
          <w:lang w:eastAsia="bg-BG"/>
        </w:rPr>
        <w:t xml:space="preserve">А2, </w:t>
      </w:r>
      <w:r w:rsidRPr="00A235DC">
        <w:rPr>
          <w:rFonts w:eastAsia="Times New Roman" w:cs="Arial"/>
          <w:color w:val="000000"/>
          <w:szCs w:val="20"/>
          <w:lang w:val="en-US"/>
        </w:rPr>
        <w:t>CYP</w:t>
      </w:r>
      <w:r w:rsidRPr="00A235DC">
        <w:rPr>
          <w:rFonts w:eastAsia="Times New Roman" w:cs="Arial"/>
          <w:color w:val="000000"/>
          <w:szCs w:val="20"/>
          <w:lang w:val="ru-RU"/>
        </w:rPr>
        <w:t>2</w:t>
      </w:r>
      <w:r w:rsidRPr="00A235DC">
        <w:rPr>
          <w:rFonts w:eastAsia="Times New Roman" w:cs="Arial"/>
          <w:color w:val="000000"/>
          <w:szCs w:val="20"/>
          <w:lang w:val="en-US"/>
        </w:rPr>
        <w:t>A</w:t>
      </w:r>
      <w:r w:rsidRPr="00A235DC">
        <w:rPr>
          <w:rFonts w:eastAsia="Times New Roman" w:cs="Arial"/>
          <w:color w:val="000000"/>
          <w:szCs w:val="20"/>
          <w:lang w:val="ru-RU"/>
        </w:rPr>
        <w:t xml:space="preserve">6, </w:t>
      </w:r>
      <w:r w:rsidRPr="00A235DC">
        <w:rPr>
          <w:rFonts w:eastAsia="Times New Roman" w:cs="Arial"/>
          <w:color w:val="000000"/>
          <w:szCs w:val="20"/>
          <w:lang w:val="en-US"/>
        </w:rPr>
        <w:lastRenderedPageBreak/>
        <w:t>CYP</w:t>
      </w:r>
      <w:r w:rsidRPr="00A235DC">
        <w:rPr>
          <w:rFonts w:eastAsia="Times New Roman" w:cs="Arial"/>
          <w:color w:val="000000"/>
          <w:szCs w:val="20"/>
          <w:lang w:val="ru-RU"/>
        </w:rPr>
        <w:t>2</w:t>
      </w:r>
      <w:r w:rsidRPr="00A235DC">
        <w:rPr>
          <w:rFonts w:eastAsia="Times New Roman" w:cs="Arial"/>
          <w:color w:val="000000"/>
          <w:szCs w:val="20"/>
          <w:lang w:val="en-US"/>
        </w:rPr>
        <w:t>C</w:t>
      </w:r>
      <w:r w:rsidRPr="00A235DC">
        <w:rPr>
          <w:rFonts w:eastAsia="Times New Roman" w:cs="Arial"/>
          <w:color w:val="000000"/>
          <w:szCs w:val="20"/>
          <w:lang w:val="ru-RU"/>
        </w:rPr>
        <w:t xml:space="preserve">9, </w:t>
      </w:r>
      <w:r w:rsidRPr="00A235DC">
        <w:rPr>
          <w:rFonts w:eastAsia="Times New Roman" w:cs="Arial"/>
          <w:color w:val="000000"/>
          <w:szCs w:val="20"/>
          <w:lang w:val="en-US"/>
        </w:rPr>
        <w:t>CYP</w:t>
      </w:r>
      <w:r w:rsidRPr="00A235DC">
        <w:rPr>
          <w:rFonts w:eastAsia="Times New Roman" w:cs="Arial"/>
          <w:color w:val="000000"/>
          <w:szCs w:val="20"/>
          <w:lang w:val="ru-RU"/>
        </w:rPr>
        <w:t>2</w:t>
      </w:r>
      <w:r w:rsidRPr="00A235DC">
        <w:rPr>
          <w:rFonts w:eastAsia="Times New Roman" w:cs="Arial"/>
          <w:color w:val="000000"/>
          <w:szCs w:val="20"/>
          <w:lang w:val="en-US"/>
        </w:rPr>
        <w:t>C</w:t>
      </w:r>
      <w:r w:rsidRPr="00A235DC">
        <w:rPr>
          <w:rFonts w:eastAsia="Times New Roman" w:cs="Arial"/>
          <w:color w:val="000000"/>
          <w:szCs w:val="20"/>
          <w:lang w:val="ru-RU"/>
        </w:rPr>
        <w:t xml:space="preserve">19, </w:t>
      </w:r>
      <w:r w:rsidRPr="00A235DC">
        <w:rPr>
          <w:rFonts w:eastAsia="Times New Roman" w:cs="Arial"/>
          <w:color w:val="000000"/>
          <w:szCs w:val="20"/>
          <w:lang w:val="en-US"/>
        </w:rPr>
        <w:t>CYP</w:t>
      </w:r>
      <w:r w:rsidRPr="00A235DC">
        <w:rPr>
          <w:rFonts w:eastAsia="Times New Roman" w:cs="Arial"/>
          <w:color w:val="000000"/>
          <w:szCs w:val="20"/>
          <w:lang w:val="ru-RU"/>
        </w:rPr>
        <w:t>2</w:t>
      </w:r>
      <w:r w:rsidRPr="00A235DC">
        <w:rPr>
          <w:rFonts w:eastAsia="Times New Roman" w:cs="Arial"/>
          <w:color w:val="000000"/>
          <w:szCs w:val="20"/>
          <w:lang w:val="en-US"/>
        </w:rPr>
        <w:t>D</w:t>
      </w:r>
      <w:r w:rsidRPr="00A235DC">
        <w:rPr>
          <w:rFonts w:eastAsia="Times New Roman" w:cs="Arial"/>
          <w:color w:val="000000"/>
          <w:szCs w:val="20"/>
          <w:lang w:val="ru-RU"/>
        </w:rPr>
        <w:t xml:space="preserve">6, </w:t>
      </w:r>
      <w:r w:rsidRPr="00A235DC">
        <w:rPr>
          <w:rFonts w:eastAsia="Times New Roman" w:cs="Arial"/>
          <w:color w:val="000000"/>
          <w:szCs w:val="20"/>
          <w:lang w:val="en-US"/>
        </w:rPr>
        <w:t>CYP</w:t>
      </w:r>
      <w:r w:rsidRPr="00A235DC">
        <w:rPr>
          <w:rFonts w:eastAsia="Times New Roman" w:cs="Arial"/>
          <w:color w:val="000000"/>
          <w:szCs w:val="20"/>
          <w:lang w:val="ru-RU"/>
        </w:rPr>
        <w:t>2</w:t>
      </w:r>
      <w:r w:rsidRPr="00A235DC">
        <w:rPr>
          <w:rFonts w:eastAsia="Times New Roman" w:cs="Arial"/>
          <w:color w:val="000000"/>
          <w:szCs w:val="20"/>
          <w:lang w:val="en-US"/>
        </w:rPr>
        <w:t>E</w:t>
      </w:r>
      <w:r w:rsidRPr="00A235DC">
        <w:rPr>
          <w:rFonts w:eastAsia="Times New Roman" w:cs="Arial"/>
          <w:color w:val="000000"/>
          <w:szCs w:val="20"/>
          <w:lang w:val="ru-RU"/>
        </w:rPr>
        <w:t xml:space="preserve">1 </w:t>
      </w:r>
      <w:r w:rsidRPr="00A235DC">
        <w:rPr>
          <w:rFonts w:eastAsia="Times New Roman" w:cs="Arial"/>
          <w:color w:val="000000"/>
          <w:szCs w:val="20"/>
          <w:lang w:eastAsia="bg-BG"/>
        </w:rPr>
        <w:t xml:space="preserve">или </w:t>
      </w:r>
      <w:r w:rsidRPr="00A235DC">
        <w:rPr>
          <w:rFonts w:eastAsia="Times New Roman" w:cs="Arial"/>
          <w:color w:val="000000"/>
          <w:szCs w:val="20"/>
          <w:lang w:val="en-US"/>
        </w:rPr>
        <w:t>CYP</w:t>
      </w:r>
      <w:r w:rsidRPr="00A235DC">
        <w:rPr>
          <w:rFonts w:eastAsia="Times New Roman" w:cs="Arial"/>
          <w:color w:val="000000"/>
          <w:szCs w:val="20"/>
          <w:lang w:val="ru-RU"/>
        </w:rPr>
        <w:t>3</w:t>
      </w:r>
      <w:r w:rsidRPr="00A235DC">
        <w:rPr>
          <w:rFonts w:eastAsia="Times New Roman" w:cs="Arial"/>
          <w:color w:val="000000"/>
          <w:szCs w:val="20"/>
          <w:lang w:eastAsia="bg-BG"/>
        </w:rPr>
        <w:t xml:space="preserve">А4. Терминалният полуживот </w:t>
      </w:r>
      <w:r w:rsidRPr="00A235DC">
        <w:rPr>
          <w:rFonts w:eastAsia="Times New Roman" w:cs="Arial"/>
          <w:color w:val="000000"/>
          <w:szCs w:val="20"/>
          <w:lang w:val="ru-RU"/>
        </w:rPr>
        <w:t>(</w:t>
      </w:r>
      <w:r w:rsidRPr="00A235DC">
        <w:rPr>
          <w:rFonts w:eastAsia="Times New Roman" w:cs="Arial"/>
          <w:color w:val="000000"/>
          <w:szCs w:val="20"/>
          <w:lang w:val="en-US"/>
        </w:rPr>
        <w:t>t</w:t>
      </w:r>
      <w:r w:rsidRPr="00A235DC">
        <w:rPr>
          <w:rFonts w:eastAsia="Times New Roman" w:cs="Arial"/>
          <w:color w:val="000000"/>
          <w:szCs w:val="20"/>
          <w:lang w:val="ru-RU"/>
        </w:rPr>
        <w:t xml:space="preserve">1/2) </w:t>
      </w:r>
      <w:r w:rsidRPr="00A235DC">
        <w:rPr>
          <w:rFonts w:eastAsia="Times New Roman" w:cs="Arial"/>
          <w:color w:val="000000"/>
          <w:szCs w:val="20"/>
          <w:lang w:eastAsia="bg-BG"/>
        </w:rPr>
        <w:t>на кандесартан е приблизително 9 часа. Няма никакво натрупване след многократно дозиране. Полуживотът на кандесартан остава непроменен (приблизително 9 часа) след приложение на кандесартан цилексетил в комбинация с хидрохлоротиазид. След повторни дози от комбинацията не настъпва никакво допълнително натрупване на кандесартан в сравнение с монотерапията.</w:t>
      </w:r>
    </w:p>
    <w:p w14:paraId="6EE3F0F6" w14:textId="399FFA9D" w:rsidR="00A235DC" w:rsidRPr="00A235DC" w:rsidRDefault="00A235DC" w:rsidP="00A235DC">
      <w:pPr>
        <w:rPr>
          <w:rFonts w:eastAsia="Times New Roman" w:cs="Arial"/>
          <w:color w:val="000000"/>
          <w:szCs w:val="20"/>
          <w:lang w:eastAsia="bg-BG"/>
        </w:rPr>
      </w:pPr>
    </w:p>
    <w:p w14:paraId="168B9C30"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 xml:space="preserve">Плазменият клирънс на кандесартан е около 0,37 </w:t>
      </w:r>
      <w:r w:rsidRPr="00A235DC">
        <w:rPr>
          <w:rFonts w:eastAsia="Times New Roman" w:cs="Arial"/>
          <w:color w:val="000000"/>
          <w:szCs w:val="20"/>
          <w:lang w:val="en-US"/>
        </w:rPr>
        <w:t>ml</w:t>
      </w:r>
      <w:r w:rsidRPr="00A235DC">
        <w:rPr>
          <w:rFonts w:eastAsia="Times New Roman" w:cs="Arial"/>
          <w:color w:val="000000"/>
          <w:szCs w:val="20"/>
          <w:lang w:val="ru-RU"/>
        </w:rPr>
        <w:t>/</w:t>
      </w:r>
      <w:r w:rsidRPr="00A235DC">
        <w:rPr>
          <w:rFonts w:eastAsia="Times New Roman" w:cs="Arial"/>
          <w:color w:val="000000"/>
          <w:szCs w:val="20"/>
          <w:lang w:val="en-US"/>
        </w:rPr>
        <w:t>min</w:t>
      </w:r>
      <w:r w:rsidRPr="00A235DC">
        <w:rPr>
          <w:rFonts w:eastAsia="Times New Roman" w:cs="Arial"/>
          <w:color w:val="000000"/>
          <w:szCs w:val="20"/>
          <w:lang w:val="ru-RU"/>
        </w:rPr>
        <w:t>/</w:t>
      </w:r>
      <w:r w:rsidRPr="00A235DC">
        <w:rPr>
          <w:rFonts w:eastAsia="Times New Roman" w:cs="Arial"/>
          <w:color w:val="000000"/>
          <w:szCs w:val="20"/>
          <w:lang w:val="en-US"/>
        </w:rPr>
        <w:t>kg</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с бъбречен клирънс около 0,19 </w:t>
      </w:r>
      <w:r w:rsidRPr="00A235DC">
        <w:rPr>
          <w:rFonts w:eastAsia="Times New Roman" w:cs="Arial"/>
          <w:color w:val="000000"/>
          <w:szCs w:val="20"/>
          <w:lang w:val="en-US"/>
        </w:rPr>
        <w:t>ml</w:t>
      </w:r>
      <w:r w:rsidRPr="00A235DC">
        <w:rPr>
          <w:rFonts w:eastAsia="Times New Roman" w:cs="Arial"/>
          <w:color w:val="000000"/>
          <w:szCs w:val="20"/>
          <w:lang w:val="ru-RU"/>
        </w:rPr>
        <w:t>/</w:t>
      </w:r>
      <w:r w:rsidRPr="00A235DC">
        <w:rPr>
          <w:rFonts w:eastAsia="Times New Roman" w:cs="Arial"/>
          <w:color w:val="000000"/>
          <w:szCs w:val="20"/>
          <w:lang w:val="en-US"/>
        </w:rPr>
        <w:t>min</w:t>
      </w:r>
      <w:r w:rsidRPr="00A235DC">
        <w:rPr>
          <w:rFonts w:eastAsia="Times New Roman" w:cs="Arial"/>
          <w:color w:val="000000"/>
          <w:szCs w:val="20"/>
          <w:lang w:val="ru-RU"/>
        </w:rPr>
        <w:t>/</w:t>
      </w:r>
      <w:r w:rsidRPr="00A235DC">
        <w:rPr>
          <w:rFonts w:eastAsia="Times New Roman" w:cs="Arial"/>
          <w:color w:val="000000"/>
          <w:szCs w:val="20"/>
          <w:lang w:val="en-US"/>
        </w:rPr>
        <w:t>kg</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Бъбречното елиминиране на кандесартан е както чрез гломерулна филтрация, така и чрез активна тубулна секреция. След приложение на перорална доза </w:t>
      </w:r>
      <w:r w:rsidRPr="00A235DC">
        <w:rPr>
          <w:rFonts w:eastAsia="Times New Roman" w:cs="Arial"/>
          <w:color w:val="000000"/>
          <w:szCs w:val="20"/>
          <w:vertAlign w:val="superscript"/>
          <w:lang w:eastAsia="bg-BG"/>
        </w:rPr>
        <w:t>14</w:t>
      </w:r>
      <w:r w:rsidRPr="00A235DC">
        <w:rPr>
          <w:rFonts w:eastAsia="Times New Roman" w:cs="Arial"/>
          <w:color w:val="000000"/>
          <w:szCs w:val="20"/>
          <w:lang w:eastAsia="bg-BG"/>
        </w:rPr>
        <w:t>С-маркиран кандесартан цилексетил приблизително 26% от дозата се екскретират в урината под формата на кандесартан и 7% като неактивен метаболит, докато приблизително 56% от дозата се отделя с фецеса под формата на кандесартан и 10% като неактивен метаболит.</w:t>
      </w:r>
    </w:p>
    <w:p w14:paraId="59C49846" w14:textId="77777777" w:rsidR="00A235DC" w:rsidRPr="00A235DC" w:rsidRDefault="00A235DC" w:rsidP="00A235DC">
      <w:pPr>
        <w:spacing w:line="240" w:lineRule="auto"/>
        <w:rPr>
          <w:rFonts w:eastAsia="Times New Roman" w:cs="Arial"/>
          <w:i/>
          <w:iCs/>
          <w:color w:val="000000"/>
          <w:szCs w:val="20"/>
          <w:lang w:eastAsia="bg-BG"/>
        </w:rPr>
      </w:pPr>
    </w:p>
    <w:p w14:paraId="04F3A2C0" w14:textId="10FD2016" w:rsidR="00A235DC" w:rsidRPr="00A235DC" w:rsidRDefault="00A235DC" w:rsidP="00A235DC">
      <w:pPr>
        <w:spacing w:line="240" w:lineRule="auto"/>
        <w:rPr>
          <w:rFonts w:eastAsia="Times New Roman" w:cs="Arial"/>
          <w:sz w:val="28"/>
          <w:szCs w:val="24"/>
        </w:rPr>
      </w:pPr>
      <w:r w:rsidRPr="00A235DC">
        <w:rPr>
          <w:rFonts w:eastAsia="Times New Roman" w:cs="Arial"/>
          <w:i/>
          <w:iCs/>
          <w:color w:val="000000"/>
          <w:szCs w:val="20"/>
          <w:lang w:eastAsia="bg-BG"/>
        </w:rPr>
        <w:t>Хидрохлоротиазид</w:t>
      </w:r>
    </w:p>
    <w:p w14:paraId="11B753E7"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 xml:space="preserve">Хидрохлоротиазид не се метаболизира и се екскретира почти напълно непроменен чрез активна гломерулна филтрация и активна тубулна секреция. Терминалният </w:t>
      </w:r>
      <w:r w:rsidRPr="00A235DC">
        <w:rPr>
          <w:rFonts w:eastAsia="Times New Roman" w:cs="Arial"/>
          <w:color w:val="000000"/>
          <w:szCs w:val="20"/>
          <w:lang w:val="en-US"/>
        </w:rPr>
        <w:t>t</w:t>
      </w:r>
      <w:r w:rsidRPr="00A235DC">
        <w:rPr>
          <w:rFonts w:eastAsia="Times New Roman" w:cs="Arial"/>
          <w:color w:val="000000"/>
          <w:szCs w:val="20"/>
          <w:lang w:val="ru-RU"/>
        </w:rPr>
        <w:t xml:space="preserve">1/2 </w:t>
      </w:r>
      <w:r w:rsidRPr="00A235DC">
        <w:rPr>
          <w:rFonts w:eastAsia="Times New Roman" w:cs="Arial"/>
          <w:color w:val="000000"/>
          <w:szCs w:val="20"/>
          <w:lang w:eastAsia="bg-BG"/>
        </w:rPr>
        <w:t>на хидрохлоротиазид е приблизително 8 часа. Приблизително 70% от пероралната доза се елиминират с урината в рамките на 48 часа. Полуживотът на хидрохлоротиазид остава непроменен (приблизително 8 часа) след приложението му в комбинация с кандесартан цилексетил. След повторно приложение на комбинацията не настъпва никакво допълнително натрупване на хидрохлоротиазид в сравнение с монотерапията.</w:t>
      </w:r>
    </w:p>
    <w:p w14:paraId="7311A496" w14:textId="77777777" w:rsidR="00A235DC" w:rsidRPr="00A235DC" w:rsidRDefault="00A235DC" w:rsidP="00A235DC">
      <w:pPr>
        <w:spacing w:line="240" w:lineRule="auto"/>
        <w:rPr>
          <w:rFonts w:eastAsia="Times New Roman" w:cs="Arial"/>
          <w:i/>
          <w:iCs/>
          <w:color w:val="000000"/>
          <w:szCs w:val="20"/>
          <w:u w:val="single"/>
          <w:lang w:eastAsia="bg-BG"/>
        </w:rPr>
      </w:pPr>
    </w:p>
    <w:p w14:paraId="411A8894" w14:textId="66129CAE" w:rsidR="00A235DC" w:rsidRPr="00A235DC" w:rsidRDefault="00A235DC" w:rsidP="00A235DC">
      <w:pPr>
        <w:spacing w:line="240" w:lineRule="auto"/>
        <w:rPr>
          <w:rFonts w:eastAsia="Times New Roman" w:cs="Arial"/>
          <w:sz w:val="28"/>
          <w:szCs w:val="24"/>
        </w:rPr>
      </w:pPr>
      <w:r w:rsidRPr="00A235DC">
        <w:rPr>
          <w:rFonts w:eastAsia="Times New Roman" w:cs="Arial"/>
          <w:i/>
          <w:iCs/>
          <w:color w:val="000000"/>
          <w:szCs w:val="20"/>
          <w:u w:val="single"/>
          <w:lang w:eastAsia="bg-BG"/>
        </w:rPr>
        <w:t>Специални популации</w:t>
      </w:r>
    </w:p>
    <w:p w14:paraId="74B3043D" w14:textId="77777777" w:rsidR="00A235DC" w:rsidRPr="00A235DC" w:rsidRDefault="00A235DC" w:rsidP="00A235DC">
      <w:pPr>
        <w:spacing w:line="240" w:lineRule="auto"/>
        <w:rPr>
          <w:rFonts w:eastAsia="Times New Roman" w:cs="Arial"/>
          <w:i/>
          <w:iCs/>
          <w:color w:val="000000"/>
          <w:szCs w:val="20"/>
          <w:lang w:eastAsia="bg-BG"/>
        </w:rPr>
      </w:pPr>
    </w:p>
    <w:p w14:paraId="31F6706E" w14:textId="06E4057B" w:rsidR="00A235DC" w:rsidRPr="00A235DC" w:rsidRDefault="00A235DC" w:rsidP="00A235DC">
      <w:pPr>
        <w:spacing w:line="240" w:lineRule="auto"/>
        <w:rPr>
          <w:rFonts w:eastAsia="Times New Roman" w:cs="Arial"/>
          <w:sz w:val="28"/>
          <w:szCs w:val="24"/>
        </w:rPr>
      </w:pPr>
      <w:r w:rsidRPr="00A235DC">
        <w:rPr>
          <w:rFonts w:eastAsia="Times New Roman" w:cs="Arial"/>
          <w:i/>
          <w:iCs/>
          <w:color w:val="000000"/>
          <w:szCs w:val="20"/>
          <w:lang w:eastAsia="bg-BG"/>
        </w:rPr>
        <w:t>Кандесартан цилексетил</w:t>
      </w:r>
    </w:p>
    <w:p w14:paraId="5643FD8F"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При хора в старческа възраст (над 65 години), С</w:t>
      </w:r>
      <w:r w:rsidRPr="00A235DC">
        <w:rPr>
          <w:rFonts w:eastAsia="Times New Roman" w:cs="Arial"/>
          <w:color w:val="000000"/>
          <w:szCs w:val="20"/>
          <w:lang w:val="en-US"/>
        </w:rPr>
        <w:t>m</w:t>
      </w:r>
      <w:r w:rsidRPr="00A235DC">
        <w:rPr>
          <w:rFonts w:eastAsia="Times New Roman" w:cs="Arial"/>
          <w:color w:val="000000"/>
          <w:szCs w:val="20"/>
          <w:lang w:eastAsia="bg-BG"/>
        </w:rPr>
        <w:t xml:space="preserve">ах и </w:t>
      </w:r>
      <w:r w:rsidRPr="00A235DC">
        <w:rPr>
          <w:rFonts w:eastAsia="Times New Roman" w:cs="Arial"/>
          <w:color w:val="000000"/>
          <w:szCs w:val="20"/>
          <w:lang w:val="en-US"/>
        </w:rPr>
        <w:t>AUC</w:t>
      </w:r>
      <w:r w:rsidRPr="00A235DC">
        <w:rPr>
          <w:rFonts w:eastAsia="Times New Roman" w:cs="Arial"/>
          <w:color w:val="000000"/>
          <w:szCs w:val="20"/>
          <w:lang w:val="ru-RU"/>
        </w:rPr>
        <w:t xml:space="preserve"> </w:t>
      </w:r>
      <w:r w:rsidRPr="00A235DC">
        <w:rPr>
          <w:rFonts w:eastAsia="Times New Roman" w:cs="Arial"/>
          <w:color w:val="000000"/>
          <w:szCs w:val="20"/>
          <w:lang w:eastAsia="bg-BG"/>
        </w:rPr>
        <w:t>на кандесартан се повишават със съответно приблизително 50% и 80% в сравнение с млади лица. Отговорът от страна на кръвното налягане обаче и честотата на нежеланите реакции са сходни след определена доза от кандесартан цилексетил/хидрохлоротиазид при млади пациенти и пациенти в старческа възраст (вижте точка 4.2).</w:t>
      </w:r>
    </w:p>
    <w:p w14:paraId="03280C4A" w14:textId="77777777" w:rsidR="00A235DC" w:rsidRPr="00A235DC" w:rsidRDefault="00A235DC" w:rsidP="00A235DC">
      <w:pPr>
        <w:spacing w:line="240" w:lineRule="auto"/>
        <w:rPr>
          <w:rFonts w:eastAsia="Times New Roman" w:cs="Arial"/>
          <w:color w:val="000000"/>
          <w:szCs w:val="20"/>
          <w:lang w:eastAsia="bg-BG"/>
        </w:rPr>
      </w:pPr>
    </w:p>
    <w:p w14:paraId="09632960" w14:textId="12B6A015"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При пациентите с леко до умерено тежко бъбречно увреждане С</w:t>
      </w:r>
      <w:r w:rsidRPr="00A235DC">
        <w:rPr>
          <w:rFonts w:eastAsia="Times New Roman" w:cs="Arial"/>
          <w:color w:val="000000"/>
          <w:szCs w:val="20"/>
          <w:lang w:val="en-US"/>
        </w:rPr>
        <w:t>max</w:t>
      </w:r>
      <w:r w:rsidRPr="00A235DC">
        <w:rPr>
          <w:rFonts w:eastAsia="Times New Roman" w:cs="Arial"/>
          <w:color w:val="000000"/>
          <w:szCs w:val="20"/>
          <w:lang w:eastAsia="bg-BG"/>
        </w:rPr>
        <w:t xml:space="preserve"> и </w:t>
      </w:r>
      <w:r w:rsidRPr="00A235DC">
        <w:rPr>
          <w:rFonts w:eastAsia="Times New Roman" w:cs="Arial"/>
          <w:color w:val="000000"/>
          <w:szCs w:val="20"/>
          <w:lang w:val="en-US"/>
        </w:rPr>
        <w:t>AUC</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на кандесартан нарастват по време на повторните дозировки със съответно приблизително 50% и 70%, но терминалният </w:t>
      </w:r>
      <w:r w:rsidRPr="00A235DC">
        <w:rPr>
          <w:rFonts w:eastAsia="Times New Roman" w:cs="Arial"/>
          <w:i/>
          <w:iCs/>
          <w:color w:val="000000"/>
          <w:szCs w:val="20"/>
          <w:lang w:val="en-US"/>
        </w:rPr>
        <w:t>t</w:t>
      </w:r>
      <w:r w:rsidRPr="00A235DC">
        <w:rPr>
          <w:rFonts w:eastAsia="Times New Roman" w:cs="Arial"/>
          <w:i/>
          <w:iCs/>
          <w:color w:val="000000"/>
          <w:szCs w:val="20"/>
          <w:lang w:val="ru-RU"/>
        </w:rPr>
        <w:t>1/2</w:t>
      </w:r>
      <w:r w:rsidRPr="00A235DC">
        <w:rPr>
          <w:rFonts w:eastAsia="Times New Roman" w:cs="Arial"/>
          <w:color w:val="000000"/>
          <w:szCs w:val="20"/>
          <w:lang w:val="ru-RU"/>
        </w:rPr>
        <w:t xml:space="preserve"> </w:t>
      </w:r>
      <w:r w:rsidRPr="00A235DC">
        <w:rPr>
          <w:rFonts w:eastAsia="Times New Roman" w:cs="Arial"/>
          <w:color w:val="000000"/>
          <w:szCs w:val="20"/>
          <w:lang w:eastAsia="bg-BG"/>
        </w:rPr>
        <w:t>не се променя в сравнение с пациентите с нормална бъбречна функция. Съответните промени при пациентите с тежко бъбречно увреждане са съответно приблизително 50% и 110%. Терминалният на кандесартан е приблизително двойно по-висок при пациентите с тежко бъбречно увреждане. Фармакокинетиката при пациентите на хемодиализа е сходна с тази при пациентите с тежко бъбречно увреждане.</w:t>
      </w:r>
    </w:p>
    <w:p w14:paraId="7BAEF615" w14:textId="77777777" w:rsidR="00A235DC" w:rsidRPr="00A235DC" w:rsidRDefault="00A235DC" w:rsidP="00A235DC">
      <w:pPr>
        <w:spacing w:line="240" w:lineRule="auto"/>
        <w:rPr>
          <w:rFonts w:eastAsia="Times New Roman" w:cs="Arial"/>
          <w:color w:val="000000"/>
          <w:szCs w:val="20"/>
          <w:lang w:eastAsia="bg-BG"/>
        </w:rPr>
      </w:pPr>
    </w:p>
    <w:p w14:paraId="3C36F3DC" w14:textId="326C3160"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 xml:space="preserve">В две проучвания, и двете включващи пациенти с леко до умерено черноодробно увреждане, е наблюавано увеличение на средната </w:t>
      </w:r>
      <w:r w:rsidRPr="00A235DC">
        <w:rPr>
          <w:rFonts w:eastAsia="Times New Roman" w:cs="Arial"/>
          <w:color w:val="000000"/>
          <w:szCs w:val="20"/>
          <w:lang w:val="en-US"/>
        </w:rPr>
        <w:t>AUC</w:t>
      </w:r>
      <w:r w:rsidRPr="00A235DC">
        <w:rPr>
          <w:rFonts w:eastAsia="Times New Roman" w:cs="Arial"/>
          <w:color w:val="000000"/>
          <w:szCs w:val="20"/>
          <w:lang w:val="ru-RU"/>
        </w:rPr>
        <w:t xml:space="preserve"> </w:t>
      </w:r>
      <w:r w:rsidRPr="00A235DC">
        <w:rPr>
          <w:rFonts w:eastAsia="Times New Roman" w:cs="Arial"/>
          <w:i/>
          <w:iCs/>
          <w:color w:val="000000"/>
          <w:szCs w:val="20"/>
          <w:lang w:val="ru-RU"/>
        </w:rPr>
        <w:t>(</w:t>
      </w:r>
      <w:r w:rsidRPr="00A235DC">
        <w:rPr>
          <w:rFonts w:eastAsia="Times New Roman" w:cs="Arial"/>
          <w:i/>
          <w:iCs/>
          <w:color w:val="000000"/>
          <w:szCs w:val="20"/>
          <w:lang w:val="en-US"/>
        </w:rPr>
        <w:t>Area</w:t>
      </w:r>
      <w:r w:rsidRPr="00A235DC">
        <w:rPr>
          <w:rFonts w:eastAsia="Times New Roman" w:cs="Arial"/>
          <w:i/>
          <w:iCs/>
          <w:color w:val="000000"/>
          <w:szCs w:val="20"/>
          <w:lang w:val="ru-RU"/>
        </w:rPr>
        <w:t xml:space="preserve"> </w:t>
      </w:r>
      <w:r w:rsidRPr="00A235DC">
        <w:rPr>
          <w:rFonts w:eastAsia="Times New Roman" w:cs="Arial"/>
          <w:i/>
          <w:iCs/>
          <w:color w:val="000000"/>
          <w:szCs w:val="20"/>
          <w:lang w:val="en-US"/>
        </w:rPr>
        <w:t>Under</w:t>
      </w:r>
      <w:r w:rsidRPr="00A235DC">
        <w:rPr>
          <w:rFonts w:eastAsia="Times New Roman" w:cs="Arial"/>
          <w:i/>
          <w:iCs/>
          <w:color w:val="000000"/>
          <w:szCs w:val="20"/>
          <w:lang w:val="ru-RU"/>
        </w:rPr>
        <w:t xml:space="preserve"> </w:t>
      </w:r>
      <w:r w:rsidRPr="00A235DC">
        <w:rPr>
          <w:rFonts w:eastAsia="Times New Roman" w:cs="Arial"/>
          <w:i/>
          <w:iCs/>
          <w:color w:val="000000"/>
          <w:szCs w:val="20"/>
          <w:lang w:val="en-US"/>
        </w:rPr>
        <w:t>the</w:t>
      </w:r>
      <w:r w:rsidRPr="00A235DC">
        <w:rPr>
          <w:rFonts w:eastAsia="Times New Roman" w:cs="Arial"/>
          <w:i/>
          <w:iCs/>
          <w:color w:val="000000"/>
          <w:szCs w:val="20"/>
          <w:lang w:val="ru-RU"/>
        </w:rPr>
        <w:t xml:space="preserve"> </w:t>
      </w:r>
      <w:r w:rsidRPr="00A235DC">
        <w:rPr>
          <w:rFonts w:eastAsia="Times New Roman" w:cs="Arial"/>
          <w:i/>
          <w:iCs/>
          <w:color w:val="000000"/>
          <w:szCs w:val="20"/>
          <w:lang w:val="en-US"/>
        </w:rPr>
        <w:t>Curve</w:t>
      </w:r>
      <w:r w:rsidRPr="00A235DC">
        <w:rPr>
          <w:rFonts w:eastAsia="Times New Roman" w:cs="Arial"/>
          <w:i/>
          <w:iCs/>
          <w:color w:val="000000"/>
          <w:szCs w:val="20"/>
          <w:lang w:val="ru-RU"/>
        </w:rPr>
        <w:t>)</w:t>
      </w:r>
      <w:r w:rsidRPr="00A235DC">
        <w:rPr>
          <w:rFonts w:eastAsia="Times New Roman" w:cs="Arial"/>
          <w:color w:val="000000"/>
          <w:szCs w:val="20"/>
          <w:lang w:val="ru-RU"/>
        </w:rPr>
        <w:t xml:space="preserve"> </w:t>
      </w:r>
      <w:r w:rsidRPr="00A235DC">
        <w:rPr>
          <w:rFonts w:eastAsia="Times New Roman" w:cs="Arial"/>
          <w:color w:val="000000"/>
          <w:szCs w:val="20"/>
          <w:lang w:eastAsia="bg-BG"/>
        </w:rPr>
        <w:t>със средно 20% в едното проучване и 80% в другото (вижте точка 4.2). Няма наличен опит при пациенти с тежко черноодробно увреждане.</w:t>
      </w:r>
    </w:p>
    <w:p w14:paraId="265A6194" w14:textId="77777777" w:rsidR="00A235DC" w:rsidRPr="00A235DC" w:rsidRDefault="00A235DC" w:rsidP="00A235DC">
      <w:pPr>
        <w:spacing w:line="240" w:lineRule="auto"/>
        <w:rPr>
          <w:rFonts w:eastAsia="Times New Roman" w:cs="Arial"/>
          <w:i/>
          <w:iCs/>
          <w:color w:val="000000"/>
          <w:szCs w:val="20"/>
          <w:lang w:eastAsia="bg-BG"/>
        </w:rPr>
      </w:pPr>
    </w:p>
    <w:p w14:paraId="23360A4D" w14:textId="02237C0B" w:rsidR="00A235DC" w:rsidRPr="00A235DC" w:rsidRDefault="00A235DC" w:rsidP="00A235DC">
      <w:pPr>
        <w:spacing w:line="240" w:lineRule="auto"/>
        <w:rPr>
          <w:rFonts w:eastAsia="Times New Roman" w:cs="Arial"/>
          <w:sz w:val="28"/>
          <w:szCs w:val="24"/>
        </w:rPr>
      </w:pPr>
      <w:r w:rsidRPr="00A235DC">
        <w:rPr>
          <w:rFonts w:eastAsia="Times New Roman" w:cs="Arial"/>
          <w:i/>
          <w:iCs/>
          <w:color w:val="000000"/>
          <w:szCs w:val="20"/>
          <w:lang w:eastAsia="bg-BG"/>
        </w:rPr>
        <w:t>Хидрохлоротиазид</w:t>
      </w:r>
    </w:p>
    <w:p w14:paraId="495E2C94" w14:textId="6B35FB78" w:rsidR="00A235DC" w:rsidRPr="00A235DC" w:rsidRDefault="00A235DC" w:rsidP="00A235DC">
      <w:pPr>
        <w:rPr>
          <w:rFonts w:cs="Arial"/>
          <w:sz w:val="24"/>
        </w:rPr>
      </w:pPr>
      <w:r w:rsidRPr="00A235DC">
        <w:rPr>
          <w:rFonts w:eastAsia="Times New Roman" w:cs="Arial"/>
          <w:color w:val="000000"/>
          <w:szCs w:val="20"/>
          <w:lang w:eastAsia="bg-BG"/>
        </w:rPr>
        <w:t xml:space="preserve">Терминалният </w:t>
      </w:r>
      <w:r w:rsidRPr="00A235DC">
        <w:rPr>
          <w:rFonts w:eastAsia="Times New Roman" w:cs="Arial"/>
          <w:color w:val="000000"/>
          <w:szCs w:val="20"/>
          <w:lang w:val="en-US"/>
        </w:rPr>
        <w:t>t</w:t>
      </w:r>
      <w:r w:rsidRPr="00A235DC">
        <w:rPr>
          <w:rFonts w:eastAsia="Times New Roman" w:cs="Arial"/>
          <w:color w:val="000000"/>
          <w:szCs w:val="20"/>
          <w:lang w:val="ru-RU"/>
        </w:rPr>
        <w:t xml:space="preserve">1/2 </w:t>
      </w:r>
      <w:r w:rsidRPr="00A235DC">
        <w:rPr>
          <w:rFonts w:eastAsia="Times New Roman" w:cs="Arial"/>
          <w:color w:val="000000"/>
          <w:szCs w:val="20"/>
          <w:lang w:eastAsia="bg-BG"/>
        </w:rPr>
        <w:t>на хидрохлоротиазид е удължен при пациентите с бъбречно увреждане.</w:t>
      </w:r>
    </w:p>
    <w:p w14:paraId="4FB791BE" w14:textId="328D5924" w:rsidR="00B6672E" w:rsidRDefault="002C50EE" w:rsidP="00936AD0">
      <w:pPr>
        <w:pStyle w:val="Heading2"/>
      </w:pPr>
      <w:r>
        <w:lastRenderedPageBreak/>
        <w:t>5.3. Предклинични данни за безопасност</w:t>
      </w:r>
    </w:p>
    <w:p w14:paraId="73A17F62" w14:textId="15A0D37B" w:rsidR="00A235DC" w:rsidRDefault="00A235DC" w:rsidP="00A235DC"/>
    <w:p w14:paraId="16EAACA7" w14:textId="77777777" w:rsidR="00A235DC" w:rsidRPr="00A235DC" w:rsidRDefault="00A235DC" w:rsidP="00A235DC">
      <w:pPr>
        <w:rPr>
          <w:rFonts w:eastAsia="Times New Roman" w:cs="Arial"/>
          <w:sz w:val="24"/>
          <w:szCs w:val="24"/>
        </w:rPr>
      </w:pPr>
      <w:r w:rsidRPr="00A235DC">
        <w:rPr>
          <w:rFonts w:cs="Arial"/>
        </w:rPr>
        <w:t>Няма никакви качествено нови данни за токсичност на комбинацията в сравнение с наблюдаваните за отделните съставки. При предклиничните проучвания за безопасност високи дози кандесартан имат ефект върху бъбреците и еритроцитните параметри при мишки, плъхове, кучета и маймуни. Кандесартан причинява понижение на еритроцитните параметри (еритроцити, хемоглобин, хематокрит). Кандесартан предизвиква ефекти върху бъбреците (като регенерация, дилатация и базофилия в тубулите, повишени плазмени концентрации на урея и креатинин), коио може да са вторични на хипотензивния ефект, водещ до промени на бъбречната перфузия. Включването на хидрохлоротиазид потенцира нефротоксичността на кандесартан. Освен това кандесартан индуцира хиперплазия/хипертрофия на юкстагломерулните клетки. Приема се тези промени са</w:t>
      </w:r>
      <w:r w:rsidRPr="00A235DC">
        <w:rPr>
          <w:rFonts w:cs="Arial"/>
        </w:rPr>
        <w:t xml:space="preserve"> </w:t>
      </w:r>
      <w:r w:rsidRPr="00A235DC">
        <w:rPr>
          <w:rFonts w:eastAsia="Times New Roman" w:cs="Arial"/>
          <w:color w:val="000000"/>
          <w:lang w:eastAsia="bg-BG"/>
        </w:rPr>
        <w:t>поради фармакологичното действие на кандесартан и са с малко клинично значение.</w:t>
      </w:r>
    </w:p>
    <w:p w14:paraId="2B362033" w14:textId="77777777" w:rsidR="00A235DC" w:rsidRPr="00A235DC" w:rsidRDefault="00A235DC" w:rsidP="00A235DC">
      <w:pPr>
        <w:rPr>
          <w:rFonts w:eastAsia="Times New Roman" w:cs="Arial"/>
          <w:color w:val="000000"/>
          <w:lang w:eastAsia="bg-BG"/>
        </w:rPr>
      </w:pPr>
    </w:p>
    <w:p w14:paraId="43EE4462" w14:textId="327AC722" w:rsidR="00A235DC" w:rsidRPr="00A235DC" w:rsidRDefault="00A235DC" w:rsidP="00A235DC">
      <w:pPr>
        <w:rPr>
          <w:rFonts w:eastAsia="Times New Roman" w:cs="Arial"/>
          <w:sz w:val="24"/>
          <w:szCs w:val="24"/>
        </w:rPr>
      </w:pPr>
      <w:r w:rsidRPr="00A235DC">
        <w:rPr>
          <w:rFonts w:eastAsia="Times New Roman" w:cs="Arial"/>
          <w:color w:val="000000"/>
          <w:lang w:eastAsia="bg-BG"/>
        </w:rPr>
        <w:t>При кандесартан се наблюдава фетоксичност в късната бременност.</w:t>
      </w:r>
    </w:p>
    <w:p w14:paraId="3A2729F5" w14:textId="77777777" w:rsidR="00A235DC" w:rsidRPr="00A235DC" w:rsidRDefault="00A235DC" w:rsidP="00A235DC">
      <w:pPr>
        <w:rPr>
          <w:rFonts w:eastAsia="Times New Roman" w:cs="Arial"/>
          <w:color w:val="000000"/>
          <w:lang w:eastAsia="bg-BG"/>
        </w:rPr>
      </w:pPr>
    </w:p>
    <w:p w14:paraId="26C22E0B" w14:textId="567DFB86" w:rsidR="00A235DC" w:rsidRPr="00A235DC" w:rsidRDefault="00A235DC" w:rsidP="00A235DC">
      <w:pPr>
        <w:rPr>
          <w:rFonts w:eastAsia="Times New Roman" w:cs="Arial"/>
          <w:sz w:val="24"/>
          <w:szCs w:val="24"/>
        </w:rPr>
      </w:pPr>
      <w:r w:rsidRPr="00A235DC">
        <w:rPr>
          <w:rFonts w:eastAsia="Times New Roman" w:cs="Arial"/>
          <w:color w:val="000000"/>
          <w:lang w:eastAsia="bg-BG"/>
        </w:rPr>
        <w:t>Включването на хидрхлоротиазид не повлиява значимо резултата от проучванията на феталното развитие при плъхове, мишки и зайци (вижте точка 4.6).</w:t>
      </w:r>
    </w:p>
    <w:p w14:paraId="00399527" w14:textId="77777777" w:rsidR="00A235DC" w:rsidRPr="00A235DC" w:rsidRDefault="00A235DC" w:rsidP="00A235DC">
      <w:pPr>
        <w:rPr>
          <w:rFonts w:eastAsia="Times New Roman" w:cs="Arial"/>
          <w:color w:val="000000"/>
          <w:lang w:eastAsia="bg-BG"/>
        </w:rPr>
      </w:pPr>
    </w:p>
    <w:p w14:paraId="026D3444" w14:textId="0B817386" w:rsidR="00A235DC" w:rsidRPr="00A235DC" w:rsidRDefault="00A235DC" w:rsidP="00A235DC">
      <w:pPr>
        <w:rPr>
          <w:rFonts w:eastAsia="Times New Roman" w:cs="Arial"/>
          <w:sz w:val="24"/>
          <w:szCs w:val="24"/>
        </w:rPr>
      </w:pPr>
      <w:r w:rsidRPr="00A235DC">
        <w:rPr>
          <w:rFonts w:eastAsia="Times New Roman" w:cs="Arial"/>
          <w:color w:val="000000"/>
          <w:lang w:eastAsia="bg-BG"/>
        </w:rPr>
        <w:t xml:space="preserve">Както кандесартан, така и хидрохлоротиазид показват генотоксично действие в много високи концентрации/дози. Данните от </w:t>
      </w:r>
      <w:r w:rsidRPr="00A235DC">
        <w:rPr>
          <w:rFonts w:eastAsia="Times New Roman" w:cs="Arial"/>
          <w:i/>
          <w:iCs/>
          <w:color w:val="000000"/>
          <w:lang w:val="en-US"/>
        </w:rPr>
        <w:t>in</w:t>
      </w:r>
      <w:r w:rsidRPr="00A235DC">
        <w:rPr>
          <w:rFonts w:eastAsia="Times New Roman" w:cs="Arial"/>
          <w:i/>
          <w:iCs/>
          <w:color w:val="000000"/>
          <w:lang w:val="ru-RU"/>
        </w:rPr>
        <w:t xml:space="preserve"> </w:t>
      </w:r>
      <w:r w:rsidRPr="00A235DC">
        <w:rPr>
          <w:rFonts w:eastAsia="Times New Roman" w:cs="Arial"/>
          <w:i/>
          <w:iCs/>
          <w:color w:val="000000"/>
          <w:lang w:val="en-US"/>
        </w:rPr>
        <w:t>vitro</w:t>
      </w:r>
      <w:r w:rsidRPr="00A235DC">
        <w:rPr>
          <w:rFonts w:eastAsia="Times New Roman" w:cs="Arial"/>
          <w:color w:val="000000"/>
          <w:lang w:val="ru-RU"/>
        </w:rPr>
        <w:t xml:space="preserve"> </w:t>
      </w:r>
      <w:r w:rsidRPr="00A235DC">
        <w:rPr>
          <w:rFonts w:eastAsia="Times New Roman" w:cs="Arial"/>
          <w:color w:val="000000"/>
          <w:lang w:eastAsia="bg-BG"/>
        </w:rPr>
        <w:t xml:space="preserve">и </w:t>
      </w:r>
      <w:r w:rsidRPr="00A235DC">
        <w:rPr>
          <w:rFonts w:eastAsia="Times New Roman" w:cs="Arial"/>
          <w:i/>
          <w:iCs/>
          <w:color w:val="000000"/>
          <w:lang w:val="en-US"/>
        </w:rPr>
        <w:t>in</w:t>
      </w:r>
      <w:r w:rsidRPr="00A235DC">
        <w:rPr>
          <w:rFonts w:eastAsia="Times New Roman" w:cs="Arial"/>
          <w:i/>
          <w:iCs/>
          <w:color w:val="000000"/>
          <w:lang w:val="ru-RU"/>
        </w:rPr>
        <w:t xml:space="preserve"> </w:t>
      </w:r>
      <w:r w:rsidRPr="00A235DC">
        <w:rPr>
          <w:rFonts w:eastAsia="Times New Roman" w:cs="Arial"/>
          <w:i/>
          <w:iCs/>
          <w:color w:val="000000"/>
          <w:lang w:val="en-US"/>
        </w:rPr>
        <w:t>vivo</w:t>
      </w:r>
      <w:r w:rsidRPr="00A235DC">
        <w:rPr>
          <w:rFonts w:eastAsia="Times New Roman" w:cs="Arial"/>
          <w:color w:val="000000"/>
          <w:lang w:val="ru-RU"/>
        </w:rPr>
        <w:t xml:space="preserve"> </w:t>
      </w:r>
      <w:r w:rsidRPr="00A235DC">
        <w:rPr>
          <w:rFonts w:eastAsia="Times New Roman" w:cs="Arial"/>
          <w:color w:val="000000"/>
          <w:lang w:eastAsia="bg-BG"/>
        </w:rPr>
        <w:t>изследванията за генотоксичност показват, че е малко вероятно кандесартан да оказва мутагенно или кластогенно действие при условията на клинична употреба.</w:t>
      </w:r>
    </w:p>
    <w:p w14:paraId="55DDD958" w14:textId="67B7D59F" w:rsidR="00A235DC" w:rsidRPr="00A235DC" w:rsidRDefault="00A235DC" w:rsidP="00A235DC"/>
    <w:p w14:paraId="1BA6531D" w14:textId="21BB3090" w:rsidR="00B6672E" w:rsidRDefault="002C50EE" w:rsidP="00936AD0">
      <w:pPr>
        <w:pStyle w:val="Heading1"/>
      </w:pPr>
      <w:r>
        <w:t>7. ПРИТЕЖАТЕЛ НА РАЗРЕШЕНИЕТО ЗА УПОТРЕБА</w:t>
      </w:r>
    </w:p>
    <w:p w14:paraId="2542B671" w14:textId="0B5DD463" w:rsidR="00A235DC" w:rsidRDefault="00A235DC" w:rsidP="00A235DC"/>
    <w:p w14:paraId="19258B20" w14:textId="77777777" w:rsidR="00A235DC" w:rsidRPr="00A235DC" w:rsidRDefault="00A235DC" w:rsidP="00A235DC">
      <w:pPr>
        <w:rPr>
          <w:sz w:val="24"/>
          <w:szCs w:val="24"/>
        </w:rPr>
      </w:pPr>
      <w:r w:rsidRPr="00A235DC">
        <w:rPr>
          <w:lang w:val="en-US"/>
        </w:rPr>
        <w:t>Sandoz</w:t>
      </w:r>
      <w:r w:rsidRPr="00A235DC">
        <w:t xml:space="preserve"> </w:t>
      </w:r>
      <w:r w:rsidRPr="00A235DC">
        <w:rPr>
          <w:lang w:val="en-US"/>
        </w:rPr>
        <w:t>d</w:t>
      </w:r>
      <w:r w:rsidRPr="00A235DC">
        <w:t>.</w:t>
      </w:r>
      <w:r w:rsidRPr="00A235DC">
        <w:rPr>
          <w:lang w:val="en-US"/>
        </w:rPr>
        <w:t>d</w:t>
      </w:r>
      <w:r w:rsidRPr="00A235DC">
        <w:t>.</w:t>
      </w:r>
    </w:p>
    <w:p w14:paraId="5057121B" w14:textId="77777777" w:rsidR="00A235DC" w:rsidRPr="00A235DC" w:rsidRDefault="00A235DC" w:rsidP="00A235DC">
      <w:pPr>
        <w:rPr>
          <w:sz w:val="24"/>
          <w:szCs w:val="24"/>
        </w:rPr>
      </w:pPr>
      <w:proofErr w:type="spellStart"/>
      <w:r w:rsidRPr="00A235DC">
        <w:rPr>
          <w:lang w:val="en-US"/>
        </w:rPr>
        <w:t>Verovskova</w:t>
      </w:r>
      <w:proofErr w:type="spellEnd"/>
      <w:r w:rsidRPr="00A235DC">
        <w:t xml:space="preserve"> </w:t>
      </w:r>
      <w:r w:rsidRPr="00A235DC">
        <w:rPr>
          <w:lang w:eastAsia="bg-BG"/>
        </w:rPr>
        <w:t xml:space="preserve">57. 1000 </w:t>
      </w:r>
      <w:r w:rsidRPr="00A235DC">
        <w:rPr>
          <w:lang w:val="en-US"/>
        </w:rPr>
        <w:t>Ljubljana</w:t>
      </w:r>
      <w:r w:rsidRPr="00A235DC">
        <w:t xml:space="preserve">, </w:t>
      </w:r>
      <w:r w:rsidRPr="00A235DC">
        <w:rPr>
          <w:lang w:eastAsia="bg-BG"/>
        </w:rPr>
        <w:t>Словения</w:t>
      </w:r>
    </w:p>
    <w:p w14:paraId="29A98A72" w14:textId="77777777" w:rsidR="00A235DC" w:rsidRPr="00A235DC" w:rsidRDefault="00A235DC" w:rsidP="00A235DC"/>
    <w:p w14:paraId="508F3A54" w14:textId="375E7A97" w:rsidR="00B6672E" w:rsidRDefault="00936AD0" w:rsidP="00936AD0">
      <w:pPr>
        <w:pStyle w:val="Heading1"/>
      </w:pPr>
      <w:r>
        <w:t>8.</w:t>
      </w:r>
      <w:r w:rsidR="002C50EE">
        <w:t>НОМЕР НА РАЗРЕШЕНИЕТО ЗА УПОТРЕБА</w:t>
      </w:r>
    </w:p>
    <w:p w14:paraId="3E91B218" w14:textId="766A283E" w:rsidR="00A235DC" w:rsidRDefault="00A235DC" w:rsidP="00A235DC"/>
    <w:p w14:paraId="6196D772" w14:textId="68D4C287" w:rsidR="00A235DC" w:rsidRPr="00A235DC" w:rsidRDefault="00A235DC" w:rsidP="00A235DC">
      <w:proofErr w:type="spellStart"/>
      <w:r>
        <w:rPr>
          <w:lang w:val="en-US"/>
        </w:rPr>
        <w:t>Pe</w:t>
      </w:r>
      <w:proofErr w:type="spellEnd"/>
      <w:r>
        <w:t>г</w:t>
      </w:r>
      <w:r w:rsidRPr="00A235DC">
        <w:rPr>
          <w:lang w:val="ru-RU"/>
        </w:rPr>
        <w:t>.</w:t>
      </w:r>
      <w:r>
        <w:rPr>
          <w:lang w:val="en-US"/>
        </w:rPr>
        <w:t>No</w:t>
      </w:r>
      <w:r w:rsidRPr="00A235DC">
        <w:rPr>
          <w:lang w:val="ru-RU"/>
        </w:rPr>
        <w:t xml:space="preserve">: </w:t>
      </w:r>
      <w:r>
        <w:t>20100229</w:t>
      </w:r>
    </w:p>
    <w:p w14:paraId="2CCB5832" w14:textId="4537A86F" w:rsidR="007C605B" w:rsidRDefault="002C50EE" w:rsidP="007C605B">
      <w:pPr>
        <w:pStyle w:val="Heading1"/>
      </w:pPr>
      <w:r>
        <w:t>9. ДАТА НА ПЪРВО РАЗРЕШАВАНЕ/ПОДНОВЯВАНЕ НА РАЗРЕШЕНИЕТО ЗА УПОТРЕБА</w:t>
      </w:r>
    </w:p>
    <w:p w14:paraId="034579AD" w14:textId="1B59A30A" w:rsidR="00A235DC" w:rsidRDefault="00A235DC" w:rsidP="00A235DC"/>
    <w:p w14:paraId="33462F4B" w14:textId="77777777" w:rsidR="00A235DC" w:rsidRPr="00A235DC" w:rsidRDefault="00A235DC" w:rsidP="00A235DC">
      <w:pPr>
        <w:rPr>
          <w:sz w:val="24"/>
          <w:szCs w:val="24"/>
        </w:rPr>
      </w:pPr>
      <w:r w:rsidRPr="00A235DC">
        <w:rPr>
          <w:lang w:eastAsia="bg-BG"/>
        </w:rPr>
        <w:t>Дата на първо разрешаване: 01.04.2010</w:t>
      </w:r>
    </w:p>
    <w:p w14:paraId="269116FB" w14:textId="77777777" w:rsidR="00A235DC" w:rsidRPr="00A235DC" w:rsidRDefault="00A235DC" w:rsidP="00A235DC">
      <w:pPr>
        <w:rPr>
          <w:sz w:val="24"/>
          <w:szCs w:val="24"/>
        </w:rPr>
      </w:pPr>
      <w:r w:rsidRPr="00A235DC">
        <w:rPr>
          <w:lang w:eastAsia="bg-BG"/>
        </w:rPr>
        <w:t>Дата на последно подновяване: 26.01.2017</w:t>
      </w:r>
    </w:p>
    <w:p w14:paraId="58D06B29" w14:textId="77777777" w:rsidR="00A235DC" w:rsidRPr="00A235DC" w:rsidRDefault="00A235DC" w:rsidP="00A235DC"/>
    <w:p w14:paraId="0E9D0119" w14:textId="0245C6D7" w:rsidR="002C50EE" w:rsidRDefault="002C50EE" w:rsidP="002C50EE">
      <w:pPr>
        <w:pStyle w:val="Heading1"/>
      </w:pPr>
      <w:r>
        <w:t>10. ДАТА НА АКТУАЛИЗИРАНЕ НА ТЕКСТА</w:t>
      </w:r>
    </w:p>
    <w:bookmarkEnd w:id="0"/>
    <w:p w14:paraId="43FB38A2" w14:textId="4552F522" w:rsidR="007C605B" w:rsidRPr="003E3126" w:rsidRDefault="00A235DC" w:rsidP="00A235DC">
      <w:r>
        <w:t>11/2021</w:t>
      </w:r>
      <w:bookmarkStart w:id="1" w:name="_GoBack"/>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5E14826"/>
    <w:multiLevelType w:val="hybridMultilevel"/>
    <w:tmpl w:val="FAB2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102316E"/>
    <w:multiLevelType w:val="hybridMultilevel"/>
    <w:tmpl w:val="325A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4"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0"/>
  </w:num>
  <w:num w:numId="2">
    <w:abstractNumId w:val="0"/>
  </w:num>
  <w:num w:numId="3">
    <w:abstractNumId w:val="16"/>
  </w:num>
  <w:num w:numId="4">
    <w:abstractNumId w:val="3"/>
  </w:num>
  <w:num w:numId="5">
    <w:abstractNumId w:val="1"/>
  </w:num>
  <w:num w:numId="6">
    <w:abstractNumId w:val="19"/>
  </w:num>
  <w:num w:numId="7">
    <w:abstractNumId w:val="14"/>
  </w:num>
  <w:num w:numId="8">
    <w:abstractNumId w:val="18"/>
  </w:num>
  <w:num w:numId="9">
    <w:abstractNumId w:val="2"/>
  </w:num>
  <w:num w:numId="10">
    <w:abstractNumId w:val="4"/>
  </w:num>
  <w:num w:numId="11">
    <w:abstractNumId w:val="33"/>
  </w:num>
  <w:num w:numId="12">
    <w:abstractNumId w:val="17"/>
  </w:num>
  <w:num w:numId="13">
    <w:abstractNumId w:val="22"/>
  </w:num>
  <w:num w:numId="14">
    <w:abstractNumId w:val="15"/>
  </w:num>
  <w:num w:numId="15">
    <w:abstractNumId w:val="32"/>
  </w:num>
  <w:num w:numId="16">
    <w:abstractNumId w:val="13"/>
  </w:num>
  <w:num w:numId="17">
    <w:abstractNumId w:val="27"/>
  </w:num>
  <w:num w:numId="18">
    <w:abstractNumId w:val="10"/>
  </w:num>
  <w:num w:numId="19">
    <w:abstractNumId w:val="29"/>
  </w:num>
  <w:num w:numId="20">
    <w:abstractNumId w:val="26"/>
  </w:num>
  <w:num w:numId="21">
    <w:abstractNumId w:val="20"/>
  </w:num>
  <w:num w:numId="22">
    <w:abstractNumId w:val="28"/>
  </w:num>
  <w:num w:numId="23">
    <w:abstractNumId w:val="21"/>
  </w:num>
  <w:num w:numId="24">
    <w:abstractNumId w:val="11"/>
  </w:num>
  <w:num w:numId="25">
    <w:abstractNumId w:val="25"/>
  </w:num>
  <w:num w:numId="26">
    <w:abstractNumId w:val="24"/>
  </w:num>
  <w:num w:numId="27">
    <w:abstractNumId w:val="34"/>
  </w:num>
  <w:num w:numId="28">
    <w:abstractNumId w:val="7"/>
  </w:num>
  <w:num w:numId="29">
    <w:abstractNumId w:val="23"/>
  </w:num>
  <w:num w:numId="30">
    <w:abstractNumId w:val="37"/>
  </w:num>
  <w:num w:numId="31">
    <w:abstractNumId w:val="6"/>
  </w:num>
  <w:num w:numId="32">
    <w:abstractNumId w:val="36"/>
  </w:num>
  <w:num w:numId="33">
    <w:abstractNumId w:val="31"/>
  </w:num>
  <w:num w:numId="34">
    <w:abstractNumId w:val="35"/>
  </w:num>
  <w:num w:numId="35">
    <w:abstractNumId w:val="9"/>
  </w:num>
  <w:num w:numId="36">
    <w:abstractNumId w:val="12"/>
  </w:num>
  <w:num w:numId="37">
    <w:abstractNumId w:val="5"/>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67986"/>
    <w:rsid w:val="009773E4"/>
    <w:rsid w:val="009B171C"/>
    <w:rsid w:val="009F1313"/>
    <w:rsid w:val="00A20351"/>
    <w:rsid w:val="00A235DC"/>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6797</Words>
  <Characters>38749</Characters>
  <Application>Microsoft Office Word</Application>
  <DocSecurity>0</DocSecurity>
  <Lines>322</Lines>
  <Paragraphs>90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2022-06-21T19:30:00Z</dcterms:created>
  <dcterms:modified xsi:type="dcterms:W3CDTF">2022-06-21T19:30:00Z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