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5E9ACCB6" w:rsidR="007122AD" w:rsidRDefault="00DD466D" w:rsidP="00936AD0">
      <w:pPr>
        <w:pStyle w:val="Heading1"/>
      </w:pPr>
      <w:r>
        <w:t>1.ИМЕ НА ЛЕКАРСТВЕНИЯ ПРОДУКТ</w:t>
      </w:r>
    </w:p>
    <w:p w14:paraId="73AC56ED" w14:textId="358FC91F" w:rsidR="00967986" w:rsidRDefault="00967986" w:rsidP="00967986"/>
    <w:p w14:paraId="749EBA3E" w14:textId="4F545256" w:rsidR="00967986" w:rsidRDefault="00F47649" w:rsidP="00967986">
      <w:pPr>
        <w:rPr>
          <w:lang w:eastAsia="bg-BG"/>
        </w:rPr>
      </w:pPr>
      <w:r>
        <w:rPr>
          <w:lang w:eastAsia="bg-BG"/>
        </w:rPr>
        <w:t>Кандекард Н 8</w:t>
      </w:r>
      <w:r w:rsidR="00967986">
        <w:rPr>
          <w:lang w:eastAsia="bg-BG"/>
        </w:rPr>
        <w:t xml:space="preserve"> </w:t>
      </w:r>
      <w:r w:rsidR="00967986">
        <w:t>mg/1</w:t>
      </w:r>
      <w:r w:rsidR="00967986">
        <w:rPr>
          <w:lang w:eastAsia="bg-BG"/>
        </w:rPr>
        <w:t xml:space="preserve">2,5 </w:t>
      </w:r>
      <w:r w:rsidR="00967986">
        <w:t xml:space="preserve">mg </w:t>
      </w:r>
      <w:r w:rsidR="00967986">
        <w:rPr>
          <w:lang w:eastAsia="bg-BG"/>
        </w:rPr>
        <w:t xml:space="preserve">таблетки </w:t>
      </w:r>
    </w:p>
    <w:p w14:paraId="68236A06" w14:textId="6C8EFBA4" w:rsidR="00967986" w:rsidRPr="00967986" w:rsidRDefault="00967986" w:rsidP="00967986">
      <w:r>
        <w:t xml:space="preserve">Candecard </w:t>
      </w:r>
      <w:r w:rsidR="00F47649">
        <w:rPr>
          <w:lang w:eastAsia="bg-BG"/>
        </w:rPr>
        <w:t>Н 8</w:t>
      </w:r>
      <w:r>
        <w:rPr>
          <w:lang w:eastAsia="bg-BG"/>
        </w:rPr>
        <w:t xml:space="preserve"> </w:t>
      </w:r>
      <w:r>
        <w:t>mg/12.5 mg tablets</w:t>
      </w:r>
    </w:p>
    <w:p w14:paraId="6920A680" w14:textId="085BD889" w:rsidR="00C40420" w:rsidRDefault="00DD466D" w:rsidP="004A448E">
      <w:pPr>
        <w:pStyle w:val="Heading1"/>
      </w:pPr>
      <w:r>
        <w:t>2. КАЧЕСТВЕН И КОЛИЧЕСТВЕН СЪСТАВ</w:t>
      </w:r>
    </w:p>
    <w:p w14:paraId="468EA48F" w14:textId="694BE2E7" w:rsidR="00967986" w:rsidRDefault="00967986" w:rsidP="00967986"/>
    <w:p w14:paraId="79E3F12D" w14:textId="3F3F85B6" w:rsidR="00967986" w:rsidRPr="00967986" w:rsidRDefault="00F47649" w:rsidP="00967986">
      <w:pPr>
        <w:spacing w:line="240" w:lineRule="auto"/>
        <w:rPr>
          <w:rFonts w:eastAsia="Times New Roman" w:cs="Arial"/>
          <w:sz w:val="28"/>
          <w:szCs w:val="24"/>
        </w:rPr>
      </w:pPr>
      <w:r>
        <w:rPr>
          <w:rFonts w:eastAsia="Times New Roman" w:cs="Arial"/>
          <w:color w:val="000000"/>
          <w:szCs w:val="20"/>
          <w:lang w:eastAsia="bg-BG"/>
        </w:rPr>
        <w:t>Всяка таблетка съдържа 8</w:t>
      </w:r>
      <w:r w:rsidR="00967986" w:rsidRPr="00967986">
        <w:rPr>
          <w:rFonts w:eastAsia="Times New Roman" w:cs="Arial"/>
          <w:color w:val="000000"/>
          <w:szCs w:val="20"/>
          <w:lang w:eastAsia="bg-BG"/>
        </w:rPr>
        <w:t xml:space="preserve"> </w:t>
      </w:r>
      <w:r w:rsidR="00967986" w:rsidRPr="00967986">
        <w:rPr>
          <w:rFonts w:eastAsia="Times New Roman" w:cs="Arial"/>
          <w:color w:val="000000"/>
          <w:szCs w:val="20"/>
          <w:lang w:val="en-US"/>
        </w:rPr>
        <w:t>mg</w:t>
      </w:r>
      <w:r w:rsidR="00967986" w:rsidRPr="00967986">
        <w:rPr>
          <w:rFonts w:eastAsia="Times New Roman" w:cs="Arial"/>
          <w:color w:val="000000"/>
          <w:szCs w:val="20"/>
        </w:rPr>
        <w:t xml:space="preserve"> </w:t>
      </w:r>
      <w:r w:rsidR="00967986" w:rsidRPr="00967986">
        <w:rPr>
          <w:rFonts w:eastAsia="Times New Roman" w:cs="Arial"/>
          <w:color w:val="000000"/>
          <w:szCs w:val="20"/>
          <w:lang w:eastAsia="bg-BG"/>
        </w:rPr>
        <w:t xml:space="preserve">кандесартан цилексетил </w:t>
      </w:r>
      <w:r w:rsidR="00967986" w:rsidRPr="00967986">
        <w:rPr>
          <w:rFonts w:eastAsia="Times New Roman" w:cs="Arial"/>
          <w:i/>
          <w:iCs/>
          <w:color w:val="000000"/>
          <w:szCs w:val="20"/>
        </w:rPr>
        <w:t>(</w:t>
      </w:r>
      <w:r w:rsidR="00967986" w:rsidRPr="00967986">
        <w:rPr>
          <w:rFonts w:eastAsia="Times New Roman" w:cs="Arial"/>
          <w:i/>
          <w:iCs/>
          <w:color w:val="000000"/>
          <w:szCs w:val="20"/>
          <w:lang w:val="en-US"/>
        </w:rPr>
        <w:t>candesartan</w:t>
      </w:r>
      <w:r w:rsidR="00967986" w:rsidRPr="00967986">
        <w:rPr>
          <w:rFonts w:eastAsia="Times New Roman" w:cs="Arial"/>
          <w:i/>
          <w:iCs/>
          <w:color w:val="000000"/>
          <w:szCs w:val="20"/>
        </w:rPr>
        <w:t xml:space="preserve"> </w:t>
      </w:r>
      <w:proofErr w:type="spellStart"/>
      <w:r w:rsidR="00967986" w:rsidRPr="00967986">
        <w:rPr>
          <w:rFonts w:eastAsia="Times New Roman" w:cs="Arial"/>
          <w:i/>
          <w:iCs/>
          <w:color w:val="000000"/>
          <w:szCs w:val="20"/>
          <w:lang w:val="en-US"/>
        </w:rPr>
        <w:t>cilexetil</w:t>
      </w:r>
      <w:proofErr w:type="spellEnd"/>
      <w:r w:rsidR="00967986" w:rsidRPr="00967986">
        <w:rPr>
          <w:rFonts w:eastAsia="Times New Roman" w:cs="Arial"/>
          <w:i/>
          <w:iCs/>
          <w:color w:val="000000"/>
          <w:szCs w:val="20"/>
        </w:rPr>
        <w:t>)</w:t>
      </w:r>
      <w:r w:rsidR="00967986" w:rsidRPr="00967986">
        <w:rPr>
          <w:rFonts w:eastAsia="Times New Roman" w:cs="Arial"/>
          <w:i/>
          <w:iCs/>
          <w:color w:val="000000"/>
          <w:szCs w:val="20"/>
          <w:lang w:eastAsia="bg-BG"/>
        </w:rPr>
        <w:t xml:space="preserve"> </w:t>
      </w:r>
      <w:r w:rsidR="00967986" w:rsidRPr="00967986">
        <w:rPr>
          <w:rFonts w:eastAsia="Times New Roman" w:cs="Arial"/>
          <w:color w:val="000000"/>
          <w:szCs w:val="20"/>
          <w:lang w:eastAsia="bg-BG"/>
        </w:rPr>
        <w:t xml:space="preserve">и 12,5 </w:t>
      </w:r>
      <w:r w:rsidR="00967986" w:rsidRPr="00967986">
        <w:rPr>
          <w:rFonts w:eastAsia="Times New Roman" w:cs="Arial"/>
          <w:color w:val="000000"/>
          <w:szCs w:val="20"/>
          <w:lang w:val="en-US"/>
        </w:rPr>
        <w:t>mg</w:t>
      </w:r>
      <w:r w:rsidR="00967986" w:rsidRPr="00967986">
        <w:rPr>
          <w:rFonts w:eastAsia="Times New Roman" w:cs="Arial"/>
          <w:color w:val="000000"/>
          <w:szCs w:val="20"/>
        </w:rPr>
        <w:t xml:space="preserve"> </w:t>
      </w:r>
      <w:r w:rsidR="00967986" w:rsidRPr="00967986">
        <w:rPr>
          <w:rFonts w:eastAsia="Times New Roman" w:cs="Arial"/>
          <w:color w:val="000000"/>
          <w:szCs w:val="20"/>
          <w:lang w:eastAsia="bg-BG"/>
        </w:rPr>
        <w:t xml:space="preserve">хидрохлоротиазид </w:t>
      </w:r>
      <w:r w:rsidR="00967986" w:rsidRPr="00967986">
        <w:rPr>
          <w:rFonts w:eastAsia="Times New Roman" w:cs="Arial"/>
          <w:i/>
          <w:iCs/>
          <w:color w:val="000000"/>
          <w:szCs w:val="20"/>
        </w:rPr>
        <w:t>(</w:t>
      </w:r>
      <w:r w:rsidR="00967986" w:rsidRPr="00967986">
        <w:rPr>
          <w:rFonts w:eastAsia="Times New Roman" w:cs="Arial"/>
          <w:i/>
          <w:iCs/>
          <w:color w:val="000000"/>
          <w:szCs w:val="20"/>
          <w:lang w:val="en-US"/>
        </w:rPr>
        <w:t>hydrochlorothiazide</w:t>
      </w:r>
      <w:r w:rsidR="00967986" w:rsidRPr="00967986">
        <w:rPr>
          <w:rFonts w:eastAsia="Times New Roman" w:cs="Arial"/>
          <w:i/>
          <w:iCs/>
          <w:color w:val="000000"/>
          <w:szCs w:val="20"/>
        </w:rPr>
        <w:t>)</w:t>
      </w:r>
      <w:r w:rsidR="00967986" w:rsidRPr="00967986">
        <w:rPr>
          <w:rFonts w:eastAsia="Times New Roman" w:cs="Arial"/>
          <w:i/>
          <w:iCs/>
          <w:color w:val="000000"/>
          <w:szCs w:val="20"/>
          <w:lang w:eastAsia="bg-BG"/>
        </w:rPr>
        <w:t>.</w:t>
      </w:r>
    </w:p>
    <w:p w14:paraId="146AEF89" w14:textId="77777777" w:rsidR="00967986" w:rsidRPr="00967986" w:rsidRDefault="00967986" w:rsidP="00967986">
      <w:pPr>
        <w:spacing w:line="240" w:lineRule="auto"/>
        <w:rPr>
          <w:rFonts w:eastAsia="Times New Roman" w:cs="Arial"/>
          <w:color w:val="000000"/>
          <w:szCs w:val="20"/>
          <w:lang w:eastAsia="bg-BG"/>
        </w:rPr>
      </w:pPr>
    </w:p>
    <w:p w14:paraId="38A850DF" w14:textId="467F158F"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Помощно вещество с известно действие:</w:t>
      </w:r>
    </w:p>
    <w:p w14:paraId="2C3348DD" w14:textId="3ACA048B" w:rsidR="00967986" w:rsidRPr="00967986" w:rsidRDefault="00F47649" w:rsidP="00967986">
      <w:pPr>
        <w:spacing w:line="240" w:lineRule="auto"/>
        <w:rPr>
          <w:rFonts w:eastAsia="Times New Roman" w:cs="Arial"/>
          <w:sz w:val="28"/>
          <w:szCs w:val="24"/>
        </w:rPr>
      </w:pPr>
      <w:r>
        <w:rPr>
          <w:rFonts w:eastAsia="Times New Roman" w:cs="Arial"/>
          <w:color w:val="000000"/>
          <w:szCs w:val="20"/>
          <w:lang w:eastAsia="bg-BG"/>
        </w:rPr>
        <w:t>Всяка таблетка съдържа 79,9</w:t>
      </w:r>
      <w:r w:rsidR="00967986" w:rsidRPr="00967986">
        <w:rPr>
          <w:rFonts w:eastAsia="Times New Roman" w:cs="Arial"/>
          <w:color w:val="000000"/>
          <w:szCs w:val="20"/>
          <w:lang w:eastAsia="bg-BG"/>
        </w:rPr>
        <w:t xml:space="preserve"> </w:t>
      </w:r>
      <w:r w:rsidR="00967986" w:rsidRPr="00967986">
        <w:rPr>
          <w:rFonts w:eastAsia="Times New Roman" w:cs="Arial"/>
          <w:color w:val="000000"/>
          <w:szCs w:val="20"/>
          <w:lang w:val="en-US"/>
        </w:rPr>
        <w:t>mg</w:t>
      </w:r>
      <w:r w:rsidR="00967986" w:rsidRPr="00967986">
        <w:rPr>
          <w:rFonts w:eastAsia="Times New Roman" w:cs="Arial"/>
          <w:color w:val="000000"/>
          <w:szCs w:val="20"/>
          <w:lang w:val="ru-RU"/>
        </w:rPr>
        <w:t xml:space="preserve"> </w:t>
      </w:r>
      <w:r w:rsidR="00967986" w:rsidRPr="00967986">
        <w:rPr>
          <w:rFonts w:eastAsia="Times New Roman" w:cs="Arial"/>
          <w:color w:val="000000"/>
          <w:szCs w:val="20"/>
          <w:lang w:eastAsia="bg-BG"/>
        </w:rPr>
        <w:t>лактоза (като лактоза монохидрат).</w:t>
      </w:r>
    </w:p>
    <w:p w14:paraId="1F4CB9C5" w14:textId="77777777" w:rsidR="00967986" w:rsidRPr="00967986" w:rsidRDefault="00967986" w:rsidP="00967986"/>
    <w:p w14:paraId="614984C4" w14:textId="4173C9CB" w:rsidR="008A6AF2" w:rsidRDefault="00DD466D" w:rsidP="002C50EE">
      <w:pPr>
        <w:pStyle w:val="Heading1"/>
      </w:pPr>
      <w:r>
        <w:t>3. ЛЕКАРСТВЕНА ФОРМА</w:t>
      </w:r>
    </w:p>
    <w:p w14:paraId="121158D3" w14:textId="3E895598" w:rsidR="00967986" w:rsidRDefault="00967986" w:rsidP="00967986"/>
    <w:p w14:paraId="18498584" w14:textId="77777777" w:rsidR="00967986" w:rsidRPr="00967986" w:rsidRDefault="00967986" w:rsidP="00967986">
      <w:pPr>
        <w:rPr>
          <w:sz w:val="24"/>
          <w:szCs w:val="24"/>
        </w:rPr>
      </w:pPr>
      <w:r w:rsidRPr="00967986">
        <w:rPr>
          <w:lang w:eastAsia="bg-BG"/>
        </w:rPr>
        <w:t>Таблетка</w:t>
      </w:r>
    </w:p>
    <w:p w14:paraId="0F3672DE" w14:textId="77777777" w:rsidR="00967986" w:rsidRDefault="00967986" w:rsidP="00967986">
      <w:pPr>
        <w:rPr>
          <w:lang w:eastAsia="bg-BG"/>
        </w:rPr>
      </w:pPr>
    </w:p>
    <w:p w14:paraId="5793D605" w14:textId="7728D723" w:rsidR="00967986" w:rsidRPr="00967986" w:rsidRDefault="00F47649" w:rsidP="00967986">
      <w:pPr>
        <w:rPr>
          <w:sz w:val="24"/>
          <w:szCs w:val="24"/>
        </w:rPr>
      </w:pPr>
      <w:r>
        <w:rPr>
          <w:lang w:eastAsia="bg-BG"/>
        </w:rPr>
        <w:t xml:space="preserve">Бяла, </w:t>
      </w:r>
      <w:r w:rsidR="00967986" w:rsidRPr="00967986">
        <w:rPr>
          <w:lang w:eastAsia="bg-BG"/>
        </w:rPr>
        <w:t>овална, двойноизпъкнала таблетка с делителна черта от двете страни</w:t>
      </w:r>
    </w:p>
    <w:p w14:paraId="509843B4" w14:textId="77777777" w:rsidR="00967986" w:rsidRDefault="00967986" w:rsidP="00967986">
      <w:pPr>
        <w:rPr>
          <w:lang w:eastAsia="bg-BG"/>
        </w:rPr>
      </w:pPr>
    </w:p>
    <w:p w14:paraId="5D865914" w14:textId="06143740" w:rsidR="00967986" w:rsidRPr="00967986" w:rsidRDefault="00967986" w:rsidP="00967986">
      <w:pPr>
        <w:rPr>
          <w:sz w:val="24"/>
          <w:szCs w:val="24"/>
        </w:rPr>
      </w:pPr>
      <w:r w:rsidRPr="00967986">
        <w:rPr>
          <w:lang w:eastAsia="bg-BG"/>
        </w:rPr>
        <w:t>Делителната черта е само за улесняване на счупването, за по-лесно поглъщане, а не за да разделя на равни дози.</w:t>
      </w:r>
    </w:p>
    <w:p w14:paraId="35A571E0" w14:textId="77777777" w:rsidR="00967986" w:rsidRPr="00967986" w:rsidRDefault="00967986" w:rsidP="00967986"/>
    <w:p w14:paraId="490FC2C4" w14:textId="0F4A4A75" w:rsidR="002C50EE" w:rsidRDefault="002C50EE" w:rsidP="002C50EE">
      <w:pPr>
        <w:pStyle w:val="Heading1"/>
      </w:pPr>
      <w:r>
        <w:t>4. КЛИНИЧНИ ДАННИ</w:t>
      </w:r>
    </w:p>
    <w:p w14:paraId="74330405" w14:textId="36E172E9" w:rsidR="007122AD" w:rsidRDefault="002C50EE" w:rsidP="00936AD0">
      <w:pPr>
        <w:pStyle w:val="Heading2"/>
      </w:pPr>
      <w:r>
        <w:t>4.1. Терапевтични показания</w:t>
      </w:r>
    </w:p>
    <w:p w14:paraId="02021A55" w14:textId="25B8DF82" w:rsidR="00967986" w:rsidRDefault="00967986" w:rsidP="00967986"/>
    <w:p w14:paraId="063990D8" w14:textId="7333A3FC" w:rsidR="00967986" w:rsidRDefault="00967986" w:rsidP="00967986">
      <w:pPr>
        <w:spacing w:line="240" w:lineRule="auto"/>
        <w:rPr>
          <w:rFonts w:eastAsia="Times New Roman" w:cs="Arial"/>
          <w:color w:val="000000"/>
          <w:szCs w:val="20"/>
          <w:lang w:eastAsia="bg-BG"/>
        </w:rPr>
      </w:pPr>
      <w:r w:rsidRPr="00967986">
        <w:rPr>
          <w:rFonts w:eastAsia="Times New Roman" w:cs="Arial"/>
          <w:color w:val="000000"/>
          <w:szCs w:val="20"/>
          <w:lang w:eastAsia="bg-BG"/>
        </w:rPr>
        <w:t>Кандекард Н се прилага при:</w:t>
      </w:r>
    </w:p>
    <w:p w14:paraId="1F26DECE" w14:textId="77777777" w:rsidR="00967986" w:rsidRPr="00967986" w:rsidRDefault="00967986" w:rsidP="00967986">
      <w:pPr>
        <w:spacing w:line="240" w:lineRule="auto"/>
        <w:rPr>
          <w:rFonts w:eastAsia="Times New Roman" w:cs="Arial"/>
          <w:sz w:val="28"/>
          <w:szCs w:val="24"/>
        </w:rPr>
      </w:pPr>
    </w:p>
    <w:p w14:paraId="406353A6" w14:textId="13594B65" w:rsidR="00967986" w:rsidRPr="00967986" w:rsidRDefault="00967986" w:rsidP="00967986">
      <w:pPr>
        <w:pStyle w:val="ListParagraph"/>
        <w:numPr>
          <w:ilvl w:val="0"/>
          <w:numId w:val="37"/>
        </w:numPr>
        <w:rPr>
          <w:rFonts w:cs="Arial"/>
          <w:sz w:val="24"/>
        </w:rPr>
      </w:pPr>
      <w:r w:rsidRPr="00967986">
        <w:rPr>
          <w:rFonts w:eastAsia="Times New Roman" w:cs="Arial"/>
          <w:color w:val="000000"/>
          <w:szCs w:val="20"/>
          <w:lang w:eastAsia="bg-BG"/>
        </w:rPr>
        <w:t>Лечение на първична хипертония при възрастни, когато кръвното налягане не е оптимално контролирано чрез монотерапията с кандесартан цилексетил или хидрохлоротиазид.</w:t>
      </w:r>
    </w:p>
    <w:p w14:paraId="63AE1132" w14:textId="77777777" w:rsidR="00967986" w:rsidRPr="00967986" w:rsidRDefault="00967986" w:rsidP="00967986">
      <w:pPr>
        <w:rPr>
          <w:rFonts w:cs="Arial"/>
          <w:sz w:val="24"/>
        </w:rPr>
      </w:pPr>
    </w:p>
    <w:p w14:paraId="53F5B866" w14:textId="313E39D0" w:rsidR="007122AD" w:rsidRDefault="002C50EE" w:rsidP="00936AD0">
      <w:pPr>
        <w:pStyle w:val="Heading2"/>
      </w:pPr>
      <w:r>
        <w:t>4.2. Дозировка и начин на приложение</w:t>
      </w:r>
    </w:p>
    <w:p w14:paraId="3B3CA426" w14:textId="20721980" w:rsidR="00967986" w:rsidRDefault="00967986" w:rsidP="00967986"/>
    <w:p w14:paraId="2C24A6FC" w14:textId="77777777" w:rsidR="00967986" w:rsidRPr="00967986" w:rsidRDefault="00967986" w:rsidP="00967986">
      <w:pPr>
        <w:pStyle w:val="Heading3"/>
        <w:rPr>
          <w:rFonts w:eastAsia="Times New Roman"/>
          <w:sz w:val="28"/>
          <w:u w:val="single"/>
        </w:rPr>
      </w:pPr>
      <w:r w:rsidRPr="00967986">
        <w:rPr>
          <w:rFonts w:eastAsia="Times New Roman"/>
          <w:u w:val="single"/>
          <w:lang w:eastAsia="bg-BG"/>
        </w:rPr>
        <w:t>Дозировка</w:t>
      </w:r>
    </w:p>
    <w:p w14:paraId="1526D296"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Препоръчителната доза Кандекард Н е една таблетка веднъж дневно.</w:t>
      </w:r>
    </w:p>
    <w:p w14:paraId="61B8D862" w14:textId="77777777" w:rsidR="00967986" w:rsidRPr="00967986" w:rsidRDefault="00967986" w:rsidP="00967986">
      <w:pPr>
        <w:spacing w:line="240" w:lineRule="auto"/>
        <w:rPr>
          <w:rFonts w:eastAsia="Times New Roman" w:cs="Arial"/>
          <w:color w:val="000000"/>
          <w:szCs w:val="20"/>
          <w:lang w:eastAsia="bg-BG"/>
        </w:rPr>
      </w:pPr>
    </w:p>
    <w:p w14:paraId="0D699172" w14:textId="0AC2796C"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Препоръчва се титриране на дозата на отделните компоненти (кандесартан цилексетил и хидрохлортиазид). Когато е уместно от клинична гледна точка, може директно да се премине от монотерапия към Кандекард Н. Препоръчва се титриране на дозата кандесартан цилексетил когато се преминава от монотерапия с хидрохлоротиазид. </w:t>
      </w:r>
      <w:r w:rsidRPr="00967986">
        <w:rPr>
          <w:rFonts w:eastAsia="Times New Roman" w:cs="Arial"/>
          <w:color w:val="000000"/>
          <w:szCs w:val="20"/>
          <w:lang w:eastAsia="bg-BG"/>
        </w:rPr>
        <w:lastRenderedPageBreak/>
        <w:t>Кандекард Н може да се прилага на пациенти, при които кръвното налягане не е оптимално контролирано чрез монотерапията с кандесартан цилексетил или хидрохлоротиазид или чрез ниски дози Кандекард Н.</w:t>
      </w:r>
    </w:p>
    <w:p w14:paraId="54491938" w14:textId="0B5211A1" w:rsidR="00967986" w:rsidRPr="00967986" w:rsidRDefault="00967986" w:rsidP="00967986">
      <w:pPr>
        <w:rPr>
          <w:rFonts w:eastAsia="Times New Roman" w:cs="Arial"/>
          <w:color w:val="000000"/>
          <w:szCs w:val="20"/>
          <w:lang w:eastAsia="bg-BG"/>
        </w:rPr>
      </w:pPr>
      <w:r w:rsidRPr="00967986">
        <w:rPr>
          <w:rFonts w:eastAsia="Times New Roman" w:cs="Arial"/>
          <w:color w:val="000000"/>
          <w:szCs w:val="20"/>
          <w:lang w:eastAsia="bg-BG"/>
        </w:rPr>
        <w:t>Пълната изява на антихипертензивния ефект обикновено се постига в рамкит</w:t>
      </w:r>
      <w:r w:rsidRPr="00967986">
        <w:rPr>
          <w:rFonts w:eastAsia="Times New Roman" w:cs="Arial"/>
          <w:color w:val="000000"/>
          <w:szCs w:val="20"/>
          <w:lang w:val="en-US"/>
        </w:rPr>
        <w:t>e</w:t>
      </w:r>
      <w:r w:rsidRPr="00967986">
        <w:rPr>
          <w:rFonts w:eastAsia="Times New Roman" w:cs="Arial"/>
          <w:color w:val="000000"/>
          <w:szCs w:val="20"/>
          <w:lang w:val="ru-RU"/>
        </w:rPr>
        <w:t xml:space="preserve"> </w:t>
      </w:r>
      <w:r w:rsidRPr="00967986">
        <w:rPr>
          <w:rFonts w:eastAsia="Times New Roman" w:cs="Arial"/>
          <w:color w:val="000000"/>
          <w:szCs w:val="20"/>
          <w:lang w:eastAsia="bg-BG"/>
        </w:rPr>
        <w:t>на 4 седмици от започването на лечението.</w:t>
      </w:r>
    </w:p>
    <w:p w14:paraId="667B01C9" w14:textId="180073FC" w:rsidR="00967986" w:rsidRPr="00967986" w:rsidRDefault="00967986" w:rsidP="00967986">
      <w:pPr>
        <w:rPr>
          <w:rFonts w:eastAsia="Times New Roman" w:cs="Arial"/>
          <w:color w:val="000000"/>
          <w:szCs w:val="20"/>
          <w:lang w:eastAsia="bg-BG"/>
        </w:rPr>
      </w:pPr>
    </w:p>
    <w:p w14:paraId="220D11DB"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u w:val="single"/>
          <w:lang w:eastAsia="bg-BG"/>
        </w:rPr>
        <w:t>Специални популации</w:t>
      </w:r>
    </w:p>
    <w:p w14:paraId="27B44E45" w14:textId="77777777" w:rsidR="00967986" w:rsidRPr="00967986" w:rsidRDefault="00967986" w:rsidP="00967986">
      <w:pPr>
        <w:spacing w:line="240" w:lineRule="auto"/>
        <w:rPr>
          <w:rFonts w:eastAsia="Times New Roman" w:cs="Arial"/>
          <w:i/>
          <w:iCs/>
          <w:color w:val="000000"/>
          <w:szCs w:val="20"/>
          <w:lang w:eastAsia="bg-BG"/>
        </w:rPr>
      </w:pPr>
    </w:p>
    <w:p w14:paraId="6A72D506" w14:textId="388D81AB"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Старческа възраст</w:t>
      </w:r>
    </w:p>
    <w:p w14:paraId="5263388C"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Не е необходима никаква корекция на дозата при пациенти в старческа възраст.</w:t>
      </w:r>
    </w:p>
    <w:p w14:paraId="14310B5C" w14:textId="77777777" w:rsidR="00967986" w:rsidRPr="00967986" w:rsidRDefault="00967986" w:rsidP="00967986">
      <w:pPr>
        <w:spacing w:line="240" w:lineRule="auto"/>
        <w:rPr>
          <w:rFonts w:eastAsia="Times New Roman" w:cs="Arial"/>
          <w:i/>
          <w:iCs/>
          <w:color w:val="000000"/>
          <w:szCs w:val="20"/>
          <w:lang w:eastAsia="bg-BG"/>
        </w:rPr>
      </w:pPr>
    </w:p>
    <w:p w14:paraId="437D25E1" w14:textId="0BDF64F7"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Намален вътресъдов обем</w:t>
      </w:r>
    </w:p>
    <w:p w14:paraId="33230C78"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Препоръчва се титриране на дозата на кандесартан цилексетил при пациенти с риск от хипотоиия, например пациентите с възможно намален вътресъдов обем (при тези пациенти може да се предвиди начална доза от 4 </w:t>
      </w:r>
      <w:r w:rsidRPr="00967986">
        <w:rPr>
          <w:rFonts w:eastAsia="Times New Roman" w:cs="Arial"/>
          <w:color w:val="000000"/>
          <w:szCs w:val="20"/>
          <w:lang w:val="en-US"/>
        </w:rPr>
        <w:t>mg</w:t>
      </w:r>
      <w:r w:rsidRPr="00967986">
        <w:rPr>
          <w:rFonts w:eastAsia="Times New Roman" w:cs="Arial"/>
          <w:color w:val="000000"/>
          <w:szCs w:val="20"/>
          <w:lang w:val="ru-RU"/>
        </w:rPr>
        <w:t xml:space="preserve"> </w:t>
      </w:r>
      <w:r w:rsidRPr="00967986">
        <w:rPr>
          <w:rFonts w:eastAsia="Times New Roman" w:cs="Arial"/>
          <w:color w:val="000000"/>
          <w:szCs w:val="20"/>
          <w:lang w:eastAsia="bg-BG"/>
        </w:rPr>
        <w:t>кандесартан цилексетил).</w:t>
      </w:r>
    </w:p>
    <w:p w14:paraId="5E4276B4" w14:textId="77777777" w:rsidR="00967986" w:rsidRPr="00967986" w:rsidRDefault="00967986" w:rsidP="00967986">
      <w:pPr>
        <w:spacing w:line="240" w:lineRule="auto"/>
        <w:rPr>
          <w:rFonts w:eastAsia="Times New Roman" w:cs="Arial"/>
          <w:i/>
          <w:iCs/>
          <w:color w:val="000000"/>
          <w:szCs w:val="20"/>
          <w:lang w:eastAsia="bg-BG"/>
        </w:rPr>
      </w:pPr>
    </w:p>
    <w:p w14:paraId="62A2285D" w14:textId="4B2B7C0A"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Бъбречно увреждане</w:t>
      </w:r>
    </w:p>
    <w:p w14:paraId="01F370A6"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При пациенти с леко до умерено бъбречно увреждане (креатининов клирънс е 30-80 </w:t>
      </w:r>
      <w:r w:rsidRPr="00967986">
        <w:rPr>
          <w:rFonts w:eastAsia="Times New Roman" w:cs="Arial"/>
          <w:color w:val="000000"/>
          <w:szCs w:val="20"/>
          <w:lang w:val="en-US"/>
        </w:rPr>
        <w:t>ml</w:t>
      </w:r>
      <w:r w:rsidRPr="00967986">
        <w:rPr>
          <w:rFonts w:eastAsia="Times New Roman" w:cs="Arial"/>
          <w:color w:val="000000"/>
          <w:szCs w:val="20"/>
          <w:lang w:val="ru-RU"/>
        </w:rPr>
        <w:t>/</w:t>
      </w:r>
      <w:r w:rsidRPr="00967986">
        <w:rPr>
          <w:rFonts w:eastAsia="Times New Roman" w:cs="Arial"/>
          <w:color w:val="000000"/>
          <w:szCs w:val="20"/>
          <w:lang w:val="en-US"/>
        </w:rPr>
        <w:t>min</w:t>
      </w:r>
      <w:r w:rsidRPr="00967986">
        <w:rPr>
          <w:rFonts w:eastAsia="Times New Roman" w:cs="Arial"/>
          <w:color w:val="000000"/>
          <w:szCs w:val="20"/>
          <w:lang w:val="ru-RU"/>
        </w:rPr>
        <w:t xml:space="preserve">/1,73 </w:t>
      </w:r>
      <w:r w:rsidRPr="00967986">
        <w:rPr>
          <w:rFonts w:eastAsia="Times New Roman" w:cs="Arial"/>
          <w:color w:val="000000"/>
          <w:szCs w:val="20"/>
          <w:lang w:val="en-US"/>
        </w:rPr>
        <w:t>m</w:t>
      </w:r>
      <w:r w:rsidRPr="00967986">
        <w:rPr>
          <w:rFonts w:eastAsia="Times New Roman" w:cs="Arial"/>
          <w:color w:val="000000"/>
          <w:szCs w:val="20"/>
          <w:vertAlign w:val="superscript"/>
          <w:lang w:val="ru-RU"/>
        </w:rPr>
        <w:t xml:space="preserve">2 </w:t>
      </w:r>
      <w:r w:rsidRPr="00967986">
        <w:rPr>
          <w:rFonts w:eastAsia="Times New Roman" w:cs="Arial"/>
          <w:color w:val="000000"/>
          <w:szCs w:val="20"/>
          <w:lang w:eastAsia="bg-BG"/>
        </w:rPr>
        <w:t xml:space="preserve">телесна повърхност </w:t>
      </w:r>
      <w:r w:rsidRPr="00967986">
        <w:rPr>
          <w:rFonts w:eastAsia="Times New Roman" w:cs="Arial"/>
          <w:color w:val="000000"/>
          <w:szCs w:val="20"/>
          <w:lang w:val="ru-RU"/>
        </w:rPr>
        <w:t>(</w:t>
      </w:r>
      <w:r w:rsidRPr="00967986">
        <w:rPr>
          <w:rFonts w:eastAsia="Times New Roman" w:cs="Arial"/>
          <w:color w:val="000000"/>
          <w:szCs w:val="20"/>
          <w:lang w:val="en-US"/>
        </w:rPr>
        <w:t>BS</w:t>
      </w:r>
      <w:r w:rsidRPr="00967986">
        <w:rPr>
          <w:rFonts w:eastAsia="Times New Roman" w:cs="Arial"/>
          <w:color w:val="000000"/>
          <w:szCs w:val="20"/>
          <w:lang w:eastAsia="bg-BG"/>
        </w:rPr>
        <w:t xml:space="preserve">А) се препоръчва титриране на дозата. Кандекард Н е противопоказан при пациенти с тежко бъбречно увреждане (креатининов клирънс &lt;30 </w:t>
      </w:r>
      <w:r w:rsidRPr="00967986">
        <w:rPr>
          <w:rFonts w:eastAsia="Times New Roman" w:cs="Arial"/>
          <w:color w:val="000000"/>
          <w:szCs w:val="20"/>
          <w:lang w:val="en-US"/>
        </w:rPr>
        <w:t>ml</w:t>
      </w:r>
      <w:r w:rsidRPr="00967986">
        <w:rPr>
          <w:rFonts w:eastAsia="Times New Roman" w:cs="Arial"/>
          <w:color w:val="000000"/>
          <w:szCs w:val="20"/>
          <w:lang w:val="ru-RU"/>
        </w:rPr>
        <w:t>/</w:t>
      </w:r>
      <w:r w:rsidRPr="00967986">
        <w:rPr>
          <w:rFonts w:eastAsia="Times New Roman" w:cs="Arial"/>
          <w:color w:val="000000"/>
          <w:szCs w:val="20"/>
          <w:lang w:val="en-US"/>
        </w:rPr>
        <w:t>min</w:t>
      </w:r>
      <w:r w:rsidRPr="00967986">
        <w:rPr>
          <w:rFonts w:eastAsia="Times New Roman" w:cs="Arial"/>
          <w:color w:val="000000"/>
          <w:szCs w:val="20"/>
          <w:lang w:val="ru-RU"/>
        </w:rPr>
        <w:t xml:space="preserve">/1,73 </w:t>
      </w:r>
      <w:r w:rsidRPr="00967986">
        <w:rPr>
          <w:rFonts w:eastAsia="Times New Roman" w:cs="Arial"/>
          <w:color w:val="000000"/>
          <w:szCs w:val="20"/>
          <w:lang w:val="en-US"/>
        </w:rPr>
        <w:t>m</w:t>
      </w:r>
      <w:r w:rsidRPr="00967986">
        <w:rPr>
          <w:rFonts w:eastAsia="Times New Roman" w:cs="Arial"/>
          <w:color w:val="000000"/>
          <w:szCs w:val="20"/>
          <w:vertAlign w:val="superscript"/>
          <w:lang w:val="ru-RU"/>
        </w:rPr>
        <w:t>2</w:t>
      </w:r>
      <w:r w:rsidRPr="00967986">
        <w:rPr>
          <w:rFonts w:eastAsia="Times New Roman" w:cs="Arial"/>
          <w:color w:val="000000"/>
          <w:szCs w:val="20"/>
          <w:lang w:val="ru-RU"/>
        </w:rPr>
        <w:t xml:space="preserve"> </w:t>
      </w:r>
      <w:r w:rsidRPr="00967986">
        <w:rPr>
          <w:rFonts w:eastAsia="Times New Roman" w:cs="Arial"/>
          <w:color w:val="000000"/>
          <w:szCs w:val="20"/>
          <w:lang w:eastAsia="bg-BG"/>
        </w:rPr>
        <w:t>телесна повърхност) (вж. точка 4.3).</w:t>
      </w:r>
    </w:p>
    <w:p w14:paraId="026AB0BC" w14:textId="77777777" w:rsidR="00967986" w:rsidRPr="00967986" w:rsidRDefault="00967986" w:rsidP="00967986">
      <w:pPr>
        <w:spacing w:line="240" w:lineRule="auto"/>
        <w:rPr>
          <w:rFonts w:eastAsia="Times New Roman" w:cs="Arial"/>
          <w:i/>
          <w:iCs/>
          <w:color w:val="000000"/>
          <w:szCs w:val="20"/>
          <w:lang w:eastAsia="bg-BG"/>
        </w:rPr>
      </w:pPr>
    </w:p>
    <w:p w14:paraId="73354341" w14:textId="36D0C6E3"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Чернодробно увреждане</w:t>
      </w:r>
    </w:p>
    <w:p w14:paraId="5D62023C"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При пациенти с леко до умерено тежко хронично чернодробно заболяване се препоръчва титриране на дозата.</w:t>
      </w:r>
    </w:p>
    <w:p w14:paraId="13FC9EAD"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Кандекард Н е противопоказан при пациенти с тежко чернодробно увреждане и/или холестаза (вж. точка 4.3).</w:t>
      </w:r>
    </w:p>
    <w:p w14:paraId="037E545C" w14:textId="77777777" w:rsidR="00967986" w:rsidRPr="00967986" w:rsidRDefault="00967986" w:rsidP="00967986">
      <w:pPr>
        <w:spacing w:line="240" w:lineRule="auto"/>
        <w:rPr>
          <w:rFonts w:eastAsia="Times New Roman" w:cs="Arial"/>
          <w:color w:val="000000"/>
          <w:szCs w:val="20"/>
          <w:u w:val="single"/>
          <w:lang w:eastAsia="bg-BG"/>
        </w:rPr>
      </w:pPr>
    </w:p>
    <w:p w14:paraId="5D601562" w14:textId="520ACD99"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u w:val="single"/>
          <w:lang w:eastAsia="bg-BG"/>
        </w:rPr>
        <w:t>Педиатрична популация</w:t>
      </w:r>
    </w:p>
    <w:p w14:paraId="4A2135D4"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Безопасността и ефикасността на Кандекард Н при деца и юноши от новородени до 18 години не е установена. Няма налични данни.</w:t>
      </w:r>
    </w:p>
    <w:p w14:paraId="0EB55CE3" w14:textId="77777777" w:rsidR="00967986" w:rsidRPr="00967986" w:rsidRDefault="00967986" w:rsidP="00967986">
      <w:pPr>
        <w:spacing w:line="240" w:lineRule="auto"/>
        <w:rPr>
          <w:rFonts w:eastAsia="Times New Roman" w:cs="Arial"/>
          <w:color w:val="000000"/>
          <w:szCs w:val="20"/>
          <w:u w:val="single"/>
          <w:lang w:eastAsia="bg-BG"/>
        </w:rPr>
      </w:pPr>
    </w:p>
    <w:p w14:paraId="771AEF10" w14:textId="2076F583" w:rsidR="00967986" w:rsidRPr="00967986" w:rsidRDefault="00967986" w:rsidP="00967986">
      <w:pPr>
        <w:pStyle w:val="Heading3"/>
        <w:rPr>
          <w:rFonts w:eastAsia="Times New Roman"/>
          <w:sz w:val="28"/>
          <w:u w:val="single"/>
        </w:rPr>
      </w:pPr>
      <w:r w:rsidRPr="00967986">
        <w:rPr>
          <w:rFonts w:eastAsia="Times New Roman"/>
          <w:u w:val="single"/>
          <w:lang w:eastAsia="bg-BG"/>
        </w:rPr>
        <w:t>Начин на приложение</w:t>
      </w:r>
    </w:p>
    <w:p w14:paraId="5F522BFA"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Перорално приложение.</w:t>
      </w:r>
    </w:p>
    <w:p w14:paraId="6E6DF6B3"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Кандекард Н може да се приема със или без храна.</w:t>
      </w:r>
    </w:p>
    <w:p w14:paraId="0B9E2BEA"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Бионаличността на кандесартан не се повлиява от храната.</w:t>
      </w:r>
    </w:p>
    <w:p w14:paraId="4E075F49" w14:textId="77777777" w:rsidR="00967986" w:rsidRPr="00967986" w:rsidRDefault="00967986" w:rsidP="00967986">
      <w:pPr>
        <w:spacing w:line="240" w:lineRule="auto"/>
        <w:rPr>
          <w:rFonts w:ascii="Times New Roman" w:eastAsia="Times New Roman" w:hAnsi="Times New Roman" w:cs="Times New Roman"/>
          <w:sz w:val="24"/>
          <w:szCs w:val="24"/>
        </w:rPr>
      </w:pPr>
      <w:r w:rsidRPr="00967986">
        <w:rPr>
          <w:rFonts w:eastAsia="Times New Roman" w:cs="Arial"/>
          <w:color w:val="000000"/>
          <w:szCs w:val="20"/>
          <w:lang w:eastAsia="bg-BG"/>
        </w:rPr>
        <w:t>Няма клинично значимо взаимодействие между хидрохлортиазид и храната.</w:t>
      </w:r>
    </w:p>
    <w:p w14:paraId="646E369A" w14:textId="77777777" w:rsidR="00967986" w:rsidRPr="00967986" w:rsidRDefault="00967986" w:rsidP="00967986"/>
    <w:p w14:paraId="0F253247" w14:textId="3318B463" w:rsidR="007122AD" w:rsidRDefault="002C50EE" w:rsidP="00936AD0">
      <w:pPr>
        <w:pStyle w:val="Heading2"/>
      </w:pPr>
      <w:r>
        <w:t>4.3. Противопоказания</w:t>
      </w:r>
    </w:p>
    <w:p w14:paraId="55CCF828" w14:textId="3358F2BB" w:rsidR="00967986" w:rsidRDefault="00967986" w:rsidP="00967986"/>
    <w:p w14:paraId="60F5F0D9"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Свръхчувствителност към активното вещество или някое от помощните вещества, изброени в точка 6.1 или сулфонамидни производни активни субстанции, Хидрохлоротиазид е сулфонамидно производна активна субстанция.</w:t>
      </w:r>
    </w:p>
    <w:p w14:paraId="45F57367"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Втори и грети гриместър на бременността (вижте точки 4.4 и 4.6)</w:t>
      </w:r>
    </w:p>
    <w:p w14:paraId="1FA5E8DB"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 xml:space="preserve">Тежко бъбречно увреждане (креатининов клирънс &lt;30 </w:t>
      </w:r>
      <w:r w:rsidRPr="00967986">
        <w:rPr>
          <w:rFonts w:eastAsia="Times New Roman" w:cs="Arial"/>
          <w:color w:val="000000"/>
          <w:szCs w:val="20"/>
          <w:lang w:val="en-US"/>
        </w:rPr>
        <w:t>ml</w:t>
      </w:r>
      <w:r w:rsidRPr="00967986">
        <w:rPr>
          <w:rFonts w:eastAsia="Times New Roman" w:cs="Arial"/>
          <w:color w:val="000000"/>
          <w:szCs w:val="20"/>
          <w:lang w:val="ru-RU"/>
        </w:rPr>
        <w:t>/</w:t>
      </w:r>
      <w:r w:rsidRPr="00967986">
        <w:rPr>
          <w:rFonts w:eastAsia="Times New Roman" w:cs="Arial"/>
          <w:color w:val="000000"/>
          <w:szCs w:val="20"/>
          <w:lang w:val="en-US"/>
        </w:rPr>
        <w:t>min</w:t>
      </w:r>
      <w:r w:rsidRPr="00967986">
        <w:rPr>
          <w:rFonts w:eastAsia="Times New Roman" w:cs="Arial"/>
          <w:color w:val="000000"/>
          <w:szCs w:val="20"/>
          <w:lang w:val="ru-RU"/>
        </w:rPr>
        <w:t xml:space="preserve">/1,73 </w:t>
      </w:r>
      <w:r w:rsidRPr="00967986">
        <w:rPr>
          <w:rFonts w:eastAsia="Times New Roman" w:cs="Arial"/>
          <w:color w:val="000000"/>
          <w:szCs w:val="20"/>
          <w:lang w:val="en-US"/>
        </w:rPr>
        <w:t>m</w:t>
      </w:r>
      <w:r w:rsidRPr="00967986">
        <w:rPr>
          <w:rFonts w:eastAsia="Times New Roman" w:cs="Arial"/>
          <w:color w:val="000000"/>
          <w:szCs w:val="20"/>
          <w:vertAlign w:val="superscript"/>
          <w:lang w:val="ru-RU"/>
        </w:rPr>
        <w:t>2</w:t>
      </w:r>
      <w:r w:rsidRPr="00967986">
        <w:rPr>
          <w:rFonts w:eastAsia="Times New Roman" w:cs="Arial"/>
          <w:color w:val="000000"/>
          <w:szCs w:val="20"/>
          <w:lang w:val="ru-RU"/>
        </w:rPr>
        <w:t xml:space="preserve"> </w:t>
      </w:r>
      <w:r w:rsidRPr="00967986">
        <w:rPr>
          <w:rFonts w:eastAsia="Times New Roman" w:cs="Arial"/>
          <w:color w:val="000000"/>
          <w:szCs w:val="20"/>
          <w:lang w:eastAsia="bg-BG"/>
        </w:rPr>
        <w:t>телесна повърхност)</w:t>
      </w:r>
    </w:p>
    <w:p w14:paraId="2C26138B"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Тежко чернодробно увреждане и/или холестаза</w:t>
      </w:r>
    </w:p>
    <w:p w14:paraId="4F2798F3"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Рефрактерни хипокалиемия и хиперкалциемия</w:t>
      </w:r>
    </w:p>
    <w:p w14:paraId="5B28E994" w14:textId="77777777"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lastRenderedPageBreak/>
        <w:t>Подагра</w:t>
      </w:r>
    </w:p>
    <w:p w14:paraId="5E536BD9" w14:textId="0D06DBBF" w:rsidR="00967986" w:rsidRPr="00967986" w:rsidRDefault="00967986" w:rsidP="00967986">
      <w:pPr>
        <w:pStyle w:val="ListParagraph"/>
        <w:numPr>
          <w:ilvl w:val="0"/>
          <w:numId w:val="37"/>
        </w:numPr>
        <w:spacing w:line="240" w:lineRule="auto"/>
        <w:rPr>
          <w:rFonts w:eastAsia="Times New Roman" w:cs="Arial"/>
          <w:sz w:val="28"/>
          <w:szCs w:val="24"/>
        </w:rPr>
      </w:pPr>
      <w:r w:rsidRPr="00967986">
        <w:rPr>
          <w:rFonts w:eastAsia="Times New Roman" w:cs="Arial"/>
          <w:color w:val="000000"/>
          <w:szCs w:val="20"/>
          <w:lang w:eastAsia="bg-BG"/>
        </w:rPr>
        <w:t xml:space="preserve">Едновременното приложение на Кандекард Н с лекарства, съдържаши алискирен е противопоказано при пациенти със захарен диабет или бъберчно увреждане </w:t>
      </w:r>
      <w:r w:rsidRPr="00967986">
        <w:rPr>
          <w:rFonts w:eastAsia="Times New Roman" w:cs="Arial"/>
          <w:color w:val="000000"/>
          <w:szCs w:val="20"/>
          <w:lang w:val="ru-RU"/>
        </w:rPr>
        <w:t>(</w:t>
      </w:r>
      <w:r w:rsidRPr="00967986">
        <w:rPr>
          <w:rFonts w:eastAsia="Times New Roman" w:cs="Arial"/>
          <w:color w:val="000000"/>
          <w:szCs w:val="20"/>
          <w:lang w:val="en-US"/>
        </w:rPr>
        <w:t>GFR</w:t>
      </w:r>
      <w:r w:rsidRPr="00967986">
        <w:rPr>
          <w:rFonts w:eastAsia="Times New Roman" w:cs="Arial"/>
          <w:color w:val="000000"/>
          <w:szCs w:val="20"/>
          <w:lang w:val="ru-RU"/>
        </w:rPr>
        <w:t xml:space="preserve"> </w:t>
      </w:r>
      <w:r w:rsidRPr="00967986">
        <w:rPr>
          <w:rFonts w:eastAsia="Times New Roman" w:cs="Arial"/>
          <w:color w:val="000000"/>
          <w:szCs w:val="20"/>
          <w:lang w:eastAsia="bg-BG"/>
        </w:rPr>
        <w:t xml:space="preserve">&lt; 60 </w:t>
      </w:r>
      <w:r w:rsidRPr="00967986">
        <w:rPr>
          <w:rFonts w:eastAsia="Times New Roman" w:cs="Arial"/>
          <w:color w:val="000000"/>
          <w:szCs w:val="20"/>
          <w:lang w:val="en-US"/>
        </w:rPr>
        <w:t>ml</w:t>
      </w:r>
      <w:r w:rsidRPr="00967986">
        <w:rPr>
          <w:rFonts w:eastAsia="Times New Roman" w:cs="Arial"/>
          <w:color w:val="000000"/>
          <w:szCs w:val="20"/>
          <w:lang w:val="ru-RU"/>
        </w:rPr>
        <w:t>/</w:t>
      </w:r>
      <w:r w:rsidRPr="00967986">
        <w:rPr>
          <w:rFonts w:eastAsia="Times New Roman" w:cs="Arial"/>
          <w:color w:val="000000"/>
          <w:szCs w:val="20"/>
          <w:lang w:val="en-US"/>
        </w:rPr>
        <w:t>min</w:t>
      </w:r>
      <w:r w:rsidRPr="00967986">
        <w:rPr>
          <w:rFonts w:eastAsia="Times New Roman" w:cs="Arial"/>
          <w:color w:val="000000"/>
          <w:szCs w:val="20"/>
          <w:lang w:val="ru-RU"/>
        </w:rPr>
        <w:t xml:space="preserve">/1.73 </w:t>
      </w:r>
      <w:r w:rsidRPr="00967986">
        <w:rPr>
          <w:rFonts w:eastAsia="Times New Roman" w:cs="Arial"/>
          <w:color w:val="000000"/>
          <w:szCs w:val="20"/>
          <w:lang w:val="en-US"/>
        </w:rPr>
        <w:t>m</w:t>
      </w:r>
      <w:r w:rsidRPr="00967986">
        <w:rPr>
          <w:rFonts w:eastAsia="Times New Roman" w:cs="Arial"/>
          <w:color w:val="000000"/>
          <w:szCs w:val="20"/>
          <w:vertAlign w:val="superscript"/>
          <w:lang w:val="ru-RU"/>
        </w:rPr>
        <w:t>2</w:t>
      </w:r>
      <w:r w:rsidRPr="00967986">
        <w:rPr>
          <w:rFonts w:eastAsia="Times New Roman" w:cs="Arial"/>
          <w:color w:val="000000"/>
          <w:szCs w:val="20"/>
          <w:vertAlign w:val="superscript"/>
          <w:lang w:eastAsia="bg-BG"/>
        </w:rPr>
        <w:t xml:space="preserve"> </w:t>
      </w:r>
      <w:r w:rsidRPr="00967986">
        <w:rPr>
          <w:rFonts w:eastAsia="Times New Roman" w:cs="Arial"/>
          <w:color w:val="000000"/>
          <w:szCs w:val="20"/>
          <w:lang w:eastAsia="bg-BG"/>
        </w:rPr>
        <w:t>телесна повърхност) (вижте точки 4.5 и 5.1).</w:t>
      </w:r>
    </w:p>
    <w:p w14:paraId="7664CA25" w14:textId="77777777" w:rsidR="00967986" w:rsidRPr="00967986" w:rsidRDefault="00967986" w:rsidP="00967986"/>
    <w:p w14:paraId="0E0BDCC7" w14:textId="4B95BFA3" w:rsidR="007122AD" w:rsidRDefault="002C50EE" w:rsidP="00936AD0">
      <w:pPr>
        <w:pStyle w:val="Heading2"/>
      </w:pPr>
      <w:r>
        <w:t>4.4. Специални предупреждения и предпазни мерки при употреба</w:t>
      </w:r>
    </w:p>
    <w:p w14:paraId="4AE5A722" w14:textId="674991CD" w:rsidR="00967986" w:rsidRDefault="00967986" w:rsidP="00967986"/>
    <w:p w14:paraId="3EE591CF" w14:textId="77777777" w:rsidR="00967986" w:rsidRPr="00967986" w:rsidRDefault="00967986" w:rsidP="00967986">
      <w:pPr>
        <w:rPr>
          <w:rFonts w:eastAsia="Times New Roman" w:cs="Arial"/>
        </w:rPr>
      </w:pPr>
      <w:r w:rsidRPr="00967986">
        <w:rPr>
          <w:rFonts w:eastAsia="Times New Roman" w:cs="Arial"/>
          <w:b/>
          <w:bCs/>
          <w:i/>
          <w:iCs/>
          <w:color w:val="000000"/>
          <w:lang w:eastAsia="bg-BG"/>
        </w:rPr>
        <w:t xml:space="preserve">Двойна блокада на ренин-ангиотензин-алдостероновата система (РААС) </w:t>
      </w:r>
      <w:r w:rsidRPr="00967986">
        <w:rPr>
          <w:rFonts w:eastAsia="Times New Roman" w:cs="Arial"/>
          <w:color w:val="000000"/>
          <w:lang w:eastAsia="bg-BG"/>
        </w:rPr>
        <w:t>Има данни, че едновременната употреба на АСЕ инхибитори, ангиотензин II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 рецепторни блокери или алискирен (вж. точки 4.5 и 5.1).</w:t>
      </w:r>
    </w:p>
    <w:p w14:paraId="081790EA"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 АСЕ инхибитори и АРБ не трябва да се използват едновременно при пациенти с диабетна нефропатия.</w:t>
      </w:r>
    </w:p>
    <w:p w14:paraId="12AC940A" w14:textId="77777777" w:rsidR="00967986" w:rsidRPr="00967986" w:rsidRDefault="00967986" w:rsidP="00967986">
      <w:pPr>
        <w:spacing w:line="240" w:lineRule="auto"/>
        <w:rPr>
          <w:rFonts w:eastAsia="Times New Roman" w:cs="Arial"/>
          <w:b/>
          <w:bCs/>
          <w:i/>
          <w:iCs/>
          <w:color w:val="000000"/>
          <w:lang w:eastAsia="bg-BG"/>
        </w:rPr>
      </w:pPr>
    </w:p>
    <w:p w14:paraId="0B1F04E7" w14:textId="18626AEC"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Бъ бречно увреждане</w:t>
      </w:r>
    </w:p>
    <w:p w14:paraId="400BC59E"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Както при други средства, инхибиращи ренин-ангиотензин-алдостероновата система, могат да се очакват промени в бъбречната функция при чувствителни пациенти, лекувани с Кандекард Н (вж. точка 4.3).</w:t>
      </w:r>
    </w:p>
    <w:p w14:paraId="08538D13" w14:textId="77777777" w:rsidR="00967986" w:rsidRPr="00967986" w:rsidRDefault="00967986" w:rsidP="00967986">
      <w:pPr>
        <w:spacing w:line="240" w:lineRule="auto"/>
        <w:rPr>
          <w:rFonts w:eastAsia="Times New Roman" w:cs="Arial"/>
          <w:b/>
          <w:bCs/>
          <w:i/>
          <w:iCs/>
          <w:color w:val="000000"/>
          <w:lang w:eastAsia="bg-BG"/>
        </w:rPr>
      </w:pPr>
    </w:p>
    <w:p w14:paraId="1EA924FA" w14:textId="01B7EEDF"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Бъбречна трансплантация</w:t>
      </w:r>
    </w:p>
    <w:p w14:paraId="59FC57D8"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Съществуват ограничено количество данни, свързани с употребата на Кандекард Н при пациенти с бъбречна транс плантация.</w:t>
      </w:r>
    </w:p>
    <w:p w14:paraId="291C8FD7" w14:textId="77777777" w:rsidR="00967986" w:rsidRPr="00967986" w:rsidRDefault="00967986" w:rsidP="00967986">
      <w:pPr>
        <w:spacing w:line="240" w:lineRule="auto"/>
        <w:rPr>
          <w:rFonts w:eastAsia="Times New Roman" w:cs="Arial"/>
          <w:b/>
          <w:bCs/>
          <w:i/>
          <w:iCs/>
          <w:color w:val="000000"/>
          <w:lang w:eastAsia="bg-BG"/>
        </w:rPr>
      </w:pPr>
    </w:p>
    <w:p w14:paraId="40C2EF2E" w14:textId="0857BDE4"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Стеноза на бъбречната артерия</w:t>
      </w:r>
    </w:p>
    <w:p w14:paraId="115E9F44"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Лекарствени продукти, които повлияват ренин-ангиотензин-алдостероновата система, включително ангиотензин II рецепторни антагонисти (АТ</w:t>
      </w:r>
      <w:r w:rsidRPr="00967986">
        <w:rPr>
          <w:rFonts w:eastAsia="Times New Roman" w:cs="Arial"/>
          <w:color w:val="000000"/>
          <w:lang w:val="en-US"/>
        </w:rPr>
        <w:t>II</w:t>
      </w:r>
      <w:r w:rsidRPr="00967986">
        <w:rPr>
          <w:rFonts w:eastAsia="Times New Roman" w:cs="Arial"/>
          <w:color w:val="000000"/>
          <w:lang w:eastAsia="bg-BG"/>
        </w:rPr>
        <w:t>РА), може да повишат кръвните нива на уреята и серумния креатинин при пациенти с двустранна стеноза на бъбречните артерии или стеноза на артерията при единствен бъбрек.</w:t>
      </w:r>
    </w:p>
    <w:p w14:paraId="33E3B96D" w14:textId="77777777" w:rsidR="00967986" w:rsidRPr="00967986" w:rsidRDefault="00967986" w:rsidP="00967986">
      <w:pPr>
        <w:spacing w:line="240" w:lineRule="auto"/>
        <w:rPr>
          <w:rFonts w:eastAsia="Times New Roman" w:cs="Arial"/>
          <w:b/>
          <w:bCs/>
          <w:i/>
          <w:iCs/>
          <w:color w:val="000000"/>
          <w:lang w:eastAsia="bg-BG"/>
        </w:rPr>
      </w:pPr>
    </w:p>
    <w:p w14:paraId="7610A83A" w14:textId="47C6E248"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Понижение на вътресъдовия обем</w:t>
      </w:r>
    </w:p>
    <w:p w14:paraId="78129F92"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При пациентите с понижен вътресъдов обем и/или натрий може да настъпи симптоматична хипотония, както е описано за други активни вещества, действащи върху ренин-ангиотензин- алдостероновата система. Ето защо не се препоръчва употребата на Кандекард Н, докато това състояние не се коригира.</w:t>
      </w:r>
    </w:p>
    <w:p w14:paraId="2C63C1C2" w14:textId="77777777" w:rsidR="00967986" w:rsidRPr="00967986" w:rsidRDefault="00967986" w:rsidP="00967986">
      <w:pPr>
        <w:spacing w:line="240" w:lineRule="auto"/>
        <w:rPr>
          <w:rFonts w:eastAsia="Times New Roman" w:cs="Arial"/>
          <w:b/>
          <w:bCs/>
          <w:i/>
          <w:iCs/>
          <w:color w:val="000000"/>
          <w:lang w:eastAsia="bg-BG"/>
        </w:rPr>
      </w:pPr>
    </w:p>
    <w:p w14:paraId="7D809075" w14:textId="424D5933"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Анестезия и хирургични операции</w:t>
      </w:r>
    </w:p>
    <w:p w14:paraId="4832D269"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При пациенти лекувани с АТ</w:t>
      </w:r>
      <w:r w:rsidRPr="00967986">
        <w:rPr>
          <w:rFonts w:eastAsia="Times New Roman" w:cs="Arial"/>
          <w:color w:val="000000"/>
          <w:lang w:val="en-US"/>
        </w:rPr>
        <w:t>II</w:t>
      </w:r>
      <w:r w:rsidRPr="00967986">
        <w:rPr>
          <w:rFonts w:eastAsia="Times New Roman" w:cs="Arial"/>
          <w:color w:val="000000"/>
          <w:lang w:eastAsia="bg-BG"/>
        </w:rPr>
        <w:t>РА може да настъпи хипотония по време на анестезия и хирургични операции поради блокада на ренин-ангиотензиновата система. В много редки случаи хипотонията може да е толкова тежка, така че да наложи интравенозно приложение на течности и/или вазопресори.</w:t>
      </w:r>
    </w:p>
    <w:p w14:paraId="31C0B360" w14:textId="77777777" w:rsidR="00967986" w:rsidRPr="00967986" w:rsidRDefault="00967986" w:rsidP="00967986">
      <w:pPr>
        <w:spacing w:line="240" w:lineRule="auto"/>
        <w:rPr>
          <w:rFonts w:eastAsia="Times New Roman" w:cs="Arial"/>
          <w:b/>
          <w:bCs/>
          <w:i/>
          <w:iCs/>
          <w:color w:val="000000"/>
          <w:lang w:eastAsia="bg-BG"/>
        </w:rPr>
      </w:pPr>
    </w:p>
    <w:p w14:paraId="60BEF45D" w14:textId="0A0D0D37"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Чернодробно нарушение</w:t>
      </w:r>
    </w:p>
    <w:p w14:paraId="18B1750B"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 xml:space="preserve">Тиазидите трябва да се използват предпазливо при пациенти с увредена чернодробна функция или прогресивно чернодробно заболяване, тъй като леки промени във водното и </w:t>
      </w:r>
      <w:r w:rsidRPr="00967986">
        <w:rPr>
          <w:rFonts w:eastAsia="Times New Roman" w:cs="Arial"/>
          <w:color w:val="000000"/>
          <w:lang w:eastAsia="bg-BG"/>
        </w:rPr>
        <w:lastRenderedPageBreak/>
        <w:t>електролитното равновесие може да доведат до чернодробна кома. Липсва клиничен опит с Кандекард Н при пациенти с чернодробно увреждане.</w:t>
      </w:r>
    </w:p>
    <w:p w14:paraId="5CF8FCB9" w14:textId="77777777" w:rsidR="00967986" w:rsidRPr="00967986" w:rsidRDefault="00967986" w:rsidP="00967986">
      <w:pPr>
        <w:spacing w:line="240" w:lineRule="auto"/>
        <w:rPr>
          <w:rFonts w:eastAsia="Times New Roman" w:cs="Arial"/>
          <w:b/>
          <w:bCs/>
          <w:i/>
          <w:iCs/>
          <w:color w:val="000000"/>
          <w:lang w:eastAsia="bg-BG"/>
        </w:rPr>
      </w:pPr>
    </w:p>
    <w:p w14:paraId="6AE3F7FE" w14:textId="48AE2CC9"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 xml:space="preserve">Стеноза на аортната и митралната клапа (обстуктивна, хипертрофична кардиомиопатия) </w:t>
      </w:r>
      <w:r w:rsidRPr="00967986">
        <w:rPr>
          <w:rFonts w:eastAsia="Times New Roman" w:cs="Arial"/>
          <w:color w:val="000000"/>
          <w:lang w:eastAsia="bg-BG"/>
        </w:rPr>
        <w:t>Както и при останалите вазодилататори, при пациентите, страдащи от хемодинамично значима стеноза на митралната клапа или от обструктивна хипертрофична кардиомиопатия, е необходимо специално внимание.</w:t>
      </w:r>
    </w:p>
    <w:p w14:paraId="5918A820" w14:textId="77777777" w:rsidR="00967986" w:rsidRPr="00967986" w:rsidRDefault="00967986" w:rsidP="00967986">
      <w:pPr>
        <w:spacing w:line="240" w:lineRule="auto"/>
        <w:rPr>
          <w:rFonts w:eastAsia="Times New Roman" w:cs="Arial"/>
          <w:b/>
          <w:bCs/>
          <w:i/>
          <w:iCs/>
          <w:color w:val="000000"/>
          <w:lang w:eastAsia="bg-BG"/>
        </w:rPr>
      </w:pPr>
    </w:p>
    <w:p w14:paraId="46ADB2AD" w14:textId="57044003"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Първичен хипералдостеронизъм</w:t>
      </w:r>
    </w:p>
    <w:p w14:paraId="10AC63CD"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Пациентите с първичен хипералдостеронизъм по правило не се очаква да отговорят на антихипертензивни средства, действащи чрез инхибиране на ренин-ангиотензин-алдостероновата система, затова не се препоръчва употребата на Кандекард Н при такива пациенти.</w:t>
      </w:r>
    </w:p>
    <w:p w14:paraId="1391100E" w14:textId="77777777" w:rsidR="00967986" w:rsidRPr="00967986" w:rsidRDefault="00967986" w:rsidP="00967986">
      <w:pPr>
        <w:spacing w:line="240" w:lineRule="auto"/>
        <w:rPr>
          <w:rFonts w:eastAsia="Times New Roman" w:cs="Arial"/>
          <w:b/>
          <w:bCs/>
          <w:i/>
          <w:iCs/>
          <w:color w:val="000000"/>
          <w:lang w:eastAsia="bg-BG"/>
        </w:rPr>
      </w:pPr>
    </w:p>
    <w:p w14:paraId="407D77DB" w14:textId="21F6C931"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Нарушение на електролитното равновесие</w:t>
      </w:r>
    </w:p>
    <w:p w14:paraId="286BD1DE"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Периодично трябва да се извършва определяне на серумните електролити на подходящи</w:t>
      </w:r>
    </w:p>
    <w:p w14:paraId="264B56EE" w14:textId="77777777" w:rsidR="00967986" w:rsidRPr="00967986" w:rsidRDefault="00967986" w:rsidP="00967986">
      <w:pPr>
        <w:rPr>
          <w:rFonts w:eastAsia="Times New Roman" w:cs="Arial"/>
        </w:rPr>
      </w:pPr>
      <w:r w:rsidRPr="00967986">
        <w:rPr>
          <w:rFonts w:eastAsia="Times New Roman" w:cs="Arial"/>
          <w:color w:val="000000"/>
          <w:lang w:eastAsia="bg-BG"/>
        </w:rPr>
        <w:t>интервали. Тиазидите, включително хидрохлоротиазид, може да причинят нарушение на водното и електролитното равновесие (хиперкалциемия, хипокалиемия, хипомагнезнемия и хипохлоремична алкалоза).</w:t>
      </w:r>
    </w:p>
    <w:p w14:paraId="022BA6BA" w14:textId="77777777" w:rsidR="00967986" w:rsidRPr="00967986" w:rsidRDefault="00967986" w:rsidP="00967986">
      <w:pPr>
        <w:spacing w:line="240" w:lineRule="auto"/>
        <w:rPr>
          <w:rFonts w:eastAsia="Times New Roman" w:cs="Arial"/>
          <w:color w:val="000000"/>
          <w:lang w:eastAsia="bg-BG"/>
        </w:rPr>
      </w:pPr>
    </w:p>
    <w:p w14:paraId="3352A5C1" w14:textId="74808999" w:rsidR="00967986" w:rsidRPr="00967986" w:rsidRDefault="00967986" w:rsidP="00967986">
      <w:pPr>
        <w:spacing w:line="240" w:lineRule="auto"/>
        <w:rPr>
          <w:rFonts w:eastAsia="Times New Roman" w:cs="Arial"/>
        </w:rPr>
      </w:pPr>
      <w:r w:rsidRPr="00967986">
        <w:rPr>
          <w:rFonts w:eastAsia="Times New Roman" w:cs="Arial"/>
          <w:color w:val="000000"/>
          <w:lang w:eastAsia="bg-BG"/>
        </w:rPr>
        <w:t>Тиазидните диуретици може да понижат екскрецията на калций с урината и да причинят интермитентни и леко повишени серумни концентрации на калция.</w:t>
      </w:r>
      <w:r w:rsidRPr="00967986">
        <w:rPr>
          <w:rFonts w:eastAsia="Times New Roman" w:cs="Arial"/>
          <w:color w:val="000000"/>
          <w:lang w:val="ru-RU"/>
        </w:rPr>
        <w:t xml:space="preserve"> </w:t>
      </w:r>
      <w:r w:rsidRPr="00967986">
        <w:rPr>
          <w:rFonts w:eastAsia="Times New Roman" w:cs="Arial"/>
          <w:color w:val="000000"/>
          <w:lang w:eastAsia="bg-BG"/>
        </w:rPr>
        <w:t>Изразената хиперкалциемия може да е признак на скрит хиперпаратиреоидизъм. Тиазидите трябва да се спрат преди извършване на изследвания на паратиреоидната функция.</w:t>
      </w:r>
    </w:p>
    <w:p w14:paraId="43D6790A" w14:textId="77777777" w:rsidR="00967986" w:rsidRPr="00967986" w:rsidRDefault="00967986" w:rsidP="00967986">
      <w:pPr>
        <w:spacing w:line="240" w:lineRule="auto"/>
        <w:rPr>
          <w:rFonts w:eastAsia="Times New Roman" w:cs="Arial"/>
          <w:color w:val="000000"/>
          <w:lang w:eastAsia="bg-BG"/>
        </w:rPr>
      </w:pPr>
    </w:p>
    <w:p w14:paraId="04ADA6EC" w14:textId="5FA7CFA9" w:rsidR="00967986" w:rsidRPr="00967986" w:rsidRDefault="00967986" w:rsidP="00967986">
      <w:pPr>
        <w:spacing w:line="240" w:lineRule="auto"/>
        <w:rPr>
          <w:rFonts w:eastAsia="Times New Roman" w:cs="Arial"/>
        </w:rPr>
      </w:pPr>
      <w:r w:rsidRPr="00967986">
        <w:rPr>
          <w:rFonts w:eastAsia="Times New Roman" w:cs="Arial"/>
          <w:color w:val="000000"/>
          <w:lang w:eastAsia="bg-BG"/>
        </w:rPr>
        <w:t>Хидрохлоротиазид повишава дозозависимо екскрецията на калий в урината, което може да доведе до хипокалиемия. Този ефект на хидрохлоротиазид изглежда е по-слабо изявен в комбинация с кандесартан цилексетил. Рискът от хипокалиемия може да е повишен при пациенти с цироза на черния дроб, при пациенти с увеличена диуреза, при пациенти с недостатъчен перорален прием на електролити и при пациенти, получаващи съпътстваща терапия с кортикостероиди или адренокортикотропен хормон (АКТХ).</w:t>
      </w:r>
    </w:p>
    <w:p w14:paraId="6F73CA16" w14:textId="77777777" w:rsidR="00967986" w:rsidRPr="00967986" w:rsidRDefault="00967986" w:rsidP="00967986">
      <w:pPr>
        <w:spacing w:line="240" w:lineRule="auto"/>
        <w:rPr>
          <w:rFonts w:eastAsia="Times New Roman" w:cs="Arial"/>
          <w:color w:val="000000"/>
          <w:lang w:eastAsia="bg-BG"/>
        </w:rPr>
      </w:pPr>
    </w:p>
    <w:p w14:paraId="14E95BFE" w14:textId="15EE3BAB" w:rsidR="00967986" w:rsidRPr="00967986" w:rsidRDefault="00967986" w:rsidP="00967986">
      <w:pPr>
        <w:spacing w:line="240" w:lineRule="auto"/>
        <w:rPr>
          <w:rFonts w:eastAsia="Times New Roman" w:cs="Arial"/>
        </w:rPr>
      </w:pPr>
      <w:r w:rsidRPr="00967986">
        <w:rPr>
          <w:rFonts w:eastAsia="Times New Roman" w:cs="Arial"/>
          <w:color w:val="000000"/>
          <w:lang w:eastAsia="bg-BG"/>
        </w:rPr>
        <w:t>Лечението с кандесартан цилексетил може да причини хиперкалиемия, особено при съпътстваща сърдечна недостатъчност или бъбречно нарушение. Едновременната употреба на Кандекард Н и АСЕ-инхибитори, алискирен, калий-съхраняващи диуретици, калиеви добавки или заместители на солта, или други лекарствени продукти, които могат да повишат серумните нива на калия (напр. хепарин натрий, ко-тримоксазол известен още като триметоприм/сулфаметоксазол) могат да доведат до повишение на серумния калий и не се препоръчват (вижте точка 4.5). Подходящо е да се извършва проследяване на серумния калий.</w:t>
      </w:r>
    </w:p>
    <w:p w14:paraId="577AD1D9"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За тиазидите е доказано, че повишават екскрецията на магнезий с урината, което може да доведе до хипомагнезиемия.</w:t>
      </w:r>
    </w:p>
    <w:p w14:paraId="0F0BA939" w14:textId="77777777" w:rsidR="00967986" w:rsidRPr="00967986" w:rsidRDefault="00967986" w:rsidP="00967986">
      <w:pPr>
        <w:spacing w:line="240" w:lineRule="auto"/>
        <w:rPr>
          <w:rFonts w:eastAsia="Times New Roman" w:cs="Arial"/>
          <w:b/>
          <w:bCs/>
          <w:i/>
          <w:iCs/>
          <w:color w:val="000000"/>
          <w:lang w:eastAsia="bg-BG"/>
        </w:rPr>
      </w:pPr>
    </w:p>
    <w:p w14:paraId="1DD162FA" w14:textId="481CAC52"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Метаболитни и ендокринни ефекти</w:t>
      </w:r>
    </w:p>
    <w:p w14:paraId="04CECEF1"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Лечението с тиазиден диуретик може да наруши глюкозния толеранс. Може да е необходима корекция на дозата на антидиабетните лекарствени средства, включително инсулин. Латентният захарен диабет може да се манифестира по време на терапия с тиазид. Повишените нива на холестерола и триглицеридите са свързани с терапията с тиазиден диуретик. За дозата, която се съдържа в Кандекард Н се наблюдават само минимални ефекти. Тиазидните диуретици повишават серумната концентрация на пикочната киселина и може да отключат подагра при предразположени пациенти.</w:t>
      </w:r>
    </w:p>
    <w:p w14:paraId="1C22B14B" w14:textId="77777777" w:rsidR="00967986" w:rsidRPr="00967986" w:rsidRDefault="00967986" w:rsidP="00967986">
      <w:pPr>
        <w:spacing w:line="240" w:lineRule="auto"/>
        <w:rPr>
          <w:rFonts w:eastAsia="Times New Roman" w:cs="Arial"/>
          <w:b/>
          <w:bCs/>
          <w:i/>
          <w:iCs/>
          <w:color w:val="000000"/>
          <w:lang w:eastAsia="bg-BG"/>
        </w:rPr>
      </w:pPr>
    </w:p>
    <w:p w14:paraId="0CE596EC" w14:textId="4D67A49B"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Фоточувствителност:</w:t>
      </w:r>
    </w:p>
    <w:p w14:paraId="5EDB8505"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Съобщават се случаи на реакции на фоточувствителност с тиазидни диуретици (вижте точка 4.8). Ако по време на лечението настъпи реакция на фоточувствителност, се препоръчва да се спре лечението. Ако е необходимо повторно приложение на диуретик, се препоръчва откритите области да се предпазват от слънце или изкуствена УВ светлина.</w:t>
      </w:r>
    </w:p>
    <w:p w14:paraId="4317175F" w14:textId="77777777" w:rsidR="00967986" w:rsidRPr="00967986" w:rsidRDefault="00967986" w:rsidP="00967986">
      <w:pPr>
        <w:spacing w:line="240" w:lineRule="auto"/>
        <w:rPr>
          <w:rFonts w:eastAsia="Times New Roman" w:cs="Arial"/>
          <w:b/>
          <w:bCs/>
          <w:i/>
          <w:iCs/>
          <w:color w:val="000000"/>
          <w:lang w:eastAsia="bg-BG"/>
        </w:rPr>
      </w:pPr>
    </w:p>
    <w:p w14:paraId="268AEDE1" w14:textId="79F83BB2"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Немеланомен рак на кожата</w:t>
      </w:r>
    </w:p>
    <w:p w14:paraId="3AD49B25"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74B8A786" w14:textId="77777777" w:rsidR="00967986" w:rsidRPr="00967986" w:rsidRDefault="00967986" w:rsidP="00967986">
      <w:pPr>
        <w:rPr>
          <w:rFonts w:eastAsia="Times New Roman" w:cs="Arial"/>
        </w:rPr>
      </w:pPr>
      <w:r w:rsidRPr="00967986">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42EEBF33" w14:textId="77777777" w:rsidR="00967986" w:rsidRPr="00967986" w:rsidRDefault="00967986" w:rsidP="00967986">
      <w:pPr>
        <w:spacing w:line="240" w:lineRule="auto"/>
        <w:rPr>
          <w:rFonts w:eastAsia="Times New Roman" w:cs="Arial"/>
          <w:i/>
          <w:iCs/>
          <w:color w:val="000000"/>
          <w:lang w:eastAsia="bg-BG"/>
        </w:rPr>
      </w:pPr>
    </w:p>
    <w:p w14:paraId="6AFFC008" w14:textId="532B65D7" w:rsidR="00967986" w:rsidRPr="00967986" w:rsidRDefault="00967986" w:rsidP="00967986">
      <w:pPr>
        <w:spacing w:line="240" w:lineRule="auto"/>
        <w:rPr>
          <w:rFonts w:eastAsia="Times New Roman" w:cs="Arial"/>
        </w:rPr>
      </w:pPr>
      <w:r w:rsidRPr="00967986">
        <w:rPr>
          <w:rFonts w:eastAsia="Times New Roman" w:cs="Arial"/>
          <w:i/>
          <w:iCs/>
          <w:color w:val="000000"/>
          <w:lang w:eastAsia="bg-BG"/>
        </w:rPr>
        <w:t xml:space="preserve">Хороидален излив, остра миопия и вторична закритоъгълна глаукома </w:t>
      </w:r>
      <w:r w:rsidRPr="00967986">
        <w:rPr>
          <w:rFonts w:eastAsia="Times New Roman" w:cs="Arial"/>
          <w:color w:val="000000"/>
          <w:lang w:eastAsia="bg-BG"/>
        </w:rPr>
        <w:t>Сулфонамидни лекарствени продукти или производни на сулфонамидни лекарства могат да причинят реакция на идиосинкразия, водеща до хороидален излив с нарушаване на зрителното поле, преходна миопия и остра закритооъгълна глаукома. Симптомите включват остро начало на намалена зрителна острота или очна болка и обикновено се проявяват в рамките на часове до седмици след започване на лекарствения продукт. Нелекуваната остра закритоъгълна глаукома може да доведе до трайна загуба на зрението. Основното лечение е да се прекрати приема на лекарствените продукти възможно най-скоро. Възможно е да се обмислят бързи медицински или хирургични намеси, ако вътреочното налягане продължава да е неконтролирано. Рисковите фактори за развитие на остра закритоъгълна глаукома могат да включват анамнеза за алергия към сулфонамид или пеницилин.</w:t>
      </w:r>
    </w:p>
    <w:p w14:paraId="4C059859" w14:textId="77777777" w:rsidR="00967986" w:rsidRPr="00967986" w:rsidRDefault="00967986" w:rsidP="00967986">
      <w:pPr>
        <w:spacing w:line="240" w:lineRule="auto"/>
        <w:rPr>
          <w:rFonts w:eastAsia="Times New Roman" w:cs="Arial"/>
          <w:b/>
          <w:bCs/>
          <w:i/>
          <w:iCs/>
          <w:color w:val="000000"/>
          <w:lang w:eastAsia="bg-BG"/>
        </w:rPr>
      </w:pPr>
    </w:p>
    <w:p w14:paraId="7076D296" w14:textId="5C29D60D"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Общи</w:t>
      </w:r>
    </w:p>
    <w:p w14:paraId="1979C30C"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Пациенти, при които съдовият тонус и бъбречната функция зависят основно от активността на ренин-ангиотензин-алдостероновата система (напр. пациентите с тежка застойна сърдечна недостатъчност или подлежащо бъбречно заболяване, включително стеноза на бъбречната артерия), лечение с други лекарствени продукти, които повлияват тази система, включително и АТПРА, са свързани с остра хипотония, азотемия, олигурия или, в редки случаи, остра бъбречна недостатъчност. Както при всяко антихипертензивно средство, силното понижаване на кръвното налягане при пациентите с исхемична болест на сърцето или атеросклероза на мозъчните съдове може да доведе до миокарден инфаркт или инсулт.</w:t>
      </w:r>
    </w:p>
    <w:p w14:paraId="6F3C7541"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Реакции на свръхчувствителност към хидрохлоротиазид може да настъпят при пациенти с или без предходна анамнеза за алергия или бронхиална астма, но са по-вероятни при тези с такава анамнеза.</w:t>
      </w:r>
    </w:p>
    <w:p w14:paraId="7D6B2CE8"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lastRenderedPageBreak/>
        <w:t>При употребата на тиазидни диуретици се съобщават екзацербации или активиране на лупус еритематозус.</w:t>
      </w:r>
    </w:p>
    <w:p w14:paraId="13A6A882"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Антихипертензивният ефект на Кандекард Н може да се усили от други антихипертензивни средства.</w:t>
      </w:r>
    </w:p>
    <w:p w14:paraId="1186C3D2" w14:textId="77777777" w:rsidR="00967986" w:rsidRPr="00967986" w:rsidRDefault="00967986" w:rsidP="00967986">
      <w:pPr>
        <w:spacing w:line="240" w:lineRule="auto"/>
        <w:rPr>
          <w:rFonts w:eastAsia="Times New Roman" w:cs="Arial"/>
          <w:b/>
          <w:bCs/>
          <w:i/>
          <w:iCs/>
          <w:color w:val="000000"/>
          <w:lang w:eastAsia="bg-BG"/>
        </w:rPr>
      </w:pPr>
    </w:p>
    <w:p w14:paraId="7B9B502D" w14:textId="0DB27031"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Остра респораторна токсичност</w:t>
      </w:r>
    </w:p>
    <w:p w14:paraId="105FBD18"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967986">
        <w:rPr>
          <w:rFonts w:eastAsia="Times New Roman" w:cs="Arial"/>
          <w:color w:val="000000"/>
          <w:lang w:val="en-US"/>
        </w:rPr>
        <w:t>ARDS</w:t>
      </w:r>
      <w:r w:rsidRPr="00967986">
        <w:rPr>
          <w:rFonts w:eastAsia="Times New Roman" w:cs="Arial"/>
          <w:color w:val="000000"/>
          <w:lang w:val="ru-RU"/>
        </w:rPr>
        <w:t xml:space="preserve"> </w:t>
      </w:r>
      <w:r w:rsidRPr="00967986">
        <w:rPr>
          <w:rFonts w:eastAsia="Times New Roman" w:cs="Arial"/>
          <w:color w:val="000000"/>
          <w:lang w:eastAsia="bg-BG"/>
        </w:rPr>
        <w:t>трябва да бъде спрян приемът на Кандекард Н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49352A28" w14:textId="77777777" w:rsidR="00967986" w:rsidRPr="00967986" w:rsidRDefault="00967986" w:rsidP="00967986">
      <w:pPr>
        <w:spacing w:line="240" w:lineRule="auto"/>
        <w:rPr>
          <w:rFonts w:eastAsia="Times New Roman" w:cs="Arial"/>
          <w:i/>
          <w:iCs/>
          <w:color w:val="000000"/>
          <w:lang w:eastAsia="bg-BG"/>
        </w:rPr>
      </w:pPr>
    </w:p>
    <w:p w14:paraId="43E6072D" w14:textId="7A1315B8" w:rsidR="00967986" w:rsidRPr="00967986" w:rsidRDefault="00967986" w:rsidP="00967986">
      <w:pPr>
        <w:spacing w:line="240" w:lineRule="auto"/>
        <w:rPr>
          <w:rFonts w:eastAsia="Times New Roman" w:cs="Arial"/>
        </w:rPr>
      </w:pPr>
      <w:r w:rsidRPr="00967986">
        <w:rPr>
          <w:rFonts w:eastAsia="Times New Roman" w:cs="Arial"/>
          <w:i/>
          <w:iCs/>
          <w:color w:val="000000"/>
          <w:lang w:eastAsia="bg-BG"/>
        </w:rPr>
        <w:t>Специални предупреждения, относно помощните вещества</w:t>
      </w:r>
    </w:p>
    <w:p w14:paraId="6AAE31CC" w14:textId="77777777" w:rsidR="00967986" w:rsidRPr="00967986" w:rsidRDefault="00967986" w:rsidP="00967986">
      <w:pPr>
        <w:spacing w:line="240" w:lineRule="auto"/>
        <w:rPr>
          <w:rFonts w:eastAsia="Times New Roman" w:cs="Arial"/>
        </w:rPr>
      </w:pPr>
      <w:r w:rsidRPr="00967986">
        <w:rPr>
          <w:rFonts w:eastAsia="Times New Roman" w:cs="Arial"/>
          <w:color w:val="000000"/>
          <w:lang w:eastAsia="bg-BG"/>
        </w:rPr>
        <w:t>Този лекарствен продукт съдържа лактоза.Помощно вещество, и пациентите с редки наследствени състояния на галактозна непоносимост, общ лактазен дефицит или глюкозо-галактозна малабсорбция, не трябва да приемат този лекарствен продукт.</w:t>
      </w:r>
    </w:p>
    <w:p w14:paraId="4CAF8C99" w14:textId="77777777" w:rsidR="00967986" w:rsidRPr="00967986" w:rsidRDefault="00967986" w:rsidP="00967986">
      <w:pPr>
        <w:spacing w:line="240" w:lineRule="auto"/>
        <w:rPr>
          <w:rFonts w:eastAsia="Times New Roman" w:cs="Arial"/>
          <w:color w:val="000000"/>
          <w:lang w:eastAsia="bg-BG"/>
        </w:rPr>
      </w:pPr>
    </w:p>
    <w:p w14:paraId="37B940E4" w14:textId="179F132E" w:rsidR="00967986" w:rsidRPr="00967986" w:rsidRDefault="00967986" w:rsidP="00967986">
      <w:pPr>
        <w:spacing w:line="240" w:lineRule="auto"/>
        <w:rPr>
          <w:rFonts w:eastAsia="Times New Roman" w:cs="Arial"/>
        </w:rPr>
      </w:pPr>
      <w:r w:rsidRPr="00967986">
        <w:rPr>
          <w:rFonts w:eastAsia="Times New Roman" w:cs="Arial"/>
          <w:color w:val="000000"/>
          <w:lang w:eastAsia="bg-BG"/>
        </w:rPr>
        <w:t xml:space="preserve">Този лекарствен продукт съдържа по-малко от 1 </w:t>
      </w:r>
      <w:proofErr w:type="spellStart"/>
      <w:r w:rsidRPr="00967986">
        <w:rPr>
          <w:rFonts w:eastAsia="Times New Roman" w:cs="Arial"/>
          <w:color w:val="000000"/>
          <w:lang w:val="en-US"/>
        </w:rPr>
        <w:t>mmol</w:t>
      </w:r>
      <w:proofErr w:type="spellEnd"/>
      <w:r w:rsidRPr="00967986">
        <w:rPr>
          <w:rFonts w:eastAsia="Times New Roman" w:cs="Arial"/>
          <w:color w:val="000000"/>
          <w:lang w:val="ru-RU"/>
        </w:rPr>
        <w:t xml:space="preserve"> </w:t>
      </w:r>
      <w:r w:rsidRPr="00967986">
        <w:rPr>
          <w:rFonts w:eastAsia="Times New Roman" w:cs="Arial"/>
          <w:color w:val="000000"/>
          <w:lang w:eastAsia="bg-BG"/>
        </w:rPr>
        <w:t xml:space="preserve">натрий (23 </w:t>
      </w:r>
      <w:r w:rsidRPr="00967986">
        <w:rPr>
          <w:rFonts w:eastAsia="Times New Roman" w:cs="Arial"/>
          <w:color w:val="000000"/>
          <w:lang w:val="en-US"/>
        </w:rPr>
        <w:t>mg</w:t>
      </w:r>
      <w:r w:rsidRPr="00967986">
        <w:rPr>
          <w:rFonts w:eastAsia="Times New Roman" w:cs="Arial"/>
          <w:color w:val="000000"/>
          <w:lang w:val="ru-RU"/>
        </w:rPr>
        <w:t xml:space="preserve">) </w:t>
      </w:r>
      <w:r w:rsidRPr="00967986">
        <w:rPr>
          <w:rFonts w:eastAsia="Times New Roman" w:cs="Arial"/>
          <w:color w:val="000000"/>
          <w:lang w:eastAsia="bg-BG"/>
        </w:rPr>
        <w:t>в една таблетка, което означава, че по същество не съдържа натрий.</w:t>
      </w:r>
    </w:p>
    <w:p w14:paraId="0C91E3FE" w14:textId="77777777" w:rsidR="00967986" w:rsidRPr="00967986" w:rsidRDefault="00967986" w:rsidP="00967986">
      <w:pPr>
        <w:spacing w:line="240" w:lineRule="auto"/>
        <w:rPr>
          <w:rFonts w:eastAsia="Times New Roman" w:cs="Arial"/>
          <w:b/>
          <w:bCs/>
          <w:i/>
          <w:iCs/>
          <w:color w:val="000000"/>
          <w:lang w:eastAsia="bg-BG"/>
        </w:rPr>
      </w:pPr>
    </w:p>
    <w:p w14:paraId="58FB463D" w14:textId="05B1AEF7" w:rsidR="00967986" w:rsidRPr="00967986" w:rsidRDefault="00967986" w:rsidP="00967986">
      <w:pPr>
        <w:spacing w:line="240" w:lineRule="auto"/>
        <w:rPr>
          <w:rFonts w:eastAsia="Times New Roman" w:cs="Arial"/>
        </w:rPr>
      </w:pPr>
      <w:r w:rsidRPr="00967986">
        <w:rPr>
          <w:rFonts w:eastAsia="Times New Roman" w:cs="Arial"/>
          <w:b/>
          <w:bCs/>
          <w:i/>
          <w:iCs/>
          <w:color w:val="000000"/>
          <w:lang w:eastAsia="bg-BG"/>
        </w:rPr>
        <w:t>Бременност</w:t>
      </w:r>
    </w:p>
    <w:p w14:paraId="19FFDEEF" w14:textId="77777777" w:rsidR="00967986" w:rsidRPr="00967986" w:rsidRDefault="00967986" w:rsidP="00967986">
      <w:pPr>
        <w:rPr>
          <w:rFonts w:eastAsia="Times New Roman" w:cs="Arial"/>
        </w:rPr>
      </w:pPr>
      <w:r w:rsidRPr="00967986">
        <w:rPr>
          <w:rFonts w:eastAsia="Times New Roman" w:cs="Arial"/>
          <w:color w:val="000000"/>
          <w:lang w:eastAsia="bg-BG"/>
        </w:rPr>
        <w:t>Употребата на антагонисти на ангиотензин II рецепторите (АТПРА) не трябва да се започва по време на бременност. Ако продължаването на терапията с тези лекарства се счита за необходимо пациентките, планиращи бременност, трябва да преминат на алтернативно антихипертензивно лечение, което има установен профил на безопасност за употреба при бременност. Когато се установи бременност, лечението с антагонистите на ангиотензин II рецепторите (АТ</w:t>
      </w:r>
      <w:r w:rsidRPr="00967986">
        <w:rPr>
          <w:rFonts w:eastAsia="Times New Roman" w:cs="Arial"/>
          <w:color w:val="000000"/>
          <w:lang w:val="en-US"/>
        </w:rPr>
        <w:t>II</w:t>
      </w:r>
      <w:r w:rsidRPr="00967986">
        <w:rPr>
          <w:rFonts w:eastAsia="Times New Roman" w:cs="Arial"/>
          <w:color w:val="000000"/>
          <w:lang w:eastAsia="bg-BG"/>
        </w:rPr>
        <w:t>РА) трябва да се спре, и ако е уместно, да се започне алтернативна терапия.(вж. точки 4.3 и 4.6).</w:t>
      </w:r>
    </w:p>
    <w:p w14:paraId="1A43634A" w14:textId="77777777" w:rsidR="00967986" w:rsidRPr="00967986" w:rsidRDefault="00967986" w:rsidP="00967986">
      <w:pPr>
        <w:spacing w:line="240" w:lineRule="auto"/>
        <w:rPr>
          <w:rFonts w:eastAsia="Times New Roman" w:cs="Arial"/>
          <w:color w:val="000000"/>
          <w:lang w:eastAsia="bg-BG"/>
        </w:rPr>
      </w:pPr>
    </w:p>
    <w:p w14:paraId="081831DF" w14:textId="233DF096" w:rsidR="00967986" w:rsidRPr="00967986" w:rsidRDefault="00967986" w:rsidP="00967986">
      <w:pPr>
        <w:spacing w:line="240" w:lineRule="auto"/>
        <w:rPr>
          <w:rFonts w:eastAsia="Times New Roman" w:cs="Arial"/>
        </w:rPr>
      </w:pPr>
      <w:r w:rsidRPr="00967986">
        <w:rPr>
          <w:rFonts w:eastAsia="Times New Roman" w:cs="Arial"/>
          <w:color w:val="000000"/>
          <w:lang w:eastAsia="bg-BG"/>
        </w:rPr>
        <w:t>Употребата на Кандекард Н може да доведе до положителни резултати при допинг контрол, които се дължат на хидрохлоротиазид.</w:t>
      </w:r>
    </w:p>
    <w:p w14:paraId="0C6B4622" w14:textId="77C7A0B0" w:rsidR="00967986" w:rsidRPr="00967986" w:rsidRDefault="00967986" w:rsidP="00967986"/>
    <w:p w14:paraId="0734264C" w14:textId="11A8A21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D5FC040" w14:textId="406C8768" w:rsidR="00967986" w:rsidRDefault="00967986" w:rsidP="00967986"/>
    <w:p w14:paraId="169B2E25"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Съединенията, които са изследвани при клиничните фармакокинетични проучвания, включват варфарин, дигоксин, перорални контрацептиви (напр. етинилестрадиол/левоноргестрел), глибенкламид и нифедипин. Не са наблюдавани никакви клинично значими фармакокинетични взаимодействия.</w:t>
      </w:r>
    </w:p>
    <w:p w14:paraId="19DA9168" w14:textId="77777777" w:rsidR="00967986" w:rsidRPr="00967986" w:rsidRDefault="00967986" w:rsidP="00967986">
      <w:pPr>
        <w:spacing w:line="240" w:lineRule="auto"/>
        <w:rPr>
          <w:rFonts w:eastAsia="Times New Roman" w:cs="Arial"/>
          <w:color w:val="000000"/>
          <w:szCs w:val="20"/>
          <w:lang w:eastAsia="bg-BG"/>
        </w:rPr>
      </w:pPr>
    </w:p>
    <w:p w14:paraId="5A46034D" w14:textId="39E4CEB4"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Може да се очаква калий изчерпващият ефект на хидрохлоротиазид да се потенцира от други лекарства, водещи до загуба на калий и хипокалиемия (напр. други калийуретични диуретици, лаксативи, амфотерицин, карбеноксолон, пеницилин </w:t>
      </w:r>
      <w:r w:rsidRPr="00967986">
        <w:rPr>
          <w:rFonts w:eastAsia="Times New Roman" w:cs="Arial"/>
          <w:color w:val="000000"/>
          <w:szCs w:val="20"/>
          <w:lang w:val="en-US"/>
        </w:rPr>
        <w:t>G</w:t>
      </w:r>
      <w:r w:rsidRPr="00967986">
        <w:rPr>
          <w:rFonts w:eastAsia="Times New Roman" w:cs="Arial"/>
          <w:color w:val="000000"/>
          <w:szCs w:val="20"/>
          <w:lang w:val="ru-RU"/>
        </w:rPr>
        <w:t xml:space="preserve"> </w:t>
      </w:r>
      <w:r w:rsidRPr="00967986">
        <w:rPr>
          <w:rFonts w:eastAsia="Times New Roman" w:cs="Arial"/>
          <w:color w:val="000000"/>
          <w:szCs w:val="20"/>
          <w:lang w:eastAsia="bg-BG"/>
        </w:rPr>
        <w:t>натрий, производни на салициловата киселина, стероиди, АКТХ).</w:t>
      </w:r>
    </w:p>
    <w:p w14:paraId="000171F9" w14:textId="77777777" w:rsidR="00967986" w:rsidRPr="00967986" w:rsidRDefault="00967986" w:rsidP="00967986">
      <w:pPr>
        <w:spacing w:line="240" w:lineRule="auto"/>
        <w:rPr>
          <w:rFonts w:eastAsia="Times New Roman" w:cs="Arial"/>
          <w:color w:val="000000"/>
          <w:szCs w:val="20"/>
          <w:lang w:eastAsia="bg-BG"/>
        </w:rPr>
      </w:pPr>
    </w:p>
    <w:p w14:paraId="4AF99436" w14:textId="7108F73A"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lastRenderedPageBreak/>
        <w:t>Едновременната употреба на Кандекард Н и калий-съхраняващи диуретици, калиеви добавки и заместители на солта или други лекарства, които биха могли да повишат серумните нива на калия (напр. хепарин натрий, ко-тримоксазол известен още като триметоприм/сулфаметоксазол), може да доведе до повишение на серумния калий. Подходящо е да се извършва проследяване на серумния калий, (вж. точка 4.4)</w:t>
      </w:r>
    </w:p>
    <w:p w14:paraId="47068D66" w14:textId="77777777" w:rsidR="00967986" w:rsidRPr="00967986" w:rsidRDefault="00967986" w:rsidP="00967986">
      <w:pPr>
        <w:spacing w:line="240" w:lineRule="auto"/>
        <w:rPr>
          <w:rFonts w:eastAsia="Times New Roman" w:cs="Arial"/>
          <w:color w:val="000000"/>
          <w:szCs w:val="20"/>
          <w:lang w:eastAsia="bg-BG"/>
        </w:rPr>
      </w:pPr>
    </w:p>
    <w:p w14:paraId="63B7C364" w14:textId="527E0159"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Индуцираните от диуретици хипокалиемия и хипомагнезиемия предразполагат към появата на потенциални кардиотоксични ефекти на дигиталисовите гликозиди и антиаритмични средства. Препоръчва се периодично проследяване на серумния калий, когато Кандекард Н се прилага с такива лекарствени продукти, както и с изброените лекарствени продукти, които могат да индуцират ” </w:t>
      </w:r>
      <w:proofErr w:type="spellStart"/>
      <w:r w:rsidRPr="00967986">
        <w:rPr>
          <w:rFonts w:eastAsia="Times New Roman" w:cs="Arial"/>
          <w:i/>
          <w:iCs/>
          <w:color w:val="000000"/>
          <w:szCs w:val="20"/>
          <w:lang w:val="en-US"/>
        </w:rPr>
        <w:t>torsades</w:t>
      </w:r>
      <w:proofErr w:type="spellEnd"/>
      <w:r w:rsidRPr="00967986">
        <w:rPr>
          <w:rFonts w:eastAsia="Times New Roman" w:cs="Arial"/>
          <w:i/>
          <w:iCs/>
          <w:color w:val="000000"/>
          <w:szCs w:val="20"/>
          <w:lang w:val="ru-RU"/>
        </w:rPr>
        <w:t xml:space="preserve"> </w:t>
      </w:r>
      <w:r w:rsidRPr="00967986">
        <w:rPr>
          <w:rFonts w:eastAsia="Times New Roman" w:cs="Arial"/>
          <w:i/>
          <w:iCs/>
          <w:color w:val="000000"/>
          <w:szCs w:val="20"/>
          <w:lang w:val="en-US"/>
        </w:rPr>
        <w:t>de</w:t>
      </w:r>
      <w:r w:rsidRPr="00967986">
        <w:rPr>
          <w:rFonts w:eastAsia="Times New Roman" w:cs="Arial"/>
          <w:i/>
          <w:iCs/>
          <w:color w:val="000000"/>
          <w:szCs w:val="20"/>
          <w:lang w:val="ru-RU"/>
        </w:rPr>
        <w:t xml:space="preserve"> </w:t>
      </w:r>
      <w:r w:rsidRPr="00967986">
        <w:rPr>
          <w:rFonts w:eastAsia="Times New Roman" w:cs="Arial"/>
          <w:i/>
          <w:iCs/>
          <w:color w:val="000000"/>
          <w:szCs w:val="20"/>
          <w:lang w:val="en-US"/>
        </w:rPr>
        <w:t>pointes</w:t>
      </w:r>
    </w:p>
    <w:p w14:paraId="2AA45084" w14:textId="77777777" w:rsidR="00967986" w:rsidRPr="00967986" w:rsidRDefault="00967986" w:rsidP="00967986">
      <w:pPr>
        <w:pStyle w:val="ListParagraph"/>
        <w:numPr>
          <w:ilvl w:val="0"/>
          <w:numId w:val="38"/>
        </w:numPr>
        <w:spacing w:line="240" w:lineRule="auto"/>
        <w:rPr>
          <w:rFonts w:eastAsia="Times New Roman" w:cs="Arial"/>
          <w:sz w:val="28"/>
          <w:szCs w:val="24"/>
        </w:rPr>
      </w:pPr>
      <w:r w:rsidRPr="00967986">
        <w:rPr>
          <w:rFonts w:eastAsia="Times New Roman" w:cs="Arial"/>
          <w:color w:val="000000"/>
          <w:szCs w:val="20"/>
          <w:lang w:eastAsia="bg-BG"/>
        </w:rPr>
        <w:t xml:space="preserve">Клас </w:t>
      </w:r>
      <w:proofErr w:type="spellStart"/>
      <w:r w:rsidRPr="00967986">
        <w:rPr>
          <w:rFonts w:eastAsia="Times New Roman" w:cs="Arial"/>
          <w:color w:val="000000"/>
          <w:szCs w:val="20"/>
          <w:lang w:val="en-US"/>
        </w:rPr>
        <w:t>Ia</w:t>
      </w:r>
      <w:proofErr w:type="spellEnd"/>
      <w:r w:rsidRPr="00967986">
        <w:rPr>
          <w:rFonts w:eastAsia="Times New Roman" w:cs="Arial"/>
          <w:color w:val="000000"/>
          <w:szCs w:val="20"/>
          <w:lang w:val="ru-RU"/>
        </w:rPr>
        <w:t xml:space="preserve"> </w:t>
      </w:r>
      <w:r w:rsidRPr="00967986">
        <w:rPr>
          <w:rFonts w:eastAsia="Times New Roman" w:cs="Arial"/>
          <w:color w:val="000000"/>
          <w:szCs w:val="20"/>
          <w:lang w:eastAsia="bg-BG"/>
        </w:rPr>
        <w:t>антиаритмични средства (хинидин, хидрохинидин, дизопирамид)</w:t>
      </w:r>
    </w:p>
    <w:p w14:paraId="24289277" w14:textId="77777777" w:rsidR="00967986" w:rsidRPr="00967986" w:rsidRDefault="00967986" w:rsidP="00967986">
      <w:pPr>
        <w:pStyle w:val="ListParagraph"/>
        <w:numPr>
          <w:ilvl w:val="0"/>
          <w:numId w:val="38"/>
        </w:numPr>
        <w:spacing w:line="240" w:lineRule="auto"/>
        <w:rPr>
          <w:rFonts w:eastAsia="Times New Roman" w:cs="Arial"/>
          <w:sz w:val="28"/>
          <w:szCs w:val="24"/>
        </w:rPr>
      </w:pPr>
      <w:r w:rsidRPr="00967986">
        <w:rPr>
          <w:rFonts w:eastAsia="Times New Roman" w:cs="Arial"/>
          <w:color w:val="000000"/>
          <w:szCs w:val="20"/>
          <w:lang w:eastAsia="bg-BG"/>
        </w:rPr>
        <w:t>Клас III антиаритмични средства (амиодарон, соталол, дофетилид, ибутилид)</w:t>
      </w:r>
    </w:p>
    <w:p w14:paraId="0D2A995E" w14:textId="77777777" w:rsidR="00967986" w:rsidRPr="00967986" w:rsidRDefault="00967986" w:rsidP="00967986">
      <w:pPr>
        <w:pStyle w:val="ListParagraph"/>
        <w:numPr>
          <w:ilvl w:val="0"/>
          <w:numId w:val="38"/>
        </w:numPr>
        <w:spacing w:line="240" w:lineRule="auto"/>
        <w:rPr>
          <w:rFonts w:eastAsia="Times New Roman" w:cs="Arial"/>
          <w:sz w:val="28"/>
          <w:szCs w:val="24"/>
        </w:rPr>
      </w:pPr>
      <w:r w:rsidRPr="00967986">
        <w:rPr>
          <w:rFonts w:eastAsia="Times New Roman" w:cs="Arial"/>
          <w:color w:val="000000"/>
          <w:szCs w:val="20"/>
          <w:lang w:eastAsia="bg-BG"/>
        </w:rPr>
        <w:t>Някои антипсихотици (тиоридазин, хлорпромазин, левомепромазин, трифлуоперазин, циамемазин, сулпирид, султоприд, амисулприд, тиаприд, пимозид, халоперидол, дроперидол)</w:t>
      </w:r>
    </w:p>
    <w:p w14:paraId="254E00DA" w14:textId="59AE4219" w:rsidR="00967986" w:rsidRPr="00967986" w:rsidRDefault="00967986" w:rsidP="00967986">
      <w:pPr>
        <w:pStyle w:val="ListParagraph"/>
        <w:numPr>
          <w:ilvl w:val="0"/>
          <w:numId w:val="38"/>
        </w:numPr>
        <w:spacing w:line="240" w:lineRule="auto"/>
        <w:rPr>
          <w:rFonts w:eastAsia="Times New Roman" w:cs="Arial"/>
          <w:sz w:val="28"/>
          <w:szCs w:val="24"/>
        </w:rPr>
      </w:pPr>
      <w:r w:rsidRPr="00967986">
        <w:rPr>
          <w:rFonts w:eastAsia="Times New Roman" w:cs="Arial"/>
          <w:color w:val="000000"/>
          <w:szCs w:val="20"/>
          <w:lang w:eastAsia="bg-BG"/>
        </w:rPr>
        <w:t xml:space="preserve">Други (бепридил, цизаприд, дифеманил, еритромицин </w:t>
      </w:r>
      <w:proofErr w:type="spellStart"/>
      <w:r w:rsidRPr="00967986">
        <w:rPr>
          <w:rFonts w:eastAsia="Times New Roman" w:cs="Arial"/>
          <w:color w:val="000000"/>
          <w:szCs w:val="20"/>
          <w:lang w:val="en-US"/>
        </w:rPr>
        <w:t>i</w:t>
      </w:r>
      <w:proofErr w:type="spellEnd"/>
      <w:r w:rsidRPr="00967986">
        <w:rPr>
          <w:rFonts w:eastAsia="Times New Roman" w:cs="Arial"/>
          <w:color w:val="000000"/>
          <w:szCs w:val="20"/>
        </w:rPr>
        <w:t>.</w:t>
      </w:r>
      <w:r w:rsidRPr="00967986">
        <w:rPr>
          <w:rFonts w:eastAsia="Times New Roman" w:cs="Arial"/>
          <w:color w:val="000000"/>
          <w:szCs w:val="20"/>
          <w:lang w:val="en-US"/>
        </w:rPr>
        <w:t>v</w:t>
      </w:r>
      <w:r w:rsidRPr="00967986">
        <w:rPr>
          <w:rFonts w:eastAsia="Times New Roman" w:cs="Arial"/>
          <w:color w:val="000000"/>
          <w:szCs w:val="20"/>
        </w:rPr>
        <w:t xml:space="preserve">., </w:t>
      </w:r>
      <w:r w:rsidRPr="00967986">
        <w:rPr>
          <w:rFonts w:eastAsia="Times New Roman" w:cs="Arial"/>
          <w:color w:val="000000"/>
          <w:szCs w:val="20"/>
          <w:lang w:eastAsia="bg-BG"/>
        </w:rPr>
        <w:t xml:space="preserve">халофантрин, кетансерин, мизоластин, пентамидин, спарфлоксацин, терфенадин, винкамин </w:t>
      </w:r>
      <w:proofErr w:type="spellStart"/>
      <w:r w:rsidRPr="00967986">
        <w:rPr>
          <w:rFonts w:eastAsia="Times New Roman" w:cs="Arial"/>
          <w:color w:val="000000"/>
          <w:szCs w:val="20"/>
          <w:lang w:val="en-US"/>
        </w:rPr>
        <w:t>i</w:t>
      </w:r>
      <w:proofErr w:type="spellEnd"/>
      <w:r w:rsidRPr="00967986">
        <w:rPr>
          <w:rFonts w:eastAsia="Times New Roman" w:cs="Arial"/>
          <w:color w:val="000000"/>
          <w:szCs w:val="20"/>
        </w:rPr>
        <w:t>.</w:t>
      </w:r>
      <w:r w:rsidRPr="00967986">
        <w:rPr>
          <w:rFonts w:eastAsia="Times New Roman" w:cs="Arial"/>
          <w:color w:val="000000"/>
          <w:szCs w:val="20"/>
          <w:lang w:val="en-US"/>
        </w:rPr>
        <w:t>v</w:t>
      </w:r>
      <w:r w:rsidRPr="00967986">
        <w:rPr>
          <w:rFonts w:eastAsia="Times New Roman" w:cs="Arial"/>
          <w:color w:val="000000"/>
          <w:szCs w:val="20"/>
        </w:rPr>
        <w:t>.)</w:t>
      </w:r>
    </w:p>
    <w:p w14:paraId="6075B6C4" w14:textId="77777777" w:rsidR="00967986" w:rsidRPr="00967986" w:rsidRDefault="00967986" w:rsidP="00967986">
      <w:pPr>
        <w:spacing w:line="240" w:lineRule="auto"/>
        <w:rPr>
          <w:rFonts w:eastAsia="Times New Roman" w:cs="Arial"/>
          <w:color w:val="000000"/>
          <w:szCs w:val="20"/>
          <w:lang w:eastAsia="bg-BG"/>
        </w:rPr>
      </w:pPr>
    </w:p>
    <w:p w14:paraId="3C837AEB" w14:textId="364A6E49"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Съобщават се обратими повишения на серумните концентрации на лития и токсичност при едновременното приложение на литий с АСЕ инхибитори или хидрохлоротиазид. Подобен ефект може да настъпи с антагонистите на ангиотензин II рецептора. Употребата на кандесартан и хидрохлоротиазид с литий не се препоръчва. Ако със сигурност е необходимо едновременно приложение се препоръчва внимателно проследяване на серумните нива на лития.</w:t>
      </w:r>
    </w:p>
    <w:p w14:paraId="49EFAE93" w14:textId="77777777" w:rsidR="00967986" w:rsidRPr="00967986" w:rsidRDefault="00967986" w:rsidP="00967986">
      <w:pPr>
        <w:spacing w:line="240" w:lineRule="auto"/>
        <w:rPr>
          <w:rFonts w:eastAsia="Times New Roman" w:cs="Arial"/>
          <w:color w:val="000000"/>
          <w:szCs w:val="20"/>
          <w:lang w:eastAsia="bg-BG"/>
        </w:rPr>
      </w:pPr>
    </w:p>
    <w:p w14:paraId="2EBB8F1B" w14:textId="6C6DC371" w:rsidR="00967986" w:rsidRPr="00967986" w:rsidRDefault="00967986" w:rsidP="00967986">
      <w:pPr>
        <w:spacing w:line="240" w:lineRule="auto"/>
        <w:rPr>
          <w:rFonts w:eastAsia="Times New Roman" w:cs="Arial"/>
          <w:color w:val="000000"/>
          <w:szCs w:val="20"/>
          <w:lang w:eastAsia="bg-BG"/>
        </w:rPr>
      </w:pPr>
      <w:r w:rsidRPr="00967986">
        <w:rPr>
          <w:rFonts w:eastAsia="Times New Roman" w:cs="Arial"/>
          <w:color w:val="000000"/>
          <w:szCs w:val="20"/>
          <w:lang w:eastAsia="bg-BG"/>
        </w:rPr>
        <w:t xml:space="preserve">Когато ангиотензин </w:t>
      </w:r>
      <w:r w:rsidRPr="00967986">
        <w:rPr>
          <w:rFonts w:eastAsia="Times New Roman" w:cs="Arial"/>
          <w:i/>
          <w:iCs/>
          <w:color w:val="000000"/>
          <w:szCs w:val="20"/>
          <w:lang w:eastAsia="bg-BG"/>
        </w:rPr>
        <w:t>II</w:t>
      </w:r>
      <w:r w:rsidRPr="00967986">
        <w:rPr>
          <w:rFonts w:eastAsia="Times New Roman" w:cs="Arial"/>
          <w:color w:val="000000"/>
          <w:szCs w:val="20"/>
          <w:lang w:eastAsia="bg-BG"/>
        </w:rPr>
        <w:t xml:space="preserve"> рецепторни антагонисти се прилагат едновременно с нестероидни </w:t>
      </w:r>
    </w:p>
    <w:p w14:paraId="3ECEF6D3" w14:textId="77777777" w:rsidR="00967986" w:rsidRPr="00967986" w:rsidRDefault="00967986" w:rsidP="00967986">
      <w:pPr>
        <w:rPr>
          <w:rFonts w:eastAsia="Times New Roman" w:cs="Arial"/>
          <w:sz w:val="28"/>
          <w:szCs w:val="24"/>
        </w:rPr>
      </w:pPr>
      <w:r w:rsidRPr="00967986">
        <w:rPr>
          <w:rFonts w:eastAsia="Times New Roman" w:cs="Arial"/>
          <w:color w:val="000000"/>
          <w:szCs w:val="20"/>
          <w:lang w:eastAsia="bg-BG"/>
        </w:rPr>
        <w:t>противовъзпалителни вещества (напр. селективни СОХ-2 инхибитори, ацетилсалицилова киселина (&gt;3</w:t>
      </w:r>
      <w:r w:rsidRPr="00967986">
        <w:rPr>
          <w:rFonts w:eastAsia="Times New Roman" w:cs="Arial"/>
          <w:color w:val="000000"/>
          <w:szCs w:val="20"/>
          <w:lang w:val="en-US"/>
        </w:rPr>
        <w:t>g</w:t>
      </w:r>
      <w:r w:rsidRPr="00967986">
        <w:rPr>
          <w:rFonts w:eastAsia="Times New Roman" w:cs="Arial"/>
          <w:color w:val="000000"/>
          <w:szCs w:val="20"/>
          <w:lang w:eastAsia="bg-BG"/>
        </w:rPr>
        <w:t>/ден) и неселективни НСПВС), може да настъпи отслабване на антихипертензивния ефект. Както при АСЕ инхибиторите, едновременното приложение на ангиотензин II рецепторни антагонисти и НСПВС може да доведе до повишен риск от влошаване на бъбречната функция включително възможна остра бъбречна недостатъчност и повишение на серумния калий, особено при пациенти с влошена преди това бъбречна функция. Комбинацията трябва да се прилага предпазливо, особено при хора в напреднала възраст. Пациентите трябва да бъдат добре хидратирани и трябва да се предвиди проследяване на бъбречната функция след започване на едновременна терапия и периодично след това.</w:t>
      </w:r>
    </w:p>
    <w:p w14:paraId="24DFD6AE"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Диуретичният, натриуретичният и антихипертензивният ефекти на хидрохлоротиазид се понижават от НСПВС.</w:t>
      </w:r>
    </w:p>
    <w:p w14:paraId="05979DC6" w14:textId="77777777" w:rsidR="00967986" w:rsidRPr="00967986" w:rsidRDefault="00967986" w:rsidP="00967986">
      <w:pPr>
        <w:spacing w:line="240" w:lineRule="auto"/>
        <w:rPr>
          <w:rFonts w:eastAsia="Times New Roman" w:cs="Arial"/>
          <w:color w:val="000000"/>
          <w:szCs w:val="20"/>
          <w:lang w:eastAsia="bg-BG"/>
        </w:rPr>
      </w:pPr>
    </w:p>
    <w:p w14:paraId="3A3BA116" w14:textId="7E510772"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Абсорбцията на хидрохлоротиазид се понижава от колестипол или холестирамин.</w:t>
      </w:r>
    </w:p>
    <w:p w14:paraId="38E776F4" w14:textId="77777777" w:rsidR="00967986" w:rsidRPr="00967986" w:rsidRDefault="00967986" w:rsidP="00967986">
      <w:pPr>
        <w:spacing w:line="240" w:lineRule="auto"/>
        <w:rPr>
          <w:rFonts w:eastAsia="Times New Roman" w:cs="Arial"/>
          <w:color w:val="000000"/>
          <w:szCs w:val="20"/>
          <w:lang w:eastAsia="bg-BG"/>
        </w:rPr>
      </w:pPr>
    </w:p>
    <w:p w14:paraId="1C9F9499" w14:textId="248C6410"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Ефектът на недеполяризиращите миорелаксанти (напр. тубокурарин) може да се потенцира от хидрохлоротиазид.</w:t>
      </w:r>
    </w:p>
    <w:p w14:paraId="6CEA59DE" w14:textId="77777777" w:rsidR="00967986" w:rsidRPr="00967986" w:rsidRDefault="00967986" w:rsidP="00967986">
      <w:pPr>
        <w:spacing w:line="240" w:lineRule="auto"/>
        <w:rPr>
          <w:rFonts w:eastAsia="Times New Roman" w:cs="Arial"/>
          <w:color w:val="000000"/>
          <w:szCs w:val="20"/>
          <w:lang w:eastAsia="bg-BG"/>
        </w:rPr>
      </w:pPr>
    </w:p>
    <w:p w14:paraId="31146FA0" w14:textId="22CB50E0"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Тиазидните диуретици може да повишат серумните нива на калция поради понижената екскреция. Ако трябва да се предпишат калциеви добавки или витамин </w:t>
      </w:r>
      <w:r w:rsidRPr="00967986">
        <w:rPr>
          <w:rFonts w:eastAsia="Times New Roman" w:cs="Arial"/>
          <w:color w:val="000000"/>
          <w:szCs w:val="20"/>
          <w:lang w:val="en-US"/>
        </w:rPr>
        <w:t>D</w:t>
      </w:r>
      <w:r w:rsidRPr="00967986">
        <w:rPr>
          <w:rFonts w:eastAsia="Times New Roman" w:cs="Arial"/>
          <w:color w:val="000000"/>
          <w:szCs w:val="20"/>
          <w:lang w:val="ru-RU"/>
        </w:rPr>
        <w:t xml:space="preserve">, </w:t>
      </w:r>
      <w:r w:rsidRPr="00967986">
        <w:rPr>
          <w:rFonts w:eastAsia="Times New Roman" w:cs="Arial"/>
          <w:color w:val="000000"/>
          <w:szCs w:val="20"/>
          <w:lang w:eastAsia="bg-BG"/>
        </w:rPr>
        <w:t>серумните нива на калция трябва да се проследяват и съответно да се коригира дозировката.</w:t>
      </w:r>
    </w:p>
    <w:p w14:paraId="4789D4CA" w14:textId="77777777" w:rsidR="00967986" w:rsidRPr="00967986" w:rsidRDefault="00967986" w:rsidP="00967986">
      <w:pPr>
        <w:spacing w:line="240" w:lineRule="auto"/>
        <w:rPr>
          <w:rFonts w:eastAsia="Times New Roman" w:cs="Arial"/>
          <w:color w:val="000000"/>
          <w:szCs w:val="20"/>
          <w:lang w:eastAsia="bg-BG"/>
        </w:rPr>
      </w:pPr>
    </w:p>
    <w:p w14:paraId="780B0FE2" w14:textId="75869833"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lastRenderedPageBreak/>
        <w:t>Хипергликемичният ефект на бета-блокерите и диазоксид може да бъде засилен от тиазидите.</w:t>
      </w:r>
    </w:p>
    <w:p w14:paraId="7668F228" w14:textId="77777777" w:rsidR="00967986" w:rsidRPr="00967986" w:rsidRDefault="00967986" w:rsidP="00967986">
      <w:pPr>
        <w:spacing w:line="240" w:lineRule="auto"/>
        <w:rPr>
          <w:rFonts w:eastAsia="Times New Roman" w:cs="Arial"/>
          <w:color w:val="000000"/>
          <w:szCs w:val="20"/>
          <w:lang w:eastAsia="bg-BG"/>
        </w:rPr>
      </w:pPr>
    </w:p>
    <w:p w14:paraId="5B6D4B3C" w14:textId="0DB51164"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Антихолинергичните средства (напр. атропин, бипериден) могат да повишат бионаличността на диуретиците от тиазиден тип като понижат стомашно-чревния мотилитет и скоростта на изпразване на стомаха.</w:t>
      </w:r>
    </w:p>
    <w:p w14:paraId="4143E388" w14:textId="77777777" w:rsidR="00967986" w:rsidRPr="00967986" w:rsidRDefault="00967986" w:rsidP="00967986">
      <w:pPr>
        <w:spacing w:line="240" w:lineRule="auto"/>
        <w:rPr>
          <w:rFonts w:eastAsia="Times New Roman" w:cs="Arial"/>
          <w:color w:val="000000"/>
          <w:szCs w:val="20"/>
          <w:lang w:eastAsia="bg-BG"/>
        </w:rPr>
      </w:pPr>
    </w:p>
    <w:p w14:paraId="0AEC19A3" w14:textId="331ED7A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Тиазидите могат да повишат риска от нежелани реакции, причинени от амантадин.</w:t>
      </w:r>
    </w:p>
    <w:p w14:paraId="1EA037B7"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Тиазидите могат да понижат бъбречната екскреция на цитотоксични лекарства (напр. циклофосфамид, метотрексат) и да потенцират техните миелосупресивни ефекти.</w:t>
      </w:r>
    </w:p>
    <w:p w14:paraId="0386357C"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Постуралната хипотензия може да се влоши при едновремен прием на алкохол, барбитурати или анестетици.</w:t>
      </w:r>
    </w:p>
    <w:p w14:paraId="4EBE8CE5"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Лечението с тиазиден диуретик може да наруши глюкозния толеранс. Може да е необходима корекция на дозата на антидиабетните средства, включително инсулин. Метформин трябва да се използва с повишено внимание, поради риска от млечно кисела ацидоза, причинена от възможна функционална бъбречна недостатъчност свързана с хидрохлортиазид.</w:t>
      </w:r>
    </w:p>
    <w:p w14:paraId="7F300587"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може да причини отслабване на артериалния отговор към вазопресорни амини (напр. адреналин), но не в такава степен, че да се антагонизира съдосвиващият им ефект.</w:t>
      </w:r>
    </w:p>
    <w:p w14:paraId="70511229"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може да повиши риска от остра бъбречна недостатъчност, особено при високи дози от йодирани контрастни вещества.</w:t>
      </w:r>
    </w:p>
    <w:p w14:paraId="7132B47D"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Едновременното лечение с циклоспорини може да увеличи риска от хиперурикемия и подобни на подагра усложнения.</w:t>
      </w:r>
    </w:p>
    <w:p w14:paraId="41431A85"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Едновременното лечение с баклофен, амифостин, трициклични антидепресанти или невролептици може да доведе до усилване на антихипертензивния ефект и може да причини хипотония.</w:t>
      </w:r>
    </w:p>
    <w:p w14:paraId="1CDDA2EF" w14:textId="77777777" w:rsidR="00967986" w:rsidRPr="00967986" w:rsidRDefault="00967986" w:rsidP="00967986">
      <w:pPr>
        <w:spacing w:line="240" w:lineRule="auto"/>
        <w:rPr>
          <w:rFonts w:eastAsia="Times New Roman" w:cs="Arial"/>
          <w:color w:val="000000"/>
          <w:szCs w:val="20"/>
          <w:lang w:eastAsia="bg-BG"/>
        </w:rPr>
      </w:pPr>
    </w:p>
    <w:p w14:paraId="465D2493" w14:textId="647CA548"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Данни от клинични проучвания показват, че двойното блокиране на РААС чрез комбинираната употреба на АСЕ-инхибитори, блокери на ангиотензин </w:t>
      </w:r>
      <w:r w:rsidRPr="00967986">
        <w:rPr>
          <w:rFonts w:eastAsia="Times New Roman" w:cs="Arial"/>
          <w:color w:val="000000"/>
          <w:szCs w:val="20"/>
          <w:lang w:val="en-US"/>
        </w:rPr>
        <w:t>II</w:t>
      </w:r>
      <w:r w:rsidRPr="00967986">
        <w:rPr>
          <w:rFonts w:eastAsia="Times New Roman" w:cs="Arial"/>
          <w:color w:val="000000"/>
          <w:szCs w:val="20"/>
          <w:lang w:eastAsia="bg-BG"/>
        </w:rPr>
        <w:t xml:space="preserve"> рецептори или алискирен се свързва с по- висока честота на нежелани реакции,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7F9C9263" w14:textId="34A8DA19" w:rsidR="00967986" w:rsidRPr="00967986" w:rsidRDefault="00967986" w:rsidP="00967986"/>
    <w:p w14:paraId="5D9F40EA" w14:textId="306CE663" w:rsidR="007122AD" w:rsidRDefault="002C50EE" w:rsidP="00936AD0">
      <w:pPr>
        <w:pStyle w:val="Heading2"/>
      </w:pPr>
      <w:r>
        <w:t>4.6. Фертилитет, бременност и кърмене</w:t>
      </w:r>
    </w:p>
    <w:p w14:paraId="5CCF2F91" w14:textId="4CC3CDEB" w:rsidR="00967986" w:rsidRDefault="00967986" w:rsidP="00967986"/>
    <w:p w14:paraId="6C967A85" w14:textId="77777777" w:rsidR="00967986" w:rsidRPr="00A235DC" w:rsidRDefault="00967986" w:rsidP="00A235DC">
      <w:pPr>
        <w:pStyle w:val="Heading3"/>
        <w:rPr>
          <w:rFonts w:eastAsia="Times New Roman"/>
          <w:sz w:val="28"/>
          <w:u w:val="single"/>
        </w:rPr>
      </w:pPr>
      <w:r w:rsidRPr="00A235DC">
        <w:rPr>
          <w:rFonts w:eastAsia="Times New Roman"/>
          <w:u w:val="single"/>
          <w:lang w:eastAsia="bg-BG"/>
        </w:rPr>
        <w:t>Бременност</w:t>
      </w:r>
    </w:p>
    <w:p w14:paraId="63008DA4" w14:textId="77777777" w:rsidR="00967986" w:rsidRPr="00967986" w:rsidRDefault="00967986" w:rsidP="00967986">
      <w:pPr>
        <w:spacing w:line="240" w:lineRule="auto"/>
        <w:rPr>
          <w:rFonts w:eastAsia="Times New Roman" w:cs="Arial"/>
          <w:i/>
          <w:iCs/>
          <w:color w:val="000000"/>
          <w:szCs w:val="20"/>
          <w:lang w:eastAsia="bg-BG"/>
        </w:rPr>
      </w:pPr>
    </w:p>
    <w:p w14:paraId="63E73474" w14:textId="37D434F6"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Ангиотензин 11 рецепторни антагонисти (АТ</w:t>
      </w:r>
      <w:r w:rsidRPr="00967986">
        <w:rPr>
          <w:rFonts w:eastAsia="Times New Roman" w:cs="Arial"/>
          <w:i/>
          <w:iCs/>
          <w:color w:val="000000"/>
          <w:szCs w:val="20"/>
          <w:lang w:val="en-US"/>
        </w:rPr>
        <w:t>II</w:t>
      </w:r>
      <w:r w:rsidRPr="00967986">
        <w:rPr>
          <w:rFonts w:eastAsia="Times New Roman" w:cs="Arial"/>
          <w:i/>
          <w:iCs/>
          <w:color w:val="000000"/>
          <w:szCs w:val="20"/>
          <w:lang w:eastAsia="bg-BG"/>
        </w:rPr>
        <w:t>РА)</w:t>
      </w:r>
    </w:p>
    <w:p w14:paraId="0EBF8C3D" w14:textId="399F4302" w:rsidR="00967986" w:rsidRDefault="00967986" w:rsidP="00967986"/>
    <w:tbl>
      <w:tblPr>
        <w:tblStyle w:val="TableGrid"/>
        <w:tblW w:w="0" w:type="auto"/>
        <w:tblLook w:val="04A0" w:firstRow="1" w:lastRow="0" w:firstColumn="1" w:lastColumn="0" w:noHBand="0" w:noVBand="1"/>
      </w:tblPr>
      <w:tblGrid>
        <w:gridCol w:w="9350"/>
      </w:tblGrid>
      <w:tr w:rsidR="00967986" w14:paraId="21E6EBB6" w14:textId="77777777" w:rsidTr="00967986">
        <w:tc>
          <w:tcPr>
            <w:tcW w:w="9576" w:type="dxa"/>
          </w:tcPr>
          <w:p w14:paraId="11609E98" w14:textId="77777777" w:rsidR="00967986" w:rsidRPr="00967986" w:rsidRDefault="00967986" w:rsidP="00967986">
            <w:pPr>
              <w:rPr>
                <w:sz w:val="24"/>
                <w:szCs w:val="24"/>
              </w:rPr>
            </w:pPr>
            <w:r w:rsidRPr="00967986">
              <w:rPr>
                <w:lang w:eastAsia="bg-BG"/>
              </w:rPr>
              <w:t>Употребата на АТ</w:t>
            </w:r>
            <w:r w:rsidRPr="00967986">
              <w:rPr>
                <w:lang w:val="en-US"/>
              </w:rPr>
              <w:t>II</w:t>
            </w:r>
            <w:r w:rsidRPr="00967986">
              <w:rPr>
                <w:lang w:eastAsia="bg-BG"/>
              </w:rPr>
              <w:t>РА не се препоръчва през първия триместър на брсмеността (вижте точка 4.4).</w:t>
            </w:r>
          </w:p>
          <w:p w14:paraId="23D79E76" w14:textId="42B0E9FC" w:rsidR="00967986" w:rsidRDefault="00967986" w:rsidP="00967986">
            <w:r w:rsidRPr="00967986">
              <w:rPr>
                <w:lang w:eastAsia="bg-BG"/>
              </w:rPr>
              <w:t>Употребата на АТ</w:t>
            </w:r>
            <w:r w:rsidRPr="00967986">
              <w:rPr>
                <w:lang w:val="en-US"/>
              </w:rPr>
              <w:t>II</w:t>
            </w:r>
            <w:r w:rsidRPr="00967986">
              <w:rPr>
                <w:lang w:eastAsia="bg-BG"/>
              </w:rPr>
              <w:t>РА е противопоказана през втория и третия триместър на бременността (вижте точки 4.3 и 4.4).</w:t>
            </w:r>
          </w:p>
        </w:tc>
      </w:tr>
    </w:tbl>
    <w:p w14:paraId="2DDA648A" w14:textId="180D4E4D" w:rsidR="00967986" w:rsidRDefault="00967986" w:rsidP="00967986"/>
    <w:p w14:paraId="6522BF47"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 xml:space="preserve">Епидемиологичните данни относно риска от тератогенност след експозиция на АСЕ инхибитори през първия триместър на бременността не са категорични, но въпреки това не може да се изключи леко повишение на риска. Докато липсват контролирани </w:t>
      </w:r>
      <w:r w:rsidRPr="00967986">
        <w:rPr>
          <w:rFonts w:eastAsia="Times New Roman" w:cs="Arial"/>
          <w:color w:val="000000"/>
          <w:szCs w:val="20"/>
          <w:lang w:eastAsia="bg-BG"/>
        </w:rPr>
        <w:lastRenderedPageBreak/>
        <w:t>епидемиологични данни за риска от ангиотензин II рецепторни антагонисти (АТ</w:t>
      </w:r>
      <w:r w:rsidRPr="00967986">
        <w:rPr>
          <w:rFonts w:eastAsia="Times New Roman" w:cs="Arial"/>
          <w:color w:val="000000"/>
          <w:szCs w:val="20"/>
          <w:lang w:val="en-US"/>
        </w:rPr>
        <w:t>II</w:t>
      </w:r>
      <w:r w:rsidRPr="00967986">
        <w:rPr>
          <w:rFonts w:eastAsia="Times New Roman" w:cs="Arial"/>
          <w:color w:val="000000"/>
          <w:szCs w:val="20"/>
          <w:lang w:eastAsia="bg-BG"/>
        </w:rPr>
        <w:t>РА), може да се предположат подобни рискове и за този клас лекарствени продукти. Ако продължаващата терапия с АТ</w:t>
      </w:r>
      <w:r w:rsidRPr="00967986">
        <w:rPr>
          <w:rFonts w:eastAsia="Times New Roman" w:cs="Arial"/>
          <w:color w:val="000000"/>
          <w:szCs w:val="20"/>
          <w:lang w:val="en-US"/>
        </w:rPr>
        <w:t>II</w:t>
      </w:r>
      <w:r w:rsidRPr="00967986">
        <w:rPr>
          <w:rFonts w:eastAsia="Times New Roman" w:cs="Arial"/>
          <w:color w:val="000000"/>
          <w:szCs w:val="20"/>
          <w:lang w:eastAsia="bg-BG"/>
        </w:rPr>
        <w:t>РА се счита за необходима, пациентките, планиращи бременност, трябва да преминат на алтернативно антихипертензивно лечение, което има установен профил на безопасност за употреба по време на бременност. Когато се установи бременност, лечението с АТ</w:t>
      </w:r>
      <w:r w:rsidRPr="00967986">
        <w:rPr>
          <w:rFonts w:eastAsia="Times New Roman" w:cs="Arial"/>
          <w:color w:val="000000"/>
          <w:szCs w:val="20"/>
          <w:lang w:val="en-US"/>
        </w:rPr>
        <w:t>II</w:t>
      </w:r>
      <w:r w:rsidRPr="00967986">
        <w:rPr>
          <w:rFonts w:eastAsia="Times New Roman" w:cs="Arial"/>
          <w:color w:val="000000"/>
          <w:szCs w:val="20"/>
          <w:lang w:eastAsia="bg-BG"/>
        </w:rPr>
        <w:t>РА трябва да се спре незабавно и, ако е уместно, да се започне алтернативна терапия.</w:t>
      </w:r>
    </w:p>
    <w:p w14:paraId="3CDD87CC" w14:textId="77777777" w:rsidR="00A235DC" w:rsidRPr="00A235DC" w:rsidRDefault="00A235DC" w:rsidP="00967986">
      <w:pPr>
        <w:spacing w:line="240" w:lineRule="auto"/>
        <w:rPr>
          <w:rFonts w:eastAsia="Times New Roman" w:cs="Arial"/>
          <w:color w:val="000000"/>
          <w:szCs w:val="20"/>
          <w:lang w:eastAsia="bg-BG"/>
        </w:rPr>
      </w:pPr>
    </w:p>
    <w:p w14:paraId="01110547" w14:textId="6DE6732D"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Експозицията на терапия с АТ</w:t>
      </w:r>
      <w:r w:rsidRPr="00967986">
        <w:rPr>
          <w:rFonts w:eastAsia="Times New Roman" w:cs="Arial"/>
          <w:color w:val="000000"/>
          <w:szCs w:val="20"/>
          <w:lang w:val="en-US"/>
        </w:rPr>
        <w:t>II</w:t>
      </w:r>
      <w:r w:rsidRPr="00967986">
        <w:rPr>
          <w:rFonts w:eastAsia="Times New Roman" w:cs="Arial"/>
          <w:color w:val="000000"/>
          <w:szCs w:val="20"/>
          <w:lang w:eastAsia="bg-BG"/>
        </w:rPr>
        <w:t>РА през втория и третия триместър индуцира фетотоксичност при хората (отслабена бъбречна функция, олигохидрамниони, забавяне на осификацията на черепа) и токсичност върху новороденото (бъбречна недостатъчност, хипотония, хиперкалиемия) (вижте точка 5.3).</w:t>
      </w:r>
    </w:p>
    <w:p w14:paraId="7CD1CA2B" w14:textId="77777777" w:rsidR="00A235DC" w:rsidRPr="00A235DC" w:rsidRDefault="00A235DC" w:rsidP="00967986">
      <w:pPr>
        <w:spacing w:line="240" w:lineRule="auto"/>
        <w:rPr>
          <w:rFonts w:eastAsia="Times New Roman" w:cs="Arial"/>
          <w:color w:val="000000"/>
          <w:szCs w:val="20"/>
          <w:lang w:eastAsia="bg-BG"/>
        </w:rPr>
      </w:pPr>
    </w:p>
    <w:p w14:paraId="05041949" w14:textId="19AF8018"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Ако има експозиция на АТ</w:t>
      </w:r>
      <w:r w:rsidRPr="00967986">
        <w:rPr>
          <w:rFonts w:eastAsia="Times New Roman" w:cs="Arial"/>
          <w:color w:val="000000"/>
          <w:szCs w:val="20"/>
          <w:lang w:val="en-US"/>
        </w:rPr>
        <w:t>II</w:t>
      </w:r>
      <w:r w:rsidRPr="00967986">
        <w:rPr>
          <w:rFonts w:eastAsia="Times New Roman" w:cs="Arial"/>
          <w:color w:val="000000"/>
          <w:szCs w:val="20"/>
          <w:lang w:eastAsia="bg-BG"/>
        </w:rPr>
        <w:t>РА от втория триместър на бременността, се препоръчва ултразвуков преглед на бъбречната функция и черепа.</w:t>
      </w:r>
    </w:p>
    <w:p w14:paraId="094ACA9C"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Кърмачетата, чиито майки са приемали АТ</w:t>
      </w:r>
      <w:r w:rsidRPr="00967986">
        <w:rPr>
          <w:rFonts w:eastAsia="Times New Roman" w:cs="Arial"/>
          <w:color w:val="000000"/>
          <w:szCs w:val="20"/>
          <w:lang w:val="en-US"/>
        </w:rPr>
        <w:t>II</w:t>
      </w:r>
      <w:r w:rsidRPr="00967986">
        <w:rPr>
          <w:rFonts w:eastAsia="Times New Roman" w:cs="Arial"/>
          <w:color w:val="000000"/>
          <w:szCs w:val="20"/>
          <w:lang w:eastAsia="bg-BG"/>
        </w:rPr>
        <w:t>РА, трябва да бъдат стриктно проследявани за хипотония (вижте точки 4.3 и 4.4).</w:t>
      </w:r>
    </w:p>
    <w:p w14:paraId="6C2F9F28" w14:textId="77777777" w:rsidR="00A235DC" w:rsidRPr="00A235DC" w:rsidRDefault="00A235DC" w:rsidP="00967986">
      <w:pPr>
        <w:spacing w:line="240" w:lineRule="auto"/>
        <w:rPr>
          <w:rFonts w:eastAsia="Times New Roman" w:cs="Arial"/>
          <w:i/>
          <w:iCs/>
          <w:color w:val="000000"/>
          <w:szCs w:val="20"/>
          <w:lang w:eastAsia="bg-BG"/>
        </w:rPr>
      </w:pPr>
    </w:p>
    <w:p w14:paraId="154B6D6B" w14:textId="1745CF55"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Хидрохлоротиазид</w:t>
      </w:r>
    </w:p>
    <w:p w14:paraId="09B1528F"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Опитът с хидрохлоротиазид по време на бременност, особено през първия триместър, е ограничен. Проучванията върху животни са недостатъчни.</w:t>
      </w:r>
    </w:p>
    <w:p w14:paraId="72B8F5D2"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преминава през плацентата. Съдейки по фармакологичния механизъм на действие на хидрохлоротиазид употребата му през втория и третия триместър може да компрометира фетоплацентарната перфузия и да причини фетални и неонатални ефекти като иктер, нарушения на електролитното равновесие и тромбоцитопения.</w:t>
      </w:r>
    </w:p>
    <w:p w14:paraId="3CBB5C53"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не трябва да се използва при гестационни отоци, гестационна хипертония или прееклампсия поради риска от понижен плазмен обем и плацентарна хипоперфузия, без благоприятен ефект върху хода на заболяването.</w:t>
      </w:r>
    </w:p>
    <w:p w14:paraId="7AD1C2E0"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не трябва да се използва при есенциална хипертония при бременни жени, освен в редки случаи, когато не може да се използва никакво друго лечение.</w:t>
      </w:r>
    </w:p>
    <w:p w14:paraId="7B53D498" w14:textId="77777777" w:rsidR="00A235DC" w:rsidRPr="00A235DC" w:rsidRDefault="00A235DC" w:rsidP="00967986">
      <w:pPr>
        <w:spacing w:line="240" w:lineRule="auto"/>
        <w:rPr>
          <w:rFonts w:eastAsia="Times New Roman" w:cs="Arial"/>
          <w:i/>
          <w:iCs/>
          <w:color w:val="000000"/>
          <w:szCs w:val="20"/>
          <w:u w:val="single"/>
          <w:lang w:eastAsia="bg-BG"/>
        </w:rPr>
      </w:pPr>
    </w:p>
    <w:p w14:paraId="5C2E0CB3" w14:textId="79F9B2F8" w:rsidR="00967986" w:rsidRPr="00A235DC" w:rsidRDefault="00967986" w:rsidP="00A235DC">
      <w:pPr>
        <w:pStyle w:val="Heading3"/>
        <w:rPr>
          <w:rFonts w:eastAsia="Times New Roman"/>
          <w:sz w:val="28"/>
          <w:u w:val="single"/>
        </w:rPr>
      </w:pPr>
      <w:r w:rsidRPr="00A235DC">
        <w:rPr>
          <w:rFonts w:eastAsia="Times New Roman"/>
          <w:u w:val="single"/>
          <w:lang w:eastAsia="bg-BG"/>
        </w:rPr>
        <w:t>Кърмене</w:t>
      </w:r>
    </w:p>
    <w:p w14:paraId="6DAA1CA5" w14:textId="77777777"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Ангиотензин II рецепторни антагонисти (АТ</w:t>
      </w:r>
      <w:r w:rsidRPr="00967986">
        <w:rPr>
          <w:rFonts w:eastAsia="Times New Roman" w:cs="Arial"/>
          <w:i/>
          <w:iCs/>
          <w:color w:val="000000"/>
          <w:szCs w:val="20"/>
          <w:lang w:val="en-US"/>
        </w:rPr>
        <w:t>II</w:t>
      </w:r>
      <w:r w:rsidRPr="00967986">
        <w:rPr>
          <w:rFonts w:eastAsia="Times New Roman" w:cs="Arial"/>
          <w:i/>
          <w:iCs/>
          <w:color w:val="000000"/>
          <w:szCs w:val="20"/>
          <w:lang w:eastAsia="bg-BG"/>
        </w:rPr>
        <w:t>РА)</w:t>
      </w:r>
    </w:p>
    <w:p w14:paraId="3219DC2E"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Кандекард Н не се препоръчва по време на кърмене, тъй като липсва каквато и да е информация относно употребата му през този период. Предпочита се алтернативно лечение с по-добре установен профил на безопасност при кърмене, особено при новородени или недоносени кърмачета.</w:t>
      </w:r>
    </w:p>
    <w:p w14:paraId="2832E00E" w14:textId="77777777" w:rsidR="00A235DC" w:rsidRPr="00A235DC" w:rsidRDefault="00A235DC" w:rsidP="00967986">
      <w:pPr>
        <w:spacing w:line="240" w:lineRule="auto"/>
        <w:rPr>
          <w:rFonts w:eastAsia="Times New Roman" w:cs="Arial"/>
          <w:i/>
          <w:iCs/>
          <w:color w:val="000000"/>
          <w:szCs w:val="20"/>
          <w:lang w:eastAsia="bg-BG"/>
        </w:rPr>
      </w:pPr>
    </w:p>
    <w:p w14:paraId="25209C77" w14:textId="5A0FB8D6" w:rsidR="00967986" w:rsidRPr="00967986" w:rsidRDefault="00967986" w:rsidP="00967986">
      <w:pPr>
        <w:spacing w:line="240" w:lineRule="auto"/>
        <w:rPr>
          <w:rFonts w:eastAsia="Times New Roman" w:cs="Arial"/>
          <w:sz w:val="28"/>
          <w:szCs w:val="24"/>
        </w:rPr>
      </w:pPr>
      <w:r w:rsidRPr="00967986">
        <w:rPr>
          <w:rFonts w:eastAsia="Times New Roman" w:cs="Arial"/>
          <w:i/>
          <w:iCs/>
          <w:color w:val="000000"/>
          <w:szCs w:val="20"/>
          <w:lang w:eastAsia="bg-BG"/>
        </w:rPr>
        <w:t>Хидрохлоротиазид</w:t>
      </w:r>
    </w:p>
    <w:p w14:paraId="6F1F4D35" w14:textId="77777777" w:rsidR="00967986" w:rsidRPr="00967986" w:rsidRDefault="00967986" w:rsidP="00967986">
      <w:pPr>
        <w:spacing w:line="240" w:lineRule="auto"/>
        <w:rPr>
          <w:rFonts w:eastAsia="Times New Roman" w:cs="Arial"/>
          <w:sz w:val="28"/>
          <w:szCs w:val="24"/>
        </w:rPr>
      </w:pPr>
      <w:r w:rsidRPr="00967986">
        <w:rPr>
          <w:rFonts w:eastAsia="Times New Roman" w:cs="Arial"/>
          <w:color w:val="000000"/>
          <w:szCs w:val="20"/>
          <w:lang w:eastAsia="bg-BG"/>
        </w:rPr>
        <w:t>Хидрохлоротиазид се екскретира в малки количества в майчиното мляко. Високите дози тиазиди предизвикват силна диуреза и може да потиснат лактацията. Употребата на Кандекард Н по време на кърмене не се препоръчва.</w:t>
      </w:r>
    </w:p>
    <w:p w14:paraId="5181AD13" w14:textId="77777777" w:rsidR="00967986" w:rsidRPr="00967986" w:rsidRDefault="00967986" w:rsidP="00967986"/>
    <w:p w14:paraId="5DD7A76D" w14:textId="180DC265" w:rsidR="007122AD" w:rsidRDefault="002C50EE" w:rsidP="00936AD0">
      <w:pPr>
        <w:pStyle w:val="Heading2"/>
      </w:pPr>
      <w:r>
        <w:t>4.7. Ефекти върху способността за шофиране и работа с машини</w:t>
      </w:r>
    </w:p>
    <w:p w14:paraId="62E76C7D" w14:textId="6339E268" w:rsidR="00A235DC" w:rsidRDefault="00A235DC" w:rsidP="00A235DC"/>
    <w:p w14:paraId="08CC5F65" w14:textId="77777777" w:rsidR="00A235DC" w:rsidRPr="00A235DC" w:rsidRDefault="00A235DC" w:rsidP="00A235DC">
      <w:pPr>
        <w:rPr>
          <w:sz w:val="24"/>
          <w:szCs w:val="24"/>
        </w:rPr>
      </w:pPr>
      <w:r w:rsidRPr="00A235DC">
        <w:rPr>
          <w:lang w:eastAsia="bg-BG"/>
        </w:rPr>
        <w:t>Не са провеждани проучвания за ефектите върху способността за шофиране и работа с машини. При шофиране или работа с машини, трябва да се има предвид, че понякога при лечение на хипертония с Кандекард Н може да настъпи замаяност или слабост.</w:t>
      </w:r>
    </w:p>
    <w:p w14:paraId="3EAF984E" w14:textId="77777777" w:rsidR="00A235DC" w:rsidRPr="00A235DC" w:rsidRDefault="00A235DC" w:rsidP="00A235DC"/>
    <w:p w14:paraId="44CE30A3" w14:textId="23744A09" w:rsidR="007122AD" w:rsidRDefault="002C50EE" w:rsidP="00936AD0">
      <w:pPr>
        <w:pStyle w:val="Heading2"/>
      </w:pPr>
      <w:r>
        <w:lastRenderedPageBreak/>
        <w:t>4.8. Нежелани лекарствени реакции</w:t>
      </w:r>
    </w:p>
    <w:p w14:paraId="3F48F26B" w14:textId="6C88C0B8" w:rsidR="00A235DC" w:rsidRDefault="00A235DC" w:rsidP="00A235DC"/>
    <w:p w14:paraId="770A9AFA"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По време на контролирани клинични проучвания с кандесартан цилексетил/ хидрохлоротиазид нежеланите реакции са били леки и преходни. Прекратяването на терапията поради нежелани реакции е сходно при кандесартан цилексетил/ хидрохлоротиазид (2.3-33%) и плацебо (2.7-43%). При клинични проучвания с кандесартан цилексетил/ хидрохлоротиазид, нежеланите реакции са били ограничени до досега познатите нежелани реакции на кандесартан цилексетил/ хидрохлоротиазид.</w:t>
      </w:r>
    </w:p>
    <w:p w14:paraId="6CE852B1"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В таблицата по-долу са представени нежеланите реакции на кандесартан цилексетил/ хидрохлоротиазид то клинични проучвания и постмаркетинговия опит. При един обобщен анализ на данни от клинични проучвания се съобщават следните нежелани реакции при кандесартан цилексетил/хидрохлоротиазид основани на честотата на нежелани реакции с кандесартан цилексетил/хидрохлоротиазид, която е с поне 1 % по-висока от честотата, наблюдавана при плацебо:</w:t>
      </w:r>
    </w:p>
    <w:p w14:paraId="2734E13A" w14:textId="77777777" w:rsidR="00A235DC" w:rsidRPr="00A235DC" w:rsidRDefault="00A235DC" w:rsidP="00A235DC">
      <w:pPr>
        <w:spacing w:line="240" w:lineRule="auto"/>
        <w:rPr>
          <w:rFonts w:eastAsia="Times New Roman" w:cs="Arial"/>
          <w:color w:val="000000"/>
          <w:szCs w:val="20"/>
          <w:lang w:eastAsia="bg-BG"/>
        </w:rPr>
      </w:pPr>
    </w:p>
    <w:p w14:paraId="27B94378" w14:textId="1D7B889E"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Честотата на нежеланите реакции в таблиците, включени в 4.8 са:</w:t>
      </w:r>
    </w:p>
    <w:p w14:paraId="095E0D1E"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Много чести (≥ 1/10)</w:t>
      </w:r>
    </w:p>
    <w:p w14:paraId="7829E60D"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Чести (≥1/100 до &lt;1/10)</w:t>
      </w:r>
    </w:p>
    <w:p w14:paraId="7A6B7CBA"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Нечессти (≥1/1 000 до &lt;1/100)</w:t>
      </w:r>
    </w:p>
    <w:p w14:paraId="089CDD17"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Редки (≥1/10 000 до &lt;1/1 000)</w:t>
      </w:r>
    </w:p>
    <w:p w14:paraId="00E89853" w14:textId="0389D599" w:rsidR="00A235DC" w:rsidRPr="00A235DC" w:rsidRDefault="00A235DC" w:rsidP="00A235DC">
      <w:pPr>
        <w:spacing w:line="240" w:lineRule="auto"/>
        <w:rPr>
          <w:rFonts w:eastAsia="Times New Roman" w:cs="Arial"/>
          <w:color w:val="000000"/>
          <w:szCs w:val="20"/>
          <w:lang w:eastAsia="bg-BG"/>
        </w:rPr>
      </w:pPr>
      <w:r w:rsidRPr="00A235DC">
        <w:rPr>
          <w:rFonts w:eastAsia="Times New Roman" w:cs="Arial"/>
          <w:color w:val="000000"/>
          <w:szCs w:val="20"/>
          <w:lang w:eastAsia="bg-BG"/>
        </w:rPr>
        <w:t>Много редки (&lt;1/10 000)</w:t>
      </w:r>
    </w:p>
    <w:p w14:paraId="5556487B" w14:textId="59D40C19" w:rsidR="00A235DC" w:rsidRDefault="00A235DC" w:rsidP="00A235DC">
      <w:pPr>
        <w:rPr>
          <w:rFonts w:eastAsia="Times New Roman" w:cs="Arial"/>
          <w:color w:val="000000"/>
          <w:szCs w:val="20"/>
          <w:lang w:eastAsia="bg-BG"/>
        </w:rPr>
      </w:pPr>
      <w:r w:rsidRPr="00A235DC">
        <w:rPr>
          <w:rFonts w:eastAsia="Times New Roman" w:cs="Arial"/>
          <w:color w:val="000000"/>
          <w:szCs w:val="20"/>
          <w:lang w:eastAsia="bg-BG"/>
        </w:rPr>
        <w:t>С неизвестна честота (от наличните данни не може да бъде установено)</w:t>
      </w:r>
    </w:p>
    <w:p w14:paraId="36E0F9CB" w14:textId="6FDBAAFF" w:rsidR="00A235DC" w:rsidRDefault="00A235DC" w:rsidP="00A235DC">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26"/>
        <w:gridCol w:w="3101"/>
        <w:gridCol w:w="3123"/>
      </w:tblGrid>
      <w:tr w:rsidR="00A235DC" w14:paraId="765F3C0A" w14:textId="77777777" w:rsidTr="00A235DC">
        <w:tc>
          <w:tcPr>
            <w:tcW w:w="3192" w:type="dxa"/>
          </w:tcPr>
          <w:p w14:paraId="0D0B9823" w14:textId="3BBE2225" w:rsidR="00A235DC" w:rsidRDefault="00A235DC" w:rsidP="00A235DC">
            <w:pPr>
              <w:rPr>
                <w:rFonts w:eastAsia="Times New Roman" w:cs="Arial"/>
                <w:color w:val="000000"/>
                <w:szCs w:val="20"/>
                <w:lang w:eastAsia="bg-BG"/>
              </w:rPr>
            </w:pPr>
            <w:r>
              <w:rPr>
                <w:b/>
                <w:bCs/>
                <w:sz w:val="20"/>
                <w:szCs w:val="20"/>
              </w:rPr>
              <w:t>Системно-органен клас</w:t>
            </w:r>
          </w:p>
        </w:tc>
        <w:tc>
          <w:tcPr>
            <w:tcW w:w="3192" w:type="dxa"/>
          </w:tcPr>
          <w:p w14:paraId="10D8397B" w14:textId="0830C3B4" w:rsidR="00A235DC" w:rsidRDefault="00A235DC" w:rsidP="00A235DC">
            <w:pPr>
              <w:rPr>
                <w:rFonts w:eastAsia="Times New Roman" w:cs="Arial"/>
                <w:color w:val="000000"/>
                <w:szCs w:val="20"/>
                <w:lang w:eastAsia="bg-BG"/>
              </w:rPr>
            </w:pPr>
            <w:r>
              <w:rPr>
                <w:b/>
                <w:bCs/>
                <w:sz w:val="20"/>
                <w:szCs w:val="20"/>
              </w:rPr>
              <w:t>Честота</w:t>
            </w:r>
          </w:p>
        </w:tc>
        <w:tc>
          <w:tcPr>
            <w:tcW w:w="3192" w:type="dxa"/>
          </w:tcPr>
          <w:p w14:paraId="5221D117" w14:textId="51D09732" w:rsidR="00A235DC" w:rsidRDefault="00A235DC" w:rsidP="00A235DC">
            <w:pPr>
              <w:rPr>
                <w:rFonts w:eastAsia="Times New Roman" w:cs="Arial"/>
                <w:color w:val="000000"/>
                <w:szCs w:val="20"/>
                <w:lang w:eastAsia="bg-BG"/>
              </w:rPr>
            </w:pPr>
            <w:r>
              <w:rPr>
                <w:b/>
                <w:bCs/>
                <w:sz w:val="20"/>
                <w:szCs w:val="20"/>
              </w:rPr>
              <w:t>Нежелана реакция</w:t>
            </w:r>
          </w:p>
        </w:tc>
      </w:tr>
      <w:tr w:rsidR="00A235DC" w14:paraId="7F351689" w14:textId="77777777" w:rsidTr="00A235DC">
        <w:tc>
          <w:tcPr>
            <w:tcW w:w="3192" w:type="dxa"/>
          </w:tcPr>
          <w:p w14:paraId="3E8F3FEC" w14:textId="4A454BF4" w:rsidR="00A235DC" w:rsidRDefault="00A235DC" w:rsidP="00A235DC">
            <w:pPr>
              <w:rPr>
                <w:rFonts w:eastAsia="Times New Roman" w:cs="Arial"/>
                <w:color w:val="000000"/>
                <w:szCs w:val="20"/>
                <w:lang w:eastAsia="bg-BG"/>
              </w:rPr>
            </w:pPr>
            <w:r>
              <w:rPr>
                <w:sz w:val="20"/>
                <w:szCs w:val="20"/>
              </w:rPr>
              <w:t>Инфекции и инфестации</w:t>
            </w:r>
          </w:p>
        </w:tc>
        <w:tc>
          <w:tcPr>
            <w:tcW w:w="3192" w:type="dxa"/>
          </w:tcPr>
          <w:p w14:paraId="189416FB" w14:textId="5F7FB3F8" w:rsidR="00A235DC" w:rsidRDefault="00A235DC" w:rsidP="00A235DC">
            <w:pPr>
              <w:rPr>
                <w:rFonts w:eastAsia="Times New Roman" w:cs="Arial"/>
                <w:color w:val="000000"/>
                <w:szCs w:val="20"/>
                <w:lang w:eastAsia="bg-BG"/>
              </w:rPr>
            </w:pPr>
            <w:r>
              <w:rPr>
                <w:sz w:val="20"/>
                <w:szCs w:val="20"/>
              </w:rPr>
              <w:t>Чести</w:t>
            </w:r>
          </w:p>
        </w:tc>
        <w:tc>
          <w:tcPr>
            <w:tcW w:w="3192" w:type="dxa"/>
          </w:tcPr>
          <w:p w14:paraId="04425149" w14:textId="41281340" w:rsidR="00A235DC" w:rsidRDefault="00A235DC" w:rsidP="00A235DC">
            <w:pPr>
              <w:rPr>
                <w:rFonts w:eastAsia="Times New Roman" w:cs="Arial"/>
                <w:color w:val="000000"/>
                <w:szCs w:val="20"/>
                <w:lang w:eastAsia="bg-BG"/>
              </w:rPr>
            </w:pPr>
            <w:r>
              <w:rPr>
                <w:sz w:val="20"/>
                <w:szCs w:val="20"/>
              </w:rPr>
              <w:t>Респираторни инфекции</w:t>
            </w:r>
          </w:p>
        </w:tc>
      </w:tr>
      <w:tr w:rsidR="00A235DC" w14:paraId="465C0956" w14:textId="77777777" w:rsidTr="00A235DC">
        <w:tc>
          <w:tcPr>
            <w:tcW w:w="3192" w:type="dxa"/>
          </w:tcPr>
          <w:p w14:paraId="32AE8EBD" w14:textId="39775624" w:rsidR="00A235DC" w:rsidRDefault="00A235DC" w:rsidP="00A235DC">
            <w:pPr>
              <w:rPr>
                <w:rFonts w:eastAsia="Times New Roman" w:cs="Arial"/>
                <w:color w:val="000000"/>
                <w:szCs w:val="20"/>
                <w:lang w:eastAsia="bg-BG"/>
              </w:rPr>
            </w:pPr>
            <w:r>
              <w:rPr>
                <w:sz w:val="20"/>
                <w:szCs w:val="20"/>
              </w:rPr>
              <w:t>Нарушения на кръвта и лимфната система</w:t>
            </w:r>
          </w:p>
        </w:tc>
        <w:tc>
          <w:tcPr>
            <w:tcW w:w="3192" w:type="dxa"/>
          </w:tcPr>
          <w:p w14:paraId="6DA6C3FF" w14:textId="32307F64"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31B9F796" w14:textId="0993F0C7" w:rsidR="00A235DC" w:rsidRDefault="00A235DC" w:rsidP="00A235DC">
            <w:pPr>
              <w:rPr>
                <w:rFonts w:eastAsia="Times New Roman" w:cs="Arial"/>
                <w:color w:val="000000"/>
                <w:szCs w:val="20"/>
                <w:lang w:eastAsia="bg-BG"/>
              </w:rPr>
            </w:pPr>
            <w:r>
              <w:rPr>
                <w:sz w:val="20"/>
                <w:szCs w:val="20"/>
              </w:rPr>
              <w:t>Левкопения, неутропения и агранулоцитоза</w:t>
            </w:r>
          </w:p>
        </w:tc>
      </w:tr>
      <w:tr w:rsidR="00A235DC" w14:paraId="1684B893" w14:textId="77777777" w:rsidTr="00A235DC">
        <w:tc>
          <w:tcPr>
            <w:tcW w:w="3192" w:type="dxa"/>
          </w:tcPr>
          <w:p w14:paraId="53DF0BE5" w14:textId="0B88C6C8" w:rsidR="00A235DC" w:rsidRDefault="00A235DC" w:rsidP="00A235DC">
            <w:pPr>
              <w:rPr>
                <w:rFonts w:eastAsia="Times New Roman" w:cs="Arial"/>
                <w:color w:val="000000"/>
                <w:szCs w:val="20"/>
                <w:lang w:eastAsia="bg-BG"/>
              </w:rPr>
            </w:pPr>
            <w:r>
              <w:rPr>
                <w:sz w:val="20"/>
                <w:szCs w:val="20"/>
              </w:rPr>
              <w:t>Нарушения на метаболизма и храненето</w:t>
            </w:r>
          </w:p>
        </w:tc>
        <w:tc>
          <w:tcPr>
            <w:tcW w:w="3192" w:type="dxa"/>
          </w:tcPr>
          <w:p w14:paraId="2ED8405C" w14:textId="193E9AE2"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3929E00A" w14:textId="11C89ABC" w:rsidR="00A235DC" w:rsidRDefault="00A235DC" w:rsidP="00A235DC">
            <w:pPr>
              <w:rPr>
                <w:rFonts w:eastAsia="Times New Roman" w:cs="Arial"/>
                <w:color w:val="000000"/>
                <w:szCs w:val="20"/>
                <w:lang w:eastAsia="bg-BG"/>
              </w:rPr>
            </w:pPr>
            <w:r>
              <w:rPr>
                <w:sz w:val="20"/>
                <w:szCs w:val="20"/>
              </w:rPr>
              <w:t>Хиперкалиемия, хипонатриемия</w:t>
            </w:r>
          </w:p>
        </w:tc>
      </w:tr>
      <w:tr w:rsidR="00A235DC" w14:paraId="5D6830ED" w14:textId="77777777" w:rsidTr="00A235DC">
        <w:tc>
          <w:tcPr>
            <w:tcW w:w="3192" w:type="dxa"/>
          </w:tcPr>
          <w:p w14:paraId="7CA9AA2D" w14:textId="57E4CE7A" w:rsidR="00A235DC" w:rsidRDefault="00A235DC" w:rsidP="00A235DC">
            <w:pPr>
              <w:rPr>
                <w:rFonts w:eastAsia="Times New Roman" w:cs="Arial"/>
                <w:color w:val="000000"/>
                <w:szCs w:val="20"/>
                <w:lang w:eastAsia="bg-BG"/>
              </w:rPr>
            </w:pPr>
            <w:r>
              <w:rPr>
                <w:sz w:val="20"/>
                <w:szCs w:val="20"/>
              </w:rPr>
              <w:t xml:space="preserve">Нарушения </w:t>
            </w:r>
            <w:r>
              <w:rPr>
                <w:i/>
                <w:iCs/>
                <w:sz w:val="20"/>
                <w:szCs w:val="20"/>
              </w:rPr>
              <w:t xml:space="preserve">на нервната </w:t>
            </w:r>
            <w:r>
              <w:rPr>
                <w:sz w:val="20"/>
                <w:szCs w:val="20"/>
              </w:rPr>
              <w:t>система</w:t>
            </w:r>
          </w:p>
        </w:tc>
        <w:tc>
          <w:tcPr>
            <w:tcW w:w="3192" w:type="dxa"/>
          </w:tcPr>
          <w:p w14:paraId="13F28B31" w14:textId="7FD1F04A" w:rsidR="00A235DC" w:rsidRDefault="00A235DC" w:rsidP="00A235DC">
            <w:pPr>
              <w:rPr>
                <w:rFonts w:eastAsia="Times New Roman" w:cs="Arial"/>
                <w:color w:val="000000"/>
                <w:szCs w:val="20"/>
                <w:lang w:eastAsia="bg-BG"/>
              </w:rPr>
            </w:pPr>
            <w:r>
              <w:rPr>
                <w:sz w:val="20"/>
                <w:szCs w:val="20"/>
              </w:rPr>
              <w:t>Чести</w:t>
            </w:r>
          </w:p>
        </w:tc>
        <w:tc>
          <w:tcPr>
            <w:tcW w:w="3192" w:type="dxa"/>
          </w:tcPr>
          <w:p w14:paraId="5AD2A09B" w14:textId="33FC3C26" w:rsidR="00A235DC" w:rsidRDefault="00A235DC" w:rsidP="00A235DC">
            <w:pPr>
              <w:rPr>
                <w:rFonts w:eastAsia="Times New Roman" w:cs="Arial"/>
                <w:color w:val="000000"/>
                <w:szCs w:val="20"/>
                <w:lang w:eastAsia="bg-BG"/>
              </w:rPr>
            </w:pPr>
            <w:r>
              <w:rPr>
                <w:sz w:val="20"/>
                <w:szCs w:val="20"/>
              </w:rPr>
              <w:t>Замаяност/ вертиго, главоболие</w:t>
            </w:r>
          </w:p>
        </w:tc>
      </w:tr>
      <w:tr w:rsidR="00A235DC" w14:paraId="5A1E0A51" w14:textId="77777777" w:rsidTr="00A235DC">
        <w:tc>
          <w:tcPr>
            <w:tcW w:w="3192" w:type="dxa"/>
          </w:tcPr>
          <w:p w14:paraId="0129CD0B" w14:textId="6E9C3B9E" w:rsidR="00A235DC" w:rsidRDefault="00A235DC" w:rsidP="00A235DC">
            <w:pPr>
              <w:rPr>
                <w:rFonts w:eastAsia="Times New Roman" w:cs="Arial"/>
                <w:color w:val="000000"/>
                <w:szCs w:val="20"/>
                <w:lang w:eastAsia="bg-BG"/>
              </w:rPr>
            </w:pPr>
            <w:r>
              <w:rPr>
                <w:sz w:val="20"/>
                <w:szCs w:val="20"/>
              </w:rPr>
              <w:t>Респираторни, гръдни и медиастинални нарушения</w:t>
            </w:r>
          </w:p>
        </w:tc>
        <w:tc>
          <w:tcPr>
            <w:tcW w:w="3192" w:type="dxa"/>
          </w:tcPr>
          <w:p w14:paraId="3BABC369" w14:textId="7AA816FA"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477477A0" w14:textId="1D867B52" w:rsidR="00A235DC" w:rsidRDefault="00A235DC" w:rsidP="00A235DC">
            <w:pPr>
              <w:rPr>
                <w:rFonts w:eastAsia="Times New Roman" w:cs="Arial"/>
                <w:color w:val="000000"/>
                <w:szCs w:val="20"/>
                <w:lang w:eastAsia="bg-BG"/>
              </w:rPr>
            </w:pPr>
            <w:r>
              <w:rPr>
                <w:sz w:val="20"/>
                <w:szCs w:val="20"/>
              </w:rPr>
              <w:t>Кашлица</w:t>
            </w:r>
          </w:p>
        </w:tc>
      </w:tr>
      <w:tr w:rsidR="00A235DC" w14:paraId="324FBE79" w14:textId="77777777" w:rsidTr="00A235DC">
        <w:tc>
          <w:tcPr>
            <w:tcW w:w="3192" w:type="dxa"/>
            <w:vMerge w:val="restart"/>
          </w:tcPr>
          <w:p w14:paraId="67DB600F" w14:textId="77777777" w:rsidR="00A235DC" w:rsidRDefault="00A235DC" w:rsidP="00A235DC">
            <w:pPr>
              <w:rPr>
                <w:rFonts w:eastAsia="Times New Roman" w:cs="Arial"/>
                <w:color w:val="000000"/>
                <w:szCs w:val="20"/>
                <w:lang w:eastAsia="bg-BG"/>
              </w:rPr>
            </w:pPr>
            <w:r>
              <w:rPr>
                <w:sz w:val="20"/>
                <w:szCs w:val="20"/>
              </w:rPr>
              <w:t>Стомашно-чревни</w:t>
            </w:r>
          </w:p>
          <w:p w14:paraId="4D7EB36C" w14:textId="66011C0E" w:rsidR="00A235DC" w:rsidRDefault="00A235DC" w:rsidP="00A235DC">
            <w:pPr>
              <w:rPr>
                <w:rFonts w:eastAsia="Times New Roman" w:cs="Arial"/>
                <w:color w:val="000000"/>
                <w:szCs w:val="20"/>
                <w:lang w:eastAsia="bg-BG"/>
              </w:rPr>
            </w:pPr>
            <w:r>
              <w:rPr>
                <w:sz w:val="20"/>
                <w:szCs w:val="20"/>
              </w:rPr>
              <w:t>нарушения</w:t>
            </w:r>
          </w:p>
        </w:tc>
        <w:tc>
          <w:tcPr>
            <w:tcW w:w="3192" w:type="dxa"/>
          </w:tcPr>
          <w:p w14:paraId="10B60297" w14:textId="65637B45"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318E11DB" w14:textId="347CEFA4" w:rsidR="00A235DC" w:rsidRDefault="00A235DC" w:rsidP="00A235DC">
            <w:pPr>
              <w:rPr>
                <w:rFonts w:eastAsia="Times New Roman" w:cs="Arial"/>
                <w:color w:val="000000"/>
                <w:szCs w:val="20"/>
                <w:lang w:eastAsia="bg-BG"/>
              </w:rPr>
            </w:pPr>
            <w:r>
              <w:rPr>
                <w:sz w:val="20"/>
                <w:szCs w:val="20"/>
              </w:rPr>
              <w:t>Гадене</w:t>
            </w:r>
          </w:p>
        </w:tc>
      </w:tr>
      <w:tr w:rsidR="00A235DC" w14:paraId="2DF1EE4D" w14:textId="77777777" w:rsidTr="00A235DC">
        <w:tc>
          <w:tcPr>
            <w:tcW w:w="3192" w:type="dxa"/>
            <w:vMerge/>
          </w:tcPr>
          <w:p w14:paraId="384AFF79" w14:textId="7C73218F" w:rsidR="00A235DC" w:rsidRDefault="00A235DC" w:rsidP="00A235DC">
            <w:pPr>
              <w:rPr>
                <w:rFonts w:eastAsia="Times New Roman" w:cs="Arial"/>
                <w:color w:val="000000"/>
                <w:szCs w:val="20"/>
                <w:lang w:eastAsia="bg-BG"/>
              </w:rPr>
            </w:pPr>
          </w:p>
        </w:tc>
        <w:tc>
          <w:tcPr>
            <w:tcW w:w="3192" w:type="dxa"/>
          </w:tcPr>
          <w:p w14:paraId="3037A4CB" w14:textId="49097F12" w:rsidR="00A235DC" w:rsidRDefault="00A235DC" w:rsidP="00A235DC">
            <w:pPr>
              <w:rPr>
                <w:rFonts w:eastAsia="Times New Roman" w:cs="Arial"/>
                <w:color w:val="000000"/>
                <w:szCs w:val="20"/>
                <w:lang w:eastAsia="bg-BG"/>
              </w:rPr>
            </w:pPr>
            <w:r>
              <w:rPr>
                <w:sz w:val="20"/>
                <w:szCs w:val="20"/>
              </w:rPr>
              <w:t>С неизвестна честота</w:t>
            </w:r>
          </w:p>
        </w:tc>
        <w:tc>
          <w:tcPr>
            <w:tcW w:w="3192" w:type="dxa"/>
          </w:tcPr>
          <w:p w14:paraId="61B9BF6F" w14:textId="0C5CA5B7" w:rsidR="00A235DC" w:rsidRDefault="00A235DC" w:rsidP="00A235DC">
            <w:pPr>
              <w:rPr>
                <w:rFonts w:eastAsia="Times New Roman" w:cs="Arial"/>
                <w:color w:val="000000"/>
                <w:szCs w:val="20"/>
                <w:lang w:eastAsia="bg-BG"/>
              </w:rPr>
            </w:pPr>
            <w:r>
              <w:rPr>
                <w:sz w:val="20"/>
                <w:szCs w:val="20"/>
              </w:rPr>
              <w:t>Диария</w:t>
            </w:r>
          </w:p>
        </w:tc>
      </w:tr>
      <w:tr w:rsidR="00A235DC" w14:paraId="18BF5687" w14:textId="77777777" w:rsidTr="00A235DC">
        <w:tc>
          <w:tcPr>
            <w:tcW w:w="3192" w:type="dxa"/>
          </w:tcPr>
          <w:p w14:paraId="354FC5CF" w14:textId="594E1E98" w:rsidR="00A235DC" w:rsidRDefault="00A235DC" w:rsidP="00A235DC">
            <w:pPr>
              <w:rPr>
                <w:rFonts w:eastAsia="Times New Roman" w:cs="Arial"/>
                <w:color w:val="000000"/>
                <w:szCs w:val="20"/>
                <w:lang w:eastAsia="bg-BG"/>
              </w:rPr>
            </w:pPr>
            <w:r>
              <w:rPr>
                <w:sz w:val="20"/>
                <w:szCs w:val="20"/>
              </w:rPr>
              <w:t>Хепатобилиарни нарушения</w:t>
            </w:r>
          </w:p>
        </w:tc>
        <w:tc>
          <w:tcPr>
            <w:tcW w:w="3192" w:type="dxa"/>
          </w:tcPr>
          <w:p w14:paraId="506454C3" w14:textId="24F88124"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3414B061" w14:textId="6C7F0656" w:rsidR="00A235DC" w:rsidRDefault="00A235DC" w:rsidP="00A235DC">
            <w:pPr>
              <w:rPr>
                <w:rFonts w:eastAsia="Times New Roman" w:cs="Arial"/>
                <w:color w:val="000000"/>
                <w:szCs w:val="20"/>
                <w:lang w:eastAsia="bg-BG"/>
              </w:rPr>
            </w:pPr>
            <w:r>
              <w:rPr>
                <w:sz w:val="20"/>
                <w:szCs w:val="20"/>
              </w:rPr>
              <w:t>Повишени чернодробни ензими, нарушена чернодробна функция и хепатит</w:t>
            </w:r>
          </w:p>
        </w:tc>
      </w:tr>
      <w:tr w:rsidR="00A235DC" w14:paraId="4C5DC0DF" w14:textId="77777777" w:rsidTr="00A235DC">
        <w:tc>
          <w:tcPr>
            <w:tcW w:w="3192" w:type="dxa"/>
          </w:tcPr>
          <w:p w14:paraId="7F6731FC" w14:textId="6022FD4A" w:rsidR="00A235DC" w:rsidRDefault="00A235DC" w:rsidP="00A235DC">
            <w:pPr>
              <w:rPr>
                <w:rFonts w:eastAsia="Times New Roman" w:cs="Arial"/>
                <w:color w:val="000000"/>
                <w:szCs w:val="20"/>
                <w:lang w:eastAsia="bg-BG"/>
              </w:rPr>
            </w:pPr>
            <w:r>
              <w:rPr>
                <w:sz w:val="20"/>
                <w:szCs w:val="20"/>
              </w:rPr>
              <w:t>Нарушения на кожата и подкожната тъкан</w:t>
            </w:r>
          </w:p>
        </w:tc>
        <w:tc>
          <w:tcPr>
            <w:tcW w:w="3192" w:type="dxa"/>
          </w:tcPr>
          <w:p w14:paraId="34F5928C" w14:textId="395BD706"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4C03E464" w14:textId="1354E48A" w:rsidR="00A235DC" w:rsidRDefault="00A235DC" w:rsidP="00A235DC">
            <w:pPr>
              <w:rPr>
                <w:rFonts w:eastAsia="Times New Roman" w:cs="Arial"/>
                <w:color w:val="000000"/>
                <w:szCs w:val="20"/>
                <w:lang w:eastAsia="bg-BG"/>
              </w:rPr>
            </w:pPr>
            <w:r>
              <w:rPr>
                <w:sz w:val="20"/>
                <w:szCs w:val="20"/>
              </w:rPr>
              <w:t>Ангиоедем, обрив, уртикария, сърбеж</w:t>
            </w:r>
          </w:p>
        </w:tc>
      </w:tr>
      <w:tr w:rsidR="00A235DC" w14:paraId="6382719B" w14:textId="77777777" w:rsidTr="00A235DC">
        <w:tc>
          <w:tcPr>
            <w:tcW w:w="3192" w:type="dxa"/>
          </w:tcPr>
          <w:p w14:paraId="43BCFE1B" w14:textId="3AD03011" w:rsidR="00A235DC" w:rsidRDefault="00A235DC" w:rsidP="00A235DC">
            <w:pPr>
              <w:rPr>
                <w:rFonts w:eastAsia="Times New Roman" w:cs="Arial"/>
                <w:color w:val="000000"/>
                <w:szCs w:val="20"/>
                <w:lang w:eastAsia="bg-BG"/>
              </w:rPr>
            </w:pPr>
            <w:r>
              <w:rPr>
                <w:sz w:val="20"/>
                <w:szCs w:val="20"/>
              </w:rPr>
              <w:t>Нарушения на мускулно- скелетната система и съединителната тъкан</w:t>
            </w:r>
          </w:p>
        </w:tc>
        <w:tc>
          <w:tcPr>
            <w:tcW w:w="3192" w:type="dxa"/>
          </w:tcPr>
          <w:p w14:paraId="446D3C82" w14:textId="5FD0BCEA"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2DB713E1" w14:textId="65EC3472" w:rsidR="00A235DC" w:rsidRDefault="00A235DC" w:rsidP="00A235DC">
            <w:pPr>
              <w:rPr>
                <w:rFonts w:eastAsia="Times New Roman" w:cs="Arial"/>
                <w:color w:val="000000"/>
                <w:szCs w:val="20"/>
                <w:lang w:eastAsia="bg-BG"/>
              </w:rPr>
            </w:pPr>
            <w:r>
              <w:rPr>
                <w:sz w:val="20"/>
                <w:szCs w:val="20"/>
              </w:rPr>
              <w:t>Болки в гърба, артралгия, миалгия</w:t>
            </w:r>
          </w:p>
        </w:tc>
      </w:tr>
      <w:tr w:rsidR="00A235DC" w14:paraId="306E0E36" w14:textId="77777777" w:rsidTr="00A235DC">
        <w:tc>
          <w:tcPr>
            <w:tcW w:w="3192" w:type="dxa"/>
          </w:tcPr>
          <w:p w14:paraId="1E4D4378" w14:textId="31A4F8A5" w:rsidR="00A235DC" w:rsidRDefault="00A235DC" w:rsidP="00A235DC">
            <w:pPr>
              <w:rPr>
                <w:rFonts w:eastAsia="Times New Roman" w:cs="Arial"/>
                <w:color w:val="000000"/>
                <w:szCs w:val="20"/>
                <w:lang w:eastAsia="bg-BG"/>
              </w:rPr>
            </w:pPr>
            <w:r>
              <w:rPr>
                <w:sz w:val="20"/>
                <w:szCs w:val="20"/>
              </w:rPr>
              <w:t>Нарушения на бъбреците и пикочните пътища</w:t>
            </w:r>
          </w:p>
        </w:tc>
        <w:tc>
          <w:tcPr>
            <w:tcW w:w="3192" w:type="dxa"/>
          </w:tcPr>
          <w:p w14:paraId="15220540" w14:textId="20E395C1" w:rsidR="00A235DC" w:rsidRDefault="00A235DC" w:rsidP="00A235DC">
            <w:pPr>
              <w:rPr>
                <w:rFonts w:eastAsia="Times New Roman" w:cs="Arial"/>
                <w:color w:val="000000"/>
                <w:szCs w:val="20"/>
                <w:lang w:eastAsia="bg-BG"/>
              </w:rPr>
            </w:pPr>
            <w:r>
              <w:rPr>
                <w:sz w:val="20"/>
                <w:szCs w:val="20"/>
              </w:rPr>
              <w:t>Много редки</w:t>
            </w:r>
          </w:p>
        </w:tc>
        <w:tc>
          <w:tcPr>
            <w:tcW w:w="3192" w:type="dxa"/>
          </w:tcPr>
          <w:p w14:paraId="553013A2" w14:textId="55F4CF59" w:rsidR="00A235DC" w:rsidRDefault="00A235DC" w:rsidP="00A235DC">
            <w:pPr>
              <w:rPr>
                <w:rFonts w:eastAsia="Times New Roman" w:cs="Arial"/>
                <w:color w:val="000000"/>
                <w:szCs w:val="20"/>
                <w:lang w:eastAsia="bg-BG"/>
              </w:rPr>
            </w:pPr>
            <w:r>
              <w:rPr>
                <w:sz w:val="20"/>
                <w:szCs w:val="20"/>
              </w:rPr>
              <w:t>Бъбречно увреждане, включително бъбречна недостатъчност при податливи пациенти (вижте точка 4.4)</w:t>
            </w:r>
          </w:p>
        </w:tc>
      </w:tr>
    </w:tbl>
    <w:p w14:paraId="593BF910" w14:textId="77777777" w:rsidR="00A235DC" w:rsidRPr="00A235DC" w:rsidRDefault="00A235DC" w:rsidP="00A235DC">
      <w:pPr>
        <w:rPr>
          <w:rFonts w:eastAsia="Times New Roman" w:cs="Arial"/>
          <w:color w:val="000000"/>
          <w:szCs w:val="20"/>
          <w:lang w:eastAsia="bg-BG"/>
        </w:rPr>
      </w:pPr>
    </w:p>
    <w:p w14:paraId="31D6BD4C" w14:textId="1628CA34" w:rsidR="00A235DC" w:rsidRDefault="00A235DC" w:rsidP="00A235DC">
      <w:pPr>
        <w:rPr>
          <w:lang w:eastAsia="bg-BG"/>
        </w:rPr>
      </w:pPr>
      <w:r w:rsidRPr="00A235DC">
        <w:rPr>
          <w:lang w:eastAsia="bg-BG"/>
        </w:rPr>
        <w:lastRenderedPageBreak/>
        <w:t xml:space="preserve">Таблицата по-долу представя нежеланите реакции при монотерапия с хидрохлоротиазид, обикновено при дози от 25 </w:t>
      </w:r>
      <w:r w:rsidRPr="00A235DC">
        <w:rPr>
          <w:lang w:val="en-US"/>
        </w:rPr>
        <w:t>mg</w:t>
      </w:r>
      <w:r w:rsidRPr="00A235DC">
        <w:rPr>
          <w:lang w:val="ru-RU"/>
        </w:rPr>
        <w:t xml:space="preserve"> </w:t>
      </w:r>
      <w:r w:rsidRPr="00A235DC">
        <w:rPr>
          <w:lang w:eastAsia="bg-BG"/>
        </w:rPr>
        <w:t>или повече.</w:t>
      </w:r>
    </w:p>
    <w:p w14:paraId="35E1EC35" w14:textId="372F7363" w:rsidR="00A235DC" w:rsidRDefault="00A235DC" w:rsidP="00A235DC">
      <w:pPr>
        <w:rPr>
          <w:lang w:eastAsia="bg-BG"/>
        </w:rPr>
      </w:pPr>
    </w:p>
    <w:tbl>
      <w:tblPr>
        <w:tblStyle w:val="TableGrid"/>
        <w:tblW w:w="0" w:type="auto"/>
        <w:tblLook w:val="04A0" w:firstRow="1" w:lastRow="0" w:firstColumn="1" w:lastColumn="0" w:noHBand="0" w:noVBand="1"/>
      </w:tblPr>
      <w:tblGrid>
        <w:gridCol w:w="3092"/>
        <w:gridCol w:w="3038"/>
        <w:gridCol w:w="3220"/>
      </w:tblGrid>
      <w:tr w:rsidR="00A235DC" w14:paraId="14D2E5B1" w14:textId="77777777" w:rsidTr="00A235DC">
        <w:tc>
          <w:tcPr>
            <w:tcW w:w="3179" w:type="dxa"/>
            <w:vAlign w:val="bottom"/>
          </w:tcPr>
          <w:p w14:paraId="64D2E9D4" w14:textId="73C34F68" w:rsidR="00A235DC" w:rsidRPr="00A235DC" w:rsidRDefault="00A235DC" w:rsidP="00A235DC">
            <w:pPr>
              <w:rPr>
                <w:rFonts w:cs="Arial"/>
              </w:rPr>
            </w:pPr>
            <w:r w:rsidRPr="00A235DC">
              <w:rPr>
                <w:rFonts w:cs="Arial"/>
                <w:b/>
                <w:bCs/>
              </w:rPr>
              <w:t>Системно-органен клас</w:t>
            </w:r>
          </w:p>
        </w:tc>
        <w:tc>
          <w:tcPr>
            <w:tcW w:w="3177" w:type="dxa"/>
            <w:vAlign w:val="bottom"/>
          </w:tcPr>
          <w:p w14:paraId="0A6150F8" w14:textId="26CA4504" w:rsidR="00A235DC" w:rsidRPr="00A235DC" w:rsidRDefault="00A235DC" w:rsidP="00A235DC">
            <w:pPr>
              <w:rPr>
                <w:rFonts w:cs="Arial"/>
              </w:rPr>
            </w:pPr>
            <w:r w:rsidRPr="00A235DC">
              <w:rPr>
                <w:rFonts w:cs="Arial"/>
                <w:b/>
                <w:bCs/>
              </w:rPr>
              <w:t>Честота</w:t>
            </w:r>
          </w:p>
        </w:tc>
        <w:tc>
          <w:tcPr>
            <w:tcW w:w="3220" w:type="dxa"/>
            <w:vAlign w:val="bottom"/>
          </w:tcPr>
          <w:p w14:paraId="526C0399" w14:textId="38C66439" w:rsidR="00A235DC" w:rsidRPr="00A235DC" w:rsidRDefault="00A235DC" w:rsidP="00A235DC">
            <w:pPr>
              <w:rPr>
                <w:rFonts w:cs="Arial"/>
              </w:rPr>
            </w:pPr>
            <w:r w:rsidRPr="00A235DC">
              <w:rPr>
                <w:rFonts w:cs="Arial"/>
                <w:b/>
                <w:bCs/>
              </w:rPr>
              <w:t>Нежелана реакция</w:t>
            </w:r>
          </w:p>
        </w:tc>
      </w:tr>
      <w:tr w:rsidR="00A235DC" w14:paraId="1E70B368" w14:textId="77777777" w:rsidTr="00A235DC">
        <w:tc>
          <w:tcPr>
            <w:tcW w:w="3179" w:type="dxa"/>
            <w:vAlign w:val="bottom"/>
          </w:tcPr>
          <w:p w14:paraId="79C27A5C" w14:textId="2DFFBA45" w:rsidR="00A235DC" w:rsidRPr="00A235DC" w:rsidRDefault="00A235DC" w:rsidP="00A235DC">
            <w:pPr>
              <w:rPr>
                <w:rFonts w:cs="Arial"/>
              </w:rPr>
            </w:pPr>
            <w:r w:rsidRPr="00A235DC">
              <w:rPr>
                <w:rFonts w:cs="Arial"/>
              </w:rPr>
              <w:t>Нарушения на кръвта и лимфната система</w:t>
            </w:r>
          </w:p>
        </w:tc>
        <w:tc>
          <w:tcPr>
            <w:tcW w:w="3177" w:type="dxa"/>
          </w:tcPr>
          <w:p w14:paraId="34DD0B11" w14:textId="4699C18F" w:rsidR="00A235DC" w:rsidRPr="00A235DC" w:rsidRDefault="00A235DC" w:rsidP="00A235DC">
            <w:pPr>
              <w:rPr>
                <w:rFonts w:cs="Arial"/>
              </w:rPr>
            </w:pPr>
            <w:r w:rsidRPr="00A235DC">
              <w:rPr>
                <w:rFonts w:cs="Arial"/>
              </w:rPr>
              <w:t>Редки</w:t>
            </w:r>
          </w:p>
        </w:tc>
        <w:tc>
          <w:tcPr>
            <w:tcW w:w="3220" w:type="dxa"/>
            <w:vAlign w:val="bottom"/>
          </w:tcPr>
          <w:p w14:paraId="1EFE5788" w14:textId="62CE65E7" w:rsidR="00A235DC" w:rsidRPr="00A235DC" w:rsidRDefault="00A235DC" w:rsidP="00A235DC">
            <w:pPr>
              <w:rPr>
                <w:rFonts w:eastAsia="Times New Roman" w:cs="Arial"/>
              </w:rPr>
            </w:pPr>
            <w:r w:rsidRPr="00A235DC">
              <w:rPr>
                <w:rFonts w:cs="Arial"/>
              </w:rPr>
              <w:t xml:space="preserve">Левкопения, неутропения/агранилоцитоза тромбоцитопения, апластична анемия, </w:t>
            </w:r>
            <w:r w:rsidRPr="00A235DC">
              <w:rPr>
                <w:rFonts w:eastAsia="Times New Roman" w:cs="Arial"/>
                <w:color w:val="000000"/>
                <w:lang w:eastAsia="bg-BG"/>
              </w:rPr>
              <w:t>потискане на костния мозък, хемолитична анемия</w:t>
            </w:r>
          </w:p>
        </w:tc>
      </w:tr>
      <w:tr w:rsidR="00A235DC" w14:paraId="25DF5E8D" w14:textId="77777777" w:rsidTr="00200DAB">
        <w:tc>
          <w:tcPr>
            <w:tcW w:w="3179" w:type="dxa"/>
            <w:vAlign w:val="bottom"/>
          </w:tcPr>
          <w:p w14:paraId="649F5CB1" w14:textId="0F7E544A" w:rsidR="00A235DC" w:rsidRPr="00A235DC" w:rsidRDefault="00A235DC" w:rsidP="00A235DC">
            <w:pPr>
              <w:rPr>
                <w:rFonts w:cs="Arial"/>
              </w:rPr>
            </w:pPr>
            <w:r w:rsidRPr="00A235DC">
              <w:rPr>
                <w:rFonts w:cs="Arial"/>
              </w:rPr>
              <w:t>Нарушения на имунната система</w:t>
            </w:r>
          </w:p>
        </w:tc>
        <w:tc>
          <w:tcPr>
            <w:tcW w:w="3177" w:type="dxa"/>
          </w:tcPr>
          <w:p w14:paraId="50B3F02E" w14:textId="7C744EF4" w:rsidR="00A235DC" w:rsidRPr="00A235DC" w:rsidRDefault="00A235DC" w:rsidP="00A235DC">
            <w:pPr>
              <w:rPr>
                <w:rFonts w:cs="Arial"/>
              </w:rPr>
            </w:pPr>
            <w:r w:rsidRPr="00A235DC">
              <w:rPr>
                <w:rFonts w:cs="Arial"/>
              </w:rPr>
              <w:t>Редки</w:t>
            </w:r>
          </w:p>
        </w:tc>
        <w:tc>
          <w:tcPr>
            <w:tcW w:w="3220" w:type="dxa"/>
          </w:tcPr>
          <w:p w14:paraId="2211F48C" w14:textId="1505F010" w:rsidR="00A235DC" w:rsidRPr="00A235DC" w:rsidRDefault="00A235DC" w:rsidP="00A235DC">
            <w:pPr>
              <w:rPr>
                <w:rFonts w:cs="Arial"/>
              </w:rPr>
            </w:pPr>
            <w:r w:rsidRPr="00A235DC">
              <w:rPr>
                <w:rFonts w:cs="Arial"/>
              </w:rPr>
              <w:t>Анафилактични реакции</w:t>
            </w:r>
          </w:p>
        </w:tc>
      </w:tr>
      <w:tr w:rsidR="00A235DC" w14:paraId="23F0420F" w14:textId="77777777" w:rsidTr="00200DAB">
        <w:tc>
          <w:tcPr>
            <w:tcW w:w="3179" w:type="dxa"/>
          </w:tcPr>
          <w:p w14:paraId="053B09D6" w14:textId="1FD74E63" w:rsidR="00A235DC" w:rsidRPr="00A235DC" w:rsidRDefault="00A235DC" w:rsidP="00A235DC">
            <w:pPr>
              <w:rPr>
                <w:rFonts w:cs="Arial"/>
              </w:rPr>
            </w:pPr>
            <w:r w:rsidRPr="00A235DC">
              <w:rPr>
                <w:rFonts w:cs="Arial"/>
              </w:rPr>
              <w:t>Нарушения на метаболизма и храненето</w:t>
            </w:r>
          </w:p>
        </w:tc>
        <w:tc>
          <w:tcPr>
            <w:tcW w:w="3177" w:type="dxa"/>
          </w:tcPr>
          <w:p w14:paraId="44F51C93" w14:textId="21E6E4C3" w:rsidR="00A235DC" w:rsidRPr="00A235DC" w:rsidRDefault="00A235DC" w:rsidP="00A235DC">
            <w:pPr>
              <w:rPr>
                <w:rFonts w:cs="Arial"/>
              </w:rPr>
            </w:pPr>
            <w:r w:rsidRPr="00A235DC">
              <w:rPr>
                <w:rFonts w:cs="Arial"/>
              </w:rPr>
              <w:t>Чести</w:t>
            </w:r>
          </w:p>
        </w:tc>
        <w:tc>
          <w:tcPr>
            <w:tcW w:w="3220" w:type="dxa"/>
            <w:vAlign w:val="bottom"/>
          </w:tcPr>
          <w:p w14:paraId="0A561856" w14:textId="31E2DA8B" w:rsidR="00A235DC" w:rsidRPr="00A235DC" w:rsidRDefault="00A235DC" w:rsidP="00A235DC">
            <w:pPr>
              <w:rPr>
                <w:rFonts w:cs="Arial"/>
              </w:rPr>
            </w:pPr>
            <w:r w:rsidRPr="00A235DC">
              <w:rPr>
                <w:rFonts w:cs="Arial"/>
              </w:rPr>
              <w:t>Хипергликемия, хиперурикемия, електролитно нарушение (включително хипонатриемия и хипокалиемия)</w:t>
            </w:r>
          </w:p>
        </w:tc>
      </w:tr>
      <w:tr w:rsidR="00A235DC" w14:paraId="3A026DA2" w14:textId="77777777" w:rsidTr="00200DAB">
        <w:tc>
          <w:tcPr>
            <w:tcW w:w="3179" w:type="dxa"/>
          </w:tcPr>
          <w:p w14:paraId="5322F05F" w14:textId="66E6C7D5" w:rsidR="00A235DC" w:rsidRPr="00A235DC" w:rsidRDefault="00A235DC" w:rsidP="00A235DC">
            <w:pPr>
              <w:rPr>
                <w:rFonts w:cs="Arial"/>
              </w:rPr>
            </w:pPr>
            <w:r w:rsidRPr="00A235DC">
              <w:rPr>
                <w:rFonts w:cs="Arial"/>
              </w:rPr>
              <w:t>Психични нарушения</w:t>
            </w:r>
          </w:p>
        </w:tc>
        <w:tc>
          <w:tcPr>
            <w:tcW w:w="3177" w:type="dxa"/>
          </w:tcPr>
          <w:p w14:paraId="7E6C4BD1" w14:textId="3E8D1F34" w:rsidR="00A235DC" w:rsidRPr="00A235DC" w:rsidRDefault="00A235DC" w:rsidP="00A235DC">
            <w:pPr>
              <w:rPr>
                <w:rFonts w:cs="Arial"/>
              </w:rPr>
            </w:pPr>
            <w:r w:rsidRPr="00A235DC">
              <w:rPr>
                <w:rFonts w:cs="Arial"/>
              </w:rPr>
              <w:t>Редки</w:t>
            </w:r>
          </w:p>
        </w:tc>
        <w:tc>
          <w:tcPr>
            <w:tcW w:w="3220" w:type="dxa"/>
            <w:vAlign w:val="bottom"/>
          </w:tcPr>
          <w:p w14:paraId="1BA592EE" w14:textId="46F2EC26" w:rsidR="00A235DC" w:rsidRPr="00A235DC" w:rsidRDefault="00A235DC" w:rsidP="00A235DC">
            <w:pPr>
              <w:rPr>
                <w:rFonts w:cs="Arial"/>
              </w:rPr>
            </w:pPr>
            <w:r w:rsidRPr="00A235DC">
              <w:rPr>
                <w:rFonts w:cs="Arial"/>
              </w:rPr>
              <w:t>Нарушения на съня, депресия, безпокойство</w:t>
            </w:r>
          </w:p>
        </w:tc>
      </w:tr>
      <w:tr w:rsidR="00A235DC" w14:paraId="61DCA9AD" w14:textId="77777777" w:rsidTr="00200DAB">
        <w:tc>
          <w:tcPr>
            <w:tcW w:w="3179" w:type="dxa"/>
            <w:vMerge w:val="restart"/>
          </w:tcPr>
          <w:p w14:paraId="0A34AA09" w14:textId="705A5AF9" w:rsidR="00A235DC" w:rsidRPr="00A235DC" w:rsidRDefault="00A235DC" w:rsidP="00A235DC">
            <w:pPr>
              <w:rPr>
                <w:rFonts w:cs="Arial"/>
              </w:rPr>
            </w:pPr>
            <w:r w:rsidRPr="00A235DC">
              <w:rPr>
                <w:rFonts w:cs="Arial"/>
              </w:rPr>
              <w:t>Нарушения на нервната система</w:t>
            </w:r>
          </w:p>
        </w:tc>
        <w:tc>
          <w:tcPr>
            <w:tcW w:w="3177" w:type="dxa"/>
            <w:vAlign w:val="bottom"/>
          </w:tcPr>
          <w:p w14:paraId="216BC801" w14:textId="5560F53F" w:rsidR="00A235DC" w:rsidRPr="00A235DC" w:rsidRDefault="00A235DC" w:rsidP="00A235DC">
            <w:pPr>
              <w:rPr>
                <w:rFonts w:cs="Arial"/>
              </w:rPr>
            </w:pPr>
            <w:r w:rsidRPr="00A235DC">
              <w:rPr>
                <w:rFonts w:cs="Arial"/>
              </w:rPr>
              <w:t>Чести</w:t>
            </w:r>
          </w:p>
        </w:tc>
        <w:tc>
          <w:tcPr>
            <w:tcW w:w="3220" w:type="dxa"/>
            <w:vAlign w:val="bottom"/>
          </w:tcPr>
          <w:p w14:paraId="3EE492B3" w14:textId="03AD5638" w:rsidR="00A235DC" w:rsidRPr="00A235DC" w:rsidRDefault="00A235DC" w:rsidP="00A235DC">
            <w:pPr>
              <w:rPr>
                <w:rFonts w:cs="Arial"/>
              </w:rPr>
            </w:pPr>
            <w:r w:rsidRPr="00A235DC">
              <w:rPr>
                <w:rFonts w:cs="Arial"/>
              </w:rPr>
              <w:t>Замаяност, световъртеж</w:t>
            </w:r>
          </w:p>
        </w:tc>
      </w:tr>
      <w:tr w:rsidR="00A235DC" w14:paraId="5F44DAFF" w14:textId="77777777" w:rsidTr="00200DAB">
        <w:tc>
          <w:tcPr>
            <w:tcW w:w="3179" w:type="dxa"/>
            <w:vMerge/>
          </w:tcPr>
          <w:p w14:paraId="69664B14" w14:textId="77777777" w:rsidR="00A235DC" w:rsidRPr="00A235DC" w:rsidRDefault="00A235DC" w:rsidP="00A235DC">
            <w:pPr>
              <w:rPr>
                <w:rFonts w:cs="Arial"/>
              </w:rPr>
            </w:pPr>
          </w:p>
        </w:tc>
        <w:tc>
          <w:tcPr>
            <w:tcW w:w="3177" w:type="dxa"/>
            <w:vAlign w:val="bottom"/>
          </w:tcPr>
          <w:p w14:paraId="145B3A6D" w14:textId="2BD15E23" w:rsidR="00A235DC" w:rsidRPr="00A235DC" w:rsidRDefault="00A235DC" w:rsidP="00A235DC">
            <w:pPr>
              <w:rPr>
                <w:rFonts w:cs="Arial"/>
              </w:rPr>
            </w:pPr>
            <w:r w:rsidRPr="00A235DC">
              <w:rPr>
                <w:rFonts w:cs="Arial"/>
              </w:rPr>
              <w:t>Редки</w:t>
            </w:r>
          </w:p>
        </w:tc>
        <w:tc>
          <w:tcPr>
            <w:tcW w:w="3220" w:type="dxa"/>
            <w:vAlign w:val="bottom"/>
          </w:tcPr>
          <w:p w14:paraId="0ADD1A41" w14:textId="1A153C9C" w:rsidR="00A235DC" w:rsidRPr="00A235DC" w:rsidRDefault="00A235DC" w:rsidP="00A235DC">
            <w:pPr>
              <w:rPr>
                <w:rFonts w:cs="Arial"/>
              </w:rPr>
            </w:pPr>
            <w:r w:rsidRPr="00A235DC">
              <w:rPr>
                <w:rFonts w:cs="Arial"/>
              </w:rPr>
              <w:t>Парестезия</w:t>
            </w:r>
          </w:p>
        </w:tc>
      </w:tr>
      <w:tr w:rsidR="00A235DC" w14:paraId="6977F97E" w14:textId="77777777" w:rsidTr="00200DAB">
        <w:tc>
          <w:tcPr>
            <w:tcW w:w="3179" w:type="dxa"/>
            <w:vMerge w:val="restart"/>
          </w:tcPr>
          <w:p w14:paraId="6F9248FE" w14:textId="3BC2E29F" w:rsidR="00A235DC" w:rsidRPr="00A235DC" w:rsidRDefault="00A235DC" w:rsidP="00A235DC">
            <w:pPr>
              <w:rPr>
                <w:rFonts w:cs="Arial"/>
              </w:rPr>
            </w:pPr>
            <w:r w:rsidRPr="00A235DC">
              <w:rPr>
                <w:rFonts w:cs="Arial"/>
              </w:rPr>
              <w:t>Нарушения на очите</w:t>
            </w:r>
          </w:p>
        </w:tc>
        <w:tc>
          <w:tcPr>
            <w:tcW w:w="3177" w:type="dxa"/>
            <w:vAlign w:val="bottom"/>
          </w:tcPr>
          <w:p w14:paraId="5A0728BD" w14:textId="3E7CBF36" w:rsidR="00A235DC" w:rsidRPr="00A235DC" w:rsidRDefault="00A235DC" w:rsidP="00A235DC">
            <w:pPr>
              <w:rPr>
                <w:rFonts w:cs="Arial"/>
              </w:rPr>
            </w:pPr>
            <w:r w:rsidRPr="00A235DC">
              <w:rPr>
                <w:rFonts w:cs="Arial"/>
              </w:rPr>
              <w:t>Редки</w:t>
            </w:r>
          </w:p>
        </w:tc>
        <w:tc>
          <w:tcPr>
            <w:tcW w:w="3220" w:type="dxa"/>
            <w:vAlign w:val="bottom"/>
          </w:tcPr>
          <w:p w14:paraId="5FB2CD39" w14:textId="52C03F1A" w:rsidR="00A235DC" w:rsidRPr="00A235DC" w:rsidRDefault="00A235DC" w:rsidP="00A235DC">
            <w:pPr>
              <w:rPr>
                <w:rFonts w:cs="Arial"/>
              </w:rPr>
            </w:pPr>
            <w:r w:rsidRPr="00A235DC">
              <w:rPr>
                <w:rFonts w:cs="Arial"/>
              </w:rPr>
              <w:t>Преходно замъглено виждане</w:t>
            </w:r>
          </w:p>
        </w:tc>
      </w:tr>
      <w:tr w:rsidR="00A235DC" w14:paraId="352D4EA2" w14:textId="77777777" w:rsidTr="00200DAB">
        <w:tc>
          <w:tcPr>
            <w:tcW w:w="3179" w:type="dxa"/>
            <w:vMerge/>
          </w:tcPr>
          <w:p w14:paraId="3AAB454B" w14:textId="77777777" w:rsidR="00A235DC" w:rsidRPr="00A235DC" w:rsidRDefault="00A235DC" w:rsidP="00A235DC">
            <w:pPr>
              <w:rPr>
                <w:rFonts w:cs="Arial"/>
              </w:rPr>
            </w:pPr>
          </w:p>
        </w:tc>
        <w:tc>
          <w:tcPr>
            <w:tcW w:w="3177" w:type="dxa"/>
            <w:vAlign w:val="bottom"/>
          </w:tcPr>
          <w:p w14:paraId="578E2503" w14:textId="3441A309" w:rsidR="00A235DC" w:rsidRPr="00A235DC" w:rsidRDefault="00A235DC" w:rsidP="00A235DC">
            <w:pPr>
              <w:rPr>
                <w:rFonts w:cs="Arial"/>
              </w:rPr>
            </w:pPr>
            <w:r w:rsidRPr="00A235DC">
              <w:rPr>
                <w:rFonts w:cs="Arial"/>
              </w:rPr>
              <w:t>С неизвестна честота</w:t>
            </w:r>
          </w:p>
        </w:tc>
        <w:tc>
          <w:tcPr>
            <w:tcW w:w="3220" w:type="dxa"/>
            <w:vAlign w:val="bottom"/>
          </w:tcPr>
          <w:p w14:paraId="032ECAF8" w14:textId="55185AE6" w:rsidR="00A235DC" w:rsidRPr="00A235DC" w:rsidRDefault="00A235DC" w:rsidP="00A235DC">
            <w:pPr>
              <w:rPr>
                <w:rFonts w:cs="Arial"/>
              </w:rPr>
            </w:pPr>
            <w:r w:rsidRPr="00A235DC">
              <w:rPr>
                <w:rFonts w:cs="Arial"/>
              </w:rPr>
              <w:t>Хороидален излив, остра миопия, остра закритоъгълна глаукома</w:t>
            </w:r>
          </w:p>
        </w:tc>
      </w:tr>
      <w:tr w:rsidR="00A235DC" w14:paraId="1CD3087F" w14:textId="77777777" w:rsidTr="00200DAB">
        <w:tc>
          <w:tcPr>
            <w:tcW w:w="3179" w:type="dxa"/>
            <w:vAlign w:val="bottom"/>
          </w:tcPr>
          <w:p w14:paraId="262E5BB8" w14:textId="22640019" w:rsidR="00A235DC" w:rsidRPr="00A235DC" w:rsidRDefault="00A235DC" w:rsidP="00A235DC">
            <w:pPr>
              <w:rPr>
                <w:rFonts w:cs="Arial"/>
              </w:rPr>
            </w:pPr>
            <w:r w:rsidRPr="00A235DC">
              <w:rPr>
                <w:rFonts w:cs="Arial"/>
              </w:rPr>
              <w:t>Сърдечни нарушения</w:t>
            </w:r>
          </w:p>
        </w:tc>
        <w:tc>
          <w:tcPr>
            <w:tcW w:w="3177" w:type="dxa"/>
            <w:vAlign w:val="bottom"/>
          </w:tcPr>
          <w:p w14:paraId="5B817B88" w14:textId="7164910D" w:rsidR="00A235DC" w:rsidRPr="00A235DC" w:rsidRDefault="00A235DC" w:rsidP="00A235DC">
            <w:pPr>
              <w:rPr>
                <w:rFonts w:cs="Arial"/>
              </w:rPr>
            </w:pPr>
            <w:r w:rsidRPr="00A235DC">
              <w:rPr>
                <w:rFonts w:cs="Arial"/>
              </w:rPr>
              <w:t>Редки</w:t>
            </w:r>
          </w:p>
        </w:tc>
        <w:tc>
          <w:tcPr>
            <w:tcW w:w="3220" w:type="dxa"/>
            <w:vAlign w:val="bottom"/>
          </w:tcPr>
          <w:p w14:paraId="116CFA82" w14:textId="3A1D94FC" w:rsidR="00A235DC" w:rsidRPr="00A235DC" w:rsidRDefault="00A235DC" w:rsidP="00A235DC">
            <w:pPr>
              <w:rPr>
                <w:rFonts w:cs="Arial"/>
              </w:rPr>
            </w:pPr>
            <w:r w:rsidRPr="00A235DC">
              <w:rPr>
                <w:rFonts w:cs="Arial"/>
              </w:rPr>
              <w:t>Сърдечна аритмия</w:t>
            </w:r>
          </w:p>
        </w:tc>
      </w:tr>
      <w:tr w:rsidR="00A235DC" w14:paraId="0FB7CC08" w14:textId="77777777" w:rsidTr="00647591">
        <w:trPr>
          <w:trHeight w:val="127"/>
        </w:trPr>
        <w:tc>
          <w:tcPr>
            <w:tcW w:w="3179" w:type="dxa"/>
            <w:vMerge w:val="restart"/>
          </w:tcPr>
          <w:p w14:paraId="66F9BD9C" w14:textId="1A938DA3" w:rsidR="00A235DC" w:rsidRPr="00A235DC" w:rsidRDefault="00A235DC" w:rsidP="00A235DC">
            <w:pPr>
              <w:rPr>
                <w:rFonts w:cs="Arial"/>
              </w:rPr>
            </w:pPr>
            <w:r w:rsidRPr="00A235DC">
              <w:rPr>
                <w:rFonts w:cs="Arial"/>
              </w:rPr>
              <w:t>Съдови нарушения</w:t>
            </w:r>
          </w:p>
        </w:tc>
        <w:tc>
          <w:tcPr>
            <w:tcW w:w="3177" w:type="dxa"/>
            <w:vAlign w:val="bottom"/>
          </w:tcPr>
          <w:p w14:paraId="15EC02D5" w14:textId="29AD7890" w:rsidR="00A235DC" w:rsidRPr="00A235DC" w:rsidRDefault="00A235DC" w:rsidP="00A235DC">
            <w:pPr>
              <w:rPr>
                <w:rFonts w:cs="Arial"/>
              </w:rPr>
            </w:pPr>
            <w:r w:rsidRPr="00A235DC">
              <w:rPr>
                <w:rFonts w:cs="Arial"/>
              </w:rPr>
              <w:t>Нечести</w:t>
            </w:r>
          </w:p>
        </w:tc>
        <w:tc>
          <w:tcPr>
            <w:tcW w:w="3220" w:type="dxa"/>
            <w:vAlign w:val="bottom"/>
          </w:tcPr>
          <w:p w14:paraId="1A357435" w14:textId="7EF6F7B0" w:rsidR="00A235DC" w:rsidRPr="00A235DC" w:rsidRDefault="00A235DC" w:rsidP="00A235DC">
            <w:pPr>
              <w:rPr>
                <w:rFonts w:cs="Arial"/>
              </w:rPr>
            </w:pPr>
            <w:r w:rsidRPr="00A235DC">
              <w:rPr>
                <w:rFonts w:cs="Arial"/>
              </w:rPr>
              <w:t>Постурална хипотония</w:t>
            </w:r>
          </w:p>
        </w:tc>
      </w:tr>
      <w:tr w:rsidR="00A235DC" w14:paraId="07A7709B" w14:textId="77777777" w:rsidTr="00647591">
        <w:tc>
          <w:tcPr>
            <w:tcW w:w="3179" w:type="dxa"/>
            <w:vMerge/>
          </w:tcPr>
          <w:p w14:paraId="191AF9EB" w14:textId="77777777" w:rsidR="00A235DC" w:rsidRPr="00A235DC" w:rsidRDefault="00A235DC" w:rsidP="00A235DC">
            <w:pPr>
              <w:rPr>
                <w:rFonts w:cs="Arial"/>
              </w:rPr>
            </w:pPr>
          </w:p>
        </w:tc>
        <w:tc>
          <w:tcPr>
            <w:tcW w:w="3177" w:type="dxa"/>
          </w:tcPr>
          <w:p w14:paraId="3AF269E3" w14:textId="638910CC" w:rsidR="00A235DC" w:rsidRPr="00A235DC" w:rsidRDefault="00A235DC" w:rsidP="00A235DC">
            <w:pPr>
              <w:rPr>
                <w:rFonts w:cs="Arial"/>
              </w:rPr>
            </w:pPr>
            <w:r w:rsidRPr="00A235DC">
              <w:rPr>
                <w:rFonts w:cs="Arial"/>
              </w:rPr>
              <w:t>Редки</w:t>
            </w:r>
          </w:p>
        </w:tc>
        <w:tc>
          <w:tcPr>
            <w:tcW w:w="3220" w:type="dxa"/>
            <w:vAlign w:val="bottom"/>
          </w:tcPr>
          <w:p w14:paraId="00D5082E" w14:textId="1C5657AD" w:rsidR="00A235DC" w:rsidRPr="00A235DC" w:rsidRDefault="00A235DC" w:rsidP="00A235DC">
            <w:pPr>
              <w:rPr>
                <w:rFonts w:cs="Arial"/>
              </w:rPr>
            </w:pPr>
            <w:r w:rsidRPr="00A235DC">
              <w:rPr>
                <w:rFonts w:cs="Arial"/>
              </w:rPr>
              <w:t>Некротизиращ ангиит (васкулит, кожен васкулит)</w:t>
            </w:r>
          </w:p>
        </w:tc>
      </w:tr>
      <w:tr w:rsidR="00A235DC" w14:paraId="1F32374A" w14:textId="77777777" w:rsidTr="00647591">
        <w:tc>
          <w:tcPr>
            <w:tcW w:w="3179" w:type="dxa"/>
            <w:vMerge w:val="restart"/>
          </w:tcPr>
          <w:p w14:paraId="3D979E03" w14:textId="376E3B19" w:rsidR="00A235DC" w:rsidRPr="00A235DC" w:rsidRDefault="00A235DC" w:rsidP="00A235DC">
            <w:pPr>
              <w:rPr>
                <w:rFonts w:cs="Arial"/>
              </w:rPr>
            </w:pPr>
            <w:r w:rsidRPr="00A235DC">
              <w:rPr>
                <w:rFonts w:cs="Arial"/>
              </w:rPr>
              <w:t>Респираторни, гръдни и медиастинални нарушения</w:t>
            </w:r>
          </w:p>
        </w:tc>
        <w:tc>
          <w:tcPr>
            <w:tcW w:w="3177" w:type="dxa"/>
          </w:tcPr>
          <w:p w14:paraId="7C95A4CD" w14:textId="1ADE1137" w:rsidR="00A235DC" w:rsidRPr="00A235DC" w:rsidRDefault="00A235DC" w:rsidP="00A235DC">
            <w:pPr>
              <w:rPr>
                <w:rFonts w:cs="Arial"/>
              </w:rPr>
            </w:pPr>
            <w:r w:rsidRPr="00A235DC">
              <w:rPr>
                <w:rFonts w:cs="Arial"/>
              </w:rPr>
              <w:t>Редки</w:t>
            </w:r>
          </w:p>
        </w:tc>
        <w:tc>
          <w:tcPr>
            <w:tcW w:w="3220" w:type="dxa"/>
            <w:vAlign w:val="bottom"/>
          </w:tcPr>
          <w:p w14:paraId="13E04E8D" w14:textId="54472A5E" w:rsidR="00A235DC" w:rsidRPr="00A235DC" w:rsidRDefault="00A235DC" w:rsidP="00A235DC">
            <w:pPr>
              <w:rPr>
                <w:rFonts w:cs="Arial"/>
              </w:rPr>
            </w:pPr>
            <w:r w:rsidRPr="00A235DC">
              <w:rPr>
                <w:rFonts w:cs="Arial"/>
              </w:rPr>
              <w:t>Респираторен дистрес (включително пневмонит и белодробен оток)</w:t>
            </w:r>
          </w:p>
        </w:tc>
      </w:tr>
      <w:tr w:rsidR="00A235DC" w14:paraId="18E485D4" w14:textId="77777777" w:rsidTr="00647591">
        <w:tc>
          <w:tcPr>
            <w:tcW w:w="3179" w:type="dxa"/>
            <w:vMerge/>
          </w:tcPr>
          <w:p w14:paraId="647FD0F8" w14:textId="77777777" w:rsidR="00A235DC" w:rsidRPr="00A235DC" w:rsidRDefault="00A235DC" w:rsidP="00A235DC">
            <w:pPr>
              <w:rPr>
                <w:rFonts w:cs="Arial"/>
              </w:rPr>
            </w:pPr>
          </w:p>
        </w:tc>
        <w:tc>
          <w:tcPr>
            <w:tcW w:w="3177" w:type="dxa"/>
          </w:tcPr>
          <w:p w14:paraId="1680B80D" w14:textId="49314B9D" w:rsidR="00A235DC" w:rsidRPr="00A235DC" w:rsidRDefault="00A235DC" w:rsidP="00A235DC">
            <w:pPr>
              <w:rPr>
                <w:rFonts w:cs="Arial"/>
              </w:rPr>
            </w:pPr>
            <w:r w:rsidRPr="00A235DC">
              <w:rPr>
                <w:rFonts w:cs="Arial"/>
              </w:rPr>
              <w:t>Много редки</w:t>
            </w:r>
          </w:p>
        </w:tc>
        <w:tc>
          <w:tcPr>
            <w:tcW w:w="3220" w:type="dxa"/>
            <w:vAlign w:val="bottom"/>
          </w:tcPr>
          <w:p w14:paraId="63218B29" w14:textId="032E9C5B" w:rsidR="00A235DC" w:rsidRPr="00A235DC" w:rsidRDefault="00A235DC" w:rsidP="00A235DC">
            <w:pPr>
              <w:rPr>
                <w:rFonts w:cs="Arial"/>
              </w:rPr>
            </w:pPr>
            <w:r w:rsidRPr="00A235DC">
              <w:rPr>
                <w:rFonts w:cs="Arial"/>
              </w:rPr>
              <w:t xml:space="preserve">Остър респираторен дистрес синдром </w:t>
            </w:r>
            <w:r w:rsidRPr="00A235DC">
              <w:rPr>
                <w:rFonts w:cs="Arial"/>
                <w:lang w:val="ru-RU"/>
              </w:rPr>
              <w:t>(</w:t>
            </w:r>
            <w:r w:rsidRPr="00A235DC">
              <w:rPr>
                <w:rFonts w:cs="Arial"/>
                <w:lang w:val="en-US"/>
              </w:rPr>
              <w:t>ARDS</w:t>
            </w:r>
            <w:r w:rsidRPr="00A235DC">
              <w:rPr>
                <w:rFonts w:cs="Arial"/>
                <w:lang w:val="ru-RU"/>
              </w:rPr>
              <w:t xml:space="preserve">) </w:t>
            </w:r>
            <w:r w:rsidRPr="00A235DC">
              <w:rPr>
                <w:rFonts w:cs="Arial"/>
              </w:rPr>
              <w:t>(вж. точка 4.4)</w:t>
            </w:r>
          </w:p>
        </w:tc>
      </w:tr>
      <w:tr w:rsidR="00A235DC" w14:paraId="62D07508" w14:textId="77777777" w:rsidTr="00647591">
        <w:tc>
          <w:tcPr>
            <w:tcW w:w="3179" w:type="dxa"/>
            <w:vMerge w:val="restart"/>
          </w:tcPr>
          <w:p w14:paraId="11EED901" w14:textId="2E310C20" w:rsidR="00A235DC" w:rsidRPr="00A235DC" w:rsidRDefault="00A235DC" w:rsidP="00A235DC">
            <w:pPr>
              <w:rPr>
                <w:rFonts w:cs="Arial"/>
              </w:rPr>
            </w:pPr>
            <w:r w:rsidRPr="00A235DC">
              <w:rPr>
                <w:rFonts w:cs="Arial"/>
              </w:rPr>
              <w:t>Стомашно-чревни нарушения</w:t>
            </w:r>
          </w:p>
        </w:tc>
        <w:tc>
          <w:tcPr>
            <w:tcW w:w="3177" w:type="dxa"/>
          </w:tcPr>
          <w:p w14:paraId="1307BDAE" w14:textId="2AAB02E4" w:rsidR="00A235DC" w:rsidRPr="00A235DC" w:rsidRDefault="00A235DC" w:rsidP="00A235DC">
            <w:pPr>
              <w:rPr>
                <w:rFonts w:cs="Arial"/>
              </w:rPr>
            </w:pPr>
            <w:r w:rsidRPr="00A235DC">
              <w:rPr>
                <w:rFonts w:cs="Arial"/>
              </w:rPr>
              <w:t>Нечести</w:t>
            </w:r>
          </w:p>
        </w:tc>
        <w:tc>
          <w:tcPr>
            <w:tcW w:w="3220" w:type="dxa"/>
            <w:vAlign w:val="bottom"/>
          </w:tcPr>
          <w:p w14:paraId="2B04662C" w14:textId="7D9AB872" w:rsidR="00A235DC" w:rsidRPr="00A235DC" w:rsidRDefault="00A235DC" w:rsidP="00A235DC">
            <w:pPr>
              <w:rPr>
                <w:rFonts w:cs="Arial"/>
              </w:rPr>
            </w:pPr>
            <w:r w:rsidRPr="00A235DC">
              <w:rPr>
                <w:rFonts w:cs="Arial"/>
              </w:rPr>
              <w:t>Анорексия, загуба на апетит, стомашно дразнене, диария, запек</w:t>
            </w:r>
          </w:p>
        </w:tc>
      </w:tr>
      <w:tr w:rsidR="00A235DC" w14:paraId="216449B2" w14:textId="77777777" w:rsidTr="00647591">
        <w:tc>
          <w:tcPr>
            <w:tcW w:w="3179" w:type="dxa"/>
            <w:vMerge/>
          </w:tcPr>
          <w:p w14:paraId="7226A5F2" w14:textId="77777777" w:rsidR="00A235DC" w:rsidRPr="00A235DC" w:rsidRDefault="00A235DC" w:rsidP="00A235DC">
            <w:pPr>
              <w:rPr>
                <w:rFonts w:cs="Arial"/>
              </w:rPr>
            </w:pPr>
          </w:p>
        </w:tc>
        <w:tc>
          <w:tcPr>
            <w:tcW w:w="3177" w:type="dxa"/>
            <w:vAlign w:val="bottom"/>
          </w:tcPr>
          <w:p w14:paraId="4FB92049" w14:textId="33A2E287" w:rsidR="00A235DC" w:rsidRPr="00A235DC" w:rsidRDefault="00A235DC" w:rsidP="00A235DC">
            <w:pPr>
              <w:rPr>
                <w:rFonts w:cs="Arial"/>
              </w:rPr>
            </w:pPr>
            <w:r w:rsidRPr="00A235DC">
              <w:rPr>
                <w:rFonts w:cs="Arial"/>
              </w:rPr>
              <w:t>Редки</w:t>
            </w:r>
          </w:p>
        </w:tc>
        <w:tc>
          <w:tcPr>
            <w:tcW w:w="3220" w:type="dxa"/>
            <w:vAlign w:val="bottom"/>
          </w:tcPr>
          <w:p w14:paraId="0C18759A" w14:textId="0AD92B4A" w:rsidR="00A235DC" w:rsidRPr="00A235DC" w:rsidRDefault="00A235DC" w:rsidP="00A235DC">
            <w:pPr>
              <w:rPr>
                <w:rFonts w:cs="Arial"/>
              </w:rPr>
            </w:pPr>
            <w:r w:rsidRPr="00A235DC">
              <w:rPr>
                <w:rFonts w:cs="Arial"/>
              </w:rPr>
              <w:t>Панкреатит</w:t>
            </w:r>
          </w:p>
        </w:tc>
      </w:tr>
      <w:tr w:rsidR="00A235DC" w14:paraId="10853025" w14:textId="77777777" w:rsidTr="00647591">
        <w:tc>
          <w:tcPr>
            <w:tcW w:w="3179" w:type="dxa"/>
            <w:vAlign w:val="bottom"/>
          </w:tcPr>
          <w:p w14:paraId="1F6C06B6" w14:textId="485E6BFB" w:rsidR="00A235DC" w:rsidRPr="00A235DC" w:rsidRDefault="00A235DC" w:rsidP="00A235DC">
            <w:pPr>
              <w:rPr>
                <w:rFonts w:cs="Arial"/>
              </w:rPr>
            </w:pPr>
            <w:r w:rsidRPr="00A235DC">
              <w:rPr>
                <w:rFonts w:cs="Arial"/>
              </w:rPr>
              <w:t>Хепатобилиарни нарушения</w:t>
            </w:r>
          </w:p>
        </w:tc>
        <w:tc>
          <w:tcPr>
            <w:tcW w:w="3177" w:type="dxa"/>
          </w:tcPr>
          <w:p w14:paraId="0E4A2DD1" w14:textId="69615B91" w:rsidR="00A235DC" w:rsidRPr="00A235DC" w:rsidRDefault="00A235DC" w:rsidP="00A235DC">
            <w:pPr>
              <w:rPr>
                <w:rFonts w:cs="Arial"/>
              </w:rPr>
            </w:pPr>
            <w:r w:rsidRPr="00A235DC">
              <w:rPr>
                <w:rFonts w:cs="Arial"/>
              </w:rPr>
              <w:t>Редки</w:t>
            </w:r>
          </w:p>
        </w:tc>
        <w:tc>
          <w:tcPr>
            <w:tcW w:w="3220" w:type="dxa"/>
            <w:vAlign w:val="bottom"/>
          </w:tcPr>
          <w:p w14:paraId="4ECC5928" w14:textId="5702AC48" w:rsidR="00A235DC" w:rsidRPr="00A235DC" w:rsidRDefault="00A235DC" w:rsidP="00A235DC">
            <w:pPr>
              <w:rPr>
                <w:rFonts w:cs="Arial"/>
              </w:rPr>
            </w:pPr>
            <w:r w:rsidRPr="00A235DC">
              <w:rPr>
                <w:rFonts w:cs="Arial"/>
              </w:rPr>
              <w:t>Жълтеница (интрахепатална холестатична жълтеница)</w:t>
            </w:r>
          </w:p>
        </w:tc>
      </w:tr>
      <w:tr w:rsidR="00A235DC" w14:paraId="6AEEB2E8" w14:textId="77777777" w:rsidTr="007B2D00">
        <w:trPr>
          <w:trHeight w:val="115"/>
        </w:trPr>
        <w:tc>
          <w:tcPr>
            <w:tcW w:w="3179" w:type="dxa"/>
            <w:vMerge w:val="restart"/>
          </w:tcPr>
          <w:p w14:paraId="6094C266" w14:textId="1F6C9DF5" w:rsidR="00A235DC" w:rsidRPr="00A235DC" w:rsidRDefault="00A235DC" w:rsidP="00A235DC">
            <w:pPr>
              <w:rPr>
                <w:rFonts w:cs="Arial"/>
              </w:rPr>
            </w:pPr>
            <w:r w:rsidRPr="00A235DC">
              <w:rPr>
                <w:rFonts w:cs="Arial"/>
              </w:rPr>
              <w:t>Нарушения на кожата и подкожната тъкан</w:t>
            </w:r>
          </w:p>
        </w:tc>
        <w:tc>
          <w:tcPr>
            <w:tcW w:w="3177" w:type="dxa"/>
          </w:tcPr>
          <w:p w14:paraId="45F29D6B" w14:textId="24F4726F" w:rsidR="00A235DC" w:rsidRPr="00A235DC" w:rsidRDefault="00A235DC" w:rsidP="00A235DC">
            <w:pPr>
              <w:rPr>
                <w:rFonts w:cs="Arial"/>
              </w:rPr>
            </w:pPr>
            <w:r w:rsidRPr="00A235DC">
              <w:rPr>
                <w:rFonts w:cs="Arial"/>
              </w:rPr>
              <w:t>Нечести</w:t>
            </w:r>
          </w:p>
        </w:tc>
        <w:tc>
          <w:tcPr>
            <w:tcW w:w="3220" w:type="dxa"/>
            <w:vAlign w:val="bottom"/>
          </w:tcPr>
          <w:p w14:paraId="078DEDF6" w14:textId="50D6C92A" w:rsidR="00A235DC" w:rsidRPr="00A235DC" w:rsidRDefault="00A235DC" w:rsidP="00A235DC">
            <w:pPr>
              <w:rPr>
                <w:rFonts w:cs="Arial"/>
              </w:rPr>
            </w:pPr>
            <w:r w:rsidRPr="00A235DC">
              <w:rPr>
                <w:rFonts w:cs="Arial"/>
              </w:rPr>
              <w:t>Обрив, уртикария, реакции на фоточувствителност</w:t>
            </w:r>
          </w:p>
        </w:tc>
      </w:tr>
      <w:tr w:rsidR="00A235DC" w14:paraId="6ACF1594" w14:textId="77777777" w:rsidTr="007B2D00">
        <w:tc>
          <w:tcPr>
            <w:tcW w:w="3179" w:type="dxa"/>
            <w:vMerge/>
          </w:tcPr>
          <w:p w14:paraId="6252657E" w14:textId="77777777" w:rsidR="00A235DC" w:rsidRPr="00A235DC" w:rsidRDefault="00A235DC" w:rsidP="00A235DC">
            <w:pPr>
              <w:rPr>
                <w:rFonts w:cs="Arial"/>
              </w:rPr>
            </w:pPr>
          </w:p>
        </w:tc>
        <w:tc>
          <w:tcPr>
            <w:tcW w:w="3177" w:type="dxa"/>
            <w:vAlign w:val="bottom"/>
          </w:tcPr>
          <w:p w14:paraId="0E0C6C51" w14:textId="5AF03CFA" w:rsidR="00A235DC" w:rsidRPr="00A235DC" w:rsidRDefault="00A235DC" w:rsidP="00A235DC">
            <w:pPr>
              <w:rPr>
                <w:rFonts w:cs="Arial"/>
              </w:rPr>
            </w:pPr>
            <w:r w:rsidRPr="00A235DC">
              <w:rPr>
                <w:rFonts w:cs="Arial"/>
              </w:rPr>
              <w:t>Редки</w:t>
            </w:r>
          </w:p>
        </w:tc>
        <w:tc>
          <w:tcPr>
            <w:tcW w:w="3220" w:type="dxa"/>
            <w:vAlign w:val="bottom"/>
          </w:tcPr>
          <w:p w14:paraId="0DA4153A" w14:textId="4D60322A" w:rsidR="00A235DC" w:rsidRPr="00A235DC" w:rsidRDefault="00A235DC" w:rsidP="00A235DC">
            <w:pPr>
              <w:rPr>
                <w:rFonts w:cs="Arial"/>
              </w:rPr>
            </w:pPr>
            <w:r w:rsidRPr="00A235DC">
              <w:rPr>
                <w:rFonts w:cs="Arial"/>
              </w:rPr>
              <w:t>Токсична епидермална некролиза</w:t>
            </w:r>
          </w:p>
        </w:tc>
      </w:tr>
      <w:tr w:rsidR="00A235DC" w14:paraId="408732F6" w14:textId="77777777" w:rsidTr="007B2D00">
        <w:tc>
          <w:tcPr>
            <w:tcW w:w="3179" w:type="dxa"/>
            <w:vMerge/>
          </w:tcPr>
          <w:p w14:paraId="257BC1DC" w14:textId="77777777" w:rsidR="00A235DC" w:rsidRPr="00A235DC" w:rsidRDefault="00A235DC" w:rsidP="00A235DC">
            <w:pPr>
              <w:rPr>
                <w:rFonts w:cs="Arial"/>
              </w:rPr>
            </w:pPr>
          </w:p>
        </w:tc>
        <w:tc>
          <w:tcPr>
            <w:tcW w:w="3177" w:type="dxa"/>
            <w:vAlign w:val="bottom"/>
          </w:tcPr>
          <w:p w14:paraId="17C8C867" w14:textId="7E714BF2" w:rsidR="00A235DC" w:rsidRPr="00A235DC" w:rsidRDefault="00A235DC" w:rsidP="00A235DC">
            <w:pPr>
              <w:rPr>
                <w:rFonts w:cs="Arial"/>
              </w:rPr>
            </w:pPr>
            <w:r w:rsidRPr="00A235DC">
              <w:rPr>
                <w:rFonts w:cs="Arial"/>
              </w:rPr>
              <w:t>С неизвестна честота</w:t>
            </w:r>
          </w:p>
        </w:tc>
        <w:tc>
          <w:tcPr>
            <w:tcW w:w="3220" w:type="dxa"/>
            <w:vAlign w:val="bottom"/>
          </w:tcPr>
          <w:p w14:paraId="0CBCC2BB" w14:textId="5B7B892F" w:rsidR="00A235DC" w:rsidRPr="00A235DC" w:rsidRDefault="00A235DC" w:rsidP="00A235DC">
            <w:pPr>
              <w:rPr>
                <w:rFonts w:cs="Arial"/>
              </w:rPr>
            </w:pPr>
            <w:r w:rsidRPr="00A235DC">
              <w:rPr>
                <w:rFonts w:cs="Arial"/>
              </w:rPr>
              <w:t>Системен лупус еритематозус, кожен лупус еритематозус</w:t>
            </w:r>
          </w:p>
        </w:tc>
      </w:tr>
      <w:tr w:rsidR="00A235DC" w14:paraId="063F7A36" w14:textId="77777777" w:rsidTr="007B2D00">
        <w:tc>
          <w:tcPr>
            <w:tcW w:w="3179" w:type="dxa"/>
            <w:vAlign w:val="bottom"/>
          </w:tcPr>
          <w:p w14:paraId="1DBAD598" w14:textId="2D4ABD19" w:rsidR="00A235DC" w:rsidRPr="00A235DC" w:rsidRDefault="00A235DC" w:rsidP="00A235DC">
            <w:pPr>
              <w:rPr>
                <w:rFonts w:cs="Arial"/>
              </w:rPr>
            </w:pPr>
            <w:r w:rsidRPr="00A235DC">
              <w:rPr>
                <w:rFonts w:cs="Arial"/>
              </w:rPr>
              <w:t>Нарушения на мускулно- скелетната система и съединителната тъкан</w:t>
            </w:r>
          </w:p>
        </w:tc>
        <w:tc>
          <w:tcPr>
            <w:tcW w:w="3177" w:type="dxa"/>
          </w:tcPr>
          <w:p w14:paraId="23A0F3F9" w14:textId="27452693" w:rsidR="00A235DC" w:rsidRPr="00A235DC" w:rsidRDefault="00A235DC" w:rsidP="00A235DC">
            <w:pPr>
              <w:rPr>
                <w:rFonts w:cs="Arial"/>
              </w:rPr>
            </w:pPr>
            <w:r w:rsidRPr="00A235DC">
              <w:rPr>
                <w:rFonts w:cs="Arial"/>
              </w:rPr>
              <w:t>Редки</w:t>
            </w:r>
          </w:p>
        </w:tc>
        <w:tc>
          <w:tcPr>
            <w:tcW w:w="3220" w:type="dxa"/>
          </w:tcPr>
          <w:p w14:paraId="70BC636F" w14:textId="22E59B9D" w:rsidR="00A235DC" w:rsidRPr="00A235DC" w:rsidRDefault="00A235DC" w:rsidP="00A235DC">
            <w:pPr>
              <w:rPr>
                <w:rFonts w:cs="Arial"/>
              </w:rPr>
            </w:pPr>
            <w:r w:rsidRPr="00A235DC">
              <w:rPr>
                <w:rFonts w:cs="Arial"/>
              </w:rPr>
              <w:t>Мускулен спазъм</w:t>
            </w:r>
          </w:p>
        </w:tc>
      </w:tr>
      <w:tr w:rsidR="00A235DC" w14:paraId="1E129EE1" w14:textId="77777777" w:rsidTr="007B2D00">
        <w:tc>
          <w:tcPr>
            <w:tcW w:w="3179" w:type="dxa"/>
            <w:vAlign w:val="bottom"/>
          </w:tcPr>
          <w:p w14:paraId="4C4017D9" w14:textId="5D8F9114" w:rsidR="00A235DC" w:rsidRPr="00A235DC" w:rsidRDefault="00A235DC" w:rsidP="00A235DC">
            <w:pPr>
              <w:rPr>
                <w:rFonts w:cs="Arial"/>
              </w:rPr>
            </w:pPr>
            <w:r w:rsidRPr="00A235DC">
              <w:rPr>
                <w:rFonts w:cs="Arial"/>
              </w:rPr>
              <w:t>Неоплазми — доброкачествени, злокачествени и неопределени (вкл. кисти и полипи)</w:t>
            </w:r>
          </w:p>
        </w:tc>
        <w:tc>
          <w:tcPr>
            <w:tcW w:w="3177" w:type="dxa"/>
          </w:tcPr>
          <w:p w14:paraId="51DFBC71" w14:textId="67BD8B33" w:rsidR="00A235DC" w:rsidRPr="00A235DC" w:rsidRDefault="00A235DC" w:rsidP="00A235DC">
            <w:pPr>
              <w:rPr>
                <w:rFonts w:cs="Arial"/>
              </w:rPr>
            </w:pPr>
            <w:r w:rsidRPr="00A235DC">
              <w:rPr>
                <w:rFonts w:cs="Arial"/>
              </w:rPr>
              <w:t>С неизвестна честота</w:t>
            </w:r>
          </w:p>
        </w:tc>
        <w:tc>
          <w:tcPr>
            <w:tcW w:w="3220" w:type="dxa"/>
          </w:tcPr>
          <w:p w14:paraId="0F4D2860" w14:textId="6D9202AF" w:rsidR="00A235DC" w:rsidRPr="00A235DC" w:rsidRDefault="00A235DC" w:rsidP="00A235DC">
            <w:pPr>
              <w:rPr>
                <w:rFonts w:cs="Arial"/>
              </w:rPr>
            </w:pPr>
            <w:r w:rsidRPr="00A235DC">
              <w:rPr>
                <w:rFonts w:cs="Arial"/>
              </w:rPr>
              <w:t>Немеланомен рак на кожата (базалноклетъчен карцином и сквамозноклетъчен карцином)*</w:t>
            </w:r>
          </w:p>
        </w:tc>
      </w:tr>
      <w:tr w:rsidR="00A235DC" w14:paraId="41E3AFC2" w14:textId="77777777" w:rsidTr="00D60316">
        <w:tc>
          <w:tcPr>
            <w:tcW w:w="3179" w:type="dxa"/>
            <w:vMerge w:val="restart"/>
          </w:tcPr>
          <w:p w14:paraId="4B65D376" w14:textId="1F465084" w:rsidR="00A235DC" w:rsidRPr="00A235DC" w:rsidRDefault="00A235DC" w:rsidP="00A235DC">
            <w:pPr>
              <w:rPr>
                <w:szCs w:val="24"/>
              </w:rPr>
            </w:pPr>
            <w:r w:rsidRPr="00A235DC">
              <w:rPr>
                <w:szCs w:val="20"/>
              </w:rPr>
              <w:t>Нарушения на бъбреците и пикочните пътища</w:t>
            </w:r>
          </w:p>
        </w:tc>
        <w:tc>
          <w:tcPr>
            <w:tcW w:w="3177" w:type="dxa"/>
            <w:vAlign w:val="bottom"/>
          </w:tcPr>
          <w:p w14:paraId="1C6E38C6" w14:textId="678BA727" w:rsidR="00A235DC" w:rsidRPr="00A235DC" w:rsidRDefault="00A235DC" w:rsidP="00A235DC">
            <w:pPr>
              <w:rPr>
                <w:szCs w:val="24"/>
              </w:rPr>
            </w:pPr>
            <w:r w:rsidRPr="00A235DC">
              <w:rPr>
                <w:szCs w:val="20"/>
              </w:rPr>
              <w:t>Чести</w:t>
            </w:r>
          </w:p>
        </w:tc>
        <w:tc>
          <w:tcPr>
            <w:tcW w:w="3220" w:type="dxa"/>
            <w:vAlign w:val="bottom"/>
          </w:tcPr>
          <w:p w14:paraId="4B84D4C7" w14:textId="739873C8" w:rsidR="00A235DC" w:rsidRPr="00A235DC" w:rsidRDefault="00A235DC" w:rsidP="00A235DC">
            <w:pPr>
              <w:rPr>
                <w:szCs w:val="24"/>
              </w:rPr>
            </w:pPr>
            <w:r w:rsidRPr="00A235DC">
              <w:rPr>
                <w:szCs w:val="20"/>
              </w:rPr>
              <w:t>Глюкозурия</w:t>
            </w:r>
          </w:p>
        </w:tc>
      </w:tr>
      <w:tr w:rsidR="00A235DC" w14:paraId="2B30939D" w14:textId="77777777" w:rsidTr="00D60316">
        <w:tc>
          <w:tcPr>
            <w:tcW w:w="3179" w:type="dxa"/>
            <w:vMerge/>
          </w:tcPr>
          <w:p w14:paraId="56DA7AAB" w14:textId="77777777" w:rsidR="00A235DC" w:rsidRPr="00A235DC" w:rsidRDefault="00A235DC" w:rsidP="00A235DC">
            <w:pPr>
              <w:rPr>
                <w:szCs w:val="24"/>
              </w:rPr>
            </w:pPr>
          </w:p>
        </w:tc>
        <w:tc>
          <w:tcPr>
            <w:tcW w:w="3177" w:type="dxa"/>
          </w:tcPr>
          <w:p w14:paraId="16A0E01E" w14:textId="3A9EC016" w:rsidR="00A235DC" w:rsidRPr="00A235DC" w:rsidRDefault="00A235DC" w:rsidP="00A235DC">
            <w:pPr>
              <w:rPr>
                <w:szCs w:val="24"/>
              </w:rPr>
            </w:pPr>
            <w:r w:rsidRPr="00A235DC">
              <w:rPr>
                <w:szCs w:val="20"/>
              </w:rPr>
              <w:t>Редки</w:t>
            </w:r>
          </w:p>
        </w:tc>
        <w:tc>
          <w:tcPr>
            <w:tcW w:w="3220" w:type="dxa"/>
            <w:vAlign w:val="bottom"/>
          </w:tcPr>
          <w:p w14:paraId="34C2AB40" w14:textId="773BCC5A" w:rsidR="00A235DC" w:rsidRPr="00A235DC" w:rsidRDefault="00A235DC" w:rsidP="00A235DC">
            <w:pPr>
              <w:rPr>
                <w:szCs w:val="24"/>
              </w:rPr>
            </w:pPr>
            <w:r w:rsidRPr="00A235DC">
              <w:rPr>
                <w:szCs w:val="20"/>
              </w:rPr>
              <w:t>Бъбречна дисфункция и интерстициален нефрит</w:t>
            </w:r>
          </w:p>
        </w:tc>
      </w:tr>
      <w:tr w:rsidR="00A235DC" w14:paraId="5ADAC848" w14:textId="77777777" w:rsidTr="00D60316">
        <w:tc>
          <w:tcPr>
            <w:tcW w:w="3179" w:type="dxa"/>
            <w:vMerge w:val="restart"/>
            <w:vAlign w:val="bottom"/>
          </w:tcPr>
          <w:p w14:paraId="019BADF4" w14:textId="4C1B9A05" w:rsidR="00A235DC" w:rsidRPr="00A235DC" w:rsidRDefault="00A235DC" w:rsidP="00A235DC">
            <w:pPr>
              <w:rPr>
                <w:szCs w:val="24"/>
              </w:rPr>
            </w:pPr>
            <w:r w:rsidRPr="00A235DC">
              <w:rPr>
                <w:szCs w:val="20"/>
              </w:rPr>
              <w:t>Общи нарушения и ефекти на мястото на приложение</w:t>
            </w:r>
          </w:p>
        </w:tc>
        <w:tc>
          <w:tcPr>
            <w:tcW w:w="3177" w:type="dxa"/>
            <w:vAlign w:val="bottom"/>
          </w:tcPr>
          <w:p w14:paraId="4C6D1ACB" w14:textId="59F09F6F" w:rsidR="00A235DC" w:rsidRPr="00A235DC" w:rsidRDefault="00A235DC" w:rsidP="00A235DC">
            <w:pPr>
              <w:rPr>
                <w:szCs w:val="24"/>
              </w:rPr>
            </w:pPr>
            <w:r w:rsidRPr="00A235DC">
              <w:rPr>
                <w:szCs w:val="20"/>
              </w:rPr>
              <w:t>Чести</w:t>
            </w:r>
          </w:p>
        </w:tc>
        <w:tc>
          <w:tcPr>
            <w:tcW w:w="3220" w:type="dxa"/>
            <w:vAlign w:val="bottom"/>
          </w:tcPr>
          <w:p w14:paraId="10A9BD95" w14:textId="7F215B8F" w:rsidR="00A235DC" w:rsidRPr="00A235DC" w:rsidRDefault="00A235DC" w:rsidP="00A235DC">
            <w:pPr>
              <w:rPr>
                <w:szCs w:val="24"/>
              </w:rPr>
            </w:pPr>
            <w:r w:rsidRPr="00A235DC">
              <w:rPr>
                <w:szCs w:val="20"/>
              </w:rPr>
              <w:t>Слабост</w:t>
            </w:r>
          </w:p>
        </w:tc>
      </w:tr>
      <w:tr w:rsidR="00A235DC" w14:paraId="6156B2D7" w14:textId="77777777" w:rsidTr="00D60316">
        <w:tc>
          <w:tcPr>
            <w:tcW w:w="3179" w:type="dxa"/>
            <w:vMerge/>
            <w:vAlign w:val="bottom"/>
          </w:tcPr>
          <w:p w14:paraId="1642531E" w14:textId="77777777" w:rsidR="00A235DC" w:rsidRPr="00A235DC" w:rsidRDefault="00A235DC" w:rsidP="00A235DC">
            <w:pPr>
              <w:rPr>
                <w:szCs w:val="24"/>
              </w:rPr>
            </w:pPr>
          </w:p>
        </w:tc>
        <w:tc>
          <w:tcPr>
            <w:tcW w:w="3177" w:type="dxa"/>
            <w:vAlign w:val="bottom"/>
          </w:tcPr>
          <w:p w14:paraId="097B5B07" w14:textId="3DC26EEA" w:rsidR="00A235DC" w:rsidRPr="00A235DC" w:rsidRDefault="00A235DC" w:rsidP="00A235DC">
            <w:pPr>
              <w:rPr>
                <w:szCs w:val="24"/>
              </w:rPr>
            </w:pPr>
            <w:r w:rsidRPr="00A235DC">
              <w:rPr>
                <w:szCs w:val="20"/>
              </w:rPr>
              <w:t>Редки</w:t>
            </w:r>
          </w:p>
        </w:tc>
        <w:tc>
          <w:tcPr>
            <w:tcW w:w="3220" w:type="dxa"/>
            <w:vAlign w:val="bottom"/>
          </w:tcPr>
          <w:p w14:paraId="5C5FC6B3" w14:textId="6725EB7C" w:rsidR="00A235DC" w:rsidRPr="00A235DC" w:rsidRDefault="00A235DC" w:rsidP="00A235DC">
            <w:pPr>
              <w:rPr>
                <w:szCs w:val="24"/>
              </w:rPr>
            </w:pPr>
            <w:r w:rsidRPr="00A235DC">
              <w:rPr>
                <w:szCs w:val="20"/>
              </w:rPr>
              <w:t>Фебрилитет</w:t>
            </w:r>
          </w:p>
        </w:tc>
      </w:tr>
      <w:tr w:rsidR="00A235DC" w14:paraId="54254605" w14:textId="77777777" w:rsidTr="00D60316">
        <w:tc>
          <w:tcPr>
            <w:tcW w:w="3179" w:type="dxa"/>
            <w:vMerge w:val="restart"/>
          </w:tcPr>
          <w:p w14:paraId="5617DEEF" w14:textId="34C7E424" w:rsidR="00A235DC" w:rsidRPr="00A235DC" w:rsidRDefault="00A235DC" w:rsidP="00A235DC">
            <w:pPr>
              <w:rPr>
                <w:szCs w:val="24"/>
              </w:rPr>
            </w:pPr>
            <w:r w:rsidRPr="00A235DC">
              <w:rPr>
                <w:szCs w:val="20"/>
              </w:rPr>
              <w:t>Изследвания</w:t>
            </w:r>
          </w:p>
        </w:tc>
        <w:tc>
          <w:tcPr>
            <w:tcW w:w="3177" w:type="dxa"/>
          </w:tcPr>
          <w:p w14:paraId="6CD06830" w14:textId="738808B9" w:rsidR="00A235DC" w:rsidRPr="00A235DC" w:rsidRDefault="00A235DC" w:rsidP="00A235DC">
            <w:pPr>
              <w:rPr>
                <w:szCs w:val="24"/>
              </w:rPr>
            </w:pPr>
            <w:r w:rsidRPr="00A235DC">
              <w:rPr>
                <w:szCs w:val="20"/>
              </w:rPr>
              <w:t>Чести</w:t>
            </w:r>
          </w:p>
        </w:tc>
        <w:tc>
          <w:tcPr>
            <w:tcW w:w="3220" w:type="dxa"/>
            <w:vAlign w:val="bottom"/>
          </w:tcPr>
          <w:p w14:paraId="1239F2D3" w14:textId="44C3A4A2" w:rsidR="00A235DC" w:rsidRPr="00A235DC" w:rsidRDefault="00A235DC" w:rsidP="00A235DC">
            <w:pPr>
              <w:rPr>
                <w:szCs w:val="24"/>
              </w:rPr>
            </w:pPr>
            <w:r w:rsidRPr="00A235DC">
              <w:rPr>
                <w:szCs w:val="20"/>
              </w:rPr>
              <w:t>Повишение на холестерола и триглицеридите</w:t>
            </w:r>
          </w:p>
        </w:tc>
      </w:tr>
      <w:tr w:rsidR="00A235DC" w14:paraId="657AB958" w14:textId="77777777" w:rsidTr="00A235DC">
        <w:tc>
          <w:tcPr>
            <w:tcW w:w="3179" w:type="dxa"/>
            <w:vMerge/>
          </w:tcPr>
          <w:p w14:paraId="34FBFE97" w14:textId="77777777" w:rsidR="00A235DC" w:rsidRPr="00A235DC" w:rsidRDefault="00A235DC" w:rsidP="00A235DC">
            <w:pPr>
              <w:rPr>
                <w:szCs w:val="24"/>
              </w:rPr>
            </w:pPr>
          </w:p>
        </w:tc>
        <w:tc>
          <w:tcPr>
            <w:tcW w:w="3177" w:type="dxa"/>
          </w:tcPr>
          <w:p w14:paraId="4262B95A" w14:textId="208FA568" w:rsidR="00A235DC" w:rsidRPr="00A235DC" w:rsidRDefault="00A235DC" w:rsidP="00A235DC">
            <w:pPr>
              <w:rPr>
                <w:szCs w:val="24"/>
              </w:rPr>
            </w:pPr>
            <w:r w:rsidRPr="00A235DC">
              <w:rPr>
                <w:szCs w:val="20"/>
              </w:rPr>
              <w:t>Редки</w:t>
            </w:r>
          </w:p>
        </w:tc>
        <w:tc>
          <w:tcPr>
            <w:tcW w:w="3220" w:type="dxa"/>
          </w:tcPr>
          <w:p w14:paraId="606D8B02" w14:textId="41C9565B" w:rsidR="00A235DC" w:rsidRPr="00A235DC" w:rsidRDefault="00A235DC" w:rsidP="00A235DC">
            <w:pPr>
              <w:rPr>
                <w:szCs w:val="24"/>
              </w:rPr>
            </w:pPr>
            <w:r w:rsidRPr="00A235DC">
              <w:rPr>
                <w:szCs w:val="20"/>
              </w:rPr>
              <w:t>Повишение на уреята и серумния креатинин</w:t>
            </w:r>
          </w:p>
        </w:tc>
      </w:tr>
    </w:tbl>
    <w:p w14:paraId="326A7768" w14:textId="5A6C7902" w:rsidR="00A235DC" w:rsidRPr="00A235DC" w:rsidRDefault="00A235DC" w:rsidP="00A235DC">
      <w:pPr>
        <w:rPr>
          <w:sz w:val="28"/>
          <w:szCs w:val="24"/>
        </w:rPr>
      </w:pPr>
      <w:r w:rsidRPr="00A235DC">
        <w:rPr>
          <w:szCs w:val="20"/>
        </w:rPr>
        <w:t>* Немеланомен рак на кожата: Въз основа на наличните данни от епидемиологични приучвания е наблюдавана зависима от кумулативната доза връзка между ХХТЗ и НМРК (вж. също точки 4.4 и 5.1).</w:t>
      </w:r>
    </w:p>
    <w:p w14:paraId="01434822" w14:textId="0E6B2B27" w:rsidR="00A235DC" w:rsidRDefault="00A235DC" w:rsidP="00A235DC"/>
    <w:p w14:paraId="66B92F32" w14:textId="48551802" w:rsidR="00A235DC" w:rsidRPr="00A235DC" w:rsidRDefault="00A235DC" w:rsidP="00A235DC">
      <w:pPr>
        <w:spacing w:line="240" w:lineRule="auto"/>
        <w:rPr>
          <w:rFonts w:eastAsia="Times New Roman" w:cs="Arial"/>
        </w:rPr>
      </w:pPr>
      <w:r w:rsidRPr="00A235DC">
        <w:rPr>
          <w:rFonts w:eastAsia="Times New Roman" w:cs="Arial"/>
          <w:color w:val="000000"/>
          <w:u w:val="single"/>
          <w:lang w:eastAsia="bg-BG"/>
        </w:rPr>
        <w:t>Съобщаване на подозирани нежелани реакции</w:t>
      </w:r>
    </w:p>
    <w:p w14:paraId="7E52379B" w14:textId="7B52BAA3" w:rsidR="00A235DC" w:rsidRDefault="00A235DC" w:rsidP="00A235DC">
      <w:pPr>
        <w:rPr>
          <w:rFonts w:eastAsia="Times New Roman" w:cs="Arial"/>
          <w:color w:val="000000"/>
          <w:lang w:val="en-US"/>
        </w:rPr>
      </w:pPr>
      <w:r w:rsidRPr="00A235DC">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8, </w:t>
      </w:r>
      <w:r w:rsidRPr="00A235DC">
        <w:rPr>
          <w:rFonts w:eastAsia="Times New Roman" w:cs="Arial"/>
          <w:i/>
          <w:iCs/>
          <w:color w:val="000000"/>
          <w:lang w:eastAsia="bg-BG"/>
        </w:rPr>
        <w:t>1303</w:t>
      </w:r>
      <w:r w:rsidRPr="00A235DC">
        <w:rPr>
          <w:rFonts w:eastAsia="Times New Roman" w:cs="Arial"/>
          <w:color w:val="000000"/>
          <w:lang w:eastAsia="bg-BG"/>
        </w:rPr>
        <w:t xml:space="preserve"> София, тел.: +35928903417, уебсайт: </w:t>
      </w:r>
      <w:r w:rsidRPr="00A235DC">
        <w:rPr>
          <w:rFonts w:eastAsia="Times New Roman" w:cs="Arial"/>
        </w:rPr>
        <w:fldChar w:fldCharType="begin"/>
      </w:r>
      <w:r w:rsidRPr="00A235DC">
        <w:rPr>
          <w:rFonts w:eastAsia="Times New Roman" w:cs="Arial"/>
        </w:rPr>
        <w:instrText xml:space="preserve"> HYPERLINK "http://www.bda.bg" </w:instrText>
      </w:r>
      <w:r w:rsidRPr="00A235DC">
        <w:rPr>
          <w:rFonts w:eastAsia="Times New Roman" w:cs="Arial"/>
        </w:rPr>
      </w:r>
      <w:r w:rsidRPr="00A235DC">
        <w:rPr>
          <w:rFonts w:eastAsia="Times New Roman" w:cs="Arial"/>
        </w:rPr>
        <w:fldChar w:fldCharType="separate"/>
      </w:r>
      <w:r w:rsidRPr="00A235DC">
        <w:rPr>
          <w:rFonts w:eastAsia="Times New Roman" w:cs="Arial"/>
          <w:color w:val="000000"/>
          <w:u w:val="single"/>
          <w:lang w:val="en-US"/>
        </w:rPr>
        <w:t>www.bda.bg</w:t>
      </w:r>
      <w:r w:rsidRPr="00A235DC">
        <w:rPr>
          <w:rFonts w:eastAsia="Times New Roman" w:cs="Arial"/>
        </w:rPr>
        <w:fldChar w:fldCharType="end"/>
      </w:r>
      <w:r w:rsidRPr="00A235DC">
        <w:rPr>
          <w:rFonts w:eastAsia="Times New Roman" w:cs="Arial"/>
          <w:color w:val="000000"/>
          <w:lang w:val="en-US"/>
        </w:rPr>
        <w:t>.</w:t>
      </w:r>
    </w:p>
    <w:p w14:paraId="2FCF0809" w14:textId="77777777" w:rsidR="00A235DC" w:rsidRPr="00A235DC" w:rsidRDefault="00A235DC" w:rsidP="00A235DC">
      <w:pPr>
        <w:rPr>
          <w:rFonts w:cs="Arial"/>
        </w:rPr>
      </w:pPr>
    </w:p>
    <w:p w14:paraId="5A87DBA3" w14:textId="45BB8458" w:rsidR="007122AD" w:rsidRDefault="002C50EE" w:rsidP="00936AD0">
      <w:pPr>
        <w:pStyle w:val="Heading2"/>
      </w:pPr>
      <w:r>
        <w:t>4.9. Предозиране</w:t>
      </w:r>
    </w:p>
    <w:p w14:paraId="45D0EE4C" w14:textId="34740ED2" w:rsidR="00A235DC" w:rsidRDefault="00A235DC" w:rsidP="00A235DC"/>
    <w:p w14:paraId="3BFA27B9" w14:textId="77777777" w:rsidR="00A235DC" w:rsidRPr="00A235DC" w:rsidRDefault="00A235DC" w:rsidP="00A235DC">
      <w:pPr>
        <w:pStyle w:val="Heading3"/>
        <w:rPr>
          <w:rFonts w:eastAsia="Times New Roman"/>
          <w:i/>
          <w:sz w:val="28"/>
        </w:rPr>
      </w:pPr>
      <w:r w:rsidRPr="00A235DC">
        <w:rPr>
          <w:rFonts w:eastAsia="Times New Roman"/>
          <w:i/>
          <w:lang w:eastAsia="bg-BG"/>
        </w:rPr>
        <w:t>Симптоми</w:t>
      </w:r>
    </w:p>
    <w:p w14:paraId="06D2BD13"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Базирайки се на фармакологичните свойства, основните прояви на предозирането на кандесартан цилексетил е вероятно да бъдат симптоматична хипотония и замаяност. При отделни съобщения за предозиране (до 672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кандесартан цилексетил) възстановяването на пациента е без последствия.</w:t>
      </w:r>
    </w:p>
    <w:p w14:paraId="1CFF9569" w14:textId="77777777" w:rsidR="00A235DC" w:rsidRPr="00A235DC" w:rsidRDefault="00A235DC" w:rsidP="00A235DC">
      <w:pPr>
        <w:spacing w:line="240" w:lineRule="auto"/>
        <w:rPr>
          <w:rFonts w:eastAsia="Times New Roman" w:cs="Arial"/>
          <w:color w:val="000000"/>
          <w:szCs w:val="20"/>
          <w:lang w:eastAsia="bg-BG"/>
        </w:rPr>
      </w:pPr>
    </w:p>
    <w:p w14:paraId="5DAC45B6" w14:textId="7CFD5054"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Основната проява на предозирането на хидрохлоротиазид е остра загуба на течности и електролити. Възможно е да се наблюдават симптоми като замаяност, хипотония, жажда, тахикардия, камерни аритмии, седиране/нарушение на съзнанието и мускулни крампи.</w:t>
      </w:r>
    </w:p>
    <w:p w14:paraId="5262BE99" w14:textId="77777777" w:rsidR="00A235DC" w:rsidRPr="00A235DC" w:rsidRDefault="00A235DC" w:rsidP="00A235DC">
      <w:pPr>
        <w:spacing w:line="240" w:lineRule="auto"/>
        <w:rPr>
          <w:rFonts w:eastAsia="Times New Roman" w:cs="Arial"/>
          <w:i/>
          <w:iCs/>
          <w:color w:val="000000"/>
          <w:szCs w:val="20"/>
          <w:lang w:eastAsia="bg-BG"/>
        </w:rPr>
      </w:pPr>
    </w:p>
    <w:p w14:paraId="34FB3FB8" w14:textId="1413B065" w:rsidR="00A235DC" w:rsidRPr="00A235DC" w:rsidRDefault="00A235DC" w:rsidP="00A235DC">
      <w:pPr>
        <w:pStyle w:val="Heading3"/>
        <w:rPr>
          <w:rFonts w:eastAsia="Times New Roman"/>
          <w:i/>
          <w:sz w:val="28"/>
        </w:rPr>
      </w:pPr>
      <w:r w:rsidRPr="00A235DC">
        <w:rPr>
          <w:rFonts w:eastAsia="Times New Roman"/>
          <w:i/>
          <w:lang w:eastAsia="bg-BG"/>
        </w:rPr>
        <w:t>Лечение</w:t>
      </w:r>
    </w:p>
    <w:p w14:paraId="25C83F33"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Липсва специална информация за лечението на предозиране с Кандекард Н. В случай на предозиране се предлагат следните мерки.</w:t>
      </w:r>
    </w:p>
    <w:p w14:paraId="0E2D5AB3"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lastRenderedPageBreak/>
        <w:t>Трябва да се имат предвид идуциране на повръщането и стомашна промивка, когато това е показано. Ако настъпи симптоматична хипотония, трябва да се започне симптоматично лечение и да се следят жизнените показатели. Пациентът трябва да се постави в легнало положение с повдигнати долни крайници. Ако това не е достатъчно плазменият обем трябва да се увеличи чрез вливане на изотоничен разтвор на натриев хлорид. Трябва да се проследяват електролитното и киселинно равновесие и да се коригира, ако е необходимо. Може да се прилагат симпатикомиметични лекарствени продукти, ако гореспоменатите мерки не са достатъчни. Кандесартан не може да се отстрани чрез хемодиализа. Не е известно до каква степен хидрохлоротиазид се отстранява чрез хемодиализа.</w:t>
      </w:r>
    </w:p>
    <w:p w14:paraId="6369680D" w14:textId="77777777" w:rsidR="00A235DC" w:rsidRPr="00A235DC" w:rsidRDefault="00A235DC" w:rsidP="00A235DC"/>
    <w:p w14:paraId="02081B24" w14:textId="1F46E296" w:rsidR="00395555" w:rsidRPr="00395555" w:rsidRDefault="002C50EE" w:rsidP="008A6AF2">
      <w:pPr>
        <w:pStyle w:val="Heading1"/>
      </w:pPr>
      <w:r>
        <w:t>5. ФАРМАКОЛОГИЧНИ СВОЙСТВА</w:t>
      </w:r>
    </w:p>
    <w:p w14:paraId="7DE36AC8" w14:textId="29420DF6" w:rsidR="00B6672E" w:rsidRDefault="002C50EE" w:rsidP="00936AD0">
      <w:pPr>
        <w:pStyle w:val="Heading2"/>
      </w:pPr>
      <w:r>
        <w:t>5.1. Фармакодинамични свойства</w:t>
      </w:r>
    </w:p>
    <w:p w14:paraId="661E6C88" w14:textId="38369943" w:rsidR="00A235DC" w:rsidRDefault="00A235DC" w:rsidP="00A235DC"/>
    <w:p w14:paraId="6F144CA0" w14:textId="77777777" w:rsidR="00A235DC" w:rsidRPr="00A235DC" w:rsidRDefault="00A235DC" w:rsidP="00A235DC">
      <w:pPr>
        <w:spacing w:line="240" w:lineRule="auto"/>
        <w:rPr>
          <w:rFonts w:eastAsia="Times New Roman" w:cs="Arial"/>
          <w:sz w:val="28"/>
          <w:szCs w:val="24"/>
        </w:rPr>
      </w:pPr>
      <w:r w:rsidRPr="00A235DC">
        <w:rPr>
          <w:rFonts w:eastAsia="Times New Roman" w:cs="Arial"/>
          <w:b/>
          <w:bCs/>
          <w:color w:val="000000"/>
          <w:szCs w:val="20"/>
          <w:lang w:eastAsia="bg-BG"/>
        </w:rPr>
        <w:t xml:space="preserve">Фармакотерапевтична група: </w:t>
      </w:r>
      <w:r w:rsidRPr="00A235DC">
        <w:rPr>
          <w:rFonts w:eastAsia="Times New Roman" w:cs="Arial"/>
          <w:color w:val="000000"/>
          <w:szCs w:val="20"/>
          <w:lang w:eastAsia="bg-BG"/>
        </w:rPr>
        <w:t xml:space="preserve">Антагонисти на ангиотензин II + диуретици </w:t>
      </w:r>
      <w:r w:rsidRPr="00A235DC">
        <w:rPr>
          <w:rFonts w:eastAsia="Times New Roman" w:cs="Arial"/>
          <w:b/>
          <w:bCs/>
          <w:color w:val="000000"/>
          <w:szCs w:val="20"/>
          <w:lang w:eastAsia="bg-BG"/>
        </w:rPr>
        <w:t xml:space="preserve">АТС код: </w:t>
      </w:r>
      <w:r w:rsidRPr="00A235DC">
        <w:rPr>
          <w:rFonts w:eastAsia="Times New Roman" w:cs="Arial"/>
          <w:color w:val="000000"/>
          <w:szCs w:val="20"/>
          <w:lang w:val="en-US"/>
        </w:rPr>
        <w:t>C</w:t>
      </w:r>
      <w:r w:rsidRPr="00A235DC">
        <w:rPr>
          <w:rFonts w:eastAsia="Times New Roman" w:cs="Arial"/>
          <w:color w:val="000000"/>
          <w:szCs w:val="20"/>
          <w:lang w:val="ru-RU"/>
        </w:rPr>
        <w:t>09</w:t>
      </w:r>
      <w:r w:rsidRPr="00A235DC">
        <w:rPr>
          <w:rFonts w:eastAsia="Times New Roman" w:cs="Arial"/>
          <w:color w:val="000000"/>
          <w:szCs w:val="20"/>
          <w:lang w:val="en-US"/>
        </w:rPr>
        <w:t>DA</w:t>
      </w:r>
      <w:r w:rsidRPr="00A235DC">
        <w:rPr>
          <w:rFonts w:eastAsia="Times New Roman" w:cs="Arial"/>
          <w:color w:val="000000"/>
          <w:szCs w:val="20"/>
          <w:lang w:val="ru-RU"/>
        </w:rPr>
        <w:t>06</w:t>
      </w:r>
    </w:p>
    <w:p w14:paraId="15053DC7" w14:textId="77777777" w:rsidR="00A235DC" w:rsidRPr="00A235DC" w:rsidRDefault="00A235DC" w:rsidP="00A235DC">
      <w:pPr>
        <w:spacing w:line="240" w:lineRule="auto"/>
        <w:rPr>
          <w:rFonts w:eastAsia="Times New Roman" w:cs="Arial"/>
          <w:color w:val="000000"/>
          <w:szCs w:val="20"/>
          <w:u w:val="single"/>
          <w:lang w:eastAsia="bg-BG"/>
        </w:rPr>
      </w:pPr>
    </w:p>
    <w:p w14:paraId="78CC9BB8" w14:textId="630013D2"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u w:val="single"/>
          <w:lang w:eastAsia="bg-BG"/>
        </w:rPr>
        <w:t>Механизъм на действие</w:t>
      </w:r>
    </w:p>
    <w:p w14:paraId="5C7EDCF3"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Ангиотензин II е основният вазоактивен хормон на ренин-ангиотензин-алдостероновата система и участва в патофизиологията на хипертонията и други сърдечно-съдови заболявания. Той участва също в патогенезата на органната хипертрофия и терминалното органно увреждане. Основните физиологични ефекти на ангиотензин II като вазоконстрикция, стимулиране на алдостерон, регулация на водната и солевата хомеостаза и стимулирането на клетъчния растеж се медиират от тип 1 </w:t>
      </w:r>
      <w:r w:rsidRPr="00A235DC">
        <w:rPr>
          <w:rFonts w:eastAsia="Times New Roman" w:cs="Arial"/>
          <w:color w:val="000000"/>
          <w:szCs w:val="20"/>
          <w:lang w:val="ru-RU"/>
        </w:rPr>
        <w:t>(</w:t>
      </w:r>
      <w:r w:rsidRPr="00A235DC">
        <w:rPr>
          <w:rFonts w:eastAsia="Times New Roman" w:cs="Arial"/>
          <w:color w:val="000000"/>
          <w:szCs w:val="20"/>
          <w:lang w:val="en-US"/>
        </w:rPr>
        <w:t>AT</w:t>
      </w:r>
      <w:r w:rsidRPr="00A235DC">
        <w:rPr>
          <w:rFonts w:eastAsia="Times New Roman" w:cs="Arial"/>
          <w:color w:val="000000"/>
          <w:szCs w:val="20"/>
          <w:lang w:val="ru-RU"/>
        </w:rPr>
        <w:t xml:space="preserve">1) </w:t>
      </w:r>
      <w:r w:rsidRPr="00A235DC">
        <w:rPr>
          <w:rFonts w:eastAsia="Times New Roman" w:cs="Arial"/>
          <w:color w:val="000000"/>
          <w:szCs w:val="20"/>
          <w:lang w:eastAsia="bg-BG"/>
        </w:rPr>
        <w:t>рецептор.</w:t>
      </w:r>
    </w:p>
    <w:p w14:paraId="28731BD9" w14:textId="77777777" w:rsidR="00A235DC" w:rsidRPr="00A235DC" w:rsidRDefault="00A235DC" w:rsidP="00A235DC">
      <w:pPr>
        <w:spacing w:line="240" w:lineRule="auto"/>
        <w:rPr>
          <w:rFonts w:eastAsia="Times New Roman" w:cs="Arial"/>
          <w:color w:val="000000"/>
          <w:szCs w:val="20"/>
          <w:u w:val="single"/>
          <w:lang w:eastAsia="bg-BG"/>
        </w:rPr>
      </w:pPr>
    </w:p>
    <w:p w14:paraId="09EF40E7" w14:textId="58F0C99B"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u w:val="single"/>
          <w:lang w:eastAsia="bg-BG"/>
        </w:rPr>
        <w:t>Фармакодинамичнн ефекти</w:t>
      </w:r>
    </w:p>
    <w:p w14:paraId="3A99A39A"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Кандесартан цилексетил е прекурсорно лекарство, което бързо се </w:t>
      </w:r>
      <w:r w:rsidRPr="00A235DC">
        <w:rPr>
          <w:rFonts w:eastAsia="Times New Roman" w:cs="Arial"/>
          <w:i/>
          <w:iCs/>
          <w:color w:val="000000"/>
          <w:szCs w:val="20"/>
          <w:lang w:eastAsia="bg-BG"/>
        </w:rPr>
        <w:t xml:space="preserve">превръща в активното вещество </w:t>
      </w:r>
      <w:r w:rsidRPr="00A235DC">
        <w:rPr>
          <w:rFonts w:eastAsia="Times New Roman" w:cs="Arial"/>
          <w:color w:val="000000"/>
          <w:szCs w:val="20"/>
          <w:lang w:eastAsia="bg-BG"/>
        </w:rPr>
        <w:t>кандесартан чрез естерна хидролиза по време на абсорбцията от стомашно-чревния тракт Кандесартан е а АТ</w:t>
      </w:r>
      <w:r w:rsidRPr="00A235DC">
        <w:rPr>
          <w:rFonts w:eastAsia="Times New Roman" w:cs="Arial"/>
          <w:color w:val="000000"/>
          <w:szCs w:val="20"/>
          <w:lang w:val="en-US"/>
        </w:rPr>
        <w:t>II</w:t>
      </w:r>
      <w:r w:rsidRPr="00A235DC">
        <w:rPr>
          <w:rFonts w:eastAsia="Times New Roman" w:cs="Arial"/>
          <w:color w:val="000000"/>
          <w:szCs w:val="20"/>
          <w:lang w:eastAsia="bg-BG"/>
        </w:rPr>
        <w:t xml:space="preserve">РА, селективен за </w:t>
      </w:r>
      <w:r w:rsidRPr="00A235DC">
        <w:rPr>
          <w:rFonts w:eastAsia="Times New Roman" w:cs="Arial"/>
          <w:color w:val="000000"/>
          <w:szCs w:val="20"/>
          <w:lang w:val="en-US"/>
        </w:rPr>
        <w:t>AT</w:t>
      </w:r>
      <w:r w:rsidRPr="00A235DC">
        <w:rPr>
          <w:rFonts w:eastAsia="Times New Roman" w:cs="Arial"/>
          <w:color w:val="000000"/>
          <w:szCs w:val="20"/>
          <w:lang w:val="ru-RU"/>
        </w:rPr>
        <w:t xml:space="preserve">1 </w:t>
      </w:r>
      <w:r w:rsidRPr="00A235DC">
        <w:rPr>
          <w:rFonts w:eastAsia="Times New Roman" w:cs="Arial"/>
          <w:color w:val="000000"/>
          <w:szCs w:val="20"/>
          <w:lang w:eastAsia="bg-BG"/>
        </w:rPr>
        <w:t>рецепторите със здраво свързване и бавна дисоциция</w:t>
      </w:r>
    </w:p>
    <w:p w14:paraId="21A282D9" w14:textId="051FB0A5" w:rsidR="00A235DC" w:rsidRPr="00A235DC" w:rsidRDefault="00A235DC" w:rsidP="00A235DC">
      <w:pPr>
        <w:rPr>
          <w:rFonts w:eastAsia="Times New Roman" w:cs="Arial"/>
          <w:color w:val="000000"/>
          <w:szCs w:val="20"/>
          <w:lang w:eastAsia="bg-BG"/>
        </w:rPr>
      </w:pPr>
      <w:r w:rsidRPr="00A235DC">
        <w:rPr>
          <w:rFonts w:eastAsia="Times New Roman" w:cs="Arial"/>
          <w:color w:val="000000"/>
          <w:szCs w:val="20"/>
          <w:lang w:eastAsia="bg-BG"/>
        </w:rPr>
        <w:t>от рецептора. Той не притежава никаква активност на агонист.</w:t>
      </w:r>
    </w:p>
    <w:p w14:paraId="2BC86A02" w14:textId="42978DD1" w:rsidR="00A235DC" w:rsidRPr="00A235DC" w:rsidRDefault="00A235DC" w:rsidP="00A235DC">
      <w:pPr>
        <w:rPr>
          <w:rFonts w:eastAsia="Times New Roman" w:cs="Arial"/>
          <w:color w:val="000000"/>
          <w:szCs w:val="20"/>
          <w:lang w:eastAsia="bg-BG"/>
        </w:rPr>
      </w:pPr>
    </w:p>
    <w:p w14:paraId="061E8820"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Кандесартан не повлиява АСЕ или други ензимни системи, които обикновено са свързани с употребата на АСЕ инхибитори. Тъй като няма никакъв ефект върху разграждането на кинините или върху метаболизма на други вещества като субстанция Р, АТ</w:t>
      </w:r>
      <w:r w:rsidRPr="00A235DC">
        <w:rPr>
          <w:rFonts w:eastAsia="Times New Roman" w:cs="Arial"/>
          <w:color w:val="000000"/>
          <w:szCs w:val="20"/>
          <w:lang w:val="en-US"/>
        </w:rPr>
        <w:t>II</w:t>
      </w:r>
      <w:r w:rsidRPr="00A235DC">
        <w:rPr>
          <w:rFonts w:eastAsia="Times New Roman" w:cs="Arial"/>
          <w:color w:val="000000"/>
          <w:szCs w:val="20"/>
          <w:lang w:eastAsia="bg-BG"/>
        </w:rPr>
        <w:t>РА е малко вероятно да са свързани с кашлица. При контролираните клинични проучвания, сравняващи кандесартан цилексетил с АСЕ инхибитори, честотата на кашлицата е по-ниска при пациентите, получаващи кандесартан цилексетил. Кандесартан не се свързва и не блокира други хормонални рецептори или йонни канали, за които е известно, че са от значение за сърдечно-съдовата регулация.</w:t>
      </w:r>
    </w:p>
    <w:p w14:paraId="5C58E081"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Антагонизмът на </w:t>
      </w:r>
      <w:r w:rsidRPr="00A235DC">
        <w:rPr>
          <w:rFonts w:eastAsia="Times New Roman" w:cs="Arial"/>
          <w:color w:val="000000"/>
          <w:szCs w:val="20"/>
          <w:lang w:val="en-US"/>
        </w:rPr>
        <w:t>AT</w:t>
      </w:r>
      <w:r w:rsidRPr="00A235DC">
        <w:rPr>
          <w:rFonts w:eastAsia="Times New Roman" w:cs="Arial"/>
          <w:color w:val="000000"/>
          <w:szCs w:val="20"/>
          <w:lang w:val="ru-RU"/>
        </w:rPr>
        <w:t xml:space="preserve">1 </w:t>
      </w:r>
      <w:r w:rsidRPr="00A235DC">
        <w:rPr>
          <w:rFonts w:eastAsia="Times New Roman" w:cs="Arial"/>
          <w:color w:val="000000"/>
          <w:szCs w:val="20"/>
          <w:lang w:eastAsia="bg-BG"/>
        </w:rPr>
        <w:t>рецепторите води до свързано с дозата повишение на плазмените нива на ренина, ангиотензин I и ангиотензин II и понижение на плазмената концентрация на алдостерона.</w:t>
      </w:r>
    </w:p>
    <w:p w14:paraId="5A41DC6A" w14:textId="77777777" w:rsidR="00A235DC" w:rsidRPr="00A235DC" w:rsidRDefault="00A235DC" w:rsidP="00A235DC">
      <w:pPr>
        <w:spacing w:line="240" w:lineRule="auto"/>
        <w:rPr>
          <w:rFonts w:eastAsia="Times New Roman" w:cs="Arial"/>
          <w:color w:val="000000"/>
          <w:szCs w:val="20"/>
          <w:u w:val="single"/>
          <w:lang w:eastAsia="bg-BG"/>
        </w:rPr>
      </w:pPr>
    </w:p>
    <w:p w14:paraId="58A9AD7F" w14:textId="7E994D92"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u w:val="single"/>
          <w:lang w:eastAsia="bg-BG"/>
        </w:rPr>
        <w:t>Клинична ефикасност и безопасност</w:t>
      </w:r>
    </w:p>
    <w:p w14:paraId="0071CBEA"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Ефектите на кандесартан цилексетил 8-16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(средна доза 12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веднъж дневно върху сърдечно</w:t>
      </w:r>
      <w:r w:rsidRPr="00A235DC">
        <w:rPr>
          <w:rFonts w:eastAsia="Times New Roman" w:cs="Arial"/>
          <w:color w:val="000000"/>
          <w:szCs w:val="20"/>
          <w:lang w:eastAsia="bg-BG"/>
        </w:rPr>
        <w:softHyphen/>
        <w:t xml:space="preserve">съдовата заболеваемост и смъртност са оценени при едно рандомизирано клинично проучване с 4 937 пациенти в напреднала възраст (на възраст 70-89 години, 21% на възраст 80 и повече години) с лека до умерено тежка хипертония, проследявани </w:t>
      </w:r>
      <w:r w:rsidRPr="00A235DC">
        <w:rPr>
          <w:rFonts w:eastAsia="Times New Roman" w:cs="Arial"/>
          <w:color w:val="000000"/>
          <w:szCs w:val="20"/>
          <w:lang w:eastAsia="bg-BG"/>
        </w:rPr>
        <w:lastRenderedPageBreak/>
        <w:t xml:space="preserve">за средно 3,7 години </w:t>
      </w:r>
      <w:r w:rsidRPr="00A235DC">
        <w:rPr>
          <w:rFonts w:eastAsia="Times New Roman" w:cs="Arial"/>
          <w:color w:val="000000"/>
          <w:szCs w:val="20"/>
          <w:lang w:val="ru-RU"/>
        </w:rPr>
        <w:t>(</w:t>
      </w:r>
      <w:r w:rsidRPr="00A235DC">
        <w:rPr>
          <w:rFonts w:eastAsia="Times New Roman" w:cs="Arial"/>
          <w:color w:val="000000"/>
          <w:szCs w:val="20"/>
          <w:lang w:val="en-US"/>
        </w:rPr>
        <w:t>Study</w:t>
      </w:r>
      <w:r w:rsidRPr="00A235DC">
        <w:rPr>
          <w:rFonts w:eastAsia="Times New Roman" w:cs="Arial"/>
          <w:color w:val="000000"/>
          <w:szCs w:val="20"/>
          <w:lang w:val="ru-RU"/>
        </w:rPr>
        <w:t xml:space="preserve"> </w:t>
      </w:r>
      <w:r w:rsidRPr="00A235DC">
        <w:rPr>
          <w:rFonts w:eastAsia="Times New Roman" w:cs="Arial"/>
          <w:color w:val="000000"/>
          <w:szCs w:val="20"/>
          <w:lang w:val="en-US"/>
        </w:rPr>
        <w:t>on</w:t>
      </w:r>
      <w:r w:rsidRPr="00A235DC">
        <w:rPr>
          <w:rFonts w:eastAsia="Times New Roman" w:cs="Arial"/>
          <w:color w:val="000000"/>
          <w:szCs w:val="20"/>
          <w:lang w:val="ru-RU"/>
        </w:rPr>
        <w:t xml:space="preserve"> </w:t>
      </w:r>
      <w:proofErr w:type="spellStart"/>
      <w:r w:rsidRPr="00A235DC">
        <w:rPr>
          <w:rFonts w:eastAsia="Times New Roman" w:cs="Arial"/>
          <w:color w:val="000000"/>
          <w:szCs w:val="20"/>
          <w:lang w:val="en-US"/>
        </w:rPr>
        <w:t>COgnition</w:t>
      </w:r>
      <w:proofErr w:type="spellEnd"/>
      <w:r w:rsidRPr="00A235DC">
        <w:rPr>
          <w:rFonts w:eastAsia="Times New Roman" w:cs="Arial"/>
          <w:color w:val="000000"/>
          <w:szCs w:val="20"/>
          <w:lang w:val="ru-RU"/>
        </w:rPr>
        <w:t xml:space="preserve"> </w:t>
      </w:r>
      <w:r w:rsidRPr="00A235DC">
        <w:rPr>
          <w:rFonts w:eastAsia="Times New Roman" w:cs="Arial"/>
          <w:color w:val="000000"/>
          <w:szCs w:val="20"/>
          <w:lang w:val="en-US"/>
        </w:rPr>
        <w:t>and</w:t>
      </w:r>
      <w:r w:rsidRPr="00A235DC">
        <w:rPr>
          <w:rFonts w:eastAsia="Times New Roman" w:cs="Arial"/>
          <w:color w:val="000000"/>
          <w:szCs w:val="20"/>
          <w:lang w:val="ru-RU"/>
        </w:rPr>
        <w:t xml:space="preserve"> </w:t>
      </w:r>
      <w:r w:rsidRPr="00A235DC">
        <w:rPr>
          <w:rFonts w:eastAsia="Times New Roman" w:cs="Arial"/>
          <w:color w:val="000000"/>
          <w:szCs w:val="20"/>
          <w:lang w:val="en-US"/>
        </w:rPr>
        <w:t>Prognosis</w:t>
      </w:r>
      <w:r w:rsidRPr="00A235DC">
        <w:rPr>
          <w:rFonts w:eastAsia="Times New Roman" w:cs="Arial"/>
          <w:color w:val="000000"/>
          <w:szCs w:val="20"/>
          <w:lang w:val="ru-RU"/>
        </w:rPr>
        <w:t xml:space="preserve"> </w:t>
      </w:r>
      <w:r w:rsidRPr="00A235DC">
        <w:rPr>
          <w:rFonts w:eastAsia="Times New Roman" w:cs="Arial"/>
          <w:color w:val="000000"/>
          <w:szCs w:val="20"/>
          <w:lang w:val="en-US"/>
        </w:rPr>
        <w:t>in</w:t>
      </w:r>
      <w:r w:rsidRPr="00A235DC">
        <w:rPr>
          <w:rFonts w:eastAsia="Times New Roman" w:cs="Arial"/>
          <w:color w:val="000000"/>
          <w:szCs w:val="20"/>
          <w:lang w:val="ru-RU"/>
        </w:rPr>
        <w:t xml:space="preserve"> </w:t>
      </w:r>
      <w:r w:rsidRPr="00A235DC">
        <w:rPr>
          <w:rFonts w:eastAsia="Times New Roman" w:cs="Arial"/>
          <w:color w:val="000000"/>
          <w:szCs w:val="20"/>
          <w:lang w:val="en-US"/>
        </w:rPr>
        <w:t>the</w:t>
      </w:r>
      <w:r w:rsidRPr="00A235DC">
        <w:rPr>
          <w:rFonts w:eastAsia="Times New Roman" w:cs="Arial"/>
          <w:color w:val="000000"/>
          <w:szCs w:val="20"/>
          <w:lang w:val="ru-RU"/>
        </w:rPr>
        <w:t xml:space="preserve"> </w:t>
      </w:r>
      <w:r w:rsidRPr="00A235DC">
        <w:rPr>
          <w:rFonts w:eastAsia="Times New Roman" w:cs="Arial"/>
          <w:color w:val="000000"/>
          <w:szCs w:val="20"/>
          <w:lang w:val="en-US"/>
        </w:rPr>
        <w:t>Elderly</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Пациентите получават кандесартан или плацебо с включване на друг вид антихипертензивно лечение при нужда. Кръвното налягане се понижава от 166/90 до 145/80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в групата на кандесартан и от 167/90 до 149/82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eastAsia="bg-BG"/>
        </w:rPr>
        <w:t>в контролната група. Липсва статистически значима разлика по отношение на първичната крайна цел, основните сърдечно-съдови реакции (сърдечно-съдова смъртност, нефатален инсулт и нефатален миокарден инфаркт). Имало е 26,7 реакции на 1000 пациентогодини в групата на кандесартан спрямо 30,0 реакции на 1000 пациентогодини в контролната група (относителен риск 0,89, 95% ДИ 0,75 до 1,06, р-0,19).</w:t>
      </w:r>
    </w:p>
    <w:p w14:paraId="45DED304" w14:textId="77777777" w:rsidR="00A235DC" w:rsidRPr="00A235DC" w:rsidRDefault="00A235DC" w:rsidP="00A235DC">
      <w:pPr>
        <w:spacing w:line="240" w:lineRule="auto"/>
        <w:rPr>
          <w:rFonts w:eastAsia="Times New Roman" w:cs="Arial"/>
          <w:color w:val="000000"/>
          <w:szCs w:val="20"/>
          <w:lang w:eastAsia="bg-BG"/>
        </w:rPr>
      </w:pPr>
    </w:p>
    <w:p w14:paraId="28A87D44" w14:textId="34B604B1"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Хидрохлоротиазид инхибира активната реабсорбция на натрий, главно в дисталните бъбречни каналчета и засилва екскрецията на натрий, хлориди и вода. Бъбречната екскреция на калий и магнезий нараства дозозависимо, докато калцият се реабсорбира в по-голяма степен.</w:t>
      </w:r>
    </w:p>
    <w:p w14:paraId="59E4AC62" w14:textId="77777777" w:rsidR="00A235DC" w:rsidRPr="00A235DC" w:rsidRDefault="00A235DC" w:rsidP="00A235DC">
      <w:pPr>
        <w:spacing w:line="240" w:lineRule="auto"/>
        <w:rPr>
          <w:rFonts w:eastAsia="Times New Roman" w:cs="Arial"/>
          <w:color w:val="000000"/>
          <w:szCs w:val="20"/>
          <w:lang w:eastAsia="bg-BG"/>
        </w:rPr>
      </w:pPr>
    </w:p>
    <w:p w14:paraId="62DA6874" w14:textId="2BB1AA72"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Хидрохлоротиазид понижава плазмения обем и екстрацелуларната течност и понижава следнатоварването на сърцето и кръвното налягане.</w:t>
      </w:r>
    </w:p>
    <w:p w14:paraId="6FE60BCF"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По време на дългосрочна терапия понижената периферна резистентност допринася за понижението на кръвното налягане.</w:t>
      </w:r>
    </w:p>
    <w:p w14:paraId="39237CC8" w14:textId="77777777" w:rsidR="00A235DC" w:rsidRPr="00A235DC" w:rsidRDefault="00A235DC" w:rsidP="00A235DC">
      <w:pPr>
        <w:spacing w:line="240" w:lineRule="auto"/>
        <w:rPr>
          <w:rFonts w:eastAsia="Times New Roman" w:cs="Arial"/>
          <w:color w:val="000000"/>
          <w:szCs w:val="20"/>
          <w:lang w:eastAsia="bg-BG"/>
        </w:rPr>
      </w:pPr>
    </w:p>
    <w:p w14:paraId="675FE84D" w14:textId="10521CB1"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Големите клинични проучвания показват, че дългосрочното лечение с хидрохлоротиазид понижава риска от сърдечно-съдова заболеваемост и смъртност.</w:t>
      </w:r>
    </w:p>
    <w:p w14:paraId="65AD5D8D" w14:textId="77777777" w:rsidR="00A235DC" w:rsidRPr="00A235DC" w:rsidRDefault="00A235DC" w:rsidP="00A235DC">
      <w:pPr>
        <w:spacing w:line="240" w:lineRule="auto"/>
        <w:rPr>
          <w:rFonts w:eastAsia="Times New Roman" w:cs="Arial"/>
          <w:color w:val="000000"/>
          <w:szCs w:val="20"/>
          <w:lang w:eastAsia="bg-BG"/>
        </w:rPr>
      </w:pPr>
    </w:p>
    <w:p w14:paraId="655FC596" w14:textId="2176CD44"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Кандесартан и хидрохлоротиазид притежават адитивни антихипертензивни ефекти.</w:t>
      </w:r>
    </w:p>
    <w:p w14:paraId="3B6FBD72" w14:textId="77777777" w:rsidR="00A235DC" w:rsidRPr="00A235DC" w:rsidRDefault="00A235DC" w:rsidP="00A235DC">
      <w:pPr>
        <w:rPr>
          <w:rFonts w:eastAsia="Times New Roman" w:cs="Arial"/>
          <w:color w:val="000000"/>
          <w:szCs w:val="20"/>
          <w:lang w:eastAsia="bg-BG"/>
        </w:rPr>
      </w:pPr>
    </w:p>
    <w:p w14:paraId="4B286284" w14:textId="48C38E83" w:rsidR="00A235DC" w:rsidRPr="00A235DC" w:rsidRDefault="00A235DC" w:rsidP="00A235DC">
      <w:pPr>
        <w:rPr>
          <w:rFonts w:eastAsia="Times New Roman" w:cs="Arial"/>
          <w:color w:val="000000"/>
          <w:szCs w:val="20"/>
          <w:lang w:eastAsia="bg-BG"/>
        </w:rPr>
      </w:pPr>
      <w:r w:rsidRPr="00A235DC">
        <w:rPr>
          <w:rFonts w:eastAsia="Times New Roman" w:cs="Arial"/>
          <w:color w:val="000000"/>
          <w:szCs w:val="20"/>
          <w:lang w:eastAsia="bg-BG"/>
        </w:rPr>
        <w:t xml:space="preserve">При хипертонично болни пациенти, кандесартан цилексетил/хидрохлоротиазид води до дозозависимо и дълготрайно понижение на артериалното кръвно налягане без рефлекторно повишение на сърдечната честота. Няма данни за сериозна или засилена хипотония след първата доза или рибаунд ефект след спиране на лечението. Началото на антихипертензивния ефект обикновено настъпва в рамките на 2 часа след приложението на единична доза кандесартан цилексетил/хидрохлоротиазид. При продължително приложение ефектът се разгръща в рамките на четири седмици и се поддържа по време на дългосрочното лечение. Кандесартан цилексетил/хидрохлоротиазид веднъж дневно осигурява ефективно и гладко понижение на кръвното налягане за 24 часа с малка разлика между максималните и плато ефекти по време на дозовия интервал. При двойно-сляпо рандомизирано проучване е установено, че кандесартан цилексетил/ хидрохлоротиазид 16 </w:t>
      </w:r>
      <w:r w:rsidRPr="00A235DC">
        <w:rPr>
          <w:rFonts w:eastAsia="Times New Roman" w:cs="Arial"/>
          <w:color w:val="000000"/>
          <w:szCs w:val="20"/>
          <w:lang w:val="en-US"/>
        </w:rPr>
        <w:t>mg</w:t>
      </w:r>
      <w:r w:rsidRPr="00A235DC">
        <w:rPr>
          <w:rFonts w:eastAsia="Times New Roman" w:cs="Arial"/>
          <w:color w:val="000000"/>
          <w:szCs w:val="20"/>
        </w:rPr>
        <w:t>/</w:t>
      </w:r>
      <w:r w:rsidRPr="00A235DC">
        <w:rPr>
          <w:rFonts w:eastAsia="Times New Roman" w:cs="Arial"/>
          <w:color w:val="000000"/>
          <w:szCs w:val="20"/>
          <w:lang w:eastAsia="bg-BG"/>
        </w:rPr>
        <w:t xml:space="preserve">12,5 </w:t>
      </w:r>
      <w:r w:rsidRPr="00A235DC">
        <w:rPr>
          <w:rFonts w:eastAsia="Times New Roman" w:cs="Arial"/>
          <w:color w:val="000000"/>
          <w:szCs w:val="20"/>
          <w:lang w:val="en-US"/>
        </w:rPr>
        <w:t>mg</w:t>
      </w:r>
      <w:r w:rsidRPr="00A235DC">
        <w:rPr>
          <w:rFonts w:eastAsia="Times New Roman" w:cs="Arial"/>
          <w:color w:val="000000"/>
          <w:szCs w:val="20"/>
        </w:rPr>
        <w:t xml:space="preserve"> </w:t>
      </w:r>
      <w:r w:rsidRPr="00A235DC">
        <w:rPr>
          <w:rFonts w:eastAsia="Times New Roman" w:cs="Arial"/>
          <w:color w:val="000000"/>
          <w:szCs w:val="20"/>
          <w:lang w:eastAsia="bg-BG"/>
        </w:rPr>
        <w:t xml:space="preserve">веднъж дневно понижава кръвното налягане значително повече и контролира значително повече пациенти отколкото комбинацията лозартан/ хидрохлоротиазид 50 </w:t>
      </w:r>
      <w:r w:rsidRPr="00A235DC">
        <w:rPr>
          <w:rFonts w:eastAsia="Times New Roman" w:cs="Arial"/>
          <w:color w:val="000000"/>
          <w:szCs w:val="20"/>
          <w:lang w:val="en-US"/>
        </w:rPr>
        <w:t>mg</w:t>
      </w:r>
      <w:r w:rsidRPr="00A235DC">
        <w:rPr>
          <w:rFonts w:eastAsia="Times New Roman" w:cs="Arial"/>
          <w:color w:val="000000"/>
          <w:szCs w:val="20"/>
        </w:rPr>
        <w:t xml:space="preserve">/12,5 </w:t>
      </w:r>
      <w:r w:rsidRPr="00A235DC">
        <w:rPr>
          <w:rFonts w:eastAsia="Times New Roman" w:cs="Arial"/>
          <w:color w:val="000000"/>
          <w:szCs w:val="20"/>
          <w:lang w:val="en-US"/>
        </w:rPr>
        <w:t>mg</w:t>
      </w:r>
      <w:r w:rsidRPr="00A235DC">
        <w:rPr>
          <w:rFonts w:eastAsia="Times New Roman" w:cs="Arial"/>
          <w:color w:val="000000"/>
          <w:szCs w:val="20"/>
        </w:rPr>
        <w:t xml:space="preserve"> </w:t>
      </w:r>
      <w:r w:rsidRPr="00A235DC">
        <w:rPr>
          <w:rFonts w:eastAsia="Times New Roman" w:cs="Arial"/>
          <w:color w:val="000000"/>
          <w:szCs w:val="20"/>
          <w:lang w:eastAsia="bg-BG"/>
        </w:rPr>
        <w:t>веднъж дневно.</w:t>
      </w:r>
    </w:p>
    <w:p w14:paraId="113F181A" w14:textId="3C8C4F20" w:rsidR="00A235DC" w:rsidRPr="00A235DC" w:rsidRDefault="00A235DC" w:rsidP="00A235DC">
      <w:pPr>
        <w:rPr>
          <w:rFonts w:eastAsia="Times New Roman" w:cs="Arial"/>
          <w:color w:val="000000"/>
          <w:szCs w:val="20"/>
          <w:lang w:eastAsia="bg-BG"/>
        </w:rPr>
      </w:pPr>
    </w:p>
    <w:p w14:paraId="6D0CDEFF"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При двойно-слепите рандомизирани проучвания честотата на нежеланите реакции, особено кашлица, е по-ниска по време на лечение с кандесартан цилексетил/хидрохлоротиазид отколкото с комбинации от АСЕ инхибитори и хидрохлоротиазид.</w:t>
      </w:r>
    </w:p>
    <w:p w14:paraId="77E9AE7A" w14:textId="77777777" w:rsidR="00A235DC" w:rsidRPr="00A235DC" w:rsidRDefault="00A235DC" w:rsidP="00A235DC">
      <w:pPr>
        <w:spacing w:line="240" w:lineRule="auto"/>
        <w:rPr>
          <w:rFonts w:eastAsia="Times New Roman" w:cs="Arial"/>
          <w:color w:val="000000"/>
          <w:szCs w:val="20"/>
          <w:lang w:eastAsia="bg-BG"/>
        </w:rPr>
      </w:pPr>
    </w:p>
    <w:p w14:paraId="21D3DBCB" w14:textId="23DD3291"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В две клинични проучвания (рандомизирани, двойно-слепи, плацебо контролирани , паралелни групи), включващи 275 и 1524 рандомизирани пациенти, съответно кандесартан цилексетил/ хидрохлоротиазид комбинации </w:t>
      </w:r>
      <w:r w:rsidRPr="00A235DC">
        <w:rPr>
          <w:rFonts w:eastAsia="Times New Roman" w:cs="Arial"/>
          <w:i/>
          <w:iCs/>
          <w:color w:val="000000"/>
          <w:szCs w:val="20"/>
          <w:lang w:eastAsia="bg-BG"/>
        </w:rPr>
        <w:t>32</w:t>
      </w:r>
      <w:r w:rsidRPr="00A235DC">
        <w:rPr>
          <w:rFonts w:eastAsia="Times New Roman" w:cs="Arial"/>
          <w:color w:val="000000"/>
          <w:szCs w:val="20"/>
          <w:lang w:eastAsia="bg-BG"/>
        </w:rPr>
        <w:t xml:space="preserve"> </w:t>
      </w:r>
      <w:r w:rsidRPr="00A235DC">
        <w:rPr>
          <w:rFonts w:eastAsia="Times New Roman" w:cs="Arial"/>
          <w:color w:val="000000"/>
          <w:szCs w:val="20"/>
          <w:lang w:val="en-US"/>
        </w:rPr>
        <w:t>mg</w:t>
      </w:r>
      <w:r w:rsidRPr="00A235DC">
        <w:rPr>
          <w:rFonts w:eastAsia="Times New Roman" w:cs="Arial"/>
          <w:color w:val="000000"/>
          <w:szCs w:val="20"/>
          <w:lang w:val="ru-RU"/>
        </w:rPr>
        <w:t xml:space="preserve">/12,5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32 </w:t>
      </w:r>
      <w:r w:rsidRPr="00A235DC">
        <w:rPr>
          <w:rFonts w:eastAsia="Times New Roman" w:cs="Arial"/>
          <w:color w:val="000000"/>
          <w:szCs w:val="20"/>
          <w:lang w:val="en-US"/>
        </w:rPr>
        <w:t>mg</w:t>
      </w:r>
      <w:r w:rsidRPr="00A235DC">
        <w:rPr>
          <w:rFonts w:eastAsia="Times New Roman" w:cs="Arial"/>
          <w:color w:val="000000"/>
          <w:szCs w:val="20"/>
          <w:lang w:val="ru-RU"/>
        </w:rPr>
        <w:t xml:space="preserve">/25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довели до понижение на кръвното налягане съответно с 22/15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val="en-US"/>
        </w:rPr>
        <w:t>and</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21/14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w:t>
      </w:r>
      <w:r w:rsidRPr="00A235DC">
        <w:rPr>
          <w:rFonts w:eastAsia="Times New Roman" w:cs="Arial"/>
          <w:color w:val="000000"/>
          <w:szCs w:val="20"/>
          <w:lang w:eastAsia="bg-BG"/>
        </w:rPr>
        <w:lastRenderedPageBreak/>
        <w:t>комбинациите са били значително по- ефективни отколкото всеки от компонентите по отделно.</w:t>
      </w:r>
    </w:p>
    <w:p w14:paraId="2943A9FE" w14:textId="77777777" w:rsidR="00A235DC" w:rsidRPr="00A235DC" w:rsidRDefault="00A235DC" w:rsidP="00A235DC">
      <w:pPr>
        <w:spacing w:line="240" w:lineRule="auto"/>
        <w:rPr>
          <w:rFonts w:eastAsia="Times New Roman" w:cs="Arial"/>
          <w:color w:val="000000"/>
          <w:szCs w:val="20"/>
          <w:lang w:eastAsia="bg-BG"/>
        </w:rPr>
      </w:pPr>
    </w:p>
    <w:p w14:paraId="57A3B7A9" w14:textId="26DDE269"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При рандомизирано, двойно сляпо клинично проучване с паралелни групи, включващо 1975 рандомизирани пациенти с недостатъчно добър контрол на хипертонията посредством 32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кандесартан цилексетил веднъж дневно, добавянето на 12,5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или 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хидрохлоротиазид довело до допълнителна редукция на кръвното налягане. Комбинацията кандесартан цилексетил/ хидрохлоротиазид 32 </w:t>
      </w:r>
      <w:r w:rsidRPr="00A235DC">
        <w:rPr>
          <w:rFonts w:eastAsia="Times New Roman" w:cs="Arial"/>
          <w:color w:val="000000"/>
          <w:szCs w:val="20"/>
          <w:lang w:val="en-US"/>
        </w:rPr>
        <w:t>mg</w:t>
      </w:r>
      <w:r w:rsidRPr="00A235DC">
        <w:rPr>
          <w:rFonts w:eastAsia="Times New Roman" w:cs="Arial"/>
          <w:color w:val="000000"/>
          <w:szCs w:val="20"/>
          <w:lang w:val="ru-RU"/>
        </w:rPr>
        <w:t xml:space="preserve">/25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е била значително по-ефективна от в сравнение с комбинацията 32 </w:t>
      </w:r>
      <w:r w:rsidRPr="00A235DC">
        <w:rPr>
          <w:rFonts w:eastAsia="Times New Roman" w:cs="Arial"/>
          <w:color w:val="000000"/>
          <w:szCs w:val="20"/>
          <w:lang w:val="en-US"/>
        </w:rPr>
        <w:t>mg</w:t>
      </w:r>
      <w:r w:rsidRPr="00A235DC">
        <w:rPr>
          <w:rFonts w:eastAsia="Times New Roman" w:cs="Arial"/>
          <w:color w:val="000000"/>
          <w:szCs w:val="20"/>
          <w:lang w:val="ru-RU"/>
        </w:rPr>
        <w:t xml:space="preserve">/12,5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средното крайно понижение на кръвното налягане съответно с 16/10 </w:t>
      </w:r>
      <w:r w:rsidRPr="00A235DC">
        <w:rPr>
          <w:rFonts w:eastAsia="Times New Roman" w:cs="Arial"/>
          <w:color w:val="000000"/>
          <w:szCs w:val="20"/>
          <w:lang w:val="en-US"/>
        </w:rPr>
        <w:t>mmHg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13/9 </w:t>
      </w:r>
      <w:r w:rsidRPr="00A235DC">
        <w:rPr>
          <w:rFonts w:eastAsia="Times New Roman" w:cs="Arial"/>
          <w:color w:val="000000"/>
          <w:szCs w:val="20"/>
          <w:lang w:val="en-US"/>
        </w:rPr>
        <w:t>mmHg</w:t>
      </w:r>
      <w:r w:rsidRPr="00A235DC">
        <w:rPr>
          <w:rFonts w:eastAsia="Times New Roman" w:cs="Arial"/>
          <w:color w:val="000000"/>
          <w:szCs w:val="20"/>
          <w:lang w:val="ru-RU"/>
        </w:rPr>
        <w:t>.</w:t>
      </w:r>
    </w:p>
    <w:p w14:paraId="17A211EA" w14:textId="77777777" w:rsidR="00A235DC" w:rsidRPr="00A235DC" w:rsidRDefault="00A235DC" w:rsidP="00A235DC">
      <w:pPr>
        <w:spacing w:line="240" w:lineRule="auto"/>
        <w:rPr>
          <w:rFonts w:eastAsia="Times New Roman" w:cs="Arial"/>
          <w:color w:val="000000"/>
          <w:szCs w:val="20"/>
          <w:lang w:eastAsia="bg-BG"/>
        </w:rPr>
      </w:pPr>
    </w:p>
    <w:p w14:paraId="3EC9C216" w14:textId="5AD77B4D"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Кандесартан цилексетил/хидрохлоротиазид е със сходна ефективност при пациентите независимо от възрастта и пола.</w:t>
      </w:r>
    </w:p>
    <w:p w14:paraId="79DBEB7F" w14:textId="77777777" w:rsidR="00A235DC" w:rsidRPr="00A235DC" w:rsidRDefault="00A235DC" w:rsidP="00A235DC">
      <w:pPr>
        <w:spacing w:line="240" w:lineRule="auto"/>
        <w:rPr>
          <w:rFonts w:eastAsia="Times New Roman" w:cs="Arial"/>
          <w:color w:val="000000"/>
          <w:szCs w:val="20"/>
          <w:lang w:eastAsia="bg-BG"/>
        </w:rPr>
      </w:pPr>
    </w:p>
    <w:p w14:paraId="5D278ADA" w14:textId="3F9608C9"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Понастоящем липсват данни за употребата на кандесартан цилексетил/хидрохлоротиазид при пациенти с бъбречно заболяване/нефропатия, понижена функция на лявата камера/застойна сърдечна недостатъчност и след миокарден инфаркт.</w:t>
      </w:r>
    </w:p>
    <w:p w14:paraId="13AD4216" w14:textId="77777777" w:rsidR="00A235DC" w:rsidRPr="00A235DC" w:rsidRDefault="00A235DC" w:rsidP="00A235DC">
      <w:pPr>
        <w:spacing w:line="240" w:lineRule="auto"/>
        <w:rPr>
          <w:rFonts w:eastAsia="Times New Roman" w:cs="Arial"/>
          <w:color w:val="000000"/>
          <w:szCs w:val="20"/>
          <w:lang w:eastAsia="bg-BG"/>
        </w:rPr>
      </w:pPr>
    </w:p>
    <w:p w14:paraId="5106A443" w14:textId="04E6573C"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Две големи рандомизирани контролирани проучвания - </w:t>
      </w:r>
      <w:r w:rsidRPr="00A235DC">
        <w:rPr>
          <w:rFonts w:eastAsia="Times New Roman" w:cs="Arial"/>
          <w:color w:val="000000"/>
          <w:szCs w:val="20"/>
          <w:lang w:val="en-US"/>
        </w:rPr>
        <w:t>ONTARGET</w:t>
      </w:r>
      <w:r w:rsidRPr="00A235DC">
        <w:rPr>
          <w:rFonts w:eastAsia="Times New Roman" w:cs="Arial"/>
          <w:color w:val="000000"/>
          <w:szCs w:val="20"/>
        </w:rPr>
        <w:t xml:space="preserve"> (</w:t>
      </w:r>
      <w:r w:rsidRPr="00A235DC">
        <w:rPr>
          <w:rFonts w:eastAsia="Times New Roman" w:cs="Arial"/>
          <w:color w:val="000000"/>
          <w:szCs w:val="20"/>
          <w:lang w:val="en-US"/>
        </w:rPr>
        <w:t>Ongoing</w:t>
      </w:r>
      <w:r w:rsidRPr="00A235DC">
        <w:rPr>
          <w:rFonts w:eastAsia="Times New Roman" w:cs="Arial"/>
          <w:color w:val="000000"/>
          <w:szCs w:val="20"/>
        </w:rPr>
        <w:t xml:space="preserve"> </w:t>
      </w:r>
      <w:proofErr w:type="spellStart"/>
      <w:r w:rsidRPr="00A235DC">
        <w:rPr>
          <w:rFonts w:eastAsia="Times New Roman" w:cs="Arial"/>
          <w:color w:val="000000"/>
          <w:szCs w:val="20"/>
          <w:lang w:val="en-US"/>
        </w:rPr>
        <w:t>Telmisartan</w:t>
      </w:r>
      <w:proofErr w:type="spellEnd"/>
      <w:r w:rsidRPr="00A235DC">
        <w:rPr>
          <w:rFonts w:eastAsia="Times New Roman" w:cs="Arial"/>
          <w:color w:val="000000"/>
          <w:szCs w:val="20"/>
        </w:rPr>
        <w:t xml:space="preserve"> </w:t>
      </w:r>
      <w:r w:rsidRPr="00A235DC">
        <w:rPr>
          <w:rFonts w:eastAsia="Times New Roman" w:cs="Arial"/>
          <w:color w:val="000000"/>
          <w:szCs w:val="20"/>
          <w:lang w:val="en-US"/>
        </w:rPr>
        <w:t>Alone</w:t>
      </w:r>
      <w:r w:rsidRPr="00A235DC">
        <w:rPr>
          <w:rFonts w:eastAsia="Times New Roman" w:cs="Arial"/>
          <w:color w:val="000000"/>
          <w:szCs w:val="20"/>
        </w:rPr>
        <w:t xml:space="preserve"> </w:t>
      </w:r>
      <w:r w:rsidRPr="00A235DC">
        <w:rPr>
          <w:rFonts w:eastAsia="Times New Roman" w:cs="Arial"/>
          <w:color w:val="000000"/>
          <w:szCs w:val="20"/>
          <w:lang w:val="en-US"/>
        </w:rPr>
        <w:t>and</w:t>
      </w:r>
      <w:r w:rsidRPr="00A235DC">
        <w:rPr>
          <w:rFonts w:eastAsia="Times New Roman" w:cs="Arial"/>
          <w:color w:val="000000"/>
          <w:szCs w:val="20"/>
        </w:rPr>
        <w:t xml:space="preserve"> </w:t>
      </w:r>
      <w:r w:rsidRPr="00A235DC">
        <w:rPr>
          <w:rFonts w:eastAsia="Times New Roman" w:cs="Arial"/>
          <w:color w:val="000000"/>
          <w:szCs w:val="20"/>
          <w:lang w:val="en-US"/>
        </w:rPr>
        <w:t>in</w:t>
      </w:r>
      <w:r w:rsidRPr="00A235DC">
        <w:rPr>
          <w:rFonts w:eastAsia="Times New Roman" w:cs="Arial"/>
          <w:color w:val="000000"/>
          <w:szCs w:val="20"/>
        </w:rPr>
        <w:t xml:space="preserve"> </w:t>
      </w:r>
      <w:r w:rsidRPr="00A235DC">
        <w:rPr>
          <w:rFonts w:eastAsia="Times New Roman" w:cs="Arial"/>
          <w:color w:val="000000"/>
          <w:szCs w:val="20"/>
          <w:lang w:val="en-US"/>
        </w:rPr>
        <w:t>combination</w:t>
      </w:r>
      <w:r w:rsidRPr="00A235DC">
        <w:rPr>
          <w:rFonts w:eastAsia="Times New Roman" w:cs="Arial"/>
          <w:color w:val="000000"/>
          <w:szCs w:val="20"/>
        </w:rPr>
        <w:t xml:space="preserve"> </w:t>
      </w:r>
      <w:r w:rsidRPr="00A235DC">
        <w:rPr>
          <w:rFonts w:eastAsia="Times New Roman" w:cs="Arial"/>
          <w:color w:val="000000"/>
          <w:szCs w:val="20"/>
          <w:lang w:val="en-US"/>
        </w:rPr>
        <w:t>with</w:t>
      </w:r>
      <w:r w:rsidRPr="00A235DC">
        <w:rPr>
          <w:rFonts w:eastAsia="Times New Roman" w:cs="Arial"/>
          <w:color w:val="000000"/>
          <w:szCs w:val="20"/>
        </w:rPr>
        <w:t xml:space="preserve"> </w:t>
      </w:r>
      <w:r w:rsidRPr="00A235DC">
        <w:rPr>
          <w:rFonts w:eastAsia="Times New Roman" w:cs="Arial"/>
          <w:color w:val="000000"/>
          <w:szCs w:val="20"/>
          <w:lang w:val="en-US"/>
        </w:rPr>
        <w:t>Ramipril</w:t>
      </w:r>
      <w:r w:rsidRPr="00A235DC">
        <w:rPr>
          <w:rFonts w:eastAsia="Times New Roman" w:cs="Arial"/>
          <w:color w:val="000000"/>
          <w:szCs w:val="20"/>
        </w:rPr>
        <w:t xml:space="preserve"> </w:t>
      </w:r>
      <w:r w:rsidRPr="00A235DC">
        <w:rPr>
          <w:rFonts w:eastAsia="Times New Roman" w:cs="Arial"/>
          <w:color w:val="000000"/>
          <w:szCs w:val="20"/>
          <w:lang w:val="en-US"/>
        </w:rPr>
        <w:t>Global</w:t>
      </w:r>
      <w:r w:rsidRPr="00A235DC">
        <w:rPr>
          <w:rFonts w:eastAsia="Times New Roman" w:cs="Arial"/>
          <w:color w:val="000000"/>
          <w:szCs w:val="20"/>
        </w:rPr>
        <w:t xml:space="preserve"> </w:t>
      </w:r>
      <w:r w:rsidRPr="00A235DC">
        <w:rPr>
          <w:rFonts w:eastAsia="Times New Roman" w:cs="Arial"/>
          <w:color w:val="000000"/>
          <w:szCs w:val="20"/>
          <w:lang w:val="en-US"/>
        </w:rPr>
        <w:t>Endpoint</w:t>
      </w:r>
      <w:r w:rsidRPr="00A235DC">
        <w:rPr>
          <w:rFonts w:eastAsia="Times New Roman" w:cs="Arial"/>
          <w:color w:val="000000"/>
          <w:szCs w:val="20"/>
        </w:rPr>
        <w:t xml:space="preserve"> </w:t>
      </w:r>
      <w:r w:rsidRPr="00A235DC">
        <w:rPr>
          <w:rFonts w:eastAsia="Times New Roman" w:cs="Arial"/>
          <w:color w:val="000000"/>
          <w:szCs w:val="20"/>
          <w:lang w:val="en-US"/>
        </w:rPr>
        <w:t>Trial</w:t>
      </w:r>
      <w:r w:rsidRPr="00A235DC">
        <w:rPr>
          <w:rFonts w:eastAsia="Times New Roman" w:cs="Arial"/>
          <w:color w:val="000000"/>
          <w:szCs w:val="20"/>
        </w:rPr>
        <w:t xml:space="preserve"> - </w:t>
      </w:r>
      <w:r w:rsidRPr="00A235DC">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A235DC">
        <w:rPr>
          <w:rFonts w:eastAsia="Times New Roman" w:cs="Arial"/>
          <w:color w:val="000000"/>
          <w:szCs w:val="20"/>
          <w:lang w:val="en-US"/>
        </w:rPr>
        <w:t>VA</w:t>
      </w:r>
      <w:r w:rsidRPr="00A235DC">
        <w:rPr>
          <w:rFonts w:eastAsia="Times New Roman" w:cs="Arial"/>
          <w:color w:val="000000"/>
          <w:szCs w:val="20"/>
        </w:rPr>
        <w:t xml:space="preserve"> </w:t>
      </w:r>
      <w:r w:rsidRPr="00A235DC">
        <w:rPr>
          <w:rFonts w:eastAsia="Times New Roman" w:cs="Arial"/>
          <w:color w:val="000000"/>
          <w:szCs w:val="20"/>
          <w:lang w:val="en-US"/>
        </w:rPr>
        <w:t>NEPHRON</w:t>
      </w:r>
      <w:r w:rsidRPr="00A235DC">
        <w:rPr>
          <w:rFonts w:eastAsia="Times New Roman" w:cs="Arial"/>
          <w:color w:val="000000"/>
          <w:szCs w:val="20"/>
        </w:rPr>
        <w:t>-</w:t>
      </w:r>
      <w:r w:rsidRPr="00A235DC">
        <w:rPr>
          <w:rFonts w:eastAsia="Times New Roman" w:cs="Arial"/>
          <w:color w:val="000000"/>
          <w:szCs w:val="20"/>
          <w:lang w:val="en-US"/>
        </w:rPr>
        <w:t>D</w:t>
      </w:r>
      <w:r w:rsidRPr="00A235DC">
        <w:rPr>
          <w:rFonts w:eastAsia="Times New Roman" w:cs="Arial"/>
          <w:color w:val="000000"/>
          <w:szCs w:val="20"/>
        </w:rPr>
        <w:t xml:space="preserve"> </w:t>
      </w:r>
      <w:r w:rsidRPr="00A235DC">
        <w:rPr>
          <w:rFonts w:eastAsia="Times New Roman" w:cs="Arial"/>
          <w:color w:val="000000"/>
          <w:szCs w:val="20"/>
          <w:lang w:eastAsia="bg-BG"/>
        </w:rPr>
        <w:t>(Клинично проучване свързано с нефрология при диабет, проведено от Министерство по въпросите на ветераните) - проучват употребата на комбинацията от АСЕ инхибитор и АРБ.</w:t>
      </w:r>
    </w:p>
    <w:p w14:paraId="06D87ABB"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val="en-US"/>
        </w:rPr>
        <w:t>ONTARGET</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A235DC">
        <w:rPr>
          <w:rFonts w:eastAsia="Times New Roman" w:cs="Arial"/>
          <w:color w:val="000000"/>
          <w:szCs w:val="20"/>
          <w:lang w:val="en-US"/>
        </w:rPr>
        <w:t>VA</w:t>
      </w:r>
      <w:r w:rsidRPr="00A235DC">
        <w:rPr>
          <w:rFonts w:eastAsia="Times New Roman" w:cs="Arial"/>
          <w:color w:val="000000"/>
          <w:szCs w:val="20"/>
          <w:lang w:val="ru-RU"/>
        </w:rPr>
        <w:t xml:space="preserve"> </w:t>
      </w:r>
      <w:r w:rsidRPr="00A235DC">
        <w:rPr>
          <w:rFonts w:eastAsia="Times New Roman" w:cs="Arial"/>
          <w:color w:val="000000"/>
          <w:szCs w:val="20"/>
          <w:lang w:val="en-US"/>
        </w:rPr>
        <w:t>NEPHRON</w:t>
      </w:r>
      <w:r w:rsidRPr="00A235DC">
        <w:rPr>
          <w:rFonts w:eastAsia="Times New Roman" w:cs="Arial"/>
          <w:color w:val="000000"/>
          <w:szCs w:val="20"/>
          <w:lang w:val="ru-RU"/>
        </w:rPr>
        <w:t>-</w:t>
      </w:r>
      <w:r w:rsidRPr="00A235DC">
        <w:rPr>
          <w:rFonts w:eastAsia="Times New Roman" w:cs="Arial"/>
          <w:color w:val="000000"/>
          <w:szCs w:val="20"/>
          <w:lang w:val="en-US"/>
        </w:rPr>
        <w:t>D</w:t>
      </w:r>
      <w:r w:rsidRPr="00A235DC">
        <w:rPr>
          <w:rFonts w:eastAsia="Times New Roman" w:cs="Arial"/>
          <w:color w:val="000000"/>
          <w:szCs w:val="20"/>
          <w:lang w:val="ru-RU"/>
        </w:rPr>
        <w:t xml:space="preserve"> </w:t>
      </w:r>
      <w:r w:rsidRPr="00A235DC">
        <w:rPr>
          <w:rFonts w:eastAsia="Times New Roman" w:cs="Arial"/>
          <w:color w:val="000000"/>
          <w:szCs w:val="20"/>
          <w:lang w:eastAsia="bg-BG"/>
        </w:rPr>
        <w:t>е проучване при пациенти със захарен диабет тип 2 и диабетна нефропатия.</w:t>
      </w:r>
    </w:p>
    <w:p w14:paraId="39E909FD"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A235DC">
        <w:rPr>
          <w:rFonts w:eastAsia="Times New Roman" w:cs="Arial"/>
          <w:color w:val="000000"/>
          <w:szCs w:val="2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АРБ.</w:t>
      </w:r>
    </w:p>
    <w:p w14:paraId="3C30EF46"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АСЕ инхибитори и АРБ следователно не трябва да се използват едновременно при пациенти с диабетна нефропатия (вж. точка 4.4).</w:t>
      </w:r>
    </w:p>
    <w:p w14:paraId="3C582B65"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val="en-US"/>
        </w:rPr>
        <w:t>ALTITUDE</w:t>
      </w:r>
      <w:r w:rsidRPr="00A235DC">
        <w:rPr>
          <w:rFonts w:eastAsia="Times New Roman" w:cs="Arial"/>
          <w:color w:val="000000"/>
          <w:szCs w:val="20"/>
          <w:lang w:val="ru-RU"/>
        </w:rPr>
        <w:t xml:space="preserve"> </w:t>
      </w:r>
      <w:r w:rsidRPr="00A235DC">
        <w:rPr>
          <w:rFonts w:eastAsia="Times New Roman" w:cs="Arial"/>
          <w:color w:val="000000"/>
          <w:szCs w:val="2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B06DCB4" w14:textId="77777777" w:rsidR="00A235DC" w:rsidRPr="00A235DC" w:rsidRDefault="00A235DC" w:rsidP="00A235DC">
      <w:pPr>
        <w:rPr>
          <w:rFonts w:eastAsia="Times New Roman" w:cs="Arial"/>
          <w:color w:val="000000"/>
          <w:szCs w:val="20"/>
          <w:lang w:eastAsia="bg-BG"/>
        </w:rPr>
      </w:pPr>
    </w:p>
    <w:p w14:paraId="7A4CE1C1" w14:textId="77777777" w:rsidR="00A235DC" w:rsidRPr="00A235DC" w:rsidRDefault="00A235DC" w:rsidP="00A235DC">
      <w:pPr>
        <w:rPr>
          <w:rFonts w:eastAsia="Times New Roman" w:cs="Arial"/>
          <w:sz w:val="28"/>
          <w:szCs w:val="24"/>
        </w:rPr>
      </w:pPr>
      <w:r w:rsidRPr="00A235DC">
        <w:rPr>
          <w:rFonts w:eastAsia="Times New Roman" w:cs="Arial"/>
          <w:color w:val="000000"/>
          <w:szCs w:val="2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w:t>
      </w:r>
      <w:r w:rsidRPr="00A235DC">
        <w:rPr>
          <w:rFonts w:eastAsia="Times New Roman" w:cs="Arial"/>
          <w:color w:val="000000"/>
          <w:szCs w:val="20"/>
          <w:lang w:eastAsia="bg-BG"/>
        </w:rPr>
        <w:lastRenderedPageBreak/>
        <w:t xml:space="preserve">на СКК, и популация от съответно 1 430 833 и 172 462 подходящи контроли. Високата употреба на ХХТЗ (кумулативно ≥50 000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е свързана с коригиран </w:t>
      </w:r>
      <w:r w:rsidRPr="00A235DC">
        <w:rPr>
          <w:rFonts w:eastAsia="Times New Roman" w:cs="Arial"/>
          <w:color w:val="000000"/>
          <w:szCs w:val="20"/>
          <w:lang w:val="en-US"/>
        </w:rPr>
        <w:t>OR</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 отговор с коригиран </w:t>
      </w:r>
      <w:r w:rsidRPr="00A235DC">
        <w:rPr>
          <w:rFonts w:eastAsia="Times New Roman" w:cs="Arial"/>
          <w:color w:val="000000"/>
          <w:szCs w:val="20"/>
          <w:lang w:val="en-US"/>
        </w:rPr>
        <w:t>OR</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2,1 (95% ДИ: 1,7-2,6), нарастващ до </w:t>
      </w:r>
      <w:r w:rsidRPr="00A235DC">
        <w:rPr>
          <w:rFonts w:eastAsia="Times New Roman" w:cs="Arial"/>
          <w:color w:val="000000"/>
          <w:szCs w:val="20"/>
          <w:lang w:val="en-US"/>
        </w:rPr>
        <w:t>OR</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3,9 (3,0-4,9) за висока употреба (~ 25 000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и </w:t>
      </w:r>
      <w:r w:rsidRPr="00A235DC">
        <w:rPr>
          <w:rFonts w:eastAsia="Times New Roman" w:cs="Arial"/>
          <w:color w:val="000000"/>
          <w:szCs w:val="20"/>
          <w:lang w:val="en-US"/>
        </w:rPr>
        <w:t>OR</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7,7 (5,7-10,5) за най-високата кумулативна доза (~ 100 000 </w:t>
      </w:r>
      <w:r w:rsidRPr="00A235DC">
        <w:rPr>
          <w:rFonts w:eastAsia="Times New Roman" w:cs="Arial"/>
          <w:color w:val="000000"/>
          <w:szCs w:val="20"/>
          <w:lang w:val="en-US"/>
        </w:rPr>
        <w:t>mg</w:t>
      </w:r>
      <w:r w:rsidRPr="00A235DC">
        <w:rPr>
          <w:rFonts w:eastAsia="Times New Roman" w:cs="Arial"/>
          <w:color w:val="000000"/>
          <w:szCs w:val="20"/>
          <w:lang w:val="ru-RU"/>
        </w:rPr>
        <w:t xml:space="preserve">) </w:t>
      </w:r>
      <w:r w:rsidRPr="00A235DC">
        <w:rPr>
          <w:rFonts w:eastAsia="Times New Roman" w:cs="Arial"/>
          <w:color w:val="000000"/>
          <w:szCs w:val="20"/>
          <w:lang w:eastAsia="bg-BG"/>
        </w:rPr>
        <w:t>(вж. също точка 4.4).</w:t>
      </w:r>
    </w:p>
    <w:p w14:paraId="6DC44282" w14:textId="014DCD78" w:rsidR="00A235DC" w:rsidRPr="00A235DC" w:rsidRDefault="00A235DC" w:rsidP="00A235DC"/>
    <w:p w14:paraId="78DD93AA" w14:textId="6011F54A" w:rsidR="00B6672E" w:rsidRDefault="002C50EE" w:rsidP="00936AD0">
      <w:pPr>
        <w:pStyle w:val="Heading2"/>
      </w:pPr>
      <w:r>
        <w:t>5.2. Фармакокинетични свойства</w:t>
      </w:r>
    </w:p>
    <w:p w14:paraId="2BFC04FB" w14:textId="7E57D6A3" w:rsidR="00A235DC" w:rsidRDefault="00A235DC" w:rsidP="00A235DC"/>
    <w:p w14:paraId="00FAE9A2"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Едновременното приложение на кандесартан цилексетил и хидрохлоротиазид няма клинично значимо въздействие върху фармакокинетиката на всеки от двата лекарствени продукта поотделно.</w:t>
      </w:r>
    </w:p>
    <w:p w14:paraId="4A94FFF1" w14:textId="77777777" w:rsidR="00A235DC" w:rsidRPr="00A235DC" w:rsidRDefault="00A235DC" w:rsidP="00A235DC">
      <w:pPr>
        <w:spacing w:line="240" w:lineRule="auto"/>
        <w:rPr>
          <w:rFonts w:eastAsia="Times New Roman" w:cs="Arial"/>
          <w:i/>
          <w:iCs/>
          <w:color w:val="000000"/>
          <w:szCs w:val="20"/>
          <w:u w:val="single"/>
          <w:lang w:eastAsia="bg-BG"/>
        </w:rPr>
      </w:pPr>
    </w:p>
    <w:p w14:paraId="34E194EA" w14:textId="0E82CA3B"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u w:val="single"/>
          <w:lang w:eastAsia="bg-BG"/>
        </w:rPr>
        <w:t>Абсорбиия и разпределение</w:t>
      </w:r>
    </w:p>
    <w:p w14:paraId="105EA50C" w14:textId="77777777" w:rsidR="00A235DC" w:rsidRPr="00A235DC" w:rsidRDefault="00A235DC" w:rsidP="00A235DC">
      <w:pPr>
        <w:spacing w:line="240" w:lineRule="auto"/>
        <w:rPr>
          <w:rFonts w:eastAsia="Times New Roman" w:cs="Arial"/>
          <w:i/>
          <w:iCs/>
          <w:color w:val="000000"/>
          <w:szCs w:val="20"/>
          <w:lang w:eastAsia="bg-BG"/>
        </w:rPr>
      </w:pPr>
    </w:p>
    <w:p w14:paraId="4D1A9D2A" w14:textId="512B9778"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Кандесартан цилексетил</w:t>
      </w:r>
    </w:p>
    <w:p w14:paraId="110C3688"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След перорално приложение кандесартан цилексетил се превръща в активната субстанция кандесартан. Абсолютната бионаличност на кандесартан след приложение на перорален разтвор, съдържащ кандесартан цилексетил е приблизително 40%. Относителната бионаличност на таблетната форма на кандесартан цилексетил в сравнение с перорален разтвор е приблизително 34% с много малка вариабилност. Средната максимална серумна концентрация (С</w:t>
      </w:r>
      <w:r w:rsidRPr="00A235DC">
        <w:rPr>
          <w:rFonts w:eastAsia="Times New Roman" w:cs="Arial"/>
          <w:color w:val="000000"/>
          <w:szCs w:val="20"/>
          <w:lang w:val="en-US"/>
        </w:rPr>
        <w:t>max</w:t>
      </w:r>
      <w:r w:rsidRPr="00A235DC">
        <w:rPr>
          <w:rFonts w:eastAsia="Times New Roman" w:cs="Arial"/>
          <w:color w:val="000000"/>
          <w:szCs w:val="20"/>
          <w:lang w:eastAsia="bg-BG"/>
        </w:rPr>
        <w:t xml:space="preserve">) се достига 3-4 часа след приема на таблетката. Серумните концентрации на кандесартан нарастват линейно с повишаването на дозите в границите на терапевтичния интервал. Не се наблюдават никакви свързани с пола разлики във фармакокинетиката на кандесартан. Площта под кривата на серумната концентрация във времето </w:t>
      </w:r>
      <w:r w:rsidRPr="00A235DC">
        <w:rPr>
          <w:rFonts w:eastAsia="Times New Roman" w:cs="Arial"/>
          <w:color w:val="000000"/>
          <w:szCs w:val="20"/>
          <w:lang w:val="ru-RU"/>
        </w:rPr>
        <w:t>(</w:t>
      </w:r>
      <w:r w:rsidRPr="00A235DC">
        <w:rPr>
          <w:rFonts w:eastAsia="Times New Roman" w:cs="Arial"/>
          <w:color w:val="000000"/>
          <w:szCs w:val="20"/>
          <w:lang w:val="en-US"/>
        </w:rPr>
        <w:t>AUC</w:t>
      </w:r>
      <w:r w:rsidRPr="00A235DC">
        <w:rPr>
          <w:rFonts w:eastAsia="Times New Roman" w:cs="Arial"/>
          <w:color w:val="000000"/>
          <w:szCs w:val="20"/>
          <w:lang w:val="ru-RU"/>
        </w:rPr>
        <w:t xml:space="preserve">) </w:t>
      </w:r>
      <w:r w:rsidRPr="00A235DC">
        <w:rPr>
          <w:rFonts w:eastAsia="Times New Roman" w:cs="Arial"/>
          <w:color w:val="000000"/>
          <w:szCs w:val="20"/>
          <w:lang w:eastAsia="bg-BG"/>
        </w:rPr>
        <w:t>на кандесартан не се повлиява значимо от храната.</w:t>
      </w:r>
    </w:p>
    <w:p w14:paraId="1C94A82B"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Кандесартан се свързва в голяма степен с плазмените белтъци (повече от 99%). Привидният обем иа разпределение на кандесартан е 0,1</w:t>
      </w:r>
      <w:r w:rsidRPr="00A235DC">
        <w:rPr>
          <w:rFonts w:eastAsia="Times New Roman" w:cs="Arial"/>
          <w:color w:val="000000"/>
          <w:szCs w:val="20"/>
          <w:lang w:val="ru-RU"/>
        </w:rPr>
        <w:t>1/</w:t>
      </w:r>
      <w:r w:rsidRPr="00A235DC">
        <w:rPr>
          <w:rFonts w:eastAsia="Times New Roman" w:cs="Arial"/>
          <w:color w:val="000000"/>
          <w:szCs w:val="20"/>
          <w:lang w:val="en-US"/>
        </w:rPr>
        <w:t>kg</w:t>
      </w:r>
      <w:r w:rsidRPr="00A235DC">
        <w:rPr>
          <w:rFonts w:eastAsia="Times New Roman" w:cs="Arial"/>
          <w:color w:val="000000"/>
          <w:szCs w:val="20"/>
          <w:lang w:val="ru-RU"/>
        </w:rPr>
        <w:t>.</w:t>
      </w:r>
    </w:p>
    <w:p w14:paraId="6C7127A5" w14:textId="77777777" w:rsidR="00A235DC" w:rsidRPr="00A235DC" w:rsidRDefault="00A235DC" w:rsidP="00A235DC">
      <w:pPr>
        <w:spacing w:line="240" w:lineRule="auto"/>
        <w:rPr>
          <w:rFonts w:eastAsia="Times New Roman" w:cs="Arial"/>
          <w:i/>
          <w:iCs/>
          <w:color w:val="000000"/>
          <w:szCs w:val="20"/>
          <w:lang w:eastAsia="bg-BG"/>
        </w:rPr>
      </w:pPr>
    </w:p>
    <w:p w14:paraId="0E044C45" w14:textId="19EE77A8"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Хидрохлоротиазид</w:t>
      </w:r>
    </w:p>
    <w:p w14:paraId="55EEB3F4"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Хидрохлоротиазид се абсорбира бързо от стомашно-чревния тракт с абсолютна бионаличност приблизително 70%. Едновременният прием на храна повишава абсорбцията с приблизително 15%. Бионаличността може да се понижи при пациенти със сърдечна недостатъчност и изразени отоци. Свързването с плазмените белтъци на хидрохлоротиазид е приблизително 60%. Привидният обем на разпределение е приблизително 0,8 </w:t>
      </w:r>
      <w:r w:rsidRPr="00A235DC">
        <w:rPr>
          <w:rFonts w:eastAsia="Times New Roman" w:cs="Arial"/>
          <w:color w:val="000000"/>
          <w:szCs w:val="20"/>
          <w:lang w:val="ru-RU"/>
        </w:rPr>
        <w:t>1/</w:t>
      </w:r>
      <w:r w:rsidRPr="00A235DC">
        <w:rPr>
          <w:rFonts w:eastAsia="Times New Roman" w:cs="Arial"/>
          <w:color w:val="000000"/>
          <w:szCs w:val="20"/>
          <w:lang w:val="en-US"/>
        </w:rPr>
        <w:t>kg</w:t>
      </w:r>
      <w:r w:rsidRPr="00A235DC">
        <w:rPr>
          <w:rFonts w:eastAsia="Times New Roman" w:cs="Arial"/>
          <w:color w:val="000000"/>
          <w:szCs w:val="20"/>
          <w:lang w:val="ru-RU"/>
        </w:rPr>
        <w:t>.</w:t>
      </w:r>
    </w:p>
    <w:p w14:paraId="547F223B" w14:textId="77777777" w:rsidR="00A235DC" w:rsidRPr="00A235DC" w:rsidRDefault="00A235DC" w:rsidP="00A235DC">
      <w:pPr>
        <w:spacing w:line="240" w:lineRule="auto"/>
        <w:rPr>
          <w:rFonts w:eastAsia="Times New Roman" w:cs="Arial"/>
          <w:i/>
          <w:iCs/>
          <w:color w:val="000000"/>
          <w:szCs w:val="20"/>
          <w:u w:val="single"/>
          <w:lang w:eastAsia="bg-BG"/>
        </w:rPr>
      </w:pPr>
    </w:p>
    <w:p w14:paraId="417A7D05" w14:textId="4C0AC6F2"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u w:val="single"/>
          <w:lang w:eastAsia="bg-BG"/>
        </w:rPr>
        <w:t>Биотрансформаиия и елиминиране</w:t>
      </w:r>
    </w:p>
    <w:p w14:paraId="3DC55B9C" w14:textId="77777777" w:rsidR="00A235DC" w:rsidRPr="00A235DC" w:rsidRDefault="00A235DC" w:rsidP="00A235DC">
      <w:pPr>
        <w:spacing w:line="240" w:lineRule="auto"/>
        <w:rPr>
          <w:rFonts w:eastAsia="Times New Roman" w:cs="Arial"/>
          <w:i/>
          <w:iCs/>
          <w:color w:val="000000"/>
          <w:szCs w:val="20"/>
          <w:lang w:eastAsia="bg-BG"/>
        </w:rPr>
      </w:pPr>
    </w:p>
    <w:p w14:paraId="131AF971" w14:textId="2C5115FD"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Кандесартан цилексетил</w:t>
      </w:r>
    </w:p>
    <w:p w14:paraId="0AD23A08" w14:textId="57583B33" w:rsidR="00A235DC" w:rsidRPr="00A235DC" w:rsidRDefault="00A235DC" w:rsidP="00A235DC">
      <w:pPr>
        <w:rPr>
          <w:rFonts w:eastAsia="Times New Roman" w:cs="Arial"/>
          <w:color w:val="000000"/>
          <w:szCs w:val="20"/>
          <w:lang w:eastAsia="bg-BG"/>
        </w:rPr>
      </w:pPr>
      <w:r w:rsidRPr="00A235DC">
        <w:rPr>
          <w:rFonts w:eastAsia="Times New Roman" w:cs="Arial"/>
          <w:color w:val="000000"/>
          <w:szCs w:val="20"/>
          <w:lang w:eastAsia="bg-BG"/>
        </w:rPr>
        <w:t xml:space="preserve">Кандесартан се елиминира главно непроменен чрез урината и жлъчката и само в малка степен се елиминира чрез чернодробния метаболизъм </w:t>
      </w:r>
      <w:r w:rsidRPr="00A235DC">
        <w:rPr>
          <w:rFonts w:eastAsia="Times New Roman" w:cs="Arial"/>
          <w:color w:val="000000"/>
          <w:szCs w:val="20"/>
          <w:lang w:val="ru-RU"/>
        </w:rPr>
        <w:t>(</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C</w:t>
      </w:r>
      <w:r w:rsidRPr="00A235DC">
        <w:rPr>
          <w:rFonts w:eastAsia="Times New Roman" w:cs="Arial"/>
          <w:color w:val="000000"/>
          <w:szCs w:val="20"/>
          <w:lang w:val="ru-RU"/>
        </w:rPr>
        <w:t xml:space="preserve">9). </w:t>
      </w:r>
      <w:r w:rsidRPr="00A235DC">
        <w:rPr>
          <w:rFonts w:eastAsia="Times New Roman" w:cs="Arial"/>
          <w:color w:val="000000"/>
          <w:szCs w:val="20"/>
          <w:lang w:eastAsia="bg-BG"/>
        </w:rPr>
        <w:t xml:space="preserve">Наличните проучвания за взаимодействия не показват никакъв ефект върху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C</w:t>
      </w:r>
      <w:r w:rsidRPr="00A235DC">
        <w:rPr>
          <w:rFonts w:eastAsia="Times New Roman" w:cs="Arial"/>
          <w:color w:val="000000"/>
          <w:szCs w:val="20"/>
          <w:lang w:val="ru-RU"/>
        </w:rPr>
        <w:t xml:space="preserve">9 </w:t>
      </w:r>
      <w:r w:rsidRPr="00A235DC">
        <w:rPr>
          <w:rFonts w:eastAsia="Times New Roman" w:cs="Arial"/>
          <w:color w:val="000000"/>
          <w:szCs w:val="20"/>
          <w:lang w:eastAsia="bg-BG"/>
        </w:rPr>
        <w:t xml:space="preserve">и </w:t>
      </w:r>
      <w:r w:rsidRPr="00A235DC">
        <w:rPr>
          <w:rFonts w:eastAsia="Times New Roman" w:cs="Arial"/>
          <w:color w:val="000000"/>
          <w:szCs w:val="20"/>
          <w:lang w:val="en-US"/>
        </w:rPr>
        <w:t>CYP</w:t>
      </w:r>
      <w:r w:rsidRPr="00A235DC">
        <w:rPr>
          <w:rFonts w:eastAsia="Times New Roman" w:cs="Arial"/>
          <w:color w:val="000000"/>
          <w:szCs w:val="20"/>
          <w:lang w:val="ru-RU"/>
        </w:rPr>
        <w:t>3</w:t>
      </w:r>
      <w:r w:rsidRPr="00A235DC">
        <w:rPr>
          <w:rFonts w:eastAsia="Times New Roman" w:cs="Arial"/>
          <w:color w:val="000000"/>
          <w:szCs w:val="20"/>
          <w:lang w:val="en-US"/>
        </w:rPr>
        <w:t>A</w:t>
      </w:r>
      <w:r w:rsidRPr="00A235DC">
        <w:rPr>
          <w:rFonts w:eastAsia="Times New Roman" w:cs="Arial"/>
          <w:color w:val="000000"/>
          <w:szCs w:val="20"/>
          <w:lang w:val="ru-RU"/>
        </w:rPr>
        <w:t xml:space="preserve">4. </w:t>
      </w:r>
      <w:r w:rsidRPr="00A235DC">
        <w:rPr>
          <w:rFonts w:eastAsia="Times New Roman" w:cs="Arial"/>
          <w:color w:val="000000"/>
          <w:szCs w:val="20"/>
          <w:lang w:eastAsia="bg-BG"/>
        </w:rPr>
        <w:t xml:space="preserve">Въз основа на </w:t>
      </w:r>
      <w:r w:rsidRPr="00A235DC">
        <w:rPr>
          <w:rFonts w:eastAsia="Times New Roman" w:cs="Arial"/>
          <w:i/>
          <w:iCs/>
          <w:color w:val="000000"/>
          <w:szCs w:val="20"/>
          <w:lang w:val="en-US"/>
        </w:rPr>
        <w:t>in</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vitro</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данните не трябва да се очаква никакво взаимодействие </w:t>
      </w:r>
      <w:r w:rsidRPr="00A235DC">
        <w:rPr>
          <w:rFonts w:eastAsia="Times New Roman" w:cs="Arial"/>
          <w:i/>
          <w:iCs/>
          <w:color w:val="000000"/>
          <w:szCs w:val="20"/>
          <w:lang w:val="en-US"/>
        </w:rPr>
        <w:t>in</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vivo</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с лекарствени продукти, чийто метаболизъм зависи от цитохром Р450 изоензимите </w:t>
      </w:r>
      <w:r w:rsidRPr="00A235DC">
        <w:rPr>
          <w:rFonts w:eastAsia="Times New Roman" w:cs="Arial"/>
          <w:color w:val="000000"/>
          <w:szCs w:val="20"/>
          <w:lang w:val="en-US"/>
        </w:rPr>
        <w:t>CYP</w:t>
      </w:r>
      <w:r w:rsidRPr="00A235DC">
        <w:rPr>
          <w:rFonts w:eastAsia="Times New Roman" w:cs="Arial"/>
          <w:color w:val="000000"/>
          <w:szCs w:val="20"/>
          <w:lang w:val="ru-RU"/>
        </w:rPr>
        <w:t>1</w:t>
      </w:r>
      <w:r w:rsidRPr="00A235DC">
        <w:rPr>
          <w:rFonts w:eastAsia="Times New Roman" w:cs="Arial"/>
          <w:color w:val="000000"/>
          <w:szCs w:val="20"/>
          <w:lang w:eastAsia="bg-BG"/>
        </w:rPr>
        <w:t xml:space="preserve">А2,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A</w:t>
      </w:r>
      <w:r w:rsidRPr="00A235DC">
        <w:rPr>
          <w:rFonts w:eastAsia="Times New Roman" w:cs="Arial"/>
          <w:color w:val="000000"/>
          <w:szCs w:val="20"/>
          <w:lang w:val="ru-RU"/>
        </w:rPr>
        <w:t xml:space="preserve">6, </w:t>
      </w:r>
      <w:r w:rsidRPr="00A235DC">
        <w:rPr>
          <w:rFonts w:eastAsia="Times New Roman" w:cs="Arial"/>
          <w:color w:val="000000"/>
          <w:szCs w:val="20"/>
          <w:lang w:val="en-US"/>
        </w:rPr>
        <w:lastRenderedPageBreak/>
        <w:t>CYP</w:t>
      </w:r>
      <w:r w:rsidRPr="00A235DC">
        <w:rPr>
          <w:rFonts w:eastAsia="Times New Roman" w:cs="Arial"/>
          <w:color w:val="000000"/>
          <w:szCs w:val="20"/>
          <w:lang w:val="ru-RU"/>
        </w:rPr>
        <w:t>2</w:t>
      </w:r>
      <w:r w:rsidRPr="00A235DC">
        <w:rPr>
          <w:rFonts w:eastAsia="Times New Roman" w:cs="Arial"/>
          <w:color w:val="000000"/>
          <w:szCs w:val="20"/>
          <w:lang w:val="en-US"/>
        </w:rPr>
        <w:t>C</w:t>
      </w:r>
      <w:r w:rsidRPr="00A235DC">
        <w:rPr>
          <w:rFonts w:eastAsia="Times New Roman" w:cs="Arial"/>
          <w:color w:val="000000"/>
          <w:szCs w:val="20"/>
          <w:lang w:val="ru-RU"/>
        </w:rPr>
        <w:t xml:space="preserve">9,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C</w:t>
      </w:r>
      <w:r w:rsidRPr="00A235DC">
        <w:rPr>
          <w:rFonts w:eastAsia="Times New Roman" w:cs="Arial"/>
          <w:color w:val="000000"/>
          <w:szCs w:val="20"/>
          <w:lang w:val="ru-RU"/>
        </w:rPr>
        <w:t xml:space="preserve">19,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D</w:t>
      </w:r>
      <w:r w:rsidRPr="00A235DC">
        <w:rPr>
          <w:rFonts w:eastAsia="Times New Roman" w:cs="Arial"/>
          <w:color w:val="000000"/>
          <w:szCs w:val="20"/>
          <w:lang w:val="ru-RU"/>
        </w:rPr>
        <w:t xml:space="preserve">6, </w:t>
      </w:r>
      <w:r w:rsidRPr="00A235DC">
        <w:rPr>
          <w:rFonts w:eastAsia="Times New Roman" w:cs="Arial"/>
          <w:color w:val="000000"/>
          <w:szCs w:val="20"/>
          <w:lang w:val="en-US"/>
        </w:rPr>
        <w:t>CYP</w:t>
      </w:r>
      <w:r w:rsidRPr="00A235DC">
        <w:rPr>
          <w:rFonts w:eastAsia="Times New Roman" w:cs="Arial"/>
          <w:color w:val="000000"/>
          <w:szCs w:val="20"/>
          <w:lang w:val="ru-RU"/>
        </w:rPr>
        <w:t>2</w:t>
      </w:r>
      <w:r w:rsidRPr="00A235DC">
        <w:rPr>
          <w:rFonts w:eastAsia="Times New Roman" w:cs="Arial"/>
          <w:color w:val="000000"/>
          <w:szCs w:val="20"/>
          <w:lang w:val="en-US"/>
        </w:rPr>
        <w:t>E</w:t>
      </w:r>
      <w:r w:rsidRPr="00A235DC">
        <w:rPr>
          <w:rFonts w:eastAsia="Times New Roman" w:cs="Arial"/>
          <w:color w:val="000000"/>
          <w:szCs w:val="20"/>
          <w:lang w:val="ru-RU"/>
        </w:rPr>
        <w:t xml:space="preserve">1 </w:t>
      </w:r>
      <w:r w:rsidRPr="00A235DC">
        <w:rPr>
          <w:rFonts w:eastAsia="Times New Roman" w:cs="Arial"/>
          <w:color w:val="000000"/>
          <w:szCs w:val="20"/>
          <w:lang w:eastAsia="bg-BG"/>
        </w:rPr>
        <w:t xml:space="preserve">или </w:t>
      </w:r>
      <w:r w:rsidRPr="00A235DC">
        <w:rPr>
          <w:rFonts w:eastAsia="Times New Roman" w:cs="Arial"/>
          <w:color w:val="000000"/>
          <w:szCs w:val="20"/>
          <w:lang w:val="en-US"/>
        </w:rPr>
        <w:t>CYP</w:t>
      </w:r>
      <w:r w:rsidRPr="00A235DC">
        <w:rPr>
          <w:rFonts w:eastAsia="Times New Roman" w:cs="Arial"/>
          <w:color w:val="000000"/>
          <w:szCs w:val="20"/>
          <w:lang w:val="ru-RU"/>
        </w:rPr>
        <w:t>3</w:t>
      </w:r>
      <w:r w:rsidRPr="00A235DC">
        <w:rPr>
          <w:rFonts w:eastAsia="Times New Roman" w:cs="Arial"/>
          <w:color w:val="000000"/>
          <w:szCs w:val="20"/>
          <w:lang w:eastAsia="bg-BG"/>
        </w:rPr>
        <w:t xml:space="preserve">А4. Терминалният полуживот </w:t>
      </w:r>
      <w:r w:rsidRPr="00A235DC">
        <w:rPr>
          <w:rFonts w:eastAsia="Times New Roman" w:cs="Arial"/>
          <w:color w:val="000000"/>
          <w:szCs w:val="20"/>
          <w:lang w:val="ru-RU"/>
        </w:rPr>
        <w:t>(</w:t>
      </w:r>
      <w:r w:rsidRPr="00A235DC">
        <w:rPr>
          <w:rFonts w:eastAsia="Times New Roman" w:cs="Arial"/>
          <w:color w:val="000000"/>
          <w:szCs w:val="20"/>
          <w:lang w:val="en-US"/>
        </w:rPr>
        <w:t>t</w:t>
      </w:r>
      <w:r w:rsidRPr="00A235DC">
        <w:rPr>
          <w:rFonts w:eastAsia="Times New Roman" w:cs="Arial"/>
          <w:color w:val="000000"/>
          <w:szCs w:val="20"/>
          <w:lang w:val="ru-RU"/>
        </w:rPr>
        <w:t xml:space="preserve">1/2) </w:t>
      </w:r>
      <w:r w:rsidRPr="00A235DC">
        <w:rPr>
          <w:rFonts w:eastAsia="Times New Roman" w:cs="Arial"/>
          <w:color w:val="000000"/>
          <w:szCs w:val="20"/>
          <w:lang w:eastAsia="bg-BG"/>
        </w:rPr>
        <w:t>на кандесартан е приблизително 9 часа. Няма никакво натрупване след многократно дозиране. Полуживотът на кандесартан остава непроменен (приблизително 9 часа) след приложение на кандесартан цилексетил в комбинация с хидрохлоротиазид. След повторни дози от комбинацията не настъпва никакво допълнително натрупване на кандесартан в сравнение с монотерапията.</w:t>
      </w:r>
    </w:p>
    <w:p w14:paraId="6EE3F0F6" w14:textId="399FFA9D" w:rsidR="00A235DC" w:rsidRPr="00A235DC" w:rsidRDefault="00A235DC" w:rsidP="00A235DC">
      <w:pPr>
        <w:rPr>
          <w:rFonts w:eastAsia="Times New Roman" w:cs="Arial"/>
          <w:color w:val="000000"/>
          <w:szCs w:val="20"/>
          <w:lang w:eastAsia="bg-BG"/>
        </w:rPr>
      </w:pPr>
    </w:p>
    <w:p w14:paraId="168B9C30"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Плазменият клирънс на кандесартан е около 0,37 </w:t>
      </w:r>
      <w:r w:rsidRPr="00A235DC">
        <w:rPr>
          <w:rFonts w:eastAsia="Times New Roman" w:cs="Arial"/>
          <w:color w:val="000000"/>
          <w:szCs w:val="20"/>
          <w:lang w:val="en-US"/>
        </w:rPr>
        <w:t>ml</w:t>
      </w:r>
      <w:r w:rsidRPr="00A235DC">
        <w:rPr>
          <w:rFonts w:eastAsia="Times New Roman" w:cs="Arial"/>
          <w:color w:val="000000"/>
          <w:szCs w:val="20"/>
          <w:lang w:val="ru-RU"/>
        </w:rPr>
        <w:t>/</w:t>
      </w:r>
      <w:r w:rsidRPr="00A235DC">
        <w:rPr>
          <w:rFonts w:eastAsia="Times New Roman" w:cs="Arial"/>
          <w:color w:val="000000"/>
          <w:szCs w:val="20"/>
          <w:lang w:val="en-US"/>
        </w:rPr>
        <w:t>min</w:t>
      </w:r>
      <w:r w:rsidRPr="00A235DC">
        <w:rPr>
          <w:rFonts w:eastAsia="Times New Roman" w:cs="Arial"/>
          <w:color w:val="000000"/>
          <w:szCs w:val="20"/>
          <w:lang w:val="ru-RU"/>
        </w:rPr>
        <w:t>/</w:t>
      </w:r>
      <w:r w:rsidRPr="00A235DC">
        <w:rPr>
          <w:rFonts w:eastAsia="Times New Roman" w:cs="Arial"/>
          <w:color w:val="000000"/>
          <w:szCs w:val="20"/>
          <w:lang w:val="en-US"/>
        </w:rPr>
        <w:t>kg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с бъбречен клирънс около 0,19 </w:t>
      </w:r>
      <w:r w:rsidRPr="00A235DC">
        <w:rPr>
          <w:rFonts w:eastAsia="Times New Roman" w:cs="Arial"/>
          <w:color w:val="000000"/>
          <w:szCs w:val="20"/>
          <w:lang w:val="en-US"/>
        </w:rPr>
        <w:t>ml</w:t>
      </w:r>
      <w:r w:rsidRPr="00A235DC">
        <w:rPr>
          <w:rFonts w:eastAsia="Times New Roman" w:cs="Arial"/>
          <w:color w:val="000000"/>
          <w:szCs w:val="20"/>
          <w:lang w:val="ru-RU"/>
        </w:rPr>
        <w:t>/</w:t>
      </w:r>
      <w:r w:rsidRPr="00A235DC">
        <w:rPr>
          <w:rFonts w:eastAsia="Times New Roman" w:cs="Arial"/>
          <w:color w:val="000000"/>
          <w:szCs w:val="20"/>
          <w:lang w:val="en-US"/>
        </w:rPr>
        <w:t>min</w:t>
      </w:r>
      <w:r w:rsidRPr="00A235DC">
        <w:rPr>
          <w:rFonts w:eastAsia="Times New Roman" w:cs="Arial"/>
          <w:color w:val="000000"/>
          <w:szCs w:val="20"/>
          <w:lang w:val="ru-RU"/>
        </w:rPr>
        <w:t>/</w:t>
      </w:r>
      <w:r w:rsidRPr="00A235DC">
        <w:rPr>
          <w:rFonts w:eastAsia="Times New Roman" w:cs="Arial"/>
          <w:color w:val="000000"/>
          <w:szCs w:val="20"/>
          <w:lang w:val="en-US"/>
        </w:rPr>
        <w:t>kg</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Бъбречното елиминиране на кандесартан е както чрез гломерулна филтрация, така и чрез активна тубулна секреция. След приложение на перорална доза </w:t>
      </w:r>
      <w:r w:rsidRPr="00A235DC">
        <w:rPr>
          <w:rFonts w:eastAsia="Times New Roman" w:cs="Arial"/>
          <w:color w:val="000000"/>
          <w:szCs w:val="20"/>
          <w:vertAlign w:val="superscript"/>
          <w:lang w:eastAsia="bg-BG"/>
        </w:rPr>
        <w:t>14</w:t>
      </w:r>
      <w:r w:rsidRPr="00A235DC">
        <w:rPr>
          <w:rFonts w:eastAsia="Times New Roman" w:cs="Arial"/>
          <w:color w:val="000000"/>
          <w:szCs w:val="20"/>
          <w:lang w:eastAsia="bg-BG"/>
        </w:rPr>
        <w:t>С-маркиран кандесартан цилексетил приблизително 26% от дозата се екскретират в урината под формата на кандесартан и 7% като неактивен метаболит, докато приблизително 56% от дозата се отделя с фецеса под формата на кандесартан и 10% като неактивен метаболит.</w:t>
      </w:r>
    </w:p>
    <w:p w14:paraId="59C49846" w14:textId="77777777" w:rsidR="00A235DC" w:rsidRPr="00A235DC" w:rsidRDefault="00A235DC" w:rsidP="00A235DC">
      <w:pPr>
        <w:spacing w:line="240" w:lineRule="auto"/>
        <w:rPr>
          <w:rFonts w:eastAsia="Times New Roman" w:cs="Arial"/>
          <w:i/>
          <w:iCs/>
          <w:color w:val="000000"/>
          <w:szCs w:val="20"/>
          <w:lang w:eastAsia="bg-BG"/>
        </w:rPr>
      </w:pPr>
    </w:p>
    <w:p w14:paraId="04F3A2C0" w14:textId="10FD2016"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Хидрохлоротиазид</w:t>
      </w:r>
    </w:p>
    <w:p w14:paraId="11B753E7"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Хидрохлоротиазид не се метаболизира и се екскретира почти напълно непроменен чрез активна гломерулна филтрация и активна тубулна секреция. Терминалният </w:t>
      </w:r>
      <w:r w:rsidRPr="00A235DC">
        <w:rPr>
          <w:rFonts w:eastAsia="Times New Roman" w:cs="Arial"/>
          <w:color w:val="000000"/>
          <w:szCs w:val="20"/>
          <w:lang w:val="en-US"/>
        </w:rPr>
        <w:t>t</w:t>
      </w:r>
      <w:r w:rsidRPr="00A235DC">
        <w:rPr>
          <w:rFonts w:eastAsia="Times New Roman" w:cs="Arial"/>
          <w:color w:val="000000"/>
          <w:szCs w:val="20"/>
          <w:lang w:val="ru-RU"/>
        </w:rPr>
        <w:t xml:space="preserve">1/2 </w:t>
      </w:r>
      <w:r w:rsidRPr="00A235DC">
        <w:rPr>
          <w:rFonts w:eastAsia="Times New Roman" w:cs="Arial"/>
          <w:color w:val="000000"/>
          <w:szCs w:val="20"/>
          <w:lang w:eastAsia="bg-BG"/>
        </w:rPr>
        <w:t>на хидрохлоротиазид е приблизително 8 часа. Приблизително 70% от пероралната доза се елиминират с урината в рамките на 48 часа. Полуживотът на хидрохлоротиазид остава непроменен (приблизително 8 часа) след приложението му в комбинация с кандесартан цилексетил. След повторно приложение на комбинацията не настъпва никакво допълнително натрупване на хидрохлоротиазид в сравнение с монотерапията.</w:t>
      </w:r>
    </w:p>
    <w:p w14:paraId="7311A496" w14:textId="77777777" w:rsidR="00A235DC" w:rsidRPr="00A235DC" w:rsidRDefault="00A235DC" w:rsidP="00A235DC">
      <w:pPr>
        <w:spacing w:line="240" w:lineRule="auto"/>
        <w:rPr>
          <w:rFonts w:eastAsia="Times New Roman" w:cs="Arial"/>
          <w:i/>
          <w:iCs/>
          <w:color w:val="000000"/>
          <w:szCs w:val="20"/>
          <w:u w:val="single"/>
          <w:lang w:eastAsia="bg-BG"/>
        </w:rPr>
      </w:pPr>
    </w:p>
    <w:p w14:paraId="411A8894" w14:textId="66129CAE"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u w:val="single"/>
          <w:lang w:eastAsia="bg-BG"/>
        </w:rPr>
        <w:t>Специални популации</w:t>
      </w:r>
    </w:p>
    <w:p w14:paraId="74B3043D" w14:textId="77777777" w:rsidR="00A235DC" w:rsidRPr="00A235DC" w:rsidRDefault="00A235DC" w:rsidP="00A235DC">
      <w:pPr>
        <w:spacing w:line="240" w:lineRule="auto"/>
        <w:rPr>
          <w:rFonts w:eastAsia="Times New Roman" w:cs="Arial"/>
          <w:i/>
          <w:iCs/>
          <w:color w:val="000000"/>
          <w:szCs w:val="20"/>
          <w:lang w:eastAsia="bg-BG"/>
        </w:rPr>
      </w:pPr>
    </w:p>
    <w:p w14:paraId="31F6706E" w14:textId="06E4057B"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Кандесартан цилексетил</w:t>
      </w:r>
    </w:p>
    <w:p w14:paraId="5643FD8F" w14:textId="77777777"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При хора в старческа възраст (над 65 години), С</w:t>
      </w:r>
      <w:r w:rsidRPr="00A235DC">
        <w:rPr>
          <w:rFonts w:eastAsia="Times New Roman" w:cs="Arial"/>
          <w:color w:val="000000"/>
          <w:szCs w:val="20"/>
          <w:lang w:val="en-US"/>
        </w:rPr>
        <w:t>m</w:t>
      </w:r>
      <w:r w:rsidRPr="00A235DC">
        <w:rPr>
          <w:rFonts w:eastAsia="Times New Roman" w:cs="Arial"/>
          <w:color w:val="000000"/>
          <w:szCs w:val="20"/>
          <w:lang w:eastAsia="bg-BG"/>
        </w:rPr>
        <w:t xml:space="preserve">ах и </w:t>
      </w:r>
      <w:r w:rsidRPr="00A235DC">
        <w:rPr>
          <w:rFonts w:eastAsia="Times New Roman" w:cs="Arial"/>
          <w:color w:val="000000"/>
          <w:szCs w:val="20"/>
          <w:lang w:val="en-US"/>
        </w:rPr>
        <w:t>AUC</w:t>
      </w:r>
      <w:r w:rsidRPr="00A235DC">
        <w:rPr>
          <w:rFonts w:eastAsia="Times New Roman" w:cs="Arial"/>
          <w:color w:val="000000"/>
          <w:szCs w:val="20"/>
          <w:lang w:val="ru-RU"/>
        </w:rPr>
        <w:t xml:space="preserve"> </w:t>
      </w:r>
      <w:r w:rsidRPr="00A235DC">
        <w:rPr>
          <w:rFonts w:eastAsia="Times New Roman" w:cs="Arial"/>
          <w:color w:val="000000"/>
          <w:szCs w:val="20"/>
          <w:lang w:eastAsia="bg-BG"/>
        </w:rPr>
        <w:t>на кандесартан се повишават със съответно приблизително 50% и 80% в сравнение с млади лица. Отговорът от страна на кръвното налягане обаче и честотата на нежеланите реакции са сходни след определена доза от кандесартан цилексетил/хидрохлоротиазид при млади пациенти и пациенти в старческа възраст (вижте точка 4.2).</w:t>
      </w:r>
    </w:p>
    <w:p w14:paraId="03280C4A" w14:textId="77777777" w:rsidR="00A235DC" w:rsidRPr="00A235DC" w:rsidRDefault="00A235DC" w:rsidP="00A235DC">
      <w:pPr>
        <w:spacing w:line="240" w:lineRule="auto"/>
        <w:rPr>
          <w:rFonts w:eastAsia="Times New Roman" w:cs="Arial"/>
          <w:color w:val="000000"/>
          <w:szCs w:val="20"/>
          <w:lang w:eastAsia="bg-BG"/>
        </w:rPr>
      </w:pPr>
    </w:p>
    <w:p w14:paraId="09632960" w14:textId="12B6A015"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При пациентите с леко до умерено тежко бъбречно увреждане С</w:t>
      </w:r>
      <w:r w:rsidRPr="00A235DC">
        <w:rPr>
          <w:rFonts w:eastAsia="Times New Roman" w:cs="Arial"/>
          <w:color w:val="000000"/>
          <w:szCs w:val="20"/>
          <w:lang w:val="en-US"/>
        </w:rPr>
        <w:t>max</w:t>
      </w:r>
      <w:r w:rsidRPr="00A235DC">
        <w:rPr>
          <w:rFonts w:eastAsia="Times New Roman" w:cs="Arial"/>
          <w:color w:val="000000"/>
          <w:szCs w:val="20"/>
          <w:lang w:eastAsia="bg-BG"/>
        </w:rPr>
        <w:t xml:space="preserve"> и </w:t>
      </w:r>
      <w:r w:rsidRPr="00A235DC">
        <w:rPr>
          <w:rFonts w:eastAsia="Times New Roman" w:cs="Arial"/>
          <w:color w:val="000000"/>
          <w:szCs w:val="20"/>
          <w:lang w:val="en-US"/>
        </w:rPr>
        <w:t>AUC</w:t>
      </w:r>
      <w:r w:rsidRPr="00A235DC">
        <w:rPr>
          <w:rFonts w:eastAsia="Times New Roman" w:cs="Arial"/>
          <w:color w:val="000000"/>
          <w:szCs w:val="20"/>
          <w:lang w:val="ru-RU"/>
        </w:rPr>
        <w:t xml:space="preserve"> </w:t>
      </w:r>
      <w:r w:rsidRPr="00A235DC">
        <w:rPr>
          <w:rFonts w:eastAsia="Times New Roman" w:cs="Arial"/>
          <w:color w:val="000000"/>
          <w:szCs w:val="20"/>
          <w:lang w:eastAsia="bg-BG"/>
        </w:rPr>
        <w:t xml:space="preserve">на кандесартан нарастват по време на повторните дозировки със съответно приблизително 50% и 70%, но терминалният </w:t>
      </w:r>
      <w:r w:rsidRPr="00A235DC">
        <w:rPr>
          <w:rFonts w:eastAsia="Times New Roman" w:cs="Arial"/>
          <w:i/>
          <w:iCs/>
          <w:color w:val="000000"/>
          <w:szCs w:val="20"/>
          <w:lang w:val="en-US"/>
        </w:rPr>
        <w:t>t</w:t>
      </w:r>
      <w:r w:rsidRPr="00A235DC">
        <w:rPr>
          <w:rFonts w:eastAsia="Times New Roman" w:cs="Arial"/>
          <w:i/>
          <w:iCs/>
          <w:color w:val="000000"/>
          <w:szCs w:val="20"/>
          <w:lang w:val="ru-RU"/>
        </w:rPr>
        <w:t>1/2</w:t>
      </w:r>
      <w:r w:rsidRPr="00A235DC">
        <w:rPr>
          <w:rFonts w:eastAsia="Times New Roman" w:cs="Arial"/>
          <w:color w:val="000000"/>
          <w:szCs w:val="20"/>
          <w:lang w:val="ru-RU"/>
        </w:rPr>
        <w:t xml:space="preserve"> </w:t>
      </w:r>
      <w:r w:rsidRPr="00A235DC">
        <w:rPr>
          <w:rFonts w:eastAsia="Times New Roman" w:cs="Arial"/>
          <w:color w:val="000000"/>
          <w:szCs w:val="20"/>
          <w:lang w:eastAsia="bg-BG"/>
        </w:rPr>
        <w:t>не се променя в сравнение с пациентите с нормална бъбречна функция. Съответните промени при пациентите с тежко бъбречно увреждане са съответно приблизително 50% и 110%. Терминалният на кандесартан е приблизително двойно по-висок при пациентите с тежко бъбречно увреждане. Фармакокинетиката при пациентите на хемодиализа е сходна с тази при пациентите с тежко бъбречно увреждане.</w:t>
      </w:r>
    </w:p>
    <w:p w14:paraId="7BAEF615" w14:textId="77777777" w:rsidR="00A235DC" w:rsidRPr="00A235DC" w:rsidRDefault="00A235DC" w:rsidP="00A235DC">
      <w:pPr>
        <w:spacing w:line="240" w:lineRule="auto"/>
        <w:rPr>
          <w:rFonts w:eastAsia="Times New Roman" w:cs="Arial"/>
          <w:color w:val="000000"/>
          <w:szCs w:val="20"/>
          <w:lang w:eastAsia="bg-BG"/>
        </w:rPr>
      </w:pPr>
    </w:p>
    <w:p w14:paraId="3C36F3DC" w14:textId="326C3160" w:rsidR="00A235DC" w:rsidRPr="00A235DC" w:rsidRDefault="00A235DC" w:rsidP="00A235DC">
      <w:pPr>
        <w:spacing w:line="240" w:lineRule="auto"/>
        <w:rPr>
          <w:rFonts w:eastAsia="Times New Roman" w:cs="Arial"/>
          <w:sz w:val="28"/>
          <w:szCs w:val="24"/>
        </w:rPr>
      </w:pPr>
      <w:r w:rsidRPr="00A235DC">
        <w:rPr>
          <w:rFonts w:eastAsia="Times New Roman" w:cs="Arial"/>
          <w:color w:val="000000"/>
          <w:szCs w:val="20"/>
          <w:lang w:eastAsia="bg-BG"/>
        </w:rPr>
        <w:t xml:space="preserve">В две проучвания, и двете включващи пациенти с леко до умерено черноодробно увреждане, е наблюавано увеличение на средната </w:t>
      </w:r>
      <w:r w:rsidRPr="00A235DC">
        <w:rPr>
          <w:rFonts w:eastAsia="Times New Roman" w:cs="Arial"/>
          <w:color w:val="000000"/>
          <w:szCs w:val="20"/>
          <w:lang w:val="en-US"/>
        </w:rPr>
        <w:t>AUC</w:t>
      </w:r>
      <w:r w:rsidRPr="00A235DC">
        <w:rPr>
          <w:rFonts w:eastAsia="Times New Roman" w:cs="Arial"/>
          <w:color w:val="000000"/>
          <w:szCs w:val="20"/>
          <w:lang w:val="ru-RU"/>
        </w:rPr>
        <w:t xml:space="preserve"> </w:t>
      </w:r>
      <w:r w:rsidRPr="00A235DC">
        <w:rPr>
          <w:rFonts w:eastAsia="Times New Roman" w:cs="Arial"/>
          <w:i/>
          <w:iCs/>
          <w:color w:val="000000"/>
          <w:szCs w:val="20"/>
          <w:lang w:val="ru-RU"/>
        </w:rPr>
        <w:t>(</w:t>
      </w:r>
      <w:r w:rsidRPr="00A235DC">
        <w:rPr>
          <w:rFonts w:eastAsia="Times New Roman" w:cs="Arial"/>
          <w:i/>
          <w:iCs/>
          <w:color w:val="000000"/>
          <w:szCs w:val="20"/>
          <w:lang w:val="en-US"/>
        </w:rPr>
        <w:t>Area</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Under</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the</w:t>
      </w:r>
      <w:r w:rsidRPr="00A235DC">
        <w:rPr>
          <w:rFonts w:eastAsia="Times New Roman" w:cs="Arial"/>
          <w:i/>
          <w:iCs/>
          <w:color w:val="000000"/>
          <w:szCs w:val="20"/>
          <w:lang w:val="ru-RU"/>
        </w:rPr>
        <w:t xml:space="preserve"> </w:t>
      </w:r>
      <w:r w:rsidRPr="00A235DC">
        <w:rPr>
          <w:rFonts w:eastAsia="Times New Roman" w:cs="Arial"/>
          <w:i/>
          <w:iCs/>
          <w:color w:val="000000"/>
          <w:szCs w:val="20"/>
          <w:lang w:val="en-US"/>
        </w:rPr>
        <w:t>Curve</w:t>
      </w:r>
      <w:r w:rsidRPr="00A235DC">
        <w:rPr>
          <w:rFonts w:eastAsia="Times New Roman" w:cs="Arial"/>
          <w:i/>
          <w:iCs/>
          <w:color w:val="000000"/>
          <w:szCs w:val="20"/>
          <w:lang w:val="ru-RU"/>
        </w:rPr>
        <w:t>)</w:t>
      </w:r>
      <w:r w:rsidRPr="00A235DC">
        <w:rPr>
          <w:rFonts w:eastAsia="Times New Roman" w:cs="Arial"/>
          <w:color w:val="000000"/>
          <w:szCs w:val="20"/>
          <w:lang w:val="ru-RU"/>
        </w:rPr>
        <w:t xml:space="preserve"> </w:t>
      </w:r>
      <w:r w:rsidRPr="00A235DC">
        <w:rPr>
          <w:rFonts w:eastAsia="Times New Roman" w:cs="Arial"/>
          <w:color w:val="000000"/>
          <w:szCs w:val="20"/>
          <w:lang w:eastAsia="bg-BG"/>
        </w:rPr>
        <w:t>със средно 20% в едното проучване и 80% в другото (вижте точка 4.2). Няма наличен опит при пациенти с тежко черноодробно увреждане.</w:t>
      </w:r>
    </w:p>
    <w:p w14:paraId="265A6194" w14:textId="77777777" w:rsidR="00A235DC" w:rsidRPr="00A235DC" w:rsidRDefault="00A235DC" w:rsidP="00A235DC">
      <w:pPr>
        <w:spacing w:line="240" w:lineRule="auto"/>
        <w:rPr>
          <w:rFonts w:eastAsia="Times New Roman" w:cs="Arial"/>
          <w:i/>
          <w:iCs/>
          <w:color w:val="000000"/>
          <w:szCs w:val="20"/>
          <w:lang w:eastAsia="bg-BG"/>
        </w:rPr>
      </w:pPr>
    </w:p>
    <w:p w14:paraId="23360A4D" w14:textId="02237C0B" w:rsidR="00A235DC" w:rsidRPr="00A235DC" w:rsidRDefault="00A235DC" w:rsidP="00A235DC">
      <w:pPr>
        <w:spacing w:line="240" w:lineRule="auto"/>
        <w:rPr>
          <w:rFonts w:eastAsia="Times New Roman" w:cs="Arial"/>
          <w:sz w:val="28"/>
          <w:szCs w:val="24"/>
        </w:rPr>
      </w:pPr>
      <w:r w:rsidRPr="00A235DC">
        <w:rPr>
          <w:rFonts w:eastAsia="Times New Roman" w:cs="Arial"/>
          <w:i/>
          <w:iCs/>
          <w:color w:val="000000"/>
          <w:szCs w:val="20"/>
          <w:lang w:eastAsia="bg-BG"/>
        </w:rPr>
        <w:t>Хидрохлоротиазид</w:t>
      </w:r>
    </w:p>
    <w:p w14:paraId="495E2C94" w14:textId="6B35FB78" w:rsidR="00A235DC" w:rsidRPr="00A235DC" w:rsidRDefault="00A235DC" w:rsidP="00A235DC">
      <w:pPr>
        <w:rPr>
          <w:rFonts w:cs="Arial"/>
          <w:sz w:val="24"/>
        </w:rPr>
      </w:pPr>
      <w:r w:rsidRPr="00A235DC">
        <w:rPr>
          <w:rFonts w:eastAsia="Times New Roman" w:cs="Arial"/>
          <w:color w:val="000000"/>
          <w:szCs w:val="20"/>
          <w:lang w:eastAsia="bg-BG"/>
        </w:rPr>
        <w:t xml:space="preserve">Терминалният </w:t>
      </w:r>
      <w:r w:rsidRPr="00A235DC">
        <w:rPr>
          <w:rFonts w:eastAsia="Times New Roman" w:cs="Arial"/>
          <w:color w:val="000000"/>
          <w:szCs w:val="20"/>
          <w:lang w:val="en-US"/>
        </w:rPr>
        <w:t>t</w:t>
      </w:r>
      <w:r w:rsidRPr="00A235DC">
        <w:rPr>
          <w:rFonts w:eastAsia="Times New Roman" w:cs="Arial"/>
          <w:color w:val="000000"/>
          <w:szCs w:val="20"/>
          <w:lang w:val="ru-RU"/>
        </w:rPr>
        <w:t xml:space="preserve">1/2 </w:t>
      </w:r>
      <w:r w:rsidRPr="00A235DC">
        <w:rPr>
          <w:rFonts w:eastAsia="Times New Roman" w:cs="Arial"/>
          <w:color w:val="000000"/>
          <w:szCs w:val="20"/>
          <w:lang w:eastAsia="bg-BG"/>
        </w:rPr>
        <w:t>на хидрохлоротиазид е удължен при пациентите с бъбречно увреждане.</w:t>
      </w:r>
    </w:p>
    <w:p w14:paraId="4FB791BE" w14:textId="328D5924" w:rsidR="00B6672E" w:rsidRDefault="002C50EE" w:rsidP="00936AD0">
      <w:pPr>
        <w:pStyle w:val="Heading2"/>
      </w:pPr>
      <w:r>
        <w:lastRenderedPageBreak/>
        <w:t>5.3. Предклинични данни за безопасност</w:t>
      </w:r>
    </w:p>
    <w:p w14:paraId="73A17F62" w14:textId="15A0D37B" w:rsidR="00A235DC" w:rsidRDefault="00A235DC" w:rsidP="00A235DC"/>
    <w:p w14:paraId="16EAACA7" w14:textId="77777777" w:rsidR="00A235DC" w:rsidRPr="00A235DC" w:rsidRDefault="00A235DC" w:rsidP="00A235DC">
      <w:pPr>
        <w:rPr>
          <w:rFonts w:eastAsia="Times New Roman" w:cs="Arial"/>
          <w:sz w:val="24"/>
          <w:szCs w:val="24"/>
        </w:rPr>
      </w:pPr>
      <w:r w:rsidRPr="00A235DC">
        <w:rPr>
          <w:rFonts w:cs="Arial"/>
        </w:rPr>
        <w:t>Няма никакви качествено нови данни за токсичност на комбинацията в сравнение с наблюдаваните за отделните съставки. При предклиничните проучвания за безопасност високи дози кандесартан имат ефект върху бъбреците и еритроцитните параметри при мишки, плъхове, кучета и маймуни. Кандесартан причинява понижение на еритроцитните параметри (еритроцити, хемоглобин, хематокрит). Кандесартан предизвиква ефекти върху бъбреците (като регенерация, дилатация и базофилия в тубулите, повишени плазмени концентрации на урея и креатинин), коио може да са вторични на хипотензивния ефект, водещ до промени на бъбречната перфузия. Включването на хидрохлоротиазид потенцира нефротоксичността на кандесартан. Освен това кандесартан индуцира хиперплазия/хипертрофия на юкстагломерулните клетки. Приема се тези промени са</w:t>
      </w:r>
      <w:r w:rsidRPr="00A235DC">
        <w:rPr>
          <w:rFonts w:cs="Arial"/>
        </w:rPr>
        <w:t xml:space="preserve"> </w:t>
      </w:r>
      <w:r w:rsidRPr="00A235DC">
        <w:rPr>
          <w:rFonts w:eastAsia="Times New Roman" w:cs="Arial"/>
          <w:color w:val="000000"/>
          <w:lang w:eastAsia="bg-BG"/>
        </w:rPr>
        <w:t>поради фармакологичното действие на кандесартан и са с малко клинично значение.</w:t>
      </w:r>
    </w:p>
    <w:p w14:paraId="2B362033" w14:textId="77777777" w:rsidR="00A235DC" w:rsidRPr="00A235DC" w:rsidRDefault="00A235DC" w:rsidP="00A235DC">
      <w:pPr>
        <w:rPr>
          <w:rFonts w:eastAsia="Times New Roman" w:cs="Arial"/>
          <w:color w:val="000000"/>
          <w:lang w:eastAsia="bg-BG"/>
        </w:rPr>
      </w:pPr>
    </w:p>
    <w:p w14:paraId="43EE4462" w14:textId="327AC722" w:rsidR="00A235DC" w:rsidRPr="00A235DC" w:rsidRDefault="00A235DC" w:rsidP="00A235DC">
      <w:pPr>
        <w:rPr>
          <w:rFonts w:eastAsia="Times New Roman" w:cs="Arial"/>
          <w:sz w:val="24"/>
          <w:szCs w:val="24"/>
        </w:rPr>
      </w:pPr>
      <w:r w:rsidRPr="00A235DC">
        <w:rPr>
          <w:rFonts w:eastAsia="Times New Roman" w:cs="Arial"/>
          <w:color w:val="000000"/>
          <w:lang w:eastAsia="bg-BG"/>
        </w:rPr>
        <w:t>При кандесартан се наблюдава фетоксичност в късната бременност.</w:t>
      </w:r>
    </w:p>
    <w:p w14:paraId="3A2729F5" w14:textId="77777777" w:rsidR="00A235DC" w:rsidRPr="00A235DC" w:rsidRDefault="00A235DC" w:rsidP="00A235DC">
      <w:pPr>
        <w:rPr>
          <w:rFonts w:eastAsia="Times New Roman" w:cs="Arial"/>
          <w:color w:val="000000"/>
          <w:lang w:eastAsia="bg-BG"/>
        </w:rPr>
      </w:pPr>
    </w:p>
    <w:p w14:paraId="26C22E0B" w14:textId="567DFB86" w:rsidR="00A235DC" w:rsidRPr="00A235DC" w:rsidRDefault="00A235DC" w:rsidP="00A235DC">
      <w:pPr>
        <w:rPr>
          <w:rFonts w:eastAsia="Times New Roman" w:cs="Arial"/>
          <w:sz w:val="24"/>
          <w:szCs w:val="24"/>
        </w:rPr>
      </w:pPr>
      <w:r w:rsidRPr="00A235DC">
        <w:rPr>
          <w:rFonts w:eastAsia="Times New Roman" w:cs="Arial"/>
          <w:color w:val="000000"/>
          <w:lang w:eastAsia="bg-BG"/>
        </w:rPr>
        <w:t>Включването на хидрхлоротиазид не повлиява значимо резултата от проучванията на феталното развитие при плъхове, мишки и зайци (вижте точка 4.6).</w:t>
      </w:r>
    </w:p>
    <w:p w14:paraId="00399527" w14:textId="77777777" w:rsidR="00A235DC" w:rsidRPr="00A235DC" w:rsidRDefault="00A235DC" w:rsidP="00A235DC">
      <w:pPr>
        <w:rPr>
          <w:rFonts w:eastAsia="Times New Roman" w:cs="Arial"/>
          <w:color w:val="000000"/>
          <w:lang w:eastAsia="bg-BG"/>
        </w:rPr>
      </w:pPr>
    </w:p>
    <w:p w14:paraId="026D3444" w14:textId="0B817386" w:rsidR="00A235DC" w:rsidRPr="00A235DC" w:rsidRDefault="00A235DC" w:rsidP="00A235DC">
      <w:pPr>
        <w:rPr>
          <w:rFonts w:eastAsia="Times New Roman" w:cs="Arial"/>
          <w:sz w:val="24"/>
          <w:szCs w:val="24"/>
        </w:rPr>
      </w:pPr>
      <w:r w:rsidRPr="00A235DC">
        <w:rPr>
          <w:rFonts w:eastAsia="Times New Roman" w:cs="Arial"/>
          <w:color w:val="000000"/>
          <w:lang w:eastAsia="bg-BG"/>
        </w:rPr>
        <w:t xml:space="preserve">Както кандесартан, така и хидрохлоротиазид показват генотоксично действие в много високи концентрации/дози. Данните от </w:t>
      </w:r>
      <w:r w:rsidRPr="00A235DC">
        <w:rPr>
          <w:rFonts w:eastAsia="Times New Roman" w:cs="Arial"/>
          <w:i/>
          <w:iCs/>
          <w:color w:val="000000"/>
          <w:lang w:val="en-US"/>
        </w:rPr>
        <w:t>in</w:t>
      </w:r>
      <w:r w:rsidRPr="00A235DC">
        <w:rPr>
          <w:rFonts w:eastAsia="Times New Roman" w:cs="Arial"/>
          <w:i/>
          <w:iCs/>
          <w:color w:val="000000"/>
          <w:lang w:val="ru-RU"/>
        </w:rPr>
        <w:t xml:space="preserve"> </w:t>
      </w:r>
      <w:r w:rsidRPr="00A235DC">
        <w:rPr>
          <w:rFonts w:eastAsia="Times New Roman" w:cs="Arial"/>
          <w:i/>
          <w:iCs/>
          <w:color w:val="000000"/>
          <w:lang w:val="en-US"/>
        </w:rPr>
        <w:t>vitro</w:t>
      </w:r>
      <w:r w:rsidRPr="00A235DC">
        <w:rPr>
          <w:rFonts w:eastAsia="Times New Roman" w:cs="Arial"/>
          <w:color w:val="000000"/>
          <w:lang w:val="ru-RU"/>
        </w:rPr>
        <w:t xml:space="preserve"> </w:t>
      </w:r>
      <w:r w:rsidRPr="00A235DC">
        <w:rPr>
          <w:rFonts w:eastAsia="Times New Roman" w:cs="Arial"/>
          <w:color w:val="000000"/>
          <w:lang w:eastAsia="bg-BG"/>
        </w:rPr>
        <w:t xml:space="preserve">и </w:t>
      </w:r>
      <w:r w:rsidRPr="00A235DC">
        <w:rPr>
          <w:rFonts w:eastAsia="Times New Roman" w:cs="Arial"/>
          <w:i/>
          <w:iCs/>
          <w:color w:val="000000"/>
          <w:lang w:val="en-US"/>
        </w:rPr>
        <w:t>in</w:t>
      </w:r>
      <w:r w:rsidRPr="00A235DC">
        <w:rPr>
          <w:rFonts w:eastAsia="Times New Roman" w:cs="Arial"/>
          <w:i/>
          <w:iCs/>
          <w:color w:val="000000"/>
          <w:lang w:val="ru-RU"/>
        </w:rPr>
        <w:t xml:space="preserve"> </w:t>
      </w:r>
      <w:r w:rsidRPr="00A235DC">
        <w:rPr>
          <w:rFonts w:eastAsia="Times New Roman" w:cs="Arial"/>
          <w:i/>
          <w:iCs/>
          <w:color w:val="000000"/>
          <w:lang w:val="en-US"/>
        </w:rPr>
        <w:t>vivo</w:t>
      </w:r>
      <w:r w:rsidRPr="00A235DC">
        <w:rPr>
          <w:rFonts w:eastAsia="Times New Roman" w:cs="Arial"/>
          <w:color w:val="000000"/>
          <w:lang w:val="ru-RU"/>
        </w:rPr>
        <w:t xml:space="preserve"> </w:t>
      </w:r>
      <w:r w:rsidRPr="00A235DC">
        <w:rPr>
          <w:rFonts w:eastAsia="Times New Roman" w:cs="Arial"/>
          <w:color w:val="000000"/>
          <w:lang w:eastAsia="bg-BG"/>
        </w:rPr>
        <w:t>изследванията за генотоксичност показват, че е малко вероятно кандесартан да оказва мутагенно или кластогенно действие при условията на клинична употреба.</w:t>
      </w:r>
    </w:p>
    <w:p w14:paraId="55DDD958" w14:textId="67B7D59F" w:rsidR="00A235DC" w:rsidRPr="00A235DC" w:rsidRDefault="00A235DC" w:rsidP="00A235DC"/>
    <w:p w14:paraId="1BA6531D" w14:textId="21BB3090" w:rsidR="00B6672E" w:rsidRDefault="002C50EE" w:rsidP="00936AD0">
      <w:pPr>
        <w:pStyle w:val="Heading1"/>
      </w:pPr>
      <w:r>
        <w:t>7. ПРИТЕЖАТЕЛ НА РАЗРЕШЕНИЕТО ЗА УПОТРЕБА</w:t>
      </w:r>
    </w:p>
    <w:p w14:paraId="2542B671" w14:textId="0B5DD463" w:rsidR="00A235DC" w:rsidRDefault="00A235DC" w:rsidP="00A235DC"/>
    <w:p w14:paraId="19258B20" w14:textId="77777777" w:rsidR="00A235DC" w:rsidRPr="00A235DC" w:rsidRDefault="00A235DC" w:rsidP="00A235DC">
      <w:pPr>
        <w:rPr>
          <w:sz w:val="24"/>
          <w:szCs w:val="24"/>
        </w:rPr>
      </w:pPr>
      <w:r w:rsidRPr="00A235DC">
        <w:rPr>
          <w:lang w:val="en-US"/>
        </w:rPr>
        <w:t>Sandoz</w:t>
      </w:r>
      <w:r w:rsidRPr="00A235DC">
        <w:t xml:space="preserve"> </w:t>
      </w:r>
      <w:r w:rsidRPr="00A235DC">
        <w:rPr>
          <w:lang w:val="en-US"/>
        </w:rPr>
        <w:t>d</w:t>
      </w:r>
      <w:r w:rsidRPr="00A235DC">
        <w:t>.</w:t>
      </w:r>
      <w:r w:rsidRPr="00A235DC">
        <w:rPr>
          <w:lang w:val="en-US"/>
        </w:rPr>
        <w:t>d</w:t>
      </w:r>
      <w:r w:rsidRPr="00A235DC">
        <w:t>.</w:t>
      </w:r>
    </w:p>
    <w:p w14:paraId="5057121B" w14:textId="77777777" w:rsidR="00A235DC" w:rsidRPr="00A235DC" w:rsidRDefault="00A235DC" w:rsidP="00A235DC">
      <w:pPr>
        <w:rPr>
          <w:sz w:val="24"/>
          <w:szCs w:val="24"/>
        </w:rPr>
      </w:pPr>
      <w:proofErr w:type="spellStart"/>
      <w:r w:rsidRPr="00A235DC">
        <w:rPr>
          <w:lang w:val="en-US"/>
        </w:rPr>
        <w:t>Verovskova</w:t>
      </w:r>
      <w:proofErr w:type="spellEnd"/>
      <w:r w:rsidRPr="00A235DC">
        <w:t xml:space="preserve"> </w:t>
      </w:r>
      <w:r w:rsidRPr="00A235DC">
        <w:rPr>
          <w:lang w:eastAsia="bg-BG"/>
        </w:rPr>
        <w:t xml:space="preserve">57. 1000 </w:t>
      </w:r>
      <w:r w:rsidRPr="00A235DC">
        <w:rPr>
          <w:lang w:val="en-US"/>
        </w:rPr>
        <w:t>Ljubljana</w:t>
      </w:r>
      <w:r w:rsidRPr="00A235DC">
        <w:t xml:space="preserve">, </w:t>
      </w:r>
      <w:r w:rsidRPr="00A235DC">
        <w:rPr>
          <w:lang w:eastAsia="bg-BG"/>
        </w:rPr>
        <w:t>Словения</w:t>
      </w:r>
    </w:p>
    <w:p w14:paraId="29A98A72" w14:textId="77777777" w:rsidR="00A235DC" w:rsidRPr="00A235DC" w:rsidRDefault="00A235DC" w:rsidP="00A235DC"/>
    <w:p w14:paraId="508F3A54" w14:textId="375E7A97" w:rsidR="00B6672E" w:rsidRDefault="00936AD0" w:rsidP="00936AD0">
      <w:pPr>
        <w:pStyle w:val="Heading1"/>
      </w:pPr>
      <w:r>
        <w:t>8.</w:t>
      </w:r>
      <w:r w:rsidR="002C50EE">
        <w:t>НОМЕР НА РАЗРЕШЕНИЕТО ЗА УПОТРЕБА</w:t>
      </w:r>
    </w:p>
    <w:p w14:paraId="3E91B218" w14:textId="766A283E" w:rsidR="00A235DC" w:rsidRDefault="00A235DC" w:rsidP="00A235DC"/>
    <w:p w14:paraId="6196D772" w14:textId="7AEAD474" w:rsidR="00A235DC" w:rsidRPr="00A235DC" w:rsidRDefault="00A235DC" w:rsidP="00A235DC">
      <w:proofErr w:type="spellStart"/>
      <w:r>
        <w:rPr>
          <w:lang w:val="en-US"/>
        </w:rPr>
        <w:t>Pe</w:t>
      </w:r>
      <w:proofErr w:type="spellEnd"/>
      <w:r>
        <w:t>г</w:t>
      </w:r>
      <w:r w:rsidRPr="00A235DC">
        <w:rPr>
          <w:lang w:val="ru-RU"/>
        </w:rPr>
        <w:t>.</w:t>
      </w:r>
      <w:r>
        <w:rPr>
          <w:lang w:val="en-US"/>
        </w:rPr>
        <w:t>No</w:t>
      </w:r>
      <w:r w:rsidRPr="00A235DC">
        <w:rPr>
          <w:lang w:val="ru-RU"/>
        </w:rPr>
        <w:t xml:space="preserve">: </w:t>
      </w:r>
      <w:r w:rsidR="00F47649">
        <w:t>20100228</w:t>
      </w:r>
      <w:bookmarkStart w:id="1" w:name="_GoBack"/>
      <w:bookmarkEnd w:id="1"/>
    </w:p>
    <w:p w14:paraId="2CCB5832" w14:textId="4537A86F" w:rsidR="007C605B" w:rsidRDefault="002C50EE" w:rsidP="007C605B">
      <w:pPr>
        <w:pStyle w:val="Heading1"/>
      </w:pPr>
      <w:r>
        <w:t>9. ДАТА НА ПЪРВО РАЗРЕШАВАНЕ/ПОДНОВЯВАНЕ НА РАЗРЕШЕНИЕТО ЗА УПОТРЕБА</w:t>
      </w:r>
    </w:p>
    <w:p w14:paraId="034579AD" w14:textId="1B59A30A" w:rsidR="00A235DC" w:rsidRDefault="00A235DC" w:rsidP="00A235DC"/>
    <w:p w14:paraId="33462F4B" w14:textId="77777777" w:rsidR="00A235DC" w:rsidRPr="00A235DC" w:rsidRDefault="00A235DC" w:rsidP="00A235DC">
      <w:pPr>
        <w:rPr>
          <w:sz w:val="24"/>
          <w:szCs w:val="24"/>
        </w:rPr>
      </w:pPr>
      <w:r w:rsidRPr="00A235DC">
        <w:rPr>
          <w:lang w:eastAsia="bg-BG"/>
        </w:rPr>
        <w:t>Дата на първо разрешаване: 01.04.2010</w:t>
      </w:r>
    </w:p>
    <w:p w14:paraId="269116FB" w14:textId="77777777" w:rsidR="00A235DC" w:rsidRPr="00A235DC" w:rsidRDefault="00A235DC" w:rsidP="00A235DC">
      <w:pPr>
        <w:rPr>
          <w:sz w:val="24"/>
          <w:szCs w:val="24"/>
        </w:rPr>
      </w:pPr>
      <w:r w:rsidRPr="00A235DC">
        <w:rPr>
          <w:lang w:eastAsia="bg-BG"/>
        </w:rPr>
        <w:t>Дата на последно подновяване: 26.01.2017</w:t>
      </w:r>
    </w:p>
    <w:p w14:paraId="58D06B29" w14:textId="77777777" w:rsidR="00A235DC" w:rsidRPr="00A235DC" w:rsidRDefault="00A235DC" w:rsidP="00A235DC"/>
    <w:p w14:paraId="0E9D0119" w14:textId="0245C6D7" w:rsidR="002C50EE" w:rsidRDefault="002C50EE" w:rsidP="002C50EE">
      <w:pPr>
        <w:pStyle w:val="Heading1"/>
      </w:pPr>
      <w:r>
        <w:t>10. ДАТА НА АКТУАЛИЗИРАНЕ НА ТЕКСТА</w:t>
      </w:r>
    </w:p>
    <w:bookmarkEnd w:id="0"/>
    <w:p w14:paraId="43FB38A2" w14:textId="4552F522" w:rsidR="007C605B" w:rsidRPr="00F47649" w:rsidRDefault="00A235DC" w:rsidP="00A235DC">
      <w:pPr>
        <w:rPr>
          <w:lang w:val="en-US"/>
        </w:rPr>
      </w:pPr>
      <w:r>
        <w:t>11/2021</w:t>
      </w:r>
    </w:p>
    <w:sectPr w:rsidR="007C605B" w:rsidRPr="00F4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5E14826"/>
    <w:multiLevelType w:val="hybridMultilevel"/>
    <w:tmpl w:val="FAB2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102316E"/>
    <w:multiLevelType w:val="hybridMultilevel"/>
    <w:tmpl w:val="325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5"/>
  </w:num>
  <w:num w:numId="15">
    <w:abstractNumId w:val="32"/>
  </w:num>
  <w:num w:numId="16">
    <w:abstractNumId w:val="13"/>
  </w:num>
  <w:num w:numId="17">
    <w:abstractNumId w:val="27"/>
  </w:num>
  <w:num w:numId="18">
    <w:abstractNumId w:val="10"/>
  </w:num>
  <w:num w:numId="19">
    <w:abstractNumId w:val="29"/>
  </w:num>
  <w:num w:numId="20">
    <w:abstractNumId w:val="26"/>
  </w:num>
  <w:num w:numId="21">
    <w:abstractNumId w:val="20"/>
  </w:num>
  <w:num w:numId="22">
    <w:abstractNumId w:val="28"/>
  </w:num>
  <w:num w:numId="23">
    <w:abstractNumId w:val="21"/>
  </w:num>
  <w:num w:numId="24">
    <w:abstractNumId w:val="11"/>
  </w:num>
  <w:num w:numId="25">
    <w:abstractNumId w:val="25"/>
  </w:num>
  <w:num w:numId="26">
    <w:abstractNumId w:val="24"/>
  </w:num>
  <w:num w:numId="27">
    <w:abstractNumId w:val="34"/>
  </w:num>
  <w:num w:numId="28">
    <w:abstractNumId w:val="7"/>
  </w:num>
  <w:num w:numId="29">
    <w:abstractNumId w:val="23"/>
  </w:num>
  <w:num w:numId="30">
    <w:abstractNumId w:val="37"/>
  </w:num>
  <w:num w:numId="31">
    <w:abstractNumId w:val="6"/>
  </w:num>
  <w:num w:numId="32">
    <w:abstractNumId w:val="36"/>
  </w:num>
  <w:num w:numId="33">
    <w:abstractNumId w:val="31"/>
  </w:num>
  <w:num w:numId="34">
    <w:abstractNumId w:val="35"/>
  </w:num>
  <w:num w:numId="35">
    <w:abstractNumId w:val="9"/>
  </w:num>
  <w:num w:numId="36">
    <w:abstractNumId w:val="12"/>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67986"/>
    <w:rsid w:val="009773E4"/>
    <w:rsid w:val="009B171C"/>
    <w:rsid w:val="009F1313"/>
    <w:rsid w:val="00A20351"/>
    <w:rsid w:val="00A235DC"/>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4764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6794</Words>
  <Characters>38730</Characters>
  <Application>Microsoft Office Word</Application>
  <DocSecurity>0</DocSecurity>
  <Lines>322</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2022-06-21T19:42:00Z</dcterms:created>
  <dcterms:modified xsi:type="dcterms:W3CDTF">2022-06-21T19:42:00Z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