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3DF52D1" w:rsidR="007122AD" w:rsidRDefault="00DD466D" w:rsidP="00936AD0">
      <w:pPr>
        <w:pStyle w:val="Heading1"/>
      </w:pPr>
      <w:r>
        <w:t>1.ИМЕ НА ЛЕКАРСТВЕНИЯ ПРОДУКТ</w:t>
      </w:r>
    </w:p>
    <w:p w14:paraId="7978DADD" w14:textId="2C71404E" w:rsidR="00EB4C49" w:rsidRDefault="00EB4C49" w:rsidP="00EB4C49"/>
    <w:p w14:paraId="095E7DF1" w14:textId="77777777" w:rsidR="00EB4C49" w:rsidRPr="00EB4C49" w:rsidRDefault="00EB4C49" w:rsidP="00EB4C49">
      <w:pPr>
        <w:rPr>
          <w:rFonts w:ascii="Times New Roman" w:hAnsi="Times New Roman" w:cs="Times New Roman"/>
          <w:sz w:val="24"/>
          <w:szCs w:val="24"/>
        </w:rPr>
      </w:pPr>
      <w:r w:rsidRPr="00EB4C49">
        <w:rPr>
          <w:lang w:eastAsia="bg-BG"/>
        </w:rPr>
        <w:t xml:space="preserve">Кандекон 16 </w:t>
      </w:r>
      <w:r w:rsidRPr="00EB4C49">
        <w:rPr>
          <w:lang w:val="en-US"/>
        </w:rPr>
        <w:t>mg</w:t>
      </w:r>
      <w:r w:rsidRPr="00EB4C49">
        <w:t xml:space="preserve"> </w:t>
      </w:r>
      <w:r w:rsidRPr="00EB4C49">
        <w:rPr>
          <w:lang w:eastAsia="bg-BG"/>
        </w:rPr>
        <w:t>таблетки</w:t>
      </w:r>
    </w:p>
    <w:p w14:paraId="09124652" w14:textId="77777777" w:rsidR="00EB4C49" w:rsidRPr="00EB4C49" w:rsidRDefault="00EB4C49" w:rsidP="00EB4C49">
      <w:pPr>
        <w:rPr>
          <w:rFonts w:ascii="Times New Roman" w:hAnsi="Times New Roman" w:cs="Times New Roman"/>
          <w:sz w:val="24"/>
          <w:szCs w:val="24"/>
        </w:rPr>
      </w:pPr>
      <w:proofErr w:type="spellStart"/>
      <w:r w:rsidRPr="00EB4C49">
        <w:rPr>
          <w:lang w:val="en-US"/>
        </w:rPr>
        <w:t>Candecon</w:t>
      </w:r>
      <w:proofErr w:type="spellEnd"/>
      <w:r w:rsidRPr="00EB4C49">
        <w:t xml:space="preserve"> </w:t>
      </w:r>
      <w:r w:rsidRPr="00EB4C49">
        <w:rPr>
          <w:lang w:eastAsia="bg-BG"/>
        </w:rPr>
        <w:t xml:space="preserve">16 </w:t>
      </w:r>
      <w:r w:rsidRPr="00EB4C49">
        <w:rPr>
          <w:lang w:val="en-US"/>
        </w:rPr>
        <w:t>mg</w:t>
      </w:r>
      <w:r w:rsidRPr="00EB4C49">
        <w:t xml:space="preserve"> </w:t>
      </w:r>
      <w:r w:rsidRPr="00EB4C49">
        <w:rPr>
          <w:lang w:val="en-US"/>
        </w:rPr>
        <w:t>tablets</w:t>
      </w:r>
    </w:p>
    <w:p w14:paraId="0FBCB918" w14:textId="77777777" w:rsidR="00EB4C49" w:rsidRPr="00EB4C49" w:rsidRDefault="00EB4C49" w:rsidP="00EB4C49"/>
    <w:p w14:paraId="6920A680" w14:textId="1D205B02" w:rsidR="00C40420" w:rsidRDefault="00DD466D" w:rsidP="004A448E">
      <w:pPr>
        <w:pStyle w:val="Heading1"/>
      </w:pPr>
      <w:r>
        <w:t>2. КАЧЕСТВЕН И КОЛИЧЕСТВЕН СЪСТАВ</w:t>
      </w:r>
    </w:p>
    <w:p w14:paraId="7D501D6F" w14:textId="058636FF" w:rsidR="00EB4C49" w:rsidRDefault="00EB4C49" w:rsidP="00EB4C49"/>
    <w:p w14:paraId="4E160C0C" w14:textId="77777777" w:rsidR="00EB4C49" w:rsidRPr="00EB4C49" w:rsidRDefault="00EB4C49" w:rsidP="00EB4C49">
      <w:pPr>
        <w:spacing w:line="240" w:lineRule="auto"/>
        <w:rPr>
          <w:rFonts w:ascii="Times New Roman" w:eastAsia="Times New Roman" w:hAnsi="Times New Roman" w:cs="Times New Roman"/>
          <w:sz w:val="32"/>
          <w:szCs w:val="24"/>
        </w:rPr>
      </w:pPr>
      <w:r w:rsidRPr="00EB4C49">
        <w:rPr>
          <w:rFonts w:eastAsia="Times New Roman" w:cs="Arial"/>
          <w:color w:val="000000"/>
          <w:szCs w:val="19"/>
          <w:lang w:eastAsia="bg-BG"/>
        </w:rPr>
        <w:t xml:space="preserve">Всяка таблетка съдържа 16 </w:t>
      </w:r>
      <w:r w:rsidRPr="00EB4C49">
        <w:rPr>
          <w:rFonts w:eastAsia="Times New Roman" w:cs="Arial"/>
          <w:color w:val="000000"/>
          <w:szCs w:val="19"/>
          <w:lang w:val="en-US"/>
        </w:rPr>
        <w:t>mg</w:t>
      </w:r>
      <w:r w:rsidRPr="00EB4C49">
        <w:rPr>
          <w:rFonts w:eastAsia="Times New Roman" w:cs="Arial"/>
          <w:color w:val="000000"/>
          <w:szCs w:val="19"/>
        </w:rPr>
        <w:t xml:space="preserve"> </w:t>
      </w:r>
      <w:r w:rsidRPr="00EB4C49">
        <w:rPr>
          <w:rFonts w:eastAsia="Times New Roman" w:cs="Arial"/>
          <w:color w:val="000000"/>
          <w:szCs w:val="19"/>
          <w:lang w:eastAsia="bg-BG"/>
        </w:rPr>
        <w:t xml:space="preserve">кандесартан цилексетил </w:t>
      </w:r>
      <w:r w:rsidRPr="00EB4C49">
        <w:rPr>
          <w:rFonts w:eastAsia="Times New Roman" w:cs="Arial"/>
          <w:i/>
          <w:iCs/>
          <w:color w:val="000000"/>
          <w:szCs w:val="19"/>
        </w:rPr>
        <w:t>(</w:t>
      </w:r>
      <w:r w:rsidRPr="00EB4C49">
        <w:rPr>
          <w:rFonts w:eastAsia="Times New Roman" w:cs="Arial"/>
          <w:i/>
          <w:iCs/>
          <w:color w:val="000000"/>
          <w:szCs w:val="19"/>
          <w:lang w:val="en-US"/>
        </w:rPr>
        <w:t>candesartan</w:t>
      </w:r>
      <w:r w:rsidRPr="00EB4C49">
        <w:rPr>
          <w:rFonts w:eastAsia="Times New Roman" w:cs="Arial"/>
          <w:i/>
          <w:iCs/>
          <w:color w:val="000000"/>
          <w:szCs w:val="19"/>
        </w:rPr>
        <w:t xml:space="preserve"> </w:t>
      </w:r>
      <w:proofErr w:type="spellStart"/>
      <w:r w:rsidRPr="00EB4C49">
        <w:rPr>
          <w:rFonts w:eastAsia="Times New Roman" w:cs="Arial"/>
          <w:i/>
          <w:iCs/>
          <w:color w:val="000000"/>
          <w:szCs w:val="19"/>
          <w:lang w:val="en-US"/>
        </w:rPr>
        <w:t>cilexetil</w:t>
      </w:r>
      <w:proofErr w:type="spellEnd"/>
      <w:r w:rsidRPr="00EB4C49">
        <w:rPr>
          <w:rFonts w:eastAsia="Times New Roman" w:cs="Arial"/>
          <w:i/>
          <w:iCs/>
          <w:color w:val="000000"/>
          <w:szCs w:val="19"/>
        </w:rPr>
        <w:t>).</w:t>
      </w:r>
    </w:p>
    <w:p w14:paraId="55D8F627" w14:textId="77777777" w:rsidR="00EB4C49" w:rsidRPr="00EB4C49" w:rsidRDefault="00EB4C49" w:rsidP="00EB4C49">
      <w:pPr>
        <w:spacing w:line="240" w:lineRule="auto"/>
        <w:rPr>
          <w:rFonts w:eastAsia="Times New Roman" w:cs="Arial"/>
          <w:color w:val="000000"/>
          <w:szCs w:val="19"/>
          <w:u w:val="single"/>
          <w:lang w:eastAsia="bg-BG"/>
        </w:rPr>
      </w:pPr>
    </w:p>
    <w:p w14:paraId="3ED916BB" w14:textId="0F4143F6" w:rsidR="00EB4C49" w:rsidRPr="00EB4C49" w:rsidRDefault="00EB4C49" w:rsidP="00EB4C49">
      <w:pPr>
        <w:spacing w:line="240" w:lineRule="auto"/>
        <w:rPr>
          <w:rFonts w:ascii="Times New Roman" w:eastAsia="Times New Roman" w:hAnsi="Times New Roman" w:cs="Times New Roman"/>
          <w:sz w:val="32"/>
          <w:szCs w:val="24"/>
        </w:rPr>
      </w:pPr>
      <w:r w:rsidRPr="00EB4C49">
        <w:rPr>
          <w:rFonts w:eastAsia="Times New Roman" w:cs="Arial"/>
          <w:color w:val="000000"/>
          <w:szCs w:val="19"/>
          <w:u w:val="single"/>
          <w:lang w:eastAsia="bg-BG"/>
        </w:rPr>
        <w:t>Помощно вещество с известно действие</w:t>
      </w:r>
      <w:r w:rsidRPr="00EB4C49">
        <w:rPr>
          <w:rFonts w:eastAsia="Times New Roman" w:cs="Arial"/>
          <w:color w:val="000000"/>
          <w:szCs w:val="19"/>
          <w:lang w:eastAsia="bg-BG"/>
        </w:rPr>
        <w:t>:</w:t>
      </w:r>
    </w:p>
    <w:p w14:paraId="08F877EE" w14:textId="2949CCC4" w:rsidR="00EB4C49" w:rsidRPr="00EB4C49" w:rsidRDefault="00EB4C49" w:rsidP="00EB4C49">
      <w:pPr>
        <w:rPr>
          <w:sz w:val="28"/>
        </w:rPr>
      </w:pPr>
      <w:r w:rsidRPr="00EB4C49">
        <w:rPr>
          <w:rFonts w:eastAsia="Times New Roman" w:cs="Arial"/>
          <w:color w:val="000000"/>
          <w:szCs w:val="19"/>
          <w:lang w:eastAsia="bg-BG"/>
        </w:rPr>
        <w:t xml:space="preserve">Всяка таблетка съдържа 125,60 </w:t>
      </w:r>
      <w:r w:rsidRPr="00EB4C49">
        <w:rPr>
          <w:rFonts w:eastAsia="Times New Roman" w:cs="Arial"/>
          <w:color w:val="000000"/>
          <w:szCs w:val="19"/>
          <w:lang w:val="en-US"/>
        </w:rPr>
        <w:t>mg</w:t>
      </w:r>
      <w:r w:rsidRPr="00EB4C49">
        <w:rPr>
          <w:rFonts w:eastAsia="Times New Roman" w:cs="Arial"/>
          <w:color w:val="000000"/>
          <w:szCs w:val="19"/>
          <w:lang w:val="ru-RU"/>
        </w:rPr>
        <w:t xml:space="preserve"> </w:t>
      </w:r>
      <w:r w:rsidRPr="00EB4C49">
        <w:rPr>
          <w:rFonts w:eastAsia="Times New Roman" w:cs="Arial"/>
          <w:color w:val="000000"/>
          <w:szCs w:val="19"/>
          <w:lang w:eastAsia="bg-BG"/>
        </w:rPr>
        <w:t>лактоза монохидрат.</w:t>
      </w:r>
    </w:p>
    <w:p w14:paraId="614984C4" w14:textId="7F682270" w:rsidR="008A6AF2" w:rsidRDefault="00DD466D" w:rsidP="002C50EE">
      <w:pPr>
        <w:pStyle w:val="Heading1"/>
      </w:pPr>
      <w:r>
        <w:t>3. ЛЕКАРСТВЕНА ФОРМА</w:t>
      </w:r>
    </w:p>
    <w:p w14:paraId="58FE0E95" w14:textId="2582598D" w:rsidR="00EB4C49" w:rsidRDefault="00EB4C49" w:rsidP="00EB4C49"/>
    <w:p w14:paraId="2E1DBEAF" w14:textId="77777777" w:rsidR="00EB4C49" w:rsidRPr="00EB4C49" w:rsidRDefault="00EB4C49" w:rsidP="00EB4C49">
      <w:pPr>
        <w:spacing w:line="240" w:lineRule="auto"/>
        <w:rPr>
          <w:rFonts w:ascii="Times New Roman" w:eastAsia="Times New Roman" w:hAnsi="Times New Roman" w:cs="Times New Roman"/>
          <w:sz w:val="32"/>
          <w:szCs w:val="24"/>
        </w:rPr>
      </w:pPr>
      <w:r w:rsidRPr="00EB4C49">
        <w:rPr>
          <w:rFonts w:eastAsia="Times New Roman" w:cs="Arial"/>
          <w:color w:val="000000"/>
          <w:szCs w:val="19"/>
          <w:lang w:eastAsia="bg-BG"/>
        </w:rPr>
        <w:t>Таблетка.</w:t>
      </w:r>
    </w:p>
    <w:p w14:paraId="4294BCCD" w14:textId="77777777" w:rsidR="00EB4C49" w:rsidRPr="00EB4C49" w:rsidRDefault="00EB4C49" w:rsidP="00EB4C49">
      <w:pPr>
        <w:spacing w:line="240" w:lineRule="auto"/>
        <w:rPr>
          <w:rFonts w:eastAsia="Times New Roman" w:cs="Arial"/>
          <w:color w:val="000000"/>
          <w:szCs w:val="19"/>
          <w:lang w:eastAsia="bg-BG"/>
        </w:rPr>
      </w:pPr>
    </w:p>
    <w:p w14:paraId="462913DE" w14:textId="58DD7314" w:rsidR="00EB4C49" w:rsidRPr="00EB4C49" w:rsidRDefault="00EB4C49" w:rsidP="00EB4C49">
      <w:pPr>
        <w:spacing w:line="240" w:lineRule="auto"/>
        <w:rPr>
          <w:rFonts w:ascii="Times New Roman" w:eastAsia="Times New Roman" w:hAnsi="Times New Roman" w:cs="Times New Roman"/>
          <w:sz w:val="32"/>
          <w:szCs w:val="24"/>
        </w:rPr>
      </w:pPr>
      <w:r w:rsidRPr="00EB4C49">
        <w:rPr>
          <w:rFonts w:eastAsia="Times New Roman" w:cs="Arial"/>
          <w:color w:val="000000"/>
          <w:szCs w:val="19"/>
          <w:lang w:eastAsia="bg-BG"/>
        </w:rPr>
        <w:t>Жълти, двойноизпъкнали, необвити, кръгли таблетки, гравирани с „</w:t>
      </w:r>
      <w:r w:rsidRPr="00EB4C49">
        <w:rPr>
          <w:rFonts w:eastAsia="Times New Roman" w:cs="Arial"/>
          <w:color w:val="000000"/>
          <w:szCs w:val="19"/>
          <w:lang w:val="en-US"/>
        </w:rPr>
        <w:t>CN</w:t>
      </w:r>
      <w:r w:rsidRPr="00EB4C49">
        <w:rPr>
          <w:rFonts w:eastAsia="Times New Roman" w:cs="Arial"/>
          <w:color w:val="000000"/>
          <w:szCs w:val="19"/>
          <w:lang w:val="ru-RU"/>
        </w:rPr>
        <w:t xml:space="preserve">'' </w:t>
      </w:r>
      <w:r w:rsidRPr="00EB4C49">
        <w:rPr>
          <w:rFonts w:eastAsia="Times New Roman" w:cs="Arial"/>
          <w:color w:val="000000"/>
          <w:szCs w:val="19"/>
          <w:lang w:eastAsia="bg-BG"/>
        </w:rPr>
        <w:t xml:space="preserve">и „16" от срещуположните страни на делителната черта от едната страна на таблетката и гладки, без надпис от другата страна на таблетката, с размер 7,3 </w:t>
      </w:r>
      <w:r w:rsidRPr="00EB4C49">
        <w:rPr>
          <w:rFonts w:eastAsia="Times New Roman" w:cs="Arial"/>
          <w:color w:val="000000"/>
          <w:szCs w:val="19"/>
          <w:lang w:val="en-US"/>
        </w:rPr>
        <w:t>mm</w:t>
      </w:r>
      <w:r w:rsidRPr="00EB4C49">
        <w:rPr>
          <w:rFonts w:eastAsia="Times New Roman" w:cs="Arial"/>
          <w:color w:val="000000"/>
          <w:szCs w:val="19"/>
          <w:lang w:val="ru-RU"/>
        </w:rPr>
        <w:t>.</w:t>
      </w:r>
    </w:p>
    <w:p w14:paraId="47245BAA" w14:textId="77777777" w:rsidR="00EB4C49" w:rsidRPr="00EB4C49" w:rsidRDefault="00EB4C49" w:rsidP="00EB4C49">
      <w:pPr>
        <w:rPr>
          <w:rFonts w:eastAsia="Times New Roman" w:cs="Arial"/>
          <w:color w:val="000000"/>
          <w:szCs w:val="19"/>
          <w:lang w:eastAsia="bg-BG"/>
        </w:rPr>
      </w:pPr>
    </w:p>
    <w:p w14:paraId="14B22D86" w14:textId="6B982730" w:rsidR="00EB4C49" w:rsidRPr="00EB4C49" w:rsidRDefault="00EB4C49" w:rsidP="00EB4C49">
      <w:pPr>
        <w:rPr>
          <w:sz w:val="28"/>
        </w:rPr>
      </w:pPr>
      <w:r w:rsidRPr="00EB4C49">
        <w:rPr>
          <w:rFonts w:eastAsia="Times New Roman" w:cs="Arial"/>
          <w:color w:val="000000"/>
          <w:szCs w:val="19"/>
          <w:lang w:eastAsia="bg-BG"/>
        </w:rPr>
        <w:t>Таблетката може да бъде разделена на две равни дози.</w:t>
      </w:r>
    </w:p>
    <w:p w14:paraId="490FC2C4" w14:textId="0F4A4A75" w:rsidR="002C50EE" w:rsidRDefault="002C50EE" w:rsidP="002C50EE">
      <w:pPr>
        <w:pStyle w:val="Heading1"/>
      </w:pPr>
      <w:r>
        <w:t>4. КЛИНИЧНИ ДАННИ</w:t>
      </w:r>
    </w:p>
    <w:p w14:paraId="74330405" w14:textId="5F1BEBF2" w:rsidR="007122AD" w:rsidRDefault="002C50EE" w:rsidP="00936AD0">
      <w:pPr>
        <w:pStyle w:val="Heading2"/>
      </w:pPr>
      <w:r>
        <w:t>4.1. Терапевтични показания</w:t>
      </w:r>
    </w:p>
    <w:p w14:paraId="4D379D32" w14:textId="699671C9" w:rsidR="00EB4C49" w:rsidRDefault="00EB4C49" w:rsidP="00EB4C49"/>
    <w:p w14:paraId="207A663E" w14:textId="77777777" w:rsidR="00EB4C49" w:rsidRDefault="00EB4C49" w:rsidP="00EB4C49">
      <w:pPr>
        <w:spacing w:line="240" w:lineRule="auto"/>
        <w:rPr>
          <w:rFonts w:ascii="Times New Roman" w:eastAsia="Times New Roman" w:hAnsi="Times New Roman" w:cs="Times New Roman"/>
          <w:sz w:val="24"/>
          <w:szCs w:val="24"/>
        </w:rPr>
      </w:pPr>
      <w:r w:rsidRPr="00EB4C49">
        <w:rPr>
          <w:rFonts w:eastAsia="Times New Roman" w:cs="Arial"/>
          <w:color w:val="000000"/>
          <w:sz w:val="19"/>
          <w:szCs w:val="19"/>
          <w:lang w:eastAsia="bg-BG"/>
        </w:rPr>
        <w:t>Кандекон е показан за:</w:t>
      </w:r>
    </w:p>
    <w:p w14:paraId="068A3509" w14:textId="77777777" w:rsidR="00EB4C49" w:rsidRPr="00EB4C49" w:rsidRDefault="00EB4C49" w:rsidP="00EB4C49">
      <w:pPr>
        <w:pStyle w:val="ListParagraph"/>
        <w:numPr>
          <w:ilvl w:val="0"/>
          <w:numId w:val="37"/>
        </w:numPr>
        <w:spacing w:line="240" w:lineRule="auto"/>
        <w:rPr>
          <w:rFonts w:ascii="Times New Roman" w:eastAsia="Times New Roman" w:hAnsi="Times New Roman" w:cs="Times New Roman"/>
          <w:sz w:val="24"/>
          <w:szCs w:val="24"/>
        </w:rPr>
      </w:pPr>
      <w:r w:rsidRPr="00EB4C49">
        <w:rPr>
          <w:rFonts w:eastAsia="Times New Roman" w:cs="Arial"/>
          <w:color w:val="000000"/>
          <w:sz w:val="19"/>
          <w:szCs w:val="19"/>
          <w:lang w:eastAsia="bg-BG"/>
        </w:rPr>
        <w:t>Лечение на есенциална хипертония при възрастни;</w:t>
      </w:r>
    </w:p>
    <w:p w14:paraId="27680098" w14:textId="77777777" w:rsidR="00EB4C49" w:rsidRPr="00EB4C49" w:rsidRDefault="00EB4C49" w:rsidP="00EB4C49">
      <w:pPr>
        <w:pStyle w:val="ListParagraph"/>
        <w:numPr>
          <w:ilvl w:val="0"/>
          <w:numId w:val="37"/>
        </w:numPr>
        <w:spacing w:line="240" w:lineRule="auto"/>
        <w:rPr>
          <w:rFonts w:ascii="Times New Roman" w:eastAsia="Times New Roman" w:hAnsi="Times New Roman" w:cs="Times New Roman"/>
          <w:sz w:val="24"/>
          <w:szCs w:val="24"/>
        </w:rPr>
      </w:pPr>
      <w:r w:rsidRPr="00EB4C49">
        <w:rPr>
          <w:rFonts w:eastAsia="Times New Roman" w:cs="Arial"/>
          <w:color w:val="000000"/>
          <w:sz w:val="19"/>
          <w:szCs w:val="19"/>
          <w:lang w:eastAsia="bg-BG"/>
        </w:rPr>
        <w:t>Лечение на есенциална хипертония при деца и юноши от 6 до 18 години;</w:t>
      </w:r>
    </w:p>
    <w:p w14:paraId="111EFA90" w14:textId="72A6A679" w:rsidR="00EB4C49" w:rsidRPr="00EB4C49" w:rsidRDefault="00EB4C49" w:rsidP="00EB4C49">
      <w:pPr>
        <w:pStyle w:val="ListParagraph"/>
        <w:numPr>
          <w:ilvl w:val="0"/>
          <w:numId w:val="37"/>
        </w:numPr>
        <w:spacing w:line="240" w:lineRule="auto"/>
        <w:rPr>
          <w:rFonts w:ascii="Times New Roman" w:eastAsia="Times New Roman" w:hAnsi="Times New Roman" w:cs="Times New Roman"/>
          <w:sz w:val="24"/>
          <w:szCs w:val="24"/>
        </w:rPr>
      </w:pPr>
      <w:r w:rsidRPr="00EB4C49">
        <w:rPr>
          <w:rFonts w:eastAsia="Times New Roman" w:cs="Arial"/>
          <w:color w:val="000000"/>
          <w:sz w:val="19"/>
          <w:szCs w:val="19"/>
          <w:lang w:eastAsia="bg-BG"/>
        </w:rPr>
        <w:t>Лечение на възрастни пациенти със сърдечна недостатъчност и нарушена левокамерна</w:t>
      </w:r>
      <w:r>
        <w:rPr>
          <w:rFonts w:eastAsia="Times New Roman" w:cs="Arial"/>
          <w:color w:val="000000"/>
          <w:sz w:val="19"/>
          <w:szCs w:val="19"/>
          <w:lang w:eastAsia="bg-BG"/>
        </w:rPr>
        <w:t xml:space="preserve"> </w:t>
      </w:r>
      <w:r w:rsidRPr="00EB4C49">
        <w:rPr>
          <w:rFonts w:eastAsia="Times New Roman" w:cs="Arial"/>
          <w:color w:val="000000"/>
          <w:sz w:val="19"/>
          <w:szCs w:val="19"/>
          <w:lang w:eastAsia="bg-BG"/>
        </w:rPr>
        <w:t>систолна функция (фракция на изтласкване на лява камера ≤ 40%) при непоносимост към инхибиторите на ангиотензин-конвертиращия ензим (АСЕ инхибитори) или като допълнение към лечението с АСЕ инхибитори при пациенти със симптоматична сърдечна недостатъчност, при наличие на непоносимост към антагонистите на минералкортикоидните рецептори (вж. точки 4.2, 4.4,4,5 и 5.1).</w:t>
      </w:r>
    </w:p>
    <w:p w14:paraId="4B981811" w14:textId="77777777" w:rsidR="00EB4C49" w:rsidRPr="00EB4C49" w:rsidRDefault="00EB4C49" w:rsidP="00EB4C49"/>
    <w:p w14:paraId="53F5B866" w14:textId="7E4D77F3" w:rsidR="007122AD" w:rsidRDefault="002C50EE" w:rsidP="00936AD0">
      <w:pPr>
        <w:pStyle w:val="Heading2"/>
      </w:pPr>
      <w:r>
        <w:t>4.2. Дозировка и начин на приложение</w:t>
      </w:r>
    </w:p>
    <w:p w14:paraId="7CFF9930" w14:textId="74A4C6A3" w:rsidR="00EB4C49" w:rsidRDefault="00EB4C49" w:rsidP="00EB4C49"/>
    <w:p w14:paraId="54D9D2CC" w14:textId="77777777" w:rsidR="00EB4C49" w:rsidRPr="00EB4C49" w:rsidRDefault="00EB4C49" w:rsidP="00EB4C49">
      <w:pPr>
        <w:pStyle w:val="Heading3"/>
        <w:rPr>
          <w:rFonts w:eastAsia="Times New Roman"/>
          <w:u w:val="single"/>
        </w:rPr>
      </w:pPr>
      <w:r w:rsidRPr="00EB4C49">
        <w:rPr>
          <w:rFonts w:eastAsia="Times New Roman"/>
          <w:u w:val="single"/>
          <w:lang w:eastAsia="bg-BG"/>
        </w:rPr>
        <w:t>Дозировка</w:t>
      </w:r>
    </w:p>
    <w:p w14:paraId="4285F0B8" w14:textId="77777777" w:rsidR="00EB4C49" w:rsidRPr="00EB4C49" w:rsidRDefault="00EB4C49" w:rsidP="00EB4C49">
      <w:pPr>
        <w:spacing w:line="240" w:lineRule="auto"/>
        <w:rPr>
          <w:rFonts w:eastAsia="Times New Roman" w:cs="Arial"/>
          <w:i/>
          <w:iCs/>
          <w:color w:val="000000"/>
          <w:u w:val="single"/>
          <w:lang w:eastAsia="bg-BG"/>
        </w:rPr>
      </w:pPr>
    </w:p>
    <w:p w14:paraId="4378AFCE" w14:textId="1AAEE4A3"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Дозировка при артериална хипертония</w:t>
      </w:r>
    </w:p>
    <w:p w14:paraId="07FD478F" w14:textId="27236CA5" w:rsidR="00EB4C49" w:rsidRPr="00EB4C49" w:rsidRDefault="00EB4C49" w:rsidP="00EB4C49">
      <w:pPr>
        <w:spacing w:line="240" w:lineRule="auto"/>
        <w:rPr>
          <w:rFonts w:eastAsia="Times New Roman" w:cs="Arial"/>
          <w:color w:val="000000"/>
          <w:lang w:eastAsia="bg-BG"/>
        </w:rPr>
      </w:pPr>
      <w:r w:rsidRPr="00EB4C49">
        <w:rPr>
          <w:rFonts w:eastAsia="Times New Roman" w:cs="Arial"/>
          <w:color w:val="000000"/>
          <w:lang w:eastAsia="bg-BG"/>
        </w:rPr>
        <w:t xml:space="preserve">Препоръчителната начална доза и обичайната поддържаща доза на Кандекон е 8 </w:t>
      </w:r>
      <w:r w:rsidRPr="00EB4C49">
        <w:rPr>
          <w:rFonts w:eastAsia="Times New Roman" w:cs="Arial"/>
          <w:color w:val="000000"/>
          <w:lang w:val="en-US"/>
        </w:rPr>
        <w:t>mg</w:t>
      </w:r>
      <w:r w:rsidRPr="00EB4C49">
        <w:rPr>
          <w:rFonts w:eastAsia="Times New Roman" w:cs="Arial"/>
          <w:color w:val="000000"/>
          <w:lang w:val="ru-RU"/>
        </w:rPr>
        <w:t xml:space="preserve"> </w:t>
      </w:r>
      <w:r w:rsidRPr="00EB4C49">
        <w:rPr>
          <w:rFonts w:eastAsia="Times New Roman" w:cs="Arial"/>
          <w:color w:val="000000"/>
          <w:lang w:eastAsia="bg-BG"/>
        </w:rPr>
        <w:t xml:space="preserve">еднократно дневно. По-гол яма част от антихипертензивния ефект се постига в рамките на 4 седмици. При някои пациенти, чието артериално налягане не се контролира </w:t>
      </w:r>
      <w:r w:rsidRPr="00EB4C49">
        <w:rPr>
          <w:rFonts w:eastAsia="Times New Roman" w:cs="Arial"/>
          <w:color w:val="000000"/>
          <w:lang w:eastAsia="bg-BG"/>
        </w:rPr>
        <w:lastRenderedPageBreak/>
        <w:t xml:space="preserve">адекватно, дозата моиже да се повиши до 16 </w:t>
      </w:r>
      <w:r w:rsidRPr="00EB4C49">
        <w:rPr>
          <w:rFonts w:eastAsia="Times New Roman" w:cs="Arial"/>
          <w:color w:val="000000"/>
          <w:lang w:val="en-US"/>
        </w:rPr>
        <w:t>mg</w:t>
      </w:r>
      <w:r w:rsidRPr="00EB4C49">
        <w:rPr>
          <w:rFonts w:eastAsia="Times New Roman" w:cs="Arial"/>
          <w:color w:val="000000"/>
          <w:lang w:val="ru-RU"/>
        </w:rPr>
        <w:t xml:space="preserve"> </w:t>
      </w:r>
      <w:r w:rsidRPr="00EB4C49">
        <w:rPr>
          <w:rFonts w:eastAsia="Times New Roman" w:cs="Arial"/>
          <w:color w:val="000000"/>
          <w:lang w:eastAsia="bg-BG"/>
        </w:rPr>
        <w:t xml:space="preserve">еднократно дневно и до максимална доза 32 </w:t>
      </w:r>
      <w:r w:rsidRPr="00EB4C49">
        <w:rPr>
          <w:rFonts w:eastAsia="Times New Roman" w:cs="Arial"/>
          <w:color w:val="000000"/>
          <w:lang w:val="en-US"/>
        </w:rPr>
        <w:t>mg</w:t>
      </w:r>
      <w:r w:rsidRPr="00EB4C49">
        <w:rPr>
          <w:rFonts w:eastAsia="Times New Roman" w:cs="Arial"/>
          <w:color w:val="000000"/>
          <w:lang w:eastAsia="bg-BG"/>
        </w:rPr>
        <w:t xml:space="preserve"> еднократно дневно Терапията трябва да се коригира в зависимост от повлияването на артериалното налягане.</w:t>
      </w:r>
    </w:p>
    <w:p w14:paraId="150BB050" w14:textId="7C77B3A4" w:rsidR="00EB4C49" w:rsidRPr="00EB4C49" w:rsidRDefault="00EB4C49" w:rsidP="00EB4C49">
      <w:pPr>
        <w:spacing w:line="240" w:lineRule="auto"/>
        <w:rPr>
          <w:rFonts w:eastAsia="Times New Roman" w:cs="Arial"/>
          <w:color w:val="000000"/>
          <w:lang w:eastAsia="bg-BG"/>
        </w:rPr>
      </w:pPr>
    </w:p>
    <w:p w14:paraId="1663361A"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 xml:space="preserve">Кандекон може да се прилага също и с други антихипертензивни средства (вж. точки </w:t>
      </w:r>
      <w:r w:rsidRPr="00EB4C49">
        <w:rPr>
          <w:rFonts w:eastAsia="Times New Roman" w:cs="Arial"/>
          <w:i/>
          <w:iCs/>
          <w:color w:val="000000"/>
          <w:lang w:eastAsia="bg-BG"/>
        </w:rPr>
        <w:t>4.3,</w:t>
      </w:r>
      <w:r w:rsidRPr="00EB4C49">
        <w:rPr>
          <w:rFonts w:eastAsia="Times New Roman" w:cs="Arial"/>
          <w:color w:val="000000"/>
          <w:lang w:eastAsia="bg-BG"/>
        </w:rPr>
        <w:t xml:space="preserve"> 4.4, 4.5 и 5.1). Има данни, че добавянето на хидрохлоротиазид дава адитивен антихипертензивен ефект при различни дози кандесартан.</w:t>
      </w:r>
    </w:p>
    <w:p w14:paraId="5CEF3713" w14:textId="77777777" w:rsidR="00EB4C49" w:rsidRPr="00EB4C49" w:rsidRDefault="00EB4C49" w:rsidP="00EB4C49">
      <w:pPr>
        <w:spacing w:line="240" w:lineRule="auto"/>
        <w:rPr>
          <w:rFonts w:eastAsia="Times New Roman" w:cs="Arial"/>
          <w:i/>
          <w:iCs/>
          <w:color w:val="000000"/>
          <w:lang w:eastAsia="bg-BG"/>
        </w:rPr>
      </w:pPr>
    </w:p>
    <w:p w14:paraId="771F4BAC" w14:textId="472B231F" w:rsidR="00EB4C49" w:rsidRPr="00EB4C49" w:rsidRDefault="00EB4C49" w:rsidP="00EB4C49">
      <w:pPr>
        <w:spacing w:line="240" w:lineRule="auto"/>
        <w:rPr>
          <w:rFonts w:eastAsia="Times New Roman" w:cs="Arial"/>
        </w:rPr>
      </w:pPr>
      <w:r w:rsidRPr="00EB4C49">
        <w:rPr>
          <w:rFonts w:eastAsia="Times New Roman" w:cs="Arial"/>
          <w:i/>
          <w:iCs/>
          <w:color w:val="000000"/>
          <w:lang w:eastAsia="bg-BG"/>
        </w:rPr>
        <w:t>Пациенти в старческа възраст</w:t>
      </w:r>
    </w:p>
    <w:p w14:paraId="06A70996"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При пациенти в старческа възраст не е необходима корекция на началната доза.</w:t>
      </w:r>
    </w:p>
    <w:p w14:paraId="619099DD" w14:textId="77777777" w:rsidR="00EB4C49" w:rsidRPr="00EB4C49" w:rsidRDefault="00EB4C49" w:rsidP="00EB4C49">
      <w:pPr>
        <w:spacing w:line="240" w:lineRule="auto"/>
        <w:rPr>
          <w:rFonts w:eastAsia="Times New Roman" w:cs="Arial"/>
          <w:i/>
          <w:iCs/>
          <w:color w:val="000000"/>
          <w:lang w:eastAsia="bg-BG"/>
        </w:rPr>
      </w:pPr>
    </w:p>
    <w:p w14:paraId="51277BF5" w14:textId="6020B36F" w:rsidR="00EB4C49" w:rsidRPr="00EB4C49" w:rsidRDefault="00EB4C49" w:rsidP="00EB4C49">
      <w:pPr>
        <w:spacing w:line="240" w:lineRule="auto"/>
        <w:rPr>
          <w:rFonts w:eastAsia="Times New Roman" w:cs="Arial"/>
        </w:rPr>
      </w:pPr>
      <w:r w:rsidRPr="00EB4C49">
        <w:rPr>
          <w:rFonts w:eastAsia="Times New Roman" w:cs="Arial"/>
          <w:i/>
          <w:iCs/>
          <w:color w:val="000000"/>
          <w:lang w:eastAsia="bg-BG"/>
        </w:rPr>
        <w:t>Пациенти с намален вътресъдов обем</w:t>
      </w:r>
    </w:p>
    <w:p w14:paraId="72CB563E"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 xml:space="preserve">Начална доза от 4 </w:t>
      </w:r>
      <w:r w:rsidRPr="00EB4C49">
        <w:rPr>
          <w:rFonts w:eastAsia="Times New Roman" w:cs="Arial"/>
          <w:color w:val="000000"/>
          <w:lang w:val="en-US"/>
        </w:rPr>
        <w:t>mg</w:t>
      </w:r>
      <w:r w:rsidRPr="00EB4C49">
        <w:rPr>
          <w:rFonts w:eastAsia="Times New Roman" w:cs="Arial"/>
          <w:color w:val="000000"/>
          <w:lang w:val="ru-RU"/>
        </w:rPr>
        <w:t xml:space="preserve"> </w:t>
      </w:r>
      <w:r w:rsidRPr="00EB4C49">
        <w:rPr>
          <w:rFonts w:eastAsia="Times New Roman" w:cs="Arial"/>
          <w:color w:val="000000"/>
          <w:lang w:eastAsia="bg-BG"/>
        </w:rPr>
        <w:t>може да се има предвид при рискови за развитие на хипотония пациенти, като например такива с евентуално намален вътресъдов обем (вж. точка 4,4).</w:t>
      </w:r>
    </w:p>
    <w:p w14:paraId="54CEDFB8" w14:textId="77777777" w:rsidR="00EB4C49" w:rsidRPr="00EB4C49" w:rsidRDefault="00EB4C49" w:rsidP="00EB4C49">
      <w:pPr>
        <w:spacing w:line="240" w:lineRule="auto"/>
        <w:rPr>
          <w:rFonts w:eastAsia="Times New Roman" w:cs="Arial"/>
          <w:i/>
          <w:iCs/>
          <w:color w:val="000000"/>
          <w:lang w:eastAsia="bg-BG"/>
        </w:rPr>
      </w:pPr>
    </w:p>
    <w:p w14:paraId="7DB88C78" w14:textId="036BACBF" w:rsidR="00EB4C49" w:rsidRPr="00EB4C49" w:rsidRDefault="00EB4C49" w:rsidP="00EB4C49">
      <w:pPr>
        <w:spacing w:line="240" w:lineRule="auto"/>
        <w:rPr>
          <w:rFonts w:eastAsia="Times New Roman" w:cs="Arial"/>
        </w:rPr>
      </w:pPr>
      <w:r w:rsidRPr="00EB4C49">
        <w:rPr>
          <w:rFonts w:eastAsia="Times New Roman" w:cs="Arial"/>
          <w:i/>
          <w:iCs/>
          <w:color w:val="000000"/>
          <w:lang w:eastAsia="bg-BG"/>
        </w:rPr>
        <w:t>Пациенти с бъбречно увреждане</w:t>
      </w:r>
    </w:p>
    <w:p w14:paraId="2BF1D2DA"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 xml:space="preserve">Началната доза при пациенти с бъбречно увреждане, включително пациенти на хемодиализа, е 4 </w:t>
      </w:r>
      <w:r w:rsidRPr="00EB4C49">
        <w:rPr>
          <w:rFonts w:eastAsia="Times New Roman" w:cs="Arial"/>
          <w:color w:val="000000"/>
          <w:lang w:val="en-US"/>
        </w:rPr>
        <w:t>mg</w:t>
      </w:r>
      <w:r w:rsidRPr="00EB4C49">
        <w:rPr>
          <w:rFonts w:eastAsia="Times New Roman" w:cs="Arial"/>
          <w:color w:val="000000"/>
          <w:lang w:val="ru-RU"/>
        </w:rPr>
        <w:t xml:space="preserve">. </w:t>
      </w:r>
      <w:r w:rsidRPr="00EB4C49">
        <w:rPr>
          <w:rFonts w:eastAsia="Times New Roman" w:cs="Arial"/>
          <w:color w:val="000000"/>
          <w:lang w:eastAsia="bg-BG"/>
        </w:rPr>
        <w:t xml:space="preserve">Дозата трябва да се титрира в зависимост от отговора. Опитът при пациенти с много тежка или терминална бъбречна недостатъчност </w:t>
      </w:r>
      <w:r w:rsidRPr="00EB4C49">
        <w:rPr>
          <w:rFonts w:eastAsia="Times New Roman" w:cs="Arial"/>
          <w:color w:val="000000"/>
          <w:lang w:val="ru-RU"/>
        </w:rPr>
        <w:t>(</w:t>
      </w:r>
      <w:proofErr w:type="spellStart"/>
      <w:r w:rsidRPr="00EB4C49">
        <w:rPr>
          <w:rFonts w:eastAsia="Times New Roman" w:cs="Arial"/>
          <w:color w:val="000000"/>
          <w:lang w:val="en-US"/>
        </w:rPr>
        <w:t>Clcr</w:t>
      </w:r>
      <w:proofErr w:type="spellEnd"/>
      <w:r w:rsidRPr="00EB4C49">
        <w:rPr>
          <w:rFonts w:eastAsia="Times New Roman" w:cs="Arial"/>
          <w:color w:val="000000"/>
          <w:lang w:val="ru-RU"/>
        </w:rPr>
        <w:t>&lt;</w:t>
      </w:r>
      <w:r w:rsidRPr="00EB4C49">
        <w:rPr>
          <w:rFonts w:eastAsia="Times New Roman" w:cs="Arial"/>
          <w:color w:val="000000"/>
          <w:lang w:eastAsia="bg-BG"/>
        </w:rPr>
        <w:t xml:space="preserve">15 </w:t>
      </w:r>
      <w:r w:rsidRPr="00EB4C49">
        <w:rPr>
          <w:rFonts w:eastAsia="Times New Roman" w:cs="Arial"/>
          <w:color w:val="000000"/>
          <w:lang w:val="en-US"/>
        </w:rPr>
        <w:t>ml</w:t>
      </w:r>
      <w:r w:rsidRPr="00EB4C49">
        <w:rPr>
          <w:rFonts w:eastAsia="Times New Roman" w:cs="Arial"/>
          <w:color w:val="000000"/>
          <w:lang w:val="ru-RU"/>
        </w:rPr>
        <w:t>/</w:t>
      </w:r>
      <w:r w:rsidRPr="00EB4C49">
        <w:rPr>
          <w:rFonts w:eastAsia="Times New Roman" w:cs="Arial"/>
          <w:color w:val="000000"/>
          <w:lang w:val="en-US"/>
        </w:rPr>
        <w:t>min</w:t>
      </w:r>
      <w:r w:rsidRPr="00EB4C49">
        <w:rPr>
          <w:rFonts w:eastAsia="Times New Roman" w:cs="Arial"/>
          <w:color w:val="000000"/>
          <w:lang w:val="ru-RU"/>
        </w:rPr>
        <w:t xml:space="preserve">) </w:t>
      </w:r>
      <w:r w:rsidRPr="00EB4C49">
        <w:rPr>
          <w:rFonts w:eastAsia="Times New Roman" w:cs="Arial"/>
          <w:color w:val="000000"/>
          <w:lang w:eastAsia="bg-BG"/>
        </w:rPr>
        <w:t>е ограничен (вж, точка 4.4).</w:t>
      </w:r>
    </w:p>
    <w:p w14:paraId="2EB432CB" w14:textId="77777777" w:rsidR="00EB4C49" w:rsidRPr="00EB4C49" w:rsidRDefault="00EB4C49" w:rsidP="00EB4C49">
      <w:pPr>
        <w:spacing w:line="240" w:lineRule="auto"/>
        <w:rPr>
          <w:rFonts w:eastAsia="Times New Roman" w:cs="Arial"/>
          <w:i/>
          <w:iCs/>
          <w:color w:val="000000"/>
          <w:lang w:eastAsia="bg-BG"/>
        </w:rPr>
      </w:pPr>
    </w:p>
    <w:p w14:paraId="7732C763" w14:textId="1F6988DC" w:rsidR="00EB4C49" w:rsidRPr="00EB4C49" w:rsidRDefault="00EB4C49" w:rsidP="00EB4C49">
      <w:pPr>
        <w:spacing w:line="240" w:lineRule="auto"/>
        <w:rPr>
          <w:rFonts w:eastAsia="Times New Roman" w:cs="Arial"/>
        </w:rPr>
      </w:pPr>
      <w:r w:rsidRPr="00EB4C49">
        <w:rPr>
          <w:rFonts w:eastAsia="Times New Roman" w:cs="Arial"/>
          <w:i/>
          <w:iCs/>
          <w:color w:val="000000"/>
          <w:lang w:eastAsia="bg-BG"/>
        </w:rPr>
        <w:t>Пациенти с чернодробно увреждане</w:t>
      </w:r>
    </w:p>
    <w:p w14:paraId="72182B21"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 xml:space="preserve">При пациенти с леко до умерено чернодробно увреждане се препоръчва начална доза 4 </w:t>
      </w:r>
      <w:r w:rsidRPr="00EB4C49">
        <w:rPr>
          <w:rFonts w:eastAsia="Times New Roman" w:cs="Arial"/>
          <w:color w:val="000000"/>
          <w:lang w:val="en-US"/>
        </w:rPr>
        <w:t>mg</w:t>
      </w:r>
      <w:r w:rsidRPr="00EB4C49">
        <w:rPr>
          <w:rFonts w:eastAsia="Times New Roman" w:cs="Arial"/>
          <w:color w:val="000000"/>
          <w:lang w:val="ru-RU"/>
        </w:rPr>
        <w:t xml:space="preserve"> </w:t>
      </w:r>
      <w:r w:rsidRPr="00EB4C49">
        <w:rPr>
          <w:rFonts w:eastAsia="Times New Roman" w:cs="Arial"/>
          <w:color w:val="000000"/>
          <w:lang w:eastAsia="bg-BG"/>
        </w:rPr>
        <w:t>еднократно дневно. Дозата може да се коригира в зависимост от отговора, Кандекон е противопоказан при пациенти с тежко чернодробно увреждане и/или холестаза, (вж. точки 4,3 и 5.2).</w:t>
      </w:r>
    </w:p>
    <w:p w14:paraId="67E36625" w14:textId="77777777" w:rsidR="00EB4C49" w:rsidRPr="00EB4C49" w:rsidRDefault="00EB4C49" w:rsidP="00EB4C49">
      <w:pPr>
        <w:spacing w:line="240" w:lineRule="auto"/>
        <w:rPr>
          <w:rFonts w:eastAsia="Times New Roman" w:cs="Arial"/>
          <w:i/>
          <w:iCs/>
          <w:color w:val="000000"/>
          <w:lang w:eastAsia="bg-BG"/>
        </w:rPr>
      </w:pPr>
    </w:p>
    <w:p w14:paraId="243B8F18" w14:textId="520D6B8A" w:rsidR="00EB4C49" w:rsidRPr="00EB4C49" w:rsidRDefault="00EB4C49" w:rsidP="00EB4C49">
      <w:pPr>
        <w:spacing w:line="240" w:lineRule="auto"/>
        <w:rPr>
          <w:rFonts w:eastAsia="Times New Roman" w:cs="Arial"/>
        </w:rPr>
      </w:pPr>
      <w:r w:rsidRPr="00EB4C49">
        <w:rPr>
          <w:rFonts w:eastAsia="Times New Roman" w:cs="Arial"/>
          <w:i/>
          <w:iCs/>
          <w:color w:val="000000"/>
          <w:lang w:eastAsia="bg-BG"/>
        </w:rPr>
        <w:t>Чернокожи пациенти</w:t>
      </w:r>
    </w:p>
    <w:p w14:paraId="1BED5A2C"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При чернокожи пациенти антихипертензивният ефект на кандесартан е по-слабо изразен, отколкото при нечернокожи пациенти. Следователно при чернокожи пациенти, в сравнение с не-чернокожи пациенти, за постигане на контрол на артериалното налягане може по-често да се налага възходящо титриране на дозата на Кандекон и едновременно прилаганите лекарствени продукти (вж. точка 5.1).</w:t>
      </w:r>
    </w:p>
    <w:p w14:paraId="5A204DEC" w14:textId="77777777" w:rsidR="00EB4C49" w:rsidRPr="00EB4C49" w:rsidRDefault="00EB4C49" w:rsidP="00EB4C49">
      <w:pPr>
        <w:spacing w:line="240" w:lineRule="auto"/>
        <w:rPr>
          <w:rFonts w:eastAsia="Times New Roman" w:cs="Arial"/>
          <w:i/>
          <w:iCs/>
          <w:color w:val="000000"/>
          <w:lang w:eastAsia="bg-BG"/>
        </w:rPr>
      </w:pPr>
    </w:p>
    <w:p w14:paraId="7BA90446" w14:textId="6D04543B" w:rsidR="00EB4C49" w:rsidRPr="00EB4C49" w:rsidRDefault="00EB4C49" w:rsidP="00EB4C49">
      <w:pPr>
        <w:spacing w:line="240" w:lineRule="auto"/>
        <w:rPr>
          <w:rFonts w:eastAsia="Times New Roman" w:cs="Arial"/>
        </w:rPr>
      </w:pPr>
      <w:r w:rsidRPr="00EB4C49">
        <w:rPr>
          <w:rFonts w:eastAsia="Times New Roman" w:cs="Arial"/>
          <w:i/>
          <w:iCs/>
          <w:color w:val="000000"/>
          <w:lang w:eastAsia="bg-BG"/>
        </w:rPr>
        <w:t>Педиатрична популация</w:t>
      </w:r>
    </w:p>
    <w:p w14:paraId="3E26AE95" w14:textId="77777777" w:rsidR="00EB4C49" w:rsidRPr="00EB4C49" w:rsidRDefault="00EB4C49" w:rsidP="00EB4C49">
      <w:pPr>
        <w:spacing w:line="240" w:lineRule="auto"/>
        <w:rPr>
          <w:rFonts w:eastAsia="Times New Roman" w:cs="Arial"/>
          <w:i/>
          <w:iCs/>
          <w:color w:val="000000"/>
          <w:u w:val="single"/>
          <w:lang w:eastAsia="bg-BG"/>
        </w:rPr>
      </w:pPr>
    </w:p>
    <w:p w14:paraId="1E15FDC6" w14:textId="19D2918E"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Деца и юноши на възраст от 6 до &lt;18 години</w:t>
      </w:r>
    </w:p>
    <w:p w14:paraId="4CB550A6"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 xml:space="preserve">Препоръчителната начална доза е 4 </w:t>
      </w:r>
      <w:r w:rsidRPr="00EB4C49">
        <w:rPr>
          <w:rFonts w:eastAsia="Times New Roman" w:cs="Arial"/>
          <w:color w:val="000000"/>
          <w:lang w:val="en-US"/>
        </w:rPr>
        <w:t>mg</w:t>
      </w:r>
      <w:r w:rsidRPr="00EB4C49">
        <w:rPr>
          <w:rFonts w:eastAsia="Times New Roman" w:cs="Arial"/>
          <w:color w:val="000000"/>
          <w:lang w:val="ru-RU"/>
        </w:rPr>
        <w:t xml:space="preserve"> </w:t>
      </w:r>
      <w:r w:rsidRPr="00EB4C49">
        <w:rPr>
          <w:rFonts w:eastAsia="Times New Roman" w:cs="Arial"/>
          <w:color w:val="000000"/>
          <w:lang w:eastAsia="bg-BG"/>
        </w:rPr>
        <w:t>веднъж дневно.</w:t>
      </w:r>
    </w:p>
    <w:p w14:paraId="362B24DD" w14:textId="77777777" w:rsidR="00EB4C49" w:rsidRPr="00EB4C49" w:rsidRDefault="00EB4C49" w:rsidP="00EB4C49">
      <w:pPr>
        <w:spacing w:line="240" w:lineRule="auto"/>
        <w:rPr>
          <w:rFonts w:eastAsia="Times New Roman" w:cs="Arial"/>
          <w:color w:val="000000"/>
          <w:lang w:eastAsia="bg-BG"/>
        </w:rPr>
      </w:pPr>
    </w:p>
    <w:p w14:paraId="4CA9AA43" w14:textId="77777777" w:rsidR="00EB4C49" w:rsidRPr="00EB4C49" w:rsidRDefault="00EB4C49" w:rsidP="00EB4C49">
      <w:pPr>
        <w:pStyle w:val="ListParagraph"/>
        <w:numPr>
          <w:ilvl w:val="0"/>
          <w:numId w:val="38"/>
        </w:numPr>
        <w:spacing w:line="240" w:lineRule="auto"/>
        <w:rPr>
          <w:rFonts w:eastAsia="Times New Roman" w:cs="Arial"/>
          <w:color w:val="000000"/>
          <w:lang w:eastAsia="bg-BG"/>
        </w:rPr>
      </w:pPr>
      <w:r w:rsidRPr="00EB4C49">
        <w:rPr>
          <w:rFonts w:eastAsia="Times New Roman" w:cs="Arial"/>
          <w:color w:val="000000"/>
          <w:lang w:eastAsia="bg-BG"/>
        </w:rPr>
        <w:t xml:space="preserve">Пациенти с телесно тегло &lt; 50 </w:t>
      </w:r>
      <w:r w:rsidRPr="00EB4C49">
        <w:rPr>
          <w:rFonts w:eastAsia="Times New Roman" w:cs="Arial"/>
          <w:color w:val="000000"/>
          <w:lang w:val="en-US"/>
        </w:rPr>
        <w:t>kg</w:t>
      </w:r>
      <w:r w:rsidRPr="00EB4C49">
        <w:rPr>
          <w:rFonts w:eastAsia="Times New Roman" w:cs="Arial"/>
          <w:color w:val="000000"/>
          <w:lang w:val="ru-RU"/>
        </w:rPr>
        <w:t xml:space="preserve">: </w:t>
      </w:r>
      <w:r w:rsidRPr="00EB4C49">
        <w:rPr>
          <w:rFonts w:eastAsia="Times New Roman" w:cs="Arial"/>
          <w:color w:val="000000"/>
          <w:lang w:eastAsia="bg-BG"/>
        </w:rPr>
        <w:t xml:space="preserve">При пациенти, чието артериално налягане не е под адекватен контрол, дозата може да бъде повишена до максимум 8 </w:t>
      </w:r>
      <w:r w:rsidRPr="00EB4C49">
        <w:rPr>
          <w:rFonts w:eastAsia="Times New Roman" w:cs="Arial"/>
          <w:color w:val="000000"/>
          <w:lang w:val="en-US"/>
        </w:rPr>
        <w:t>mg</w:t>
      </w:r>
      <w:r w:rsidRPr="00EB4C49">
        <w:rPr>
          <w:rFonts w:eastAsia="Times New Roman" w:cs="Arial"/>
          <w:color w:val="000000"/>
          <w:lang w:val="ru-RU"/>
        </w:rPr>
        <w:t xml:space="preserve"> </w:t>
      </w:r>
      <w:r w:rsidRPr="00EB4C49">
        <w:rPr>
          <w:rFonts w:eastAsia="Times New Roman" w:cs="Arial"/>
          <w:color w:val="000000"/>
          <w:lang w:eastAsia="bg-BG"/>
        </w:rPr>
        <w:t>веднъж дневно.</w:t>
      </w:r>
    </w:p>
    <w:p w14:paraId="5678AE81" w14:textId="22E52ADA" w:rsidR="00EB4C49" w:rsidRPr="00EB4C49" w:rsidRDefault="00EB4C49" w:rsidP="00EB4C49">
      <w:pPr>
        <w:pStyle w:val="ListParagraph"/>
        <w:numPr>
          <w:ilvl w:val="0"/>
          <w:numId w:val="38"/>
        </w:numPr>
        <w:spacing w:line="240" w:lineRule="auto"/>
        <w:rPr>
          <w:rFonts w:eastAsia="Times New Roman" w:cs="Arial"/>
          <w:color w:val="000000"/>
          <w:lang w:eastAsia="bg-BG"/>
        </w:rPr>
      </w:pPr>
      <w:r w:rsidRPr="00EB4C49">
        <w:rPr>
          <w:rFonts w:eastAsia="Times New Roman" w:cs="Arial"/>
          <w:color w:val="000000"/>
          <w:lang w:eastAsia="bg-BG"/>
        </w:rPr>
        <w:t xml:space="preserve">Пациенти с телесно тегло ≥ 50 </w:t>
      </w:r>
      <w:r w:rsidRPr="00EB4C49">
        <w:rPr>
          <w:rFonts w:eastAsia="Times New Roman" w:cs="Arial"/>
          <w:color w:val="000000"/>
          <w:lang w:val="en-US"/>
        </w:rPr>
        <w:t>kg</w:t>
      </w:r>
      <w:r w:rsidRPr="00EB4C49">
        <w:rPr>
          <w:rFonts w:eastAsia="Times New Roman" w:cs="Arial"/>
          <w:color w:val="000000"/>
          <w:lang w:val="ru-RU"/>
        </w:rPr>
        <w:t xml:space="preserve">: </w:t>
      </w:r>
      <w:r w:rsidRPr="00EB4C49">
        <w:rPr>
          <w:rFonts w:eastAsia="Times New Roman" w:cs="Arial"/>
          <w:color w:val="000000"/>
          <w:lang w:eastAsia="bg-BG"/>
        </w:rPr>
        <w:t xml:space="preserve">При пациенти, чието артериално налягане не е под адекватен контрол, дозата може да бъде повишена до 8 </w:t>
      </w:r>
      <w:r w:rsidRPr="00EB4C49">
        <w:rPr>
          <w:rFonts w:eastAsia="Times New Roman" w:cs="Arial"/>
          <w:color w:val="000000"/>
          <w:lang w:val="en-US"/>
        </w:rPr>
        <w:t>mg</w:t>
      </w:r>
      <w:r w:rsidRPr="00EB4C49">
        <w:rPr>
          <w:rFonts w:eastAsia="Times New Roman" w:cs="Arial"/>
          <w:color w:val="000000"/>
          <w:lang w:val="ru-RU"/>
        </w:rPr>
        <w:t xml:space="preserve"> </w:t>
      </w:r>
      <w:r w:rsidRPr="00EB4C49">
        <w:rPr>
          <w:rFonts w:eastAsia="Times New Roman" w:cs="Arial"/>
          <w:color w:val="000000"/>
          <w:lang w:eastAsia="bg-BG"/>
        </w:rPr>
        <w:t xml:space="preserve">веднъж дневно, след което, ако това е необходимо - до 16 </w:t>
      </w:r>
      <w:r w:rsidRPr="00EB4C49">
        <w:rPr>
          <w:rFonts w:eastAsia="Times New Roman" w:cs="Arial"/>
          <w:color w:val="000000"/>
          <w:lang w:val="en-US"/>
        </w:rPr>
        <w:t>mg</w:t>
      </w:r>
      <w:r w:rsidRPr="00EB4C49">
        <w:rPr>
          <w:rFonts w:eastAsia="Times New Roman" w:cs="Arial"/>
          <w:color w:val="000000"/>
          <w:lang w:val="ru-RU"/>
        </w:rPr>
        <w:t xml:space="preserve"> </w:t>
      </w:r>
      <w:r w:rsidRPr="00EB4C49">
        <w:rPr>
          <w:rFonts w:eastAsia="Times New Roman" w:cs="Arial"/>
          <w:color w:val="000000"/>
          <w:lang w:eastAsia="bg-BG"/>
        </w:rPr>
        <w:t>веднъж дневно (вж. точка 5.1).</w:t>
      </w:r>
    </w:p>
    <w:p w14:paraId="222BA1ED" w14:textId="77777777" w:rsidR="00EB4C49" w:rsidRPr="00EB4C49" w:rsidRDefault="00EB4C49" w:rsidP="00EB4C49">
      <w:pPr>
        <w:spacing w:line="240" w:lineRule="auto"/>
        <w:rPr>
          <w:rFonts w:eastAsia="Times New Roman" w:cs="Arial"/>
          <w:color w:val="000000"/>
          <w:lang w:eastAsia="bg-BG"/>
        </w:rPr>
      </w:pPr>
    </w:p>
    <w:p w14:paraId="6ECB5BEF" w14:textId="23F5A79B" w:rsidR="00EB4C49" w:rsidRPr="00EB4C49" w:rsidRDefault="00EB4C49" w:rsidP="00EB4C49">
      <w:pPr>
        <w:spacing w:line="240" w:lineRule="auto"/>
        <w:rPr>
          <w:rFonts w:eastAsia="Times New Roman" w:cs="Arial"/>
        </w:rPr>
      </w:pPr>
      <w:r w:rsidRPr="00EB4C49">
        <w:rPr>
          <w:rFonts w:eastAsia="Times New Roman" w:cs="Arial"/>
          <w:color w:val="000000"/>
          <w:lang w:eastAsia="bg-BG"/>
        </w:rPr>
        <w:t xml:space="preserve">Дозировки над 32 </w:t>
      </w:r>
      <w:r w:rsidRPr="00EB4C49">
        <w:rPr>
          <w:rFonts w:eastAsia="Times New Roman" w:cs="Arial"/>
          <w:color w:val="000000"/>
          <w:lang w:val="en-US"/>
        </w:rPr>
        <w:t>mg</w:t>
      </w:r>
      <w:r w:rsidRPr="00EB4C49">
        <w:rPr>
          <w:rFonts w:eastAsia="Times New Roman" w:cs="Arial"/>
          <w:color w:val="000000"/>
          <w:lang w:val="ru-RU"/>
        </w:rPr>
        <w:t xml:space="preserve"> </w:t>
      </w:r>
      <w:r w:rsidRPr="00EB4C49">
        <w:rPr>
          <w:rFonts w:eastAsia="Times New Roman" w:cs="Arial"/>
          <w:color w:val="000000"/>
          <w:lang w:eastAsia="bg-BG"/>
        </w:rPr>
        <w:t>не са проучвани при педиатрични пациенти.</w:t>
      </w:r>
    </w:p>
    <w:p w14:paraId="52615E5A" w14:textId="77777777" w:rsidR="00EB4C49" w:rsidRPr="00EB4C49" w:rsidRDefault="00EB4C49" w:rsidP="00EB4C49">
      <w:pPr>
        <w:spacing w:line="240" w:lineRule="auto"/>
        <w:rPr>
          <w:rFonts w:eastAsia="Times New Roman" w:cs="Arial"/>
          <w:color w:val="000000"/>
          <w:lang w:eastAsia="bg-BG"/>
        </w:rPr>
      </w:pPr>
    </w:p>
    <w:p w14:paraId="0A92CE32" w14:textId="7EEFD8E9" w:rsidR="00EB4C49" w:rsidRPr="00EB4C49" w:rsidRDefault="00EB4C49" w:rsidP="00EB4C49">
      <w:pPr>
        <w:spacing w:line="240" w:lineRule="auto"/>
        <w:rPr>
          <w:rFonts w:eastAsia="Times New Roman" w:cs="Arial"/>
        </w:rPr>
      </w:pPr>
      <w:r w:rsidRPr="00EB4C49">
        <w:rPr>
          <w:rFonts w:eastAsia="Times New Roman" w:cs="Arial"/>
          <w:color w:val="000000"/>
          <w:lang w:eastAsia="bg-BG"/>
        </w:rPr>
        <w:t>Основната част от антихипертензивния ефект се разгръща до 4 седмици.</w:t>
      </w:r>
    </w:p>
    <w:p w14:paraId="0EAE6CB0" w14:textId="77777777" w:rsidR="00EB4C49" w:rsidRPr="00EB4C49" w:rsidRDefault="00EB4C49" w:rsidP="00EB4C49">
      <w:pPr>
        <w:spacing w:line="240" w:lineRule="auto"/>
        <w:rPr>
          <w:rFonts w:eastAsia="Times New Roman" w:cs="Arial"/>
          <w:color w:val="000000"/>
          <w:lang w:eastAsia="bg-BG"/>
        </w:rPr>
      </w:pPr>
    </w:p>
    <w:p w14:paraId="3CFD1D12" w14:textId="7C6D7856" w:rsidR="00EB4C49" w:rsidRPr="00EB4C49" w:rsidRDefault="00EB4C49" w:rsidP="00EB4C49">
      <w:pPr>
        <w:spacing w:line="240" w:lineRule="auto"/>
        <w:rPr>
          <w:rFonts w:eastAsia="Times New Roman" w:cs="Arial"/>
        </w:rPr>
      </w:pPr>
      <w:r w:rsidRPr="00EB4C49">
        <w:rPr>
          <w:rFonts w:eastAsia="Times New Roman" w:cs="Arial"/>
          <w:color w:val="000000"/>
          <w:lang w:eastAsia="bg-BG"/>
        </w:rPr>
        <w:lastRenderedPageBreak/>
        <w:t>При деца с възможно вътресъдово обемно изчерпване (напр. пациенти, лекувани с диуретици, особено такива с нарушена бъбречна функция), лечението с кандесартан трябва да се инициира под строго медицинско наблюдение и следва да се обсъди по-ниска начална доза от обичайната (вж. точка 4.4).</w:t>
      </w:r>
    </w:p>
    <w:p w14:paraId="25DAE6AA" w14:textId="77777777" w:rsidR="00EB4C49" w:rsidRPr="00EB4C49" w:rsidRDefault="00EB4C49" w:rsidP="00EB4C49">
      <w:pPr>
        <w:spacing w:line="240" w:lineRule="auto"/>
        <w:rPr>
          <w:rFonts w:eastAsia="Times New Roman" w:cs="Arial"/>
          <w:color w:val="000000"/>
          <w:lang w:eastAsia="bg-BG"/>
        </w:rPr>
      </w:pPr>
    </w:p>
    <w:p w14:paraId="55510B43" w14:textId="548C4FB6" w:rsidR="00EB4C49" w:rsidRPr="00EB4C49" w:rsidRDefault="00EB4C49" w:rsidP="00EB4C49">
      <w:pPr>
        <w:spacing w:line="240" w:lineRule="auto"/>
        <w:rPr>
          <w:rFonts w:eastAsia="Times New Roman" w:cs="Arial"/>
        </w:rPr>
      </w:pPr>
      <w:r w:rsidRPr="00EB4C49">
        <w:rPr>
          <w:rFonts w:eastAsia="Times New Roman" w:cs="Arial"/>
          <w:color w:val="000000"/>
          <w:lang w:eastAsia="bg-BG"/>
        </w:rPr>
        <w:t xml:space="preserve">Кандесартан не е проучван при деца със скорост на гломерулна филтрация под 30 </w:t>
      </w:r>
      <w:r w:rsidRPr="00EB4C49">
        <w:rPr>
          <w:rFonts w:eastAsia="Times New Roman" w:cs="Arial"/>
          <w:color w:val="000000"/>
          <w:lang w:val="en-US"/>
        </w:rPr>
        <w:t>ml</w:t>
      </w:r>
      <w:r w:rsidRPr="00EB4C49">
        <w:rPr>
          <w:rFonts w:eastAsia="Times New Roman" w:cs="Arial"/>
          <w:color w:val="000000"/>
          <w:lang w:val="ru-RU"/>
        </w:rPr>
        <w:t>/</w:t>
      </w:r>
      <w:r w:rsidRPr="00EB4C49">
        <w:rPr>
          <w:rFonts w:eastAsia="Times New Roman" w:cs="Arial"/>
          <w:color w:val="000000"/>
          <w:lang w:val="en-US"/>
        </w:rPr>
        <w:t>min</w:t>
      </w:r>
      <w:r w:rsidRPr="00EB4C49">
        <w:rPr>
          <w:rFonts w:eastAsia="Times New Roman" w:cs="Arial"/>
          <w:color w:val="000000"/>
          <w:lang w:val="ru-RU"/>
        </w:rPr>
        <w:t xml:space="preserve"> </w:t>
      </w:r>
      <w:r w:rsidRPr="00EB4C49">
        <w:rPr>
          <w:rFonts w:eastAsia="Times New Roman" w:cs="Arial"/>
          <w:color w:val="000000"/>
          <w:lang w:eastAsia="bg-BG"/>
        </w:rPr>
        <w:t>(вж. точка 4.4).</w:t>
      </w:r>
    </w:p>
    <w:p w14:paraId="1484D97C" w14:textId="77777777" w:rsidR="00EB4C49" w:rsidRPr="00EB4C49" w:rsidRDefault="00EB4C49" w:rsidP="00EB4C49">
      <w:pPr>
        <w:spacing w:line="240" w:lineRule="auto"/>
        <w:rPr>
          <w:rFonts w:eastAsia="Times New Roman" w:cs="Arial"/>
          <w:i/>
          <w:iCs/>
          <w:color w:val="000000"/>
          <w:u w:val="single"/>
          <w:lang w:eastAsia="bg-BG"/>
        </w:rPr>
      </w:pPr>
    </w:p>
    <w:p w14:paraId="2129ED5F" w14:textId="59CFD0A9"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Чернокожи педиатрични пациенти</w:t>
      </w:r>
    </w:p>
    <w:p w14:paraId="60841BCB"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При чернокожи пациенти антихипертензивният ефект на кандесартан е по-слабо изразен отколкото при нечернокожи пациенти (вж. точка 5.1).</w:t>
      </w:r>
    </w:p>
    <w:p w14:paraId="17339ED4" w14:textId="77777777" w:rsidR="00EB4C49" w:rsidRPr="00EB4C49" w:rsidRDefault="00EB4C49" w:rsidP="00EB4C49">
      <w:pPr>
        <w:spacing w:line="240" w:lineRule="auto"/>
        <w:rPr>
          <w:rFonts w:eastAsia="Times New Roman" w:cs="Arial"/>
        </w:rPr>
      </w:pPr>
    </w:p>
    <w:p w14:paraId="2DB3F3AE" w14:textId="77777777"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Деца на възраст от 1 до &lt;6 години</w:t>
      </w:r>
    </w:p>
    <w:p w14:paraId="74676CF6" w14:textId="77777777" w:rsidR="00EB4C49" w:rsidRPr="00EB4C49" w:rsidRDefault="00EB4C49" w:rsidP="00EB4C49">
      <w:pPr>
        <w:pStyle w:val="ListParagraph"/>
        <w:numPr>
          <w:ilvl w:val="0"/>
          <w:numId w:val="39"/>
        </w:numPr>
        <w:spacing w:line="240" w:lineRule="auto"/>
        <w:rPr>
          <w:rFonts w:eastAsia="Times New Roman" w:cs="Arial"/>
          <w:color w:val="000000"/>
          <w:lang w:eastAsia="bg-BG"/>
        </w:rPr>
      </w:pPr>
      <w:r w:rsidRPr="00EB4C49">
        <w:rPr>
          <w:rFonts w:eastAsia="Times New Roman" w:cs="Arial"/>
          <w:color w:val="000000"/>
          <w:lang w:eastAsia="bg-BG"/>
        </w:rPr>
        <w:t>Безопасността и ефикасността при деца на възраст от 1 до &lt;6 години не са установени. Наличните понастоящем данни са описани в точка 5.1, но препоръки за дозировката не могат да бъдат дадени.</w:t>
      </w:r>
    </w:p>
    <w:p w14:paraId="44601E74" w14:textId="4785D5C9" w:rsidR="00EB4C49" w:rsidRPr="00EB4C49" w:rsidRDefault="00EB4C49" w:rsidP="00EB4C49">
      <w:pPr>
        <w:pStyle w:val="ListParagraph"/>
        <w:numPr>
          <w:ilvl w:val="0"/>
          <w:numId w:val="39"/>
        </w:numPr>
        <w:spacing w:line="240" w:lineRule="auto"/>
        <w:rPr>
          <w:rFonts w:eastAsia="Times New Roman" w:cs="Arial"/>
          <w:color w:val="000000"/>
          <w:lang w:eastAsia="bg-BG"/>
        </w:rPr>
      </w:pPr>
      <w:r w:rsidRPr="00EB4C49">
        <w:rPr>
          <w:rFonts w:eastAsia="Times New Roman" w:cs="Arial"/>
          <w:color w:val="000000"/>
          <w:lang w:eastAsia="bg-BG"/>
        </w:rPr>
        <w:t>Кандекон е противопоказан при деца на възраст под 1 година (вж. точка 4.3).</w:t>
      </w:r>
    </w:p>
    <w:p w14:paraId="379900CE" w14:textId="77777777" w:rsidR="00EB4C49" w:rsidRPr="00EB4C49" w:rsidRDefault="00EB4C49" w:rsidP="00EB4C49">
      <w:pPr>
        <w:spacing w:line="240" w:lineRule="auto"/>
        <w:rPr>
          <w:rFonts w:eastAsia="Times New Roman" w:cs="Arial"/>
          <w:i/>
          <w:iCs/>
          <w:color w:val="000000"/>
          <w:u w:val="single"/>
          <w:lang w:eastAsia="bg-BG"/>
        </w:rPr>
      </w:pPr>
    </w:p>
    <w:p w14:paraId="367D1DC9" w14:textId="3ECC1D9E"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Дозировка при сърдечна недостатъчност</w:t>
      </w:r>
    </w:p>
    <w:p w14:paraId="78EC7318"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 xml:space="preserve">Обичайната препоръчителна начална доза на Кандекон е 4 </w:t>
      </w:r>
      <w:r w:rsidRPr="00EB4C49">
        <w:rPr>
          <w:rFonts w:eastAsia="Times New Roman" w:cs="Arial"/>
          <w:color w:val="000000"/>
          <w:lang w:val="en-US"/>
        </w:rPr>
        <w:t>mg</w:t>
      </w:r>
      <w:r w:rsidRPr="00EB4C49">
        <w:rPr>
          <w:rFonts w:eastAsia="Times New Roman" w:cs="Arial"/>
          <w:color w:val="000000"/>
          <w:lang w:val="ru-RU"/>
        </w:rPr>
        <w:t xml:space="preserve"> </w:t>
      </w:r>
      <w:r w:rsidRPr="00EB4C49">
        <w:rPr>
          <w:rFonts w:eastAsia="Times New Roman" w:cs="Arial"/>
          <w:color w:val="000000"/>
          <w:lang w:eastAsia="bg-BG"/>
        </w:rPr>
        <w:t xml:space="preserve">еднократно дневно. Възходящото титриране до таргетната доза от 32 </w:t>
      </w:r>
      <w:r w:rsidRPr="00EB4C49">
        <w:rPr>
          <w:rFonts w:eastAsia="Times New Roman" w:cs="Arial"/>
          <w:color w:val="000000"/>
          <w:lang w:val="en-US"/>
        </w:rPr>
        <w:t>mg</w:t>
      </w:r>
      <w:r w:rsidRPr="00EB4C49">
        <w:rPr>
          <w:rFonts w:eastAsia="Times New Roman" w:cs="Arial"/>
          <w:color w:val="000000"/>
          <w:lang w:val="ru-RU"/>
        </w:rPr>
        <w:t xml:space="preserve"> </w:t>
      </w:r>
      <w:r w:rsidRPr="00EB4C49">
        <w:rPr>
          <w:rFonts w:eastAsia="Times New Roman" w:cs="Arial"/>
          <w:color w:val="000000"/>
          <w:lang w:eastAsia="bg-BG"/>
        </w:rPr>
        <w:t>еднократно дневно (максимална доза) или до максимално поносимата доза се осъществява чрез удвояване на дозата през интервали от поне 2 седмици (вж. точка 4.4). Оценката на пациентите със сърдечна недостатъчност винаги трябва да включва оценка на бъбречната функция, включително мониториране на креатинина и калия в серума. Кандекон може да се прилага с други средства за лечение на сърдечна недостатъчност, включително АСЕ иихибитори, бета-блокери, диуретици или сърдечни гликозиди, както и с комбинации от тези лекарствени продукти.</w:t>
      </w:r>
    </w:p>
    <w:p w14:paraId="22086013"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Комбинацията от АСЕ инхибитор, калий-съхраняващ диуретик (напр. спиронолактон) и кандесартан не се препоръчва и следва да се има предвид само след внимателна оценка на потенциалните ползи и рискове (вж. точки 4.4, 4.8 и 5,1),</w:t>
      </w:r>
    </w:p>
    <w:p w14:paraId="0FD9204C" w14:textId="77777777" w:rsidR="00EB4C49" w:rsidRPr="00EB4C49" w:rsidRDefault="00EB4C49" w:rsidP="00EB4C49">
      <w:pPr>
        <w:spacing w:line="240" w:lineRule="auto"/>
        <w:rPr>
          <w:rFonts w:eastAsia="Times New Roman" w:cs="Arial"/>
          <w:i/>
          <w:iCs/>
          <w:color w:val="000000"/>
          <w:lang w:eastAsia="bg-BG"/>
        </w:rPr>
      </w:pPr>
    </w:p>
    <w:p w14:paraId="365A7239" w14:textId="03C0A07A" w:rsidR="00EB4C49" w:rsidRPr="00EB4C49" w:rsidRDefault="00EB4C49" w:rsidP="00EB4C49">
      <w:pPr>
        <w:spacing w:line="240" w:lineRule="auto"/>
        <w:rPr>
          <w:rFonts w:eastAsia="Times New Roman" w:cs="Arial"/>
        </w:rPr>
      </w:pPr>
      <w:r w:rsidRPr="00EB4C49">
        <w:rPr>
          <w:rFonts w:eastAsia="Times New Roman" w:cs="Arial"/>
          <w:i/>
          <w:iCs/>
          <w:color w:val="000000"/>
          <w:lang w:eastAsia="bg-BG"/>
        </w:rPr>
        <w:t>Специални популации пациенти</w:t>
      </w:r>
    </w:p>
    <w:p w14:paraId="46DCCCD3"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При пациенти в старческа възраст или при пациенти с намален вътресъдов обем, с бъбречно увреждане или с леко или умерено тежко чернодробно увреждане, не е необходима корекция на началната доза.</w:t>
      </w:r>
    </w:p>
    <w:p w14:paraId="2285CD7D" w14:textId="77777777" w:rsidR="00EB4C49" w:rsidRPr="00EB4C49" w:rsidRDefault="00EB4C49" w:rsidP="00EB4C49">
      <w:pPr>
        <w:spacing w:line="240" w:lineRule="auto"/>
        <w:rPr>
          <w:rFonts w:eastAsia="Times New Roman" w:cs="Arial"/>
          <w:i/>
          <w:iCs/>
          <w:color w:val="000000"/>
          <w:lang w:eastAsia="bg-BG"/>
        </w:rPr>
      </w:pPr>
    </w:p>
    <w:p w14:paraId="1FAA8582" w14:textId="17B8AB06" w:rsidR="00EB4C49" w:rsidRPr="00EB4C49" w:rsidRDefault="00EB4C49" w:rsidP="00EB4C49">
      <w:pPr>
        <w:spacing w:line="240" w:lineRule="auto"/>
        <w:rPr>
          <w:rFonts w:eastAsia="Times New Roman" w:cs="Arial"/>
        </w:rPr>
      </w:pPr>
      <w:r w:rsidRPr="00EB4C49">
        <w:rPr>
          <w:rFonts w:eastAsia="Times New Roman" w:cs="Arial"/>
          <w:i/>
          <w:iCs/>
          <w:color w:val="000000"/>
          <w:lang w:eastAsia="bg-BG"/>
        </w:rPr>
        <w:t>Педиатрична популация</w:t>
      </w:r>
    </w:p>
    <w:p w14:paraId="6BD0914F"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Безопасността и ефикасността на кандесартан за лечение на сърдечна недостатъчност не са установени при деца на възраст до 18 години. Няма налични данни.</w:t>
      </w:r>
    </w:p>
    <w:p w14:paraId="77F58E62" w14:textId="77777777" w:rsidR="00EB4C49" w:rsidRPr="00EB4C49" w:rsidRDefault="00EB4C49" w:rsidP="00EB4C49">
      <w:pPr>
        <w:spacing w:line="240" w:lineRule="auto"/>
        <w:rPr>
          <w:rFonts w:eastAsia="Times New Roman" w:cs="Arial"/>
          <w:color w:val="000000"/>
          <w:u w:val="single"/>
          <w:lang w:eastAsia="bg-BG"/>
        </w:rPr>
      </w:pPr>
    </w:p>
    <w:p w14:paraId="3B636FAC" w14:textId="0228F2C1" w:rsidR="00EB4C49" w:rsidRPr="00EB4C49" w:rsidRDefault="00EB4C49" w:rsidP="00EB4C49">
      <w:pPr>
        <w:pStyle w:val="Heading3"/>
        <w:rPr>
          <w:rFonts w:eastAsia="Times New Roman"/>
          <w:u w:val="single"/>
        </w:rPr>
      </w:pPr>
      <w:r w:rsidRPr="00EB4C49">
        <w:rPr>
          <w:rFonts w:eastAsia="Times New Roman"/>
          <w:u w:val="single"/>
          <w:lang w:eastAsia="bg-BG"/>
        </w:rPr>
        <w:t>Начин на приложение</w:t>
      </w:r>
    </w:p>
    <w:p w14:paraId="78759F82" w14:textId="77777777" w:rsidR="00EB4C49" w:rsidRPr="00EB4C49" w:rsidRDefault="00EB4C49" w:rsidP="00EB4C49">
      <w:pPr>
        <w:spacing w:line="240" w:lineRule="auto"/>
        <w:rPr>
          <w:rFonts w:eastAsia="Times New Roman" w:cs="Arial"/>
          <w:color w:val="000000"/>
          <w:lang w:eastAsia="bg-BG"/>
        </w:rPr>
      </w:pPr>
    </w:p>
    <w:p w14:paraId="70BFE994" w14:textId="22642F41" w:rsidR="00EB4C49" w:rsidRPr="00EB4C49" w:rsidRDefault="00EB4C49" w:rsidP="00EB4C49">
      <w:pPr>
        <w:spacing w:line="240" w:lineRule="auto"/>
        <w:rPr>
          <w:rFonts w:eastAsia="Times New Roman" w:cs="Arial"/>
        </w:rPr>
      </w:pPr>
      <w:r w:rsidRPr="00EB4C49">
        <w:rPr>
          <w:rFonts w:eastAsia="Times New Roman" w:cs="Arial"/>
          <w:color w:val="000000"/>
          <w:lang w:eastAsia="bg-BG"/>
        </w:rPr>
        <w:t>Перорално приложение.</w:t>
      </w:r>
    </w:p>
    <w:p w14:paraId="0D70D9A4"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Кандекон трябва да се приема еднократно дневно със или без храна. Бионаличността на кандесартан не се влияе от приема на храна.</w:t>
      </w:r>
    </w:p>
    <w:p w14:paraId="33385DC4" w14:textId="1471EA38" w:rsidR="00EB4C49" w:rsidRPr="00EB4C49" w:rsidRDefault="00EB4C49" w:rsidP="00EB4C49"/>
    <w:p w14:paraId="0F253247" w14:textId="6768D1E8" w:rsidR="007122AD" w:rsidRDefault="002C50EE" w:rsidP="00936AD0">
      <w:pPr>
        <w:pStyle w:val="Heading2"/>
      </w:pPr>
      <w:r>
        <w:t>4.3. Противопоказания</w:t>
      </w:r>
    </w:p>
    <w:p w14:paraId="3B498D85" w14:textId="0FC6F1CC" w:rsidR="00EB4C49" w:rsidRDefault="00EB4C49" w:rsidP="00EB4C49"/>
    <w:p w14:paraId="7A185203" w14:textId="77777777" w:rsidR="00EB4C49" w:rsidRPr="00EB4C49" w:rsidRDefault="00EB4C49" w:rsidP="00EB4C49">
      <w:pPr>
        <w:rPr>
          <w:rFonts w:ascii="Times New Roman" w:hAnsi="Times New Roman" w:cs="Times New Roman"/>
          <w:sz w:val="24"/>
          <w:szCs w:val="24"/>
        </w:rPr>
      </w:pPr>
      <w:r w:rsidRPr="00EB4C49">
        <w:rPr>
          <w:lang w:eastAsia="bg-BG"/>
        </w:rPr>
        <w:lastRenderedPageBreak/>
        <w:t>Свръхчувствителност към активното вещество или към някое от помощните вещества, изброени в точка 6.1.</w:t>
      </w:r>
    </w:p>
    <w:p w14:paraId="120F39A0" w14:textId="77777777" w:rsidR="00EB4C49" w:rsidRPr="00EB4C49" w:rsidRDefault="00EB4C49" w:rsidP="00EB4C49">
      <w:pPr>
        <w:rPr>
          <w:rFonts w:ascii="Times New Roman" w:hAnsi="Times New Roman" w:cs="Times New Roman"/>
          <w:sz w:val="24"/>
          <w:szCs w:val="24"/>
        </w:rPr>
      </w:pPr>
      <w:r w:rsidRPr="00EB4C49">
        <w:rPr>
          <w:lang w:eastAsia="bg-BG"/>
        </w:rPr>
        <w:t>Втори и трети триместьр на бременността (вж. точки 4.4 и 4.6).</w:t>
      </w:r>
    </w:p>
    <w:p w14:paraId="6D225E67" w14:textId="77777777" w:rsidR="00EB4C49" w:rsidRPr="00EB4C49" w:rsidRDefault="00EB4C49" w:rsidP="00EB4C49">
      <w:pPr>
        <w:rPr>
          <w:rFonts w:ascii="Times New Roman" w:hAnsi="Times New Roman" w:cs="Times New Roman"/>
          <w:sz w:val="24"/>
          <w:szCs w:val="24"/>
        </w:rPr>
      </w:pPr>
      <w:r w:rsidRPr="00EB4C49">
        <w:rPr>
          <w:lang w:eastAsia="bg-BG"/>
        </w:rPr>
        <w:t>Тежко чернодробно увреждане и/или холестаза.</w:t>
      </w:r>
    </w:p>
    <w:p w14:paraId="5A8C86DC" w14:textId="77777777" w:rsidR="00EB4C49" w:rsidRPr="00EB4C49" w:rsidRDefault="00EB4C49" w:rsidP="00EB4C49">
      <w:pPr>
        <w:rPr>
          <w:rFonts w:ascii="Times New Roman" w:hAnsi="Times New Roman" w:cs="Times New Roman"/>
          <w:sz w:val="24"/>
          <w:szCs w:val="24"/>
        </w:rPr>
      </w:pPr>
      <w:r w:rsidRPr="00EB4C49">
        <w:rPr>
          <w:lang w:eastAsia="bg-BG"/>
        </w:rPr>
        <w:t>Деца на възраст под 1 година (вж. точка 5.3).</w:t>
      </w:r>
    </w:p>
    <w:p w14:paraId="5C1E800F" w14:textId="77777777" w:rsidR="00EB4C49" w:rsidRPr="00EB4C49" w:rsidRDefault="00EB4C49" w:rsidP="00EB4C49">
      <w:pPr>
        <w:rPr>
          <w:rFonts w:ascii="Times New Roman" w:hAnsi="Times New Roman" w:cs="Times New Roman"/>
          <w:sz w:val="24"/>
          <w:szCs w:val="24"/>
        </w:rPr>
      </w:pPr>
      <w:r w:rsidRPr="00EB4C49">
        <w:rPr>
          <w:lang w:eastAsia="bg-BG"/>
        </w:rPr>
        <w:t xml:space="preserve">Едновременната употреба на кандесартан с алискирен-съдържащи продукти е противопоказана при пациенти със захарен диабет или бъбречно увреждане </w:t>
      </w:r>
      <w:r w:rsidRPr="00EB4C49">
        <w:rPr>
          <w:lang w:val="ru-RU"/>
        </w:rPr>
        <w:t>(</w:t>
      </w:r>
      <w:r w:rsidRPr="00EB4C49">
        <w:rPr>
          <w:lang w:val="en-US"/>
        </w:rPr>
        <w:t>GFR</w:t>
      </w:r>
      <w:r w:rsidRPr="00EB4C49">
        <w:rPr>
          <w:lang w:val="ru-RU"/>
        </w:rPr>
        <w:t xml:space="preserve">&lt;60 </w:t>
      </w:r>
      <w:r w:rsidRPr="00EB4C49">
        <w:rPr>
          <w:lang w:val="en-US"/>
        </w:rPr>
        <w:t>ml</w:t>
      </w:r>
      <w:r w:rsidRPr="00EB4C49">
        <w:rPr>
          <w:lang w:val="ru-RU"/>
        </w:rPr>
        <w:t>/</w:t>
      </w:r>
      <w:r w:rsidRPr="00EB4C49">
        <w:rPr>
          <w:lang w:val="en-US"/>
        </w:rPr>
        <w:t>min</w:t>
      </w:r>
      <w:r w:rsidRPr="00EB4C49">
        <w:rPr>
          <w:lang w:val="ru-RU"/>
        </w:rPr>
        <w:t>/1,73</w:t>
      </w:r>
      <w:r w:rsidRPr="00EB4C49">
        <w:rPr>
          <w:vertAlign w:val="superscript"/>
          <w:lang w:val="ru-RU"/>
        </w:rPr>
        <w:t>2</w:t>
      </w:r>
      <w:r w:rsidRPr="00EB4C49">
        <w:rPr>
          <w:lang w:val="ru-RU"/>
        </w:rPr>
        <w:t xml:space="preserve">) </w:t>
      </w:r>
      <w:r w:rsidRPr="00EB4C49">
        <w:rPr>
          <w:lang w:eastAsia="bg-BG"/>
        </w:rPr>
        <w:t>(вж. точка 4.5 и 5.1).</w:t>
      </w:r>
    </w:p>
    <w:p w14:paraId="5E36E7B7" w14:textId="77777777" w:rsidR="00EB4C49" w:rsidRPr="00EB4C49" w:rsidRDefault="00EB4C49" w:rsidP="00EB4C49"/>
    <w:p w14:paraId="0E0BDCC7" w14:textId="1923ACFF" w:rsidR="007122AD" w:rsidRDefault="002C50EE" w:rsidP="00936AD0">
      <w:pPr>
        <w:pStyle w:val="Heading2"/>
      </w:pPr>
      <w:r>
        <w:t>4.4. Специални предупреждения и предпазни мерки при употреба</w:t>
      </w:r>
    </w:p>
    <w:p w14:paraId="08B07B8C" w14:textId="75805338" w:rsidR="00EB4C49" w:rsidRDefault="00EB4C49" w:rsidP="00EB4C49"/>
    <w:p w14:paraId="5DEB6FDA" w14:textId="77777777"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 xml:space="preserve">Двойна блокада на ренин-ангиотензин-алдостероновата система </w:t>
      </w:r>
      <w:r w:rsidRPr="00EB4C49">
        <w:rPr>
          <w:rFonts w:eastAsia="Times New Roman" w:cs="Arial"/>
          <w:i/>
          <w:iCs/>
          <w:color w:val="000000"/>
          <w:u w:val="single"/>
          <w:lang w:val="ru-RU"/>
        </w:rPr>
        <w:t>(</w:t>
      </w:r>
      <w:r w:rsidRPr="00EB4C49">
        <w:rPr>
          <w:rFonts w:eastAsia="Times New Roman" w:cs="Arial"/>
          <w:i/>
          <w:iCs/>
          <w:color w:val="000000"/>
          <w:u w:val="single"/>
          <w:lang w:val="en-US"/>
        </w:rPr>
        <w:t>RAAS</w:t>
      </w:r>
      <w:r w:rsidRPr="00EB4C49">
        <w:rPr>
          <w:rFonts w:eastAsia="Times New Roman" w:cs="Arial"/>
          <w:i/>
          <w:iCs/>
          <w:color w:val="000000"/>
          <w:u w:val="single"/>
          <w:lang w:val="ru-RU"/>
        </w:rPr>
        <w:t>)</w:t>
      </w:r>
    </w:p>
    <w:p w14:paraId="57056F5F" w14:textId="1DC09052" w:rsidR="00EB4C49" w:rsidRPr="00EB4C49" w:rsidRDefault="00EB4C49" w:rsidP="00EB4C49">
      <w:pPr>
        <w:rPr>
          <w:rFonts w:eastAsia="Times New Roman" w:cs="Arial"/>
          <w:color w:val="000000"/>
          <w:lang w:eastAsia="bg-BG"/>
        </w:rPr>
      </w:pPr>
      <w:r w:rsidRPr="00EB4C49">
        <w:rPr>
          <w:rFonts w:eastAsia="Times New Roman" w:cs="Arial"/>
          <w:color w:val="000000"/>
          <w:lang w:eastAsia="bg-BG"/>
        </w:rPr>
        <w:t xml:space="preserve">Има данни, че едновременната употреба на АСЕ инхибитори, ангиотензин </w:t>
      </w:r>
      <w:r w:rsidRPr="00EB4C49">
        <w:rPr>
          <w:rFonts w:eastAsia="Times New Roman" w:cs="Arial"/>
          <w:color w:val="000000"/>
          <w:lang w:val="en-US"/>
        </w:rPr>
        <w:t>II</w:t>
      </w:r>
      <w:r w:rsidRPr="00EB4C49">
        <w:rPr>
          <w:rFonts w:eastAsia="Times New Roman" w:cs="Arial"/>
          <w:color w:val="000000"/>
          <w:lang w:val="ru-RU"/>
        </w:rPr>
        <w:t xml:space="preserve"> </w:t>
      </w:r>
      <w:r w:rsidRPr="00EB4C49">
        <w:rPr>
          <w:rFonts w:eastAsia="Times New Roman" w:cs="Arial"/>
          <w:color w:val="000000"/>
          <w:lang w:eastAsia="bg-BG"/>
        </w:rPr>
        <w:t xml:space="preserve">рецепторни блокери или алискирен повишава риска от хипотония, хиперкалиемия и намалена бъбречна фуккция (включително остра бъбречна недостатъчност). Поради това, двойната блокада на </w:t>
      </w:r>
      <w:r w:rsidRPr="00EB4C49">
        <w:rPr>
          <w:rFonts w:eastAsia="Times New Roman" w:cs="Arial"/>
          <w:color w:val="000000"/>
          <w:lang w:val="en-US"/>
        </w:rPr>
        <w:t>RAAS</w:t>
      </w:r>
      <w:r w:rsidRPr="00EB4C49">
        <w:rPr>
          <w:rFonts w:eastAsia="Times New Roman" w:cs="Arial"/>
          <w:color w:val="000000"/>
          <w:lang w:val="ru-RU"/>
        </w:rPr>
        <w:t xml:space="preserve">, </w:t>
      </w:r>
      <w:r w:rsidRPr="00EB4C49">
        <w:rPr>
          <w:rFonts w:eastAsia="Times New Roman" w:cs="Arial"/>
          <w:color w:val="000000"/>
          <w:lang w:eastAsia="bg-BG"/>
        </w:rPr>
        <w:t xml:space="preserve">посредством комбинираната употреба на АСЕ инхибитори, ангиотензин </w:t>
      </w:r>
      <w:r w:rsidRPr="00EB4C49">
        <w:rPr>
          <w:rFonts w:eastAsia="Times New Roman" w:cs="Arial"/>
          <w:color w:val="000000"/>
          <w:lang w:val="en-US"/>
        </w:rPr>
        <w:t>II</w:t>
      </w:r>
      <w:r w:rsidRPr="00EB4C49">
        <w:rPr>
          <w:rFonts w:eastAsia="Times New Roman" w:cs="Arial"/>
          <w:color w:val="000000"/>
          <w:lang w:val="ru-RU"/>
        </w:rPr>
        <w:t xml:space="preserve"> </w:t>
      </w:r>
      <w:r w:rsidRPr="00EB4C49">
        <w:rPr>
          <w:rFonts w:eastAsia="Times New Roman" w:cs="Arial"/>
          <w:color w:val="000000"/>
          <w:lang w:eastAsia="bg-BG"/>
        </w:rPr>
        <w:t>рецепторни блокери или алискирен, не се препоръчва (вж. точка 4.5 и 5.1).</w:t>
      </w:r>
    </w:p>
    <w:p w14:paraId="7F6D6131" w14:textId="223698FA" w:rsidR="00EB4C49" w:rsidRPr="00EB4C49" w:rsidRDefault="00EB4C49" w:rsidP="00EB4C49">
      <w:pPr>
        <w:rPr>
          <w:rFonts w:eastAsia="Times New Roman" w:cs="Arial"/>
          <w:color w:val="000000"/>
          <w:lang w:eastAsia="bg-BG"/>
        </w:rPr>
      </w:pPr>
    </w:p>
    <w:p w14:paraId="0718E404"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Ако терапията с двойна блокада е абсолютно наложителна, тя трябва да се провежда само под наблюдението на специалист, като трябва често и внимателно да се проследяват бъбречната функция, електролитите и артериалното налягане.</w:t>
      </w:r>
    </w:p>
    <w:p w14:paraId="60F025A6"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АСЕ-инхибиторите и ангиотензин II рецепторните блокери не трябва да се използват едновременно при пациенти с диабетна нефропатия.</w:t>
      </w:r>
    </w:p>
    <w:p w14:paraId="757A4760" w14:textId="77777777" w:rsidR="00EB4C49" w:rsidRPr="00EB4C49" w:rsidRDefault="00EB4C49" w:rsidP="00EB4C49">
      <w:pPr>
        <w:spacing w:line="240" w:lineRule="auto"/>
        <w:rPr>
          <w:rFonts w:eastAsia="Times New Roman" w:cs="Arial"/>
          <w:i/>
          <w:iCs/>
          <w:color w:val="000000"/>
          <w:u w:val="single"/>
          <w:lang w:eastAsia="bg-BG"/>
        </w:rPr>
      </w:pPr>
    </w:p>
    <w:p w14:paraId="77E133FB" w14:textId="5863532A"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Бъбречно увреждане</w:t>
      </w:r>
    </w:p>
    <w:p w14:paraId="15942CDB"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Както при лечение с други средства, които инхибират ренин-ангиотензин-алдостероновата система, и при лечение с кандесартан при чувствителни пациенти могат да се очакват промени в бъбречната функция.</w:t>
      </w:r>
    </w:p>
    <w:p w14:paraId="7D5BB276" w14:textId="77777777" w:rsidR="00EB4C49" w:rsidRPr="00EB4C49" w:rsidRDefault="00EB4C49" w:rsidP="00EB4C49">
      <w:pPr>
        <w:spacing w:line="240" w:lineRule="auto"/>
        <w:rPr>
          <w:rFonts w:eastAsia="Times New Roman" w:cs="Arial"/>
          <w:color w:val="000000"/>
          <w:lang w:eastAsia="bg-BG"/>
        </w:rPr>
      </w:pPr>
    </w:p>
    <w:p w14:paraId="70898D05" w14:textId="6F1114E6" w:rsidR="00EB4C49" w:rsidRPr="00EB4C49" w:rsidRDefault="00EB4C49" w:rsidP="00EB4C49">
      <w:pPr>
        <w:spacing w:line="240" w:lineRule="auto"/>
        <w:rPr>
          <w:rFonts w:eastAsia="Times New Roman" w:cs="Arial"/>
        </w:rPr>
      </w:pPr>
      <w:r w:rsidRPr="00EB4C49">
        <w:rPr>
          <w:rFonts w:eastAsia="Times New Roman" w:cs="Arial"/>
          <w:color w:val="000000"/>
          <w:lang w:eastAsia="bg-BG"/>
        </w:rPr>
        <w:t>Когато кандесартан се използва при пациенти с артериална хипертония и бъбречно увреждане, се препоръчва периодично мониториране на нивата на серумния калий и серумния креатинин. Опитът с пациенти с много тежка или терминална бъбречна недостатъчност (С</w:t>
      </w:r>
      <w:r w:rsidRPr="00EB4C49">
        <w:rPr>
          <w:rFonts w:eastAsia="Times New Roman" w:cs="Arial"/>
          <w:color w:val="000000"/>
          <w:lang w:val="en-US"/>
        </w:rPr>
        <w:t>l</w:t>
      </w:r>
      <w:r w:rsidRPr="00EB4C49">
        <w:rPr>
          <w:rFonts w:eastAsia="Times New Roman" w:cs="Arial"/>
          <w:color w:val="000000"/>
          <w:lang w:eastAsia="bg-BG"/>
        </w:rPr>
        <w:t xml:space="preserve">сг&lt; 15 </w:t>
      </w:r>
      <w:r w:rsidRPr="00EB4C49">
        <w:rPr>
          <w:rFonts w:eastAsia="Times New Roman" w:cs="Arial"/>
          <w:color w:val="000000"/>
          <w:lang w:val="en-US"/>
        </w:rPr>
        <w:t>ml</w:t>
      </w:r>
      <w:r w:rsidRPr="00EB4C49">
        <w:rPr>
          <w:rFonts w:eastAsia="Times New Roman" w:cs="Arial"/>
          <w:color w:val="000000"/>
          <w:lang w:val="ru-RU"/>
        </w:rPr>
        <w:t>/</w:t>
      </w:r>
      <w:r w:rsidRPr="00EB4C49">
        <w:rPr>
          <w:rFonts w:eastAsia="Times New Roman" w:cs="Arial"/>
          <w:color w:val="000000"/>
          <w:lang w:val="en-US"/>
        </w:rPr>
        <w:t>min</w:t>
      </w:r>
      <w:r w:rsidRPr="00EB4C49">
        <w:rPr>
          <w:rFonts w:eastAsia="Times New Roman" w:cs="Arial"/>
          <w:color w:val="000000"/>
          <w:lang w:val="ru-RU"/>
        </w:rPr>
        <w:t xml:space="preserve">) </w:t>
      </w:r>
      <w:r w:rsidRPr="00EB4C49">
        <w:rPr>
          <w:rFonts w:eastAsia="Times New Roman" w:cs="Arial"/>
          <w:color w:val="000000"/>
          <w:lang w:eastAsia="bg-BG"/>
        </w:rPr>
        <w:t>е ограничен. При тези пациенти дозата на кандесартан трябва да се титрира внимателно, със стриктен контрол на артериалното налягане.</w:t>
      </w:r>
    </w:p>
    <w:p w14:paraId="721EC7B2" w14:textId="77777777" w:rsidR="00EB4C49" w:rsidRPr="00EB4C49" w:rsidRDefault="00EB4C49" w:rsidP="00EB4C49">
      <w:pPr>
        <w:spacing w:line="240" w:lineRule="auto"/>
        <w:rPr>
          <w:rFonts w:eastAsia="Times New Roman" w:cs="Arial"/>
          <w:color w:val="000000"/>
          <w:lang w:eastAsia="bg-BG"/>
        </w:rPr>
      </w:pPr>
    </w:p>
    <w:p w14:paraId="67F3F33F" w14:textId="41DA6343" w:rsidR="00EB4C49" w:rsidRPr="00EB4C49" w:rsidRDefault="00EB4C49" w:rsidP="00EB4C49">
      <w:pPr>
        <w:spacing w:line="240" w:lineRule="auto"/>
        <w:rPr>
          <w:rFonts w:eastAsia="Times New Roman" w:cs="Arial"/>
        </w:rPr>
      </w:pPr>
      <w:r w:rsidRPr="00EB4C49">
        <w:rPr>
          <w:rFonts w:eastAsia="Times New Roman" w:cs="Arial"/>
          <w:color w:val="000000"/>
          <w:lang w:eastAsia="bg-BG"/>
        </w:rPr>
        <w:t>Оценката на пациентите със сърдечна недостатъчност трябва да включва периодична оценка на бъбречната функция, особено при пациенти в старческа възраст на и над 75 години, както и при пациенти с бъбречно увреждане. По време на титрирането на дозата на кандесартан се препоръчва мониториране на серумния креатинин и серумния калий. В клиничните проучвания при пациенти със сърдечна недостатъчност не са включвани пациенти със серумен креатинин над &gt; 265 μ</w:t>
      </w:r>
      <w:proofErr w:type="spellStart"/>
      <w:r w:rsidRPr="00EB4C49">
        <w:rPr>
          <w:rFonts w:eastAsia="Times New Roman" w:cs="Arial"/>
          <w:color w:val="000000"/>
          <w:lang w:val="en-US"/>
        </w:rPr>
        <w:t>mol</w:t>
      </w:r>
      <w:proofErr w:type="spellEnd"/>
      <w:r w:rsidRPr="00EB4C49">
        <w:rPr>
          <w:rFonts w:eastAsia="Times New Roman" w:cs="Arial"/>
          <w:color w:val="000000"/>
          <w:lang w:val="ru-RU"/>
        </w:rPr>
        <w:t>/</w:t>
      </w:r>
      <w:r w:rsidRPr="00EB4C49">
        <w:rPr>
          <w:rFonts w:eastAsia="Times New Roman" w:cs="Arial"/>
          <w:color w:val="000000"/>
          <w:lang w:val="en-US"/>
        </w:rPr>
        <w:t>l</w:t>
      </w:r>
      <w:r w:rsidRPr="00EB4C49">
        <w:rPr>
          <w:rFonts w:eastAsia="Times New Roman" w:cs="Arial"/>
          <w:color w:val="000000"/>
          <w:lang w:val="ru-RU"/>
        </w:rPr>
        <w:t xml:space="preserve"> </w:t>
      </w:r>
      <w:r w:rsidRPr="00EB4C49">
        <w:rPr>
          <w:rFonts w:eastAsia="Times New Roman" w:cs="Arial"/>
          <w:color w:val="000000"/>
          <w:lang w:eastAsia="bg-BG"/>
        </w:rPr>
        <w:t xml:space="preserve">(&gt; 3 </w:t>
      </w:r>
      <w:r w:rsidRPr="00EB4C49">
        <w:rPr>
          <w:rFonts w:eastAsia="Times New Roman" w:cs="Arial"/>
          <w:color w:val="000000"/>
          <w:lang w:val="en-US"/>
        </w:rPr>
        <w:t>mg</w:t>
      </w:r>
      <w:r w:rsidRPr="00EB4C49">
        <w:rPr>
          <w:rFonts w:eastAsia="Times New Roman" w:cs="Arial"/>
          <w:color w:val="000000"/>
          <w:lang w:val="ru-RU"/>
        </w:rPr>
        <w:t>/</w:t>
      </w:r>
      <w:r w:rsidRPr="00EB4C49">
        <w:rPr>
          <w:rFonts w:eastAsia="Times New Roman" w:cs="Arial"/>
          <w:color w:val="000000"/>
          <w:lang w:val="en-US"/>
        </w:rPr>
        <w:t>dl</w:t>
      </w:r>
      <w:r w:rsidRPr="00EB4C49">
        <w:rPr>
          <w:rFonts w:eastAsia="Times New Roman" w:cs="Arial"/>
          <w:color w:val="000000"/>
          <w:lang w:val="ru-RU"/>
        </w:rPr>
        <w:t>).</w:t>
      </w:r>
    </w:p>
    <w:p w14:paraId="25AE0E92" w14:textId="77777777" w:rsidR="00EB4C49" w:rsidRPr="00EB4C49" w:rsidRDefault="00EB4C49" w:rsidP="00EB4C49">
      <w:pPr>
        <w:spacing w:line="240" w:lineRule="auto"/>
        <w:rPr>
          <w:rFonts w:eastAsia="Times New Roman" w:cs="Arial"/>
          <w:i/>
          <w:iCs/>
          <w:color w:val="000000"/>
          <w:u w:val="single"/>
          <w:lang w:eastAsia="bg-BG"/>
        </w:rPr>
      </w:pPr>
    </w:p>
    <w:p w14:paraId="76005650" w14:textId="77777777" w:rsidR="00EB4C49" w:rsidRPr="00EB4C49" w:rsidRDefault="00EB4C49" w:rsidP="00EB4C49">
      <w:pPr>
        <w:spacing w:line="240" w:lineRule="auto"/>
        <w:rPr>
          <w:rFonts w:eastAsia="Times New Roman" w:cs="Arial"/>
          <w:i/>
          <w:iCs/>
          <w:color w:val="000000"/>
          <w:u w:val="single"/>
          <w:lang w:eastAsia="bg-BG"/>
        </w:rPr>
      </w:pPr>
      <w:r w:rsidRPr="00EB4C49">
        <w:rPr>
          <w:rFonts w:eastAsia="Times New Roman" w:cs="Arial"/>
          <w:i/>
          <w:iCs/>
          <w:color w:val="000000"/>
          <w:u w:val="single"/>
          <w:lang w:eastAsia="bg-BG"/>
        </w:rPr>
        <w:t xml:space="preserve">Употреба при педиатрични пациенти включително и пациенти с бъбречно увреждане </w:t>
      </w:r>
    </w:p>
    <w:p w14:paraId="14C7B099" w14:textId="52E35352" w:rsidR="00EB4C49" w:rsidRPr="00EB4C49" w:rsidRDefault="00EB4C49" w:rsidP="00EB4C49">
      <w:pPr>
        <w:spacing w:line="240" w:lineRule="auto"/>
        <w:rPr>
          <w:rFonts w:eastAsia="Times New Roman" w:cs="Arial"/>
        </w:rPr>
      </w:pPr>
      <w:r w:rsidRPr="00EB4C49">
        <w:rPr>
          <w:rFonts w:eastAsia="Times New Roman" w:cs="Arial"/>
          <w:color w:val="000000"/>
          <w:lang w:eastAsia="bg-BG"/>
        </w:rPr>
        <w:t xml:space="preserve">Кандесартан не е проучван при деца със скорост на гломерулна филтрация под 30 </w:t>
      </w:r>
      <w:r w:rsidRPr="00EB4C49">
        <w:rPr>
          <w:rFonts w:eastAsia="Times New Roman" w:cs="Arial"/>
          <w:color w:val="000000"/>
          <w:lang w:val="en-US"/>
        </w:rPr>
        <w:t>ml</w:t>
      </w:r>
      <w:r w:rsidRPr="00EB4C49">
        <w:rPr>
          <w:rFonts w:eastAsia="Times New Roman" w:cs="Arial"/>
          <w:color w:val="000000"/>
          <w:lang w:val="ru-RU"/>
        </w:rPr>
        <w:t>/</w:t>
      </w:r>
      <w:r w:rsidRPr="00EB4C49">
        <w:rPr>
          <w:rFonts w:eastAsia="Times New Roman" w:cs="Arial"/>
          <w:color w:val="000000"/>
          <w:lang w:val="en-US"/>
        </w:rPr>
        <w:t>min</w:t>
      </w:r>
      <w:r w:rsidRPr="00EB4C49">
        <w:rPr>
          <w:rFonts w:eastAsia="Times New Roman" w:cs="Arial"/>
          <w:color w:val="000000"/>
          <w:lang w:val="ru-RU"/>
        </w:rPr>
        <w:t>/</w:t>
      </w:r>
      <w:r w:rsidRPr="00EB4C49">
        <w:rPr>
          <w:rFonts w:eastAsia="Times New Roman" w:cs="Arial"/>
          <w:color w:val="000000"/>
          <w:lang w:eastAsia="bg-BG"/>
        </w:rPr>
        <w:t>1,73</w:t>
      </w:r>
      <w:r w:rsidRPr="00EB4C49">
        <w:rPr>
          <w:rFonts w:eastAsia="Times New Roman" w:cs="Arial"/>
          <w:color w:val="000000"/>
          <w:vertAlign w:val="superscript"/>
          <w:lang w:eastAsia="bg-BG"/>
        </w:rPr>
        <w:t>2</w:t>
      </w:r>
      <w:r w:rsidRPr="00EB4C49">
        <w:rPr>
          <w:rFonts w:eastAsia="Times New Roman" w:cs="Arial"/>
          <w:color w:val="000000"/>
          <w:lang w:eastAsia="bg-BG"/>
        </w:rPr>
        <w:t>( вж. точка 4.2).</w:t>
      </w:r>
    </w:p>
    <w:p w14:paraId="23A6D919" w14:textId="77777777" w:rsidR="00EB4C49" w:rsidRPr="00EB4C49" w:rsidRDefault="00EB4C49" w:rsidP="00EB4C49">
      <w:pPr>
        <w:spacing w:line="240" w:lineRule="auto"/>
        <w:rPr>
          <w:rFonts w:eastAsia="Times New Roman" w:cs="Arial"/>
          <w:i/>
          <w:iCs/>
          <w:color w:val="000000"/>
          <w:u w:val="single"/>
          <w:lang w:eastAsia="bg-BG"/>
        </w:rPr>
      </w:pPr>
    </w:p>
    <w:p w14:paraId="4BCEA8F6" w14:textId="2171BE86"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Комбинирана терапия с АСЕ инхибитор при сърдечна недостатъчност</w:t>
      </w:r>
    </w:p>
    <w:p w14:paraId="5234B4DE"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 xml:space="preserve">Рискът от развитие на нежелани реакции, особено хипотония, хиперкалиемия и понижена бъбречна функция (включително остра бъбречна недостатъчност), може да се повиши </w:t>
      </w:r>
      <w:r w:rsidRPr="00EB4C49">
        <w:rPr>
          <w:rFonts w:eastAsia="Times New Roman" w:cs="Arial"/>
          <w:color w:val="000000"/>
          <w:lang w:eastAsia="bg-BG"/>
        </w:rPr>
        <w:lastRenderedPageBreak/>
        <w:t>при приложение на кандесартан в комбинация с АСЕ инхибитор. Тройна комбинация с АСЕ инхибитор, антагонист на миниралкортикоидните рецептори и кандесартан също не се препоръчва. Употребата на тези комбинации трябва да се провежда само под наблюдението на специалист. Пациентите на подобно лечение трябва да се мониторират редовно и внимателно.</w:t>
      </w:r>
    </w:p>
    <w:p w14:paraId="392F8961" w14:textId="77777777" w:rsidR="00EB4C49" w:rsidRPr="00EB4C49" w:rsidRDefault="00EB4C49" w:rsidP="00EB4C49">
      <w:pPr>
        <w:spacing w:line="240" w:lineRule="auto"/>
        <w:rPr>
          <w:rFonts w:eastAsia="Times New Roman" w:cs="Arial"/>
          <w:i/>
          <w:iCs/>
          <w:color w:val="000000"/>
          <w:u w:val="single"/>
          <w:lang w:eastAsia="bg-BG"/>
        </w:rPr>
      </w:pPr>
    </w:p>
    <w:p w14:paraId="4B0B77C6" w14:textId="05FC3FFD"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Хемодиализа</w:t>
      </w:r>
    </w:p>
    <w:p w14:paraId="11FEB994"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 xml:space="preserve">По време на диализа артериалното налягане може да е особено чувствително към </w:t>
      </w:r>
      <w:r w:rsidRPr="00EB4C49">
        <w:rPr>
          <w:rFonts w:eastAsia="Times New Roman" w:cs="Arial"/>
          <w:color w:val="000000"/>
          <w:lang w:val="en-US"/>
        </w:rPr>
        <w:t>ATI</w:t>
      </w:r>
      <w:r w:rsidRPr="00EB4C49">
        <w:rPr>
          <w:rFonts w:eastAsia="Times New Roman" w:cs="Arial"/>
          <w:color w:val="000000"/>
          <w:lang w:val="ru-RU"/>
        </w:rPr>
        <w:t xml:space="preserve">- </w:t>
      </w:r>
      <w:r w:rsidRPr="00EB4C49">
        <w:rPr>
          <w:rFonts w:eastAsia="Times New Roman" w:cs="Arial"/>
          <w:color w:val="000000"/>
          <w:lang w:eastAsia="bg-BG"/>
        </w:rPr>
        <w:t>рецепторна блокада в резултат на понижаването на плазмения обем и активирането на ренин- ангиотензин-алдостероновата система. Следователно при пациенти на хемодиализа кандесартан трябва да се титрира много внимателно, при стриктно мониториране на артериалното налягане.</w:t>
      </w:r>
    </w:p>
    <w:p w14:paraId="37C8147C" w14:textId="77777777" w:rsidR="00EB4C49" w:rsidRPr="00EB4C49" w:rsidRDefault="00EB4C49" w:rsidP="00EB4C49">
      <w:pPr>
        <w:spacing w:line="240" w:lineRule="auto"/>
        <w:rPr>
          <w:rFonts w:eastAsia="Times New Roman" w:cs="Arial"/>
          <w:i/>
          <w:iCs/>
          <w:color w:val="000000"/>
          <w:u w:val="single"/>
          <w:lang w:eastAsia="bg-BG"/>
        </w:rPr>
      </w:pPr>
    </w:p>
    <w:p w14:paraId="742223A7" w14:textId="6FB6181D"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Стеноза на бъбречната артерия</w:t>
      </w:r>
    </w:p>
    <w:p w14:paraId="5CBEA30B"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Лекарствените продукти, които повлияват ренин-ангиотензин-алдостероновата система, включително и ангиотензин II-рецепторните антагонисти (А</w:t>
      </w:r>
      <w:r w:rsidRPr="00EB4C49">
        <w:rPr>
          <w:rFonts w:eastAsia="Times New Roman" w:cs="Arial"/>
          <w:color w:val="000000"/>
          <w:lang w:val="en-US"/>
        </w:rPr>
        <w:t>II</w:t>
      </w:r>
      <w:r w:rsidRPr="00EB4C49">
        <w:rPr>
          <w:rFonts w:eastAsia="Times New Roman" w:cs="Arial"/>
          <w:color w:val="000000"/>
          <w:lang w:eastAsia="bg-BG"/>
        </w:rPr>
        <w:t>РА), могат да предизвикат повишаване на кръвната урея и серумния креатинин при пациенти с двустранна стеноза на бъбречната артерия или със стеноза на артерията на единствен бъбрек.</w:t>
      </w:r>
    </w:p>
    <w:p w14:paraId="0E0BC8AD" w14:textId="77777777" w:rsidR="00EB4C49" w:rsidRPr="00EB4C49" w:rsidRDefault="00EB4C49" w:rsidP="00EB4C49">
      <w:pPr>
        <w:spacing w:line="240" w:lineRule="auto"/>
        <w:rPr>
          <w:rFonts w:eastAsia="Times New Roman" w:cs="Arial"/>
          <w:i/>
          <w:iCs/>
          <w:color w:val="000000"/>
          <w:u w:val="single"/>
          <w:lang w:eastAsia="bg-BG"/>
        </w:rPr>
      </w:pPr>
    </w:p>
    <w:p w14:paraId="1881D40F" w14:textId="11C6ADF2"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Бъбречна трансплантация</w:t>
      </w:r>
    </w:p>
    <w:p w14:paraId="2397722F" w14:textId="751E4B51" w:rsidR="00EB4C49" w:rsidRPr="00EB4C49" w:rsidRDefault="00EB4C49" w:rsidP="00EB4C49">
      <w:pPr>
        <w:rPr>
          <w:rFonts w:eastAsia="Times New Roman" w:cs="Arial"/>
          <w:color w:val="000000"/>
          <w:lang w:eastAsia="bg-BG"/>
        </w:rPr>
      </w:pPr>
      <w:r w:rsidRPr="00EB4C49">
        <w:rPr>
          <w:rFonts w:eastAsia="Times New Roman" w:cs="Arial"/>
          <w:color w:val="000000"/>
          <w:lang w:eastAsia="bg-BG"/>
        </w:rPr>
        <w:t>Липсва опит по отношение на приложението на кандесартан при пациенти с наскоро проводена бъбречна трансплантация.</w:t>
      </w:r>
    </w:p>
    <w:p w14:paraId="263C64A7" w14:textId="75EE28D1" w:rsidR="00EB4C49" w:rsidRPr="00EB4C49" w:rsidRDefault="00EB4C49" w:rsidP="00EB4C49">
      <w:pPr>
        <w:rPr>
          <w:rFonts w:eastAsia="Times New Roman" w:cs="Arial"/>
          <w:color w:val="000000"/>
          <w:lang w:eastAsia="bg-BG"/>
        </w:rPr>
      </w:pPr>
    </w:p>
    <w:p w14:paraId="2B9688F8" w14:textId="77777777"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Хипотония</w:t>
      </w:r>
    </w:p>
    <w:p w14:paraId="49114E56"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По време на лечението на пациенти със сърдечна недостатъчност с кандесартан може да се развие хипотония. Такава може да се развие и при пациенти с хипертония, но с вътресъдово обемно изчерпване - като например пациентите на лечение с диуретици във високи дози. При започване на лечението трябва да се подхожда с повишено внимание, като трябва да се направи опит за корекция на хиповолемията.</w:t>
      </w:r>
    </w:p>
    <w:p w14:paraId="733A44F0" w14:textId="77777777" w:rsidR="00EB4C49" w:rsidRPr="00EB4C49" w:rsidRDefault="00EB4C49" w:rsidP="00EB4C49">
      <w:pPr>
        <w:spacing w:line="240" w:lineRule="auto"/>
        <w:rPr>
          <w:rFonts w:eastAsia="Times New Roman" w:cs="Arial"/>
          <w:i/>
          <w:iCs/>
          <w:color w:val="000000"/>
          <w:u w:val="single"/>
          <w:lang w:eastAsia="bg-BG"/>
        </w:rPr>
      </w:pPr>
    </w:p>
    <w:p w14:paraId="37F71495" w14:textId="69AED550"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Анестезия и операции</w:t>
      </w:r>
    </w:p>
    <w:p w14:paraId="1CDD5BB7"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При лекувани с антагонисти на ангиотензин 11 пациенти, по време на анестезия и операция може да се развие хипотония поради блокада на ренин-ангиотензин-алдостероновата система.</w:t>
      </w:r>
    </w:p>
    <w:p w14:paraId="73144F2C"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Много рядко, хипотонията може да е тежка и да наложи интравенозни вливания и/или приложение на вазопресори.</w:t>
      </w:r>
    </w:p>
    <w:p w14:paraId="7604F538" w14:textId="77777777" w:rsidR="00EB4C49" w:rsidRPr="00EB4C49" w:rsidRDefault="00EB4C49" w:rsidP="00EB4C49">
      <w:pPr>
        <w:spacing w:line="240" w:lineRule="auto"/>
        <w:rPr>
          <w:rFonts w:eastAsia="Times New Roman" w:cs="Arial"/>
          <w:i/>
          <w:iCs/>
          <w:color w:val="000000"/>
          <w:u w:val="single"/>
          <w:lang w:eastAsia="bg-BG"/>
        </w:rPr>
      </w:pPr>
    </w:p>
    <w:p w14:paraId="390C45A5" w14:textId="77777777" w:rsidR="00EB4C49" w:rsidRPr="00EB4C49" w:rsidRDefault="00EB4C49" w:rsidP="00EB4C49">
      <w:pPr>
        <w:spacing w:line="240" w:lineRule="auto"/>
        <w:rPr>
          <w:rFonts w:eastAsia="Times New Roman" w:cs="Arial"/>
          <w:i/>
          <w:iCs/>
          <w:color w:val="000000"/>
          <w:u w:val="single"/>
          <w:lang w:eastAsia="bg-BG"/>
        </w:rPr>
      </w:pPr>
      <w:r w:rsidRPr="00EB4C49">
        <w:rPr>
          <w:rFonts w:eastAsia="Times New Roman" w:cs="Arial"/>
          <w:i/>
          <w:iCs/>
          <w:color w:val="000000"/>
          <w:u w:val="single"/>
          <w:lang w:eastAsia="bg-BG"/>
        </w:rPr>
        <w:t>Стеноза на аортната и митралната клапа (обструктивна хипертрофична кардиомиопатия)</w:t>
      </w:r>
    </w:p>
    <w:p w14:paraId="6D2E4710" w14:textId="37404E65"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 xml:space="preserve"> </w:t>
      </w:r>
      <w:r w:rsidRPr="00EB4C49">
        <w:rPr>
          <w:rFonts w:eastAsia="Times New Roman" w:cs="Arial"/>
          <w:color w:val="000000"/>
          <w:lang w:eastAsia="bg-BG"/>
        </w:rPr>
        <w:t>Както и при приложение на други вазодилататори, при пациенти, страдащи от хемодинамично значима аортна или митрална стеноза, или от обструктивна хипертрофична кардиомиопатия. се препоръчва да се подхожда със специално внимание.</w:t>
      </w:r>
    </w:p>
    <w:p w14:paraId="5D989C76" w14:textId="77777777" w:rsidR="00EB4C49" w:rsidRPr="00EB4C49" w:rsidRDefault="00EB4C49" w:rsidP="00EB4C49">
      <w:pPr>
        <w:spacing w:line="240" w:lineRule="auto"/>
        <w:rPr>
          <w:rFonts w:eastAsia="Times New Roman" w:cs="Arial"/>
          <w:i/>
          <w:iCs/>
          <w:color w:val="000000"/>
          <w:u w:val="single"/>
          <w:lang w:eastAsia="bg-BG"/>
        </w:rPr>
      </w:pPr>
    </w:p>
    <w:p w14:paraId="23692939" w14:textId="26D89353"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Първичен хипералдостеронизъм</w:t>
      </w:r>
    </w:p>
    <w:p w14:paraId="145F45A7"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Като цяло пациентите с първичен хипералдостеронизъм не се повлияват от антихипертензивните лекарствени продукти, действащи чрез инхибиране на ренин- ангиотензин-алдостероновата система. Поради това не се препоръчва употребата на кандесартан в тази популация.</w:t>
      </w:r>
    </w:p>
    <w:p w14:paraId="0987B444" w14:textId="77777777" w:rsidR="00EB4C49" w:rsidRPr="00EB4C49" w:rsidRDefault="00EB4C49" w:rsidP="00EB4C49">
      <w:pPr>
        <w:spacing w:line="240" w:lineRule="auto"/>
        <w:rPr>
          <w:rFonts w:eastAsia="Times New Roman" w:cs="Arial"/>
          <w:i/>
          <w:iCs/>
          <w:color w:val="000000"/>
          <w:u w:val="single"/>
          <w:lang w:eastAsia="bg-BG"/>
        </w:rPr>
      </w:pPr>
    </w:p>
    <w:p w14:paraId="25FFD842" w14:textId="42B73561"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Хиперкалиемия</w:t>
      </w:r>
    </w:p>
    <w:p w14:paraId="6318257B"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lastRenderedPageBreak/>
        <w:t>Едновременното приложение на кандесартан с калий-съхраняващи диуретици, калиеви добавки, заместители на готварската сол, съдържащи калий, или други лекарствени продукти, които могат да повишат стойностите на калия (напр. хепарин), може да доведе до повишаване на серумния калий на пациентите с артериална хипертония. При необходимост трябва да се предприеме мониториране на серумния калий.</w:t>
      </w:r>
    </w:p>
    <w:p w14:paraId="068510FD" w14:textId="77777777" w:rsidR="00EB4C49" w:rsidRPr="00EB4C49" w:rsidRDefault="00EB4C49" w:rsidP="00EB4C49">
      <w:pPr>
        <w:spacing w:line="240" w:lineRule="auto"/>
        <w:rPr>
          <w:rFonts w:eastAsia="Times New Roman" w:cs="Arial"/>
          <w:color w:val="000000"/>
          <w:lang w:eastAsia="bg-BG"/>
        </w:rPr>
      </w:pPr>
    </w:p>
    <w:p w14:paraId="3062C0CB" w14:textId="2390D696" w:rsidR="00EB4C49" w:rsidRPr="00EB4C49" w:rsidRDefault="00EB4C49" w:rsidP="00EB4C49">
      <w:pPr>
        <w:spacing w:line="240" w:lineRule="auto"/>
        <w:rPr>
          <w:rFonts w:eastAsia="Times New Roman" w:cs="Arial"/>
          <w:color w:val="000000"/>
          <w:lang w:eastAsia="bg-BG"/>
        </w:rPr>
      </w:pPr>
      <w:r w:rsidRPr="00EB4C49">
        <w:rPr>
          <w:rFonts w:eastAsia="Times New Roman" w:cs="Arial"/>
          <w:color w:val="000000"/>
          <w:lang w:eastAsia="bg-BG"/>
        </w:rPr>
        <w:t>При лекуваните с кандесартан пациенти със сърдечна недостатъчност може да се развие хиперкалиемия. Препоръчва се периодично мониториране на серумния калий. Комбинацията от АСЕ инхибитор, калий-съхраняващ диуретик (напр. спиронолактон) и кандесартан не се препоръчва, и може да се има предвид само след внимателна оценка на потенциалните ползи и рискове.</w:t>
      </w:r>
    </w:p>
    <w:p w14:paraId="4FCC7CF6" w14:textId="77777777" w:rsidR="00EB4C49" w:rsidRPr="00EB4C49" w:rsidRDefault="00EB4C49" w:rsidP="00EB4C49">
      <w:pPr>
        <w:spacing w:line="240" w:lineRule="auto"/>
        <w:rPr>
          <w:rFonts w:eastAsia="Times New Roman" w:cs="Arial"/>
          <w:i/>
          <w:iCs/>
          <w:color w:val="000000"/>
          <w:u w:val="single"/>
          <w:lang w:eastAsia="bg-BG"/>
        </w:rPr>
      </w:pPr>
    </w:p>
    <w:p w14:paraId="578AEECE" w14:textId="361B4901"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Общи</w:t>
      </w:r>
    </w:p>
    <w:p w14:paraId="07F8447C"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При пациенти, чийто съдов тонус и бъбречна функция зависят главно от активността на ренин- ангиотензин-алдостероновата система (напр, пациенти с тежка застойна сърдечна недостатъчност или подлежащо бъбречно заболяване, включително стеноза на бъбречната артерия), лечението с други лекарствени продукти, повлияващи тази система, се свързва с остра хипотония, азотемия, олигурия и, рядко, остра бъбречна недостатъчност. Вероятността за развитие на подобен ефект при приложение на АПРА не може да се изключи. Както при приложение на което и да е антихипертензивно средство, прекомерното понижаване на артериалното налягане при пациентите с исхемична болест на сърцето или исхемична мозъчно- съдова болест може да доведе до развитие на инфаркт на миокарда или инсулт.</w:t>
      </w:r>
    </w:p>
    <w:p w14:paraId="48504094" w14:textId="77777777" w:rsidR="00EB4C49" w:rsidRPr="00EB4C49" w:rsidRDefault="00EB4C49" w:rsidP="00EB4C49">
      <w:pPr>
        <w:spacing w:line="240" w:lineRule="auto"/>
        <w:rPr>
          <w:rFonts w:eastAsia="Times New Roman" w:cs="Arial"/>
          <w:color w:val="000000"/>
          <w:lang w:eastAsia="bg-BG"/>
        </w:rPr>
      </w:pPr>
    </w:p>
    <w:p w14:paraId="5A67EEE2" w14:textId="39E95AE1" w:rsidR="00EB4C49" w:rsidRPr="00EB4C49" w:rsidRDefault="00EB4C49" w:rsidP="00EB4C49">
      <w:pPr>
        <w:spacing w:line="240" w:lineRule="auto"/>
        <w:rPr>
          <w:rFonts w:eastAsia="Times New Roman" w:cs="Arial"/>
        </w:rPr>
      </w:pPr>
      <w:r w:rsidRPr="00EB4C49">
        <w:rPr>
          <w:rFonts w:eastAsia="Times New Roman" w:cs="Arial"/>
          <w:color w:val="000000"/>
          <w:lang w:eastAsia="bg-BG"/>
        </w:rPr>
        <w:t>Антихипертензивният ефект на кандесартан може да бъде потенциран от други понижаващи артериалното налягане лекарствени продукти, без значение дали са предписани като антихипертензивни или по други показания.</w:t>
      </w:r>
    </w:p>
    <w:p w14:paraId="73E8C0C3" w14:textId="77777777" w:rsidR="00EB4C49" w:rsidRPr="00EB4C49" w:rsidRDefault="00EB4C49" w:rsidP="00EB4C49">
      <w:pPr>
        <w:spacing w:line="240" w:lineRule="auto"/>
        <w:rPr>
          <w:rFonts w:eastAsia="Times New Roman" w:cs="Arial"/>
          <w:color w:val="000000"/>
          <w:lang w:eastAsia="bg-BG"/>
        </w:rPr>
      </w:pPr>
    </w:p>
    <w:p w14:paraId="604449E3" w14:textId="086A5FC5" w:rsidR="00EB4C49" w:rsidRPr="00EB4C49" w:rsidRDefault="00EB4C49" w:rsidP="00EB4C49">
      <w:pPr>
        <w:spacing w:line="240" w:lineRule="auto"/>
        <w:rPr>
          <w:rFonts w:eastAsia="Times New Roman" w:cs="Arial"/>
        </w:rPr>
      </w:pPr>
      <w:r w:rsidRPr="00EB4C49">
        <w:rPr>
          <w:rFonts w:eastAsia="Times New Roman" w:cs="Arial"/>
          <w:color w:val="000000"/>
          <w:lang w:eastAsia="bg-BG"/>
        </w:rPr>
        <w:t>Кандесартан съдържа лактоза.</w:t>
      </w:r>
    </w:p>
    <w:p w14:paraId="36D377FC" w14:textId="50ED5FB2" w:rsidR="00EB4C49" w:rsidRPr="00EB4C49" w:rsidRDefault="00EB4C49" w:rsidP="00EB4C49">
      <w:pPr>
        <w:spacing w:line="240" w:lineRule="auto"/>
        <w:rPr>
          <w:rFonts w:eastAsia="Times New Roman" w:cs="Arial"/>
          <w:color w:val="000000"/>
          <w:lang w:eastAsia="bg-BG"/>
        </w:rPr>
      </w:pPr>
      <w:r w:rsidRPr="00EB4C49">
        <w:rPr>
          <w:rFonts w:eastAsia="Times New Roman" w:cs="Arial"/>
          <w:color w:val="000000"/>
          <w:lang w:eastAsia="bg-BG"/>
        </w:rPr>
        <w:t xml:space="preserve">Пациенти с редки наследствени проблеми на галактозна непоносимост, </w:t>
      </w:r>
      <w:r w:rsidRPr="00EB4C49">
        <w:rPr>
          <w:rFonts w:eastAsia="Times New Roman" w:cs="Arial"/>
          <w:color w:val="000000"/>
          <w:lang w:val="en-US"/>
        </w:rPr>
        <w:t>Lapp</w:t>
      </w:r>
      <w:r w:rsidRPr="00EB4C49">
        <w:rPr>
          <w:rFonts w:eastAsia="Times New Roman" w:cs="Arial"/>
          <w:color w:val="000000"/>
          <w:lang w:val="ru-RU"/>
        </w:rPr>
        <w:t xml:space="preserve"> </w:t>
      </w:r>
      <w:r w:rsidRPr="00EB4C49">
        <w:rPr>
          <w:rFonts w:eastAsia="Times New Roman" w:cs="Arial"/>
          <w:color w:val="000000"/>
          <w:lang w:eastAsia="bg-BG"/>
        </w:rPr>
        <w:t>лактазен дефицит или глюкозо-галактозна малабсорбция не трябва да приемат този лекарствен продукт.</w:t>
      </w:r>
    </w:p>
    <w:p w14:paraId="3D7D1C76" w14:textId="03B9AAD2" w:rsidR="00EB4C49" w:rsidRPr="00EB4C49" w:rsidRDefault="00EB4C49" w:rsidP="00EB4C49">
      <w:pPr>
        <w:spacing w:line="240" w:lineRule="auto"/>
        <w:rPr>
          <w:rFonts w:eastAsia="Times New Roman" w:cs="Arial"/>
          <w:color w:val="000000"/>
          <w:lang w:eastAsia="bg-BG"/>
        </w:rPr>
      </w:pPr>
    </w:p>
    <w:p w14:paraId="14D43161" w14:textId="77777777" w:rsidR="00EB4C49" w:rsidRPr="00EB4C49" w:rsidRDefault="00EB4C49" w:rsidP="00EB4C49">
      <w:pPr>
        <w:spacing w:line="240" w:lineRule="auto"/>
        <w:rPr>
          <w:rFonts w:eastAsia="Times New Roman" w:cs="Arial"/>
        </w:rPr>
      </w:pPr>
      <w:r w:rsidRPr="00EB4C49">
        <w:rPr>
          <w:rFonts w:eastAsia="Times New Roman" w:cs="Arial"/>
          <w:i/>
          <w:iCs/>
          <w:color w:val="000000"/>
          <w:u w:val="single"/>
          <w:lang w:eastAsia="bg-BG"/>
        </w:rPr>
        <w:t>Бременност</w:t>
      </w:r>
    </w:p>
    <w:p w14:paraId="2B7701A0" w14:textId="77777777" w:rsidR="00EB4C49" w:rsidRPr="00EB4C49" w:rsidRDefault="00EB4C49" w:rsidP="00EB4C49">
      <w:pPr>
        <w:spacing w:line="240" w:lineRule="auto"/>
        <w:rPr>
          <w:rFonts w:eastAsia="Times New Roman" w:cs="Arial"/>
        </w:rPr>
      </w:pPr>
      <w:r w:rsidRPr="00EB4C49">
        <w:rPr>
          <w:rFonts w:eastAsia="Times New Roman" w:cs="Arial"/>
          <w:color w:val="000000"/>
          <w:lang w:eastAsia="bg-BG"/>
        </w:rPr>
        <w:t xml:space="preserve">По време на бременност не трябва да се започва лечение с </w:t>
      </w:r>
      <w:r w:rsidRPr="00EB4C49">
        <w:rPr>
          <w:rFonts w:eastAsia="Times New Roman" w:cs="Arial"/>
          <w:color w:val="000000"/>
          <w:lang w:val="en-US"/>
        </w:rPr>
        <w:t>AIIPA</w:t>
      </w:r>
      <w:r w:rsidRPr="00EB4C49">
        <w:rPr>
          <w:rFonts w:eastAsia="Times New Roman" w:cs="Arial"/>
          <w:color w:val="000000"/>
          <w:lang w:val="ru-RU"/>
        </w:rPr>
        <w:t xml:space="preserve">, </w:t>
      </w:r>
      <w:r w:rsidRPr="00EB4C49">
        <w:rPr>
          <w:rFonts w:eastAsia="Times New Roman" w:cs="Arial"/>
          <w:color w:val="000000"/>
          <w:lang w:eastAsia="bg-BG"/>
        </w:rPr>
        <w:t>Освен ако продължаването на лечението с А</w:t>
      </w:r>
      <w:r w:rsidRPr="00EB4C49">
        <w:rPr>
          <w:rFonts w:eastAsia="Times New Roman" w:cs="Arial"/>
          <w:color w:val="000000"/>
          <w:lang w:val="en-US"/>
        </w:rPr>
        <w:t>II</w:t>
      </w:r>
      <w:r w:rsidRPr="00EB4C49">
        <w:rPr>
          <w:rFonts w:eastAsia="Times New Roman" w:cs="Arial"/>
          <w:color w:val="000000"/>
          <w:lang w:eastAsia="bg-BG"/>
        </w:rPr>
        <w:t>РА не се смята за жизненоважно, при пациентките, които възнамеряват да забременеят, трябва да се премине към лечение с алтернативно антихипертензивно средство, което има установен профил на безопасност за употреба по време на бременност. При установяване на бременност, лечението с А</w:t>
      </w:r>
      <w:r w:rsidRPr="00EB4C49">
        <w:rPr>
          <w:rFonts w:eastAsia="Times New Roman" w:cs="Arial"/>
          <w:color w:val="000000"/>
          <w:lang w:val="en-US"/>
        </w:rPr>
        <w:t>II</w:t>
      </w:r>
      <w:r w:rsidRPr="00EB4C49">
        <w:rPr>
          <w:rFonts w:eastAsia="Times New Roman" w:cs="Arial"/>
          <w:color w:val="000000"/>
          <w:lang w:eastAsia="bg-BG"/>
        </w:rPr>
        <w:t>РА трябва да се спре незабавно и, ако е уместно, да се започне алтернативно лечение (вж. точки 4.3 и 4.6).</w:t>
      </w:r>
    </w:p>
    <w:p w14:paraId="60BA8E46" w14:textId="77777777" w:rsidR="00EB4C49" w:rsidRPr="00EB4C49" w:rsidRDefault="00EB4C49" w:rsidP="00EB4C49">
      <w:pPr>
        <w:spacing w:line="240" w:lineRule="auto"/>
        <w:rPr>
          <w:rFonts w:eastAsia="Times New Roman" w:cs="Arial"/>
          <w:color w:val="000000"/>
          <w:lang w:eastAsia="bg-BG"/>
        </w:rPr>
      </w:pPr>
    </w:p>
    <w:p w14:paraId="0F86111F" w14:textId="254B9C5E" w:rsidR="00EB4C49" w:rsidRPr="00EB4C49" w:rsidRDefault="00EB4C49" w:rsidP="00EB4C49">
      <w:pPr>
        <w:spacing w:line="240" w:lineRule="auto"/>
        <w:rPr>
          <w:rFonts w:eastAsia="Times New Roman" w:cs="Arial"/>
        </w:rPr>
      </w:pPr>
      <w:r w:rsidRPr="00EB4C49">
        <w:rPr>
          <w:rFonts w:eastAsia="Times New Roman" w:cs="Arial"/>
          <w:color w:val="000000"/>
          <w:lang w:eastAsia="bg-BG"/>
        </w:rPr>
        <w:t>При пациентки във фертилна вероятността за забременяване трябва да проследява редовно. Необходимо е на пациентките да се предостави адекватна информация и/или да се предприемат дейстивия за предотвратяване на риска от експозиция по време на бременност (вж. точки 4.3 и 4.6).</w:t>
      </w:r>
    </w:p>
    <w:p w14:paraId="4CA0C513" w14:textId="6FF1023F" w:rsidR="00EB4C49" w:rsidRPr="00EB4C49" w:rsidRDefault="00EB4C49" w:rsidP="00EB4C49"/>
    <w:p w14:paraId="0734264C" w14:textId="6DFE1817"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7EF1DF8" w14:textId="3B5D976C" w:rsidR="00EB4C49" w:rsidRDefault="00EB4C49" w:rsidP="00EB4C49"/>
    <w:p w14:paraId="100B76BF" w14:textId="77777777" w:rsidR="00EB4C49" w:rsidRPr="00EB4C49" w:rsidRDefault="00EB4C49" w:rsidP="00EB4C49">
      <w:pPr>
        <w:spacing w:line="240" w:lineRule="auto"/>
        <w:rPr>
          <w:rFonts w:eastAsia="Times New Roman" w:cs="Arial"/>
          <w:sz w:val="32"/>
          <w:szCs w:val="24"/>
        </w:rPr>
      </w:pPr>
      <w:r w:rsidRPr="00EB4C49">
        <w:rPr>
          <w:rFonts w:eastAsia="Times New Roman" w:cs="Arial"/>
          <w:color w:val="000000"/>
          <w:szCs w:val="19"/>
          <w:lang w:eastAsia="bg-BG"/>
        </w:rPr>
        <w:lastRenderedPageBreak/>
        <w:t>Съединенията, изследвани в клинични фармакокинетични проучвания, включват хидрохлоротиазид, варфарин, дигоксин, перорални контрацептиви (напр. етинилестрадиол/левоноргестрел), глибенкламид, нифедипин и еналаприл. Не са установени клинично значими фармакокинетични взаимодействия с тези лекарствени продукти.</w:t>
      </w:r>
    </w:p>
    <w:p w14:paraId="0D940500" w14:textId="77777777" w:rsidR="00EB4C49" w:rsidRPr="00EB4C49" w:rsidRDefault="00EB4C49" w:rsidP="00EB4C49">
      <w:pPr>
        <w:spacing w:line="240" w:lineRule="auto"/>
        <w:rPr>
          <w:rFonts w:eastAsia="Times New Roman" w:cs="Arial"/>
          <w:color w:val="000000"/>
          <w:szCs w:val="19"/>
          <w:lang w:eastAsia="bg-BG"/>
        </w:rPr>
      </w:pPr>
    </w:p>
    <w:p w14:paraId="22D73642" w14:textId="073168F4" w:rsidR="00EB4C49" w:rsidRPr="00EB4C49" w:rsidRDefault="00EB4C49" w:rsidP="00EB4C49">
      <w:pPr>
        <w:spacing w:line="240" w:lineRule="auto"/>
        <w:rPr>
          <w:rFonts w:eastAsia="Times New Roman" w:cs="Arial"/>
          <w:sz w:val="32"/>
          <w:szCs w:val="24"/>
        </w:rPr>
      </w:pPr>
      <w:r w:rsidRPr="00EB4C49">
        <w:rPr>
          <w:rFonts w:eastAsia="Times New Roman" w:cs="Arial"/>
          <w:color w:val="000000"/>
          <w:szCs w:val="19"/>
          <w:lang w:eastAsia="bg-BG"/>
        </w:rPr>
        <w:t>Едновременното приложение с калий-съхраняващи диуретици, калиеви добавки, заместители на готварската сол, съдържащи калий, или други лекарствени продукти (напр. хепарин), може да повиши стойностите на серумния калий. При необходимост трябва да се предприеме мониториране на серумния калий (вж. точка 4.4).</w:t>
      </w:r>
    </w:p>
    <w:p w14:paraId="0044EAD2" w14:textId="77777777" w:rsidR="00EB4C49" w:rsidRPr="00EB4C49" w:rsidRDefault="00EB4C49" w:rsidP="00EB4C49">
      <w:pPr>
        <w:spacing w:line="240" w:lineRule="auto"/>
        <w:rPr>
          <w:rFonts w:eastAsia="Times New Roman" w:cs="Arial"/>
          <w:color w:val="000000"/>
          <w:szCs w:val="19"/>
          <w:lang w:eastAsia="bg-BG"/>
        </w:rPr>
      </w:pPr>
    </w:p>
    <w:p w14:paraId="354956A6" w14:textId="029098DC" w:rsidR="00EB4C49" w:rsidRPr="00EB4C49" w:rsidRDefault="00EB4C49" w:rsidP="00EB4C49">
      <w:pPr>
        <w:spacing w:line="240" w:lineRule="auto"/>
        <w:rPr>
          <w:rFonts w:eastAsia="Times New Roman" w:cs="Arial"/>
          <w:sz w:val="32"/>
          <w:szCs w:val="24"/>
        </w:rPr>
      </w:pPr>
      <w:r w:rsidRPr="00EB4C49">
        <w:rPr>
          <w:rFonts w:eastAsia="Times New Roman" w:cs="Arial"/>
          <w:color w:val="000000"/>
          <w:szCs w:val="19"/>
          <w:lang w:eastAsia="bg-BG"/>
        </w:rPr>
        <w:t>При едновременно приложение на литий с АСЕ инхибитори, има съобщения за обратимо повишаване на серумната концентрация на лития и токсичността му. Сходен ефект може да се развие и при приложение с А</w:t>
      </w:r>
      <w:r w:rsidRPr="00EB4C49">
        <w:rPr>
          <w:rFonts w:eastAsia="Times New Roman" w:cs="Arial"/>
          <w:color w:val="000000"/>
          <w:szCs w:val="19"/>
          <w:lang w:val="en-US"/>
        </w:rPr>
        <w:t>II</w:t>
      </w:r>
      <w:r w:rsidRPr="00EB4C49">
        <w:rPr>
          <w:rFonts w:eastAsia="Times New Roman" w:cs="Arial"/>
          <w:color w:val="000000"/>
          <w:szCs w:val="19"/>
          <w:lang w:eastAsia="bg-BG"/>
        </w:rPr>
        <w:t>РА. Приложението на кандесартан с литий не се препоръчва. Ако комбинацията се окаже необходима, се препоръчва стриктно мониториране на серумната концентрация на лития.</w:t>
      </w:r>
    </w:p>
    <w:p w14:paraId="457EEF5E" w14:textId="77777777" w:rsidR="00EB4C49" w:rsidRPr="00EB4C49" w:rsidRDefault="00EB4C49" w:rsidP="00EB4C49">
      <w:pPr>
        <w:spacing w:line="240" w:lineRule="auto"/>
        <w:rPr>
          <w:rFonts w:eastAsia="Times New Roman" w:cs="Arial"/>
          <w:color w:val="000000"/>
          <w:szCs w:val="19"/>
          <w:lang w:eastAsia="bg-BG"/>
        </w:rPr>
      </w:pPr>
    </w:p>
    <w:p w14:paraId="598DDB85" w14:textId="738EB9E8" w:rsidR="00EB4C49" w:rsidRPr="00EB4C49" w:rsidRDefault="00EB4C49" w:rsidP="00EB4C49">
      <w:pPr>
        <w:spacing w:line="240" w:lineRule="auto"/>
        <w:rPr>
          <w:rFonts w:eastAsia="Times New Roman" w:cs="Arial"/>
          <w:color w:val="000000"/>
          <w:szCs w:val="19"/>
          <w:lang w:eastAsia="bg-BG"/>
        </w:rPr>
      </w:pPr>
      <w:r w:rsidRPr="00EB4C49">
        <w:rPr>
          <w:rFonts w:eastAsia="Times New Roman" w:cs="Arial"/>
          <w:color w:val="000000"/>
          <w:szCs w:val="19"/>
          <w:lang w:eastAsia="bg-BG"/>
        </w:rPr>
        <w:t>При едновременно приложение на А</w:t>
      </w:r>
      <w:r w:rsidRPr="00EB4C49">
        <w:rPr>
          <w:rFonts w:eastAsia="Times New Roman" w:cs="Arial"/>
          <w:color w:val="000000"/>
          <w:szCs w:val="19"/>
          <w:lang w:val="en-US"/>
        </w:rPr>
        <w:t>II</w:t>
      </w:r>
      <w:r w:rsidRPr="00EB4C49">
        <w:rPr>
          <w:rFonts w:eastAsia="Times New Roman" w:cs="Arial"/>
          <w:color w:val="000000"/>
          <w:szCs w:val="19"/>
          <w:lang w:eastAsia="bg-BG"/>
        </w:rPr>
        <w:t xml:space="preserve">РА с нестероидни противовъзпалителни средства </w:t>
      </w:r>
      <w:r w:rsidRPr="00EB4C49">
        <w:rPr>
          <w:rFonts w:eastAsia="Times New Roman" w:cs="Arial"/>
          <w:color w:val="000000"/>
          <w:szCs w:val="19"/>
          <w:lang w:val="ru-RU"/>
        </w:rPr>
        <w:t>(</w:t>
      </w:r>
      <w:r w:rsidRPr="00EB4C49">
        <w:rPr>
          <w:rFonts w:eastAsia="Times New Roman" w:cs="Arial"/>
          <w:color w:val="000000"/>
          <w:szCs w:val="19"/>
          <w:lang w:val="en-US"/>
        </w:rPr>
        <w:t>NSAID</w:t>
      </w:r>
      <w:r w:rsidRPr="00EB4C49">
        <w:rPr>
          <w:rFonts w:eastAsia="Times New Roman" w:cs="Arial"/>
          <w:color w:val="000000"/>
          <w:szCs w:val="19"/>
          <w:lang w:val="ru-RU"/>
        </w:rPr>
        <w:t xml:space="preserve">) </w:t>
      </w:r>
      <w:r w:rsidRPr="00EB4C49">
        <w:rPr>
          <w:rFonts w:eastAsia="Times New Roman" w:cs="Arial"/>
          <w:color w:val="000000"/>
          <w:szCs w:val="19"/>
          <w:lang w:eastAsia="bg-BG"/>
        </w:rPr>
        <w:t xml:space="preserve">(т.е. селективни инхибитори на СОХ-2, ацетилсалицилова киселина (&gt; 3 </w:t>
      </w:r>
      <w:r w:rsidRPr="00EB4C49">
        <w:rPr>
          <w:rFonts w:eastAsia="Times New Roman" w:cs="Arial"/>
          <w:color w:val="000000"/>
          <w:szCs w:val="19"/>
          <w:lang w:val="en-US"/>
        </w:rPr>
        <w:t>g</w:t>
      </w:r>
      <w:r w:rsidRPr="00EB4C49">
        <w:rPr>
          <w:rFonts w:eastAsia="Times New Roman" w:cs="Arial"/>
          <w:color w:val="000000"/>
          <w:szCs w:val="19"/>
          <w:lang w:eastAsia="bg-BG"/>
        </w:rPr>
        <w:t xml:space="preserve">/дневно) и неселективни </w:t>
      </w:r>
      <w:r w:rsidRPr="00EB4C49">
        <w:rPr>
          <w:rFonts w:eastAsia="Times New Roman" w:cs="Arial"/>
          <w:color w:val="000000"/>
          <w:szCs w:val="19"/>
          <w:lang w:val="en-US"/>
        </w:rPr>
        <w:t>NSAID</w:t>
      </w:r>
      <w:r w:rsidRPr="00EB4C49">
        <w:rPr>
          <w:rFonts w:eastAsia="Times New Roman" w:cs="Arial"/>
          <w:color w:val="000000"/>
          <w:szCs w:val="19"/>
          <w:lang w:val="ru-RU"/>
        </w:rPr>
        <w:t xml:space="preserve">), </w:t>
      </w:r>
      <w:r w:rsidRPr="00EB4C49">
        <w:rPr>
          <w:rFonts w:eastAsia="Times New Roman" w:cs="Arial"/>
          <w:color w:val="000000"/>
          <w:szCs w:val="19"/>
          <w:lang w:eastAsia="bg-BG"/>
        </w:rPr>
        <w:t>антихипертензивният ефект може да намалее. Както и при приложение на АСЕ инхибитори, едновременното приложение на А</w:t>
      </w:r>
      <w:r w:rsidRPr="00EB4C49">
        <w:rPr>
          <w:rFonts w:eastAsia="Times New Roman" w:cs="Arial"/>
          <w:color w:val="000000"/>
          <w:szCs w:val="19"/>
          <w:lang w:val="en-US"/>
        </w:rPr>
        <w:t>II</w:t>
      </w:r>
      <w:r w:rsidRPr="00EB4C49">
        <w:rPr>
          <w:rFonts w:eastAsia="Times New Roman" w:cs="Arial"/>
          <w:color w:val="000000"/>
          <w:szCs w:val="19"/>
          <w:lang w:eastAsia="bg-BG"/>
        </w:rPr>
        <w:t xml:space="preserve">РА и </w:t>
      </w:r>
      <w:r w:rsidRPr="00EB4C49">
        <w:rPr>
          <w:rFonts w:eastAsia="Times New Roman" w:cs="Arial"/>
          <w:color w:val="000000"/>
          <w:szCs w:val="19"/>
          <w:lang w:val="en-US"/>
        </w:rPr>
        <w:t>NSAID</w:t>
      </w:r>
      <w:r w:rsidRPr="00EB4C49">
        <w:rPr>
          <w:rFonts w:eastAsia="Times New Roman" w:cs="Arial"/>
          <w:color w:val="000000"/>
          <w:szCs w:val="19"/>
          <w:lang w:val="ru-RU"/>
        </w:rPr>
        <w:t xml:space="preserve"> </w:t>
      </w:r>
      <w:r w:rsidRPr="00EB4C49">
        <w:rPr>
          <w:rFonts w:eastAsia="Times New Roman" w:cs="Arial"/>
          <w:color w:val="000000"/>
          <w:szCs w:val="19"/>
          <w:lang w:eastAsia="bg-BG"/>
        </w:rPr>
        <w:t>може да доведе до повишаване на риска за влошаване на бъбречната функция, включително и за развитие на остра бъбречна недостатъчност, и за повишаване на серумния калий, особено при пациенти с предшестваща лоша бъбречна функция. Комбинацията трябва да се прилага с внимание, особено при пациенти в старческа възраст. Пациентите трябва да бъдат хидратирани в достатъчна степен и трябва да се обмисли мониториране на бъбречната функция след започване на съпътстващото лечение, както и периодично след това.</w:t>
      </w:r>
    </w:p>
    <w:p w14:paraId="020D4E1F" w14:textId="77777777" w:rsidR="00EB4C49" w:rsidRPr="00EB4C49" w:rsidRDefault="00EB4C49" w:rsidP="00EB4C49">
      <w:pPr>
        <w:spacing w:line="240" w:lineRule="auto"/>
        <w:rPr>
          <w:rFonts w:eastAsia="Times New Roman" w:cs="Arial"/>
          <w:color w:val="000000"/>
          <w:szCs w:val="19"/>
          <w:lang w:eastAsia="bg-BG"/>
        </w:rPr>
      </w:pPr>
    </w:p>
    <w:p w14:paraId="322B6684" w14:textId="1886AFA7" w:rsidR="00EB4C49" w:rsidRPr="00EB4C49" w:rsidRDefault="00EB4C49" w:rsidP="00EB4C49">
      <w:pPr>
        <w:spacing w:line="240" w:lineRule="auto"/>
        <w:rPr>
          <w:rFonts w:eastAsia="Times New Roman" w:cs="Arial"/>
          <w:sz w:val="32"/>
          <w:szCs w:val="24"/>
        </w:rPr>
      </w:pPr>
      <w:r w:rsidRPr="00EB4C49">
        <w:rPr>
          <w:rFonts w:eastAsia="Times New Roman" w:cs="Arial"/>
          <w:color w:val="000000"/>
          <w:szCs w:val="19"/>
          <w:lang w:eastAsia="bg-BG"/>
        </w:rPr>
        <w:t xml:space="preserve">Данни от клинични проучвания показват, че двойната блокада на ренин-ангиотензин- алдостероновата система </w:t>
      </w:r>
      <w:r w:rsidRPr="00EB4C49">
        <w:rPr>
          <w:rFonts w:eastAsia="Times New Roman" w:cs="Arial"/>
          <w:color w:val="000000"/>
          <w:szCs w:val="19"/>
          <w:lang w:val="ru-RU"/>
        </w:rPr>
        <w:t>(</w:t>
      </w:r>
      <w:r w:rsidRPr="00EB4C49">
        <w:rPr>
          <w:rFonts w:eastAsia="Times New Roman" w:cs="Arial"/>
          <w:color w:val="000000"/>
          <w:szCs w:val="19"/>
          <w:lang w:val="en-US"/>
        </w:rPr>
        <w:t>RAAS</w:t>
      </w:r>
      <w:r w:rsidRPr="00EB4C49">
        <w:rPr>
          <w:rFonts w:eastAsia="Times New Roman" w:cs="Arial"/>
          <w:color w:val="000000"/>
          <w:szCs w:val="19"/>
          <w:lang w:val="ru-RU"/>
        </w:rPr>
        <w:t xml:space="preserve">) </w:t>
      </w:r>
      <w:r w:rsidRPr="00EB4C49">
        <w:rPr>
          <w:rFonts w:eastAsia="Times New Roman" w:cs="Arial"/>
          <w:color w:val="000000"/>
          <w:szCs w:val="19"/>
          <w:lang w:eastAsia="bg-BG"/>
        </w:rPr>
        <w:t xml:space="preserve">посредством комбинираното приложение на АСЕ инхибитори, ангиотензин II рецепторни блокери или алискирен, е свързана с по-висока честота на нежелани реакции, като хипотония, хиперкалиемия и понижена бъбречна функция (включително остра бъбречна недостатъчност) в сравнение с употребата само на едно средство с действие върху </w:t>
      </w:r>
      <w:r w:rsidRPr="00EB4C49">
        <w:rPr>
          <w:rFonts w:eastAsia="Times New Roman" w:cs="Arial"/>
          <w:color w:val="000000"/>
          <w:szCs w:val="19"/>
          <w:lang w:val="en-US"/>
        </w:rPr>
        <w:t>RAAS</w:t>
      </w:r>
      <w:r w:rsidRPr="00EB4C49">
        <w:rPr>
          <w:rFonts w:eastAsia="Times New Roman" w:cs="Arial"/>
          <w:color w:val="000000"/>
          <w:szCs w:val="19"/>
          <w:lang w:val="ru-RU"/>
        </w:rPr>
        <w:t xml:space="preserve"> </w:t>
      </w:r>
      <w:r w:rsidRPr="00EB4C49">
        <w:rPr>
          <w:rFonts w:eastAsia="Times New Roman" w:cs="Arial"/>
          <w:color w:val="000000"/>
          <w:szCs w:val="19"/>
          <w:lang w:eastAsia="bg-BG"/>
        </w:rPr>
        <w:t>(вж. точки 4.3, 4,4, и 5.1).</w:t>
      </w:r>
    </w:p>
    <w:p w14:paraId="0D1923FF" w14:textId="77777777" w:rsidR="00EB4C49" w:rsidRPr="00EB4C49" w:rsidRDefault="00EB4C49" w:rsidP="00EB4C49">
      <w:pPr>
        <w:spacing w:line="240" w:lineRule="auto"/>
        <w:rPr>
          <w:rFonts w:eastAsia="Times New Roman" w:cs="Arial"/>
          <w:color w:val="000000"/>
          <w:szCs w:val="19"/>
          <w:u w:val="single"/>
          <w:lang w:eastAsia="bg-BG"/>
        </w:rPr>
      </w:pPr>
    </w:p>
    <w:p w14:paraId="4608B0B1" w14:textId="31B1CD2E" w:rsidR="00EB4C49" w:rsidRPr="00EB4C49" w:rsidRDefault="00EB4C49" w:rsidP="00EB4C49">
      <w:pPr>
        <w:spacing w:line="240" w:lineRule="auto"/>
        <w:rPr>
          <w:rFonts w:eastAsia="Times New Roman" w:cs="Arial"/>
          <w:sz w:val="32"/>
          <w:szCs w:val="24"/>
        </w:rPr>
      </w:pPr>
      <w:r w:rsidRPr="00EB4C49">
        <w:rPr>
          <w:rFonts w:eastAsia="Times New Roman" w:cs="Arial"/>
          <w:color w:val="000000"/>
          <w:szCs w:val="19"/>
          <w:u w:val="single"/>
          <w:lang w:eastAsia="bg-BG"/>
        </w:rPr>
        <w:t>Педиатрична популация</w:t>
      </w:r>
    </w:p>
    <w:p w14:paraId="566F4EDD" w14:textId="77777777" w:rsidR="00EB4C49" w:rsidRPr="00EB4C49" w:rsidRDefault="00EB4C49" w:rsidP="00EB4C49">
      <w:pPr>
        <w:spacing w:line="240" w:lineRule="auto"/>
        <w:rPr>
          <w:rFonts w:eastAsia="Times New Roman" w:cs="Arial"/>
          <w:sz w:val="32"/>
          <w:szCs w:val="24"/>
        </w:rPr>
      </w:pPr>
      <w:r w:rsidRPr="00EB4C49">
        <w:rPr>
          <w:rFonts w:eastAsia="Times New Roman" w:cs="Arial"/>
          <w:color w:val="000000"/>
          <w:szCs w:val="19"/>
          <w:lang w:eastAsia="bg-BG"/>
        </w:rPr>
        <w:t>Проучвания за взаимодействия са провеждани само при възрастни.</w:t>
      </w:r>
    </w:p>
    <w:p w14:paraId="1086EC65" w14:textId="77777777" w:rsidR="00EB4C49" w:rsidRPr="00EB4C49" w:rsidRDefault="00EB4C49" w:rsidP="00EB4C49"/>
    <w:p w14:paraId="5D9F40EA" w14:textId="481BEE7A" w:rsidR="007122AD" w:rsidRDefault="002C50EE" w:rsidP="00936AD0">
      <w:pPr>
        <w:pStyle w:val="Heading2"/>
      </w:pPr>
      <w:r>
        <w:t>4.6. Фертилитет, бременност и кърмене</w:t>
      </w:r>
    </w:p>
    <w:p w14:paraId="7298911D" w14:textId="6203FAB9" w:rsidR="00EB4C49" w:rsidRDefault="00EB4C49" w:rsidP="00EB4C49"/>
    <w:p w14:paraId="50F0F167" w14:textId="77777777" w:rsidR="00EB4C49" w:rsidRPr="00EB4C49" w:rsidRDefault="00EB4C49" w:rsidP="00EB4C49">
      <w:pPr>
        <w:pStyle w:val="Heading3"/>
        <w:rPr>
          <w:rFonts w:ascii="Times New Roman" w:eastAsia="Times New Roman" w:hAnsi="Times New Roman" w:cs="Times New Roman"/>
          <w:sz w:val="32"/>
          <w:u w:val="single"/>
        </w:rPr>
      </w:pPr>
      <w:r w:rsidRPr="00EB4C49">
        <w:rPr>
          <w:rFonts w:eastAsia="Times New Roman"/>
          <w:u w:val="single"/>
          <w:lang w:eastAsia="bg-BG"/>
        </w:rPr>
        <w:t>Бременност</w:t>
      </w:r>
    </w:p>
    <w:p w14:paraId="4DB66858" w14:textId="4669E3BE" w:rsidR="00EB4C49" w:rsidRPr="00EB4C49" w:rsidRDefault="00EB4C49" w:rsidP="00EB4C49">
      <w:pPr>
        <w:rPr>
          <w:sz w:val="28"/>
        </w:rPr>
      </w:pPr>
    </w:p>
    <w:tbl>
      <w:tblPr>
        <w:tblStyle w:val="TableGrid"/>
        <w:tblW w:w="0" w:type="auto"/>
        <w:tblLook w:val="04A0" w:firstRow="1" w:lastRow="0" w:firstColumn="1" w:lastColumn="0" w:noHBand="0" w:noVBand="1"/>
      </w:tblPr>
      <w:tblGrid>
        <w:gridCol w:w="9350"/>
      </w:tblGrid>
      <w:tr w:rsidR="00EB4C49" w:rsidRPr="00EB4C49" w14:paraId="5F242A87" w14:textId="77777777" w:rsidTr="00EB4C49">
        <w:tc>
          <w:tcPr>
            <w:tcW w:w="9576" w:type="dxa"/>
          </w:tcPr>
          <w:p w14:paraId="04918EE9" w14:textId="1FE0A2C1" w:rsidR="00EB4C49" w:rsidRPr="00EB4C49" w:rsidRDefault="00EB4C49" w:rsidP="00EB4C49">
            <w:pPr>
              <w:rPr>
                <w:sz w:val="28"/>
              </w:rPr>
            </w:pPr>
            <w:r w:rsidRPr="00EB4C49">
              <w:rPr>
                <w:rFonts w:cs="Arial"/>
                <w:szCs w:val="19"/>
              </w:rPr>
              <w:t>Не се препоръчва приемът на А</w:t>
            </w:r>
            <w:r w:rsidRPr="00EB4C49">
              <w:rPr>
                <w:rFonts w:cs="Arial"/>
                <w:szCs w:val="19"/>
                <w:lang w:val="en-US"/>
              </w:rPr>
              <w:t>II</w:t>
            </w:r>
            <w:r w:rsidRPr="00EB4C49">
              <w:rPr>
                <w:rFonts w:cs="Arial"/>
                <w:szCs w:val="19"/>
              </w:rPr>
              <w:t>РА през първия триместър на бременността (вж. точка 4.4). По време на втория и третия триместър на бременността приемът на А</w:t>
            </w:r>
            <w:r w:rsidRPr="00EB4C49">
              <w:rPr>
                <w:rFonts w:cs="Arial"/>
                <w:szCs w:val="19"/>
                <w:lang w:val="en-US"/>
              </w:rPr>
              <w:t>II</w:t>
            </w:r>
            <w:r w:rsidRPr="00EB4C49">
              <w:rPr>
                <w:rFonts w:cs="Arial"/>
                <w:szCs w:val="19"/>
              </w:rPr>
              <w:t>РА е противопоказан (вж. точки 4.3 и 4,4).</w:t>
            </w:r>
          </w:p>
        </w:tc>
      </w:tr>
    </w:tbl>
    <w:p w14:paraId="6752DC5E" w14:textId="07D09431" w:rsidR="00EB4C49" w:rsidRDefault="00EB4C49" w:rsidP="00EB4C49"/>
    <w:p w14:paraId="6720A23C" w14:textId="77777777" w:rsidR="00EB4C49" w:rsidRPr="00EB4C49" w:rsidRDefault="00EB4C49" w:rsidP="00EB4C49">
      <w:pPr>
        <w:spacing w:line="240" w:lineRule="auto"/>
        <w:rPr>
          <w:rFonts w:ascii="Times New Roman" w:eastAsia="Times New Roman" w:hAnsi="Times New Roman" w:cs="Times New Roman"/>
          <w:sz w:val="32"/>
          <w:szCs w:val="24"/>
        </w:rPr>
      </w:pPr>
      <w:r w:rsidRPr="00EB4C49">
        <w:rPr>
          <w:rFonts w:eastAsia="Times New Roman" w:cs="Arial"/>
          <w:color w:val="000000"/>
          <w:szCs w:val="19"/>
          <w:lang w:eastAsia="bg-BG"/>
        </w:rPr>
        <w:t xml:space="preserve">Епидемиологичните данни, касаещи риска от тератогенен ефект след прием на АСЕ инхибитор през първия триместър на бременността не са еднозначни; все пак не може да </w:t>
      </w:r>
      <w:r w:rsidRPr="00EB4C49">
        <w:rPr>
          <w:rFonts w:eastAsia="Times New Roman" w:cs="Arial"/>
          <w:color w:val="000000"/>
          <w:szCs w:val="19"/>
          <w:lang w:eastAsia="bg-BG"/>
        </w:rPr>
        <w:lastRenderedPageBreak/>
        <w:t>се изключи леко повишаване на риска. Макар да няма контролирани епидемиологични данни, касаещи риска при прием на А</w:t>
      </w:r>
      <w:r w:rsidRPr="00EB4C49">
        <w:rPr>
          <w:rFonts w:eastAsia="Times New Roman" w:cs="Arial"/>
          <w:color w:val="000000"/>
          <w:szCs w:val="19"/>
          <w:lang w:val="en-US"/>
        </w:rPr>
        <w:t>II</w:t>
      </w:r>
      <w:r w:rsidRPr="00EB4C49">
        <w:rPr>
          <w:rFonts w:eastAsia="Times New Roman" w:cs="Arial"/>
          <w:color w:val="000000"/>
          <w:szCs w:val="19"/>
          <w:lang w:eastAsia="bg-BG"/>
        </w:rPr>
        <w:t>РА, при този клас лекарства може да съществува подобен риск. Освен ако продължаването на лечението с А</w:t>
      </w:r>
      <w:r w:rsidRPr="00EB4C49">
        <w:rPr>
          <w:rFonts w:eastAsia="Times New Roman" w:cs="Arial"/>
          <w:color w:val="000000"/>
          <w:szCs w:val="19"/>
          <w:lang w:val="en-US"/>
        </w:rPr>
        <w:t>II</w:t>
      </w:r>
      <w:r w:rsidRPr="00EB4C49">
        <w:rPr>
          <w:rFonts w:eastAsia="Times New Roman" w:cs="Arial"/>
          <w:color w:val="000000"/>
          <w:szCs w:val="19"/>
          <w:lang w:eastAsia="bg-BG"/>
        </w:rPr>
        <w:t>РА не се смята за жизненоважно, при пациентките, които възнамеряват да забременеят, трябва да се премине към лечение с алтернативно антихипертензивно средство, което има установен профил на безопасност за употреба по време на бременност. При установяване на бременност лечението с А</w:t>
      </w:r>
      <w:r w:rsidRPr="00EB4C49">
        <w:rPr>
          <w:rFonts w:eastAsia="Times New Roman" w:cs="Arial"/>
          <w:color w:val="000000"/>
          <w:szCs w:val="19"/>
          <w:lang w:val="en-US"/>
        </w:rPr>
        <w:t>II</w:t>
      </w:r>
      <w:r w:rsidRPr="00EB4C49">
        <w:rPr>
          <w:rFonts w:eastAsia="Times New Roman" w:cs="Arial"/>
          <w:color w:val="000000"/>
          <w:szCs w:val="19"/>
          <w:lang w:eastAsia="bg-BG"/>
        </w:rPr>
        <w:t>РА трябва да се спре незабавно и, ако е уместно, да се започне алтернативно лечение.</w:t>
      </w:r>
    </w:p>
    <w:p w14:paraId="5762753D" w14:textId="77777777" w:rsidR="00EB4C49" w:rsidRPr="00EB4C49" w:rsidRDefault="00EB4C49" w:rsidP="00EB4C49">
      <w:pPr>
        <w:spacing w:line="240" w:lineRule="auto"/>
        <w:rPr>
          <w:rFonts w:eastAsia="Times New Roman" w:cs="Arial"/>
          <w:color w:val="000000"/>
          <w:szCs w:val="19"/>
          <w:lang w:eastAsia="bg-BG"/>
        </w:rPr>
      </w:pPr>
    </w:p>
    <w:p w14:paraId="69FCBEF9" w14:textId="45DA00EE" w:rsidR="00EB4C49" w:rsidRPr="00EB4C49" w:rsidRDefault="00EB4C49" w:rsidP="00EB4C49">
      <w:pPr>
        <w:spacing w:line="240" w:lineRule="auto"/>
        <w:rPr>
          <w:rFonts w:ascii="Times New Roman" w:eastAsia="Times New Roman" w:hAnsi="Times New Roman" w:cs="Times New Roman"/>
          <w:sz w:val="32"/>
          <w:szCs w:val="24"/>
        </w:rPr>
      </w:pPr>
      <w:r w:rsidRPr="00EB4C49">
        <w:rPr>
          <w:rFonts w:eastAsia="Times New Roman" w:cs="Arial"/>
          <w:color w:val="000000"/>
          <w:szCs w:val="19"/>
          <w:lang w:eastAsia="bg-BG"/>
        </w:rPr>
        <w:t>Известно е, че експозицията на А</w:t>
      </w:r>
      <w:r w:rsidRPr="00EB4C49">
        <w:rPr>
          <w:rFonts w:eastAsia="Times New Roman" w:cs="Arial"/>
          <w:color w:val="000000"/>
          <w:szCs w:val="19"/>
          <w:lang w:val="en-US"/>
        </w:rPr>
        <w:t>II</w:t>
      </w:r>
      <w:r w:rsidRPr="00EB4C49">
        <w:rPr>
          <w:rFonts w:eastAsia="Times New Roman" w:cs="Arial"/>
          <w:color w:val="000000"/>
          <w:szCs w:val="19"/>
          <w:lang w:eastAsia="bg-BG"/>
        </w:rPr>
        <w:t>РА през втория и третия триместър на бременността има фетотоксичен ефект (намалена бъбречна функция, олигохидрамнион, забавена осификация на черепните кости) и неонатална токсичност (бъбречна недостатъчност, хипотония, хеперкалиемия) (вж. точка 5.3).</w:t>
      </w:r>
    </w:p>
    <w:p w14:paraId="3E39AE21" w14:textId="77777777" w:rsidR="00EB4C49" w:rsidRPr="00EB4C49" w:rsidRDefault="00EB4C49" w:rsidP="00EB4C49">
      <w:pPr>
        <w:spacing w:line="240" w:lineRule="auto"/>
        <w:rPr>
          <w:rFonts w:eastAsia="Times New Roman" w:cs="Arial"/>
          <w:color w:val="000000"/>
          <w:szCs w:val="19"/>
          <w:lang w:eastAsia="bg-BG"/>
        </w:rPr>
      </w:pPr>
    </w:p>
    <w:p w14:paraId="203734DE" w14:textId="4319575F" w:rsidR="00EB4C49" w:rsidRPr="00EB4C49" w:rsidRDefault="00EB4C49" w:rsidP="00EB4C49">
      <w:pPr>
        <w:spacing w:line="240" w:lineRule="auto"/>
        <w:rPr>
          <w:rFonts w:ascii="Times New Roman" w:eastAsia="Times New Roman" w:hAnsi="Times New Roman" w:cs="Times New Roman"/>
          <w:sz w:val="32"/>
          <w:szCs w:val="24"/>
        </w:rPr>
      </w:pPr>
      <w:r w:rsidRPr="00EB4C49">
        <w:rPr>
          <w:rFonts w:eastAsia="Times New Roman" w:cs="Arial"/>
          <w:color w:val="000000"/>
          <w:szCs w:val="19"/>
          <w:lang w:eastAsia="bg-BG"/>
        </w:rPr>
        <w:t>При експозиция на А</w:t>
      </w:r>
      <w:r w:rsidRPr="00EB4C49">
        <w:rPr>
          <w:rFonts w:eastAsia="Times New Roman" w:cs="Arial"/>
          <w:color w:val="000000"/>
          <w:szCs w:val="19"/>
          <w:lang w:val="en-US"/>
        </w:rPr>
        <w:t>II</w:t>
      </w:r>
      <w:r w:rsidRPr="00EB4C49">
        <w:rPr>
          <w:rFonts w:eastAsia="Times New Roman" w:cs="Arial"/>
          <w:color w:val="000000"/>
          <w:szCs w:val="19"/>
          <w:lang w:eastAsia="bg-BG"/>
        </w:rPr>
        <w:t>РА след началото на втория триместър на бременността, се препоръчва ехографска оценка на бъбречната функция и състоянието на черепните кости.</w:t>
      </w:r>
    </w:p>
    <w:p w14:paraId="00F3FD66" w14:textId="77777777" w:rsidR="00EB4C49" w:rsidRPr="00EB4C49" w:rsidRDefault="00EB4C49" w:rsidP="00EB4C49">
      <w:pPr>
        <w:spacing w:line="240" w:lineRule="auto"/>
        <w:rPr>
          <w:rFonts w:ascii="Times New Roman" w:eastAsia="Times New Roman" w:hAnsi="Times New Roman" w:cs="Times New Roman"/>
          <w:sz w:val="32"/>
          <w:szCs w:val="24"/>
        </w:rPr>
      </w:pPr>
      <w:r w:rsidRPr="00EB4C49">
        <w:rPr>
          <w:rFonts w:eastAsia="Times New Roman" w:cs="Arial"/>
          <w:color w:val="000000"/>
          <w:szCs w:val="19"/>
          <w:lang w:eastAsia="bg-BG"/>
        </w:rPr>
        <w:t>Кърмачета, чиито майка са приемали А</w:t>
      </w:r>
      <w:r w:rsidRPr="00EB4C49">
        <w:rPr>
          <w:rFonts w:eastAsia="Times New Roman" w:cs="Arial"/>
          <w:color w:val="000000"/>
          <w:szCs w:val="19"/>
          <w:lang w:val="en-US"/>
        </w:rPr>
        <w:t>II</w:t>
      </w:r>
      <w:r w:rsidRPr="00EB4C49">
        <w:rPr>
          <w:rFonts w:eastAsia="Times New Roman" w:cs="Arial"/>
          <w:color w:val="000000"/>
          <w:szCs w:val="19"/>
          <w:lang w:eastAsia="bg-BG"/>
        </w:rPr>
        <w:t>РА, трябва да са под непосредствено наблюдение за развитие на хипотония (вж. точки 4.3 и 4.4).</w:t>
      </w:r>
    </w:p>
    <w:p w14:paraId="19AAA8C5" w14:textId="77777777" w:rsidR="00EB4C49" w:rsidRPr="00EB4C49" w:rsidRDefault="00EB4C49" w:rsidP="00EB4C49">
      <w:pPr>
        <w:spacing w:line="240" w:lineRule="auto"/>
        <w:rPr>
          <w:rFonts w:eastAsia="Times New Roman" w:cs="Arial"/>
          <w:color w:val="000000"/>
          <w:szCs w:val="19"/>
          <w:u w:val="single"/>
          <w:lang w:eastAsia="bg-BG"/>
        </w:rPr>
      </w:pPr>
    </w:p>
    <w:p w14:paraId="2B4CCFE1" w14:textId="05A4ADC2" w:rsidR="00EB4C49" w:rsidRPr="00EB4C49" w:rsidRDefault="00EB4C49" w:rsidP="00EB4C49">
      <w:pPr>
        <w:pStyle w:val="Heading3"/>
        <w:rPr>
          <w:rFonts w:ascii="Times New Roman" w:eastAsia="Times New Roman" w:hAnsi="Times New Roman" w:cs="Times New Roman"/>
          <w:sz w:val="32"/>
          <w:u w:val="single"/>
        </w:rPr>
      </w:pPr>
      <w:r w:rsidRPr="00EB4C49">
        <w:rPr>
          <w:rFonts w:eastAsia="Times New Roman"/>
          <w:u w:val="single"/>
          <w:lang w:eastAsia="bg-BG"/>
        </w:rPr>
        <w:t>Кърмене</w:t>
      </w:r>
    </w:p>
    <w:p w14:paraId="3CCFA974" w14:textId="77777777" w:rsidR="00EB4C49" w:rsidRPr="00EB4C49" w:rsidRDefault="00EB4C49" w:rsidP="00EB4C49">
      <w:pPr>
        <w:spacing w:line="240" w:lineRule="auto"/>
        <w:rPr>
          <w:rFonts w:ascii="Times New Roman" w:eastAsia="Times New Roman" w:hAnsi="Times New Roman" w:cs="Times New Roman"/>
          <w:sz w:val="24"/>
          <w:szCs w:val="24"/>
        </w:rPr>
      </w:pPr>
      <w:r w:rsidRPr="00EB4C49">
        <w:rPr>
          <w:rFonts w:eastAsia="Times New Roman" w:cs="Arial"/>
          <w:color w:val="000000"/>
          <w:szCs w:val="19"/>
          <w:lang w:eastAsia="bg-BG"/>
        </w:rPr>
        <w:t>Понеже липсва информация, касаеща употребата на кандесартан по време на кърмене, приложението му не се препоръчва, и е за предпочитане лечение с алтернативни средства, които имат установен профил на безопасност по време на кърмене, особено при кърмене на новородено или недоносено кърмаче.</w:t>
      </w:r>
    </w:p>
    <w:p w14:paraId="67D1D99D" w14:textId="77777777" w:rsidR="00EB4C49" w:rsidRPr="00EB4C49" w:rsidRDefault="00EB4C49" w:rsidP="00EB4C49"/>
    <w:p w14:paraId="5DD7A76D" w14:textId="773889A3" w:rsidR="007122AD" w:rsidRDefault="002C50EE" w:rsidP="00936AD0">
      <w:pPr>
        <w:pStyle w:val="Heading2"/>
      </w:pPr>
      <w:r>
        <w:t>4.7. Ефекти върху способността за шофиране и работа с машини</w:t>
      </w:r>
    </w:p>
    <w:p w14:paraId="4F05224F" w14:textId="1302005A" w:rsidR="00EB4C49" w:rsidRDefault="00EB4C49" w:rsidP="00EB4C49"/>
    <w:p w14:paraId="0FB00BA6" w14:textId="357EC7CF" w:rsidR="00EB4C49" w:rsidRPr="00EB4C49" w:rsidRDefault="00EB4C49" w:rsidP="00EB4C49">
      <w:pPr>
        <w:rPr>
          <w:rFonts w:ascii="Times New Roman" w:hAnsi="Times New Roman" w:cs="Times New Roman"/>
          <w:sz w:val="24"/>
          <w:szCs w:val="24"/>
        </w:rPr>
      </w:pPr>
      <w:r w:rsidRPr="00EB4C49">
        <w:rPr>
          <w:lang w:eastAsia="bg-BG"/>
        </w:rPr>
        <w:t>Не са провеждани проучвания за ефектите на кандесартан върху способността за шофиране и работа с машини. Все пак трябва да се вземе под внимание, че понякога по време на лечението с кандесартан е възможна поя</w:t>
      </w:r>
      <w:r>
        <w:rPr>
          <w:lang w:eastAsia="bg-BG"/>
        </w:rPr>
        <w:t>ва на замаяност или отпадналост.</w:t>
      </w:r>
    </w:p>
    <w:p w14:paraId="4ED43364" w14:textId="77777777" w:rsidR="00EB4C49" w:rsidRPr="00EB4C49" w:rsidRDefault="00EB4C49" w:rsidP="00EB4C49"/>
    <w:p w14:paraId="44CE30A3" w14:textId="5BC42FF5" w:rsidR="007122AD" w:rsidRDefault="002C50EE" w:rsidP="00936AD0">
      <w:pPr>
        <w:pStyle w:val="Heading2"/>
      </w:pPr>
      <w:r>
        <w:t>4.8. Нежелани лекарствени реакции</w:t>
      </w:r>
    </w:p>
    <w:p w14:paraId="1070A917" w14:textId="4D139E16" w:rsidR="00EB4C49" w:rsidRDefault="00EB4C49" w:rsidP="00EB4C49"/>
    <w:p w14:paraId="5AE0D3B6" w14:textId="77777777" w:rsidR="00EB4C49" w:rsidRPr="00EB4C49" w:rsidRDefault="00EB4C49" w:rsidP="00EB4C49">
      <w:pPr>
        <w:spacing w:line="240" w:lineRule="auto"/>
        <w:rPr>
          <w:rFonts w:ascii="Times New Roman" w:eastAsia="Times New Roman" w:hAnsi="Times New Roman" w:cs="Times New Roman"/>
          <w:sz w:val="28"/>
          <w:szCs w:val="24"/>
        </w:rPr>
      </w:pPr>
      <w:r w:rsidRPr="00EB4C49">
        <w:rPr>
          <w:rFonts w:eastAsia="Times New Roman" w:cs="Arial"/>
          <w:i/>
          <w:iCs/>
          <w:color w:val="000000"/>
          <w:szCs w:val="19"/>
          <w:u w:val="single"/>
          <w:lang w:eastAsia="bg-BG"/>
        </w:rPr>
        <w:t>Лечение на артериална хипертония</w:t>
      </w:r>
    </w:p>
    <w:p w14:paraId="7E26DD22" w14:textId="77777777" w:rsidR="00EB4C49" w:rsidRPr="00EB4C49" w:rsidRDefault="00EB4C49" w:rsidP="00EB4C49">
      <w:pPr>
        <w:spacing w:line="240" w:lineRule="auto"/>
        <w:rPr>
          <w:rFonts w:ascii="Times New Roman" w:eastAsia="Times New Roman" w:hAnsi="Times New Roman" w:cs="Times New Roman"/>
          <w:sz w:val="28"/>
          <w:szCs w:val="24"/>
        </w:rPr>
      </w:pPr>
      <w:r w:rsidRPr="00EB4C49">
        <w:rPr>
          <w:rFonts w:eastAsia="Times New Roman" w:cs="Arial"/>
          <w:color w:val="000000"/>
          <w:szCs w:val="19"/>
          <w:lang w:eastAsia="bg-BG"/>
        </w:rPr>
        <w:t>Нежеланите реакции от контролираните клинични проучвания са леки и преходни. Общата честота на развитие на нежелани събития не показва зависимост от дозата или възрастта. Спирането на лечението поради развитие на нежелани реакции е сходно за кандесартан цилексетил (3,1%) и плацебо (3,2%).</w:t>
      </w:r>
    </w:p>
    <w:p w14:paraId="60900225" w14:textId="77777777" w:rsidR="00EB4C49" w:rsidRPr="00EB4C49" w:rsidRDefault="00EB4C49" w:rsidP="00EB4C49">
      <w:pPr>
        <w:spacing w:line="240" w:lineRule="auto"/>
        <w:rPr>
          <w:rFonts w:eastAsia="Times New Roman" w:cs="Arial"/>
          <w:color w:val="000000"/>
          <w:szCs w:val="19"/>
          <w:lang w:eastAsia="bg-BG"/>
        </w:rPr>
      </w:pPr>
    </w:p>
    <w:p w14:paraId="33FE5065" w14:textId="3E5F1406" w:rsidR="00EB4C49" w:rsidRPr="00EB4C49" w:rsidRDefault="00EB4C49" w:rsidP="00EB4C49">
      <w:pPr>
        <w:spacing w:line="240" w:lineRule="auto"/>
        <w:rPr>
          <w:rFonts w:ascii="Times New Roman" w:eastAsia="Times New Roman" w:hAnsi="Times New Roman" w:cs="Times New Roman"/>
          <w:sz w:val="28"/>
          <w:szCs w:val="24"/>
        </w:rPr>
      </w:pPr>
      <w:r w:rsidRPr="00EB4C49">
        <w:rPr>
          <w:rFonts w:eastAsia="Times New Roman" w:cs="Arial"/>
          <w:color w:val="000000"/>
          <w:szCs w:val="19"/>
          <w:lang w:eastAsia="bg-BG"/>
        </w:rPr>
        <w:t>В сборния анализ на данните от клиничните проучвания при пациенти с артериална хипертония, нежеланите реакции при кандесартан цилексетил се дефинират въз</w:t>
      </w:r>
      <w:r w:rsidRPr="00EB4C49">
        <w:rPr>
          <w:rFonts w:eastAsia="Times New Roman" w:cs="Arial"/>
          <w:color w:val="000000"/>
          <w:szCs w:val="19"/>
          <w:lang w:val="ru-RU"/>
        </w:rPr>
        <w:t xml:space="preserve"> </w:t>
      </w:r>
      <w:r w:rsidRPr="00EB4C49">
        <w:rPr>
          <w:rFonts w:eastAsia="Times New Roman" w:cs="Arial"/>
          <w:color w:val="000000"/>
          <w:szCs w:val="19"/>
          <w:lang w:eastAsia="bg-BG"/>
        </w:rPr>
        <w:t>основа на честота на нежелани събития при прием на кандесартан цилексетил, по-висока с поне 1% от наблюдаваната при прием на плацебо. По тази дефиниция най-често съобщаваните нежелани реакции са замайване/вертиго, главоболие и инфекции на дихателните пътища.</w:t>
      </w:r>
    </w:p>
    <w:p w14:paraId="04A49DD1" w14:textId="0FAF28BA" w:rsidR="00EB4C49" w:rsidRPr="00EB4C49" w:rsidRDefault="00EB4C49" w:rsidP="00EB4C49">
      <w:pPr>
        <w:rPr>
          <w:sz w:val="24"/>
        </w:rPr>
      </w:pPr>
    </w:p>
    <w:p w14:paraId="58A6CA12" w14:textId="77777777" w:rsidR="00EB4C49" w:rsidRPr="00EB4C49" w:rsidRDefault="00EB4C49" w:rsidP="00EB4C49">
      <w:pPr>
        <w:spacing w:line="240" w:lineRule="auto"/>
        <w:rPr>
          <w:rFonts w:ascii="Times New Roman" w:eastAsia="Times New Roman" w:hAnsi="Times New Roman" w:cs="Times New Roman"/>
          <w:sz w:val="28"/>
          <w:szCs w:val="24"/>
        </w:rPr>
      </w:pPr>
      <w:r w:rsidRPr="00EB4C49">
        <w:rPr>
          <w:rFonts w:eastAsia="Times New Roman" w:cs="Arial"/>
          <w:color w:val="000000"/>
          <w:szCs w:val="19"/>
          <w:lang w:eastAsia="bg-BG"/>
        </w:rPr>
        <w:t>В дадената по-долу таблица са представени нежеланите реакции от клиничните проучвания и постмаркетинговия опит.</w:t>
      </w:r>
    </w:p>
    <w:p w14:paraId="11A30310" w14:textId="77777777" w:rsidR="00EB4C49" w:rsidRPr="00EB4C49" w:rsidRDefault="00EB4C49" w:rsidP="00EB4C49">
      <w:pPr>
        <w:spacing w:line="240" w:lineRule="auto"/>
        <w:rPr>
          <w:rFonts w:ascii="Times New Roman" w:eastAsia="Times New Roman" w:hAnsi="Times New Roman" w:cs="Times New Roman"/>
          <w:sz w:val="28"/>
          <w:szCs w:val="24"/>
        </w:rPr>
      </w:pPr>
      <w:r w:rsidRPr="00EB4C49">
        <w:rPr>
          <w:rFonts w:eastAsia="Times New Roman" w:cs="Arial"/>
          <w:color w:val="000000"/>
          <w:szCs w:val="19"/>
          <w:lang w:eastAsia="bg-BG"/>
        </w:rPr>
        <w:lastRenderedPageBreak/>
        <w:t>Използваните в таблиците в точка 4.8 честоти са както следва: много чести (≥ 1/10), чести (≥1/100 до &lt; 1/10), нечести (≥1/1 000 до &lt;1/100), редки (≥ 1/10 000 до &lt; 1/1 000) и много редки (&lt; 1/10 000).</w:t>
      </w:r>
    </w:p>
    <w:p w14:paraId="4DBA0E88" w14:textId="35B92D38" w:rsidR="00EB4C49" w:rsidRDefault="00EB4C49" w:rsidP="00EB4C49"/>
    <w:tbl>
      <w:tblPr>
        <w:tblStyle w:val="TableGrid"/>
        <w:tblW w:w="0" w:type="auto"/>
        <w:tblLook w:val="04A0" w:firstRow="1" w:lastRow="0" w:firstColumn="1" w:lastColumn="0" w:noHBand="0" w:noVBand="1"/>
      </w:tblPr>
      <w:tblGrid>
        <w:gridCol w:w="3125"/>
        <w:gridCol w:w="3082"/>
        <w:gridCol w:w="3143"/>
      </w:tblGrid>
      <w:tr w:rsidR="00EB4C49" w14:paraId="20455D71" w14:textId="77777777" w:rsidTr="00EB4C49">
        <w:tc>
          <w:tcPr>
            <w:tcW w:w="3192" w:type="dxa"/>
          </w:tcPr>
          <w:p w14:paraId="4B2EEC93" w14:textId="063CAD26" w:rsidR="00EB4C49" w:rsidRPr="00EB4C49" w:rsidRDefault="00EB4C49" w:rsidP="00EB4C49">
            <w:r w:rsidRPr="00EB4C49">
              <w:rPr>
                <w:b/>
                <w:bCs/>
              </w:rPr>
              <w:t>Системо-органен клас</w:t>
            </w:r>
          </w:p>
        </w:tc>
        <w:tc>
          <w:tcPr>
            <w:tcW w:w="3192" w:type="dxa"/>
          </w:tcPr>
          <w:p w14:paraId="6236AFD2" w14:textId="60CB37AF" w:rsidR="00EB4C49" w:rsidRPr="00EB4C49" w:rsidRDefault="00EB4C49" w:rsidP="00EB4C49">
            <w:r w:rsidRPr="00EB4C49">
              <w:rPr>
                <w:b/>
                <w:bCs/>
              </w:rPr>
              <w:t>Честота</w:t>
            </w:r>
          </w:p>
        </w:tc>
        <w:tc>
          <w:tcPr>
            <w:tcW w:w="3192" w:type="dxa"/>
          </w:tcPr>
          <w:p w14:paraId="6704051F" w14:textId="6F242D35" w:rsidR="00EB4C49" w:rsidRPr="00EB4C49" w:rsidRDefault="00EB4C49" w:rsidP="00EB4C49">
            <w:r w:rsidRPr="00EB4C49">
              <w:rPr>
                <w:b/>
                <w:bCs/>
              </w:rPr>
              <w:t>Нежелани реакции</w:t>
            </w:r>
          </w:p>
        </w:tc>
      </w:tr>
      <w:tr w:rsidR="00EB4C49" w14:paraId="783AE99A" w14:textId="77777777" w:rsidTr="00EB4C49">
        <w:tc>
          <w:tcPr>
            <w:tcW w:w="3192" w:type="dxa"/>
          </w:tcPr>
          <w:p w14:paraId="201E7019" w14:textId="59E73507" w:rsidR="00EB4C49" w:rsidRPr="00EB4C49" w:rsidRDefault="00EB4C49" w:rsidP="00EB4C49">
            <w:r w:rsidRPr="00EB4C49">
              <w:rPr>
                <w:rFonts w:cs="Arial"/>
                <w:szCs w:val="19"/>
              </w:rPr>
              <w:t>Инфекции и инфестации</w:t>
            </w:r>
          </w:p>
        </w:tc>
        <w:tc>
          <w:tcPr>
            <w:tcW w:w="3192" w:type="dxa"/>
          </w:tcPr>
          <w:p w14:paraId="4ABF43D3" w14:textId="15EA213E" w:rsidR="00EB4C49" w:rsidRPr="00EB4C49" w:rsidRDefault="00EB4C49" w:rsidP="00EB4C49">
            <w:r w:rsidRPr="00EB4C49">
              <w:rPr>
                <w:rFonts w:cs="Arial"/>
                <w:szCs w:val="19"/>
              </w:rPr>
              <w:t>Чести</w:t>
            </w:r>
          </w:p>
        </w:tc>
        <w:tc>
          <w:tcPr>
            <w:tcW w:w="3192" w:type="dxa"/>
          </w:tcPr>
          <w:p w14:paraId="2699E034" w14:textId="5209F6E1" w:rsidR="00EB4C49" w:rsidRPr="00EB4C49" w:rsidRDefault="00EB4C49" w:rsidP="00EB4C49">
            <w:r w:rsidRPr="00EB4C49">
              <w:rPr>
                <w:rFonts w:cs="Arial"/>
                <w:szCs w:val="19"/>
              </w:rPr>
              <w:t>Дихателни инфекции</w:t>
            </w:r>
          </w:p>
        </w:tc>
      </w:tr>
      <w:tr w:rsidR="00EB4C49" w14:paraId="24D9DCCB" w14:textId="77777777" w:rsidTr="00EB4C49">
        <w:tc>
          <w:tcPr>
            <w:tcW w:w="3192" w:type="dxa"/>
          </w:tcPr>
          <w:p w14:paraId="0720BA6D" w14:textId="6350E7C8" w:rsidR="00EB4C49" w:rsidRPr="00EB4C49" w:rsidRDefault="00EB4C49" w:rsidP="00EB4C49">
            <w:r w:rsidRPr="00EB4C49">
              <w:rPr>
                <w:rFonts w:cs="Arial"/>
                <w:szCs w:val="19"/>
              </w:rPr>
              <w:t>Нарушения на кръвта и лимфната система</w:t>
            </w:r>
          </w:p>
        </w:tc>
        <w:tc>
          <w:tcPr>
            <w:tcW w:w="3192" w:type="dxa"/>
          </w:tcPr>
          <w:p w14:paraId="0D9C9648" w14:textId="31D8DFE3" w:rsidR="00EB4C49" w:rsidRPr="00EB4C49" w:rsidRDefault="00EB4C49" w:rsidP="00EB4C49">
            <w:r w:rsidRPr="00EB4C49">
              <w:rPr>
                <w:rFonts w:cs="Arial"/>
                <w:szCs w:val="19"/>
              </w:rPr>
              <w:t>Много редки</w:t>
            </w:r>
          </w:p>
        </w:tc>
        <w:tc>
          <w:tcPr>
            <w:tcW w:w="3192" w:type="dxa"/>
          </w:tcPr>
          <w:p w14:paraId="4B3E01DA" w14:textId="6811E772" w:rsidR="00EB4C49" w:rsidRPr="00EB4C49" w:rsidRDefault="00EB4C49" w:rsidP="00EB4C49">
            <w:r w:rsidRPr="00EB4C49">
              <w:rPr>
                <w:rFonts w:cs="Arial"/>
                <w:szCs w:val="19"/>
              </w:rPr>
              <w:t>Левкопения, неутропения и агранулозитоза</w:t>
            </w:r>
          </w:p>
        </w:tc>
      </w:tr>
      <w:tr w:rsidR="00EB4C49" w14:paraId="2DCC9338" w14:textId="77777777" w:rsidTr="00EB4C49">
        <w:tc>
          <w:tcPr>
            <w:tcW w:w="3192" w:type="dxa"/>
          </w:tcPr>
          <w:p w14:paraId="54F80DFE" w14:textId="11E8F468" w:rsidR="00EB4C49" w:rsidRPr="00EB4C49" w:rsidRDefault="00EB4C49" w:rsidP="00EB4C49">
            <w:r w:rsidRPr="00EB4C49">
              <w:rPr>
                <w:rFonts w:cs="Arial"/>
                <w:szCs w:val="19"/>
              </w:rPr>
              <w:t>Нарушения на метаболизма и храненето</w:t>
            </w:r>
          </w:p>
        </w:tc>
        <w:tc>
          <w:tcPr>
            <w:tcW w:w="3192" w:type="dxa"/>
          </w:tcPr>
          <w:p w14:paraId="4B3DB698" w14:textId="30F4F427" w:rsidR="00EB4C49" w:rsidRPr="00EB4C49" w:rsidRDefault="00EB4C49" w:rsidP="00EB4C49">
            <w:r w:rsidRPr="00EB4C49">
              <w:rPr>
                <w:rFonts w:cs="Arial"/>
                <w:szCs w:val="19"/>
              </w:rPr>
              <w:t>Много редки</w:t>
            </w:r>
          </w:p>
        </w:tc>
        <w:tc>
          <w:tcPr>
            <w:tcW w:w="3192" w:type="dxa"/>
          </w:tcPr>
          <w:p w14:paraId="1992BF96" w14:textId="404742C0" w:rsidR="00EB4C49" w:rsidRPr="00EB4C49" w:rsidRDefault="00EB4C49" w:rsidP="00EB4C49">
            <w:r w:rsidRPr="00EB4C49">
              <w:rPr>
                <w:rFonts w:cs="Arial"/>
                <w:szCs w:val="19"/>
              </w:rPr>
              <w:t>Хиперкалиемия, хипонатриемия</w:t>
            </w:r>
          </w:p>
        </w:tc>
      </w:tr>
      <w:tr w:rsidR="00EB4C49" w14:paraId="7483AE3C" w14:textId="77777777" w:rsidTr="00EB4C49">
        <w:tc>
          <w:tcPr>
            <w:tcW w:w="3192" w:type="dxa"/>
          </w:tcPr>
          <w:p w14:paraId="1C3887E3" w14:textId="08D89DA4" w:rsidR="00EB4C49" w:rsidRPr="00EB4C49" w:rsidRDefault="00EB4C49" w:rsidP="00EB4C49">
            <w:r w:rsidRPr="00EB4C49">
              <w:rPr>
                <w:rFonts w:cs="Arial"/>
                <w:szCs w:val="19"/>
              </w:rPr>
              <w:t>Нарушения на нервната система</w:t>
            </w:r>
          </w:p>
        </w:tc>
        <w:tc>
          <w:tcPr>
            <w:tcW w:w="3192" w:type="dxa"/>
          </w:tcPr>
          <w:p w14:paraId="3FC1E050" w14:textId="7924408A" w:rsidR="00EB4C49" w:rsidRPr="00EB4C49" w:rsidRDefault="00EB4C49" w:rsidP="00EB4C49">
            <w:r w:rsidRPr="00EB4C49">
              <w:rPr>
                <w:rFonts w:cs="Arial"/>
                <w:szCs w:val="19"/>
              </w:rPr>
              <w:t>Чести</w:t>
            </w:r>
          </w:p>
        </w:tc>
        <w:tc>
          <w:tcPr>
            <w:tcW w:w="3192" w:type="dxa"/>
          </w:tcPr>
          <w:p w14:paraId="0BC73688" w14:textId="7ECCF586" w:rsidR="00EB4C49" w:rsidRPr="00EB4C49" w:rsidRDefault="00EB4C49" w:rsidP="00EB4C49">
            <w:r w:rsidRPr="00EB4C49">
              <w:rPr>
                <w:rFonts w:cs="Arial"/>
                <w:szCs w:val="19"/>
              </w:rPr>
              <w:t>Замайване/вертиго, главоболие</w:t>
            </w:r>
          </w:p>
        </w:tc>
      </w:tr>
      <w:tr w:rsidR="00EB4C49" w14:paraId="1F20FE33" w14:textId="77777777" w:rsidTr="00EB4C49">
        <w:tc>
          <w:tcPr>
            <w:tcW w:w="3192" w:type="dxa"/>
          </w:tcPr>
          <w:p w14:paraId="7AC021CA" w14:textId="17F41E94" w:rsidR="00EB4C49" w:rsidRPr="00EB4C49" w:rsidRDefault="00EB4C49" w:rsidP="00EB4C49">
            <w:r w:rsidRPr="00EB4C49">
              <w:rPr>
                <w:rFonts w:cs="Arial"/>
                <w:szCs w:val="19"/>
              </w:rPr>
              <w:t>Респираторни, гръдни и медиастинални нарушения</w:t>
            </w:r>
          </w:p>
        </w:tc>
        <w:tc>
          <w:tcPr>
            <w:tcW w:w="3192" w:type="dxa"/>
          </w:tcPr>
          <w:p w14:paraId="37DD3519" w14:textId="0B45C1DA" w:rsidR="00EB4C49" w:rsidRPr="00EB4C49" w:rsidRDefault="00EB4C49" w:rsidP="00EB4C49">
            <w:r w:rsidRPr="00EB4C49">
              <w:rPr>
                <w:rFonts w:cs="Arial"/>
                <w:szCs w:val="19"/>
              </w:rPr>
              <w:t>Много редки</w:t>
            </w:r>
          </w:p>
        </w:tc>
        <w:tc>
          <w:tcPr>
            <w:tcW w:w="3192" w:type="dxa"/>
          </w:tcPr>
          <w:p w14:paraId="3C4ADD85" w14:textId="0E2A7083" w:rsidR="00EB4C49" w:rsidRPr="00EB4C49" w:rsidRDefault="00EB4C49" w:rsidP="00EB4C49">
            <w:r w:rsidRPr="00EB4C49">
              <w:rPr>
                <w:rFonts w:cs="Arial"/>
                <w:szCs w:val="19"/>
              </w:rPr>
              <w:t>Кашлица</w:t>
            </w:r>
          </w:p>
        </w:tc>
      </w:tr>
      <w:tr w:rsidR="00EB4C49" w14:paraId="44459000" w14:textId="77777777" w:rsidTr="00EB4C49">
        <w:tc>
          <w:tcPr>
            <w:tcW w:w="3192" w:type="dxa"/>
          </w:tcPr>
          <w:p w14:paraId="4FC4BDEC" w14:textId="0D2AFA6E" w:rsidR="00EB4C49" w:rsidRPr="00EB4C49" w:rsidRDefault="00EB4C49" w:rsidP="00EB4C49">
            <w:r w:rsidRPr="00EB4C49">
              <w:rPr>
                <w:rFonts w:cs="Arial"/>
                <w:szCs w:val="19"/>
              </w:rPr>
              <w:t>Стомашно-чревни нарушения</w:t>
            </w:r>
          </w:p>
        </w:tc>
        <w:tc>
          <w:tcPr>
            <w:tcW w:w="3192" w:type="dxa"/>
          </w:tcPr>
          <w:p w14:paraId="49B6E6F1" w14:textId="44D60136" w:rsidR="00EB4C49" w:rsidRPr="00EB4C49" w:rsidRDefault="00EB4C49" w:rsidP="00EB4C49">
            <w:r w:rsidRPr="00EB4C49">
              <w:rPr>
                <w:rFonts w:cs="Arial"/>
                <w:szCs w:val="19"/>
              </w:rPr>
              <w:t>Много редки</w:t>
            </w:r>
          </w:p>
        </w:tc>
        <w:tc>
          <w:tcPr>
            <w:tcW w:w="3192" w:type="dxa"/>
          </w:tcPr>
          <w:p w14:paraId="08C68E16" w14:textId="60F957BF" w:rsidR="00EB4C49" w:rsidRPr="00EB4C49" w:rsidRDefault="00EB4C49" w:rsidP="00EB4C49">
            <w:r w:rsidRPr="00EB4C49">
              <w:rPr>
                <w:rFonts w:cs="Arial"/>
                <w:szCs w:val="19"/>
              </w:rPr>
              <w:t>Гадене</w:t>
            </w:r>
          </w:p>
        </w:tc>
      </w:tr>
      <w:tr w:rsidR="00EB4C49" w14:paraId="236933BB" w14:textId="77777777" w:rsidTr="00EB4C49">
        <w:tc>
          <w:tcPr>
            <w:tcW w:w="3192" w:type="dxa"/>
          </w:tcPr>
          <w:p w14:paraId="3BB217B5" w14:textId="58A82023" w:rsidR="00EB4C49" w:rsidRPr="00EB4C49" w:rsidRDefault="00EB4C49" w:rsidP="00EB4C49">
            <w:r w:rsidRPr="00EB4C49">
              <w:rPr>
                <w:rFonts w:cs="Arial"/>
                <w:szCs w:val="19"/>
              </w:rPr>
              <w:t>Хепато-билиарни нарушения</w:t>
            </w:r>
          </w:p>
        </w:tc>
        <w:tc>
          <w:tcPr>
            <w:tcW w:w="3192" w:type="dxa"/>
          </w:tcPr>
          <w:p w14:paraId="3A444E13" w14:textId="44E5D22E" w:rsidR="00EB4C49" w:rsidRPr="00EB4C49" w:rsidRDefault="00EB4C49" w:rsidP="00EB4C49">
            <w:r w:rsidRPr="00EB4C49">
              <w:rPr>
                <w:rFonts w:cs="Arial"/>
                <w:szCs w:val="19"/>
              </w:rPr>
              <w:t>Много редки</w:t>
            </w:r>
          </w:p>
        </w:tc>
        <w:tc>
          <w:tcPr>
            <w:tcW w:w="3192" w:type="dxa"/>
          </w:tcPr>
          <w:p w14:paraId="69740824" w14:textId="3FBD0507" w:rsidR="00EB4C49" w:rsidRPr="00EB4C49" w:rsidRDefault="00EB4C49" w:rsidP="00EB4C49">
            <w:r w:rsidRPr="00EB4C49">
              <w:rPr>
                <w:rFonts w:cs="Arial"/>
                <w:szCs w:val="19"/>
              </w:rPr>
              <w:t>Повишение на чернодробните ензими, отклонения в чернодробната функция и хепатит</w:t>
            </w:r>
          </w:p>
        </w:tc>
      </w:tr>
      <w:tr w:rsidR="00EB4C49" w14:paraId="20257DA7" w14:textId="77777777" w:rsidTr="00EB4C49">
        <w:tc>
          <w:tcPr>
            <w:tcW w:w="3192" w:type="dxa"/>
          </w:tcPr>
          <w:p w14:paraId="15F260EE" w14:textId="5176C0F9" w:rsidR="00EB4C49" w:rsidRPr="00EB4C49" w:rsidRDefault="00EB4C49" w:rsidP="00EB4C49">
            <w:r w:rsidRPr="00EB4C49">
              <w:rPr>
                <w:rFonts w:cs="Arial"/>
                <w:szCs w:val="19"/>
              </w:rPr>
              <w:t>Нарушения на кожата и подкожната тъкан</w:t>
            </w:r>
          </w:p>
        </w:tc>
        <w:tc>
          <w:tcPr>
            <w:tcW w:w="3192" w:type="dxa"/>
          </w:tcPr>
          <w:p w14:paraId="0E7D55B1" w14:textId="53D5EBB8" w:rsidR="00EB4C49" w:rsidRPr="00EB4C49" w:rsidRDefault="00EB4C49" w:rsidP="00EB4C49">
            <w:r w:rsidRPr="00EB4C49">
              <w:rPr>
                <w:rFonts w:cs="Arial"/>
                <w:szCs w:val="19"/>
              </w:rPr>
              <w:t>Много редки</w:t>
            </w:r>
          </w:p>
        </w:tc>
        <w:tc>
          <w:tcPr>
            <w:tcW w:w="3192" w:type="dxa"/>
          </w:tcPr>
          <w:p w14:paraId="794D28DC" w14:textId="50C0D4D3" w:rsidR="00EB4C49" w:rsidRPr="00EB4C49" w:rsidRDefault="00EB4C49" w:rsidP="00EB4C49">
            <w:r w:rsidRPr="00EB4C49">
              <w:rPr>
                <w:rFonts w:cs="Arial"/>
                <w:szCs w:val="19"/>
              </w:rPr>
              <w:t>Ангиоедем, обрив, уртикария, пруритус</w:t>
            </w:r>
          </w:p>
        </w:tc>
      </w:tr>
      <w:tr w:rsidR="00EB4C49" w14:paraId="355BA60D" w14:textId="77777777" w:rsidTr="00EB4C49">
        <w:tc>
          <w:tcPr>
            <w:tcW w:w="3192" w:type="dxa"/>
          </w:tcPr>
          <w:p w14:paraId="595241B7" w14:textId="10B17A79" w:rsidR="00EB4C49" w:rsidRPr="00EB4C49" w:rsidRDefault="00EB4C49" w:rsidP="00EB4C49">
            <w:r w:rsidRPr="00EB4C49">
              <w:rPr>
                <w:rFonts w:cs="Arial"/>
                <w:szCs w:val="19"/>
              </w:rPr>
              <w:t>Нарушения на мускулно-скелетната система и съединителната тъкан</w:t>
            </w:r>
          </w:p>
        </w:tc>
        <w:tc>
          <w:tcPr>
            <w:tcW w:w="3192" w:type="dxa"/>
          </w:tcPr>
          <w:p w14:paraId="43AFDF59" w14:textId="03B422F1" w:rsidR="00EB4C49" w:rsidRPr="00EB4C49" w:rsidRDefault="00EB4C49" w:rsidP="00EB4C49">
            <w:r w:rsidRPr="00EB4C49">
              <w:rPr>
                <w:rFonts w:cs="Arial"/>
                <w:szCs w:val="19"/>
              </w:rPr>
              <w:t>Много редки</w:t>
            </w:r>
          </w:p>
        </w:tc>
        <w:tc>
          <w:tcPr>
            <w:tcW w:w="3192" w:type="dxa"/>
          </w:tcPr>
          <w:p w14:paraId="4D183951" w14:textId="30AD26C2" w:rsidR="00EB4C49" w:rsidRPr="00EB4C49" w:rsidRDefault="00EB4C49" w:rsidP="00EB4C49">
            <w:r w:rsidRPr="00EB4C49">
              <w:rPr>
                <w:rFonts w:cs="Arial"/>
                <w:szCs w:val="19"/>
              </w:rPr>
              <w:t>Болки в гърба, артралгия, миалгия</w:t>
            </w:r>
          </w:p>
        </w:tc>
      </w:tr>
      <w:tr w:rsidR="00EB4C49" w14:paraId="27011312" w14:textId="77777777" w:rsidTr="00EB4C49">
        <w:tc>
          <w:tcPr>
            <w:tcW w:w="3192" w:type="dxa"/>
          </w:tcPr>
          <w:p w14:paraId="17FE2175" w14:textId="7DB4A495" w:rsidR="00EB4C49" w:rsidRPr="00EB4C49" w:rsidRDefault="00EB4C49" w:rsidP="00EB4C49">
            <w:r w:rsidRPr="00EB4C49">
              <w:rPr>
                <w:rFonts w:cs="Arial"/>
                <w:szCs w:val="19"/>
              </w:rPr>
              <w:t>Наруншеия на бъбреците и пикочните пътища</w:t>
            </w:r>
          </w:p>
        </w:tc>
        <w:tc>
          <w:tcPr>
            <w:tcW w:w="3192" w:type="dxa"/>
          </w:tcPr>
          <w:p w14:paraId="0B564C17" w14:textId="161AEC9B" w:rsidR="00EB4C49" w:rsidRPr="00EB4C49" w:rsidRDefault="00EB4C49" w:rsidP="00EB4C49">
            <w:r w:rsidRPr="00EB4C49">
              <w:rPr>
                <w:rFonts w:cs="Arial"/>
                <w:szCs w:val="19"/>
              </w:rPr>
              <w:t>Много редки</w:t>
            </w:r>
          </w:p>
        </w:tc>
        <w:tc>
          <w:tcPr>
            <w:tcW w:w="3192" w:type="dxa"/>
          </w:tcPr>
          <w:p w14:paraId="08B1C5E2" w14:textId="21F3AF2E" w:rsidR="00EB4C49" w:rsidRPr="00EB4C49" w:rsidRDefault="00EB4C49" w:rsidP="00EB4C49">
            <w:r w:rsidRPr="00EB4C49">
              <w:rPr>
                <w:rFonts w:cs="Arial"/>
                <w:szCs w:val="19"/>
              </w:rPr>
              <w:t>Бъбречно увреждане, ключително бъбречна недостатъчност при чувствителни пациенти (вж. точка 4.4)</w:t>
            </w:r>
          </w:p>
        </w:tc>
      </w:tr>
    </w:tbl>
    <w:p w14:paraId="1C087DDC" w14:textId="1C944C62" w:rsidR="00EB4C49" w:rsidRDefault="00EB4C49" w:rsidP="00EB4C49"/>
    <w:p w14:paraId="5B8F3732" w14:textId="77777777" w:rsidR="00EB4C49" w:rsidRPr="00EB4C49" w:rsidRDefault="00EB4C49" w:rsidP="00EB4C49">
      <w:pPr>
        <w:spacing w:line="240" w:lineRule="auto"/>
        <w:rPr>
          <w:rFonts w:eastAsia="Times New Roman" w:cs="Arial"/>
          <w:sz w:val="32"/>
          <w:szCs w:val="24"/>
        </w:rPr>
      </w:pPr>
      <w:r w:rsidRPr="00EB4C49">
        <w:rPr>
          <w:rFonts w:eastAsia="Times New Roman" w:cs="Arial"/>
          <w:i/>
          <w:iCs/>
          <w:color w:val="000000"/>
          <w:szCs w:val="19"/>
          <w:lang w:eastAsia="bg-BG"/>
        </w:rPr>
        <w:t>Лабораторни резултати</w:t>
      </w:r>
    </w:p>
    <w:p w14:paraId="20457120" w14:textId="77777777" w:rsidR="00EB4C49" w:rsidRPr="00EB4C49" w:rsidRDefault="00EB4C49" w:rsidP="00EB4C49">
      <w:pPr>
        <w:spacing w:line="240" w:lineRule="auto"/>
        <w:rPr>
          <w:rFonts w:eastAsia="Times New Roman" w:cs="Arial"/>
          <w:sz w:val="32"/>
          <w:szCs w:val="24"/>
        </w:rPr>
      </w:pPr>
      <w:r w:rsidRPr="00EB4C49">
        <w:rPr>
          <w:rFonts w:eastAsia="Times New Roman" w:cs="Arial"/>
          <w:color w:val="000000"/>
          <w:szCs w:val="19"/>
          <w:lang w:eastAsia="bg-BG"/>
        </w:rPr>
        <w:t>Като цяло кандесартан няма клинично значими ефекти върху рутинните лабораторни показатели.</w:t>
      </w:r>
    </w:p>
    <w:p w14:paraId="2311AB0C" w14:textId="77777777" w:rsidR="00EB4C49" w:rsidRPr="00EB4C49" w:rsidRDefault="00EB4C49" w:rsidP="00EB4C49">
      <w:pPr>
        <w:spacing w:line="240" w:lineRule="auto"/>
        <w:rPr>
          <w:rFonts w:eastAsia="Times New Roman" w:cs="Arial"/>
          <w:sz w:val="32"/>
          <w:szCs w:val="24"/>
        </w:rPr>
      </w:pPr>
      <w:r w:rsidRPr="00EB4C49">
        <w:rPr>
          <w:rFonts w:eastAsia="Times New Roman" w:cs="Arial"/>
          <w:color w:val="000000"/>
          <w:szCs w:val="19"/>
          <w:lang w:eastAsia="bg-BG"/>
        </w:rPr>
        <w:t>Колкото до други инхибитори на ренин-ангиотензин-алдостероновата система, наблюдавани са случаи на леко понижаване на хемоглобина. При пациенти на лечение с Кандесартан обикновено не е необходимо рутинно мониториране на лабораторните показатели. При пациенти с бъбречно увреждане обаче се препоръчва периодично мониториране на стойностите на калий и креатинин в серума.</w:t>
      </w:r>
    </w:p>
    <w:p w14:paraId="7C7A1CBE" w14:textId="77777777" w:rsidR="004A3FC2" w:rsidRPr="004A3FC2" w:rsidRDefault="004A3FC2" w:rsidP="00EB4C49">
      <w:pPr>
        <w:spacing w:line="240" w:lineRule="auto"/>
        <w:rPr>
          <w:rFonts w:eastAsia="Times New Roman" w:cs="Arial"/>
          <w:color w:val="000000"/>
          <w:szCs w:val="19"/>
          <w:u w:val="single"/>
          <w:lang w:eastAsia="bg-BG"/>
        </w:rPr>
      </w:pPr>
    </w:p>
    <w:p w14:paraId="77DBBDB4" w14:textId="558222B3" w:rsidR="00EB4C49" w:rsidRPr="00EB4C49" w:rsidRDefault="00EB4C49" w:rsidP="00EB4C49">
      <w:pPr>
        <w:spacing w:line="240" w:lineRule="auto"/>
        <w:rPr>
          <w:rFonts w:eastAsia="Times New Roman" w:cs="Arial"/>
          <w:sz w:val="32"/>
          <w:szCs w:val="24"/>
        </w:rPr>
      </w:pPr>
      <w:r w:rsidRPr="00EB4C49">
        <w:rPr>
          <w:rFonts w:eastAsia="Times New Roman" w:cs="Arial"/>
          <w:color w:val="000000"/>
          <w:szCs w:val="19"/>
          <w:u w:val="single"/>
          <w:lang w:eastAsia="bg-BG"/>
        </w:rPr>
        <w:t>Педиатрична популация</w:t>
      </w:r>
    </w:p>
    <w:p w14:paraId="44099422" w14:textId="316C562F" w:rsidR="00EB4C49" w:rsidRPr="004A3FC2" w:rsidRDefault="00EB4C49" w:rsidP="00EB4C49">
      <w:pPr>
        <w:spacing w:line="240" w:lineRule="auto"/>
        <w:rPr>
          <w:rFonts w:eastAsia="Times New Roman" w:cs="Arial"/>
          <w:color w:val="000000"/>
          <w:szCs w:val="19"/>
          <w:lang w:eastAsia="bg-BG"/>
        </w:rPr>
      </w:pPr>
      <w:r w:rsidRPr="00EB4C49">
        <w:rPr>
          <w:rFonts w:eastAsia="Times New Roman" w:cs="Arial"/>
          <w:color w:val="000000"/>
          <w:szCs w:val="19"/>
          <w:lang w:eastAsia="bg-BG"/>
        </w:rPr>
        <w:t xml:space="preserve">Безопасността на кандесартан цилексител е проследявана в хода на 4- седмично клинично проучване за оценка на ефикасността и едногодишно открито проучване при 255 деца и юноши на възраст от 6 до &lt;18 години с артериална хипертония (вж. точка 5.1). В почти всички системо-органни класове, честотата на нежеланите реакции при деца е в границите чести/нечести нежелани реакции. Макар по характер и тежест нежеланите </w:t>
      </w:r>
      <w:r w:rsidRPr="00EB4C49">
        <w:rPr>
          <w:rFonts w:eastAsia="Times New Roman" w:cs="Arial"/>
          <w:color w:val="000000"/>
          <w:szCs w:val="19"/>
          <w:lang w:eastAsia="bg-BG"/>
        </w:rPr>
        <w:lastRenderedPageBreak/>
        <w:t>лекарствени реакции да са сходни с тези при възрасти пациенти (вж. таблицата по-горе), при децата и юношите те са с по-висока честота, особено що се касае за:</w:t>
      </w:r>
    </w:p>
    <w:p w14:paraId="24330CE3" w14:textId="77777777" w:rsidR="004A3FC2" w:rsidRPr="00EB4C49" w:rsidRDefault="004A3FC2" w:rsidP="00EB4C49">
      <w:pPr>
        <w:spacing w:line="240" w:lineRule="auto"/>
        <w:rPr>
          <w:rFonts w:eastAsia="Times New Roman" w:cs="Arial"/>
          <w:sz w:val="32"/>
          <w:szCs w:val="24"/>
        </w:rPr>
      </w:pPr>
    </w:p>
    <w:p w14:paraId="3DF37AF2" w14:textId="77777777" w:rsidR="004A3FC2" w:rsidRPr="004A3FC2" w:rsidRDefault="00EB4C49" w:rsidP="00EB4C49">
      <w:pPr>
        <w:pStyle w:val="ListParagraph"/>
        <w:numPr>
          <w:ilvl w:val="0"/>
          <w:numId w:val="40"/>
        </w:numPr>
        <w:spacing w:line="240" w:lineRule="auto"/>
        <w:rPr>
          <w:rFonts w:eastAsia="Times New Roman" w:cs="Arial"/>
          <w:sz w:val="32"/>
          <w:szCs w:val="24"/>
        </w:rPr>
      </w:pPr>
      <w:r w:rsidRPr="004A3FC2">
        <w:rPr>
          <w:rFonts w:eastAsia="Times New Roman" w:cs="Arial"/>
          <w:color w:val="000000"/>
          <w:szCs w:val="19"/>
          <w:lang w:eastAsia="bg-BG"/>
        </w:rPr>
        <w:t>Главоболието, замайването и инфекциите на горните дихателни пътища са много чести,</w:t>
      </w:r>
      <w:r w:rsidR="004A3FC2" w:rsidRPr="004A3FC2">
        <w:rPr>
          <w:rFonts w:eastAsia="Times New Roman" w:cs="Arial"/>
          <w:color w:val="000000"/>
          <w:szCs w:val="19"/>
          <w:lang w:eastAsia="bg-BG"/>
        </w:rPr>
        <w:t xml:space="preserve"> </w:t>
      </w:r>
      <w:r w:rsidRPr="004A3FC2">
        <w:rPr>
          <w:rFonts w:eastAsia="Times New Roman" w:cs="Arial"/>
          <w:color w:val="000000"/>
          <w:szCs w:val="19"/>
          <w:lang w:eastAsia="bg-BG"/>
        </w:rPr>
        <w:t xml:space="preserve">(т.е., ≥1/10) при деца и чести (≥ 1/100 </w:t>
      </w:r>
      <w:r w:rsidRPr="004A3FC2">
        <w:rPr>
          <w:rFonts w:eastAsia="Times New Roman" w:cs="Arial"/>
          <w:color w:val="000000"/>
          <w:szCs w:val="19"/>
          <w:lang w:val="en-US"/>
        </w:rPr>
        <w:t>to</w:t>
      </w:r>
      <w:r w:rsidRPr="004A3FC2">
        <w:rPr>
          <w:rFonts w:eastAsia="Times New Roman" w:cs="Arial"/>
          <w:color w:val="000000"/>
          <w:szCs w:val="19"/>
          <w:lang w:val="ru-RU"/>
        </w:rPr>
        <w:t xml:space="preserve"> </w:t>
      </w:r>
      <w:r w:rsidRPr="004A3FC2">
        <w:rPr>
          <w:rFonts w:eastAsia="Times New Roman" w:cs="Arial"/>
          <w:color w:val="000000"/>
          <w:szCs w:val="19"/>
          <w:lang w:eastAsia="bg-BG"/>
        </w:rPr>
        <w:t>&lt; 1/10) при възрастни;</w:t>
      </w:r>
    </w:p>
    <w:p w14:paraId="39D83405" w14:textId="77777777" w:rsidR="004A3FC2" w:rsidRPr="004A3FC2" w:rsidRDefault="00EB4C49" w:rsidP="00EB4C49">
      <w:pPr>
        <w:pStyle w:val="ListParagraph"/>
        <w:numPr>
          <w:ilvl w:val="0"/>
          <w:numId w:val="40"/>
        </w:numPr>
        <w:spacing w:line="240" w:lineRule="auto"/>
        <w:rPr>
          <w:rFonts w:eastAsia="Times New Roman" w:cs="Arial"/>
          <w:sz w:val="32"/>
          <w:szCs w:val="24"/>
        </w:rPr>
      </w:pPr>
      <w:r w:rsidRPr="004A3FC2">
        <w:rPr>
          <w:rFonts w:eastAsia="Times New Roman" w:cs="Arial"/>
          <w:color w:val="000000"/>
          <w:szCs w:val="19"/>
          <w:lang w:eastAsia="bg-BG"/>
        </w:rPr>
        <w:t>Кашлицата е много честа (т.е. &gt; 1/10) при децата и много рядка (&lt;1/10,000) при</w:t>
      </w:r>
      <w:r w:rsidR="004A3FC2" w:rsidRPr="004A3FC2">
        <w:rPr>
          <w:rFonts w:eastAsia="Times New Roman" w:cs="Arial"/>
          <w:color w:val="000000"/>
          <w:szCs w:val="19"/>
          <w:lang w:eastAsia="bg-BG"/>
        </w:rPr>
        <w:t xml:space="preserve"> </w:t>
      </w:r>
      <w:r w:rsidRPr="004A3FC2">
        <w:rPr>
          <w:rFonts w:eastAsia="Times New Roman" w:cs="Arial"/>
          <w:color w:val="000000"/>
          <w:szCs w:val="19"/>
          <w:lang w:eastAsia="bg-BG"/>
        </w:rPr>
        <w:t>възрасти ите;</w:t>
      </w:r>
    </w:p>
    <w:p w14:paraId="7E65606A" w14:textId="77777777" w:rsidR="004A3FC2" w:rsidRPr="004A3FC2" w:rsidRDefault="00EB4C49" w:rsidP="00EB4C49">
      <w:pPr>
        <w:pStyle w:val="ListParagraph"/>
        <w:numPr>
          <w:ilvl w:val="0"/>
          <w:numId w:val="40"/>
        </w:numPr>
        <w:spacing w:line="240" w:lineRule="auto"/>
        <w:rPr>
          <w:rFonts w:eastAsia="Times New Roman" w:cs="Arial"/>
          <w:sz w:val="32"/>
          <w:szCs w:val="24"/>
        </w:rPr>
      </w:pPr>
      <w:r w:rsidRPr="004A3FC2">
        <w:rPr>
          <w:rFonts w:eastAsia="Times New Roman" w:cs="Arial"/>
          <w:color w:val="000000"/>
          <w:szCs w:val="19"/>
          <w:lang w:eastAsia="bg-BG"/>
        </w:rPr>
        <w:t xml:space="preserve">Обривът е чест (т.е. ≥1/100 </w:t>
      </w:r>
      <w:r w:rsidRPr="004A3FC2">
        <w:rPr>
          <w:rFonts w:eastAsia="Times New Roman" w:cs="Arial"/>
          <w:color w:val="000000"/>
          <w:szCs w:val="19"/>
          <w:lang w:val="en-US"/>
        </w:rPr>
        <w:t>to</w:t>
      </w:r>
      <w:r w:rsidRPr="004A3FC2">
        <w:rPr>
          <w:rFonts w:eastAsia="Times New Roman" w:cs="Arial"/>
          <w:color w:val="000000"/>
          <w:szCs w:val="19"/>
          <w:lang w:val="ru-RU"/>
        </w:rPr>
        <w:t xml:space="preserve"> </w:t>
      </w:r>
      <w:r w:rsidRPr="004A3FC2">
        <w:rPr>
          <w:rFonts w:eastAsia="Times New Roman" w:cs="Arial"/>
          <w:color w:val="000000"/>
          <w:szCs w:val="19"/>
          <w:lang w:eastAsia="bg-BG"/>
        </w:rPr>
        <w:t>&lt;1/10) при децата и много рядък (&lt;1/10 00) при възрастните;</w:t>
      </w:r>
    </w:p>
    <w:p w14:paraId="670C1236" w14:textId="77777777" w:rsidR="004A3FC2" w:rsidRPr="004A3FC2" w:rsidRDefault="00EB4C49" w:rsidP="004A3FC2">
      <w:pPr>
        <w:pStyle w:val="ListParagraph"/>
        <w:numPr>
          <w:ilvl w:val="0"/>
          <w:numId w:val="40"/>
        </w:numPr>
        <w:spacing w:line="240" w:lineRule="auto"/>
        <w:rPr>
          <w:rFonts w:eastAsia="Times New Roman" w:cs="Arial"/>
          <w:sz w:val="32"/>
          <w:szCs w:val="24"/>
        </w:rPr>
      </w:pPr>
      <w:r w:rsidRPr="004A3FC2">
        <w:rPr>
          <w:rFonts w:eastAsia="Times New Roman" w:cs="Arial"/>
          <w:color w:val="000000"/>
          <w:szCs w:val="19"/>
          <w:lang w:eastAsia="bg-BG"/>
        </w:rPr>
        <w:t>Хиперкалиемията, хипонатриемията и отклоненията в чернодробната функция са нечести</w:t>
      </w:r>
      <w:r w:rsidR="004A3FC2" w:rsidRPr="004A3FC2">
        <w:rPr>
          <w:rFonts w:eastAsia="Times New Roman" w:cs="Arial"/>
          <w:color w:val="000000"/>
          <w:szCs w:val="19"/>
          <w:lang w:eastAsia="bg-BG"/>
        </w:rPr>
        <w:t xml:space="preserve"> </w:t>
      </w:r>
      <w:r w:rsidRPr="004A3FC2">
        <w:rPr>
          <w:rFonts w:eastAsia="Times New Roman" w:cs="Arial"/>
          <w:color w:val="000000"/>
          <w:szCs w:val="19"/>
          <w:lang w:eastAsia="bg-BG"/>
        </w:rPr>
        <w:t>(≥1/1,000 до &lt; 1/100) при деца и много редки (&lt; 1/10,000) при възрастни</w:t>
      </w:r>
    </w:p>
    <w:p w14:paraId="7BF36A48" w14:textId="08ACC4F1" w:rsidR="004A3FC2" w:rsidRPr="004A3FC2" w:rsidRDefault="004A3FC2" w:rsidP="004A3FC2">
      <w:pPr>
        <w:pStyle w:val="ListParagraph"/>
        <w:numPr>
          <w:ilvl w:val="0"/>
          <w:numId w:val="40"/>
        </w:numPr>
        <w:spacing w:line="240" w:lineRule="auto"/>
        <w:rPr>
          <w:rFonts w:eastAsia="Times New Roman" w:cs="Arial"/>
          <w:sz w:val="32"/>
          <w:szCs w:val="24"/>
        </w:rPr>
      </w:pPr>
      <w:r w:rsidRPr="004A3FC2">
        <w:rPr>
          <w:rFonts w:eastAsia="Times New Roman" w:cs="Arial"/>
          <w:color w:val="000000"/>
          <w:szCs w:val="19"/>
          <w:lang w:eastAsia="bg-BG"/>
        </w:rPr>
        <w:t>При децата синусовата аритмия, назофарингитът и хиперпирексията са чести (т.е. ≥1/100 до &lt;1/10), а орофарингеалната болка е много честа (т.е. ≥1/10) при деца, докато при възрастните няма съобщения за нито една от тези нежелани реакции. Те обаче са преходни и широко разпространени детски заболявания.</w:t>
      </w:r>
    </w:p>
    <w:p w14:paraId="519C7720" w14:textId="77777777" w:rsidR="004A3FC2" w:rsidRPr="004A3FC2" w:rsidRDefault="004A3FC2" w:rsidP="004A3FC2">
      <w:pPr>
        <w:spacing w:line="240" w:lineRule="auto"/>
        <w:rPr>
          <w:rFonts w:eastAsia="Times New Roman" w:cs="Arial"/>
          <w:color w:val="000000"/>
          <w:szCs w:val="19"/>
          <w:lang w:eastAsia="bg-BG"/>
        </w:rPr>
      </w:pPr>
    </w:p>
    <w:p w14:paraId="44414C35" w14:textId="55239874" w:rsidR="004A3FC2" w:rsidRPr="004A3FC2" w:rsidRDefault="004A3FC2" w:rsidP="004A3FC2">
      <w:pPr>
        <w:spacing w:line="240" w:lineRule="auto"/>
        <w:rPr>
          <w:rFonts w:eastAsia="Times New Roman" w:cs="Arial"/>
          <w:sz w:val="32"/>
          <w:szCs w:val="24"/>
        </w:rPr>
      </w:pPr>
      <w:r w:rsidRPr="004A3FC2">
        <w:rPr>
          <w:rFonts w:eastAsia="Times New Roman" w:cs="Arial"/>
          <w:color w:val="000000"/>
          <w:szCs w:val="19"/>
          <w:lang w:eastAsia="bg-BG"/>
        </w:rPr>
        <w:t>Общият профил на безопасност на кандесартан цилексетил при педиатричните пациенти не се различава значително от профила на безопасност при възрастните.</w:t>
      </w:r>
    </w:p>
    <w:p w14:paraId="721E4B5A" w14:textId="77777777" w:rsidR="004A3FC2" w:rsidRPr="004A3FC2" w:rsidRDefault="004A3FC2" w:rsidP="004A3FC2">
      <w:pPr>
        <w:spacing w:line="240" w:lineRule="auto"/>
        <w:rPr>
          <w:rFonts w:eastAsia="Times New Roman" w:cs="Arial"/>
          <w:i/>
          <w:iCs/>
          <w:color w:val="000000"/>
          <w:szCs w:val="19"/>
          <w:u w:val="single"/>
          <w:lang w:eastAsia="bg-BG"/>
        </w:rPr>
      </w:pPr>
    </w:p>
    <w:p w14:paraId="1815776E" w14:textId="7A92F06C" w:rsidR="004A3FC2" w:rsidRPr="004A3FC2" w:rsidRDefault="004A3FC2" w:rsidP="004A3FC2">
      <w:pPr>
        <w:spacing w:line="240" w:lineRule="auto"/>
        <w:rPr>
          <w:rFonts w:eastAsia="Times New Roman" w:cs="Arial"/>
          <w:sz w:val="32"/>
          <w:szCs w:val="24"/>
        </w:rPr>
      </w:pPr>
      <w:r w:rsidRPr="004A3FC2">
        <w:rPr>
          <w:rFonts w:eastAsia="Times New Roman" w:cs="Arial"/>
          <w:i/>
          <w:iCs/>
          <w:color w:val="000000"/>
          <w:szCs w:val="19"/>
          <w:u w:val="single"/>
          <w:lang w:eastAsia="bg-BG"/>
        </w:rPr>
        <w:t>Лечение на сърдечна недостатъчност</w:t>
      </w:r>
    </w:p>
    <w:p w14:paraId="0A937933" w14:textId="77777777" w:rsidR="004A3FC2" w:rsidRPr="004A3FC2" w:rsidRDefault="004A3FC2" w:rsidP="004A3FC2">
      <w:pPr>
        <w:spacing w:line="240" w:lineRule="auto"/>
        <w:rPr>
          <w:rFonts w:eastAsia="Times New Roman" w:cs="Arial"/>
          <w:sz w:val="32"/>
          <w:szCs w:val="24"/>
        </w:rPr>
      </w:pPr>
      <w:r w:rsidRPr="004A3FC2">
        <w:rPr>
          <w:rFonts w:eastAsia="Times New Roman" w:cs="Arial"/>
          <w:color w:val="000000"/>
          <w:szCs w:val="19"/>
          <w:lang w:eastAsia="bg-BG"/>
        </w:rPr>
        <w:t xml:space="preserve">Профилът на нежеланите реакции на кандесартан при пациенти със сърдечна недостатъчност е в съответствие с фармакологията на лекарството и здравословното състояние на пациентите. В клиничната програма </w:t>
      </w:r>
      <w:r w:rsidRPr="004A3FC2">
        <w:rPr>
          <w:rFonts w:eastAsia="Times New Roman" w:cs="Arial"/>
          <w:color w:val="000000"/>
          <w:szCs w:val="19"/>
          <w:lang w:val="en-US"/>
        </w:rPr>
        <w:t>CHARM</w:t>
      </w:r>
      <w:r w:rsidRPr="004A3FC2">
        <w:rPr>
          <w:rFonts w:eastAsia="Times New Roman" w:cs="Arial"/>
          <w:color w:val="000000"/>
          <w:szCs w:val="19"/>
          <w:lang w:val="ru-RU"/>
        </w:rPr>
        <w:t xml:space="preserve">, </w:t>
      </w:r>
      <w:r w:rsidRPr="004A3FC2">
        <w:rPr>
          <w:rFonts w:eastAsia="Times New Roman" w:cs="Arial"/>
          <w:color w:val="000000"/>
          <w:szCs w:val="19"/>
          <w:lang w:eastAsia="bg-BG"/>
        </w:rPr>
        <w:t xml:space="preserve">сравняваща кандесартан в дози до 32 </w:t>
      </w:r>
      <w:r w:rsidRPr="004A3FC2">
        <w:rPr>
          <w:rFonts w:eastAsia="Times New Roman" w:cs="Arial"/>
          <w:color w:val="000000"/>
          <w:szCs w:val="19"/>
          <w:lang w:val="en-US"/>
        </w:rPr>
        <w:t>mg</w:t>
      </w:r>
      <w:r w:rsidRPr="004A3FC2">
        <w:rPr>
          <w:rFonts w:eastAsia="Times New Roman" w:cs="Arial"/>
          <w:color w:val="000000"/>
          <w:szCs w:val="19"/>
          <w:lang w:val="ru-RU"/>
        </w:rPr>
        <w:t xml:space="preserve"> </w:t>
      </w:r>
      <w:r w:rsidRPr="004A3FC2">
        <w:rPr>
          <w:rFonts w:eastAsia="Times New Roman" w:cs="Arial"/>
          <w:color w:val="000000"/>
          <w:szCs w:val="19"/>
          <w:lang w:eastAsia="bg-BG"/>
        </w:rPr>
        <w:t>(</w:t>
      </w:r>
      <w:r w:rsidRPr="004A3FC2">
        <w:rPr>
          <w:rFonts w:eastAsia="Times New Roman" w:cs="Arial"/>
          <w:color w:val="000000"/>
          <w:szCs w:val="19"/>
          <w:lang w:val="en-US"/>
        </w:rPr>
        <w:t>n</w:t>
      </w:r>
      <w:r w:rsidRPr="004A3FC2">
        <w:rPr>
          <w:rFonts w:eastAsia="Times New Roman" w:cs="Arial"/>
          <w:color w:val="000000"/>
          <w:szCs w:val="19"/>
          <w:lang w:eastAsia="bg-BG"/>
        </w:rPr>
        <w:t>=3 803) с плацебо (п=3 796), лечението е прекъснато поради нежелани събития при 21,0% от пациентите в групата на кандесартан цилексетил и при 16,1% от пациентите в групата на плацебо. Най-често съобщаваните нежеланите реакции са хиперкалиемия, хипотония и бъбречно увреждане.</w:t>
      </w:r>
    </w:p>
    <w:p w14:paraId="4EFF310F" w14:textId="77777777" w:rsidR="004A3FC2" w:rsidRPr="004A3FC2" w:rsidRDefault="004A3FC2" w:rsidP="004A3FC2">
      <w:pPr>
        <w:spacing w:line="240" w:lineRule="auto"/>
        <w:rPr>
          <w:rFonts w:eastAsia="Times New Roman" w:cs="Arial"/>
          <w:color w:val="000000"/>
          <w:szCs w:val="19"/>
          <w:lang w:eastAsia="bg-BG"/>
        </w:rPr>
      </w:pPr>
    </w:p>
    <w:p w14:paraId="569D62E2" w14:textId="0F3DC019" w:rsidR="004A3FC2" w:rsidRPr="004A3FC2" w:rsidRDefault="004A3FC2" w:rsidP="004A3FC2">
      <w:pPr>
        <w:spacing w:line="240" w:lineRule="auto"/>
        <w:rPr>
          <w:rFonts w:eastAsia="Times New Roman" w:cs="Arial"/>
          <w:sz w:val="32"/>
          <w:szCs w:val="24"/>
        </w:rPr>
      </w:pPr>
      <w:r w:rsidRPr="004A3FC2">
        <w:rPr>
          <w:rFonts w:eastAsia="Times New Roman" w:cs="Arial"/>
          <w:color w:val="000000"/>
          <w:szCs w:val="19"/>
          <w:lang w:eastAsia="bg-BG"/>
        </w:rPr>
        <w:t>Тези събития са по-чести при пациенти на възраст над 70 години, пациенти с диабет или такива, които са приемали други лекарствени продукти, повлияващи ренин-ангиотензин- алдостероновата система, в частност АСЕ инхибитор и/или спиронолактон.</w:t>
      </w:r>
    </w:p>
    <w:p w14:paraId="2AB78C57" w14:textId="77777777" w:rsidR="004A3FC2" w:rsidRPr="004A3FC2" w:rsidRDefault="004A3FC2" w:rsidP="004A3FC2">
      <w:pPr>
        <w:spacing w:line="240" w:lineRule="auto"/>
        <w:rPr>
          <w:rFonts w:eastAsia="Times New Roman" w:cs="Arial"/>
          <w:color w:val="000000"/>
          <w:szCs w:val="19"/>
          <w:lang w:eastAsia="bg-BG"/>
        </w:rPr>
      </w:pPr>
    </w:p>
    <w:p w14:paraId="6EE74B45" w14:textId="2F09EC35" w:rsidR="004A3FC2" w:rsidRPr="004A3FC2" w:rsidRDefault="004A3FC2" w:rsidP="004A3FC2">
      <w:pPr>
        <w:spacing w:line="240" w:lineRule="auto"/>
        <w:rPr>
          <w:rFonts w:eastAsia="Times New Roman" w:cs="Arial"/>
          <w:sz w:val="32"/>
          <w:szCs w:val="24"/>
        </w:rPr>
      </w:pPr>
      <w:r w:rsidRPr="004A3FC2">
        <w:rPr>
          <w:rFonts w:eastAsia="Times New Roman" w:cs="Arial"/>
          <w:color w:val="000000"/>
          <w:szCs w:val="19"/>
          <w:lang w:eastAsia="bg-BG"/>
        </w:rPr>
        <w:t>В дадената по-долу таблица са представени нежеланите реакции от клиничните проучвания и постмаркетинговия опит.</w:t>
      </w:r>
    </w:p>
    <w:p w14:paraId="6CAA2445" w14:textId="317E20A5" w:rsidR="004A3FC2" w:rsidRDefault="004A3FC2" w:rsidP="00EB4C49"/>
    <w:tbl>
      <w:tblPr>
        <w:tblStyle w:val="TableGrid"/>
        <w:tblW w:w="0" w:type="auto"/>
        <w:tblLook w:val="04A0" w:firstRow="1" w:lastRow="0" w:firstColumn="1" w:lastColumn="0" w:noHBand="0" w:noVBand="1"/>
      </w:tblPr>
      <w:tblGrid>
        <w:gridCol w:w="3130"/>
        <w:gridCol w:w="3092"/>
        <w:gridCol w:w="3128"/>
      </w:tblGrid>
      <w:tr w:rsidR="004A3FC2" w14:paraId="589688D7" w14:textId="77777777" w:rsidTr="004A3FC2">
        <w:tc>
          <w:tcPr>
            <w:tcW w:w="3192" w:type="dxa"/>
          </w:tcPr>
          <w:p w14:paraId="16603F1F" w14:textId="37A55684" w:rsidR="004A3FC2" w:rsidRPr="004A3FC2" w:rsidRDefault="004A3FC2" w:rsidP="004A3FC2">
            <w:r w:rsidRPr="004A3FC2">
              <w:rPr>
                <w:b/>
                <w:bCs/>
              </w:rPr>
              <w:t>Системо-органен клас</w:t>
            </w:r>
          </w:p>
        </w:tc>
        <w:tc>
          <w:tcPr>
            <w:tcW w:w="3192" w:type="dxa"/>
          </w:tcPr>
          <w:p w14:paraId="05624F39" w14:textId="5CF4CC3C" w:rsidR="004A3FC2" w:rsidRPr="004A3FC2" w:rsidRDefault="004A3FC2" w:rsidP="004A3FC2">
            <w:r w:rsidRPr="004A3FC2">
              <w:rPr>
                <w:b/>
                <w:bCs/>
              </w:rPr>
              <w:t>Честота</w:t>
            </w:r>
          </w:p>
        </w:tc>
        <w:tc>
          <w:tcPr>
            <w:tcW w:w="3192" w:type="dxa"/>
          </w:tcPr>
          <w:p w14:paraId="2785F1B6" w14:textId="364C022C" w:rsidR="004A3FC2" w:rsidRPr="004A3FC2" w:rsidRDefault="004A3FC2" w:rsidP="004A3FC2">
            <w:r w:rsidRPr="004A3FC2">
              <w:rPr>
                <w:b/>
                <w:bCs/>
              </w:rPr>
              <w:t>Нежелани реакции</w:t>
            </w:r>
          </w:p>
        </w:tc>
      </w:tr>
      <w:tr w:rsidR="004A3FC2" w14:paraId="293895DD" w14:textId="77777777" w:rsidTr="004A3FC2">
        <w:tc>
          <w:tcPr>
            <w:tcW w:w="3192" w:type="dxa"/>
          </w:tcPr>
          <w:p w14:paraId="220C8303" w14:textId="1CFC2CCD" w:rsidR="004A3FC2" w:rsidRPr="004A3FC2" w:rsidRDefault="004A3FC2" w:rsidP="004A3FC2">
            <w:r w:rsidRPr="004A3FC2">
              <w:rPr>
                <w:rFonts w:cs="Arial"/>
              </w:rPr>
              <w:t>Нарушения на кръвта и лимфната система</w:t>
            </w:r>
          </w:p>
        </w:tc>
        <w:tc>
          <w:tcPr>
            <w:tcW w:w="3192" w:type="dxa"/>
          </w:tcPr>
          <w:p w14:paraId="550ADAF0" w14:textId="114F6DA5" w:rsidR="004A3FC2" w:rsidRPr="004A3FC2" w:rsidRDefault="004A3FC2" w:rsidP="004A3FC2">
            <w:r w:rsidRPr="004A3FC2">
              <w:rPr>
                <w:rFonts w:cs="Arial"/>
              </w:rPr>
              <w:t>Много редки</w:t>
            </w:r>
          </w:p>
        </w:tc>
        <w:tc>
          <w:tcPr>
            <w:tcW w:w="3192" w:type="dxa"/>
          </w:tcPr>
          <w:p w14:paraId="1C7E02A8" w14:textId="2F2E1D1F" w:rsidR="004A3FC2" w:rsidRPr="004A3FC2" w:rsidRDefault="004A3FC2" w:rsidP="004A3FC2">
            <w:r w:rsidRPr="004A3FC2">
              <w:rPr>
                <w:rFonts w:cs="Arial"/>
              </w:rPr>
              <w:t>Левкопения, неутропения и агранулозитоза</w:t>
            </w:r>
          </w:p>
        </w:tc>
      </w:tr>
      <w:tr w:rsidR="004A3FC2" w14:paraId="340377D3" w14:textId="77777777" w:rsidTr="004A3FC2">
        <w:tc>
          <w:tcPr>
            <w:tcW w:w="3192" w:type="dxa"/>
          </w:tcPr>
          <w:p w14:paraId="7ADA06EA" w14:textId="1720015C" w:rsidR="004A3FC2" w:rsidRPr="004A3FC2" w:rsidRDefault="004A3FC2" w:rsidP="004A3FC2">
            <w:r w:rsidRPr="004A3FC2">
              <w:rPr>
                <w:rFonts w:cs="Arial"/>
              </w:rPr>
              <w:t>Нарушения на метаболизма и храненето</w:t>
            </w:r>
          </w:p>
        </w:tc>
        <w:tc>
          <w:tcPr>
            <w:tcW w:w="3192" w:type="dxa"/>
          </w:tcPr>
          <w:p w14:paraId="194831BA" w14:textId="41E0EAC2" w:rsidR="004A3FC2" w:rsidRPr="004A3FC2" w:rsidRDefault="004A3FC2" w:rsidP="004A3FC2">
            <w:r w:rsidRPr="004A3FC2">
              <w:rPr>
                <w:rFonts w:cs="Arial"/>
              </w:rPr>
              <w:t>Чести</w:t>
            </w:r>
          </w:p>
        </w:tc>
        <w:tc>
          <w:tcPr>
            <w:tcW w:w="3192" w:type="dxa"/>
          </w:tcPr>
          <w:p w14:paraId="01A863A6" w14:textId="6C9AE120" w:rsidR="004A3FC2" w:rsidRPr="004A3FC2" w:rsidRDefault="004A3FC2" w:rsidP="004A3FC2">
            <w:r w:rsidRPr="004A3FC2">
              <w:rPr>
                <w:rFonts w:cs="Arial"/>
              </w:rPr>
              <w:t>Хиперкалиемия</w:t>
            </w:r>
          </w:p>
        </w:tc>
      </w:tr>
      <w:tr w:rsidR="004A3FC2" w14:paraId="1352B9E1" w14:textId="77777777" w:rsidTr="004A3FC2">
        <w:tc>
          <w:tcPr>
            <w:tcW w:w="3192" w:type="dxa"/>
          </w:tcPr>
          <w:p w14:paraId="0418AD0D" w14:textId="77777777" w:rsidR="004A3FC2" w:rsidRPr="004A3FC2" w:rsidRDefault="004A3FC2" w:rsidP="004A3FC2"/>
        </w:tc>
        <w:tc>
          <w:tcPr>
            <w:tcW w:w="3192" w:type="dxa"/>
          </w:tcPr>
          <w:p w14:paraId="41B39112" w14:textId="0CBB81DD" w:rsidR="004A3FC2" w:rsidRPr="004A3FC2" w:rsidRDefault="004A3FC2" w:rsidP="004A3FC2">
            <w:r w:rsidRPr="004A3FC2">
              <w:rPr>
                <w:rFonts w:cs="Arial"/>
              </w:rPr>
              <w:t>Много редки</w:t>
            </w:r>
          </w:p>
        </w:tc>
        <w:tc>
          <w:tcPr>
            <w:tcW w:w="3192" w:type="dxa"/>
          </w:tcPr>
          <w:p w14:paraId="20D12A5B" w14:textId="1071AADE" w:rsidR="004A3FC2" w:rsidRPr="004A3FC2" w:rsidRDefault="004A3FC2" w:rsidP="004A3FC2">
            <w:r w:rsidRPr="004A3FC2">
              <w:rPr>
                <w:rFonts w:cs="Arial"/>
              </w:rPr>
              <w:t>Хипонатриемия</w:t>
            </w:r>
          </w:p>
        </w:tc>
      </w:tr>
      <w:tr w:rsidR="004A3FC2" w14:paraId="555854BF" w14:textId="77777777" w:rsidTr="004A3FC2">
        <w:tc>
          <w:tcPr>
            <w:tcW w:w="3192" w:type="dxa"/>
          </w:tcPr>
          <w:p w14:paraId="67B1B7E4" w14:textId="73B4C73C" w:rsidR="004A3FC2" w:rsidRPr="004A3FC2" w:rsidRDefault="004A3FC2" w:rsidP="004A3FC2">
            <w:r w:rsidRPr="004A3FC2">
              <w:rPr>
                <w:rFonts w:cs="Arial"/>
              </w:rPr>
              <w:t>Нарушения на нервната система</w:t>
            </w:r>
          </w:p>
        </w:tc>
        <w:tc>
          <w:tcPr>
            <w:tcW w:w="3192" w:type="dxa"/>
          </w:tcPr>
          <w:p w14:paraId="27E886CA" w14:textId="794C38A9" w:rsidR="004A3FC2" w:rsidRPr="004A3FC2" w:rsidRDefault="004A3FC2" w:rsidP="004A3FC2">
            <w:r w:rsidRPr="004A3FC2">
              <w:rPr>
                <w:rFonts w:cs="Arial"/>
              </w:rPr>
              <w:t>Много редки</w:t>
            </w:r>
          </w:p>
        </w:tc>
        <w:tc>
          <w:tcPr>
            <w:tcW w:w="3192" w:type="dxa"/>
          </w:tcPr>
          <w:p w14:paraId="1E87A882" w14:textId="7C26B2F0" w:rsidR="004A3FC2" w:rsidRPr="004A3FC2" w:rsidRDefault="004A3FC2" w:rsidP="004A3FC2">
            <w:r w:rsidRPr="004A3FC2">
              <w:rPr>
                <w:rFonts w:cs="Arial"/>
              </w:rPr>
              <w:t>Замайване, главоболие</w:t>
            </w:r>
          </w:p>
        </w:tc>
      </w:tr>
      <w:tr w:rsidR="004A3FC2" w14:paraId="3DCCBE9E" w14:textId="77777777" w:rsidTr="004A3FC2">
        <w:tc>
          <w:tcPr>
            <w:tcW w:w="3192" w:type="dxa"/>
          </w:tcPr>
          <w:p w14:paraId="38B81534" w14:textId="73AB91A7" w:rsidR="004A3FC2" w:rsidRPr="004A3FC2" w:rsidRDefault="004A3FC2" w:rsidP="004A3FC2">
            <w:r w:rsidRPr="004A3FC2">
              <w:rPr>
                <w:rFonts w:cs="Arial"/>
              </w:rPr>
              <w:t>Съдови нарушения</w:t>
            </w:r>
          </w:p>
        </w:tc>
        <w:tc>
          <w:tcPr>
            <w:tcW w:w="3192" w:type="dxa"/>
          </w:tcPr>
          <w:p w14:paraId="0912425D" w14:textId="17FFA63C" w:rsidR="004A3FC2" w:rsidRPr="004A3FC2" w:rsidRDefault="004A3FC2" w:rsidP="004A3FC2">
            <w:r w:rsidRPr="004A3FC2">
              <w:rPr>
                <w:rFonts w:cs="Arial"/>
              </w:rPr>
              <w:t>Чести</w:t>
            </w:r>
          </w:p>
        </w:tc>
        <w:tc>
          <w:tcPr>
            <w:tcW w:w="3192" w:type="dxa"/>
          </w:tcPr>
          <w:p w14:paraId="1C888E6D" w14:textId="45991B4C" w:rsidR="004A3FC2" w:rsidRPr="004A3FC2" w:rsidRDefault="004A3FC2" w:rsidP="004A3FC2">
            <w:r w:rsidRPr="004A3FC2">
              <w:rPr>
                <w:rFonts w:cs="Arial"/>
              </w:rPr>
              <w:t>Хипотония</w:t>
            </w:r>
          </w:p>
        </w:tc>
      </w:tr>
      <w:tr w:rsidR="004A3FC2" w14:paraId="02CAC04D" w14:textId="77777777" w:rsidTr="004A3FC2">
        <w:tc>
          <w:tcPr>
            <w:tcW w:w="3192" w:type="dxa"/>
          </w:tcPr>
          <w:p w14:paraId="72B99720" w14:textId="1DB901BC" w:rsidR="004A3FC2" w:rsidRPr="004A3FC2" w:rsidRDefault="004A3FC2" w:rsidP="004A3FC2">
            <w:r w:rsidRPr="004A3FC2">
              <w:rPr>
                <w:rFonts w:cs="Arial"/>
              </w:rPr>
              <w:t>Респираторни, гръдни и медиастинални нарушения</w:t>
            </w:r>
          </w:p>
        </w:tc>
        <w:tc>
          <w:tcPr>
            <w:tcW w:w="3192" w:type="dxa"/>
          </w:tcPr>
          <w:p w14:paraId="54E79DC3" w14:textId="5D845BF1" w:rsidR="004A3FC2" w:rsidRPr="004A3FC2" w:rsidRDefault="004A3FC2" w:rsidP="004A3FC2">
            <w:r w:rsidRPr="004A3FC2">
              <w:rPr>
                <w:rFonts w:cs="Arial"/>
              </w:rPr>
              <w:t>Много редки</w:t>
            </w:r>
          </w:p>
        </w:tc>
        <w:tc>
          <w:tcPr>
            <w:tcW w:w="3192" w:type="dxa"/>
          </w:tcPr>
          <w:p w14:paraId="549C147C" w14:textId="39C813CD" w:rsidR="004A3FC2" w:rsidRPr="004A3FC2" w:rsidRDefault="004A3FC2" w:rsidP="004A3FC2">
            <w:r w:rsidRPr="004A3FC2">
              <w:rPr>
                <w:rFonts w:cs="Arial"/>
              </w:rPr>
              <w:t>Кашлица</w:t>
            </w:r>
          </w:p>
        </w:tc>
      </w:tr>
      <w:tr w:rsidR="004A3FC2" w14:paraId="3192BE5F" w14:textId="77777777" w:rsidTr="004A3FC2">
        <w:tc>
          <w:tcPr>
            <w:tcW w:w="3192" w:type="dxa"/>
          </w:tcPr>
          <w:p w14:paraId="374008FD" w14:textId="4BAC84DA" w:rsidR="004A3FC2" w:rsidRPr="004A3FC2" w:rsidRDefault="004A3FC2" w:rsidP="004A3FC2">
            <w:r w:rsidRPr="004A3FC2">
              <w:rPr>
                <w:rFonts w:cs="Arial"/>
              </w:rPr>
              <w:lastRenderedPageBreak/>
              <w:t>Стомашно-чревни нарушения</w:t>
            </w:r>
          </w:p>
        </w:tc>
        <w:tc>
          <w:tcPr>
            <w:tcW w:w="3192" w:type="dxa"/>
          </w:tcPr>
          <w:p w14:paraId="2EA5A289" w14:textId="34716FD2" w:rsidR="004A3FC2" w:rsidRPr="004A3FC2" w:rsidRDefault="004A3FC2" w:rsidP="004A3FC2">
            <w:r w:rsidRPr="004A3FC2">
              <w:rPr>
                <w:rFonts w:cs="Arial"/>
              </w:rPr>
              <w:t>Много редки</w:t>
            </w:r>
          </w:p>
        </w:tc>
        <w:tc>
          <w:tcPr>
            <w:tcW w:w="3192" w:type="dxa"/>
          </w:tcPr>
          <w:p w14:paraId="23593D55" w14:textId="7EDB8FD8" w:rsidR="004A3FC2" w:rsidRPr="004A3FC2" w:rsidRDefault="004A3FC2" w:rsidP="004A3FC2">
            <w:r w:rsidRPr="004A3FC2">
              <w:rPr>
                <w:rFonts w:cs="Arial"/>
              </w:rPr>
              <w:t>Гадене</w:t>
            </w:r>
          </w:p>
        </w:tc>
      </w:tr>
      <w:tr w:rsidR="004A3FC2" w14:paraId="3FF6B76D" w14:textId="77777777" w:rsidTr="004A3FC2">
        <w:tc>
          <w:tcPr>
            <w:tcW w:w="3192" w:type="dxa"/>
          </w:tcPr>
          <w:p w14:paraId="659E09D7" w14:textId="482A5963" w:rsidR="004A3FC2" w:rsidRPr="004A3FC2" w:rsidRDefault="004A3FC2" w:rsidP="004A3FC2">
            <w:r w:rsidRPr="004A3FC2">
              <w:rPr>
                <w:rFonts w:cs="Arial"/>
              </w:rPr>
              <w:t>Хепато-билиарни нарушения</w:t>
            </w:r>
          </w:p>
        </w:tc>
        <w:tc>
          <w:tcPr>
            <w:tcW w:w="3192" w:type="dxa"/>
          </w:tcPr>
          <w:p w14:paraId="7AEC7A4F" w14:textId="1BB417FD" w:rsidR="004A3FC2" w:rsidRPr="004A3FC2" w:rsidRDefault="004A3FC2" w:rsidP="004A3FC2">
            <w:r w:rsidRPr="004A3FC2">
              <w:rPr>
                <w:rFonts w:cs="Arial"/>
              </w:rPr>
              <w:t>Много редки</w:t>
            </w:r>
          </w:p>
        </w:tc>
        <w:tc>
          <w:tcPr>
            <w:tcW w:w="3192" w:type="dxa"/>
          </w:tcPr>
          <w:p w14:paraId="5D1D168B" w14:textId="67090366" w:rsidR="004A3FC2" w:rsidRPr="004A3FC2" w:rsidRDefault="004A3FC2" w:rsidP="004A3FC2">
            <w:r w:rsidRPr="004A3FC2">
              <w:rPr>
                <w:rFonts w:cs="Arial"/>
              </w:rPr>
              <w:t>Повишение на чернодробните ензими, отклонения в чернодробната функция и хепатит</w:t>
            </w:r>
          </w:p>
        </w:tc>
      </w:tr>
      <w:tr w:rsidR="004A3FC2" w14:paraId="32CCFD64" w14:textId="77777777" w:rsidTr="004A3FC2">
        <w:tc>
          <w:tcPr>
            <w:tcW w:w="3192" w:type="dxa"/>
          </w:tcPr>
          <w:p w14:paraId="76E79DC5" w14:textId="5FD44CA0" w:rsidR="004A3FC2" w:rsidRPr="004A3FC2" w:rsidRDefault="004A3FC2" w:rsidP="004A3FC2">
            <w:r w:rsidRPr="004A3FC2">
              <w:rPr>
                <w:rFonts w:cs="Arial"/>
              </w:rPr>
              <w:t>Нарушения на кожата и подкожната тъкан</w:t>
            </w:r>
          </w:p>
        </w:tc>
        <w:tc>
          <w:tcPr>
            <w:tcW w:w="3192" w:type="dxa"/>
          </w:tcPr>
          <w:p w14:paraId="2E9C9238" w14:textId="6E8C7787" w:rsidR="004A3FC2" w:rsidRPr="004A3FC2" w:rsidRDefault="004A3FC2" w:rsidP="004A3FC2">
            <w:r w:rsidRPr="004A3FC2">
              <w:rPr>
                <w:rFonts w:cs="Arial"/>
              </w:rPr>
              <w:t>Много редки</w:t>
            </w:r>
          </w:p>
        </w:tc>
        <w:tc>
          <w:tcPr>
            <w:tcW w:w="3192" w:type="dxa"/>
          </w:tcPr>
          <w:p w14:paraId="47A2275D" w14:textId="1DD27B58" w:rsidR="004A3FC2" w:rsidRPr="004A3FC2" w:rsidRDefault="004A3FC2" w:rsidP="004A3FC2">
            <w:r w:rsidRPr="004A3FC2">
              <w:rPr>
                <w:rFonts w:cs="Arial"/>
              </w:rPr>
              <w:t>Ангиоедем, обрив, уртикария, пруритус</w:t>
            </w:r>
          </w:p>
        </w:tc>
      </w:tr>
      <w:tr w:rsidR="004A3FC2" w14:paraId="7B9C933C" w14:textId="77777777" w:rsidTr="004A3FC2">
        <w:tc>
          <w:tcPr>
            <w:tcW w:w="3192" w:type="dxa"/>
          </w:tcPr>
          <w:p w14:paraId="7D21C0AA" w14:textId="2ED297D7" w:rsidR="004A3FC2" w:rsidRPr="004A3FC2" w:rsidRDefault="004A3FC2" w:rsidP="004A3FC2">
            <w:r w:rsidRPr="004A3FC2">
              <w:rPr>
                <w:rFonts w:cs="Arial"/>
              </w:rPr>
              <w:t>Нарушения на мускулно-скелетната система и съединителната тъкан</w:t>
            </w:r>
          </w:p>
        </w:tc>
        <w:tc>
          <w:tcPr>
            <w:tcW w:w="3192" w:type="dxa"/>
          </w:tcPr>
          <w:p w14:paraId="12E923B6" w14:textId="6017E7C6" w:rsidR="004A3FC2" w:rsidRPr="004A3FC2" w:rsidRDefault="004A3FC2" w:rsidP="004A3FC2">
            <w:r w:rsidRPr="004A3FC2">
              <w:rPr>
                <w:rFonts w:cs="Arial"/>
              </w:rPr>
              <w:t>Много редки</w:t>
            </w:r>
          </w:p>
        </w:tc>
        <w:tc>
          <w:tcPr>
            <w:tcW w:w="3192" w:type="dxa"/>
          </w:tcPr>
          <w:p w14:paraId="150BAA9A" w14:textId="10237A83" w:rsidR="004A3FC2" w:rsidRPr="004A3FC2" w:rsidRDefault="004A3FC2" w:rsidP="004A3FC2">
            <w:r w:rsidRPr="004A3FC2">
              <w:rPr>
                <w:rFonts w:cs="Arial"/>
              </w:rPr>
              <w:t>Болки в гърба, артралгия, миалгия</w:t>
            </w:r>
          </w:p>
        </w:tc>
      </w:tr>
      <w:tr w:rsidR="004A3FC2" w14:paraId="5C7F9319" w14:textId="77777777" w:rsidTr="004A3FC2">
        <w:tc>
          <w:tcPr>
            <w:tcW w:w="3192" w:type="dxa"/>
          </w:tcPr>
          <w:p w14:paraId="40C954F7" w14:textId="3C1FB66D" w:rsidR="004A3FC2" w:rsidRPr="004A3FC2" w:rsidRDefault="004A3FC2" w:rsidP="004A3FC2">
            <w:r w:rsidRPr="004A3FC2">
              <w:rPr>
                <w:rFonts w:cs="Arial"/>
              </w:rPr>
              <w:t>Нарушения на бъбреците и пикочните пътища</w:t>
            </w:r>
          </w:p>
        </w:tc>
        <w:tc>
          <w:tcPr>
            <w:tcW w:w="3192" w:type="dxa"/>
          </w:tcPr>
          <w:p w14:paraId="06CD5E6D" w14:textId="27A64E56" w:rsidR="004A3FC2" w:rsidRPr="004A3FC2" w:rsidRDefault="004A3FC2" w:rsidP="004A3FC2">
            <w:r w:rsidRPr="004A3FC2">
              <w:rPr>
                <w:rFonts w:cs="Arial"/>
              </w:rPr>
              <w:t>Чести</w:t>
            </w:r>
          </w:p>
        </w:tc>
        <w:tc>
          <w:tcPr>
            <w:tcW w:w="3192" w:type="dxa"/>
          </w:tcPr>
          <w:p w14:paraId="0FAC3525" w14:textId="321811CF" w:rsidR="004A3FC2" w:rsidRPr="004A3FC2" w:rsidRDefault="004A3FC2" w:rsidP="004A3FC2">
            <w:r w:rsidRPr="004A3FC2">
              <w:rPr>
                <w:rFonts w:cs="Arial"/>
              </w:rPr>
              <w:t>Бъбречно увреждане, включително бъбречна недостатъчност при чувствителни пациенти (вж. точка 4.4)</w:t>
            </w:r>
          </w:p>
        </w:tc>
      </w:tr>
    </w:tbl>
    <w:p w14:paraId="4EB72BEA" w14:textId="4F42BD6F" w:rsidR="004A3FC2" w:rsidRDefault="004A3FC2" w:rsidP="00EB4C49"/>
    <w:p w14:paraId="416CB25D" w14:textId="77777777" w:rsidR="004A3FC2" w:rsidRPr="004A3FC2" w:rsidRDefault="004A3FC2" w:rsidP="004A3FC2">
      <w:pPr>
        <w:spacing w:line="240" w:lineRule="auto"/>
        <w:rPr>
          <w:rFonts w:eastAsia="Times New Roman" w:cs="Arial"/>
        </w:rPr>
      </w:pPr>
      <w:r w:rsidRPr="004A3FC2">
        <w:rPr>
          <w:rFonts w:eastAsia="Times New Roman" w:cs="Arial"/>
          <w:i/>
          <w:iCs/>
          <w:color w:val="000000"/>
          <w:lang w:eastAsia="bg-BG"/>
        </w:rPr>
        <w:t>Лабораторни резултати</w:t>
      </w:r>
    </w:p>
    <w:p w14:paraId="02037AE6" w14:textId="77777777" w:rsidR="004A3FC2" w:rsidRPr="004A3FC2" w:rsidRDefault="004A3FC2" w:rsidP="004A3FC2">
      <w:pPr>
        <w:spacing w:line="240" w:lineRule="auto"/>
        <w:rPr>
          <w:rFonts w:eastAsia="Times New Roman" w:cs="Arial"/>
        </w:rPr>
      </w:pPr>
      <w:r w:rsidRPr="004A3FC2">
        <w:rPr>
          <w:rFonts w:eastAsia="Times New Roman" w:cs="Arial"/>
          <w:color w:val="000000"/>
          <w:lang w:eastAsia="bg-BG"/>
        </w:rPr>
        <w:t>Хиперкалиемия и бъбречно увреждане се развиват често при пациентите, лекувани е кандесартан по показание „сърдечна недостатъчност”. Препоръчва се периодично мониториране на креатинина и калия в серума (вж. точка 4.4).</w:t>
      </w:r>
    </w:p>
    <w:p w14:paraId="4E6A3A11" w14:textId="5A8E7D41" w:rsidR="004A3FC2" w:rsidRPr="004A3FC2" w:rsidRDefault="004A3FC2" w:rsidP="00EB4C49">
      <w:pPr>
        <w:rPr>
          <w:rFonts w:cs="Arial"/>
        </w:rPr>
      </w:pPr>
    </w:p>
    <w:p w14:paraId="75FAC31C" w14:textId="77777777" w:rsidR="004A3FC2" w:rsidRPr="004A3FC2" w:rsidRDefault="004A3FC2" w:rsidP="004A3FC2">
      <w:pPr>
        <w:spacing w:line="240" w:lineRule="auto"/>
        <w:rPr>
          <w:rFonts w:eastAsia="Times New Roman" w:cs="Arial"/>
        </w:rPr>
      </w:pPr>
      <w:r w:rsidRPr="004A3FC2">
        <w:rPr>
          <w:rFonts w:eastAsia="Times New Roman" w:cs="Arial"/>
          <w:color w:val="000000"/>
          <w:u w:val="single"/>
          <w:lang w:eastAsia="bg-BG"/>
        </w:rPr>
        <w:t>Съобщаване на подозирани нежелани реакции</w:t>
      </w:r>
    </w:p>
    <w:p w14:paraId="301C0029" w14:textId="77777777"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тел.:+3592 8903417 уебсайт: </w:t>
      </w:r>
      <w:r w:rsidRPr="004A3FC2">
        <w:rPr>
          <w:rFonts w:eastAsia="Times New Roman" w:cs="Arial"/>
        </w:rPr>
        <w:fldChar w:fldCharType="begin"/>
      </w:r>
      <w:r w:rsidRPr="004A3FC2">
        <w:rPr>
          <w:rFonts w:eastAsia="Times New Roman" w:cs="Arial"/>
        </w:rPr>
        <w:instrText xml:space="preserve"> HYPERLINK "http://www.bda.bg" </w:instrText>
      </w:r>
      <w:r w:rsidRPr="004A3FC2">
        <w:rPr>
          <w:rFonts w:eastAsia="Times New Roman" w:cs="Arial"/>
        </w:rPr>
      </w:r>
      <w:r w:rsidRPr="004A3FC2">
        <w:rPr>
          <w:rFonts w:eastAsia="Times New Roman" w:cs="Arial"/>
        </w:rPr>
        <w:fldChar w:fldCharType="separate"/>
      </w:r>
      <w:r w:rsidRPr="004A3FC2">
        <w:rPr>
          <w:rFonts w:eastAsia="Times New Roman" w:cs="Arial"/>
          <w:color w:val="000000"/>
          <w:u w:val="single"/>
          <w:lang w:val="en-US"/>
        </w:rPr>
        <w:t>www.bda.bg</w:t>
      </w:r>
      <w:r w:rsidRPr="004A3FC2">
        <w:rPr>
          <w:rFonts w:eastAsia="Times New Roman" w:cs="Arial"/>
        </w:rPr>
        <w:fldChar w:fldCharType="end"/>
      </w:r>
    </w:p>
    <w:p w14:paraId="27680D32" w14:textId="77777777" w:rsidR="004A3FC2" w:rsidRPr="00EB4C49" w:rsidRDefault="004A3FC2" w:rsidP="00EB4C49"/>
    <w:p w14:paraId="5A87DBA3" w14:textId="72997CE3" w:rsidR="007122AD" w:rsidRDefault="002C50EE" w:rsidP="00936AD0">
      <w:pPr>
        <w:pStyle w:val="Heading2"/>
      </w:pPr>
      <w:r>
        <w:t>4.9. Предозиране</w:t>
      </w:r>
    </w:p>
    <w:p w14:paraId="05590069" w14:textId="42717E02" w:rsidR="004A3FC2" w:rsidRDefault="004A3FC2" w:rsidP="004A3FC2"/>
    <w:p w14:paraId="4DC5B754" w14:textId="77777777" w:rsidR="004A3FC2" w:rsidRPr="004A3FC2" w:rsidRDefault="004A3FC2" w:rsidP="004A3FC2">
      <w:pPr>
        <w:pStyle w:val="Heading3"/>
        <w:rPr>
          <w:rFonts w:ascii="Times New Roman" w:eastAsia="Times New Roman" w:hAnsi="Times New Roman" w:cs="Times New Roman"/>
          <w:sz w:val="32"/>
          <w:u w:val="single"/>
        </w:rPr>
      </w:pPr>
      <w:r w:rsidRPr="004A3FC2">
        <w:rPr>
          <w:rFonts w:eastAsia="Times New Roman"/>
          <w:u w:val="single"/>
          <w:lang w:eastAsia="bg-BG"/>
        </w:rPr>
        <w:t>Симптоми</w:t>
      </w:r>
    </w:p>
    <w:p w14:paraId="3516FD57" w14:textId="77777777" w:rsidR="004A3FC2" w:rsidRPr="004A3FC2" w:rsidRDefault="004A3FC2" w:rsidP="004A3FC2">
      <w:pPr>
        <w:spacing w:line="240" w:lineRule="auto"/>
        <w:rPr>
          <w:rFonts w:ascii="Times New Roman" w:eastAsia="Times New Roman" w:hAnsi="Times New Roman" w:cs="Times New Roman"/>
          <w:sz w:val="32"/>
          <w:szCs w:val="24"/>
        </w:rPr>
      </w:pPr>
      <w:r w:rsidRPr="004A3FC2">
        <w:rPr>
          <w:rFonts w:eastAsia="Times New Roman" w:cs="Arial"/>
          <w:color w:val="000000"/>
          <w:szCs w:val="19"/>
          <w:lang w:eastAsia="bg-BG"/>
        </w:rPr>
        <w:t xml:space="preserve">На базата на фармакологични съображения, основната проява на предозиране е вероятно да бъде симптоматична хипотония или замайване. В единичните съобщения за случаи на предозиране (до 672 </w:t>
      </w:r>
      <w:r w:rsidRPr="004A3FC2">
        <w:rPr>
          <w:rFonts w:eastAsia="Times New Roman" w:cs="Arial"/>
          <w:color w:val="000000"/>
          <w:szCs w:val="19"/>
          <w:lang w:val="en-US"/>
        </w:rPr>
        <w:t>mg</w:t>
      </w:r>
      <w:r w:rsidRPr="004A3FC2">
        <w:rPr>
          <w:rFonts w:eastAsia="Times New Roman" w:cs="Arial"/>
          <w:color w:val="000000"/>
          <w:szCs w:val="19"/>
          <w:lang w:val="ru-RU"/>
        </w:rPr>
        <w:t xml:space="preserve"> </w:t>
      </w:r>
      <w:r w:rsidRPr="004A3FC2">
        <w:rPr>
          <w:rFonts w:eastAsia="Times New Roman" w:cs="Arial"/>
          <w:color w:val="000000"/>
          <w:szCs w:val="19"/>
          <w:lang w:eastAsia="bg-BG"/>
        </w:rPr>
        <w:t>кандесартан цилексетил) възстановяването на пациентите е било гладко.</w:t>
      </w:r>
    </w:p>
    <w:p w14:paraId="678B24A5" w14:textId="77777777" w:rsidR="004A3FC2" w:rsidRPr="004A3FC2" w:rsidRDefault="004A3FC2" w:rsidP="004A3FC2">
      <w:pPr>
        <w:spacing w:line="240" w:lineRule="auto"/>
        <w:rPr>
          <w:rFonts w:eastAsia="Times New Roman" w:cs="Arial"/>
          <w:i/>
          <w:iCs/>
          <w:color w:val="000000"/>
          <w:szCs w:val="19"/>
          <w:u w:val="single"/>
          <w:lang w:eastAsia="bg-BG"/>
        </w:rPr>
      </w:pPr>
    </w:p>
    <w:p w14:paraId="4E01B4B1" w14:textId="6F9CA5A2" w:rsidR="004A3FC2" w:rsidRPr="004A3FC2" w:rsidRDefault="004A3FC2" w:rsidP="004A3FC2">
      <w:pPr>
        <w:pStyle w:val="Heading3"/>
        <w:rPr>
          <w:rFonts w:ascii="Times New Roman" w:eastAsia="Times New Roman" w:hAnsi="Times New Roman" w:cs="Times New Roman"/>
          <w:sz w:val="32"/>
          <w:u w:val="single"/>
        </w:rPr>
      </w:pPr>
      <w:r w:rsidRPr="004A3FC2">
        <w:rPr>
          <w:rFonts w:eastAsia="Times New Roman"/>
          <w:u w:val="single"/>
          <w:lang w:eastAsia="bg-BG"/>
        </w:rPr>
        <w:t>Поведение</w:t>
      </w:r>
    </w:p>
    <w:p w14:paraId="327DCC15" w14:textId="77777777" w:rsidR="004A3FC2" w:rsidRPr="004A3FC2" w:rsidRDefault="004A3FC2" w:rsidP="004A3FC2">
      <w:pPr>
        <w:spacing w:line="240" w:lineRule="auto"/>
        <w:rPr>
          <w:rFonts w:ascii="Times New Roman" w:eastAsia="Times New Roman" w:hAnsi="Times New Roman" w:cs="Times New Roman"/>
          <w:sz w:val="32"/>
          <w:szCs w:val="24"/>
        </w:rPr>
      </w:pPr>
      <w:r w:rsidRPr="004A3FC2">
        <w:rPr>
          <w:rFonts w:eastAsia="Times New Roman" w:cs="Arial"/>
          <w:color w:val="000000"/>
          <w:szCs w:val="19"/>
          <w:lang w:eastAsia="bg-BG"/>
        </w:rPr>
        <w:t>Ако се развие симптоматична хипотония, трябва да се започне симптоматично лечение и да се следят жизнените показатели. Пациентът трябва да се постави в легнало положение по гръб с повдигнати долни крайници. Ако това не е достатъчно, плазменият обем трябва да се повиши чрез вливания - например на изотоничен разтвор натриев хлорид. Ако изброените мерки не са достатъчни, могат да се приложат симпатикомиметици.</w:t>
      </w:r>
    </w:p>
    <w:p w14:paraId="1F0B1D0B" w14:textId="77777777" w:rsidR="004A3FC2" w:rsidRPr="004A3FC2" w:rsidRDefault="004A3FC2" w:rsidP="004A3FC2">
      <w:pPr>
        <w:spacing w:line="240" w:lineRule="auto"/>
        <w:rPr>
          <w:rFonts w:ascii="Times New Roman" w:eastAsia="Times New Roman" w:hAnsi="Times New Roman" w:cs="Times New Roman"/>
          <w:sz w:val="32"/>
          <w:szCs w:val="24"/>
        </w:rPr>
      </w:pPr>
      <w:r w:rsidRPr="004A3FC2">
        <w:rPr>
          <w:rFonts w:eastAsia="Times New Roman" w:cs="Arial"/>
          <w:color w:val="000000"/>
          <w:szCs w:val="19"/>
          <w:lang w:eastAsia="bg-BG"/>
        </w:rPr>
        <w:t>Кандесартан не се отстранява чрез хемодиализа.</w:t>
      </w:r>
    </w:p>
    <w:p w14:paraId="16FBDF9B" w14:textId="77777777" w:rsidR="004A3FC2" w:rsidRPr="004A3FC2" w:rsidRDefault="004A3FC2" w:rsidP="004A3FC2"/>
    <w:p w14:paraId="02081B24" w14:textId="1F46E296" w:rsidR="00395555" w:rsidRPr="00395555" w:rsidRDefault="002C50EE" w:rsidP="008A6AF2">
      <w:pPr>
        <w:pStyle w:val="Heading1"/>
      </w:pPr>
      <w:r>
        <w:lastRenderedPageBreak/>
        <w:t>5. ФАРМАКОЛОГИЧНИ СВОЙСТВА</w:t>
      </w:r>
    </w:p>
    <w:p w14:paraId="7DE36AC8" w14:textId="6009C440" w:rsidR="00B6672E" w:rsidRDefault="002C50EE" w:rsidP="00936AD0">
      <w:pPr>
        <w:pStyle w:val="Heading2"/>
      </w:pPr>
      <w:r>
        <w:t>5.1. Фармакодинамични свойства</w:t>
      </w:r>
    </w:p>
    <w:p w14:paraId="71BAC42E" w14:textId="25051F5C" w:rsidR="004A3FC2" w:rsidRDefault="004A3FC2" w:rsidP="004A3FC2"/>
    <w:p w14:paraId="446AB895" w14:textId="77777777" w:rsidR="004A3FC2" w:rsidRPr="004A3FC2" w:rsidRDefault="004A3FC2" w:rsidP="004A3FC2">
      <w:pPr>
        <w:spacing w:line="240" w:lineRule="auto"/>
        <w:rPr>
          <w:rFonts w:eastAsia="Times New Roman" w:cs="Arial"/>
        </w:rPr>
      </w:pPr>
      <w:r w:rsidRPr="004A3FC2">
        <w:rPr>
          <w:rFonts w:eastAsia="Times New Roman" w:cs="Arial"/>
          <w:color w:val="000000"/>
          <w:lang w:eastAsia="bg-BG"/>
        </w:rPr>
        <w:t>Фармакотерапевтична група: Антагонисти на ангиотензин 11, самостоятелно, АТС код: С09СА06</w:t>
      </w:r>
    </w:p>
    <w:p w14:paraId="65EABF76" w14:textId="77777777" w:rsidR="004A3FC2" w:rsidRPr="004A3FC2" w:rsidRDefault="004A3FC2" w:rsidP="004A3FC2">
      <w:pPr>
        <w:spacing w:line="240" w:lineRule="auto"/>
        <w:rPr>
          <w:rFonts w:eastAsia="Times New Roman" w:cs="Arial"/>
          <w:color w:val="000000"/>
          <w:u w:val="single"/>
          <w:lang w:eastAsia="bg-BG"/>
        </w:rPr>
      </w:pPr>
    </w:p>
    <w:p w14:paraId="4D37FA47" w14:textId="55241FF4" w:rsidR="004A3FC2" w:rsidRPr="004A3FC2" w:rsidRDefault="004A3FC2" w:rsidP="004A3FC2">
      <w:pPr>
        <w:spacing w:line="240" w:lineRule="auto"/>
        <w:rPr>
          <w:rFonts w:eastAsia="Times New Roman" w:cs="Arial"/>
        </w:rPr>
      </w:pPr>
      <w:r w:rsidRPr="004A3FC2">
        <w:rPr>
          <w:rFonts w:eastAsia="Times New Roman" w:cs="Arial"/>
          <w:color w:val="000000"/>
          <w:u w:val="single"/>
          <w:lang w:eastAsia="bg-BG"/>
        </w:rPr>
        <w:t>Механизъм на действие</w:t>
      </w:r>
    </w:p>
    <w:p w14:paraId="778960F0" w14:textId="77777777" w:rsidR="004A3FC2" w:rsidRPr="004A3FC2" w:rsidRDefault="004A3FC2" w:rsidP="004A3FC2">
      <w:pPr>
        <w:spacing w:line="240" w:lineRule="auto"/>
        <w:rPr>
          <w:rFonts w:eastAsia="Times New Roman" w:cs="Arial"/>
        </w:rPr>
      </w:pPr>
      <w:r w:rsidRPr="004A3FC2">
        <w:rPr>
          <w:rFonts w:eastAsia="Times New Roman" w:cs="Arial"/>
          <w:color w:val="000000"/>
          <w:lang w:eastAsia="bg-BG"/>
        </w:rPr>
        <w:t>Ангиотензин 11 е основният вазоактивен хормон от ренин-ангиотензин-алдостероновата система и играе роля в патофизиологията на артериалната хипертония, сърдечната недостатъчност и други сърдечно-съдови нарушения. Той съшо така играе роля и в патогенезата на терминалната органна хипертрофия и увреда. Основните физиологични ефекти на ангиотензин II, като вазоконстрикция, стимулация на алдостероновата секреция, регулация на водно-солевата хомеостаза и стимулация на клетъчния растеж, се медиират чрез рецептора от 1 тип (АТ</w:t>
      </w:r>
      <w:r w:rsidRPr="004A3FC2">
        <w:rPr>
          <w:rFonts w:eastAsia="Times New Roman" w:cs="Arial"/>
          <w:color w:val="000000"/>
          <w:vertAlign w:val="subscript"/>
          <w:lang w:eastAsia="bg-BG"/>
        </w:rPr>
        <w:t>1</w:t>
      </w:r>
      <w:r w:rsidRPr="004A3FC2">
        <w:rPr>
          <w:rFonts w:eastAsia="Times New Roman" w:cs="Arial"/>
          <w:color w:val="000000"/>
          <w:lang w:eastAsia="bg-BG"/>
        </w:rPr>
        <w:t>).</w:t>
      </w:r>
    </w:p>
    <w:p w14:paraId="54F2D735" w14:textId="77777777" w:rsidR="004A3FC2" w:rsidRPr="004A3FC2" w:rsidRDefault="004A3FC2" w:rsidP="004A3FC2">
      <w:pPr>
        <w:spacing w:line="240" w:lineRule="auto"/>
        <w:rPr>
          <w:rFonts w:eastAsia="Times New Roman" w:cs="Arial"/>
          <w:color w:val="000000"/>
          <w:u w:val="single"/>
          <w:lang w:eastAsia="bg-BG"/>
        </w:rPr>
      </w:pPr>
    </w:p>
    <w:p w14:paraId="6C58CDA6" w14:textId="79BFFA50" w:rsidR="004A3FC2" w:rsidRPr="004A3FC2" w:rsidRDefault="004A3FC2" w:rsidP="004A3FC2">
      <w:pPr>
        <w:spacing w:line="240" w:lineRule="auto"/>
        <w:rPr>
          <w:rFonts w:eastAsia="Times New Roman" w:cs="Arial"/>
        </w:rPr>
      </w:pPr>
      <w:r w:rsidRPr="004A3FC2">
        <w:rPr>
          <w:rFonts w:eastAsia="Times New Roman" w:cs="Arial"/>
          <w:color w:val="000000"/>
          <w:u w:val="single"/>
          <w:lang w:eastAsia="bg-BG"/>
        </w:rPr>
        <w:t>Фармакодинамични ефекти</w:t>
      </w:r>
    </w:p>
    <w:p w14:paraId="25D639E4" w14:textId="77777777" w:rsidR="004A3FC2" w:rsidRPr="004A3FC2" w:rsidRDefault="004A3FC2" w:rsidP="004A3FC2">
      <w:pPr>
        <w:spacing w:line="240" w:lineRule="auto"/>
        <w:rPr>
          <w:rFonts w:eastAsia="Times New Roman" w:cs="Arial"/>
        </w:rPr>
      </w:pPr>
      <w:r w:rsidRPr="004A3FC2">
        <w:rPr>
          <w:rFonts w:eastAsia="Times New Roman" w:cs="Arial"/>
          <w:color w:val="000000"/>
          <w:lang w:eastAsia="bg-BG"/>
        </w:rPr>
        <w:t>Кандесартан цилексетил е предлекарство, подходящо за перорална употреба. Той се превръща бързо в активното вещество кандесартан, чрез естерна хидролиза по време на резорбцията в гастро-интестиналния тракт. Кандесартан е А</w:t>
      </w:r>
      <w:r w:rsidRPr="004A3FC2">
        <w:rPr>
          <w:rFonts w:eastAsia="Times New Roman" w:cs="Arial"/>
          <w:color w:val="000000"/>
          <w:lang w:val="en-US"/>
        </w:rPr>
        <w:t>II</w:t>
      </w:r>
      <w:r w:rsidRPr="004A3FC2">
        <w:rPr>
          <w:rFonts w:eastAsia="Times New Roman" w:cs="Arial"/>
          <w:color w:val="000000"/>
          <w:lang w:eastAsia="bg-BG"/>
        </w:rPr>
        <w:t>РА, селективен спрямо АТ</w:t>
      </w:r>
      <w:r w:rsidRPr="004A3FC2">
        <w:rPr>
          <w:rFonts w:eastAsia="Times New Roman" w:cs="Arial"/>
          <w:color w:val="000000"/>
          <w:vertAlign w:val="subscript"/>
          <w:lang w:eastAsia="bg-BG"/>
        </w:rPr>
        <w:t>1</w:t>
      </w:r>
      <w:r w:rsidRPr="004A3FC2">
        <w:rPr>
          <w:rFonts w:eastAsia="Times New Roman" w:cs="Arial"/>
          <w:color w:val="000000"/>
          <w:lang w:eastAsia="bg-BG"/>
        </w:rPr>
        <w:t xml:space="preserve"> рецепторите, който се свързва здраво и бавно се освобождава от рецептора. Той няма агонистична активност.</w:t>
      </w:r>
    </w:p>
    <w:p w14:paraId="268E717C" w14:textId="77777777" w:rsidR="004A3FC2" w:rsidRPr="004A3FC2" w:rsidRDefault="004A3FC2" w:rsidP="004A3FC2">
      <w:pPr>
        <w:rPr>
          <w:rFonts w:eastAsia="Times New Roman" w:cs="Arial"/>
        </w:rPr>
      </w:pPr>
      <w:r w:rsidRPr="004A3FC2">
        <w:rPr>
          <w:rFonts w:eastAsia="Times New Roman" w:cs="Arial"/>
          <w:color w:val="000000"/>
          <w:lang w:eastAsia="bg-BG"/>
        </w:rPr>
        <w:t xml:space="preserve">Кандесартан не инхибира АСЕ, който конвертира ангиотензин </w:t>
      </w:r>
      <w:r w:rsidRPr="004A3FC2">
        <w:rPr>
          <w:rFonts w:eastAsia="Times New Roman" w:cs="Arial"/>
          <w:color w:val="000000"/>
          <w:lang w:val="en-US"/>
        </w:rPr>
        <w:t>I</w:t>
      </w:r>
      <w:r w:rsidRPr="004A3FC2">
        <w:rPr>
          <w:rFonts w:eastAsia="Times New Roman" w:cs="Arial"/>
          <w:color w:val="000000"/>
          <w:lang w:eastAsia="bg-BG"/>
        </w:rPr>
        <w:t xml:space="preserve"> в ангиотензин II и разгражда брадикинина. Не оказва въздействие върху АСЕ и не потенцира действието на брадикипин и субстанция Р. В контролираните клинични проучвания, сравняващи кандесартан е </w:t>
      </w:r>
      <w:r w:rsidRPr="004A3FC2">
        <w:rPr>
          <w:rFonts w:eastAsia="Times New Roman" w:cs="Arial"/>
          <w:color w:val="000000"/>
          <w:lang w:val="en-US"/>
        </w:rPr>
        <w:t>ACE</w:t>
      </w:r>
      <w:r w:rsidRPr="004A3FC2">
        <w:rPr>
          <w:rFonts w:eastAsia="Times New Roman" w:cs="Arial"/>
          <w:color w:val="000000"/>
          <w:lang w:eastAsia="bg-BG"/>
        </w:rPr>
        <w:t xml:space="preserve"> инхибитори, при получаващите кандесартан цилексетил пациенти честотата на развитие на кашлица е по-ниска. Кандесартан не се свързва към и не инхибира други хормонални рецептори или йонни канали, за които е известно, че са от значение за сърдечно-съдовата регулация. Антагонизмът спрямо рецепторите за ангиотензин II </w:t>
      </w:r>
      <w:r w:rsidRPr="004A3FC2">
        <w:rPr>
          <w:rFonts w:eastAsia="Times New Roman" w:cs="Arial"/>
          <w:color w:val="000000"/>
          <w:lang w:val="ru-RU"/>
        </w:rPr>
        <w:t>(</w:t>
      </w:r>
      <w:r w:rsidRPr="004A3FC2">
        <w:rPr>
          <w:rFonts w:eastAsia="Times New Roman" w:cs="Arial"/>
          <w:color w:val="000000"/>
          <w:lang w:val="en-US"/>
        </w:rPr>
        <w:t>ATI</w:t>
      </w:r>
      <w:r w:rsidRPr="004A3FC2">
        <w:rPr>
          <w:rFonts w:eastAsia="Times New Roman" w:cs="Arial"/>
          <w:color w:val="000000"/>
          <w:lang w:val="ru-RU"/>
        </w:rPr>
        <w:t xml:space="preserve">) </w:t>
      </w:r>
      <w:r w:rsidRPr="004A3FC2">
        <w:rPr>
          <w:rFonts w:eastAsia="Times New Roman" w:cs="Arial"/>
          <w:color w:val="000000"/>
          <w:lang w:eastAsia="bg-BG"/>
        </w:rPr>
        <w:t>води до дозо-зависимо повишаване на плазмените нива на ренина, ангиотензин I и ангиотензин II и понижаване на плазмената концентрация на алдостерона.</w:t>
      </w:r>
    </w:p>
    <w:p w14:paraId="7D88918D" w14:textId="77777777" w:rsidR="004A3FC2" w:rsidRPr="004A3FC2" w:rsidRDefault="004A3FC2" w:rsidP="004A3FC2">
      <w:pPr>
        <w:spacing w:line="240" w:lineRule="auto"/>
        <w:rPr>
          <w:rFonts w:eastAsia="Times New Roman" w:cs="Arial"/>
          <w:color w:val="000000"/>
          <w:u w:val="single"/>
          <w:lang w:eastAsia="bg-BG"/>
        </w:rPr>
      </w:pPr>
    </w:p>
    <w:p w14:paraId="41A45E2D" w14:textId="1482EB46" w:rsidR="004A3FC2" w:rsidRPr="004A3FC2" w:rsidRDefault="004A3FC2" w:rsidP="004A3FC2">
      <w:pPr>
        <w:spacing w:line="240" w:lineRule="auto"/>
        <w:rPr>
          <w:rFonts w:eastAsia="Times New Roman" w:cs="Arial"/>
        </w:rPr>
      </w:pPr>
      <w:r w:rsidRPr="004A3FC2">
        <w:rPr>
          <w:rFonts w:eastAsia="Times New Roman" w:cs="Arial"/>
          <w:color w:val="000000"/>
          <w:u w:val="single"/>
          <w:lang w:eastAsia="bg-BG"/>
        </w:rPr>
        <w:t>Клинична ефикасност и безопасност</w:t>
      </w:r>
    </w:p>
    <w:p w14:paraId="1870EBA1" w14:textId="77777777" w:rsidR="004A3FC2" w:rsidRPr="004A3FC2" w:rsidRDefault="004A3FC2" w:rsidP="004A3FC2">
      <w:pPr>
        <w:spacing w:line="240" w:lineRule="auto"/>
        <w:rPr>
          <w:rFonts w:eastAsia="Times New Roman" w:cs="Arial"/>
          <w:i/>
          <w:iCs/>
          <w:color w:val="000000"/>
          <w:u w:val="single"/>
          <w:lang w:eastAsia="bg-BG"/>
        </w:rPr>
      </w:pPr>
    </w:p>
    <w:p w14:paraId="59BDC86A" w14:textId="7B44C61B" w:rsidR="004A3FC2" w:rsidRPr="004A3FC2" w:rsidRDefault="004A3FC2" w:rsidP="004A3FC2">
      <w:pPr>
        <w:spacing w:line="240" w:lineRule="auto"/>
        <w:rPr>
          <w:rFonts w:eastAsia="Times New Roman" w:cs="Arial"/>
        </w:rPr>
      </w:pPr>
      <w:r w:rsidRPr="004A3FC2">
        <w:rPr>
          <w:rFonts w:eastAsia="Times New Roman" w:cs="Arial"/>
          <w:i/>
          <w:iCs/>
          <w:color w:val="000000"/>
          <w:u w:val="single"/>
          <w:lang w:eastAsia="bg-BG"/>
        </w:rPr>
        <w:t>Хипертония</w:t>
      </w:r>
    </w:p>
    <w:p w14:paraId="60BE676B" w14:textId="77777777"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При хипертония кандесартан предизвиква дозо-зависима продължителна редукция на артериалното налягане. Антихипертензивният ефект се дължи на пониженото системно периферно съпротивление без рефлекторно повишаване на сърдечната честота. Няма данни за сериозна или прекомерна хипотония след приема на първата доза или за </w:t>
      </w:r>
      <w:r w:rsidRPr="004A3FC2">
        <w:rPr>
          <w:rFonts w:eastAsia="Times New Roman" w:cs="Arial"/>
          <w:color w:val="000000"/>
          <w:lang w:val="en-US"/>
        </w:rPr>
        <w:t>rebound</w:t>
      </w:r>
      <w:r w:rsidRPr="004A3FC2">
        <w:rPr>
          <w:rFonts w:eastAsia="Times New Roman" w:cs="Arial"/>
          <w:color w:val="000000"/>
          <w:lang w:val="ru-RU"/>
        </w:rPr>
        <w:t xml:space="preserve"> </w:t>
      </w:r>
      <w:r w:rsidRPr="004A3FC2">
        <w:rPr>
          <w:rFonts w:eastAsia="Times New Roman" w:cs="Arial"/>
          <w:color w:val="000000"/>
          <w:lang w:eastAsia="bg-BG"/>
        </w:rPr>
        <w:t>ефект след спиране на лечението.</w:t>
      </w:r>
    </w:p>
    <w:p w14:paraId="518D8518" w14:textId="77777777" w:rsidR="004A3FC2" w:rsidRPr="004A3FC2" w:rsidRDefault="004A3FC2" w:rsidP="004A3FC2">
      <w:pPr>
        <w:spacing w:line="240" w:lineRule="auto"/>
        <w:rPr>
          <w:rFonts w:eastAsia="Times New Roman" w:cs="Arial"/>
          <w:color w:val="000000"/>
          <w:lang w:eastAsia="bg-BG"/>
        </w:rPr>
      </w:pPr>
    </w:p>
    <w:p w14:paraId="039256B5" w14:textId="3F0C2FAB"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След приложение на еднократна доза кандесартан цилексетил началото на антихипертензивния ефект настъпва обикновено в рамките на 2 часа. При продължително лечение основният дял от понижението на артериалното налягане при прием на която и да е доза, обикновено се постига в рамките на четири седмици и се задържа при дългосрочно лечение. Според проведен мета- анализ средният допълнителен ефект на повишаването на дозата от 16 </w:t>
      </w:r>
      <w:r w:rsidRPr="004A3FC2">
        <w:rPr>
          <w:rFonts w:eastAsia="Times New Roman" w:cs="Arial"/>
          <w:color w:val="000000"/>
          <w:lang w:val="en-US"/>
        </w:rPr>
        <w:t>mg</w:t>
      </w:r>
      <w:r w:rsidRPr="004A3FC2">
        <w:rPr>
          <w:rFonts w:eastAsia="Times New Roman" w:cs="Arial"/>
          <w:color w:val="000000"/>
          <w:lang w:val="ru-RU"/>
        </w:rPr>
        <w:t xml:space="preserve"> </w:t>
      </w:r>
      <w:r w:rsidRPr="004A3FC2">
        <w:rPr>
          <w:rFonts w:eastAsia="Times New Roman" w:cs="Arial"/>
          <w:color w:val="000000"/>
          <w:lang w:eastAsia="bg-BG"/>
        </w:rPr>
        <w:t xml:space="preserve">на 32 </w:t>
      </w:r>
      <w:r w:rsidRPr="004A3FC2">
        <w:rPr>
          <w:rFonts w:eastAsia="Times New Roman" w:cs="Arial"/>
          <w:color w:val="000000"/>
          <w:lang w:val="en-US"/>
        </w:rPr>
        <w:t>mg</w:t>
      </w:r>
      <w:r w:rsidRPr="004A3FC2">
        <w:rPr>
          <w:rFonts w:eastAsia="Times New Roman" w:cs="Arial"/>
          <w:color w:val="000000"/>
          <w:lang w:val="ru-RU"/>
        </w:rPr>
        <w:t xml:space="preserve"> </w:t>
      </w:r>
      <w:r w:rsidRPr="004A3FC2">
        <w:rPr>
          <w:rFonts w:eastAsia="Times New Roman" w:cs="Arial"/>
          <w:color w:val="000000"/>
          <w:lang w:eastAsia="bg-BG"/>
        </w:rPr>
        <w:t xml:space="preserve">еднократно дневно е малък. Като се вземе предвид и интериндивидуалната вариабилност, при някои пациенти може да се очаква ефект, надхвърлящ средния, кандесартан цилексетил, приет </w:t>
      </w:r>
      <w:r w:rsidRPr="004A3FC2">
        <w:rPr>
          <w:rFonts w:eastAsia="Times New Roman" w:cs="Arial"/>
          <w:color w:val="000000"/>
          <w:lang w:eastAsia="bg-BG"/>
        </w:rPr>
        <w:lastRenderedPageBreak/>
        <w:t xml:space="preserve">еднократно дневно, осигурява ефективно и равномерно понижаване на артериалното налягане в продължение на 24 часа, с малка разлика, в рамките на дозовия интервал, между максималния ефект и ефекта в края на дозовия интервал. В две рандомизирани, двойно-слепи проучвания са изследвани антихипертензивният ефект и поносимостта на кандесартан и лосартан при общо 1 268 пациенти с лека до умерено тежка артериална хипертония. Редукцията на артериалното налягане в края на дозовия интервал (систолно/диастолно) е с 13,1/10,5 </w:t>
      </w:r>
      <w:r w:rsidRPr="004A3FC2">
        <w:rPr>
          <w:rFonts w:eastAsia="Times New Roman" w:cs="Arial"/>
          <w:color w:val="000000"/>
          <w:lang w:val="en-US"/>
        </w:rPr>
        <w:t>mmHg</w:t>
      </w:r>
      <w:r w:rsidRPr="004A3FC2">
        <w:rPr>
          <w:rFonts w:eastAsia="Times New Roman" w:cs="Arial"/>
          <w:color w:val="000000"/>
          <w:lang w:val="ru-RU"/>
        </w:rPr>
        <w:t xml:space="preserve"> </w:t>
      </w:r>
      <w:r w:rsidRPr="004A3FC2">
        <w:rPr>
          <w:rFonts w:eastAsia="Times New Roman" w:cs="Arial"/>
          <w:color w:val="000000"/>
          <w:lang w:eastAsia="bg-BG"/>
        </w:rPr>
        <w:t xml:space="preserve">при прием на кандесартан цилексетил 32 </w:t>
      </w:r>
      <w:r w:rsidRPr="004A3FC2">
        <w:rPr>
          <w:rFonts w:eastAsia="Times New Roman" w:cs="Arial"/>
          <w:color w:val="000000"/>
          <w:lang w:val="en-US"/>
        </w:rPr>
        <w:t>mg</w:t>
      </w:r>
      <w:r w:rsidRPr="004A3FC2">
        <w:rPr>
          <w:rFonts w:eastAsia="Times New Roman" w:cs="Arial"/>
          <w:color w:val="000000"/>
          <w:lang w:val="ru-RU"/>
        </w:rPr>
        <w:t xml:space="preserve"> </w:t>
      </w:r>
      <w:r w:rsidRPr="004A3FC2">
        <w:rPr>
          <w:rFonts w:eastAsia="Times New Roman" w:cs="Arial"/>
          <w:color w:val="000000"/>
          <w:lang w:eastAsia="bg-BG"/>
        </w:rPr>
        <w:t xml:space="preserve">еднократно дневно и с 10,0/8,7 </w:t>
      </w:r>
      <w:r w:rsidRPr="004A3FC2">
        <w:rPr>
          <w:rFonts w:eastAsia="Times New Roman" w:cs="Arial"/>
          <w:color w:val="000000"/>
          <w:lang w:val="en-US"/>
        </w:rPr>
        <w:t>mmHg</w:t>
      </w:r>
      <w:r w:rsidRPr="004A3FC2">
        <w:rPr>
          <w:rFonts w:eastAsia="Times New Roman" w:cs="Arial"/>
          <w:color w:val="000000"/>
          <w:lang w:val="ru-RU"/>
        </w:rPr>
        <w:t xml:space="preserve"> </w:t>
      </w:r>
      <w:r w:rsidRPr="004A3FC2">
        <w:rPr>
          <w:rFonts w:eastAsia="Times New Roman" w:cs="Arial"/>
          <w:color w:val="000000"/>
          <w:lang w:eastAsia="bg-BG"/>
        </w:rPr>
        <w:t xml:space="preserve">при прием на лосартан калий 100 </w:t>
      </w:r>
      <w:r w:rsidRPr="004A3FC2">
        <w:rPr>
          <w:rFonts w:eastAsia="Times New Roman" w:cs="Arial"/>
          <w:color w:val="000000"/>
          <w:lang w:val="en-US"/>
        </w:rPr>
        <w:t>mg</w:t>
      </w:r>
      <w:r w:rsidRPr="004A3FC2">
        <w:rPr>
          <w:rFonts w:eastAsia="Times New Roman" w:cs="Arial"/>
          <w:color w:val="000000"/>
          <w:lang w:val="ru-RU"/>
        </w:rPr>
        <w:t xml:space="preserve"> </w:t>
      </w:r>
      <w:r w:rsidRPr="004A3FC2">
        <w:rPr>
          <w:rFonts w:eastAsia="Times New Roman" w:cs="Arial"/>
          <w:color w:val="000000"/>
          <w:lang w:eastAsia="bg-BG"/>
        </w:rPr>
        <w:t xml:space="preserve">еднократно дневно (разлика в редукцията на артериалното налягане 3.1/1,8 </w:t>
      </w:r>
      <w:r w:rsidRPr="004A3FC2">
        <w:rPr>
          <w:rFonts w:eastAsia="Times New Roman" w:cs="Arial"/>
          <w:color w:val="000000"/>
          <w:lang w:val="en-US"/>
        </w:rPr>
        <w:t>mmHg</w:t>
      </w:r>
      <w:r w:rsidRPr="004A3FC2">
        <w:rPr>
          <w:rFonts w:eastAsia="Times New Roman" w:cs="Arial"/>
          <w:color w:val="000000"/>
          <w:lang w:val="ru-RU"/>
        </w:rPr>
        <w:t xml:space="preserve">, </w:t>
      </w:r>
      <w:r w:rsidRPr="004A3FC2">
        <w:rPr>
          <w:rFonts w:eastAsia="Times New Roman" w:cs="Arial"/>
          <w:color w:val="000000"/>
          <w:lang w:eastAsia="bg-BG"/>
        </w:rPr>
        <w:t>р&lt;0,0001 /р&lt;0,0001).</w:t>
      </w:r>
    </w:p>
    <w:p w14:paraId="1DB26981" w14:textId="77777777" w:rsidR="004A3FC2" w:rsidRPr="004A3FC2" w:rsidRDefault="004A3FC2" w:rsidP="004A3FC2">
      <w:pPr>
        <w:spacing w:line="240" w:lineRule="auto"/>
        <w:rPr>
          <w:rFonts w:eastAsia="Times New Roman" w:cs="Arial"/>
          <w:color w:val="000000"/>
          <w:lang w:eastAsia="bg-BG"/>
        </w:rPr>
      </w:pPr>
    </w:p>
    <w:p w14:paraId="20150146" w14:textId="3D37B89E" w:rsidR="004A3FC2" w:rsidRPr="004A3FC2" w:rsidRDefault="004A3FC2" w:rsidP="004A3FC2">
      <w:pPr>
        <w:spacing w:line="240" w:lineRule="auto"/>
        <w:rPr>
          <w:rFonts w:eastAsia="Times New Roman" w:cs="Arial"/>
        </w:rPr>
      </w:pPr>
      <w:r w:rsidRPr="004A3FC2">
        <w:rPr>
          <w:rFonts w:eastAsia="Times New Roman" w:cs="Arial"/>
          <w:color w:val="000000"/>
          <w:lang w:eastAsia="bg-BG"/>
        </w:rPr>
        <w:t>Когато кандесартан цилексетил се използва заедно с хидрохлоротиазид, ефектът върху понижаването на артериалното налягане е адитивен. Потенциране на антихипертензивния ефект се наблюдава и при комбиниране на кандесартан цилексетил с амлодипин или фелодипин.</w:t>
      </w:r>
    </w:p>
    <w:p w14:paraId="1A6307CB" w14:textId="77777777" w:rsidR="004A3FC2" w:rsidRPr="004A3FC2" w:rsidRDefault="004A3FC2" w:rsidP="004A3FC2">
      <w:pPr>
        <w:spacing w:line="240" w:lineRule="auto"/>
        <w:rPr>
          <w:rFonts w:eastAsia="Times New Roman" w:cs="Arial"/>
          <w:color w:val="000000"/>
          <w:lang w:eastAsia="bg-BG"/>
        </w:rPr>
      </w:pPr>
    </w:p>
    <w:p w14:paraId="60DE91A6" w14:textId="6086471D"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Лекарствените продукти, които блокират ренин-ангиотензин-алдостероновата система, имат по-слаб ефект при чернокожи пациенти (които обичайно са ниско ренинова популация), отколкото при не-чернокожи пациенти. Същото важи и за кандесартан. В открито проучване на клиничния опит при 5 156 пациенти с диастолна хипертония, редукцията на артериалното налягане при лечение с кандесартан е сигнификантно по-слабо изразена при чернокожи, отколкото при не-чернокожи пациенти (14,4/10,3 </w:t>
      </w:r>
      <w:r w:rsidRPr="004A3FC2">
        <w:rPr>
          <w:rFonts w:eastAsia="Times New Roman" w:cs="Arial"/>
          <w:color w:val="000000"/>
          <w:lang w:val="en-US"/>
        </w:rPr>
        <w:t>mmHg</w:t>
      </w:r>
      <w:r w:rsidRPr="004A3FC2">
        <w:rPr>
          <w:rFonts w:eastAsia="Times New Roman" w:cs="Arial"/>
          <w:color w:val="000000"/>
          <w:lang w:val="ru-RU"/>
        </w:rPr>
        <w:t xml:space="preserve"> </w:t>
      </w:r>
      <w:r w:rsidRPr="004A3FC2">
        <w:rPr>
          <w:rFonts w:eastAsia="Times New Roman" w:cs="Arial"/>
          <w:color w:val="000000"/>
          <w:lang w:eastAsia="bg-BG"/>
        </w:rPr>
        <w:t xml:space="preserve">срещу 19,0/12,7 </w:t>
      </w:r>
      <w:r w:rsidRPr="004A3FC2">
        <w:rPr>
          <w:rFonts w:eastAsia="Times New Roman" w:cs="Arial"/>
          <w:color w:val="000000"/>
          <w:lang w:val="en-US"/>
        </w:rPr>
        <w:t>mmHg</w:t>
      </w:r>
      <w:r w:rsidRPr="004A3FC2">
        <w:rPr>
          <w:rFonts w:eastAsia="Times New Roman" w:cs="Arial"/>
          <w:color w:val="000000"/>
          <w:lang w:val="ru-RU"/>
        </w:rPr>
        <w:t xml:space="preserve">, </w:t>
      </w:r>
      <w:r w:rsidRPr="004A3FC2">
        <w:rPr>
          <w:rFonts w:eastAsia="Times New Roman" w:cs="Arial"/>
          <w:color w:val="000000"/>
          <w:lang w:eastAsia="bg-BG"/>
        </w:rPr>
        <w:t>р&lt;0,0001/р&lt;0,0001).</w:t>
      </w:r>
    </w:p>
    <w:p w14:paraId="6D78DC0C" w14:textId="77777777" w:rsidR="004A3FC2" w:rsidRPr="004A3FC2" w:rsidRDefault="004A3FC2" w:rsidP="004A3FC2">
      <w:pPr>
        <w:spacing w:line="240" w:lineRule="auto"/>
        <w:rPr>
          <w:rFonts w:eastAsia="Times New Roman" w:cs="Arial"/>
          <w:color w:val="000000"/>
          <w:lang w:eastAsia="bg-BG"/>
        </w:rPr>
      </w:pPr>
    </w:p>
    <w:p w14:paraId="5586887C" w14:textId="642EAB92"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Кандесартан повишава бъбречния кръвоток и/или няма ефект върху скоростта на гломерулна филтрация, или я повишава, докато бъбречната съдова резистентност и филтрационната фракция се понижават. В 3-месечно клинично проучване при пациенти с артериална хипертония и захарен диабет тип 2 с микроалбуминурия, антихипертензивното лечение с кандесартан цилексетил </w:t>
      </w:r>
      <w:r w:rsidRPr="004A3FC2">
        <w:rPr>
          <w:rFonts w:eastAsia="Times New Roman" w:cs="Arial"/>
          <w:i/>
          <w:iCs/>
          <w:color w:val="000000"/>
          <w:lang w:eastAsia="bg-BG"/>
        </w:rPr>
        <w:t>намалява екскрецията на албумин</w:t>
      </w:r>
      <w:r w:rsidRPr="004A3FC2">
        <w:rPr>
          <w:rFonts w:eastAsia="Times New Roman" w:cs="Arial"/>
          <w:color w:val="000000"/>
          <w:lang w:eastAsia="bg-BG"/>
        </w:rPr>
        <w:t xml:space="preserve"> в урината (съотношение албумин/креатинин, средно 30%,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15-42%). Към момента няма данни за ефекта на кандесартан върху прогресията към диабетна нефропатия.</w:t>
      </w:r>
    </w:p>
    <w:p w14:paraId="746BBA6F" w14:textId="77777777" w:rsidR="004A3FC2" w:rsidRPr="004A3FC2" w:rsidRDefault="004A3FC2" w:rsidP="004A3FC2">
      <w:pPr>
        <w:spacing w:line="240" w:lineRule="auto"/>
        <w:rPr>
          <w:rFonts w:eastAsia="Times New Roman" w:cs="Arial"/>
          <w:color w:val="000000"/>
          <w:lang w:eastAsia="bg-BG"/>
        </w:rPr>
      </w:pPr>
    </w:p>
    <w:p w14:paraId="753C3950" w14:textId="77777777" w:rsidR="004A3FC2" w:rsidRPr="004A3FC2" w:rsidRDefault="004A3FC2" w:rsidP="004A3FC2">
      <w:pPr>
        <w:rPr>
          <w:rFonts w:eastAsia="Times New Roman" w:cs="Arial"/>
        </w:rPr>
      </w:pPr>
      <w:r w:rsidRPr="004A3FC2">
        <w:rPr>
          <w:rFonts w:eastAsia="Times New Roman" w:cs="Arial"/>
          <w:color w:val="000000"/>
          <w:lang w:eastAsia="bg-BG"/>
        </w:rPr>
        <w:t xml:space="preserve">Ефектите на кандесартан цилексетил 8-16 </w:t>
      </w:r>
      <w:r w:rsidRPr="004A3FC2">
        <w:rPr>
          <w:rFonts w:eastAsia="Times New Roman" w:cs="Arial"/>
          <w:color w:val="000000"/>
          <w:lang w:val="en-US"/>
        </w:rPr>
        <w:t>mg</w:t>
      </w:r>
      <w:r w:rsidRPr="004A3FC2">
        <w:rPr>
          <w:rFonts w:eastAsia="Times New Roman" w:cs="Arial"/>
          <w:color w:val="000000"/>
          <w:lang w:val="ru-RU"/>
        </w:rPr>
        <w:t xml:space="preserve"> </w:t>
      </w:r>
      <w:r w:rsidRPr="004A3FC2">
        <w:rPr>
          <w:rFonts w:eastAsia="Times New Roman" w:cs="Arial"/>
          <w:color w:val="000000"/>
          <w:lang w:eastAsia="bg-BG"/>
        </w:rPr>
        <w:t xml:space="preserve">(средна доза 12 </w:t>
      </w:r>
      <w:r w:rsidRPr="004A3FC2">
        <w:rPr>
          <w:rFonts w:eastAsia="Times New Roman" w:cs="Arial"/>
          <w:color w:val="000000"/>
          <w:lang w:val="en-US"/>
        </w:rPr>
        <w:t>mg</w:t>
      </w:r>
      <w:r w:rsidRPr="004A3FC2">
        <w:rPr>
          <w:rFonts w:eastAsia="Times New Roman" w:cs="Arial"/>
          <w:color w:val="000000"/>
          <w:lang w:val="ru-RU"/>
        </w:rPr>
        <w:t xml:space="preserve">) </w:t>
      </w:r>
      <w:r w:rsidRPr="004A3FC2">
        <w:rPr>
          <w:rFonts w:eastAsia="Times New Roman" w:cs="Arial"/>
          <w:color w:val="000000"/>
          <w:lang w:eastAsia="bg-BG"/>
        </w:rPr>
        <w:t xml:space="preserve">еднократно дневно върху сърдечно-съдовата заболеваемост и смъртност, са оценени в рандомизирано клинично проучване при 4 937 пациенти в старческа възраст (70-89 години; 21% на възраст 80 или повече години) с лека до умерено тежка артериална хипертония, проследявани средно 3,7 години (Проучване върху когнитивните способности и прогноза при пациенти в старческа възраст </w:t>
      </w:r>
      <w:r w:rsidRPr="004A3FC2">
        <w:rPr>
          <w:rFonts w:eastAsia="Times New Roman" w:cs="Arial"/>
          <w:color w:val="000000"/>
          <w:lang w:val="ru-RU"/>
        </w:rPr>
        <w:t>(</w:t>
      </w:r>
      <w:r w:rsidRPr="004A3FC2">
        <w:rPr>
          <w:rFonts w:eastAsia="Times New Roman" w:cs="Arial"/>
          <w:color w:val="000000"/>
          <w:lang w:val="en-US"/>
        </w:rPr>
        <w:t>Study</w:t>
      </w:r>
      <w:r w:rsidRPr="004A3FC2">
        <w:rPr>
          <w:rFonts w:eastAsia="Times New Roman" w:cs="Arial"/>
          <w:color w:val="000000"/>
          <w:lang w:val="ru-RU"/>
        </w:rPr>
        <w:t xml:space="preserve"> </w:t>
      </w:r>
      <w:r w:rsidRPr="004A3FC2">
        <w:rPr>
          <w:rFonts w:eastAsia="Times New Roman" w:cs="Arial"/>
          <w:color w:val="000000"/>
          <w:lang w:val="en-US"/>
        </w:rPr>
        <w:t>on</w:t>
      </w:r>
      <w:r w:rsidRPr="004A3FC2">
        <w:rPr>
          <w:rFonts w:eastAsia="Times New Roman" w:cs="Arial"/>
          <w:color w:val="000000"/>
          <w:lang w:val="ru-RU"/>
        </w:rPr>
        <w:t xml:space="preserve"> </w:t>
      </w:r>
      <w:proofErr w:type="spellStart"/>
      <w:r w:rsidRPr="004A3FC2">
        <w:rPr>
          <w:rFonts w:eastAsia="Times New Roman" w:cs="Arial"/>
          <w:color w:val="000000"/>
          <w:lang w:val="en-US"/>
        </w:rPr>
        <w:t>COgnition</w:t>
      </w:r>
      <w:proofErr w:type="spellEnd"/>
      <w:r w:rsidRPr="004A3FC2">
        <w:rPr>
          <w:rFonts w:eastAsia="Times New Roman" w:cs="Arial"/>
          <w:color w:val="000000"/>
          <w:lang w:val="ru-RU"/>
        </w:rPr>
        <w:t xml:space="preserve"> </w:t>
      </w:r>
      <w:r w:rsidRPr="004A3FC2">
        <w:rPr>
          <w:rFonts w:eastAsia="Times New Roman" w:cs="Arial"/>
          <w:color w:val="000000"/>
          <w:lang w:val="en-US"/>
        </w:rPr>
        <w:t>and</w:t>
      </w:r>
      <w:r w:rsidRPr="004A3FC2">
        <w:rPr>
          <w:rFonts w:eastAsia="Times New Roman" w:cs="Arial"/>
          <w:color w:val="000000"/>
          <w:lang w:val="ru-RU"/>
        </w:rPr>
        <w:t xml:space="preserve"> </w:t>
      </w:r>
      <w:r w:rsidRPr="004A3FC2">
        <w:rPr>
          <w:rFonts w:eastAsia="Times New Roman" w:cs="Arial"/>
          <w:color w:val="000000"/>
          <w:lang w:val="en-US"/>
        </w:rPr>
        <w:t>Prognosis</w:t>
      </w:r>
      <w:r w:rsidRPr="004A3FC2">
        <w:rPr>
          <w:rFonts w:eastAsia="Times New Roman" w:cs="Arial"/>
          <w:color w:val="000000"/>
          <w:lang w:val="ru-RU"/>
        </w:rPr>
        <w:t xml:space="preserve"> </w:t>
      </w:r>
      <w:r w:rsidRPr="004A3FC2">
        <w:rPr>
          <w:rFonts w:eastAsia="Times New Roman" w:cs="Arial"/>
          <w:color w:val="000000"/>
          <w:lang w:val="en-US"/>
        </w:rPr>
        <w:t>in</w:t>
      </w:r>
      <w:r w:rsidRPr="004A3FC2">
        <w:rPr>
          <w:rFonts w:eastAsia="Times New Roman" w:cs="Arial"/>
          <w:color w:val="000000"/>
          <w:lang w:val="ru-RU"/>
        </w:rPr>
        <w:t xml:space="preserve"> </w:t>
      </w:r>
      <w:r w:rsidRPr="004A3FC2">
        <w:rPr>
          <w:rFonts w:eastAsia="Times New Roman" w:cs="Arial"/>
          <w:color w:val="000000"/>
          <w:lang w:val="en-US"/>
        </w:rPr>
        <w:t>the</w:t>
      </w:r>
      <w:r w:rsidRPr="004A3FC2">
        <w:rPr>
          <w:rFonts w:eastAsia="Times New Roman" w:cs="Arial"/>
          <w:color w:val="000000"/>
          <w:lang w:val="ru-RU"/>
        </w:rPr>
        <w:t xml:space="preserve"> </w:t>
      </w:r>
      <w:r w:rsidRPr="004A3FC2">
        <w:rPr>
          <w:rFonts w:eastAsia="Times New Roman" w:cs="Arial"/>
          <w:color w:val="000000"/>
          <w:lang w:val="en-US"/>
        </w:rPr>
        <w:t>Elderly</w:t>
      </w:r>
      <w:r w:rsidRPr="004A3FC2">
        <w:rPr>
          <w:rFonts w:eastAsia="Times New Roman" w:cs="Arial"/>
          <w:color w:val="000000"/>
          <w:lang w:val="ru-RU"/>
        </w:rPr>
        <w:t xml:space="preserve">)). </w:t>
      </w:r>
      <w:r w:rsidRPr="004A3FC2">
        <w:rPr>
          <w:rFonts w:eastAsia="Times New Roman" w:cs="Arial"/>
          <w:color w:val="000000"/>
          <w:lang w:eastAsia="bg-BG"/>
        </w:rPr>
        <w:t xml:space="preserve">Пациентите са приемали кандесартан цилексетил или плацебо с добавяне при нужда на друго антихипертензивно средство. Артериалното налягане показва понижаване от 166/90 до 145/80 </w:t>
      </w:r>
      <w:r w:rsidRPr="004A3FC2">
        <w:rPr>
          <w:rFonts w:eastAsia="Times New Roman" w:cs="Arial"/>
          <w:color w:val="000000"/>
          <w:lang w:val="en-US"/>
        </w:rPr>
        <w:t>mmHg</w:t>
      </w:r>
      <w:r w:rsidRPr="004A3FC2">
        <w:rPr>
          <w:rFonts w:eastAsia="Times New Roman" w:cs="Arial"/>
          <w:color w:val="000000"/>
          <w:lang w:val="ru-RU"/>
        </w:rPr>
        <w:t xml:space="preserve"> </w:t>
      </w:r>
      <w:r w:rsidRPr="004A3FC2">
        <w:rPr>
          <w:rFonts w:eastAsia="Times New Roman" w:cs="Arial"/>
          <w:color w:val="000000"/>
          <w:lang w:eastAsia="bg-BG"/>
        </w:rPr>
        <w:t xml:space="preserve">в групата на кандесартан и от 167/90 до 149/82 </w:t>
      </w:r>
      <w:r w:rsidRPr="004A3FC2">
        <w:rPr>
          <w:rFonts w:eastAsia="Times New Roman" w:cs="Arial"/>
          <w:color w:val="000000"/>
          <w:lang w:val="en-US"/>
        </w:rPr>
        <w:t>mmHg</w:t>
      </w:r>
      <w:r w:rsidRPr="004A3FC2">
        <w:rPr>
          <w:rFonts w:eastAsia="Times New Roman" w:cs="Arial"/>
          <w:color w:val="000000"/>
          <w:lang w:val="ru-RU"/>
        </w:rPr>
        <w:t xml:space="preserve"> </w:t>
      </w:r>
      <w:r w:rsidRPr="004A3FC2">
        <w:rPr>
          <w:rFonts w:eastAsia="Times New Roman" w:cs="Arial"/>
          <w:color w:val="000000"/>
          <w:lang w:eastAsia="bg-BG"/>
        </w:rPr>
        <w:t xml:space="preserve">в контролната група. По отношение на първичната крайна точка - значими сърдечно-съдови събития (сърдечно-съдова смъртност, не-фатален инсулт и не-фатален инфаркт на миокарда), няма статистически значима разлика. В групата на кандесартан събитията са 26,7 на 1000 пациенто-години срещу 30,0 събития на 1000 пациенто- години в контролната група (относителен риск 0,89,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0,75 до 1,06, р=0,19).</w:t>
      </w:r>
    </w:p>
    <w:p w14:paraId="27A58815" w14:textId="77777777" w:rsidR="004A3FC2" w:rsidRPr="004A3FC2" w:rsidRDefault="004A3FC2" w:rsidP="004A3FC2">
      <w:pPr>
        <w:spacing w:line="240" w:lineRule="auto"/>
        <w:rPr>
          <w:rFonts w:eastAsia="Times New Roman" w:cs="Arial"/>
          <w:color w:val="000000"/>
          <w:lang w:eastAsia="bg-BG"/>
        </w:rPr>
      </w:pPr>
    </w:p>
    <w:p w14:paraId="226FBB1C" w14:textId="388028AF"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В две големи рандомизирани, контролирани клинични изпитвания </w:t>
      </w:r>
      <w:r w:rsidRPr="004A3FC2">
        <w:rPr>
          <w:rFonts w:eastAsia="Times New Roman" w:cs="Arial"/>
          <w:color w:val="000000"/>
        </w:rPr>
        <w:t>(</w:t>
      </w:r>
      <w:r w:rsidRPr="004A3FC2">
        <w:rPr>
          <w:rFonts w:eastAsia="Times New Roman" w:cs="Arial"/>
          <w:color w:val="000000"/>
          <w:lang w:val="en-US"/>
        </w:rPr>
        <w:t>ONTARGET</w:t>
      </w:r>
      <w:r w:rsidRPr="004A3FC2">
        <w:rPr>
          <w:rFonts w:eastAsia="Times New Roman" w:cs="Arial"/>
          <w:color w:val="000000"/>
        </w:rPr>
        <w:t xml:space="preserve"> (</w:t>
      </w:r>
      <w:r w:rsidRPr="004A3FC2">
        <w:rPr>
          <w:rFonts w:eastAsia="Times New Roman" w:cs="Arial"/>
          <w:color w:val="000000"/>
          <w:lang w:val="en-US"/>
        </w:rPr>
        <w:t>Ongoing</w:t>
      </w:r>
      <w:r w:rsidRPr="004A3FC2">
        <w:rPr>
          <w:rFonts w:eastAsia="Times New Roman" w:cs="Arial"/>
          <w:color w:val="000000"/>
        </w:rPr>
        <w:t xml:space="preserve"> </w:t>
      </w:r>
      <w:proofErr w:type="spellStart"/>
      <w:r w:rsidRPr="004A3FC2">
        <w:rPr>
          <w:rFonts w:eastAsia="Times New Roman" w:cs="Arial"/>
          <w:color w:val="000000"/>
          <w:lang w:val="en-US"/>
        </w:rPr>
        <w:t>Telmisartan</w:t>
      </w:r>
      <w:proofErr w:type="spellEnd"/>
      <w:r w:rsidRPr="004A3FC2">
        <w:rPr>
          <w:rFonts w:eastAsia="Times New Roman" w:cs="Arial"/>
          <w:color w:val="000000"/>
        </w:rPr>
        <w:t xml:space="preserve"> </w:t>
      </w:r>
      <w:r w:rsidRPr="004A3FC2">
        <w:rPr>
          <w:rFonts w:eastAsia="Times New Roman" w:cs="Arial"/>
          <w:color w:val="000000"/>
          <w:lang w:val="en-US"/>
        </w:rPr>
        <w:t>Alone</w:t>
      </w:r>
      <w:r w:rsidRPr="004A3FC2">
        <w:rPr>
          <w:rFonts w:eastAsia="Times New Roman" w:cs="Arial"/>
          <w:color w:val="000000"/>
        </w:rPr>
        <w:t xml:space="preserve"> </w:t>
      </w:r>
      <w:r w:rsidRPr="004A3FC2">
        <w:rPr>
          <w:rFonts w:eastAsia="Times New Roman" w:cs="Arial"/>
          <w:color w:val="000000"/>
          <w:lang w:val="en-US"/>
        </w:rPr>
        <w:t>and</w:t>
      </w:r>
      <w:r w:rsidRPr="004A3FC2">
        <w:rPr>
          <w:rFonts w:eastAsia="Times New Roman" w:cs="Arial"/>
          <w:color w:val="000000"/>
        </w:rPr>
        <w:t xml:space="preserve"> </w:t>
      </w:r>
      <w:r w:rsidRPr="004A3FC2">
        <w:rPr>
          <w:rFonts w:eastAsia="Times New Roman" w:cs="Arial"/>
          <w:color w:val="000000"/>
          <w:lang w:val="en-US"/>
        </w:rPr>
        <w:t>in</w:t>
      </w:r>
      <w:r w:rsidRPr="004A3FC2">
        <w:rPr>
          <w:rFonts w:eastAsia="Times New Roman" w:cs="Arial"/>
          <w:color w:val="000000"/>
        </w:rPr>
        <w:t xml:space="preserve"> </w:t>
      </w:r>
      <w:r w:rsidRPr="004A3FC2">
        <w:rPr>
          <w:rFonts w:eastAsia="Times New Roman" w:cs="Arial"/>
          <w:color w:val="000000"/>
          <w:lang w:val="en-US"/>
        </w:rPr>
        <w:t>combination</w:t>
      </w:r>
      <w:r w:rsidRPr="004A3FC2">
        <w:rPr>
          <w:rFonts w:eastAsia="Times New Roman" w:cs="Arial"/>
          <w:color w:val="000000"/>
        </w:rPr>
        <w:t xml:space="preserve"> </w:t>
      </w:r>
      <w:r w:rsidRPr="004A3FC2">
        <w:rPr>
          <w:rFonts w:eastAsia="Times New Roman" w:cs="Arial"/>
          <w:color w:val="000000"/>
          <w:lang w:val="en-US"/>
        </w:rPr>
        <w:t>with</w:t>
      </w:r>
      <w:r w:rsidRPr="004A3FC2">
        <w:rPr>
          <w:rFonts w:eastAsia="Times New Roman" w:cs="Arial"/>
          <w:color w:val="000000"/>
        </w:rPr>
        <w:t xml:space="preserve"> </w:t>
      </w:r>
      <w:r w:rsidRPr="004A3FC2">
        <w:rPr>
          <w:rFonts w:eastAsia="Times New Roman" w:cs="Arial"/>
          <w:color w:val="000000"/>
          <w:lang w:val="en-US"/>
        </w:rPr>
        <w:t>Ramipril</w:t>
      </w:r>
      <w:r w:rsidRPr="004A3FC2">
        <w:rPr>
          <w:rFonts w:eastAsia="Times New Roman" w:cs="Arial"/>
          <w:color w:val="000000"/>
        </w:rPr>
        <w:t xml:space="preserve"> </w:t>
      </w:r>
      <w:r w:rsidRPr="004A3FC2">
        <w:rPr>
          <w:rFonts w:eastAsia="Times New Roman" w:cs="Arial"/>
          <w:color w:val="000000"/>
          <w:lang w:val="en-US"/>
        </w:rPr>
        <w:t>Global</w:t>
      </w:r>
      <w:r w:rsidRPr="004A3FC2">
        <w:rPr>
          <w:rFonts w:eastAsia="Times New Roman" w:cs="Arial"/>
          <w:color w:val="000000"/>
        </w:rPr>
        <w:t xml:space="preserve"> </w:t>
      </w:r>
      <w:r w:rsidRPr="004A3FC2">
        <w:rPr>
          <w:rFonts w:eastAsia="Times New Roman" w:cs="Arial"/>
          <w:color w:val="000000"/>
          <w:lang w:val="en-US"/>
        </w:rPr>
        <w:t>Endpoint</w:t>
      </w:r>
      <w:r w:rsidRPr="004A3FC2">
        <w:rPr>
          <w:rFonts w:eastAsia="Times New Roman" w:cs="Arial"/>
          <w:color w:val="000000"/>
        </w:rPr>
        <w:t xml:space="preserve"> </w:t>
      </w:r>
      <w:r w:rsidRPr="004A3FC2">
        <w:rPr>
          <w:rFonts w:eastAsia="Times New Roman" w:cs="Arial"/>
          <w:color w:val="000000"/>
          <w:lang w:val="en-US"/>
        </w:rPr>
        <w:t>Trial</w:t>
      </w:r>
      <w:r w:rsidRPr="004A3FC2">
        <w:rPr>
          <w:rFonts w:eastAsia="Times New Roman" w:cs="Arial"/>
          <w:color w:val="000000"/>
        </w:rPr>
        <w:t xml:space="preserve">, </w:t>
      </w:r>
      <w:r w:rsidRPr="004A3FC2">
        <w:rPr>
          <w:rFonts w:eastAsia="Times New Roman" w:cs="Arial"/>
          <w:color w:val="000000"/>
          <w:lang w:eastAsia="bg-BG"/>
        </w:rPr>
        <w:t xml:space="preserve">Текущо изпитване </w:t>
      </w:r>
      <w:r w:rsidRPr="004A3FC2">
        <w:rPr>
          <w:rFonts w:eastAsia="Times New Roman" w:cs="Arial"/>
          <w:color w:val="000000"/>
          <w:lang w:eastAsia="bg-BG"/>
        </w:rPr>
        <w:lastRenderedPageBreak/>
        <w:t xml:space="preserve">на телмисартан самостоятелно и в комбинация с рамиприл, с глобална крайна точка)), </w:t>
      </w:r>
      <w:r w:rsidRPr="004A3FC2">
        <w:rPr>
          <w:rFonts w:eastAsia="Times New Roman" w:cs="Arial"/>
          <w:color w:val="000000"/>
          <w:lang w:val="en-US"/>
        </w:rPr>
        <w:t>VA</w:t>
      </w:r>
      <w:r w:rsidRPr="004A3FC2">
        <w:rPr>
          <w:rFonts w:eastAsia="Times New Roman" w:cs="Arial"/>
          <w:color w:val="000000"/>
        </w:rPr>
        <w:t xml:space="preserve"> </w:t>
      </w:r>
      <w:r w:rsidRPr="004A3FC2">
        <w:rPr>
          <w:rFonts w:eastAsia="Times New Roman" w:cs="Arial"/>
          <w:color w:val="000000"/>
          <w:lang w:val="en-US"/>
        </w:rPr>
        <w:t>NEPHRON</w:t>
      </w:r>
      <w:r w:rsidRPr="004A3FC2">
        <w:rPr>
          <w:rFonts w:eastAsia="Times New Roman" w:cs="Arial"/>
          <w:color w:val="000000"/>
        </w:rPr>
        <w:t>-</w:t>
      </w:r>
      <w:r w:rsidRPr="004A3FC2">
        <w:rPr>
          <w:rFonts w:eastAsia="Times New Roman" w:cs="Arial"/>
          <w:color w:val="000000"/>
          <w:lang w:val="en-US"/>
        </w:rPr>
        <w:t>D</w:t>
      </w:r>
      <w:r w:rsidRPr="004A3FC2">
        <w:rPr>
          <w:rFonts w:eastAsia="Times New Roman" w:cs="Arial"/>
          <w:color w:val="000000"/>
        </w:rPr>
        <w:t xml:space="preserve"> (</w:t>
      </w:r>
      <w:r w:rsidRPr="004A3FC2">
        <w:rPr>
          <w:rFonts w:eastAsia="Times New Roman" w:cs="Arial"/>
          <w:color w:val="000000"/>
          <w:lang w:val="en-US"/>
        </w:rPr>
        <w:t>The</w:t>
      </w:r>
      <w:r w:rsidRPr="004A3FC2">
        <w:rPr>
          <w:rFonts w:eastAsia="Times New Roman" w:cs="Arial"/>
          <w:color w:val="000000"/>
        </w:rPr>
        <w:t xml:space="preserve"> </w:t>
      </w:r>
      <w:r w:rsidRPr="004A3FC2">
        <w:rPr>
          <w:rFonts w:eastAsia="Times New Roman" w:cs="Arial"/>
          <w:color w:val="000000"/>
          <w:lang w:val="en-US"/>
        </w:rPr>
        <w:t>Veterans</w:t>
      </w:r>
      <w:r w:rsidRPr="004A3FC2">
        <w:rPr>
          <w:rFonts w:eastAsia="Times New Roman" w:cs="Arial"/>
          <w:color w:val="000000"/>
        </w:rPr>
        <w:t xml:space="preserve"> </w:t>
      </w:r>
      <w:r w:rsidRPr="004A3FC2">
        <w:rPr>
          <w:rFonts w:eastAsia="Times New Roman" w:cs="Arial"/>
          <w:color w:val="000000"/>
          <w:lang w:val="en-US"/>
        </w:rPr>
        <w:t>Affairs</w:t>
      </w:r>
      <w:r w:rsidRPr="004A3FC2">
        <w:rPr>
          <w:rFonts w:eastAsia="Times New Roman" w:cs="Arial"/>
          <w:color w:val="000000"/>
        </w:rPr>
        <w:t xml:space="preserve"> </w:t>
      </w:r>
      <w:r w:rsidRPr="004A3FC2">
        <w:rPr>
          <w:rFonts w:eastAsia="Times New Roman" w:cs="Arial"/>
          <w:color w:val="000000"/>
          <w:lang w:val="en-US"/>
        </w:rPr>
        <w:t>Nephropathy</w:t>
      </w:r>
      <w:r w:rsidRPr="004A3FC2">
        <w:rPr>
          <w:rFonts w:eastAsia="Times New Roman" w:cs="Arial"/>
          <w:color w:val="000000"/>
        </w:rPr>
        <w:t xml:space="preserve"> </w:t>
      </w:r>
      <w:r w:rsidRPr="004A3FC2">
        <w:rPr>
          <w:rFonts w:eastAsia="Times New Roman" w:cs="Arial"/>
          <w:color w:val="000000"/>
          <w:lang w:val="en-US"/>
        </w:rPr>
        <w:t>in</w:t>
      </w:r>
      <w:r w:rsidRPr="004A3FC2">
        <w:rPr>
          <w:rFonts w:eastAsia="Times New Roman" w:cs="Arial"/>
          <w:color w:val="000000"/>
        </w:rPr>
        <w:t xml:space="preserve"> </w:t>
      </w:r>
      <w:r w:rsidRPr="004A3FC2">
        <w:rPr>
          <w:rFonts w:eastAsia="Times New Roman" w:cs="Arial"/>
          <w:color w:val="000000"/>
          <w:lang w:val="en-US"/>
        </w:rPr>
        <w:t>Diabetes</w:t>
      </w:r>
      <w:r w:rsidRPr="004A3FC2">
        <w:rPr>
          <w:rFonts w:eastAsia="Times New Roman" w:cs="Arial"/>
          <w:color w:val="000000"/>
        </w:rPr>
        <w:t xml:space="preserve">, </w:t>
      </w:r>
      <w:r w:rsidRPr="004A3FC2">
        <w:rPr>
          <w:rFonts w:eastAsia="Times New Roman" w:cs="Arial"/>
          <w:color w:val="000000"/>
          <w:lang w:eastAsia="bg-BG"/>
        </w:rPr>
        <w:t>Нефропатия при диабет при ветерани) е проучена употребата на комбинация на АСЕ-инхибитор с ангиотензин II рецепторен блокер.</w:t>
      </w:r>
    </w:p>
    <w:p w14:paraId="1DB81D50" w14:textId="77777777" w:rsidR="004A3FC2" w:rsidRPr="004A3FC2" w:rsidRDefault="004A3FC2" w:rsidP="004A3FC2">
      <w:pPr>
        <w:spacing w:line="240" w:lineRule="auto"/>
        <w:rPr>
          <w:rFonts w:eastAsia="Times New Roman" w:cs="Arial"/>
          <w:color w:val="000000"/>
          <w:lang w:val="en-US"/>
        </w:rPr>
      </w:pPr>
    </w:p>
    <w:p w14:paraId="3369DD31" w14:textId="1462648C" w:rsidR="004A3FC2" w:rsidRPr="004A3FC2" w:rsidRDefault="004A3FC2" w:rsidP="004A3FC2">
      <w:pPr>
        <w:spacing w:line="240" w:lineRule="auto"/>
        <w:rPr>
          <w:rFonts w:eastAsia="Times New Roman" w:cs="Arial"/>
        </w:rPr>
      </w:pPr>
      <w:r w:rsidRPr="004A3FC2">
        <w:rPr>
          <w:rFonts w:eastAsia="Times New Roman" w:cs="Arial"/>
          <w:color w:val="000000"/>
          <w:lang w:val="en-US"/>
        </w:rPr>
        <w:t>ONTARGET</w:t>
      </w:r>
      <w:r w:rsidRPr="004A3FC2">
        <w:rPr>
          <w:rFonts w:eastAsia="Times New Roman" w:cs="Arial"/>
          <w:color w:val="000000"/>
          <w:lang w:val="ru-RU"/>
        </w:rPr>
        <w:t xml:space="preserve"> </w:t>
      </w:r>
      <w:r w:rsidRPr="004A3FC2">
        <w:rPr>
          <w:rFonts w:eastAsia="Times New Roman" w:cs="Arial"/>
          <w:color w:val="000000"/>
          <w:lang w:eastAsia="bg-BG"/>
        </w:rPr>
        <w:t xml:space="preserve">е проучване, проведено при пациенти с анамнеза за сърдечно-съдово или мозъчно- съдово заболяване или със захарен диабет тип 2 с данни за увреждане на таргетните органи. </w:t>
      </w:r>
      <w:r w:rsidRPr="004A3FC2">
        <w:rPr>
          <w:rFonts w:eastAsia="Times New Roman" w:cs="Arial"/>
          <w:color w:val="000000"/>
          <w:lang w:val="en-US"/>
        </w:rPr>
        <w:t>VA</w:t>
      </w:r>
      <w:r w:rsidRPr="004A3FC2">
        <w:rPr>
          <w:rFonts w:eastAsia="Times New Roman" w:cs="Arial"/>
          <w:color w:val="000000"/>
          <w:lang w:val="ru-RU"/>
        </w:rPr>
        <w:t xml:space="preserve"> </w:t>
      </w:r>
      <w:r w:rsidRPr="004A3FC2">
        <w:rPr>
          <w:rFonts w:eastAsia="Times New Roman" w:cs="Arial"/>
          <w:color w:val="000000"/>
          <w:lang w:val="en-US"/>
        </w:rPr>
        <w:t>NEPHRON</w:t>
      </w:r>
      <w:r w:rsidRPr="004A3FC2">
        <w:rPr>
          <w:rFonts w:eastAsia="Times New Roman" w:cs="Arial"/>
          <w:color w:val="000000"/>
          <w:lang w:val="ru-RU"/>
        </w:rPr>
        <w:t>-</w:t>
      </w:r>
      <w:r w:rsidRPr="004A3FC2">
        <w:rPr>
          <w:rFonts w:eastAsia="Times New Roman" w:cs="Arial"/>
          <w:color w:val="000000"/>
          <w:lang w:val="en-US"/>
        </w:rPr>
        <w:t>D</w:t>
      </w:r>
      <w:r w:rsidRPr="004A3FC2">
        <w:rPr>
          <w:rFonts w:eastAsia="Times New Roman" w:cs="Arial"/>
          <w:color w:val="000000"/>
          <w:lang w:val="ru-RU"/>
        </w:rPr>
        <w:t xml:space="preserve"> </w:t>
      </w:r>
      <w:r w:rsidRPr="004A3FC2">
        <w:rPr>
          <w:rFonts w:eastAsia="Times New Roman" w:cs="Arial"/>
          <w:color w:val="000000"/>
          <w:lang w:eastAsia="bg-BG"/>
        </w:rPr>
        <w:t>е проучване при пациенти със захарен диабет тип 2 и диабетна нефропатия.</w:t>
      </w:r>
    </w:p>
    <w:p w14:paraId="0436C90A" w14:textId="77777777" w:rsidR="004A3FC2" w:rsidRPr="004A3FC2" w:rsidRDefault="004A3FC2" w:rsidP="004A3FC2">
      <w:pPr>
        <w:spacing w:line="240" w:lineRule="auto"/>
        <w:rPr>
          <w:rFonts w:eastAsia="Times New Roman" w:cs="Arial"/>
          <w:color w:val="000000"/>
          <w:lang w:eastAsia="bg-BG"/>
        </w:rPr>
      </w:pPr>
    </w:p>
    <w:p w14:paraId="7F57673B" w14:textId="3B49405B" w:rsidR="004A3FC2" w:rsidRPr="004A3FC2" w:rsidRDefault="004A3FC2" w:rsidP="004A3FC2">
      <w:pPr>
        <w:spacing w:line="240" w:lineRule="auto"/>
        <w:rPr>
          <w:rFonts w:eastAsia="Times New Roman" w:cs="Arial"/>
        </w:rPr>
      </w:pPr>
      <w:r w:rsidRPr="004A3FC2">
        <w:rPr>
          <w:rFonts w:eastAsia="Times New Roman" w:cs="Arial"/>
          <w:color w:val="000000"/>
          <w:lang w:eastAsia="bg-BG"/>
        </w:rPr>
        <w:t>Тези проучвания не показват значим благоприятен ефект върху бъбречните и/или сърдечно</w:t>
      </w:r>
      <w:r w:rsidRPr="004A3FC2">
        <w:rPr>
          <w:rFonts w:eastAsia="Times New Roman" w:cs="Arial"/>
          <w:color w:val="000000"/>
          <w:lang w:eastAsia="bg-BG"/>
        </w:rPr>
        <w:softHyphen/>
        <w:t>съдовите резултати и смъртността, а се наблюдава повишен риск от хиперкалиемия, остро бъбречно нарушение и/или хипотония, в сравнение с монотерапията. Като се имат предвид подобните фармакодинамични свойства, тези резултати се отнасят също и за другите АСЕ- инхибитори и ангиотензин II рецепторни блокери.</w:t>
      </w:r>
    </w:p>
    <w:p w14:paraId="446DADBF" w14:textId="77777777" w:rsidR="004A3FC2" w:rsidRPr="004A3FC2" w:rsidRDefault="004A3FC2" w:rsidP="004A3FC2">
      <w:pPr>
        <w:spacing w:line="240" w:lineRule="auto"/>
        <w:rPr>
          <w:rFonts w:eastAsia="Times New Roman" w:cs="Arial"/>
          <w:color w:val="000000"/>
          <w:lang w:eastAsia="bg-BG"/>
        </w:rPr>
      </w:pPr>
    </w:p>
    <w:p w14:paraId="572038BF" w14:textId="44CB4047" w:rsidR="004A3FC2" w:rsidRPr="004A3FC2" w:rsidRDefault="004A3FC2" w:rsidP="004A3FC2">
      <w:pPr>
        <w:spacing w:line="240" w:lineRule="auto"/>
        <w:rPr>
          <w:rFonts w:eastAsia="Times New Roman" w:cs="Arial"/>
        </w:rPr>
      </w:pPr>
      <w:r w:rsidRPr="004A3FC2">
        <w:rPr>
          <w:rFonts w:eastAsia="Times New Roman" w:cs="Arial"/>
          <w:color w:val="000000"/>
          <w:lang w:eastAsia="bg-BG"/>
        </w:rPr>
        <w:t>Поради това, АСЕ-инхибиторите и ангиотензин II рецепторните блокери не трябва да се използват едновременно при пациенти с диабетна нефропатия,</w:t>
      </w:r>
    </w:p>
    <w:p w14:paraId="688D5A3F" w14:textId="77777777" w:rsidR="004A3FC2" w:rsidRPr="004A3FC2" w:rsidRDefault="004A3FC2" w:rsidP="004A3FC2">
      <w:pPr>
        <w:spacing w:line="240" w:lineRule="auto"/>
        <w:rPr>
          <w:rFonts w:eastAsia="Times New Roman" w:cs="Arial"/>
          <w:color w:val="000000"/>
          <w:lang w:val="en-US"/>
        </w:rPr>
      </w:pPr>
    </w:p>
    <w:p w14:paraId="0A2DCA09" w14:textId="3EAF5CF1" w:rsidR="004A3FC2" w:rsidRPr="004A3FC2" w:rsidRDefault="004A3FC2" w:rsidP="004A3FC2">
      <w:pPr>
        <w:spacing w:line="240" w:lineRule="auto"/>
        <w:rPr>
          <w:rFonts w:eastAsia="Times New Roman" w:cs="Arial"/>
        </w:rPr>
      </w:pPr>
      <w:r w:rsidRPr="004A3FC2">
        <w:rPr>
          <w:rFonts w:eastAsia="Times New Roman" w:cs="Arial"/>
          <w:color w:val="000000"/>
          <w:lang w:val="en-US"/>
        </w:rPr>
        <w:t>ALTITUDE</w:t>
      </w:r>
      <w:r w:rsidRPr="004A3FC2">
        <w:rPr>
          <w:rFonts w:eastAsia="Times New Roman" w:cs="Arial"/>
          <w:color w:val="000000"/>
        </w:rPr>
        <w:t xml:space="preserve"> (</w:t>
      </w:r>
      <w:proofErr w:type="spellStart"/>
      <w:r w:rsidRPr="004A3FC2">
        <w:rPr>
          <w:rFonts w:eastAsia="Times New Roman" w:cs="Arial"/>
          <w:color w:val="000000"/>
          <w:lang w:val="en-US"/>
        </w:rPr>
        <w:t>Aliskiren</w:t>
      </w:r>
      <w:proofErr w:type="spellEnd"/>
      <w:r w:rsidRPr="004A3FC2">
        <w:rPr>
          <w:rFonts w:eastAsia="Times New Roman" w:cs="Arial"/>
          <w:color w:val="000000"/>
        </w:rPr>
        <w:t xml:space="preserve"> </w:t>
      </w:r>
      <w:r w:rsidRPr="004A3FC2">
        <w:rPr>
          <w:rFonts w:eastAsia="Times New Roman" w:cs="Arial"/>
          <w:color w:val="000000"/>
          <w:lang w:val="en-US"/>
        </w:rPr>
        <w:t>Trial</w:t>
      </w:r>
      <w:r w:rsidRPr="004A3FC2">
        <w:rPr>
          <w:rFonts w:eastAsia="Times New Roman" w:cs="Arial"/>
          <w:color w:val="000000"/>
        </w:rPr>
        <w:t xml:space="preserve"> </w:t>
      </w:r>
      <w:r w:rsidRPr="004A3FC2">
        <w:rPr>
          <w:rFonts w:eastAsia="Times New Roman" w:cs="Arial"/>
          <w:color w:val="000000"/>
          <w:lang w:val="en-US"/>
        </w:rPr>
        <w:t>in</w:t>
      </w:r>
      <w:r w:rsidRPr="004A3FC2">
        <w:rPr>
          <w:rFonts w:eastAsia="Times New Roman" w:cs="Arial"/>
          <w:color w:val="000000"/>
        </w:rPr>
        <w:t xml:space="preserve"> </w:t>
      </w:r>
      <w:r w:rsidRPr="004A3FC2">
        <w:rPr>
          <w:rFonts w:eastAsia="Times New Roman" w:cs="Arial"/>
          <w:color w:val="000000"/>
          <w:lang w:val="en-US"/>
        </w:rPr>
        <w:t>Type</w:t>
      </w:r>
      <w:r w:rsidRPr="004A3FC2">
        <w:rPr>
          <w:rFonts w:eastAsia="Times New Roman" w:cs="Arial"/>
          <w:color w:val="000000"/>
        </w:rPr>
        <w:t xml:space="preserve"> 2 </w:t>
      </w:r>
      <w:r w:rsidRPr="004A3FC2">
        <w:rPr>
          <w:rFonts w:eastAsia="Times New Roman" w:cs="Arial"/>
          <w:color w:val="000000"/>
          <w:lang w:val="en-US"/>
        </w:rPr>
        <w:t>Diabetes</w:t>
      </w:r>
      <w:r w:rsidRPr="004A3FC2">
        <w:rPr>
          <w:rFonts w:eastAsia="Times New Roman" w:cs="Arial"/>
          <w:color w:val="000000"/>
        </w:rPr>
        <w:t xml:space="preserve"> </w:t>
      </w:r>
      <w:r w:rsidRPr="004A3FC2">
        <w:rPr>
          <w:rFonts w:eastAsia="Times New Roman" w:cs="Arial"/>
          <w:color w:val="000000"/>
          <w:lang w:val="en-US"/>
        </w:rPr>
        <w:t>Using</w:t>
      </w:r>
      <w:r w:rsidRPr="004A3FC2">
        <w:rPr>
          <w:rFonts w:eastAsia="Times New Roman" w:cs="Arial"/>
          <w:color w:val="000000"/>
        </w:rPr>
        <w:t xml:space="preserve"> </w:t>
      </w:r>
      <w:r w:rsidRPr="004A3FC2">
        <w:rPr>
          <w:rFonts w:eastAsia="Times New Roman" w:cs="Arial"/>
          <w:color w:val="000000"/>
          <w:lang w:val="en-US"/>
        </w:rPr>
        <w:t>Cardiovascular</w:t>
      </w:r>
      <w:r w:rsidRPr="004A3FC2">
        <w:rPr>
          <w:rFonts w:eastAsia="Times New Roman" w:cs="Arial"/>
          <w:color w:val="000000"/>
        </w:rPr>
        <w:t xml:space="preserve"> </w:t>
      </w:r>
      <w:r w:rsidRPr="004A3FC2">
        <w:rPr>
          <w:rFonts w:eastAsia="Times New Roman" w:cs="Arial"/>
          <w:color w:val="000000"/>
          <w:lang w:val="en-US"/>
        </w:rPr>
        <w:t>and</w:t>
      </w:r>
      <w:r w:rsidRPr="004A3FC2">
        <w:rPr>
          <w:rFonts w:eastAsia="Times New Roman" w:cs="Arial"/>
          <w:color w:val="000000"/>
        </w:rPr>
        <w:t xml:space="preserve"> </w:t>
      </w:r>
      <w:r w:rsidRPr="004A3FC2">
        <w:rPr>
          <w:rFonts w:eastAsia="Times New Roman" w:cs="Arial"/>
          <w:color w:val="000000"/>
          <w:lang w:val="en-US"/>
        </w:rPr>
        <w:t>Renal</w:t>
      </w:r>
      <w:r w:rsidRPr="004A3FC2">
        <w:rPr>
          <w:rFonts w:eastAsia="Times New Roman" w:cs="Arial"/>
          <w:color w:val="000000"/>
        </w:rPr>
        <w:t xml:space="preserve"> </w:t>
      </w:r>
      <w:r w:rsidRPr="004A3FC2">
        <w:rPr>
          <w:rFonts w:eastAsia="Times New Roman" w:cs="Arial"/>
          <w:color w:val="000000"/>
          <w:lang w:val="en-US"/>
        </w:rPr>
        <w:t>Disease</w:t>
      </w:r>
      <w:r w:rsidRPr="004A3FC2">
        <w:rPr>
          <w:rFonts w:eastAsia="Times New Roman" w:cs="Arial"/>
          <w:color w:val="000000"/>
        </w:rPr>
        <w:t xml:space="preserve"> </w:t>
      </w:r>
      <w:r w:rsidRPr="004A3FC2">
        <w:rPr>
          <w:rFonts w:eastAsia="Times New Roman" w:cs="Arial"/>
          <w:color w:val="000000"/>
          <w:lang w:val="en-US"/>
        </w:rPr>
        <w:t>Endpoints</w:t>
      </w:r>
      <w:r w:rsidRPr="004A3FC2">
        <w:rPr>
          <w:rFonts w:eastAsia="Times New Roman" w:cs="Arial"/>
          <w:color w:val="000000"/>
        </w:rPr>
        <w:t xml:space="preserve">, </w:t>
      </w:r>
      <w:r w:rsidRPr="004A3FC2">
        <w:rPr>
          <w:rFonts w:eastAsia="Times New Roman" w:cs="Arial"/>
          <w:color w:val="000000"/>
          <w:lang w:eastAsia="bg-BG"/>
        </w:rPr>
        <w:t>Клинично изпитване на алискирен при диабет тип 2 със сърдечно-съдовите и бъбречните заболявания като крайни точки) е проучване, предназначено да тества ползата от добавянето на алискирен към стандартна терапия с АСЕ-инхибитор или ангиотензин II рецептор пациенти със захарен диабет тип 2 и хронично бъбречно заболяване, сърдечно заболяване или и двете. Проучването е прекратено преждевременно, поради нежелани резултати. Както сърдечно</w:t>
      </w:r>
      <w:r w:rsidRPr="004A3FC2">
        <w:rPr>
          <w:rFonts w:eastAsia="Times New Roman" w:cs="Arial"/>
          <w:color w:val="000000"/>
          <w:lang w:eastAsia="bg-BG"/>
        </w:rPr>
        <w:softHyphen/>
        <w:t>съдовата смърт, така и инсултът, са по-чести в групата с алискирен, отколкото в групата с плацебо, а нежеланите реакции и сериозните нежелани реакции от специален интерес (хиперкалиемия, хипотония и ренална дисфункция), се съобщават по-често в групата с алискирен, отколкото в групата с плацебо.</w:t>
      </w:r>
    </w:p>
    <w:p w14:paraId="5D45F3BA" w14:textId="77777777" w:rsidR="004A3FC2" w:rsidRPr="004A3FC2" w:rsidRDefault="004A3FC2" w:rsidP="004A3FC2">
      <w:pPr>
        <w:spacing w:line="240" w:lineRule="auto"/>
        <w:rPr>
          <w:rFonts w:eastAsia="Times New Roman" w:cs="Arial"/>
          <w:color w:val="000000"/>
          <w:u w:val="single"/>
          <w:lang w:eastAsia="bg-BG"/>
        </w:rPr>
      </w:pPr>
    </w:p>
    <w:p w14:paraId="19AC7C29" w14:textId="11CC14C8" w:rsidR="004A3FC2" w:rsidRPr="004A3FC2" w:rsidRDefault="004A3FC2" w:rsidP="004A3FC2">
      <w:pPr>
        <w:spacing w:line="240" w:lineRule="auto"/>
        <w:rPr>
          <w:rFonts w:eastAsia="Times New Roman" w:cs="Arial"/>
        </w:rPr>
      </w:pPr>
      <w:r w:rsidRPr="004A3FC2">
        <w:rPr>
          <w:rFonts w:eastAsia="Times New Roman" w:cs="Arial"/>
          <w:color w:val="000000"/>
          <w:u w:val="single"/>
          <w:lang w:eastAsia="bg-BG"/>
        </w:rPr>
        <w:t>Педиатрична популация</w:t>
      </w:r>
    </w:p>
    <w:p w14:paraId="34990C52" w14:textId="77777777" w:rsidR="004A3FC2" w:rsidRPr="004A3FC2" w:rsidRDefault="004A3FC2" w:rsidP="004A3FC2">
      <w:pPr>
        <w:spacing w:line="240" w:lineRule="auto"/>
        <w:rPr>
          <w:rFonts w:eastAsia="Times New Roman" w:cs="Arial"/>
          <w:i/>
          <w:iCs/>
          <w:color w:val="000000"/>
          <w:u w:val="single"/>
          <w:lang w:eastAsia="bg-BG"/>
        </w:rPr>
      </w:pPr>
    </w:p>
    <w:p w14:paraId="0923EFEA" w14:textId="5FA413D0" w:rsidR="004A3FC2" w:rsidRPr="004A3FC2" w:rsidRDefault="004A3FC2" w:rsidP="004A3FC2">
      <w:pPr>
        <w:spacing w:line="240" w:lineRule="auto"/>
        <w:rPr>
          <w:rFonts w:eastAsia="Times New Roman" w:cs="Arial"/>
        </w:rPr>
      </w:pPr>
      <w:r w:rsidRPr="004A3FC2">
        <w:rPr>
          <w:rFonts w:eastAsia="Times New Roman" w:cs="Arial"/>
          <w:i/>
          <w:iCs/>
          <w:color w:val="000000"/>
          <w:u w:val="single"/>
          <w:lang w:eastAsia="bg-BG"/>
        </w:rPr>
        <w:t>Артериална хипертония</w:t>
      </w:r>
    </w:p>
    <w:p w14:paraId="42B78E44" w14:textId="77777777" w:rsidR="004A3FC2" w:rsidRPr="004A3FC2" w:rsidRDefault="004A3FC2" w:rsidP="004A3FC2">
      <w:pPr>
        <w:spacing w:line="240" w:lineRule="auto"/>
        <w:rPr>
          <w:rFonts w:eastAsia="Times New Roman" w:cs="Arial"/>
        </w:rPr>
      </w:pPr>
      <w:r w:rsidRPr="004A3FC2">
        <w:rPr>
          <w:rFonts w:eastAsia="Times New Roman" w:cs="Arial"/>
          <w:color w:val="000000"/>
          <w:lang w:eastAsia="bg-BG"/>
        </w:rPr>
        <w:t>Антихипертензивните ефекти на кандесартан са оценени при деца с артериална хипертония на възраст от 1 до &lt;6 години и от 6 до &lt;17 години в две рандомизирани, двойно-слепи, многоцентрови, 4-седмични проучвания за определяне на дозовия обхват.</w:t>
      </w:r>
    </w:p>
    <w:p w14:paraId="6D736A2A" w14:textId="77777777" w:rsidR="004A3FC2" w:rsidRPr="004A3FC2" w:rsidRDefault="004A3FC2" w:rsidP="004A3FC2">
      <w:pPr>
        <w:spacing w:line="240" w:lineRule="auto"/>
        <w:rPr>
          <w:rFonts w:eastAsia="Times New Roman" w:cs="Arial"/>
          <w:color w:val="000000"/>
          <w:lang w:eastAsia="bg-BG"/>
        </w:rPr>
      </w:pPr>
    </w:p>
    <w:p w14:paraId="672968FD" w14:textId="77777777" w:rsidR="004A3FC2" w:rsidRPr="004A3FC2" w:rsidRDefault="004A3FC2" w:rsidP="004A3FC2">
      <w:pPr>
        <w:rPr>
          <w:rFonts w:eastAsia="Times New Roman" w:cs="Arial"/>
        </w:rPr>
      </w:pPr>
      <w:r w:rsidRPr="004A3FC2">
        <w:rPr>
          <w:rFonts w:eastAsia="Times New Roman" w:cs="Arial"/>
          <w:color w:val="000000"/>
          <w:lang w:eastAsia="bg-BG"/>
        </w:rPr>
        <w:t>При деца на възраст от I до &lt;6 години, 93 пациенти, 74% от които са с бъбречно заболяване, са рандомизирани да получават през устата суспензия кандесартан цилексетил 0,05; 0,20 ил</w:t>
      </w:r>
      <w:r w:rsidRPr="004A3FC2">
        <w:rPr>
          <w:rFonts w:eastAsia="Times New Roman" w:cs="Arial"/>
          <w:color w:val="000000"/>
          <w:u w:val="single"/>
          <w:lang w:eastAsia="bg-BG"/>
        </w:rPr>
        <w:t xml:space="preserve">и 0,40 </w:t>
      </w:r>
      <w:r w:rsidRPr="004A3FC2">
        <w:rPr>
          <w:rFonts w:eastAsia="Times New Roman" w:cs="Arial"/>
          <w:color w:val="000000"/>
          <w:lang w:val="en-US"/>
        </w:rPr>
        <w:t>mg</w:t>
      </w:r>
      <w:r w:rsidRPr="004A3FC2">
        <w:rPr>
          <w:rFonts w:eastAsia="Times New Roman" w:cs="Arial"/>
          <w:color w:val="000000"/>
          <w:lang w:val="ru-RU"/>
        </w:rPr>
        <w:t>/</w:t>
      </w:r>
      <w:r w:rsidRPr="004A3FC2">
        <w:rPr>
          <w:rFonts w:eastAsia="Times New Roman" w:cs="Arial"/>
          <w:color w:val="000000"/>
          <w:lang w:val="en-US"/>
        </w:rPr>
        <w:t>kg</w:t>
      </w:r>
      <w:r w:rsidRPr="004A3FC2">
        <w:rPr>
          <w:rFonts w:eastAsia="Times New Roman" w:cs="Arial"/>
          <w:color w:val="000000"/>
          <w:lang w:val="ru-RU"/>
        </w:rPr>
        <w:t xml:space="preserve"> </w:t>
      </w:r>
      <w:r w:rsidRPr="004A3FC2">
        <w:rPr>
          <w:rFonts w:eastAsia="Times New Roman" w:cs="Arial"/>
          <w:color w:val="000000"/>
          <w:lang w:eastAsia="bg-BG"/>
        </w:rPr>
        <w:t xml:space="preserve">веднъж дневно. Основният метод за анализ е въз основа на наклона на зависимостта на систолното артериално налягане (САН) от дозата. За трите дозировки на кандесартан цилексетил САН и диастолното артериално налягане (ДАН) показват понижаване с 6,0/5,2 до 12,0/11,1 </w:t>
      </w:r>
      <w:r w:rsidRPr="004A3FC2">
        <w:rPr>
          <w:rFonts w:eastAsia="Times New Roman" w:cs="Arial"/>
          <w:color w:val="000000"/>
          <w:lang w:val="en-US"/>
        </w:rPr>
        <w:t>mmHg</w:t>
      </w:r>
      <w:r w:rsidRPr="004A3FC2">
        <w:rPr>
          <w:rFonts w:eastAsia="Times New Roman" w:cs="Arial"/>
          <w:color w:val="000000"/>
          <w:lang w:val="ru-RU"/>
        </w:rPr>
        <w:t xml:space="preserve"> </w:t>
      </w:r>
      <w:r w:rsidRPr="004A3FC2">
        <w:rPr>
          <w:rFonts w:eastAsia="Times New Roman" w:cs="Arial"/>
          <w:color w:val="000000"/>
          <w:lang w:eastAsia="bg-BG"/>
        </w:rPr>
        <w:t>в сравнение с изходните стойности. Все пак, понеже липсва група на плацебо, действителната величина на ефекта върху артериалното налягане остава несигурна което прави трудна заключителната оценка на съотношението полза/риск в тази възрастова група.</w:t>
      </w:r>
    </w:p>
    <w:p w14:paraId="707D2FDF" w14:textId="77777777" w:rsidR="004A3FC2" w:rsidRPr="004A3FC2" w:rsidRDefault="004A3FC2" w:rsidP="004A3FC2">
      <w:pPr>
        <w:spacing w:line="240" w:lineRule="auto"/>
        <w:rPr>
          <w:rFonts w:eastAsia="Times New Roman" w:cs="Arial"/>
          <w:color w:val="000000"/>
          <w:lang w:eastAsia="bg-BG"/>
        </w:rPr>
      </w:pPr>
    </w:p>
    <w:p w14:paraId="3AAD980A" w14:textId="10E9B2CD" w:rsidR="004A3FC2" w:rsidRPr="004A3FC2" w:rsidRDefault="004A3FC2" w:rsidP="004A3FC2">
      <w:pPr>
        <w:spacing w:line="240" w:lineRule="auto"/>
        <w:rPr>
          <w:rFonts w:eastAsia="Times New Roman" w:cs="Arial"/>
        </w:rPr>
      </w:pPr>
      <w:r w:rsidRPr="004A3FC2">
        <w:rPr>
          <w:rFonts w:eastAsia="Times New Roman" w:cs="Arial"/>
          <w:color w:val="000000"/>
          <w:lang w:eastAsia="bg-BG"/>
        </w:rPr>
        <w:lastRenderedPageBreak/>
        <w:t xml:space="preserve">При деца на възраст от 6 до &lt;17 години, 240 пациенти са рандомизирани в съотношение 1:2:2:2, за да получават плацебо, ниска, средна или висока доза кандесартан цилексетил. При деца с телесно тегло &lt; 50 </w:t>
      </w:r>
      <w:r w:rsidRPr="004A3FC2">
        <w:rPr>
          <w:rFonts w:eastAsia="Times New Roman" w:cs="Arial"/>
          <w:color w:val="000000"/>
          <w:lang w:val="en-US"/>
        </w:rPr>
        <w:t>kg</w:t>
      </w:r>
      <w:r w:rsidRPr="004A3FC2">
        <w:rPr>
          <w:rFonts w:eastAsia="Times New Roman" w:cs="Arial"/>
          <w:color w:val="000000"/>
          <w:lang w:val="ru-RU"/>
        </w:rPr>
        <w:t xml:space="preserve">, </w:t>
      </w:r>
      <w:r w:rsidRPr="004A3FC2">
        <w:rPr>
          <w:rFonts w:eastAsia="Times New Roman" w:cs="Arial"/>
          <w:color w:val="000000"/>
          <w:lang w:eastAsia="bg-BG"/>
        </w:rPr>
        <w:t xml:space="preserve">дозировките на кандесартан цилексетил са 2, 8 или 16 </w:t>
      </w:r>
      <w:r w:rsidRPr="004A3FC2">
        <w:rPr>
          <w:rFonts w:eastAsia="Times New Roman" w:cs="Arial"/>
          <w:color w:val="000000"/>
          <w:lang w:val="en-US"/>
        </w:rPr>
        <w:t>mg</w:t>
      </w:r>
      <w:r w:rsidRPr="004A3FC2">
        <w:rPr>
          <w:rFonts w:eastAsia="Times New Roman" w:cs="Arial"/>
          <w:color w:val="000000"/>
          <w:lang w:val="ru-RU"/>
        </w:rPr>
        <w:t xml:space="preserve"> </w:t>
      </w:r>
      <w:r w:rsidRPr="004A3FC2">
        <w:rPr>
          <w:rFonts w:eastAsia="Times New Roman" w:cs="Arial"/>
          <w:color w:val="000000"/>
          <w:lang w:eastAsia="bg-BG"/>
        </w:rPr>
        <w:t xml:space="preserve">веднъж дневно. При деца с телесно тегло &gt; 50 </w:t>
      </w:r>
      <w:r w:rsidRPr="004A3FC2">
        <w:rPr>
          <w:rFonts w:eastAsia="Times New Roman" w:cs="Arial"/>
          <w:color w:val="000000"/>
          <w:lang w:val="en-US"/>
        </w:rPr>
        <w:t>kg</w:t>
      </w:r>
      <w:r w:rsidRPr="004A3FC2">
        <w:rPr>
          <w:rFonts w:eastAsia="Times New Roman" w:cs="Arial"/>
          <w:color w:val="000000"/>
          <w:lang w:val="ru-RU"/>
        </w:rPr>
        <w:t xml:space="preserve"> </w:t>
      </w:r>
      <w:r w:rsidRPr="004A3FC2">
        <w:rPr>
          <w:rFonts w:eastAsia="Times New Roman" w:cs="Arial"/>
          <w:color w:val="000000"/>
          <w:lang w:eastAsia="bg-BG"/>
        </w:rPr>
        <w:t xml:space="preserve">дозировките на кандесартан цилексетил са 4,16 или 32 </w:t>
      </w:r>
      <w:r w:rsidRPr="004A3FC2">
        <w:rPr>
          <w:rFonts w:eastAsia="Times New Roman" w:cs="Arial"/>
          <w:color w:val="000000"/>
          <w:lang w:val="en-US"/>
        </w:rPr>
        <w:t>mg</w:t>
      </w:r>
      <w:r w:rsidRPr="004A3FC2">
        <w:rPr>
          <w:rFonts w:eastAsia="Times New Roman" w:cs="Arial"/>
          <w:color w:val="000000"/>
          <w:lang w:val="ru-RU"/>
        </w:rPr>
        <w:t xml:space="preserve"> </w:t>
      </w:r>
      <w:r w:rsidRPr="004A3FC2">
        <w:rPr>
          <w:rFonts w:eastAsia="Times New Roman" w:cs="Arial"/>
          <w:color w:val="000000"/>
          <w:lang w:eastAsia="bg-BG"/>
        </w:rPr>
        <w:t xml:space="preserve">веднъж дневно. Кандесартан в осреднена доза намалява САН в покой с 10,2 </w:t>
      </w:r>
      <w:r w:rsidRPr="004A3FC2">
        <w:rPr>
          <w:rFonts w:eastAsia="Times New Roman" w:cs="Arial"/>
          <w:color w:val="000000"/>
          <w:lang w:val="en-US"/>
        </w:rPr>
        <w:t>mmHg</w:t>
      </w:r>
      <w:r w:rsidRPr="004A3FC2">
        <w:rPr>
          <w:rFonts w:eastAsia="Times New Roman" w:cs="Arial"/>
          <w:color w:val="000000"/>
          <w:lang w:val="ru-RU"/>
        </w:rPr>
        <w:t xml:space="preserve"> </w:t>
      </w:r>
      <w:r w:rsidRPr="004A3FC2">
        <w:rPr>
          <w:rFonts w:eastAsia="Times New Roman" w:cs="Arial"/>
          <w:color w:val="000000"/>
          <w:lang w:eastAsia="bg-BG"/>
        </w:rPr>
        <w:t xml:space="preserve">(Р&lt;0,0001) и ДАН в покой (Р=0,0029) с 6,6 </w:t>
      </w:r>
      <w:r w:rsidRPr="004A3FC2">
        <w:rPr>
          <w:rFonts w:eastAsia="Times New Roman" w:cs="Arial"/>
          <w:color w:val="000000"/>
          <w:lang w:val="en-US"/>
        </w:rPr>
        <w:t>mmHg</w:t>
      </w:r>
      <w:r w:rsidRPr="004A3FC2">
        <w:rPr>
          <w:rFonts w:eastAsia="Times New Roman" w:cs="Arial"/>
          <w:color w:val="000000"/>
          <w:lang w:val="ru-RU"/>
        </w:rPr>
        <w:t xml:space="preserve">, </w:t>
      </w:r>
      <w:r w:rsidRPr="004A3FC2">
        <w:rPr>
          <w:rFonts w:eastAsia="Times New Roman" w:cs="Arial"/>
          <w:color w:val="000000"/>
          <w:lang w:eastAsia="bg-BG"/>
        </w:rPr>
        <w:t xml:space="preserve">в сравнение с изходните стойности. В групата на плацебо също се установява редукция с 3,7 </w:t>
      </w:r>
      <w:r w:rsidRPr="004A3FC2">
        <w:rPr>
          <w:rFonts w:eastAsia="Times New Roman" w:cs="Arial"/>
          <w:color w:val="000000"/>
          <w:lang w:val="en-US"/>
        </w:rPr>
        <w:t>mmHg</w:t>
      </w:r>
      <w:r w:rsidRPr="004A3FC2">
        <w:rPr>
          <w:rFonts w:eastAsia="Times New Roman" w:cs="Arial"/>
          <w:color w:val="000000"/>
          <w:lang w:val="ru-RU"/>
        </w:rPr>
        <w:t xml:space="preserve"> </w:t>
      </w:r>
      <w:r w:rsidRPr="004A3FC2">
        <w:rPr>
          <w:rFonts w:eastAsia="Times New Roman" w:cs="Arial"/>
          <w:color w:val="000000"/>
          <w:lang w:eastAsia="bg-BG"/>
        </w:rPr>
        <w:t xml:space="preserve">на САН в покой (р=0,0074) и с 1,80 </w:t>
      </w:r>
      <w:r w:rsidRPr="004A3FC2">
        <w:rPr>
          <w:rFonts w:eastAsia="Times New Roman" w:cs="Arial"/>
          <w:color w:val="000000"/>
          <w:lang w:val="en-US"/>
        </w:rPr>
        <w:t>mmHg</w:t>
      </w:r>
      <w:r w:rsidRPr="004A3FC2">
        <w:rPr>
          <w:rFonts w:eastAsia="Times New Roman" w:cs="Arial"/>
          <w:color w:val="000000"/>
          <w:lang w:val="ru-RU"/>
        </w:rPr>
        <w:t xml:space="preserve"> </w:t>
      </w:r>
      <w:r w:rsidRPr="004A3FC2">
        <w:rPr>
          <w:rFonts w:eastAsia="Times New Roman" w:cs="Arial"/>
          <w:color w:val="000000"/>
          <w:lang w:eastAsia="bg-BG"/>
        </w:rPr>
        <w:t xml:space="preserve">на ДАН в покой (р=0,0992), в сравнение с изходните стойности. Въпреки големия плацебо ефект, всички отделни дозировки на кандесартан (както и осреднената доза) показват значимо превъзходство в сравнение с плацебо. Максимален отговор по отношение на понижаването на артериалното налягане при деца с телесно тегло под и над 50 </w:t>
      </w:r>
      <w:r w:rsidRPr="004A3FC2">
        <w:rPr>
          <w:rFonts w:eastAsia="Times New Roman" w:cs="Arial"/>
          <w:color w:val="000000"/>
          <w:lang w:val="en-US"/>
        </w:rPr>
        <w:t>kg</w:t>
      </w:r>
      <w:r w:rsidRPr="004A3FC2">
        <w:rPr>
          <w:rFonts w:eastAsia="Times New Roman" w:cs="Arial"/>
          <w:color w:val="000000"/>
          <w:lang w:val="ru-RU"/>
        </w:rPr>
        <w:t xml:space="preserve"> </w:t>
      </w:r>
      <w:r w:rsidRPr="004A3FC2">
        <w:rPr>
          <w:rFonts w:eastAsia="Times New Roman" w:cs="Arial"/>
          <w:color w:val="000000"/>
          <w:lang w:eastAsia="bg-BG"/>
        </w:rPr>
        <w:t xml:space="preserve">се постига при дози съответно 8 </w:t>
      </w:r>
      <w:r w:rsidRPr="004A3FC2">
        <w:rPr>
          <w:rFonts w:eastAsia="Times New Roman" w:cs="Arial"/>
          <w:color w:val="000000"/>
          <w:lang w:val="en-US"/>
        </w:rPr>
        <w:t>mg</w:t>
      </w:r>
      <w:r w:rsidRPr="004A3FC2">
        <w:rPr>
          <w:rFonts w:eastAsia="Times New Roman" w:cs="Arial"/>
          <w:color w:val="000000"/>
          <w:lang w:val="ru-RU"/>
        </w:rPr>
        <w:t xml:space="preserve"> </w:t>
      </w:r>
      <w:r w:rsidRPr="004A3FC2">
        <w:rPr>
          <w:rFonts w:eastAsia="Times New Roman" w:cs="Arial"/>
          <w:color w:val="000000"/>
          <w:lang w:eastAsia="bg-BG"/>
        </w:rPr>
        <w:t xml:space="preserve">и 16 </w:t>
      </w:r>
      <w:r w:rsidRPr="004A3FC2">
        <w:rPr>
          <w:rFonts w:eastAsia="Times New Roman" w:cs="Arial"/>
          <w:color w:val="000000"/>
          <w:lang w:val="en-US"/>
        </w:rPr>
        <w:t>mg</w:t>
      </w:r>
      <w:r w:rsidRPr="004A3FC2">
        <w:rPr>
          <w:rFonts w:eastAsia="Times New Roman" w:cs="Arial"/>
          <w:color w:val="000000"/>
          <w:lang w:val="ru-RU"/>
        </w:rPr>
        <w:t xml:space="preserve">, </w:t>
      </w:r>
      <w:r w:rsidRPr="004A3FC2">
        <w:rPr>
          <w:rFonts w:eastAsia="Times New Roman" w:cs="Arial"/>
          <w:color w:val="000000"/>
          <w:lang w:eastAsia="bg-BG"/>
        </w:rPr>
        <w:t>като след тази стойност ефектът е в плато.</w:t>
      </w:r>
    </w:p>
    <w:p w14:paraId="30AE8137" w14:textId="77777777"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От включените пациенти 47% са чернокожи и 29% са от женски пол; средната възраст +/- </w:t>
      </w:r>
      <w:r w:rsidRPr="004A3FC2">
        <w:rPr>
          <w:rFonts w:eastAsia="Times New Roman" w:cs="Arial"/>
          <w:color w:val="000000"/>
          <w:lang w:val="en-US"/>
        </w:rPr>
        <w:t>SD</w:t>
      </w:r>
      <w:r w:rsidRPr="004A3FC2">
        <w:rPr>
          <w:rFonts w:eastAsia="Times New Roman" w:cs="Arial"/>
          <w:color w:val="000000"/>
          <w:lang w:val="ru-RU"/>
        </w:rPr>
        <w:t xml:space="preserve"> </w:t>
      </w:r>
      <w:r w:rsidRPr="004A3FC2">
        <w:rPr>
          <w:rFonts w:eastAsia="Times New Roman" w:cs="Arial"/>
          <w:color w:val="000000"/>
          <w:lang w:eastAsia="bg-BG"/>
        </w:rPr>
        <w:t>е 12,9 +/- 2,6 години.</w:t>
      </w:r>
    </w:p>
    <w:p w14:paraId="319FDCB2" w14:textId="77777777" w:rsidR="004A3FC2" w:rsidRPr="004A3FC2" w:rsidRDefault="004A3FC2" w:rsidP="004A3FC2">
      <w:pPr>
        <w:spacing w:line="240" w:lineRule="auto"/>
        <w:rPr>
          <w:rFonts w:eastAsia="Times New Roman" w:cs="Arial"/>
        </w:rPr>
      </w:pPr>
      <w:r w:rsidRPr="004A3FC2">
        <w:rPr>
          <w:rFonts w:eastAsia="Times New Roman" w:cs="Arial"/>
          <w:color w:val="000000"/>
          <w:lang w:eastAsia="bg-BG"/>
        </w:rPr>
        <w:t>При деца на възраст от 6 до &lt; 17 години се наблюдава тенденция за намаляване на ефекта върху артериалното налягане при чернокожите пациенти в сравнение с не-чернокожите.</w:t>
      </w:r>
    </w:p>
    <w:p w14:paraId="2BB74DD6" w14:textId="77777777" w:rsidR="004A3FC2" w:rsidRPr="004A3FC2" w:rsidRDefault="004A3FC2" w:rsidP="004A3FC2">
      <w:pPr>
        <w:spacing w:line="240" w:lineRule="auto"/>
        <w:rPr>
          <w:rFonts w:eastAsia="Times New Roman" w:cs="Arial"/>
          <w:i/>
          <w:iCs/>
          <w:color w:val="000000"/>
          <w:u w:val="single"/>
          <w:lang w:eastAsia="bg-BG"/>
        </w:rPr>
      </w:pPr>
    </w:p>
    <w:p w14:paraId="5CE2579A" w14:textId="0DA27035" w:rsidR="004A3FC2" w:rsidRPr="004A3FC2" w:rsidRDefault="004A3FC2" w:rsidP="004A3FC2">
      <w:pPr>
        <w:spacing w:line="240" w:lineRule="auto"/>
        <w:rPr>
          <w:rFonts w:eastAsia="Times New Roman" w:cs="Arial"/>
        </w:rPr>
      </w:pPr>
      <w:r w:rsidRPr="004A3FC2">
        <w:rPr>
          <w:rFonts w:eastAsia="Times New Roman" w:cs="Arial"/>
          <w:i/>
          <w:iCs/>
          <w:color w:val="000000"/>
          <w:u w:val="single"/>
          <w:lang w:eastAsia="bg-BG"/>
        </w:rPr>
        <w:t>Сърдечна недостатъчност</w:t>
      </w:r>
    </w:p>
    <w:p w14:paraId="72479EF6" w14:textId="77777777"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Лечението с кандесартан цилексетил намалява смъртността, намалява хоспитализациите за сърдечна недостатъчност, и подобрява симптомите при пациенти с левокамерна систолна дисфункция, което се демонстрира от програмата </w:t>
      </w:r>
      <w:r w:rsidRPr="004A3FC2">
        <w:rPr>
          <w:rFonts w:eastAsia="Times New Roman" w:cs="Arial"/>
          <w:color w:val="000000"/>
          <w:lang w:val="en-US"/>
        </w:rPr>
        <w:t>CHARM</w:t>
      </w:r>
      <w:r w:rsidRPr="004A3FC2">
        <w:rPr>
          <w:rFonts w:eastAsia="Times New Roman" w:cs="Arial"/>
          <w:color w:val="000000"/>
        </w:rPr>
        <w:t xml:space="preserve"> </w:t>
      </w:r>
      <w:r w:rsidRPr="004A3FC2">
        <w:rPr>
          <w:rFonts w:eastAsia="Times New Roman" w:cs="Arial"/>
          <w:color w:val="000000"/>
          <w:lang w:eastAsia="bg-BG"/>
        </w:rPr>
        <w:t xml:space="preserve">(Кандесартан при сърдечна недостатъчност - оценка на редукцията на смъртността и заболеваемостта </w:t>
      </w:r>
      <w:r w:rsidRPr="004A3FC2">
        <w:rPr>
          <w:rFonts w:eastAsia="Times New Roman" w:cs="Arial"/>
          <w:color w:val="000000"/>
        </w:rPr>
        <w:t>(</w:t>
      </w:r>
      <w:r w:rsidRPr="004A3FC2">
        <w:rPr>
          <w:rFonts w:eastAsia="Times New Roman" w:cs="Arial"/>
          <w:color w:val="000000"/>
          <w:lang w:val="en-US"/>
        </w:rPr>
        <w:t>Candesartan</w:t>
      </w:r>
      <w:r w:rsidRPr="004A3FC2">
        <w:rPr>
          <w:rFonts w:eastAsia="Times New Roman" w:cs="Arial"/>
          <w:color w:val="000000"/>
        </w:rPr>
        <w:t xml:space="preserve"> </w:t>
      </w:r>
      <w:r w:rsidRPr="004A3FC2">
        <w:rPr>
          <w:rFonts w:eastAsia="Times New Roman" w:cs="Arial"/>
          <w:color w:val="000000"/>
          <w:lang w:val="en-US"/>
        </w:rPr>
        <w:t>in</w:t>
      </w:r>
      <w:r w:rsidRPr="004A3FC2">
        <w:rPr>
          <w:rFonts w:eastAsia="Times New Roman" w:cs="Arial"/>
          <w:color w:val="000000"/>
        </w:rPr>
        <w:t xml:space="preserve"> </w:t>
      </w:r>
      <w:r w:rsidRPr="004A3FC2">
        <w:rPr>
          <w:rFonts w:eastAsia="Times New Roman" w:cs="Arial"/>
          <w:color w:val="000000"/>
          <w:lang w:val="en-US"/>
        </w:rPr>
        <w:t>Heart</w:t>
      </w:r>
      <w:r w:rsidRPr="004A3FC2">
        <w:rPr>
          <w:rFonts w:eastAsia="Times New Roman" w:cs="Arial"/>
          <w:color w:val="000000"/>
        </w:rPr>
        <w:t xml:space="preserve"> </w:t>
      </w:r>
      <w:r w:rsidRPr="004A3FC2">
        <w:rPr>
          <w:rFonts w:eastAsia="Times New Roman" w:cs="Arial"/>
          <w:color w:val="000000"/>
          <w:lang w:val="en-US"/>
        </w:rPr>
        <w:t>failure</w:t>
      </w:r>
      <w:r w:rsidRPr="004A3FC2">
        <w:rPr>
          <w:rFonts w:eastAsia="Times New Roman" w:cs="Arial"/>
          <w:color w:val="000000"/>
        </w:rPr>
        <w:t xml:space="preserve"> - </w:t>
      </w:r>
      <w:r w:rsidRPr="004A3FC2">
        <w:rPr>
          <w:rFonts w:eastAsia="Times New Roman" w:cs="Arial"/>
          <w:color w:val="000000"/>
          <w:lang w:val="en-US"/>
        </w:rPr>
        <w:t>Assessment</w:t>
      </w:r>
      <w:r w:rsidRPr="004A3FC2">
        <w:rPr>
          <w:rFonts w:eastAsia="Times New Roman" w:cs="Arial"/>
          <w:color w:val="000000"/>
        </w:rPr>
        <w:t xml:space="preserve"> </w:t>
      </w:r>
      <w:r w:rsidRPr="004A3FC2">
        <w:rPr>
          <w:rFonts w:eastAsia="Times New Roman" w:cs="Arial"/>
          <w:color w:val="000000"/>
          <w:lang w:val="en-US"/>
        </w:rPr>
        <w:t>of</w:t>
      </w:r>
      <w:r w:rsidRPr="004A3FC2">
        <w:rPr>
          <w:rFonts w:eastAsia="Times New Roman" w:cs="Arial"/>
          <w:color w:val="000000"/>
        </w:rPr>
        <w:t xml:space="preserve"> </w:t>
      </w:r>
      <w:r w:rsidRPr="004A3FC2">
        <w:rPr>
          <w:rFonts w:eastAsia="Times New Roman" w:cs="Arial"/>
          <w:color w:val="000000"/>
          <w:lang w:val="en-US"/>
        </w:rPr>
        <w:t>Reduction</w:t>
      </w:r>
      <w:r w:rsidRPr="004A3FC2">
        <w:rPr>
          <w:rFonts w:eastAsia="Times New Roman" w:cs="Arial"/>
          <w:color w:val="000000"/>
        </w:rPr>
        <w:t xml:space="preserve"> </w:t>
      </w:r>
      <w:r w:rsidRPr="004A3FC2">
        <w:rPr>
          <w:rFonts w:eastAsia="Times New Roman" w:cs="Arial"/>
          <w:color w:val="000000"/>
          <w:lang w:val="en-US"/>
        </w:rPr>
        <w:t>in</w:t>
      </w:r>
      <w:r w:rsidRPr="004A3FC2">
        <w:rPr>
          <w:rFonts w:eastAsia="Times New Roman" w:cs="Arial"/>
          <w:color w:val="000000"/>
        </w:rPr>
        <w:t xml:space="preserve"> </w:t>
      </w:r>
      <w:r w:rsidRPr="004A3FC2">
        <w:rPr>
          <w:rFonts w:eastAsia="Times New Roman" w:cs="Arial"/>
          <w:color w:val="000000"/>
          <w:lang w:val="en-US"/>
        </w:rPr>
        <w:t>Mortality</w:t>
      </w:r>
      <w:r w:rsidRPr="004A3FC2">
        <w:rPr>
          <w:rFonts w:eastAsia="Times New Roman" w:cs="Arial"/>
          <w:color w:val="000000"/>
        </w:rPr>
        <w:t xml:space="preserve"> </w:t>
      </w:r>
      <w:r w:rsidRPr="004A3FC2">
        <w:rPr>
          <w:rFonts w:eastAsia="Times New Roman" w:cs="Arial"/>
          <w:color w:val="000000"/>
          <w:lang w:val="en-US"/>
        </w:rPr>
        <w:t>and</w:t>
      </w:r>
      <w:r w:rsidRPr="004A3FC2">
        <w:rPr>
          <w:rFonts w:eastAsia="Times New Roman" w:cs="Arial"/>
          <w:color w:val="000000"/>
        </w:rPr>
        <w:t xml:space="preserve"> </w:t>
      </w:r>
      <w:r w:rsidRPr="004A3FC2">
        <w:rPr>
          <w:rFonts w:eastAsia="Times New Roman" w:cs="Arial"/>
          <w:color w:val="000000"/>
          <w:lang w:val="en-US"/>
        </w:rPr>
        <w:t>morbidity</w:t>
      </w:r>
      <w:r w:rsidRPr="004A3FC2">
        <w:rPr>
          <w:rFonts w:eastAsia="Times New Roman" w:cs="Arial"/>
          <w:color w:val="000000"/>
        </w:rPr>
        <w:t>)).</w:t>
      </w:r>
    </w:p>
    <w:p w14:paraId="3F8B14C2" w14:textId="77777777" w:rsidR="004A3FC2" w:rsidRPr="004A3FC2" w:rsidRDefault="004A3FC2" w:rsidP="004A3FC2">
      <w:pPr>
        <w:spacing w:line="240" w:lineRule="auto"/>
        <w:rPr>
          <w:rFonts w:eastAsia="Times New Roman" w:cs="Arial"/>
          <w:color w:val="000000"/>
          <w:lang w:eastAsia="bg-BG"/>
        </w:rPr>
      </w:pPr>
    </w:p>
    <w:p w14:paraId="40AA3269" w14:textId="3231E781"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Тази плацебо-контролирана, двойно-сляпа проучвателна програма при пациенти с хронична сърдечна недостатъчност (ХСН) функционален клас II до IV по </w:t>
      </w:r>
      <w:r w:rsidRPr="004A3FC2">
        <w:rPr>
          <w:rFonts w:eastAsia="Times New Roman" w:cs="Arial"/>
          <w:color w:val="000000"/>
          <w:lang w:val="en-US"/>
        </w:rPr>
        <w:t>NYHA</w:t>
      </w:r>
      <w:r w:rsidRPr="004A3FC2">
        <w:rPr>
          <w:rFonts w:eastAsia="Times New Roman" w:cs="Arial"/>
          <w:color w:val="000000"/>
        </w:rPr>
        <w:t xml:space="preserve"> </w:t>
      </w:r>
      <w:r w:rsidRPr="004A3FC2">
        <w:rPr>
          <w:rFonts w:eastAsia="Times New Roman" w:cs="Arial"/>
          <w:color w:val="000000"/>
          <w:lang w:eastAsia="bg-BG"/>
        </w:rPr>
        <w:t xml:space="preserve">се състои от три отделни проучвания: </w:t>
      </w:r>
      <w:r w:rsidRPr="004A3FC2">
        <w:rPr>
          <w:rFonts w:eastAsia="Times New Roman" w:cs="Arial"/>
          <w:color w:val="000000"/>
          <w:lang w:val="en-US"/>
        </w:rPr>
        <w:t>CHARM</w:t>
      </w:r>
      <w:r w:rsidRPr="004A3FC2">
        <w:rPr>
          <w:rFonts w:eastAsia="Times New Roman" w:cs="Arial"/>
          <w:color w:val="000000"/>
        </w:rPr>
        <w:t>-</w:t>
      </w:r>
      <w:proofErr w:type="spellStart"/>
      <w:r w:rsidRPr="004A3FC2">
        <w:rPr>
          <w:rFonts w:eastAsia="Times New Roman" w:cs="Arial"/>
          <w:color w:val="000000"/>
          <w:lang w:val="en-US"/>
        </w:rPr>
        <w:t>Altemative</w:t>
      </w:r>
      <w:proofErr w:type="spellEnd"/>
      <w:r w:rsidRPr="004A3FC2">
        <w:rPr>
          <w:rFonts w:eastAsia="Times New Roman" w:cs="Arial"/>
          <w:color w:val="000000"/>
        </w:rPr>
        <w:t xml:space="preserve"> </w:t>
      </w:r>
      <w:r w:rsidRPr="004A3FC2">
        <w:rPr>
          <w:rFonts w:eastAsia="Times New Roman" w:cs="Arial"/>
          <w:color w:val="000000"/>
          <w:lang w:eastAsia="bg-BG"/>
        </w:rPr>
        <w:t xml:space="preserve">(п=2 028) при пациенти с </w:t>
      </w:r>
      <w:r w:rsidRPr="004A3FC2">
        <w:rPr>
          <w:rFonts w:eastAsia="Times New Roman" w:cs="Arial"/>
          <w:color w:val="000000"/>
          <w:lang w:val="en-US"/>
        </w:rPr>
        <w:t>LVEF</w:t>
      </w:r>
      <w:r w:rsidRPr="004A3FC2">
        <w:rPr>
          <w:rFonts w:eastAsia="Times New Roman" w:cs="Arial"/>
          <w:color w:val="000000"/>
        </w:rPr>
        <w:t xml:space="preserve"> </w:t>
      </w:r>
      <w:r w:rsidRPr="004A3FC2">
        <w:rPr>
          <w:rFonts w:eastAsia="Times New Roman" w:cs="Arial"/>
          <w:color w:val="000000"/>
          <w:lang w:eastAsia="bg-BG"/>
        </w:rPr>
        <w:t xml:space="preserve">(левокамерна фракция на изтласкване) ≤40%, които не са лекувани с АСЕ инхибитор поради непоносимост (главно поради кашлица, 72%), </w:t>
      </w:r>
      <w:r w:rsidRPr="004A3FC2">
        <w:rPr>
          <w:rFonts w:eastAsia="Times New Roman" w:cs="Arial"/>
          <w:color w:val="000000"/>
          <w:lang w:val="en-US"/>
        </w:rPr>
        <w:t>CHARM</w:t>
      </w:r>
      <w:r w:rsidRPr="004A3FC2">
        <w:rPr>
          <w:rFonts w:eastAsia="Times New Roman" w:cs="Arial"/>
          <w:color w:val="000000"/>
        </w:rPr>
        <w:t>-</w:t>
      </w:r>
      <w:r w:rsidRPr="004A3FC2">
        <w:rPr>
          <w:rFonts w:eastAsia="Times New Roman" w:cs="Arial"/>
          <w:color w:val="000000"/>
          <w:lang w:val="en-US"/>
        </w:rPr>
        <w:t>Added</w:t>
      </w:r>
      <w:r w:rsidRPr="004A3FC2">
        <w:rPr>
          <w:rFonts w:eastAsia="Times New Roman" w:cs="Arial"/>
          <w:color w:val="000000"/>
        </w:rPr>
        <w:t xml:space="preserve"> </w:t>
      </w:r>
      <w:r w:rsidRPr="004A3FC2">
        <w:rPr>
          <w:rFonts w:eastAsia="Times New Roman" w:cs="Arial"/>
          <w:color w:val="000000"/>
          <w:lang w:eastAsia="bg-BG"/>
        </w:rPr>
        <w:t>(</w:t>
      </w:r>
      <w:r w:rsidRPr="004A3FC2">
        <w:rPr>
          <w:rFonts w:eastAsia="Times New Roman" w:cs="Arial"/>
          <w:color w:val="000000"/>
          <w:lang w:val="en-US"/>
        </w:rPr>
        <w:t>n</w:t>
      </w:r>
      <w:r w:rsidRPr="004A3FC2">
        <w:rPr>
          <w:rFonts w:eastAsia="Times New Roman" w:cs="Arial"/>
          <w:color w:val="000000"/>
        </w:rPr>
        <w:t>=</w:t>
      </w:r>
      <w:r w:rsidRPr="004A3FC2">
        <w:rPr>
          <w:rFonts w:eastAsia="Times New Roman" w:cs="Arial"/>
          <w:color w:val="000000"/>
          <w:lang w:eastAsia="bg-BG"/>
        </w:rPr>
        <w:t xml:space="preserve">2 548) при пациенти с </w:t>
      </w:r>
      <w:r w:rsidRPr="004A3FC2">
        <w:rPr>
          <w:rFonts w:eastAsia="Times New Roman" w:cs="Arial"/>
          <w:color w:val="000000"/>
          <w:lang w:val="en-US"/>
        </w:rPr>
        <w:t>LVEF</w:t>
      </w:r>
      <w:r w:rsidRPr="004A3FC2">
        <w:rPr>
          <w:rFonts w:eastAsia="Times New Roman" w:cs="Arial"/>
          <w:color w:val="000000"/>
        </w:rPr>
        <w:t xml:space="preserve"> </w:t>
      </w:r>
      <w:r w:rsidRPr="004A3FC2">
        <w:rPr>
          <w:rFonts w:eastAsia="Times New Roman" w:cs="Arial"/>
          <w:color w:val="000000"/>
          <w:lang w:eastAsia="bg-BG"/>
        </w:rPr>
        <w:t xml:space="preserve">≤40%, които са лекувани с АСЕ инхибитор, и </w:t>
      </w:r>
      <w:r w:rsidRPr="004A3FC2">
        <w:rPr>
          <w:rFonts w:eastAsia="Times New Roman" w:cs="Arial"/>
          <w:color w:val="000000"/>
          <w:lang w:val="en-US"/>
        </w:rPr>
        <w:t>CHARM</w:t>
      </w:r>
      <w:r w:rsidRPr="004A3FC2">
        <w:rPr>
          <w:rFonts w:eastAsia="Times New Roman" w:cs="Arial"/>
          <w:color w:val="000000"/>
        </w:rPr>
        <w:t>-</w:t>
      </w:r>
      <w:r w:rsidRPr="004A3FC2">
        <w:rPr>
          <w:rFonts w:eastAsia="Times New Roman" w:cs="Arial"/>
          <w:color w:val="000000"/>
          <w:lang w:val="en-US"/>
        </w:rPr>
        <w:t>Preserved</w:t>
      </w:r>
      <w:r w:rsidRPr="004A3FC2">
        <w:rPr>
          <w:rFonts w:eastAsia="Times New Roman" w:cs="Arial"/>
          <w:color w:val="000000"/>
        </w:rPr>
        <w:t xml:space="preserve"> </w:t>
      </w:r>
      <w:r w:rsidRPr="004A3FC2">
        <w:rPr>
          <w:rFonts w:eastAsia="Times New Roman" w:cs="Arial"/>
          <w:color w:val="000000"/>
          <w:lang w:eastAsia="bg-BG"/>
        </w:rPr>
        <w:t>(</w:t>
      </w:r>
      <w:r w:rsidRPr="004A3FC2">
        <w:rPr>
          <w:rFonts w:eastAsia="Times New Roman" w:cs="Arial"/>
          <w:color w:val="000000"/>
          <w:lang w:val="en-US"/>
        </w:rPr>
        <w:t>n</w:t>
      </w:r>
      <w:r w:rsidRPr="004A3FC2">
        <w:rPr>
          <w:rFonts w:eastAsia="Times New Roman" w:cs="Arial"/>
          <w:color w:val="000000"/>
          <w:lang w:eastAsia="bg-BG"/>
        </w:rPr>
        <w:t xml:space="preserve">=3 023) при пациенти с </w:t>
      </w:r>
      <w:r w:rsidRPr="004A3FC2">
        <w:rPr>
          <w:rFonts w:eastAsia="Times New Roman" w:cs="Arial"/>
          <w:color w:val="000000"/>
          <w:lang w:val="en-US"/>
        </w:rPr>
        <w:t>LVEF</w:t>
      </w:r>
      <w:r w:rsidRPr="004A3FC2">
        <w:rPr>
          <w:rFonts w:eastAsia="Times New Roman" w:cs="Arial"/>
          <w:color w:val="000000"/>
        </w:rPr>
        <w:t xml:space="preserve"> </w:t>
      </w:r>
      <w:r w:rsidRPr="004A3FC2">
        <w:rPr>
          <w:rFonts w:eastAsia="Times New Roman" w:cs="Arial"/>
          <w:color w:val="000000"/>
          <w:lang w:eastAsia="bg-BG"/>
        </w:rPr>
        <w:t xml:space="preserve">&gt; 40%. Пациентите на оптимална терапия за ХСН на изходно ниво са рандомизирани да получават плацебо или кандесартан цилексетил (титриран от 4 или 8 </w:t>
      </w:r>
      <w:r w:rsidRPr="004A3FC2">
        <w:rPr>
          <w:rFonts w:eastAsia="Times New Roman" w:cs="Arial"/>
          <w:color w:val="000000"/>
          <w:lang w:val="en-US"/>
        </w:rPr>
        <w:t>mg</w:t>
      </w:r>
      <w:r w:rsidRPr="004A3FC2">
        <w:rPr>
          <w:rFonts w:eastAsia="Times New Roman" w:cs="Arial"/>
          <w:color w:val="000000"/>
          <w:lang w:val="ru-RU"/>
        </w:rPr>
        <w:t xml:space="preserve"> </w:t>
      </w:r>
      <w:r w:rsidRPr="004A3FC2">
        <w:rPr>
          <w:rFonts w:eastAsia="Times New Roman" w:cs="Arial"/>
          <w:color w:val="000000"/>
          <w:lang w:eastAsia="bg-BG"/>
        </w:rPr>
        <w:t xml:space="preserve">еднократно дневно до 32 </w:t>
      </w:r>
      <w:r w:rsidRPr="004A3FC2">
        <w:rPr>
          <w:rFonts w:eastAsia="Times New Roman" w:cs="Arial"/>
          <w:color w:val="000000"/>
          <w:lang w:val="en-US"/>
        </w:rPr>
        <w:t>mg</w:t>
      </w:r>
      <w:r w:rsidRPr="004A3FC2">
        <w:rPr>
          <w:rFonts w:eastAsia="Times New Roman" w:cs="Arial"/>
          <w:color w:val="000000"/>
          <w:lang w:val="ru-RU"/>
        </w:rPr>
        <w:t xml:space="preserve"> </w:t>
      </w:r>
      <w:r w:rsidRPr="004A3FC2">
        <w:rPr>
          <w:rFonts w:eastAsia="Times New Roman" w:cs="Arial"/>
          <w:color w:val="000000"/>
          <w:lang w:eastAsia="bg-BG"/>
        </w:rPr>
        <w:t xml:space="preserve">еднократно дневно или до най-високата поносима доза, средна доза 24 </w:t>
      </w:r>
      <w:r w:rsidRPr="004A3FC2">
        <w:rPr>
          <w:rFonts w:eastAsia="Times New Roman" w:cs="Arial"/>
          <w:color w:val="000000"/>
          <w:lang w:val="en-US"/>
        </w:rPr>
        <w:t>mg</w:t>
      </w:r>
      <w:r w:rsidRPr="004A3FC2">
        <w:rPr>
          <w:rFonts w:eastAsia="Times New Roman" w:cs="Arial"/>
          <w:color w:val="000000"/>
          <w:lang w:val="ru-RU"/>
        </w:rPr>
        <w:t xml:space="preserve">) </w:t>
      </w:r>
      <w:r w:rsidRPr="004A3FC2">
        <w:rPr>
          <w:rFonts w:eastAsia="Times New Roman" w:cs="Arial"/>
          <w:color w:val="000000"/>
          <w:lang w:eastAsia="bg-BG"/>
        </w:rPr>
        <w:t xml:space="preserve">и са проследявани средно 37,7 месеца. След 6-месечно лечение 63% от пациентите, продължаващи да приемат кандесартан цилексетил (89%), са били на таргетната доза от 32 </w:t>
      </w:r>
      <w:r w:rsidRPr="004A3FC2">
        <w:rPr>
          <w:rFonts w:eastAsia="Times New Roman" w:cs="Arial"/>
          <w:color w:val="000000"/>
          <w:lang w:val="en-US"/>
        </w:rPr>
        <w:t>mg</w:t>
      </w:r>
      <w:r w:rsidRPr="004A3FC2">
        <w:rPr>
          <w:rFonts w:eastAsia="Times New Roman" w:cs="Arial"/>
          <w:color w:val="000000"/>
          <w:lang w:val="ru-RU"/>
        </w:rPr>
        <w:t>.</w:t>
      </w:r>
    </w:p>
    <w:p w14:paraId="2F2A526B" w14:textId="77777777" w:rsidR="004A3FC2" w:rsidRPr="004A3FC2" w:rsidRDefault="004A3FC2" w:rsidP="004A3FC2">
      <w:pPr>
        <w:spacing w:line="240" w:lineRule="auto"/>
        <w:rPr>
          <w:rFonts w:eastAsia="Times New Roman" w:cs="Arial"/>
          <w:color w:val="000000"/>
          <w:lang w:eastAsia="bg-BG"/>
        </w:rPr>
      </w:pPr>
    </w:p>
    <w:p w14:paraId="5C5CC77A" w14:textId="55A82899"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В </w:t>
      </w:r>
      <w:r w:rsidRPr="004A3FC2">
        <w:rPr>
          <w:rFonts w:eastAsia="Times New Roman" w:cs="Arial"/>
          <w:color w:val="000000"/>
          <w:lang w:val="en-US"/>
        </w:rPr>
        <w:t>CHARM</w:t>
      </w:r>
      <w:r w:rsidRPr="004A3FC2">
        <w:rPr>
          <w:rFonts w:eastAsia="Times New Roman" w:cs="Arial"/>
          <w:color w:val="000000"/>
          <w:lang w:val="ru-RU"/>
        </w:rPr>
        <w:t>-</w:t>
      </w:r>
      <w:r w:rsidRPr="004A3FC2">
        <w:rPr>
          <w:rFonts w:eastAsia="Times New Roman" w:cs="Arial"/>
          <w:color w:val="000000"/>
          <w:lang w:val="en-US"/>
        </w:rPr>
        <w:t>Alternative</w:t>
      </w:r>
      <w:r w:rsidRPr="004A3FC2">
        <w:rPr>
          <w:rFonts w:eastAsia="Times New Roman" w:cs="Arial"/>
          <w:color w:val="000000"/>
          <w:lang w:val="ru-RU"/>
        </w:rPr>
        <w:t xml:space="preserve"> </w:t>
      </w:r>
      <w:r w:rsidRPr="004A3FC2">
        <w:rPr>
          <w:rFonts w:eastAsia="Times New Roman" w:cs="Arial"/>
          <w:color w:val="000000"/>
          <w:lang w:eastAsia="bg-BG"/>
        </w:rPr>
        <w:t xml:space="preserve">съставната крайна точка от сърдечно-съдова смъртност или първа хоспитализация за ХСН показва значима редукция за кандесартан в сравнение с плацебо, коефициент на риск </w:t>
      </w:r>
      <w:r w:rsidRPr="004A3FC2">
        <w:rPr>
          <w:rFonts w:eastAsia="Times New Roman" w:cs="Arial"/>
          <w:color w:val="000000"/>
          <w:lang w:val="ru-RU"/>
        </w:rPr>
        <w:t>(</w:t>
      </w:r>
      <w:r w:rsidRPr="004A3FC2">
        <w:rPr>
          <w:rFonts w:eastAsia="Times New Roman" w:cs="Arial"/>
          <w:color w:val="000000"/>
          <w:lang w:val="en-US"/>
        </w:rPr>
        <w:t>HR</w:t>
      </w:r>
      <w:r w:rsidRPr="004A3FC2">
        <w:rPr>
          <w:rFonts w:eastAsia="Times New Roman" w:cs="Arial"/>
          <w:color w:val="000000"/>
          <w:lang w:val="ru-RU"/>
        </w:rPr>
        <w:t xml:space="preserve">) </w:t>
      </w:r>
      <w:r w:rsidRPr="004A3FC2">
        <w:rPr>
          <w:rFonts w:eastAsia="Times New Roman" w:cs="Arial"/>
          <w:color w:val="000000"/>
          <w:lang w:eastAsia="bg-BG"/>
        </w:rPr>
        <w:t xml:space="preserve">0,77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 xml:space="preserve">0,67 до 0,89, р&lt; 0,001). Това съответства на редукция на релативния риск 23%. Тази крайна точка се установява при 33,0% от пациентите на кандесартан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 xml:space="preserve">30,1 до 36,0) и при 40,0% от пациентите на плацебо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 xml:space="preserve">37,0 до 43,1), като абсолютната разлика е 7,0%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 xml:space="preserve">11,2 до 2,8). За цялата продължителност на проучването, броят пациенти, които е трябвало да бъдат лекувани, за да се предотврати един смъртен случай от сърдечно-съдов инцидент или хоспитализация за лечение на сърдечна недостатъчност е 14. Съставната крайна точка от смъртност, без значение на причината, или първа хоспитализация за ХСН също показва значима редукция в групата на кандесартан, </w:t>
      </w:r>
      <w:r w:rsidRPr="004A3FC2">
        <w:rPr>
          <w:rFonts w:eastAsia="Times New Roman" w:cs="Arial"/>
          <w:color w:val="000000"/>
          <w:lang w:val="en-US"/>
        </w:rPr>
        <w:t>HR</w:t>
      </w:r>
      <w:r w:rsidRPr="004A3FC2">
        <w:rPr>
          <w:rFonts w:eastAsia="Times New Roman" w:cs="Arial"/>
          <w:color w:val="000000"/>
          <w:lang w:val="ru-RU"/>
        </w:rPr>
        <w:t xml:space="preserve"> </w:t>
      </w:r>
      <w:r w:rsidRPr="004A3FC2">
        <w:rPr>
          <w:rFonts w:eastAsia="Times New Roman" w:cs="Arial"/>
          <w:color w:val="000000"/>
          <w:lang w:eastAsia="bg-BG"/>
        </w:rPr>
        <w:t xml:space="preserve">0,80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 xml:space="preserve">0,70 до 0,92, р=0,001). Тази крайна точка се установява при 36,6% от пациентите на кандесартан (95% </w:t>
      </w:r>
      <w:r w:rsidRPr="004A3FC2">
        <w:rPr>
          <w:rFonts w:eastAsia="Times New Roman" w:cs="Arial"/>
          <w:color w:val="000000"/>
          <w:lang w:val="en-US"/>
        </w:rPr>
        <w:lastRenderedPageBreak/>
        <w:t>CI</w:t>
      </w:r>
      <w:r w:rsidRPr="004A3FC2">
        <w:rPr>
          <w:rFonts w:eastAsia="Times New Roman" w:cs="Arial"/>
          <w:color w:val="000000"/>
          <w:lang w:val="ru-RU"/>
        </w:rPr>
        <w:t xml:space="preserve">: </w:t>
      </w:r>
      <w:r w:rsidRPr="004A3FC2">
        <w:rPr>
          <w:rFonts w:eastAsia="Times New Roman" w:cs="Arial"/>
          <w:color w:val="000000"/>
          <w:lang w:eastAsia="bg-BG"/>
        </w:rPr>
        <w:t xml:space="preserve">33,7 до 39,7) и 42,7% от пациентите на плацебо (95% С1: 39,6 до 45,8), като абсолютната разлика е 6,0%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10,3 до 1,8). И при двата компонента на тази съставна крайна точка смъртност и заболеваемост (хоспитализация за ХСН), данните говорят за благоприятните ефекти на кандесартан. Лечението с кандесартан цилексетил води до подобрение по отношение</w:t>
      </w:r>
    </w:p>
    <w:p w14:paraId="2677988D" w14:textId="6E5D6B49"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на функционалния клас по </w:t>
      </w:r>
      <w:r w:rsidRPr="004A3FC2">
        <w:rPr>
          <w:rFonts w:eastAsia="Times New Roman" w:cs="Arial"/>
          <w:color w:val="000000"/>
          <w:lang w:val="en-US"/>
        </w:rPr>
        <w:t>NYHA</w:t>
      </w:r>
      <w:r w:rsidRPr="004A3FC2">
        <w:rPr>
          <w:rFonts w:eastAsia="Times New Roman" w:cs="Arial"/>
          <w:color w:val="000000"/>
          <w:lang w:val="ru-RU"/>
        </w:rPr>
        <w:t xml:space="preserve"> </w:t>
      </w:r>
      <w:r w:rsidRPr="004A3FC2">
        <w:rPr>
          <w:rFonts w:eastAsia="Times New Roman" w:cs="Arial"/>
          <w:color w:val="000000"/>
          <w:lang w:eastAsia="bg-BG"/>
        </w:rPr>
        <w:t>(р=0,008).</w:t>
      </w:r>
    </w:p>
    <w:p w14:paraId="5090CFA2" w14:textId="05A8AEBD" w:rsidR="004A3FC2" w:rsidRPr="004A3FC2" w:rsidRDefault="004A3FC2" w:rsidP="004A3FC2">
      <w:pPr>
        <w:rPr>
          <w:rFonts w:cs="Arial"/>
        </w:rPr>
      </w:pPr>
    </w:p>
    <w:p w14:paraId="0C6208A7" w14:textId="77777777" w:rsidR="004A3FC2" w:rsidRPr="004A3FC2" w:rsidRDefault="004A3FC2" w:rsidP="004A3FC2">
      <w:pPr>
        <w:spacing w:line="240" w:lineRule="auto"/>
        <w:rPr>
          <w:rFonts w:eastAsia="Times New Roman" w:cs="Arial"/>
        </w:rPr>
      </w:pPr>
      <w:r w:rsidRPr="004A3FC2">
        <w:rPr>
          <w:rFonts w:eastAsia="Times New Roman" w:cs="Arial"/>
          <w:color w:val="000000"/>
          <w:lang w:val="en-US"/>
        </w:rPr>
        <w:t>B</w:t>
      </w:r>
      <w:r w:rsidRPr="004A3FC2">
        <w:rPr>
          <w:rFonts w:eastAsia="Times New Roman" w:cs="Arial"/>
          <w:color w:val="000000"/>
          <w:lang w:val="ru-RU"/>
        </w:rPr>
        <w:t xml:space="preserve"> </w:t>
      </w:r>
      <w:r w:rsidRPr="004A3FC2">
        <w:rPr>
          <w:rFonts w:eastAsia="Times New Roman" w:cs="Arial"/>
          <w:color w:val="000000"/>
          <w:lang w:val="en-US"/>
        </w:rPr>
        <w:t>CHARM</w:t>
      </w:r>
      <w:r w:rsidRPr="004A3FC2">
        <w:rPr>
          <w:rFonts w:eastAsia="Times New Roman" w:cs="Arial"/>
          <w:color w:val="000000"/>
          <w:lang w:val="ru-RU"/>
        </w:rPr>
        <w:t>-</w:t>
      </w:r>
      <w:r w:rsidRPr="004A3FC2">
        <w:rPr>
          <w:rFonts w:eastAsia="Times New Roman" w:cs="Arial"/>
          <w:color w:val="000000"/>
          <w:lang w:val="en-US"/>
        </w:rPr>
        <w:t>Added</w:t>
      </w:r>
      <w:r w:rsidRPr="004A3FC2">
        <w:rPr>
          <w:rFonts w:eastAsia="Times New Roman" w:cs="Arial"/>
          <w:color w:val="000000"/>
          <w:lang w:val="ru-RU"/>
        </w:rPr>
        <w:t xml:space="preserve"> </w:t>
      </w:r>
      <w:r w:rsidRPr="004A3FC2">
        <w:rPr>
          <w:rFonts w:eastAsia="Times New Roman" w:cs="Arial"/>
          <w:color w:val="000000"/>
          <w:lang w:eastAsia="bg-BG"/>
        </w:rPr>
        <w:t xml:space="preserve">съставната крайна точка от сърдечно-съдова смъртност или първа хоспитализация за ХСН показва значима редукция за кандесартан в сравнение с плацебо. </w:t>
      </w:r>
      <w:r w:rsidRPr="004A3FC2">
        <w:rPr>
          <w:rFonts w:eastAsia="Times New Roman" w:cs="Arial"/>
          <w:color w:val="000000"/>
          <w:lang w:val="en-US"/>
        </w:rPr>
        <w:t>HR</w:t>
      </w:r>
      <w:r w:rsidRPr="004A3FC2">
        <w:rPr>
          <w:rFonts w:eastAsia="Times New Roman" w:cs="Arial"/>
          <w:color w:val="000000"/>
          <w:lang w:val="ru-RU"/>
        </w:rPr>
        <w:t xml:space="preserve"> </w:t>
      </w:r>
      <w:r w:rsidRPr="004A3FC2">
        <w:rPr>
          <w:rFonts w:eastAsia="Times New Roman" w:cs="Arial"/>
          <w:color w:val="000000"/>
          <w:lang w:eastAsia="bg-BG"/>
        </w:rPr>
        <w:t>0</w:t>
      </w:r>
      <w:proofErr w:type="gramStart"/>
      <w:r w:rsidRPr="004A3FC2">
        <w:rPr>
          <w:rFonts w:eastAsia="Times New Roman" w:cs="Arial"/>
          <w:color w:val="000000"/>
          <w:lang w:eastAsia="bg-BG"/>
        </w:rPr>
        <w:t>,85</w:t>
      </w:r>
      <w:proofErr w:type="gramEnd"/>
      <w:r w:rsidRPr="004A3FC2">
        <w:rPr>
          <w:rFonts w:eastAsia="Times New Roman" w:cs="Arial"/>
          <w:color w:val="000000"/>
          <w:lang w:eastAsia="bg-BG"/>
        </w:rPr>
        <w:t xml:space="preserve">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 xml:space="preserve">0,75 до 0,96, р=0,011). Това съответства на релативна редукция на риска от 15%. Тази крайна точка е установена при 37,9% от пациентите на кандесартан (95% С1: 35,2 до 40,6) и 42,3% от пациентите на плацебо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 xml:space="preserve">39,6 до 45,1), като абсолютната разлика е 4,4% (95% С1: 8,2 до 0,6). За цялата продължителност на проучването броят пациенти, които трябва да бъдат лекувани, за да се предотврати един смъртен случай от сърдечно-съдов инцидент или една хоспитализация за лечение на сърдечна недостатъчност е 23. Съставната крайна точка от смъртност, без значение на причината или първа хоспитализация за ХСН, също показва значима редукция в групата на кандесартан, </w:t>
      </w:r>
      <w:r w:rsidRPr="004A3FC2">
        <w:rPr>
          <w:rFonts w:eastAsia="Times New Roman" w:cs="Arial"/>
          <w:color w:val="000000"/>
          <w:lang w:val="en-US"/>
        </w:rPr>
        <w:t>HR</w:t>
      </w:r>
      <w:r w:rsidRPr="004A3FC2">
        <w:rPr>
          <w:rFonts w:eastAsia="Times New Roman" w:cs="Arial"/>
          <w:color w:val="000000"/>
          <w:lang w:val="ru-RU"/>
        </w:rPr>
        <w:t xml:space="preserve"> </w:t>
      </w:r>
      <w:r w:rsidRPr="004A3FC2">
        <w:rPr>
          <w:rFonts w:eastAsia="Times New Roman" w:cs="Arial"/>
          <w:color w:val="000000"/>
          <w:lang w:eastAsia="bg-BG"/>
        </w:rPr>
        <w:t xml:space="preserve">0,87 (95% </w:t>
      </w:r>
      <w:r w:rsidRPr="004A3FC2">
        <w:rPr>
          <w:rFonts w:eastAsia="Times New Roman" w:cs="Arial"/>
          <w:color w:val="000000"/>
          <w:lang w:val="en-US"/>
        </w:rPr>
        <w:t>Cl</w:t>
      </w:r>
      <w:r w:rsidRPr="004A3FC2">
        <w:rPr>
          <w:rFonts w:eastAsia="Times New Roman" w:cs="Arial"/>
          <w:color w:val="000000"/>
          <w:lang w:val="ru-RU"/>
        </w:rPr>
        <w:t xml:space="preserve">: </w:t>
      </w:r>
      <w:r w:rsidRPr="004A3FC2">
        <w:rPr>
          <w:rFonts w:eastAsia="Times New Roman" w:cs="Arial"/>
          <w:color w:val="000000"/>
          <w:lang w:eastAsia="bg-BG"/>
        </w:rPr>
        <w:t xml:space="preserve">0.78 до 0,98, р=0,021). Тази крайна точка е установена при 42,2% от пациентите на кандесартан (95% С1: 39,5 до 45,0) и 46,1% от пациентите на плацебо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 xml:space="preserve">43,4 до 48,9), като абсолютната разлика е 3,9%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 xml:space="preserve">7,8 до 0.1). И двата компонента на тези съставни крайни точки - смъртност и заболеваемост (хоспитализации за ХСН), допринасят за благоприятните ефекти на кандесартан. Лечението с кандесартан цилексетил води до подобрение по отношение на функционалния клас по </w:t>
      </w:r>
      <w:r w:rsidRPr="004A3FC2">
        <w:rPr>
          <w:rFonts w:eastAsia="Times New Roman" w:cs="Arial"/>
          <w:color w:val="000000"/>
          <w:lang w:val="en-US"/>
        </w:rPr>
        <w:t>NYHA</w:t>
      </w:r>
      <w:r w:rsidRPr="004A3FC2">
        <w:rPr>
          <w:rFonts w:eastAsia="Times New Roman" w:cs="Arial"/>
          <w:color w:val="000000"/>
          <w:lang w:val="ru-RU"/>
        </w:rPr>
        <w:t xml:space="preserve"> </w:t>
      </w:r>
      <w:r w:rsidRPr="004A3FC2">
        <w:rPr>
          <w:rFonts w:eastAsia="Times New Roman" w:cs="Arial"/>
          <w:color w:val="000000"/>
          <w:lang w:eastAsia="bg-BG"/>
        </w:rPr>
        <w:t>(р=0,020).</w:t>
      </w:r>
    </w:p>
    <w:p w14:paraId="76EFBCE8" w14:textId="77777777" w:rsidR="004A3FC2" w:rsidRPr="004A3FC2" w:rsidRDefault="004A3FC2" w:rsidP="004A3FC2">
      <w:pPr>
        <w:spacing w:line="240" w:lineRule="auto"/>
        <w:rPr>
          <w:rFonts w:eastAsia="Times New Roman" w:cs="Arial"/>
          <w:color w:val="000000"/>
          <w:lang w:eastAsia="bg-BG"/>
        </w:rPr>
      </w:pPr>
    </w:p>
    <w:p w14:paraId="27F2AC09" w14:textId="16B69E9D"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В </w:t>
      </w:r>
      <w:r w:rsidRPr="004A3FC2">
        <w:rPr>
          <w:rFonts w:eastAsia="Times New Roman" w:cs="Arial"/>
          <w:color w:val="000000"/>
          <w:lang w:val="en-US"/>
        </w:rPr>
        <w:t>CHARM</w:t>
      </w:r>
      <w:r w:rsidRPr="004A3FC2">
        <w:rPr>
          <w:rFonts w:eastAsia="Times New Roman" w:cs="Arial"/>
          <w:color w:val="000000"/>
          <w:lang w:val="ru-RU"/>
        </w:rPr>
        <w:t>-</w:t>
      </w:r>
      <w:r w:rsidRPr="004A3FC2">
        <w:rPr>
          <w:rFonts w:eastAsia="Times New Roman" w:cs="Arial"/>
          <w:color w:val="000000"/>
          <w:lang w:val="en-US"/>
        </w:rPr>
        <w:t>Preserved</w:t>
      </w:r>
      <w:r w:rsidRPr="004A3FC2">
        <w:rPr>
          <w:rFonts w:eastAsia="Times New Roman" w:cs="Arial"/>
          <w:color w:val="000000"/>
          <w:lang w:val="ru-RU"/>
        </w:rPr>
        <w:t xml:space="preserve"> </w:t>
      </w:r>
      <w:r w:rsidRPr="004A3FC2">
        <w:rPr>
          <w:rFonts w:eastAsia="Times New Roman" w:cs="Arial"/>
          <w:color w:val="000000"/>
          <w:lang w:eastAsia="bg-BG"/>
        </w:rPr>
        <w:t xml:space="preserve">не се постига статистически значима редукция по отношение на съставната крайна точка от сърдечно-съдова смъртност или първа хоспитализация за ХСН, </w:t>
      </w:r>
      <w:r w:rsidRPr="004A3FC2">
        <w:rPr>
          <w:rFonts w:eastAsia="Times New Roman" w:cs="Arial"/>
          <w:color w:val="000000"/>
          <w:lang w:val="en-US"/>
        </w:rPr>
        <w:t>HR</w:t>
      </w:r>
      <w:r w:rsidRPr="004A3FC2">
        <w:rPr>
          <w:rFonts w:eastAsia="Times New Roman" w:cs="Arial"/>
          <w:color w:val="000000"/>
          <w:lang w:val="ru-RU"/>
        </w:rPr>
        <w:t xml:space="preserve"> </w:t>
      </w:r>
      <w:r w:rsidRPr="004A3FC2">
        <w:rPr>
          <w:rFonts w:eastAsia="Times New Roman" w:cs="Arial"/>
          <w:color w:val="000000"/>
          <w:lang w:eastAsia="bg-BG"/>
        </w:rPr>
        <w:t xml:space="preserve">0,89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0,77 до 1,03, р=0,118).</w:t>
      </w:r>
    </w:p>
    <w:p w14:paraId="23BEA60B" w14:textId="77777777"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Смъртността, без значение на причината, не показва статистически значими различия, когато се изследва поотделно във всяко от трите проучвания </w:t>
      </w:r>
      <w:r w:rsidRPr="004A3FC2">
        <w:rPr>
          <w:rFonts w:eastAsia="Times New Roman" w:cs="Arial"/>
          <w:color w:val="000000"/>
          <w:lang w:val="en-US"/>
        </w:rPr>
        <w:t>CHARM</w:t>
      </w:r>
      <w:r w:rsidRPr="004A3FC2">
        <w:rPr>
          <w:rFonts w:eastAsia="Times New Roman" w:cs="Arial"/>
          <w:color w:val="000000"/>
          <w:lang w:val="ru-RU"/>
        </w:rPr>
        <w:t xml:space="preserve">. </w:t>
      </w:r>
      <w:r w:rsidRPr="004A3FC2">
        <w:rPr>
          <w:rFonts w:eastAsia="Times New Roman" w:cs="Arial"/>
          <w:color w:val="000000"/>
          <w:lang w:eastAsia="bg-BG"/>
        </w:rPr>
        <w:t xml:space="preserve">Обаче, смъртността без значение на причината, е оценена също в сборни популации - </w:t>
      </w:r>
      <w:r w:rsidRPr="004A3FC2">
        <w:rPr>
          <w:rFonts w:eastAsia="Times New Roman" w:cs="Arial"/>
          <w:color w:val="000000"/>
          <w:lang w:val="en-US"/>
        </w:rPr>
        <w:t>CHARM</w:t>
      </w:r>
      <w:r w:rsidRPr="004A3FC2">
        <w:rPr>
          <w:rFonts w:eastAsia="Times New Roman" w:cs="Arial"/>
          <w:color w:val="000000"/>
          <w:lang w:val="ru-RU"/>
        </w:rPr>
        <w:t>-</w:t>
      </w:r>
      <w:r w:rsidRPr="004A3FC2">
        <w:rPr>
          <w:rFonts w:eastAsia="Times New Roman" w:cs="Arial"/>
          <w:color w:val="000000"/>
          <w:lang w:val="en-US"/>
        </w:rPr>
        <w:t>Alternative</w:t>
      </w:r>
      <w:r w:rsidRPr="004A3FC2">
        <w:rPr>
          <w:rFonts w:eastAsia="Times New Roman" w:cs="Arial"/>
          <w:color w:val="000000"/>
          <w:lang w:val="ru-RU"/>
        </w:rPr>
        <w:t xml:space="preserve"> </w:t>
      </w:r>
      <w:r w:rsidRPr="004A3FC2">
        <w:rPr>
          <w:rFonts w:eastAsia="Times New Roman" w:cs="Arial"/>
          <w:color w:val="000000"/>
          <w:lang w:eastAsia="bg-BG"/>
        </w:rPr>
        <w:t xml:space="preserve">и </w:t>
      </w:r>
      <w:r w:rsidRPr="004A3FC2">
        <w:rPr>
          <w:rFonts w:eastAsia="Times New Roman" w:cs="Arial"/>
          <w:color w:val="000000"/>
          <w:lang w:val="en-US"/>
        </w:rPr>
        <w:t>CHARM</w:t>
      </w:r>
      <w:r w:rsidRPr="004A3FC2">
        <w:rPr>
          <w:rFonts w:eastAsia="Times New Roman" w:cs="Arial"/>
          <w:color w:val="000000"/>
          <w:lang w:val="ru-RU"/>
        </w:rPr>
        <w:t>-</w:t>
      </w:r>
      <w:r w:rsidRPr="004A3FC2">
        <w:rPr>
          <w:rFonts w:eastAsia="Times New Roman" w:cs="Arial"/>
          <w:color w:val="000000"/>
          <w:lang w:val="en-US"/>
        </w:rPr>
        <w:t>Added</w:t>
      </w:r>
      <w:r w:rsidRPr="004A3FC2">
        <w:rPr>
          <w:rFonts w:eastAsia="Times New Roman" w:cs="Arial"/>
          <w:color w:val="000000"/>
          <w:lang w:val="ru-RU"/>
        </w:rPr>
        <w:t xml:space="preserve">, </w:t>
      </w:r>
      <w:r w:rsidRPr="004A3FC2">
        <w:rPr>
          <w:rFonts w:eastAsia="Times New Roman" w:cs="Arial"/>
          <w:color w:val="000000"/>
          <w:lang w:val="en-US"/>
        </w:rPr>
        <w:t>HR</w:t>
      </w:r>
      <w:r w:rsidRPr="004A3FC2">
        <w:rPr>
          <w:rFonts w:eastAsia="Times New Roman" w:cs="Arial"/>
          <w:color w:val="000000"/>
          <w:lang w:val="ru-RU"/>
        </w:rPr>
        <w:t xml:space="preserve"> </w:t>
      </w:r>
      <w:r w:rsidRPr="004A3FC2">
        <w:rPr>
          <w:rFonts w:eastAsia="Times New Roman" w:cs="Arial"/>
          <w:color w:val="000000"/>
          <w:lang w:eastAsia="bg-BG"/>
        </w:rPr>
        <w:t xml:space="preserve">0,88 (95% </w:t>
      </w:r>
      <w:r w:rsidRPr="004A3FC2">
        <w:rPr>
          <w:rFonts w:eastAsia="Times New Roman" w:cs="Arial"/>
          <w:color w:val="000000"/>
          <w:lang w:val="en-US"/>
        </w:rPr>
        <w:t>CI</w:t>
      </w:r>
      <w:r w:rsidRPr="004A3FC2">
        <w:rPr>
          <w:rFonts w:eastAsia="Times New Roman" w:cs="Arial"/>
          <w:color w:val="000000"/>
          <w:lang w:val="ru-RU"/>
        </w:rPr>
        <w:t xml:space="preserve">: </w:t>
      </w:r>
      <w:r w:rsidRPr="004A3FC2">
        <w:rPr>
          <w:rFonts w:eastAsia="Times New Roman" w:cs="Arial"/>
          <w:color w:val="000000"/>
          <w:lang w:eastAsia="bg-BG"/>
        </w:rPr>
        <w:t xml:space="preserve">0,79 до 0,98, р=0,018, както и във всичките три проучвания, </w:t>
      </w:r>
      <w:r w:rsidRPr="004A3FC2">
        <w:rPr>
          <w:rFonts w:eastAsia="Times New Roman" w:cs="Arial"/>
          <w:color w:val="000000"/>
          <w:lang w:val="en-US"/>
        </w:rPr>
        <w:t>HR</w:t>
      </w:r>
      <w:r w:rsidRPr="004A3FC2">
        <w:rPr>
          <w:rFonts w:eastAsia="Times New Roman" w:cs="Arial"/>
          <w:color w:val="000000"/>
          <w:lang w:val="ru-RU"/>
        </w:rPr>
        <w:t xml:space="preserve"> </w:t>
      </w:r>
      <w:r w:rsidRPr="004A3FC2">
        <w:rPr>
          <w:rFonts w:eastAsia="Times New Roman" w:cs="Arial"/>
          <w:color w:val="000000"/>
          <w:lang w:eastAsia="bg-BG"/>
        </w:rPr>
        <w:t xml:space="preserve">0,91 (95% </w:t>
      </w:r>
      <w:r w:rsidRPr="004A3FC2">
        <w:rPr>
          <w:rFonts w:eastAsia="Times New Roman" w:cs="Arial"/>
          <w:color w:val="000000"/>
          <w:lang w:val="en-US"/>
        </w:rPr>
        <w:t>Cl</w:t>
      </w:r>
      <w:r w:rsidRPr="004A3FC2">
        <w:rPr>
          <w:rFonts w:eastAsia="Times New Roman" w:cs="Arial"/>
          <w:color w:val="000000"/>
          <w:lang w:val="ru-RU"/>
        </w:rPr>
        <w:t xml:space="preserve">: </w:t>
      </w:r>
      <w:r w:rsidRPr="004A3FC2">
        <w:rPr>
          <w:rFonts w:eastAsia="Times New Roman" w:cs="Arial"/>
          <w:color w:val="000000"/>
          <w:lang w:eastAsia="bg-BG"/>
        </w:rPr>
        <w:t>0,83 до 1,00, р=0,055).</w:t>
      </w:r>
    </w:p>
    <w:p w14:paraId="34760F5E" w14:textId="77777777" w:rsidR="004A3FC2" w:rsidRPr="004A3FC2" w:rsidRDefault="004A3FC2" w:rsidP="004A3FC2">
      <w:pPr>
        <w:spacing w:line="240" w:lineRule="auto"/>
        <w:rPr>
          <w:rFonts w:eastAsia="Times New Roman" w:cs="Arial"/>
          <w:color w:val="000000"/>
          <w:lang w:eastAsia="bg-BG"/>
        </w:rPr>
      </w:pPr>
    </w:p>
    <w:p w14:paraId="63F4C67E" w14:textId="662F023F" w:rsidR="004A3FC2" w:rsidRPr="004A3FC2" w:rsidRDefault="004A3FC2" w:rsidP="004A3FC2">
      <w:pPr>
        <w:spacing w:line="240" w:lineRule="auto"/>
        <w:rPr>
          <w:rFonts w:eastAsia="Times New Roman" w:cs="Arial"/>
        </w:rPr>
      </w:pPr>
      <w:r w:rsidRPr="004A3FC2">
        <w:rPr>
          <w:rFonts w:eastAsia="Times New Roman" w:cs="Arial"/>
          <w:color w:val="000000"/>
          <w:lang w:eastAsia="bg-BG"/>
        </w:rPr>
        <w:t>Благоприятните ефекти на кандесартан показват стабилност без значение от възрастта, пола и съпътстващото лечение. Кандесартан е ефективен и при пациенти, приемащи едновременно бета-блокери и АСЕ инхибитори, като благоприятният ефект се постига без значение дали пациентите приемат АСЕ инхибитора в препоръчаната в ръководствата за лечение таргетна доза.</w:t>
      </w:r>
    </w:p>
    <w:p w14:paraId="7BD05162" w14:textId="77777777" w:rsidR="004A3FC2" w:rsidRPr="004A3FC2" w:rsidRDefault="004A3FC2" w:rsidP="004A3FC2">
      <w:pPr>
        <w:spacing w:line="240" w:lineRule="auto"/>
        <w:rPr>
          <w:rFonts w:eastAsia="Times New Roman" w:cs="Arial"/>
          <w:color w:val="000000"/>
          <w:lang w:eastAsia="bg-BG"/>
        </w:rPr>
      </w:pPr>
    </w:p>
    <w:p w14:paraId="406FA917" w14:textId="303852E1" w:rsidR="004A3FC2" w:rsidRPr="004A3FC2" w:rsidRDefault="004A3FC2" w:rsidP="004A3FC2">
      <w:pPr>
        <w:spacing w:line="240" w:lineRule="auto"/>
        <w:rPr>
          <w:rFonts w:eastAsia="Times New Roman" w:cs="Arial"/>
        </w:rPr>
      </w:pPr>
      <w:r w:rsidRPr="004A3FC2">
        <w:rPr>
          <w:rFonts w:eastAsia="Times New Roman" w:cs="Arial"/>
          <w:color w:val="000000"/>
          <w:lang w:eastAsia="bg-BG"/>
        </w:rPr>
        <w:t xml:space="preserve">При пациенти с ХСН и ограничена левокамерна систолна функция (фракция на изтласкване от лява камера, </w:t>
      </w:r>
      <w:r w:rsidRPr="004A3FC2">
        <w:rPr>
          <w:rFonts w:eastAsia="Times New Roman" w:cs="Arial"/>
          <w:color w:val="000000"/>
          <w:lang w:val="en-US"/>
        </w:rPr>
        <w:t>LVEF</w:t>
      </w:r>
      <w:r w:rsidRPr="004A3FC2">
        <w:rPr>
          <w:rFonts w:eastAsia="Times New Roman" w:cs="Arial"/>
          <w:color w:val="000000"/>
          <w:lang w:val="ru-RU"/>
        </w:rPr>
        <w:t xml:space="preserve"> </w:t>
      </w:r>
      <w:r w:rsidRPr="004A3FC2">
        <w:rPr>
          <w:rFonts w:eastAsia="Times New Roman" w:cs="Arial"/>
          <w:color w:val="000000"/>
          <w:lang w:eastAsia="bg-BG"/>
        </w:rPr>
        <w:t>&lt;40%), кандесартан понижава системната съдова резистентност и белодробното капилярно налягане на вклиняване, повишава плазмената ренинова активност и концентрацията на ангиотензин II и понижава нивата на алдостерона.</w:t>
      </w:r>
    </w:p>
    <w:p w14:paraId="747540A0" w14:textId="513D403F" w:rsidR="004A3FC2" w:rsidRPr="004A3FC2" w:rsidRDefault="004A3FC2" w:rsidP="004A3FC2"/>
    <w:p w14:paraId="78DD93AA" w14:textId="21C915B0" w:rsidR="00B6672E" w:rsidRDefault="002C50EE" w:rsidP="00936AD0">
      <w:pPr>
        <w:pStyle w:val="Heading2"/>
      </w:pPr>
      <w:r>
        <w:t>5.2. Фармакокинетични свойства</w:t>
      </w:r>
    </w:p>
    <w:p w14:paraId="3A51B4CA" w14:textId="6B917788" w:rsidR="004A3FC2" w:rsidRDefault="004A3FC2" w:rsidP="004A3FC2"/>
    <w:p w14:paraId="329B437C" w14:textId="77777777" w:rsidR="004A3FC2" w:rsidRPr="00F44F03" w:rsidRDefault="004A3FC2" w:rsidP="004A3FC2">
      <w:pPr>
        <w:spacing w:line="240" w:lineRule="auto"/>
        <w:rPr>
          <w:rFonts w:eastAsia="Times New Roman" w:cs="Arial"/>
          <w:sz w:val="32"/>
          <w:szCs w:val="24"/>
        </w:rPr>
      </w:pPr>
      <w:r w:rsidRPr="00F44F03">
        <w:rPr>
          <w:rFonts w:eastAsia="Times New Roman" w:cs="Arial"/>
          <w:i/>
          <w:iCs/>
          <w:color w:val="000000"/>
          <w:szCs w:val="19"/>
          <w:u w:val="single"/>
          <w:lang w:eastAsia="bg-BG"/>
        </w:rPr>
        <w:t>Резорбция и разпределение</w:t>
      </w:r>
    </w:p>
    <w:p w14:paraId="0978B0C3" w14:textId="77777777" w:rsidR="004A3FC2" w:rsidRPr="00F44F03" w:rsidRDefault="004A3FC2" w:rsidP="004A3FC2">
      <w:pPr>
        <w:spacing w:line="240" w:lineRule="auto"/>
        <w:rPr>
          <w:rFonts w:eastAsia="Times New Roman" w:cs="Arial"/>
          <w:sz w:val="32"/>
          <w:szCs w:val="24"/>
        </w:rPr>
      </w:pPr>
      <w:r w:rsidRPr="00F44F03">
        <w:rPr>
          <w:rFonts w:eastAsia="Times New Roman" w:cs="Arial"/>
          <w:color w:val="000000"/>
          <w:szCs w:val="19"/>
          <w:lang w:eastAsia="bg-BG"/>
        </w:rPr>
        <w:lastRenderedPageBreak/>
        <w:t>След перорален прием кандесартан цилексетил се превръща в активното вещество кандесартан. След прием на перорален разтвор на кандесартан цилексетил, абсолютната бионаличност на кандесартан е приблизително 40%. В сравнение със същия перорален разтвор, относителната бионаличност на таблетките е приблизително 34% с минимална вариабилност. Следователно очакваната абсолютна бионаличност на таблетките е 14%. Средната пикова плазмена концентрация (С</w:t>
      </w:r>
      <w:r w:rsidRPr="00F44F03">
        <w:rPr>
          <w:rFonts w:eastAsia="Times New Roman" w:cs="Arial"/>
          <w:color w:val="000000"/>
          <w:szCs w:val="19"/>
          <w:vertAlign w:val="subscript"/>
          <w:lang w:val="en-US"/>
        </w:rPr>
        <w:t>max</w:t>
      </w:r>
      <w:r w:rsidRPr="00F44F03">
        <w:rPr>
          <w:rFonts w:eastAsia="Times New Roman" w:cs="Arial"/>
          <w:color w:val="000000"/>
          <w:szCs w:val="19"/>
          <w:lang w:eastAsia="bg-BG"/>
        </w:rPr>
        <w:t xml:space="preserve">) се достига 3-4 часа след приема на таблетката. Плазмената концентрация на кандесартан нараства линейно с повишаване на дозата в рамките на терапевтичния интервал. Не са наблюдавани различия във фармакокинетиката на кандесартан в зависимост от пола. Площта под кривата плазмена концентрация - време </w:t>
      </w:r>
      <w:r w:rsidRPr="00F44F03">
        <w:rPr>
          <w:rFonts w:eastAsia="Times New Roman" w:cs="Arial"/>
          <w:color w:val="000000"/>
          <w:szCs w:val="19"/>
          <w:lang w:val="ru-RU"/>
        </w:rPr>
        <w:t>(</w:t>
      </w:r>
      <w:r w:rsidRPr="00F44F03">
        <w:rPr>
          <w:rFonts w:eastAsia="Times New Roman" w:cs="Arial"/>
          <w:color w:val="000000"/>
          <w:szCs w:val="19"/>
          <w:lang w:val="en-US"/>
        </w:rPr>
        <w:t>AUC</w:t>
      </w:r>
      <w:r w:rsidRPr="00F44F03">
        <w:rPr>
          <w:rFonts w:eastAsia="Times New Roman" w:cs="Arial"/>
          <w:color w:val="000000"/>
          <w:szCs w:val="19"/>
          <w:lang w:val="ru-RU"/>
        </w:rPr>
        <w:t xml:space="preserve">) </w:t>
      </w:r>
      <w:r w:rsidRPr="00F44F03">
        <w:rPr>
          <w:rFonts w:eastAsia="Times New Roman" w:cs="Arial"/>
          <w:color w:val="000000"/>
          <w:szCs w:val="19"/>
          <w:lang w:eastAsia="bg-BG"/>
        </w:rPr>
        <w:t>на кандесартан не се</w:t>
      </w:r>
      <w:r w:rsidRPr="00F44F03">
        <w:rPr>
          <w:rFonts w:eastAsia="Times New Roman" w:cs="Arial"/>
          <w:color w:val="000000"/>
          <w:szCs w:val="19"/>
          <w:lang w:val="ru-RU"/>
        </w:rPr>
        <w:t xml:space="preserve"> </w:t>
      </w:r>
      <w:r w:rsidRPr="00F44F03">
        <w:rPr>
          <w:rFonts w:eastAsia="Times New Roman" w:cs="Arial"/>
          <w:color w:val="000000"/>
          <w:szCs w:val="19"/>
          <w:lang w:eastAsia="bg-BG"/>
        </w:rPr>
        <w:t>повлиява значимо от приема на храна.</w:t>
      </w:r>
    </w:p>
    <w:p w14:paraId="7621CB9B" w14:textId="77777777" w:rsidR="004A3FC2" w:rsidRPr="00F44F03" w:rsidRDefault="004A3FC2" w:rsidP="004A3FC2">
      <w:pPr>
        <w:spacing w:line="240" w:lineRule="auto"/>
        <w:rPr>
          <w:rFonts w:eastAsia="Times New Roman" w:cs="Arial"/>
          <w:sz w:val="32"/>
          <w:szCs w:val="24"/>
        </w:rPr>
      </w:pPr>
      <w:r w:rsidRPr="00F44F03">
        <w:rPr>
          <w:rFonts w:eastAsia="Times New Roman" w:cs="Arial"/>
          <w:color w:val="000000"/>
          <w:szCs w:val="19"/>
          <w:lang w:eastAsia="bg-BG"/>
        </w:rPr>
        <w:t xml:space="preserve">Кандесартан се свързва във висока степен с плазмените протеини (над 99%). Привидният обем на разпределение на кандесартан е 0,1 </w:t>
      </w:r>
      <w:r w:rsidRPr="00F44F03">
        <w:rPr>
          <w:rFonts w:eastAsia="Times New Roman" w:cs="Arial"/>
          <w:color w:val="000000"/>
          <w:szCs w:val="19"/>
          <w:lang w:val="en-US"/>
        </w:rPr>
        <w:t>l/kg.</w:t>
      </w:r>
    </w:p>
    <w:p w14:paraId="46A3878E" w14:textId="7C2B17ED" w:rsidR="004A3FC2" w:rsidRPr="00F44F03" w:rsidRDefault="004A3FC2" w:rsidP="004A3FC2">
      <w:pPr>
        <w:rPr>
          <w:rFonts w:eastAsia="Times New Roman" w:cs="Arial"/>
          <w:color w:val="000000"/>
          <w:szCs w:val="19"/>
          <w:lang w:eastAsia="bg-BG"/>
        </w:rPr>
      </w:pPr>
      <w:r w:rsidRPr="00F44F03">
        <w:rPr>
          <w:rFonts w:eastAsia="Times New Roman" w:cs="Arial"/>
          <w:color w:val="000000"/>
          <w:szCs w:val="19"/>
          <w:lang w:eastAsia="bg-BG"/>
        </w:rPr>
        <w:t>Бионаличността на кандесартан не се повлиява от приема на храна.</w:t>
      </w:r>
    </w:p>
    <w:p w14:paraId="1C41D3D7" w14:textId="24689295" w:rsidR="004A3FC2" w:rsidRPr="00F44F03" w:rsidRDefault="004A3FC2" w:rsidP="004A3FC2">
      <w:pPr>
        <w:rPr>
          <w:rFonts w:eastAsia="Times New Roman" w:cs="Arial"/>
          <w:color w:val="000000"/>
          <w:szCs w:val="19"/>
          <w:lang w:eastAsia="bg-BG"/>
        </w:rPr>
      </w:pPr>
    </w:p>
    <w:p w14:paraId="2D99C66E" w14:textId="77777777" w:rsidR="004A3FC2" w:rsidRPr="00F44F03" w:rsidRDefault="004A3FC2" w:rsidP="004A3FC2">
      <w:pPr>
        <w:spacing w:line="240" w:lineRule="auto"/>
        <w:rPr>
          <w:rFonts w:eastAsia="Times New Roman" w:cs="Arial"/>
          <w:sz w:val="32"/>
          <w:szCs w:val="24"/>
        </w:rPr>
      </w:pPr>
      <w:r w:rsidRPr="00F44F03">
        <w:rPr>
          <w:rFonts w:eastAsia="Times New Roman" w:cs="Arial"/>
          <w:i/>
          <w:iCs/>
          <w:color w:val="000000"/>
          <w:szCs w:val="19"/>
          <w:u w:val="single"/>
          <w:lang w:eastAsia="bg-BG"/>
        </w:rPr>
        <w:t>Биотрансформация и елиминиране</w:t>
      </w:r>
    </w:p>
    <w:p w14:paraId="7F5E22C1" w14:textId="77777777" w:rsidR="004A3FC2" w:rsidRPr="00F44F03" w:rsidRDefault="004A3FC2" w:rsidP="004A3FC2">
      <w:pPr>
        <w:spacing w:line="240" w:lineRule="auto"/>
        <w:rPr>
          <w:rFonts w:eastAsia="Times New Roman" w:cs="Arial"/>
          <w:sz w:val="32"/>
          <w:szCs w:val="24"/>
        </w:rPr>
      </w:pPr>
      <w:r w:rsidRPr="00F44F03">
        <w:rPr>
          <w:rFonts w:eastAsia="Times New Roman" w:cs="Arial"/>
          <w:color w:val="000000"/>
          <w:szCs w:val="19"/>
          <w:lang w:eastAsia="bg-BG"/>
        </w:rPr>
        <w:t xml:space="preserve">Кандесартан се елиминира предимно непроменен с урината и жлъчния сок, като само в малка степен се елиминира чрез чернодробна трансформация </w:t>
      </w:r>
      <w:r w:rsidRPr="00F44F03">
        <w:rPr>
          <w:rFonts w:eastAsia="Times New Roman" w:cs="Arial"/>
          <w:color w:val="000000"/>
          <w:szCs w:val="19"/>
          <w:lang w:val="ru-RU"/>
        </w:rPr>
        <w:t>(</w:t>
      </w:r>
      <w:r w:rsidRPr="00F44F03">
        <w:rPr>
          <w:rFonts w:eastAsia="Times New Roman" w:cs="Arial"/>
          <w:color w:val="000000"/>
          <w:szCs w:val="19"/>
          <w:lang w:val="en-US"/>
        </w:rPr>
        <w:t>CYP</w:t>
      </w:r>
      <w:r w:rsidRPr="00F44F03">
        <w:rPr>
          <w:rFonts w:eastAsia="Times New Roman" w:cs="Arial"/>
          <w:color w:val="000000"/>
          <w:szCs w:val="19"/>
          <w:lang w:val="ru-RU"/>
        </w:rPr>
        <w:t>2</w:t>
      </w:r>
      <w:r w:rsidRPr="00F44F03">
        <w:rPr>
          <w:rFonts w:eastAsia="Times New Roman" w:cs="Arial"/>
          <w:color w:val="000000"/>
          <w:szCs w:val="19"/>
          <w:lang w:val="en-US"/>
        </w:rPr>
        <w:t>C</w:t>
      </w:r>
      <w:r w:rsidRPr="00F44F03">
        <w:rPr>
          <w:rFonts w:eastAsia="Times New Roman" w:cs="Arial"/>
          <w:color w:val="000000"/>
          <w:szCs w:val="19"/>
          <w:lang w:val="ru-RU"/>
        </w:rPr>
        <w:t xml:space="preserve">9). </w:t>
      </w:r>
      <w:r w:rsidRPr="00F44F03">
        <w:rPr>
          <w:rFonts w:eastAsia="Times New Roman" w:cs="Arial"/>
          <w:color w:val="000000"/>
          <w:szCs w:val="19"/>
          <w:lang w:eastAsia="bg-BG"/>
        </w:rPr>
        <w:t xml:space="preserve">От наличните проучвания за взаимодействия няма данни за ефект върху </w:t>
      </w:r>
      <w:r w:rsidRPr="00F44F03">
        <w:rPr>
          <w:rFonts w:eastAsia="Times New Roman" w:cs="Arial"/>
          <w:color w:val="000000"/>
          <w:szCs w:val="19"/>
          <w:lang w:val="en-US"/>
        </w:rPr>
        <w:t>CYP</w:t>
      </w:r>
      <w:r w:rsidRPr="00F44F03">
        <w:rPr>
          <w:rFonts w:eastAsia="Times New Roman" w:cs="Arial"/>
          <w:color w:val="000000"/>
          <w:szCs w:val="19"/>
          <w:lang w:val="ru-RU"/>
        </w:rPr>
        <w:t>2</w:t>
      </w:r>
      <w:r w:rsidRPr="00F44F03">
        <w:rPr>
          <w:rFonts w:eastAsia="Times New Roman" w:cs="Arial"/>
          <w:color w:val="000000"/>
          <w:szCs w:val="19"/>
          <w:lang w:val="en-US"/>
        </w:rPr>
        <w:t>C</w:t>
      </w:r>
      <w:r w:rsidRPr="00F44F03">
        <w:rPr>
          <w:rFonts w:eastAsia="Times New Roman" w:cs="Arial"/>
          <w:color w:val="000000"/>
          <w:szCs w:val="19"/>
          <w:lang w:val="ru-RU"/>
        </w:rPr>
        <w:t xml:space="preserve">9 </w:t>
      </w:r>
      <w:r w:rsidRPr="00F44F03">
        <w:rPr>
          <w:rFonts w:eastAsia="Times New Roman" w:cs="Arial"/>
          <w:color w:val="000000"/>
          <w:szCs w:val="19"/>
          <w:lang w:eastAsia="bg-BG"/>
        </w:rPr>
        <w:t xml:space="preserve">и </w:t>
      </w:r>
      <w:r w:rsidRPr="00F44F03">
        <w:rPr>
          <w:rFonts w:eastAsia="Times New Roman" w:cs="Arial"/>
          <w:color w:val="000000"/>
          <w:szCs w:val="19"/>
          <w:lang w:val="en-US"/>
        </w:rPr>
        <w:t>CYP</w:t>
      </w:r>
      <w:r w:rsidRPr="00F44F03">
        <w:rPr>
          <w:rFonts w:eastAsia="Times New Roman" w:cs="Arial"/>
          <w:color w:val="000000"/>
          <w:szCs w:val="19"/>
          <w:lang w:val="ru-RU"/>
        </w:rPr>
        <w:t>3</w:t>
      </w:r>
      <w:r w:rsidRPr="00F44F03">
        <w:rPr>
          <w:rFonts w:eastAsia="Times New Roman" w:cs="Arial"/>
          <w:color w:val="000000"/>
          <w:szCs w:val="19"/>
          <w:lang w:val="en-US"/>
        </w:rPr>
        <w:t>A</w:t>
      </w:r>
      <w:r w:rsidRPr="00F44F03">
        <w:rPr>
          <w:rFonts w:eastAsia="Times New Roman" w:cs="Arial"/>
          <w:color w:val="000000"/>
          <w:szCs w:val="19"/>
          <w:lang w:val="ru-RU"/>
        </w:rPr>
        <w:t xml:space="preserve">4. </w:t>
      </w:r>
      <w:r w:rsidRPr="00F44F03">
        <w:rPr>
          <w:rFonts w:eastAsia="Times New Roman" w:cs="Arial"/>
          <w:color w:val="000000"/>
          <w:szCs w:val="19"/>
          <w:lang w:eastAsia="bg-BG"/>
        </w:rPr>
        <w:t xml:space="preserve">Въз основа на </w:t>
      </w:r>
      <w:r w:rsidRPr="00F44F03">
        <w:rPr>
          <w:rFonts w:eastAsia="Times New Roman" w:cs="Arial"/>
          <w:i/>
          <w:iCs/>
          <w:color w:val="000000"/>
          <w:szCs w:val="19"/>
          <w:lang w:val="en-US"/>
        </w:rPr>
        <w:t>in</w:t>
      </w:r>
      <w:r w:rsidRPr="00F44F03">
        <w:rPr>
          <w:rFonts w:eastAsia="Times New Roman" w:cs="Arial"/>
          <w:i/>
          <w:iCs/>
          <w:color w:val="000000"/>
          <w:szCs w:val="19"/>
          <w:lang w:val="ru-RU"/>
        </w:rPr>
        <w:t xml:space="preserve"> </w:t>
      </w:r>
      <w:r w:rsidRPr="00F44F03">
        <w:rPr>
          <w:rFonts w:eastAsia="Times New Roman" w:cs="Arial"/>
          <w:i/>
          <w:iCs/>
          <w:color w:val="000000"/>
          <w:szCs w:val="19"/>
          <w:lang w:val="en-US"/>
        </w:rPr>
        <w:t>vitro</w:t>
      </w:r>
      <w:r w:rsidRPr="00F44F03">
        <w:rPr>
          <w:rFonts w:eastAsia="Times New Roman" w:cs="Arial"/>
          <w:color w:val="000000"/>
          <w:szCs w:val="19"/>
          <w:lang w:val="ru-RU"/>
        </w:rPr>
        <w:t xml:space="preserve"> </w:t>
      </w:r>
      <w:r w:rsidRPr="00F44F03">
        <w:rPr>
          <w:rFonts w:eastAsia="Times New Roman" w:cs="Arial"/>
          <w:color w:val="000000"/>
          <w:szCs w:val="19"/>
          <w:lang w:eastAsia="bg-BG"/>
        </w:rPr>
        <w:t xml:space="preserve">данните не се очаква </w:t>
      </w:r>
      <w:r w:rsidRPr="00F44F03">
        <w:rPr>
          <w:rFonts w:eastAsia="Times New Roman" w:cs="Arial"/>
          <w:i/>
          <w:iCs/>
          <w:color w:val="000000"/>
          <w:szCs w:val="19"/>
          <w:lang w:val="en-US"/>
        </w:rPr>
        <w:t>in</w:t>
      </w:r>
      <w:r w:rsidRPr="00F44F03">
        <w:rPr>
          <w:rFonts w:eastAsia="Times New Roman" w:cs="Arial"/>
          <w:i/>
          <w:iCs/>
          <w:color w:val="000000"/>
          <w:szCs w:val="19"/>
          <w:lang w:val="ru-RU"/>
        </w:rPr>
        <w:t xml:space="preserve"> </w:t>
      </w:r>
      <w:r w:rsidRPr="00F44F03">
        <w:rPr>
          <w:rFonts w:eastAsia="Times New Roman" w:cs="Arial"/>
          <w:i/>
          <w:iCs/>
          <w:color w:val="000000"/>
          <w:szCs w:val="19"/>
          <w:lang w:val="en-US"/>
        </w:rPr>
        <w:t>vivo</w:t>
      </w:r>
      <w:r w:rsidRPr="00F44F03">
        <w:rPr>
          <w:rFonts w:eastAsia="Times New Roman" w:cs="Arial"/>
          <w:color w:val="000000"/>
          <w:szCs w:val="19"/>
          <w:lang w:val="ru-RU"/>
        </w:rPr>
        <w:t xml:space="preserve"> </w:t>
      </w:r>
      <w:r w:rsidRPr="00F44F03">
        <w:rPr>
          <w:rFonts w:eastAsia="Times New Roman" w:cs="Arial"/>
          <w:color w:val="000000"/>
          <w:szCs w:val="19"/>
          <w:lang w:eastAsia="bg-BG"/>
        </w:rPr>
        <w:t xml:space="preserve">да настъпи взаимодействие с лекарства, чието метаболизиране зависи от изоензимите на цитохром Р450 </w:t>
      </w:r>
      <w:r w:rsidRPr="00F44F03">
        <w:rPr>
          <w:rFonts w:eastAsia="Times New Roman" w:cs="Arial"/>
          <w:color w:val="000000"/>
          <w:szCs w:val="19"/>
          <w:lang w:val="en-US"/>
        </w:rPr>
        <w:t>CYP</w:t>
      </w:r>
      <w:r w:rsidRPr="00F44F03">
        <w:rPr>
          <w:rFonts w:eastAsia="Times New Roman" w:cs="Arial"/>
          <w:color w:val="000000"/>
          <w:szCs w:val="19"/>
          <w:lang w:val="ru-RU"/>
        </w:rPr>
        <w:t>1</w:t>
      </w:r>
      <w:r w:rsidRPr="00F44F03">
        <w:rPr>
          <w:rFonts w:eastAsia="Times New Roman" w:cs="Arial"/>
          <w:color w:val="000000"/>
          <w:szCs w:val="19"/>
          <w:lang w:val="en-US"/>
        </w:rPr>
        <w:t>A</w:t>
      </w:r>
      <w:r w:rsidRPr="00F44F03">
        <w:rPr>
          <w:rFonts w:eastAsia="Times New Roman" w:cs="Arial"/>
          <w:color w:val="000000"/>
          <w:szCs w:val="19"/>
          <w:lang w:val="ru-RU"/>
        </w:rPr>
        <w:t xml:space="preserve">2, </w:t>
      </w:r>
      <w:r w:rsidRPr="00F44F03">
        <w:rPr>
          <w:rFonts w:eastAsia="Times New Roman" w:cs="Arial"/>
          <w:color w:val="000000"/>
          <w:szCs w:val="19"/>
          <w:lang w:val="en-US"/>
        </w:rPr>
        <w:t>CYP</w:t>
      </w:r>
      <w:r w:rsidRPr="00F44F03">
        <w:rPr>
          <w:rFonts w:eastAsia="Times New Roman" w:cs="Arial"/>
          <w:color w:val="000000"/>
          <w:szCs w:val="19"/>
          <w:lang w:val="ru-RU"/>
        </w:rPr>
        <w:t>2</w:t>
      </w:r>
      <w:r w:rsidRPr="00F44F03">
        <w:rPr>
          <w:rFonts w:eastAsia="Times New Roman" w:cs="Arial"/>
          <w:color w:val="000000"/>
          <w:szCs w:val="19"/>
          <w:lang w:val="en-US"/>
        </w:rPr>
        <w:t>A</w:t>
      </w:r>
      <w:r w:rsidRPr="00F44F03">
        <w:rPr>
          <w:rFonts w:eastAsia="Times New Roman" w:cs="Arial"/>
          <w:color w:val="000000"/>
          <w:szCs w:val="19"/>
          <w:lang w:val="ru-RU"/>
        </w:rPr>
        <w:t xml:space="preserve">6, </w:t>
      </w:r>
      <w:r w:rsidRPr="00F44F03">
        <w:rPr>
          <w:rFonts w:eastAsia="Times New Roman" w:cs="Arial"/>
          <w:color w:val="000000"/>
          <w:szCs w:val="19"/>
          <w:lang w:val="en-US"/>
        </w:rPr>
        <w:t>CYP</w:t>
      </w:r>
      <w:r w:rsidRPr="00F44F03">
        <w:rPr>
          <w:rFonts w:eastAsia="Times New Roman" w:cs="Arial"/>
          <w:color w:val="000000"/>
          <w:szCs w:val="19"/>
          <w:lang w:val="ru-RU"/>
        </w:rPr>
        <w:t>2</w:t>
      </w:r>
      <w:r w:rsidRPr="00F44F03">
        <w:rPr>
          <w:rFonts w:eastAsia="Times New Roman" w:cs="Arial"/>
          <w:color w:val="000000"/>
          <w:szCs w:val="19"/>
          <w:lang w:val="en-US"/>
        </w:rPr>
        <w:t>C</w:t>
      </w:r>
      <w:r w:rsidRPr="00F44F03">
        <w:rPr>
          <w:rFonts w:eastAsia="Times New Roman" w:cs="Arial"/>
          <w:color w:val="000000"/>
          <w:szCs w:val="19"/>
          <w:lang w:val="ru-RU"/>
        </w:rPr>
        <w:t xml:space="preserve">9, </w:t>
      </w:r>
      <w:r w:rsidRPr="00F44F03">
        <w:rPr>
          <w:rFonts w:eastAsia="Times New Roman" w:cs="Arial"/>
          <w:color w:val="000000"/>
          <w:szCs w:val="19"/>
          <w:lang w:val="en-US"/>
        </w:rPr>
        <w:t>CYP</w:t>
      </w:r>
      <w:r w:rsidRPr="00F44F03">
        <w:rPr>
          <w:rFonts w:eastAsia="Times New Roman" w:cs="Arial"/>
          <w:color w:val="000000"/>
          <w:szCs w:val="19"/>
          <w:lang w:val="ru-RU"/>
        </w:rPr>
        <w:t>2</w:t>
      </w:r>
      <w:r w:rsidRPr="00F44F03">
        <w:rPr>
          <w:rFonts w:eastAsia="Times New Roman" w:cs="Arial"/>
          <w:color w:val="000000"/>
          <w:szCs w:val="19"/>
          <w:lang w:val="en-US"/>
        </w:rPr>
        <w:t>C</w:t>
      </w:r>
      <w:r w:rsidRPr="00F44F03">
        <w:rPr>
          <w:rFonts w:eastAsia="Times New Roman" w:cs="Arial"/>
          <w:color w:val="000000"/>
          <w:szCs w:val="19"/>
          <w:lang w:val="ru-RU"/>
        </w:rPr>
        <w:t xml:space="preserve">19, </w:t>
      </w:r>
      <w:r w:rsidRPr="00F44F03">
        <w:rPr>
          <w:rFonts w:eastAsia="Times New Roman" w:cs="Arial"/>
          <w:color w:val="000000"/>
          <w:szCs w:val="19"/>
          <w:lang w:val="en-US"/>
        </w:rPr>
        <w:t>CYP</w:t>
      </w:r>
      <w:r w:rsidRPr="00F44F03">
        <w:rPr>
          <w:rFonts w:eastAsia="Times New Roman" w:cs="Arial"/>
          <w:color w:val="000000"/>
          <w:szCs w:val="19"/>
          <w:lang w:val="ru-RU"/>
        </w:rPr>
        <w:t>2</w:t>
      </w:r>
      <w:r w:rsidRPr="00F44F03">
        <w:rPr>
          <w:rFonts w:eastAsia="Times New Roman" w:cs="Arial"/>
          <w:color w:val="000000"/>
          <w:szCs w:val="19"/>
          <w:lang w:val="en-US"/>
        </w:rPr>
        <w:t>D</w:t>
      </w:r>
      <w:r w:rsidRPr="00F44F03">
        <w:rPr>
          <w:rFonts w:eastAsia="Times New Roman" w:cs="Arial"/>
          <w:color w:val="000000"/>
          <w:szCs w:val="19"/>
          <w:lang w:val="ru-RU"/>
        </w:rPr>
        <w:t xml:space="preserve">6, </w:t>
      </w:r>
      <w:r w:rsidRPr="00F44F03">
        <w:rPr>
          <w:rFonts w:eastAsia="Times New Roman" w:cs="Arial"/>
          <w:color w:val="000000"/>
          <w:szCs w:val="19"/>
          <w:lang w:val="en-US"/>
        </w:rPr>
        <w:t>CYP</w:t>
      </w:r>
      <w:r w:rsidRPr="00F44F03">
        <w:rPr>
          <w:rFonts w:eastAsia="Times New Roman" w:cs="Arial"/>
          <w:color w:val="000000"/>
          <w:szCs w:val="19"/>
          <w:lang w:val="ru-RU"/>
        </w:rPr>
        <w:t>2</w:t>
      </w:r>
      <w:r w:rsidRPr="00F44F03">
        <w:rPr>
          <w:rFonts w:eastAsia="Times New Roman" w:cs="Arial"/>
          <w:color w:val="000000"/>
          <w:szCs w:val="19"/>
          <w:lang w:val="en-US"/>
        </w:rPr>
        <w:t>E</w:t>
      </w:r>
      <w:r w:rsidRPr="00F44F03">
        <w:rPr>
          <w:rFonts w:eastAsia="Times New Roman" w:cs="Arial"/>
          <w:color w:val="000000"/>
          <w:szCs w:val="19"/>
          <w:lang w:val="ru-RU"/>
        </w:rPr>
        <w:t xml:space="preserve">1 </w:t>
      </w:r>
      <w:r w:rsidRPr="00F44F03">
        <w:rPr>
          <w:rFonts w:eastAsia="Times New Roman" w:cs="Arial"/>
          <w:color w:val="000000"/>
          <w:szCs w:val="19"/>
          <w:lang w:eastAsia="bg-BG"/>
        </w:rPr>
        <w:t xml:space="preserve">или </w:t>
      </w:r>
      <w:r w:rsidRPr="00F44F03">
        <w:rPr>
          <w:rFonts w:eastAsia="Times New Roman" w:cs="Arial"/>
          <w:color w:val="000000"/>
          <w:szCs w:val="19"/>
          <w:lang w:val="en-US"/>
        </w:rPr>
        <w:t>CYP</w:t>
      </w:r>
      <w:r w:rsidRPr="00F44F03">
        <w:rPr>
          <w:rFonts w:eastAsia="Times New Roman" w:cs="Arial"/>
          <w:color w:val="000000"/>
          <w:szCs w:val="19"/>
          <w:lang w:val="ru-RU"/>
        </w:rPr>
        <w:t>3</w:t>
      </w:r>
      <w:r w:rsidRPr="00F44F03">
        <w:rPr>
          <w:rFonts w:eastAsia="Times New Roman" w:cs="Arial"/>
          <w:color w:val="000000"/>
          <w:szCs w:val="19"/>
          <w:lang w:val="en-US"/>
        </w:rPr>
        <w:t>A</w:t>
      </w:r>
      <w:r w:rsidRPr="00F44F03">
        <w:rPr>
          <w:rFonts w:eastAsia="Times New Roman" w:cs="Arial"/>
          <w:color w:val="000000"/>
          <w:szCs w:val="19"/>
          <w:lang w:val="ru-RU"/>
        </w:rPr>
        <w:t xml:space="preserve">4. </w:t>
      </w:r>
      <w:r w:rsidRPr="00F44F03">
        <w:rPr>
          <w:rFonts w:eastAsia="Times New Roman" w:cs="Arial"/>
          <w:color w:val="000000"/>
          <w:szCs w:val="19"/>
          <w:lang w:eastAsia="bg-BG"/>
        </w:rPr>
        <w:t>Терминалният полуживот на кандесартан е приблизително 9 часа. При многократен прием не кумулира.</w:t>
      </w:r>
    </w:p>
    <w:p w14:paraId="59683A2D" w14:textId="77777777" w:rsidR="004A3FC2" w:rsidRPr="00F44F03" w:rsidRDefault="004A3FC2" w:rsidP="004A3FC2">
      <w:pPr>
        <w:spacing w:line="240" w:lineRule="auto"/>
        <w:rPr>
          <w:rFonts w:eastAsia="Times New Roman" w:cs="Arial"/>
          <w:sz w:val="32"/>
          <w:szCs w:val="24"/>
        </w:rPr>
      </w:pPr>
      <w:r w:rsidRPr="00F44F03">
        <w:rPr>
          <w:rFonts w:eastAsia="Times New Roman" w:cs="Arial"/>
          <w:color w:val="000000"/>
          <w:szCs w:val="19"/>
          <w:lang w:eastAsia="bg-BG"/>
        </w:rPr>
        <w:t xml:space="preserve">Тоталният плазмен клирънс на кандесартан е около 0,37 </w:t>
      </w:r>
      <w:r w:rsidRPr="00F44F03">
        <w:rPr>
          <w:rFonts w:eastAsia="Times New Roman" w:cs="Arial"/>
          <w:color w:val="000000"/>
          <w:szCs w:val="19"/>
          <w:lang w:val="en-US"/>
        </w:rPr>
        <w:t>ml</w:t>
      </w:r>
      <w:r w:rsidRPr="00F44F03">
        <w:rPr>
          <w:rFonts w:eastAsia="Times New Roman" w:cs="Arial"/>
          <w:color w:val="000000"/>
          <w:szCs w:val="19"/>
          <w:lang w:val="ru-RU"/>
        </w:rPr>
        <w:t>/</w:t>
      </w:r>
      <w:r w:rsidRPr="00F44F03">
        <w:rPr>
          <w:rFonts w:eastAsia="Times New Roman" w:cs="Arial"/>
          <w:color w:val="000000"/>
          <w:szCs w:val="19"/>
          <w:lang w:val="en-US"/>
        </w:rPr>
        <w:t>min</w:t>
      </w:r>
      <w:r w:rsidRPr="00F44F03">
        <w:rPr>
          <w:rFonts w:eastAsia="Times New Roman" w:cs="Arial"/>
          <w:color w:val="000000"/>
          <w:szCs w:val="19"/>
          <w:lang w:val="ru-RU"/>
        </w:rPr>
        <w:t>/</w:t>
      </w:r>
      <w:r w:rsidRPr="00F44F03">
        <w:rPr>
          <w:rFonts w:eastAsia="Times New Roman" w:cs="Arial"/>
          <w:color w:val="000000"/>
          <w:szCs w:val="19"/>
          <w:lang w:val="en-US"/>
        </w:rPr>
        <w:t>kg</w:t>
      </w:r>
      <w:r w:rsidRPr="00F44F03">
        <w:rPr>
          <w:rFonts w:eastAsia="Times New Roman" w:cs="Arial"/>
          <w:color w:val="000000"/>
          <w:szCs w:val="19"/>
          <w:lang w:val="ru-RU"/>
        </w:rPr>
        <w:t xml:space="preserve">, </w:t>
      </w:r>
      <w:r w:rsidRPr="00F44F03">
        <w:rPr>
          <w:rFonts w:eastAsia="Times New Roman" w:cs="Arial"/>
          <w:color w:val="000000"/>
          <w:szCs w:val="19"/>
          <w:lang w:eastAsia="bg-BG"/>
        </w:rPr>
        <w:t xml:space="preserve">при бъбречен клирънс около 0,19 </w:t>
      </w:r>
      <w:r w:rsidRPr="00F44F03">
        <w:rPr>
          <w:rFonts w:eastAsia="Times New Roman" w:cs="Arial"/>
          <w:color w:val="000000"/>
          <w:szCs w:val="19"/>
          <w:lang w:val="en-US"/>
        </w:rPr>
        <w:t>ml</w:t>
      </w:r>
      <w:r w:rsidRPr="00F44F03">
        <w:rPr>
          <w:rFonts w:eastAsia="Times New Roman" w:cs="Arial"/>
          <w:color w:val="000000"/>
          <w:szCs w:val="19"/>
          <w:lang w:val="ru-RU"/>
        </w:rPr>
        <w:t>/</w:t>
      </w:r>
      <w:r w:rsidRPr="00F44F03">
        <w:rPr>
          <w:rFonts w:eastAsia="Times New Roman" w:cs="Arial"/>
          <w:color w:val="000000"/>
          <w:szCs w:val="19"/>
          <w:lang w:val="en-US"/>
        </w:rPr>
        <w:t>min</w:t>
      </w:r>
      <w:r w:rsidRPr="00F44F03">
        <w:rPr>
          <w:rFonts w:eastAsia="Times New Roman" w:cs="Arial"/>
          <w:color w:val="000000"/>
          <w:szCs w:val="19"/>
          <w:lang w:val="ru-RU"/>
        </w:rPr>
        <w:t>/</w:t>
      </w:r>
      <w:r w:rsidRPr="00F44F03">
        <w:rPr>
          <w:rFonts w:eastAsia="Times New Roman" w:cs="Arial"/>
          <w:color w:val="000000"/>
          <w:szCs w:val="19"/>
          <w:lang w:val="en-US"/>
        </w:rPr>
        <w:t>kg</w:t>
      </w:r>
      <w:r w:rsidRPr="00F44F03">
        <w:rPr>
          <w:rFonts w:eastAsia="Times New Roman" w:cs="Arial"/>
          <w:color w:val="000000"/>
          <w:szCs w:val="19"/>
          <w:lang w:val="ru-RU"/>
        </w:rPr>
        <w:t xml:space="preserve">. </w:t>
      </w:r>
      <w:r w:rsidRPr="00F44F03">
        <w:rPr>
          <w:rFonts w:eastAsia="Times New Roman" w:cs="Arial"/>
          <w:color w:val="000000"/>
          <w:szCs w:val="19"/>
          <w:lang w:eastAsia="bg-BG"/>
        </w:rPr>
        <w:t>Бъбречното елиминиране на кандесартан се осъществява както чрез гломерулна филтрация, така и чрез активна тубулна секреция. След перорален прием на маркиран с 14С кандесартан цилексетил, с урината се екскретира приблизително 26% от приетата доза като кандесартан и 7% като неактивен метаболит, докато във фецеса се откриват приблизително 56% от дозата като кандесартан и 10% като неактивен метаболит.</w:t>
      </w:r>
    </w:p>
    <w:p w14:paraId="2C906166" w14:textId="77777777" w:rsidR="004A3FC2" w:rsidRPr="00F44F03" w:rsidRDefault="004A3FC2" w:rsidP="004A3FC2">
      <w:pPr>
        <w:spacing w:line="240" w:lineRule="auto"/>
        <w:rPr>
          <w:rFonts w:eastAsia="Times New Roman" w:cs="Arial"/>
          <w:i/>
          <w:iCs/>
          <w:color w:val="000000"/>
          <w:szCs w:val="19"/>
          <w:u w:val="single"/>
          <w:lang w:eastAsia="bg-BG"/>
        </w:rPr>
      </w:pPr>
    </w:p>
    <w:p w14:paraId="0E8CB820" w14:textId="685C009C" w:rsidR="004A3FC2" w:rsidRPr="00F44F03" w:rsidRDefault="004A3FC2" w:rsidP="004A3FC2">
      <w:pPr>
        <w:spacing w:line="240" w:lineRule="auto"/>
        <w:rPr>
          <w:rFonts w:eastAsia="Times New Roman" w:cs="Arial"/>
          <w:sz w:val="32"/>
          <w:szCs w:val="24"/>
        </w:rPr>
      </w:pPr>
      <w:r w:rsidRPr="00F44F03">
        <w:rPr>
          <w:rFonts w:eastAsia="Times New Roman" w:cs="Arial"/>
          <w:i/>
          <w:iCs/>
          <w:color w:val="000000"/>
          <w:szCs w:val="19"/>
          <w:u w:val="single"/>
          <w:lang w:eastAsia="bg-BG"/>
        </w:rPr>
        <w:t>Фармакокинетика в специални популации</w:t>
      </w:r>
    </w:p>
    <w:p w14:paraId="47806D0E" w14:textId="77777777" w:rsidR="004A3FC2" w:rsidRPr="00F44F03" w:rsidRDefault="004A3FC2" w:rsidP="004A3FC2">
      <w:pPr>
        <w:spacing w:line="240" w:lineRule="auto"/>
        <w:rPr>
          <w:rFonts w:eastAsia="Times New Roman" w:cs="Arial"/>
          <w:sz w:val="32"/>
          <w:szCs w:val="24"/>
        </w:rPr>
      </w:pPr>
      <w:r w:rsidRPr="00F44F03">
        <w:rPr>
          <w:rFonts w:eastAsia="Times New Roman" w:cs="Arial"/>
          <w:color w:val="000000"/>
          <w:szCs w:val="19"/>
          <w:lang w:eastAsia="bg-BG"/>
        </w:rPr>
        <w:t>В сравнение с млади хора, при пациенти в старческа възраст (над 65 години) С</w:t>
      </w:r>
      <w:r w:rsidRPr="00F44F03">
        <w:rPr>
          <w:rFonts w:eastAsia="Times New Roman" w:cs="Arial"/>
          <w:color w:val="000000"/>
          <w:szCs w:val="19"/>
          <w:lang w:val="en-US"/>
        </w:rPr>
        <w:t>max</w:t>
      </w:r>
      <w:r w:rsidRPr="00F44F03">
        <w:rPr>
          <w:rFonts w:eastAsia="Times New Roman" w:cs="Arial"/>
          <w:color w:val="000000"/>
          <w:szCs w:val="19"/>
          <w:lang w:eastAsia="bg-BG"/>
        </w:rPr>
        <w:t xml:space="preserve"> и </w:t>
      </w:r>
      <w:r w:rsidRPr="00F44F03">
        <w:rPr>
          <w:rFonts w:eastAsia="Times New Roman" w:cs="Arial"/>
          <w:color w:val="000000"/>
          <w:szCs w:val="19"/>
          <w:lang w:val="en-US"/>
        </w:rPr>
        <w:t>AUC</w:t>
      </w:r>
      <w:r w:rsidRPr="00F44F03">
        <w:rPr>
          <w:rFonts w:eastAsia="Times New Roman" w:cs="Arial"/>
          <w:color w:val="000000"/>
          <w:szCs w:val="19"/>
          <w:lang w:val="ru-RU"/>
        </w:rPr>
        <w:t xml:space="preserve"> </w:t>
      </w:r>
      <w:r w:rsidRPr="00F44F03">
        <w:rPr>
          <w:rFonts w:eastAsia="Times New Roman" w:cs="Arial"/>
          <w:color w:val="000000"/>
          <w:szCs w:val="19"/>
          <w:lang w:eastAsia="bg-BG"/>
        </w:rPr>
        <w:t>се повишават съответно с приблизително 50% и 80%. Обаче след приложена доза Кандесартан повлияването на артериалното налягане и развитието на нежелани реакции са сходни при млади пациенти и такива в старческа възраст (вж. точка 4.2).</w:t>
      </w:r>
    </w:p>
    <w:p w14:paraId="15C2E1FD" w14:textId="77777777" w:rsidR="004A3FC2" w:rsidRPr="00F44F03" w:rsidRDefault="004A3FC2" w:rsidP="004A3FC2">
      <w:pPr>
        <w:spacing w:line="240" w:lineRule="auto"/>
        <w:rPr>
          <w:rFonts w:eastAsia="Times New Roman" w:cs="Arial"/>
          <w:color w:val="000000"/>
          <w:szCs w:val="19"/>
          <w:lang w:eastAsia="bg-BG"/>
        </w:rPr>
      </w:pPr>
    </w:p>
    <w:p w14:paraId="24E48C3A" w14:textId="39F56224" w:rsidR="004A3FC2" w:rsidRPr="00F44F03" w:rsidRDefault="004A3FC2" w:rsidP="004A3FC2">
      <w:pPr>
        <w:spacing w:line="240" w:lineRule="auto"/>
        <w:rPr>
          <w:rFonts w:eastAsia="Times New Roman" w:cs="Arial"/>
          <w:sz w:val="32"/>
          <w:szCs w:val="24"/>
        </w:rPr>
      </w:pPr>
      <w:r w:rsidRPr="00F44F03">
        <w:rPr>
          <w:rFonts w:eastAsia="Times New Roman" w:cs="Arial"/>
          <w:color w:val="000000"/>
          <w:szCs w:val="19"/>
          <w:lang w:eastAsia="bg-BG"/>
        </w:rPr>
        <w:t>В сравнение с пациенти с нормална бъбречна функция, при многократен прием от пациенти с леко до умерено тежко бъбречно увреждане, С</w:t>
      </w:r>
      <w:r w:rsidRPr="00F44F03">
        <w:rPr>
          <w:rFonts w:eastAsia="Times New Roman" w:cs="Arial"/>
          <w:color w:val="000000"/>
          <w:szCs w:val="19"/>
          <w:lang w:val="en-US"/>
        </w:rPr>
        <w:t>max</w:t>
      </w:r>
      <w:r w:rsidRPr="00F44F03">
        <w:rPr>
          <w:rFonts w:eastAsia="Times New Roman" w:cs="Arial"/>
          <w:color w:val="000000"/>
          <w:szCs w:val="19"/>
          <w:lang w:eastAsia="bg-BG"/>
        </w:rPr>
        <w:t xml:space="preserve"> и </w:t>
      </w:r>
      <w:r w:rsidRPr="00F44F03">
        <w:rPr>
          <w:rFonts w:eastAsia="Times New Roman" w:cs="Arial"/>
          <w:color w:val="000000"/>
          <w:szCs w:val="19"/>
          <w:lang w:val="en-US"/>
        </w:rPr>
        <w:t>AUC</w:t>
      </w:r>
      <w:r w:rsidRPr="00F44F03">
        <w:rPr>
          <w:rFonts w:eastAsia="Times New Roman" w:cs="Arial"/>
          <w:color w:val="000000"/>
          <w:szCs w:val="19"/>
          <w:lang w:val="ru-RU"/>
        </w:rPr>
        <w:t xml:space="preserve"> </w:t>
      </w:r>
      <w:r w:rsidRPr="00F44F03">
        <w:rPr>
          <w:rFonts w:eastAsia="Times New Roman" w:cs="Arial"/>
          <w:color w:val="000000"/>
          <w:szCs w:val="19"/>
          <w:lang w:eastAsia="bg-BG"/>
        </w:rPr>
        <w:t xml:space="preserve">на кандесартан се повишават съответно с приблизително 50% и 70%, но </w:t>
      </w:r>
      <w:r w:rsidRPr="00F44F03">
        <w:rPr>
          <w:rFonts w:eastAsia="Times New Roman" w:cs="Arial"/>
          <w:i/>
          <w:iCs/>
          <w:color w:val="000000"/>
          <w:szCs w:val="19"/>
          <w:lang w:val="en-US"/>
        </w:rPr>
        <w:t>VA</w:t>
      </w:r>
      <w:r w:rsidRPr="00F44F03">
        <w:rPr>
          <w:rFonts w:eastAsia="Times New Roman" w:cs="Arial"/>
          <w:color w:val="000000"/>
          <w:szCs w:val="19"/>
          <w:lang w:val="ru-RU"/>
        </w:rPr>
        <w:t xml:space="preserve"> </w:t>
      </w:r>
      <w:r w:rsidRPr="00F44F03">
        <w:rPr>
          <w:rFonts w:eastAsia="Times New Roman" w:cs="Arial"/>
          <w:color w:val="000000"/>
          <w:szCs w:val="19"/>
          <w:lang w:eastAsia="bg-BG"/>
        </w:rPr>
        <w:t xml:space="preserve">не се повлиява. Съответните промени при пациенти с тежко бъбречно увреждане са съответно приблизително 50% и 110%. При пациенти с тежко бъбречно увреждане терминалният </w:t>
      </w:r>
      <w:r w:rsidRPr="00F44F03">
        <w:rPr>
          <w:rFonts w:eastAsia="Times New Roman" w:cs="Arial"/>
          <w:color w:val="000000"/>
          <w:szCs w:val="19"/>
          <w:lang w:val="en-US"/>
        </w:rPr>
        <w:t>t</w:t>
      </w:r>
      <w:r w:rsidRPr="00F44F03">
        <w:rPr>
          <w:rFonts w:eastAsia="Times New Roman" w:cs="Arial"/>
          <w:color w:val="000000"/>
          <w:szCs w:val="19"/>
          <w:lang w:val="ru-RU"/>
        </w:rPr>
        <w:t xml:space="preserve">1/2 </w:t>
      </w:r>
      <w:r w:rsidRPr="00F44F03">
        <w:rPr>
          <w:rFonts w:eastAsia="Times New Roman" w:cs="Arial"/>
          <w:color w:val="000000"/>
          <w:szCs w:val="19"/>
          <w:lang w:eastAsia="bg-BG"/>
        </w:rPr>
        <w:t xml:space="preserve">приблизително се удвоява. </w:t>
      </w:r>
      <w:r w:rsidRPr="00F44F03">
        <w:rPr>
          <w:rFonts w:eastAsia="Times New Roman" w:cs="Arial"/>
          <w:color w:val="000000"/>
          <w:szCs w:val="19"/>
          <w:lang w:val="en-US"/>
        </w:rPr>
        <w:t>AUC</w:t>
      </w:r>
      <w:r w:rsidRPr="00F44F03">
        <w:rPr>
          <w:rFonts w:eastAsia="Times New Roman" w:cs="Arial"/>
          <w:color w:val="000000"/>
          <w:szCs w:val="19"/>
          <w:lang w:val="ru-RU"/>
        </w:rPr>
        <w:t xml:space="preserve"> </w:t>
      </w:r>
      <w:r w:rsidRPr="00F44F03">
        <w:rPr>
          <w:rFonts w:eastAsia="Times New Roman" w:cs="Arial"/>
          <w:color w:val="000000"/>
          <w:szCs w:val="19"/>
          <w:lang w:eastAsia="bg-BG"/>
        </w:rPr>
        <w:t>на кандесартан при пациенти на хемодиализа е сходна с тази при пациенти с тежко бъбречно увреждане.</w:t>
      </w:r>
    </w:p>
    <w:p w14:paraId="53936928" w14:textId="77777777" w:rsidR="004A3FC2" w:rsidRPr="00F44F03" w:rsidRDefault="004A3FC2" w:rsidP="004A3FC2">
      <w:pPr>
        <w:spacing w:line="240" w:lineRule="auto"/>
        <w:rPr>
          <w:rFonts w:eastAsia="Times New Roman" w:cs="Arial"/>
          <w:color w:val="000000"/>
          <w:szCs w:val="19"/>
          <w:lang w:eastAsia="bg-BG"/>
        </w:rPr>
      </w:pPr>
    </w:p>
    <w:p w14:paraId="6EE45440" w14:textId="70645164" w:rsidR="004A3FC2" w:rsidRPr="00F44F03" w:rsidRDefault="004A3FC2" w:rsidP="004A3FC2">
      <w:pPr>
        <w:spacing w:line="240" w:lineRule="auto"/>
        <w:rPr>
          <w:rFonts w:eastAsia="Times New Roman" w:cs="Arial"/>
          <w:sz w:val="32"/>
          <w:szCs w:val="24"/>
        </w:rPr>
      </w:pPr>
      <w:r w:rsidRPr="00F44F03">
        <w:rPr>
          <w:rFonts w:eastAsia="Times New Roman" w:cs="Arial"/>
          <w:color w:val="000000"/>
          <w:szCs w:val="19"/>
          <w:lang w:eastAsia="bg-BG"/>
        </w:rPr>
        <w:t xml:space="preserve">В две клинични проучвания, като и в двете са включени пациенти с леко до умерено тежко чернодробно увреждане, се установява повишаване на средната </w:t>
      </w:r>
      <w:r w:rsidRPr="00F44F03">
        <w:rPr>
          <w:rFonts w:eastAsia="Times New Roman" w:cs="Arial"/>
          <w:color w:val="000000"/>
          <w:szCs w:val="19"/>
          <w:lang w:val="en-US"/>
        </w:rPr>
        <w:t>AUC</w:t>
      </w:r>
      <w:r w:rsidRPr="00F44F03">
        <w:rPr>
          <w:rFonts w:eastAsia="Times New Roman" w:cs="Arial"/>
          <w:color w:val="000000"/>
          <w:szCs w:val="19"/>
          <w:lang w:val="ru-RU"/>
        </w:rPr>
        <w:t xml:space="preserve"> </w:t>
      </w:r>
      <w:r w:rsidRPr="00F44F03">
        <w:rPr>
          <w:rFonts w:eastAsia="Times New Roman" w:cs="Arial"/>
          <w:color w:val="000000"/>
          <w:szCs w:val="19"/>
          <w:lang w:eastAsia="bg-BG"/>
        </w:rPr>
        <w:t>на кандесартан - с приблизително 20% в едното проучване и 80% в другото проучване (вж. точка 4.2). Липсва опит при пациенти с тежко чернодробно увреждане.</w:t>
      </w:r>
    </w:p>
    <w:p w14:paraId="78039B90" w14:textId="77777777" w:rsidR="004A3FC2" w:rsidRPr="00F44F03" w:rsidRDefault="004A3FC2" w:rsidP="004A3FC2">
      <w:pPr>
        <w:spacing w:line="240" w:lineRule="auto"/>
        <w:rPr>
          <w:rFonts w:eastAsia="Times New Roman" w:cs="Arial"/>
          <w:i/>
          <w:iCs/>
          <w:color w:val="000000"/>
          <w:szCs w:val="19"/>
          <w:lang w:eastAsia="bg-BG"/>
        </w:rPr>
      </w:pPr>
    </w:p>
    <w:p w14:paraId="48810A85" w14:textId="6406E81D" w:rsidR="004A3FC2" w:rsidRPr="00F44F03" w:rsidRDefault="004A3FC2" w:rsidP="004A3FC2">
      <w:pPr>
        <w:spacing w:line="240" w:lineRule="auto"/>
        <w:rPr>
          <w:rFonts w:eastAsia="Times New Roman" w:cs="Arial"/>
          <w:sz w:val="32"/>
          <w:szCs w:val="24"/>
        </w:rPr>
      </w:pPr>
      <w:r w:rsidRPr="00F44F03">
        <w:rPr>
          <w:rFonts w:eastAsia="Times New Roman" w:cs="Arial"/>
          <w:i/>
          <w:iCs/>
          <w:color w:val="000000"/>
          <w:szCs w:val="19"/>
          <w:lang w:eastAsia="bg-BG"/>
        </w:rPr>
        <w:t>Педиатрична популация</w:t>
      </w:r>
    </w:p>
    <w:p w14:paraId="197D601E" w14:textId="77777777" w:rsidR="004A3FC2" w:rsidRPr="00F44F03" w:rsidRDefault="004A3FC2" w:rsidP="004A3FC2">
      <w:pPr>
        <w:spacing w:line="240" w:lineRule="auto"/>
        <w:rPr>
          <w:rFonts w:eastAsia="Times New Roman" w:cs="Arial"/>
          <w:sz w:val="32"/>
          <w:szCs w:val="24"/>
        </w:rPr>
      </w:pPr>
      <w:r w:rsidRPr="00F44F03">
        <w:rPr>
          <w:rFonts w:eastAsia="Times New Roman" w:cs="Arial"/>
          <w:color w:val="000000"/>
          <w:szCs w:val="19"/>
          <w:lang w:eastAsia="bg-BG"/>
        </w:rPr>
        <w:lastRenderedPageBreak/>
        <w:t>Фармакокинетичните свойства на кандесартан са оценени в две фармакокинетични проучвания на приложение на еднократни дози при деца на възраст от 1 до &lt;6 години и от 6 до &lt;17 години.</w:t>
      </w:r>
    </w:p>
    <w:p w14:paraId="2361BFE4" w14:textId="77777777" w:rsidR="004A3FC2" w:rsidRPr="00F44F03" w:rsidRDefault="004A3FC2" w:rsidP="004A3FC2">
      <w:pPr>
        <w:spacing w:line="240" w:lineRule="auto"/>
        <w:rPr>
          <w:rFonts w:eastAsia="Times New Roman" w:cs="Arial"/>
          <w:color w:val="000000"/>
          <w:szCs w:val="19"/>
          <w:lang w:eastAsia="bg-BG"/>
        </w:rPr>
      </w:pPr>
    </w:p>
    <w:p w14:paraId="79DD2388" w14:textId="3D73ED42" w:rsidR="004A3FC2" w:rsidRPr="00F44F03" w:rsidRDefault="004A3FC2" w:rsidP="004A3FC2">
      <w:pPr>
        <w:spacing w:line="240" w:lineRule="auto"/>
        <w:rPr>
          <w:rFonts w:eastAsia="Times New Roman" w:cs="Arial"/>
          <w:sz w:val="32"/>
          <w:szCs w:val="24"/>
        </w:rPr>
      </w:pPr>
      <w:r w:rsidRPr="00F44F03">
        <w:rPr>
          <w:rFonts w:eastAsia="Times New Roman" w:cs="Arial"/>
          <w:color w:val="000000"/>
          <w:szCs w:val="19"/>
          <w:lang w:eastAsia="bg-BG"/>
        </w:rPr>
        <w:t xml:space="preserve">При деца на възраст от 1 до &lt;6 години, 10 деца с телесно тегло от 10 до &lt;25 </w:t>
      </w:r>
      <w:r w:rsidRPr="00F44F03">
        <w:rPr>
          <w:rFonts w:eastAsia="Times New Roman" w:cs="Arial"/>
          <w:color w:val="000000"/>
          <w:szCs w:val="19"/>
          <w:lang w:val="en-US"/>
        </w:rPr>
        <w:t>kg</w:t>
      </w:r>
      <w:r w:rsidRPr="00F44F03">
        <w:rPr>
          <w:rFonts w:eastAsia="Times New Roman" w:cs="Arial"/>
          <w:color w:val="000000"/>
          <w:szCs w:val="19"/>
          <w:lang w:val="ru-RU"/>
        </w:rPr>
        <w:t xml:space="preserve"> </w:t>
      </w:r>
      <w:r w:rsidRPr="00F44F03">
        <w:rPr>
          <w:rFonts w:eastAsia="Times New Roman" w:cs="Arial"/>
          <w:color w:val="000000"/>
          <w:szCs w:val="19"/>
          <w:lang w:eastAsia="bg-BG"/>
        </w:rPr>
        <w:t xml:space="preserve">получават еднократна доза от 0,2 </w:t>
      </w:r>
      <w:r w:rsidRPr="00F44F03">
        <w:rPr>
          <w:rFonts w:eastAsia="Times New Roman" w:cs="Arial"/>
          <w:color w:val="000000"/>
          <w:szCs w:val="19"/>
          <w:lang w:val="en-US"/>
        </w:rPr>
        <w:t>mg</w:t>
      </w:r>
      <w:r w:rsidRPr="00F44F03">
        <w:rPr>
          <w:rFonts w:eastAsia="Times New Roman" w:cs="Arial"/>
          <w:color w:val="000000"/>
          <w:szCs w:val="19"/>
          <w:lang w:val="ru-RU"/>
        </w:rPr>
        <w:t>/</w:t>
      </w:r>
      <w:r w:rsidRPr="00F44F03">
        <w:rPr>
          <w:rFonts w:eastAsia="Times New Roman" w:cs="Arial"/>
          <w:color w:val="000000"/>
          <w:szCs w:val="19"/>
          <w:lang w:val="en-US"/>
        </w:rPr>
        <w:t>kg</w:t>
      </w:r>
      <w:r w:rsidRPr="00F44F03">
        <w:rPr>
          <w:rFonts w:eastAsia="Times New Roman" w:cs="Arial"/>
          <w:color w:val="000000"/>
          <w:szCs w:val="19"/>
          <w:lang w:val="ru-RU"/>
        </w:rPr>
        <w:t xml:space="preserve"> </w:t>
      </w:r>
      <w:r w:rsidRPr="00F44F03">
        <w:rPr>
          <w:rFonts w:eastAsia="Times New Roman" w:cs="Arial"/>
          <w:color w:val="000000"/>
          <w:szCs w:val="19"/>
          <w:lang w:eastAsia="bg-BG"/>
        </w:rPr>
        <w:t>перорална суспензия. Не се наблюдава корелация на С</w:t>
      </w:r>
      <w:r w:rsidRPr="00F44F03">
        <w:rPr>
          <w:rFonts w:eastAsia="Times New Roman" w:cs="Arial"/>
          <w:color w:val="000000"/>
          <w:szCs w:val="19"/>
          <w:lang w:val="en-US"/>
        </w:rPr>
        <w:t>max</w:t>
      </w:r>
      <w:r w:rsidRPr="00F44F03">
        <w:rPr>
          <w:rFonts w:eastAsia="Times New Roman" w:cs="Arial"/>
          <w:color w:val="000000"/>
          <w:szCs w:val="19"/>
          <w:lang w:eastAsia="bg-BG"/>
        </w:rPr>
        <w:t xml:space="preserve"> и </w:t>
      </w:r>
      <w:r w:rsidRPr="00F44F03">
        <w:rPr>
          <w:rFonts w:eastAsia="Times New Roman" w:cs="Arial"/>
          <w:color w:val="000000"/>
          <w:szCs w:val="19"/>
          <w:lang w:val="en-US"/>
        </w:rPr>
        <w:t>AUC</w:t>
      </w:r>
      <w:r w:rsidRPr="00F44F03">
        <w:rPr>
          <w:rFonts w:eastAsia="Times New Roman" w:cs="Arial"/>
          <w:color w:val="000000"/>
          <w:szCs w:val="19"/>
          <w:lang w:val="ru-RU"/>
        </w:rPr>
        <w:t xml:space="preserve"> </w:t>
      </w:r>
      <w:r w:rsidRPr="00F44F03">
        <w:rPr>
          <w:rFonts w:eastAsia="Times New Roman" w:cs="Arial"/>
          <w:color w:val="000000"/>
          <w:szCs w:val="19"/>
          <w:lang w:eastAsia="bg-BG"/>
        </w:rPr>
        <w:t>с възрастта или телесното тегло. Не са събирани данни за клирънс, поради което не е известно дали в тази популация е възможна корелация между клирънса и телесното тегло/възрастта.</w:t>
      </w:r>
    </w:p>
    <w:p w14:paraId="6402F16D" w14:textId="77777777" w:rsidR="004A3FC2" w:rsidRPr="00F44F03" w:rsidRDefault="004A3FC2" w:rsidP="004A3FC2">
      <w:pPr>
        <w:spacing w:line="240" w:lineRule="auto"/>
        <w:rPr>
          <w:rFonts w:eastAsia="Times New Roman" w:cs="Arial"/>
          <w:color w:val="000000"/>
          <w:szCs w:val="19"/>
          <w:lang w:eastAsia="bg-BG"/>
        </w:rPr>
      </w:pPr>
    </w:p>
    <w:p w14:paraId="33A900EF" w14:textId="780B492B" w:rsidR="004A3FC2" w:rsidRPr="00F44F03" w:rsidRDefault="004A3FC2" w:rsidP="004A3FC2">
      <w:pPr>
        <w:spacing w:line="240" w:lineRule="auto"/>
        <w:rPr>
          <w:rFonts w:eastAsia="Times New Roman" w:cs="Arial"/>
          <w:sz w:val="32"/>
          <w:szCs w:val="24"/>
        </w:rPr>
      </w:pPr>
      <w:r w:rsidRPr="00F44F03">
        <w:rPr>
          <w:rFonts w:eastAsia="Times New Roman" w:cs="Arial"/>
          <w:color w:val="000000"/>
          <w:szCs w:val="19"/>
          <w:lang w:eastAsia="bg-BG"/>
        </w:rPr>
        <w:t xml:space="preserve">При деца на възраст от 6 до &lt; 17 години, 22 деца получават еднократна доза от 16 </w:t>
      </w:r>
      <w:r w:rsidRPr="00F44F03">
        <w:rPr>
          <w:rFonts w:eastAsia="Times New Roman" w:cs="Arial"/>
          <w:color w:val="000000"/>
          <w:szCs w:val="19"/>
          <w:lang w:val="en-US"/>
        </w:rPr>
        <w:t>mg</w:t>
      </w:r>
      <w:r w:rsidRPr="00F44F03">
        <w:rPr>
          <w:rFonts w:eastAsia="Times New Roman" w:cs="Arial"/>
          <w:color w:val="000000"/>
          <w:szCs w:val="19"/>
          <w:lang w:val="ru-RU"/>
        </w:rPr>
        <w:t xml:space="preserve"> </w:t>
      </w:r>
      <w:r w:rsidRPr="00F44F03">
        <w:rPr>
          <w:rFonts w:eastAsia="Times New Roman" w:cs="Arial"/>
          <w:color w:val="000000"/>
          <w:szCs w:val="19"/>
          <w:lang w:eastAsia="bg-BG"/>
        </w:rPr>
        <w:t xml:space="preserve">таблетка. Липсва корелация на Стах и </w:t>
      </w:r>
      <w:r w:rsidRPr="00F44F03">
        <w:rPr>
          <w:rFonts w:eastAsia="Times New Roman" w:cs="Arial"/>
          <w:color w:val="000000"/>
          <w:szCs w:val="19"/>
          <w:lang w:val="en-US"/>
        </w:rPr>
        <w:t>AUC</w:t>
      </w:r>
      <w:r w:rsidRPr="00F44F03">
        <w:rPr>
          <w:rFonts w:eastAsia="Times New Roman" w:cs="Arial"/>
          <w:color w:val="000000"/>
          <w:szCs w:val="19"/>
          <w:lang w:val="ru-RU"/>
        </w:rPr>
        <w:t xml:space="preserve"> </w:t>
      </w:r>
      <w:r w:rsidRPr="00F44F03">
        <w:rPr>
          <w:rFonts w:eastAsia="Times New Roman" w:cs="Arial"/>
          <w:color w:val="000000"/>
          <w:szCs w:val="19"/>
          <w:lang w:eastAsia="bg-BG"/>
        </w:rPr>
        <w:t xml:space="preserve">с възрастта. Изглежда обаче, че телесното тегло има значителна корелация със Стах (р=0,012) и </w:t>
      </w:r>
      <w:r w:rsidRPr="00F44F03">
        <w:rPr>
          <w:rFonts w:eastAsia="Times New Roman" w:cs="Arial"/>
          <w:color w:val="000000"/>
          <w:szCs w:val="19"/>
          <w:lang w:val="en-US"/>
        </w:rPr>
        <w:t>AUC</w:t>
      </w:r>
      <w:r w:rsidRPr="00F44F03">
        <w:rPr>
          <w:rFonts w:eastAsia="Times New Roman" w:cs="Arial"/>
          <w:color w:val="000000"/>
          <w:szCs w:val="19"/>
          <w:lang w:val="ru-RU"/>
        </w:rPr>
        <w:t xml:space="preserve"> </w:t>
      </w:r>
      <w:r w:rsidRPr="00F44F03">
        <w:rPr>
          <w:rFonts w:eastAsia="Times New Roman" w:cs="Arial"/>
          <w:color w:val="000000"/>
          <w:szCs w:val="19"/>
          <w:lang w:eastAsia="bg-BG"/>
        </w:rPr>
        <w:t>(р=0,011). Не са събирани данни за клирънс. поради което не е известно дали в тази популация е възможна корелация между клирънса и телесното тегло/възрастта.</w:t>
      </w:r>
    </w:p>
    <w:p w14:paraId="29FE7399" w14:textId="77777777" w:rsidR="00F44F03" w:rsidRPr="00F44F03" w:rsidRDefault="00F44F03" w:rsidP="004A3FC2">
      <w:pPr>
        <w:spacing w:line="240" w:lineRule="auto"/>
        <w:rPr>
          <w:rFonts w:eastAsia="Times New Roman" w:cs="Arial"/>
          <w:color w:val="000000"/>
          <w:szCs w:val="19"/>
          <w:lang w:eastAsia="bg-BG"/>
        </w:rPr>
      </w:pPr>
    </w:p>
    <w:p w14:paraId="75959348" w14:textId="6FC9C103" w:rsidR="004A3FC2" w:rsidRPr="00F44F03" w:rsidRDefault="004A3FC2" w:rsidP="004A3FC2">
      <w:pPr>
        <w:spacing w:line="240" w:lineRule="auto"/>
        <w:rPr>
          <w:rFonts w:eastAsia="Times New Roman" w:cs="Arial"/>
          <w:sz w:val="32"/>
          <w:szCs w:val="24"/>
        </w:rPr>
      </w:pPr>
      <w:r w:rsidRPr="00F44F03">
        <w:rPr>
          <w:rFonts w:eastAsia="Times New Roman" w:cs="Arial"/>
          <w:color w:val="000000"/>
          <w:szCs w:val="19"/>
          <w:lang w:eastAsia="bg-BG"/>
        </w:rPr>
        <w:t>Децата на възраст &gt; 6 години са с експозиции, сходни с тези при възрастните, получили същата доза.</w:t>
      </w:r>
    </w:p>
    <w:p w14:paraId="62D7CAA2" w14:textId="77777777" w:rsidR="00F44F03" w:rsidRPr="00F44F03" w:rsidRDefault="00F44F03" w:rsidP="004A3FC2">
      <w:pPr>
        <w:rPr>
          <w:rFonts w:eastAsia="Times New Roman" w:cs="Arial"/>
          <w:color w:val="000000"/>
          <w:szCs w:val="19"/>
          <w:lang w:eastAsia="bg-BG"/>
        </w:rPr>
      </w:pPr>
    </w:p>
    <w:p w14:paraId="5ACC2FCD" w14:textId="0B85A769" w:rsidR="004A3FC2" w:rsidRDefault="004A3FC2" w:rsidP="004A3FC2">
      <w:pPr>
        <w:rPr>
          <w:rFonts w:eastAsia="Times New Roman" w:cs="Arial"/>
          <w:color w:val="000000"/>
          <w:szCs w:val="19"/>
          <w:lang w:eastAsia="bg-BG"/>
        </w:rPr>
      </w:pPr>
      <w:r w:rsidRPr="00F44F03">
        <w:rPr>
          <w:rFonts w:eastAsia="Times New Roman" w:cs="Arial"/>
          <w:color w:val="000000"/>
          <w:szCs w:val="19"/>
          <w:lang w:eastAsia="bg-BG"/>
        </w:rPr>
        <w:t>Фармакокинетиката на кандесартан цилексетил не е проучвана при педиатрични</w:t>
      </w:r>
      <w:r w:rsidRPr="00F44F03">
        <w:rPr>
          <w:rFonts w:eastAsia="Times New Roman" w:cs="Arial"/>
          <w:color w:val="000000"/>
          <w:szCs w:val="19"/>
          <w:lang w:val="ru-RU"/>
        </w:rPr>
        <w:t xml:space="preserve"> </w:t>
      </w:r>
      <w:r w:rsidRPr="00F44F03">
        <w:rPr>
          <w:rFonts w:eastAsia="Times New Roman" w:cs="Arial"/>
          <w:color w:val="000000"/>
          <w:szCs w:val="19"/>
          <w:lang w:eastAsia="bg-BG"/>
        </w:rPr>
        <w:t>пациенти на възраст &lt; 1 година.</w:t>
      </w:r>
    </w:p>
    <w:p w14:paraId="2174129B" w14:textId="77777777" w:rsidR="00F44F03" w:rsidRPr="00F44F03" w:rsidRDefault="00F44F03" w:rsidP="004A3FC2">
      <w:pPr>
        <w:rPr>
          <w:rFonts w:cs="Arial"/>
          <w:sz w:val="28"/>
        </w:rPr>
      </w:pPr>
    </w:p>
    <w:p w14:paraId="4FB791BE" w14:textId="7CFA8545" w:rsidR="00B6672E" w:rsidRDefault="002C50EE" w:rsidP="00936AD0">
      <w:pPr>
        <w:pStyle w:val="Heading2"/>
      </w:pPr>
      <w:r>
        <w:t>5.3. Предклинични данни за безопасност</w:t>
      </w:r>
    </w:p>
    <w:p w14:paraId="31D7946A" w14:textId="36657329" w:rsidR="00F44F03" w:rsidRDefault="00F44F03" w:rsidP="00F44F03"/>
    <w:p w14:paraId="2FEE5B96" w14:textId="77777777" w:rsidR="00F44F03" w:rsidRPr="00F44F03" w:rsidRDefault="00F44F03" w:rsidP="00F44F03">
      <w:pPr>
        <w:spacing w:line="240" w:lineRule="auto"/>
        <w:rPr>
          <w:rFonts w:ascii="Times New Roman" w:eastAsia="Times New Roman" w:hAnsi="Times New Roman" w:cs="Times New Roman"/>
          <w:sz w:val="32"/>
          <w:szCs w:val="24"/>
        </w:rPr>
      </w:pPr>
      <w:r w:rsidRPr="00F44F03">
        <w:rPr>
          <w:rFonts w:eastAsia="Times New Roman" w:cs="Arial"/>
          <w:color w:val="000000"/>
          <w:szCs w:val="19"/>
          <w:lang w:eastAsia="bg-BG"/>
        </w:rPr>
        <w:t>При клинично приложими дози няма данни за абнормна системна токсичност или токсичност на таргетните органи. В предклиничните проучвания за безопасност, кандесартан във високи дози оказва влияние върху бъбреците и върху еритроцитните показатели при мишки, плъхове, кучета и маймуни. Кандесартан предизвиква понижаване на еритроцитните показатели (брой на еритроцитите, хемоглобин, хематокрит). Кандесартан индуцира ефекти върху бъбреците (като интерстициален нефрит, тубулна дилатация, базофилно оцветяване на тубулите; повишаване на плазмените концентрации на урея и креатинин), които може да са в следствие на хипотензивния му ефект, водещ до промяна на бъбречната перфузия, В допълнение кандесартан индуцира хиперплазия/хипертрофия на юкстагломерулните клетки. Смята се, че тези промени се дължат на фармакологичното действие на кандесартан. Изглежда, че при хора, при терапевтични дози кандесартан, хиперплазията/хипертрофията на юкстагломерулните клетки не е клинично значима.</w:t>
      </w:r>
    </w:p>
    <w:p w14:paraId="17D08F00" w14:textId="77777777" w:rsidR="00F44F03" w:rsidRPr="00F44F03" w:rsidRDefault="00F44F03" w:rsidP="00F44F03">
      <w:pPr>
        <w:spacing w:line="240" w:lineRule="auto"/>
        <w:rPr>
          <w:rFonts w:eastAsia="Times New Roman" w:cs="Arial"/>
          <w:color w:val="000000"/>
          <w:szCs w:val="19"/>
          <w:lang w:eastAsia="bg-BG"/>
        </w:rPr>
      </w:pPr>
    </w:p>
    <w:p w14:paraId="663C45F5" w14:textId="1865E360" w:rsidR="00F44F03" w:rsidRPr="00F44F03" w:rsidRDefault="00F44F03" w:rsidP="00F44F03">
      <w:pPr>
        <w:spacing w:line="240" w:lineRule="auto"/>
        <w:rPr>
          <w:rFonts w:ascii="Times New Roman" w:eastAsia="Times New Roman" w:hAnsi="Times New Roman" w:cs="Times New Roman"/>
          <w:sz w:val="32"/>
          <w:szCs w:val="24"/>
        </w:rPr>
      </w:pPr>
      <w:r w:rsidRPr="00F44F03">
        <w:rPr>
          <w:rFonts w:eastAsia="Times New Roman" w:cs="Arial"/>
          <w:color w:val="000000"/>
          <w:szCs w:val="19"/>
          <w:lang w:eastAsia="bg-BG"/>
        </w:rPr>
        <w:t xml:space="preserve">В предклиничните проучвания при нормотензивни новородени и млади плъхове, кандесартан е показал редукция на телесното тегло и на теглото на сърцето. Както при възрастните животни, тези ефекти се смятат за резултат от фармакологичното действие на кандесартан. При най- ниската доза - 10 </w:t>
      </w:r>
      <w:r w:rsidRPr="00F44F03">
        <w:rPr>
          <w:rFonts w:eastAsia="Times New Roman" w:cs="Arial"/>
          <w:color w:val="000000"/>
          <w:szCs w:val="19"/>
          <w:lang w:val="en-US"/>
        </w:rPr>
        <w:t>mg</w:t>
      </w:r>
      <w:r w:rsidRPr="00F44F03">
        <w:rPr>
          <w:rFonts w:eastAsia="Times New Roman" w:cs="Arial"/>
          <w:color w:val="000000"/>
          <w:szCs w:val="19"/>
          <w:lang w:val="ru-RU"/>
        </w:rPr>
        <w:t>/</w:t>
      </w:r>
      <w:r w:rsidRPr="00F44F03">
        <w:rPr>
          <w:rFonts w:eastAsia="Times New Roman" w:cs="Arial"/>
          <w:color w:val="000000"/>
          <w:szCs w:val="19"/>
          <w:lang w:val="en-US"/>
        </w:rPr>
        <w:t>kg</w:t>
      </w:r>
      <w:r w:rsidRPr="00F44F03">
        <w:rPr>
          <w:rFonts w:eastAsia="Times New Roman" w:cs="Arial"/>
          <w:color w:val="000000"/>
          <w:szCs w:val="19"/>
          <w:lang w:val="ru-RU"/>
        </w:rPr>
        <w:t xml:space="preserve">, </w:t>
      </w:r>
      <w:r w:rsidRPr="00F44F03">
        <w:rPr>
          <w:rFonts w:eastAsia="Times New Roman" w:cs="Arial"/>
          <w:color w:val="000000"/>
          <w:szCs w:val="19"/>
          <w:lang w:eastAsia="bg-BG"/>
        </w:rPr>
        <w:t xml:space="preserve">експозицията на кандесартан е между 12 и 78 пъти по-висока от нивата при деца на възраст от 1 до &lt;6 години, получавали кандесартан цилексетил в доза 0,2 </w:t>
      </w:r>
      <w:r w:rsidRPr="00F44F03">
        <w:rPr>
          <w:rFonts w:eastAsia="Times New Roman" w:cs="Arial"/>
          <w:color w:val="000000"/>
          <w:szCs w:val="19"/>
          <w:lang w:val="en-US"/>
        </w:rPr>
        <w:t>mg</w:t>
      </w:r>
      <w:r w:rsidRPr="00F44F03">
        <w:rPr>
          <w:rFonts w:eastAsia="Times New Roman" w:cs="Arial"/>
          <w:color w:val="000000"/>
          <w:szCs w:val="19"/>
          <w:lang w:val="ru-RU"/>
        </w:rPr>
        <w:t>/</w:t>
      </w:r>
      <w:r w:rsidRPr="00F44F03">
        <w:rPr>
          <w:rFonts w:eastAsia="Times New Roman" w:cs="Arial"/>
          <w:color w:val="000000"/>
          <w:szCs w:val="19"/>
          <w:lang w:val="en-US"/>
        </w:rPr>
        <w:t>kg</w:t>
      </w:r>
      <w:r w:rsidRPr="00F44F03">
        <w:rPr>
          <w:rFonts w:eastAsia="Times New Roman" w:cs="Arial"/>
          <w:color w:val="000000"/>
          <w:szCs w:val="19"/>
          <w:lang w:val="ru-RU"/>
        </w:rPr>
        <w:t xml:space="preserve">, </w:t>
      </w:r>
      <w:r w:rsidRPr="00F44F03">
        <w:rPr>
          <w:rFonts w:eastAsia="Times New Roman" w:cs="Arial"/>
          <w:color w:val="000000"/>
          <w:szCs w:val="19"/>
          <w:lang w:eastAsia="bg-BG"/>
        </w:rPr>
        <w:t xml:space="preserve">и от 7 до 54 пъти по-висока от нивата при деца на възраст от 6 до &lt;17 години, получавали кандесартан цилексетил в доза от 16 </w:t>
      </w:r>
      <w:r w:rsidRPr="00F44F03">
        <w:rPr>
          <w:rFonts w:eastAsia="Times New Roman" w:cs="Arial"/>
          <w:color w:val="000000"/>
          <w:szCs w:val="19"/>
          <w:lang w:val="en-US"/>
        </w:rPr>
        <w:t>mg</w:t>
      </w:r>
      <w:r w:rsidRPr="00F44F03">
        <w:rPr>
          <w:rFonts w:eastAsia="Times New Roman" w:cs="Arial"/>
          <w:color w:val="000000"/>
          <w:szCs w:val="19"/>
          <w:lang w:val="ru-RU"/>
        </w:rPr>
        <w:t xml:space="preserve">. </w:t>
      </w:r>
      <w:r w:rsidRPr="00F44F03">
        <w:rPr>
          <w:rFonts w:eastAsia="Times New Roman" w:cs="Arial"/>
          <w:color w:val="000000"/>
          <w:szCs w:val="19"/>
          <w:lang w:eastAsia="bg-BG"/>
        </w:rPr>
        <w:t>Тъй като в тези проучвания не са намерени стойности, под които не се установява ефект, границата на безопасност по отношение на ефектите върху теглото на сърцето и клиничната значимост на тези резултати не е известна.</w:t>
      </w:r>
    </w:p>
    <w:p w14:paraId="33221422" w14:textId="77777777" w:rsidR="00F44F03" w:rsidRPr="00F44F03" w:rsidRDefault="00F44F03" w:rsidP="00F44F03">
      <w:pPr>
        <w:spacing w:line="240" w:lineRule="auto"/>
        <w:rPr>
          <w:rFonts w:eastAsia="Times New Roman" w:cs="Arial"/>
          <w:color w:val="000000"/>
          <w:szCs w:val="19"/>
          <w:lang w:eastAsia="bg-BG"/>
        </w:rPr>
      </w:pPr>
    </w:p>
    <w:p w14:paraId="3154B83F" w14:textId="370AC486" w:rsidR="00F44F03" w:rsidRPr="00F44F03" w:rsidRDefault="00F44F03" w:rsidP="00F44F03">
      <w:pPr>
        <w:spacing w:line="240" w:lineRule="auto"/>
        <w:rPr>
          <w:rFonts w:ascii="Times New Roman" w:eastAsia="Times New Roman" w:hAnsi="Times New Roman" w:cs="Times New Roman"/>
          <w:sz w:val="32"/>
          <w:szCs w:val="24"/>
        </w:rPr>
      </w:pPr>
      <w:r w:rsidRPr="00F44F03">
        <w:rPr>
          <w:rFonts w:eastAsia="Times New Roman" w:cs="Arial"/>
          <w:color w:val="000000"/>
          <w:szCs w:val="19"/>
          <w:lang w:eastAsia="bg-BG"/>
        </w:rPr>
        <w:t>В късните срокове на бременността е наблюдавана фетална токсичност (вж. точка 4.6).</w:t>
      </w:r>
    </w:p>
    <w:p w14:paraId="1A2D267A" w14:textId="77777777" w:rsidR="00F44F03" w:rsidRPr="00F44F03" w:rsidRDefault="00F44F03" w:rsidP="00F44F03">
      <w:pPr>
        <w:spacing w:line="240" w:lineRule="auto"/>
        <w:rPr>
          <w:rFonts w:ascii="Times New Roman" w:eastAsia="Times New Roman" w:hAnsi="Times New Roman" w:cs="Times New Roman"/>
          <w:sz w:val="32"/>
          <w:szCs w:val="24"/>
        </w:rPr>
      </w:pPr>
      <w:r w:rsidRPr="00F44F03">
        <w:rPr>
          <w:rFonts w:eastAsia="Times New Roman" w:cs="Arial"/>
          <w:color w:val="000000"/>
          <w:szCs w:val="19"/>
          <w:lang w:eastAsia="bg-BG"/>
        </w:rPr>
        <w:lastRenderedPageBreak/>
        <w:t xml:space="preserve">Данните от </w:t>
      </w:r>
      <w:r w:rsidRPr="00F44F03">
        <w:rPr>
          <w:rFonts w:eastAsia="Times New Roman" w:cs="Arial"/>
          <w:i/>
          <w:iCs/>
          <w:color w:val="000000"/>
          <w:szCs w:val="19"/>
          <w:lang w:val="en-US"/>
        </w:rPr>
        <w:t>in</w:t>
      </w:r>
      <w:r w:rsidRPr="00F44F03">
        <w:rPr>
          <w:rFonts w:eastAsia="Times New Roman" w:cs="Arial"/>
          <w:i/>
          <w:iCs/>
          <w:color w:val="000000"/>
          <w:szCs w:val="19"/>
          <w:lang w:val="ru-RU"/>
        </w:rPr>
        <w:t xml:space="preserve"> </w:t>
      </w:r>
      <w:r w:rsidRPr="00F44F03">
        <w:rPr>
          <w:rFonts w:eastAsia="Times New Roman" w:cs="Arial"/>
          <w:i/>
          <w:iCs/>
          <w:color w:val="000000"/>
          <w:szCs w:val="19"/>
          <w:lang w:val="en-US"/>
        </w:rPr>
        <w:t>vitro</w:t>
      </w:r>
      <w:r w:rsidRPr="00F44F03">
        <w:rPr>
          <w:rFonts w:eastAsia="Times New Roman" w:cs="Arial"/>
          <w:color w:val="000000"/>
          <w:szCs w:val="19"/>
          <w:lang w:val="ru-RU"/>
        </w:rPr>
        <w:t xml:space="preserve"> </w:t>
      </w:r>
      <w:r w:rsidRPr="00F44F03">
        <w:rPr>
          <w:rFonts w:eastAsia="Times New Roman" w:cs="Arial"/>
          <w:color w:val="000000"/>
          <w:szCs w:val="19"/>
          <w:lang w:eastAsia="bg-BG"/>
        </w:rPr>
        <w:t xml:space="preserve">и </w:t>
      </w:r>
      <w:r w:rsidRPr="00F44F03">
        <w:rPr>
          <w:rFonts w:eastAsia="Times New Roman" w:cs="Arial"/>
          <w:i/>
          <w:iCs/>
          <w:color w:val="000000"/>
          <w:szCs w:val="19"/>
          <w:lang w:val="en-US"/>
        </w:rPr>
        <w:t>in</w:t>
      </w:r>
      <w:r w:rsidRPr="00F44F03">
        <w:rPr>
          <w:rFonts w:eastAsia="Times New Roman" w:cs="Arial"/>
          <w:i/>
          <w:iCs/>
          <w:color w:val="000000"/>
          <w:szCs w:val="19"/>
          <w:lang w:val="ru-RU"/>
        </w:rPr>
        <w:t xml:space="preserve"> </w:t>
      </w:r>
      <w:r w:rsidRPr="00F44F03">
        <w:rPr>
          <w:rFonts w:eastAsia="Times New Roman" w:cs="Arial"/>
          <w:i/>
          <w:iCs/>
          <w:color w:val="000000"/>
          <w:szCs w:val="19"/>
          <w:lang w:val="en-US"/>
        </w:rPr>
        <w:t>vivo</w:t>
      </w:r>
      <w:r w:rsidRPr="00F44F03">
        <w:rPr>
          <w:rFonts w:eastAsia="Times New Roman" w:cs="Arial"/>
          <w:color w:val="000000"/>
          <w:szCs w:val="19"/>
          <w:lang w:val="ru-RU"/>
        </w:rPr>
        <w:t xml:space="preserve"> </w:t>
      </w:r>
      <w:r w:rsidRPr="00F44F03">
        <w:rPr>
          <w:rFonts w:eastAsia="Times New Roman" w:cs="Arial"/>
          <w:color w:val="000000"/>
          <w:szCs w:val="19"/>
          <w:lang w:eastAsia="bg-BG"/>
        </w:rPr>
        <w:t>проучванията за мутагенност показват, че в условията на клиничното приложение кандесартан няма мутагенна или кластогенна активност.</w:t>
      </w:r>
    </w:p>
    <w:p w14:paraId="5129C4C6" w14:textId="77777777" w:rsidR="00F44F03" w:rsidRPr="00F44F03" w:rsidRDefault="00F44F03" w:rsidP="00F44F03">
      <w:pPr>
        <w:spacing w:line="240" w:lineRule="auto"/>
        <w:rPr>
          <w:rFonts w:ascii="Times New Roman" w:eastAsia="Times New Roman" w:hAnsi="Times New Roman" w:cs="Times New Roman"/>
          <w:sz w:val="32"/>
          <w:szCs w:val="24"/>
        </w:rPr>
      </w:pPr>
      <w:r w:rsidRPr="00F44F03">
        <w:rPr>
          <w:rFonts w:eastAsia="Times New Roman" w:cs="Arial"/>
          <w:color w:val="000000"/>
          <w:szCs w:val="19"/>
          <w:lang w:eastAsia="bg-BG"/>
        </w:rPr>
        <w:t>Няма данни за карциногенност.</w:t>
      </w:r>
    </w:p>
    <w:p w14:paraId="54896D4B" w14:textId="77777777" w:rsidR="00F44F03" w:rsidRPr="00F44F03" w:rsidRDefault="00F44F03" w:rsidP="00F44F03">
      <w:pPr>
        <w:spacing w:line="240" w:lineRule="auto"/>
        <w:rPr>
          <w:rFonts w:eastAsia="Times New Roman" w:cs="Arial"/>
          <w:color w:val="000000"/>
          <w:szCs w:val="19"/>
          <w:lang w:eastAsia="bg-BG"/>
        </w:rPr>
      </w:pPr>
    </w:p>
    <w:p w14:paraId="4A6ED172" w14:textId="3D6B32D2" w:rsidR="00F44F03" w:rsidRPr="00F44F03" w:rsidRDefault="00F44F03" w:rsidP="00F44F03">
      <w:pPr>
        <w:spacing w:line="240" w:lineRule="auto"/>
        <w:rPr>
          <w:rFonts w:ascii="Times New Roman" w:eastAsia="Times New Roman" w:hAnsi="Times New Roman" w:cs="Times New Roman"/>
          <w:sz w:val="32"/>
          <w:szCs w:val="24"/>
        </w:rPr>
      </w:pPr>
      <w:r w:rsidRPr="00F44F03">
        <w:rPr>
          <w:rFonts w:eastAsia="Times New Roman" w:cs="Arial"/>
          <w:color w:val="000000"/>
          <w:szCs w:val="19"/>
          <w:lang w:eastAsia="bg-BG"/>
        </w:rPr>
        <w:t xml:space="preserve">Ренин-ангиотензин-алдостероновата система играе критична роля в развитието на бъбреците </w:t>
      </w:r>
      <w:r w:rsidRPr="00F44F03">
        <w:rPr>
          <w:rFonts w:eastAsia="Times New Roman" w:cs="Arial"/>
          <w:i/>
          <w:iCs/>
          <w:color w:val="000000"/>
          <w:szCs w:val="19"/>
          <w:lang w:val="en-US"/>
        </w:rPr>
        <w:t>in</w:t>
      </w:r>
      <w:r w:rsidRPr="00F44F03">
        <w:rPr>
          <w:rFonts w:eastAsia="Times New Roman" w:cs="Arial"/>
          <w:i/>
          <w:iCs/>
          <w:color w:val="000000"/>
          <w:szCs w:val="19"/>
          <w:lang w:val="ru-RU"/>
        </w:rPr>
        <w:t xml:space="preserve"> </w:t>
      </w:r>
      <w:r w:rsidRPr="00F44F03">
        <w:rPr>
          <w:rFonts w:eastAsia="Times New Roman" w:cs="Arial"/>
          <w:i/>
          <w:iCs/>
          <w:color w:val="000000"/>
          <w:szCs w:val="19"/>
          <w:lang w:val="en-US"/>
        </w:rPr>
        <w:t>utero</w:t>
      </w:r>
      <w:r w:rsidRPr="00F44F03">
        <w:rPr>
          <w:rFonts w:eastAsia="Times New Roman" w:cs="Arial"/>
          <w:i/>
          <w:iCs/>
          <w:color w:val="000000"/>
          <w:szCs w:val="19"/>
          <w:lang w:val="ru-RU"/>
        </w:rPr>
        <w:t>.</w:t>
      </w:r>
      <w:r w:rsidRPr="00F44F03">
        <w:rPr>
          <w:rFonts w:eastAsia="Times New Roman" w:cs="Arial"/>
          <w:color w:val="000000"/>
          <w:szCs w:val="19"/>
          <w:lang w:val="ru-RU"/>
        </w:rPr>
        <w:t xml:space="preserve"> </w:t>
      </w:r>
      <w:r w:rsidRPr="00F44F03">
        <w:rPr>
          <w:rFonts w:eastAsia="Times New Roman" w:cs="Arial"/>
          <w:color w:val="000000"/>
          <w:szCs w:val="19"/>
          <w:lang w:eastAsia="bg-BG"/>
        </w:rPr>
        <w:t>Доказано е, че блокирането на ренин-ангиотензин-алдостероновата система при много млади мишки води до нарушено развитие на бъбреците. Приложението на лекарства, които действат директно върху ренин-ангиотензин-алдостероновата система може да повлияе нормалното развитие на бъбреците. Следователно децата на възраст под 1 година не трябва да приемат кандесартан (вж. точка 4.3).</w:t>
      </w:r>
    </w:p>
    <w:p w14:paraId="6CFFBEC3" w14:textId="77777777" w:rsidR="00F44F03" w:rsidRPr="00F44F03" w:rsidRDefault="00F44F03" w:rsidP="00F44F03"/>
    <w:p w14:paraId="1BA6531D" w14:textId="3732A944" w:rsidR="00B6672E" w:rsidRDefault="002C50EE" w:rsidP="00936AD0">
      <w:pPr>
        <w:pStyle w:val="Heading1"/>
      </w:pPr>
      <w:r>
        <w:t>7. ПРИТЕЖАТЕЛ НА РАЗРЕШЕНИЕТО ЗА УПОТРЕБА</w:t>
      </w:r>
    </w:p>
    <w:p w14:paraId="2D94796F" w14:textId="34036819" w:rsidR="00F44F03" w:rsidRDefault="00F44F03" w:rsidP="00F44F03"/>
    <w:p w14:paraId="0ACFA256" w14:textId="77777777" w:rsidR="00F44F03" w:rsidRPr="00F44F03" w:rsidRDefault="00F44F03" w:rsidP="00F44F03">
      <w:pPr>
        <w:rPr>
          <w:sz w:val="24"/>
          <w:szCs w:val="24"/>
        </w:rPr>
      </w:pPr>
      <w:r w:rsidRPr="00F44F03">
        <w:rPr>
          <w:lang w:eastAsia="bg-BG"/>
        </w:rPr>
        <w:t>ФАРМАКОНС АД</w:t>
      </w:r>
    </w:p>
    <w:p w14:paraId="5A937104" w14:textId="77777777" w:rsidR="00F44F03" w:rsidRPr="00F44F03" w:rsidRDefault="00F44F03" w:rsidP="00F44F03">
      <w:pPr>
        <w:rPr>
          <w:sz w:val="24"/>
          <w:szCs w:val="24"/>
        </w:rPr>
      </w:pPr>
      <w:r w:rsidRPr="00F44F03">
        <w:rPr>
          <w:rFonts w:cs="Arial"/>
          <w:sz w:val="19"/>
          <w:szCs w:val="19"/>
          <w:lang w:eastAsia="bg-BG"/>
        </w:rPr>
        <w:t>бул. „Пейо К. Яворов” № 44 ет.1</w:t>
      </w:r>
    </w:p>
    <w:p w14:paraId="656393FF" w14:textId="77777777" w:rsidR="00F44F03" w:rsidRPr="00F44F03" w:rsidRDefault="00F44F03" w:rsidP="00F44F03">
      <w:pPr>
        <w:rPr>
          <w:sz w:val="24"/>
          <w:szCs w:val="24"/>
        </w:rPr>
      </w:pPr>
      <w:r w:rsidRPr="00F44F03">
        <w:rPr>
          <w:rFonts w:cs="Arial"/>
          <w:sz w:val="19"/>
          <w:szCs w:val="19"/>
          <w:lang w:eastAsia="bg-BG"/>
        </w:rPr>
        <w:t>София 1164</w:t>
      </w:r>
    </w:p>
    <w:p w14:paraId="01BD5995" w14:textId="38318CE8" w:rsidR="00F44F03" w:rsidRPr="00F44F03" w:rsidRDefault="00F44F03" w:rsidP="00F44F03">
      <w:r w:rsidRPr="00F44F03">
        <w:rPr>
          <w:lang w:eastAsia="bg-BG"/>
        </w:rPr>
        <w:t>България</w:t>
      </w:r>
    </w:p>
    <w:p w14:paraId="508F3A54" w14:textId="5FF77001" w:rsidR="00B6672E" w:rsidRDefault="00936AD0" w:rsidP="00936AD0">
      <w:pPr>
        <w:pStyle w:val="Heading1"/>
      </w:pPr>
      <w:r>
        <w:t>8.</w:t>
      </w:r>
      <w:r w:rsidR="002C50EE">
        <w:t>НОМЕР НА РАЗРЕШЕНИЕТО ЗА УПОТРЕБА</w:t>
      </w:r>
    </w:p>
    <w:p w14:paraId="3290BA65" w14:textId="754B7AF9" w:rsidR="00F44F03" w:rsidRDefault="00F44F03" w:rsidP="00F44F03"/>
    <w:p w14:paraId="6BB98AD4" w14:textId="3DC26185" w:rsidR="00F44F03" w:rsidRPr="00F44F03" w:rsidRDefault="00F44F03" w:rsidP="00F44F03">
      <w:r>
        <w:rPr>
          <w:lang w:val="en-US"/>
        </w:rPr>
        <w:t>Per</w:t>
      </w:r>
      <w:r w:rsidRPr="00F44F03">
        <w:rPr>
          <w:lang w:val="ru-RU"/>
        </w:rPr>
        <w:t xml:space="preserve">. </w:t>
      </w:r>
      <w:r>
        <w:t>№20160350</w:t>
      </w:r>
    </w:p>
    <w:p w14:paraId="2CCB5832" w14:textId="6523EF59" w:rsidR="007C605B" w:rsidRDefault="002C50EE" w:rsidP="007C605B">
      <w:pPr>
        <w:pStyle w:val="Heading1"/>
      </w:pPr>
      <w:r>
        <w:t>9. ДАТА НА ПЪРВО РАЗРЕШАВАНЕ/ПОДНОВЯВАНЕ НА РАЗРЕШЕНИЕТО ЗА УПОТРЕБА</w:t>
      </w:r>
    </w:p>
    <w:p w14:paraId="2EA226D7" w14:textId="1DB8C319" w:rsidR="00F44F03" w:rsidRDefault="00F44F03" w:rsidP="00F44F03"/>
    <w:p w14:paraId="08D0FFE0" w14:textId="77777777" w:rsidR="00F44F03" w:rsidRPr="00F44F03" w:rsidRDefault="00F44F03" w:rsidP="00F44F03">
      <w:pPr>
        <w:rPr>
          <w:rFonts w:ascii="Times New Roman" w:hAnsi="Times New Roman" w:cs="Times New Roman"/>
          <w:sz w:val="24"/>
          <w:szCs w:val="24"/>
        </w:rPr>
      </w:pPr>
      <w:r w:rsidRPr="00F44F03">
        <w:rPr>
          <w:lang w:eastAsia="bg-BG"/>
        </w:rPr>
        <w:t>Дата на първо разрешаване: 09 ноември 2016</w:t>
      </w:r>
    </w:p>
    <w:p w14:paraId="54216A60" w14:textId="54F4FA6F" w:rsidR="00F44F03" w:rsidRPr="00F44F03" w:rsidRDefault="00F44F03" w:rsidP="00F44F03">
      <w:r w:rsidRPr="00F44F03">
        <w:rPr>
          <w:lang w:eastAsia="bg-BG"/>
        </w:rPr>
        <w:t>Дата на последно подновяване:</w:t>
      </w:r>
    </w:p>
    <w:p w14:paraId="0E9D0119" w14:textId="0245C6D7" w:rsidR="002C50EE" w:rsidRDefault="002C50EE" w:rsidP="002C50EE">
      <w:pPr>
        <w:pStyle w:val="Heading1"/>
      </w:pPr>
      <w:r>
        <w:t>10. ДАТА НА АКТУАЛИЗИРАНЕ НА ТЕКСТА</w:t>
      </w:r>
    </w:p>
    <w:bookmarkEnd w:id="0"/>
    <w:p w14:paraId="43FB38A2" w14:textId="3D2D7195" w:rsidR="007C605B" w:rsidRPr="003E3126" w:rsidRDefault="00F44F03" w:rsidP="00F44F03">
      <w:r>
        <w:t>05/2021</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2B130FC"/>
    <w:multiLevelType w:val="hybridMultilevel"/>
    <w:tmpl w:val="FD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10A83"/>
    <w:multiLevelType w:val="hybridMultilevel"/>
    <w:tmpl w:val="F696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944AD"/>
    <w:multiLevelType w:val="hybridMultilevel"/>
    <w:tmpl w:val="CC44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B49C6"/>
    <w:multiLevelType w:val="hybridMultilevel"/>
    <w:tmpl w:val="CDCC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5"/>
  </w:num>
  <w:num w:numId="4">
    <w:abstractNumId w:val="3"/>
  </w:num>
  <w:num w:numId="5">
    <w:abstractNumId w:val="1"/>
  </w:num>
  <w:num w:numId="6">
    <w:abstractNumId w:val="20"/>
  </w:num>
  <w:num w:numId="7">
    <w:abstractNumId w:val="13"/>
  </w:num>
  <w:num w:numId="8">
    <w:abstractNumId w:val="19"/>
  </w:num>
  <w:num w:numId="9">
    <w:abstractNumId w:val="2"/>
  </w:num>
  <w:num w:numId="10">
    <w:abstractNumId w:val="4"/>
  </w:num>
  <w:num w:numId="11">
    <w:abstractNumId w:val="35"/>
  </w:num>
  <w:num w:numId="12">
    <w:abstractNumId w:val="17"/>
  </w:num>
  <w:num w:numId="13">
    <w:abstractNumId w:val="23"/>
  </w:num>
  <w:num w:numId="14">
    <w:abstractNumId w:val="14"/>
  </w:num>
  <w:num w:numId="15">
    <w:abstractNumId w:val="34"/>
  </w:num>
  <w:num w:numId="16">
    <w:abstractNumId w:val="12"/>
  </w:num>
  <w:num w:numId="17">
    <w:abstractNumId w:val="28"/>
  </w:num>
  <w:num w:numId="18">
    <w:abstractNumId w:val="9"/>
  </w:num>
  <w:num w:numId="19">
    <w:abstractNumId w:val="30"/>
  </w:num>
  <w:num w:numId="20">
    <w:abstractNumId w:val="27"/>
  </w:num>
  <w:num w:numId="21">
    <w:abstractNumId w:val="21"/>
  </w:num>
  <w:num w:numId="22">
    <w:abstractNumId w:val="29"/>
  </w:num>
  <w:num w:numId="23">
    <w:abstractNumId w:val="22"/>
  </w:num>
  <w:num w:numId="24">
    <w:abstractNumId w:val="10"/>
  </w:num>
  <w:num w:numId="25">
    <w:abstractNumId w:val="26"/>
  </w:num>
  <w:num w:numId="26">
    <w:abstractNumId w:val="25"/>
  </w:num>
  <w:num w:numId="27">
    <w:abstractNumId w:val="36"/>
  </w:num>
  <w:num w:numId="28">
    <w:abstractNumId w:val="6"/>
  </w:num>
  <w:num w:numId="29">
    <w:abstractNumId w:val="24"/>
  </w:num>
  <w:num w:numId="30">
    <w:abstractNumId w:val="39"/>
  </w:num>
  <w:num w:numId="31">
    <w:abstractNumId w:val="5"/>
  </w:num>
  <w:num w:numId="32">
    <w:abstractNumId w:val="38"/>
  </w:num>
  <w:num w:numId="33">
    <w:abstractNumId w:val="32"/>
  </w:num>
  <w:num w:numId="34">
    <w:abstractNumId w:val="37"/>
  </w:num>
  <w:num w:numId="35">
    <w:abstractNumId w:val="8"/>
  </w:num>
  <w:num w:numId="36">
    <w:abstractNumId w:val="11"/>
  </w:num>
  <w:num w:numId="37">
    <w:abstractNumId w:val="7"/>
  </w:num>
  <w:num w:numId="38">
    <w:abstractNumId w:val="16"/>
  </w:num>
  <w:num w:numId="39">
    <w:abstractNumId w:val="1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3FC2"/>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4C49"/>
    <w:rsid w:val="00EB6364"/>
    <w:rsid w:val="00F37B64"/>
    <w:rsid w:val="00F44F03"/>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7396</Words>
  <Characters>42163</Characters>
  <Application>Microsoft Office Word</Application>
  <DocSecurity>0</DocSecurity>
  <Lines>351</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2022-06-23T12:03:00Z</dcterms:created>
  <dcterms:modified xsi:type="dcterms:W3CDTF">2022-06-23T12:03:00Z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