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1D4A752" w:rsidR="00C40420" w:rsidRDefault="00DD466D" w:rsidP="004A448E">
      <w:pPr>
        <w:pStyle w:val="Heading1"/>
      </w:pPr>
      <w:r>
        <w:t>1.ИМЕ НА ЛЕКАРСТВЕНИЯ ПРОДУКТ</w:t>
      </w:r>
    </w:p>
    <w:p w14:paraId="4623D1B3" w14:textId="6730A2DB" w:rsidR="00FB1AE1" w:rsidRDefault="00FB1AE1" w:rsidP="00FB1AE1"/>
    <w:p w14:paraId="7D311CF5" w14:textId="77777777" w:rsidR="00FB1AE1" w:rsidRPr="00FB1AE1" w:rsidRDefault="00FB1AE1" w:rsidP="00FB1AE1">
      <w:pPr>
        <w:rPr>
          <w:sz w:val="24"/>
          <w:szCs w:val="24"/>
          <w:lang w:val="en-US"/>
        </w:rPr>
      </w:pPr>
      <w:r w:rsidRPr="00FB1AE1">
        <w:rPr>
          <w:lang w:eastAsia="bg-BG"/>
        </w:rPr>
        <w:t xml:space="preserve">Кандестар 8 </w:t>
      </w:r>
      <w:r w:rsidRPr="00FB1AE1">
        <w:rPr>
          <w:lang w:val="en-US"/>
        </w:rPr>
        <w:t xml:space="preserve">mg </w:t>
      </w:r>
      <w:r w:rsidRPr="00FB1AE1">
        <w:rPr>
          <w:lang w:eastAsia="bg-BG"/>
        </w:rPr>
        <w:t>таблетки</w:t>
      </w:r>
    </w:p>
    <w:p w14:paraId="6030DD36" w14:textId="77777777" w:rsidR="00FB1AE1" w:rsidRPr="00FB1AE1" w:rsidRDefault="00FB1AE1" w:rsidP="00FB1AE1">
      <w:pPr>
        <w:rPr>
          <w:sz w:val="24"/>
          <w:szCs w:val="24"/>
          <w:lang w:val="en-US"/>
        </w:rPr>
      </w:pPr>
      <w:proofErr w:type="spellStart"/>
      <w:r w:rsidRPr="00FB1AE1">
        <w:rPr>
          <w:lang w:val="en-US"/>
        </w:rPr>
        <w:t>Candestar</w:t>
      </w:r>
      <w:proofErr w:type="spellEnd"/>
      <w:r w:rsidRPr="00FB1AE1">
        <w:rPr>
          <w:lang w:val="en-US"/>
        </w:rPr>
        <w:t xml:space="preserve"> </w:t>
      </w:r>
      <w:r w:rsidRPr="00FB1AE1">
        <w:rPr>
          <w:lang w:eastAsia="bg-BG"/>
        </w:rPr>
        <w:t xml:space="preserve">8 </w:t>
      </w:r>
      <w:r w:rsidRPr="00FB1AE1">
        <w:rPr>
          <w:lang w:val="en-US"/>
        </w:rPr>
        <w:t>mg tablets</w:t>
      </w:r>
    </w:p>
    <w:p w14:paraId="42F33DDA" w14:textId="77777777" w:rsidR="00FB1AE1" w:rsidRDefault="00FB1AE1" w:rsidP="00FB1AE1">
      <w:pPr>
        <w:rPr>
          <w:lang w:eastAsia="bg-BG"/>
        </w:rPr>
      </w:pPr>
    </w:p>
    <w:p w14:paraId="4DA34459" w14:textId="71BEE20F" w:rsidR="00FB1AE1" w:rsidRPr="00FB1AE1" w:rsidRDefault="00FB1AE1" w:rsidP="00FB1AE1">
      <w:pPr>
        <w:rPr>
          <w:sz w:val="24"/>
          <w:szCs w:val="24"/>
          <w:lang w:val="en-US"/>
        </w:rPr>
      </w:pPr>
      <w:r w:rsidRPr="00FB1AE1">
        <w:rPr>
          <w:lang w:eastAsia="bg-BG"/>
        </w:rPr>
        <w:t xml:space="preserve">Кандестар 16 </w:t>
      </w:r>
      <w:r w:rsidRPr="00FB1AE1">
        <w:rPr>
          <w:lang w:val="en-US"/>
        </w:rPr>
        <w:t xml:space="preserve">mg </w:t>
      </w:r>
      <w:r w:rsidRPr="00FB1AE1">
        <w:rPr>
          <w:lang w:eastAsia="bg-BG"/>
        </w:rPr>
        <w:t>таблетки</w:t>
      </w:r>
    </w:p>
    <w:p w14:paraId="0B81DB1C" w14:textId="77777777" w:rsidR="00FB1AE1" w:rsidRPr="00FB1AE1" w:rsidRDefault="00FB1AE1" w:rsidP="00FB1AE1">
      <w:pPr>
        <w:rPr>
          <w:sz w:val="24"/>
          <w:szCs w:val="24"/>
          <w:lang w:val="en-US"/>
        </w:rPr>
      </w:pPr>
      <w:proofErr w:type="spellStart"/>
      <w:r w:rsidRPr="00FB1AE1">
        <w:rPr>
          <w:lang w:val="en-US"/>
        </w:rPr>
        <w:t>Candestar</w:t>
      </w:r>
      <w:proofErr w:type="spellEnd"/>
      <w:r w:rsidRPr="00FB1AE1">
        <w:rPr>
          <w:lang w:val="en-US"/>
        </w:rPr>
        <w:t xml:space="preserve"> </w:t>
      </w:r>
      <w:r w:rsidRPr="00FB1AE1">
        <w:rPr>
          <w:lang w:eastAsia="bg-BG"/>
        </w:rPr>
        <w:t xml:space="preserve">16 </w:t>
      </w:r>
      <w:r w:rsidRPr="00FB1AE1">
        <w:rPr>
          <w:lang w:val="en-US"/>
        </w:rPr>
        <w:t>mg tablets</w:t>
      </w:r>
    </w:p>
    <w:p w14:paraId="61A77EF8" w14:textId="77777777" w:rsidR="00FB1AE1" w:rsidRDefault="00FB1AE1" w:rsidP="00FB1AE1">
      <w:pPr>
        <w:rPr>
          <w:lang w:eastAsia="bg-BG"/>
        </w:rPr>
      </w:pPr>
    </w:p>
    <w:p w14:paraId="0FBF6D4F" w14:textId="1B2B27ED" w:rsidR="00FB1AE1" w:rsidRPr="00FB1AE1" w:rsidRDefault="00FB1AE1" w:rsidP="00FB1AE1">
      <w:pPr>
        <w:rPr>
          <w:sz w:val="24"/>
          <w:szCs w:val="24"/>
          <w:lang w:val="en-US"/>
        </w:rPr>
      </w:pPr>
      <w:r w:rsidRPr="00FB1AE1">
        <w:rPr>
          <w:lang w:eastAsia="bg-BG"/>
        </w:rPr>
        <w:t xml:space="preserve">Кандестар </w:t>
      </w:r>
      <w:r w:rsidRPr="00FB1AE1">
        <w:rPr>
          <w:lang w:val="en-US"/>
        </w:rPr>
        <w:t xml:space="preserve">32 mg </w:t>
      </w:r>
      <w:r w:rsidRPr="00FB1AE1">
        <w:rPr>
          <w:lang w:eastAsia="bg-BG"/>
        </w:rPr>
        <w:t>таблетки</w:t>
      </w:r>
    </w:p>
    <w:p w14:paraId="3DD122A7" w14:textId="77777777" w:rsidR="00FB1AE1" w:rsidRPr="00FB1AE1" w:rsidRDefault="00FB1AE1" w:rsidP="00FB1AE1">
      <w:pPr>
        <w:rPr>
          <w:sz w:val="24"/>
          <w:szCs w:val="24"/>
          <w:lang w:val="en-US"/>
        </w:rPr>
      </w:pPr>
      <w:proofErr w:type="spellStart"/>
      <w:r w:rsidRPr="00FB1AE1">
        <w:rPr>
          <w:lang w:val="en-US"/>
        </w:rPr>
        <w:t>Candestar</w:t>
      </w:r>
      <w:proofErr w:type="spellEnd"/>
      <w:r w:rsidRPr="00FB1AE1">
        <w:rPr>
          <w:lang w:val="en-US"/>
        </w:rPr>
        <w:t xml:space="preserve"> 32 mg tablets</w:t>
      </w:r>
    </w:p>
    <w:p w14:paraId="4FE49BCD" w14:textId="77777777" w:rsidR="00FB1AE1" w:rsidRPr="00FB1AE1" w:rsidRDefault="00FB1AE1" w:rsidP="00FB1AE1"/>
    <w:p w14:paraId="6920A680" w14:textId="0898BD53" w:rsidR="00C40420" w:rsidRDefault="00DD466D" w:rsidP="004A448E">
      <w:pPr>
        <w:pStyle w:val="Heading1"/>
      </w:pPr>
      <w:r>
        <w:t>2. КАЧЕСТВЕН И КОЛИЧЕСТВЕН СЪСТАВ</w:t>
      </w:r>
    </w:p>
    <w:p w14:paraId="66A3C68F" w14:textId="340538A3" w:rsidR="00FB1AE1" w:rsidRDefault="00FB1AE1" w:rsidP="00FB1AE1"/>
    <w:p w14:paraId="2BE3EC2A" w14:textId="77777777" w:rsidR="00FB1AE1" w:rsidRPr="00FB1AE1" w:rsidRDefault="00FB1AE1" w:rsidP="00FB1AE1">
      <w:pPr>
        <w:rPr>
          <w:sz w:val="24"/>
          <w:szCs w:val="24"/>
        </w:rPr>
      </w:pPr>
      <w:r w:rsidRPr="00FB1AE1">
        <w:rPr>
          <w:lang w:eastAsia="bg-BG"/>
        </w:rPr>
        <w:t xml:space="preserve">Всяка таблетка Кандестар съдържа 8 </w:t>
      </w:r>
      <w:r w:rsidRPr="00FB1AE1">
        <w:rPr>
          <w:lang w:val="en-US"/>
        </w:rPr>
        <w:t>mg</w:t>
      </w:r>
      <w:r w:rsidRPr="00FB1AE1">
        <w:t xml:space="preserve">, </w:t>
      </w:r>
      <w:r w:rsidRPr="00FB1AE1">
        <w:rPr>
          <w:lang w:eastAsia="bg-BG"/>
        </w:rPr>
        <w:t xml:space="preserve">16 </w:t>
      </w:r>
      <w:r w:rsidRPr="00FB1AE1">
        <w:rPr>
          <w:lang w:val="en-US"/>
        </w:rPr>
        <w:t>mg</w:t>
      </w:r>
      <w:r w:rsidRPr="00FB1AE1">
        <w:t xml:space="preserve"> </w:t>
      </w:r>
      <w:r w:rsidRPr="00FB1AE1">
        <w:rPr>
          <w:lang w:eastAsia="bg-BG"/>
        </w:rPr>
        <w:t xml:space="preserve">или 32 </w:t>
      </w:r>
      <w:r w:rsidRPr="00FB1AE1">
        <w:rPr>
          <w:lang w:val="en-US"/>
        </w:rPr>
        <w:t>mg</w:t>
      </w:r>
      <w:r w:rsidRPr="00FB1AE1">
        <w:t xml:space="preserve"> </w:t>
      </w:r>
      <w:r w:rsidRPr="00FB1AE1">
        <w:rPr>
          <w:lang w:eastAsia="bg-BG"/>
        </w:rPr>
        <w:t xml:space="preserve">кандесартан цилексетил </w:t>
      </w:r>
      <w:r w:rsidRPr="00FB1AE1">
        <w:rPr>
          <w:i/>
          <w:iCs/>
        </w:rPr>
        <w:t>(</w:t>
      </w:r>
      <w:r w:rsidRPr="00FB1AE1">
        <w:rPr>
          <w:i/>
          <w:iCs/>
          <w:lang w:val="en-US"/>
        </w:rPr>
        <w:t>candesartan</w:t>
      </w:r>
      <w:r w:rsidRPr="00FB1AE1">
        <w:rPr>
          <w:i/>
          <w:iCs/>
        </w:rPr>
        <w:t xml:space="preserve"> </w:t>
      </w:r>
      <w:proofErr w:type="spellStart"/>
      <w:r w:rsidRPr="00FB1AE1">
        <w:rPr>
          <w:i/>
          <w:iCs/>
          <w:lang w:val="en-US"/>
        </w:rPr>
        <w:t>cilexetil</w:t>
      </w:r>
      <w:proofErr w:type="spellEnd"/>
      <w:r w:rsidRPr="00FB1AE1">
        <w:rPr>
          <w:i/>
          <w:iCs/>
        </w:rPr>
        <w:t>).</w:t>
      </w:r>
    </w:p>
    <w:p w14:paraId="61E7DBDA" w14:textId="77777777" w:rsidR="00FB1AE1" w:rsidRPr="00FB1AE1" w:rsidRDefault="00FB1AE1" w:rsidP="00FB1AE1">
      <w:pPr>
        <w:rPr>
          <w:sz w:val="24"/>
          <w:szCs w:val="24"/>
        </w:rPr>
      </w:pPr>
      <w:r w:rsidRPr="00FB1AE1">
        <w:rPr>
          <w:lang w:eastAsia="bg-BG"/>
        </w:rPr>
        <w:t xml:space="preserve">Всяка таблетка Кандестар от 8 </w:t>
      </w:r>
      <w:r w:rsidRPr="00FB1AE1">
        <w:rPr>
          <w:lang w:val="en-US"/>
        </w:rPr>
        <w:t>mg</w:t>
      </w:r>
      <w:r w:rsidRPr="00FB1AE1">
        <w:rPr>
          <w:lang w:val="ru-RU"/>
        </w:rPr>
        <w:t xml:space="preserve"> </w:t>
      </w:r>
      <w:r w:rsidRPr="00FB1AE1">
        <w:rPr>
          <w:lang w:eastAsia="bg-BG"/>
        </w:rPr>
        <w:t xml:space="preserve">съдържа 105,85 </w:t>
      </w:r>
      <w:r w:rsidRPr="00FB1AE1">
        <w:rPr>
          <w:lang w:val="en-US"/>
        </w:rPr>
        <w:t>mg</w:t>
      </w:r>
      <w:r w:rsidRPr="00FB1AE1">
        <w:rPr>
          <w:lang w:val="ru-RU"/>
        </w:rPr>
        <w:t xml:space="preserve"> </w:t>
      </w:r>
      <w:r w:rsidRPr="00FB1AE1">
        <w:rPr>
          <w:lang w:eastAsia="bg-BG"/>
        </w:rPr>
        <w:t>лактоза монохидрат.</w:t>
      </w:r>
    </w:p>
    <w:p w14:paraId="16EA16CF" w14:textId="77777777" w:rsidR="00FB1AE1" w:rsidRPr="00FB1AE1" w:rsidRDefault="00FB1AE1" w:rsidP="00FB1AE1">
      <w:pPr>
        <w:rPr>
          <w:sz w:val="24"/>
          <w:szCs w:val="24"/>
        </w:rPr>
      </w:pPr>
      <w:r w:rsidRPr="00FB1AE1">
        <w:rPr>
          <w:lang w:eastAsia="bg-BG"/>
        </w:rPr>
        <w:t xml:space="preserve">Всяка таблетка Кандестар от 16 </w:t>
      </w:r>
      <w:r w:rsidRPr="00FB1AE1">
        <w:rPr>
          <w:lang w:val="en-US"/>
        </w:rPr>
        <w:t>mg</w:t>
      </w:r>
      <w:r w:rsidRPr="00FB1AE1">
        <w:rPr>
          <w:lang w:val="ru-RU"/>
        </w:rPr>
        <w:t xml:space="preserve"> </w:t>
      </w:r>
      <w:r w:rsidRPr="00FB1AE1">
        <w:rPr>
          <w:lang w:eastAsia="bg-BG"/>
        </w:rPr>
        <w:t xml:space="preserve">съдържа 74,15 5 </w:t>
      </w:r>
      <w:r w:rsidRPr="00FB1AE1">
        <w:rPr>
          <w:lang w:val="en-US"/>
        </w:rPr>
        <w:t>mg</w:t>
      </w:r>
      <w:r w:rsidRPr="00FB1AE1">
        <w:rPr>
          <w:lang w:val="ru-RU"/>
        </w:rPr>
        <w:t xml:space="preserve"> </w:t>
      </w:r>
      <w:r w:rsidRPr="00FB1AE1">
        <w:rPr>
          <w:lang w:eastAsia="bg-BG"/>
        </w:rPr>
        <w:t>лактоза монохидрат.</w:t>
      </w:r>
    </w:p>
    <w:p w14:paraId="2D79CA28" w14:textId="77777777" w:rsidR="00FB1AE1" w:rsidRPr="00FB1AE1" w:rsidRDefault="00FB1AE1" w:rsidP="00FB1AE1">
      <w:pPr>
        <w:rPr>
          <w:sz w:val="24"/>
          <w:szCs w:val="24"/>
        </w:rPr>
      </w:pPr>
      <w:r w:rsidRPr="00FB1AE1">
        <w:rPr>
          <w:lang w:eastAsia="bg-BG"/>
        </w:rPr>
        <w:t xml:space="preserve">Всяка таблетка Кандестар от 32 </w:t>
      </w:r>
      <w:r w:rsidRPr="00FB1AE1">
        <w:rPr>
          <w:lang w:val="en-US"/>
        </w:rPr>
        <w:t>mg</w:t>
      </w:r>
      <w:r w:rsidRPr="00FB1AE1">
        <w:rPr>
          <w:lang w:val="ru-RU"/>
        </w:rPr>
        <w:t xml:space="preserve"> </w:t>
      </w:r>
      <w:r w:rsidRPr="00FB1AE1">
        <w:rPr>
          <w:lang w:eastAsia="bg-BG"/>
        </w:rPr>
        <w:t xml:space="preserve">съдържа 148,31 </w:t>
      </w:r>
      <w:r w:rsidRPr="00FB1AE1">
        <w:rPr>
          <w:lang w:val="en-US"/>
        </w:rPr>
        <w:t>mg</w:t>
      </w:r>
      <w:r w:rsidRPr="00FB1AE1">
        <w:rPr>
          <w:lang w:val="ru-RU"/>
        </w:rPr>
        <w:t xml:space="preserve"> </w:t>
      </w:r>
      <w:r w:rsidRPr="00FB1AE1">
        <w:rPr>
          <w:lang w:eastAsia="bg-BG"/>
        </w:rPr>
        <w:t>лактоза монохидрат.</w:t>
      </w:r>
    </w:p>
    <w:p w14:paraId="475A9324" w14:textId="77777777" w:rsidR="00FB1AE1" w:rsidRPr="00FB1AE1" w:rsidRDefault="00FB1AE1" w:rsidP="00FB1AE1"/>
    <w:p w14:paraId="614984C4" w14:textId="344D3AE5" w:rsidR="008A6AF2" w:rsidRDefault="00DD466D" w:rsidP="002C50EE">
      <w:pPr>
        <w:pStyle w:val="Heading1"/>
      </w:pPr>
      <w:r>
        <w:t>3. ЛЕКАРСТВЕНА ФОРМА</w:t>
      </w:r>
    </w:p>
    <w:p w14:paraId="11D93F48" w14:textId="565D69B3" w:rsidR="00FB1AE1" w:rsidRDefault="00FB1AE1" w:rsidP="00FB1AE1"/>
    <w:p w14:paraId="257B8246"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Таблетка</w:t>
      </w:r>
    </w:p>
    <w:p w14:paraId="1EDA5DD0" w14:textId="77777777" w:rsidR="00FB1AE1" w:rsidRPr="00FB1AE1" w:rsidRDefault="00FB1AE1" w:rsidP="00FB1AE1">
      <w:pPr>
        <w:spacing w:line="240" w:lineRule="auto"/>
        <w:rPr>
          <w:rFonts w:eastAsia="Times New Roman" w:cs="Arial"/>
          <w:color w:val="000000"/>
          <w:u w:val="single"/>
          <w:lang w:eastAsia="bg-BG"/>
        </w:rPr>
      </w:pPr>
    </w:p>
    <w:p w14:paraId="0E4186B5" w14:textId="7BCDBD0C"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 xml:space="preserve">Кандестар 8 </w:t>
      </w:r>
      <w:r w:rsidRPr="00FB1AE1">
        <w:rPr>
          <w:rFonts w:eastAsia="Times New Roman" w:cs="Arial"/>
          <w:color w:val="000000"/>
          <w:u w:val="single"/>
          <w:lang w:val="en-US"/>
        </w:rPr>
        <w:t>mg</w:t>
      </w:r>
      <w:r w:rsidRPr="00FB1AE1">
        <w:rPr>
          <w:rFonts w:eastAsia="Times New Roman" w:cs="Arial"/>
          <w:color w:val="000000"/>
          <w:u w:val="single"/>
          <w:lang w:val="ru-RU"/>
        </w:rPr>
        <w:t xml:space="preserve"> </w:t>
      </w:r>
      <w:r w:rsidRPr="00FB1AE1">
        <w:rPr>
          <w:rFonts w:eastAsia="Times New Roman" w:cs="Arial"/>
          <w:color w:val="000000"/>
          <w:u w:val="single"/>
          <w:lang w:eastAsia="bg-BG"/>
        </w:rPr>
        <w:t>таблетки</w:t>
      </w:r>
    </w:p>
    <w:p w14:paraId="02D987FA"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Розово до червено-кафяво оцветени с белезникав мозаечен вид, кръгли, двойноизпъкнали, необвити таблетки с делителна черта от едната страна.</w:t>
      </w:r>
    </w:p>
    <w:p w14:paraId="6F6A1E26" w14:textId="77777777" w:rsidR="00FB1AE1" w:rsidRPr="00FB1AE1" w:rsidRDefault="00FB1AE1" w:rsidP="00FB1AE1">
      <w:pPr>
        <w:spacing w:line="240" w:lineRule="auto"/>
        <w:rPr>
          <w:rFonts w:eastAsia="Times New Roman" w:cs="Arial"/>
          <w:color w:val="000000"/>
          <w:u w:val="single"/>
          <w:lang w:eastAsia="bg-BG"/>
        </w:rPr>
      </w:pPr>
    </w:p>
    <w:p w14:paraId="6E423A77" w14:textId="647ECC22"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 xml:space="preserve">Кандестар 16 </w:t>
      </w:r>
      <w:r w:rsidRPr="00FB1AE1">
        <w:rPr>
          <w:rFonts w:eastAsia="Times New Roman" w:cs="Arial"/>
          <w:color w:val="000000"/>
          <w:u w:val="single"/>
          <w:lang w:val="en-US"/>
        </w:rPr>
        <w:t>mg</w:t>
      </w:r>
      <w:r w:rsidRPr="00FB1AE1">
        <w:rPr>
          <w:rFonts w:eastAsia="Times New Roman" w:cs="Arial"/>
          <w:color w:val="000000"/>
          <w:u w:val="single"/>
          <w:lang w:val="ru-RU"/>
        </w:rPr>
        <w:t xml:space="preserve"> </w:t>
      </w:r>
      <w:r w:rsidRPr="00FB1AE1">
        <w:rPr>
          <w:rFonts w:eastAsia="Times New Roman" w:cs="Arial"/>
          <w:color w:val="000000"/>
          <w:u w:val="single"/>
          <w:lang w:eastAsia="bg-BG"/>
        </w:rPr>
        <w:t>таблетки</w:t>
      </w:r>
    </w:p>
    <w:p w14:paraId="7DC9CD5B"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Светло розово до бледо червено оцветени, кръгли, двойноизпъкнали, необвити таблетки с делителна черта от едната страна.</w:t>
      </w:r>
    </w:p>
    <w:p w14:paraId="68B8F921" w14:textId="77777777" w:rsidR="00FB1AE1" w:rsidRPr="00FB1AE1" w:rsidRDefault="00FB1AE1" w:rsidP="00FB1AE1">
      <w:pPr>
        <w:spacing w:line="240" w:lineRule="auto"/>
        <w:rPr>
          <w:rFonts w:eastAsia="Times New Roman" w:cs="Arial"/>
          <w:color w:val="000000"/>
          <w:u w:val="single"/>
          <w:lang w:eastAsia="bg-BG"/>
        </w:rPr>
      </w:pPr>
    </w:p>
    <w:p w14:paraId="41D82301" w14:textId="551383ED"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 xml:space="preserve">Кандестар 32 </w:t>
      </w:r>
      <w:r w:rsidRPr="00FB1AE1">
        <w:rPr>
          <w:rFonts w:eastAsia="Times New Roman" w:cs="Arial"/>
          <w:color w:val="000000"/>
          <w:u w:val="single"/>
          <w:lang w:val="en-US"/>
        </w:rPr>
        <w:t>mg</w:t>
      </w:r>
      <w:r w:rsidRPr="00FB1AE1">
        <w:rPr>
          <w:rFonts w:eastAsia="Times New Roman" w:cs="Arial"/>
          <w:color w:val="000000"/>
          <w:u w:val="single"/>
          <w:lang w:val="ru-RU"/>
        </w:rPr>
        <w:t xml:space="preserve"> </w:t>
      </w:r>
      <w:r w:rsidRPr="00FB1AE1">
        <w:rPr>
          <w:rFonts w:eastAsia="Times New Roman" w:cs="Arial"/>
          <w:color w:val="000000"/>
          <w:u w:val="single"/>
          <w:lang w:eastAsia="bg-BG"/>
        </w:rPr>
        <w:t>таблетки</w:t>
      </w:r>
    </w:p>
    <w:p w14:paraId="1BC3BC73"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Светло розово до бледо червено оцветени, кръгли, двойноизпъкнали, необвити таблетки с делителна черта от двете страни.</w:t>
      </w:r>
    </w:p>
    <w:p w14:paraId="2A593731" w14:textId="77777777" w:rsidR="00FB1AE1" w:rsidRPr="00FB1AE1" w:rsidRDefault="00FB1AE1" w:rsidP="00FB1AE1">
      <w:pPr>
        <w:spacing w:line="240" w:lineRule="auto"/>
        <w:rPr>
          <w:rFonts w:eastAsia="Times New Roman" w:cs="Arial"/>
          <w:color w:val="000000"/>
          <w:lang w:eastAsia="bg-BG"/>
        </w:rPr>
      </w:pPr>
    </w:p>
    <w:p w14:paraId="3F214E83" w14:textId="1B3A659F" w:rsidR="00FB1AE1" w:rsidRPr="00FB1AE1" w:rsidRDefault="00FB1AE1" w:rsidP="00FB1AE1">
      <w:pPr>
        <w:spacing w:line="240" w:lineRule="auto"/>
        <w:rPr>
          <w:rFonts w:eastAsia="Times New Roman" w:cs="Arial"/>
        </w:rPr>
      </w:pPr>
      <w:r w:rsidRPr="00FB1AE1">
        <w:rPr>
          <w:rFonts w:eastAsia="Times New Roman" w:cs="Arial"/>
          <w:color w:val="000000"/>
          <w:lang w:eastAsia="bg-BG"/>
        </w:rPr>
        <w:t>Таблетките могат да бъдат разделени на две равни дози.</w:t>
      </w:r>
    </w:p>
    <w:p w14:paraId="58ACC8E0" w14:textId="77777777" w:rsidR="00FB1AE1" w:rsidRPr="00FB1AE1" w:rsidRDefault="00FB1AE1" w:rsidP="00FB1AE1"/>
    <w:p w14:paraId="490FC2C4" w14:textId="32682B15" w:rsidR="002C50EE" w:rsidRDefault="002C50EE" w:rsidP="002C50EE">
      <w:pPr>
        <w:pStyle w:val="Heading1"/>
      </w:pPr>
      <w:r>
        <w:t>4. КЛИНИЧНИ ДАННИ</w:t>
      </w:r>
    </w:p>
    <w:p w14:paraId="0C8E6903" w14:textId="65F599F3" w:rsidR="008134C8" w:rsidRDefault="002C50EE" w:rsidP="004A448E">
      <w:pPr>
        <w:pStyle w:val="Heading2"/>
      </w:pPr>
      <w:r>
        <w:t>4.1. Терапевтични показания</w:t>
      </w:r>
    </w:p>
    <w:p w14:paraId="1A1FFC56" w14:textId="582028C9" w:rsidR="00FB1AE1" w:rsidRDefault="00FB1AE1" w:rsidP="00FB1AE1"/>
    <w:p w14:paraId="50637BEE" w14:textId="77777777" w:rsidR="00FB1AE1" w:rsidRPr="00FB1AE1" w:rsidRDefault="00FB1AE1" w:rsidP="00FB1AE1">
      <w:pPr>
        <w:pStyle w:val="ListParagraph"/>
        <w:numPr>
          <w:ilvl w:val="0"/>
          <w:numId w:val="35"/>
        </w:numPr>
        <w:rPr>
          <w:sz w:val="24"/>
          <w:szCs w:val="24"/>
        </w:rPr>
      </w:pPr>
      <w:r w:rsidRPr="00FB1AE1">
        <w:rPr>
          <w:lang w:eastAsia="bg-BG"/>
        </w:rPr>
        <w:lastRenderedPageBreak/>
        <w:t>есенциална хипертония при възрастни;</w:t>
      </w:r>
    </w:p>
    <w:p w14:paraId="28F20E49" w14:textId="3F558F33" w:rsidR="00FB1AE1" w:rsidRPr="00FB1AE1" w:rsidRDefault="00FB1AE1" w:rsidP="00FB1AE1">
      <w:pPr>
        <w:pStyle w:val="ListParagraph"/>
        <w:numPr>
          <w:ilvl w:val="0"/>
          <w:numId w:val="35"/>
        </w:numPr>
        <w:rPr>
          <w:sz w:val="24"/>
          <w:szCs w:val="24"/>
        </w:rPr>
      </w:pPr>
      <w:r w:rsidRPr="00FB1AE1">
        <w:rPr>
          <w:lang w:eastAsia="bg-BG"/>
        </w:rPr>
        <w:t>лечение на възрастни пациенти със сърдечна недостатъчност и нарушена левокамерна систолна функция (левокамерна фракция на изтласкване ≤ 40%), когато АСЕ</w:t>
      </w:r>
      <w:r w:rsidRPr="00FB1AE1">
        <w:rPr>
          <w:lang w:val="ru-RU"/>
        </w:rPr>
        <w:t xml:space="preserve"> </w:t>
      </w:r>
      <w:r w:rsidRPr="00FB1AE1">
        <w:rPr>
          <w:lang w:eastAsia="bg-BG"/>
        </w:rPr>
        <w:t>инхибитори не се понасят, или като допълваща терапия към АСЕ инхибитори при пациенти стс симптоматична сърдечна недостатъчност, въпреки оптималната терапия, когато минералкортикоидни рецепторни антагонисти не се понасят (вж. точки 4.2, 4.4, 4.5 и 5.1).</w:t>
      </w:r>
    </w:p>
    <w:p w14:paraId="64C9940A" w14:textId="77777777" w:rsidR="00FB1AE1" w:rsidRPr="00FB1AE1" w:rsidRDefault="00FB1AE1" w:rsidP="00FB1AE1"/>
    <w:p w14:paraId="30BE2C7B" w14:textId="13964297" w:rsidR="008134C8" w:rsidRDefault="002C50EE" w:rsidP="004A448E">
      <w:pPr>
        <w:pStyle w:val="Heading2"/>
      </w:pPr>
      <w:r>
        <w:t>4.2. Дозировка и начин на приложение</w:t>
      </w:r>
    </w:p>
    <w:p w14:paraId="06854844" w14:textId="42320F07" w:rsidR="00FB1AE1" w:rsidRDefault="00FB1AE1" w:rsidP="00FB1AE1"/>
    <w:p w14:paraId="09237C62" w14:textId="77777777" w:rsidR="00FB1AE1" w:rsidRPr="00FB1AE1" w:rsidRDefault="00FB1AE1" w:rsidP="00FB1AE1">
      <w:pPr>
        <w:pStyle w:val="Heading3"/>
        <w:rPr>
          <w:rFonts w:eastAsia="Times New Roman"/>
          <w:u w:val="single"/>
        </w:rPr>
      </w:pPr>
      <w:r w:rsidRPr="00FB1AE1">
        <w:rPr>
          <w:rFonts w:eastAsia="Times New Roman"/>
          <w:u w:val="single"/>
          <w:lang w:eastAsia="bg-BG"/>
        </w:rPr>
        <w:t>Дозировка</w:t>
      </w:r>
    </w:p>
    <w:p w14:paraId="45200C80" w14:textId="77777777" w:rsidR="00FB1AE1" w:rsidRPr="00FB1AE1" w:rsidRDefault="00FB1AE1" w:rsidP="00FB1AE1">
      <w:pPr>
        <w:spacing w:line="240" w:lineRule="auto"/>
        <w:rPr>
          <w:rFonts w:eastAsia="Times New Roman" w:cs="Arial"/>
          <w:i/>
          <w:iCs/>
          <w:color w:val="000000"/>
          <w:u w:val="single"/>
          <w:lang w:eastAsia="bg-BG"/>
        </w:rPr>
      </w:pPr>
    </w:p>
    <w:p w14:paraId="3167663D" w14:textId="6ACFE8BA" w:rsidR="00FB1AE1" w:rsidRPr="00FB1AE1" w:rsidRDefault="00FB1AE1" w:rsidP="00FB1AE1">
      <w:pPr>
        <w:spacing w:line="240" w:lineRule="auto"/>
        <w:rPr>
          <w:rFonts w:eastAsia="Times New Roman" w:cs="Arial"/>
        </w:rPr>
      </w:pPr>
      <w:r w:rsidRPr="00FB1AE1">
        <w:rPr>
          <w:rFonts w:eastAsia="Times New Roman" w:cs="Arial"/>
          <w:i/>
          <w:iCs/>
          <w:color w:val="000000"/>
          <w:u w:val="single"/>
          <w:lang w:eastAsia="bg-BG"/>
        </w:rPr>
        <w:t>Дозировка при хипертония (вж. точки 4.3, 4.4, 4.5 и5.1)</w:t>
      </w:r>
    </w:p>
    <w:p w14:paraId="66C9F332"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Препоръчваната начална доза и обичайната поддържана доза кандесартан цилексетил е 8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веднъж дневно. Оптимален антихипертензивен ефект се постига в рамките на 4 седмици. При някои пациенти с недостатъчно контролирано артериално налягане, дозата може да се увеличи на 16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веднъж дневно до максимално 32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веднъж дневно. Лечението трябва да се коригира според отговора на артериалното налягане.</w:t>
      </w:r>
    </w:p>
    <w:p w14:paraId="180F4502" w14:textId="77777777" w:rsidR="00FB1AE1" w:rsidRPr="00FB1AE1" w:rsidRDefault="00FB1AE1" w:rsidP="00FB1AE1">
      <w:pPr>
        <w:spacing w:line="240" w:lineRule="auto"/>
        <w:rPr>
          <w:rFonts w:eastAsia="Times New Roman" w:cs="Arial"/>
          <w:color w:val="000000"/>
          <w:lang w:eastAsia="bg-BG"/>
        </w:rPr>
      </w:pPr>
    </w:p>
    <w:p w14:paraId="6C83B87A" w14:textId="798C57BF"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Кандесартан цилексетил може също да бъде прилаган с други антихипертензивни агенти. Доказано е, че добавянето на хидрохлоротиазид </w:t>
      </w:r>
      <w:r w:rsidRPr="00FB1AE1">
        <w:rPr>
          <w:rFonts w:eastAsia="Times New Roman" w:cs="Arial"/>
          <w:i/>
          <w:iCs/>
          <w:color w:val="000000"/>
          <w:lang w:val="ru-RU"/>
        </w:rPr>
        <w:t>(</w:t>
      </w:r>
      <w:r w:rsidRPr="00FB1AE1">
        <w:rPr>
          <w:rFonts w:eastAsia="Times New Roman" w:cs="Arial"/>
          <w:i/>
          <w:iCs/>
          <w:color w:val="000000"/>
          <w:lang w:val="en-US"/>
        </w:rPr>
        <w:t>hydrochlorothiazide</w:t>
      </w:r>
      <w:r w:rsidRPr="00FB1AE1">
        <w:rPr>
          <w:rFonts w:eastAsia="Times New Roman" w:cs="Arial"/>
          <w:i/>
          <w:iCs/>
          <w:color w:val="000000"/>
          <w:lang w:val="ru-RU"/>
        </w:rPr>
        <w:t>)</w:t>
      </w:r>
      <w:r w:rsidRPr="00FB1AE1">
        <w:rPr>
          <w:rFonts w:eastAsia="Times New Roman" w:cs="Arial"/>
          <w:color w:val="000000"/>
          <w:lang w:val="ru-RU"/>
        </w:rPr>
        <w:t xml:space="preserve"> </w:t>
      </w:r>
      <w:r w:rsidRPr="00FB1AE1">
        <w:rPr>
          <w:rFonts w:eastAsia="Times New Roman" w:cs="Arial"/>
          <w:color w:val="000000"/>
          <w:lang w:eastAsia="bg-BG"/>
        </w:rPr>
        <w:t>има допълнителен антихипертензивен ефект с различните дози на кандесартан цилексетил.</w:t>
      </w:r>
    </w:p>
    <w:p w14:paraId="01F546FB" w14:textId="77777777" w:rsidR="00FB1AE1" w:rsidRPr="00FB1AE1" w:rsidRDefault="00FB1AE1" w:rsidP="00FB1AE1">
      <w:pPr>
        <w:spacing w:line="240" w:lineRule="auto"/>
        <w:rPr>
          <w:rFonts w:eastAsia="Times New Roman" w:cs="Arial"/>
          <w:i/>
          <w:iCs/>
          <w:color w:val="000000"/>
          <w:lang w:eastAsia="bg-BG"/>
        </w:rPr>
      </w:pPr>
    </w:p>
    <w:p w14:paraId="14490F11" w14:textId="1CD712B4"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Пациенти в старческа възраст</w:t>
      </w:r>
    </w:p>
    <w:p w14:paraId="51D3C4A2"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Не е необходимо коригиране на началната доза при пациенти в старческа възраст.</w:t>
      </w:r>
    </w:p>
    <w:p w14:paraId="4BA375AC" w14:textId="77777777" w:rsidR="00FB1AE1" w:rsidRPr="00FB1AE1" w:rsidRDefault="00FB1AE1" w:rsidP="00FB1AE1">
      <w:pPr>
        <w:spacing w:line="240" w:lineRule="auto"/>
        <w:rPr>
          <w:rFonts w:eastAsia="Times New Roman" w:cs="Arial"/>
          <w:i/>
          <w:iCs/>
          <w:color w:val="000000"/>
          <w:lang w:eastAsia="bg-BG"/>
        </w:rPr>
      </w:pPr>
    </w:p>
    <w:p w14:paraId="442B634D" w14:textId="39B0B884"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Пациенти с намален вътресъдов обем</w:t>
      </w:r>
    </w:p>
    <w:p w14:paraId="4F8D62C1"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При пациенти с риск от хипотония, както и при пациенти с намален вътресъдов обем , може да се обсъди възможността за приложение на начална доза от 4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(вижте също точка 4.4).</w:t>
      </w:r>
    </w:p>
    <w:p w14:paraId="11E0C493" w14:textId="77777777" w:rsidR="00FB1AE1" w:rsidRPr="00FB1AE1" w:rsidRDefault="00FB1AE1" w:rsidP="00FB1AE1">
      <w:pPr>
        <w:spacing w:line="240" w:lineRule="auto"/>
        <w:rPr>
          <w:rFonts w:eastAsia="Times New Roman" w:cs="Arial"/>
          <w:i/>
          <w:iCs/>
          <w:color w:val="000000"/>
          <w:lang w:eastAsia="bg-BG"/>
        </w:rPr>
      </w:pPr>
    </w:p>
    <w:p w14:paraId="7E126186" w14:textId="58E63088"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Пациенти с нарушена бъбречна функция</w:t>
      </w:r>
    </w:p>
    <w:p w14:paraId="22344299"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Началната доза при пациенти с бъбречно увреждане, включително пациенти на хемодиализа е 4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Дозата трябва да се увеличава постепенно според отговора. Опитът с пациенти с много тежко или терминално бъбречно увреждане </w:t>
      </w:r>
      <w:r w:rsidRPr="00FB1AE1">
        <w:rPr>
          <w:rFonts w:eastAsia="Times New Roman" w:cs="Arial"/>
          <w:i/>
          <w:iCs/>
          <w:color w:val="000000"/>
          <w:lang w:val="ru-RU"/>
        </w:rPr>
        <w:t>(</w:t>
      </w:r>
      <w:proofErr w:type="spellStart"/>
      <w:r w:rsidRPr="00FB1AE1">
        <w:rPr>
          <w:rFonts w:eastAsia="Times New Roman" w:cs="Arial"/>
          <w:i/>
          <w:iCs/>
          <w:color w:val="000000"/>
          <w:lang w:val="en-US"/>
        </w:rPr>
        <w:t>Clcreatinine</w:t>
      </w:r>
      <w:proofErr w:type="spellEnd"/>
      <w:r w:rsidRPr="00FB1AE1">
        <w:rPr>
          <w:rFonts w:eastAsia="Times New Roman" w:cs="Arial"/>
          <w:i/>
          <w:iCs/>
          <w:color w:val="000000"/>
          <w:lang w:val="ru-RU"/>
        </w:rPr>
        <w:t xml:space="preserve"> </w:t>
      </w:r>
      <w:r w:rsidRPr="00FB1AE1">
        <w:rPr>
          <w:rFonts w:eastAsia="Times New Roman" w:cs="Arial"/>
          <w:i/>
          <w:iCs/>
          <w:color w:val="000000"/>
          <w:lang w:eastAsia="bg-BG"/>
        </w:rPr>
        <w:t>&lt;</w:t>
      </w:r>
      <w:r w:rsidRPr="00FB1AE1">
        <w:rPr>
          <w:rFonts w:eastAsia="Times New Roman" w:cs="Arial"/>
          <w:color w:val="000000"/>
          <w:lang w:eastAsia="bg-BG"/>
        </w:rPr>
        <w:t xml:space="preserve"> 15 </w:t>
      </w:r>
      <w:r w:rsidRPr="00FB1AE1">
        <w:rPr>
          <w:rFonts w:eastAsia="Times New Roman" w:cs="Arial"/>
          <w:color w:val="000000"/>
          <w:lang w:val="en-US"/>
        </w:rPr>
        <w:t>ml</w:t>
      </w:r>
      <w:r w:rsidRPr="00FB1AE1">
        <w:rPr>
          <w:rFonts w:eastAsia="Times New Roman" w:cs="Arial"/>
          <w:color w:val="000000"/>
          <w:lang w:val="ru-RU"/>
        </w:rPr>
        <w:t>/</w:t>
      </w:r>
      <w:r w:rsidRPr="00FB1AE1">
        <w:rPr>
          <w:rFonts w:eastAsia="Times New Roman" w:cs="Arial"/>
          <w:color w:val="000000"/>
          <w:lang w:val="en-US"/>
        </w:rPr>
        <w:t>min</w:t>
      </w:r>
      <w:r w:rsidRPr="00FB1AE1">
        <w:rPr>
          <w:rFonts w:eastAsia="Times New Roman" w:cs="Arial"/>
          <w:color w:val="000000"/>
          <w:lang w:val="ru-RU"/>
        </w:rPr>
        <w:t xml:space="preserve">) </w:t>
      </w:r>
      <w:r w:rsidRPr="00FB1AE1">
        <w:rPr>
          <w:rFonts w:eastAsia="Times New Roman" w:cs="Arial"/>
          <w:color w:val="000000"/>
          <w:lang w:eastAsia="bg-BG"/>
        </w:rPr>
        <w:t>е ограничен (вж. точка 4.4).</w:t>
      </w:r>
    </w:p>
    <w:p w14:paraId="55A15362" w14:textId="77777777" w:rsidR="00FB1AE1" w:rsidRPr="00FB1AE1" w:rsidRDefault="00FB1AE1" w:rsidP="00FB1AE1">
      <w:pPr>
        <w:spacing w:line="240" w:lineRule="auto"/>
        <w:rPr>
          <w:rFonts w:eastAsia="Times New Roman" w:cs="Arial"/>
          <w:i/>
          <w:iCs/>
          <w:color w:val="000000"/>
          <w:lang w:eastAsia="bg-BG"/>
        </w:rPr>
      </w:pPr>
    </w:p>
    <w:p w14:paraId="49EBB73B" w14:textId="76E1F5D8"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Пациенти с нарушена чернодробна функция</w:t>
      </w:r>
    </w:p>
    <w:p w14:paraId="72E12F7E"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При пациенти с леко до умерено чернодробно нарушение се препоръчва начална доза от 4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дневно. Дозата може да се коригира според отговора. Кандесартан е противопоказан при пациенти с тежки чернодробни нарушения и/или застой на жлъчката (вж. точки 4.3 и 5.2).</w:t>
      </w:r>
    </w:p>
    <w:p w14:paraId="4D65B0B9" w14:textId="77777777" w:rsidR="00FB1AE1" w:rsidRPr="00FB1AE1" w:rsidRDefault="00FB1AE1" w:rsidP="00FB1AE1">
      <w:pPr>
        <w:spacing w:line="240" w:lineRule="auto"/>
        <w:rPr>
          <w:rFonts w:eastAsia="Times New Roman" w:cs="Arial"/>
          <w:i/>
          <w:iCs/>
          <w:color w:val="000000"/>
          <w:lang w:eastAsia="bg-BG"/>
        </w:rPr>
      </w:pPr>
    </w:p>
    <w:p w14:paraId="43E7E58A" w14:textId="2908B071"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При чернокожи пациенти</w:t>
      </w:r>
    </w:p>
    <w:p w14:paraId="325DC736"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Антихипертензивният ефект на кандесартан е по-слаб при чернокожи пациенти в сравнение с пациенти от други раси. Поради това повишаването на дозата на кандесартан и комбинирана терапия може да са необходими за контрол на артериалното налягане на чернокожи пациенти (вж. точка 5.1).</w:t>
      </w:r>
    </w:p>
    <w:p w14:paraId="2653F5CF" w14:textId="77777777" w:rsidR="00FB1AE1" w:rsidRPr="00FB1AE1" w:rsidRDefault="00FB1AE1" w:rsidP="00FB1AE1">
      <w:pPr>
        <w:spacing w:line="240" w:lineRule="auto"/>
        <w:rPr>
          <w:rFonts w:eastAsia="Times New Roman" w:cs="Arial"/>
          <w:i/>
          <w:iCs/>
          <w:color w:val="000000"/>
          <w:u w:val="single"/>
          <w:lang w:eastAsia="bg-BG"/>
        </w:rPr>
      </w:pPr>
    </w:p>
    <w:p w14:paraId="52B0218E" w14:textId="51398299" w:rsidR="00FB1AE1" w:rsidRPr="00FB1AE1" w:rsidRDefault="00FB1AE1" w:rsidP="00FB1AE1">
      <w:pPr>
        <w:spacing w:line="240" w:lineRule="auto"/>
        <w:rPr>
          <w:rFonts w:eastAsia="Times New Roman" w:cs="Arial"/>
        </w:rPr>
      </w:pPr>
      <w:r w:rsidRPr="00FB1AE1">
        <w:rPr>
          <w:rFonts w:eastAsia="Times New Roman" w:cs="Arial"/>
          <w:i/>
          <w:iCs/>
          <w:color w:val="000000"/>
          <w:u w:val="single"/>
          <w:lang w:eastAsia="bg-BG"/>
        </w:rPr>
        <w:lastRenderedPageBreak/>
        <w:t>Дозировка при сърдечна недостатъчност</w:t>
      </w:r>
    </w:p>
    <w:p w14:paraId="4A04349A"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Обичайната препоръчвана доза на кандесартан цилексетил е 4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веднъж дневно.</w:t>
      </w:r>
    </w:p>
    <w:p w14:paraId="1E62E6FE"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Повишаването на дозата до 32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дневно (максимална доза) или най-високата поносима доза се извършва чрез удвояване на дозата на интервали от най-малко 2 седмици (вж. точка 4.4). Оценката на пациенти със сърдечна недостатъчност трябва винаги да обхваща оценка на бъбречната функция, включваща следене нивата на серумен креатинин и калий. Кандесартан може да се прилага с друго лечение за сърдечна недостатъчност, включително АСЕ инхибитори, бета-блокери, диуретици и дигиталис или комбинация от тези лекарствени продукти. Кандесартан може да се прилага заедно с АСЕ инхибитор при пациенти със симптоматична сърдечна недостатъчност въпреки оптималната стандартна терапия за сърдечна недостатъчност, когато минералкортикоидни рецепторни антагонисти не се понасят.</w:t>
      </w:r>
    </w:p>
    <w:p w14:paraId="53445917"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Комбинацията от АСЕ инхибитор, калий-съхраняващ диуретик и кандесартан не се препоръчва и трябва да се обмисля само след внимателна оценка на възможните ползи и рискове (вж. точки 4.4, 4.8 и 5.1).</w:t>
      </w:r>
    </w:p>
    <w:p w14:paraId="59C8499E" w14:textId="77777777" w:rsidR="00FB1AE1" w:rsidRPr="00FB1AE1" w:rsidRDefault="00FB1AE1" w:rsidP="00FB1AE1">
      <w:pPr>
        <w:spacing w:line="240" w:lineRule="auto"/>
        <w:rPr>
          <w:rFonts w:eastAsia="Times New Roman" w:cs="Arial"/>
          <w:i/>
          <w:iCs/>
          <w:color w:val="000000"/>
          <w:u w:val="single"/>
          <w:lang w:eastAsia="bg-BG"/>
        </w:rPr>
      </w:pPr>
    </w:p>
    <w:p w14:paraId="001AB7C1" w14:textId="73BD136E" w:rsidR="00FB1AE1" w:rsidRPr="00FB1AE1" w:rsidRDefault="00FB1AE1" w:rsidP="00FB1AE1">
      <w:pPr>
        <w:spacing w:line="240" w:lineRule="auto"/>
        <w:rPr>
          <w:rFonts w:eastAsia="Times New Roman" w:cs="Arial"/>
          <w:i/>
          <w:iCs/>
          <w:color w:val="000000"/>
          <w:u w:val="single"/>
          <w:lang w:eastAsia="bg-BG"/>
        </w:rPr>
      </w:pPr>
      <w:r w:rsidRPr="00FB1AE1">
        <w:rPr>
          <w:rFonts w:eastAsia="Times New Roman" w:cs="Arial"/>
          <w:i/>
          <w:iCs/>
          <w:color w:val="000000"/>
          <w:u w:val="single"/>
          <w:lang w:eastAsia="bg-BG"/>
        </w:rPr>
        <w:t>Специални популации пациенти</w:t>
      </w:r>
    </w:p>
    <w:p w14:paraId="1F0D5DB3"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Не е необходимо начално коригиране на дозата при пациенти в старческа възраст или болни с намален вътресъдов обем, бъбречно нарушение или леко до умерено чернодробно нарушение.</w:t>
      </w:r>
    </w:p>
    <w:p w14:paraId="58A9F75B" w14:textId="77777777" w:rsidR="00FB1AE1" w:rsidRPr="00FB1AE1" w:rsidRDefault="00FB1AE1" w:rsidP="00FB1AE1">
      <w:pPr>
        <w:spacing w:line="240" w:lineRule="auto"/>
        <w:rPr>
          <w:rFonts w:eastAsia="Times New Roman" w:cs="Arial"/>
          <w:i/>
          <w:iCs/>
          <w:color w:val="000000"/>
          <w:u w:val="single"/>
          <w:lang w:eastAsia="bg-BG"/>
        </w:rPr>
      </w:pPr>
    </w:p>
    <w:p w14:paraId="5ED057E5" w14:textId="1892F411" w:rsidR="00FB1AE1" w:rsidRPr="00FB1AE1" w:rsidRDefault="00FB1AE1" w:rsidP="00FB1AE1">
      <w:pPr>
        <w:spacing w:line="240" w:lineRule="auto"/>
        <w:rPr>
          <w:rFonts w:eastAsia="Times New Roman" w:cs="Arial"/>
        </w:rPr>
      </w:pPr>
      <w:r w:rsidRPr="00FB1AE1">
        <w:rPr>
          <w:rFonts w:eastAsia="Times New Roman" w:cs="Arial"/>
          <w:i/>
          <w:iCs/>
          <w:color w:val="000000"/>
          <w:u w:val="single"/>
          <w:lang w:eastAsia="bg-BG"/>
        </w:rPr>
        <w:t>Педиатрична популация</w:t>
      </w:r>
    </w:p>
    <w:p w14:paraId="79C8CB0C"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Безопасността и ефикасността на кандесартан при деца и юноши (до 18 години) не са установени при лечение на хипертония и сърдечна недостатъчност.</w:t>
      </w:r>
    </w:p>
    <w:p w14:paraId="060568D2" w14:textId="77777777" w:rsidR="00FB1AE1" w:rsidRPr="00FB1AE1" w:rsidRDefault="00FB1AE1" w:rsidP="00FB1AE1">
      <w:pPr>
        <w:spacing w:line="240" w:lineRule="auto"/>
        <w:rPr>
          <w:rFonts w:eastAsia="Times New Roman" w:cs="Arial"/>
          <w:color w:val="000000"/>
          <w:u w:val="single"/>
          <w:lang w:eastAsia="bg-BG"/>
        </w:rPr>
      </w:pPr>
    </w:p>
    <w:p w14:paraId="272289EA" w14:textId="308C00BF" w:rsidR="00FB1AE1" w:rsidRPr="00FB1AE1" w:rsidRDefault="00FB1AE1" w:rsidP="00FB1AE1">
      <w:pPr>
        <w:pStyle w:val="Heading3"/>
        <w:rPr>
          <w:rFonts w:eastAsia="Times New Roman"/>
          <w:u w:val="single"/>
        </w:rPr>
      </w:pPr>
      <w:r w:rsidRPr="00FB1AE1">
        <w:rPr>
          <w:rFonts w:eastAsia="Times New Roman"/>
          <w:u w:val="single"/>
          <w:lang w:eastAsia="bg-BG"/>
        </w:rPr>
        <w:t>Начин на приложение</w:t>
      </w:r>
    </w:p>
    <w:p w14:paraId="2528FD59" w14:textId="77777777" w:rsidR="00FB1AE1" w:rsidRPr="00FB1AE1" w:rsidRDefault="00FB1AE1" w:rsidP="00FB1AE1">
      <w:pPr>
        <w:spacing w:line="240" w:lineRule="auto"/>
        <w:rPr>
          <w:rFonts w:eastAsia="Times New Roman" w:cs="Arial"/>
          <w:color w:val="000000"/>
          <w:lang w:eastAsia="bg-BG"/>
        </w:rPr>
      </w:pPr>
    </w:p>
    <w:p w14:paraId="7311A7E7" w14:textId="0449FAD9" w:rsidR="00FB1AE1" w:rsidRPr="00FB1AE1" w:rsidRDefault="00FB1AE1" w:rsidP="00FB1AE1">
      <w:pPr>
        <w:spacing w:line="240" w:lineRule="auto"/>
        <w:rPr>
          <w:rFonts w:eastAsia="Times New Roman" w:cs="Arial"/>
        </w:rPr>
      </w:pPr>
      <w:r w:rsidRPr="00FB1AE1">
        <w:rPr>
          <w:rFonts w:eastAsia="Times New Roman" w:cs="Arial"/>
          <w:color w:val="000000"/>
          <w:lang w:eastAsia="bg-BG"/>
        </w:rPr>
        <w:t>Перорално приложение</w:t>
      </w:r>
    </w:p>
    <w:p w14:paraId="07633737"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Кандестар трябва да се приема веднъж дневно с или без храна. Бионаличностга на кандесартан не се влияе от храната.</w:t>
      </w:r>
    </w:p>
    <w:p w14:paraId="7AD78838" w14:textId="4F51A006" w:rsidR="00FB1AE1" w:rsidRPr="00FB1AE1" w:rsidRDefault="00FB1AE1" w:rsidP="00FB1AE1"/>
    <w:p w14:paraId="28C984E8" w14:textId="39631701" w:rsidR="008134C8" w:rsidRDefault="002C50EE" w:rsidP="004A448E">
      <w:pPr>
        <w:pStyle w:val="Heading2"/>
      </w:pPr>
      <w:r>
        <w:t>4.3. Противопоказания</w:t>
      </w:r>
    </w:p>
    <w:p w14:paraId="29765C2E" w14:textId="3CBB09E2" w:rsidR="00FB1AE1" w:rsidRDefault="00FB1AE1" w:rsidP="00FB1AE1"/>
    <w:p w14:paraId="1A78BCB1" w14:textId="77777777" w:rsidR="00FB1AE1" w:rsidRPr="00FB1AE1" w:rsidRDefault="00FB1AE1" w:rsidP="00FB1AE1">
      <w:pPr>
        <w:pStyle w:val="ListParagraph"/>
        <w:numPr>
          <w:ilvl w:val="0"/>
          <w:numId w:val="35"/>
        </w:numPr>
        <w:rPr>
          <w:sz w:val="24"/>
          <w:szCs w:val="24"/>
        </w:rPr>
      </w:pPr>
      <w:r w:rsidRPr="00FB1AE1">
        <w:rPr>
          <w:lang w:eastAsia="bg-BG"/>
        </w:rPr>
        <w:t xml:space="preserve">свръхчувствителност към активното вещество или към някое от помощните вещества, изброени в точка </w:t>
      </w:r>
      <w:r w:rsidRPr="00FB1AE1">
        <w:rPr>
          <w:i/>
          <w:iCs/>
          <w:lang w:eastAsia="bg-BG"/>
        </w:rPr>
        <w:t>6.1</w:t>
      </w:r>
      <w:r w:rsidRPr="00FB1AE1">
        <w:rPr>
          <w:lang w:eastAsia="bg-BG"/>
        </w:rPr>
        <w:t>;</w:t>
      </w:r>
    </w:p>
    <w:p w14:paraId="7111F79A" w14:textId="77777777" w:rsidR="00FB1AE1" w:rsidRPr="00FB1AE1" w:rsidRDefault="00FB1AE1" w:rsidP="00FB1AE1">
      <w:pPr>
        <w:pStyle w:val="ListParagraph"/>
        <w:numPr>
          <w:ilvl w:val="0"/>
          <w:numId w:val="35"/>
        </w:numPr>
        <w:rPr>
          <w:sz w:val="24"/>
          <w:szCs w:val="24"/>
        </w:rPr>
      </w:pPr>
      <w:r w:rsidRPr="00FB1AE1">
        <w:rPr>
          <w:lang w:eastAsia="bg-BG"/>
        </w:rPr>
        <w:t>втори и трети триместър на бременността (вж. точка 4.4 и 4.6);</w:t>
      </w:r>
    </w:p>
    <w:p w14:paraId="6B182082" w14:textId="77777777" w:rsidR="00FB1AE1" w:rsidRPr="00FB1AE1" w:rsidRDefault="00FB1AE1" w:rsidP="00FB1AE1">
      <w:pPr>
        <w:pStyle w:val="ListParagraph"/>
        <w:numPr>
          <w:ilvl w:val="0"/>
          <w:numId w:val="35"/>
        </w:numPr>
        <w:rPr>
          <w:sz w:val="24"/>
          <w:szCs w:val="24"/>
        </w:rPr>
      </w:pPr>
      <w:r w:rsidRPr="00FB1AE1">
        <w:rPr>
          <w:lang w:eastAsia="bg-BG"/>
        </w:rPr>
        <w:t>тежко чернодробно нарушение и/или холестаза;</w:t>
      </w:r>
    </w:p>
    <w:p w14:paraId="16CE1545" w14:textId="1A813D44" w:rsidR="00FB1AE1" w:rsidRPr="00FB1AE1" w:rsidRDefault="00FB1AE1" w:rsidP="00FB1AE1">
      <w:pPr>
        <w:pStyle w:val="ListParagraph"/>
        <w:numPr>
          <w:ilvl w:val="0"/>
          <w:numId w:val="35"/>
        </w:numPr>
        <w:rPr>
          <w:sz w:val="24"/>
          <w:szCs w:val="24"/>
        </w:rPr>
      </w:pPr>
      <w:r w:rsidRPr="00FB1AE1">
        <w:rPr>
          <w:lang w:eastAsia="bg-BG"/>
        </w:rPr>
        <w:t xml:space="preserve">едновременната употреба на кандесаратан с алискирен-съдържащи продукти е противопоказана при пациенти със захарен диабет или бъбречно увреждане </w:t>
      </w:r>
      <w:r w:rsidRPr="00FB1AE1">
        <w:rPr>
          <w:lang w:val="ru-RU"/>
        </w:rPr>
        <w:t>(</w:t>
      </w:r>
      <w:r w:rsidRPr="00FB1AE1">
        <w:rPr>
          <w:lang w:val="en-US"/>
        </w:rPr>
        <w:t>GFR</w:t>
      </w:r>
      <w:r w:rsidRPr="00FB1AE1">
        <w:rPr>
          <w:lang w:val="ru-RU"/>
        </w:rPr>
        <w:t xml:space="preserve">&lt;60 </w:t>
      </w:r>
      <w:r w:rsidRPr="00FB1AE1">
        <w:rPr>
          <w:lang w:val="en-US"/>
        </w:rPr>
        <w:t>ml</w:t>
      </w:r>
      <w:r w:rsidRPr="00FB1AE1">
        <w:rPr>
          <w:lang w:val="ru-RU"/>
        </w:rPr>
        <w:t>/</w:t>
      </w:r>
      <w:r w:rsidRPr="00FB1AE1">
        <w:rPr>
          <w:lang w:val="en-US"/>
        </w:rPr>
        <w:t>min</w:t>
      </w:r>
      <w:r w:rsidRPr="00FB1AE1">
        <w:rPr>
          <w:lang w:val="ru-RU"/>
        </w:rPr>
        <w:t xml:space="preserve">/1.73 </w:t>
      </w:r>
      <w:r w:rsidRPr="00FB1AE1">
        <w:rPr>
          <w:lang w:val="en-US"/>
        </w:rPr>
        <w:t>m</w:t>
      </w:r>
      <w:r w:rsidRPr="00FB1AE1">
        <w:rPr>
          <w:vertAlign w:val="superscript"/>
          <w:lang w:val="ru-RU"/>
        </w:rPr>
        <w:t>2</w:t>
      </w:r>
      <w:r w:rsidRPr="00FB1AE1">
        <w:rPr>
          <w:lang w:val="ru-RU"/>
        </w:rPr>
        <w:t xml:space="preserve">) </w:t>
      </w:r>
      <w:r w:rsidRPr="00FB1AE1">
        <w:rPr>
          <w:lang w:eastAsia="bg-BG"/>
        </w:rPr>
        <w:t>(вж. точки 4.5 и 5.1).</w:t>
      </w:r>
    </w:p>
    <w:p w14:paraId="6E76ED47" w14:textId="77777777" w:rsidR="00FB1AE1" w:rsidRPr="00FB1AE1" w:rsidRDefault="00FB1AE1" w:rsidP="00FB1AE1"/>
    <w:p w14:paraId="212F509C" w14:textId="17A40E05" w:rsidR="004F498A" w:rsidRDefault="002C50EE" w:rsidP="004A448E">
      <w:pPr>
        <w:pStyle w:val="Heading2"/>
      </w:pPr>
      <w:r>
        <w:t>4.4. Специални предупреждения и предпазни мерки при употреба</w:t>
      </w:r>
    </w:p>
    <w:p w14:paraId="0BBA93C9" w14:textId="0FC441D1" w:rsidR="00FB1AE1" w:rsidRDefault="00FB1AE1" w:rsidP="00FB1AE1"/>
    <w:p w14:paraId="4DF1D2B4" w14:textId="77777777"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Бъбречно нарушение</w:t>
      </w:r>
    </w:p>
    <w:p w14:paraId="512D289E"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Както при други лекарствени продукти, които инхибират ренин-ангиотензин-алдостероновата система, може да се очакват промени в бъбречната функция при чувствителни пациенти, лекувани с кандесартан.</w:t>
      </w:r>
    </w:p>
    <w:p w14:paraId="3D109FD9" w14:textId="77777777" w:rsidR="00FB1AE1" w:rsidRPr="00FB1AE1" w:rsidRDefault="00FB1AE1" w:rsidP="00FB1AE1">
      <w:pPr>
        <w:spacing w:line="240" w:lineRule="auto"/>
        <w:rPr>
          <w:rFonts w:eastAsia="Times New Roman" w:cs="Arial"/>
          <w:color w:val="000000"/>
          <w:lang w:eastAsia="bg-BG"/>
        </w:rPr>
      </w:pPr>
    </w:p>
    <w:p w14:paraId="4C7C1E73" w14:textId="720175C9" w:rsidR="00FB1AE1" w:rsidRPr="00FB1AE1" w:rsidRDefault="00FB1AE1" w:rsidP="00FB1AE1">
      <w:pPr>
        <w:spacing w:line="240" w:lineRule="auto"/>
        <w:rPr>
          <w:rFonts w:eastAsia="Times New Roman" w:cs="Arial"/>
        </w:rPr>
      </w:pPr>
      <w:r w:rsidRPr="00FB1AE1">
        <w:rPr>
          <w:rFonts w:eastAsia="Times New Roman" w:cs="Arial"/>
          <w:color w:val="000000"/>
          <w:lang w:eastAsia="bg-BG"/>
        </w:rPr>
        <w:lastRenderedPageBreak/>
        <w:t>Когато кандесартан се прилага при хипертензивни пациенти с бъбречно нарушение се препоръчва периодично проследяване на нивата на серумния калий и креатинина. Има ограничен опит при пациенти с много тежко или терминално бъбречно нарушение (</w:t>
      </w:r>
      <w:proofErr w:type="spellStart"/>
      <w:r w:rsidRPr="00FB1AE1">
        <w:rPr>
          <w:rFonts w:eastAsia="Times New Roman" w:cs="Arial"/>
          <w:i/>
          <w:iCs/>
          <w:color w:val="000000"/>
          <w:lang w:val="en-US"/>
        </w:rPr>
        <w:t>Clcreatinine</w:t>
      </w:r>
      <w:proofErr w:type="spellEnd"/>
      <w:r w:rsidRPr="00FB1AE1">
        <w:rPr>
          <w:rFonts w:eastAsia="Times New Roman" w:cs="Arial"/>
          <w:i/>
          <w:iCs/>
          <w:color w:val="000000"/>
          <w:lang w:val="ru-RU"/>
        </w:rPr>
        <w:t xml:space="preserve"> </w:t>
      </w:r>
      <w:r w:rsidRPr="00FB1AE1">
        <w:rPr>
          <w:rFonts w:eastAsia="Times New Roman" w:cs="Arial"/>
          <w:color w:val="000000"/>
          <w:lang w:eastAsia="bg-BG"/>
        </w:rPr>
        <w:t xml:space="preserve">&lt; 15 </w:t>
      </w:r>
      <w:r w:rsidRPr="00FB1AE1">
        <w:rPr>
          <w:rFonts w:eastAsia="Times New Roman" w:cs="Arial"/>
          <w:color w:val="000000"/>
          <w:lang w:val="en-US"/>
        </w:rPr>
        <w:t>ml</w:t>
      </w:r>
      <w:r w:rsidRPr="00FB1AE1">
        <w:rPr>
          <w:rFonts w:eastAsia="Times New Roman" w:cs="Arial"/>
          <w:color w:val="000000"/>
          <w:lang w:val="ru-RU"/>
        </w:rPr>
        <w:t>/</w:t>
      </w:r>
      <w:r w:rsidRPr="00FB1AE1">
        <w:rPr>
          <w:rFonts w:eastAsia="Times New Roman" w:cs="Arial"/>
          <w:color w:val="000000"/>
          <w:lang w:val="en-US"/>
        </w:rPr>
        <w:t>min</w:t>
      </w:r>
      <w:r w:rsidRPr="00FB1AE1">
        <w:rPr>
          <w:rFonts w:eastAsia="Times New Roman" w:cs="Arial"/>
          <w:color w:val="000000"/>
          <w:lang w:val="ru-RU"/>
        </w:rPr>
        <w:t xml:space="preserve">). </w:t>
      </w:r>
      <w:r w:rsidRPr="00FB1AE1">
        <w:rPr>
          <w:rFonts w:eastAsia="Times New Roman" w:cs="Arial"/>
          <w:color w:val="000000"/>
          <w:lang w:eastAsia="bg-BG"/>
        </w:rPr>
        <w:t>При тези пациенти дозата на кандесартан цилексетил трябва внимателно да се повишава при постоянно следене на артериалното налягане.</w:t>
      </w:r>
    </w:p>
    <w:p w14:paraId="0E591CEB" w14:textId="77777777" w:rsidR="00FB1AE1" w:rsidRPr="00FB1AE1" w:rsidRDefault="00FB1AE1" w:rsidP="00FB1AE1">
      <w:pPr>
        <w:spacing w:line="240" w:lineRule="auto"/>
        <w:rPr>
          <w:rFonts w:eastAsia="Times New Roman" w:cs="Arial"/>
          <w:color w:val="000000"/>
          <w:lang w:eastAsia="bg-BG"/>
        </w:rPr>
      </w:pPr>
    </w:p>
    <w:p w14:paraId="50A8EE94" w14:textId="41D11D2D"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Оценката на пациентите със сърдечна недостатъчност трябва да включва периодично изследване на бъбречната функция, особено при пациенти в старческа възраст над 75 години и при пациенти с нарушена бъбречна функция. По време на повишаване на дозата на кандесартан цилексетил се препоръчва следенето на серумния креатинин и калий. Клиничните изпитвания при сърдечна недостатъчност не са включвали пациенти със серумен креатинин &gt;265щпо1/1 (&gt;3 </w:t>
      </w:r>
      <w:r w:rsidRPr="00FB1AE1">
        <w:rPr>
          <w:rFonts w:eastAsia="Times New Roman" w:cs="Arial"/>
          <w:color w:val="000000"/>
          <w:lang w:val="en-US"/>
        </w:rPr>
        <w:t>mg</w:t>
      </w:r>
      <w:r w:rsidRPr="00FB1AE1">
        <w:rPr>
          <w:rFonts w:eastAsia="Times New Roman" w:cs="Arial"/>
          <w:color w:val="000000"/>
          <w:lang w:val="ru-RU"/>
        </w:rPr>
        <w:t>/</w:t>
      </w:r>
      <w:r w:rsidRPr="00FB1AE1">
        <w:rPr>
          <w:rFonts w:eastAsia="Times New Roman" w:cs="Arial"/>
          <w:color w:val="000000"/>
          <w:lang w:val="en-US"/>
        </w:rPr>
        <w:t>dl</w:t>
      </w:r>
      <w:r w:rsidRPr="00FB1AE1">
        <w:rPr>
          <w:rFonts w:eastAsia="Times New Roman" w:cs="Arial"/>
          <w:color w:val="000000"/>
          <w:lang w:val="ru-RU"/>
        </w:rPr>
        <w:t>).</w:t>
      </w:r>
    </w:p>
    <w:p w14:paraId="0C7277CC" w14:textId="77777777" w:rsidR="00FB1AE1" w:rsidRPr="00FB1AE1" w:rsidRDefault="00FB1AE1" w:rsidP="00FB1AE1">
      <w:pPr>
        <w:spacing w:line="240" w:lineRule="auto"/>
        <w:rPr>
          <w:rFonts w:eastAsia="Times New Roman" w:cs="Arial"/>
          <w:color w:val="000000"/>
          <w:u w:val="single"/>
          <w:lang w:eastAsia="bg-BG"/>
        </w:rPr>
      </w:pPr>
    </w:p>
    <w:p w14:paraId="7BD58492" w14:textId="0BB7277C"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Едновременно лечение с АСЕ инхибитор при сърдечна недостатъчност</w:t>
      </w:r>
    </w:p>
    <w:p w14:paraId="494BC8F4"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Рискът от нежелани лекарствени реакции, особено хипотония, хиперкалиемия и понижена бъбречна функция (включително остра бъбречна недостатъчност), може да се повиши, когато кандесартан се използва в комбинация с АСЕ инхибитор . Тройна комбинация от АСЕ инхибитор, минералкортикоиден рецепторен антагонист и кандесартан също не се препоръчва. Тези комбинации трябва да се използват под наблюдение на специалист и при често, внимателно мониториране на бъбречната функция, електролитите и кръвното налягане.</w:t>
      </w:r>
    </w:p>
    <w:p w14:paraId="13CF7D35" w14:textId="77777777" w:rsidR="00FB1AE1" w:rsidRPr="00FB1AE1" w:rsidRDefault="00FB1AE1" w:rsidP="00FB1AE1">
      <w:pPr>
        <w:spacing w:line="240" w:lineRule="auto"/>
        <w:rPr>
          <w:rFonts w:eastAsia="Times New Roman" w:cs="Arial"/>
          <w:color w:val="000000"/>
          <w:lang w:eastAsia="bg-BG"/>
        </w:rPr>
      </w:pPr>
    </w:p>
    <w:p w14:paraId="7B69127A" w14:textId="3A1A08C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АСЕ инхибитори и ангиотензин </w:t>
      </w:r>
      <w:r w:rsidRPr="00FB1AE1">
        <w:rPr>
          <w:rFonts w:eastAsia="Times New Roman" w:cs="Arial"/>
          <w:color w:val="000000"/>
          <w:lang w:val="en-US"/>
        </w:rPr>
        <w:t>II</w:t>
      </w:r>
      <w:r w:rsidRPr="00FB1AE1">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77A2C2D9" w14:textId="77777777" w:rsidR="00FB1AE1" w:rsidRPr="00FB1AE1" w:rsidRDefault="00FB1AE1" w:rsidP="00FB1AE1">
      <w:pPr>
        <w:spacing w:line="240" w:lineRule="auto"/>
        <w:rPr>
          <w:rFonts w:eastAsia="Times New Roman" w:cs="Arial"/>
          <w:color w:val="000000"/>
          <w:u w:val="single"/>
          <w:lang w:eastAsia="bg-BG"/>
        </w:rPr>
      </w:pPr>
    </w:p>
    <w:p w14:paraId="08F6CA5C" w14:textId="1E6A85FB"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Хемодиализа</w:t>
      </w:r>
    </w:p>
    <w:p w14:paraId="1C320391"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По време на диализа артериалното налягане може да бъде особено чувствително към блокада на </w:t>
      </w:r>
      <w:r w:rsidRPr="00FB1AE1">
        <w:rPr>
          <w:rFonts w:eastAsia="Times New Roman" w:cs="Arial"/>
          <w:color w:val="000000"/>
          <w:lang w:val="en-US"/>
        </w:rPr>
        <w:t>AT</w:t>
      </w:r>
      <w:r w:rsidRPr="00FB1AE1">
        <w:rPr>
          <w:rFonts w:eastAsia="Times New Roman" w:cs="Arial"/>
          <w:color w:val="000000"/>
          <w:lang w:val="ru-RU"/>
        </w:rPr>
        <w:t>1</w:t>
      </w:r>
      <w:r w:rsidRPr="00FB1AE1">
        <w:rPr>
          <w:rFonts w:eastAsia="Times New Roman" w:cs="Arial"/>
          <w:color w:val="000000"/>
          <w:lang w:eastAsia="bg-BG"/>
        </w:rPr>
        <w:t>-рецепторите, в резултат на намален плазмен обем и активиране на ренин-ангиотензин- алдостероновата система. Поради това дозата на кандесартан трябва да се повишава внимателно, като се проследява редовно артериалното налягане на пациентите на хемодиализа.</w:t>
      </w:r>
    </w:p>
    <w:p w14:paraId="4B44CBF5" w14:textId="77777777" w:rsidR="00FB1AE1" w:rsidRPr="00FB1AE1" w:rsidRDefault="00FB1AE1" w:rsidP="00FB1AE1">
      <w:pPr>
        <w:spacing w:line="240" w:lineRule="auto"/>
        <w:rPr>
          <w:rFonts w:eastAsia="Times New Roman" w:cs="Arial"/>
          <w:color w:val="000000"/>
          <w:u w:val="single"/>
          <w:lang w:eastAsia="bg-BG"/>
        </w:rPr>
      </w:pPr>
    </w:p>
    <w:p w14:paraId="45BF90FE" w14:textId="5D135F88"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Стеноза на бъбречната артерия</w:t>
      </w:r>
    </w:p>
    <w:p w14:paraId="612A31E8"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Лекарствените продукти, които повлияват ренин-ангиотензин-алдостероновата система, включително ангиотензин II рецепторни антагонисти </w:t>
      </w:r>
      <w:r w:rsidRPr="00FB1AE1">
        <w:rPr>
          <w:rFonts w:eastAsia="Times New Roman" w:cs="Arial"/>
          <w:color w:val="000000"/>
          <w:lang w:val="ru-RU"/>
        </w:rPr>
        <w:t>(</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могат да повишат кръвната урея и серумния креатинин при пациенти с двустранна стеноза на бъбречната артерия или стеноза на артерията на единствен бъбрек.</w:t>
      </w:r>
    </w:p>
    <w:p w14:paraId="2F992155" w14:textId="77777777" w:rsidR="00FB1AE1" w:rsidRPr="00FB1AE1" w:rsidRDefault="00FB1AE1" w:rsidP="00FB1AE1">
      <w:pPr>
        <w:spacing w:line="240" w:lineRule="auto"/>
        <w:rPr>
          <w:rFonts w:eastAsia="Times New Roman" w:cs="Arial"/>
          <w:color w:val="000000"/>
          <w:u w:val="single"/>
          <w:lang w:eastAsia="bg-BG"/>
        </w:rPr>
      </w:pPr>
    </w:p>
    <w:p w14:paraId="2AC97A55" w14:textId="295150E5"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Бъбречна трансплантация</w:t>
      </w:r>
    </w:p>
    <w:p w14:paraId="0E66DBAF"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Няма опит по отношение на приложението на кандесартан при пациенти с наскоро направена бъбречна трансплантация.</w:t>
      </w:r>
    </w:p>
    <w:p w14:paraId="4858EDA8" w14:textId="77777777" w:rsidR="00FB1AE1" w:rsidRPr="00FB1AE1" w:rsidRDefault="00FB1AE1" w:rsidP="00FB1AE1">
      <w:pPr>
        <w:spacing w:line="240" w:lineRule="auto"/>
        <w:rPr>
          <w:rFonts w:eastAsia="Times New Roman" w:cs="Arial"/>
          <w:color w:val="000000"/>
          <w:u w:val="single"/>
          <w:lang w:eastAsia="bg-BG"/>
        </w:rPr>
      </w:pPr>
    </w:p>
    <w:p w14:paraId="1B068305" w14:textId="20A07FF0"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Хипотония</w:t>
      </w:r>
    </w:p>
    <w:p w14:paraId="63DD245E"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Хипотония може да възникне по време на лечение с кандесартан при пациенти със сърдечна недостатъчност. Тя може да се появи също при хипертензивни пациенти с намален вътресъдов обем, какго и при пациенти, получаващи високи дози диуретици. Изисква се внимателно наблюдение при започване на лечение и трябва да се направи опит да се коригира хиповолемията.</w:t>
      </w:r>
    </w:p>
    <w:p w14:paraId="66AD28A9" w14:textId="77777777" w:rsidR="00FB1AE1" w:rsidRPr="00FB1AE1" w:rsidRDefault="00FB1AE1" w:rsidP="00FB1AE1">
      <w:pPr>
        <w:spacing w:line="240" w:lineRule="auto"/>
        <w:rPr>
          <w:rFonts w:eastAsia="Times New Roman" w:cs="Arial"/>
          <w:color w:val="000000"/>
          <w:u w:val="single"/>
          <w:lang w:eastAsia="bg-BG"/>
        </w:rPr>
      </w:pPr>
    </w:p>
    <w:p w14:paraId="35C903EA" w14:textId="16A22D36"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Анестезия и оперативно лечение</w:t>
      </w:r>
    </w:p>
    <w:p w14:paraId="7BA7F2B5"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lastRenderedPageBreak/>
        <w:t>По време на анестезия и оперативно лечение на пациенти, лекувани с антагонисти на ангиотензин II, може да възникне хипотония поради блокада на ренин-ангиотензин системата. Много рядко хипотонията може да бъде тежка, поради което да се наложи интравенозно приложение на течности и/или вазопресори.</w:t>
      </w:r>
    </w:p>
    <w:p w14:paraId="741AD70C" w14:textId="77777777" w:rsidR="00FB1AE1" w:rsidRPr="00FB1AE1" w:rsidRDefault="00FB1AE1" w:rsidP="00FB1AE1">
      <w:pPr>
        <w:spacing w:line="240" w:lineRule="auto"/>
        <w:rPr>
          <w:rFonts w:eastAsia="Times New Roman" w:cs="Arial"/>
          <w:color w:val="000000"/>
          <w:u w:val="single"/>
          <w:lang w:eastAsia="bg-BG"/>
        </w:rPr>
      </w:pPr>
    </w:p>
    <w:p w14:paraId="75170DA0" w14:textId="1BFDD681"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 xml:space="preserve">Стеноза на аортата и митралната клапа (обструктивна хипетрофна кардиомиопатия) </w:t>
      </w:r>
      <w:r w:rsidRPr="00FB1AE1">
        <w:rPr>
          <w:rFonts w:eastAsia="Times New Roman" w:cs="Arial"/>
          <w:color w:val="000000"/>
          <w:lang w:eastAsia="bg-BG"/>
        </w:rPr>
        <w:t>Както при другите вазодилататори, специално внимание е необходимо при пациенти, страдащи от стеноза на аортната и митралната клапа с хемодинамично значение или обструктивна хипертрофна кардиомиопатия.</w:t>
      </w:r>
    </w:p>
    <w:p w14:paraId="0087BFE1" w14:textId="77777777" w:rsidR="00FB1AE1" w:rsidRPr="00FB1AE1" w:rsidRDefault="00FB1AE1" w:rsidP="00FB1AE1">
      <w:pPr>
        <w:spacing w:line="240" w:lineRule="auto"/>
        <w:rPr>
          <w:rFonts w:eastAsia="Times New Roman" w:cs="Arial"/>
          <w:color w:val="000000"/>
          <w:u w:val="single"/>
          <w:lang w:eastAsia="bg-BG"/>
        </w:rPr>
      </w:pPr>
    </w:p>
    <w:p w14:paraId="1072A758" w14:textId="44B8CC70"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Първичен хипералдостеронизъм</w:t>
      </w:r>
    </w:p>
    <w:p w14:paraId="198A83F5"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Пациенти с първичен хипералдостеронизъм обикновено няма да се повлияят от лечение с антихипертензивни лекарствени продукти, действащи чрез инхибиране на ренин-ангиотензин- алдостероновата система. Поради това приложението на кандесартан не се препоръчва.</w:t>
      </w:r>
    </w:p>
    <w:p w14:paraId="02BF41E8" w14:textId="77777777" w:rsidR="00FB1AE1" w:rsidRPr="00FB1AE1" w:rsidRDefault="00FB1AE1" w:rsidP="00FB1AE1">
      <w:pPr>
        <w:spacing w:line="240" w:lineRule="auto"/>
        <w:rPr>
          <w:rFonts w:eastAsia="Times New Roman" w:cs="Arial"/>
          <w:color w:val="000000"/>
          <w:u w:val="single"/>
          <w:lang w:eastAsia="bg-BG"/>
        </w:rPr>
      </w:pPr>
    </w:p>
    <w:p w14:paraId="71F50F30" w14:textId="72D8D062"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Хиперкалиемия</w:t>
      </w:r>
    </w:p>
    <w:p w14:paraId="6154A5B0"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Едновременното приложение на кандесартан с калий-съхраняващи диуретици, калиеви добавки, заместители на солта, съдържащи калий, или други лекарствени продукти, които могат да повишат нивата на калия (напр. хепарин), може да доведе до повишаване на серумния калий при хипертензивни пациенти. Следенето на нивата на калий се приема за подходящо. При пациенти със сърдечна недостатъчност, лекувани с кандесартан, може да възникне хиперкалиемия. Препоръчва се периодично проследяване на серумния калий. Комбинацията от АСЕ инхибитор, калий-съхраняващи диуретици (напр. спиронолактон) и кандесартан не се препоръчва и трябва да се прилага само след внимателна оценка на потенциалните ползи и рискове.</w:t>
      </w:r>
    </w:p>
    <w:p w14:paraId="22926C9E" w14:textId="77777777" w:rsidR="00FB1AE1" w:rsidRPr="00FB1AE1" w:rsidRDefault="00FB1AE1" w:rsidP="00FB1AE1">
      <w:pPr>
        <w:spacing w:line="240" w:lineRule="auto"/>
        <w:rPr>
          <w:rFonts w:eastAsia="Times New Roman" w:cs="Arial"/>
          <w:color w:val="000000"/>
          <w:u w:val="single"/>
          <w:lang w:eastAsia="bg-BG"/>
        </w:rPr>
      </w:pPr>
    </w:p>
    <w:p w14:paraId="07653785" w14:textId="3E24BDCE"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Двойно блокиране на ренин-ангиотензин-алдостероновата система (РААС)</w:t>
      </w:r>
    </w:p>
    <w:p w14:paraId="771DA073" w14:textId="665DA8A3" w:rsidR="00FB1AE1" w:rsidRPr="00FB1AE1" w:rsidRDefault="00FB1AE1" w:rsidP="00FB1AE1">
      <w:pPr>
        <w:rPr>
          <w:rFonts w:eastAsia="Times New Roman" w:cs="Arial"/>
          <w:color w:val="000000"/>
          <w:lang w:eastAsia="bg-BG"/>
        </w:rPr>
      </w:pPr>
      <w:r w:rsidRPr="00FB1AE1">
        <w:rPr>
          <w:rFonts w:eastAsia="Times New Roman" w:cs="Arial"/>
          <w:color w:val="000000"/>
          <w:lang w:eastAsia="bg-BG"/>
        </w:rPr>
        <w:t xml:space="preserve">Има данни, че едновременната употреба на АСЕ инхибитори, ангиотензин </w:t>
      </w:r>
      <w:r w:rsidRPr="00FB1AE1">
        <w:rPr>
          <w:rFonts w:eastAsia="Times New Roman" w:cs="Arial"/>
          <w:color w:val="000000"/>
          <w:lang w:val="en-US"/>
        </w:rPr>
        <w:t>II</w:t>
      </w:r>
      <w:r w:rsidRPr="00FB1AE1">
        <w:rPr>
          <w:rFonts w:eastAsia="Times New Roman" w:cs="Arial"/>
          <w:color w:val="000000"/>
          <w:lang w:val="ru-RU"/>
        </w:rPr>
        <w:t>-</w:t>
      </w:r>
      <w:r w:rsidRPr="00FB1AE1">
        <w:rPr>
          <w:rFonts w:eastAsia="Times New Roman" w:cs="Arial"/>
          <w:color w:val="000000"/>
          <w:lang w:eastAsia="bg-BG"/>
        </w:rPr>
        <w:t>рецепторни блокери или алискирен повишава риска от хипотония, хиперкалиемия и понижена бъбречна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ангиотейзий II- рецепторни блокери или алискирен (вж. точки 4.5 и 5.1).</w:t>
      </w:r>
    </w:p>
    <w:p w14:paraId="321B5ABE" w14:textId="5E750995" w:rsidR="00FB1AE1" w:rsidRPr="00FB1AE1" w:rsidRDefault="00FB1AE1" w:rsidP="00FB1AE1">
      <w:pPr>
        <w:rPr>
          <w:rFonts w:eastAsia="Times New Roman" w:cs="Arial"/>
          <w:color w:val="000000"/>
          <w:lang w:eastAsia="bg-BG"/>
        </w:rPr>
      </w:pPr>
    </w:p>
    <w:p w14:paraId="428D63D5"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53BC822"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АСЕ инхибитори и ангиотензин </w:t>
      </w:r>
      <w:r w:rsidRPr="00FB1AE1">
        <w:rPr>
          <w:rFonts w:eastAsia="Times New Roman" w:cs="Arial"/>
          <w:color w:val="000000"/>
          <w:lang w:val="en-US"/>
        </w:rPr>
        <w:t>II</w:t>
      </w:r>
      <w:r w:rsidRPr="00FB1AE1">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8961D80" w14:textId="77777777" w:rsidR="00FB1AE1" w:rsidRPr="00FB1AE1" w:rsidRDefault="00FB1AE1" w:rsidP="00FB1AE1">
      <w:pPr>
        <w:spacing w:line="240" w:lineRule="auto"/>
        <w:rPr>
          <w:rFonts w:eastAsia="Times New Roman" w:cs="Arial"/>
          <w:color w:val="000000"/>
          <w:u w:val="single"/>
          <w:lang w:eastAsia="bg-BG"/>
        </w:rPr>
      </w:pPr>
    </w:p>
    <w:p w14:paraId="21798D74" w14:textId="29A84CC6"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Общи</w:t>
      </w:r>
    </w:p>
    <w:p w14:paraId="4F347175"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При пациенти, чийто съдов тонус и бъбречна функция зависят предимно от активността на ренин-ангиотензин-алдостероновата система (напр. при болни с тежка застойна сърдечна недостатъчност или съпътстващо бъбречно заболяване, включително стеноза на бъбречната артерия), лечението с други лекарствени продукти, които повлияват тази система е било свързано с остра хипотония, азотемия, олигурия, или рядко, с остра бъбречна недостатъчност. Вероятността от подобни ефекти не може да се изключи при лечение с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Както при всяко друго антихипертензивно лекарствено средство, прекомерното понижаване на артериалното налягане при пациенти с исхемична </w:t>
      </w:r>
      <w:r w:rsidRPr="00FB1AE1">
        <w:rPr>
          <w:rFonts w:eastAsia="Times New Roman" w:cs="Arial"/>
          <w:color w:val="000000"/>
          <w:lang w:eastAsia="bg-BG"/>
        </w:rPr>
        <w:lastRenderedPageBreak/>
        <w:t>кардиопатия или исхемично мозъчносъдово заболяване може да доведе до миокарден инфаркт или инсулт.</w:t>
      </w:r>
    </w:p>
    <w:p w14:paraId="29F178EF"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Антихипертензивният ефект на кандесартан може да се усили от други лекарствени продукти с понижаващи артериалното налягане свойства, независимо дали са предписани като антихипертензивни средства или с други показания.</w:t>
      </w:r>
    </w:p>
    <w:p w14:paraId="17F0EDC9" w14:textId="77777777" w:rsidR="00FB1AE1" w:rsidRPr="00FB1AE1" w:rsidRDefault="00FB1AE1" w:rsidP="00FB1AE1">
      <w:pPr>
        <w:spacing w:line="240" w:lineRule="auto"/>
        <w:rPr>
          <w:rFonts w:eastAsia="Times New Roman" w:cs="Arial"/>
          <w:color w:val="000000"/>
          <w:lang w:eastAsia="bg-BG"/>
        </w:rPr>
      </w:pPr>
    </w:p>
    <w:p w14:paraId="2FB94417" w14:textId="71F67B9B"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Кандестар съдържа лактоза. Пациенти с редки наследствени нарушения, като непоносимост към галактоза, </w:t>
      </w:r>
      <w:r w:rsidRPr="00FB1AE1">
        <w:rPr>
          <w:rFonts w:eastAsia="Times New Roman" w:cs="Arial"/>
          <w:color w:val="000000"/>
          <w:lang w:val="en-US"/>
        </w:rPr>
        <w:t>Lapp</w:t>
      </w:r>
      <w:r w:rsidRPr="00FB1AE1">
        <w:rPr>
          <w:rFonts w:eastAsia="Times New Roman" w:cs="Arial"/>
          <w:color w:val="000000"/>
          <w:lang w:val="ru-RU"/>
        </w:rPr>
        <w:t xml:space="preserve"> </w:t>
      </w:r>
      <w:r w:rsidRPr="00FB1AE1">
        <w:rPr>
          <w:rFonts w:eastAsia="Times New Roman" w:cs="Arial"/>
          <w:color w:val="000000"/>
          <w:lang w:eastAsia="bg-BG"/>
        </w:rPr>
        <w:t>- лактазен дефицит или глюкозо-галактозна малабсорбция не трябва да приемат този лекарствен продукт.</w:t>
      </w:r>
    </w:p>
    <w:p w14:paraId="53CC2F7F" w14:textId="77777777" w:rsidR="00FB1AE1" w:rsidRPr="00FB1AE1" w:rsidRDefault="00FB1AE1" w:rsidP="00FB1AE1">
      <w:pPr>
        <w:spacing w:line="240" w:lineRule="auto"/>
        <w:rPr>
          <w:rFonts w:eastAsia="Times New Roman" w:cs="Arial"/>
          <w:color w:val="000000"/>
          <w:u w:val="single"/>
          <w:lang w:eastAsia="bg-BG"/>
        </w:rPr>
      </w:pPr>
    </w:p>
    <w:p w14:paraId="7175E2F8" w14:textId="10DEF0E5"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Бременност</w:t>
      </w:r>
    </w:p>
    <w:p w14:paraId="52914246" w14:textId="77777777" w:rsidR="00FB1AE1" w:rsidRPr="00FB1AE1" w:rsidRDefault="00FB1AE1" w:rsidP="00FB1AE1">
      <w:pPr>
        <w:spacing w:line="240" w:lineRule="auto"/>
        <w:rPr>
          <w:rFonts w:eastAsia="Times New Roman" w:cs="Arial"/>
        </w:rPr>
      </w:pP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не трябва да се приемат по време на бременност. Освен, ако продължаването на терапия с </w:t>
      </w:r>
      <w:r w:rsidRPr="00FB1AE1">
        <w:rPr>
          <w:rFonts w:eastAsia="Times New Roman" w:cs="Arial"/>
          <w:color w:val="000000"/>
          <w:lang w:val="en-US"/>
        </w:rPr>
        <w:t>AIIRA</w:t>
      </w:r>
      <w:r w:rsidRPr="00FB1AE1">
        <w:rPr>
          <w:rFonts w:eastAsia="Times New Roman" w:cs="Arial"/>
          <w:color w:val="000000"/>
          <w:lang w:val="ru-RU"/>
        </w:rPr>
        <w:t xml:space="preserve"> </w:t>
      </w:r>
      <w:r w:rsidRPr="00FB1AE1">
        <w:rPr>
          <w:rFonts w:eastAsia="Times New Roman" w:cs="Arial"/>
          <w:color w:val="000000"/>
          <w:lang w:eastAsia="bg-BG"/>
        </w:rPr>
        <w:t xml:space="preserve">не се смята за крайно необходима, пациентките, планиращи бременност трябва да преминат на алтернативно антихипертензивно лечение, което е с установен профил на безопасност при бременност. При установяване на бременност, лечението с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трябва да се спре незабавно, и ако е уместно трябва да се започне алтернативна терапия (вж. точки 4.3 и 4.6).</w:t>
      </w:r>
    </w:p>
    <w:p w14:paraId="4AFD7BCF" w14:textId="77777777" w:rsidR="00FB1AE1" w:rsidRPr="00FB1AE1" w:rsidRDefault="00FB1AE1" w:rsidP="00FB1AE1"/>
    <w:p w14:paraId="619DED1E" w14:textId="1BC042C5"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9CE524A" w14:textId="3B37A8BD" w:rsidR="00FB1AE1" w:rsidRDefault="00FB1AE1" w:rsidP="00FB1AE1"/>
    <w:p w14:paraId="4109353C"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Съединенията, които са били изследвани при клиничните фармакокинетични проучвания включват хидрохлоротиазид, варфарин, дигоксин, орални контрацептиви (т.е. етинилестрадиол/левоноргестрел), глибенкламид, нифедипин и еналаприл. Не са установени клинично значими фармакокинетични взаимодействия с тези лекарствени продукти.</w:t>
      </w:r>
    </w:p>
    <w:p w14:paraId="63E12C4C" w14:textId="77777777" w:rsidR="00FB1AE1" w:rsidRPr="00FB1AE1" w:rsidRDefault="00FB1AE1" w:rsidP="00FB1AE1">
      <w:pPr>
        <w:spacing w:line="240" w:lineRule="auto"/>
        <w:rPr>
          <w:rFonts w:eastAsia="Times New Roman" w:cs="Arial"/>
          <w:color w:val="000000"/>
          <w:lang w:eastAsia="bg-BG"/>
        </w:rPr>
      </w:pPr>
    </w:p>
    <w:p w14:paraId="194C19FD" w14:textId="0A8D256B" w:rsidR="00FB1AE1" w:rsidRPr="00FB1AE1" w:rsidRDefault="00FB1AE1" w:rsidP="00FB1AE1">
      <w:pPr>
        <w:spacing w:line="240" w:lineRule="auto"/>
        <w:rPr>
          <w:rFonts w:eastAsia="Times New Roman" w:cs="Arial"/>
        </w:rPr>
      </w:pPr>
      <w:r w:rsidRPr="00FB1AE1">
        <w:rPr>
          <w:rFonts w:eastAsia="Times New Roman" w:cs="Arial"/>
          <w:color w:val="000000"/>
          <w:lang w:eastAsia="bg-BG"/>
        </w:rPr>
        <w:t>Едновременното приложение на калий-съхраняващи диуретици, калиеви добавки, заместители на солта, съдържащи калий, или други лекарствени продукти (напр. хепарин), може да повишат нивата на калий. Следенето на нивата на калий се приема за подходящо (вж. точка 4.4).</w:t>
      </w:r>
    </w:p>
    <w:p w14:paraId="0AA91249" w14:textId="77777777" w:rsidR="00FB1AE1" w:rsidRPr="00FB1AE1" w:rsidRDefault="00FB1AE1" w:rsidP="00FB1AE1">
      <w:pPr>
        <w:spacing w:line="240" w:lineRule="auto"/>
        <w:rPr>
          <w:rFonts w:eastAsia="Times New Roman" w:cs="Arial"/>
          <w:color w:val="000000"/>
          <w:lang w:eastAsia="bg-BG"/>
        </w:rPr>
      </w:pPr>
    </w:p>
    <w:p w14:paraId="178DB490" w14:textId="506D42D0"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Има сведения за обратимо повишаване на концентрацията и токсичността на серумния литий по време на едновременно приложение на литий с АСЕ инхибитори. Подобен ефект може да се появи с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Употребата на кандесартан с литий не се препоръчва. Ако комбинацията е от доказана необходимост се препоръчва внимателно проследяване нивата на серумния литий.</w:t>
      </w:r>
    </w:p>
    <w:p w14:paraId="173D5C32" w14:textId="77777777" w:rsidR="00FB1AE1" w:rsidRPr="00FB1AE1" w:rsidRDefault="00FB1AE1" w:rsidP="00FB1AE1">
      <w:pPr>
        <w:spacing w:line="240" w:lineRule="auto"/>
        <w:rPr>
          <w:rFonts w:eastAsia="Times New Roman" w:cs="Arial"/>
          <w:color w:val="000000"/>
          <w:lang w:eastAsia="bg-BG"/>
        </w:rPr>
      </w:pPr>
    </w:p>
    <w:p w14:paraId="3254ADE3" w14:textId="132F4381"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Едновременното приложение на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с нестероидни противовъзпалителни лекарствени средства </w:t>
      </w:r>
      <w:r w:rsidRPr="00FB1AE1">
        <w:rPr>
          <w:rFonts w:eastAsia="Times New Roman" w:cs="Arial"/>
          <w:color w:val="000000"/>
          <w:lang w:val="ru-RU"/>
        </w:rPr>
        <w:t>(</w:t>
      </w:r>
      <w:r w:rsidRPr="00FB1AE1">
        <w:rPr>
          <w:rFonts w:eastAsia="Times New Roman" w:cs="Arial"/>
          <w:color w:val="000000"/>
          <w:lang w:val="en-US"/>
        </w:rPr>
        <w:t>NSAIDs</w:t>
      </w:r>
      <w:r w:rsidRPr="00FB1AE1">
        <w:rPr>
          <w:rFonts w:eastAsia="Times New Roman" w:cs="Arial"/>
          <w:color w:val="000000"/>
          <w:lang w:val="ru-RU"/>
        </w:rPr>
        <w:t xml:space="preserve">) </w:t>
      </w:r>
      <w:r w:rsidRPr="00FB1AE1">
        <w:rPr>
          <w:rFonts w:eastAsia="Times New Roman" w:cs="Arial"/>
          <w:color w:val="000000"/>
          <w:lang w:eastAsia="bg-BG"/>
        </w:rPr>
        <w:t>(напр. селективни СОХ-2 инхибитори, ацетилсалицилова киселина (&gt;3</w:t>
      </w:r>
      <w:r w:rsidRPr="00FB1AE1">
        <w:rPr>
          <w:rFonts w:eastAsia="Times New Roman" w:cs="Arial"/>
          <w:i/>
          <w:iCs/>
          <w:color w:val="000000"/>
          <w:lang w:eastAsia="bg-BG"/>
        </w:rPr>
        <w:t xml:space="preserve"> </w:t>
      </w:r>
      <w:r w:rsidRPr="00FB1AE1">
        <w:rPr>
          <w:rFonts w:eastAsia="Times New Roman" w:cs="Arial"/>
          <w:color w:val="000000"/>
          <w:lang w:val="en-US"/>
        </w:rPr>
        <w:t>g</w:t>
      </w:r>
      <w:r w:rsidRPr="00FB1AE1">
        <w:rPr>
          <w:rFonts w:eastAsia="Times New Roman" w:cs="Arial"/>
          <w:color w:val="000000"/>
          <w:lang w:eastAsia="bg-BG"/>
        </w:rPr>
        <w:t xml:space="preserve">/ден) и неселективни </w:t>
      </w:r>
      <w:r w:rsidRPr="00FB1AE1">
        <w:rPr>
          <w:rFonts w:eastAsia="Times New Roman" w:cs="Arial"/>
          <w:color w:val="000000"/>
          <w:lang w:val="en-US"/>
        </w:rPr>
        <w:t>NSAIDs</w:t>
      </w:r>
      <w:r w:rsidRPr="00FB1AE1">
        <w:rPr>
          <w:rFonts w:eastAsia="Times New Roman" w:cs="Arial"/>
          <w:color w:val="000000"/>
          <w:lang w:val="ru-RU"/>
        </w:rPr>
        <w:t xml:space="preserve">), </w:t>
      </w:r>
      <w:r w:rsidRPr="00FB1AE1">
        <w:rPr>
          <w:rFonts w:eastAsia="Times New Roman" w:cs="Arial"/>
          <w:color w:val="000000"/>
          <w:lang w:eastAsia="bg-BG"/>
        </w:rPr>
        <w:t>може да доведе до намаляване на антихипертензивния ефект.</w:t>
      </w:r>
    </w:p>
    <w:p w14:paraId="21C343C7" w14:textId="77777777" w:rsidR="00FB1AE1" w:rsidRPr="00FB1AE1" w:rsidRDefault="00FB1AE1" w:rsidP="00FB1AE1">
      <w:pPr>
        <w:spacing w:line="240" w:lineRule="auto"/>
        <w:rPr>
          <w:rFonts w:eastAsia="Times New Roman" w:cs="Arial"/>
          <w:color w:val="000000"/>
          <w:lang w:eastAsia="bg-BG"/>
        </w:rPr>
      </w:pPr>
    </w:p>
    <w:p w14:paraId="759DF9E9" w14:textId="77777777" w:rsidR="00FB1AE1" w:rsidRPr="00FB1AE1" w:rsidRDefault="00FB1AE1" w:rsidP="00FB1AE1">
      <w:pPr>
        <w:rPr>
          <w:rFonts w:eastAsia="Times New Roman" w:cs="Arial"/>
        </w:rPr>
      </w:pPr>
      <w:r w:rsidRPr="00FB1AE1">
        <w:rPr>
          <w:rFonts w:eastAsia="Times New Roman" w:cs="Arial"/>
          <w:color w:val="000000"/>
          <w:lang w:eastAsia="bg-BG"/>
        </w:rPr>
        <w:t xml:space="preserve">Както при АСЕ инхибиторите, едновременната употреба на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и </w:t>
      </w:r>
      <w:r w:rsidRPr="00FB1AE1">
        <w:rPr>
          <w:rFonts w:eastAsia="Times New Roman" w:cs="Arial"/>
          <w:color w:val="000000"/>
          <w:lang w:val="en-US"/>
        </w:rPr>
        <w:t>NSAIDs</w:t>
      </w:r>
      <w:r w:rsidRPr="00FB1AE1">
        <w:rPr>
          <w:rFonts w:eastAsia="Times New Roman" w:cs="Arial"/>
          <w:color w:val="000000"/>
          <w:lang w:val="ru-RU"/>
        </w:rPr>
        <w:t xml:space="preserve"> </w:t>
      </w:r>
      <w:r w:rsidRPr="00FB1AE1">
        <w:rPr>
          <w:rFonts w:eastAsia="Times New Roman" w:cs="Arial"/>
          <w:color w:val="000000"/>
          <w:lang w:eastAsia="bg-BG"/>
        </w:rPr>
        <w:t>може да</w:t>
      </w:r>
      <w:r w:rsidRPr="00FB1AE1">
        <w:rPr>
          <w:rFonts w:eastAsia="Times New Roman" w:cs="Arial"/>
          <w:color w:val="000000"/>
          <w:lang w:val="ru-RU"/>
        </w:rPr>
        <w:t xml:space="preserve"> </w:t>
      </w:r>
      <w:r w:rsidRPr="00FB1AE1">
        <w:rPr>
          <w:rFonts w:eastAsia="Times New Roman" w:cs="Arial"/>
          <w:color w:val="000000"/>
          <w:lang w:eastAsia="bg-BG"/>
        </w:rPr>
        <w:t xml:space="preserve">доведе до повишаване риска от влошаване на бъбречната функция, включително възможна остра бъбречна недостатъчност и повишаване серумния калий, особено при пациенти с предшестваща незадоволителна бъбречна функция. Комбинацията трябва да се прилага с внимание, особено при пациенти в старческа възраст. Пациентите трябва да </w:t>
      </w:r>
      <w:r w:rsidRPr="00FB1AE1">
        <w:rPr>
          <w:rFonts w:eastAsia="Times New Roman" w:cs="Arial"/>
          <w:color w:val="000000"/>
          <w:lang w:eastAsia="bg-BG"/>
        </w:rPr>
        <w:lastRenderedPageBreak/>
        <w:t>бъдат адекватно хидратирани и да се отдели внимание на проследяването на бъбречната функция след започване на комбинираното лечение и периодично след това.</w:t>
      </w:r>
    </w:p>
    <w:p w14:paraId="785256D9" w14:textId="77777777" w:rsidR="00FB1AE1" w:rsidRPr="00FB1AE1" w:rsidRDefault="00FB1AE1" w:rsidP="00FB1AE1">
      <w:pPr>
        <w:spacing w:line="240" w:lineRule="auto"/>
        <w:rPr>
          <w:rFonts w:eastAsia="Times New Roman" w:cs="Arial"/>
          <w:color w:val="000000"/>
          <w:lang w:eastAsia="bg-BG"/>
        </w:rPr>
      </w:pPr>
    </w:p>
    <w:p w14:paraId="48894E63" w14:textId="042E1E70" w:rsidR="00FB1AE1" w:rsidRPr="00FB1AE1" w:rsidRDefault="00FB1AE1" w:rsidP="00FB1AE1">
      <w:pPr>
        <w:spacing w:line="240" w:lineRule="auto"/>
        <w:rPr>
          <w:rFonts w:ascii="Times New Roman" w:eastAsia="Times New Roman" w:hAnsi="Times New Roman" w:cs="Times New Roman"/>
          <w:sz w:val="24"/>
          <w:szCs w:val="24"/>
        </w:rPr>
      </w:pPr>
      <w:r w:rsidRPr="00FB1AE1">
        <w:rPr>
          <w:rFonts w:eastAsia="Times New Roman" w:cs="Arial"/>
          <w:color w:val="000000"/>
          <w:lang w:eastAsia="bg-BG"/>
        </w:rPr>
        <w:t xml:space="preserve">Данни от клинични проучвания показват, че двойното блокиране на ренин-ангиотензин-алдостероновата система (РААС) чрез комбинираната употреба на АСЕ инхибитори, ангиотензин </w:t>
      </w:r>
      <w:r w:rsidRPr="00FB1AE1">
        <w:rPr>
          <w:rFonts w:eastAsia="Times New Roman" w:cs="Arial"/>
          <w:color w:val="000000"/>
          <w:lang w:val="en-US"/>
        </w:rPr>
        <w:t>II</w:t>
      </w:r>
      <w:r w:rsidRPr="00FB1AE1">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понижена бъбречна функция (включително остра бъбречна недостатъчност), в сравнение с употребата само на едно средство, действащо върху РААС (вж. точки 4.3, 4.4 и 5.1).</w:t>
      </w:r>
    </w:p>
    <w:p w14:paraId="61513BEA" w14:textId="733E874A" w:rsidR="00FB1AE1" w:rsidRPr="00FB1AE1" w:rsidRDefault="00FB1AE1" w:rsidP="00FB1AE1"/>
    <w:p w14:paraId="394A7584" w14:textId="40D91E44" w:rsidR="004F498A" w:rsidRDefault="002C50EE" w:rsidP="004A448E">
      <w:pPr>
        <w:pStyle w:val="Heading2"/>
      </w:pPr>
      <w:r>
        <w:t>4.6. Фертилитет, бременност и кърмене</w:t>
      </w:r>
    </w:p>
    <w:p w14:paraId="646ADE42" w14:textId="72DD75B8" w:rsidR="00FB1AE1" w:rsidRDefault="00FB1AE1" w:rsidP="00FB1AE1"/>
    <w:p w14:paraId="34FA1BB1" w14:textId="4D212C9D" w:rsidR="00FB1AE1" w:rsidRPr="00FB1AE1" w:rsidRDefault="00FB1AE1" w:rsidP="00FB1AE1">
      <w:pPr>
        <w:pStyle w:val="Heading3"/>
        <w:rPr>
          <w:u w:val="single"/>
        </w:rPr>
      </w:pPr>
      <w:r w:rsidRPr="00FB1AE1">
        <w:rPr>
          <w:u w:val="single"/>
        </w:rPr>
        <w:t>Бременност</w:t>
      </w:r>
    </w:p>
    <w:p w14:paraId="0CB961F9" w14:textId="3EF04641" w:rsidR="00FB1AE1" w:rsidRPr="00FB1AE1" w:rsidRDefault="00FB1AE1" w:rsidP="00FB1AE1">
      <w:pPr>
        <w:rPr>
          <w:rFonts w:cs="Arial"/>
        </w:rPr>
      </w:pPr>
    </w:p>
    <w:tbl>
      <w:tblPr>
        <w:tblStyle w:val="TableGrid"/>
        <w:tblW w:w="0" w:type="auto"/>
        <w:tblLook w:val="04A0" w:firstRow="1" w:lastRow="0" w:firstColumn="1" w:lastColumn="0" w:noHBand="0" w:noVBand="1"/>
      </w:tblPr>
      <w:tblGrid>
        <w:gridCol w:w="9350"/>
      </w:tblGrid>
      <w:tr w:rsidR="00FB1AE1" w:rsidRPr="00FB1AE1" w14:paraId="1F8F7F93" w14:textId="77777777" w:rsidTr="00FB1AE1">
        <w:tc>
          <w:tcPr>
            <w:tcW w:w="9576" w:type="dxa"/>
          </w:tcPr>
          <w:p w14:paraId="0759EAC0" w14:textId="480D280D" w:rsidR="00FB1AE1" w:rsidRPr="00FB1AE1" w:rsidRDefault="00FB1AE1" w:rsidP="00FB1AE1">
            <w:pPr>
              <w:rPr>
                <w:rFonts w:cs="Arial"/>
              </w:rPr>
            </w:pPr>
            <w:r w:rsidRPr="00FB1AE1">
              <w:rPr>
                <w:rFonts w:cs="Arial"/>
                <w:lang w:eastAsia="bg-BG"/>
              </w:rPr>
              <w:t xml:space="preserve">Употребата на </w:t>
            </w:r>
            <w:r w:rsidRPr="00FB1AE1">
              <w:rPr>
                <w:rFonts w:cs="Arial"/>
                <w:lang w:val="en-US"/>
              </w:rPr>
              <w:t>AIIRAs</w:t>
            </w:r>
            <w:r w:rsidRPr="00FB1AE1">
              <w:rPr>
                <w:rFonts w:cs="Arial"/>
                <w:lang w:val="ru-RU"/>
              </w:rPr>
              <w:t xml:space="preserve"> </w:t>
            </w:r>
            <w:r w:rsidRPr="00FB1AE1">
              <w:rPr>
                <w:rFonts w:cs="Arial"/>
                <w:lang w:eastAsia="bg-BG"/>
              </w:rPr>
              <w:t xml:space="preserve">не се препоръчва през първия триместър от бременността (вж. точка 4.4). Употребата на </w:t>
            </w:r>
            <w:r w:rsidRPr="00FB1AE1">
              <w:rPr>
                <w:rFonts w:cs="Arial"/>
                <w:lang w:val="en-US"/>
              </w:rPr>
              <w:t>AIIRAs</w:t>
            </w:r>
            <w:r w:rsidRPr="00FB1AE1">
              <w:rPr>
                <w:rFonts w:cs="Arial"/>
                <w:lang w:val="ru-RU"/>
              </w:rPr>
              <w:t xml:space="preserve"> </w:t>
            </w:r>
            <w:r w:rsidRPr="00FB1AE1">
              <w:rPr>
                <w:rFonts w:cs="Arial"/>
                <w:lang w:eastAsia="bg-BG"/>
              </w:rPr>
              <w:t>е противопоказана през втория и третия триместър на бременността (вж. точки 4.3 и 4.4).</w:t>
            </w:r>
          </w:p>
        </w:tc>
      </w:tr>
    </w:tbl>
    <w:p w14:paraId="22C3F951" w14:textId="3BC66891" w:rsidR="00FB1AE1" w:rsidRPr="00FB1AE1" w:rsidRDefault="00FB1AE1" w:rsidP="00FB1AE1">
      <w:pPr>
        <w:rPr>
          <w:rFonts w:cs="Arial"/>
        </w:rPr>
      </w:pPr>
    </w:p>
    <w:p w14:paraId="01644AED"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Епидемиологичните данни относно риска от тератогенност след употребата на АСЕ инхибитори през първия триместър на бременността не са категорични, но въпреки това не може да се изключи леко повишение на риска. Докато липсват контролирани епидемиологични данни за риска от ангиотензин II рецепторни антагонисти </w:t>
      </w:r>
      <w:r w:rsidRPr="00FB1AE1">
        <w:rPr>
          <w:rFonts w:eastAsia="Times New Roman" w:cs="Arial"/>
          <w:color w:val="000000"/>
          <w:lang w:val="ru-RU"/>
        </w:rPr>
        <w:t>(</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може да се предположат подобни рискове и за този клас активни вещества. Освен ако продължаващата терапия с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не се счита за крайно необходима, пациентките, планиращи бременност трябва да преминат на алтернативно антихипертензивно лечение, което има установен профил на безопасност за употреба при бременност. Когато се установи бременност, лечението с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трябва да се спре незабавно, и ако е уместно да се започне алтернативна терапия.</w:t>
      </w:r>
    </w:p>
    <w:p w14:paraId="526E12FF" w14:textId="77777777" w:rsidR="00FB1AE1" w:rsidRPr="00FB1AE1" w:rsidRDefault="00FB1AE1" w:rsidP="00FB1AE1">
      <w:pPr>
        <w:spacing w:line="240" w:lineRule="auto"/>
        <w:rPr>
          <w:rFonts w:eastAsia="Times New Roman" w:cs="Arial"/>
          <w:color w:val="000000"/>
          <w:lang w:eastAsia="bg-BG"/>
        </w:rPr>
      </w:pPr>
    </w:p>
    <w:p w14:paraId="7F9B0ACF" w14:textId="23FD95F1"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Известно е, че лечение с </w:t>
      </w:r>
      <w:r w:rsidRPr="00FB1AE1">
        <w:rPr>
          <w:rFonts w:eastAsia="Times New Roman" w:cs="Arial"/>
          <w:color w:val="000000"/>
          <w:lang w:val="en-US"/>
        </w:rPr>
        <w:t>AIIRA</w:t>
      </w:r>
      <w:r w:rsidRPr="00FB1AE1">
        <w:rPr>
          <w:rFonts w:eastAsia="Times New Roman" w:cs="Arial"/>
          <w:color w:val="000000"/>
          <w:lang w:val="ru-RU"/>
        </w:rPr>
        <w:t xml:space="preserve"> </w:t>
      </w:r>
      <w:r w:rsidRPr="00FB1AE1">
        <w:rPr>
          <w:rFonts w:eastAsia="Times New Roman" w:cs="Arial"/>
          <w:color w:val="000000"/>
          <w:lang w:eastAsia="bg-BG"/>
        </w:rPr>
        <w:t>през втория и третия триместър от бременността повишава риска от фетотоксичност при хората (влошена бъбречна функция, олигохидрамния, забавяне осификацията на черепа) и неонатална токсичност (бъбречна недостатъчност, хипотония, хиперкалиемия) (вж. точка 5.3).</w:t>
      </w:r>
    </w:p>
    <w:p w14:paraId="79FAA78D"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Ако е имало излагане на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 xml:space="preserve">от втория триместър на бременността се препоръчва ултразвуков преглед на бъбречната функция и на черепа Новородени, чийто майки са взимали </w:t>
      </w:r>
      <w:r w:rsidRPr="00FB1AE1">
        <w:rPr>
          <w:rFonts w:eastAsia="Times New Roman" w:cs="Arial"/>
          <w:color w:val="000000"/>
          <w:lang w:val="en-US"/>
        </w:rPr>
        <w:t>AIIRAs</w:t>
      </w:r>
      <w:r w:rsidRPr="00FB1AE1">
        <w:rPr>
          <w:rFonts w:eastAsia="Times New Roman" w:cs="Arial"/>
          <w:color w:val="000000"/>
          <w:lang w:val="ru-RU"/>
        </w:rPr>
        <w:t xml:space="preserve"> </w:t>
      </w:r>
      <w:r w:rsidRPr="00FB1AE1">
        <w:rPr>
          <w:rFonts w:eastAsia="Times New Roman" w:cs="Arial"/>
          <w:color w:val="000000"/>
          <w:lang w:eastAsia="bg-BG"/>
        </w:rPr>
        <w:t>трябва да бъдат стриктно проследявани за хипотония (вж. точки 4.3 и 4.4).</w:t>
      </w:r>
    </w:p>
    <w:p w14:paraId="7915BF42" w14:textId="77777777" w:rsidR="00FB1AE1" w:rsidRPr="00FB1AE1" w:rsidRDefault="00FB1AE1" w:rsidP="00FB1AE1">
      <w:pPr>
        <w:spacing w:line="240" w:lineRule="auto"/>
        <w:rPr>
          <w:rFonts w:eastAsia="Times New Roman" w:cs="Arial"/>
          <w:color w:val="000000"/>
          <w:u w:val="single"/>
          <w:lang w:eastAsia="bg-BG"/>
        </w:rPr>
      </w:pPr>
    </w:p>
    <w:p w14:paraId="1FFAB773" w14:textId="63DB8F4F" w:rsidR="00FB1AE1" w:rsidRPr="00FB1AE1" w:rsidRDefault="00FB1AE1" w:rsidP="00FB1AE1">
      <w:pPr>
        <w:pStyle w:val="Heading3"/>
        <w:rPr>
          <w:rFonts w:eastAsia="Times New Roman"/>
          <w:u w:val="single"/>
        </w:rPr>
      </w:pPr>
      <w:r w:rsidRPr="00FB1AE1">
        <w:rPr>
          <w:rFonts w:eastAsia="Times New Roman"/>
          <w:u w:val="single"/>
          <w:lang w:eastAsia="bg-BG"/>
        </w:rPr>
        <w:t>Кърмене</w:t>
      </w:r>
    </w:p>
    <w:p w14:paraId="705C678E"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Поради липсата на информация свързана с употребата на кандесартан цилексетил по време на кърмене, кандесартан цилексетил не се препоръчва и се предпочита алтернативно лечение с доказан профил на безопасност по време на кърмене, особено при новородени или недоносени бебета.</w:t>
      </w:r>
    </w:p>
    <w:p w14:paraId="45A66774" w14:textId="77777777" w:rsidR="00FB1AE1" w:rsidRPr="00FB1AE1" w:rsidRDefault="00FB1AE1" w:rsidP="00FB1AE1"/>
    <w:p w14:paraId="064DF1DE" w14:textId="22672852" w:rsidR="00CF77F7" w:rsidRDefault="002C50EE" w:rsidP="004A448E">
      <w:pPr>
        <w:pStyle w:val="Heading2"/>
      </w:pPr>
      <w:r>
        <w:t>4.7. Ефекти върху способността за шофиране и работа с машини</w:t>
      </w:r>
    </w:p>
    <w:p w14:paraId="6A829F0A" w14:textId="301C26E3" w:rsidR="00FB1AE1" w:rsidRDefault="00FB1AE1" w:rsidP="00FB1AE1"/>
    <w:p w14:paraId="75253136" w14:textId="77777777" w:rsidR="00FB1AE1" w:rsidRPr="00FB1AE1" w:rsidRDefault="00FB1AE1" w:rsidP="00FB1AE1">
      <w:pPr>
        <w:rPr>
          <w:sz w:val="24"/>
          <w:szCs w:val="24"/>
        </w:rPr>
      </w:pPr>
      <w:r w:rsidRPr="00FB1AE1">
        <w:rPr>
          <w:lang w:eastAsia="bg-BG"/>
        </w:rPr>
        <w:lastRenderedPageBreak/>
        <w:t>Няма проучвания за ефекта на кандесартан върху способността за шофиране и работа с машини. Въпреки това, трябва да се има в предвид, че понякога при лечение с кандесартан може да се появи замайване или умора.</w:t>
      </w:r>
    </w:p>
    <w:p w14:paraId="430CADA7" w14:textId="77777777" w:rsidR="00FB1AE1" w:rsidRPr="00FB1AE1" w:rsidRDefault="00FB1AE1" w:rsidP="00FB1AE1"/>
    <w:p w14:paraId="37A3FD9F" w14:textId="2EDDD443" w:rsidR="00CF77F7" w:rsidRDefault="002C50EE" w:rsidP="004A448E">
      <w:pPr>
        <w:pStyle w:val="Heading2"/>
      </w:pPr>
      <w:r>
        <w:t>4.8. Нежелани лекарствени реакции</w:t>
      </w:r>
    </w:p>
    <w:p w14:paraId="0F24DAB2" w14:textId="13E695AA" w:rsidR="00FB1AE1" w:rsidRDefault="00FB1AE1" w:rsidP="00FB1AE1"/>
    <w:p w14:paraId="12D5EC39" w14:textId="77777777"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Лечение на хипертония</w:t>
      </w:r>
    </w:p>
    <w:p w14:paraId="12C8031F"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По време на контролирани клинични изпитвания нежеланите лекарствени реакции са били леки и преходни. Общата честота на нежеланите събития не показва връзка с дозата или възрастта. Честотата на прекъсване на лечението поради нежелани събития е била подобна в групата с кандесартан цилексетил (3,1%) и плацебо (3,2%).</w:t>
      </w:r>
    </w:p>
    <w:p w14:paraId="1559729D" w14:textId="77777777" w:rsidR="00FB1AE1" w:rsidRDefault="00FB1AE1" w:rsidP="00FB1AE1">
      <w:pPr>
        <w:spacing w:line="240" w:lineRule="auto"/>
        <w:rPr>
          <w:rFonts w:eastAsia="Times New Roman" w:cs="Arial"/>
          <w:color w:val="000000"/>
          <w:lang w:eastAsia="bg-BG"/>
        </w:rPr>
      </w:pPr>
    </w:p>
    <w:p w14:paraId="1E2C6720" w14:textId="2917E92F" w:rsidR="00FB1AE1" w:rsidRPr="00FB1AE1" w:rsidRDefault="00FB1AE1" w:rsidP="00FB1AE1">
      <w:pPr>
        <w:spacing w:line="240" w:lineRule="auto"/>
        <w:rPr>
          <w:rFonts w:eastAsia="Times New Roman" w:cs="Arial"/>
        </w:rPr>
      </w:pPr>
      <w:r w:rsidRPr="00FB1AE1">
        <w:rPr>
          <w:rFonts w:eastAsia="Times New Roman" w:cs="Arial"/>
          <w:color w:val="000000"/>
          <w:lang w:eastAsia="bg-BG"/>
        </w:rPr>
        <w:t>При един обобщен анализ на данни от клинични изпитвания на хипертензивни пациенти, нежеланите реакции с кандесартан са били описани с честота най-малко с 1% по-висока от наблюдаваната при плацебо. По това описание най-често съобщаваните нежелани реакции били замайване/световъртеж, главоболие и респираторни инфекции.</w:t>
      </w:r>
    </w:p>
    <w:p w14:paraId="33FEF39B" w14:textId="77777777" w:rsidR="00FB1AE1" w:rsidRDefault="00FB1AE1" w:rsidP="00FB1AE1">
      <w:pPr>
        <w:spacing w:line="240" w:lineRule="auto"/>
        <w:rPr>
          <w:rFonts w:eastAsia="Times New Roman" w:cs="Arial"/>
          <w:color w:val="000000"/>
          <w:lang w:eastAsia="bg-BG"/>
        </w:rPr>
      </w:pPr>
    </w:p>
    <w:p w14:paraId="287CE635" w14:textId="238EAFE7" w:rsidR="00FB1AE1" w:rsidRPr="00FB1AE1" w:rsidRDefault="00FB1AE1" w:rsidP="00FB1AE1">
      <w:pPr>
        <w:spacing w:line="240" w:lineRule="auto"/>
        <w:rPr>
          <w:rFonts w:eastAsia="Times New Roman" w:cs="Arial"/>
        </w:rPr>
      </w:pPr>
      <w:r w:rsidRPr="00FB1AE1">
        <w:rPr>
          <w:rFonts w:eastAsia="Times New Roman" w:cs="Arial"/>
          <w:color w:val="000000"/>
          <w:lang w:eastAsia="bg-BG"/>
        </w:rPr>
        <w:t>Таблицата по-долу представя нежеланите реакции от клинични изпитвания и постмаркетингово наблюдение.</w:t>
      </w:r>
    </w:p>
    <w:p w14:paraId="29C568FB" w14:textId="77777777" w:rsidR="00FB1AE1" w:rsidRDefault="00FB1AE1" w:rsidP="00FB1AE1">
      <w:pPr>
        <w:spacing w:line="240" w:lineRule="auto"/>
        <w:rPr>
          <w:rFonts w:eastAsia="Times New Roman" w:cs="Arial"/>
          <w:color w:val="000000"/>
          <w:lang w:eastAsia="bg-BG"/>
        </w:rPr>
      </w:pPr>
    </w:p>
    <w:p w14:paraId="5A983FD7" w14:textId="56D44E1C" w:rsidR="00FB1AE1" w:rsidRPr="00FB1AE1" w:rsidRDefault="00FB1AE1" w:rsidP="00FB1AE1">
      <w:pPr>
        <w:spacing w:line="240" w:lineRule="auto"/>
        <w:rPr>
          <w:rFonts w:eastAsia="Times New Roman" w:cs="Arial"/>
        </w:rPr>
      </w:pPr>
      <w:r w:rsidRPr="00FB1AE1">
        <w:rPr>
          <w:rFonts w:eastAsia="Times New Roman" w:cs="Arial"/>
          <w:color w:val="000000"/>
          <w:lang w:eastAsia="bg-BG"/>
        </w:rPr>
        <w:t>Честотите на нежеланите реакции се определят от следните условности:</w:t>
      </w:r>
    </w:p>
    <w:p w14:paraId="0C18B55D" w14:textId="77777777" w:rsidR="00FB1AE1" w:rsidRDefault="00FB1AE1" w:rsidP="00FB1AE1">
      <w:pPr>
        <w:pStyle w:val="ListParagraph"/>
        <w:numPr>
          <w:ilvl w:val="0"/>
          <w:numId w:val="37"/>
        </w:numPr>
        <w:spacing w:line="240" w:lineRule="auto"/>
        <w:rPr>
          <w:rFonts w:eastAsia="Times New Roman" w:cs="Arial"/>
          <w:color w:val="000000"/>
          <w:lang w:eastAsia="bg-BG"/>
        </w:rPr>
      </w:pPr>
      <w:r w:rsidRPr="00FB1AE1">
        <w:rPr>
          <w:rFonts w:eastAsia="Times New Roman" w:cs="Arial"/>
          <w:color w:val="000000"/>
          <w:lang w:eastAsia="bg-BG"/>
        </w:rPr>
        <w:t>много чести (засягат 1 или повече на всеки 10 пациенти);</w:t>
      </w:r>
    </w:p>
    <w:p w14:paraId="771E4C02" w14:textId="77777777" w:rsidR="00FB1AE1" w:rsidRDefault="00FB1AE1" w:rsidP="00FB1AE1">
      <w:pPr>
        <w:pStyle w:val="ListParagraph"/>
        <w:numPr>
          <w:ilvl w:val="0"/>
          <w:numId w:val="37"/>
        </w:numPr>
        <w:spacing w:line="240" w:lineRule="auto"/>
        <w:rPr>
          <w:rFonts w:eastAsia="Times New Roman" w:cs="Arial"/>
          <w:color w:val="000000"/>
          <w:lang w:eastAsia="bg-BG"/>
        </w:rPr>
      </w:pPr>
      <w:r w:rsidRPr="00FB1AE1">
        <w:rPr>
          <w:rFonts w:eastAsia="Times New Roman" w:cs="Arial"/>
          <w:color w:val="000000"/>
          <w:lang w:eastAsia="bg-BG"/>
        </w:rPr>
        <w:t>чести (засягат 1 или повече на всеки 100, но по-малко от 1 на всеки 10 пациенти);</w:t>
      </w:r>
    </w:p>
    <w:p w14:paraId="5D9B04E5" w14:textId="77777777" w:rsidR="00FB1AE1" w:rsidRDefault="00FB1AE1" w:rsidP="00FB1AE1">
      <w:pPr>
        <w:pStyle w:val="ListParagraph"/>
        <w:numPr>
          <w:ilvl w:val="0"/>
          <w:numId w:val="37"/>
        </w:numPr>
        <w:spacing w:line="240" w:lineRule="auto"/>
        <w:rPr>
          <w:rFonts w:eastAsia="Times New Roman" w:cs="Arial"/>
          <w:color w:val="000000"/>
          <w:lang w:eastAsia="bg-BG"/>
        </w:rPr>
      </w:pPr>
      <w:r w:rsidRPr="00FB1AE1">
        <w:rPr>
          <w:rFonts w:eastAsia="Times New Roman" w:cs="Arial"/>
          <w:color w:val="000000"/>
          <w:lang w:eastAsia="bg-BG"/>
        </w:rPr>
        <w:t>нечести (засягат 1 или повече на всеки 1 000, но по-малко от 1 на всеки 100 пациенти);</w:t>
      </w:r>
    </w:p>
    <w:p w14:paraId="0E41693A" w14:textId="77777777" w:rsidR="00FB1AE1" w:rsidRDefault="00FB1AE1" w:rsidP="00FB1AE1">
      <w:pPr>
        <w:pStyle w:val="ListParagraph"/>
        <w:numPr>
          <w:ilvl w:val="0"/>
          <w:numId w:val="37"/>
        </w:numPr>
        <w:spacing w:line="240" w:lineRule="auto"/>
        <w:rPr>
          <w:rFonts w:eastAsia="Times New Roman" w:cs="Arial"/>
          <w:color w:val="000000"/>
          <w:lang w:eastAsia="bg-BG"/>
        </w:rPr>
      </w:pPr>
      <w:r w:rsidRPr="00FB1AE1">
        <w:rPr>
          <w:rFonts w:eastAsia="Times New Roman" w:cs="Arial"/>
          <w:color w:val="000000"/>
          <w:lang w:eastAsia="bg-BG"/>
        </w:rPr>
        <w:t>редки (засягат 1 или повече на всеки 10 000, но по-малко от 1 на всеки 1 000 пациенти);</w:t>
      </w:r>
    </w:p>
    <w:p w14:paraId="07A2BB43" w14:textId="77777777" w:rsidR="00FB1AE1" w:rsidRDefault="00FB1AE1" w:rsidP="00FB1AE1">
      <w:pPr>
        <w:pStyle w:val="ListParagraph"/>
        <w:numPr>
          <w:ilvl w:val="0"/>
          <w:numId w:val="37"/>
        </w:numPr>
        <w:spacing w:line="240" w:lineRule="auto"/>
        <w:rPr>
          <w:rFonts w:eastAsia="Times New Roman" w:cs="Arial"/>
          <w:color w:val="000000"/>
          <w:lang w:eastAsia="bg-BG"/>
        </w:rPr>
      </w:pPr>
      <w:r w:rsidRPr="00FB1AE1">
        <w:rPr>
          <w:rFonts w:eastAsia="Times New Roman" w:cs="Arial"/>
          <w:color w:val="000000"/>
          <w:lang w:eastAsia="bg-BG"/>
        </w:rPr>
        <w:t>много редки ( засягат по-малко от 1 на 10 000 пациенти);</w:t>
      </w:r>
    </w:p>
    <w:p w14:paraId="10085AAD" w14:textId="08F6AA1F" w:rsidR="00FB1AE1" w:rsidRDefault="00FB1AE1" w:rsidP="00FB1AE1">
      <w:pPr>
        <w:pStyle w:val="ListParagraph"/>
        <w:numPr>
          <w:ilvl w:val="0"/>
          <w:numId w:val="37"/>
        </w:numPr>
        <w:spacing w:line="240" w:lineRule="auto"/>
        <w:rPr>
          <w:rFonts w:eastAsia="Times New Roman" w:cs="Arial"/>
          <w:color w:val="000000"/>
          <w:lang w:eastAsia="bg-BG"/>
        </w:rPr>
      </w:pPr>
      <w:r w:rsidRPr="00FB1AE1">
        <w:rPr>
          <w:rFonts w:eastAsia="Times New Roman" w:cs="Arial"/>
          <w:color w:val="000000"/>
          <w:lang w:eastAsia="bg-BG"/>
        </w:rPr>
        <w:t>с неизвестна честота (честотата не може да бъде определена от наличните данни).</w:t>
      </w:r>
    </w:p>
    <w:p w14:paraId="79E92440" w14:textId="443CCAB2" w:rsidR="00FB1AE1" w:rsidRDefault="00FB1AE1" w:rsidP="00FB1AE1">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3141"/>
        <w:gridCol w:w="3071"/>
        <w:gridCol w:w="3138"/>
      </w:tblGrid>
      <w:tr w:rsidR="00FB1AE1" w14:paraId="3F1359EC" w14:textId="77777777" w:rsidTr="004030E4">
        <w:tc>
          <w:tcPr>
            <w:tcW w:w="3192" w:type="dxa"/>
            <w:vAlign w:val="bottom"/>
          </w:tcPr>
          <w:p w14:paraId="6727FBA1" w14:textId="5B5D692E" w:rsidR="00FB1AE1" w:rsidRPr="00FB1AE1" w:rsidRDefault="00FB1AE1" w:rsidP="00FB1AE1">
            <w:pPr>
              <w:spacing w:line="240" w:lineRule="auto"/>
              <w:rPr>
                <w:rFonts w:eastAsia="Times New Roman" w:cs="Arial"/>
                <w:color w:val="000000"/>
                <w:lang w:eastAsia="bg-BG"/>
              </w:rPr>
            </w:pPr>
            <w:r w:rsidRPr="00FB1AE1">
              <w:rPr>
                <w:b/>
                <w:bCs/>
              </w:rPr>
              <w:t>Системо-органен клас</w:t>
            </w:r>
          </w:p>
        </w:tc>
        <w:tc>
          <w:tcPr>
            <w:tcW w:w="3192" w:type="dxa"/>
            <w:vAlign w:val="bottom"/>
          </w:tcPr>
          <w:p w14:paraId="03ED2D61" w14:textId="299900B3" w:rsidR="00FB1AE1" w:rsidRPr="00FB1AE1" w:rsidRDefault="00FB1AE1" w:rsidP="00FB1AE1">
            <w:pPr>
              <w:spacing w:line="240" w:lineRule="auto"/>
              <w:rPr>
                <w:rFonts w:eastAsia="Times New Roman" w:cs="Arial"/>
                <w:color w:val="000000"/>
                <w:lang w:eastAsia="bg-BG"/>
              </w:rPr>
            </w:pPr>
            <w:r w:rsidRPr="00FB1AE1">
              <w:rPr>
                <w:b/>
                <w:bCs/>
              </w:rPr>
              <w:t>Честота</w:t>
            </w:r>
          </w:p>
        </w:tc>
        <w:tc>
          <w:tcPr>
            <w:tcW w:w="3192" w:type="dxa"/>
            <w:vAlign w:val="bottom"/>
          </w:tcPr>
          <w:p w14:paraId="3CF28634" w14:textId="6DBC9796" w:rsidR="00FB1AE1" w:rsidRPr="00FB1AE1" w:rsidRDefault="00FB1AE1" w:rsidP="00FB1AE1">
            <w:pPr>
              <w:spacing w:line="240" w:lineRule="auto"/>
              <w:rPr>
                <w:rFonts w:eastAsia="Times New Roman" w:cs="Arial"/>
                <w:color w:val="000000"/>
                <w:lang w:eastAsia="bg-BG"/>
              </w:rPr>
            </w:pPr>
            <w:r w:rsidRPr="00FB1AE1">
              <w:rPr>
                <w:b/>
                <w:bCs/>
              </w:rPr>
              <w:t>Нежелан ефект</w:t>
            </w:r>
          </w:p>
        </w:tc>
      </w:tr>
      <w:tr w:rsidR="00FB1AE1" w14:paraId="1E94D9CB" w14:textId="77777777" w:rsidTr="004030E4">
        <w:tc>
          <w:tcPr>
            <w:tcW w:w="3192" w:type="dxa"/>
            <w:vAlign w:val="bottom"/>
          </w:tcPr>
          <w:p w14:paraId="646D9530" w14:textId="7710370C" w:rsidR="00FB1AE1" w:rsidRPr="00FB1AE1" w:rsidRDefault="00FB1AE1" w:rsidP="00FB1AE1">
            <w:pPr>
              <w:spacing w:line="240" w:lineRule="auto"/>
              <w:rPr>
                <w:rFonts w:eastAsia="Times New Roman" w:cs="Arial"/>
                <w:color w:val="000000"/>
                <w:lang w:eastAsia="bg-BG"/>
              </w:rPr>
            </w:pPr>
            <w:r w:rsidRPr="00FB1AE1">
              <w:t>Инфекции и инфестации</w:t>
            </w:r>
          </w:p>
        </w:tc>
        <w:tc>
          <w:tcPr>
            <w:tcW w:w="3192" w:type="dxa"/>
            <w:vAlign w:val="bottom"/>
          </w:tcPr>
          <w:p w14:paraId="5B014633" w14:textId="441CB461" w:rsidR="00FB1AE1" w:rsidRPr="00FB1AE1" w:rsidRDefault="00FB1AE1" w:rsidP="00FB1AE1">
            <w:pPr>
              <w:spacing w:line="240" w:lineRule="auto"/>
              <w:rPr>
                <w:rFonts w:eastAsia="Times New Roman" w:cs="Arial"/>
                <w:color w:val="000000"/>
                <w:lang w:eastAsia="bg-BG"/>
              </w:rPr>
            </w:pPr>
            <w:r w:rsidRPr="00FB1AE1">
              <w:t>Чести</w:t>
            </w:r>
          </w:p>
        </w:tc>
        <w:tc>
          <w:tcPr>
            <w:tcW w:w="3192" w:type="dxa"/>
            <w:vAlign w:val="bottom"/>
          </w:tcPr>
          <w:p w14:paraId="5AEF04B7" w14:textId="1C40D22B" w:rsidR="00FB1AE1" w:rsidRPr="00FB1AE1" w:rsidRDefault="00FB1AE1" w:rsidP="00FB1AE1">
            <w:pPr>
              <w:spacing w:line="240" w:lineRule="auto"/>
              <w:rPr>
                <w:rFonts w:eastAsia="Times New Roman" w:cs="Arial"/>
                <w:color w:val="000000"/>
                <w:lang w:eastAsia="bg-BG"/>
              </w:rPr>
            </w:pPr>
            <w:r w:rsidRPr="00FB1AE1">
              <w:t>Респираторна инфекция</w:t>
            </w:r>
          </w:p>
        </w:tc>
      </w:tr>
      <w:tr w:rsidR="00FB1AE1" w14:paraId="71D8C09E" w14:textId="77777777" w:rsidTr="004030E4">
        <w:tc>
          <w:tcPr>
            <w:tcW w:w="3192" w:type="dxa"/>
            <w:vAlign w:val="bottom"/>
          </w:tcPr>
          <w:p w14:paraId="4F73F725" w14:textId="7DCB88CB" w:rsidR="00FB1AE1" w:rsidRPr="00FB1AE1" w:rsidRDefault="00FB1AE1" w:rsidP="00FB1AE1">
            <w:pPr>
              <w:spacing w:line="240" w:lineRule="auto"/>
              <w:rPr>
                <w:rFonts w:eastAsia="Times New Roman" w:cs="Arial"/>
                <w:color w:val="000000"/>
                <w:lang w:eastAsia="bg-BG"/>
              </w:rPr>
            </w:pPr>
            <w:r w:rsidRPr="00FB1AE1">
              <w:t>Нарушения на кръвта и лимфната система</w:t>
            </w:r>
          </w:p>
        </w:tc>
        <w:tc>
          <w:tcPr>
            <w:tcW w:w="3192" w:type="dxa"/>
          </w:tcPr>
          <w:p w14:paraId="2EDD1B56" w14:textId="044BD766"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vAlign w:val="bottom"/>
          </w:tcPr>
          <w:p w14:paraId="736E845C" w14:textId="6C931D13" w:rsidR="00FB1AE1" w:rsidRPr="00FB1AE1" w:rsidRDefault="00FB1AE1" w:rsidP="00FB1AE1">
            <w:pPr>
              <w:spacing w:line="240" w:lineRule="auto"/>
              <w:rPr>
                <w:rFonts w:eastAsia="Times New Roman" w:cs="Arial"/>
                <w:color w:val="000000"/>
                <w:lang w:eastAsia="bg-BG"/>
              </w:rPr>
            </w:pPr>
            <w:r w:rsidRPr="00FB1AE1">
              <w:t>Левкопения, неутропения и агранулоцитоза</w:t>
            </w:r>
          </w:p>
        </w:tc>
      </w:tr>
      <w:tr w:rsidR="00FB1AE1" w14:paraId="4546DF2D" w14:textId="77777777" w:rsidTr="004030E4">
        <w:tc>
          <w:tcPr>
            <w:tcW w:w="3192" w:type="dxa"/>
            <w:vAlign w:val="bottom"/>
          </w:tcPr>
          <w:p w14:paraId="23626FB3" w14:textId="62CF4482" w:rsidR="00FB1AE1" w:rsidRPr="00FB1AE1" w:rsidRDefault="00FB1AE1" w:rsidP="00FB1AE1">
            <w:pPr>
              <w:spacing w:line="240" w:lineRule="auto"/>
              <w:rPr>
                <w:rFonts w:eastAsia="Times New Roman" w:cs="Arial"/>
                <w:color w:val="000000"/>
                <w:lang w:eastAsia="bg-BG"/>
              </w:rPr>
            </w:pPr>
            <w:r w:rsidRPr="00FB1AE1">
              <w:t>Нарушения на метаболизма и храненето</w:t>
            </w:r>
          </w:p>
        </w:tc>
        <w:tc>
          <w:tcPr>
            <w:tcW w:w="3192" w:type="dxa"/>
          </w:tcPr>
          <w:p w14:paraId="1263FB13" w14:textId="44840A90"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tcPr>
          <w:p w14:paraId="20A3C199" w14:textId="18962044" w:rsidR="00FB1AE1" w:rsidRPr="00FB1AE1" w:rsidRDefault="00FB1AE1" w:rsidP="00FB1AE1">
            <w:pPr>
              <w:spacing w:line="240" w:lineRule="auto"/>
              <w:rPr>
                <w:rFonts w:eastAsia="Times New Roman" w:cs="Arial"/>
                <w:color w:val="000000"/>
                <w:lang w:eastAsia="bg-BG"/>
              </w:rPr>
            </w:pPr>
            <w:r w:rsidRPr="00FB1AE1">
              <w:t>Хиперкалиемия, хипонатриемия</w:t>
            </w:r>
          </w:p>
        </w:tc>
      </w:tr>
      <w:tr w:rsidR="00FB1AE1" w14:paraId="48A15B31" w14:textId="77777777" w:rsidTr="004030E4">
        <w:tc>
          <w:tcPr>
            <w:tcW w:w="3192" w:type="dxa"/>
            <w:vAlign w:val="bottom"/>
          </w:tcPr>
          <w:p w14:paraId="4AEC9DF5" w14:textId="52607E09" w:rsidR="00FB1AE1" w:rsidRPr="00FB1AE1" w:rsidRDefault="00FB1AE1" w:rsidP="00FB1AE1">
            <w:pPr>
              <w:spacing w:line="240" w:lineRule="auto"/>
              <w:rPr>
                <w:rFonts w:eastAsia="Times New Roman" w:cs="Arial"/>
                <w:color w:val="000000"/>
                <w:lang w:eastAsia="bg-BG"/>
              </w:rPr>
            </w:pPr>
            <w:r w:rsidRPr="00FB1AE1">
              <w:t>Нарушения на нервната система</w:t>
            </w:r>
          </w:p>
        </w:tc>
        <w:tc>
          <w:tcPr>
            <w:tcW w:w="3192" w:type="dxa"/>
            <w:vAlign w:val="bottom"/>
          </w:tcPr>
          <w:p w14:paraId="7274AD52" w14:textId="5ACFF4FC" w:rsidR="00FB1AE1" w:rsidRPr="00FB1AE1" w:rsidRDefault="00FB1AE1" w:rsidP="00FB1AE1">
            <w:pPr>
              <w:spacing w:line="240" w:lineRule="auto"/>
              <w:rPr>
                <w:rFonts w:eastAsia="Times New Roman" w:cs="Arial"/>
                <w:color w:val="000000"/>
                <w:lang w:eastAsia="bg-BG"/>
              </w:rPr>
            </w:pPr>
            <w:r w:rsidRPr="00FB1AE1">
              <w:t>Чести</w:t>
            </w:r>
          </w:p>
        </w:tc>
        <w:tc>
          <w:tcPr>
            <w:tcW w:w="3192" w:type="dxa"/>
            <w:vAlign w:val="bottom"/>
          </w:tcPr>
          <w:p w14:paraId="012A2385" w14:textId="76F65FF4" w:rsidR="00FB1AE1" w:rsidRPr="00FB1AE1" w:rsidRDefault="00FB1AE1" w:rsidP="00FB1AE1">
            <w:pPr>
              <w:spacing w:line="240" w:lineRule="auto"/>
              <w:rPr>
                <w:rFonts w:eastAsia="Times New Roman" w:cs="Arial"/>
                <w:color w:val="000000"/>
                <w:lang w:eastAsia="bg-BG"/>
              </w:rPr>
            </w:pPr>
            <w:r w:rsidRPr="00FB1AE1">
              <w:t>Замайване/вертиго, главоболие</w:t>
            </w:r>
          </w:p>
        </w:tc>
      </w:tr>
      <w:tr w:rsidR="00FB1AE1" w14:paraId="19DD6E54" w14:textId="77777777" w:rsidTr="004030E4">
        <w:tc>
          <w:tcPr>
            <w:tcW w:w="3192" w:type="dxa"/>
            <w:vAlign w:val="bottom"/>
          </w:tcPr>
          <w:p w14:paraId="71343147" w14:textId="64CC0FDF" w:rsidR="00FB1AE1" w:rsidRPr="00FB1AE1" w:rsidRDefault="00FB1AE1" w:rsidP="00FB1AE1">
            <w:pPr>
              <w:spacing w:line="240" w:lineRule="auto"/>
              <w:rPr>
                <w:rFonts w:eastAsia="Times New Roman" w:cs="Arial"/>
                <w:color w:val="000000"/>
                <w:lang w:eastAsia="bg-BG"/>
              </w:rPr>
            </w:pPr>
            <w:r w:rsidRPr="00FB1AE1">
              <w:t>Респираторни, гръдни и медиастинални нарушения</w:t>
            </w:r>
          </w:p>
        </w:tc>
        <w:tc>
          <w:tcPr>
            <w:tcW w:w="3192" w:type="dxa"/>
          </w:tcPr>
          <w:p w14:paraId="7A536B39" w14:textId="0389BE26"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tcPr>
          <w:p w14:paraId="6D45626A" w14:textId="56506D01" w:rsidR="00FB1AE1" w:rsidRPr="00FB1AE1" w:rsidRDefault="00FB1AE1" w:rsidP="00FB1AE1">
            <w:pPr>
              <w:spacing w:line="240" w:lineRule="auto"/>
              <w:rPr>
                <w:rFonts w:eastAsia="Times New Roman" w:cs="Arial"/>
                <w:color w:val="000000"/>
                <w:lang w:eastAsia="bg-BG"/>
              </w:rPr>
            </w:pPr>
            <w:r w:rsidRPr="00FB1AE1">
              <w:t>Кашлица</w:t>
            </w:r>
          </w:p>
        </w:tc>
      </w:tr>
      <w:tr w:rsidR="00FB1AE1" w14:paraId="67BF22A3" w14:textId="77777777" w:rsidTr="004030E4">
        <w:tc>
          <w:tcPr>
            <w:tcW w:w="3192" w:type="dxa"/>
            <w:vAlign w:val="bottom"/>
          </w:tcPr>
          <w:p w14:paraId="5EDE3CB1" w14:textId="667297DA" w:rsidR="00FB1AE1" w:rsidRPr="00FB1AE1" w:rsidRDefault="00FB1AE1" w:rsidP="00FB1AE1">
            <w:pPr>
              <w:spacing w:line="240" w:lineRule="auto"/>
              <w:rPr>
                <w:rFonts w:eastAsia="Times New Roman" w:cs="Arial"/>
                <w:color w:val="000000"/>
                <w:lang w:eastAsia="bg-BG"/>
              </w:rPr>
            </w:pPr>
            <w:r w:rsidRPr="00FB1AE1">
              <w:t>Стомашно-чревни нарушения</w:t>
            </w:r>
          </w:p>
        </w:tc>
        <w:tc>
          <w:tcPr>
            <w:tcW w:w="3192" w:type="dxa"/>
            <w:vAlign w:val="bottom"/>
          </w:tcPr>
          <w:p w14:paraId="0ECB4AA4" w14:textId="553873E4"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vAlign w:val="bottom"/>
          </w:tcPr>
          <w:p w14:paraId="27FB1E1E" w14:textId="71C2C8AB" w:rsidR="00FB1AE1" w:rsidRPr="00FB1AE1" w:rsidRDefault="00FB1AE1" w:rsidP="00FB1AE1">
            <w:pPr>
              <w:spacing w:line="240" w:lineRule="auto"/>
              <w:rPr>
                <w:rFonts w:eastAsia="Times New Roman" w:cs="Arial"/>
                <w:color w:val="000000"/>
                <w:lang w:eastAsia="bg-BG"/>
              </w:rPr>
            </w:pPr>
            <w:r w:rsidRPr="00FB1AE1">
              <w:t>Гадене</w:t>
            </w:r>
          </w:p>
        </w:tc>
      </w:tr>
      <w:tr w:rsidR="00FB1AE1" w14:paraId="7E3916B2" w14:textId="77777777" w:rsidTr="004030E4">
        <w:tc>
          <w:tcPr>
            <w:tcW w:w="3192" w:type="dxa"/>
          </w:tcPr>
          <w:p w14:paraId="2AA0BAD5" w14:textId="589935F7" w:rsidR="00FB1AE1" w:rsidRPr="00FB1AE1" w:rsidRDefault="00FB1AE1" w:rsidP="00FB1AE1">
            <w:pPr>
              <w:spacing w:line="240" w:lineRule="auto"/>
              <w:rPr>
                <w:rFonts w:eastAsia="Times New Roman" w:cs="Arial"/>
                <w:color w:val="000000"/>
                <w:lang w:eastAsia="bg-BG"/>
              </w:rPr>
            </w:pPr>
            <w:r w:rsidRPr="00FB1AE1">
              <w:t>Хепатобилиарни нарушения</w:t>
            </w:r>
          </w:p>
        </w:tc>
        <w:tc>
          <w:tcPr>
            <w:tcW w:w="3192" w:type="dxa"/>
          </w:tcPr>
          <w:p w14:paraId="732C3B44" w14:textId="08B829AA"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vAlign w:val="bottom"/>
          </w:tcPr>
          <w:p w14:paraId="02EAA142" w14:textId="1C230593" w:rsidR="00FB1AE1" w:rsidRPr="00FB1AE1" w:rsidRDefault="00FB1AE1" w:rsidP="00FB1AE1">
            <w:pPr>
              <w:spacing w:line="240" w:lineRule="auto"/>
              <w:rPr>
                <w:rFonts w:eastAsia="Times New Roman" w:cs="Arial"/>
                <w:color w:val="000000"/>
                <w:lang w:eastAsia="bg-BG"/>
              </w:rPr>
            </w:pPr>
            <w:r w:rsidRPr="00FB1AE1">
              <w:t>Повишени чернодробни ензими, отклонения в чернодробната функция, хепатит</w:t>
            </w:r>
          </w:p>
        </w:tc>
      </w:tr>
      <w:tr w:rsidR="00FB1AE1" w14:paraId="403C30AB" w14:textId="77777777" w:rsidTr="004030E4">
        <w:tc>
          <w:tcPr>
            <w:tcW w:w="3192" w:type="dxa"/>
            <w:vAlign w:val="bottom"/>
          </w:tcPr>
          <w:p w14:paraId="6F28B3EF" w14:textId="06998F54" w:rsidR="00FB1AE1" w:rsidRPr="00FB1AE1" w:rsidRDefault="00FB1AE1" w:rsidP="00FB1AE1">
            <w:pPr>
              <w:spacing w:line="240" w:lineRule="auto"/>
              <w:rPr>
                <w:rFonts w:eastAsia="Times New Roman" w:cs="Arial"/>
                <w:color w:val="000000"/>
                <w:lang w:eastAsia="bg-BG"/>
              </w:rPr>
            </w:pPr>
            <w:r w:rsidRPr="00FB1AE1">
              <w:t>Нарушения на кожата и подкожната тъкан</w:t>
            </w:r>
          </w:p>
        </w:tc>
        <w:tc>
          <w:tcPr>
            <w:tcW w:w="3192" w:type="dxa"/>
          </w:tcPr>
          <w:p w14:paraId="078BBFC1" w14:textId="4C1C4276"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vAlign w:val="bottom"/>
          </w:tcPr>
          <w:p w14:paraId="17480032" w14:textId="732E8480" w:rsidR="00FB1AE1" w:rsidRPr="00FB1AE1" w:rsidRDefault="00FB1AE1" w:rsidP="00FB1AE1">
            <w:pPr>
              <w:spacing w:line="240" w:lineRule="auto"/>
              <w:rPr>
                <w:rFonts w:eastAsia="Times New Roman" w:cs="Arial"/>
                <w:color w:val="000000"/>
                <w:lang w:eastAsia="bg-BG"/>
              </w:rPr>
            </w:pPr>
            <w:r w:rsidRPr="00FB1AE1">
              <w:t>Ангиоедем, обрив, уртикария, пруритус</w:t>
            </w:r>
          </w:p>
        </w:tc>
      </w:tr>
      <w:tr w:rsidR="00FB1AE1" w14:paraId="59C6E1CA" w14:textId="77777777" w:rsidTr="004030E4">
        <w:tc>
          <w:tcPr>
            <w:tcW w:w="3192" w:type="dxa"/>
            <w:vAlign w:val="bottom"/>
          </w:tcPr>
          <w:p w14:paraId="6023D3EE" w14:textId="5A9E2852" w:rsidR="00FB1AE1" w:rsidRPr="00FB1AE1" w:rsidRDefault="00FB1AE1" w:rsidP="00FB1AE1">
            <w:pPr>
              <w:spacing w:line="240" w:lineRule="auto"/>
              <w:rPr>
                <w:rFonts w:eastAsia="Times New Roman" w:cs="Arial"/>
                <w:color w:val="000000"/>
                <w:lang w:eastAsia="bg-BG"/>
              </w:rPr>
            </w:pPr>
            <w:r w:rsidRPr="00FB1AE1">
              <w:lastRenderedPageBreak/>
              <w:t>Нарушения на мускулноскелетната система и съединителната тъкан</w:t>
            </w:r>
          </w:p>
        </w:tc>
        <w:tc>
          <w:tcPr>
            <w:tcW w:w="3192" w:type="dxa"/>
          </w:tcPr>
          <w:p w14:paraId="59863A0F" w14:textId="007DBB84"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tcPr>
          <w:p w14:paraId="0D6E412C" w14:textId="728F75BE" w:rsidR="00FB1AE1" w:rsidRPr="00FB1AE1" w:rsidRDefault="00FB1AE1" w:rsidP="00FB1AE1">
            <w:pPr>
              <w:spacing w:line="240" w:lineRule="auto"/>
              <w:rPr>
                <w:rFonts w:eastAsia="Times New Roman" w:cs="Arial"/>
                <w:color w:val="000000"/>
                <w:lang w:eastAsia="bg-BG"/>
              </w:rPr>
            </w:pPr>
            <w:r w:rsidRPr="00FB1AE1">
              <w:t>Болки в гърба, артралгия, миалгия</w:t>
            </w:r>
          </w:p>
        </w:tc>
      </w:tr>
      <w:tr w:rsidR="00FB1AE1" w14:paraId="7F14B131" w14:textId="77777777" w:rsidTr="004030E4">
        <w:tc>
          <w:tcPr>
            <w:tcW w:w="3192" w:type="dxa"/>
          </w:tcPr>
          <w:p w14:paraId="3DD0F40D" w14:textId="04A4DC1C" w:rsidR="00FB1AE1" w:rsidRPr="00FB1AE1" w:rsidRDefault="00FB1AE1" w:rsidP="00FB1AE1">
            <w:pPr>
              <w:spacing w:line="240" w:lineRule="auto"/>
              <w:rPr>
                <w:rFonts w:eastAsia="Times New Roman" w:cs="Arial"/>
                <w:color w:val="000000"/>
                <w:lang w:eastAsia="bg-BG"/>
              </w:rPr>
            </w:pPr>
            <w:r w:rsidRPr="00FB1AE1">
              <w:t>Нарушения на бъбреците и пикочните пътища</w:t>
            </w:r>
          </w:p>
        </w:tc>
        <w:tc>
          <w:tcPr>
            <w:tcW w:w="3192" w:type="dxa"/>
          </w:tcPr>
          <w:p w14:paraId="142F5F42" w14:textId="439CD458" w:rsidR="00FB1AE1" w:rsidRPr="00FB1AE1" w:rsidRDefault="00FB1AE1" w:rsidP="00FB1AE1">
            <w:pPr>
              <w:spacing w:line="240" w:lineRule="auto"/>
              <w:rPr>
                <w:rFonts w:eastAsia="Times New Roman" w:cs="Arial"/>
                <w:color w:val="000000"/>
                <w:lang w:eastAsia="bg-BG"/>
              </w:rPr>
            </w:pPr>
            <w:r w:rsidRPr="00FB1AE1">
              <w:t>Много редки</w:t>
            </w:r>
          </w:p>
        </w:tc>
        <w:tc>
          <w:tcPr>
            <w:tcW w:w="3192" w:type="dxa"/>
            <w:vAlign w:val="bottom"/>
          </w:tcPr>
          <w:p w14:paraId="786613DB" w14:textId="728B1A51" w:rsidR="00FB1AE1" w:rsidRPr="00FB1AE1" w:rsidRDefault="00FB1AE1" w:rsidP="00FB1AE1">
            <w:pPr>
              <w:spacing w:line="240" w:lineRule="auto"/>
              <w:rPr>
                <w:rFonts w:eastAsia="Times New Roman" w:cs="Arial"/>
                <w:color w:val="000000"/>
                <w:lang w:eastAsia="bg-BG"/>
              </w:rPr>
            </w:pPr>
            <w:r w:rsidRPr="00FB1AE1">
              <w:t>Бъбречно нарушение, включително бъбречна недостатъчност при предразположени пациенти (вж. точка 4.4)</w:t>
            </w:r>
          </w:p>
        </w:tc>
      </w:tr>
    </w:tbl>
    <w:p w14:paraId="6B38E4FB" w14:textId="1DC942FD" w:rsidR="00FB1AE1" w:rsidRDefault="00FB1AE1" w:rsidP="00FB1AE1">
      <w:pPr>
        <w:spacing w:line="240" w:lineRule="auto"/>
        <w:rPr>
          <w:rFonts w:eastAsia="Times New Roman" w:cs="Arial"/>
          <w:color w:val="000000"/>
          <w:lang w:eastAsia="bg-BG"/>
        </w:rPr>
      </w:pPr>
    </w:p>
    <w:p w14:paraId="4C0FBE73" w14:textId="0844F1E2"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Лабораторни данни</w:t>
      </w:r>
    </w:p>
    <w:p w14:paraId="130A2BF4" w14:textId="58000E18" w:rsidR="00FB1AE1" w:rsidRPr="00FB1AE1" w:rsidRDefault="00FB1AE1" w:rsidP="00FB1AE1">
      <w:pPr>
        <w:spacing w:line="240" w:lineRule="auto"/>
        <w:rPr>
          <w:rFonts w:eastAsia="Times New Roman" w:cs="Arial"/>
          <w:color w:val="000000"/>
          <w:lang w:eastAsia="bg-BG"/>
        </w:rPr>
      </w:pPr>
      <w:r w:rsidRPr="00FB1AE1">
        <w:rPr>
          <w:rFonts w:eastAsia="Times New Roman" w:cs="Arial"/>
          <w:color w:val="000000"/>
          <w:lang w:eastAsia="bg-BG"/>
        </w:rPr>
        <w:t>По принцип, няма клинично значимо влияние на кандесартан върху рутинните лабораторни показатели. Както при другите инхибитори на ренин-ангиотензин-алдостероновата система, е наблюдавано слабо понижение на хемоглобина. Обикновено не се налага рутинно проследяване на лабораторните показатели при пациенти, получаващи кандесартан. При пациенти с бъбречно нарушение обаче се препоръчва периодично проследяване на нивата на серумния калий креатинина.</w:t>
      </w:r>
    </w:p>
    <w:p w14:paraId="152981E4" w14:textId="7468D321" w:rsidR="00FB1AE1" w:rsidRPr="00FB1AE1" w:rsidRDefault="00FB1AE1" w:rsidP="00FB1AE1">
      <w:pPr>
        <w:spacing w:line="240" w:lineRule="auto"/>
        <w:rPr>
          <w:rFonts w:eastAsia="Times New Roman" w:cs="Arial"/>
          <w:color w:val="000000"/>
          <w:lang w:eastAsia="bg-BG"/>
        </w:rPr>
      </w:pPr>
    </w:p>
    <w:p w14:paraId="32E16DF2" w14:textId="77777777"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Лечение на сърдечна недостатъчност</w:t>
      </w:r>
    </w:p>
    <w:p w14:paraId="0D43A20A"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Профилът на нежелани лекарствени реакции на кандесартан цилексетил при пациенти със сърдечна недостатъчност съответства на фармакологичните свойства на лекарството и на здравното състояние на пациентите. В клиничната програма </w:t>
      </w:r>
      <w:r w:rsidRPr="00FB1AE1">
        <w:rPr>
          <w:rFonts w:eastAsia="Times New Roman" w:cs="Arial"/>
          <w:color w:val="000000"/>
          <w:lang w:val="en-US"/>
        </w:rPr>
        <w:t>CHARM</w:t>
      </w:r>
      <w:r w:rsidRPr="00FB1AE1">
        <w:rPr>
          <w:rFonts w:eastAsia="Times New Roman" w:cs="Arial"/>
          <w:color w:val="000000"/>
          <w:lang w:val="ru-RU"/>
        </w:rPr>
        <w:t xml:space="preserve">, </w:t>
      </w:r>
      <w:r w:rsidRPr="00FB1AE1">
        <w:rPr>
          <w:rFonts w:eastAsia="Times New Roman" w:cs="Arial"/>
          <w:color w:val="000000"/>
          <w:lang w:eastAsia="bg-BG"/>
        </w:rPr>
        <w:t xml:space="preserve">сравняваща кандесартан цилексетил в дози до 32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w:t>
      </w:r>
      <w:r w:rsidRPr="00FB1AE1">
        <w:rPr>
          <w:rFonts w:eastAsia="Times New Roman" w:cs="Arial"/>
          <w:color w:val="000000"/>
          <w:lang w:val="en-US"/>
        </w:rPr>
        <w:t>n</w:t>
      </w:r>
      <w:r w:rsidRPr="00FB1AE1">
        <w:rPr>
          <w:rFonts w:eastAsia="Times New Roman" w:cs="Arial"/>
          <w:color w:val="000000"/>
          <w:lang w:eastAsia="bg-BG"/>
        </w:rPr>
        <w:t>=3,803) с плацебо (</w:t>
      </w:r>
      <w:r w:rsidRPr="00FB1AE1">
        <w:rPr>
          <w:rFonts w:eastAsia="Times New Roman" w:cs="Arial"/>
          <w:color w:val="000000"/>
          <w:lang w:val="en-US"/>
        </w:rPr>
        <w:t>n</w:t>
      </w:r>
      <w:r w:rsidRPr="00FB1AE1">
        <w:rPr>
          <w:rFonts w:eastAsia="Times New Roman" w:cs="Arial"/>
          <w:color w:val="000000"/>
          <w:lang w:eastAsia="bg-BG"/>
        </w:rPr>
        <w:t>=3,796), 21,0% от пациентите в групата с кандесартан цилексетил и 16,1 % от групата с плацебо са преустановили лечението, поради нежелани събития. Най-често наблюдаваните нежелани реакции били хиперкалиемия, хипотония и бъбречно нарушение. Тези нежелани лекарствени реакции били най-често наблюдавани при пациенти на възраст над 70 години, диабетици, или такива, приемали други лекарствени продукти, оказващи ефект върху ренин-ангиотензин-алдостероновата система, в частност АСЕ инхибитор и/или спиронолактон.</w:t>
      </w:r>
    </w:p>
    <w:p w14:paraId="5C6CF56A" w14:textId="77777777" w:rsidR="00FB1AE1" w:rsidRPr="00FB1AE1" w:rsidRDefault="00FB1AE1" w:rsidP="00FB1AE1">
      <w:pPr>
        <w:spacing w:line="240" w:lineRule="auto"/>
        <w:rPr>
          <w:rFonts w:eastAsia="Times New Roman" w:cs="Arial"/>
          <w:color w:val="000000"/>
          <w:lang w:eastAsia="bg-BG"/>
        </w:rPr>
      </w:pPr>
    </w:p>
    <w:p w14:paraId="76AC0F8A" w14:textId="41DD28A4" w:rsidR="00FB1AE1" w:rsidRPr="00FB1AE1" w:rsidRDefault="00FB1AE1" w:rsidP="00FB1AE1">
      <w:pPr>
        <w:spacing w:line="240" w:lineRule="auto"/>
        <w:rPr>
          <w:rFonts w:eastAsia="Times New Roman" w:cs="Arial"/>
        </w:rPr>
      </w:pPr>
      <w:r w:rsidRPr="00FB1AE1">
        <w:rPr>
          <w:rFonts w:eastAsia="Times New Roman" w:cs="Arial"/>
          <w:color w:val="000000"/>
          <w:lang w:eastAsia="bg-BG"/>
        </w:rPr>
        <w:t>Таблицата по-долу представя нежеланите реакции от клинични изпитвания и постмаркетингово наблюдение.</w:t>
      </w:r>
    </w:p>
    <w:tbl>
      <w:tblPr>
        <w:tblStyle w:val="TableGrid"/>
        <w:tblW w:w="0" w:type="auto"/>
        <w:tblLook w:val="04A0" w:firstRow="1" w:lastRow="0" w:firstColumn="1" w:lastColumn="0" w:noHBand="0" w:noVBand="1"/>
      </w:tblPr>
      <w:tblGrid>
        <w:gridCol w:w="3144"/>
        <w:gridCol w:w="3076"/>
        <w:gridCol w:w="3130"/>
      </w:tblGrid>
      <w:tr w:rsidR="00FB1AE1" w14:paraId="7CBBBBF1" w14:textId="77777777" w:rsidTr="00FB1AE1">
        <w:tc>
          <w:tcPr>
            <w:tcW w:w="3192" w:type="dxa"/>
          </w:tcPr>
          <w:p w14:paraId="0A0CA99D" w14:textId="3EBE587C" w:rsidR="00FB1AE1" w:rsidRPr="00FB1AE1" w:rsidRDefault="00FB1AE1" w:rsidP="00FB1AE1">
            <w:pPr>
              <w:spacing w:line="240" w:lineRule="auto"/>
              <w:rPr>
                <w:rFonts w:ascii="Times New Roman" w:eastAsia="Times New Roman" w:hAnsi="Times New Roman" w:cs="Times New Roman"/>
              </w:rPr>
            </w:pPr>
            <w:r w:rsidRPr="00FB1AE1">
              <w:rPr>
                <w:b/>
                <w:bCs/>
              </w:rPr>
              <w:t>Системо-органен клас</w:t>
            </w:r>
          </w:p>
        </w:tc>
        <w:tc>
          <w:tcPr>
            <w:tcW w:w="3192" w:type="dxa"/>
          </w:tcPr>
          <w:p w14:paraId="22D395C6" w14:textId="27556C35" w:rsidR="00FB1AE1" w:rsidRPr="00FB1AE1" w:rsidRDefault="00FB1AE1" w:rsidP="00FB1AE1">
            <w:pPr>
              <w:spacing w:line="240" w:lineRule="auto"/>
              <w:rPr>
                <w:rFonts w:ascii="Times New Roman" w:eastAsia="Times New Roman" w:hAnsi="Times New Roman" w:cs="Times New Roman"/>
              </w:rPr>
            </w:pPr>
            <w:r w:rsidRPr="00FB1AE1">
              <w:rPr>
                <w:b/>
                <w:bCs/>
              </w:rPr>
              <w:t>Честота</w:t>
            </w:r>
          </w:p>
        </w:tc>
        <w:tc>
          <w:tcPr>
            <w:tcW w:w="3192" w:type="dxa"/>
          </w:tcPr>
          <w:p w14:paraId="2A258713" w14:textId="1324FAF5" w:rsidR="00FB1AE1" w:rsidRPr="00FB1AE1" w:rsidRDefault="00FB1AE1" w:rsidP="00FB1AE1">
            <w:pPr>
              <w:spacing w:line="240" w:lineRule="auto"/>
              <w:rPr>
                <w:rFonts w:ascii="Times New Roman" w:eastAsia="Times New Roman" w:hAnsi="Times New Roman" w:cs="Times New Roman"/>
              </w:rPr>
            </w:pPr>
            <w:r w:rsidRPr="00FB1AE1">
              <w:rPr>
                <w:b/>
                <w:bCs/>
              </w:rPr>
              <w:t>Нежелани реакция</w:t>
            </w:r>
          </w:p>
        </w:tc>
      </w:tr>
      <w:tr w:rsidR="00FB1AE1" w14:paraId="232A4BBE" w14:textId="77777777" w:rsidTr="00FB1AE1">
        <w:tc>
          <w:tcPr>
            <w:tcW w:w="3192" w:type="dxa"/>
          </w:tcPr>
          <w:p w14:paraId="4925F6CD" w14:textId="0CBC4A58" w:rsidR="00FB1AE1" w:rsidRPr="00FB1AE1" w:rsidRDefault="00FB1AE1" w:rsidP="00FB1AE1">
            <w:pPr>
              <w:spacing w:line="240" w:lineRule="auto"/>
              <w:rPr>
                <w:rFonts w:ascii="Times New Roman" w:eastAsia="Times New Roman" w:hAnsi="Times New Roman" w:cs="Times New Roman"/>
              </w:rPr>
            </w:pPr>
            <w:r w:rsidRPr="00FB1AE1">
              <w:t>Нарушения на кръвта и лимфната система</w:t>
            </w:r>
          </w:p>
        </w:tc>
        <w:tc>
          <w:tcPr>
            <w:tcW w:w="3192" w:type="dxa"/>
          </w:tcPr>
          <w:p w14:paraId="5079DFD4" w14:textId="2E7CD46E"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6E8C9B2F" w14:textId="05EE5E39" w:rsidR="00FB1AE1" w:rsidRPr="00FB1AE1" w:rsidRDefault="00FB1AE1" w:rsidP="00FB1AE1">
            <w:pPr>
              <w:spacing w:line="240" w:lineRule="auto"/>
              <w:rPr>
                <w:rFonts w:ascii="Times New Roman" w:eastAsia="Times New Roman" w:hAnsi="Times New Roman" w:cs="Times New Roman"/>
              </w:rPr>
            </w:pPr>
            <w:r w:rsidRPr="00FB1AE1">
              <w:t>Левкопения, неутропения и агранулоцитоза</w:t>
            </w:r>
          </w:p>
        </w:tc>
      </w:tr>
      <w:tr w:rsidR="00FB1AE1" w14:paraId="7203AE47" w14:textId="77777777" w:rsidTr="00FB1AE1">
        <w:tc>
          <w:tcPr>
            <w:tcW w:w="3192" w:type="dxa"/>
          </w:tcPr>
          <w:p w14:paraId="28A880A1" w14:textId="24A17784" w:rsidR="00FB1AE1" w:rsidRPr="00FB1AE1" w:rsidRDefault="00FB1AE1" w:rsidP="00FB1AE1">
            <w:pPr>
              <w:spacing w:line="240" w:lineRule="auto"/>
              <w:rPr>
                <w:rFonts w:ascii="Times New Roman" w:eastAsia="Times New Roman" w:hAnsi="Times New Roman" w:cs="Times New Roman"/>
              </w:rPr>
            </w:pPr>
            <w:r w:rsidRPr="00FB1AE1">
              <w:t>Нарушения на метаболизма и храненето</w:t>
            </w:r>
          </w:p>
        </w:tc>
        <w:tc>
          <w:tcPr>
            <w:tcW w:w="3192" w:type="dxa"/>
          </w:tcPr>
          <w:p w14:paraId="6172CF61" w14:textId="77777777" w:rsidR="00FB1AE1" w:rsidRPr="00FB1AE1" w:rsidRDefault="00FB1AE1" w:rsidP="00FB1AE1">
            <w:r w:rsidRPr="00FB1AE1">
              <w:t>Чести</w:t>
            </w:r>
          </w:p>
          <w:p w14:paraId="635B7AB3" w14:textId="0C8AA092"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477F198A" w14:textId="3D3EBCD5" w:rsidR="00FB1AE1" w:rsidRPr="00FB1AE1" w:rsidRDefault="00FB1AE1" w:rsidP="00FB1AE1">
            <w:pPr>
              <w:spacing w:line="240" w:lineRule="auto"/>
              <w:rPr>
                <w:rFonts w:ascii="Times New Roman" w:eastAsia="Times New Roman" w:hAnsi="Times New Roman" w:cs="Times New Roman"/>
              </w:rPr>
            </w:pPr>
            <w:r w:rsidRPr="00FB1AE1">
              <w:t>Хиперкалиемия Хипонатриемия</w:t>
            </w:r>
          </w:p>
        </w:tc>
      </w:tr>
      <w:tr w:rsidR="00FB1AE1" w14:paraId="0678651E" w14:textId="77777777" w:rsidTr="00FB1AE1">
        <w:tc>
          <w:tcPr>
            <w:tcW w:w="3192" w:type="dxa"/>
          </w:tcPr>
          <w:p w14:paraId="1241D042" w14:textId="2ADF0F45" w:rsidR="00FB1AE1" w:rsidRPr="00FB1AE1" w:rsidRDefault="00FB1AE1" w:rsidP="00FB1AE1">
            <w:pPr>
              <w:spacing w:line="240" w:lineRule="auto"/>
              <w:rPr>
                <w:rFonts w:ascii="Times New Roman" w:eastAsia="Times New Roman" w:hAnsi="Times New Roman" w:cs="Times New Roman"/>
              </w:rPr>
            </w:pPr>
            <w:r w:rsidRPr="00FB1AE1">
              <w:t>Нарушения на нервната система</w:t>
            </w:r>
          </w:p>
        </w:tc>
        <w:tc>
          <w:tcPr>
            <w:tcW w:w="3192" w:type="dxa"/>
          </w:tcPr>
          <w:p w14:paraId="01DF2E33" w14:textId="4A59A661"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69FC132C" w14:textId="6C50A8AF" w:rsidR="00FB1AE1" w:rsidRPr="00FB1AE1" w:rsidRDefault="00FB1AE1" w:rsidP="00FB1AE1">
            <w:pPr>
              <w:spacing w:line="240" w:lineRule="auto"/>
              <w:rPr>
                <w:rFonts w:ascii="Times New Roman" w:eastAsia="Times New Roman" w:hAnsi="Times New Roman" w:cs="Times New Roman"/>
              </w:rPr>
            </w:pPr>
            <w:r w:rsidRPr="00FB1AE1">
              <w:t>Замайване, главоболие</w:t>
            </w:r>
          </w:p>
        </w:tc>
      </w:tr>
      <w:tr w:rsidR="00FB1AE1" w14:paraId="53BFDEB9" w14:textId="77777777" w:rsidTr="00FB1AE1">
        <w:tc>
          <w:tcPr>
            <w:tcW w:w="3192" w:type="dxa"/>
          </w:tcPr>
          <w:p w14:paraId="53CBEA1E" w14:textId="6D642C6B" w:rsidR="00FB1AE1" w:rsidRPr="00FB1AE1" w:rsidRDefault="00FB1AE1" w:rsidP="00FB1AE1">
            <w:pPr>
              <w:spacing w:line="240" w:lineRule="auto"/>
              <w:rPr>
                <w:rFonts w:ascii="Times New Roman" w:eastAsia="Times New Roman" w:hAnsi="Times New Roman" w:cs="Times New Roman"/>
              </w:rPr>
            </w:pPr>
            <w:r w:rsidRPr="00FB1AE1">
              <w:t>Респираторни, гръдни и медиастинални нарушения</w:t>
            </w:r>
          </w:p>
        </w:tc>
        <w:tc>
          <w:tcPr>
            <w:tcW w:w="3192" w:type="dxa"/>
          </w:tcPr>
          <w:p w14:paraId="50E15FE8" w14:textId="370905F9"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71292D68" w14:textId="7036FA18" w:rsidR="00FB1AE1" w:rsidRPr="00FB1AE1" w:rsidRDefault="00FB1AE1" w:rsidP="00FB1AE1">
            <w:pPr>
              <w:spacing w:line="240" w:lineRule="auto"/>
              <w:rPr>
                <w:rFonts w:ascii="Times New Roman" w:eastAsia="Times New Roman" w:hAnsi="Times New Roman" w:cs="Times New Roman"/>
              </w:rPr>
            </w:pPr>
            <w:r w:rsidRPr="00FB1AE1">
              <w:t>Кашлица</w:t>
            </w:r>
          </w:p>
        </w:tc>
      </w:tr>
      <w:tr w:rsidR="00FB1AE1" w14:paraId="1EEFF6C3" w14:textId="77777777" w:rsidTr="00FB1AE1">
        <w:tc>
          <w:tcPr>
            <w:tcW w:w="3192" w:type="dxa"/>
          </w:tcPr>
          <w:p w14:paraId="02D04770" w14:textId="0825665B" w:rsidR="00FB1AE1" w:rsidRPr="00FB1AE1" w:rsidRDefault="00FB1AE1" w:rsidP="00FB1AE1">
            <w:pPr>
              <w:spacing w:line="240" w:lineRule="auto"/>
              <w:rPr>
                <w:rFonts w:ascii="Times New Roman" w:eastAsia="Times New Roman" w:hAnsi="Times New Roman" w:cs="Times New Roman"/>
              </w:rPr>
            </w:pPr>
            <w:r w:rsidRPr="00FB1AE1">
              <w:t>Съдови нарушения</w:t>
            </w:r>
          </w:p>
        </w:tc>
        <w:tc>
          <w:tcPr>
            <w:tcW w:w="3192" w:type="dxa"/>
          </w:tcPr>
          <w:p w14:paraId="0B513A34" w14:textId="1DD45973" w:rsidR="00FB1AE1" w:rsidRPr="00FB1AE1" w:rsidRDefault="00FB1AE1" w:rsidP="00FB1AE1">
            <w:pPr>
              <w:spacing w:line="240" w:lineRule="auto"/>
              <w:rPr>
                <w:rFonts w:ascii="Times New Roman" w:eastAsia="Times New Roman" w:hAnsi="Times New Roman" w:cs="Times New Roman"/>
              </w:rPr>
            </w:pPr>
            <w:r w:rsidRPr="00FB1AE1">
              <w:t>Чести</w:t>
            </w:r>
          </w:p>
        </w:tc>
        <w:tc>
          <w:tcPr>
            <w:tcW w:w="3192" w:type="dxa"/>
          </w:tcPr>
          <w:p w14:paraId="46329E4E" w14:textId="76784094" w:rsidR="00FB1AE1" w:rsidRPr="00FB1AE1" w:rsidRDefault="00FB1AE1" w:rsidP="00FB1AE1">
            <w:pPr>
              <w:spacing w:line="240" w:lineRule="auto"/>
              <w:rPr>
                <w:rFonts w:ascii="Times New Roman" w:eastAsia="Times New Roman" w:hAnsi="Times New Roman" w:cs="Times New Roman"/>
              </w:rPr>
            </w:pPr>
            <w:r w:rsidRPr="00FB1AE1">
              <w:t>Хипотония</w:t>
            </w:r>
          </w:p>
        </w:tc>
      </w:tr>
      <w:tr w:rsidR="00FB1AE1" w14:paraId="3535ADC8" w14:textId="77777777" w:rsidTr="00FB1AE1">
        <w:tc>
          <w:tcPr>
            <w:tcW w:w="3192" w:type="dxa"/>
          </w:tcPr>
          <w:p w14:paraId="76DA58A0" w14:textId="7E52699E" w:rsidR="00FB1AE1" w:rsidRPr="00FB1AE1" w:rsidRDefault="00FB1AE1" w:rsidP="00FB1AE1">
            <w:pPr>
              <w:spacing w:line="240" w:lineRule="auto"/>
              <w:rPr>
                <w:rFonts w:ascii="Times New Roman" w:eastAsia="Times New Roman" w:hAnsi="Times New Roman" w:cs="Times New Roman"/>
              </w:rPr>
            </w:pPr>
            <w:r w:rsidRPr="00FB1AE1">
              <w:t>Стомашно-чревни нарушения</w:t>
            </w:r>
          </w:p>
        </w:tc>
        <w:tc>
          <w:tcPr>
            <w:tcW w:w="3192" w:type="dxa"/>
          </w:tcPr>
          <w:p w14:paraId="3186DE66" w14:textId="3AAADC58"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1E0EB4AA" w14:textId="47D3DEE1" w:rsidR="00FB1AE1" w:rsidRPr="00FB1AE1" w:rsidRDefault="00FB1AE1" w:rsidP="00FB1AE1">
            <w:pPr>
              <w:spacing w:line="240" w:lineRule="auto"/>
              <w:rPr>
                <w:rFonts w:ascii="Times New Roman" w:eastAsia="Times New Roman" w:hAnsi="Times New Roman" w:cs="Times New Roman"/>
              </w:rPr>
            </w:pPr>
            <w:r w:rsidRPr="00FB1AE1">
              <w:t>Гадене</w:t>
            </w:r>
          </w:p>
        </w:tc>
      </w:tr>
      <w:tr w:rsidR="00FB1AE1" w14:paraId="615F8C45" w14:textId="77777777" w:rsidTr="00FB1AE1">
        <w:tc>
          <w:tcPr>
            <w:tcW w:w="3192" w:type="dxa"/>
          </w:tcPr>
          <w:p w14:paraId="6758AB32" w14:textId="261A3F72" w:rsidR="00FB1AE1" w:rsidRPr="00FB1AE1" w:rsidRDefault="00FB1AE1" w:rsidP="00FB1AE1">
            <w:pPr>
              <w:spacing w:line="240" w:lineRule="auto"/>
              <w:rPr>
                <w:rFonts w:ascii="Times New Roman" w:eastAsia="Times New Roman" w:hAnsi="Times New Roman" w:cs="Times New Roman"/>
              </w:rPr>
            </w:pPr>
            <w:r w:rsidRPr="00FB1AE1">
              <w:t>Хепатобилиарни нарушения</w:t>
            </w:r>
          </w:p>
        </w:tc>
        <w:tc>
          <w:tcPr>
            <w:tcW w:w="3192" w:type="dxa"/>
          </w:tcPr>
          <w:p w14:paraId="4FAC7953" w14:textId="5800CCDB"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26B74F07" w14:textId="31BFE299" w:rsidR="00FB1AE1" w:rsidRPr="00FB1AE1" w:rsidRDefault="00FB1AE1" w:rsidP="00FB1AE1">
            <w:pPr>
              <w:spacing w:line="240" w:lineRule="auto"/>
              <w:rPr>
                <w:rFonts w:ascii="Times New Roman" w:eastAsia="Times New Roman" w:hAnsi="Times New Roman" w:cs="Times New Roman"/>
              </w:rPr>
            </w:pPr>
            <w:r w:rsidRPr="00FB1AE1">
              <w:t>Повишени чернодробни ензими, отклонения в чернодробна функция, хепатит</w:t>
            </w:r>
          </w:p>
        </w:tc>
      </w:tr>
      <w:tr w:rsidR="00FB1AE1" w14:paraId="1B63BC22" w14:textId="77777777" w:rsidTr="00FB1AE1">
        <w:tc>
          <w:tcPr>
            <w:tcW w:w="3192" w:type="dxa"/>
          </w:tcPr>
          <w:p w14:paraId="29950CE8" w14:textId="2964D6C8" w:rsidR="00FB1AE1" w:rsidRPr="00FB1AE1" w:rsidRDefault="00FB1AE1" w:rsidP="00FB1AE1">
            <w:pPr>
              <w:spacing w:line="240" w:lineRule="auto"/>
              <w:rPr>
                <w:rFonts w:ascii="Times New Roman" w:eastAsia="Times New Roman" w:hAnsi="Times New Roman" w:cs="Times New Roman"/>
              </w:rPr>
            </w:pPr>
            <w:r w:rsidRPr="00FB1AE1">
              <w:lastRenderedPageBreak/>
              <w:t>Нарушения на кожата и подкожната тъкан</w:t>
            </w:r>
          </w:p>
        </w:tc>
        <w:tc>
          <w:tcPr>
            <w:tcW w:w="3192" w:type="dxa"/>
          </w:tcPr>
          <w:p w14:paraId="561CF1F4" w14:textId="1C909046"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2F7AF708" w14:textId="70FB8A32" w:rsidR="00FB1AE1" w:rsidRPr="00FB1AE1" w:rsidRDefault="00FB1AE1" w:rsidP="00FB1AE1">
            <w:pPr>
              <w:spacing w:line="240" w:lineRule="auto"/>
              <w:rPr>
                <w:rFonts w:ascii="Times New Roman" w:eastAsia="Times New Roman" w:hAnsi="Times New Roman" w:cs="Times New Roman"/>
              </w:rPr>
            </w:pPr>
            <w:r w:rsidRPr="00FB1AE1">
              <w:t>Ангиоедем, обрив, уртикария, пруритус</w:t>
            </w:r>
          </w:p>
        </w:tc>
      </w:tr>
      <w:tr w:rsidR="00FB1AE1" w14:paraId="5E25D483" w14:textId="77777777" w:rsidTr="00FB1AE1">
        <w:tc>
          <w:tcPr>
            <w:tcW w:w="3192" w:type="dxa"/>
          </w:tcPr>
          <w:p w14:paraId="5C35301A" w14:textId="7CF185EA" w:rsidR="00FB1AE1" w:rsidRPr="00FB1AE1" w:rsidRDefault="00FB1AE1" w:rsidP="00FB1AE1">
            <w:pPr>
              <w:spacing w:line="240" w:lineRule="auto"/>
              <w:rPr>
                <w:rFonts w:ascii="Times New Roman" w:eastAsia="Times New Roman" w:hAnsi="Times New Roman" w:cs="Times New Roman"/>
              </w:rPr>
            </w:pPr>
            <w:r w:rsidRPr="00FB1AE1">
              <w:t>Нарушения на мускулноскелетната система и съединителната тъкан</w:t>
            </w:r>
          </w:p>
        </w:tc>
        <w:tc>
          <w:tcPr>
            <w:tcW w:w="3192" w:type="dxa"/>
          </w:tcPr>
          <w:p w14:paraId="7F8347C8" w14:textId="58AB559F" w:rsidR="00FB1AE1" w:rsidRPr="00FB1AE1" w:rsidRDefault="00FB1AE1" w:rsidP="00FB1AE1">
            <w:pPr>
              <w:spacing w:line="240" w:lineRule="auto"/>
              <w:rPr>
                <w:rFonts w:ascii="Times New Roman" w:eastAsia="Times New Roman" w:hAnsi="Times New Roman" w:cs="Times New Roman"/>
              </w:rPr>
            </w:pPr>
            <w:r w:rsidRPr="00FB1AE1">
              <w:t>Много редки</w:t>
            </w:r>
          </w:p>
        </w:tc>
        <w:tc>
          <w:tcPr>
            <w:tcW w:w="3192" w:type="dxa"/>
          </w:tcPr>
          <w:p w14:paraId="6A65CAE6" w14:textId="40009917" w:rsidR="00FB1AE1" w:rsidRPr="00FB1AE1" w:rsidRDefault="00FB1AE1" w:rsidP="00FB1AE1">
            <w:pPr>
              <w:spacing w:line="240" w:lineRule="auto"/>
              <w:rPr>
                <w:rFonts w:ascii="Times New Roman" w:eastAsia="Times New Roman" w:hAnsi="Times New Roman" w:cs="Times New Roman"/>
              </w:rPr>
            </w:pPr>
            <w:r w:rsidRPr="00FB1AE1">
              <w:t>Болки в гърба, артралгия, миалгия</w:t>
            </w:r>
          </w:p>
        </w:tc>
      </w:tr>
      <w:tr w:rsidR="00FB1AE1" w14:paraId="3120201F" w14:textId="77777777" w:rsidTr="00FB1AE1">
        <w:tc>
          <w:tcPr>
            <w:tcW w:w="3192" w:type="dxa"/>
          </w:tcPr>
          <w:p w14:paraId="6C568233" w14:textId="71FDE982" w:rsidR="00FB1AE1" w:rsidRPr="00FB1AE1" w:rsidRDefault="00FB1AE1" w:rsidP="00FB1AE1">
            <w:pPr>
              <w:spacing w:line="240" w:lineRule="auto"/>
              <w:rPr>
                <w:rFonts w:ascii="Times New Roman" w:eastAsia="Times New Roman" w:hAnsi="Times New Roman" w:cs="Times New Roman"/>
              </w:rPr>
            </w:pPr>
            <w:r w:rsidRPr="00FB1AE1">
              <w:t>Нарушения на бъбреците и пикочните пътища</w:t>
            </w:r>
          </w:p>
        </w:tc>
        <w:tc>
          <w:tcPr>
            <w:tcW w:w="3192" w:type="dxa"/>
          </w:tcPr>
          <w:p w14:paraId="4DCDCBD9" w14:textId="34F41E7B" w:rsidR="00FB1AE1" w:rsidRPr="00FB1AE1" w:rsidRDefault="00FB1AE1" w:rsidP="00FB1AE1">
            <w:pPr>
              <w:spacing w:line="240" w:lineRule="auto"/>
              <w:rPr>
                <w:rFonts w:ascii="Times New Roman" w:eastAsia="Times New Roman" w:hAnsi="Times New Roman" w:cs="Times New Roman"/>
              </w:rPr>
            </w:pPr>
            <w:r w:rsidRPr="00FB1AE1">
              <w:t>Чести</w:t>
            </w:r>
          </w:p>
        </w:tc>
        <w:tc>
          <w:tcPr>
            <w:tcW w:w="3192" w:type="dxa"/>
          </w:tcPr>
          <w:p w14:paraId="6B121E45" w14:textId="14423113" w:rsidR="00FB1AE1" w:rsidRPr="00FB1AE1" w:rsidRDefault="00FB1AE1" w:rsidP="00FB1AE1">
            <w:pPr>
              <w:spacing w:line="240" w:lineRule="auto"/>
              <w:rPr>
                <w:rFonts w:ascii="Times New Roman" w:eastAsia="Times New Roman" w:hAnsi="Times New Roman" w:cs="Times New Roman"/>
              </w:rPr>
            </w:pPr>
            <w:r w:rsidRPr="00FB1AE1">
              <w:t>Бъбречно нарушение, включително бъбречна недостатъчност при предразположени пациенти (вж. точка 4.4)</w:t>
            </w:r>
          </w:p>
        </w:tc>
      </w:tr>
    </w:tbl>
    <w:p w14:paraId="163C2466" w14:textId="77777777" w:rsidR="00FB1AE1" w:rsidRDefault="00FB1AE1" w:rsidP="00FB1AE1">
      <w:pPr>
        <w:spacing w:line="240" w:lineRule="auto"/>
        <w:rPr>
          <w:rFonts w:eastAsia="Times New Roman" w:cs="Arial"/>
          <w:i/>
          <w:iCs/>
          <w:color w:val="000000"/>
          <w:lang w:eastAsia="bg-BG"/>
        </w:rPr>
      </w:pPr>
    </w:p>
    <w:p w14:paraId="2A25DCD6" w14:textId="3A0CC05B" w:rsidR="00FB1AE1" w:rsidRPr="00FB1AE1" w:rsidRDefault="00FB1AE1" w:rsidP="00FB1AE1">
      <w:pPr>
        <w:spacing w:line="240" w:lineRule="auto"/>
        <w:rPr>
          <w:rFonts w:eastAsia="Times New Roman" w:cs="Arial"/>
        </w:rPr>
      </w:pPr>
      <w:r w:rsidRPr="00FB1AE1">
        <w:rPr>
          <w:rFonts w:eastAsia="Times New Roman" w:cs="Arial"/>
          <w:i/>
          <w:iCs/>
          <w:color w:val="000000"/>
          <w:lang w:eastAsia="bg-BG"/>
        </w:rPr>
        <w:t>Лабораторни данни</w:t>
      </w:r>
    </w:p>
    <w:p w14:paraId="0995C41A"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Хиперкалиемия и бъбречно нарушение са често срещани при пациенти, лекувани с кандесартан за сърдечна недостатъчност. Препоръчва се проследяване на серумния креатинин и калий (вж. точка 4.4).</w:t>
      </w:r>
    </w:p>
    <w:p w14:paraId="372B8668" w14:textId="77777777" w:rsidR="00FB1AE1" w:rsidRPr="00FB1AE1" w:rsidRDefault="00FB1AE1" w:rsidP="00FB1AE1">
      <w:pPr>
        <w:spacing w:line="240" w:lineRule="auto"/>
        <w:rPr>
          <w:rFonts w:eastAsia="Times New Roman" w:cs="Arial"/>
          <w:color w:val="000000"/>
          <w:u w:val="single"/>
          <w:lang w:eastAsia="bg-BG"/>
        </w:rPr>
      </w:pPr>
    </w:p>
    <w:p w14:paraId="5190E26D" w14:textId="68D464CA"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Съобщаване на подозирани нежелани реакции</w:t>
      </w:r>
    </w:p>
    <w:p w14:paraId="3E4B464A"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FB1AE1">
        <w:rPr>
          <w:rFonts w:eastAsia="Times New Roman" w:cs="Arial"/>
        </w:rPr>
        <w:fldChar w:fldCharType="begin"/>
      </w:r>
      <w:r w:rsidRPr="00FB1AE1">
        <w:rPr>
          <w:rFonts w:eastAsia="Times New Roman" w:cs="Arial"/>
        </w:rPr>
        <w:instrText xml:space="preserve"> HYPERLINK "http://www.bda.bg" </w:instrText>
      </w:r>
      <w:r w:rsidRPr="00FB1AE1">
        <w:rPr>
          <w:rFonts w:eastAsia="Times New Roman" w:cs="Arial"/>
        </w:rPr>
      </w:r>
      <w:r w:rsidRPr="00FB1AE1">
        <w:rPr>
          <w:rFonts w:eastAsia="Times New Roman" w:cs="Arial"/>
        </w:rPr>
        <w:fldChar w:fldCharType="separate"/>
      </w:r>
      <w:r w:rsidRPr="00FB1AE1">
        <w:rPr>
          <w:rFonts w:eastAsia="Times New Roman" w:cs="Arial"/>
          <w:color w:val="000000"/>
          <w:u w:val="single"/>
          <w:lang w:val="en-US"/>
        </w:rPr>
        <w:t>www.bda.bg</w:t>
      </w:r>
      <w:r w:rsidRPr="00FB1AE1">
        <w:rPr>
          <w:rFonts w:eastAsia="Times New Roman" w:cs="Arial"/>
        </w:rPr>
        <w:fldChar w:fldCharType="end"/>
      </w:r>
      <w:r w:rsidRPr="00FB1AE1">
        <w:rPr>
          <w:rFonts w:eastAsia="Times New Roman" w:cs="Arial"/>
          <w:color w:val="000000"/>
          <w:lang w:val="en-US"/>
        </w:rPr>
        <w:t>.</w:t>
      </w:r>
    </w:p>
    <w:p w14:paraId="747887E1" w14:textId="77777777" w:rsidR="00FB1AE1" w:rsidRPr="00FB1AE1" w:rsidRDefault="00FB1AE1" w:rsidP="00FB1AE1">
      <w:pPr>
        <w:spacing w:line="240" w:lineRule="auto"/>
        <w:rPr>
          <w:rFonts w:ascii="Times New Roman" w:eastAsia="Times New Roman" w:hAnsi="Times New Roman" w:cs="Times New Roman"/>
        </w:rPr>
      </w:pPr>
    </w:p>
    <w:p w14:paraId="736F316C" w14:textId="77777777" w:rsidR="00FB1AE1" w:rsidRPr="00FB1AE1" w:rsidRDefault="00FB1AE1" w:rsidP="00FB1AE1">
      <w:pPr>
        <w:spacing w:line="240" w:lineRule="auto"/>
        <w:rPr>
          <w:rFonts w:eastAsia="Times New Roman" w:cs="Arial"/>
          <w:color w:val="000000"/>
          <w:lang w:eastAsia="bg-BG"/>
        </w:rPr>
      </w:pPr>
    </w:p>
    <w:p w14:paraId="0A023CE0" w14:textId="1C4D1F85" w:rsidR="00CF77F7" w:rsidRDefault="002C50EE" w:rsidP="004A448E">
      <w:pPr>
        <w:pStyle w:val="Heading2"/>
      </w:pPr>
      <w:r>
        <w:t>4.9. Предозиране</w:t>
      </w:r>
    </w:p>
    <w:p w14:paraId="55BEE936" w14:textId="1805A9CA" w:rsidR="00FB1AE1" w:rsidRDefault="00FB1AE1" w:rsidP="00FB1AE1"/>
    <w:p w14:paraId="155DB3C9" w14:textId="77777777" w:rsidR="00FB1AE1" w:rsidRPr="00FB1AE1" w:rsidRDefault="00FB1AE1" w:rsidP="00FB1AE1">
      <w:pPr>
        <w:pStyle w:val="Heading3"/>
        <w:rPr>
          <w:rFonts w:eastAsia="Times New Roman"/>
          <w:u w:val="single"/>
        </w:rPr>
      </w:pPr>
      <w:r w:rsidRPr="00FB1AE1">
        <w:rPr>
          <w:rFonts w:eastAsia="Times New Roman"/>
          <w:u w:val="single"/>
          <w:lang w:eastAsia="bg-BG"/>
        </w:rPr>
        <w:t>Симптоми</w:t>
      </w:r>
    </w:p>
    <w:p w14:paraId="46C6D167"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Като се имат предвид фармакологичните характеристики се счита, че най-вероятната основна проява на предозиране ще бъде симптоматична хипотония и замайване. В отделни случаи на предозиране (с до 672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кандесартан цилексетил) пациентите са се възстановили безпроблемно.</w:t>
      </w:r>
    </w:p>
    <w:p w14:paraId="61369695" w14:textId="77777777" w:rsidR="00FB1AE1" w:rsidRDefault="00FB1AE1" w:rsidP="00FB1AE1">
      <w:pPr>
        <w:spacing w:line="240" w:lineRule="auto"/>
        <w:rPr>
          <w:rFonts w:eastAsia="Times New Roman" w:cs="Arial"/>
          <w:color w:val="000000"/>
          <w:u w:val="single"/>
          <w:lang w:eastAsia="bg-BG"/>
        </w:rPr>
      </w:pPr>
    </w:p>
    <w:p w14:paraId="545C3CC6" w14:textId="4C2276DB" w:rsidR="00FB1AE1" w:rsidRPr="00FB1AE1" w:rsidRDefault="00FB1AE1" w:rsidP="00FB1AE1">
      <w:pPr>
        <w:pStyle w:val="Heading3"/>
        <w:rPr>
          <w:rFonts w:eastAsia="Times New Roman"/>
          <w:u w:val="single"/>
        </w:rPr>
      </w:pPr>
      <w:r w:rsidRPr="00FB1AE1">
        <w:rPr>
          <w:rFonts w:eastAsia="Times New Roman"/>
          <w:u w:val="single"/>
          <w:lang w:eastAsia="bg-BG"/>
        </w:rPr>
        <w:t>Лечение</w:t>
      </w:r>
    </w:p>
    <w:p w14:paraId="71946865"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Ако се появи симптоматична хипотензия, трябва да се започне симптоматично лечение и да се проследяват жизнените показатели. Пациентът трябва да се сложи в легнало положение с повдигнати крака. Ако това не е достатъчно, трябва да се увеличи плазмения обем чрез инфузия, например на изотоничен физиологичен разтвор. Ако гореспоменатите мерки не са достатъчни, може да се приложат симпатомиметрични лекарствени продукти.</w:t>
      </w:r>
    </w:p>
    <w:p w14:paraId="6575DD2E"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Кандесартан не се отстранява чрез хемодиализа.</w:t>
      </w:r>
    </w:p>
    <w:p w14:paraId="2C4F76D0" w14:textId="77777777" w:rsidR="00FB1AE1" w:rsidRPr="00FB1AE1" w:rsidRDefault="00FB1AE1" w:rsidP="00FB1AE1"/>
    <w:p w14:paraId="02081B24" w14:textId="1F46E296" w:rsidR="00395555" w:rsidRPr="00395555" w:rsidRDefault="002C50EE" w:rsidP="008A6AF2">
      <w:pPr>
        <w:pStyle w:val="Heading1"/>
      </w:pPr>
      <w:r>
        <w:t>5. ФАРМАКОЛОГИЧНИ СВОЙСТВА</w:t>
      </w:r>
    </w:p>
    <w:p w14:paraId="32B6DE66" w14:textId="063BC8F8" w:rsidR="00CF77F7" w:rsidRDefault="002C50EE" w:rsidP="004A448E">
      <w:pPr>
        <w:pStyle w:val="Heading2"/>
      </w:pPr>
      <w:r>
        <w:t>5.1. Фармакодинамични свойства</w:t>
      </w:r>
    </w:p>
    <w:p w14:paraId="3E9988B8" w14:textId="231EBE48" w:rsidR="00FB1AE1" w:rsidRDefault="00FB1AE1" w:rsidP="00FB1AE1"/>
    <w:p w14:paraId="4DBFDB7B"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lastRenderedPageBreak/>
        <w:t>Фармакотерапевтична група: Антагонисти на ангиотензин II, самостоятелно, АТС код: С09СА06</w:t>
      </w:r>
    </w:p>
    <w:p w14:paraId="743DC3CB" w14:textId="77777777" w:rsidR="00FB1AE1" w:rsidRPr="00FB1AE1" w:rsidRDefault="00FB1AE1" w:rsidP="00FB1AE1">
      <w:pPr>
        <w:spacing w:line="240" w:lineRule="auto"/>
        <w:rPr>
          <w:rFonts w:eastAsia="Times New Roman" w:cs="Arial"/>
          <w:color w:val="000000"/>
          <w:u w:val="single"/>
          <w:lang w:eastAsia="bg-BG"/>
        </w:rPr>
      </w:pPr>
    </w:p>
    <w:p w14:paraId="5453D56C" w14:textId="320B3D5C"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Механизъм на действие</w:t>
      </w:r>
    </w:p>
    <w:p w14:paraId="2F2F84F9"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Ангиотензин II е главният вазоактивен хормон от ренин-ангиотензин-алдостероновата система и играе важна роля в патофизиологията на хипертонията, сърдечната недостатъчност и други сърдечно-съдови нарушения. Той играе важна роля и в патогенезата на органната хипертрофия и увреждане. Основните физиологични ефекти на ангиотензин II като вазоконстрикция, стимулиране на алдостерона, регулиране на солевата и водната хомеостаза и стимулиране на клетъчния растеж се медиират чрез рецептор от типа </w:t>
      </w:r>
      <w:r w:rsidRPr="00FB1AE1">
        <w:rPr>
          <w:rFonts w:eastAsia="Times New Roman" w:cs="Arial"/>
          <w:color w:val="000000"/>
          <w:lang w:val="en-US"/>
        </w:rPr>
        <w:t>l</w:t>
      </w:r>
      <w:r w:rsidRPr="00FB1AE1">
        <w:rPr>
          <w:rFonts w:eastAsia="Times New Roman" w:cs="Arial"/>
          <w:color w:val="000000"/>
          <w:lang w:val="ru-RU"/>
        </w:rPr>
        <w:t>(</w:t>
      </w:r>
      <w:r w:rsidRPr="00FB1AE1">
        <w:rPr>
          <w:rFonts w:eastAsia="Times New Roman" w:cs="Arial"/>
          <w:color w:val="000000"/>
          <w:lang w:val="en-US"/>
        </w:rPr>
        <w:t>AT</w:t>
      </w:r>
      <w:r w:rsidRPr="00FB1AE1">
        <w:rPr>
          <w:rFonts w:eastAsia="Times New Roman" w:cs="Arial"/>
          <w:color w:val="000000"/>
          <w:vertAlign w:val="subscript"/>
          <w:lang w:val="ru-RU"/>
        </w:rPr>
        <w:t>1</w:t>
      </w:r>
      <w:r w:rsidRPr="00FB1AE1">
        <w:rPr>
          <w:rFonts w:eastAsia="Times New Roman" w:cs="Arial"/>
          <w:color w:val="000000"/>
          <w:lang w:val="ru-RU"/>
        </w:rPr>
        <w:t>).</w:t>
      </w:r>
    </w:p>
    <w:p w14:paraId="420FA6E9" w14:textId="77777777" w:rsidR="00FB1AE1" w:rsidRPr="00FB1AE1" w:rsidRDefault="00FB1AE1" w:rsidP="00FB1AE1">
      <w:pPr>
        <w:spacing w:line="240" w:lineRule="auto"/>
        <w:rPr>
          <w:rFonts w:eastAsia="Times New Roman" w:cs="Arial"/>
          <w:color w:val="000000"/>
          <w:u w:val="single"/>
          <w:lang w:eastAsia="bg-BG"/>
        </w:rPr>
      </w:pPr>
    </w:p>
    <w:p w14:paraId="4D0D1E25" w14:textId="008D26A1"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Фармакодинамични ефекти</w:t>
      </w:r>
    </w:p>
    <w:p w14:paraId="0B4A5B8B"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Кандесартан цилексетил е прекурсор, подходящ за перорално приложение. Чрез естерна хидролиза по време на резорбцията в стомашно-чревния тракт, той бързо се превръща в активното вещество кандесартан. Кандесартан е </w:t>
      </w:r>
      <w:r w:rsidRPr="00FB1AE1">
        <w:rPr>
          <w:rFonts w:eastAsia="Times New Roman" w:cs="Arial"/>
          <w:color w:val="000000"/>
          <w:lang w:val="en-US"/>
        </w:rPr>
        <w:t>AIIRA</w:t>
      </w:r>
      <w:r w:rsidRPr="00FB1AE1">
        <w:rPr>
          <w:rFonts w:eastAsia="Times New Roman" w:cs="Arial"/>
          <w:color w:val="000000"/>
          <w:lang w:val="ru-RU"/>
        </w:rPr>
        <w:t xml:space="preserve">, </w:t>
      </w:r>
      <w:r w:rsidRPr="00FB1AE1">
        <w:rPr>
          <w:rFonts w:eastAsia="Times New Roman" w:cs="Arial"/>
          <w:color w:val="000000"/>
          <w:lang w:eastAsia="bg-BG"/>
        </w:rPr>
        <w:t xml:space="preserve">селективен за </w:t>
      </w:r>
      <w:r w:rsidRPr="00FB1AE1">
        <w:rPr>
          <w:rFonts w:eastAsia="Times New Roman" w:cs="Arial"/>
          <w:color w:val="000000"/>
          <w:lang w:val="en-US"/>
        </w:rPr>
        <w:t>AT</w:t>
      </w:r>
      <w:r w:rsidRPr="00FB1AE1">
        <w:rPr>
          <w:rFonts w:eastAsia="Times New Roman" w:cs="Arial"/>
          <w:color w:val="000000"/>
          <w:vertAlign w:val="subscript"/>
          <w:lang w:val="ru-RU"/>
        </w:rPr>
        <w:t>1</w:t>
      </w:r>
      <w:r w:rsidRPr="00FB1AE1">
        <w:rPr>
          <w:rFonts w:eastAsia="Times New Roman" w:cs="Arial"/>
          <w:color w:val="000000"/>
          <w:lang w:val="ru-RU"/>
        </w:rPr>
        <w:t xml:space="preserve"> </w:t>
      </w:r>
      <w:r w:rsidRPr="00FB1AE1">
        <w:rPr>
          <w:rFonts w:eastAsia="Times New Roman" w:cs="Arial"/>
          <w:color w:val="000000"/>
          <w:lang w:eastAsia="bg-BG"/>
        </w:rPr>
        <w:t>рецепторите, със здрава връзка с рецептора и бавна дисоциация. Той няма агонистично действие.</w:t>
      </w:r>
    </w:p>
    <w:p w14:paraId="571E6B0E" w14:textId="77777777" w:rsidR="00FB1AE1" w:rsidRPr="00FB1AE1" w:rsidRDefault="00FB1AE1" w:rsidP="00FB1AE1">
      <w:pPr>
        <w:spacing w:line="240" w:lineRule="auto"/>
        <w:rPr>
          <w:rFonts w:eastAsia="Times New Roman" w:cs="Arial"/>
          <w:color w:val="000000"/>
          <w:lang w:eastAsia="bg-BG"/>
        </w:rPr>
      </w:pPr>
    </w:p>
    <w:p w14:paraId="3EA69EC4" w14:textId="6D8309DE"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Кандесартан не инхибира АСЕ, който превръща ангиотензин I в ангиотензин II и разгражда брадикинина. Няма ефект върху АСЕ и не потенцира брадикинина или субстанция Р. При контролирани клинични изпитвания, сравняващи кандесартан с АСЕ инхибитори, честотата на кашлицата е била по-ниска при пациентите, получавали кандесартан цилексетил. Кандесартан не се свързва и не блокира други хормонални рецептори или йонни канали, за които се знае, че имат значение за регулирането на сърдечно-съдовата дейност. Антагонизмът на ангиотензин II </w:t>
      </w:r>
      <w:r w:rsidRPr="00FB1AE1">
        <w:rPr>
          <w:rFonts w:eastAsia="Times New Roman" w:cs="Arial"/>
          <w:color w:val="000000"/>
          <w:lang w:val="ru-RU"/>
        </w:rPr>
        <w:t>(</w:t>
      </w:r>
      <w:r w:rsidRPr="00FB1AE1">
        <w:rPr>
          <w:rFonts w:eastAsia="Times New Roman" w:cs="Arial"/>
          <w:color w:val="000000"/>
          <w:lang w:val="en-US"/>
        </w:rPr>
        <w:t>AT</w:t>
      </w:r>
      <w:r w:rsidRPr="00FB1AE1">
        <w:rPr>
          <w:rFonts w:eastAsia="Times New Roman" w:cs="Arial"/>
          <w:color w:val="000000"/>
          <w:vertAlign w:val="subscript"/>
          <w:lang w:val="ru-RU"/>
        </w:rPr>
        <w:t>1</w:t>
      </w:r>
      <w:r w:rsidRPr="00FB1AE1">
        <w:rPr>
          <w:rFonts w:eastAsia="Times New Roman" w:cs="Arial"/>
          <w:color w:val="000000"/>
          <w:lang w:val="ru-RU"/>
        </w:rPr>
        <w:t xml:space="preserve">) </w:t>
      </w:r>
      <w:r w:rsidRPr="00FB1AE1">
        <w:rPr>
          <w:rFonts w:eastAsia="Times New Roman" w:cs="Arial"/>
          <w:color w:val="000000"/>
          <w:lang w:eastAsia="bg-BG"/>
        </w:rPr>
        <w:t>рецепторите води до свързано с дозата повишение на нивата на плазмения ренин, нивата на ангиотензин I и ангиотензин II и до понижение на плазмените концентрации на алдостерона.</w:t>
      </w:r>
    </w:p>
    <w:p w14:paraId="592EB9F9" w14:textId="77777777" w:rsidR="00FB1AE1" w:rsidRPr="00FB1AE1" w:rsidRDefault="00FB1AE1" w:rsidP="00FB1AE1">
      <w:pPr>
        <w:spacing w:line="240" w:lineRule="auto"/>
        <w:rPr>
          <w:rFonts w:eastAsia="Times New Roman" w:cs="Arial"/>
          <w:color w:val="000000"/>
          <w:u w:val="single"/>
          <w:lang w:eastAsia="bg-BG"/>
        </w:rPr>
      </w:pPr>
    </w:p>
    <w:p w14:paraId="192592AF" w14:textId="44FDD705" w:rsidR="00FB1AE1" w:rsidRPr="00FB1AE1" w:rsidRDefault="00FB1AE1" w:rsidP="00FB1AE1">
      <w:pPr>
        <w:spacing w:line="240" w:lineRule="auto"/>
        <w:rPr>
          <w:rFonts w:eastAsia="Times New Roman" w:cs="Arial"/>
        </w:rPr>
      </w:pPr>
      <w:r w:rsidRPr="00FB1AE1">
        <w:rPr>
          <w:rFonts w:eastAsia="Times New Roman" w:cs="Arial"/>
          <w:color w:val="000000"/>
          <w:u w:val="single"/>
          <w:lang w:eastAsia="bg-BG"/>
        </w:rPr>
        <w:t>Клинична ефективност и безопасност</w:t>
      </w:r>
    </w:p>
    <w:p w14:paraId="5178F002" w14:textId="77777777" w:rsidR="00FB1AE1" w:rsidRPr="00FB1AE1" w:rsidRDefault="00FB1AE1" w:rsidP="00FB1AE1">
      <w:pPr>
        <w:spacing w:line="240" w:lineRule="auto"/>
        <w:rPr>
          <w:rFonts w:eastAsia="Times New Roman" w:cs="Arial"/>
        </w:rPr>
      </w:pPr>
      <w:r w:rsidRPr="00FB1AE1">
        <w:rPr>
          <w:rFonts w:eastAsia="Times New Roman" w:cs="Arial"/>
          <w:i/>
          <w:iCs/>
          <w:color w:val="000000"/>
          <w:u w:val="single"/>
          <w:lang w:eastAsia="bg-BG"/>
        </w:rPr>
        <w:t>Хипертония</w:t>
      </w:r>
    </w:p>
    <w:p w14:paraId="6D7695E9" w14:textId="70A17985" w:rsidR="00FB1AE1" w:rsidRPr="00FB1AE1" w:rsidRDefault="00FB1AE1" w:rsidP="00FB1AE1">
      <w:pPr>
        <w:rPr>
          <w:rFonts w:eastAsia="Times New Roman" w:cs="Arial"/>
          <w:color w:val="000000"/>
          <w:lang w:eastAsia="bg-BG"/>
        </w:rPr>
      </w:pPr>
      <w:r w:rsidRPr="00FB1AE1">
        <w:rPr>
          <w:rFonts w:eastAsia="Times New Roman" w:cs="Arial"/>
          <w:color w:val="000000"/>
          <w:lang w:eastAsia="bg-BG"/>
        </w:rPr>
        <w:t>При хипертония кандесартан причинява дозо-зависимо, продължително понижение на артериалното налягане. Антихипертензивното действие се дължи на намаленото системно периферно съпротивление, без рефлекторно учестяване на сърдечната дейност. Няма данни за сериозен или прекомерен хипотензивен ефект след първата доза или "</w:t>
      </w:r>
      <w:r w:rsidRPr="00FB1AE1">
        <w:rPr>
          <w:rFonts w:eastAsia="Times New Roman" w:cs="Arial"/>
          <w:color w:val="000000"/>
          <w:lang w:val="en-US"/>
        </w:rPr>
        <w:t>rebound</w:t>
      </w:r>
      <w:r w:rsidRPr="00FB1AE1">
        <w:rPr>
          <w:rFonts w:eastAsia="Times New Roman" w:cs="Arial"/>
          <w:color w:val="000000"/>
          <w:lang w:val="ru-RU"/>
        </w:rPr>
        <w:t xml:space="preserve">" </w:t>
      </w:r>
      <w:r w:rsidRPr="00FB1AE1">
        <w:rPr>
          <w:rFonts w:eastAsia="Times New Roman" w:cs="Arial"/>
          <w:color w:val="000000"/>
          <w:lang w:eastAsia="bg-BG"/>
        </w:rPr>
        <w:t>ефект след преустановяване на лечението.</w:t>
      </w:r>
    </w:p>
    <w:p w14:paraId="7DBFCB04" w14:textId="41DC4147" w:rsidR="00FB1AE1" w:rsidRPr="00FB1AE1" w:rsidRDefault="00FB1AE1" w:rsidP="00FB1AE1">
      <w:pPr>
        <w:rPr>
          <w:rFonts w:eastAsia="Times New Roman" w:cs="Arial"/>
          <w:color w:val="000000"/>
          <w:lang w:eastAsia="bg-BG"/>
        </w:rPr>
      </w:pPr>
    </w:p>
    <w:p w14:paraId="39B531CB"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След прилагане на еднократна доза на кандесартан цилексетил, началото на антихипертензивния ефект обикновено настъпва до 2 часа. При продължително лечение максимално понижение на артериалното налягане с всяка една доза обикновено се постига за 4 седмици и се поддържа по време на продължително лечение. Според един мета-анализ, средният допълнителен ефект на увеличаване на дозата от 16 до 32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веднъж дневно е малък. Като се има предвид индивидуалната променливост, при някои пациенти може да се очаква ефект над средния.</w:t>
      </w:r>
    </w:p>
    <w:p w14:paraId="774410C9"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Приложението на кандесартан цилексетил веднъж дневно осигурява ефективно и плавно понижение на артериалното налягане по време на 24-часовия интервал на дозиране, с малка разлика между максималния и минималния ефект. Антихипертензивния ефект и поносимостта на кандесартан и лосартан </w:t>
      </w:r>
      <w:r w:rsidRPr="00FB1AE1">
        <w:rPr>
          <w:rFonts w:eastAsia="Times New Roman" w:cs="Arial"/>
          <w:i/>
          <w:iCs/>
          <w:color w:val="000000"/>
          <w:lang w:val="ru-RU"/>
        </w:rPr>
        <w:t>(</w:t>
      </w:r>
      <w:r w:rsidRPr="00FB1AE1">
        <w:rPr>
          <w:rFonts w:eastAsia="Times New Roman" w:cs="Arial"/>
          <w:i/>
          <w:iCs/>
          <w:color w:val="000000"/>
          <w:lang w:val="en-US"/>
        </w:rPr>
        <w:t>losartan</w:t>
      </w:r>
      <w:r w:rsidRPr="00FB1AE1">
        <w:rPr>
          <w:rFonts w:eastAsia="Times New Roman" w:cs="Arial"/>
          <w:i/>
          <w:iCs/>
          <w:color w:val="000000"/>
          <w:lang w:val="ru-RU"/>
        </w:rPr>
        <w:t>)</w:t>
      </w:r>
      <w:r w:rsidRPr="00FB1AE1">
        <w:rPr>
          <w:rFonts w:eastAsia="Times New Roman" w:cs="Arial"/>
          <w:color w:val="000000"/>
          <w:lang w:val="ru-RU"/>
        </w:rPr>
        <w:t xml:space="preserve"> </w:t>
      </w:r>
      <w:r w:rsidRPr="00FB1AE1">
        <w:rPr>
          <w:rFonts w:eastAsia="Times New Roman" w:cs="Arial"/>
          <w:color w:val="000000"/>
          <w:lang w:eastAsia="bg-BG"/>
        </w:rPr>
        <w:t xml:space="preserve">са сравнявани при 2 рандомизирани, двойно-слепи проучвания върху общо 1268 пациенти с лека до умерена хипертония. Минималното понижение на артериалното налягане в края на дозовия интервал (систолично/диастолично) е било 13,1/10,5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 xml:space="preserve">с кандесартан цилексетил 32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lastRenderedPageBreak/>
        <w:t xml:space="preserve">веднъж дневно и 10,0/8,7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 xml:space="preserve">с лосартан калий 100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веднъж дневно (разлика в понижението на артериалното налягане 3,1/1,8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р&lt;0,0001/р&lt;0,0001).</w:t>
      </w:r>
    </w:p>
    <w:p w14:paraId="31DAA66E" w14:textId="77777777" w:rsidR="00FB1AE1" w:rsidRPr="00FB1AE1" w:rsidRDefault="00FB1AE1" w:rsidP="00FB1AE1">
      <w:pPr>
        <w:spacing w:line="240" w:lineRule="auto"/>
        <w:rPr>
          <w:rFonts w:eastAsia="Times New Roman" w:cs="Arial"/>
          <w:color w:val="000000"/>
          <w:lang w:eastAsia="bg-BG"/>
        </w:rPr>
      </w:pPr>
    </w:p>
    <w:p w14:paraId="0944D946" w14:textId="2D22F9EC" w:rsidR="00FB1AE1" w:rsidRPr="00FB1AE1" w:rsidRDefault="00FB1AE1" w:rsidP="00FB1AE1">
      <w:pPr>
        <w:spacing w:line="240" w:lineRule="auto"/>
        <w:rPr>
          <w:rFonts w:eastAsia="Times New Roman" w:cs="Arial"/>
        </w:rPr>
      </w:pPr>
      <w:r w:rsidRPr="00FB1AE1">
        <w:rPr>
          <w:rFonts w:eastAsia="Times New Roman" w:cs="Arial"/>
          <w:color w:val="000000"/>
          <w:lang w:eastAsia="bg-BG"/>
        </w:rPr>
        <w:t>Когато кандесартан цилексетил се прилага заедно с хидрохлоротиазид, понижението на артериалното налягане е адитивно. Повишен антихипертензивен ефект се наблюдава и при едновременното приложение на кандесартан цилексетил с амлодипин и фелодипин.</w:t>
      </w:r>
    </w:p>
    <w:p w14:paraId="3A0DA842" w14:textId="77777777" w:rsidR="00FB1AE1" w:rsidRPr="00FB1AE1" w:rsidRDefault="00FB1AE1" w:rsidP="00FB1AE1">
      <w:pPr>
        <w:spacing w:line="240" w:lineRule="auto"/>
        <w:rPr>
          <w:rFonts w:eastAsia="Times New Roman" w:cs="Arial"/>
          <w:color w:val="000000"/>
          <w:lang w:eastAsia="bg-BG"/>
        </w:rPr>
      </w:pPr>
    </w:p>
    <w:p w14:paraId="314FF56C" w14:textId="2C2F9FAE"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Лекарствени продукти, които блокират ренин-ангиотензин-алдостероновата система, имат по- слабо изразен антихипертензивен ефект при чернокожи пациенти (тази популация обикновено е с ниско ниво на ренин) в сравнение с пациенти от други раси. Това се отнася също и за кандесартан. В отворено клинично изпитване при 5156 пациенти с диастолична хипертония, понижението на артериалното налягане по време на лечение с кандесартан е било значително по-малко при чернокожи в сравнение с пациенти от други раси (14,4/10,3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 xml:space="preserve">срещу 19,0/12,7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р&lt;0,0001/р&lt;0,0001).</w:t>
      </w:r>
    </w:p>
    <w:p w14:paraId="53A55B73" w14:textId="77777777" w:rsidR="00FB1AE1" w:rsidRPr="00FB1AE1" w:rsidRDefault="00FB1AE1" w:rsidP="00FB1AE1">
      <w:pPr>
        <w:spacing w:line="240" w:lineRule="auto"/>
        <w:rPr>
          <w:rFonts w:eastAsia="Times New Roman" w:cs="Arial"/>
          <w:color w:val="000000"/>
          <w:lang w:eastAsia="bg-BG"/>
        </w:rPr>
      </w:pPr>
    </w:p>
    <w:p w14:paraId="63870367" w14:textId="38FCC1D8" w:rsidR="00FB1AE1" w:rsidRPr="00FB1AE1" w:rsidRDefault="00FB1AE1" w:rsidP="00FB1AE1">
      <w:pPr>
        <w:spacing w:line="240" w:lineRule="auto"/>
        <w:rPr>
          <w:rFonts w:eastAsia="Times New Roman" w:cs="Arial"/>
        </w:rPr>
      </w:pPr>
      <w:r w:rsidRPr="00FB1AE1">
        <w:rPr>
          <w:rFonts w:eastAsia="Times New Roman" w:cs="Arial"/>
          <w:color w:val="000000"/>
          <w:lang w:eastAsia="bg-BG"/>
        </w:rPr>
        <w:t>Кандесартан засилва бъбречния кръвоток и или няма ефект, или увеличава степента на гломерулна филтрация, докато бъбречната съдова резистентност и филтрационната фракция се понижават. В 3-месечно клинично изпитване при хипертензивни пациенти със захарен диабет тип 2 и микроалбуминурия, антихипертензивното лечение с кандесартан цилексетил е намалило екскрецията на албумин с урината (съотношение албумин/креатинин средно 30%/95%С</w:t>
      </w:r>
      <w:r w:rsidRPr="00FB1AE1">
        <w:rPr>
          <w:rFonts w:eastAsia="Times New Roman" w:cs="Arial"/>
          <w:color w:val="000000"/>
          <w:lang w:val="en-US"/>
        </w:rPr>
        <w:t>I</w:t>
      </w:r>
      <w:r w:rsidRPr="00FB1AE1">
        <w:rPr>
          <w:rFonts w:eastAsia="Times New Roman" w:cs="Arial"/>
          <w:color w:val="000000"/>
          <w:lang w:val="ru-RU"/>
        </w:rPr>
        <w:t xml:space="preserve"> 15</w:t>
      </w:r>
      <w:r w:rsidRPr="00FB1AE1">
        <w:rPr>
          <w:rFonts w:eastAsia="Times New Roman" w:cs="Arial"/>
          <w:color w:val="000000"/>
          <w:lang w:eastAsia="bg-BG"/>
        </w:rPr>
        <w:t>-42%. Понастоящем няма данни за ефекта на кандесартан върху прогресирането на диабетната нефропатия.</w:t>
      </w:r>
    </w:p>
    <w:p w14:paraId="161EC5F0" w14:textId="77777777" w:rsidR="00FB1AE1" w:rsidRPr="00FB1AE1" w:rsidRDefault="00FB1AE1" w:rsidP="00FB1AE1">
      <w:pPr>
        <w:spacing w:line="240" w:lineRule="auto"/>
        <w:rPr>
          <w:rFonts w:eastAsia="Times New Roman" w:cs="Arial"/>
          <w:color w:val="000000"/>
          <w:lang w:eastAsia="bg-BG"/>
        </w:rPr>
      </w:pPr>
    </w:p>
    <w:p w14:paraId="4D9A7815" w14:textId="09B23EC5"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Ефектът на кандесартан цилексетил 8-16 </w:t>
      </w:r>
      <w:r w:rsidRPr="00FB1AE1">
        <w:rPr>
          <w:rFonts w:eastAsia="Times New Roman" w:cs="Arial"/>
          <w:color w:val="000000"/>
          <w:lang w:val="en-US"/>
        </w:rPr>
        <w:t>mg</w:t>
      </w:r>
      <w:r w:rsidRPr="00FB1AE1">
        <w:rPr>
          <w:rFonts w:eastAsia="Times New Roman" w:cs="Arial"/>
          <w:color w:val="000000"/>
        </w:rPr>
        <w:t xml:space="preserve"> </w:t>
      </w:r>
      <w:r w:rsidRPr="00FB1AE1">
        <w:rPr>
          <w:rFonts w:eastAsia="Times New Roman" w:cs="Arial"/>
          <w:color w:val="000000"/>
          <w:lang w:eastAsia="bg-BG"/>
        </w:rPr>
        <w:t xml:space="preserve">(средна доза 12 </w:t>
      </w:r>
      <w:r w:rsidRPr="00FB1AE1">
        <w:rPr>
          <w:rFonts w:eastAsia="Times New Roman" w:cs="Arial"/>
          <w:color w:val="000000"/>
          <w:lang w:val="en-US"/>
        </w:rPr>
        <w:t>mg</w:t>
      </w:r>
      <w:r w:rsidRPr="00FB1AE1">
        <w:rPr>
          <w:rFonts w:eastAsia="Times New Roman" w:cs="Arial"/>
          <w:color w:val="000000"/>
        </w:rPr>
        <w:t xml:space="preserve">), </w:t>
      </w:r>
      <w:r w:rsidRPr="00FB1AE1">
        <w:rPr>
          <w:rFonts w:eastAsia="Times New Roman" w:cs="Arial"/>
          <w:color w:val="000000"/>
          <w:lang w:eastAsia="bg-BG"/>
        </w:rPr>
        <w:t xml:space="preserve">веднъж дневно, върху сърдечно-съдовата заболеваемост и смъртност са оценявани при рандомизирано клинично изпитване върху 4937 пациенти в старческа възраст (на възраст 70-89 години; 21% на възраст 80 или по-възрастни) с лека до умерена хипертония, проследявани средно 3,7 години </w:t>
      </w:r>
      <w:r w:rsidRPr="00FB1AE1">
        <w:rPr>
          <w:rFonts w:eastAsia="Times New Roman" w:cs="Arial"/>
          <w:i/>
          <w:iCs/>
          <w:color w:val="000000"/>
        </w:rPr>
        <w:t>(</w:t>
      </w:r>
      <w:r w:rsidRPr="00FB1AE1">
        <w:rPr>
          <w:rFonts w:eastAsia="Times New Roman" w:cs="Arial"/>
          <w:i/>
          <w:iCs/>
          <w:color w:val="000000"/>
          <w:lang w:val="en-US"/>
        </w:rPr>
        <w:t>Study</w:t>
      </w:r>
      <w:r w:rsidRPr="00FB1AE1">
        <w:rPr>
          <w:rFonts w:eastAsia="Times New Roman" w:cs="Arial"/>
          <w:i/>
          <w:iCs/>
          <w:color w:val="000000"/>
        </w:rPr>
        <w:t xml:space="preserve"> </w:t>
      </w:r>
      <w:r w:rsidRPr="00FB1AE1">
        <w:rPr>
          <w:rFonts w:eastAsia="Times New Roman" w:cs="Arial"/>
          <w:i/>
          <w:iCs/>
          <w:color w:val="000000"/>
          <w:lang w:val="en-US"/>
        </w:rPr>
        <w:t>on</w:t>
      </w:r>
      <w:r w:rsidRPr="00FB1AE1">
        <w:rPr>
          <w:rFonts w:eastAsia="Times New Roman" w:cs="Arial"/>
          <w:i/>
          <w:iCs/>
          <w:color w:val="000000"/>
        </w:rPr>
        <w:t xml:space="preserve"> </w:t>
      </w:r>
      <w:r w:rsidRPr="00FB1AE1">
        <w:rPr>
          <w:rFonts w:eastAsia="Times New Roman" w:cs="Arial"/>
          <w:i/>
          <w:iCs/>
          <w:color w:val="000000"/>
          <w:lang w:val="en-US"/>
        </w:rPr>
        <w:t>Cognition</w:t>
      </w:r>
      <w:r w:rsidRPr="00FB1AE1">
        <w:rPr>
          <w:rFonts w:eastAsia="Times New Roman" w:cs="Arial"/>
          <w:i/>
          <w:iCs/>
          <w:color w:val="000000"/>
        </w:rPr>
        <w:t xml:space="preserve"> </w:t>
      </w:r>
      <w:r w:rsidRPr="00FB1AE1">
        <w:rPr>
          <w:rFonts w:eastAsia="Times New Roman" w:cs="Arial"/>
          <w:i/>
          <w:iCs/>
          <w:color w:val="000000"/>
          <w:lang w:val="en-US"/>
        </w:rPr>
        <w:t>and</w:t>
      </w:r>
      <w:r w:rsidRPr="00FB1AE1">
        <w:rPr>
          <w:rFonts w:eastAsia="Times New Roman" w:cs="Arial"/>
          <w:i/>
          <w:iCs/>
          <w:color w:val="000000"/>
        </w:rPr>
        <w:t xml:space="preserve"> </w:t>
      </w:r>
      <w:r w:rsidRPr="00FB1AE1">
        <w:rPr>
          <w:rFonts w:eastAsia="Times New Roman" w:cs="Arial"/>
          <w:i/>
          <w:iCs/>
          <w:color w:val="000000"/>
          <w:lang w:val="en-US"/>
        </w:rPr>
        <w:t>Prognosis</w:t>
      </w:r>
      <w:r w:rsidRPr="00FB1AE1">
        <w:rPr>
          <w:rFonts w:eastAsia="Times New Roman" w:cs="Arial"/>
          <w:i/>
          <w:iCs/>
          <w:color w:val="000000"/>
        </w:rPr>
        <w:t xml:space="preserve"> </w:t>
      </w:r>
      <w:r w:rsidRPr="00FB1AE1">
        <w:rPr>
          <w:rFonts w:eastAsia="Times New Roman" w:cs="Arial"/>
          <w:i/>
          <w:iCs/>
          <w:color w:val="000000"/>
          <w:lang w:val="en-US"/>
        </w:rPr>
        <w:t>in</w:t>
      </w:r>
      <w:r w:rsidRPr="00FB1AE1">
        <w:rPr>
          <w:rFonts w:eastAsia="Times New Roman" w:cs="Arial"/>
          <w:i/>
          <w:iCs/>
          <w:color w:val="000000"/>
        </w:rPr>
        <w:t xml:space="preserve"> </w:t>
      </w:r>
      <w:r w:rsidRPr="00FB1AE1">
        <w:rPr>
          <w:rFonts w:eastAsia="Times New Roman" w:cs="Arial"/>
          <w:i/>
          <w:iCs/>
          <w:color w:val="000000"/>
          <w:lang w:val="en-US"/>
        </w:rPr>
        <w:t>the</w:t>
      </w:r>
      <w:r w:rsidRPr="00FB1AE1">
        <w:rPr>
          <w:rFonts w:eastAsia="Times New Roman" w:cs="Arial"/>
          <w:i/>
          <w:iCs/>
          <w:color w:val="000000"/>
        </w:rPr>
        <w:t xml:space="preserve"> </w:t>
      </w:r>
      <w:r w:rsidRPr="00FB1AE1">
        <w:rPr>
          <w:rFonts w:eastAsia="Times New Roman" w:cs="Arial"/>
          <w:i/>
          <w:iCs/>
          <w:color w:val="000000"/>
          <w:lang w:val="en-US"/>
        </w:rPr>
        <w:t>Elderly</w:t>
      </w:r>
      <w:r w:rsidRPr="00FB1AE1">
        <w:rPr>
          <w:rFonts w:eastAsia="Times New Roman" w:cs="Arial"/>
          <w:i/>
          <w:iCs/>
          <w:color w:val="000000"/>
        </w:rPr>
        <w:t>).</w:t>
      </w:r>
      <w:r w:rsidRPr="00FB1AE1">
        <w:rPr>
          <w:rFonts w:eastAsia="Times New Roman" w:cs="Arial"/>
          <w:color w:val="000000"/>
        </w:rPr>
        <w:t xml:space="preserve"> </w:t>
      </w:r>
      <w:r w:rsidRPr="00FB1AE1">
        <w:rPr>
          <w:rFonts w:eastAsia="Times New Roman" w:cs="Arial"/>
          <w:color w:val="000000"/>
          <w:lang w:eastAsia="bg-BG"/>
        </w:rPr>
        <w:t xml:space="preserve">Пациентите са получавали кандесартан цилексетил или плацебо с добавяне на друго антихипертензивно лечение според нуждите. Артериалното налягане е намалено от 166/90 на 145/80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 xml:space="preserve">в групата с кандесартан и от 167/90 на 149/82 </w:t>
      </w:r>
      <w:r w:rsidRPr="00FB1AE1">
        <w:rPr>
          <w:rFonts w:eastAsia="Times New Roman" w:cs="Arial"/>
          <w:color w:val="000000"/>
          <w:lang w:val="en-US"/>
        </w:rPr>
        <w:t>mmHg</w:t>
      </w:r>
      <w:r w:rsidRPr="00FB1AE1">
        <w:rPr>
          <w:rFonts w:eastAsia="Times New Roman" w:cs="Arial"/>
          <w:color w:val="000000"/>
          <w:lang w:val="ru-RU"/>
        </w:rPr>
        <w:t xml:space="preserve"> </w:t>
      </w:r>
      <w:r w:rsidRPr="00FB1AE1">
        <w:rPr>
          <w:rFonts w:eastAsia="Times New Roman" w:cs="Arial"/>
          <w:color w:val="000000"/>
          <w:lang w:eastAsia="bg-BG"/>
        </w:rPr>
        <w:t>в контролната група. Няма статистически значима разлика в първичната крайна точка, значителните сърдечно-съдови събития (сърдечно-съдова смъртност, нелегален инсулт и нелетален миокарден инфаркт). Наблюдавани са 26,7 събития на 1000 пациенто-години в групата с кандесартан срещу 30,0 събития на 1000 пациенто-години в контролната група (относителен риск 0,89,</w:t>
      </w:r>
      <w:r w:rsidRPr="00FB1AE1">
        <w:rPr>
          <w:rFonts w:eastAsia="Times New Roman" w:cs="Arial"/>
          <w:color w:val="000000"/>
          <w:lang w:val="ru-RU"/>
        </w:rPr>
        <w:t xml:space="preserve"> </w:t>
      </w:r>
      <w:r w:rsidRPr="00FB1AE1">
        <w:rPr>
          <w:rFonts w:eastAsia="Times New Roman" w:cs="Arial"/>
          <w:color w:val="000000"/>
          <w:lang w:eastAsia="bg-BG"/>
        </w:rPr>
        <w:t xml:space="preserve">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0,75 до 1,06, р=0,19).</w:t>
      </w:r>
    </w:p>
    <w:p w14:paraId="4886B974" w14:textId="77777777" w:rsidR="00FB1AE1" w:rsidRPr="00FB1AE1" w:rsidRDefault="00FB1AE1" w:rsidP="00FB1AE1">
      <w:pPr>
        <w:spacing w:line="240" w:lineRule="auto"/>
        <w:rPr>
          <w:rFonts w:eastAsia="Times New Roman" w:cs="Arial"/>
          <w:i/>
          <w:iCs/>
          <w:color w:val="000000"/>
          <w:u w:val="single"/>
          <w:lang w:eastAsia="bg-BG"/>
        </w:rPr>
      </w:pPr>
    </w:p>
    <w:p w14:paraId="39FDAC86" w14:textId="359C4EC5" w:rsidR="00FB1AE1" w:rsidRPr="00FB1AE1" w:rsidRDefault="00FB1AE1" w:rsidP="00FB1AE1">
      <w:pPr>
        <w:spacing w:line="240" w:lineRule="auto"/>
        <w:rPr>
          <w:rFonts w:eastAsia="Times New Roman" w:cs="Arial"/>
        </w:rPr>
      </w:pPr>
      <w:r w:rsidRPr="00FB1AE1">
        <w:rPr>
          <w:rFonts w:eastAsia="Times New Roman" w:cs="Arial"/>
          <w:i/>
          <w:iCs/>
          <w:color w:val="000000"/>
          <w:u w:val="single"/>
          <w:lang w:eastAsia="bg-BG"/>
        </w:rPr>
        <w:t>Сърдечна недостатъчност</w:t>
      </w:r>
    </w:p>
    <w:p w14:paraId="53D063ED"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Лечението с кандесартан цилексетил намалява смъртността, намалява случаите на</w:t>
      </w:r>
    </w:p>
    <w:p w14:paraId="39612BCC" w14:textId="77777777" w:rsidR="00FB1AE1" w:rsidRPr="00FB1AE1" w:rsidRDefault="00FB1AE1" w:rsidP="00FB1AE1">
      <w:pPr>
        <w:rPr>
          <w:rFonts w:eastAsia="Times New Roman" w:cs="Arial"/>
        </w:rPr>
      </w:pPr>
      <w:r w:rsidRPr="00FB1AE1">
        <w:rPr>
          <w:rFonts w:eastAsia="Times New Roman" w:cs="Arial"/>
          <w:color w:val="000000"/>
          <w:lang w:eastAsia="bg-BG"/>
        </w:rPr>
        <w:t xml:space="preserve">хоспитализация поради сърдечна недостатъчност и подобрява симптомите при пациенти с левокамерна систолна дисфункция, както показват резултатите на програмата </w:t>
      </w:r>
      <w:r w:rsidRPr="00FB1AE1">
        <w:rPr>
          <w:rFonts w:eastAsia="Times New Roman" w:cs="Arial"/>
          <w:i/>
          <w:iCs/>
          <w:color w:val="000000"/>
          <w:lang w:val="en-US"/>
        </w:rPr>
        <w:t>CHARM</w:t>
      </w:r>
      <w:r w:rsidRPr="00FB1AE1">
        <w:rPr>
          <w:rFonts w:eastAsia="Times New Roman" w:cs="Arial"/>
          <w:i/>
          <w:iCs/>
          <w:color w:val="000000"/>
        </w:rPr>
        <w:t xml:space="preserve"> (</w:t>
      </w:r>
      <w:r w:rsidRPr="00FB1AE1">
        <w:rPr>
          <w:rFonts w:eastAsia="Times New Roman" w:cs="Arial"/>
          <w:i/>
          <w:iCs/>
          <w:color w:val="000000"/>
          <w:lang w:val="en-US"/>
        </w:rPr>
        <w:t>Candesartan</w:t>
      </w:r>
      <w:r w:rsidRPr="00FB1AE1">
        <w:rPr>
          <w:rFonts w:eastAsia="Times New Roman" w:cs="Arial"/>
          <w:i/>
          <w:iCs/>
          <w:color w:val="000000"/>
        </w:rPr>
        <w:t xml:space="preserve"> </w:t>
      </w:r>
      <w:r w:rsidRPr="00FB1AE1">
        <w:rPr>
          <w:rFonts w:eastAsia="Times New Roman" w:cs="Arial"/>
          <w:i/>
          <w:iCs/>
          <w:color w:val="000000"/>
          <w:lang w:val="en-US"/>
        </w:rPr>
        <w:t>in</w:t>
      </w:r>
      <w:r w:rsidRPr="00FB1AE1">
        <w:rPr>
          <w:rFonts w:eastAsia="Times New Roman" w:cs="Arial"/>
          <w:i/>
          <w:iCs/>
          <w:color w:val="000000"/>
        </w:rPr>
        <w:t xml:space="preserve"> </w:t>
      </w:r>
      <w:r w:rsidRPr="00FB1AE1">
        <w:rPr>
          <w:rFonts w:eastAsia="Times New Roman" w:cs="Arial"/>
          <w:i/>
          <w:iCs/>
          <w:color w:val="000000"/>
          <w:lang w:val="en-US"/>
        </w:rPr>
        <w:t>Heart</w:t>
      </w:r>
      <w:r w:rsidRPr="00FB1AE1">
        <w:rPr>
          <w:rFonts w:eastAsia="Times New Roman" w:cs="Arial"/>
          <w:i/>
          <w:iCs/>
          <w:color w:val="000000"/>
        </w:rPr>
        <w:t xml:space="preserve"> </w:t>
      </w:r>
      <w:r w:rsidRPr="00FB1AE1">
        <w:rPr>
          <w:rFonts w:eastAsia="Times New Roman" w:cs="Arial"/>
          <w:i/>
          <w:iCs/>
          <w:color w:val="000000"/>
          <w:lang w:val="en-US"/>
        </w:rPr>
        <w:t>failure</w:t>
      </w:r>
      <w:r w:rsidRPr="00FB1AE1">
        <w:rPr>
          <w:rFonts w:eastAsia="Times New Roman" w:cs="Arial"/>
          <w:i/>
          <w:iCs/>
          <w:color w:val="000000"/>
        </w:rPr>
        <w:t>-</w:t>
      </w:r>
      <w:r w:rsidRPr="00FB1AE1">
        <w:rPr>
          <w:rFonts w:eastAsia="Times New Roman" w:cs="Arial"/>
          <w:i/>
          <w:iCs/>
          <w:color w:val="000000"/>
          <w:lang w:val="en-US"/>
        </w:rPr>
        <w:t>Assessment</w:t>
      </w:r>
      <w:r w:rsidRPr="00FB1AE1">
        <w:rPr>
          <w:rFonts w:eastAsia="Times New Roman" w:cs="Arial"/>
          <w:i/>
          <w:iCs/>
          <w:color w:val="000000"/>
        </w:rPr>
        <w:t xml:space="preserve"> </w:t>
      </w:r>
      <w:r w:rsidRPr="00FB1AE1">
        <w:rPr>
          <w:rFonts w:eastAsia="Times New Roman" w:cs="Arial"/>
          <w:i/>
          <w:iCs/>
          <w:color w:val="000000"/>
          <w:lang w:val="en-US"/>
        </w:rPr>
        <w:t>of</w:t>
      </w:r>
      <w:r w:rsidRPr="00FB1AE1">
        <w:rPr>
          <w:rFonts w:eastAsia="Times New Roman" w:cs="Arial"/>
          <w:i/>
          <w:iCs/>
          <w:color w:val="000000"/>
        </w:rPr>
        <w:t xml:space="preserve"> </w:t>
      </w:r>
      <w:r w:rsidRPr="00FB1AE1">
        <w:rPr>
          <w:rFonts w:eastAsia="Times New Roman" w:cs="Arial"/>
          <w:i/>
          <w:iCs/>
          <w:color w:val="000000"/>
          <w:lang w:val="en-US"/>
        </w:rPr>
        <w:t>Reduction</w:t>
      </w:r>
      <w:r w:rsidRPr="00FB1AE1">
        <w:rPr>
          <w:rFonts w:eastAsia="Times New Roman" w:cs="Arial"/>
          <w:i/>
          <w:iCs/>
          <w:color w:val="000000"/>
        </w:rPr>
        <w:t xml:space="preserve"> </w:t>
      </w:r>
      <w:r w:rsidRPr="00FB1AE1">
        <w:rPr>
          <w:rFonts w:eastAsia="Times New Roman" w:cs="Arial"/>
          <w:i/>
          <w:iCs/>
          <w:color w:val="000000"/>
          <w:lang w:val="en-US"/>
        </w:rPr>
        <w:t>in</w:t>
      </w:r>
      <w:r w:rsidRPr="00FB1AE1">
        <w:rPr>
          <w:rFonts w:eastAsia="Times New Roman" w:cs="Arial"/>
          <w:i/>
          <w:iCs/>
          <w:color w:val="000000"/>
        </w:rPr>
        <w:t xml:space="preserve"> </w:t>
      </w:r>
      <w:r w:rsidRPr="00FB1AE1">
        <w:rPr>
          <w:rFonts w:eastAsia="Times New Roman" w:cs="Arial"/>
          <w:i/>
          <w:iCs/>
          <w:color w:val="000000"/>
          <w:lang w:val="en-US"/>
        </w:rPr>
        <w:t>Mortality</w:t>
      </w:r>
      <w:r w:rsidRPr="00FB1AE1">
        <w:rPr>
          <w:rFonts w:eastAsia="Times New Roman" w:cs="Arial"/>
          <w:i/>
          <w:iCs/>
          <w:color w:val="000000"/>
        </w:rPr>
        <w:t xml:space="preserve"> </w:t>
      </w:r>
      <w:r w:rsidRPr="00FB1AE1">
        <w:rPr>
          <w:rFonts w:eastAsia="Times New Roman" w:cs="Arial"/>
          <w:i/>
          <w:iCs/>
          <w:color w:val="000000"/>
          <w:lang w:val="en-US"/>
        </w:rPr>
        <w:t>and</w:t>
      </w:r>
      <w:r w:rsidRPr="00FB1AE1">
        <w:rPr>
          <w:rFonts w:eastAsia="Times New Roman" w:cs="Arial"/>
          <w:i/>
          <w:iCs/>
          <w:color w:val="000000"/>
        </w:rPr>
        <w:t xml:space="preserve"> </w:t>
      </w:r>
      <w:r w:rsidRPr="00FB1AE1">
        <w:rPr>
          <w:rFonts w:eastAsia="Times New Roman" w:cs="Arial"/>
          <w:i/>
          <w:iCs/>
          <w:color w:val="000000"/>
          <w:lang w:val="en-US"/>
        </w:rPr>
        <w:t>Morbidity</w:t>
      </w:r>
      <w:r w:rsidRPr="00FB1AE1">
        <w:rPr>
          <w:rFonts w:eastAsia="Times New Roman" w:cs="Arial"/>
          <w:color w:val="000000"/>
          <w:lang w:eastAsia="bg-BG"/>
        </w:rPr>
        <w:t>/Кандесартан при сърдечна недостатъчност-оценка на намаляването на смъртността и заболеваемостта).</w:t>
      </w:r>
    </w:p>
    <w:p w14:paraId="12CBA7CF" w14:textId="77777777" w:rsidR="00FB1AE1" w:rsidRPr="00FB1AE1" w:rsidRDefault="00FB1AE1" w:rsidP="00FB1AE1">
      <w:pPr>
        <w:spacing w:line="240" w:lineRule="auto"/>
        <w:rPr>
          <w:rFonts w:eastAsia="Times New Roman" w:cs="Arial"/>
          <w:color w:val="000000"/>
          <w:lang w:eastAsia="bg-BG"/>
        </w:rPr>
      </w:pPr>
    </w:p>
    <w:p w14:paraId="5FDA1031" w14:textId="09E0DEAF"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Тази плацебо-контролирана, двойно-сляпа клинична програма при пациенти с хронична сърдечна недостатъчност (ХСН) с II до IV функционален клас по </w:t>
      </w:r>
      <w:r w:rsidRPr="00FB1AE1">
        <w:rPr>
          <w:rFonts w:eastAsia="Times New Roman" w:cs="Arial"/>
          <w:i/>
          <w:iCs/>
          <w:color w:val="000000"/>
          <w:lang w:val="en-US"/>
        </w:rPr>
        <w:t>NYHA</w:t>
      </w:r>
      <w:r w:rsidRPr="00FB1AE1">
        <w:rPr>
          <w:rFonts w:eastAsia="Times New Roman" w:cs="Arial"/>
          <w:color w:val="000000"/>
          <w:lang w:val="ru-RU"/>
        </w:rPr>
        <w:t xml:space="preserve"> </w:t>
      </w:r>
      <w:r w:rsidRPr="00FB1AE1">
        <w:rPr>
          <w:rFonts w:eastAsia="Times New Roman" w:cs="Arial"/>
          <w:color w:val="000000"/>
          <w:lang w:eastAsia="bg-BG"/>
        </w:rPr>
        <w:t>се състои от три отделни проучвания: С</w:t>
      </w:r>
      <w:r w:rsidRPr="00FB1AE1">
        <w:rPr>
          <w:rFonts w:eastAsia="Times New Roman" w:cs="Arial"/>
          <w:color w:val="000000"/>
          <w:lang w:val="en-US"/>
        </w:rPr>
        <w:t>HARM</w:t>
      </w:r>
      <w:r w:rsidRPr="00FB1AE1">
        <w:rPr>
          <w:rFonts w:eastAsia="Times New Roman" w:cs="Arial"/>
          <w:color w:val="000000"/>
          <w:lang w:eastAsia="bg-BG"/>
        </w:rPr>
        <w:t>-Алтернативна (п=2028) при пациенти с левокамерна фракция на изтласкване (ЛКФИ)≤40%, нелекувани с АСЕ инхибитор поради непоносимост (предимно дължаща се на кашлица, 72%), С</w:t>
      </w:r>
      <w:r w:rsidRPr="00FB1AE1">
        <w:rPr>
          <w:rFonts w:eastAsia="Times New Roman" w:cs="Arial"/>
          <w:color w:val="000000"/>
          <w:lang w:val="en-US"/>
        </w:rPr>
        <w:t>HARM</w:t>
      </w:r>
      <w:r w:rsidRPr="00FB1AE1">
        <w:rPr>
          <w:rFonts w:eastAsia="Times New Roman" w:cs="Arial"/>
          <w:color w:val="000000"/>
          <w:lang w:eastAsia="bg-BG"/>
        </w:rPr>
        <w:t>-Добавена (</w:t>
      </w:r>
      <w:r w:rsidRPr="00FB1AE1">
        <w:rPr>
          <w:rFonts w:eastAsia="Times New Roman" w:cs="Arial"/>
          <w:color w:val="000000"/>
          <w:lang w:val="en-US"/>
        </w:rPr>
        <w:t>n</w:t>
      </w:r>
      <w:r w:rsidRPr="00FB1AE1">
        <w:rPr>
          <w:rFonts w:eastAsia="Times New Roman" w:cs="Arial"/>
          <w:color w:val="000000"/>
          <w:lang w:eastAsia="bg-BG"/>
        </w:rPr>
        <w:t xml:space="preserve">=2548) при пациенти с </w:t>
      </w:r>
      <w:r w:rsidRPr="00FB1AE1">
        <w:rPr>
          <w:rFonts w:eastAsia="Times New Roman" w:cs="Arial"/>
          <w:color w:val="000000"/>
          <w:lang w:eastAsia="bg-BG"/>
        </w:rPr>
        <w:lastRenderedPageBreak/>
        <w:t>ЛКФИ≤40% и лекувани с АСЕ инхибитор, и С</w:t>
      </w:r>
      <w:r w:rsidRPr="00FB1AE1">
        <w:rPr>
          <w:rFonts w:eastAsia="Times New Roman" w:cs="Arial"/>
          <w:color w:val="000000"/>
          <w:lang w:val="en-US"/>
        </w:rPr>
        <w:t>HARM</w:t>
      </w:r>
      <w:r w:rsidRPr="00FB1AE1">
        <w:rPr>
          <w:rFonts w:eastAsia="Times New Roman" w:cs="Arial"/>
          <w:color w:val="000000"/>
          <w:lang w:eastAsia="bg-BG"/>
        </w:rPr>
        <w:t>-Запазена (</w:t>
      </w:r>
      <w:r w:rsidRPr="00FB1AE1">
        <w:rPr>
          <w:rFonts w:eastAsia="Times New Roman" w:cs="Arial"/>
          <w:color w:val="000000"/>
          <w:lang w:val="en-US"/>
        </w:rPr>
        <w:t>n</w:t>
      </w:r>
      <w:r w:rsidRPr="00FB1AE1">
        <w:rPr>
          <w:rFonts w:eastAsia="Times New Roman" w:cs="Arial"/>
          <w:color w:val="000000"/>
          <w:lang w:eastAsia="bg-BG"/>
        </w:rPr>
        <w:t>=3023) при пациенти с ЛКФИ&gt;40%.</w:t>
      </w:r>
    </w:p>
    <w:p w14:paraId="4BAC14E5"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Пациентите с оптимална терапия на ХСН на изходно ниво са рандомизирани в група с плацебо или кандесартан цилексетил (с постепенно повишаване на дозата от 4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или 8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веднъж дневно до 32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веднъж дневно или до най-високата поносима доза, средна доза от 24 </w:t>
      </w:r>
      <w:r w:rsidRPr="00FB1AE1">
        <w:rPr>
          <w:rFonts w:eastAsia="Times New Roman" w:cs="Arial"/>
          <w:color w:val="000000"/>
          <w:lang w:val="en-US"/>
        </w:rPr>
        <w:t>mg</w:t>
      </w:r>
      <w:r w:rsidRPr="00FB1AE1">
        <w:rPr>
          <w:rFonts w:eastAsia="Times New Roman" w:cs="Arial"/>
          <w:color w:val="000000"/>
          <w:lang w:val="ru-RU"/>
        </w:rPr>
        <w:t xml:space="preserve">) </w:t>
      </w:r>
      <w:r w:rsidRPr="00FB1AE1">
        <w:rPr>
          <w:rFonts w:eastAsia="Times New Roman" w:cs="Arial"/>
          <w:color w:val="000000"/>
          <w:lang w:eastAsia="bg-BG"/>
        </w:rPr>
        <w:t xml:space="preserve">и са проследявани в продължение на 37,7 месеца. След 6-месечно лечение 63% от пациентите, все още приемащи кандесартан цилексетил (89%), са достигнали таргетната доза от 32 </w:t>
      </w:r>
      <w:r w:rsidRPr="00FB1AE1">
        <w:rPr>
          <w:rFonts w:eastAsia="Times New Roman" w:cs="Arial"/>
          <w:color w:val="000000"/>
          <w:lang w:val="en-US"/>
        </w:rPr>
        <w:t>mg</w:t>
      </w:r>
      <w:r w:rsidRPr="00FB1AE1">
        <w:rPr>
          <w:rFonts w:eastAsia="Times New Roman" w:cs="Arial"/>
          <w:color w:val="000000"/>
          <w:lang w:val="ru-RU"/>
        </w:rPr>
        <w:t>.</w:t>
      </w:r>
    </w:p>
    <w:p w14:paraId="5A4D091F" w14:textId="77777777" w:rsidR="00FB1AE1" w:rsidRPr="00FB1AE1" w:rsidRDefault="00FB1AE1" w:rsidP="00FB1AE1">
      <w:pPr>
        <w:spacing w:line="240" w:lineRule="auto"/>
        <w:rPr>
          <w:rFonts w:eastAsia="Times New Roman" w:cs="Arial"/>
          <w:color w:val="000000"/>
          <w:lang w:eastAsia="bg-BG"/>
        </w:rPr>
      </w:pPr>
    </w:p>
    <w:p w14:paraId="23AA8104" w14:textId="2CDAA086" w:rsidR="00FB1AE1" w:rsidRPr="00FB1AE1" w:rsidRDefault="00FB1AE1" w:rsidP="00FB1AE1">
      <w:pPr>
        <w:spacing w:line="240" w:lineRule="auto"/>
        <w:rPr>
          <w:rFonts w:eastAsia="Times New Roman" w:cs="Arial"/>
        </w:rPr>
      </w:pPr>
      <w:r w:rsidRPr="00FB1AE1">
        <w:rPr>
          <w:rFonts w:eastAsia="Times New Roman" w:cs="Arial"/>
          <w:color w:val="000000"/>
          <w:lang w:eastAsia="bg-BG"/>
        </w:rPr>
        <w:t>С</w:t>
      </w:r>
      <w:r w:rsidRPr="00FB1AE1">
        <w:rPr>
          <w:rFonts w:eastAsia="Times New Roman" w:cs="Arial"/>
          <w:color w:val="000000"/>
          <w:lang w:val="en-US"/>
        </w:rPr>
        <w:t>HARM</w:t>
      </w:r>
      <w:r w:rsidRPr="00FB1AE1">
        <w:rPr>
          <w:rFonts w:eastAsia="Times New Roman" w:cs="Arial"/>
          <w:color w:val="000000"/>
          <w:lang w:val="ru-RU"/>
        </w:rPr>
        <w:t>-</w:t>
      </w:r>
      <w:r w:rsidRPr="00FB1AE1">
        <w:rPr>
          <w:rFonts w:eastAsia="Times New Roman" w:cs="Arial"/>
          <w:color w:val="000000"/>
          <w:lang w:eastAsia="bg-BG"/>
        </w:rPr>
        <w:t xml:space="preserve">Алтернативна, съставната крайна точка от сърдечно-съдова смъртност или първа хоспитализация поради ХСН и била значимо намалена при кандесартан в сравнение с плацебо (рисков коефициент (РК) 0,77,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0,67-0,89, р&lt;0,001. Това съответства на намаление на относителния риск с 23%. От пациентите на кандесартан 33,0%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30,1 до 36,0) и от пациентите на плацебо 40,0%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37,0 до 43,1) са достигнали тази крайна точка., абсолютна разлика 7,0%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11,2 до 2,8). Четиринадесет пациенти е трябвало да бъдат лекувани в продължение на цялото изпитване, за да се предотврати смъртта на един болен от сърдечно-съдово събитие или да се хоспитализира за лечение на сърдечна недостатъчност. Съставната крайна точка от смъртност поради всякаква причина, или първа хоспитализация поради ХСН е била също значимо намалена с кандесартан (РК 0,80,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0,70-0,92, р=0,001). 36,6% от пациентите на кандесартан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33,7 до 39,7) и 42,7% от пациентите на плацебо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39,6 до 45,8) са достигнали тази крайна точка, абсолютна разлика 6,0%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10,3 до 1,8). И двата компонента, смъртност и заболеваемост (хоспитализация поради ХСН) са участвали в благоприятните ефекти на кандесартан. Лечението с кандесартан цилексетил е довело до подобряване на функционалния клас по </w:t>
      </w:r>
      <w:r w:rsidRPr="00FB1AE1">
        <w:rPr>
          <w:rFonts w:eastAsia="Times New Roman" w:cs="Arial"/>
          <w:i/>
          <w:iCs/>
          <w:color w:val="000000"/>
          <w:lang w:val="en-US"/>
        </w:rPr>
        <w:t>NYHA</w:t>
      </w:r>
      <w:r w:rsidRPr="00FB1AE1">
        <w:rPr>
          <w:rFonts w:eastAsia="Times New Roman" w:cs="Arial"/>
          <w:color w:val="000000"/>
          <w:lang w:val="ru-RU"/>
        </w:rPr>
        <w:t xml:space="preserve"> </w:t>
      </w:r>
      <w:r w:rsidRPr="00FB1AE1">
        <w:rPr>
          <w:rFonts w:eastAsia="Times New Roman" w:cs="Arial"/>
          <w:color w:val="000000"/>
          <w:lang w:eastAsia="bg-BG"/>
        </w:rPr>
        <w:t>(р-0,008).</w:t>
      </w:r>
    </w:p>
    <w:p w14:paraId="0A7A5C2D" w14:textId="77777777" w:rsidR="00FB1AE1" w:rsidRPr="00FB1AE1" w:rsidRDefault="00FB1AE1" w:rsidP="00FB1AE1">
      <w:pPr>
        <w:spacing w:line="240" w:lineRule="auto"/>
        <w:rPr>
          <w:rFonts w:eastAsia="Times New Roman" w:cs="Arial"/>
          <w:i/>
          <w:iCs/>
          <w:color w:val="000000"/>
          <w:lang w:val="en-US"/>
        </w:rPr>
      </w:pPr>
    </w:p>
    <w:p w14:paraId="5F24388A" w14:textId="5863DF4C" w:rsidR="00FB1AE1" w:rsidRPr="00FB1AE1" w:rsidRDefault="00FB1AE1" w:rsidP="00FB1AE1">
      <w:pPr>
        <w:spacing w:line="240" w:lineRule="auto"/>
        <w:rPr>
          <w:rFonts w:eastAsia="Times New Roman" w:cs="Arial"/>
        </w:rPr>
      </w:pPr>
      <w:r w:rsidRPr="00FB1AE1">
        <w:rPr>
          <w:rFonts w:eastAsia="Times New Roman" w:cs="Arial"/>
          <w:i/>
          <w:iCs/>
          <w:color w:val="000000"/>
          <w:lang w:val="en-US"/>
        </w:rPr>
        <w:t>CHARM</w:t>
      </w:r>
      <w:r w:rsidRPr="00FB1AE1">
        <w:rPr>
          <w:rFonts w:eastAsia="Times New Roman" w:cs="Arial"/>
          <w:i/>
          <w:iCs/>
          <w:color w:val="000000"/>
          <w:lang w:val="ru-RU"/>
        </w:rPr>
        <w:t>-</w:t>
      </w:r>
      <w:r w:rsidRPr="00FB1AE1">
        <w:rPr>
          <w:rFonts w:eastAsia="Times New Roman" w:cs="Arial"/>
          <w:color w:val="000000"/>
          <w:lang w:eastAsia="bg-BG"/>
        </w:rPr>
        <w:t>Добавена, съставната крайна точка от сърдечно-съдова смъртност или първа хоспитализация поради ХСН е значително намалена при кандесартан в сравнение с плацебо (РК 0</w:t>
      </w:r>
      <w:proofErr w:type="gramStart"/>
      <w:r w:rsidRPr="00FB1AE1">
        <w:rPr>
          <w:rFonts w:eastAsia="Times New Roman" w:cs="Arial"/>
          <w:color w:val="000000"/>
          <w:lang w:eastAsia="bg-BG"/>
        </w:rPr>
        <w:t>,85,95</w:t>
      </w:r>
      <w:proofErr w:type="gramEnd"/>
      <w:r w:rsidRPr="00FB1AE1">
        <w:rPr>
          <w:rFonts w:eastAsia="Times New Roman" w:cs="Arial"/>
          <w:color w:val="000000"/>
          <w:lang w:eastAsia="bg-BG"/>
        </w:rPr>
        <w:t xml:space="preserve">%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0,75-0,96, р=0,011). Това съответства на намаление на относителния риск с 15%. От пациентите на кандесартан 37,9%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35,2 до 40,6) и от пациентите на плацебо 42,3%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39,6 до 45,1) са достигнали тази крайна точка., абсолютна разлика 4,4% (95% С1: 8,2 до 0,6). Двадесет и три пациенти е трябвало да бъдат лекувани в продължение на цялото изпитване, за да се предотврати смъртта на един болен от сърдечно-съдово събитие или да се хоспитализира за лечение на сърдечна недостатъчност. Съставната крайна точка от смъртност поради всякаква причина, или първа хоспитализация поради ХСН също е била значимо намалена с кандесартан (РК 0,87, 95% С</w:t>
      </w:r>
      <w:r w:rsidRPr="00FB1AE1">
        <w:rPr>
          <w:rFonts w:eastAsia="Times New Roman" w:cs="Arial"/>
          <w:color w:val="000000"/>
          <w:lang w:val="en-US"/>
        </w:rPr>
        <w:t>I</w:t>
      </w:r>
      <w:r w:rsidRPr="00FB1AE1">
        <w:rPr>
          <w:rFonts w:eastAsia="Times New Roman" w:cs="Arial"/>
          <w:color w:val="000000"/>
          <w:lang w:val="ru-RU"/>
        </w:rPr>
        <w:t xml:space="preserve"> 0</w:t>
      </w:r>
      <w:r w:rsidRPr="00FB1AE1">
        <w:rPr>
          <w:rFonts w:eastAsia="Times New Roman" w:cs="Arial"/>
          <w:color w:val="000000"/>
          <w:lang w:eastAsia="bg-BG"/>
        </w:rPr>
        <w:t xml:space="preserve">,78-0,98, р=0,021). Тази крайна точка е установена при 42,2% от пациентите на кандесартан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39,5 до 45,0) и 46,1% от пациентите на плацебо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43,4 до 48,9), като абсолютната разлика е 3,9%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7,8 до 0,1). И двата компонента, смъртност и заболеваемост (хоспитализация поради ХСН) са допринесли за благоприятните ефекти на кандесартан. Лечението с кандесартан цилексетил е довело до подобряване на функционалния клас по </w:t>
      </w:r>
      <w:r w:rsidRPr="00FB1AE1">
        <w:rPr>
          <w:rFonts w:eastAsia="Times New Roman" w:cs="Arial"/>
          <w:i/>
          <w:iCs/>
          <w:color w:val="000000"/>
          <w:lang w:val="en-US"/>
        </w:rPr>
        <w:t>NYHA</w:t>
      </w:r>
      <w:r w:rsidRPr="00FB1AE1">
        <w:rPr>
          <w:rFonts w:eastAsia="Times New Roman" w:cs="Arial"/>
          <w:color w:val="000000"/>
          <w:lang w:val="ru-RU"/>
        </w:rPr>
        <w:t xml:space="preserve"> </w:t>
      </w:r>
      <w:r w:rsidRPr="00FB1AE1">
        <w:rPr>
          <w:rFonts w:eastAsia="Times New Roman" w:cs="Arial"/>
          <w:color w:val="000000"/>
          <w:lang w:eastAsia="bg-BG"/>
        </w:rPr>
        <w:t>(р=0,020).</w:t>
      </w:r>
    </w:p>
    <w:p w14:paraId="07F819B7" w14:textId="77777777" w:rsidR="00FB1AE1" w:rsidRPr="00FB1AE1" w:rsidRDefault="00FB1AE1" w:rsidP="00FB1AE1">
      <w:pPr>
        <w:spacing w:line="240" w:lineRule="auto"/>
        <w:rPr>
          <w:rFonts w:eastAsia="Times New Roman" w:cs="Arial"/>
          <w:color w:val="000000"/>
          <w:lang w:eastAsia="bg-BG"/>
        </w:rPr>
      </w:pPr>
    </w:p>
    <w:p w14:paraId="0B99E7EB" w14:textId="132EDD9A" w:rsidR="00FB1AE1" w:rsidRPr="00FB1AE1" w:rsidRDefault="00FB1AE1" w:rsidP="00FB1AE1">
      <w:pPr>
        <w:spacing w:line="240" w:lineRule="auto"/>
        <w:rPr>
          <w:rFonts w:eastAsia="Times New Roman" w:cs="Arial"/>
        </w:rPr>
      </w:pPr>
      <w:r w:rsidRPr="00FB1AE1">
        <w:rPr>
          <w:rFonts w:eastAsia="Times New Roman" w:cs="Arial"/>
          <w:color w:val="000000"/>
          <w:lang w:eastAsia="bg-BG"/>
        </w:rPr>
        <w:t>В С</w:t>
      </w:r>
      <w:r w:rsidRPr="00FB1AE1">
        <w:rPr>
          <w:rFonts w:eastAsia="Times New Roman" w:cs="Arial"/>
          <w:color w:val="000000"/>
          <w:lang w:val="en-US"/>
        </w:rPr>
        <w:t>HARM</w:t>
      </w:r>
      <w:r w:rsidRPr="00FB1AE1">
        <w:rPr>
          <w:rFonts w:eastAsia="Times New Roman" w:cs="Arial"/>
          <w:color w:val="000000"/>
          <w:lang w:eastAsia="bg-BG"/>
        </w:rPr>
        <w:t xml:space="preserve">-Запазена, не е постигнато статистически значимо намаление на съставната крайна точка от сърдечно-съдова смъртност или първа хоспитализация поради ХСН, РК 0,89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0,77-1,03, р=0,118).</w:t>
      </w:r>
    </w:p>
    <w:p w14:paraId="0268781E" w14:textId="77777777" w:rsidR="00FB1AE1" w:rsidRPr="00FB1AE1" w:rsidRDefault="00FB1AE1" w:rsidP="00FB1AE1">
      <w:pPr>
        <w:spacing w:line="240" w:lineRule="auto"/>
        <w:rPr>
          <w:rFonts w:eastAsia="Times New Roman" w:cs="Arial"/>
          <w:color w:val="000000"/>
          <w:lang w:eastAsia="bg-BG"/>
        </w:rPr>
      </w:pPr>
    </w:p>
    <w:p w14:paraId="2A62D76C" w14:textId="53FF40DE" w:rsidR="00FB1AE1" w:rsidRPr="00FB1AE1" w:rsidRDefault="00FB1AE1" w:rsidP="00FB1AE1">
      <w:pPr>
        <w:spacing w:line="240" w:lineRule="auto"/>
        <w:rPr>
          <w:rFonts w:eastAsia="Times New Roman" w:cs="Arial"/>
        </w:rPr>
      </w:pPr>
      <w:r w:rsidRPr="00FB1AE1">
        <w:rPr>
          <w:rFonts w:eastAsia="Times New Roman" w:cs="Arial"/>
          <w:color w:val="000000"/>
          <w:lang w:eastAsia="bg-BG"/>
        </w:rPr>
        <w:t>Смъртността поради всякаква причина не е била статистически значима при изследване</w:t>
      </w:r>
    </w:p>
    <w:p w14:paraId="42595D66" w14:textId="77777777" w:rsidR="00FB1AE1" w:rsidRPr="00FB1AE1" w:rsidRDefault="00FB1AE1" w:rsidP="00FB1AE1">
      <w:pPr>
        <w:rPr>
          <w:rFonts w:eastAsia="Times New Roman" w:cs="Arial"/>
        </w:rPr>
      </w:pPr>
      <w:r w:rsidRPr="00FB1AE1">
        <w:rPr>
          <w:rFonts w:eastAsia="Times New Roman" w:cs="Arial"/>
          <w:color w:val="000000"/>
          <w:lang w:eastAsia="bg-BG"/>
        </w:rPr>
        <w:t xml:space="preserve">поотделно на всяко от трите проучвания на </w:t>
      </w:r>
      <w:r w:rsidRPr="00FB1AE1">
        <w:rPr>
          <w:rFonts w:eastAsia="Times New Roman" w:cs="Arial"/>
          <w:i/>
          <w:iCs/>
          <w:color w:val="000000"/>
          <w:lang w:val="en-US"/>
        </w:rPr>
        <w:t>CHARM</w:t>
      </w:r>
      <w:r w:rsidRPr="00FB1AE1">
        <w:rPr>
          <w:rFonts w:eastAsia="Times New Roman" w:cs="Arial"/>
          <w:i/>
          <w:iCs/>
          <w:color w:val="000000"/>
          <w:lang w:val="ru-RU"/>
        </w:rPr>
        <w:t>.</w:t>
      </w:r>
      <w:r w:rsidRPr="00FB1AE1">
        <w:rPr>
          <w:rFonts w:eastAsia="Times New Roman" w:cs="Arial"/>
          <w:color w:val="000000"/>
          <w:lang w:val="ru-RU"/>
        </w:rPr>
        <w:t xml:space="preserve"> </w:t>
      </w:r>
      <w:r w:rsidRPr="00FB1AE1">
        <w:rPr>
          <w:rFonts w:eastAsia="Times New Roman" w:cs="Arial"/>
          <w:color w:val="000000"/>
          <w:lang w:eastAsia="bg-BG"/>
        </w:rPr>
        <w:t xml:space="preserve">Смъртността поради всякакви причини. освен това също така е била изследвана и при обобщените данни от </w:t>
      </w:r>
      <w:r w:rsidRPr="00FB1AE1">
        <w:rPr>
          <w:rFonts w:eastAsia="Times New Roman" w:cs="Arial"/>
          <w:color w:val="000000"/>
          <w:lang w:eastAsia="bg-BG"/>
        </w:rPr>
        <w:lastRenderedPageBreak/>
        <w:t xml:space="preserve">заложените популации, </w:t>
      </w:r>
      <w:r w:rsidRPr="00FB1AE1">
        <w:rPr>
          <w:rFonts w:eastAsia="Times New Roman" w:cs="Arial"/>
          <w:i/>
          <w:iCs/>
          <w:color w:val="000000"/>
          <w:lang w:val="en-US"/>
        </w:rPr>
        <w:t>CHARM</w:t>
      </w:r>
      <w:r w:rsidRPr="00FB1AE1">
        <w:rPr>
          <w:rFonts w:eastAsia="Times New Roman" w:cs="Arial"/>
          <w:i/>
          <w:iCs/>
          <w:color w:val="000000"/>
          <w:lang w:val="ru-RU"/>
        </w:rPr>
        <w:t>-</w:t>
      </w:r>
      <w:r w:rsidRPr="00FB1AE1">
        <w:rPr>
          <w:rFonts w:eastAsia="Times New Roman" w:cs="Arial"/>
          <w:color w:val="000000"/>
          <w:lang w:eastAsia="bg-BG"/>
        </w:rPr>
        <w:t>Алтернативна и С</w:t>
      </w:r>
      <w:r w:rsidRPr="00FB1AE1">
        <w:rPr>
          <w:rFonts w:eastAsia="Times New Roman" w:cs="Arial"/>
          <w:color w:val="000000"/>
          <w:lang w:val="en-US"/>
        </w:rPr>
        <w:t>HARM</w:t>
      </w:r>
      <w:r w:rsidRPr="00FB1AE1">
        <w:rPr>
          <w:rFonts w:eastAsia="Times New Roman" w:cs="Arial"/>
          <w:color w:val="000000"/>
          <w:lang w:val="ru-RU"/>
        </w:rPr>
        <w:t>-</w:t>
      </w:r>
      <w:r w:rsidRPr="00FB1AE1">
        <w:rPr>
          <w:rFonts w:eastAsia="Times New Roman" w:cs="Arial"/>
          <w:color w:val="000000"/>
          <w:lang w:eastAsia="bg-BG"/>
        </w:rPr>
        <w:t xml:space="preserve">Добавена, РК 0,88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 xml:space="preserve">0,79-0,98, р=0,018) и при всичките три проучвания РК 0,91 (95% </w:t>
      </w:r>
      <w:r w:rsidRPr="00FB1AE1">
        <w:rPr>
          <w:rFonts w:eastAsia="Times New Roman" w:cs="Arial"/>
          <w:color w:val="000000"/>
          <w:lang w:val="en-US"/>
        </w:rPr>
        <w:t>CI</w:t>
      </w:r>
      <w:r w:rsidRPr="00FB1AE1">
        <w:rPr>
          <w:rFonts w:eastAsia="Times New Roman" w:cs="Arial"/>
          <w:color w:val="000000"/>
          <w:lang w:val="ru-RU"/>
        </w:rPr>
        <w:t xml:space="preserve"> </w:t>
      </w:r>
      <w:r w:rsidRPr="00FB1AE1">
        <w:rPr>
          <w:rFonts w:eastAsia="Times New Roman" w:cs="Arial"/>
          <w:color w:val="000000"/>
          <w:lang w:eastAsia="bg-BG"/>
        </w:rPr>
        <w:t>0,83-1,00, р=0,055).</w:t>
      </w:r>
    </w:p>
    <w:p w14:paraId="5B77745C" w14:textId="77777777" w:rsidR="00FB1AE1" w:rsidRPr="00FB1AE1" w:rsidRDefault="00FB1AE1" w:rsidP="00FB1AE1">
      <w:pPr>
        <w:spacing w:line="240" w:lineRule="auto"/>
        <w:rPr>
          <w:rFonts w:eastAsia="Times New Roman" w:cs="Arial"/>
          <w:color w:val="000000"/>
          <w:lang w:eastAsia="bg-BG"/>
        </w:rPr>
      </w:pPr>
    </w:p>
    <w:p w14:paraId="7960DF27" w14:textId="5656D007" w:rsidR="00FB1AE1" w:rsidRPr="00FB1AE1" w:rsidRDefault="00FB1AE1" w:rsidP="00FB1AE1">
      <w:pPr>
        <w:spacing w:line="240" w:lineRule="auto"/>
        <w:rPr>
          <w:rFonts w:eastAsia="Times New Roman" w:cs="Arial"/>
        </w:rPr>
      </w:pPr>
      <w:r w:rsidRPr="00FB1AE1">
        <w:rPr>
          <w:rFonts w:eastAsia="Times New Roman" w:cs="Arial"/>
          <w:color w:val="000000"/>
          <w:lang w:eastAsia="bg-BG"/>
        </w:rPr>
        <w:t>Благоприятните ефекти на кандесартан са били постоянни, независимо от възрастта, пола и съпътстващото медикаментозно лечение. Кандесартан е бил ефективен също и при пациенти, приемащи едновременно бета-блокери и АСЕ инхибитори, и благоприятен ефект е наблюдаван, независимо дали пациентите са приемали АСЕ инхибитори в таргетната доза, препоръчвана в ръководствата за лечение.</w:t>
      </w:r>
    </w:p>
    <w:p w14:paraId="4AEF387C" w14:textId="77777777" w:rsidR="00FB1AE1" w:rsidRPr="00FB1AE1" w:rsidRDefault="00FB1AE1" w:rsidP="00FB1AE1">
      <w:pPr>
        <w:spacing w:line="240" w:lineRule="auto"/>
        <w:rPr>
          <w:rFonts w:eastAsia="Times New Roman" w:cs="Arial"/>
          <w:color w:val="000000"/>
          <w:lang w:eastAsia="bg-BG"/>
        </w:rPr>
      </w:pPr>
    </w:p>
    <w:p w14:paraId="145DD7DA" w14:textId="28366C8D" w:rsidR="00FB1AE1" w:rsidRPr="00FB1AE1" w:rsidRDefault="00FB1AE1" w:rsidP="00FB1AE1">
      <w:pPr>
        <w:spacing w:line="240" w:lineRule="auto"/>
        <w:rPr>
          <w:rFonts w:eastAsia="Times New Roman" w:cs="Arial"/>
        </w:rPr>
      </w:pPr>
      <w:r w:rsidRPr="00FB1AE1">
        <w:rPr>
          <w:rFonts w:eastAsia="Times New Roman" w:cs="Arial"/>
          <w:color w:val="000000"/>
          <w:lang w:eastAsia="bg-BG"/>
        </w:rPr>
        <w:t>При пациенти с ХСН и подтисната систолна функция на лявата камера (левокамерна фракция на изтласкване, ЛКФИ ≤ 40%), кандесартан намалява системната съдова резистентност и белодробното капилярно налягане, повишава активността на плазмения ренин и концентрацията на ангиотензин II и намалява нивата на алдостерона.</w:t>
      </w:r>
    </w:p>
    <w:p w14:paraId="74B7AEC5" w14:textId="77777777" w:rsidR="00FB1AE1" w:rsidRPr="00FB1AE1" w:rsidRDefault="00FB1AE1" w:rsidP="00FB1AE1">
      <w:pPr>
        <w:spacing w:line="240" w:lineRule="auto"/>
        <w:rPr>
          <w:rFonts w:eastAsia="Times New Roman" w:cs="Arial"/>
          <w:color w:val="000000"/>
          <w:lang w:eastAsia="bg-BG"/>
        </w:rPr>
      </w:pPr>
    </w:p>
    <w:p w14:paraId="6F2E8342" w14:textId="10B7C2C5"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Две големи рандомизирани контролирани проучвания - </w:t>
      </w:r>
      <w:r w:rsidRPr="00FB1AE1">
        <w:rPr>
          <w:rFonts w:eastAsia="Times New Roman" w:cs="Arial"/>
          <w:i/>
          <w:iCs/>
          <w:color w:val="000000"/>
          <w:lang w:val="en-US"/>
        </w:rPr>
        <w:t>ONTARGET</w:t>
      </w:r>
      <w:r w:rsidRPr="00FB1AE1">
        <w:rPr>
          <w:rFonts w:eastAsia="Times New Roman" w:cs="Arial"/>
          <w:i/>
          <w:iCs/>
          <w:color w:val="000000"/>
        </w:rPr>
        <w:t xml:space="preserve"> (</w:t>
      </w:r>
      <w:proofErr w:type="spellStart"/>
      <w:r w:rsidRPr="00FB1AE1">
        <w:rPr>
          <w:rFonts w:eastAsia="Times New Roman" w:cs="Arial"/>
          <w:i/>
          <w:iCs/>
          <w:color w:val="000000"/>
          <w:lang w:val="en-US"/>
        </w:rPr>
        <w:t>ONgoing</w:t>
      </w:r>
      <w:proofErr w:type="spellEnd"/>
      <w:r w:rsidRPr="00FB1AE1">
        <w:rPr>
          <w:rFonts w:eastAsia="Times New Roman" w:cs="Arial"/>
          <w:i/>
          <w:iCs/>
          <w:color w:val="000000"/>
        </w:rPr>
        <w:t xml:space="preserve"> </w:t>
      </w:r>
      <w:proofErr w:type="spellStart"/>
      <w:r w:rsidRPr="00FB1AE1">
        <w:rPr>
          <w:rFonts w:eastAsia="Times New Roman" w:cs="Arial"/>
          <w:i/>
          <w:iCs/>
          <w:color w:val="000000"/>
          <w:lang w:val="en-US"/>
        </w:rPr>
        <w:t>Telmisartan</w:t>
      </w:r>
      <w:proofErr w:type="spellEnd"/>
      <w:r w:rsidRPr="00FB1AE1">
        <w:rPr>
          <w:rFonts w:eastAsia="Times New Roman" w:cs="Arial"/>
          <w:i/>
          <w:iCs/>
          <w:color w:val="000000"/>
        </w:rPr>
        <w:t xml:space="preserve"> </w:t>
      </w:r>
      <w:r w:rsidRPr="00FB1AE1">
        <w:rPr>
          <w:rFonts w:eastAsia="Times New Roman" w:cs="Arial"/>
          <w:i/>
          <w:iCs/>
          <w:color w:val="000000"/>
          <w:lang w:val="en-US"/>
        </w:rPr>
        <w:t>Alone</w:t>
      </w:r>
      <w:r w:rsidRPr="00FB1AE1">
        <w:rPr>
          <w:rFonts w:eastAsia="Times New Roman" w:cs="Arial"/>
          <w:i/>
          <w:iCs/>
          <w:color w:val="000000"/>
        </w:rPr>
        <w:t xml:space="preserve"> </w:t>
      </w:r>
      <w:r w:rsidRPr="00FB1AE1">
        <w:rPr>
          <w:rFonts w:eastAsia="Times New Roman" w:cs="Arial"/>
          <w:i/>
          <w:iCs/>
          <w:color w:val="000000"/>
          <w:lang w:val="en-US"/>
        </w:rPr>
        <w:t>and</w:t>
      </w:r>
      <w:r w:rsidRPr="00FB1AE1">
        <w:rPr>
          <w:rFonts w:eastAsia="Times New Roman" w:cs="Arial"/>
          <w:i/>
          <w:iCs/>
          <w:color w:val="000000"/>
        </w:rPr>
        <w:t xml:space="preserve"> </w:t>
      </w:r>
      <w:r w:rsidRPr="00FB1AE1">
        <w:rPr>
          <w:rFonts w:eastAsia="Times New Roman" w:cs="Arial"/>
          <w:i/>
          <w:iCs/>
          <w:color w:val="000000"/>
          <w:lang w:val="en-US"/>
        </w:rPr>
        <w:t>in</w:t>
      </w:r>
      <w:r w:rsidRPr="00FB1AE1">
        <w:rPr>
          <w:rFonts w:eastAsia="Times New Roman" w:cs="Arial"/>
          <w:i/>
          <w:iCs/>
          <w:color w:val="000000"/>
        </w:rPr>
        <w:t xml:space="preserve"> </w:t>
      </w:r>
      <w:r w:rsidRPr="00FB1AE1">
        <w:rPr>
          <w:rFonts w:eastAsia="Times New Roman" w:cs="Arial"/>
          <w:i/>
          <w:iCs/>
          <w:color w:val="000000"/>
          <w:lang w:val="en-US"/>
        </w:rPr>
        <w:t>combination</w:t>
      </w:r>
      <w:r w:rsidRPr="00FB1AE1">
        <w:rPr>
          <w:rFonts w:eastAsia="Times New Roman" w:cs="Arial"/>
          <w:i/>
          <w:iCs/>
          <w:color w:val="000000"/>
        </w:rPr>
        <w:t xml:space="preserve"> </w:t>
      </w:r>
      <w:r w:rsidRPr="00FB1AE1">
        <w:rPr>
          <w:rFonts w:eastAsia="Times New Roman" w:cs="Arial"/>
          <w:i/>
          <w:iCs/>
          <w:color w:val="000000"/>
          <w:lang w:val="en-US"/>
        </w:rPr>
        <w:t>with</w:t>
      </w:r>
      <w:r w:rsidRPr="00FB1AE1">
        <w:rPr>
          <w:rFonts w:eastAsia="Times New Roman" w:cs="Arial"/>
          <w:i/>
          <w:iCs/>
          <w:color w:val="000000"/>
        </w:rPr>
        <w:t xml:space="preserve"> </w:t>
      </w:r>
      <w:r w:rsidRPr="00FB1AE1">
        <w:rPr>
          <w:rFonts w:eastAsia="Times New Roman" w:cs="Arial"/>
          <w:i/>
          <w:iCs/>
          <w:color w:val="000000"/>
          <w:lang w:val="en-US"/>
        </w:rPr>
        <w:t>Ramipril</w:t>
      </w:r>
      <w:r w:rsidRPr="00FB1AE1">
        <w:rPr>
          <w:rFonts w:eastAsia="Times New Roman" w:cs="Arial"/>
          <w:i/>
          <w:iCs/>
          <w:color w:val="000000"/>
        </w:rPr>
        <w:t xml:space="preserve"> </w:t>
      </w:r>
      <w:r w:rsidRPr="00FB1AE1">
        <w:rPr>
          <w:rFonts w:eastAsia="Times New Roman" w:cs="Arial"/>
          <w:i/>
          <w:iCs/>
          <w:color w:val="000000"/>
          <w:lang w:val="en-US"/>
        </w:rPr>
        <w:t>Global</w:t>
      </w:r>
      <w:r w:rsidRPr="00FB1AE1">
        <w:rPr>
          <w:rFonts w:eastAsia="Times New Roman" w:cs="Arial"/>
          <w:i/>
          <w:iCs/>
          <w:color w:val="000000"/>
        </w:rPr>
        <w:t xml:space="preserve"> </w:t>
      </w:r>
      <w:r w:rsidRPr="00FB1AE1">
        <w:rPr>
          <w:rFonts w:eastAsia="Times New Roman" w:cs="Arial"/>
          <w:i/>
          <w:iCs/>
          <w:color w:val="000000"/>
          <w:lang w:val="en-US"/>
        </w:rPr>
        <w:t>Endpoint</w:t>
      </w:r>
      <w:r w:rsidRPr="00FB1AE1">
        <w:rPr>
          <w:rFonts w:eastAsia="Times New Roman" w:cs="Arial"/>
          <w:i/>
          <w:iCs/>
          <w:color w:val="000000"/>
        </w:rPr>
        <w:t xml:space="preserve"> </w:t>
      </w:r>
      <w:r w:rsidRPr="00FB1AE1">
        <w:rPr>
          <w:rFonts w:eastAsia="Times New Roman" w:cs="Arial"/>
          <w:i/>
          <w:iCs/>
          <w:color w:val="000000"/>
          <w:lang w:val="en-US"/>
        </w:rPr>
        <w:t>Trial</w:t>
      </w:r>
      <w:r w:rsidRPr="00FB1AE1">
        <w:rPr>
          <w:rFonts w:eastAsia="Times New Roman" w:cs="Arial"/>
          <w:i/>
          <w:iCs/>
          <w:color w:val="000000"/>
        </w:rPr>
        <w:t xml:space="preserve"> -</w:t>
      </w:r>
      <w:r w:rsidRPr="00FB1AE1">
        <w:rPr>
          <w:rFonts w:eastAsia="Times New Roman" w:cs="Arial"/>
          <w:color w:val="000000"/>
        </w:rPr>
        <w:t xml:space="preserve"> </w:t>
      </w:r>
      <w:r w:rsidRPr="00FB1AE1">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FB1AE1">
        <w:rPr>
          <w:rFonts w:eastAsia="Times New Roman" w:cs="Arial"/>
          <w:i/>
          <w:iCs/>
          <w:color w:val="000000"/>
          <w:lang w:val="en-US"/>
        </w:rPr>
        <w:t>VA</w:t>
      </w:r>
      <w:r w:rsidRPr="00FB1AE1">
        <w:rPr>
          <w:rFonts w:eastAsia="Times New Roman" w:cs="Arial"/>
          <w:i/>
          <w:iCs/>
          <w:color w:val="000000"/>
        </w:rPr>
        <w:t xml:space="preserve"> </w:t>
      </w:r>
      <w:r w:rsidRPr="00FB1AE1">
        <w:rPr>
          <w:rFonts w:eastAsia="Times New Roman" w:cs="Arial"/>
          <w:i/>
          <w:iCs/>
          <w:color w:val="000000"/>
          <w:lang w:val="en-US"/>
        </w:rPr>
        <w:t>NEPHRON</w:t>
      </w:r>
      <w:r w:rsidRPr="00FB1AE1">
        <w:rPr>
          <w:rFonts w:eastAsia="Times New Roman" w:cs="Arial"/>
          <w:i/>
          <w:iCs/>
          <w:color w:val="000000"/>
        </w:rPr>
        <w:t>-</w:t>
      </w:r>
      <w:r w:rsidRPr="00FB1AE1">
        <w:rPr>
          <w:rFonts w:eastAsia="Times New Roman" w:cs="Arial"/>
          <w:i/>
          <w:iCs/>
          <w:color w:val="000000"/>
          <w:lang w:val="en-US"/>
        </w:rPr>
        <w:t>D</w:t>
      </w:r>
      <w:r w:rsidRPr="00FB1AE1">
        <w:rPr>
          <w:rFonts w:eastAsia="Times New Roman" w:cs="Arial"/>
          <w:i/>
          <w:iCs/>
          <w:color w:val="000000"/>
        </w:rPr>
        <w:t xml:space="preserve"> </w:t>
      </w:r>
      <w:r w:rsidRPr="00FB1AE1">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FB1AE1">
        <w:rPr>
          <w:rFonts w:eastAsia="Times New Roman" w:cs="Arial"/>
          <w:color w:val="000000"/>
          <w:lang w:val="en-US"/>
        </w:rPr>
        <w:t>II</w:t>
      </w:r>
      <w:r w:rsidRPr="00FB1AE1">
        <w:rPr>
          <w:rFonts w:eastAsia="Times New Roman" w:cs="Arial"/>
          <w:color w:val="000000"/>
          <w:lang w:eastAsia="bg-BG"/>
        </w:rPr>
        <w:t>-рецепторен блокер.</w:t>
      </w:r>
    </w:p>
    <w:p w14:paraId="666E7C9A" w14:textId="77777777" w:rsidR="00FB1AE1" w:rsidRPr="00FB1AE1" w:rsidRDefault="00FB1AE1" w:rsidP="00FB1AE1">
      <w:pPr>
        <w:spacing w:line="240" w:lineRule="auto"/>
        <w:rPr>
          <w:rFonts w:eastAsia="Times New Roman" w:cs="Arial"/>
        </w:rPr>
      </w:pPr>
      <w:r w:rsidRPr="00FB1AE1">
        <w:rPr>
          <w:rFonts w:eastAsia="Times New Roman" w:cs="Arial"/>
          <w:i/>
          <w:iCs/>
          <w:color w:val="000000"/>
          <w:lang w:val="en-US"/>
        </w:rPr>
        <w:t>ONTARGET</w:t>
      </w:r>
      <w:r w:rsidRPr="00FB1AE1">
        <w:rPr>
          <w:rFonts w:eastAsia="Times New Roman" w:cs="Arial"/>
          <w:color w:val="000000"/>
          <w:lang w:val="ru-RU"/>
        </w:rPr>
        <w:t xml:space="preserve"> </w:t>
      </w:r>
      <w:r w:rsidRPr="00FB1AE1">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FB1AE1">
        <w:rPr>
          <w:rFonts w:eastAsia="Times New Roman" w:cs="Arial"/>
          <w:i/>
          <w:iCs/>
          <w:color w:val="000000"/>
          <w:lang w:val="en-US"/>
        </w:rPr>
        <w:t>VA</w:t>
      </w:r>
      <w:r w:rsidRPr="00FB1AE1">
        <w:rPr>
          <w:rFonts w:eastAsia="Times New Roman" w:cs="Arial"/>
          <w:i/>
          <w:iCs/>
          <w:color w:val="000000"/>
          <w:lang w:val="ru-RU"/>
        </w:rPr>
        <w:t xml:space="preserve"> </w:t>
      </w:r>
      <w:r w:rsidRPr="00FB1AE1">
        <w:rPr>
          <w:rFonts w:eastAsia="Times New Roman" w:cs="Arial"/>
          <w:i/>
          <w:iCs/>
          <w:color w:val="000000"/>
          <w:lang w:val="en-US"/>
        </w:rPr>
        <w:t>NEPHRON</w:t>
      </w:r>
      <w:r w:rsidRPr="00FB1AE1">
        <w:rPr>
          <w:rFonts w:eastAsia="Times New Roman" w:cs="Arial"/>
          <w:i/>
          <w:iCs/>
          <w:color w:val="000000"/>
          <w:lang w:val="ru-RU"/>
        </w:rPr>
        <w:t>-</w:t>
      </w:r>
      <w:r w:rsidRPr="00FB1AE1">
        <w:rPr>
          <w:rFonts w:eastAsia="Times New Roman" w:cs="Arial"/>
          <w:i/>
          <w:iCs/>
          <w:color w:val="000000"/>
          <w:lang w:val="en-US"/>
        </w:rPr>
        <w:t>D</w:t>
      </w:r>
      <w:r w:rsidRPr="00FB1AE1">
        <w:rPr>
          <w:rFonts w:eastAsia="Times New Roman" w:cs="Arial"/>
          <w:color w:val="000000"/>
          <w:lang w:val="ru-RU"/>
        </w:rPr>
        <w:t xml:space="preserve"> </w:t>
      </w:r>
      <w:r w:rsidRPr="00FB1AE1">
        <w:rPr>
          <w:rFonts w:eastAsia="Times New Roman" w:cs="Arial"/>
          <w:color w:val="000000"/>
          <w:lang w:eastAsia="bg-BG"/>
        </w:rPr>
        <w:t>е проучване при пациенти със захарен диабет тип 2 и диабетна нефропатия.</w:t>
      </w:r>
    </w:p>
    <w:p w14:paraId="37AF0314"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Тези проучвания не показват значим благоприятен ефект върху бъбречните и/или сърдечно</w:t>
      </w:r>
      <w:r w:rsidRPr="00FB1AE1">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FB1AE1">
        <w:rPr>
          <w:rFonts w:eastAsia="Times New Roman" w:cs="Arial"/>
          <w:color w:val="000000"/>
          <w:lang w:val="en-US"/>
        </w:rPr>
        <w:t>II</w:t>
      </w:r>
      <w:r w:rsidRPr="00FB1AE1">
        <w:rPr>
          <w:rFonts w:eastAsia="Times New Roman" w:cs="Arial"/>
          <w:color w:val="000000"/>
          <w:lang w:eastAsia="bg-BG"/>
        </w:rPr>
        <w:t>-рецепторни блокери.</w:t>
      </w:r>
    </w:p>
    <w:p w14:paraId="5015D5A8"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АСЕ инхибитори и ангиотензин </w:t>
      </w:r>
      <w:r w:rsidRPr="00FB1AE1">
        <w:rPr>
          <w:rFonts w:eastAsia="Times New Roman" w:cs="Arial"/>
          <w:color w:val="000000"/>
          <w:lang w:val="en-US"/>
        </w:rPr>
        <w:t>II</w:t>
      </w:r>
      <w:r w:rsidRPr="00FB1AE1">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70B25B21" w14:textId="77777777" w:rsidR="00FB1AE1" w:rsidRPr="00FB1AE1" w:rsidRDefault="00FB1AE1" w:rsidP="00FB1AE1">
      <w:pPr>
        <w:spacing w:line="240" w:lineRule="auto"/>
        <w:rPr>
          <w:rFonts w:eastAsia="Times New Roman" w:cs="Arial"/>
        </w:rPr>
      </w:pPr>
      <w:r w:rsidRPr="00FB1AE1">
        <w:rPr>
          <w:rFonts w:eastAsia="Times New Roman" w:cs="Arial"/>
          <w:i/>
          <w:iCs/>
          <w:color w:val="000000"/>
          <w:lang w:val="en-US"/>
        </w:rPr>
        <w:t>ALTITUDE</w:t>
      </w:r>
      <w:r w:rsidRPr="00FB1AE1">
        <w:rPr>
          <w:rFonts w:eastAsia="Times New Roman" w:cs="Arial"/>
          <w:color w:val="000000"/>
          <w:lang w:val="ru-RU"/>
        </w:rPr>
        <w:t xml:space="preserve"> </w:t>
      </w:r>
      <w:r w:rsidRPr="00FB1AE1">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w:t>
      </w:r>
    </w:p>
    <w:p w14:paraId="055EFDAC"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 е проучване, предназначено да изследва ползата от добавянето на алискирен към стандартна терапия с АСЕ инхибитор или ангиотензин</w:t>
      </w:r>
      <w:r w:rsidRPr="00FB1AE1">
        <w:rPr>
          <w:rFonts w:eastAsia="Times New Roman" w:cs="Arial"/>
          <w:color w:val="000000"/>
          <w:lang w:val="ru-RU"/>
        </w:rPr>
        <w:t xml:space="preserve"> </w:t>
      </w:r>
      <w:r w:rsidRPr="00FB1AE1">
        <w:rPr>
          <w:rFonts w:eastAsia="Times New Roman" w:cs="Arial"/>
          <w:color w:val="000000"/>
          <w:lang w:val="en-US"/>
        </w:rPr>
        <w:t>II</w:t>
      </w:r>
      <w:r w:rsidRPr="00FB1AE1">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A288C38" w14:textId="6CCB82C6" w:rsidR="00FB1AE1" w:rsidRPr="00FB1AE1" w:rsidRDefault="00FB1AE1" w:rsidP="00FB1AE1"/>
    <w:p w14:paraId="35F84B81" w14:textId="33EA34CD" w:rsidR="00CF77F7" w:rsidRDefault="002C50EE" w:rsidP="004A448E">
      <w:pPr>
        <w:pStyle w:val="Heading2"/>
      </w:pPr>
      <w:r>
        <w:t>5.2. Фармакокинетични свойства</w:t>
      </w:r>
    </w:p>
    <w:p w14:paraId="3AF862C2" w14:textId="5664E65B" w:rsidR="00FB1AE1" w:rsidRDefault="00FB1AE1" w:rsidP="00FB1AE1"/>
    <w:p w14:paraId="0DFB478E" w14:textId="77777777" w:rsidR="00FB1AE1" w:rsidRPr="00FB1AE1" w:rsidRDefault="00FB1AE1" w:rsidP="00FB1AE1">
      <w:pPr>
        <w:pStyle w:val="Heading3"/>
        <w:rPr>
          <w:rFonts w:eastAsia="Times New Roman"/>
          <w:u w:val="single"/>
        </w:rPr>
      </w:pPr>
      <w:r w:rsidRPr="00FB1AE1">
        <w:rPr>
          <w:rFonts w:eastAsia="Times New Roman"/>
          <w:u w:val="single"/>
          <w:lang w:eastAsia="bg-BG"/>
        </w:rPr>
        <w:t>Абсорбция и разпределение</w:t>
      </w:r>
    </w:p>
    <w:p w14:paraId="59D2B7E6" w14:textId="77777777" w:rsidR="00FB1AE1" w:rsidRPr="00FB1AE1" w:rsidRDefault="00FB1AE1" w:rsidP="00FB1AE1">
      <w:pPr>
        <w:rPr>
          <w:rFonts w:eastAsia="Times New Roman" w:cs="Arial"/>
          <w:color w:val="000000"/>
          <w:lang w:eastAsia="bg-BG"/>
        </w:rPr>
      </w:pPr>
    </w:p>
    <w:p w14:paraId="4F5A71A9" w14:textId="77777777" w:rsidR="00FB1AE1" w:rsidRPr="00FB1AE1" w:rsidRDefault="00FB1AE1" w:rsidP="00FB1AE1">
      <w:pPr>
        <w:rPr>
          <w:rFonts w:eastAsia="Times New Roman" w:cs="Arial"/>
        </w:rPr>
      </w:pPr>
      <w:r w:rsidRPr="00FB1AE1">
        <w:rPr>
          <w:rFonts w:eastAsia="Times New Roman" w:cs="Arial"/>
          <w:color w:val="000000"/>
          <w:lang w:eastAsia="bg-BG"/>
        </w:rPr>
        <w:t xml:space="preserve">След перорално приложение кандесартан цилексетил се превръща в активната субстанция кандесартан. След приложението на разтвор за перорално приложение на </w:t>
      </w:r>
      <w:r w:rsidRPr="00FB1AE1">
        <w:rPr>
          <w:rFonts w:eastAsia="Times New Roman" w:cs="Arial"/>
          <w:color w:val="000000"/>
          <w:lang w:eastAsia="bg-BG"/>
        </w:rPr>
        <w:lastRenderedPageBreak/>
        <w:t>кандесартан цилексетил, абсолютната бионаличност на кандесартан е приблизително 40%. Относителната бионаличност на таблетната форма в сравнение със същия разтвор за перорално приложение е приблизително 34%, с много малка вариабилност. Следователно изчислената абсолютна бионаличност на таблетката е 14%. Средната максимална серумна концентрация (С</w:t>
      </w:r>
      <w:r w:rsidRPr="00FB1AE1">
        <w:rPr>
          <w:rFonts w:eastAsia="Times New Roman" w:cs="Arial"/>
          <w:color w:val="000000"/>
          <w:lang w:val="en-US"/>
        </w:rPr>
        <w:t>max</w:t>
      </w:r>
      <w:r w:rsidRPr="00FB1AE1">
        <w:rPr>
          <w:rFonts w:eastAsia="Times New Roman" w:cs="Arial"/>
          <w:color w:val="000000"/>
          <w:lang w:val="ru-RU"/>
        </w:rPr>
        <w:t xml:space="preserve">) </w:t>
      </w:r>
      <w:r w:rsidRPr="00FB1AE1">
        <w:rPr>
          <w:rFonts w:eastAsia="Times New Roman" w:cs="Arial"/>
          <w:color w:val="000000"/>
          <w:lang w:eastAsia="bg-BG"/>
        </w:rPr>
        <w:t xml:space="preserve">се достига 3-4 часа след приема на таблетката. Серумните концентрации на кандесартан нарастват линейно с увеличаване на дозите в терапевтичните дозови граници. Не са наблюдавани полови разлики във фармакокинетиката на кандесартан. Площта под кривата серумна концентрация/време </w:t>
      </w:r>
      <w:r w:rsidRPr="00FB1AE1">
        <w:rPr>
          <w:rFonts w:eastAsia="Times New Roman" w:cs="Arial"/>
          <w:color w:val="000000"/>
          <w:lang w:val="ru-RU"/>
        </w:rPr>
        <w:t>(</w:t>
      </w:r>
      <w:r w:rsidRPr="00FB1AE1">
        <w:rPr>
          <w:rFonts w:eastAsia="Times New Roman" w:cs="Arial"/>
          <w:color w:val="000000"/>
          <w:lang w:val="en-US"/>
        </w:rPr>
        <w:t>AUC</w:t>
      </w:r>
      <w:r w:rsidRPr="00FB1AE1">
        <w:rPr>
          <w:rFonts w:eastAsia="Times New Roman" w:cs="Arial"/>
          <w:color w:val="000000"/>
          <w:lang w:val="ru-RU"/>
        </w:rPr>
        <w:t xml:space="preserve">) </w:t>
      </w:r>
      <w:r w:rsidRPr="00FB1AE1">
        <w:rPr>
          <w:rFonts w:eastAsia="Times New Roman" w:cs="Arial"/>
          <w:color w:val="000000"/>
          <w:lang w:eastAsia="bg-BG"/>
        </w:rPr>
        <w:t>на кандесартан не се повлиява значимо от храна.</w:t>
      </w:r>
    </w:p>
    <w:p w14:paraId="5BC7306B"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Кандесартан е свързан във висока степен (над 99%) с плазмените протеини. Привидния обем на разпределение на кандесартан е 0,1</w:t>
      </w:r>
      <w:r w:rsidRPr="00FB1AE1">
        <w:rPr>
          <w:rFonts w:eastAsia="Times New Roman" w:cs="Arial"/>
          <w:color w:val="000000"/>
          <w:lang w:val="ru-RU"/>
        </w:rPr>
        <w:t>1/</w:t>
      </w:r>
      <w:r w:rsidRPr="00FB1AE1">
        <w:rPr>
          <w:rFonts w:eastAsia="Times New Roman" w:cs="Arial"/>
          <w:color w:val="000000"/>
          <w:lang w:val="en-US"/>
        </w:rPr>
        <w:t>kg</w:t>
      </w:r>
      <w:r w:rsidRPr="00FB1AE1">
        <w:rPr>
          <w:rFonts w:eastAsia="Times New Roman" w:cs="Arial"/>
          <w:color w:val="000000"/>
          <w:lang w:val="ru-RU"/>
        </w:rPr>
        <w:t>.</w:t>
      </w:r>
    </w:p>
    <w:p w14:paraId="0399526A" w14:textId="77777777" w:rsidR="00FB1AE1" w:rsidRPr="00FB1AE1" w:rsidRDefault="00FB1AE1" w:rsidP="00FB1AE1">
      <w:pPr>
        <w:spacing w:line="240" w:lineRule="auto"/>
        <w:rPr>
          <w:rFonts w:eastAsia="Times New Roman" w:cs="Arial"/>
        </w:rPr>
      </w:pPr>
      <w:r w:rsidRPr="00FB1AE1">
        <w:rPr>
          <w:rFonts w:eastAsia="Times New Roman" w:cs="Arial"/>
          <w:color w:val="000000"/>
          <w:lang w:eastAsia="bg-BG"/>
        </w:rPr>
        <w:t>Бионаличността на кандесартан не се повлиява от храна.</w:t>
      </w:r>
    </w:p>
    <w:p w14:paraId="05FA95A5" w14:textId="77777777" w:rsidR="00FB1AE1" w:rsidRPr="00FB1AE1" w:rsidRDefault="00FB1AE1" w:rsidP="00FB1AE1">
      <w:pPr>
        <w:spacing w:line="240" w:lineRule="auto"/>
        <w:rPr>
          <w:rFonts w:eastAsia="Times New Roman" w:cs="Arial"/>
          <w:color w:val="000000"/>
          <w:u w:val="single"/>
          <w:lang w:eastAsia="bg-BG"/>
        </w:rPr>
      </w:pPr>
    </w:p>
    <w:p w14:paraId="2BFB624F" w14:textId="7913C1B1" w:rsidR="00FB1AE1" w:rsidRPr="00FB1AE1" w:rsidRDefault="00FB1AE1" w:rsidP="00FB1AE1">
      <w:pPr>
        <w:pStyle w:val="Heading3"/>
        <w:rPr>
          <w:rFonts w:eastAsia="Times New Roman"/>
          <w:u w:val="single"/>
        </w:rPr>
      </w:pPr>
      <w:r w:rsidRPr="00FB1AE1">
        <w:rPr>
          <w:rFonts w:eastAsia="Times New Roman"/>
          <w:u w:val="single"/>
          <w:lang w:eastAsia="bg-BG"/>
        </w:rPr>
        <w:t>Биотрансформация и елиминиране</w:t>
      </w:r>
    </w:p>
    <w:p w14:paraId="63B76420" w14:textId="77777777" w:rsidR="00FB1AE1" w:rsidRPr="00FB1AE1" w:rsidRDefault="00FB1AE1" w:rsidP="00FB1AE1">
      <w:pPr>
        <w:spacing w:line="240" w:lineRule="auto"/>
        <w:rPr>
          <w:rFonts w:eastAsia="Times New Roman" w:cs="Arial"/>
          <w:color w:val="000000"/>
          <w:lang w:eastAsia="bg-BG"/>
        </w:rPr>
      </w:pPr>
    </w:p>
    <w:p w14:paraId="65F73435" w14:textId="794B959B"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Кандесартан се елиминира предимно в непроменена форма с урината и жлъчката и само в малка степен се елиминира чрез чернодробен метаболизъм </w:t>
      </w:r>
      <w:r w:rsidRPr="00FB1AE1">
        <w:rPr>
          <w:rFonts w:eastAsia="Times New Roman" w:cs="Arial"/>
          <w:color w:val="000000"/>
          <w:lang w:val="ru-RU"/>
        </w:rPr>
        <w:t>(</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C</w:t>
      </w:r>
      <w:r w:rsidRPr="00FB1AE1">
        <w:rPr>
          <w:rFonts w:eastAsia="Times New Roman" w:cs="Arial"/>
          <w:color w:val="000000"/>
          <w:lang w:val="ru-RU"/>
        </w:rPr>
        <w:t xml:space="preserve">9). </w:t>
      </w:r>
      <w:r w:rsidRPr="00FB1AE1">
        <w:rPr>
          <w:rFonts w:eastAsia="Times New Roman" w:cs="Arial"/>
          <w:color w:val="000000"/>
          <w:lang w:eastAsia="bg-BG"/>
        </w:rPr>
        <w:t xml:space="preserve">Наличните проучвания за взаимодействие не показват ефект от </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C</w:t>
      </w:r>
      <w:r w:rsidRPr="00FB1AE1">
        <w:rPr>
          <w:rFonts w:eastAsia="Times New Roman" w:cs="Arial"/>
          <w:color w:val="000000"/>
          <w:lang w:val="ru-RU"/>
        </w:rPr>
        <w:t xml:space="preserve">9 </w:t>
      </w:r>
      <w:r w:rsidRPr="00FB1AE1">
        <w:rPr>
          <w:rFonts w:eastAsia="Times New Roman" w:cs="Arial"/>
          <w:color w:val="000000"/>
          <w:lang w:eastAsia="bg-BG"/>
        </w:rPr>
        <w:t xml:space="preserve">и </w:t>
      </w:r>
      <w:r w:rsidRPr="00FB1AE1">
        <w:rPr>
          <w:rFonts w:eastAsia="Times New Roman" w:cs="Arial"/>
          <w:color w:val="000000"/>
          <w:lang w:val="en-US"/>
        </w:rPr>
        <w:t>CYP</w:t>
      </w:r>
      <w:r w:rsidRPr="00FB1AE1">
        <w:rPr>
          <w:rFonts w:eastAsia="Times New Roman" w:cs="Arial"/>
          <w:color w:val="000000"/>
          <w:lang w:val="ru-RU"/>
        </w:rPr>
        <w:t>3</w:t>
      </w:r>
      <w:r w:rsidRPr="00FB1AE1">
        <w:rPr>
          <w:rFonts w:eastAsia="Times New Roman" w:cs="Arial"/>
          <w:color w:val="000000"/>
          <w:lang w:val="en-US"/>
        </w:rPr>
        <w:t>A</w:t>
      </w:r>
      <w:r w:rsidRPr="00FB1AE1">
        <w:rPr>
          <w:rFonts w:eastAsia="Times New Roman" w:cs="Arial"/>
          <w:color w:val="000000"/>
          <w:lang w:val="ru-RU"/>
        </w:rPr>
        <w:t xml:space="preserve">4. </w:t>
      </w:r>
      <w:r w:rsidRPr="00FB1AE1">
        <w:rPr>
          <w:rFonts w:eastAsia="Times New Roman" w:cs="Arial"/>
          <w:color w:val="000000"/>
          <w:lang w:eastAsia="bg-BG"/>
        </w:rPr>
        <w:t xml:space="preserve">Въз основа на </w:t>
      </w:r>
      <w:r w:rsidRPr="00FB1AE1">
        <w:rPr>
          <w:rFonts w:eastAsia="Times New Roman" w:cs="Arial"/>
          <w:i/>
          <w:iCs/>
          <w:color w:val="000000"/>
          <w:lang w:val="en-US"/>
        </w:rPr>
        <w:t>in</w:t>
      </w:r>
      <w:r w:rsidRPr="00FB1AE1">
        <w:rPr>
          <w:rFonts w:eastAsia="Times New Roman" w:cs="Arial"/>
          <w:i/>
          <w:iCs/>
          <w:color w:val="000000"/>
          <w:lang w:val="ru-RU"/>
        </w:rPr>
        <w:t xml:space="preserve"> </w:t>
      </w:r>
      <w:r w:rsidRPr="00FB1AE1">
        <w:rPr>
          <w:rFonts w:eastAsia="Times New Roman" w:cs="Arial"/>
          <w:i/>
          <w:iCs/>
          <w:color w:val="000000"/>
          <w:lang w:val="en-US"/>
        </w:rPr>
        <w:t>vitro</w:t>
      </w:r>
      <w:r w:rsidRPr="00FB1AE1">
        <w:rPr>
          <w:rFonts w:eastAsia="Times New Roman" w:cs="Arial"/>
          <w:color w:val="000000"/>
          <w:lang w:val="ru-RU"/>
        </w:rPr>
        <w:t xml:space="preserve"> </w:t>
      </w:r>
      <w:r w:rsidRPr="00FB1AE1">
        <w:rPr>
          <w:rFonts w:eastAsia="Times New Roman" w:cs="Arial"/>
          <w:color w:val="000000"/>
          <w:lang w:eastAsia="bg-BG"/>
        </w:rPr>
        <w:t xml:space="preserve">данни, не се очаква да възникне взаимодействие </w:t>
      </w:r>
      <w:r w:rsidRPr="00FB1AE1">
        <w:rPr>
          <w:rFonts w:eastAsia="Times New Roman" w:cs="Arial"/>
          <w:i/>
          <w:iCs/>
          <w:color w:val="000000"/>
          <w:lang w:val="en-US"/>
        </w:rPr>
        <w:t>in</w:t>
      </w:r>
      <w:r w:rsidRPr="00FB1AE1">
        <w:rPr>
          <w:rFonts w:eastAsia="Times New Roman" w:cs="Arial"/>
          <w:i/>
          <w:iCs/>
          <w:color w:val="000000"/>
          <w:lang w:val="ru-RU"/>
        </w:rPr>
        <w:t xml:space="preserve"> </w:t>
      </w:r>
      <w:r w:rsidRPr="00FB1AE1">
        <w:rPr>
          <w:rFonts w:eastAsia="Times New Roman" w:cs="Arial"/>
          <w:i/>
          <w:iCs/>
          <w:color w:val="000000"/>
          <w:lang w:val="en-US"/>
        </w:rPr>
        <w:t>vivo</w:t>
      </w:r>
      <w:r w:rsidRPr="00FB1AE1">
        <w:rPr>
          <w:rFonts w:eastAsia="Times New Roman" w:cs="Arial"/>
          <w:color w:val="000000"/>
          <w:lang w:val="ru-RU"/>
        </w:rPr>
        <w:t xml:space="preserve"> </w:t>
      </w:r>
      <w:r w:rsidRPr="00FB1AE1">
        <w:rPr>
          <w:rFonts w:eastAsia="Times New Roman" w:cs="Arial"/>
          <w:color w:val="000000"/>
          <w:lang w:eastAsia="bg-BG"/>
        </w:rPr>
        <w:t xml:space="preserve">при лекарства, чийто метаболизъм зависи от цитохром Р450 изоензими </w:t>
      </w:r>
      <w:r w:rsidRPr="00FB1AE1">
        <w:rPr>
          <w:rFonts w:eastAsia="Times New Roman" w:cs="Arial"/>
          <w:color w:val="000000"/>
          <w:lang w:val="en-US"/>
        </w:rPr>
        <w:t>CYP</w:t>
      </w:r>
      <w:r w:rsidRPr="00FB1AE1">
        <w:rPr>
          <w:rFonts w:eastAsia="Times New Roman" w:cs="Arial"/>
          <w:color w:val="000000"/>
          <w:lang w:val="ru-RU"/>
        </w:rPr>
        <w:t>1</w:t>
      </w:r>
      <w:r w:rsidRPr="00FB1AE1">
        <w:rPr>
          <w:rFonts w:eastAsia="Times New Roman" w:cs="Arial"/>
          <w:color w:val="000000"/>
          <w:lang w:val="en-US"/>
        </w:rPr>
        <w:t>A</w:t>
      </w:r>
      <w:r w:rsidRPr="00FB1AE1">
        <w:rPr>
          <w:rFonts w:eastAsia="Times New Roman" w:cs="Arial"/>
          <w:color w:val="000000"/>
          <w:lang w:val="ru-RU"/>
        </w:rPr>
        <w:t xml:space="preserve">2, </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A</w:t>
      </w:r>
      <w:r w:rsidRPr="00FB1AE1">
        <w:rPr>
          <w:rFonts w:eastAsia="Times New Roman" w:cs="Arial"/>
          <w:color w:val="000000"/>
          <w:lang w:val="ru-RU"/>
        </w:rPr>
        <w:t xml:space="preserve">6, </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C</w:t>
      </w:r>
      <w:r w:rsidRPr="00FB1AE1">
        <w:rPr>
          <w:rFonts w:eastAsia="Times New Roman" w:cs="Arial"/>
          <w:color w:val="000000"/>
          <w:lang w:val="ru-RU"/>
        </w:rPr>
        <w:t xml:space="preserve">9, </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C</w:t>
      </w:r>
      <w:r w:rsidRPr="00FB1AE1">
        <w:rPr>
          <w:rFonts w:eastAsia="Times New Roman" w:cs="Arial"/>
          <w:color w:val="000000"/>
          <w:lang w:val="ru-RU"/>
        </w:rPr>
        <w:t xml:space="preserve">19, </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D</w:t>
      </w:r>
      <w:r w:rsidRPr="00FB1AE1">
        <w:rPr>
          <w:rFonts w:eastAsia="Times New Roman" w:cs="Arial"/>
          <w:color w:val="000000"/>
          <w:lang w:val="ru-RU"/>
        </w:rPr>
        <w:t xml:space="preserve">6, </w:t>
      </w:r>
      <w:r w:rsidRPr="00FB1AE1">
        <w:rPr>
          <w:rFonts w:eastAsia="Times New Roman" w:cs="Arial"/>
          <w:color w:val="000000"/>
          <w:lang w:val="en-US"/>
        </w:rPr>
        <w:t>CYP</w:t>
      </w:r>
      <w:r w:rsidRPr="00FB1AE1">
        <w:rPr>
          <w:rFonts w:eastAsia="Times New Roman" w:cs="Arial"/>
          <w:color w:val="000000"/>
          <w:lang w:val="ru-RU"/>
        </w:rPr>
        <w:t>2</w:t>
      </w:r>
      <w:r w:rsidRPr="00FB1AE1">
        <w:rPr>
          <w:rFonts w:eastAsia="Times New Roman" w:cs="Arial"/>
          <w:color w:val="000000"/>
          <w:lang w:val="en-US"/>
        </w:rPr>
        <w:t>E</w:t>
      </w:r>
      <w:r w:rsidRPr="00FB1AE1">
        <w:rPr>
          <w:rFonts w:eastAsia="Times New Roman" w:cs="Arial"/>
          <w:color w:val="000000"/>
          <w:lang w:val="ru-RU"/>
        </w:rPr>
        <w:t xml:space="preserve">1 </w:t>
      </w:r>
      <w:r w:rsidRPr="00FB1AE1">
        <w:rPr>
          <w:rFonts w:eastAsia="Times New Roman" w:cs="Arial"/>
          <w:color w:val="000000"/>
          <w:lang w:eastAsia="bg-BG"/>
        </w:rPr>
        <w:t xml:space="preserve">или </w:t>
      </w:r>
      <w:r w:rsidRPr="00FB1AE1">
        <w:rPr>
          <w:rFonts w:eastAsia="Times New Roman" w:cs="Arial"/>
          <w:color w:val="000000"/>
          <w:lang w:val="en-US"/>
        </w:rPr>
        <w:t>CYP</w:t>
      </w:r>
      <w:r w:rsidRPr="00FB1AE1">
        <w:rPr>
          <w:rFonts w:eastAsia="Times New Roman" w:cs="Arial"/>
          <w:color w:val="000000"/>
          <w:lang w:val="ru-RU"/>
        </w:rPr>
        <w:t>3</w:t>
      </w:r>
      <w:r w:rsidRPr="00FB1AE1">
        <w:rPr>
          <w:rFonts w:eastAsia="Times New Roman" w:cs="Arial"/>
          <w:color w:val="000000"/>
          <w:lang w:val="en-US"/>
        </w:rPr>
        <w:t>A</w:t>
      </w:r>
      <w:r w:rsidRPr="00FB1AE1">
        <w:rPr>
          <w:rFonts w:eastAsia="Times New Roman" w:cs="Arial"/>
          <w:color w:val="000000"/>
          <w:lang w:val="ru-RU"/>
        </w:rPr>
        <w:t xml:space="preserve">4. </w:t>
      </w:r>
      <w:r w:rsidRPr="00FB1AE1">
        <w:rPr>
          <w:rFonts w:eastAsia="Times New Roman" w:cs="Arial"/>
          <w:color w:val="000000"/>
          <w:lang w:eastAsia="bg-BG"/>
        </w:rPr>
        <w:t>Крайният елиминационен полуживот на кандесартан е приблизително 9 часа. Няма акумулиране след многократно приложение.</w:t>
      </w:r>
    </w:p>
    <w:p w14:paraId="5EBF6EE5" w14:textId="77777777" w:rsidR="00FB1AE1" w:rsidRPr="00FB1AE1" w:rsidRDefault="00FB1AE1" w:rsidP="00FB1AE1">
      <w:pPr>
        <w:spacing w:line="240" w:lineRule="auto"/>
        <w:rPr>
          <w:rFonts w:eastAsia="Times New Roman" w:cs="Arial"/>
          <w:color w:val="000000"/>
          <w:lang w:eastAsia="bg-BG"/>
        </w:rPr>
      </w:pPr>
    </w:p>
    <w:p w14:paraId="579AC858" w14:textId="0D89138B"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Общият плазмен клирънс на кандесартан е около 0,37 </w:t>
      </w:r>
      <w:r w:rsidRPr="00FB1AE1">
        <w:rPr>
          <w:rFonts w:eastAsia="Times New Roman" w:cs="Arial"/>
          <w:color w:val="000000"/>
          <w:lang w:val="en-US"/>
        </w:rPr>
        <w:t>ml</w:t>
      </w:r>
      <w:r w:rsidRPr="00FB1AE1">
        <w:rPr>
          <w:rFonts w:eastAsia="Times New Roman" w:cs="Arial"/>
          <w:color w:val="000000"/>
        </w:rPr>
        <w:t>/</w:t>
      </w:r>
      <w:r w:rsidRPr="00FB1AE1">
        <w:rPr>
          <w:rFonts w:eastAsia="Times New Roman" w:cs="Arial"/>
          <w:color w:val="000000"/>
          <w:lang w:val="en-US"/>
        </w:rPr>
        <w:t>min</w:t>
      </w:r>
      <w:r w:rsidRPr="00FB1AE1">
        <w:rPr>
          <w:rFonts w:eastAsia="Times New Roman" w:cs="Arial"/>
          <w:color w:val="000000"/>
        </w:rPr>
        <w:t>/</w:t>
      </w:r>
      <w:r w:rsidRPr="00FB1AE1">
        <w:rPr>
          <w:rFonts w:eastAsia="Times New Roman" w:cs="Arial"/>
          <w:color w:val="000000"/>
          <w:lang w:val="en-US"/>
        </w:rPr>
        <w:t>kg</w:t>
      </w:r>
      <w:r w:rsidRPr="00FB1AE1">
        <w:rPr>
          <w:rFonts w:eastAsia="Times New Roman" w:cs="Arial"/>
          <w:color w:val="000000"/>
        </w:rPr>
        <w:t xml:space="preserve">, </w:t>
      </w:r>
      <w:r w:rsidRPr="00FB1AE1">
        <w:rPr>
          <w:rFonts w:eastAsia="Times New Roman" w:cs="Arial"/>
          <w:color w:val="000000"/>
          <w:lang w:eastAsia="bg-BG"/>
        </w:rPr>
        <w:t xml:space="preserve">като бъбречният клирънс е около 0,19 </w:t>
      </w:r>
      <w:r w:rsidRPr="00FB1AE1">
        <w:rPr>
          <w:rFonts w:eastAsia="Times New Roman" w:cs="Arial"/>
          <w:color w:val="000000"/>
          <w:lang w:val="en-US"/>
        </w:rPr>
        <w:t>ml</w:t>
      </w:r>
      <w:r w:rsidRPr="00FB1AE1">
        <w:rPr>
          <w:rFonts w:eastAsia="Times New Roman" w:cs="Arial"/>
          <w:color w:val="000000"/>
        </w:rPr>
        <w:t>/</w:t>
      </w:r>
      <w:r w:rsidRPr="00FB1AE1">
        <w:rPr>
          <w:rFonts w:eastAsia="Times New Roman" w:cs="Arial"/>
          <w:color w:val="000000"/>
          <w:lang w:val="en-US"/>
        </w:rPr>
        <w:t>min</w:t>
      </w:r>
      <w:r w:rsidRPr="00FB1AE1">
        <w:rPr>
          <w:rFonts w:eastAsia="Times New Roman" w:cs="Arial"/>
          <w:color w:val="000000"/>
        </w:rPr>
        <w:t>/</w:t>
      </w:r>
      <w:r w:rsidRPr="00FB1AE1">
        <w:rPr>
          <w:rFonts w:eastAsia="Times New Roman" w:cs="Arial"/>
          <w:color w:val="000000"/>
          <w:lang w:val="en-US"/>
        </w:rPr>
        <w:t>kg</w:t>
      </w:r>
      <w:r w:rsidRPr="00FB1AE1">
        <w:rPr>
          <w:rFonts w:eastAsia="Times New Roman" w:cs="Arial"/>
          <w:color w:val="000000"/>
        </w:rPr>
        <w:t xml:space="preserve">. </w:t>
      </w:r>
      <w:r w:rsidRPr="00FB1AE1">
        <w:rPr>
          <w:rFonts w:eastAsia="Times New Roman" w:cs="Arial"/>
          <w:color w:val="000000"/>
          <w:lang w:eastAsia="bg-BG"/>
        </w:rPr>
        <w:t>Елиминирането на кандесартан през бъбреците се осъществява и чрез гломерулна филтрация и чрез тубуларна секреция. След перорално приложение на 14С-белязан кандесартан цилексетил , приблизително 26% от дозата се екскретират с урината като кандесартан и 7%, под формата на неактивен метаболит, докато приблизително 56% от дозата се откриват във фекалиите като кандесартан и 10%, под формата на неактивен метаболит.</w:t>
      </w:r>
    </w:p>
    <w:p w14:paraId="2D433F9E" w14:textId="77777777" w:rsidR="00FB1AE1" w:rsidRPr="00FB1AE1" w:rsidRDefault="00FB1AE1" w:rsidP="00FB1AE1">
      <w:pPr>
        <w:spacing w:line="240" w:lineRule="auto"/>
        <w:rPr>
          <w:rFonts w:eastAsia="Times New Roman" w:cs="Arial"/>
          <w:color w:val="000000"/>
          <w:u w:val="single"/>
          <w:lang w:eastAsia="bg-BG"/>
        </w:rPr>
      </w:pPr>
    </w:p>
    <w:p w14:paraId="6804B1CE" w14:textId="5E8B9E42" w:rsidR="00FB1AE1" w:rsidRPr="00FB1AE1" w:rsidRDefault="00FB1AE1" w:rsidP="00FB1AE1">
      <w:pPr>
        <w:pStyle w:val="Heading3"/>
        <w:rPr>
          <w:rFonts w:eastAsia="Times New Roman"/>
          <w:u w:val="single"/>
        </w:rPr>
      </w:pPr>
      <w:r w:rsidRPr="00FB1AE1">
        <w:rPr>
          <w:rFonts w:eastAsia="Times New Roman"/>
          <w:u w:val="single"/>
          <w:lang w:eastAsia="bg-BG"/>
        </w:rPr>
        <w:t>Фармакокинетика при специални популации</w:t>
      </w:r>
    </w:p>
    <w:p w14:paraId="4991197D" w14:textId="77777777" w:rsidR="00FB1AE1" w:rsidRPr="00FB1AE1" w:rsidRDefault="00FB1AE1" w:rsidP="00FB1AE1">
      <w:pPr>
        <w:spacing w:line="240" w:lineRule="auto"/>
        <w:rPr>
          <w:rFonts w:eastAsia="Times New Roman" w:cs="Arial"/>
          <w:color w:val="000000"/>
          <w:lang w:eastAsia="bg-BG"/>
        </w:rPr>
      </w:pPr>
    </w:p>
    <w:p w14:paraId="172623E0" w14:textId="710E3841"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При лица в старческа възраст (над 65 години) Стах и </w:t>
      </w:r>
      <w:r w:rsidRPr="00FB1AE1">
        <w:rPr>
          <w:rFonts w:eastAsia="Times New Roman" w:cs="Arial"/>
          <w:color w:val="000000"/>
          <w:lang w:val="en-US"/>
        </w:rPr>
        <w:t>AUC</w:t>
      </w:r>
      <w:r w:rsidRPr="00FB1AE1">
        <w:rPr>
          <w:rFonts w:eastAsia="Times New Roman" w:cs="Arial"/>
          <w:color w:val="000000"/>
          <w:lang w:val="ru-RU"/>
        </w:rPr>
        <w:t xml:space="preserve"> </w:t>
      </w:r>
      <w:r w:rsidRPr="00FB1AE1">
        <w:rPr>
          <w:rFonts w:eastAsia="Times New Roman" w:cs="Arial"/>
          <w:color w:val="000000"/>
          <w:lang w:eastAsia="bg-BG"/>
        </w:rPr>
        <w:t>на кандесартан са повишени с приблизително 50% и 80% съответно в сравнение с млади индивиди. Повлияването на артериалното налягане и честотата на нежеланите лекарствени реакции обаче са били сходни след определена доза кандесартан цилексетил при млади пациенти и пациенти в старческа възраст (вж. точка 4.2).</w:t>
      </w:r>
    </w:p>
    <w:p w14:paraId="0EF76E69" w14:textId="77777777" w:rsidR="00FB1AE1" w:rsidRPr="00FB1AE1" w:rsidRDefault="00FB1AE1" w:rsidP="00FB1AE1">
      <w:pPr>
        <w:spacing w:line="240" w:lineRule="auto"/>
        <w:rPr>
          <w:rFonts w:eastAsia="Times New Roman" w:cs="Arial"/>
          <w:color w:val="000000"/>
          <w:lang w:eastAsia="bg-BG"/>
        </w:rPr>
      </w:pPr>
    </w:p>
    <w:p w14:paraId="2D3AFB67" w14:textId="07EC4A9F"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При пациенти с леко до умерено бъбречно нарушение Стах и </w:t>
      </w:r>
      <w:r w:rsidRPr="00FB1AE1">
        <w:rPr>
          <w:rFonts w:eastAsia="Times New Roman" w:cs="Arial"/>
          <w:color w:val="000000"/>
          <w:lang w:val="en-US"/>
        </w:rPr>
        <w:t>AUC</w:t>
      </w:r>
      <w:r w:rsidRPr="00FB1AE1">
        <w:rPr>
          <w:rFonts w:eastAsia="Times New Roman" w:cs="Arial"/>
          <w:color w:val="000000"/>
          <w:lang w:val="ru-RU"/>
        </w:rPr>
        <w:t xml:space="preserve"> </w:t>
      </w:r>
      <w:r w:rsidRPr="00FB1AE1">
        <w:rPr>
          <w:rFonts w:eastAsia="Times New Roman" w:cs="Arial"/>
          <w:color w:val="000000"/>
          <w:lang w:eastAsia="bg-BG"/>
        </w:rPr>
        <w:t xml:space="preserve">на кандесартан са повишени при многократно приложение с 50% и съответно 70%, но не е повишено в сравнение с пациентите с нормална бъбречна функция. Съответните промени при пациенти с тежко бъбречно нарушение са били приблизително 50% и респективно 110%. При пациенти с тежко бъбречно нарушение </w:t>
      </w:r>
      <w:r w:rsidRPr="00FB1AE1">
        <w:rPr>
          <w:rFonts w:eastAsia="Times New Roman" w:cs="Arial"/>
          <w:color w:val="000000"/>
          <w:lang w:val="en-US"/>
        </w:rPr>
        <w:t>t</w:t>
      </w:r>
      <w:r w:rsidRPr="00FB1AE1">
        <w:rPr>
          <w:rFonts w:eastAsia="Times New Roman" w:cs="Arial"/>
          <w:color w:val="000000"/>
          <w:vertAlign w:val="subscript"/>
          <w:lang w:val="ru-RU"/>
        </w:rPr>
        <w:t>1/2</w:t>
      </w:r>
      <w:r w:rsidRPr="00FB1AE1">
        <w:rPr>
          <w:rFonts w:eastAsia="Times New Roman" w:cs="Arial"/>
          <w:color w:val="000000"/>
          <w:lang w:eastAsia="bg-BG"/>
        </w:rPr>
        <w:t xml:space="preserve"> на кандесартан приблизително се удвоява. Фармакокинетиката на кандесартан при пациенти, подложени на хемодиализа, е била подобна на тази при пациенти с тежко бъбречно нарушение.</w:t>
      </w:r>
    </w:p>
    <w:p w14:paraId="2D45C13A" w14:textId="77777777" w:rsidR="00FB1AE1" w:rsidRPr="00FB1AE1" w:rsidRDefault="00FB1AE1" w:rsidP="00FB1AE1">
      <w:pPr>
        <w:spacing w:line="240" w:lineRule="auto"/>
        <w:rPr>
          <w:rFonts w:eastAsia="Times New Roman" w:cs="Arial"/>
          <w:color w:val="000000"/>
          <w:lang w:eastAsia="bg-BG"/>
        </w:rPr>
      </w:pPr>
    </w:p>
    <w:p w14:paraId="4ACB6CA5" w14:textId="455371E9" w:rsidR="00FB1AE1" w:rsidRPr="00FB1AE1" w:rsidRDefault="00FB1AE1" w:rsidP="00FB1AE1">
      <w:pPr>
        <w:spacing w:line="240" w:lineRule="auto"/>
        <w:rPr>
          <w:rFonts w:eastAsia="Times New Roman" w:cs="Arial"/>
        </w:rPr>
      </w:pPr>
      <w:r w:rsidRPr="00FB1AE1">
        <w:rPr>
          <w:rFonts w:eastAsia="Times New Roman" w:cs="Arial"/>
          <w:color w:val="000000"/>
          <w:lang w:eastAsia="bg-BG"/>
        </w:rPr>
        <w:t xml:space="preserve">В две клинични проучвания, като и в двете са включени пациенти с леко до умерено тежко чернодробно увреждане, се установява повишаване на средната </w:t>
      </w:r>
      <w:r w:rsidRPr="00FB1AE1">
        <w:rPr>
          <w:rFonts w:eastAsia="Times New Roman" w:cs="Arial"/>
          <w:color w:val="000000"/>
          <w:lang w:val="en-US"/>
        </w:rPr>
        <w:t>AUC</w:t>
      </w:r>
      <w:r w:rsidRPr="00FB1AE1">
        <w:rPr>
          <w:rFonts w:eastAsia="Times New Roman" w:cs="Arial"/>
          <w:color w:val="000000"/>
          <w:lang w:val="ru-RU"/>
        </w:rPr>
        <w:t xml:space="preserve"> </w:t>
      </w:r>
      <w:r w:rsidRPr="00FB1AE1">
        <w:rPr>
          <w:rFonts w:eastAsia="Times New Roman" w:cs="Arial"/>
          <w:color w:val="000000"/>
          <w:lang w:eastAsia="bg-BG"/>
        </w:rPr>
        <w:t xml:space="preserve">на </w:t>
      </w:r>
      <w:r w:rsidRPr="00FB1AE1">
        <w:rPr>
          <w:rFonts w:eastAsia="Times New Roman" w:cs="Arial"/>
          <w:color w:val="000000"/>
          <w:lang w:eastAsia="bg-BG"/>
        </w:rPr>
        <w:lastRenderedPageBreak/>
        <w:t>кандесартан - с приблизително 20% в едното проучване и 80% в другото проучване (вж. точка 4.2). Липсва опит при пациенти с тежко чернодробно увреждане.</w:t>
      </w:r>
    </w:p>
    <w:p w14:paraId="77E6232C" w14:textId="03E5E2E0" w:rsidR="00FB1AE1" w:rsidRPr="00FB1AE1" w:rsidRDefault="00FB1AE1" w:rsidP="00FB1AE1"/>
    <w:p w14:paraId="648E39DA" w14:textId="0C6F3E42" w:rsidR="00CF77F7" w:rsidRDefault="002C50EE" w:rsidP="004A448E">
      <w:pPr>
        <w:pStyle w:val="Heading2"/>
      </w:pPr>
      <w:r>
        <w:t>5.3. Предклинични данни за безопасност</w:t>
      </w:r>
    </w:p>
    <w:p w14:paraId="22B41B95" w14:textId="7292E00B" w:rsidR="00FB1AE1" w:rsidRDefault="00FB1AE1" w:rsidP="00FB1AE1"/>
    <w:p w14:paraId="733738F9" w14:textId="28919BC6" w:rsidR="00FB1AE1" w:rsidRDefault="00FB1AE1" w:rsidP="00FB1AE1">
      <w:pPr>
        <w:rPr>
          <w:lang w:eastAsia="bg-BG"/>
        </w:rPr>
      </w:pPr>
      <w:r w:rsidRPr="00FB1AE1">
        <w:rPr>
          <w:lang w:eastAsia="bg-BG"/>
        </w:rPr>
        <w:t>Няма данни за абнормална системна токсичност или токсичност на таргетните органи при клинично приложими дози. При предклинични проучвания за безопасност кандесартан във високи дози е оказал ефект върху бъбреците и показателите на червените кръвни клетки при мишки, плъхове, кучета и маймуни. Кандесартан предизвиква понижение на показателите на червените кръвни клетки (еритроцити, хемоглобин, хематокрит). Следните ефекти върху бъбреците (като интерстициален нефрит, тубуларна дистензия, базофилни тубули; повишена плазмена концентрация на урея и креатинин) са били предизвикани от кандесартан, което може да се дължи на хипотензивния ефект, водещ до промени в бъбречната перфузия. Освен това кандесартан предизвиква хиперплазия/хипертрофия на юкстагломерулните клетки. Счита се, че тези промени са причинени от фармакологичното действие на кандесартан. При терапевтични дози на кандесартан при хора, хиперплазията/хипертрофията на бъбречните юкстагломерулни клетки изглежда няма никакво значение.</w:t>
      </w:r>
    </w:p>
    <w:p w14:paraId="7511C362" w14:textId="4581793E" w:rsidR="00FB1AE1" w:rsidRDefault="00FB1AE1" w:rsidP="00FB1AE1">
      <w:pPr>
        <w:rPr>
          <w:lang w:eastAsia="bg-BG"/>
        </w:rPr>
      </w:pPr>
    </w:p>
    <w:p w14:paraId="76AD93AC" w14:textId="77777777" w:rsidR="00FB1AE1" w:rsidRPr="00FB1AE1" w:rsidRDefault="00FB1AE1" w:rsidP="00FB1AE1">
      <w:pPr>
        <w:rPr>
          <w:sz w:val="24"/>
          <w:szCs w:val="24"/>
        </w:rPr>
      </w:pPr>
      <w:r w:rsidRPr="00FB1AE1">
        <w:rPr>
          <w:lang w:eastAsia="bg-BG"/>
        </w:rPr>
        <w:t>Наблюдавана е фетотоксичност при късна бременност (вж. точка 4.6).</w:t>
      </w:r>
    </w:p>
    <w:p w14:paraId="4C706928" w14:textId="77777777" w:rsidR="00FB1AE1" w:rsidRDefault="00FB1AE1" w:rsidP="00FB1AE1">
      <w:pPr>
        <w:rPr>
          <w:lang w:eastAsia="bg-BG"/>
        </w:rPr>
      </w:pPr>
    </w:p>
    <w:p w14:paraId="7C071B8D" w14:textId="01198E30" w:rsidR="00FB1AE1" w:rsidRPr="00FB1AE1" w:rsidRDefault="00FB1AE1" w:rsidP="00FB1AE1">
      <w:pPr>
        <w:rPr>
          <w:sz w:val="24"/>
          <w:szCs w:val="24"/>
        </w:rPr>
      </w:pPr>
      <w:r w:rsidRPr="00FB1AE1">
        <w:rPr>
          <w:lang w:eastAsia="bg-BG"/>
        </w:rPr>
        <w:t xml:space="preserve">Данни от проучвания за мутагенност </w:t>
      </w:r>
      <w:r w:rsidRPr="00FB1AE1">
        <w:rPr>
          <w:i/>
          <w:iCs/>
          <w:lang w:val="en-US"/>
        </w:rPr>
        <w:t>in</w:t>
      </w:r>
      <w:r w:rsidRPr="00FB1AE1">
        <w:rPr>
          <w:i/>
          <w:iCs/>
          <w:lang w:val="ru-RU"/>
        </w:rPr>
        <w:t xml:space="preserve"> </w:t>
      </w:r>
      <w:r w:rsidRPr="00FB1AE1">
        <w:rPr>
          <w:i/>
          <w:iCs/>
          <w:lang w:val="en-US"/>
        </w:rPr>
        <w:t>vitro</w:t>
      </w:r>
      <w:r w:rsidRPr="00FB1AE1">
        <w:rPr>
          <w:lang w:val="ru-RU"/>
        </w:rPr>
        <w:t xml:space="preserve"> </w:t>
      </w:r>
      <w:r w:rsidRPr="00FB1AE1">
        <w:rPr>
          <w:lang w:eastAsia="bg-BG"/>
        </w:rPr>
        <w:t xml:space="preserve">и </w:t>
      </w:r>
      <w:r w:rsidRPr="00FB1AE1">
        <w:rPr>
          <w:i/>
          <w:iCs/>
          <w:lang w:val="en-US"/>
        </w:rPr>
        <w:t>in</w:t>
      </w:r>
      <w:r w:rsidRPr="00FB1AE1">
        <w:rPr>
          <w:i/>
          <w:iCs/>
          <w:lang w:val="ru-RU"/>
        </w:rPr>
        <w:t xml:space="preserve"> </w:t>
      </w:r>
      <w:r w:rsidRPr="00FB1AE1">
        <w:rPr>
          <w:i/>
          <w:iCs/>
          <w:lang w:val="en-US"/>
        </w:rPr>
        <w:t>vivo</w:t>
      </w:r>
      <w:r w:rsidRPr="00FB1AE1">
        <w:rPr>
          <w:lang w:val="ru-RU"/>
        </w:rPr>
        <w:t xml:space="preserve"> </w:t>
      </w:r>
      <w:r w:rsidRPr="00FB1AE1">
        <w:rPr>
          <w:lang w:eastAsia="bg-BG"/>
        </w:rPr>
        <w:t>показват, че кандесартан няма да проявява мутагенна и кластогенна активност в условия на клинична употреба.</w:t>
      </w:r>
    </w:p>
    <w:p w14:paraId="163818BB" w14:textId="77777777" w:rsidR="00FB1AE1" w:rsidRDefault="00FB1AE1" w:rsidP="00FB1AE1">
      <w:pPr>
        <w:rPr>
          <w:lang w:eastAsia="bg-BG"/>
        </w:rPr>
      </w:pPr>
    </w:p>
    <w:p w14:paraId="13151612" w14:textId="4BF52277" w:rsidR="00FB1AE1" w:rsidRPr="00FB1AE1" w:rsidRDefault="00FB1AE1" w:rsidP="00FB1AE1">
      <w:pPr>
        <w:rPr>
          <w:sz w:val="24"/>
          <w:szCs w:val="24"/>
        </w:rPr>
      </w:pPr>
      <w:r w:rsidRPr="00FB1AE1">
        <w:rPr>
          <w:lang w:eastAsia="bg-BG"/>
        </w:rPr>
        <w:t>Няма данни за канцерогенност.</w:t>
      </w:r>
    </w:p>
    <w:p w14:paraId="07A9F9B0" w14:textId="77777777" w:rsidR="00FB1AE1" w:rsidRPr="00FB1AE1" w:rsidRDefault="00FB1AE1" w:rsidP="00FB1AE1"/>
    <w:p w14:paraId="6A7820AB" w14:textId="0F7EF356" w:rsidR="008A6AF2" w:rsidRDefault="002C50EE" w:rsidP="00395555">
      <w:pPr>
        <w:pStyle w:val="Heading1"/>
      </w:pPr>
      <w:r>
        <w:t>7. ПРИТЕЖАТЕЛ НА РАЗРЕШЕНИЕТО ЗА УПОТРЕБА</w:t>
      </w:r>
    </w:p>
    <w:p w14:paraId="1449D3FB" w14:textId="6F55FE53" w:rsidR="00FB1AE1" w:rsidRDefault="00FB1AE1" w:rsidP="00FB1AE1"/>
    <w:p w14:paraId="6D19D625" w14:textId="77777777" w:rsidR="00FB1AE1" w:rsidRPr="00FB1AE1" w:rsidRDefault="00FB1AE1" w:rsidP="00FB1AE1">
      <w:pPr>
        <w:rPr>
          <w:sz w:val="24"/>
          <w:szCs w:val="24"/>
        </w:rPr>
      </w:pPr>
      <w:r w:rsidRPr="00FB1AE1">
        <w:rPr>
          <w:lang w:eastAsia="bg-BG"/>
        </w:rPr>
        <w:t>ЕКОФАРМ ГРУП АД</w:t>
      </w:r>
    </w:p>
    <w:p w14:paraId="1339290E" w14:textId="77777777" w:rsidR="00FB1AE1" w:rsidRPr="00FB1AE1" w:rsidRDefault="00FB1AE1" w:rsidP="00FB1AE1">
      <w:pPr>
        <w:rPr>
          <w:sz w:val="24"/>
          <w:szCs w:val="24"/>
        </w:rPr>
      </w:pPr>
      <w:r w:rsidRPr="00FB1AE1">
        <w:rPr>
          <w:lang w:eastAsia="bg-BG"/>
        </w:rPr>
        <w:t>бул.’’Черни връх” 14, бл.З</w:t>
      </w:r>
    </w:p>
    <w:p w14:paraId="12E8A8E0" w14:textId="77777777" w:rsidR="00FB1AE1" w:rsidRPr="00FB1AE1" w:rsidRDefault="00FB1AE1" w:rsidP="00FB1AE1">
      <w:pPr>
        <w:rPr>
          <w:sz w:val="24"/>
          <w:szCs w:val="24"/>
        </w:rPr>
      </w:pPr>
      <w:r w:rsidRPr="00FB1AE1">
        <w:rPr>
          <w:lang w:eastAsia="bg-BG"/>
        </w:rPr>
        <w:t>1421 София, България</w:t>
      </w:r>
    </w:p>
    <w:p w14:paraId="02A341FD" w14:textId="77777777" w:rsidR="00FB1AE1" w:rsidRPr="00FB1AE1" w:rsidRDefault="00FB1AE1" w:rsidP="00FB1AE1">
      <w:pPr>
        <w:rPr>
          <w:sz w:val="24"/>
          <w:szCs w:val="24"/>
        </w:rPr>
      </w:pPr>
      <w:r w:rsidRPr="00FB1AE1">
        <w:rPr>
          <w:lang w:eastAsia="bg-BG"/>
        </w:rPr>
        <w:t>тел.: (02) 963 15 96; 950 44 10</w:t>
      </w:r>
    </w:p>
    <w:p w14:paraId="4C274B9E" w14:textId="77777777" w:rsidR="00FB1AE1" w:rsidRPr="00FB1AE1" w:rsidRDefault="00FB1AE1" w:rsidP="00FB1AE1">
      <w:pPr>
        <w:rPr>
          <w:sz w:val="24"/>
          <w:szCs w:val="24"/>
        </w:rPr>
      </w:pPr>
      <w:r w:rsidRPr="00FB1AE1">
        <w:rPr>
          <w:lang w:eastAsia="bg-BG"/>
        </w:rPr>
        <w:t>факс: (02) 963 15 61</w:t>
      </w:r>
    </w:p>
    <w:p w14:paraId="510AB48E" w14:textId="77777777" w:rsidR="00FB1AE1" w:rsidRPr="00FB1AE1" w:rsidRDefault="00FB1AE1" w:rsidP="00FB1AE1"/>
    <w:p w14:paraId="7BA1BA64" w14:textId="1A8CDBE6" w:rsidR="00CF77F7" w:rsidRDefault="002C50EE" w:rsidP="004A448E">
      <w:pPr>
        <w:pStyle w:val="Heading1"/>
      </w:pPr>
      <w:r>
        <w:t>8. НОМЕР НА РАЗРЕШЕНИЕТО ЗА УПОТРЕБА</w:t>
      </w:r>
    </w:p>
    <w:p w14:paraId="0DAB49D4" w14:textId="7F3C0162" w:rsidR="00FB1AE1" w:rsidRPr="00FB1AE1" w:rsidRDefault="00FB1AE1" w:rsidP="00FB1AE1">
      <w:bookmarkStart w:id="1" w:name="_GoBack"/>
      <w:bookmarkEnd w:id="1"/>
    </w:p>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4C7"/>
    <w:multiLevelType w:val="hybridMultilevel"/>
    <w:tmpl w:val="A58A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55919FB"/>
    <w:multiLevelType w:val="hybridMultilevel"/>
    <w:tmpl w:val="F5962E6C"/>
    <w:lvl w:ilvl="0" w:tplc="6004E6F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E67B2"/>
    <w:multiLevelType w:val="hybridMultilevel"/>
    <w:tmpl w:val="923812C8"/>
    <w:lvl w:ilvl="0" w:tplc="6004E6F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9"/>
  </w:num>
  <w:num w:numId="19">
    <w:abstractNumId w:val="28"/>
  </w:num>
  <w:num w:numId="20">
    <w:abstractNumId w:val="25"/>
  </w:num>
  <w:num w:numId="21">
    <w:abstractNumId w:val="18"/>
  </w:num>
  <w:num w:numId="22">
    <w:abstractNumId w:val="27"/>
  </w:num>
  <w:num w:numId="23">
    <w:abstractNumId w:val="19"/>
  </w:num>
  <w:num w:numId="24">
    <w:abstractNumId w:val="10"/>
  </w:num>
  <w:num w:numId="25">
    <w:abstractNumId w:val="24"/>
  </w:num>
  <w:num w:numId="26">
    <w:abstractNumId w:val="23"/>
  </w:num>
  <w:num w:numId="27">
    <w:abstractNumId w:val="33"/>
  </w:num>
  <w:num w:numId="28">
    <w:abstractNumId w:val="7"/>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21"/>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B1AE1"/>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6160</Words>
  <Characters>35118</Characters>
  <Application>Microsoft Office Word</Application>
  <DocSecurity>0</DocSecurity>
  <Lines>292</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2022-03-27T23:05:00Z</dcterms:created>
  <dcterms:modified xsi:type="dcterms:W3CDTF">2022-03-27T23:05:00Z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