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72D3E98" w:rsidR="007122AD" w:rsidRDefault="00DD466D" w:rsidP="00936AD0">
      <w:pPr>
        <w:pStyle w:val="Heading1"/>
      </w:pPr>
      <w:r>
        <w:t>1.ИМЕ НА ЛЕКАРСТВЕНИЯ ПРОДУКТ</w:t>
      </w:r>
    </w:p>
    <w:p w14:paraId="0DC70E7C" w14:textId="2883668B" w:rsidR="00A80DA2" w:rsidRDefault="00A80DA2" w:rsidP="00A80DA2"/>
    <w:p w14:paraId="0F0C5066" w14:textId="74E45A4F" w:rsidR="00A80DA2" w:rsidRPr="00A80DA2" w:rsidRDefault="005E4566" w:rsidP="00A80DA2">
      <w:pPr>
        <w:rPr>
          <w:sz w:val="24"/>
          <w:szCs w:val="24"/>
        </w:rPr>
      </w:pPr>
      <w:r>
        <w:rPr>
          <w:lang w:eastAsia="bg-BG"/>
        </w:rPr>
        <w:t>Кантаб 32</w:t>
      </w:r>
      <w:r w:rsidR="00A80DA2" w:rsidRPr="00A80DA2">
        <w:rPr>
          <w:lang w:eastAsia="bg-BG"/>
        </w:rPr>
        <w:t xml:space="preserve"> </w:t>
      </w:r>
      <w:r w:rsidR="00A80DA2" w:rsidRPr="00A80DA2">
        <w:rPr>
          <w:lang w:val="en-US"/>
        </w:rPr>
        <w:t>mg</w:t>
      </w:r>
      <w:r w:rsidR="00A80DA2" w:rsidRPr="00A80DA2">
        <w:t xml:space="preserve"> </w:t>
      </w:r>
      <w:r w:rsidR="00A80DA2" w:rsidRPr="00A80DA2">
        <w:rPr>
          <w:lang w:eastAsia="bg-BG"/>
        </w:rPr>
        <w:t>таблетки</w:t>
      </w:r>
    </w:p>
    <w:p w14:paraId="66750CD4" w14:textId="7FB71213" w:rsidR="00A80DA2" w:rsidRPr="00A80DA2" w:rsidRDefault="00A80DA2" w:rsidP="00A80DA2">
      <w:pPr>
        <w:rPr>
          <w:sz w:val="24"/>
          <w:szCs w:val="24"/>
        </w:rPr>
      </w:pPr>
      <w:proofErr w:type="spellStart"/>
      <w:r w:rsidRPr="00A80DA2">
        <w:rPr>
          <w:lang w:val="en-US"/>
        </w:rPr>
        <w:t>Cantab</w:t>
      </w:r>
      <w:proofErr w:type="spellEnd"/>
      <w:r w:rsidRPr="00A80DA2">
        <w:t xml:space="preserve"> </w:t>
      </w:r>
      <w:r w:rsidR="005E4566">
        <w:rPr>
          <w:lang w:eastAsia="bg-BG"/>
        </w:rPr>
        <w:t>32</w:t>
      </w:r>
      <w:r w:rsidRPr="00A80DA2">
        <w:rPr>
          <w:lang w:eastAsia="bg-BG"/>
        </w:rPr>
        <w:t xml:space="preserve"> </w:t>
      </w:r>
      <w:r w:rsidRPr="00A80DA2">
        <w:rPr>
          <w:lang w:val="en-US"/>
        </w:rPr>
        <w:t>mg</w:t>
      </w:r>
      <w:r w:rsidRPr="00A80DA2">
        <w:t xml:space="preserve"> </w:t>
      </w:r>
      <w:r w:rsidRPr="00A80DA2">
        <w:rPr>
          <w:lang w:val="en-US"/>
        </w:rPr>
        <w:t>tablets</w:t>
      </w:r>
    </w:p>
    <w:p w14:paraId="54019E83" w14:textId="77777777" w:rsidR="00A80DA2" w:rsidRPr="00A80DA2" w:rsidRDefault="00A80DA2" w:rsidP="00A80DA2"/>
    <w:p w14:paraId="6920A680" w14:textId="337A0E90" w:rsidR="00C40420" w:rsidRDefault="00DD466D" w:rsidP="004A448E">
      <w:pPr>
        <w:pStyle w:val="Heading1"/>
      </w:pPr>
      <w:r>
        <w:t>2. КАЧЕСТВЕН И КОЛИЧЕСТВЕН СЪСТАВ</w:t>
      </w:r>
    </w:p>
    <w:p w14:paraId="6C8D7337" w14:textId="0989FB12" w:rsidR="00A80DA2" w:rsidRDefault="00A80DA2" w:rsidP="00A80DA2"/>
    <w:p w14:paraId="6D2ACCB6" w14:textId="5066FD0D" w:rsidR="00A80DA2" w:rsidRPr="00A80DA2" w:rsidRDefault="005E4566" w:rsidP="00A80DA2">
      <w:pPr>
        <w:rPr>
          <w:sz w:val="24"/>
          <w:szCs w:val="24"/>
        </w:rPr>
      </w:pPr>
      <w:r>
        <w:rPr>
          <w:lang w:eastAsia="bg-BG"/>
        </w:rPr>
        <w:t>Всяка таблетка съдържа 32</w:t>
      </w:r>
      <w:r w:rsidR="00A80DA2" w:rsidRPr="00A80DA2">
        <w:rPr>
          <w:lang w:eastAsia="bg-BG"/>
        </w:rPr>
        <w:t xml:space="preserve"> </w:t>
      </w:r>
      <w:r w:rsidR="00A80DA2" w:rsidRPr="00A80DA2">
        <w:rPr>
          <w:lang w:val="en-US"/>
        </w:rPr>
        <w:t>mg</w:t>
      </w:r>
      <w:r w:rsidR="00A80DA2" w:rsidRPr="00A80DA2">
        <w:t xml:space="preserve"> </w:t>
      </w:r>
      <w:r w:rsidR="00A80DA2" w:rsidRPr="00A80DA2">
        <w:rPr>
          <w:lang w:eastAsia="bg-BG"/>
        </w:rPr>
        <w:t xml:space="preserve">кандесартан цилексетил </w:t>
      </w:r>
      <w:r w:rsidR="00A80DA2" w:rsidRPr="00A80DA2">
        <w:rPr>
          <w:i/>
          <w:iCs/>
        </w:rPr>
        <w:t>(</w:t>
      </w:r>
      <w:r w:rsidR="00A80DA2" w:rsidRPr="00A80DA2">
        <w:rPr>
          <w:i/>
          <w:iCs/>
          <w:lang w:val="en-US"/>
        </w:rPr>
        <w:t>candesartan</w:t>
      </w:r>
      <w:r w:rsidR="00A80DA2" w:rsidRPr="00A80DA2">
        <w:rPr>
          <w:i/>
          <w:iCs/>
        </w:rPr>
        <w:t xml:space="preserve"> </w:t>
      </w:r>
      <w:proofErr w:type="spellStart"/>
      <w:r w:rsidR="00A80DA2" w:rsidRPr="00A80DA2">
        <w:rPr>
          <w:i/>
          <w:iCs/>
          <w:lang w:val="en-US"/>
        </w:rPr>
        <w:t>cilexetil</w:t>
      </w:r>
      <w:proofErr w:type="spellEnd"/>
      <w:r w:rsidR="00A80DA2" w:rsidRPr="00A80DA2">
        <w:rPr>
          <w:i/>
          <w:iCs/>
        </w:rPr>
        <w:t>).</w:t>
      </w:r>
    </w:p>
    <w:p w14:paraId="1DFC6206" w14:textId="4E7D70D3" w:rsidR="00A80DA2" w:rsidRPr="00A80DA2" w:rsidRDefault="00A80DA2" w:rsidP="00A80DA2">
      <w:pPr>
        <w:rPr>
          <w:sz w:val="24"/>
          <w:szCs w:val="24"/>
        </w:rPr>
      </w:pPr>
      <w:r w:rsidRPr="00A80DA2">
        <w:rPr>
          <w:lang w:eastAsia="bg-BG"/>
        </w:rPr>
        <w:t xml:space="preserve">Помощни вещества с известно действие: всяка таблетка съдържа </w:t>
      </w:r>
      <w:r w:rsidR="005E4566">
        <w:rPr>
          <w:lang w:eastAsia="bg-BG"/>
        </w:rPr>
        <w:t>184,09</w:t>
      </w:r>
      <w:r w:rsidRPr="00A80DA2">
        <w:rPr>
          <w:lang w:val="en-US"/>
        </w:rPr>
        <w:t>mg</w:t>
      </w:r>
      <w:r w:rsidRPr="00A80DA2">
        <w:rPr>
          <w:lang w:val="ru-RU"/>
        </w:rPr>
        <w:t xml:space="preserve"> </w:t>
      </w:r>
      <w:r w:rsidRPr="00A80DA2">
        <w:rPr>
          <w:lang w:eastAsia="bg-BG"/>
        </w:rPr>
        <w:t xml:space="preserve">лактоза монохидрат </w:t>
      </w:r>
      <w:r w:rsidRPr="00A80DA2">
        <w:rPr>
          <w:i/>
          <w:iCs/>
          <w:lang w:val="ru-RU"/>
        </w:rPr>
        <w:t>(</w:t>
      </w:r>
      <w:r w:rsidRPr="00A80DA2">
        <w:rPr>
          <w:i/>
          <w:iCs/>
          <w:lang w:val="en-US"/>
        </w:rPr>
        <w:t>Lactose</w:t>
      </w:r>
      <w:r w:rsidRPr="00A80DA2">
        <w:rPr>
          <w:i/>
          <w:iCs/>
          <w:lang w:val="ru-RU"/>
        </w:rPr>
        <w:t xml:space="preserve"> </w:t>
      </w:r>
      <w:r w:rsidRPr="00A80DA2">
        <w:rPr>
          <w:i/>
          <w:iCs/>
          <w:lang w:val="en-US"/>
        </w:rPr>
        <w:t>monohydrate</w:t>
      </w:r>
      <w:r w:rsidRPr="00A80DA2">
        <w:rPr>
          <w:i/>
          <w:iCs/>
          <w:lang w:val="ru-RU"/>
        </w:rPr>
        <w:t>).</w:t>
      </w:r>
    </w:p>
    <w:p w14:paraId="0D719F35" w14:textId="77777777" w:rsidR="00A80DA2" w:rsidRPr="00A80DA2" w:rsidRDefault="00A80DA2" w:rsidP="00A80DA2"/>
    <w:p w14:paraId="614984C4" w14:textId="7649360D" w:rsidR="008A6AF2" w:rsidRDefault="00DD466D" w:rsidP="002C50EE">
      <w:pPr>
        <w:pStyle w:val="Heading1"/>
      </w:pPr>
      <w:r>
        <w:t>3. ЛЕКАРСТВЕНА ФОРМА</w:t>
      </w:r>
    </w:p>
    <w:p w14:paraId="71AB8190" w14:textId="5B96606E" w:rsidR="00A80DA2" w:rsidRDefault="00A80DA2" w:rsidP="00A80DA2"/>
    <w:p w14:paraId="18DAF909" w14:textId="77777777" w:rsidR="00A80DA2" w:rsidRPr="00A80DA2" w:rsidRDefault="00A80DA2" w:rsidP="00A80DA2">
      <w:pPr>
        <w:rPr>
          <w:sz w:val="24"/>
          <w:szCs w:val="24"/>
        </w:rPr>
      </w:pPr>
      <w:r w:rsidRPr="00A80DA2">
        <w:rPr>
          <w:lang w:eastAsia="bg-BG"/>
        </w:rPr>
        <w:t>Таблетка.</w:t>
      </w:r>
    </w:p>
    <w:p w14:paraId="2527B6E3" w14:textId="77777777" w:rsidR="00A80DA2" w:rsidRDefault="00A80DA2" w:rsidP="00A80DA2">
      <w:pPr>
        <w:rPr>
          <w:lang w:eastAsia="bg-BG"/>
        </w:rPr>
      </w:pPr>
    </w:p>
    <w:p w14:paraId="32FE4430" w14:textId="7E51DA11" w:rsidR="00A80DA2" w:rsidRPr="00A80DA2" w:rsidRDefault="00A80DA2" w:rsidP="00A80DA2">
      <w:r w:rsidRPr="00A80DA2">
        <w:rPr>
          <w:lang w:eastAsia="bg-BG"/>
        </w:rPr>
        <w:t>Розови кръгли таблетки с делителна черта от едната страна и логото на Нобел Фарма от другата. Таблетката може да бъде разделена на две равни половини.</w:t>
      </w:r>
    </w:p>
    <w:p w14:paraId="490FC2C4" w14:textId="0F4A4A75" w:rsidR="002C50EE" w:rsidRDefault="002C50EE" w:rsidP="002C50EE">
      <w:pPr>
        <w:pStyle w:val="Heading1"/>
      </w:pPr>
      <w:r>
        <w:t>4. КЛИНИЧНИ ДАННИ</w:t>
      </w:r>
    </w:p>
    <w:p w14:paraId="74330405" w14:textId="7F9FEDEA" w:rsidR="007122AD" w:rsidRDefault="002C50EE" w:rsidP="00936AD0">
      <w:pPr>
        <w:pStyle w:val="Heading2"/>
      </w:pPr>
      <w:r>
        <w:t>4.1. Терапевтични показания</w:t>
      </w:r>
    </w:p>
    <w:p w14:paraId="357726D7" w14:textId="3719D142" w:rsidR="00A80DA2" w:rsidRDefault="00A80DA2" w:rsidP="00A80DA2"/>
    <w:p w14:paraId="17CEC523"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Кантаб е показан за:</w:t>
      </w:r>
    </w:p>
    <w:p w14:paraId="0F024E79"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есенциална хипертония при възрастни.</w:t>
      </w:r>
    </w:p>
    <w:p w14:paraId="01F56461"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артериална хипертония при деца и юноши на възраст от 6 до &lt;18 години.</w:t>
      </w:r>
    </w:p>
    <w:p w14:paraId="7FA7E677" w14:textId="071D1683"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възрастни пациенти със сърдечна недостатъчност и нарушена левокамерна систолна функция (фракция на изтласкване на лява камера ≤ 40%) като допълнение към лечението с инхибитори на ангиотензин-конвертиращия ензим (АСЕ инхибитори) или при непоносимост към АСЕ инхибиторите (вж. точка 5.1).</w:t>
      </w:r>
    </w:p>
    <w:p w14:paraId="747DB1EE" w14:textId="77777777" w:rsidR="00A80DA2" w:rsidRPr="00A80DA2" w:rsidRDefault="00A80DA2" w:rsidP="00A80DA2"/>
    <w:p w14:paraId="53F5B866" w14:textId="34CDE83A" w:rsidR="007122AD" w:rsidRDefault="002C50EE" w:rsidP="00936AD0">
      <w:pPr>
        <w:pStyle w:val="Heading2"/>
      </w:pPr>
      <w:r>
        <w:t>4.2. Дозировка и начин на приложение</w:t>
      </w:r>
    </w:p>
    <w:p w14:paraId="5A52B948" w14:textId="329AF28C" w:rsidR="00A80DA2" w:rsidRDefault="00A80DA2" w:rsidP="00A80DA2"/>
    <w:p w14:paraId="206E7EDB" w14:textId="77777777"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артериална хипертония</w:t>
      </w:r>
    </w:p>
    <w:p w14:paraId="72BA57DC" w14:textId="77777777" w:rsidR="00A80DA2" w:rsidRPr="00A80DA2" w:rsidRDefault="00A80DA2" w:rsidP="00A80DA2">
      <w:pPr>
        <w:spacing w:line="240" w:lineRule="auto"/>
        <w:rPr>
          <w:rFonts w:eastAsia="Times New Roman" w:cs="Arial"/>
          <w:color w:val="000000"/>
          <w:lang w:eastAsia="bg-BG"/>
        </w:rPr>
      </w:pPr>
    </w:p>
    <w:p w14:paraId="4A056E53" w14:textId="1DDE42EE"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Препоръчваната начална доза и обичайната поддържаща доза на Кантаб е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4D664D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Обичайно антихипертензивния ефект се постига в рамките на 4 седмици.</w:t>
      </w:r>
    </w:p>
    <w:p w14:paraId="68A5EE7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зависимост от повлияването на артериалното налягане, терапията е възможно да бъде коригирана, като дозата може да бъде повишена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5AD95E7F" w14:textId="77777777" w:rsidR="00A80DA2" w:rsidRPr="00A80DA2" w:rsidRDefault="00A80DA2" w:rsidP="00A80DA2">
      <w:pPr>
        <w:spacing w:line="240" w:lineRule="auto"/>
        <w:rPr>
          <w:rFonts w:eastAsia="Times New Roman" w:cs="Arial"/>
          <w:i/>
          <w:iCs/>
          <w:color w:val="000000"/>
          <w:lang w:eastAsia="bg-BG"/>
        </w:rPr>
      </w:pPr>
    </w:p>
    <w:p w14:paraId="40B94A47" w14:textId="71C983F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в старческа възраст</w:t>
      </w:r>
    </w:p>
    <w:p w14:paraId="1F636ED8" w14:textId="4AC01561"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не е необходима корекция на началната доза.</w:t>
      </w:r>
    </w:p>
    <w:p w14:paraId="3053E172" w14:textId="77777777" w:rsidR="00A80DA2" w:rsidRPr="00A80DA2" w:rsidRDefault="00A80DA2" w:rsidP="00A80DA2">
      <w:pPr>
        <w:spacing w:line="240" w:lineRule="auto"/>
        <w:rPr>
          <w:rFonts w:eastAsia="Times New Roman" w:cs="Arial"/>
          <w:i/>
          <w:iCs/>
          <w:color w:val="000000"/>
          <w:lang w:eastAsia="bg-BG"/>
        </w:rPr>
      </w:pPr>
    </w:p>
    <w:p w14:paraId="44A02145" w14:textId="4601061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намален вътресъдов обем</w:t>
      </w:r>
    </w:p>
    <w:p w14:paraId="4E2934E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Начална доза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обемно изчерпване (вж. точка 4.4).</w:t>
      </w:r>
    </w:p>
    <w:p w14:paraId="7D57B434" w14:textId="1CFCAFA1" w:rsidR="00A80DA2" w:rsidRPr="00A80DA2" w:rsidRDefault="00A80DA2" w:rsidP="00A80DA2">
      <w:pPr>
        <w:rPr>
          <w:rFonts w:cs="Arial"/>
        </w:rPr>
      </w:pPr>
    </w:p>
    <w:p w14:paraId="540661C1"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бъбречно увреждане</w:t>
      </w:r>
    </w:p>
    <w:p w14:paraId="13E10D5F"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бъбречно увреждане и/или на хемодиализа, началната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Дозата трябва да се титрира в зависимост от терапевтичния отговор.</w:t>
      </w:r>
    </w:p>
    <w:p w14:paraId="3BCAAA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Icr</w:t>
      </w:r>
      <w:proofErr w:type="spellEnd"/>
      <w:r w:rsidRPr="00A80DA2">
        <w:rPr>
          <w:rFonts w:eastAsia="Times New Roman" w:cs="Arial"/>
          <w:color w:val="000000"/>
          <w:lang w:eastAsia="bg-BG"/>
        </w:rPr>
        <w:t xml:space="preserve">&lt;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е ограничен (вж. точка 4.4).</w:t>
      </w:r>
    </w:p>
    <w:p w14:paraId="0856005F" w14:textId="77777777" w:rsidR="00A80DA2" w:rsidRPr="00A80DA2" w:rsidRDefault="00A80DA2" w:rsidP="00A80DA2">
      <w:pPr>
        <w:spacing w:line="240" w:lineRule="auto"/>
        <w:rPr>
          <w:rFonts w:eastAsia="Times New Roman" w:cs="Arial"/>
          <w:i/>
          <w:iCs/>
          <w:color w:val="000000"/>
          <w:lang w:eastAsia="bg-BG"/>
        </w:rPr>
      </w:pPr>
    </w:p>
    <w:p w14:paraId="68F58141" w14:textId="70FF2C5E"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чернодробно увреждане</w:t>
      </w:r>
    </w:p>
    <w:p w14:paraId="2D6C76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леко до умерено чернодробно увреждане препоръчваната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Дозата може да бъде коригирана в зависимост от терапевтичния отговор. При пациенти с тежко чернодробно увреждане и/или холестаза Кантаб е противопоказан (вж. точки 4.3 и 5.2).</w:t>
      </w:r>
    </w:p>
    <w:p w14:paraId="7E1B01A5" w14:textId="77777777" w:rsidR="00A80DA2" w:rsidRPr="00A80DA2" w:rsidRDefault="00A80DA2" w:rsidP="00A80DA2">
      <w:pPr>
        <w:spacing w:line="240" w:lineRule="auto"/>
        <w:rPr>
          <w:rFonts w:eastAsia="Times New Roman" w:cs="Arial"/>
          <w:i/>
          <w:iCs/>
          <w:color w:val="000000"/>
          <w:lang w:eastAsia="bg-BG"/>
        </w:rPr>
      </w:pPr>
    </w:p>
    <w:p w14:paraId="350CD431" w14:textId="6658F77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пациенти</w:t>
      </w:r>
    </w:p>
    <w:p w14:paraId="483534E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пациенти антихипертензивния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Кантаб и едновременно прилаганите лекарствени продукти (вж. точка 5.1).</w:t>
      </w:r>
    </w:p>
    <w:p w14:paraId="44BDE7E5" w14:textId="77777777" w:rsidR="00A80DA2" w:rsidRPr="00A80DA2" w:rsidRDefault="00A80DA2" w:rsidP="00A80DA2">
      <w:pPr>
        <w:spacing w:line="240" w:lineRule="auto"/>
        <w:rPr>
          <w:rFonts w:eastAsia="Times New Roman" w:cs="Arial"/>
          <w:i/>
          <w:iCs/>
          <w:color w:val="000000"/>
          <w:lang w:eastAsia="bg-BG"/>
        </w:rPr>
      </w:pPr>
    </w:p>
    <w:p w14:paraId="3C3AE78B" w14:textId="6D1B2095"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F215AA1" w14:textId="77777777" w:rsidR="00A80DA2" w:rsidRPr="00A80DA2" w:rsidRDefault="00A80DA2" w:rsidP="00A80DA2">
      <w:pPr>
        <w:spacing w:line="240" w:lineRule="auto"/>
        <w:rPr>
          <w:rFonts w:eastAsia="Times New Roman" w:cs="Arial"/>
          <w:i/>
          <w:iCs/>
          <w:color w:val="000000"/>
          <w:lang w:eastAsia="bg-BG"/>
        </w:rPr>
      </w:pPr>
    </w:p>
    <w:p w14:paraId="3AD19BBC" w14:textId="4476081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и юноши на възраст от 6 до &lt;18 години:</w:t>
      </w:r>
    </w:p>
    <w:p w14:paraId="165045C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Препоръчителната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247CEDE7" w14:textId="77777777" w:rsidR="00A80DA2" w:rsidRPr="00A80DA2" w:rsidRDefault="00A80DA2" w:rsidP="00A80DA2">
      <w:pPr>
        <w:spacing w:line="240" w:lineRule="auto"/>
        <w:rPr>
          <w:rFonts w:eastAsia="Times New Roman" w:cs="Arial"/>
          <w:color w:val="000000"/>
          <w:lang w:eastAsia="bg-BG"/>
        </w:rPr>
      </w:pPr>
    </w:p>
    <w:p w14:paraId="45172FD3" w14:textId="77777777"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&lt;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0F7C70C6" w14:textId="6CE26A5C"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след което, ако това е необходимо ~ до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 (вж. точка 5.1).</w:t>
      </w:r>
    </w:p>
    <w:p w14:paraId="04489811" w14:textId="77777777" w:rsidR="00A80DA2" w:rsidRPr="00A80DA2" w:rsidRDefault="00A80DA2" w:rsidP="00A80DA2">
      <w:pPr>
        <w:spacing w:line="240" w:lineRule="auto"/>
        <w:rPr>
          <w:rFonts w:eastAsia="Times New Roman" w:cs="Arial"/>
          <w:color w:val="000000"/>
          <w:lang w:eastAsia="bg-BG"/>
        </w:rPr>
      </w:pPr>
    </w:p>
    <w:p w14:paraId="33FF03B8" w14:textId="25929AC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Дозировки над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не са проучвани при педиатрични пациенти.</w:t>
      </w:r>
    </w:p>
    <w:p w14:paraId="10AE4E6E" w14:textId="77777777" w:rsidR="00A80DA2" w:rsidRPr="00A80DA2" w:rsidRDefault="00A80DA2" w:rsidP="00A80DA2">
      <w:pPr>
        <w:spacing w:line="240" w:lineRule="auto"/>
        <w:rPr>
          <w:rFonts w:eastAsia="Times New Roman" w:cs="Arial"/>
          <w:color w:val="000000"/>
          <w:lang w:eastAsia="bg-BG"/>
        </w:rPr>
      </w:pPr>
    </w:p>
    <w:p w14:paraId="593E6EA0" w14:textId="6FFE7A7F" w:rsidR="00A80DA2" w:rsidRPr="00A80DA2" w:rsidRDefault="00A80DA2" w:rsidP="00A80DA2">
      <w:pPr>
        <w:spacing w:line="240" w:lineRule="auto"/>
        <w:rPr>
          <w:rFonts w:eastAsia="Times New Roman" w:cs="Arial"/>
        </w:rPr>
      </w:pPr>
      <w:r w:rsidRPr="00A80DA2">
        <w:rPr>
          <w:rFonts w:eastAsia="Times New Roman" w:cs="Arial"/>
          <w:color w:val="000000"/>
          <w:lang w:eastAsia="bg-BG"/>
        </w:rPr>
        <w:t>Основната част от антихипертензивния ефект се разгръща до 4 седмици.</w:t>
      </w:r>
    </w:p>
    <w:p w14:paraId="4398F191" w14:textId="77777777" w:rsidR="00A80DA2" w:rsidRPr="00A80DA2" w:rsidRDefault="00A80DA2" w:rsidP="00A80DA2">
      <w:pPr>
        <w:spacing w:line="240" w:lineRule="auto"/>
        <w:rPr>
          <w:rFonts w:eastAsia="Times New Roman" w:cs="Arial"/>
          <w:color w:val="000000"/>
          <w:lang w:eastAsia="bg-BG"/>
        </w:rPr>
      </w:pPr>
    </w:p>
    <w:p w14:paraId="4B26E696" w14:textId="0A0381D8"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се провежда под строго медицинско наблюдение и следва да се обсъди по-ниска начална доза от обичайната (вж. точка 4.4).</w:t>
      </w:r>
    </w:p>
    <w:p w14:paraId="657F4D0E" w14:textId="77777777" w:rsidR="00A80DA2" w:rsidRPr="00A80DA2" w:rsidRDefault="00A80DA2" w:rsidP="00A80DA2">
      <w:pPr>
        <w:spacing w:line="240" w:lineRule="auto"/>
        <w:rPr>
          <w:rFonts w:eastAsia="Times New Roman" w:cs="Arial"/>
          <w:color w:val="000000"/>
          <w:lang w:eastAsia="bg-BG"/>
        </w:rPr>
      </w:pPr>
    </w:p>
    <w:p w14:paraId="2E68E900" w14:textId="5D78270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4.4).</w:t>
      </w:r>
    </w:p>
    <w:p w14:paraId="4790322F" w14:textId="77777777" w:rsidR="00A80DA2" w:rsidRPr="00A80DA2" w:rsidRDefault="00A80DA2" w:rsidP="00A80DA2">
      <w:pPr>
        <w:spacing w:line="240" w:lineRule="auto"/>
        <w:rPr>
          <w:rFonts w:eastAsia="Times New Roman" w:cs="Arial"/>
          <w:i/>
          <w:iCs/>
          <w:color w:val="000000"/>
          <w:lang w:eastAsia="bg-BG"/>
        </w:rPr>
      </w:pPr>
    </w:p>
    <w:p w14:paraId="09BF7D0B" w14:textId="5FBBED6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педиатрични пациенти</w:t>
      </w:r>
    </w:p>
    <w:p w14:paraId="122CD2E2" w14:textId="155D1992"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педиатрични пациенти антихипертензивния ефект на кандесартан е по-слабо изразен, отколкото при не-чернокожи пациенти (вж. точка 5.1).</w:t>
      </w:r>
    </w:p>
    <w:p w14:paraId="44101DC7" w14:textId="77777777" w:rsidR="00A80DA2" w:rsidRPr="00A80DA2" w:rsidRDefault="00A80DA2" w:rsidP="00A80DA2">
      <w:pPr>
        <w:spacing w:line="240" w:lineRule="auto"/>
        <w:rPr>
          <w:rFonts w:eastAsia="Times New Roman" w:cs="Arial"/>
          <w:i/>
          <w:iCs/>
          <w:color w:val="000000"/>
          <w:lang w:eastAsia="bg-BG"/>
        </w:rPr>
      </w:pPr>
    </w:p>
    <w:p w14:paraId="5CA2F14E" w14:textId="2FAABC8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на възраст от 1 до &lt; 6 години</w:t>
      </w:r>
    </w:p>
    <w:p w14:paraId="27068EE3" w14:textId="7777777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Безопасността и ефективността при деца на възраст от 1 до &lt; 6 години не са устано</w:t>
      </w:r>
      <w:r w:rsidRPr="00A80DA2">
        <w:rPr>
          <w:rFonts w:eastAsia="Times New Roman" w:cs="Arial"/>
          <w:color w:val="000000"/>
          <w:u w:val="single"/>
          <w:lang w:eastAsia="bg-BG"/>
        </w:rPr>
        <w:t xml:space="preserve">вени. </w:t>
      </w:r>
      <w:r w:rsidRPr="00A80DA2">
        <w:rPr>
          <w:rFonts w:eastAsia="Times New Roman" w:cs="Arial"/>
          <w:color w:val="000000"/>
          <w:lang w:eastAsia="bg-BG"/>
        </w:rPr>
        <w:t>Наличните до момента данни са описани в точка 5.1, но препоръки относно</w:t>
      </w:r>
      <w:r w:rsidRPr="00A80DA2">
        <w:rPr>
          <w:rFonts w:eastAsia="Times New Roman" w:cs="Arial"/>
          <w:color w:val="000000"/>
          <w:lang w:val="ru-RU"/>
        </w:rPr>
        <w:t xml:space="preserve"> </w:t>
      </w:r>
      <w:r w:rsidRPr="00A80DA2">
        <w:rPr>
          <w:rFonts w:eastAsia="Times New Roman" w:cs="Arial"/>
          <w:color w:val="000000"/>
          <w:lang w:eastAsia="bg-BG"/>
        </w:rPr>
        <w:t>дозировката не могат да бъдат дадени.</w:t>
      </w:r>
    </w:p>
    <w:p w14:paraId="06ABE63E" w14:textId="3C5BC0F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Кантаб е противопоказан при деца на възраст под 1 година (вж. точка 4,3).</w:t>
      </w:r>
    </w:p>
    <w:p w14:paraId="585FFBEF" w14:textId="77777777" w:rsidR="00A80DA2" w:rsidRPr="00A80DA2" w:rsidRDefault="00A80DA2" w:rsidP="00A80DA2">
      <w:pPr>
        <w:spacing w:line="240" w:lineRule="auto"/>
        <w:rPr>
          <w:rFonts w:eastAsia="Times New Roman" w:cs="Arial"/>
          <w:color w:val="000000"/>
          <w:u w:val="single"/>
          <w:lang w:eastAsia="bg-BG"/>
        </w:rPr>
      </w:pPr>
    </w:p>
    <w:p w14:paraId="0BAC79A5" w14:textId="41A4550F"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сърдечна недостатъчност</w:t>
      </w:r>
    </w:p>
    <w:p w14:paraId="3E3BCC92" w14:textId="77777777" w:rsidR="00A80DA2" w:rsidRPr="00A80DA2" w:rsidRDefault="00A80DA2" w:rsidP="00A80DA2">
      <w:pPr>
        <w:spacing w:line="240" w:lineRule="auto"/>
        <w:rPr>
          <w:rFonts w:eastAsia="Times New Roman" w:cs="Arial"/>
          <w:color w:val="000000"/>
          <w:lang w:eastAsia="bg-BG"/>
        </w:rPr>
      </w:pPr>
    </w:p>
    <w:p w14:paraId="72C36D5B" w14:textId="7550F7B5"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Обичайната препоръчителна начална доза на Кантаб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Възходящото титриране до таргетната доза от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(максимална доза) или до максималната поносима доза се осъществява чрез удвояване на дозата през периоди от поне 2 седмици (вж. точка 4.4). Оценката на пациенти със сърдечна недостатъчност винаги трябва да включва оценка на бъбречната функция, включително мониториране на креатина и калия в серума. Кантаб може да се прилага с други средства за лечение на сърдечна недостатъчност, включително АСЕ инхибитори, бета-блокери, диуретици или сърдечни гликозиди, както и с комбинации от тези лекарствени продукти.</w:t>
      </w:r>
    </w:p>
    <w:p w14:paraId="4E4721A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Комбинацията от АСЕ инхибитор, калий-съхраняващ диуретик (напр.спиронолактон) и Кантаб не се препоръчва и следва да се има предвид само след внимателна оценка на потенциалните ползи и рискове (виж точки 4.4, 4.8 и 5.1).</w:t>
      </w:r>
    </w:p>
    <w:p w14:paraId="5478CD19" w14:textId="77777777" w:rsidR="00A80DA2" w:rsidRPr="00A80DA2" w:rsidRDefault="00A80DA2" w:rsidP="00A80DA2">
      <w:pPr>
        <w:spacing w:line="240" w:lineRule="auto"/>
        <w:rPr>
          <w:rFonts w:eastAsia="Times New Roman" w:cs="Arial"/>
          <w:i/>
          <w:iCs/>
          <w:color w:val="000000"/>
          <w:lang w:eastAsia="bg-BG"/>
        </w:rPr>
      </w:pPr>
    </w:p>
    <w:p w14:paraId="19E335ED" w14:textId="1723D396"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Специални популации пациенти</w:t>
      </w:r>
    </w:p>
    <w:p w14:paraId="3C987D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до умерено тежко чернодробно увреждане, не е необходима корекция на началната доза.</w:t>
      </w:r>
    </w:p>
    <w:p w14:paraId="60156D12" w14:textId="77777777" w:rsidR="00A80DA2" w:rsidRPr="00A80DA2" w:rsidRDefault="00A80DA2" w:rsidP="00A80DA2">
      <w:pPr>
        <w:spacing w:line="240" w:lineRule="auto"/>
        <w:rPr>
          <w:rFonts w:eastAsia="Times New Roman" w:cs="Arial"/>
          <w:i/>
          <w:iCs/>
          <w:color w:val="000000"/>
          <w:lang w:eastAsia="bg-BG"/>
        </w:rPr>
      </w:pPr>
    </w:p>
    <w:p w14:paraId="410B88ED" w14:textId="39612D5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290CE6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Безопасността и ефикасността на Кантаб за лечение на сърдечна недостатъчност не са установени при деца на възраст до 18 години. Няма налични данни.</w:t>
      </w:r>
    </w:p>
    <w:p w14:paraId="57B19F6C" w14:textId="77777777" w:rsidR="00A80DA2" w:rsidRPr="00A80DA2" w:rsidRDefault="00A80DA2" w:rsidP="00A80DA2">
      <w:pPr>
        <w:spacing w:line="240" w:lineRule="auto"/>
        <w:rPr>
          <w:rFonts w:eastAsia="Times New Roman" w:cs="Arial"/>
          <w:color w:val="000000"/>
          <w:u w:val="single"/>
          <w:lang w:eastAsia="bg-BG"/>
        </w:rPr>
      </w:pPr>
    </w:p>
    <w:p w14:paraId="384B2B3F" w14:textId="31063F28" w:rsidR="00A80DA2" w:rsidRPr="00A80DA2" w:rsidRDefault="00A80DA2" w:rsidP="00A80DA2">
      <w:pPr>
        <w:pStyle w:val="Heading3"/>
        <w:rPr>
          <w:rFonts w:eastAsia="Times New Roman"/>
          <w:u w:val="single"/>
        </w:rPr>
      </w:pPr>
      <w:r w:rsidRPr="00A80DA2">
        <w:rPr>
          <w:rFonts w:eastAsia="Times New Roman"/>
          <w:u w:val="single"/>
          <w:lang w:eastAsia="bg-BG"/>
        </w:rPr>
        <w:t>Начин на приложение</w:t>
      </w:r>
    </w:p>
    <w:p w14:paraId="61FE843F" w14:textId="77777777" w:rsidR="00A80DA2" w:rsidRPr="00A80DA2" w:rsidRDefault="00A80DA2" w:rsidP="00A80DA2">
      <w:pPr>
        <w:spacing w:line="240" w:lineRule="auto"/>
        <w:rPr>
          <w:rFonts w:eastAsia="Times New Roman" w:cs="Arial"/>
          <w:color w:val="000000"/>
          <w:lang w:eastAsia="bg-BG"/>
        </w:rPr>
      </w:pPr>
    </w:p>
    <w:p w14:paraId="36C6E408" w14:textId="543DCD6C" w:rsidR="00A80DA2" w:rsidRPr="00A80DA2" w:rsidRDefault="00A80DA2" w:rsidP="00A80DA2">
      <w:pPr>
        <w:spacing w:line="240" w:lineRule="auto"/>
        <w:rPr>
          <w:rFonts w:eastAsia="Times New Roman" w:cs="Arial"/>
        </w:rPr>
      </w:pPr>
      <w:r w:rsidRPr="00A80DA2">
        <w:rPr>
          <w:rFonts w:eastAsia="Times New Roman" w:cs="Arial"/>
          <w:color w:val="000000"/>
          <w:lang w:eastAsia="bg-BG"/>
        </w:rPr>
        <w:t>Перорално.</w:t>
      </w:r>
    </w:p>
    <w:p w14:paraId="0726E013"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трябва да се приема еднократно дневно с или без храна. Бионаличността на Кантаб не се повлиява от приема на храна.</w:t>
      </w:r>
    </w:p>
    <w:p w14:paraId="25DB688A" w14:textId="77777777" w:rsidR="00A80DA2" w:rsidRPr="00A80DA2" w:rsidRDefault="00A80DA2" w:rsidP="00A80DA2"/>
    <w:p w14:paraId="0F253247" w14:textId="107CFB7A" w:rsidR="007122AD" w:rsidRDefault="002C50EE" w:rsidP="00936AD0">
      <w:pPr>
        <w:pStyle w:val="Heading2"/>
      </w:pPr>
      <w:r>
        <w:t>4.3. Противопоказания</w:t>
      </w:r>
    </w:p>
    <w:p w14:paraId="25C82853" w14:textId="0ABFCA0D" w:rsidR="00A80DA2" w:rsidRDefault="00A80DA2" w:rsidP="00A80DA2"/>
    <w:p w14:paraId="0FC1E03D" w14:textId="77777777" w:rsidR="00A80DA2" w:rsidRPr="00A80DA2" w:rsidRDefault="00A80DA2" w:rsidP="00A80DA2">
      <w:pPr>
        <w:rPr>
          <w:sz w:val="24"/>
          <w:szCs w:val="24"/>
        </w:rPr>
      </w:pPr>
      <w:r w:rsidRPr="00A80DA2">
        <w:rPr>
          <w:lang w:eastAsia="bg-BG"/>
        </w:rPr>
        <w:t>Свръхчувствителност към кандесартан цилексетил или към някое от помощните вещества, изброени в точка 6.1.</w:t>
      </w:r>
    </w:p>
    <w:p w14:paraId="1BC434A4" w14:textId="77777777" w:rsidR="00A80DA2" w:rsidRPr="00A80DA2" w:rsidRDefault="00A80DA2" w:rsidP="00A80DA2">
      <w:pPr>
        <w:rPr>
          <w:sz w:val="24"/>
          <w:szCs w:val="24"/>
        </w:rPr>
      </w:pPr>
      <w:r w:rsidRPr="00A80DA2">
        <w:rPr>
          <w:lang w:eastAsia="bg-BG"/>
        </w:rPr>
        <w:t>Втори и трети триместьр на бременността (вж, точки 4.4 и 4.6).</w:t>
      </w:r>
    </w:p>
    <w:p w14:paraId="51243F0F" w14:textId="77777777" w:rsidR="00A80DA2" w:rsidRPr="00A80DA2" w:rsidRDefault="00A80DA2" w:rsidP="00A80DA2">
      <w:pPr>
        <w:rPr>
          <w:sz w:val="24"/>
          <w:szCs w:val="24"/>
        </w:rPr>
      </w:pPr>
      <w:r w:rsidRPr="00A80DA2">
        <w:rPr>
          <w:lang w:eastAsia="bg-BG"/>
        </w:rPr>
        <w:t>Тежко чернодробно увреждане и/или холестаза.</w:t>
      </w:r>
    </w:p>
    <w:p w14:paraId="7694073A" w14:textId="77777777" w:rsidR="00A80DA2" w:rsidRPr="00A80DA2" w:rsidRDefault="00A80DA2" w:rsidP="00A80DA2">
      <w:pPr>
        <w:rPr>
          <w:sz w:val="24"/>
          <w:szCs w:val="24"/>
        </w:rPr>
      </w:pPr>
      <w:r w:rsidRPr="00A80DA2">
        <w:rPr>
          <w:lang w:eastAsia="bg-BG"/>
        </w:rPr>
        <w:lastRenderedPageBreak/>
        <w:t>Деца на възраст под 1 година (вж. точка 5.3).</w:t>
      </w:r>
    </w:p>
    <w:p w14:paraId="7AB71CA7" w14:textId="77777777" w:rsidR="00A80DA2" w:rsidRPr="00A80DA2" w:rsidRDefault="00A80DA2" w:rsidP="00A80DA2"/>
    <w:p w14:paraId="0E0BDCC7" w14:textId="27E621AD" w:rsidR="007122AD" w:rsidRDefault="002C50EE" w:rsidP="00936AD0">
      <w:pPr>
        <w:pStyle w:val="Heading2"/>
      </w:pPr>
      <w:r>
        <w:t>4.4. Специални предупреждения и предпазни мерки при употреба</w:t>
      </w:r>
    </w:p>
    <w:p w14:paraId="42A6A903" w14:textId="0EAEB6A7" w:rsidR="00A80DA2" w:rsidRDefault="00A80DA2" w:rsidP="00A80DA2"/>
    <w:p w14:paraId="1F98B7F2"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Бъбречно увреждане</w:t>
      </w:r>
    </w:p>
    <w:p w14:paraId="40D57C6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Кантаб могат да се очакват промени в бъбречната функция при чувствителни пациенти.</w:t>
      </w:r>
    </w:p>
    <w:p w14:paraId="0E1492BA" w14:textId="77777777" w:rsidR="00A80DA2" w:rsidRPr="00A80DA2" w:rsidRDefault="00A80DA2" w:rsidP="00A80DA2">
      <w:pPr>
        <w:rPr>
          <w:rFonts w:eastAsia="Times New Roman" w:cs="Arial"/>
          <w:color w:val="000000"/>
          <w:lang w:eastAsia="bg-BG"/>
        </w:rPr>
      </w:pPr>
    </w:p>
    <w:p w14:paraId="5FA1E0FC" w14:textId="464DA9C9"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Когато Кантаб се използва при пациенти с артериална хипертония и бъбречни увреждания </w:t>
      </w:r>
      <w:r w:rsidRPr="00A80DA2">
        <w:rPr>
          <w:rFonts w:eastAsia="Times New Roman" w:cs="Arial"/>
          <w:color w:val="000000"/>
          <w:u w:val="single"/>
          <w:lang w:eastAsia="bg-BG"/>
        </w:rPr>
        <w:t xml:space="preserve">е </w:t>
      </w:r>
      <w:r w:rsidRPr="00A80DA2">
        <w:rPr>
          <w:rFonts w:eastAsia="Times New Roman" w:cs="Arial"/>
          <w:color w:val="000000"/>
          <w:lang w:eastAsia="bg-BG"/>
        </w:rPr>
        <w:t>особено важно да се извършва периодично мониториране на нивата на серумния креатинин и серумния калий.</w:t>
      </w:r>
    </w:p>
    <w:p w14:paraId="2C77510C" w14:textId="786D08B5" w:rsidR="00A80DA2" w:rsidRPr="00A80DA2" w:rsidRDefault="00A80DA2" w:rsidP="00A80DA2">
      <w:pPr>
        <w:rPr>
          <w:rFonts w:eastAsia="Times New Roman" w:cs="Arial"/>
          <w:color w:val="000000"/>
          <w:lang w:eastAsia="bg-BG"/>
        </w:rPr>
      </w:pPr>
    </w:p>
    <w:p w14:paraId="70CFF874"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lcr</w:t>
      </w:r>
      <w:proofErr w:type="spellEnd"/>
      <w:r w:rsidRPr="00A80DA2">
        <w:rPr>
          <w:rFonts w:eastAsia="Times New Roman" w:cs="Arial"/>
          <w:color w:val="000000"/>
          <w:lang w:eastAsia="bg-BG"/>
        </w:rPr>
        <w:t xml:space="preserve"> &lt;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 xml:space="preserve">е ограничен. При тези пациенти дозата на Кантаб трябва да се титрира внимателно, със стриктен контрол на </w:t>
      </w:r>
    </w:p>
    <w:p w14:paraId="1E935E7F" w14:textId="41298494" w:rsidR="00A80DA2" w:rsidRPr="00A80DA2" w:rsidRDefault="00A80DA2" w:rsidP="00A80DA2">
      <w:pPr>
        <w:spacing w:line="240" w:lineRule="auto"/>
        <w:rPr>
          <w:rFonts w:eastAsia="Times New Roman" w:cs="Arial"/>
        </w:rPr>
      </w:pPr>
      <w:r w:rsidRPr="00A80DA2">
        <w:rPr>
          <w:rFonts w:eastAsia="Times New Roman" w:cs="Arial"/>
          <w:color w:val="000000"/>
          <w:lang w:eastAsia="bg-BG"/>
        </w:rPr>
        <w:t>артериалното налягане.</w:t>
      </w:r>
    </w:p>
    <w:p w14:paraId="1DFA292B" w14:textId="77777777" w:rsidR="00A80DA2" w:rsidRPr="00A80DA2" w:rsidRDefault="00A80DA2" w:rsidP="00A80DA2">
      <w:pPr>
        <w:spacing w:line="240" w:lineRule="auto"/>
        <w:rPr>
          <w:rFonts w:eastAsia="Times New Roman" w:cs="Arial"/>
          <w:color w:val="000000"/>
          <w:lang w:eastAsia="bg-BG"/>
        </w:rPr>
      </w:pPr>
    </w:p>
    <w:p w14:paraId="169CECA1" w14:textId="757B8069" w:rsidR="00A80DA2" w:rsidRPr="00A80DA2" w:rsidRDefault="00A80DA2" w:rsidP="00A80DA2">
      <w:pPr>
        <w:spacing w:line="240" w:lineRule="auto"/>
        <w:rPr>
          <w:rFonts w:eastAsia="Times New Roman" w:cs="Arial"/>
        </w:rPr>
      </w:pPr>
      <w:r w:rsidRPr="00A80DA2">
        <w:rPr>
          <w:rFonts w:eastAsia="Times New Roman" w:cs="Arial"/>
          <w:color w:val="000000"/>
          <w:lang w:eastAsia="bg-BG"/>
        </w:rPr>
        <w:t>Оценката на пациенти със сърдечна недостатъчност трябва да включва периодична оценка на бъбречната функция, особено при пациенти в старческа възраст над 75 години, както и при пациенти с бъбречно увреждане. При титриране на дозата на Кантаб се препоръчва мониториране на серумния креатинин и серумния калий. В клиничните проучвания на пациенти със сърдечна недостатъчност не са включвани пациенти със серумен креатинин над 265 μ</w:t>
      </w:r>
      <w:proofErr w:type="spellStart"/>
      <w:r w:rsidRPr="00A80DA2">
        <w:rPr>
          <w:rFonts w:eastAsia="Times New Roman" w:cs="Arial"/>
          <w:color w:val="000000"/>
          <w:lang w:val="en-US"/>
        </w:rPr>
        <w:t>mol</w:t>
      </w:r>
      <w:proofErr w:type="spellEnd"/>
      <w:r w:rsidRPr="00A80DA2">
        <w:rPr>
          <w:rFonts w:eastAsia="Times New Roman" w:cs="Arial"/>
          <w:color w:val="000000"/>
          <w:lang w:val="ru-RU"/>
        </w:rPr>
        <w:t>/</w:t>
      </w:r>
      <w:r w:rsidRPr="00A80DA2">
        <w:rPr>
          <w:rFonts w:eastAsia="Times New Roman" w:cs="Arial"/>
          <w:color w:val="000000"/>
          <w:lang w:val="en-US"/>
        </w:rPr>
        <w:t>l</w:t>
      </w:r>
      <w:r w:rsidRPr="00A80DA2">
        <w:rPr>
          <w:rFonts w:eastAsia="Times New Roman" w:cs="Arial"/>
          <w:color w:val="000000"/>
          <w:lang w:val="ru-RU"/>
        </w:rPr>
        <w:t xml:space="preserve"> </w:t>
      </w:r>
      <w:r w:rsidRPr="00A80DA2">
        <w:rPr>
          <w:rFonts w:eastAsia="Times New Roman" w:cs="Arial"/>
          <w:color w:val="000000"/>
          <w:lang w:eastAsia="bg-BG"/>
        </w:rPr>
        <w:t xml:space="preserve">(&gt; 3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dl</w:t>
      </w:r>
      <w:r w:rsidRPr="00A80DA2">
        <w:rPr>
          <w:rFonts w:eastAsia="Times New Roman" w:cs="Arial"/>
          <w:color w:val="000000"/>
          <w:lang w:val="ru-RU"/>
        </w:rPr>
        <w:t>).</w:t>
      </w:r>
    </w:p>
    <w:p w14:paraId="43EB9E6D" w14:textId="77777777" w:rsidR="00A80DA2" w:rsidRPr="00A80DA2" w:rsidRDefault="00A80DA2" w:rsidP="00A80DA2">
      <w:pPr>
        <w:spacing w:line="240" w:lineRule="auto"/>
        <w:rPr>
          <w:rFonts w:eastAsia="Times New Roman" w:cs="Arial"/>
          <w:i/>
          <w:iCs/>
          <w:color w:val="000000"/>
          <w:u w:val="single"/>
          <w:lang w:eastAsia="bg-BG"/>
        </w:rPr>
      </w:pPr>
    </w:p>
    <w:p w14:paraId="1D2EA2B3" w14:textId="67BC7544"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 xml:space="preserve">Употреба при педиатрични пациенти, включително и пациенти с бъбречно увреждане </w:t>
      </w:r>
      <w:r w:rsidRPr="00A80DA2">
        <w:rPr>
          <w:rFonts w:eastAsia="Times New Roman" w:cs="Arial"/>
          <w:color w:val="000000"/>
          <w:lang w:eastAsia="bg-BG"/>
        </w:rPr>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4.2),</w:t>
      </w:r>
    </w:p>
    <w:p w14:paraId="1ADB9F9E" w14:textId="77777777" w:rsidR="00A80DA2" w:rsidRPr="00A80DA2" w:rsidRDefault="00A80DA2" w:rsidP="00A80DA2">
      <w:pPr>
        <w:spacing w:line="240" w:lineRule="auto"/>
        <w:rPr>
          <w:rFonts w:eastAsia="Times New Roman" w:cs="Arial"/>
          <w:i/>
          <w:iCs/>
          <w:color w:val="000000"/>
          <w:u w:val="single"/>
          <w:lang w:eastAsia="bg-BG"/>
        </w:rPr>
      </w:pPr>
    </w:p>
    <w:p w14:paraId="21246813" w14:textId="210A153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Комбинирана терапия с АСЕ инхибитор при сърдечна недостатъчност</w:t>
      </w:r>
    </w:p>
    <w:p w14:paraId="0CB9597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Рискът от развитие на нежелани реакции, особено нарушение на бъбречната функция и хиперкалиемия, може да се повиши при приложение на Кантаб в комбинация с АСЕ инхибитор (вж. точка 4.8). Пациентите на подобно лечение трябва да се мониторират перманентно и внимателно.</w:t>
      </w:r>
    </w:p>
    <w:p w14:paraId="39FC5419" w14:textId="77777777" w:rsidR="00A80DA2" w:rsidRPr="00A80DA2" w:rsidRDefault="00A80DA2" w:rsidP="00A80DA2">
      <w:pPr>
        <w:spacing w:line="240" w:lineRule="auto"/>
        <w:rPr>
          <w:rFonts w:eastAsia="Times New Roman" w:cs="Arial"/>
          <w:i/>
          <w:iCs/>
          <w:color w:val="000000"/>
          <w:u w:val="single"/>
          <w:lang w:eastAsia="bg-BG"/>
        </w:rPr>
      </w:pPr>
    </w:p>
    <w:p w14:paraId="3DAA561E" w14:textId="76872751"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Хемодиализа</w:t>
      </w:r>
    </w:p>
    <w:p w14:paraId="4AB68A9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време на диализа артериалното налягане може да е особено чувствително към </w:t>
      </w:r>
      <w:r w:rsidRPr="00A80DA2">
        <w:rPr>
          <w:rFonts w:eastAsia="Times New Roman" w:cs="Arial"/>
          <w:color w:val="000000"/>
          <w:lang w:val="en-US"/>
        </w:rPr>
        <w:t>AT</w:t>
      </w:r>
      <w:r w:rsidRPr="00A80DA2">
        <w:rPr>
          <w:rFonts w:eastAsia="Times New Roman" w:cs="Arial"/>
          <w:color w:val="000000"/>
          <w:vertAlign w:val="subscript"/>
          <w:lang w:val="ru-RU"/>
        </w:rPr>
        <w:t>1</w:t>
      </w:r>
      <w:r w:rsidRPr="00A80DA2">
        <w:rPr>
          <w:rFonts w:eastAsia="Times New Roman" w:cs="Arial"/>
          <w:color w:val="000000"/>
          <w:lang w:val="ru-RU"/>
        </w:rPr>
        <w:t xml:space="preserve"> </w:t>
      </w:r>
      <w:r w:rsidRPr="00A80DA2">
        <w:rPr>
          <w:rFonts w:eastAsia="Times New Roman" w:cs="Arial"/>
          <w:color w:val="000000"/>
          <w:lang w:eastAsia="bg-BG"/>
        </w:rPr>
        <w:t>- рецепторната блокада в резултат на понижаването на плазмения обем и активирането на ренин- ангиотензин-алдостероновата система. Следователно при пациенти на хемодиализа, Кантаб трябва да се титрира много внимателно, при стриктен контрол на артериалното налягане.</w:t>
      </w:r>
    </w:p>
    <w:p w14:paraId="642E584D" w14:textId="77777777" w:rsidR="00A80DA2" w:rsidRPr="00A80DA2" w:rsidRDefault="00A80DA2" w:rsidP="00A80DA2">
      <w:pPr>
        <w:spacing w:line="240" w:lineRule="auto"/>
        <w:rPr>
          <w:rFonts w:eastAsia="Times New Roman" w:cs="Arial"/>
          <w:i/>
          <w:iCs/>
          <w:color w:val="000000"/>
          <w:u w:val="single"/>
          <w:lang w:eastAsia="bg-BG"/>
        </w:rPr>
      </w:pPr>
    </w:p>
    <w:p w14:paraId="57EFF748" w14:textId="20331EB9"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Стеноза на бъбречната артерия</w:t>
      </w:r>
    </w:p>
    <w:p w14:paraId="2BEE6DFC"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Лекарствените продукти, които повлияват ренин-ангиотензин-алдостероновата система, включително и ангиотензин II рецепторните антагонисти (А</w:t>
      </w:r>
      <w:r w:rsidRPr="00A80DA2">
        <w:rPr>
          <w:rFonts w:eastAsia="Times New Roman" w:cs="Arial"/>
          <w:color w:val="000000"/>
          <w:lang w:val="en-US"/>
        </w:rPr>
        <w:t>II</w:t>
      </w:r>
      <w:r w:rsidRPr="00A80DA2">
        <w:rPr>
          <w:rFonts w:eastAsia="Times New Roman" w:cs="Arial"/>
          <w:color w:val="000000"/>
          <w:lang w:eastAsia="bg-BG"/>
        </w:rPr>
        <w:t>РА), могат да предизвикат повишаване на нивата на кръвната урея и серумния креатинин при пациенти с двустранна стеноза на бъбречната артерия или със стеноза на бъбречна артерия на единствен бъбрек.</w:t>
      </w:r>
    </w:p>
    <w:p w14:paraId="1B70B114" w14:textId="77777777" w:rsidR="00A80DA2" w:rsidRPr="00A80DA2" w:rsidRDefault="00A80DA2" w:rsidP="00A80DA2">
      <w:pPr>
        <w:spacing w:line="240" w:lineRule="auto"/>
        <w:rPr>
          <w:rFonts w:eastAsia="Times New Roman" w:cs="Arial"/>
          <w:i/>
          <w:iCs/>
          <w:color w:val="000000"/>
          <w:u w:val="single"/>
          <w:lang w:eastAsia="bg-BG"/>
        </w:rPr>
      </w:pPr>
    </w:p>
    <w:p w14:paraId="74FE1471" w14:textId="60FE6B8C"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Бъбречна трансплантация</w:t>
      </w:r>
    </w:p>
    <w:p w14:paraId="5263203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Липсва опит по отношение на приложението на Кантаб при пациенти с наскоро извършена бъбречна трансплантация.</w:t>
      </w:r>
    </w:p>
    <w:p w14:paraId="13E9513F" w14:textId="77777777" w:rsidR="00A80DA2" w:rsidRPr="00A80DA2" w:rsidRDefault="00A80DA2" w:rsidP="00A80DA2">
      <w:pPr>
        <w:spacing w:line="240" w:lineRule="auto"/>
        <w:rPr>
          <w:rFonts w:eastAsia="Times New Roman" w:cs="Arial"/>
          <w:i/>
          <w:iCs/>
          <w:color w:val="000000"/>
          <w:u w:val="single"/>
          <w:lang w:eastAsia="bg-BG"/>
        </w:rPr>
      </w:pPr>
    </w:p>
    <w:p w14:paraId="3FD7F736" w14:textId="4D46103A"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Хипотония</w:t>
      </w:r>
    </w:p>
    <w:p w14:paraId="5B3397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 време на лечението с Кантаб на пациенти със сърдечна недостатъчност е възможно да се развие хипотония. Такава може да се развие и при пациенти с хипертония, но с вътресъдово обемно изчерпване - като например пациенти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17FEBF53" w14:textId="77777777" w:rsidR="00A80DA2" w:rsidRPr="00A80DA2" w:rsidRDefault="00A80DA2" w:rsidP="00A80DA2">
      <w:pPr>
        <w:spacing w:line="240" w:lineRule="auto"/>
        <w:rPr>
          <w:rFonts w:eastAsia="Times New Roman" w:cs="Arial"/>
          <w:color w:val="000000"/>
          <w:lang w:eastAsia="bg-BG"/>
        </w:rPr>
      </w:pPr>
    </w:p>
    <w:p w14:paraId="6549DA41" w14:textId="39589FF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да се инициира под строго медицинско наблюдение и да се обмисли по-ниска начална доза от обичайната (вж. точка 4.2).</w:t>
      </w:r>
    </w:p>
    <w:p w14:paraId="0F8696EC" w14:textId="77777777" w:rsidR="00A80DA2" w:rsidRPr="00A80DA2" w:rsidRDefault="00A80DA2" w:rsidP="00A80DA2">
      <w:pPr>
        <w:spacing w:line="240" w:lineRule="auto"/>
        <w:rPr>
          <w:rFonts w:eastAsia="Times New Roman" w:cs="Arial"/>
          <w:i/>
          <w:iCs/>
          <w:color w:val="000000"/>
          <w:u w:val="single"/>
          <w:lang w:eastAsia="bg-BG"/>
        </w:rPr>
      </w:pPr>
    </w:p>
    <w:p w14:paraId="5D46EE3E" w14:textId="78DE9EFF"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Анестезия и операции</w:t>
      </w:r>
    </w:p>
    <w:p w14:paraId="14CD79DD" w14:textId="77777777" w:rsidR="00A80DA2" w:rsidRPr="00A80DA2" w:rsidRDefault="00A80DA2" w:rsidP="00A80DA2">
      <w:pPr>
        <w:rPr>
          <w:rFonts w:eastAsia="Times New Roman" w:cs="Arial"/>
        </w:rPr>
      </w:pPr>
      <w:r w:rsidRPr="00A80DA2">
        <w:rPr>
          <w:rFonts w:eastAsia="Times New Roman" w:cs="Arial"/>
          <w:color w:val="000000"/>
          <w:lang w:eastAsia="bg-BG"/>
        </w:rPr>
        <w:t>При пациенти, които са лекувани с ангиотензин II рецепторните антагонисти, по</w:t>
      </w:r>
      <w:r w:rsidRPr="00A80DA2">
        <w:rPr>
          <w:rFonts w:eastAsia="Times New Roman" w:cs="Arial"/>
          <w:color w:val="000000"/>
          <w:lang w:val="ru-RU"/>
        </w:rPr>
        <w:t xml:space="preserve"> </w:t>
      </w:r>
      <w:r w:rsidRPr="00A80DA2">
        <w:rPr>
          <w:rFonts w:eastAsia="Times New Roman" w:cs="Arial"/>
          <w:color w:val="000000"/>
          <w:lang w:eastAsia="bg-BG"/>
        </w:rPr>
        <w:t>време на анестезия и операция е възможна хипотония поради блокада на ренин-ангиотензин алдостероновата система. Много рядко, хипотонията може да е тежка и да изисква интравенозни вливания и/или приложение на вазопресори.</w:t>
      </w:r>
    </w:p>
    <w:p w14:paraId="412D94EB" w14:textId="77777777" w:rsidR="00A80DA2" w:rsidRPr="00A80DA2" w:rsidRDefault="00A80DA2" w:rsidP="00A80DA2">
      <w:pPr>
        <w:spacing w:line="240" w:lineRule="auto"/>
        <w:rPr>
          <w:rFonts w:eastAsia="Times New Roman" w:cs="Arial"/>
          <w:i/>
          <w:iCs/>
          <w:color w:val="000000"/>
          <w:u w:val="single"/>
          <w:lang w:eastAsia="bg-BG"/>
        </w:rPr>
      </w:pPr>
    </w:p>
    <w:p w14:paraId="6E00D64E" w14:textId="312A5C8F" w:rsidR="00A80DA2" w:rsidRPr="00A80DA2" w:rsidRDefault="00A80DA2" w:rsidP="00A80DA2">
      <w:pPr>
        <w:spacing w:line="240" w:lineRule="auto"/>
        <w:rPr>
          <w:rFonts w:eastAsia="Times New Roman" w:cs="Arial"/>
          <w:color w:val="000000"/>
          <w:lang w:eastAsia="bg-BG"/>
        </w:rPr>
      </w:pPr>
      <w:r w:rsidRPr="00A80DA2">
        <w:rPr>
          <w:rFonts w:eastAsia="Times New Roman" w:cs="Arial"/>
          <w:i/>
          <w:iCs/>
          <w:color w:val="000000"/>
          <w:u w:val="single"/>
          <w:lang w:eastAsia="bg-BG"/>
        </w:rPr>
        <w:t xml:space="preserve">Стеноза на аортната и митралната клапа (обстуктивна хипертпофична кардиомиопатия) </w:t>
      </w:r>
      <w:r w:rsidRPr="00A80DA2">
        <w:rPr>
          <w:rFonts w:eastAsia="Times New Roman" w:cs="Arial"/>
          <w:color w:val="000000"/>
          <w:lang w:eastAsia="bg-BG"/>
        </w:rPr>
        <w:t xml:space="preserve">Както и при </w:t>
      </w:r>
    </w:p>
    <w:p w14:paraId="29C8DBBE" w14:textId="5375EC8E"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приложение на други вазодилататори, при пациенти страдащи от хемодинамично значима аортна или митрална стеноза, или от обструктивна хипертрофична кардиомиопатия, се препоръчва при лечението с Кантаб да се подхожда със специално внимание.</w:t>
      </w:r>
    </w:p>
    <w:p w14:paraId="5CD66D85" w14:textId="77777777" w:rsidR="00A80DA2" w:rsidRPr="00A80DA2" w:rsidRDefault="00A80DA2" w:rsidP="00A80DA2">
      <w:pPr>
        <w:spacing w:line="240" w:lineRule="auto"/>
        <w:rPr>
          <w:rFonts w:eastAsia="Times New Roman" w:cs="Arial"/>
          <w:i/>
          <w:iCs/>
          <w:color w:val="000000"/>
          <w:u w:val="single"/>
          <w:lang w:eastAsia="bg-BG"/>
        </w:rPr>
      </w:pPr>
    </w:p>
    <w:p w14:paraId="19A2DFCE" w14:textId="0CB6D35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Първичен хипералдостеронизъм</w:t>
      </w:r>
    </w:p>
    <w:p w14:paraId="1870A0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Като цяло, пациентите с първичен хипералдостеронизъм не се повлияват от антихипертензивните лекарствени продукти действащи чрез инхибиране на ренин-ангиотензин-алдостероновата система. Поради това употребатата на Кантаб в тази популация не се препоръчва.</w:t>
      </w:r>
    </w:p>
    <w:p w14:paraId="5D5FC096" w14:textId="77777777" w:rsidR="00A80DA2" w:rsidRPr="00A80DA2" w:rsidRDefault="00A80DA2" w:rsidP="00A80DA2">
      <w:pPr>
        <w:spacing w:line="240" w:lineRule="auto"/>
        <w:rPr>
          <w:rFonts w:eastAsia="Times New Roman" w:cs="Arial"/>
          <w:i/>
          <w:iCs/>
          <w:color w:val="000000"/>
          <w:u w:val="single"/>
          <w:lang w:eastAsia="bg-BG"/>
        </w:rPr>
      </w:pPr>
    </w:p>
    <w:p w14:paraId="33CAAC67" w14:textId="29347B02"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Хиперкалиемия</w:t>
      </w:r>
    </w:p>
    <w:p w14:paraId="0144AF5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Едновременното приложение на Кантаб с калий-съхраняващи диуретици, калиеви добавки, заместители на готварската сол, съдържащи калий, или други лекарствени продукти, които могат да повишат стойностите на калия (напр. хепарин), може да доведе до повишаване на серумния калий на пациенти с артериална хипертония. При необходимост трябва се предприеме мониториране на серумния калий.</w:t>
      </w:r>
    </w:p>
    <w:p w14:paraId="3D3371C2" w14:textId="77777777" w:rsidR="00A80DA2" w:rsidRPr="00A80DA2" w:rsidRDefault="00A80DA2" w:rsidP="00A80DA2">
      <w:pPr>
        <w:spacing w:line="240" w:lineRule="auto"/>
        <w:rPr>
          <w:rFonts w:eastAsia="Times New Roman" w:cs="Arial"/>
          <w:color w:val="000000"/>
          <w:lang w:eastAsia="bg-BG"/>
        </w:rPr>
      </w:pPr>
    </w:p>
    <w:p w14:paraId="75EA7755" w14:textId="3EF0F6A8"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При лекуваните с Кантаб пациенти със сърдечна недостатъчност може да се развие хиперкалиемия. </w:t>
      </w:r>
    </w:p>
    <w:p w14:paraId="43077C7A" w14:textId="3D6C118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Препоръчва се периодично мониториране на серумния калий. Комбинация от АСЕ инхибитор, калий-съхраняващ диуретик (напр. спиронолактон) и Кантаб не се препоръчва. Такава комбинация може да се има предвид само след внимателна оценка на потенциалните ползи и рискове.</w:t>
      </w:r>
    </w:p>
    <w:p w14:paraId="09578829" w14:textId="77777777" w:rsidR="00A80DA2" w:rsidRPr="00A80DA2" w:rsidRDefault="00A80DA2" w:rsidP="00A80DA2">
      <w:pPr>
        <w:spacing w:line="240" w:lineRule="auto"/>
        <w:rPr>
          <w:rFonts w:eastAsia="Times New Roman" w:cs="Arial"/>
          <w:i/>
          <w:iCs/>
          <w:color w:val="000000"/>
          <w:u w:val="single"/>
          <w:lang w:eastAsia="bg-BG"/>
        </w:rPr>
      </w:pPr>
    </w:p>
    <w:p w14:paraId="113F2AAE" w14:textId="799FFA7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Обши</w:t>
      </w:r>
    </w:p>
    <w:p w14:paraId="3F550E1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При пациенти, чийто съдов тонус и бъбречна функция зависят главно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от развитие на подобен ефект при приложение на А</w:t>
      </w:r>
      <w:r w:rsidRPr="00A80DA2">
        <w:rPr>
          <w:rFonts w:eastAsia="Times New Roman" w:cs="Arial"/>
          <w:color w:val="000000"/>
          <w:lang w:val="en-US"/>
        </w:rPr>
        <w:t>II</w:t>
      </w:r>
      <w:r w:rsidRPr="00A80DA2">
        <w:rPr>
          <w:rFonts w:eastAsia="Times New Roman" w:cs="Arial"/>
          <w:color w:val="000000"/>
          <w:lang w:eastAsia="bg-BG"/>
        </w:rPr>
        <w:t>РА не може да се изключи. Както при приложение на което и да е антихипертензивно средство, прекомерното понижаване на артериалното налягане при пациенти с исхемична болест на сърцето или исхемична мозъчно-съдова болест може да доведе до развитие на инфаркт на миокарда или инсулт.</w:t>
      </w:r>
    </w:p>
    <w:p w14:paraId="38E57CCB" w14:textId="77777777" w:rsidR="00A80DA2" w:rsidRPr="00A80DA2" w:rsidRDefault="00A80DA2" w:rsidP="00A80DA2">
      <w:pPr>
        <w:spacing w:line="240" w:lineRule="auto"/>
        <w:rPr>
          <w:rFonts w:eastAsia="Times New Roman" w:cs="Arial"/>
          <w:color w:val="000000"/>
          <w:lang w:eastAsia="bg-BG"/>
        </w:rPr>
      </w:pPr>
    </w:p>
    <w:p w14:paraId="3D0A104C" w14:textId="05917942"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2C52F519" w14:textId="77777777" w:rsidR="00A80DA2" w:rsidRPr="00A80DA2" w:rsidRDefault="00A80DA2" w:rsidP="00A80DA2">
      <w:pPr>
        <w:spacing w:line="240" w:lineRule="auto"/>
        <w:rPr>
          <w:rFonts w:eastAsia="Times New Roman" w:cs="Arial"/>
          <w:color w:val="000000"/>
          <w:lang w:eastAsia="bg-BG"/>
        </w:rPr>
      </w:pPr>
    </w:p>
    <w:p w14:paraId="46201730" w14:textId="7E0F4EE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съдържа лактоза монохидрат.</w:t>
      </w:r>
    </w:p>
    <w:p w14:paraId="01D104CF"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редки наследствени проблеми на непоносимост към галактозна непоносимост, </w:t>
      </w:r>
      <w:proofErr w:type="spellStart"/>
      <w:r w:rsidRPr="00A80DA2">
        <w:rPr>
          <w:rFonts w:eastAsia="Times New Roman" w:cs="Arial"/>
          <w:color w:val="000000"/>
          <w:lang w:val="en-US"/>
        </w:rPr>
        <w:t>Laap</w:t>
      </w:r>
      <w:proofErr w:type="spellEnd"/>
      <w:r w:rsidRPr="00A80DA2">
        <w:rPr>
          <w:rFonts w:eastAsia="Times New Roman" w:cs="Arial"/>
          <w:color w:val="000000"/>
          <w:lang w:val="ru-RU"/>
        </w:rPr>
        <w:t xml:space="preserve"> </w:t>
      </w:r>
      <w:r w:rsidRPr="00A80DA2">
        <w:rPr>
          <w:rFonts w:eastAsia="Times New Roman" w:cs="Arial"/>
          <w:color w:val="000000"/>
          <w:lang w:eastAsia="bg-BG"/>
        </w:rPr>
        <w:t xml:space="preserve">лактозен </w:t>
      </w:r>
    </w:p>
    <w:p w14:paraId="582675A3" w14:textId="56F14AD7" w:rsidR="00A80DA2" w:rsidRPr="00A80DA2" w:rsidRDefault="00A80DA2" w:rsidP="00A80DA2">
      <w:pPr>
        <w:spacing w:line="240" w:lineRule="auto"/>
        <w:rPr>
          <w:rFonts w:eastAsia="Times New Roman" w:cs="Arial"/>
        </w:rPr>
      </w:pPr>
      <w:r w:rsidRPr="00A80DA2">
        <w:rPr>
          <w:rFonts w:eastAsia="Times New Roman" w:cs="Arial"/>
          <w:color w:val="000000"/>
          <w:lang w:eastAsia="bg-BG"/>
        </w:rPr>
        <w:t>дефицит или глюкозо - галактозна малабсорбция, не трябва да приемат този лекарствен продукт.</w:t>
      </w:r>
    </w:p>
    <w:p w14:paraId="2E6ED149" w14:textId="77777777" w:rsidR="00A80DA2" w:rsidRPr="00A80DA2" w:rsidRDefault="00A80DA2" w:rsidP="00A80DA2">
      <w:pPr>
        <w:spacing w:line="240" w:lineRule="auto"/>
        <w:rPr>
          <w:rFonts w:eastAsia="Times New Roman" w:cs="Arial"/>
          <w:i/>
          <w:iCs/>
          <w:color w:val="000000"/>
          <w:u w:val="single"/>
          <w:lang w:eastAsia="bg-BG"/>
        </w:rPr>
      </w:pPr>
    </w:p>
    <w:p w14:paraId="567BC8F4" w14:textId="4AB21F7D"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Бременност</w:t>
      </w:r>
    </w:p>
    <w:p w14:paraId="65D91134" w14:textId="6C5FA3F3"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По време на бременност не трябва да се прилага лечение с Ангиотензин II рецепторни антагонисти (А</w:t>
      </w:r>
      <w:r w:rsidRPr="00A80DA2">
        <w:rPr>
          <w:rFonts w:eastAsia="Times New Roman" w:cs="Arial"/>
          <w:color w:val="000000"/>
          <w:lang w:val="en-US"/>
        </w:rPr>
        <w:t>II</w:t>
      </w:r>
      <w:r w:rsidRPr="00A80DA2">
        <w:rPr>
          <w:rFonts w:eastAsia="Times New Roman" w:cs="Arial"/>
          <w:color w:val="000000"/>
          <w:lang w:eastAsia="bg-BG"/>
        </w:rPr>
        <w:t>РА). Освен ако продължаването на лечението с А</w:t>
      </w:r>
      <w:r w:rsidRPr="00A80DA2">
        <w:rPr>
          <w:rFonts w:eastAsia="Times New Roman" w:cs="Arial"/>
          <w:color w:val="000000"/>
          <w:lang w:val="en-US"/>
        </w:rPr>
        <w:t>II</w:t>
      </w:r>
      <w:r w:rsidRPr="00A80DA2">
        <w:rPr>
          <w:rFonts w:eastAsia="Times New Roman" w:cs="Arial"/>
          <w:color w:val="000000"/>
          <w:lang w:eastAsia="bg-BG"/>
        </w:rPr>
        <w:t>РА не се смята за жизненоважно, при пациентките, които смятат да забременеят, трябва да се премине към лечение с алтернативно антихипертензивно средство, което е с установен профил на безопасност за употреба по</w:t>
      </w:r>
      <w:r w:rsidRPr="00A80DA2">
        <w:rPr>
          <w:rFonts w:eastAsia="Times New Roman" w:cs="Arial"/>
          <w:color w:val="000000"/>
          <w:lang w:val="ru-RU"/>
        </w:rPr>
        <w:t xml:space="preserve"> </w:t>
      </w:r>
      <w:r w:rsidRPr="00A80DA2">
        <w:rPr>
          <w:rFonts w:eastAsia="Times New Roman" w:cs="Arial"/>
          <w:color w:val="000000"/>
          <w:lang w:eastAsia="bg-BG"/>
        </w:rPr>
        <w:t>време на бременност. При установяване на бременност, лечението с А</w:t>
      </w:r>
      <w:r w:rsidRPr="00A80DA2">
        <w:rPr>
          <w:rFonts w:eastAsia="Times New Roman" w:cs="Arial"/>
          <w:color w:val="000000"/>
          <w:lang w:val="en-US"/>
        </w:rPr>
        <w:t>II</w:t>
      </w:r>
      <w:r w:rsidRPr="00A80DA2">
        <w:rPr>
          <w:rFonts w:eastAsia="Times New Roman" w:cs="Arial"/>
          <w:color w:val="000000"/>
          <w:lang w:eastAsia="bg-BG"/>
        </w:rPr>
        <w:t>РА трябва да се спре незабавно и, ако е уместно, да се започне алтернативно лечение (вж. точки 4.3 и 4.6).</w:t>
      </w:r>
    </w:p>
    <w:p w14:paraId="2C219797" w14:textId="1FC14E81" w:rsidR="00A80DA2" w:rsidRPr="00A80DA2" w:rsidRDefault="00A80DA2" w:rsidP="00A80DA2">
      <w:pPr>
        <w:spacing w:line="240" w:lineRule="auto"/>
        <w:rPr>
          <w:rFonts w:eastAsia="Times New Roman" w:cs="Arial"/>
          <w:color w:val="000000"/>
          <w:lang w:eastAsia="bg-BG"/>
        </w:rPr>
      </w:pPr>
    </w:p>
    <w:p w14:paraId="55ED6BC0" w14:textId="7B71E168" w:rsidR="00A80DA2" w:rsidRPr="00A80DA2" w:rsidRDefault="00A80DA2" w:rsidP="00A80DA2">
      <w:pPr>
        <w:spacing w:line="240" w:lineRule="auto"/>
        <w:rPr>
          <w:rFonts w:eastAsia="Times New Roman" w:cs="Arial"/>
        </w:rPr>
      </w:pPr>
      <w:r w:rsidRPr="00A80DA2">
        <w:rPr>
          <w:rFonts w:cs="Arial"/>
        </w:rPr>
        <w:t>При пациентки след след менархе вероятността за бременност трябва да се проверява редовно. Трябва да се дава редовна информация и/или да се предприемат мерки за предотвратяване на риска за експозиция по време на бременност (вж. точки 4.3 и 4.6).</w:t>
      </w:r>
    </w:p>
    <w:p w14:paraId="10C7879A" w14:textId="51A9C695" w:rsidR="00A80DA2" w:rsidRPr="00A80DA2" w:rsidRDefault="00A80DA2" w:rsidP="00A80DA2"/>
    <w:p w14:paraId="0734264C" w14:textId="63C30AE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C873BE1" w14:textId="7B110FDC" w:rsidR="00A80DA2" w:rsidRDefault="00A80DA2" w:rsidP="00A80DA2"/>
    <w:p w14:paraId="66F1DE85"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Съединенията, изследвани в клинични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продукти.</w:t>
      </w:r>
    </w:p>
    <w:p w14:paraId="2937B75B" w14:textId="77777777" w:rsidR="00A80DA2" w:rsidRPr="00A80DA2" w:rsidRDefault="00A80DA2" w:rsidP="00A80DA2">
      <w:pPr>
        <w:spacing w:line="240" w:lineRule="auto"/>
        <w:rPr>
          <w:rFonts w:eastAsia="Times New Roman" w:cs="Arial"/>
          <w:color w:val="000000"/>
          <w:szCs w:val="20"/>
          <w:lang w:eastAsia="bg-BG"/>
        </w:rPr>
      </w:pPr>
    </w:p>
    <w:p w14:paraId="67F27CFD" w14:textId="18D7C89C"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на серумния калий. При необходимост трябва се предприеме мониториране на серумния калий (вж. точка 4.4).</w:t>
      </w:r>
    </w:p>
    <w:p w14:paraId="653EDBB5" w14:textId="77777777" w:rsidR="00A80DA2" w:rsidRPr="00A80DA2" w:rsidRDefault="00A80DA2" w:rsidP="00A80DA2">
      <w:pPr>
        <w:spacing w:line="240" w:lineRule="auto"/>
        <w:rPr>
          <w:rFonts w:eastAsia="Times New Roman" w:cs="Arial"/>
          <w:color w:val="000000"/>
          <w:szCs w:val="20"/>
          <w:lang w:eastAsia="bg-BG"/>
        </w:rPr>
      </w:pPr>
    </w:p>
    <w:p w14:paraId="5CB1EC98" w14:textId="5981D7C1"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При едновременното приложение на литий с АСЕ инхибитори има съобщения за обратимо повишаване на серумната концентрация и токсичността на лития. Сходен </w:t>
      </w:r>
      <w:r w:rsidRPr="00A80DA2">
        <w:rPr>
          <w:rFonts w:eastAsia="Times New Roman" w:cs="Arial"/>
          <w:color w:val="000000"/>
          <w:szCs w:val="20"/>
          <w:lang w:eastAsia="bg-BG"/>
        </w:rPr>
        <w:lastRenderedPageBreak/>
        <w:t>ефект може да се развие и при приложение с А</w:t>
      </w:r>
      <w:r w:rsidRPr="00A80DA2">
        <w:rPr>
          <w:rFonts w:eastAsia="Times New Roman" w:cs="Arial"/>
          <w:color w:val="000000"/>
          <w:szCs w:val="20"/>
          <w:lang w:val="en-US"/>
        </w:rPr>
        <w:t>II</w:t>
      </w:r>
      <w:r w:rsidRPr="00A80DA2">
        <w:rPr>
          <w:rFonts w:eastAsia="Times New Roman" w:cs="Arial"/>
          <w:color w:val="000000"/>
          <w:szCs w:val="20"/>
          <w:lang w:eastAsia="bg-BG"/>
        </w:rPr>
        <w:t>РА. Поради това,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33125C1B" w14:textId="77777777" w:rsidR="00A80DA2" w:rsidRPr="00A80DA2" w:rsidRDefault="00A80DA2" w:rsidP="00A80DA2">
      <w:pPr>
        <w:spacing w:line="240" w:lineRule="auto"/>
        <w:rPr>
          <w:rFonts w:eastAsia="Times New Roman" w:cs="Arial"/>
          <w:color w:val="000000"/>
          <w:szCs w:val="20"/>
          <w:lang w:eastAsia="bg-BG"/>
        </w:rPr>
      </w:pPr>
    </w:p>
    <w:p w14:paraId="30CE78A2" w14:textId="377F8B5E"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Едновременното приложение на Ангиотензин II рецепторни антагонисти с нестероидни противовъзпалителни средства </w:t>
      </w:r>
      <w:r w:rsidRPr="00A80DA2">
        <w:rPr>
          <w:rFonts w:eastAsia="Times New Roman" w:cs="Arial"/>
          <w:color w:val="000000"/>
          <w:szCs w:val="20"/>
          <w:lang w:val="ru-RU"/>
        </w:rPr>
        <w:t>(</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 xml:space="preserve">(т.е.селективни инхибитори на СОХ-2 , ацетилсалицилова киселина (&gt;3 </w:t>
      </w:r>
      <w:r w:rsidRPr="00A80DA2">
        <w:rPr>
          <w:rFonts w:eastAsia="Times New Roman" w:cs="Arial"/>
          <w:color w:val="000000"/>
          <w:szCs w:val="20"/>
          <w:lang w:val="en-US"/>
        </w:rPr>
        <w:t>g</w:t>
      </w:r>
      <w:r w:rsidRPr="00A80DA2">
        <w:rPr>
          <w:rFonts w:eastAsia="Times New Roman" w:cs="Arial"/>
          <w:color w:val="000000"/>
          <w:szCs w:val="20"/>
          <w:lang w:eastAsia="bg-BG"/>
        </w:rPr>
        <w:t xml:space="preserve">/дневно) и неселективни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антихипертензивният ефект може да намалее.</w:t>
      </w:r>
    </w:p>
    <w:p w14:paraId="4CD4B543" w14:textId="77777777" w:rsidR="00A80DA2" w:rsidRPr="00A80DA2" w:rsidRDefault="00A80DA2" w:rsidP="00A80DA2">
      <w:pPr>
        <w:spacing w:line="240" w:lineRule="auto"/>
        <w:rPr>
          <w:rFonts w:eastAsia="Times New Roman" w:cs="Arial"/>
          <w:color w:val="000000"/>
          <w:szCs w:val="20"/>
          <w:lang w:eastAsia="bg-BG"/>
        </w:rPr>
      </w:pPr>
    </w:p>
    <w:p w14:paraId="7BF6AA87" w14:textId="53A71B72"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Както и при приложение на АСЕ инхибитори, едновременното приложение на А</w:t>
      </w:r>
      <w:r w:rsidRPr="00A80DA2">
        <w:rPr>
          <w:rFonts w:eastAsia="Times New Roman" w:cs="Arial"/>
          <w:color w:val="000000"/>
          <w:szCs w:val="20"/>
          <w:lang w:val="en-US"/>
        </w:rPr>
        <w:t>II</w:t>
      </w:r>
      <w:r w:rsidRPr="00A80DA2">
        <w:rPr>
          <w:rFonts w:eastAsia="Times New Roman" w:cs="Arial"/>
          <w:color w:val="000000"/>
          <w:szCs w:val="20"/>
          <w:lang w:eastAsia="bg-BG"/>
        </w:rPr>
        <w:t xml:space="preserve">РА 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може да доведе до повишаване на риска за влошаване на бъбречната функция, включително и за развитие на остра бъбречна недостатъчност, и за повишаване нивата на серумния калий,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 започване на съпътстващо лечение, както и периодично след това.</w:t>
      </w:r>
    </w:p>
    <w:p w14:paraId="3DB13E12" w14:textId="77777777" w:rsidR="00A80DA2" w:rsidRPr="00A80DA2" w:rsidRDefault="00A80DA2" w:rsidP="00A80DA2">
      <w:pPr>
        <w:spacing w:line="240" w:lineRule="auto"/>
        <w:rPr>
          <w:rFonts w:eastAsia="Times New Roman" w:cs="Arial"/>
          <w:i/>
          <w:iCs/>
          <w:color w:val="000000"/>
          <w:szCs w:val="20"/>
          <w:u w:val="single"/>
          <w:lang w:eastAsia="bg-BG"/>
        </w:rPr>
      </w:pPr>
    </w:p>
    <w:p w14:paraId="40F8E86A" w14:textId="6264522C"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5FA324F2" w14:textId="173AA4CF" w:rsidR="00A80DA2" w:rsidRP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Проучвания за взаимодействията са провеждани само при възрастни.</w:t>
      </w:r>
    </w:p>
    <w:p w14:paraId="3FD14808" w14:textId="77777777" w:rsidR="00A80DA2" w:rsidRPr="00A80DA2" w:rsidRDefault="00A80DA2" w:rsidP="00A80DA2"/>
    <w:p w14:paraId="5D9F40EA" w14:textId="2840C8F8" w:rsidR="007122AD" w:rsidRDefault="002C50EE" w:rsidP="00936AD0">
      <w:pPr>
        <w:pStyle w:val="Heading2"/>
      </w:pPr>
      <w:r>
        <w:t>4.6. Фертилитет, бременност и кърмене</w:t>
      </w:r>
    </w:p>
    <w:p w14:paraId="586A8B90" w14:textId="0A78F95E" w:rsidR="00A80DA2" w:rsidRDefault="00A80DA2" w:rsidP="00A80DA2"/>
    <w:p w14:paraId="5E034DC2" w14:textId="09CA1FA8" w:rsidR="00A80DA2" w:rsidRPr="00A80DA2" w:rsidRDefault="00A80DA2" w:rsidP="00A80DA2">
      <w:pPr>
        <w:pStyle w:val="Heading3"/>
        <w:rPr>
          <w:u w:val="single"/>
        </w:rPr>
      </w:pPr>
      <w:r w:rsidRPr="00A80DA2">
        <w:rPr>
          <w:u w:val="single"/>
        </w:rPr>
        <w:t>Бременност</w:t>
      </w:r>
    </w:p>
    <w:p w14:paraId="2A2D3065" w14:textId="22A66DA8" w:rsidR="00A80DA2" w:rsidRPr="00A80DA2" w:rsidRDefault="00A80DA2" w:rsidP="00A80DA2">
      <w:pPr>
        <w:rPr>
          <w:rFonts w:cs="Arial"/>
          <w:i/>
          <w:iCs/>
          <w:szCs w:val="20"/>
          <w:u w:val="single"/>
        </w:rPr>
      </w:pPr>
    </w:p>
    <w:tbl>
      <w:tblPr>
        <w:tblStyle w:val="TableGrid"/>
        <w:tblW w:w="0" w:type="auto"/>
        <w:tblLook w:val="04A0" w:firstRow="1" w:lastRow="0" w:firstColumn="1" w:lastColumn="0" w:noHBand="0" w:noVBand="1"/>
      </w:tblPr>
      <w:tblGrid>
        <w:gridCol w:w="9350"/>
      </w:tblGrid>
      <w:tr w:rsidR="00A80DA2" w:rsidRPr="00A80DA2" w14:paraId="38FBEA47" w14:textId="77777777" w:rsidTr="00A80DA2">
        <w:tc>
          <w:tcPr>
            <w:tcW w:w="9576" w:type="dxa"/>
          </w:tcPr>
          <w:p w14:paraId="183EB6EA" w14:textId="4591FBB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 се препоръчва приема на Ангиотензин II рецепторни антагонисти през първия триместър от бременността (вж, точка 4.4). По време на втория и третия триместър на бременността приема на Ангиотензин II рецепторни антагонисти е противопоказан (вж. точки 4.3 и 4.4).</w:t>
            </w:r>
          </w:p>
        </w:tc>
      </w:tr>
    </w:tbl>
    <w:p w14:paraId="65C98D23" w14:textId="0C72BF6D" w:rsidR="00A80DA2" w:rsidRPr="00A80DA2" w:rsidRDefault="00A80DA2" w:rsidP="00A80DA2">
      <w:pPr>
        <w:rPr>
          <w:rFonts w:cs="Arial"/>
          <w:sz w:val="24"/>
        </w:rPr>
      </w:pPr>
    </w:p>
    <w:p w14:paraId="6BF769AB" w14:textId="77777777" w:rsidR="00A80DA2" w:rsidRPr="00A80DA2" w:rsidRDefault="00A80DA2" w:rsidP="00A80DA2">
      <w:pPr>
        <w:rPr>
          <w:rFonts w:eastAsia="Times New Roman" w:cs="Arial"/>
          <w:sz w:val="28"/>
          <w:szCs w:val="24"/>
        </w:rPr>
      </w:pPr>
      <w:r w:rsidRPr="00A80DA2">
        <w:rPr>
          <w:rFonts w:eastAsia="Times New Roman" w:cs="Arial"/>
          <w:color w:val="000000"/>
          <w:szCs w:val="20"/>
          <w:lang w:eastAsia="bg-BG"/>
        </w:rPr>
        <w:t>Епидемиологичните данни, касаещи риска от тератогенен ефект след прием на АСЕ инхибитор през първия триместър от бременността не са еднозначни; все пак не може да се изключи леко повишаване на риска. Макар да няма контролирани епидемиологични данни, касаещи риска при прием на АПРА, при този клас лекарства може да съществува подобен риск. Освен ако продължаването на лечението с АПРА не се смята за жизненоважно, при пациентите,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A80DA2">
        <w:rPr>
          <w:rFonts w:eastAsia="Times New Roman" w:cs="Arial"/>
          <w:color w:val="000000"/>
          <w:szCs w:val="20"/>
          <w:lang w:val="en-US"/>
        </w:rPr>
        <w:t>II</w:t>
      </w:r>
      <w:r w:rsidRPr="00A80DA2">
        <w:rPr>
          <w:rFonts w:eastAsia="Times New Roman" w:cs="Arial"/>
          <w:color w:val="000000"/>
          <w:szCs w:val="20"/>
          <w:lang w:eastAsia="bg-BG"/>
        </w:rPr>
        <w:t>РА трябва да се спре незабавно и, ако е уместно, да се започне алтернативно лечение.</w:t>
      </w:r>
    </w:p>
    <w:p w14:paraId="644D21B1" w14:textId="77777777" w:rsidR="00A80DA2" w:rsidRPr="00A80DA2" w:rsidRDefault="00A80DA2" w:rsidP="00A80DA2">
      <w:pPr>
        <w:spacing w:line="240" w:lineRule="auto"/>
        <w:rPr>
          <w:rFonts w:eastAsia="Times New Roman" w:cs="Arial"/>
          <w:color w:val="000000"/>
          <w:szCs w:val="20"/>
          <w:lang w:eastAsia="bg-BG"/>
        </w:rPr>
      </w:pPr>
    </w:p>
    <w:p w14:paraId="0D9DC733" w14:textId="7547F34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Известно е, че експозицията на А</w:t>
      </w:r>
      <w:r w:rsidRPr="00A80DA2">
        <w:rPr>
          <w:rFonts w:eastAsia="Times New Roman" w:cs="Arial"/>
          <w:color w:val="000000"/>
          <w:szCs w:val="20"/>
          <w:lang w:val="en-US"/>
        </w:rPr>
        <w:t>II</w:t>
      </w:r>
      <w:r w:rsidRPr="00A80DA2">
        <w:rPr>
          <w:rFonts w:eastAsia="Times New Roman" w:cs="Arial"/>
          <w:color w:val="000000"/>
          <w:szCs w:val="20"/>
          <w:lang w:eastAsia="bg-BG"/>
        </w:rPr>
        <w:t>РА през втория и третия триместър на бременността има фетотоксичен ефект (намалена бъбречната функция, олигохидрамнион, забавена осификация на черепните кости) и неонатална токсичност (бъбречна недостатъчност, хипотония, хеперкалиемия) (вж.точки 4.3 и 4.4).</w:t>
      </w:r>
    </w:p>
    <w:p w14:paraId="23C52625" w14:textId="77777777" w:rsidR="00A80DA2" w:rsidRPr="00A80DA2" w:rsidRDefault="00A80DA2" w:rsidP="00A80DA2">
      <w:pPr>
        <w:spacing w:line="240" w:lineRule="auto"/>
        <w:rPr>
          <w:rFonts w:eastAsia="Times New Roman" w:cs="Arial"/>
          <w:color w:val="000000"/>
          <w:szCs w:val="20"/>
          <w:lang w:eastAsia="bg-BG"/>
        </w:rPr>
      </w:pPr>
    </w:p>
    <w:p w14:paraId="78EFAF96" w14:textId="7E126BF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експозиция на А</w:t>
      </w:r>
      <w:r w:rsidRPr="00A80DA2">
        <w:rPr>
          <w:rFonts w:eastAsia="Times New Roman" w:cs="Arial"/>
          <w:color w:val="000000"/>
          <w:szCs w:val="20"/>
          <w:lang w:val="en-US"/>
        </w:rPr>
        <w:t>II</w:t>
      </w:r>
      <w:r w:rsidRPr="00A80DA2">
        <w:rPr>
          <w:rFonts w:eastAsia="Times New Roman" w:cs="Arial"/>
          <w:color w:val="000000"/>
          <w:szCs w:val="20"/>
          <w:lang w:eastAsia="bg-BG"/>
        </w:rPr>
        <w:t>РА след началото на втория триместър на бременността, се препоръчва ехографска оценка на бъбречната функция и състоянието на черепните челюсти.</w:t>
      </w:r>
    </w:p>
    <w:p w14:paraId="1E301950"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lastRenderedPageBreak/>
        <w:t>Кърмачета, чиито майки са приемали А</w:t>
      </w:r>
      <w:r w:rsidRPr="00A80DA2">
        <w:rPr>
          <w:rFonts w:eastAsia="Times New Roman" w:cs="Arial"/>
          <w:color w:val="000000"/>
          <w:szCs w:val="20"/>
          <w:lang w:val="en-US"/>
        </w:rPr>
        <w:t>II</w:t>
      </w:r>
      <w:r w:rsidRPr="00A80DA2">
        <w:rPr>
          <w:rFonts w:eastAsia="Times New Roman" w:cs="Arial"/>
          <w:color w:val="000000"/>
          <w:szCs w:val="20"/>
          <w:lang w:eastAsia="bg-BG"/>
        </w:rPr>
        <w:t>РА,трябва да са под непосредствено наблюдение за развитие на хипотония (вж. точки 4.3 и 4.4).</w:t>
      </w:r>
    </w:p>
    <w:p w14:paraId="26FF3574" w14:textId="77777777" w:rsidR="00A80DA2" w:rsidRPr="00A80DA2" w:rsidRDefault="00A80DA2" w:rsidP="00A80DA2">
      <w:pPr>
        <w:spacing w:line="240" w:lineRule="auto"/>
        <w:rPr>
          <w:rFonts w:eastAsia="Times New Roman" w:cs="Arial"/>
          <w:i/>
          <w:iCs/>
          <w:color w:val="000000"/>
          <w:szCs w:val="20"/>
          <w:u w:val="single"/>
          <w:lang w:eastAsia="bg-BG"/>
        </w:rPr>
      </w:pPr>
    </w:p>
    <w:p w14:paraId="3647C371" w14:textId="5D55287D" w:rsidR="00A80DA2" w:rsidRPr="00A80DA2" w:rsidRDefault="00A80DA2" w:rsidP="00A80DA2">
      <w:pPr>
        <w:pStyle w:val="Heading3"/>
        <w:rPr>
          <w:rFonts w:eastAsia="Times New Roman"/>
          <w:sz w:val="28"/>
          <w:u w:val="single"/>
        </w:rPr>
      </w:pPr>
      <w:r w:rsidRPr="00A80DA2">
        <w:rPr>
          <w:rFonts w:eastAsia="Times New Roman"/>
          <w:u w:val="single"/>
          <w:lang w:eastAsia="bg-BG"/>
        </w:rPr>
        <w:t>Кърмене</w:t>
      </w:r>
    </w:p>
    <w:p w14:paraId="02525ED0" w14:textId="77777777" w:rsidR="00A80DA2" w:rsidRPr="00A80DA2" w:rsidRDefault="00A80DA2" w:rsidP="00A80DA2">
      <w:pPr>
        <w:spacing w:line="240" w:lineRule="auto"/>
        <w:rPr>
          <w:rFonts w:eastAsia="Times New Roman" w:cs="Arial"/>
          <w:color w:val="000000"/>
          <w:szCs w:val="20"/>
          <w:lang w:eastAsia="bg-BG"/>
        </w:rPr>
      </w:pPr>
    </w:p>
    <w:p w14:paraId="7A21946C" w14:textId="27B2682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Понеже липсва информация, касаеща употребата на Кантаб по време на кърмене, приложението на Кантаб не се препоръчва, и е за предпочитане лечение с алтернативни лекарствени средства, които имат установен профил на безопасност при кърмене, особено при кърмене на новородено или недоносено кърмаче.</w:t>
      </w:r>
    </w:p>
    <w:p w14:paraId="29267C8F" w14:textId="5224489F" w:rsidR="00A80DA2" w:rsidRPr="00A80DA2" w:rsidRDefault="00A80DA2" w:rsidP="00A80DA2"/>
    <w:p w14:paraId="5DD7A76D" w14:textId="5502E0C4" w:rsidR="007122AD" w:rsidRDefault="002C50EE" w:rsidP="00936AD0">
      <w:pPr>
        <w:pStyle w:val="Heading2"/>
      </w:pPr>
      <w:r>
        <w:t>4.7. Ефекти върху способността за шофиране и работа с машини</w:t>
      </w:r>
    </w:p>
    <w:p w14:paraId="6A759358" w14:textId="3BA2967F" w:rsidR="00A80DA2" w:rsidRDefault="00A80DA2" w:rsidP="00A80DA2"/>
    <w:p w14:paraId="6DE07620" w14:textId="77777777" w:rsidR="00A80DA2" w:rsidRPr="00A80DA2" w:rsidRDefault="00A80DA2" w:rsidP="00A80DA2">
      <w:pPr>
        <w:rPr>
          <w:sz w:val="24"/>
          <w:szCs w:val="24"/>
        </w:rPr>
      </w:pPr>
      <w:r w:rsidRPr="00A80DA2">
        <w:rPr>
          <w:lang w:eastAsia="bg-BG"/>
        </w:rP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Кантаб е възможна поява на замаяност или отпадналост.</w:t>
      </w:r>
    </w:p>
    <w:p w14:paraId="677465D1" w14:textId="77777777" w:rsidR="00A80DA2" w:rsidRPr="00A80DA2" w:rsidRDefault="00A80DA2" w:rsidP="00A80DA2"/>
    <w:p w14:paraId="44CE30A3" w14:textId="572096CB" w:rsidR="007122AD" w:rsidRDefault="002C50EE" w:rsidP="00936AD0">
      <w:pPr>
        <w:pStyle w:val="Heading2"/>
      </w:pPr>
      <w:r>
        <w:t>4.8. Нежелани лекарствени реакции</w:t>
      </w:r>
    </w:p>
    <w:p w14:paraId="1845DC9D" w14:textId="4B2D37F8" w:rsidR="00A80DA2" w:rsidRDefault="00A80DA2" w:rsidP="00A80DA2"/>
    <w:p w14:paraId="233A6FA9"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артериална хипертония</w:t>
      </w:r>
    </w:p>
    <w:p w14:paraId="64F77820" w14:textId="77777777" w:rsidR="00A80DA2" w:rsidRPr="00A80DA2" w:rsidRDefault="00A80DA2" w:rsidP="00A80DA2">
      <w:pPr>
        <w:spacing w:line="240" w:lineRule="auto"/>
        <w:rPr>
          <w:rFonts w:eastAsia="Times New Roman" w:cs="Arial"/>
          <w:color w:val="000000"/>
          <w:szCs w:val="20"/>
          <w:lang w:eastAsia="bg-BG"/>
        </w:rPr>
      </w:pPr>
    </w:p>
    <w:p w14:paraId="13DA621B" w14:textId="69A7C9D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Нежеланите реакции от контролираните клинични проучвания са леки и преходни, като общата честота на развитие на нежелани събития не показва зависимост от дозата или възрастта.</w:t>
      </w:r>
    </w:p>
    <w:p w14:paraId="3BF2677C"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Спирането на лечението поради развитие на нежелани реакции е сходно за кандесартан цилексетил (3,1%) и плацебо (3,2 %).</w:t>
      </w:r>
    </w:p>
    <w:p w14:paraId="1312B713" w14:textId="77777777" w:rsidR="00A80DA2" w:rsidRPr="00A80DA2" w:rsidRDefault="00A80DA2" w:rsidP="00A80DA2">
      <w:pPr>
        <w:spacing w:line="240" w:lineRule="auto"/>
        <w:rPr>
          <w:rFonts w:eastAsia="Times New Roman" w:cs="Arial"/>
          <w:color w:val="000000"/>
          <w:szCs w:val="20"/>
          <w:lang w:eastAsia="bg-BG"/>
        </w:rPr>
      </w:pPr>
    </w:p>
    <w:p w14:paraId="5D78CEAF" w14:textId="04C84BDB"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 основа на честотата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146C8DDC" w14:textId="77777777" w:rsidR="00A80DA2" w:rsidRPr="00A80DA2" w:rsidRDefault="00A80DA2" w:rsidP="00A80DA2">
      <w:pPr>
        <w:spacing w:line="240" w:lineRule="auto"/>
        <w:rPr>
          <w:rFonts w:eastAsia="Times New Roman" w:cs="Arial"/>
          <w:color w:val="000000"/>
          <w:szCs w:val="20"/>
          <w:lang w:eastAsia="bg-BG"/>
        </w:rPr>
      </w:pPr>
    </w:p>
    <w:p w14:paraId="7E9DEE6E" w14:textId="50061550"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дадената таблица по-долу са представени нежеланите реакции от клиничните проучвания и постмаркетинговия опит.</w:t>
      </w:r>
    </w:p>
    <w:p w14:paraId="22746E36" w14:textId="77777777" w:rsidR="00A80DA2" w:rsidRPr="00A80DA2" w:rsidRDefault="00A80DA2" w:rsidP="00A80DA2">
      <w:pPr>
        <w:rPr>
          <w:rFonts w:eastAsia="Times New Roman" w:cs="Arial"/>
          <w:color w:val="000000"/>
          <w:szCs w:val="20"/>
          <w:lang w:eastAsia="bg-BG"/>
        </w:rPr>
      </w:pPr>
    </w:p>
    <w:p w14:paraId="20C90322" w14:textId="70E12D72" w:rsid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Използваните в таблиците в точка 4.8 честоти са както следва: много чести (≥1/10), чести (≥1/100 до &lt;1/10), нечести (≥1/1000 до &lt;1/100), редки (≥1/10 000 до &lt;1/1000), много редки (&lt;1/10</w:t>
      </w:r>
      <w:r w:rsidRPr="00A80DA2">
        <w:rPr>
          <w:rFonts w:eastAsia="Times New Roman" w:cs="Arial"/>
          <w:color w:val="000000"/>
          <w:szCs w:val="20"/>
          <w:lang w:val="ru-RU"/>
        </w:rPr>
        <w:t xml:space="preserve"> 000), </w:t>
      </w:r>
      <w:r w:rsidRPr="00A80DA2">
        <w:rPr>
          <w:rFonts w:eastAsia="Times New Roman" w:cs="Arial"/>
          <w:color w:val="000000"/>
          <w:szCs w:val="20"/>
          <w:lang w:eastAsia="bg-BG"/>
        </w:rPr>
        <w:t>с неизвестна честота (от наличните данни не може да бъде направена оценка).</w:t>
      </w:r>
    </w:p>
    <w:p w14:paraId="09995B10" w14:textId="5B4736F9" w:rsidR="00A80DA2" w:rsidRDefault="00A80DA2" w:rsidP="00A80DA2">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5"/>
        <w:gridCol w:w="3082"/>
        <w:gridCol w:w="3143"/>
      </w:tblGrid>
      <w:tr w:rsidR="00A80DA2" w14:paraId="2DD976F1" w14:textId="77777777" w:rsidTr="00A80DA2">
        <w:tc>
          <w:tcPr>
            <w:tcW w:w="3192" w:type="dxa"/>
          </w:tcPr>
          <w:p w14:paraId="0DAEEC42" w14:textId="62A19C76" w:rsidR="00A80DA2" w:rsidRPr="00A80DA2" w:rsidRDefault="00A80DA2" w:rsidP="00A80DA2">
            <w:pPr>
              <w:rPr>
                <w:rFonts w:cs="Arial"/>
              </w:rPr>
            </w:pPr>
            <w:r w:rsidRPr="00A80DA2">
              <w:rPr>
                <w:b/>
                <w:bCs/>
                <w:szCs w:val="20"/>
              </w:rPr>
              <w:t>Системно-органен клас</w:t>
            </w:r>
          </w:p>
        </w:tc>
        <w:tc>
          <w:tcPr>
            <w:tcW w:w="3192" w:type="dxa"/>
          </w:tcPr>
          <w:p w14:paraId="0AAA5794" w14:textId="6CFC4470" w:rsidR="00A80DA2" w:rsidRPr="00A80DA2" w:rsidRDefault="00A80DA2" w:rsidP="00A80DA2">
            <w:pPr>
              <w:rPr>
                <w:rFonts w:cs="Arial"/>
              </w:rPr>
            </w:pPr>
            <w:r w:rsidRPr="00A80DA2">
              <w:rPr>
                <w:b/>
                <w:bCs/>
                <w:szCs w:val="20"/>
              </w:rPr>
              <w:t>Честота</w:t>
            </w:r>
          </w:p>
        </w:tc>
        <w:tc>
          <w:tcPr>
            <w:tcW w:w="3192" w:type="dxa"/>
          </w:tcPr>
          <w:p w14:paraId="43EE73B3" w14:textId="24DA7A45" w:rsidR="00A80DA2" w:rsidRPr="00A80DA2" w:rsidRDefault="00A80DA2" w:rsidP="00A80DA2">
            <w:pPr>
              <w:rPr>
                <w:rFonts w:cs="Arial"/>
              </w:rPr>
            </w:pPr>
            <w:r w:rsidRPr="00A80DA2">
              <w:rPr>
                <w:b/>
                <w:bCs/>
                <w:szCs w:val="20"/>
              </w:rPr>
              <w:t>Нежелана реакция</w:t>
            </w:r>
          </w:p>
        </w:tc>
      </w:tr>
      <w:tr w:rsidR="00A80DA2" w14:paraId="56FCB711" w14:textId="77777777" w:rsidTr="00A80DA2">
        <w:tc>
          <w:tcPr>
            <w:tcW w:w="3192" w:type="dxa"/>
          </w:tcPr>
          <w:p w14:paraId="0AB4B806" w14:textId="6C916D06" w:rsidR="00A80DA2" w:rsidRPr="00A80DA2" w:rsidRDefault="00A80DA2" w:rsidP="00A80DA2">
            <w:pPr>
              <w:rPr>
                <w:rFonts w:cs="Arial"/>
              </w:rPr>
            </w:pPr>
            <w:r w:rsidRPr="00A80DA2">
              <w:rPr>
                <w:szCs w:val="20"/>
              </w:rPr>
              <w:t>Инфекции и инфестации</w:t>
            </w:r>
          </w:p>
        </w:tc>
        <w:tc>
          <w:tcPr>
            <w:tcW w:w="3192" w:type="dxa"/>
          </w:tcPr>
          <w:p w14:paraId="520461B2" w14:textId="221075B8" w:rsidR="00A80DA2" w:rsidRPr="00A80DA2" w:rsidRDefault="00A80DA2" w:rsidP="00A80DA2">
            <w:pPr>
              <w:rPr>
                <w:rFonts w:cs="Arial"/>
              </w:rPr>
            </w:pPr>
            <w:r w:rsidRPr="00A80DA2">
              <w:rPr>
                <w:szCs w:val="20"/>
              </w:rPr>
              <w:t>Чести</w:t>
            </w:r>
          </w:p>
        </w:tc>
        <w:tc>
          <w:tcPr>
            <w:tcW w:w="3192" w:type="dxa"/>
          </w:tcPr>
          <w:p w14:paraId="0D24C741" w14:textId="6C80D51B" w:rsidR="00A80DA2" w:rsidRPr="00A80DA2" w:rsidRDefault="00A80DA2" w:rsidP="00A80DA2">
            <w:pPr>
              <w:rPr>
                <w:rFonts w:cs="Arial"/>
              </w:rPr>
            </w:pPr>
            <w:r w:rsidRPr="00A80DA2">
              <w:rPr>
                <w:szCs w:val="20"/>
              </w:rPr>
              <w:t>Дихателни инфекции</w:t>
            </w:r>
          </w:p>
        </w:tc>
      </w:tr>
      <w:tr w:rsidR="00A80DA2" w14:paraId="4E9EC0C0" w14:textId="77777777" w:rsidTr="00A80DA2">
        <w:tc>
          <w:tcPr>
            <w:tcW w:w="3192" w:type="dxa"/>
          </w:tcPr>
          <w:p w14:paraId="3807F8B1" w14:textId="257C4EAB" w:rsidR="00A80DA2" w:rsidRPr="00A80DA2" w:rsidRDefault="00A80DA2" w:rsidP="00A80DA2">
            <w:pPr>
              <w:rPr>
                <w:rFonts w:cs="Arial"/>
              </w:rPr>
            </w:pPr>
            <w:r w:rsidRPr="00A80DA2">
              <w:rPr>
                <w:szCs w:val="20"/>
              </w:rPr>
              <w:t>Нарушения на кръвта и лимфната система</w:t>
            </w:r>
          </w:p>
        </w:tc>
        <w:tc>
          <w:tcPr>
            <w:tcW w:w="3192" w:type="dxa"/>
          </w:tcPr>
          <w:p w14:paraId="24DC7F43" w14:textId="2CE2B24A" w:rsidR="00A80DA2" w:rsidRPr="00A80DA2" w:rsidRDefault="00A80DA2" w:rsidP="00A80DA2">
            <w:pPr>
              <w:rPr>
                <w:rFonts w:cs="Arial"/>
              </w:rPr>
            </w:pPr>
            <w:r w:rsidRPr="00A80DA2">
              <w:rPr>
                <w:szCs w:val="20"/>
              </w:rPr>
              <w:t>Много редки</w:t>
            </w:r>
          </w:p>
        </w:tc>
        <w:tc>
          <w:tcPr>
            <w:tcW w:w="3192" w:type="dxa"/>
          </w:tcPr>
          <w:p w14:paraId="3A0AE277" w14:textId="0FDE9541" w:rsidR="00A80DA2" w:rsidRPr="00A80DA2" w:rsidRDefault="00A80DA2" w:rsidP="00A80DA2">
            <w:pPr>
              <w:rPr>
                <w:rFonts w:cs="Arial"/>
              </w:rPr>
            </w:pPr>
            <w:r w:rsidRPr="00A80DA2">
              <w:rPr>
                <w:szCs w:val="20"/>
              </w:rPr>
              <w:t>Левкопения, неутропения и агранулоцитоза</w:t>
            </w:r>
          </w:p>
        </w:tc>
      </w:tr>
      <w:tr w:rsidR="00A80DA2" w14:paraId="2E5F5270" w14:textId="77777777" w:rsidTr="00A80DA2">
        <w:tc>
          <w:tcPr>
            <w:tcW w:w="3192" w:type="dxa"/>
          </w:tcPr>
          <w:p w14:paraId="3B557791" w14:textId="6910A651" w:rsidR="00A80DA2" w:rsidRPr="00A80DA2" w:rsidRDefault="00A80DA2" w:rsidP="00A80DA2">
            <w:pPr>
              <w:rPr>
                <w:rFonts w:cs="Arial"/>
              </w:rPr>
            </w:pPr>
            <w:r w:rsidRPr="00A80DA2">
              <w:rPr>
                <w:szCs w:val="20"/>
              </w:rPr>
              <w:t>Нарушения на метаболизма и храненето</w:t>
            </w:r>
          </w:p>
        </w:tc>
        <w:tc>
          <w:tcPr>
            <w:tcW w:w="3192" w:type="dxa"/>
          </w:tcPr>
          <w:p w14:paraId="58D8CC24" w14:textId="3EC96B1C" w:rsidR="00A80DA2" w:rsidRPr="00A80DA2" w:rsidRDefault="00A80DA2" w:rsidP="00A80DA2">
            <w:pPr>
              <w:rPr>
                <w:rFonts w:cs="Arial"/>
              </w:rPr>
            </w:pPr>
            <w:r w:rsidRPr="00A80DA2">
              <w:rPr>
                <w:szCs w:val="20"/>
              </w:rPr>
              <w:t>Много редки</w:t>
            </w:r>
          </w:p>
        </w:tc>
        <w:tc>
          <w:tcPr>
            <w:tcW w:w="3192" w:type="dxa"/>
          </w:tcPr>
          <w:p w14:paraId="101C7273" w14:textId="501EEA69" w:rsidR="00A80DA2" w:rsidRPr="00A80DA2" w:rsidRDefault="00A80DA2" w:rsidP="00A80DA2">
            <w:pPr>
              <w:rPr>
                <w:rFonts w:cs="Arial"/>
              </w:rPr>
            </w:pPr>
            <w:r w:rsidRPr="00A80DA2">
              <w:rPr>
                <w:szCs w:val="20"/>
              </w:rPr>
              <w:t>Хиперкалиемия, хипонатриемия</w:t>
            </w:r>
          </w:p>
        </w:tc>
      </w:tr>
      <w:tr w:rsidR="00A80DA2" w14:paraId="5E88C52F" w14:textId="77777777" w:rsidTr="00A80DA2">
        <w:tc>
          <w:tcPr>
            <w:tcW w:w="3192" w:type="dxa"/>
          </w:tcPr>
          <w:p w14:paraId="19EA500E" w14:textId="4D13A4CC" w:rsidR="00A80DA2" w:rsidRPr="00A80DA2" w:rsidRDefault="00A80DA2" w:rsidP="00A80DA2">
            <w:pPr>
              <w:rPr>
                <w:rFonts w:cs="Arial"/>
              </w:rPr>
            </w:pPr>
            <w:r w:rsidRPr="00A80DA2">
              <w:rPr>
                <w:szCs w:val="20"/>
              </w:rPr>
              <w:lastRenderedPageBreak/>
              <w:t>Нарушения на нервната система</w:t>
            </w:r>
          </w:p>
        </w:tc>
        <w:tc>
          <w:tcPr>
            <w:tcW w:w="3192" w:type="dxa"/>
          </w:tcPr>
          <w:p w14:paraId="4D0DF9DC" w14:textId="05A5FA1C" w:rsidR="00A80DA2" w:rsidRPr="00A80DA2" w:rsidRDefault="00A80DA2" w:rsidP="00A80DA2">
            <w:pPr>
              <w:rPr>
                <w:rFonts w:cs="Arial"/>
              </w:rPr>
            </w:pPr>
            <w:r w:rsidRPr="00A80DA2">
              <w:rPr>
                <w:szCs w:val="20"/>
              </w:rPr>
              <w:t>Чести</w:t>
            </w:r>
          </w:p>
        </w:tc>
        <w:tc>
          <w:tcPr>
            <w:tcW w:w="3192" w:type="dxa"/>
          </w:tcPr>
          <w:p w14:paraId="2C373F6B" w14:textId="4B78A909" w:rsidR="00A80DA2" w:rsidRPr="00A80DA2" w:rsidRDefault="00A80DA2" w:rsidP="00A80DA2">
            <w:pPr>
              <w:rPr>
                <w:rFonts w:cs="Arial"/>
              </w:rPr>
            </w:pPr>
            <w:r w:rsidRPr="00A80DA2">
              <w:rPr>
                <w:szCs w:val="20"/>
              </w:rPr>
              <w:t>Замайване/вертиго, главоболие</w:t>
            </w:r>
          </w:p>
        </w:tc>
      </w:tr>
      <w:tr w:rsidR="00A80DA2" w14:paraId="48E40EB3" w14:textId="77777777" w:rsidTr="00A80DA2">
        <w:tc>
          <w:tcPr>
            <w:tcW w:w="3192" w:type="dxa"/>
          </w:tcPr>
          <w:p w14:paraId="400189B2" w14:textId="6EF9A631" w:rsidR="00A80DA2" w:rsidRPr="00A80DA2" w:rsidRDefault="00A80DA2" w:rsidP="00A80DA2">
            <w:pPr>
              <w:rPr>
                <w:rFonts w:cs="Arial"/>
              </w:rPr>
            </w:pPr>
            <w:r w:rsidRPr="00A80DA2">
              <w:rPr>
                <w:szCs w:val="20"/>
              </w:rPr>
              <w:t>Респираторни, гръдни и медиастинални нарушения</w:t>
            </w:r>
          </w:p>
        </w:tc>
        <w:tc>
          <w:tcPr>
            <w:tcW w:w="3192" w:type="dxa"/>
          </w:tcPr>
          <w:p w14:paraId="160C418A" w14:textId="7A69A387" w:rsidR="00A80DA2" w:rsidRPr="00A80DA2" w:rsidRDefault="00A80DA2" w:rsidP="00A80DA2">
            <w:pPr>
              <w:rPr>
                <w:rFonts w:cs="Arial"/>
              </w:rPr>
            </w:pPr>
            <w:r w:rsidRPr="00A80DA2">
              <w:rPr>
                <w:szCs w:val="20"/>
              </w:rPr>
              <w:t>Много редки</w:t>
            </w:r>
          </w:p>
        </w:tc>
        <w:tc>
          <w:tcPr>
            <w:tcW w:w="3192" w:type="dxa"/>
          </w:tcPr>
          <w:p w14:paraId="6F3B16BC" w14:textId="41B36A74" w:rsidR="00A80DA2" w:rsidRPr="00A80DA2" w:rsidRDefault="00A80DA2" w:rsidP="00A80DA2">
            <w:pPr>
              <w:rPr>
                <w:rFonts w:cs="Arial"/>
              </w:rPr>
            </w:pPr>
            <w:r w:rsidRPr="00A80DA2">
              <w:rPr>
                <w:szCs w:val="20"/>
              </w:rPr>
              <w:t>Кашлица</w:t>
            </w:r>
          </w:p>
        </w:tc>
      </w:tr>
      <w:tr w:rsidR="00A80DA2" w14:paraId="64A2230A" w14:textId="77777777" w:rsidTr="00A80DA2">
        <w:tc>
          <w:tcPr>
            <w:tcW w:w="3192" w:type="dxa"/>
          </w:tcPr>
          <w:p w14:paraId="7014D226" w14:textId="1B07BA16" w:rsidR="00A80DA2" w:rsidRPr="00A80DA2" w:rsidRDefault="00A80DA2" w:rsidP="00A80DA2">
            <w:pPr>
              <w:rPr>
                <w:rFonts w:cs="Arial"/>
              </w:rPr>
            </w:pPr>
            <w:r w:rsidRPr="00A80DA2">
              <w:rPr>
                <w:szCs w:val="20"/>
              </w:rPr>
              <w:t>Стомашно-чревни нарушения</w:t>
            </w:r>
          </w:p>
        </w:tc>
        <w:tc>
          <w:tcPr>
            <w:tcW w:w="3192" w:type="dxa"/>
          </w:tcPr>
          <w:p w14:paraId="69CEF5F0" w14:textId="127A9E95" w:rsidR="00A80DA2" w:rsidRPr="00A80DA2" w:rsidRDefault="00A80DA2" w:rsidP="00A80DA2">
            <w:pPr>
              <w:rPr>
                <w:rFonts w:cs="Arial"/>
              </w:rPr>
            </w:pPr>
            <w:r w:rsidRPr="00A80DA2">
              <w:rPr>
                <w:szCs w:val="20"/>
              </w:rPr>
              <w:t>Много редки</w:t>
            </w:r>
          </w:p>
        </w:tc>
        <w:tc>
          <w:tcPr>
            <w:tcW w:w="3192" w:type="dxa"/>
          </w:tcPr>
          <w:p w14:paraId="43BDD506" w14:textId="052283A3" w:rsidR="00A80DA2" w:rsidRPr="00A80DA2" w:rsidRDefault="00A80DA2" w:rsidP="00A80DA2">
            <w:pPr>
              <w:rPr>
                <w:rFonts w:cs="Arial"/>
              </w:rPr>
            </w:pPr>
            <w:r w:rsidRPr="00A80DA2">
              <w:rPr>
                <w:szCs w:val="20"/>
              </w:rPr>
              <w:t>Гадене</w:t>
            </w:r>
          </w:p>
        </w:tc>
      </w:tr>
      <w:tr w:rsidR="00A80DA2" w14:paraId="5210FDBE" w14:textId="77777777" w:rsidTr="00A80DA2">
        <w:tc>
          <w:tcPr>
            <w:tcW w:w="3192" w:type="dxa"/>
          </w:tcPr>
          <w:p w14:paraId="3B272AFF" w14:textId="1820BEF6" w:rsidR="00A80DA2" w:rsidRPr="00A80DA2" w:rsidRDefault="00A80DA2" w:rsidP="00A80DA2">
            <w:pPr>
              <w:rPr>
                <w:rFonts w:cs="Arial"/>
              </w:rPr>
            </w:pPr>
            <w:r w:rsidRPr="00A80DA2">
              <w:rPr>
                <w:szCs w:val="20"/>
              </w:rPr>
              <w:t>Хепато - билиарни нарушения</w:t>
            </w:r>
          </w:p>
        </w:tc>
        <w:tc>
          <w:tcPr>
            <w:tcW w:w="3192" w:type="dxa"/>
          </w:tcPr>
          <w:p w14:paraId="68A955D8" w14:textId="3B4AA66E" w:rsidR="00A80DA2" w:rsidRPr="00A80DA2" w:rsidRDefault="00A80DA2" w:rsidP="00A80DA2">
            <w:pPr>
              <w:rPr>
                <w:rFonts w:cs="Arial"/>
              </w:rPr>
            </w:pPr>
            <w:r w:rsidRPr="00A80DA2">
              <w:rPr>
                <w:szCs w:val="20"/>
              </w:rPr>
              <w:t>Много редки</w:t>
            </w:r>
          </w:p>
        </w:tc>
        <w:tc>
          <w:tcPr>
            <w:tcW w:w="3192" w:type="dxa"/>
          </w:tcPr>
          <w:p w14:paraId="434F3E2C" w14:textId="39DF933E" w:rsidR="00A80DA2" w:rsidRPr="00A80DA2" w:rsidRDefault="00A80DA2" w:rsidP="00A80DA2">
            <w:pPr>
              <w:rPr>
                <w:rFonts w:cs="Arial"/>
              </w:rPr>
            </w:pPr>
            <w:r w:rsidRPr="00A80DA2">
              <w:rPr>
                <w:szCs w:val="20"/>
              </w:rPr>
              <w:t>Повишаване на чернодробните ензими, отклонения в чернодробната функция или хепатит</w:t>
            </w:r>
          </w:p>
        </w:tc>
      </w:tr>
      <w:tr w:rsidR="00A80DA2" w14:paraId="2B66FD1D" w14:textId="77777777" w:rsidTr="00A80DA2">
        <w:tc>
          <w:tcPr>
            <w:tcW w:w="3192" w:type="dxa"/>
          </w:tcPr>
          <w:p w14:paraId="70E3411B" w14:textId="51207DBA" w:rsidR="00A80DA2" w:rsidRPr="00A80DA2" w:rsidRDefault="00A80DA2" w:rsidP="00A80DA2">
            <w:pPr>
              <w:rPr>
                <w:rFonts w:cs="Arial"/>
              </w:rPr>
            </w:pPr>
            <w:r w:rsidRPr="00A80DA2">
              <w:rPr>
                <w:szCs w:val="20"/>
              </w:rPr>
              <w:t>Нарушения на кожата и подкожната тъкан -</w:t>
            </w:r>
          </w:p>
        </w:tc>
        <w:tc>
          <w:tcPr>
            <w:tcW w:w="3192" w:type="dxa"/>
          </w:tcPr>
          <w:p w14:paraId="594595E7" w14:textId="668417FE" w:rsidR="00A80DA2" w:rsidRPr="00A80DA2" w:rsidRDefault="00A80DA2" w:rsidP="00A80DA2">
            <w:pPr>
              <w:rPr>
                <w:rFonts w:cs="Arial"/>
              </w:rPr>
            </w:pPr>
            <w:r w:rsidRPr="00A80DA2">
              <w:rPr>
                <w:szCs w:val="20"/>
              </w:rPr>
              <w:t>Много редки</w:t>
            </w:r>
          </w:p>
        </w:tc>
        <w:tc>
          <w:tcPr>
            <w:tcW w:w="3192" w:type="dxa"/>
          </w:tcPr>
          <w:p w14:paraId="5D94AABD" w14:textId="749959CA" w:rsidR="00A80DA2" w:rsidRPr="00A80DA2" w:rsidRDefault="00A80DA2" w:rsidP="00A80DA2">
            <w:pPr>
              <w:rPr>
                <w:rFonts w:cs="Arial"/>
              </w:rPr>
            </w:pPr>
            <w:r w:rsidRPr="00A80DA2">
              <w:rPr>
                <w:szCs w:val="20"/>
              </w:rPr>
              <w:t>Ангиоедем, обрив, уртикария, пруритус</w:t>
            </w:r>
          </w:p>
        </w:tc>
      </w:tr>
      <w:tr w:rsidR="00A80DA2" w14:paraId="15D69228" w14:textId="77777777" w:rsidTr="00A80DA2">
        <w:tc>
          <w:tcPr>
            <w:tcW w:w="3192" w:type="dxa"/>
          </w:tcPr>
          <w:p w14:paraId="2908FCF4" w14:textId="3A169784" w:rsidR="00A80DA2" w:rsidRPr="00A80DA2" w:rsidRDefault="00A80DA2" w:rsidP="00A80DA2">
            <w:pPr>
              <w:rPr>
                <w:rFonts w:cs="Arial"/>
              </w:rPr>
            </w:pPr>
            <w:r w:rsidRPr="00A80DA2">
              <w:rPr>
                <w:szCs w:val="20"/>
              </w:rPr>
              <w:t>Нарушения на мускулно- скелетната система и съединителната тъкан</w:t>
            </w:r>
          </w:p>
        </w:tc>
        <w:tc>
          <w:tcPr>
            <w:tcW w:w="3192" w:type="dxa"/>
          </w:tcPr>
          <w:p w14:paraId="58DCF80D" w14:textId="0FBF639F" w:rsidR="00A80DA2" w:rsidRPr="00A80DA2" w:rsidRDefault="00A80DA2" w:rsidP="00A80DA2">
            <w:pPr>
              <w:rPr>
                <w:rFonts w:cs="Arial"/>
              </w:rPr>
            </w:pPr>
            <w:r w:rsidRPr="00A80DA2">
              <w:rPr>
                <w:szCs w:val="20"/>
              </w:rPr>
              <w:t>Много редки</w:t>
            </w:r>
          </w:p>
        </w:tc>
        <w:tc>
          <w:tcPr>
            <w:tcW w:w="3192" w:type="dxa"/>
          </w:tcPr>
          <w:p w14:paraId="3024FBA4" w14:textId="3C5D74DF" w:rsidR="00A80DA2" w:rsidRPr="00A80DA2" w:rsidRDefault="00A80DA2" w:rsidP="00A80DA2">
            <w:pPr>
              <w:rPr>
                <w:rFonts w:cs="Arial"/>
              </w:rPr>
            </w:pPr>
            <w:r w:rsidRPr="00A80DA2">
              <w:rPr>
                <w:szCs w:val="20"/>
              </w:rPr>
              <w:t>Болки в гърба, артралгия, миалгия</w:t>
            </w:r>
          </w:p>
        </w:tc>
      </w:tr>
      <w:tr w:rsidR="00A80DA2" w14:paraId="0C45CD81" w14:textId="77777777" w:rsidTr="00A80DA2">
        <w:tc>
          <w:tcPr>
            <w:tcW w:w="3192" w:type="dxa"/>
          </w:tcPr>
          <w:p w14:paraId="63B1B842" w14:textId="68596BFF" w:rsidR="00A80DA2" w:rsidRPr="00A80DA2" w:rsidRDefault="00A80DA2" w:rsidP="00A80DA2">
            <w:pPr>
              <w:rPr>
                <w:rFonts w:cs="Arial"/>
              </w:rPr>
            </w:pPr>
            <w:r w:rsidRPr="00A80DA2">
              <w:rPr>
                <w:szCs w:val="20"/>
              </w:rPr>
              <w:t>Нарушения на бъбреците и пикочните пътища</w:t>
            </w:r>
          </w:p>
        </w:tc>
        <w:tc>
          <w:tcPr>
            <w:tcW w:w="3192" w:type="dxa"/>
          </w:tcPr>
          <w:p w14:paraId="33F6B0DE" w14:textId="4990FF6F" w:rsidR="00A80DA2" w:rsidRPr="00A80DA2" w:rsidRDefault="00A80DA2" w:rsidP="00A80DA2">
            <w:pPr>
              <w:rPr>
                <w:rFonts w:cs="Arial"/>
              </w:rPr>
            </w:pPr>
            <w:r w:rsidRPr="00A80DA2">
              <w:rPr>
                <w:szCs w:val="20"/>
              </w:rPr>
              <w:t>Много редки</w:t>
            </w:r>
          </w:p>
        </w:tc>
        <w:tc>
          <w:tcPr>
            <w:tcW w:w="3192" w:type="dxa"/>
          </w:tcPr>
          <w:p w14:paraId="19EBF5EA" w14:textId="5AA43172" w:rsidR="00A80DA2" w:rsidRPr="00A80DA2" w:rsidRDefault="00A80DA2" w:rsidP="00A80DA2">
            <w:pPr>
              <w:rPr>
                <w:rFonts w:cs="Arial"/>
              </w:rPr>
            </w:pPr>
            <w:r w:rsidRPr="00A80DA2">
              <w:rPr>
                <w:szCs w:val="20"/>
              </w:rPr>
              <w:t>Бъбречно увреждане, включително бъбречна недостатъчност при чувствителни пациенти (вж. точка 4.4)</w:t>
            </w:r>
          </w:p>
        </w:tc>
      </w:tr>
    </w:tbl>
    <w:p w14:paraId="5614D735" w14:textId="6809C05F" w:rsidR="00A80DA2" w:rsidRDefault="00A80DA2" w:rsidP="00A80DA2">
      <w:pPr>
        <w:rPr>
          <w:rFonts w:cs="Arial"/>
          <w:sz w:val="24"/>
        </w:rPr>
      </w:pPr>
    </w:p>
    <w:p w14:paraId="6C190D42"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lang w:eastAsia="bg-BG"/>
        </w:rPr>
        <w:t>Лабораторни резултати</w:t>
      </w:r>
    </w:p>
    <w:p w14:paraId="181E879A"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Като цяло Кантаб няма клинично значими ефекти върху рутинните лабораторни показатели. Колкото до други инхибитори на ренин-ангиотензин-алдостероновата система, наблюдавани са случаи на леко понижаване на хемоглобина. При пациенти с бъбречно увреждане обаче се препоръчва периодично мониториране на стойностите на калий и креатинин в серума.</w:t>
      </w:r>
    </w:p>
    <w:p w14:paraId="79E76613" w14:textId="77777777" w:rsidR="00A80DA2" w:rsidRPr="00A80DA2" w:rsidRDefault="00A80DA2" w:rsidP="00A80DA2">
      <w:pPr>
        <w:spacing w:line="240" w:lineRule="auto"/>
        <w:rPr>
          <w:rFonts w:eastAsia="Times New Roman" w:cs="Arial"/>
          <w:i/>
          <w:iCs/>
          <w:color w:val="000000"/>
          <w:szCs w:val="20"/>
          <w:u w:val="single"/>
          <w:lang w:eastAsia="bg-BG"/>
        </w:rPr>
      </w:pPr>
    </w:p>
    <w:p w14:paraId="6644E4B4" w14:textId="253B959D"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7C06AB59"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Безопасността на кандесартан цилексетил е проследявана в хода на 4-седмично клинично проучване за оценка на ефикасността и едногодишно открито проучване при 255 деца и юноши на възраст от 6 до &lt;18 години с артериална хипертония (вж. точка 5.1). В почти всички системно- органни класове, честотата на нежеланите лекарствени реакции при деца е в границите на честите/нечестите нежелани реакции. Въпреки, че по характер и тежест нежеланите лекарствени реакции са сходни с тези при възрастни пациенти, при децата и юношите нежеланите лекарствени реакции са с по-висока честота, особено що се касае за:</w:t>
      </w:r>
    </w:p>
    <w:p w14:paraId="676DAB58" w14:textId="77777777" w:rsidR="00A80DA2" w:rsidRPr="00A80DA2" w:rsidRDefault="00A80DA2" w:rsidP="00A80DA2">
      <w:pPr>
        <w:spacing w:line="240" w:lineRule="auto"/>
        <w:rPr>
          <w:rFonts w:eastAsia="Times New Roman" w:cs="Arial"/>
          <w:color w:val="000000"/>
          <w:szCs w:val="20"/>
          <w:lang w:eastAsia="bg-BG"/>
        </w:rPr>
      </w:pPr>
    </w:p>
    <w:p w14:paraId="60DB9F8A"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Главоболието, замайването и инфекциите на горните дихателни пътища са „много чести“ (т.е. ≥1/10) при децата и „чести“ (≥1/100 до &lt;1/10) при възрастните.</w:t>
      </w:r>
    </w:p>
    <w:p w14:paraId="54ED0DE9"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Кашлицата е „много честа“ (т.е. &gt;1/10) при децата и „много рядка“ (&lt;1/10 000) при възрастните.</w:t>
      </w:r>
    </w:p>
    <w:p w14:paraId="5869F14C"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Обривът е „чест“ (т.е. ≥1/100 до &lt;1/10) при децата и „много рядък“ (&lt;1/10 възрастните.</w:t>
      </w:r>
    </w:p>
    <w:p w14:paraId="6622AD1D"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Хиперкалиемията, хипонатриемията и отклоненията в чернодробната функция са „нечести“ (≥ 1/1 000 до &lt;1/100) при децата и „много рядки“ (&lt;1/10 000) при възрастните.</w:t>
      </w:r>
    </w:p>
    <w:p w14:paraId="702BE1F3" w14:textId="1F499D42"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lastRenderedPageBreak/>
        <w:t>При деца синусовата аритмия, назофарингитьт и хиперпирексията са „чести“ (≥1/100 до &lt;1/10), а ортофарингеалната болка - „много честа“ (т.е. &gt;1/10), а при възрастните не са съобщавани нито една от тези нежелани реакции. Те обаче са временни и широко разпространени детски заболявалия.</w:t>
      </w:r>
    </w:p>
    <w:p w14:paraId="5E821379" w14:textId="77777777" w:rsidR="00A80DA2" w:rsidRPr="00A80DA2" w:rsidRDefault="00A80DA2" w:rsidP="00A80DA2">
      <w:pPr>
        <w:spacing w:line="240" w:lineRule="auto"/>
        <w:rPr>
          <w:rFonts w:eastAsia="Times New Roman" w:cs="Arial"/>
          <w:color w:val="000000"/>
          <w:szCs w:val="20"/>
          <w:lang w:eastAsia="bg-BG"/>
        </w:rPr>
      </w:pPr>
    </w:p>
    <w:p w14:paraId="5E88205C" w14:textId="5B581DF4"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Цялостният профил на безопасност на кандесартан цилексетил при педиатрични пациенти не се различава значително от профила на безопасност при възрастните.</w:t>
      </w:r>
    </w:p>
    <w:p w14:paraId="79D626C2" w14:textId="77777777" w:rsidR="00A80DA2" w:rsidRPr="00A80DA2" w:rsidRDefault="00A80DA2" w:rsidP="00A80DA2">
      <w:pPr>
        <w:spacing w:line="240" w:lineRule="auto"/>
        <w:rPr>
          <w:rFonts w:eastAsia="Times New Roman" w:cs="Arial"/>
          <w:i/>
          <w:iCs/>
          <w:color w:val="000000"/>
          <w:szCs w:val="20"/>
          <w:u w:val="single"/>
          <w:lang w:eastAsia="bg-BG"/>
        </w:rPr>
      </w:pPr>
    </w:p>
    <w:p w14:paraId="274E57A5" w14:textId="3F31F022"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сърдечна недостатъчност</w:t>
      </w:r>
    </w:p>
    <w:p w14:paraId="03850FD7"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Профилът на нежеланите реакции на Кантаб при възрастни пациенти със сърдечна недостатъчнос</w:t>
      </w:r>
      <w:r w:rsidRPr="00A80DA2">
        <w:rPr>
          <w:rFonts w:eastAsia="Times New Roman" w:cs="Arial"/>
          <w:color w:val="000000"/>
          <w:szCs w:val="20"/>
          <w:vertAlign w:val="superscript"/>
          <w:lang w:eastAsia="bg-BG"/>
        </w:rPr>
        <w:t xml:space="preserve">г </w:t>
      </w:r>
      <w:r w:rsidRPr="00A80DA2">
        <w:rPr>
          <w:rFonts w:eastAsia="Times New Roman" w:cs="Arial"/>
          <w:color w:val="000000"/>
          <w:szCs w:val="20"/>
          <w:lang w:eastAsia="bg-BG"/>
        </w:rPr>
        <w:t>зависи основно от здравословното състояние на пациентите и е в съответствие с фармакологията на лекарството.</w:t>
      </w:r>
    </w:p>
    <w:p w14:paraId="22BD55BE"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Най-често съобщаваните нежелани реакции са хиперкалиемия, хипотония и бъбречно увреждане. Тяхнатата честота е по-висока при пациенти на възраст над 70 години, пациенти с диабет или такива, които са приемали други лекарствени продукти, повлияващи ренин-ангиотензин- алдостероновата система, в частност АЦЕ инхибитори и/или спиронолактон.</w:t>
      </w:r>
    </w:p>
    <w:p w14:paraId="5489CDC0" w14:textId="77777777" w:rsidR="00A80DA2" w:rsidRPr="00A80DA2" w:rsidRDefault="00A80DA2" w:rsidP="00A80DA2">
      <w:pPr>
        <w:spacing w:line="240" w:lineRule="auto"/>
        <w:rPr>
          <w:rFonts w:eastAsia="Times New Roman" w:cs="Arial"/>
          <w:color w:val="000000"/>
          <w:szCs w:val="20"/>
          <w:lang w:eastAsia="bg-BG"/>
        </w:rPr>
      </w:pPr>
    </w:p>
    <w:p w14:paraId="548F1B0F" w14:textId="5BADD9DD" w:rsid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В таблицата по-долу са представени нежеланите реакции от клиничните проучвания и постмаркетинговия опит.</w:t>
      </w:r>
    </w:p>
    <w:p w14:paraId="378BCFD3" w14:textId="09B091A5" w:rsidR="00A80DA2" w:rsidRDefault="00A80DA2" w:rsidP="00A80DA2">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30"/>
        <w:gridCol w:w="3092"/>
        <w:gridCol w:w="3128"/>
      </w:tblGrid>
      <w:tr w:rsidR="00A80DA2" w14:paraId="603305BA" w14:textId="77777777" w:rsidTr="00A80DA2">
        <w:tc>
          <w:tcPr>
            <w:tcW w:w="3192" w:type="dxa"/>
          </w:tcPr>
          <w:p w14:paraId="4CD68591" w14:textId="57755FCD"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Системно-органен клас</w:t>
            </w:r>
          </w:p>
        </w:tc>
        <w:tc>
          <w:tcPr>
            <w:tcW w:w="3192" w:type="dxa"/>
          </w:tcPr>
          <w:p w14:paraId="5CCEFCAB" w14:textId="4CE92BCA"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Честота</w:t>
            </w:r>
          </w:p>
        </w:tc>
        <w:tc>
          <w:tcPr>
            <w:tcW w:w="3192" w:type="dxa"/>
          </w:tcPr>
          <w:p w14:paraId="0BC002AB" w14:textId="2841C8F0"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Нежелана реакция</w:t>
            </w:r>
          </w:p>
        </w:tc>
      </w:tr>
      <w:tr w:rsidR="00A80DA2" w14:paraId="5422A1F0" w14:textId="77777777" w:rsidTr="00A80DA2">
        <w:tc>
          <w:tcPr>
            <w:tcW w:w="3192" w:type="dxa"/>
          </w:tcPr>
          <w:p w14:paraId="206FA5D6" w14:textId="7EC66FE2"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кръвта и лимфната система</w:t>
            </w:r>
          </w:p>
        </w:tc>
        <w:tc>
          <w:tcPr>
            <w:tcW w:w="3192" w:type="dxa"/>
          </w:tcPr>
          <w:p w14:paraId="7639C07B" w14:textId="1DBF22F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09A224D" w14:textId="48AE47B5" w:rsidR="00A80DA2" w:rsidRPr="00A80DA2" w:rsidRDefault="00A80DA2" w:rsidP="00A80DA2">
            <w:pPr>
              <w:spacing w:line="240" w:lineRule="auto"/>
              <w:rPr>
                <w:rFonts w:ascii="Times New Roman" w:eastAsia="Times New Roman" w:hAnsi="Times New Roman" w:cs="Times New Roman"/>
                <w:szCs w:val="24"/>
              </w:rPr>
            </w:pPr>
            <w:r w:rsidRPr="00A80DA2">
              <w:rPr>
                <w:szCs w:val="20"/>
              </w:rPr>
              <w:t>Левкопения, неутропения и агранулоцитоза</w:t>
            </w:r>
          </w:p>
        </w:tc>
      </w:tr>
      <w:tr w:rsidR="00A80DA2" w14:paraId="4B57003E" w14:textId="77777777" w:rsidTr="00A80DA2">
        <w:tc>
          <w:tcPr>
            <w:tcW w:w="3192" w:type="dxa"/>
          </w:tcPr>
          <w:p w14:paraId="4FAB5658" w14:textId="6101D7FF"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метаболизма и храненето</w:t>
            </w:r>
          </w:p>
        </w:tc>
        <w:tc>
          <w:tcPr>
            <w:tcW w:w="3192" w:type="dxa"/>
          </w:tcPr>
          <w:p w14:paraId="1EC84B66" w14:textId="77777777" w:rsidR="00A80DA2" w:rsidRPr="00A80DA2" w:rsidRDefault="00A80DA2" w:rsidP="00A80DA2">
            <w:r w:rsidRPr="00A80DA2">
              <w:rPr>
                <w:szCs w:val="20"/>
              </w:rPr>
              <w:t>Чести</w:t>
            </w:r>
          </w:p>
          <w:p w14:paraId="3B154B48" w14:textId="77777777" w:rsidR="00A80DA2" w:rsidRDefault="00A80DA2" w:rsidP="00A80DA2">
            <w:pPr>
              <w:spacing w:line="240" w:lineRule="auto"/>
              <w:rPr>
                <w:szCs w:val="20"/>
              </w:rPr>
            </w:pPr>
          </w:p>
          <w:p w14:paraId="7B1C45DB" w14:textId="1F1D1E04"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C49F717" w14:textId="77777777" w:rsidR="00A80DA2" w:rsidRPr="00A80DA2" w:rsidRDefault="00A80DA2" w:rsidP="00A80DA2">
            <w:r w:rsidRPr="00A80DA2">
              <w:rPr>
                <w:szCs w:val="20"/>
              </w:rPr>
              <w:t>Хиперкалиемия</w:t>
            </w:r>
          </w:p>
          <w:p w14:paraId="0509AE36" w14:textId="77777777" w:rsidR="00A80DA2" w:rsidRDefault="00A80DA2" w:rsidP="00A80DA2">
            <w:pPr>
              <w:spacing w:line="240" w:lineRule="auto"/>
              <w:rPr>
                <w:szCs w:val="20"/>
              </w:rPr>
            </w:pPr>
          </w:p>
          <w:p w14:paraId="06B0E53D" w14:textId="3AF5DC1A"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Хипонатриемия</w:t>
            </w:r>
          </w:p>
        </w:tc>
      </w:tr>
      <w:tr w:rsidR="00A80DA2" w14:paraId="6E5DB771" w14:textId="77777777" w:rsidTr="00A80DA2">
        <w:tc>
          <w:tcPr>
            <w:tcW w:w="3192" w:type="dxa"/>
          </w:tcPr>
          <w:p w14:paraId="63B1355F" w14:textId="6F24467D"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нервната система</w:t>
            </w:r>
          </w:p>
        </w:tc>
        <w:tc>
          <w:tcPr>
            <w:tcW w:w="3192" w:type="dxa"/>
          </w:tcPr>
          <w:p w14:paraId="2059581A" w14:textId="5DB1231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E95A814" w14:textId="6F9C28F5" w:rsidR="00A80DA2" w:rsidRPr="00A80DA2" w:rsidRDefault="00A80DA2" w:rsidP="00A80DA2">
            <w:pPr>
              <w:spacing w:line="240" w:lineRule="auto"/>
              <w:rPr>
                <w:rFonts w:ascii="Times New Roman" w:eastAsia="Times New Roman" w:hAnsi="Times New Roman" w:cs="Times New Roman"/>
                <w:szCs w:val="24"/>
              </w:rPr>
            </w:pPr>
            <w:r w:rsidRPr="00A80DA2">
              <w:rPr>
                <w:szCs w:val="20"/>
              </w:rPr>
              <w:t>Замайване, главоболие</w:t>
            </w:r>
          </w:p>
        </w:tc>
      </w:tr>
      <w:tr w:rsidR="00A80DA2" w14:paraId="30A4055D" w14:textId="77777777" w:rsidTr="00A80DA2">
        <w:tc>
          <w:tcPr>
            <w:tcW w:w="3192" w:type="dxa"/>
          </w:tcPr>
          <w:p w14:paraId="1C536263" w14:textId="54DC25A8" w:rsidR="00A80DA2" w:rsidRPr="00A80DA2" w:rsidRDefault="00A80DA2" w:rsidP="00A80DA2">
            <w:pPr>
              <w:spacing w:line="240" w:lineRule="auto"/>
              <w:rPr>
                <w:rFonts w:ascii="Times New Roman" w:eastAsia="Times New Roman" w:hAnsi="Times New Roman" w:cs="Times New Roman"/>
                <w:szCs w:val="24"/>
              </w:rPr>
            </w:pPr>
            <w:r w:rsidRPr="00A80DA2">
              <w:rPr>
                <w:szCs w:val="20"/>
              </w:rPr>
              <w:t>Респираторни, гръдни и медиастинални нарушения</w:t>
            </w:r>
          </w:p>
        </w:tc>
        <w:tc>
          <w:tcPr>
            <w:tcW w:w="3192" w:type="dxa"/>
          </w:tcPr>
          <w:p w14:paraId="45F23F04" w14:textId="1C9D722E"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9684821" w14:textId="5F320183" w:rsidR="00A80DA2" w:rsidRPr="00A80DA2" w:rsidRDefault="00A80DA2" w:rsidP="00A80DA2">
            <w:pPr>
              <w:spacing w:line="240" w:lineRule="auto"/>
              <w:rPr>
                <w:rFonts w:ascii="Times New Roman" w:eastAsia="Times New Roman" w:hAnsi="Times New Roman" w:cs="Times New Roman"/>
                <w:szCs w:val="24"/>
              </w:rPr>
            </w:pPr>
            <w:r w:rsidRPr="00A80DA2">
              <w:rPr>
                <w:szCs w:val="20"/>
              </w:rPr>
              <w:t>Кашлица</w:t>
            </w:r>
          </w:p>
        </w:tc>
      </w:tr>
      <w:tr w:rsidR="00A80DA2" w14:paraId="2419D767" w14:textId="77777777" w:rsidTr="00A80DA2">
        <w:tc>
          <w:tcPr>
            <w:tcW w:w="3192" w:type="dxa"/>
          </w:tcPr>
          <w:p w14:paraId="1F6E7F81" w14:textId="1C70DE47" w:rsidR="00A80DA2" w:rsidRPr="00A80DA2" w:rsidRDefault="00A80DA2" w:rsidP="00A80DA2">
            <w:pPr>
              <w:spacing w:line="240" w:lineRule="auto"/>
              <w:rPr>
                <w:rFonts w:ascii="Times New Roman" w:eastAsia="Times New Roman" w:hAnsi="Times New Roman" w:cs="Times New Roman"/>
                <w:szCs w:val="24"/>
              </w:rPr>
            </w:pPr>
            <w:r w:rsidRPr="00A80DA2">
              <w:rPr>
                <w:szCs w:val="20"/>
              </w:rPr>
              <w:t>Съдови нарушения</w:t>
            </w:r>
          </w:p>
        </w:tc>
        <w:tc>
          <w:tcPr>
            <w:tcW w:w="3192" w:type="dxa"/>
          </w:tcPr>
          <w:p w14:paraId="6D1E2C9C" w14:textId="310BFB8C" w:rsidR="00A80DA2" w:rsidRPr="00A80DA2" w:rsidRDefault="00A80DA2" w:rsidP="00A80DA2">
            <w:pPr>
              <w:spacing w:line="240" w:lineRule="auto"/>
              <w:rPr>
                <w:rFonts w:ascii="Times New Roman" w:eastAsia="Times New Roman" w:hAnsi="Times New Roman" w:cs="Times New Roman"/>
                <w:szCs w:val="24"/>
              </w:rPr>
            </w:pPr>
            <w:r w:rsidRPr="00A80DA2">
              <w:rPr>
                <w:szCs w:val="20"/>
              </w:rPr>
              <w:t>Чести</w:t>
            </w:r>
          </w:p>
        </w:tc>
        <w:tc>
          <w:tcPr>
            <w:tcW w:w="3192" w:type="dxa"/>
          </w:tcPr>
          <w:p w14:paraId="39A25814" w14:textId="33BDF4B7"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Хипотония</w:t>
            </w:r>
          </w:p>
        </w:tc>
      </w:tr>
      <w:tr w:rsidR="00A80DA2" w14:paraId="62308DBC" w14:textId="77777777" w:rsidTr="00A80DA2">
        <w:tc>
          <w:tcPr>
            <w:tcW w:w="3192" w:type="dxa"/>
          </w:tcPr>
          <w:p w14:paraId="0E693F9F" w14:textId="1961D591" w:rsidR="00A80DA2" w:rsidRPr="00A80DA2" w:rsidRDefault="00A80DA2" w:rsidP="00A80DA2">
            <w:pPr>
              <w:spacing w:line="240" w:lineRule="auto"/>
              <w:rPr>
                <w:rFonts w:ascii="Times New Roman" w:eastAsia="Times New Roman" w:hAnsi="Times New Roman" w:cs="Times New Roman"/>
                <w:szCs w:val="24"/>
              </w:rPr>
            </w:pPr>
            <w:r w:rsidRPr="00A80DA2">
              <w:rPr>
                <w:szCs w:val="20"/>
              </w:rPr>
              <w:t>Стомашно-чревни нарушения</w:t>
            </w:r>
          </w:p>
        </w:tc>
        <w:tc>
          <w:tcPr>
            <w:tcW w:w="3192" w:type="dxa"/>
          </w:tcPr>
          <w:p w14:paraId="76BA68E3" w14:textId="594AE14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6856BA28" w14:textId="28B17D8B" w:rsidR="00A80DA2" w:rsidRPr="00A80DA2" w:rsidRDefault="00A80DA2" w:rsidP="00A80DA2">
            <w:pPr>
              <w:spacing w:line="240" w:lineRule="auto"/>
              <w:rPr>
                <w:rFonts w:ascii="Times New Roman" w:eastAsia="Times New Roman" w:hAnsi="Times New Roman" w:cs="Times New Roman"/>
                <w:szCs w:val="24"/>
              </w:rPr>
            </w:pPr>
            <w:r w:rsidRPr="00A80DA2">
              <w:rPr>
                <w:szCs w:val="20"/>
              </w:rPr>
              <w:t>Гадене</w:t>
            </w:r>
          </w:p>
        </w:tc>
      </w:tr>
      <w:tr w:rsidR="00A80DA2" w14:paraId="6097554B" w14:textId="77777777" w:rsidTr="00A80DA2">
        <w:tc>
          <w:tcPr>
            <w:tcW w:w="3192" w:type="dxa"/>
          </w:tcPr>
          <w:p w14:paraId="7BBA5323" w14:textId="3C2A1709" w:rsidR="00A80DA2" w:rsidRPr="00A80DA2" w:rsidRDefault="00A80DA2" w:rsidP="00A80DA2">
            <w:pPr>
              <w:spacing w:line="240" w:lineRule="auto"/>
              <w:rPr>
                <w:rFonts w:ascii="Times New Roman" w:eastAsia="Times New Roman" w:hAnsi="Times New Roman" w:cs="Times New Roman"/>
                <w:szCs w:val="24"/>
              </w:rPr>
            </w:pPr>
            <w:r w:rsidRPr="00A80DA2">
              <w:rPr>
                <w:szCs w:val="20"/>
              </w:rPr>
              <w:t>Хепато - билиарни нарушения</w:t>
            </w:r>
          </w:p>
        </w:tc>
        <w:tc>
          <w:tcPr>
            <w:tcW w:w="3192" w:type="dxa"/>
          </w:tcPr>
          <w:p w14:paraId="361470DC" w14:textId="35C290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493A673C" w14:textId="042BB5D7" w:rsidR="00A80DA2" w:rsidRPr="00A80DA2" w:rsidRDefault="00A80DA2" w:rsidP="00A80DA2">
            <w:pPr>
              <w:spacing w:line="240" w:lineRule="auto"/>
              <w:rPr>
                <w:rFonts w:ascii="Times New Roman" w:eastAsia="Times New Roman" w:hAnsi="Times New Roman" w:cs="Times New Roman"/>
                <w:szCs w:val="24"/>
              </w:rPr>
            </w:pPr>
            <w:r w:rsidRPr="00A80DA2">
              <w:rPr>
                <w:szCs w:val="20"/>
              </w:rPr>
              <w:t>Повишаване на чернодробните ензими, отклонения в чернодробната функция или хепатит</w:t>
            </w:r>
          </w:p>
        </w:tc>
      </w:tr>
      <w:tr w:rsidR="00A80DA2" w14:paraId="37F2C5A8" w14:textId="77777777" w:rsidTr="00A80DA2">
        <w:tc>
          <w:tcPr>
            <w:tcW w:w="3192" w:type="dxa"/>
          </w:tcPr>
          <w:p w14:paraId="28AFF8B0" w14:textId="1BEB9F79"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кожата и подкожната тъкан -</w:t>
            </w:r>
          </w:p>
        </w:tc>
        <w:tc>
          <w:tcPr>
            <w:tcW w:w="3192" w:type="dxa"/>
          </w:tcPr>
          <w:p w14:paraId="01E434A2" w14:textId="395198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AC3E346" w14:textId="0A51AC00" w:rsidR="00A80DA2" w:rsidRPr="00A80DA2" w:rsidRDefault="00A80DA2" w:rsidP="00A80DA2">
            <w:pPr>
              <w:spacing w:line="240" w:lineRule="auto"/>
              <w:rPr>
                <w:rFonts w:ascii="Times New Roman" w:eastAsia="Times New Roman" w:hAnsi="Times New Roman" w:cs="Times New Roman"/>
                <w:szCs w:val="24"/>
              </w:rPr>
            </w:pPr>
            <w:r w:rsidRPr="00A80DA2">
              <w:rPr>
                <w:szCs w:val="20"/>
              </w:rPr>
              <w:t>Ангиоедем, обрив, уртикария, пруритус</w:t>
            </w:r>
          </w:p>
        </w:tc>
      </w:tr>
      <w:tr w:rsidR="00A80DA2" w14:paraId="5BF2C6B7" w14:textId="77777777" w:rsidTr="00A80DA2">
        <w:tc>
          <w:tcPr>
            <w:tcW w:w="3192" w:type="dxa"/>
          </w:tcPr>
          <w:p w14:paraId="7795849C" w14:textId="7A402F06"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мускулно- скелетната система и съединителната тъкан</w:t>
            </w:r>
          </w:p>
        </w:tc>
        <w:tc>
          <w:tcPr>
            <w:tcW w:w="3192" w:type="dxa"/>
          </w:tcPr>
          <w:p w14:paraId="3E0D58EC" w14:textId="0B58EDC6"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1192024" w14:textId="6DA66A51" w:rsidR="00A80DA2" w:rsidRPr="00A80DA2" w:rsidRDefault="00A80DA2" w:rsidP="00A80DA2">
            <w:pPr>
              <w:spacing w:line="240" w:lineRule="auto"/>
              <w:rPr>
                <w:rFonts w:ascii="Times New Roman" w:eastAsia="Times New Roman" w:hAnsi="Times New Roman" w:cs="Times New Roman"/>
                <w:szCs w:val="24"/>
              </w:rPr>
            </w:pPr>
            <w:r w:rsidRPr="00A80DA2">
              <w:rPr>
                <w:szCs w:val="20"/>
              </w:rPr>
              <w:t>Болки в гърба, артралгия, миалгия</w:t>
            </w:r>
          </w:p>
        </w:tc>
      </w:tr>
      <w:tr w:rsidR="00A80DA2" w14:paraId="673D1D5E" w14:textId="77777777" w:rsidTr="00A80DA2">
        <w:tc>
          <w:tcPr>
            <w:tcW w:w="3192" w:type="dxa"/>
          </w:tcPr>
          <w:p w14:paraId="0BBE38D2" w14:textId="244997C5"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бъбреците и пикочните пътища</w:t>
            </w:r>
          </w:p>
        </w:tc>
        <w:tc>
          <w:tcPr>
            <w:tcW w:w="3192" w:type="dxa"/>
          </w:tcPr>
          <w:p w14:paraId="1B9677B4" w14:textId="36501B3C"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67AFCB2" w14:textId="3A31AF41" w:rsidR="00A80DA2" w:rsidRPr="00A80DA2" w:rsidRDefault="00A80DA2" w:rsidP="00A80DA2">
            <w:pPr>
              <w:spacing w:line="240" w:lineRule="auto"/>
              <w:rPr>
                <w:rFonts w:ascii="Times New Roman" w:eastAsia="Times New Roman" w:hAnsi="Times New Roman" w:cs="Times New Roman"/>
                <w:szCs w:val="24"/>
              </w:rPr>
            </w:pPr>
            <w:r w:rsidRPr="00A80DA2">
              <w:rPr>
                <w:szCs w:val="20"/>
              </w:rPr>
              <w:t>Бъбречно увреждане, включително бъбречна недостатъчност при чувствителни пациенти (вж. точка 4.4)</w:t>
            </w:r>
          </w:p>
        </w:tc>
      </w:tr>
    </w:tbl>
    <w:p w14:paraId="55D01F10" w14:textId="77777777" w:rsidR="00A80DA2" w:rsidRPr="00A80DA2" w:rsidRDefault="00A80DA2" w:rsidP="00A80DA2">
      <w:pPr>
        <w:spacing w:line="240" w:lineRule="auto"/>
        <w:rPr>
          <w:rFonts w:ascii="Times New Roman" w:eastAsia="Times New Roman" w:hAnsi="Times New Roman" w:cs="Times New Roman"/>
          <w:sz w:val="24"/>
          <w:szCs w:val="24"/>
        </w:rPr>
      </w:pPr>
    </w:p>
    <w:p w14:paraId="1797EDAA"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lastRenderedPageBreak/>
        <w:t>Лабораторни резултати</w:t>
      </w:r>
    </w:p>
    <w:p w14:paraId="3A85517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Хиперкалиемия и бъбречно увреждане се развиват често при пациенти, лекувани с Кантаб по показание „сърдечна недостатъчност“. Препоръчва се периодично мониториране на креатинина и калия в серума (вж. точка 4.4).</w:t>
      </w:r>
    </w:p>
    <w:p w14:paraId="73430F5B" w14:textId="77777777" w:rsidR="00A80DA2" w:rsidRPr="00A80DA2" w:rsidRDefault="00A80DA2" w:rsidP="00A80DA2">
      <w:pPr>
        <w:spacing w:line="240" w:lineRule="auto"/>
        <w:rPr>
          <w:rFonts w:eastAsia="Times New Roman" w:cs="Arial"/>
          <w:color w:val="000000"/>
          <w:u w:val="single"/>
          <w:lang w:eastAsia="bg-BG"/>
        </w:rPr>
      </w:pPr>
    </w:p>
    <w:p w14:paraId="27936A12" w14:textId="246935D6" w:rsidR="00A80DA2" w:rsidRPr="00A80DA2" w:rsidRDefault="00A80DA2" w:rsidP="00A80DA2">
      <w:pPr>
        <w:spacing w:line="240" w:lineRule="auto"/>
        <w:rPr>
          <w:rFonts w:eastAsia="Times New Roman" w:cs="Arial"/>
        </w:rPr>
      </w:pPr>
      <w:r w:rsidRPr="00A80DA2">
        <w:rPr>
          <w:rFonts w:eastAsia="Times New Roman" w:cs="Arial"/>
          <w:color w:val="000000"/>
          <w:u w:val="single"/>
          <w:lang w:eastAsia="bg-BG"/>
        </w:rPr>
        <w:t>Съобщаване на подозирани нежелани реакции</w:t>
      </w:r>
    </w:p>
    <w:p w14:paraId="5D59099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директно на Изпълнителна агенция по лекарствата (ИАЛ):</w:t>
      </w:r>
    </w:p>
    <w:p w14:paraId="1A623D82" w14:textId="77777777" w:rsidR="00A80DA2" w:rsidRPr="00A80DA2" w:rsidRDefault="00A80DA2" w:rsidP="00A80DA2">
      <w:pPr>
        <w:spacing w:line="240" w:lineRule="auto"/>
        <w:rPr>
          <w:rFonts w:eastAsia="Times New Roman" w:cs="Arial"/>
          <w:color w:val="000000"/>
          <w:lang w:eastAsia="bg-BG"/>
        </w:rPr>
      </w:pPr>
    </w:p>
    <w:p w14:paraId="3BD17930" w14:textId="6EB1143C" w:rsidR="00A80DA2" w:rsidRPr="00A80DA2" w:rsidRDefault="00A80DA2" w:rsidP="00A80DA2">
      <w:pPr>
        <w:spacing w:line="240" w:lineRule="auto"/>
        <w:rPr>
          <w:rFonts w:eastAsia="Times New Roman" w:cs="Arial"/>
        </w:rPr>
      </w:pPr>
      <w:r w:rsidRPr="00A80DA2">
        <w:rPr>
          <w:rFonts w:eastAsia="Times New Roman" w:cs="Arial"/>
          <w:color w:val="000000"/>
          <w:lang w:eastAsia="bg-BG"/>
        </w:rPr>
        <w:t>ул. Дамян Груев №8</w:t>
      </w:r>
    </w:p>
    <w:p w14:paraId="6E22FB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1303 София</w:t>
      </w:r>
    </w:p>
    <w:p w14:paraId="4F053E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Тел. +359 2 8903417</w:t>
      </w:r>
    </w:p>
    <w:p w14:paraId="173C3B4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ел. поща: </w:t>
      </w:r>
      <w:r w:rsidRPr="00A80DA2">
        <w:rPr>
          <w:rFonts w:eastAsia="Times New Roman" w:cs="Arial"/>
        </w:rPr>
        <w:fldChar w:fldCharType="begin"/>
      </w:r>
      <w:r w:rsidRPr="00A80DA2">
        <w:rPr>
          <w:rFonts w:eastAsia="Times New Roman" w:cs="Arial"/>
        </w:rPr>
        <w:instrText xml:space="preserve"> HYPERLINK "mailto:bda@bda.bg" </w:instrText>
      </w:r>
      <w:r w:rsidRPr="00A80DA2">
        <w:rPr>
          <w:rFonts w:eastAsia="Times New Roman" w:cs="Arial"/>
        </w:rPr>
        <w:fldChar w:fldCharType="separate"/>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bg</w:t>
      </w:r>
      <w:r w:rsidRPr="00A80DA2">
        <w:rPr>
          <w:rFonts w:eastAsia="Times New Roman" w:cs="Arial"/>
        </w:rPr>
        <w:fldChar w:fldCharType="end"/>
      </w:r>
    </w:p>
    <w:p w14:paraId="7CBAC6C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уебсайт: </w:t>
      </w:r>
      <w:r w:rsidRPr="00A80DA2">
        <w:rPr>
          <w:rFonts w:eastAsia="Times New Roman" w:cs="Arial"/>
        </w:rPr>
        <w:fldChar w:fldCharType="begin"/>
      </w:r>
      <w:r w:rsidRPr="00A80DA2">
        <w:rPr>
          <w:rFonts w:eastAsia="Times New Roman" w:cs="Arial"/>
        </w:rPr>
        <w:instrText xml:space="preserve"> HYPERLINK "http://www.bda.bg" </w:instrText>
      </w:r>
      <w:r w:rsidRPr="00A80DA2">
        <w:rPr>
          <w:rFonts w:eastAsia="Times New Roman" w:cs="Arial"/>
        </w:rPr>
        <w:fldChar w:fldCharType="separate"/>
      </w:r>
      <w:r w:rsidRPr="00A80DA2">
        <w:rPr>
          <w:rFonts w:eastAsia="Times New Roman" w:cs="Arial"/>
          <w:color w:val="000000"/>
          <w:u w:val="single"/>
          <w:lang w:val="en-US"/>
        </w:rPr>
        <w:t>www</w:t>
      </w:r>
      <w:r w:rsidRPr="00A80DA2">
        <w:rPr>
          <w:rFonts w:eastAsia="Times New Roman" w:cs="Arial"/>
          <w:color w:val="000000"/>
          <w:u w:val="single"/>
          <w:lang w:val="ru-RU"/>
        </w:rPr>
        <w:t>.</w:t>
      </w:r>
      <w:proofErr w:type="spellStart"/>
      <w:r w:rsidRPr="00A80DA2">
        <w:rPr>
          <w:rFonts w:eastAsia="Times New Roman" w:cs="Arial"/>
          <w:color w:val="000000"/>
          <w:u w:val="single"/>
          <w:lang w:val="en-US"/>
        </w:rPr>
        <w:t>bda</w:t>
      </w:r>
      <w:proofErr w:type="spellEnd"/>
      <w:r w:rsidRPr="00A80DA2">
        <w:rPr>
          <w:rFonts w:eastAsia="Times New Roman" w:cs="Arial"/>
          <w:color w:val="000000"/>
          <w:u w:val="single"/>
          <w:lang w:val="ru-RU"/>
        </w:rPr>
        <w:t>.</w:t>
      </w:r>
      <w:proofErr w:type="spellStart"/>
      <w:r w:rsidRPr="00A80DA2">
        <w:rPr>
          <w:rFonts w:eastAsia="Times New Roman" w:cs="Arial"/>
          <w:color w:val="000000"/>
          <w:u w:val="single"/>
          <w:lang w:val="en-US"/>
        </w:rPr>
        <w:t>bg</w:t>
      </w:r>
      <w:proofErr w:type="spellEnd"/>
      <w:r w:rsidRPr="00A80DA2">
        <w:rPr>
          <w:rFonts w:eastAsia="Times New Roman" w:cs="Arial"/>
        </w:rPr>
        <w:fldChar w:fldCharType="end"/>
      </w:r>
    </w:p>
    <w:p w14:paraId="6D907063" w14:textId="77777777" w:rsidR="00A80DA2" w:rsidRPr="00A80DA2" w:rsidRDefault="00A80DA2" w:rsidP="00A80DA2">
      <w:pPr>
        <w:rPr>
          <w:rFonts w:cs="Arial"/>
          <w:sz w:val="24"/>
        </w:rPr>
      </w:pPr>
    </w:p>
    <w:p w14:paraId="5A87DBA3" w14:textId="3D122061" w:rsidR="007122AD" w:rsidRDefault="002C50EE" w:rsidP="00936AD0">
      <w:pPr>
        <w:pStyle w:val="Heading2"/>
      </w:pPr>
      <w:r>
        <w:t>4.9. Предозиране</w:t>
      </w:r>
    </w:p>
    <w:p w14:paraId="7B70EED8" w14:textId="3687CADB" w:rsidR="00A80DA2" w:rsidRDefault="00A80DA2" w:rsidP="00A80DA2"/>
    <w:p w14:paraId="134A3B94"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Симптоми</w:t>
      </w:r>
    </w:p>
    <w:p w14:paraId="56385DE5" w14:textId="77777777" w:rsidR="00A80DA2" w:rsidRPr="00A80DA2" w:rsidRDefault="00A80DA2" w:rsidP="00A80DA2">
      <w:pPr>
        <w:spacing w:line="240" w:lineRule="auto"/>
        <w:rPr>
          <w:rFonts w:eastAsia="Times New Roman" w:cs="Arial"/>
          <w:color w:val="000000"/>
          <w:szCs w:val="20"/>
          <w:lang w:eastAsia="bg-BG"/>
        </w:rPr>
      </w:pPr>
    </w:p>
    <w:p w14:paraId="21DC6B11" w14:textId="28C986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Основните прояви на предозиране е вероятно да бъдат симптоматична хипотония или замайване. В единични съобщения за случаи на предозиране (до 672 </w:t>
      </w:r>
      <w:r w:rsidRPr="00A80DA2">
        <w:rPr>
          <w:rFonts w:eastAsia="Times New Roman" w:cs="Arial"/>
          <w:color w:val="000000"/>
          <w:szCs w:val="20"/>
          <w:lang w:val="en-US"/>
        </w:rPr>
        <w:t>mg</w:t>
      </w:r>
      <w:r w:rsidRPr="00A80DA2">
        <w:rPr>
          <w:rFonts w:eastAsia="Times New Roman" w:cs="Arial"/>
          <w:color w:val="000000"/>
          <w:szCs w:val="20"/>
          <w:lang w:val="ru-RU"/>
        </w:rPr>
        <w:t xml:space="preserve"> </w:t>
      </w:r>
      <w:r w:rsidRPr="00A80DA2">
        <w:rPr>
          <w:rFonts w:eastAsia="Times New Roman" w:cs="Arial"/>
          <w:color w:val="000000"/>
          <w:szCs w:val="20"/>
          <w:lang w:eastAsia="bg-BG"/>
        </w:rPr>
        <w:t>кандесатран цилексетил) възстановяването при възрастните пациенти е било гладко.</w:t>
      </w:r>
    </w:p>
    <w:p w14:paraId="086556EA" w14:textId="77777777" w:rsidR="00A80DA2" w:rsidRPr="00A80DA2" w:rsidRDefault="00A80DA2" w:rsidP="00A80DA2">
      <w:pPr>
        <w:spacing w:line="240" w:lineRule="auto"/>
        <w:rPr>
          <w:rFonts w:eastAsia="Times New Roman" w:cs="Arial"/>
          <w:i/>
          <w:iCs/>
          <w:color w:val="000000"/>
          <w:szCs w:val="20"/>
          <w:u w:val="single"/>
          <w:lang w:eastAsia="bg-BG"/>
        </w:rPr>
      </w:pPr>
    </w:p>
    <w:p w14:paraId="20043DE6" w14:textId="2527F16B" w:rsidR="00A80DA2" w:rsidRPr="00A80DA2" w:rsidRDefault="00A80DA2" w:rsidP="00A80DA2">
      <w:pPr>
        <w:pStyle w:val="Heading3"/>
        <w:rPr>
          <w:rFonts w:eastAsia="Times New Roman"/>
          <w:sz w:val="28"/>
          <w:u w:val="single"/>
        </w:rPr>
      </w:pPr>
      <w:r w:rsidRPr="00A80DA2">
        <w:rPr>
          <w:rFonts w:eastAsia="Times New Roman"/>
          <w:u w:val="single"/>
          <w:lang w:eastAsia="bg-BG"/>
        </w:rPr>
        <w:t>Поведение</w:t>
      </w:r>
    </w:p>
    <w:p w14:paraId="1AE04526" w14:textId="77777777" w:rsidR="00A80DA2" w:rsidRPr="00A80DA2" w:rsidRDefault="00A80DA2" w:rsidP="00A80DA2">
      <w:pPr>
        <w:spacing w:line="240" w:lineRule="auto"/>
        <w:rPr>
          <w:rFonts w:eastAsia="Times New Roman" w:cs="Arial"/>
          <w:color w:val="000000"/>
          <w:szCs w:val="20"/>
          <w:lang w:eastAsia="bg-BG"/>
        </w:rPr>
      </w:pPr>
    </w:p>
    <w:p w14:paraId="22B1B6F7" w14:textId="16C4E70B" w:rsidR="00A80DA2" w:rsidRP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 xml:space="preserve">В случай на симптоматична хипотония, трябва да се започне симптоматична и поддържаща терапия и да се </w:t>
      </w:r>
    </w:p>
    <w:p w14:paraId="5DC76869" w14:textId="32C3F59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следят жизнените показатели. Пациентът трябва да се постави в легнало положение, по гръб, с повдигнати долни крайници. За повишаване на плазмения обем е подходящо вливането на изотоничен разтвор на натриев хлорид. Ако изброените мерки не са достатъчни, могат да се приложат симпатикомиметици.</w:t>
      </w:r>
    </w:p>
    <w:p w14:paraId="127E0D1A" w14:textId="45FD6567" w:rsidR="00A80DA2" w:rsidRPr="00A80DA2" w:rsidRDefault="00A80DA2" w:rsidP="00A80DA2">
      <w:pPr>
        <w:rPr>
          <w:rFonts w:cs="Arial"/>
          <w:sz w:val="24"/>
        </w:rPr>
      </w:pPr>
      <w:r w:rsidRPr="00A80DA2">
        <w:rPr>
          <w:rFonts w:eastAsia="Times New Roman" w:cs="Arial"/>
          <w:color w:val="000000"/>
          <w:szCs w:val="20"/>
          <w:lang w:eastAsia="bg-BG"/>
        </w:rPr>
        <w:t>Кандесартан цилексетил не се елиминира от организма чрез хемодиализа.</w:t>
      </w:r>
    </w:p>
    <w:p w14:paraId="02081B24" w14:textId="1F46E296" w:rsidR="00395555" w:rsidRPr="00395555" w:rsidRDefault="002C50EE" w:rsidP="008A6AF2">
      <w:pPr>
        <w:pStyle w:val="Heading1"/>
      </w:pPr>
      <w:r>
        <w:t>5. ФАРМАКОЛОГИЧНИ СВОЙСТВА</w:t>
      </w:r>
    </w:p>
    <w:p w14:paraId="7DE36AC8" w14:textId="401A8F2F" w:rsidR="00B6672E" w:rsidRDefault="002C50EE" w:rsidP="00936AD0">
      <w:pPr>
        <w:pStyle w:val="Heading2"/>
      </w:pPr>
      <w:r>
        <w:t>5.1. Фармакодинамични свойства</w:t>
      </w:r>
    </w:p>
    <w:p w14:paraId="55F3C973" w14:textId="048436A5" w:rsidR="00A80DA2" w:rsidRDefault="00A80DA2" w:rsidP="00A80DA2"/>
    <w:p w14:paraId="677EFC3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Фармакотерапевтична група: Ангиотензин </w:t>
      </w:r>
      <w:r w:rsidRPr="00A80DA2">
        <w:rPr>
          <w:rFonts w:eastAsia="Times New Roman" w:cs="Arial"/>
          <w:color w:val="000000"/>
          <w:lang w:val="en-US"/>
        </w:rPr>
        <w:t>II</w:t>
      </w:r>
      <w:r w:rsidRPr="00A80DA2">
        <w:rPr>
          <w:rFonts w:eastAsia="Times New Roman" w:cs="Arial"/>
          <w:color w:val="000000"/>
          <w:lang w:eastAsia="bg-BG"/>
        </w:rPr>
        <w:t xml:space="preserve"> антагонисти, самостоятелно</w:t>
      </w:r>
    </w:p>
    <w:p w14:paraId="0D9E69A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АТС код: С09СА06</w:t>
      </w:r>
    </w:p>
    <w:p w14:paraId="6FFD3F4D" w14:textId="77777777" w:rsidR="00A80DA2" w:rsidRPr="00A80DA2" w:rsidRDefault="00A80DA2" w:rsidP="00A80DA2">
      <w:pPr>
        <w:spacing w:line="240" w:lineRule="auto"/>
        <w:rPr>
          <w:rFonts w:eastAsia="Times New Roman" w:cs="Arial"/>
          <w:color w:val="000000"/>
          <w:lang w:eastAsia="bg-BG"/>
        </w:rPr>
      </w:pPr>
    </w:p>
    <w:p w14:paraId="1148E552" w14:textId="429F2FE5" w:rsidR="00A80DA2" w:rsidRPr="00A80DA2" w:rsidRDefault="00A80DA2" w:rsidP="00A80DA2">
      <w:pPr>
        <w:spacing w:line="240" w:lineRule="auto"/>
        <w:rPr>
          <w:rFonts w:eastAsia="Times New Roman" w:cs="Arial"/>
        </w:rPr>
      </w:pPr>
      <w:r w:rsidRPr="00A80DA2">
        <w:rPr>
          <w:rFonts w:eastAsia="Times New Roman" w:cs="Arial"/>
          <w:color w:val="000000"/>
          <w:lang w:eastAsia="bg-BG"/>
        </w:rPr>
        <w:t>Механизъм на действие</w:t>
      </w:r>
    </w:p>
    <w:p w14:paraId="34923B9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антагонист на ангиотензин II.</w:t>
      </w:r>
    </w:p>
    <w:p w14:paraId="6905615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Ангиотензин II е основния вазоактивен хормон от ренин-ангиотензин-алдостероновата система и има роля в патофизиологията на артериалната хипертония, сърдечната недостатъчност и други сърдечно-съдови нарушения, както и в патогенезата на терминалната органна хипертрофия.</w:t>
      </w:r>
    </w:p>
    <w:p w14:paraId="0E74B4C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Основните физиологични ефекти на ангиотензин II, като вазоконструкция, стимулация на алдостероновата секреция, регулация на водно-солевата хомеостаза и стимулация на клетъчния растеж, се медиират чрез рецептора от 1 тип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1).</w:t>
      </w:r>
    </w:p>
    <w:p w14:paraId="7D1B315E" w14:textId="77777777" w:rsidR="00A80DA2" w:rsidRPr="00A80DA2" w:rsidRDefault="00A80DA2" w:rsidP="00A80DA2">
      <w:pPr>
        <w:spacing w:line="240" w:lineRule="auto"/>
        <w:rPr>
          <w:rFonts w:eastAsia="Times New Roman" w:cs="Arial"/>
          <w:color w:val="000000"/>
          <w:lang w:eastAsia="bg-BG"/>
        </w:rPr>
      </w:pPr>
    </w:p>
    <w:p w14:paraId="2E490706" w14:textId="61726861" w:rsidR="00A80DA2" w:rsidRPr="00A80DA2" w:rsidRDefault="00A80DA2" w:rsidP="00A80DA2">
      <w:pPr>
        <w:spacing w:line="240" w:lineRule="auto"/>
        <w:rPr>
          <w:rFonts w:eastAsia="Times New Roman" w:cs="Arial"/>
        </w:rPr>
      </w:pPr>
      <w:r w:rsidRPr="00A80DA2">
        <w:rPr>
          <w:rFonts w:eastAsia="Times New Roman" w:cs="Arial"/>
          <w:color w:val="000000"/>
          <w:lang w:eastAsia="bg-BG"/>
        </w:rPr>
        <w:t>Фармакодннамични ефекти</w:t>
      </w:r>
    </w:p>
    <w:p w14:paraId="5F3100B3" w14:textId="1741E514" w:rsidR="00A80DA2" w:rsidRPr="00A80DA2" w:rsidRDefault="00A80DA2" w:rsidP="00A80DA2">
      <w:pPr>
        <w:rPr>
          <w:rFonts w:cs="Arial"/>
        </w:rPr>
      </w:pPr>
    </w:p>
    <w:p w14:paraId="52D90CB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пролекарство, подходящо за перорална употреба. В процеса на резорбция в гастроинтестиналния тракт, кандесартан цилексетил се хидролизира до активното вещество кандесартан. Кандесартан е А</w:t>
      </w:r>
      <w:r w:rsidRPr="00A80DA2">
        <w:rPr>
          <w:rFonts w:eastAsia="Times New Roman" w:cs="Arial"/>
          <w:color w:val="000000"/>
          <w:lang w:val="en-US"/>
        </w:rPr>
        <w:t>II</w:t>
      </w:r>
      <w:r w:rsidRPr="00A80DA2">
        <w:rPr>
          <w:rFonts w:eastAsia="Times New Roman" w:cs="Arial"/>
          <w:color w:val="000000"/>
          <w:lang w:eastAsia="bg-BG"/>
        </w:rPr>
        <w:t xml:space="preserve">РА, селективен спрямо </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рецепторите, който се свързва здраво и бавно се освобождава от рецептора. Той няма агонистична активност.</w:t>
      </w:r>
    </w:p>
    <w:p w14:paraId="0DDFA688" w14:textId="77777777" w:rsidR="00A80DA2" w:rsidRPr="00A80DA2" w:rsidRDefault="00A80DA2" w:rsidP="00A80DA2">
      <w:pPr>
        <w:spacing w:line="240" w:lineRule="auto"/>
        <w:rPr>
          <w:rFonts w:eastAsia="Times New Roman" w:cs="Arial"/>
          <w:color w:val="000000"/>
          <w:lang w:eastAsia="bg-BG"/>
        </w:rPr>
      </w:pPr>
    </w:p>
    <w:p w14:paraId="6BC99A86" w14:textId="3D44A7A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Кандесартан не инхибира АСЕ, който конвертира ангиотензин I в ангиотензин II и разгражда брадикардина. Не оказва въздействие върху АСЕ и не потенцира действието на брадикардин и субстанция Р. В контролирани клинични проучвания, сравняващи кандесартан с АСЕ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значение за сърдечно-съдовата регулация. Антагонизъм спрямо рецепторите за ангиотензин II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води до дозозависимо повишаване на плазмените нива на ренина, ангиотензин I и ангиотензин II и понижаване на плазмената концентрация на алдостерона.</w:t>
      </w:r>
    </w:p>
    <w:p w14:paraId="398EFE14" w14:textId="77777777" w:rsidR="00A80DA2" w:rsidRPr="00A80DA2" w:rsidRDefault="00A80DA2" w:rsidP="00A80DA2">
      <w:pPr>
        <w:spacing w:line="240" w:lineRule="auto"/>
        <w:rPr>
          <w:rFonts w:eastAsia="Times New Roman" w:cs="Arial"/>
          <w:color w:val="000000"/>
          <w:lang w:eastAsia="bg-BG"/>
        </w:rPr>
      </w:pPr>
    </w:p>
    <w:p w14:paraId="303A02E9" w14:textId="5804571E" w:rsidR="00A80DA2" w:rsidRPr="00A80DA2" w:rsidRDefault="00A80DA2" w:rsidP="00A80DA2">
      <w:pPr>
        <w:spacing w:line="240" w:lineRule="auto"/>
        <w:rPr>
          <w:rFonts w:eastAsia="Times New Roman" w:cs="Arial"/>
        </w:rPr>
      </w:pPr>
      <w:r w:rsidRPr="00A80DA2">
        <w:rPr>
          <w:rFonts w:eastAsia="Times New Roman" w:cs="Arial"/>
          <w:color w:val="000000"/>
          <w:lang w:eastAsia="bg-BG"/>
        </w:rPr>
        <w:t>Клинична ефективност и безопасност</w:t>
      </w:r>
    </w:p>
    <w:p w14:paraId="3C8E84C7"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Хипертония</w:t>
      </w:r>
    </w:p>
    <w:p w14:paraId="4288A1D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хипертония кандесартан осигурява дозозависима продължителна редукция на артериалното налягане. Антихипертензивният ефект на кандесартан се проявява чрез системно понижаване на периферното съпротивление без рефлекторно повишаване на сърдечната честота. Няма данни за сериозна хипотония след приема на първата доза или за обратимост след спиране на лечението.</w:t>
      </w:r>
    </w:p>
    <w:p w14:paraId="0DFC8A2F" w14:textId="77777777" w:rsidR="00A80DA2" w:rsidRPr="00A80DA2" w:rsidRDefault="00A80DA2" w:rsidP="00A80DA2">
      <w:pPr>
        <w:spacing w:line="240" w:lineRule="auto"/>
        <w:rPr>
          <w:rFonts w:eastAsia="Times New Roman" w:cs="Arial"/>
          <w:color w:val="000000"/>
          <w:lang w:eastAsia="bg-BG"/>
        </w:rPr>
      </w:pPr>
    </w:p>
    <w:p w14:paraId="0EB6270D" w14:textId="3DB6197C"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Началото на антихипертензивния ефект на кандесартан цилексетил се наблюдава до 2 часа след приема на еднократна доза. При продължително лечение основният дял от понижението на артериалното налягане при прием, на която и да е доза, обикновено се постига в рамките на 4 (четири) седмици и се задържа при дьлгосточно лечение. На базата на проведен мета-анализ е установено, че средния допълнителен ефект на повишане на еднократната дневна доза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на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е малък. Като се вземе предвид и интериндивидуалната вериабилност, при някои пациенти може да се очаква ефект, надхвърлящ средния.</w:t>
      </w:r>
    </w:p>
    <w:p w14:paraId="7D04E50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еднократен дневен прием, кандесартан цилексетил осигурява ефективно и равномерно понижаване на артериалното налягане в рамките на 24 часа. В рамките на дозовия интервал се наблюдава малка разлика между максималния ефект и ефекта в края на дозовия интервал. В две рандомизирани двойно-слепи проучвания са изследвани антихипертензивния ефект и поносимостта на кандесартан и лосартан при общо 1 268 пациенти с лека до умерено тежка артериална хипертония. При прием на кандесартан цилексетил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редукцията на артериалното налягане в края на дозовия интервал е с 13,1/10, 5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(систолно/диастолно) и с 10,0/8,7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при прием на 100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лосартан калий еднократно дневно (разлика в редукцията на артериалното налягане 3,1/1,8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р&lt;0,0001/р&lt;0,0001).</w:t>
      </w:r>
    </w:p>
    <w:p w14:paraId="42EE6FEC" w14:textId="77777777" w:rsidR="00A80DA2" w:rsidRPr="00A80DA2" w:rsidRDefault="00A80DA2" w:rsidP="00A80DA2">
      <w:pPr>
        <w:spacing w:line="240" w:lineRule="auto"/>
        <w:rPr>
          <w:rFonts w:eastAsia="Times New Roman" w:cs="Arial"/>
          <w:color w:val="000000"/>
          <w:lang w:eastAsia="bg-BG"/>
        </w:rPr>
      </w:pPr>
    </w:p>
    <w:p w14:paraId="3FD420EE" w14:textId="2C4DE246"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Комбинацията на кандесартан цилексетил с хидрохлоротиазид предизвиква адитивен ефект относно понижаване на артериалното налягане.</w:t>
      </w:r>
    </w:p>
    <w:p w14:paraId="4800120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Потенциране на антихипертензивния ефект се наблюдава и при комбинация на кандесартан цилексетил с амлодипин или фелодипин.</w:t>
      </w:r>
    </w:p>
    <w:p w14:paraId="0732FB05" w14:textId="77777777" w:rsidR="00A80DA2" w:rsidRPr="00A80DA2" w:rsidRDefault="00A80DA2" w:rsidP="00A80DA2">
      <w:pPr>
        <w:spacing w:line="240" w:lineRule="auto"/>
        <w:rPr>
          <w:rFonts w:eastAsia="Times New Roman" w:cs="Arial"/>
          <w:color w:val="000000"/>
          <w:lang w:eastAsia="bg-BG"/>
        </w:rPr>
      </w:pPr>
    </w:p>
    <w:p w14:paraId="45C00F33" w14:textId="5048781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Лекарствените продукти, които блокират ренин-ангиотензин-алдостероновата система (също така и кандесартан) имат по-слаб ефект при чернокожи пациенти, които обичайно са ниско ренинова популация. В открито проучване на клиничния опит при 5 156 пациенти с диастолна хипертония, редукцията на артериалното налягане е сигнификантно по-слабо изразена при чернокожи (14,4/10/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отколкото при не-чернокожи пациенти (19,0/12,7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р&lt;0,0001/р&lt;0,0001).</w:t>
      </w:r>
    </w:p>
    <w:p w14:paraId="00626664" w14:textId="77777777" w:rsidR="00A80DA2" w:rsidRPr="00A80DA2" w:rsidRDefault="00A80DA2" w:rsidP="00A80DA2">
      <w:pPr>
        <w:rPr>
          <w:rFonts w:eastAsia="Times New Roman" w:cs="Arial"/>
          <w:color w:val="000000"/>
          <w:lang w:eastAsia="bg-BG"/>
        </w:rPr>
      </w:pPr>
    </w:p>
    <w:p w14:paraId="0C738EC0" w14:textId="77777777" w:rsidR="00A80DA2" w:rsidRPr="00A80DA2" w:rsidRDefault="00A80DA2" w:rsidP="00A80DA2">
      <w:pPr>
        <w:rPr>
          <w:rFonts w:eastAsia="Times New Roman" w:cs="Arial"/>
        </w:rPr>
      </w:pPr>
      <w:r w:rsidRPr="00A80DA2">
        <w:rPr>
          <w:rFonts w:eastAsia="Times New Roman" w:cs="Arial"/>
          <w:color w:val="000000"/>
          <w:lang w:eastAsia="bg-BG"/>
        </w:rPr>
        <w:t>Кандесартан повишава бъбречния кръвоток и/или няма ефект върху скоростта на гломерулната</w:t>
      </w:r>
      <w:r w:rsidRPr="00A80DA2">
        <w:rPr>
          <w:rFonts w:eastAsia="Times New Roman" w:cs="Arial"/>
          <w:color w:val="000000"/>
          <w:u w:val="single"/>
          <w:lang w:eastAsia="bg-BG"/>
        </w:rPr>
        <w:t xml:space="preserve"> </w:t>
      </w:r>
      <w:r w:rsidRPr="00A80DA2">
        <w:rPr>
          <w:rFonts w:eastAsia="Times New Roman" w:cs="Arial"/>
          <w:color w:val="000000"/>
          <w:lang w:eastAsia="bg-BG"/>
        </w:rPr>
        <w:t xml:space="preserve">филтрация, или я повишава, докато бъбречната съдова резистентност и филтрационна фракция се понижават. В три месечно клинично проучване при пациенти с артериална хипертония и захарен диабет тип 2 с микроалбуминурия, антихипертензивното лечение с кандесартан цилексетил намалява екскрецията на албумин в урината (съотношение албумин/креатинин, средно 30%, 95% </w:t>
      </w:r>
      <w:r w:rsidRPr="00A80DA2">
        <w:rPr>
          <w:rFonts w:eastAsia="Times New Roman" w:cs="Arial"/>
          <w:color w:val="000000"/>
          <w:lang w:val="en-US"/>
        </w:rPr>
        <w:t>CI</w:t>
      </w:r>
      <w:r w:rsidRPr="00A80DA2">
        <w:rPr>
          <w:rFonts w:eastAsia="Times New Roman" w:cs="Arial"/>
          <w:color w:val="000000"/>
          <w:lang w:eastAsia="bg-BG"/>
        </w:rPr>
        <w:t xml:space="preserve"> 15-42%).</w:t>
      </w:r>
    </w:p>
    <w:p w14:paraId="483825E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Няма данни за ефекта на кандесартан върху прогресията на диабетната нефропатия.</w:t>
      </w:r>
    </w:p>
    <w:p w14:paraId="529D258B" w14:textId="77777777" w:rsidR="00A80DA2" w:rsidRPr="00A80DA2" w:rsidRDefault="00A80DA2" w:rsidP="00A80DA2">
      <w:pPr>
        <w:spacing w:line="240" w:lineRule="auto"/>
        <w:rPr>
          <w:rFonts w:eastAsia="Times New Roman" w:cs="Arial"/>
          <w:color w:val="000000"/>
          <w:lang w:eastAsia="bg-BG"/>
        </w:rPr>
      </w:pPr>
    </w:p>
    <w:p w14:paraId="2D13FA0F" w14:textId="5FDA3E84"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Ефектите на кандесартан цилексетил при 8-16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еднократна дневна доза, върху сърдечно</w:t>
      </w:r>
      <w:r w:rsidRPr="00A80DA2">
        <w:rPr>
          <w:rFonts w:eastAsia="Times New Roman" w:cs="Arial"/>
          <w:color w:val="000000"/>
          <w:lang w:eastAsia="bg-BG"/>
        </w:rPr>
        <w:softHyphen/>
        <w:t xml:space="preserve">съдовата заболеваемост и смъртност, са оценени при четири годишно рандомизаирано клинично проучване с 4 937 пациенти в старческа възраст (70-89 години; 21% на възраст 80 или повече години) с лека до умерено тежка хипертония, проследявани средно 3,7 години. (Проучване върху когнитивните способността и прогноза при пациенти в старческа възраст </w:t>
      </w:r>
      <w:r w:rsidRPr="00A80DA2">
        <w:rPr>
          <w:rFonts w:eastAsia="Times New Roman" w:cs="Arial"/>
          <w:color w:val="000000"/>
        </w:rPr>
        <w:t>(</w:t>
      </w:r>
      <w:r w:rsidRPr="00A80DA2">
        <w:rPr>
          <w:rFonts w:eastAsia="Times New Roman" w:cs="Arial"/>
          <w:color w:val="000000"/>
          <w:lang w:val="en-US"/>
        </w:rPr>
        <w:t>Study</w:t>
      </w:r>
      <w:r w:rsidRPr="00A80DA2">
        <w:rPr>
          <w:rFonts w:eastAsia="Times New Roman" w:cs="Arial"/>
          <w:color w:val="000000"/>
        </w:rPr>
        <w:t xml:space="preserve"> </w:t>
      </w:r>
      <w:r w:rsidRPr="00A80DA2">
        <w:rPr>
          <w:rFonts w:eastAsia="Times New Roman" w:cs="Arial"/>
          <w:color w:val="000000"/>
          <w:lang w:val="en-US"/>
        </w:rPr>
        <w:t>on</w:t>
      </w:r>
      <w:r w:rsidRPr="00A80DA2">
        <w:rPr>
          <w:rFonts w:eastAsia="Times New Roman" w:cs="Arial"/>
          <w:color w:val="000000"/>
        </w:rPr>
        <w:t xml:space="preserve"> </w:t>
      </w:r>
      <w:r w:rsidRPr="00A80DA2">
        <w:rPr>
          <w:rFonts w:eastAsia="Times New Roman" w:cs="Arial"/>
          <w:color w:val="000000"/>
          <w:lang w:val="en-US"/>
        </w:rPr>
        <w:t>Cognition</w:t>
      </w:r>
      <w:r w:rsidRPr="00A80DA2">
        <w:rPr>
          <w:rFonts w:eastAsia="Times New Roman" w:cs="Arial"/>
          <w:color w:val="000000"/>
        </w:rPr>
        <w:t xml:space="preserve"> </w:t>
      </w:r>
      <w:r w:rsidRPr="00A80DA2">
        <w:rPr>
          <w:rFonts w:eastAsia="Times New Roman" w:cs="Arial"/>
          <w:color w:val="000000"/>
          <w:lang w:val="en-US"/>
        </w:rPr>
        <w:t>and</w:t>
      </w:r>
      <w:r w:rsidRPr="00A80DA2">
        <w:rPr>
          <w:rFonts w:eastAsia="Times New Roman" w:cs="Arial"/>
          <w:color w:val="000000"/>
        </w:rPr>
        <w:t xml:space="preserve"> </w:t>
      </w:r>
      <w:r w:rsidRPr="00A80DA2">
        <w:rPr>
          <w:rFonts w:eastAsia="Times New Roman" w:cs="Arial"/>
          <w:color w:val="000000"/>
          <w:lang w:val="en-US"/>
        </w:rPr>
        <w:t>Prognosis</w:t>
      </w:r>
      <w:r w:rsidRPr="00A80DA2">
        <w:rPr>
          <w:rFonts w:eastAsia="Times New Roman" w:cs="Arial"/>
          <w:color w:val="000000"/>
        </w:rPr>
        <w:t xml:space="preserve"> </w:t>
      </w:r>
      <w:r w:rsidRPr="00A80DA2">
        <w:rPr>
          <w:rFonts w:eastAsia="Times New Roman" w:cs="Arial"/>
          <w:color w:val="000000"/>
          <w:lang w:val="en-US"/>
        </w:rPr>
        <w:t>in</w:t>
      </w:r>
      <w:r w:rsidRPr="00A80DA2">
        <w:rPr>
          <w:rFonts w:eastAsia="Times New Roman" w:cs="Arial"/>
          <w:color w:val="000000"/>
        </w:rPr>
        <w:t xml:space="preserve"> </w:t>
      </w:r>
      <w:r w:rsidRPr="00A80DA2">
        <w:rPr>
          <w:rFonts w:eastAsia="Times New Roman" w:cs="Arial"/>
          <w:color w:val="000000"/>
          <w:lang w:val="en-US"/>
        </w:rPr>
        <w:t>the</w:t>
      </w:r>
      <w:r w:rsidRPr="00A80DA2">
        <w:rPr>
          <w:rFonts w:eastAsia="Times New Roman" w:cs="Arial"/>
          <w:color w:val="000000"/>
        </w:rPr>
        <w:t xml:space="preserve"> </w:t>
      </w:r>
      <w:r w:rsidRPr="00A80DA2">
        <w:rPr>
          <w:rFonts w:eastAsia="Times New Roman" w:cs="Arial"/>
          <w:color w:val="000000"/>
          <w:lang w:val="en-US"/>
        </w:rPr>
        <w:t>Elderly</w:t>
      </w:r>
      <w:r w:rsidRPr="00A80DA2">
        <w:rPr>
          <w:rFonts w:eastAsia="Times New Roman" w:cs="Arial"/>
          <w:color w:val="000000"/>
        </w:rPr>
        <w:t xml:space="preserve">)). </w:t>
      </w:r>
      <w:r w:rsidRPr="00A80DA2">
        <w:rPr>
          <w:rFonts w:eastAsia="Times New Roman" w:cs="Arial"/>
          <w:color w:val="000000"/>
          <w:lang w:eastAsia="bg-BG"/>
        </w:rPr>
        <w:t xml:space="preserve">Пациентите са приемали кандесартан цилексети или плацебо, в комбинация (при необходимост) с друго антихипертензивно средство. Артериалното налягане показва понижаване от 167/90 до 149/82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контролната група и от 166/90 до 145/80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групата на кандесартан.</w:t>
      </w:r>
    </w:p>
    <w:p w14:paraId="726CE47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1000 пациенто-години срещу 30,0 събития на 1000 пациенто-години в контролната група (относителен риск 0,89,95%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1,06, р=0,19)</w:t>
      </w:r>
    </w:p>
    <w:p w14:paraId="74CE418A" w14:textId="77777777" w:rsidR="00A80DA2" w:rsidRPr="00A80DA2" w:rsidRDefault="00A80DA2" w:rsidP="00A80DA2">
      <w:pPr>
        <w:spacing w:line="240" w:lineRule="auto"/>
        <w:rPr>
          <w:rFonts w:eastAsia="Times New Roman" w:cs="Arial"/>
          <w:i/>
          <w:iCs/>
          <w:color w:val="000000"/>
          <w:lang w:eastAsia="bg-BG"/>
        </w:rPr>
      </w:pPr>
    </w:p>
    <w:p w14:paraId="5685B352" w14:textId="71B62C4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 - артериална хипертония</w:t>
      </w:r>
    </w:p>
    <w:p w14:paraId="623D480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Антихипертензивните ефекти на кандесартан са оценени при деца с артериална хипертония на възраст от 1 до &lt; 6 години и от 6 до &lt;17 години в две рандомизирани, двойно-слепи, многоцентрови, 4-седмични проучвания за определяне на дозовия обхват.</w:t>
      </w:r>
    </w:p>
    <w:p w14:paraId="6400017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на възраст от 1 до &lt; 6 години, 93 пациенти, 74% от които са с бъбречно заболяване, са рандомизирани да получават през устата суспензия кандесартан цилексетил 0,05; 0,20 или 0,40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Основният метод за анализ е въз основа на наклона на кривата на зависимостта на систолното артериално налягане (САН) от дозата. За трите дозировки на кандесартан цилексетил САН и диастолното артериално налягане (ДАН) показват понижение с 6,0/5,2 до 12,0/0,11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сравнение с изходните стойности. Тъй като липсва група на плацебо, действителната величина на ефекта върху артериалното налягане остава несигурна, което прави трудно извършването на заключителна оценка на съотношението полза/риск в тази възрастова група.</w:t>
      </w:r>
    </w:p>
    <w:p w14:paraId="6DAE1B4D" w14:textId="77777777" w:rsidR="00A80DA2" w:rsidRPr="00A80DA2" w:rsidRDefault="00A80DA2" w:rsidP="00A80DA2">
      <w:pPr>
        <w:spacing w:line="240" w:lineRule="auto"/>
        <w:rPr>
          <w:rFonts w:eastAsia="Times New Roman" w:cs="Arial"/>
          <w:color w:val="000000"/>
          <w:lang w:eastAsia="bg-BG"/>
        </w:rPr>
      </w:pPr>
    </w:p>
    <w:p w14:paraId="6F45076C" w14:textId="27B5348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При деца на възраст от 6 до &lt; 17 години, 240 пациенти са рандомизирани в съотношение 1:2:2:2, за да получават плацебо, ниска, средна или висока доза кандесартан цилексетил. При деца с телесно тегло &lt;50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2, 8 или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463AA83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с телесно тегло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4,16 или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Кандесартан в усреднена доза намалява САН в покой с 10,2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(Р&lt;0,0001) и ДАН в покой (Р=0,0029) с 6,6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сравнение с изходните стойности. В групата на плацебо също се установява редукция с 3,7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САН в покой (р=0,0074) и с 1,80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ДАН в покой (р=0,0992), в сравнение с изходните стойности. Въпреки големия плацебо ефект, всички отделни дозировки на кандесартан показват значимо превъзходство в сравнение с плацебо. Максимален отговор по отношение на понижаважането на атрериалното налягане при деца с телесно тегло и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се постига при дози съответно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като след тази стойност ефекта е в плато.</w:t>
      </w:r>
    </w:p>
    <w:p w14:paraId="631C10AD" w14:textId="77777777" w:rsidR="00A80DA2" w:rsidRPr="00A80DA2" w:rsidRDefault="00A80DA2" w:rsidP="00A80DA2">
      <w:pPr>
        <w:spacing w:line="240" w:lineRule="auto"/>
        <w:rPr>
          <w:rFonts w:eastAsia="Times New Roman" w:cs="Arial"/>
          <w:color w:val="000000"/>
          <w:lang w:eastAsia="bg-BG"/>
        </w:rPr>
      </w:pPr>
    </w:p>
    <w:p w14:paraId="5354ABC9" w14:textId="4B5A5282"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От включените пациенти 47% са чернокожи и 29% са от женски пол; средната възраст +/- </w:t>
      </w:r>
      <w:r w:rsidRPr="00A80DA2">
        <w:rPr>
          <w:rFonts w:eastAsia="Times New Roman" w:cs="Arial"/>
          <w:color w:val="000000"/>
          <w:lang w:val="en-US"/>
        </w:rPr>
        <w:t>SD</w:t>
      </w:r>
      <w:r w:rsidRPr="00A80DA2">
        <w:rPr>
          <w:rFonts w:eastAsia="Times New Roman" w:cs="Arial"/>
          <w:color w:val="000000"/>
          <w:lang w:val="ru-RU"/>
        </w:rPr>
        <w:t xml:space="preserve"> </w:t>
      </w:r>
      <w:r w:rsidRPr="00A80DA2">
        <w:rPr>
          <w:rFonts w:eastAsia="Times New Roman" w:cs="Arial"/>
          <w:color w:val="000000"/>
          <w:lang w:eastAsia="bg-BG"/>
        </w:rPr>
        <w:t>е 12,9 +/- 2,6 години. При деца на възраст от 6 до&lt;17 години се наблюдава тенденция за намаляване на ефекта върху артериалното налягане при чернокожите пациенти в сравнение с не-чернокожите.</w:t>
      </w:r>
    </w:p>
    <w:p w14:paraId="37B81337" w14:textId="77777777" w:rsidR="00A80DA2" w:rsidRPr="00A80DA2" w:rsidRDefault="00A80DA2" w:rsidP="00A80DA2">
      <w:pPr>
        <w:spacing w:line="240" w:lineRule="auto"/>
        <w:rPr>
          <w:rFonts w:eastAsia="Times New Roman" w:cs="Arial"/>
          <w:i/>
          <w:iCs/>
          <w:color w:val="000000"/>
          <w:u w:val="single"/>
          <w:lang w:eastAsia="bg-BG"/>
        </w:rPr>
      </w:pPr>
    </w:p>
    <w:p w14:paraId="724F1B61" w14:textId="46B8B9AE"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Сърдечна недостатъчност</w:t>
      </w:r>
    </w:p>
    <w:p w14:paraId="6EF1ADB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лявокамерна систолна дисфункция. Тези ефекти на кандесартан цилексетил са аргументирани и от резултатите при провеждане на плацебо-контролираната, двойно-сляпа проучвателна програма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color w:val="000000"/>
          <w:lang w:eastAsia="bg-BG"/>
        </w:rPr>
        <w:t>(Кандесартан при сърдечна недостатъчност - оценка на редукцията на смъртността и заболеваемостта).</w:t>
      </w:r>
    </w:p>
    <w:p w14:paraId="5E950DEF" w14:textId="77777777" w:rsidR="00A80DA2" w:rsidRPr="00A80DA2" w:rsidRDefault="00A80DA2" w:rsidP="00A80DA2">
      <w:pPr>
        <w:spacing w:line="240" w:lineRule="auto"/>
        <w:rPr>
          <w:rFonts w:eastAsia="Times New Roman" w:cs="Arial"/>
          <w:color w:val="000000"/>
          <w:lang w:eastAsia="bg-BG"/>
        </w:rPr>
      </w:pPr>
    </w:p>
    <w:p w14:paraId="48A1F13D" w14:textId="0F02196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A80DA2">
        <w:rPr>
          <w:rFonts w:eastAsia="Times New Roman" w:cs="Arial"/>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се състои от три отделни проучвания:</w:t>
      </w:r>
    </w:p>
    <w:p w14:paraId="07B08E00"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val="ru-RU"/>
        </w:rPr>
        <w:t>-</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=2 028) при пациенти с </w:t>
      </w:r>
      <w:proofErr w:type="gramStart"/>
      <w:r w:rsidRPr="00A80DA2">
        <w:rPr>
          <w:rFonts w:eastAsia="Times New Roman" w:cs="Arial"/>
          <w:i/>
          <w:iCs/>
          <w:color w:val="000000"/>
          <w:lang w:val="en-US"/>
        </w:rPr>
        <w:t>LVEF</w:t>
      </w:r>
      <w:r w:rsidRPr="00A80DA2">
        <w:rPr>
          <w:rFonts w:eastAsia="Times New Roman" w:cs="Arial"/>
          <w:color w:val="000000"/>
          <w:lang w:eastAsia="bg-BG"/>
        </w:rPr>
        <w:t>(</w:t>
      </w:r>
      <w:proofErr w:type="gramEnd"/>
      <w:r w:rsidRPr="00A80DA2">
        <w:rPr>
          <w:rFonts w:eastAsia="Times New Roman" w:cs="Arial"/>
          <w:color w:val="000000"/>
          <w:lang w:eastAsia="bg-BG"/>
        </w:rPr>
        <w:t>лявокамерна фракция на изтласкване) ≤40%, които не са лекувани с АСЕ инхибитори поради непоносимост (при 72% тя е била изразена с кашлица)</w:t>
      </w:r>
    </w:p>
    <w:p w14:paraId="1B444B80" w14:textId="77777777" w:rsidR="00A80DA2" w:rsidRPr="00A80DA2" w:rsidRDefault="00A80DA2" w:rsidP="00A80DA2">
      <w:pPr>
        <w:spacing w:line="240" w:lineRule="auto"/>
        <w:rPr>
          <w:rFonts w:eastAsia="Times New Roman" w:cs="Arial"/>
        </w:rPr>
      </w:pP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rPr>
        <w:t xml:space="preserve"> </w:t>
      </w:r>
      <w:r w:rsidRPr="00A80DA2">
        <w:rPr>
          <w:rFonts w:eastAsia="Times New Roman" w:cs="Arial"/>
          <w:color w:val="000000"/>
          <w:lang w:eastAsia="bg-BG"/>
        </w:rPr>
        <w:t xml:space="preserve">(п=2 548) при пациенти </w:t>
      </w:r>
      <w:r w:rsidRPr="00A80DA2">
        <w:rPr>
          <w:rFonts w:eastAsia="Times New Roman" w:cs="Arial"/>
          <w:i/>
          <w:iCs/>
          <w:color w:val="000000"/>
          <w:lang w:val="en-US"/>
        </w:rPr>
        <w:t>c</w:t>
      </w:r>
      <w:r w:rsidRPr="00A80DA2">
        <w:rPr>
          <w:rFonts w:eastAsia="Times New Roman" w:cs="Arial"/>
          <w:i/>
          <w:iCs/>
          <w:color w:val="000000"/>
        </w:rPr>
        <w:t xml:space="preserve"> </w:t>
      </w:r>
      <w:r w:rsidRPr="00A80DA2">
        <w:rPr>
          <w:rFonts w:eastAsia="Times New Roman" w:cs="Arial"/>
          <w:i/>
          <w:iCs/>
          <w:color w:val="000000"/>
          <w:lang w:val="en-US"/>
        </w:rPr>
        <w:t>LVEF</w:t>
      </w:r>
      <w:r w:rsidRPr="00A80DA2">
        <w:rPr>
          <w:rFonts w:eastAsia="Times New Roman" w:cs="Arial"/>
          <w:color w:val="000000"/>
          <w:lang w:eastAsia="bg-BG"/>
        </w:rPr>
        <w:t xml:space="preserve">≤40%, които са били лекувани с АСЕ инхибитори </w:t>
      </w: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Preserved</w:t>
      </w:r>
      <w:r w:rsidRPr="00A80DA2">
        <w:rPr>
          <w:rFonts w:eastAsia="Times New Roman" w:cs="Arial"/>
          <w:color w:val="000000"/>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=3 023) при пациенти с </w:t>
      </w:r>
      <w:r w:rsidRPr="00A80DA2">
        <w:rPr>
          <w:rFonts w:eastAsia="Times New Roman" w:cs="Arial"/>
          <w:i/>
          <w:iCs/>
          <w:color w:val="000000"/>
          <w:lang w:val="en-US"/>
        </w:rPr>
        <w:t>L</w:t>
      </w:r>
      <w:r w:rsidRPr="00A80DA2">
        <w:rPr>
          <w:rFonts w:eastAsia="Times New Roman" w:cs="Arial"/>
          <w:i/>
          <w:iCs/>
          <w:color w:val="000000"/>
        </w:rPr>
        <w:t xml:space="preserve"> </w:t>
      </w:r>
      <w:r w:rsidRPr="00A80DA2">
        <w:rPr>
          <w:rFonts w:eastAsia="Times New Roman" w:cs="Arial"/>
          <w:i/>
          <w:iCs/>
          <w:color w:val="000000"/>
          <w:lang w:val="en-US"/>
        </w:rPr>
        <w:t>VEF</w:t>
      </w:r>
      <w:r w:rsidRPr="00A80DA2">
        <w:rPr>
          <w:rFonts w:eastAsia="Times New Roman" w:cs="Arial"/>
          <w:color w:val="000000"/>
        </w:rPr>
        <w:t xml:space="preserve"> </w:t>
      </w:r>
      <w:r w:rsidRPr="00A80DA2">
        <w:rPr>
          <w:rFonts w:eastAsia="Times New Roman" w:cs="Arial"/>
          <w:color w:val="000000"/>
          <w:lang w:eastAsia="bg-BG"/>
        </w:rPr>
        <w:t>&gt;40%</w:t>
      </w:r>
    </w:p>
    <w:p w14:paraId="26113B8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Пациентите на оптимална терапия за хронична сърдечна недостатъчност (ХСН) на изходно ниво са рандомизирани да получават плацебо или кандесартан целексетил (титриран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или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или до най-високата поносима доза, средна доза 24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са проследявани средно 37,7 месеца. След 6-месечно лечение 63% от пациентите, продължаващи да приемат кандесартан цилексетил (89%) са били на таргетната доза от 32 </w:t>
      </w:r>
      <w:r w:rsidRPr="00A80DA2">
        <w:rPr>
          <w:rFonts w:eastAsia="Times New Roman" w:cs="Arial"/>
          <w:color w:val="000000"/>
          <w:lang w:val="en-US"/>
        </w:rPr>
        <w:t>mg</w:t>
      </w:r>
      <w:r w:rsidRPr="00A80DA2">
        <w:rPr>
          <w:rFonts w:eastAsia="Times New Roman" w:cs="Arial"/>
          <w:color w:val="000000"/>
          <w:lang w:val="ru-RU"/>
        </w:rPr>
        <w:t>.</w:t>
      </w:r>
    </w:p>
    <w:p w14:paraId="3614DDE7" w14:textId="77777777" w:rsidR="00A80DA2" w:rsidRPr="00A80DA2" w:rsidRDefault="00A80DA2" w:rsidP="00A80DA2">
      <w:pPr>
        <w:spacing w:line="240" w:lineRule="auto"/>
        <w:rPr>
          <w:rFonts w:eastAsia="Times New Roman" w:cs="Arial"/>
          <w:color w:val="000000"/>
          <w:lang w:eastAsia="bg-BG"/>
        </w:rPr>
      </w:pPr>
    </w:p>
    <w:p w14:paraId="7E247AB5" w14:textId="1744664A"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0,77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 xml:space="preserve">0,67 до 0,89, р&lt;0, 001). Това съответства на редукция на релативния риск 23%. Тази крайна точка се установява при 33,0% от пациентите приемали кандесартан цилексетил и при 40,0% от пациентите на плацебо, като абсолютната разлика е 7,0%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11,2 до 2,8).</w:t>
      </w:r>
    </w:p>
    <w:p w14:paraId="5884707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сърдечно-съдова недостатъчност е 14.</w:t>
      </w:r>
    </w:p>
    <w:p w14:paraId="6BDB18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0,80 (95% С1:0,70 до 0,92, р=0,001). Тази крайна точка се установява при 36,6% от пациентите на кандесартан (95% С1:33,7 до 39,7) и 42,7% от пациентите на плацебо (95% С1: 39,6 до 45,8).</w:t>
      </w:r>
    </w:p>
    <w:p w14:paraId="4F4181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Абсолютната разлика е 6,0% (95% С1: 10,3 до 1,8). И при двата компонента на тази съставна крайна точка - смъртност и заболеваемост (хоспитализация за хронична сърдечна недостатъчност) данните потвъждават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(р=0,008).</w:t>
      </w:r>
    </w:p>
    <w:p w14:paraId="48ECF504" w14:textId="77777777" w:rsidR="00A80DA2" w:rsidRPr="00A80DA2" w:rsidRDefault="00A80DA2" w:rsidP="00A80DA2">
      <w:pPr>
        <w:spacing w:line="240" w:lineRule="auto"/>
        <w:rPr>
          <w:rFonts w:eastAsia="Times New Roman" w:cs="Arial"/>
          <w:color w:val="000000"/>
          <w:lang w:eastAsia="bg-BG"/>
        </w:rPr>
      </w:pPr>
    </w:p>
    <w:p w14:paraId="1F0A035F" w14:textId="5991C98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Added</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(ХСН)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0,85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0,96, р=0, 001). Това съответства на редукция на релативния риск 15%. Тази крайна точка се установява при 37,9% от пациентите приемали кандесартан цилексетил (95% С1:35,2 до 40,6) и 42,3% от пациентите на плацебо (95% С1:39,6 до 45,1), като абсолютната разлика е 4,4% (95% 0:8,2 до 0,6).</w:t>
      </w:r>
    </w:p>
    <w:p w14:paraId="5E30274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предотвърти един смъртен случай от сърдечно-съдов инцидент или хоспитализация за лечение на сърдечно-съдова недостатъчност, е 23.</w:t>
      </w:r>
    </w:p>
    <w:p w14:paraId="4C0E3003" w14:textId="77777777" w:rsidR="00A80DA2" w:rsidRPr="00A80DA2" w:rsidRDefault="00A80DA2" w:rsidP="00A80DA2">
      <w:pPr>
        <w:rPr>
          <w:rFonts w:eastAsia="Times New Roman" w:cs="Arial"/>
        </w:rPr>
      </w:pPr>
      <w:r w:rsidRPr="00A80DA2">
        <w:rPr>
          <w:rFonts w:eastAsia="Times New Roman" w:cs="Arial"/>
          <w:color w:val="000000"/>
          <w:lang w:eastAsia="bg-BG"/>
        </w:rPr>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eastAsia="bg-BG"/>
        </w:rPr>
        <w:t xml:space="preserve"> 0,87 (95% С1:0,78 до 0,98, р=0,021). Тази крайна точка се установява при 42,2% от</w:t>
      </w:r>
      <w:r w:rsidRPr="00A80DA2">
        <w:rPr>
          <w:rFonts w:eastAsia="Times New Roman" w:cs="Arial"/>
          <w:color w:val="000000"/>
          <w:lang w:val="ru-RU"/>
        </w:rPr>
        <w:t xml:space="preserve"> </w:t>
      </w:r>
      <w:r w:rsidRPr="00A80DA2">
        <w:rPr>
          <w:rFonts w:eastAsia="Times New Roman" w:cs="Arial"/>
          <w:color w:val="000000"/>
          <w:lang w:eastAsia="bg-BG"/>
        </w:rPr>
        <w:t>пациентите на кандесартан (95% С1:39,5 до 45,0) и 46,1% от пациентите на плацебо (95% С</w:t>
      </w:r>
      <w:r w:rsidRPr="00A80DA2">
        <w:rPr>
          <w:rFonts w:eastAsia="Times New Roman" w:cs="Arial"/>
          <w:color w:val="000000"/>
          <w:lang w:val="en-US"/>
        </w:rPr>
        <w:t>l</w:t>
      </w:r>
      <w:r w:rsidRPr="00A80DA2">
        <w:rPr>
          <w:rFonts w:eastAsia="Times New Roman" w:cs="Arial"/>
          <w:color w:val="000000"/>
          <w:lang w:val="ru-RU"/>
        </w:rPr>
        <w:t xml:space="preserve">: 43,4 </w:t>
      </w:r>
      <w:r w:rsidRPr="00A80DA2">
        <w:rPr>
          <w:rFonts w:eastAsia="Times New Roman" w:cs="Arial"/>
          <w:color w:val="000000"/>
          <w:lang w:eastAsia="bg-BG"/>
        </w:rPr>
        <w:t>до 49,9)</w:t>
      </w:r>
      <w:r w:rsidRPr="00A80DA2">
        <w:rPr>
          <w:rFonts w:eastAsia="Times New Roman" w:cs="Arial"/>
          <w:color w:val="000000"/>
          <w:lang w:val="ru-RU"/>
        </w:rPr>
        <w:t xml:space="preserve"> </w:t>
      </w:r>
      <w:r w:rsidRPr="00A80DA2">
        <w:rPr>
          <w:rFonts w:eastAsia="Times New Roman" w:cs="Arial"/>
          <w:color w:val="000000"/>
          <w:lang w:eastAsia="bg-BG"/>
        </w:rPr>
        <w:t xml:space="preserve">като абсолютната разлика е 3,9%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 xml:space="preserve">7,8 до 0,1). И при двата компонента на тази съставна крайна точка - смъртност и заболеваемост (хоспитализация за хронична сърдечна недостатъчност), данните доказват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(р=0,020).</w:t>
      </w:r>
    </w:p>
    <w:p w14:paraId="65DB914A" w14:textId="77777777" w:rsidR="00A80DA2" w:rsidRPr="009822D2" w:rsidRDefault="00A80DA2" w:rsidP="00A80DA2">
      <w:pPr>
        <w:spacing w:line="240" w:lineRule="auto"/>
        <w:rPr>
          <w:rFonts w:eastAsia="Times New Roman" w:cs="Arial"/>
          <w:i/>
          <w:iCs/>
          <w:color w:val="000000"/>
          <w:lang w:val="ru-RU"/>
        </w:rPr>
      </w:pPr>
    </w:p>
    <w:p w14:paraId="5754BCEE" w14:textId="439FD5D8"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Preserved</w:t>
      </w:r>
      <w:r w:rsidRPr="00A80DA2">
        <w:rPr>
          <w:rFonts w:eastAsia="Times New Roman" w:cs="Arial"/>
          <w:i/>
          <w:iCs/>
          <w:color w:val="000000"/>
          <w:lang w:val="ru-RU"/>
        </w:rPr>
        <w:t xml:space="preserve"> </w:t>
      </w:r>
      <w:r w:rsidRPr="00A80DA2">
        <w:rPr>
          <w:rFonts w:eastAsia="Times New Roman" w:cs="Arial"/>
          <w:i/>
          <w:iCs/>
          <w:color w:val="000000"/>
          <w:lang w:eastAsia="bg-BG"/>
        </w:rPr>
        <w:t>-</w:t>
      </w:r>
      <w:r w:rsidRPr="00A80DA2">
        <w:rPr>
          <w:rFonts w:eastAsia="Times New Roman" w:cs="Arial"/>
          <w:color w:val="000000"/>
          <w:lang w:eastAsia="bg-BG"/>
        </w:rPr>
        <w:t xml:space="preserve"> не се постига статистически значима редукция по отношение на съставната крайна точка от сърдечно-съдова смъртност или първа хоспитализация за хронична сърдечна недостатъчност,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,89</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0,77 до 1,03, р=0,118).</w:t>
      </w:r>
    </w:p>
    <w:p w14:paraId="44F1FC9A" w14:textId="77777777" w:rsidR="00A80DA2" w:rsidRPr="00A80DA2" w:rsidRDefault="00A80DA2" w:rsidP="00A80DA2">
      <w:pPr>
        <w:spacing w:line="240" w:lineRule="auto"/>
        <w:rPr>
          <w:rFonts w:eastAsia="Times New Roman" w:cs="Arial"/>
          <w:color w:val="000000"/>
          <w:lang w:eastAsia="bg-BG"/>
        </w:rPr>
      </w:pPr>
    </w:p>
    <w:p w14:paraId="5C40DB7D" w14:textId="3361AB36"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Нивото на смъртност, поотделно във всяко от трите проучвания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color w:val="000000"/>
          <w:lang w:val="ru-RU"/>
        </w:rPr>
        <w:t xml:space="preserve"> </w:t>
      </w:r>
      <w:r w:rsidRPr="00A80DA2">
        <w:rPr>
          <w:rFonts w:eastAsia="Times New Roman" w:cs="Arial"/>
          <w:color w:val="000000"/>
          <w:lang w:eastAsia="bg-BG"/>
        </w:rPr>
        <w:t xml:space="preserve">без значение на причината, не показва статистически различия. Смъртността без значение на причината, е оценена в сборни популации – </w:t>
      </w:r>
    </w:p>
    <w:p w14:paraId="68E0C821" w14:textId="4E6CEBD3"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rPr>
        <w:t xml:space="preserve">- </w:t>
      </w:r>
      <w:r w:rsidRPr="00A80DA2">
        <w:rPr>
          <w:rFonts w:eastAsia="Times New Roman" w:cs="Arial"/>
          <w:i/>
          <w:iCs/>
          <w:color w:val="000000"/>
          <w:lang w:val="en-US"/>
        </w:rPr>
        <w:t>Alternative</w:t>
      </w:r>
      <w:r w:rsidRPr="00A80DA2">
        <w:rPr>
          <w:rFonts w:eastAsia="Times New Roman" w:cs="Arial"/>
          <w:color w:val="000000"/>
        </w:rPr>
        <w:t xml:space="preserve"> </w:t>
      </w:r>
      <w:r w:rsidRPr="00A80DA2">
        <w:rPr>
          <w:rFonts w:eastAsia="Times New Roman" w:cs="Arial"/>
          <w:color w:val="000000"/>
          <w:lang w:eastAsia="bg-BG"/>
        </w:rPr>
        <w:t xml:space="preserve">и </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lang w:eastAsia="bg-BG"/>
        </w:rPr>
        <w:t xml:space="preserve">,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,88</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rPr>
        <w:t xml:space="preserve">: 0,79 </w:t>
      </w:r>
      <w:r w:rsidRPr="00A80DA2">
        <w:rPr>
          <w:rFonts w:eastAsia="Times New Roman" w:cs="Arial"/>
          <w:color w:val="000000"/>
          <w:lang w:eastAsia="bg-BG"/>
        </w:rPr>
        <w:t xml:space="preserve">до </w:t>
      </w:r>
      <w:r w:rsidRPr="00A80DA2">
        <w:rPr>
          <w:rFonts w:eastAsia="Times New Roman" w:cs="Arial"/>
          <w:color w:val="000000"/>
        </w:rPr>
        <w:t xml:space="preserve">0,98, </w:t>
      </w:r>
      <w:r w:rsidRPr="00A80DA2">
        <w:rPr>
          <w:rFonts w:eastAsia="Times New Roman" w:cs="Arial"/>
          <w:color w:val="000000"/>
          <w:lang w:val="en-US"/>
        </w:rPr>
        <w:t>p</w:t>
      </w:r>
      <w:r w:rsidRPr="00A80DA2">
        <w:rPr>
          <w:rFonts w:eastAsia="Times New Roman" w:cs="Arial"/>
          <w:color w:val="000000"/>
        </w:rPr>
        <w:t xml:space="preserve">=0,118), </w:t>
      </w:r>
      <w:r w:rsidRPr="00A80DA2">
        <w:rPr>
          <w:rFonts w:eastAsia="Times New Roman" w:cs="Arial"/>
          <w:color w:val="000000"/>
          <w:lang w:eastAsia="bg-BG"/>
        </w:rPr>
        <w:t xml:space="preserve">както и във всичките три проучвания,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 xml:space="preserve">0,91 (95% </w:t>
      </w:r>
      <w:r w:rsidRPr="00A80DA2">
        <w:rPr>
          <w:rFonts w:eastAsia="Times New Roman" w:cs="Arial"/>
          <w:color w:val="000000"/>
          <w:lang w:val="en-US"/>
        </w:rPr>
        <w:t>Cl</w:t>
      </w:r>
      <w:r w:rsidRPr="00A80DA2">
        <w:rPr>
          <w:rFonts w:eastAsia="Times New Roman" w:cs="Arial"/>
          <w:color w:val="000000"/>
        </w:rPr>
        <w:t xml:space="preserve">: </w:t>
      </w:r>
      <w:r w:rsidRPr="00A80DA2">
        <w:rPr>
          <w:rFonts w:eastAsia="Times New Roman" w:cs="Arial"/>
          <w:color w:val="000000"/>
          <w:lang w:eastAsia="bg-BG"/>
        </w:rPr>
        <w:t>0,83 до 1,00, р=0,055).</w:t>
      </w:r>
    </w:p>
    <w:p w14:paraId="126A99B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w:t>
      </w:r>
    </w:p>
    <w:p w14:paraId="1E98DC4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ефективен и при пациенти, приемащи едновременно бета-блокери и АСЕ инхибитори, като благоприятен ефект се постига без значение дозата на АСЕ инхибитора в препоръчваната в ръководствата за лечение таргетна доза.</w:t>
      </w:r>
    </w:p>
    <w:p w14:paraId="17713CB7" w14:textId="77777777" w:rsidR="00A80DA2" w:rsidRPr="00A80DA2" w:rsidRDefault="00A80DA2" w:rsidP="00A80DA2">
      <w:pPr>
        <w:rPr>
          <w:rFonts w:eastAsia="Times New Roman" w:cs="Arial"/>
          <w:color w:val="000000"/>
          <w:lang w:eastAsia="bg-BG"/>
        </w:rPr>
      </w:pPr>
    </w:p>
    <w:p w14:paraId="64C7FBBA" w14:textId="6E32F026"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При пациенти с хронична сърдечна недостатъчност (ХСН) и ограничена лявокамерна систолна функция (фракция на изтегляне от лява камера, </w:t>
      </w:r>
      <w:r w:rsidRPr="00A80DA2">
        <w:rPr>
          <w:rFonts w:eastAsia="Times New Roman" w:cs="Arial"/>
          <w:color w:val="000000"/>
          <w:lang w:val="en-US"/>
        </w:rPr>
        <w:t>LVEF</w:t>
      </w:r>
      <w:r w:rsidRPr="00A80DA2">
        <w:rPr>
          <w:rFonts w:eastAsia="Times New Roman" w:cs="Arial"/>
          <w:color w:val="000000"/>
          <w:lang w:val="ru-RU"/>
        </w:rPr>
        <w:t xml:space="preserve"> </w:t>
      </w:r>
      <w:r w:rsidRPr="00A80DA2">
        <w:rPr>
          <w:rFonts w:eastAsia="Times New Roman" w:cs="Arial"/>
          <w:color w:val="000000"/>
          <w:lang w:eastAsia="bg-BG"/>
        </w:rPr>
        <w:t xml:space="preserve">≤ 40%), кадесартан понижава системната съдова резистентност и белодробното капилярно налягане на </w:t>
      </w:r>
      <w:r w:rsidRPr="00A80DA2">
        <w:rPr>
          <w:rFonts w:eastAsia="Times New Roman" w:cs="Arial"/>
          <w:color w:val="000000"/>
          <w:lang w:eastAsia="bg-BG"/>
        </w:rPr>
        <w:lastRenderedPageBreak/>
        <w:t>вклиняване, повишава плазмената ренинова активност и концентрацията на ангиотензин П, и понижава нивата на алдостерона.</w:t>
      </w:r>
    </w:p>
    <w:p w14:paraId="3333E06F" w14:textId="77777777" w:rsidR="00A80DA2" w:rsidRPr="00A80DA2" w:rsidRDefault="00A80DA2" w:rsidP="00A80DA2"/>
    <w:p w14:paraId="78DD93AA" w14:textId="341CF6B3" w:rsidR="00B6672E" w:rsidRDefault="002C50EE" w:rsidP="00936AD0">
      <w:pPr>
        <w:pStyle w:val="Heading2"/>
      </w:pPr>
      <w:r>
        <w:t>5.2. Фармакокинетични свойства</w:t>
      </w:r>
    </w:p>
    <w:p w14:paraId="5630EF24" w14:textId="2E53282C" w:rsidR="009A3CEE" w:rsidRDefault="009A3CEE" w:rsidP="009A3CEE"/>
    <w:p w14:paraId="154F4A1C" w14:textId="77777777" w:rsidR="009A3CEE" w:rsidRPr="009A3CEE" w:rsidRDefault="009A3CEE" w:rsidP="009A3CEE">
      <w:pPr>
        <w:pStyle w:val="Heading3"/>
        <w:rPr>
          <w:rFonts w:eastAsia="Times New Roman"/>
          <w:u w:val="single"/>
        </w:rPr>
      </w:pPr>
      <w:r w:rsidRPr="009A3CEE">
        <w:rPr>
          <w:rFonts w:eastAsia="Times New Roman"/>
          <w:u w:val="single"/>
          <w:lang w:eastAsia="bg-BG"/>
        </w:rPr>
        <w:t>Абсорбиия и разпределение</w:t>
      </w:r>
    </w:p>
    <w:p w14:paraId="1DDACE1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 перорален прием кандесартан цилексетил се превръща в активното вещество кандесартан. Абсолютната бионаличност на кандесартан, след прием на перорален разтвор на кандесартан цилексетил е около 40%.</w:t>
      </w:r>
    </w:p>
    <w:p w14:paraId="6E2131DA"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пероралния разтвор, относителната бионаличност на таблетките е приблизително 34% с минимална вариабилност.</w:t>
      </w:r>
    </w:p>
    <w:p w14:paraId="0A826ECF"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Следователно очакваната абсолютна бионаличност на таблетките е 14%.</w:t>
      </w:r>
    </w:p>
    <w:p w14:paraId="48E1C35B"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Средната пикова плазмена концентрация (С</w:t>
      </w:r>
      <w:r w:rsidRPr="009A3CEE">
        <w:rPr>
          <w:rFonts w:eastAsia="Times New Roman" w:cs="Arial"/>
          <w:color w:val="000000"/>
          <w:lang w:val="en-US"/>
        </w:rPr>
        <w:t>max</w:t>
      </w:r>
      <w:r w:rsidRPr="009A3CEE">
        <w:rPr>
          <w:rFonts w:eastAsia="Times New Roman" w:cs="Arial"/>
          <w:color w:val="000000"/>
          <w:lang w:eastAsia="bg-BG"/>
        </w:rPr>
        <w:t>) се постига 3-4 часа след приема на таблетките. Плазмената концентрация на кандесартан нараства линейно с повишаване на дозата в рамките на терапевтичния интервал.</w:t>
      </w:r>
    </w:p>
    <w:p w14:paraId="7609D1EB" w14:textId="77777777" w:rsidR="009A3CEE" w:rsidRPr="009A3CEE" w:rsidRDefault="009A3CEE" w:rsidP="009A3CEE">
      <w:pPr>
        <w:spacing w:line="240" w:lineRule="auto"/>
        <w:rPr>
          <w:rFonts w:eastAsia="Times New Roman" w:cs="Arial"/>
          <w:color w:val="000000"/>
          <w:lang w:eastAsia="bg-BG"/>
        </w:rPr>
      </w:pPr>
    </w:p>
    <w:p w14:paraId="181050D4" w14:textId="4767D958" w:rsidR="009A3CEE" w:rsidRPr="009A3CEE" w:rsidRDefault="009A3CEE" w:rsidP="009A3CEE">
      <w:pPr>
        <w:spacing w:line="240" w:lineRule="auto"/>
        <w:rPr>
          <w:rFonts w:eastAsia="Times New Roman" w:cs="Arial"/>
        </w:rPr>
      </w:pPr>
      <w:r w:rsidRPr="009A3CEE">
        <w:rPr>
          <w:rFonts w:eastAsia="Times New Roman" w:cs="Arial"/>
          <w:color w:val="000000"/>
          <w:lang w:eastAsia="bg-BG"/>
        </w:rPr>
        <w:t>Кандесартан се свързва във висока степен с плазмените протеини (над 99%). Привидният обем на разпределение на кандесартан е 0,1</w:t>
      </w:r>
      <w:r w:rsidRPr="009A3CEE">
        <w:rPr>
          <w:rFonts w:eastAsia="Times New Roman" w:cs="Arial"/>
          <w:color w:val="000000"/>
          <w:lang w:val="ru-RU"/>
        </w:rPr>
        <w:t>1/</w:t>
      </w:r>
      <w:r w:rsidRPr="009A3CEE">
        <w:rPr>
          <w:rFonts w:eastAsia="Times New Roman" w:cs="Arial"/>
          <w:color w:val="000000"/>
          <w:lang w:val="en-US"/>
        </w:rPr>
        <w:t>kg</w:t>
      </w:r>
      <w:r w:rsidRPr="009A3CEE">
        <w:rPr>
          <w:rFonts w:eastAsia="Times New Roman" w:cs="Arial"/>
          <w:color w:val="000000"/>
          <w:lang w:val="ru-RU"/>
        </w:rPr>
        <w:t>.</w:t>
      </w:r>
    </w:p>
    <w:p w14:paraId="7D352B5B" w14:textId="77777777" w:rsidR="009A3CEE" w:rsidRPr="009A3CEE" w:rsidRDefault="009A3CEE" w:rsidP="009A3CEE">
      <w:pPr>
        <w:spacing w:line="240" w:lineRule="auto"/>
        <w:rPr>
          <w:rFonts w:eastAsia="Times New Roman" w:cs="Arial"/>
          <w:color w:val="000000"/>
          <w:lang w:eastAsia="bg-BG"/>
        </w:rPr>
      </w:pPr>
    </w:p>
    <w:p w14:paraId="44F99587" w14:textId="71C7131D" w:rsidR="009A3CEE" w:rsidRPr="009A3CEE" w:rsidRDefault="009A3CEE" w:rsidP="009A3CEE">
      <w:pPr>
        <w:spacing w:line="240" w:lineRule="auto"/>
        <w:rPr>
          <w:rFonts w:eastAsia="Times New Roman" w:cs="Arial"/>
        </w:rPr>
      </w:pPr>
      <w:r w:rsidRPr="009A3CEE">
        <w:rPr>
          <w:rFonts w:eastAsia="Times New Roman" w:cs="Arial"/>
          <w:color w:val="000000"/>
          <w:lang w:eastAsia="bg-BG"/>
        </w:rPr>
        <w:t>Бионаличността на кандесартан не се повлиява от приема на храна.</w:t>
      </w:r>
    </w:p>
    <w:p w14:paraId="08E77EF5" w14:textId="77777777" w:rsidR="009A3CEE" w:rsidRPr="009A3CEE" w:rsidRDefault="009A3CEE" w:rsidP="009A3CEE">
      <w:pPr>
        <w:spacing w:line="240" w:lineRule="auto"/>
        <w:rPr>
          <w:rFonts w:eastAsia="Times New Roman" w:cs="Arial"/>
          <w:i/>
          <w:iCs/>
          <w:color w:val="000000"/>
          <w:u w:val="single"/>
          <w:lang w:eastAsia="bg-BG"/>
        </w:rPr>
      </w:pPr>
    </w:p>
    <w:p w14:paraId="35EA44F2" w14:textId="7BCD2A95" w:rsidR="009A3CEE" w:rsidRPr="009A3CEE" w:rsidRDefault="009A3CEE" w:rsidP="009A3CEE">
      <w:pPr>
        <w:pStyle w:val="Heading3"/>
        <w:rPr>
          <w:rFonts w:eastAsia="Times New Roman"/>
          <w:u w:val="single"/>
        </w:rPr>
      </w:pPr>
      <w:r w:rsidRPr="009A3CEE">
        <w:rPr>
          <w:rFonts w:eastAsia="Times New Roman"/>
          <w:u w:val="single"/>
          <w:lang w:eastAsia="bg-BG"/>
        </w:rPr>
        <w:t>Биотрансформация и елиминиране</w:t>
      </w:r>
    </w:p>
    <w:p w14:paraId="7763B6C7" w14:textId="33FE34FA" w:rsidR="009A3CEE" w:rsidRPr="009A3CEE" w:rsidRDefault="009A3CEE" w:rsidP="009A3CEE">
      <w:pPr>
        <w:spacing w:line="240" w:lineRule="auto"/>
        <w:rPr>
          <w:rFonts w:eastAsia="Times New Roman" w:cs="Arial"/>
          <w:color w:val="000000"/>
          <w:lang w:eastAsia="bg-BG"/>
        </w:rPr>
      </w:pPr>
      <w:r w:rsidRPr="009A3CEE">
        <w:rPr>
          <w:rFonts w:eastAsia="Times New Roman" w:cs="Arial"/>
          <w:color w:val="000000"/>
          <w:lang w:eastAsia="bg-BG"/>
        </w:rPr>
        <w:t xml:space="preserve">Кандесартан се елиминира предимно непроменен с урината и жлъчния сок, като в малка степен се елиминира чрез чернодробна трансформация </w:t>
      </w:r>
      <w:r w:rsidRPr="009A3CEE">
        <w:rPr>
          <w:rFonts w:eastAsia="Times New Roman" w:cs="Arial"/>
          <w:i/>
          <w:iCs/>
          <w:smallCaps/>
          <w:color w:val="000000"/>
          <w:lang w:val="ru-RU"/>
        </w:rPr>
        <w:t>(</w:t>
      </w:r>
      <w:r w:rsidRPr="009A3CEE">
        <w:rPr>
          <w:rFonts w:eastAsia="Times New Roman" w:cs="Arial"/>
          <w:i/>
          <w:iCs/>
          <w:smallCaps/>
          <w:color w:val="000000"/>
          <w:lang w:val="en-US"/>
        </w:rPr>
        <w:t>CYP</w:t>
      </w:r>
      <w:r w:rsidRPr="009A3CEE">
        <w:rPr>
          <w:rFonts w:eastAsia="Times New Roman" w:cs="Arial"/>
          <w:i/>
          <w:iCs/>
          <w:smallCaps/>
          <w:color w:val="000000"/>
          <w:lang w:val="ru-RU"/>
        </w:rPr>
        <w:t>2</w:t>
      </w:r>
      <w:r w:rsidRPr="009A3CEE">
        <w:rPr>
          <w:rFonts w:eastAsia="Times New Roman" w:cs="Arial"/>
          <w:i/>
          <w:iCs/>
          <w:smallCaps/>
          <w:color w:val="000000"/>
          <w:lang w:val="en-US"/>
        </w:rPr>
        <w:t>C</w:t>
      </w:r>
      <w:r w:rsidRPr="009A3CEE">
        <w:rPr>
          <w:rFonts w:eastAsia="Times New Roman" w:cs="Arial"/>
          <w:i/>
          <w:iCs/>
          <w:smallCaps/>
          <w:color w:val="000000"/>
          <w:lang w:val="ru-RU"/>
        </w:rPr>
        <w:t>9).</w:t>
      </w:r>
      <w:proofErr w:type="spellStart"/>
      <w:r w:rsidRPr="009A3CEE">
        <w:rPr>
          <w:rFonts w:eastAsia="Times New Roman" w:cs="Arial"/>
          <w:i/>
          <w:iCs/>
          <w:smallCaps/>
          <w:color w:val="000000"/>
          <w:lang w:val="en-US"/>
        </w:rPr>
        <w:t>Ot</w:t>
      </w:r>
      <w:proofErr w:type="spellEnd"/>
      <w:r w:rsidRPr="009A3CEE">
        <w:rPr>
          <w:rFonts w:eastAsia="Times New Roman" w:cs="Arial"/>
          <w:color w:val="000000"/>
          <w:lang w:val="ru-RU"/>
        </w:rPr>
        <w:t xml:space="preserve"> </w:t>
      </w:r>
      <w:r w:rsidRPr="009A3CEE">
        <w:rPr>
          <w:rFonts w:eastAsia="Times New Roman" w:cs="Arial"/>
          <w:color w:val="000000"/>
          <w:lang w:eastAsia="bg-BG"/>
        </w:rPr>
        <w:t xml:space="preserve">наличните проучвания за взаимодействия няма данни за ефект върху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9</w:t>
      </w:r>
      <w:r w:rsidRPr="009A3CEE">
        <w:rPr>
          <w:rFonts w:eastAsia="Times New Roman" w:cs="Arial"/>
          <w:color w:val="000000"/>
          <w:lang w:val="ru-RU"/>
        </w:rPr>
        <w:t xml:space="preserve"> </w:t>
      </w:r>
      <w:r w:rsidRPr="009A3CEE">
        <w:rPr>
          <w:rFonts w:eastAsia="Times New Roman" w:cs="Arial"/>
          <w:color w:val="000000"/>
          <w:lang w:eastAsia="bg-BG"/>
        </w:rPr>
        <w:t xml:space="preserve">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 xml:space="preserve">Въз основа на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vitro</w:t>
      </w:r>
      <w:r w:rsidRPr="009A3CEE">
        <w:rPr>
          <w:rFonts w:eastAsia="Times New Roman" w:cs="Arial"/>
          <w:color w:val="000000"/>
          <w:lang w:val="ru-RU"/>
        </w:rPr>
        <w:t xml:space="preserve"> </w:t>
      </w:r>
      <w:r w:rsidRPr="009A3CEE">
        <w:rPr>
          <w:rFonts w:eastAsia="Times New Roman" w:cs="Arial"/>
          <w:color w:val="000000"/>
          <w:lang w:eastAsia="bg-BG"/>
        </w:rPr>
        <w:t xml:space="preserve">данните не се очаква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vivo</w:t>
      </w:r>
      <w:r w:rsidRPr="009A3CEE">
        <w:rPr>
          <w:rFonts w:eastAsia="Times New Roman" w:cs="Arial"/>
          <w:color w:val="000000"/>
          <w:lang w:val="ru-RU"/>
        </w:rPr>
        <w:t xml:space="preserve"> </w:t>
      </w:r>
      <w:r w:rsidRPr="009A3CEE">
        <w:rPr>
          <w:rFonts w:eastAsia="Times New Roman" w:cs="Arial"/>
          <w:color w:val="000000"/>
          <w:lang w:eastAsia="bg-BG"/>
        </w:rPr>
        <w:t xml:space="preserve">да настъпи взаимодействие с лекарства, чието метаболизиране зависи от изоензимите на цитохром </w:t>
      </w:r>
      <w:r w:rsidRPr="009A3CEE">
        <w:rPr>
          <w:rFonts w:eastAsia="Times New Roman" w:cs="Arial"/>
          <w:i/>
          <w:iCs/>
          <w:color w:val="000000"/>
          <w:lang w:eastAsia="bg-BG"/>
        </w:rPr>
        <w:t xml:space="preserve">Р450 </w:t>
      </w:r>
      <w:r w:rsidRPr="009A3CEE">
        <w:rPr>
          <w:rFonts w:eastAsia="Times New Roman" w:cs="Arial"/>
          <w:i/>
          <w:iCs/>
          <w:color w:val="000000"/>
          <w:lang w:val="en-US"/>
        </w:rPr>
        <w:t>CYP</w:t>
      </w:r>
      <w:r w:rsidRPr="009A3CEE">
        <w:rPr>
          <w:rFonts w:eastAsia="Times New Roman" w:cs="Arial"/>
          <w:i/>
          <w:iCs/>
          <w:color w:val="000000"/>
          <w:lang w:val="ru-RU"/>
        </w:rPr>
        <w:t>1</w:t>
      </w:r>
      <w:r w:rsidRPr="009A3CEE">
        <w:rPr>
          <w:rFonts w:eastAsia="Times New Roman" w:cs="Arial"/>
          <w:i/>
          <w:iCs/>
          <w:color w:val="000000"/>
          <w:lang w:val="en-US"/>
        </w:rPr>
        <w:t>A</w:t>
      </w:r>
      <w:r w:rsidRPr="009A3CEE">
        <w:rPr>
          <w:rFonts w:eastAsia="Times New Roman" w:cs="Arial"/>
          <w:i/>
          <w:iCs/>
          <w:color w:val="000000"/>
          <w:lang w:val="ru-RU"/>
        </w:rPr>
        <w:t xml:space="preserve">2,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A</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CJ</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D</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E</w:t>
      </w:r>
      <w:r w:rsidRPr="009A3CEE">
        <w:rPr>
          <w:rFonts w:eastAsia="Times New Roman" w:cs="Arial"/>
          <w:i/>
          <w:iCs/>
          <w:color w:val="000000"/>
          <w:lang w:val="ru-RU"/>
        </w:rPr>
        <w:t>1,</w:t>
      </w:r>
      <w:r w:rsidRPr="009A3CEE">
        <w:rPr>
          <w:rFonts w:eastAsia="Times New Roman" w:cs="Arial"/>
          <w:color w:val="000000"/>
          <w:lang w:val="ru-RU"/>
        </w:rPr>
        <w:t xml:space="preserve"> </w:t>
      </w:r>
      <w:r w:rsidRPr="009A3CEE">
        <w:rPr>
          <w:rFonts w:eastAsia="Times New Roman" w:cs="Arial"/>
          <w:color w:val="000000"/>
          <w:lang w:eastAsia="bg-BG"/>
        </w:rPr>
        <w:t xml:space="preserve">или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Терминалният полуживот на кандесартан е около 9 часа. При многократен прием кандесартан не се кумулира в организма.</w:t>
      </w:r>
    </w:p>
    <w:p w14:paraId="3A432899" w14:textId="3D793DE3" w:rsidR="009A3CEE" w:rsidRPr="009A3CEE" w:rsidRDefault="009A3CEE" w:rsidP="009A3CEE">
      <w:pPr>
        <w:spacing w:line="240" w:lineRule="auto"/>
        <w:rPr>
          <w:rFonts w:eastAsia="Times New Roman" w:cs="Arial"/>
          <w:color w:val="000000"/>
          <w:lang w:eastAsia="bg-BG"/>
        </w:rPr>
      </w:pPr>
    </w:p>
    <w:p w14:paraId="6CDE71A4"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Тоталният плазмен клирънс на кандесартан е около 0,37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при бъбречен клирънс около 0,19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Бъбречното елиминиране на кандесартан се осъществява чрез гломерулна филтрация и чрез активна тубулна секреция.</w:t>
      </w:r>
    </w:p>
    <w:p w14:paraId="2CBA892E"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След перорален прием на маркиран кандесартан цилексетил с </w:t>
      </w:r>
      <w:r w:rsidRPr="009A3CEE">
        <w:rPr>
          <w:rFonts w:eastAsia="Times New Roman" w:cs="Arial"/>
          <w:color w:val="000000"/>
          <w:vertAlign w:val="superscript"/>
          <w:lang w:eastAsia="bg-BG"/>
        </w:rPr>
        <w:t>14</w:t>
      </w:r>
      <w:r w:rsidRPr="009A3CEE">
        <w:rPr>
          <w:rFonts w:eastAsia="Times New Roman" w:cs="Arial"/>
          <w:color w:val="000000"/>
          <w:lang w:eastAsia="bg-BG"/>
        </w:rPr>
        <w:t>С е установено, че с урината се екскретира приблизително 26% от приетата доза като кандесартан и 7% като неактивен метаболит, докато във фецеса се откриват приблизително 56% от дозата като кандесартан и 10% като неактивен метаболит.</w:t>
      </w:r>
    </w:p>
    <w:p w14:paraId="7D3A9BED" w14:textId="77777777" w:rsidR="009A3CEE" w:rsidRPr="009A3CEE" w:rsidRDefault="009A3CEE" w:rsidP="009A3CEE">
      <w:pPr>
        <w:spacing w:line="240" w:lineRule="auto"/>
        <w:rPr>
          <w:rFonts w:eastAsia="Times New Roman" w:cs="Arial"/>
          <w:i/>
          <w:iCs/>
          <w:color w:val="000000"/>
          <w:u w:val="single"/>
          <w:lang w:eastAsia="bg-BG"/>
        </w:rPr>
      </w:pPr>
    </w:p>
    <w:p w14:paraId="0B2D7312" w14:textId="5CC49951" w:rsidR="009A3CEE" w:rsidRPr="009A3CEE" w:rsidRDefault="009A3CEE" w:rsidP="009A3CEE">
      <w:pPr>
        <w:pStyle w:val="Heading3"/>
        <w:rPr>
          <w:rFonts w:eastAsia="Times New Roman"/>
          <w:u w:val="single"/>
        </w:rPr>
      </w:pPr>
      <w:r w:rsidRPr="009A3CEE">
        <w:rPr>
          <w:rFonts w:eastAsia="Times New Roman"/>
          <w:u w:val="single"/>
          <w:lang w:eastAsia="bg-BG"/>
        </w:rPr>
        <w:t>Фармакокинетика при специални популации</w:t>
      </w:r>
    </w:p>
    <w:p w14:paraId="69A4265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младите хора, при пациентите в старческа възраст (над 65 години)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се повишават съответно с приблизително 50% и 80%. Обаче след приложената доза Кантаб повлияването на артериалното налягане и развитието на нежелани реакции са сходни при младите пациенти и при тези в старческа възраст (вж. точка 4.2).</w:t>
      </w:r>
    </w:p>
    <w:p w14:paraId="6D04F43C" w14:textId="77777777" w:rsidR="009A3CEE" w:rsidRPr="009A3CEE" w:rsidRDefault="009A3CEE" w:rsidP="009A3CEE">
      <w:pPr>
        <w:spacing w:line="240" w:lineRule="auto"/>
        <w:rPr>
          <w:rFonts w:eastAsia="Times New Roman" w:cs="Arial"/>
          <w:color w:val="000000"/>
          <w:lang w:eastAsia="bg-BG"/>
        </w:rPr>
      </w:pPr>
    </w:p>
    <w:p w14:paraId="595FEFA2" w14:textId="4C7CDBB1"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пациентите с нормална бъбречна функция, при многократен прием от пациенти с леко до умерено тежко бъбречно увреждане,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кандесартан се повишават приблизително 50% и 70%, но </w:t>
      </w:r>
      <w:r w:rsidRPr="009A3CEE">
        <w:rPr>
          <w:rFonts w:eastAsia="Times New Roman" w:cs="Arial"/>
          <w:color w:val="000000"/>
          <w:lang w:val="en-US"/>
        </w:rPr>
        <w:t>t</w:t>
      </w:r>
      <w:r w:rsidRPr="009A3CEE">
        <w:rPr>
          <w:rFonts w:eastAsia="Times New Roman" w:cs="Arial"/>
          <w:color w:val="000000"/>
          <w:lang w:val="ru-RU"/>
        </w:rPr>
        <w:t>1/2</w:t>
      </w:r>
      <w:r w:rsidRPr="009A3CEE">
        <w:rPr>
          <w:rFonts w:eastAsia="Times New Roman" w:cs="Arial"/>
          <w:color w:val="000000"/>
          <w:lang w:eastAsia="bg-BG"/>
        </w:rPr>
        <w:t xml:space="preserve"> приблизително се удвоява.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w:t>
      </w:r>
      <w:r w:rsidRPr="009A3CEE">
        <w:rPr>
          <w:rFonts w:eastAsia="Times New Roman" w:cs="Arial"/>
          <w:color w:val="000000"/>
          <w:lang w:eastAsia="bg-BG"/>
        </w:rPr>
        <w:lastRenderedPageBreak/>
        <w:t>кандесартан при пациенти на хемодиализа е сходна с тази при пациенти с тежко бъбречно увреждане.</w:t>
      </w:r>
    </w:p>
    <w:p w14:paraId="7DD204DA" w14:textId="77777777" w:rsidR="009A3CEE" w:rsidRPr="009A3CEE" w:rsidRDefault="009A3CEE" w:rsidP="009A3CEE">
      <w:pPr>
        <w:spacing w:line="240" w:lineRule="auto"/>
        <w:rPr>
          <w:rFonts w:eastAsia="Times New Roman" w:cs="Arial"/>
          <w:color w:val="000000"/>
          <w:lang w:eastAsia="bg-BG"/>
        </w:rPr>
      </w:pPr>
    </w:p>
    <w:p w14:paraId="507908BF" w14:textId="721A80F4"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В две клинични проучвания, като и в двете са включени пациенти с леко до умерено тежко бъбречно увреждане, се установява повишаване на средната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на кандесартан - с приблизително 20% в едното проучване и 80% в другото проучване (вж. точка 4.2).</w:t>
      </w:r>
    </w:p>
    <w:p w14:paraId="135BEFE9" w14:textId="77777777" w:rsidR="009A3CEE" w:rsidRPr="009A3CEE" w:rsidRDefault="009A3CEE" w:rsidP="009A3CEE">
      <w:pPr>
        <w:spacing w:line="240" w:lineRule="auto"/>
        <w:rPr>
          <w:rFonts w:eastAsia="Times New Roman" w:cs="Arial"/>
          <w:color w:val="000000"/>
          <w:lang w:eastAsia="bg-BG"/>
        </w:rPr>
      </w:pPr>
    </w:p>
    <w:p w14:paraId="4E515AA2" w14:textId="7D1114E7" w:rsidR="009A3CEE" w:rsidRPr="009A3CEE" w:rsidRDefault="009A3CEE" w:rsidP="009A3CEE">
      <w:pPr>
        <w:spacing w:line="240" w:lineRule="auto"/>
        <w:rPr>
          <w:rFonts w:eastAsia="Times New Roman" w:cs="Arial"/>
        </w:rPr>
      </w:pPr>
      <w:r w:rsidRPr="009A3CEE">
        <w:rPr>
          <w:rFonts w:eastAsia="Times New Roman" w:cs="Arial"/>
          <w:color w:val="000000"/>
          <w:lang w:eastAsia="bg-BG"/>
        </w:rPr>
        <w:t>Липсва опит при пациенти с тежко чернодробно увреждане.</w:t>
      </w:r>
    </w:p>
    <w:p w14:paraId="71A9F5F7" w14:textId="77777777" w:rsidR="009A3CEE" w:rsidRPr="009A3CEE" w:rsidRDefault="009A3CEE" w:rsidP="009A3CEE">
      <w:pPr>
        <w:spacing w:line="240" w:lineRule="auto"/>
        <w:rPr>
          <w:rFonts w:eastAsia="Times New Roman" w:cs="Arial"/>
          <w:i/>
          <w:iCs/>
          <w:color w:val="000000"/>
          <w:lang w:eastAsia="bg-BG"/>
        </w:rPr>
      </w:pPr>
    </w:p>
    <w:p w14:paraId="220ECB20" w14:textId="490F7936" w:rsidR="009A3CEE" w:rsidRPr="009A3CEE" w:rsidRDefault="009A3CEE" w:rsidP="009A3CEE">
      <w:pPr>
        <w:spacing w:line="240" w:lineRule="auto"/>
        <w:rPr>
          <w:rFonts w:eastAsia="Times New Roman" w:cs="Arial"/>
        </w:rPr>
      </w:pPr>
      <w:r w:rsidRPr="009A3CEE">
        <w:rPr>
          <w:rFonts w:eastAsia="Times New Roman" w:cs="Arial"/>
          <w:i/>
          <w:iCs/>
          <w:color w:val="000000"/>
          <w:lang w:eastAsia="bg-BG"/>
        </w:rPr>
        <w:t>Педиатрична популация</w:t>
      </w:r>
    </w:p>
    <w:p w14:paraId="2C934F09"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Фармакокинетичните свойства на кандесартан са оценени в две фармакокинетични проучвания на приложение на еднократни дози при деца на възраст от 1 до &lt;6 години и от 6 до &lt;17 години.</w:t>
      </w:r>
    </w:p>
    <w:p w14:paraId="68997F2D" w14:textId="77777777" w:rsidR="009A3CEE" w:rsidRPr="009A3CEE" w:rsidRDefault="009A3CEE" w:rsidP="009A3CEE">
      <w:pPr>
        <w:spacing w:line="240" w:lineRule="auto"/>
        <w:rPr>
          <w:rFonts w:eastAsia="Times New Roman" w:cs="Arial"/>
          <w:color w:val="000000"/>
          <w:lang w:eastAsia="bg-BG"/>
        </w:rPr>
      </w:pPr>
    </w:p>
    <w:p w14:paraId="2A4BDFE4" w14:textId="204DED68"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При деца на възраст от 1 до &lt;6 години, 10 деца с телесно тегло от 10 до &lt;25 </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получават еднократна доза от 0,2 </w:t>
      </w:r>
      <w:r w:rsidRPr="009A3CEE">
        <w:rPr>
          <w:rFonts w:eastAsia="Times New Roman" w:cs="Arial"/>
          <w:color w:val="000000"/>
          <w:lang w:val="en-US"/>
        </w:rPr>
        <w:t>mg</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перорална суспензия. Не се наблюдава корелация на С</w:t>
      </w:r>
      <w:r w:rsidRPr="009A3CEE">
        <w:rPr>
          <w:rFonts w:eastAsia="Times New Roman" w:cs="Arial"/>
          <w:color w:val="000000"/>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 възрастта и телесното тегло. Не са събирани данни за клирънс, поради което не е известно възможна ли е корелация между клирънса и телесното тегло/възрастта, в тази популация.</w:t>
      </w:r>
    </w:p>
    <w:p w14:paraId="1337167E" w14:textId="77777777" w:rsidR="009A3CEE" w:rsidRPr="009A3CEE" w:rsidRDefault="009A3CEE" w:rsidP="009A3CEE">
      <w:pPr>
        <w:spacing w:line="240" w:lineRule="auto"/>
        <w:rPr>
          <w:rFonts w:eastAsia="Times New Roman" w:cs="Arial"/>
          <w:color w:val="000000"/>
          <w:lang w:eastAsia="bg-BG"/>
        </w:rPr>
      </w:pPr>
    </w:p>
    <w:p w14:paraId="3BD8FC94" w14:textId="63B0DDBA" w:rsidR="009A3CEE" w:rsidRPr="009A3CEE" w:rsidRDefault="009A3CEE" w:rsidP="009A3CEE">
      <w:pPr>
        <w:spacing w:line="240" w:lineRule="auto"/>
        <w:rPr>
          <w:rFonts w:eastAsia="Times New Roman" w:cs="Arial"/>
        </w:rPr>
      </w:pPr>
      <w:r w:rsidRPr="009A3CEE">
        <w:rPr>
          <w:rFonts w:eastAsia="Times New Roman" w:cs="Arial"/>
          <w:color w:val="000000"/>
          <w:lang w:eastAsia="bg-BG"/>
        </w:rPr>
        <w:t>Децата на възраст &gt;6 години са с експозиции, сходни с тези при възрастните, получили същата доза.</w:t>
      </w:r>
    </w:p>
    <w:p w14:paraId="53DAD103" w14:textId="77777777" w:rsidR="009A3CEE" w:rsidRPr="009A3CEE" w:rsidRDefault="009A3CEE" w:rsidP="009A3CEE">
      <w:pPr>
        <w:spacing w:line="240" w:lineRule="auto"/>
        <w:rPr>
          <w:rFonts w:eastAsia="Times New Roman" w:cs="Arial"/>
          <w:color w:val="000000"/>
          <w:lang w:eastAsia="bg-BG"/>
        </w:rPr>
      </w:pPr>
    </w:p>
    <w:p w14:paraId="0E5E8FF0" w14:textId="4366A528"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Фармакокинетиката на кандесартан цилексетил не е проучвана при педиатрични пациенти на възраст &lt;1 година.</w:t>
      </w:r>
    </w:p>
    <w:p w14:paraId="6F48122A" w14:textId="77777777" w:rsidR="009A3CEE" w:rsidRPr="009A3CEE" w:rsidRDefault="009A3CEE" w:rsidP="009A3CEE">
      <w:pPr>
        <w:spacing w:line="240" w:lineRule="auto"/>
        <w:rPr>
          <w:rFonts w:ascii="Times New Roman" w:eastAsia="Times New Roman" w:hAnsi="Times New Roman" w:cs="Times New Roman"/>
          <w:sz w:val="24"/>
          <w:szCs w:val="24"/>
        </w:rPr>
      </w:pPr>
    </w:p>
    <w:p w14:paraId="4738EFA2" w14:textId="77777777" w:rsidR="009A3CEE" w:rsidRPr="009A3CEE" w:rsidRDefault="009A3CEE" w:rsidP="009A3CEE"/>
    <w:p w14:paraId="4FB791BE" w14:textId="247A5724" w:rsidR="00B6672E" w:rsidRDefault="002C50EE" w:rsidP="00936AD0">
      <w:pPr>
        <w:pStyle w:val="Heading2"/>
      </w:pPr>
      <w:r>
        <w:t>5.3. Предклинични данни за безопасност</w:t>
      </w:r>
    </w:p>
    <w:p w14:paraId="046DBDE6" w14:textId="011ACE6A" w:rsidR="009A3CEE" w:rsidRDefault="009A3CEE" w:rsidP="009A3CEE"/>
    <w:p w14:paraId="6420B12A"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При клинично приложими дози няма данни за системна токсичност или токсичност на таргентните органи.</w:t>
      </w:r>
    </w:p>
    <w:p w14:paraId="2C7FA05B"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предклиничните проучвания за безопасност е установено, че във високи дози кандесартан цилексетил повлиява негативно функцията на бъбреците и еритроцитните показатели, при мишки, плъхове, кучета и маймуни, а именно:</w:t>
      </w:r>
    </w:p>
    <w:p w14:paraId="06CA74BB" w14:textId="517A9730"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вероятно са следствие от хипертензивния му ефект, водещ до промяна на бъбречната перфузия</w:t>
      </w:r>
    </w:p>
    <w:p w14:paraId="39C993BB" w14:textId="77777777"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хиперплазия/хипертрофия на юкстагломерулните клетки</w:t>
      </w:r>
    </w:p>
    <w:p w14:paraId="7C6D7246" w14:textId="053543DB"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понижава броя на еритроцитите, нивото на хемоглобин и хематокрит</w:t>
      </w:r>
    </w:p>
    <w:p w14:paraId="6778D0A5" w14:textId="61C2BDA5" w:rsidR="009A3CEE" w:rsidRPr="009A3CEE" w:rsidRDefault="009A3CEE" w:rsidP="009A3CEE">
      <w:pPr>
        <w:spacing w:line="240" w:lineRule="auto"/>
        <w:rPr>
          <w:rFonts w:eastAsia="Times New Roman" w:cs="Arial"/>
          <w:sz w:val="28"/>
          <w:szCs w:val="24"/>
        </w:rPr>
      </w:pPr>
    </w:p>
    <w:p w14:paraId="4DEA9F3E"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Изглежда, че при хора, на терапевтични дози кандесартан, хиперплазия/хипертрофия на юкстагломерулните клетки не е клинично значима.</w:t>
      </w:r>
    </w:p>
    <w:p w14:paraId="3CEBF599"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Предполага се, че тези промени се дължат на фармакологичното действие на кандесартан.</w:t>
      </w:r>
    </w:p>
    <w:p w14:paraId="6ED2326C" w14:textId="77777777" w:rsidR="009A3CEE" w:rsidRPr="009A3CEE" w:rsidRDefault="009A3CEE" w:rsidP="009A3CEE">
      <w:pPr>
        <w:spacing w:line="240" w:lineRule="auto"/>
        <w:rPr>
          <w:rFonts w:eastAsia="Times New Roman" w:cs="Arial"/>
          <w:color w:val="000000"/>
          <w:szCs w:val="20"/>
          <w:lang w:eastAsia="bg-BG"/>
        </w:rPr>
      </w:pPr>
    </w:p>
    <w:p w14:paraId="4339D3E3" w14:textId="738FCDAC"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В предклиничните проучвания при нормотензивни новородени и млади плъхове, кандесартан е показал редукция на телесното тегло и на теглото на сърцето. Както при възрастните животни, тези ефекти се смятат за резултат от фармакологичното действие на кандесартан. При най-ниската доза -10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експозицията на кандесартан е между </w:t>
      </w:r>
      <w:r w:rsidRPr="009A3CEE">
        <w:rPr>
          <w:rFonts w:eastAsia="Times New Roman" w:cs="Arial"/>
          <w:color w:val="000000"/>
          <w:szCs w:val="20"/>
          <w:lang w:eastAsia="bg-BG"/>
        </w:rPr>
        <w:lastRenderedPageBreak/>
        <w:t xml:space="preserve">12 и 78 пъти по-висока от нивата при деца на възраст от 1 до&lt;6 години, получавали кандесартан цилексетил в доза 0,2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от 7 до 54 пъти по-висока от нивата при деца на възраст от 6 до &lt;17 години, получавали кандесартан цилексетил в доза от 16 </w:t>
      </w:r>
      <w:r w:rsidRPr="009A3CEE">
        <w:rPr>
          <w:rFonts w:eastAsia="Times New Roman" w:cs="Arial"/>
          <w:color w:val="000000"/>
          <w:szCs w:val="20"/>
          <w:lang w:val="en-US"/>
        </w:rPr>
        <w:t>mg</w:t>
      </w:r>
      <w:r w:rsidRPr="009A3CEE">
        <w:rPr>
          <w:rFonts w:eastAsia="Times New Roman" w:cs="Arial"/>
          <w:color w:val="000000"/>
          <w:szCs w:val="20"/>
          <w:lang w:val="ru-RU"/>
        </w:rPr>
        <w:t xml:space="preserve">. </w:t>
      </w:r>
      <w:r w:rsidRPr="009A3CEE">
        <w:rPr>
          <w:rFonts w:eastAsia="Times New Roman" w:cs="Arial"/>
          <w:color w:val="000000"/>
          <w:szCs w:val="20"/>
          <w:lang w:eastAsia="bg-BG"/>
        </w:rPr>
        <w:t>В тези проучвания не са намерени стойности, под които не се установява ефект, затова границата на безопасност по отношение на ефектите върху теглото на сърцето и клиничната значимост на тези резултати не е известна.</w:t>
      </w:r>
    </w:p>
    <w:p w14:paraId="4794073B" w14:textId="77777777" w:rsidR="009A3CEE" w:rsidRPr="009A3CEE" w:rsidRDefault="009A3CEE" w:rsidP="009A3CEE">
      <w:pPr>
        <w:spacing w:line="240" w:lineRule="auto"/>
        <w:rPr>
          <w:rFonts w:eastAsia="Times New Roman" w:cs="Arial"/>
          <w:color w:val="000000"/>
          <w:szCs w:val="20"/>
          <w:lang w:eastAsia="bg-BG"/>
        </w:rPr>
      </w:pPr>
    </w:p>
    <w:p w14:paraId="1C82751F" w14:textId="10E54BA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Данните от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vitro</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vivo</w:t>
      </w:r>
      <w:r w:rsidRPr="009A3CEE">
        <w:rPr>
          <w:rFonts w:eastAsia="Times New Roman" w:cs="Arial"/>
          <w:color w:val="000000"/>
          <w:szCs w:val="20"/>
          <w:lang w:val="ru-RU"/>
        </w:rPr>
        <w:t xml:space="preserve"> </w:t>
      </w:r>
      <w:r w:rsidRPr="009A3CEE">
        <w:rPr>
          <w:rFonts w:eastAsia="Times New Roman" w:cs="Arial"/>
          <w:color w:val="000000"/>
          <w:szCs w:val="20"/>
          <w:lang w:eastAsia="bg-BG"/>
        </w:rPr>
        <w:t>проучванията за мутагенност показват, че в условията на клиничното му приложение кандесартан няма мутагенна или кластогенна активност.</w:t>
      </w:r>
    </w:p>
    <w:p w14:paraId="5F443F5E" w14:textId="77777777" w:rsidR="009A3CEE" w:rsidRPr="009A3CEE" w:rsidRDefault="009A3CEE" w:rsidP="009A3CEE">
      <w:pPr>
        <w:spacing w:line="240" w:lineRule="auto"/>
        <w:rPr>
          <w:rFonts w:eastAsia="Times New Roman" w:cs="Arial"/>
          <w:color w:val="000000"/>
          <w:szCs w:val="20"/>
          <w:lang w:eastAsia="bg-BG"/>
        </w:rPr>
      </w:pPr>
    </w:p>
    <w:p w14:paraId="53D3EEF1" w14:textId="14E639CE"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късните срокове на бременността се наблюдава фетална токсичност (вж. точка 4.6).</w:t>
      </w:r>
    </w:p>
    <w:p w14:paraId="269EC247" w14:textId="77777777" w:rsidR="009A3CEE" w:rsidRPr="009A3CEE" w:rsidRDefault="009A3CEE" w:rsidP="009A3CEE">
      <w:pPr>
        <w:spacing w:line="240" w:lineRule="auto"/>
        <w:rPr>
          <w:rFonts w:eastAsia="Times New Roman" w:cs="Arial"/>
          <w:color w:val="000000"/>
          <w:szCs w:val="20"/>
          <w:lang w:eastAsia="bg-BG"/>
        </w:rPr>
      </w:pPr>
    </w:p>
    <w:p w14:paraId="048274BD" w14:textId="583FE771"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Няма данни за карциногеннст.</w:t>
      </w:r>
    </w:p>
    <w:p w14:paraId="332A89E6" w14:textId="77777777" w:rsidR="009A3CEE" w:rsidRPr="009A3CEE" w:rsidRDefault="009A3CEE" w:rsidP="009A3CEE">
      <w:pPr>
        <w:spacing w:line="240" w:lineRule="auto"/>
        <w:rPr>
          <w:rFonts w:eastAsia="Times New Roman" w:cs="Arial"/>
          <w:color w:val="000000"/>
          <w:szCs w:val="20"/>
          <w:lang w:eastAsia="bg-BG"/>
        </w:rPr>
      </w:pPr>
    </w:p>
    <w:p w14:paraId="1BC51A54" w14:textId="338FEAAC" w:rsidR="009A3CEE" w:rsidRPr="009A3CEE" w:rsidRDefault="009A3CEE" w:rsidP="009A3CEE">
      <w:pPr>
        <w:spacing w:line="240" w:lineRule="auto"/>
        <w:rPr>
          <w:rFonts w:ascii="Times New Roman" w:eastAsia="Times New Roman" w:hAnsi="Times New Roman" w:cs="Times New Roman"/>
          <w:sz w:val="24"/>
          <w:szCs w:val="24"/>
        </w:rPr>
      </w:pPr>
      <w:r w:rsidRPr="009A3CEE">
        <w:rPr>
          <w:rFonts w:eastAsia="Times New Roman" w:cs="Arial"/>
          <w:color w:val="000000"/>
          <w:szCs w:val="20"/>
          <w:lang w:eastAsia="bg-BG"/>
        </w:rPr>
        <w:t>Ренин-ангиотензин-алдостероновата система играе критична роля в развитието на бъбреците. Доказано е, че блокирането на ренин-ангиотензин-алдостероновата система при много млади мишки води до нарушено развитие на бъбреците. Приложението на медикаменти, които действат директно върху ренин-ангиотензин-алдостероновата система може да повлияе нормалното развитие на бъбреците. Следователно децата на възраст под 1 година не трябва да приемат Кантаб (вж. точка 4.3).</w:t>
      </w:r>
    </w:p>
    <w:p w14:paraId="06F254D6" w14:textId="77777777" w:rsidR="009A3CEE" w:rsidRPr="009A3CEE" w:rsidRDefault="009A3CEE" w:rsidP="009A3CEE">
      <w:pPr>
        <w:spacing w:line="240" w:lineRule="auto"/>
        <w:rPr>
          <w:rFonts w:ascii="Times New Roman" w:eastAsia="Times New Roman" w:hAnsi="Times New Roman" w:cs="Times New Roman"/>
          <w:sz w:val="24"/>
          <w:szCs w:val="24"/>
        </w:rPr>
      </w:pPr>
    </w:p>
    <w:p w14:paraId="1BA6531D" w14:textId="200E1D20" w:rsidR="00B6672E" w:rsidRDefault="002C50EE" w:rsidP="00936AD0">
      <w:pPr>
        <w:pStyle w:val="Heading1"/>
      </w:pPr>
      <w:r>
        <w:t>7. ПРИТЕЖАТЕЛ НА РАЗРЕШЕНИЕТО ЗА УПОТРЕБА</w:t>
      </w:r>
    </w:p>
    <w:p w14:paraId="58800E2B" w14:textId="43AC74A4" w:rsidR="009A3CEE" w:rsidRDefault="009A3CEE" w:rsidP="009A3CEE"/>
    <w:p w14:paraId="25EF8F0C" w14:textId="77777777" w:rsidR="009A3CEE" w:rsidRPr="009A3CEE" w:rsidRDefault="009A3CEE" w:rsidP="009A3CEE">
      <w:pPr>
        <w:rPr>
          <w:sz w:val="24"/>
          <w:szCs w:val="24"/>
        </w:rPr>
      </w:pPr>
      <w:r w:rsidRPr="009A3CEE">
        <w:rPr>
          <w:lang w:eastAsia="bg-BG"/>
        </w:rPr>
        <w:t>НОБЕЛ ФАРМА ЕООД</w:t>
      </w:r>
    </w:p>
    <w:p w14:paraId="724F8A96" w14:textId="77777777" w:rsidR="009A3CEE" w:rsidRPr="009A3CEE" w:rsidRDefault="009A3CEE" w:rsidP="009A3CEE">
      <w:pPr>
        <w:rPr>
          <w:sz w:val="24"/>
          <w:szCs w:val="24"/>
        </w:rPr>
      </w:pPr>
      <w:r w:rsidRPr="009A3CEE">
        <w:rPr>
          <w:lang w:eastAsia="bg-BG"/>
        </w:rPr>
        <w:t>Околовръстен път № 36</w:t>
      </w:r>
    </w:p>
    <w:p w14:paraId="7084846A" w14:textId="77777777" w:rsidR="009A3CEE" w:rsidRPr="009A3CEE" w:rsidRDefault="009A3CEE" w:rsidP="009A3CEE">
      <w:pPr>
        <w:rPr>
          <w:sz w:val="24"/>
          <w:szCs w:val="24"/>
        </w:rPr>
      </w:pPr>
      <w:r w:rsidRPr="009A3CEE">
        <w:rPr>
          <w:lang w:eastAsia="bg-BG"/>
        </w:rPr>
        <w:t>София 1415, България</w:t>
      </w:r>
    </w:p>
    <w:p w14:paraId="4A039C6E" w14:textId="77777777" w:rsidR="009A3CEE" w:rsidRPr="009A3CEE" w:rsidRDefault="009A3CEE" w:rsidP="009A3CEE"/>
    <w:p w14:paraId="508F3A54" w14:textId="26D8D450" w:rsidR="00B6672E" w:rsidRDefault="00936AD0" w:rsidP="00936AD0">
      <w:pPr>
        <w:pStyle w:val="Heading1"/>
      </w:pPr>
      <w:r>
        <w:t>8.</w:t>
      </w:r>
      <w:r w:rsidR="002C50EE">
        <w:t>НОМЕР НА РАЗРЕШЕНИЕТО ЗА УПОТРЕБА</w:t>
      </w:r>
    </w:p>
    <w:p w14:paraId="6755DA00" w14:textId="63992324" w:rsidR="009A3CEE" w:rsidRDefault="009A3CEE" w:rsidP="009A3CEE"/>
    <w:p w14:paraId="04E60090" w14:textId="680E592C" w:rsidR="009A3CEE" w:rsidRPr="009A3CEE" w:rsidRDefault="009A3CEE" w:rsidP="009A3CEE">
      <w:r>
        <w:rPr>
          <w:lang w:val="en-US"/>
        </w:rPr>
        <w:t>Per</w:t>
      </w:r>
      <w:r w:rsidRPr="009A3CEE">
        <w:rPr>
          <w:lang w:val="ru-RU"/>
        </w:rPr>
        <w:t xml:space="preserve">. </w:t>
      </w:r>
      <w:r w:rsidR="005E4566">
        <w:t>№20150103</w:t>
      </w:r>
    </w:p>
    <w:p w14:paraId="2CCB5832" w14:textId="7DE88C7E" w:rsidR="007C605B" w:rsidRDefault="002C50EE" w:rsidP="007C605B">
      <w:pPr>
        <w:pStyle w:val="Heading1"/>
      </w:pPr>
      <w:r>
        <w:t>9. ДАТА НА ПЪРВО РАЗРЕШАВАНЕ/ПОДНОВЯВАНЕ НА РАЗРЕШЕНИЕТО ЗА УПОТРЕБА</w:t>
      </w:r>
    </w:p>
    <w:p w14:paraId="46A70190" w14:textId="77777777" w:rsidR="009A3CEE" w:rsidRDefault="009A3CEE" w:rsidP="009A3CEE">
      <w:pPr>
        <w:spacing w:line="240" w:lineRule="auto"/>
        <w:rPr>
          <w:rFonts w:ascii="Times New Roman" w:eastAsia="Times New Roman" w:hAnsi="Times New Roman" w:cs="Times New Roman"/>
          <w:color w:val="000000"/>
          <w:sz w:val="20"/>
          <w:szCs w:val="20"/>
          <w:lang w:eastAsia="bg-BG"/>
        </w:rPr>
      </w:pPr>
    </w:p>
    <w:p w14:paraId="55AE1632" w14:textId="2B1B054C" w:rsidR="009A3CEE" w:rsidRPr="009A3CEE" w:rsidRDefault="009A3CEE" w:rsidP="009A3CEE">
      <w:pPr>
        <w:rPr>
          <w:sz w:val="24"/>
          <w:szCs w:val="24"/>
        </w:rPr>
      </w:pPr>
      <w:r w:rsidRPr="009A3CEE">
        <w:rPr>
          <w:lang w:eastAsia="bg-BG"/>
        </w:rPr>
        <w:t>Дата на първо разрешаване: 30.03.2015</w:t>
      </w:r>
    </w:p>
    <w:p w14:paraId="5D62CB63" w14:textId="7EECB686" w:rsidR="009A3CEE" w:rsidRPr="009A3CEE" w:rsidRDefault="009A3CEE" w:rsidP="009A3CEE">
      <w:pPr>
        <w:rPr>
          <w:sz w:val="24"/>
          <w:szCs w:val="24"/>
        </w:rPr>
      </w:pPr>
      <w:r w:rsidRPr="009A3CEE">
        <w:rPr>
          <w:lang w:eastAsia="bg-BG"/>
        </w:rPr>
        <w:t>Дата на последно подновяване:</w:t>
      </w:r>
      <w:r w:rsidR="005E4566">
        <w:rPr>
          <w:lang w:eastAsia="bg-BG"/>
        </w:rPr>
        <w:t>27.03.2020</w:t>
      </w:r>
      <w:bookmarkStart w:id="1" w:name="_GoBack"/>
      <w:bookmarkEnd w:id="1"/>
    </w:p>
    <w:p w14:paraId="0E9D0119" w14:textId="0245C6D7" w:rsidR="002C50EE" w:rsidRDefault="002C50EE" w:rsidP="002C50EE">
      <w:pPr>
        <w:pStyle w:val="Heading1"/>
      </w:pPr>
      <w:r>
        <w:t>10. ДАТА НА АКТУАЛИЗИРАНЕ НА ТЕКСТА</w:t>
      </w:r>
    </w:p>
    <w:bookmarkEnd w:id="0"/>
    <w:p w14:paraId="43FB38A2" w14:textId="0E0557F0" w:rsidR="007C605B" w:rsidRPr="009822D2" w:rsidRDefault="009822D2" w:rsidP="009A3CEE">
      <w:pPr>
        <w:rPr>
          <w:lang w:val="ru-RU"/>
        </w:rPr>
      </w:pPr>
      <w:r>
        <w:t>12.202</w:t>
      </w:r>
      <w:r w:rsidRPr="009822D2">
        <w:rPr>
          <w:lang w:val="ru-RU"/>
        </w:rPr>
        <w:t>1</w:t>
      </w:r>
    </w:p>
    <w:sectPr w:rsidR="007C605B" w:rsidRPr="00982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F0D97"/>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24742057"/>
    <w:multiLevelType w:val="hybridMultilevel"/>
    <w:tmpl w:val="A524D53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B706F"/>
    <w:multiLevelType w:val="hybridMultilevel"/>
    <w:tmpl w:val="53C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8238A"/>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24CCC"/>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E3583"/>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8" w15:restartNumberingAfterBreak="0">
    <w:nsid w:val="702F0F93"/>
    <w:multiLevelType w:val="hybridMultilevel"/>
    <w:tmpl w:val="689E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215C9"/>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6"/>
  </w:num>
  <w:num w:numId="4">
    <w:abstractNumId w:val="3"/>
  </w:num>
  <w:num w:numId="5">
    <w:abstractNumId w:val="1"/>
  </w:num>
  <w:num w:numId="6">
    <w:abstractNumId w:val="20"/>
  </w:num>
  <w:num w:numId="7">
    <w:abstractNumId w:val="14"/>
  </w:num>
  <w:num w:numId="8">
    <w:abstractNumId w:val="19"/>
  </w:num>
  <w:num w:numId="9">
    <w:abstractNumId w:val="2"/>
  </w:num>
  <w:num w:numId="10">
    <w:abstractNumId w:val="4"/>
  </w:num>
  <w:num w:numId="11">
    <w:abstractNumId w:val="36"/>
  </w:num>
  <w:num w:numId="12">
    <w:abstractNumId w:val="17"/>
  </w:num>
  <w:num w:numId="13">
    <w:abstractNumId w:val="23"/>
  </w:num>
  <w:num w:numId="14">
    <w:abstractNumId w:val="15"/>
  </w:num>
  <w:num w:numId="15">
    <w:abstractNumId w:val="35"/>
  </w:num>
  <w:num w:numId="16">
    <w:abstractNumId w:val="13"/>
  </w:num>
  <w:num w:numId="17">
    <w:abstractNumId w:val="29"/>
  </w:num>
  <w:num w:numId="18">
    <w:abstractNumId w:val="8"/>
  </w:num>
  <w:num w:numId="19">
    <w:abstractNumId w:val="31"/>
  </w:num>
  <w:num w:numId="20">
    <w:abstractNumId w:val="28"/>
  </w:num>
  <w:num w:numId="21">
    <w:abstractNumId w:val="21"/>
  </w:num>
  <w:num w:numId="22">
    <w:abstractNumId w:val="30"/>
  </w:num>
  <w:num w:numId="23">
    <w:abstractNumId w:val="22"/>
  </w:num>
  <w:num w:numId="24">
    <w:abstractNumId w:val="9"/>
  </w:num>
  <w:num w:numId="25">
    <w:abstractNumId w:val="27"/>
  </w:num>
  <w:num w:numId="26">
    <w:abstractNumId w:val="26"/>
  </w:num>
  <w:num w:numId="27">
    <w:abstractNumId w:val="39"/>
  </w:num>
  <w:num w:numId="28">
    <w:abstractNumId w:val="6"/>
  </w:num>
  <w:num w:numId="29">
    <w:abstractNumId w:val="25"/>
  </w:num>
  <w:num w:numId="30">
    <w:abstractNumId w:val="43"/>
  </w:num>
  <w:num w:numId="31">
    <w:abstractNumId w:val="5"/>
  </w:num>
  <w:num w:numId="32">
    <w:abstractNumId w:val="42"/>
  </w:num>
  <w:num w:numId="33">
    <w:abstractNumId w:val="34"/>
  </w:num>
  <w:num w:numId="34">
    <w:abstractNumId w:val="40"/>
  </w:num>
  <w:num w:numId="35">
    <w:abstractNumId w:val="7"/>
  </w:num>
  <w:num w:numId="36">
    <w:abstractNumId w:val="10"/>
  </w:num>
  <w:num w:numId="37">
    <w:abstractNumId w:val="24"/>
  </w:num>
  <w:num w:numId="38">
    <w:abstractNumId w:val="37"/>
  </w:num>
  <w:num w:numId="39">
    <w:abstractNumId w:val="33"/>
  </w:num>
  <w:num w:numId="40">
    <w:abstractNumId w:val="41"/>
  </w:num>
  <w:num w:numId="41">
    <w:abstractNumId w:val="11"/>
  </w:num>
  <w:num w:numId="42">
    <w:abstractNumId w:val="18"/>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E4566"/>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822D2"/>
    <w:rsid w:val="009A3CEE"/>
    <w:rsid w:val="009B171C"/>
    <w:rsid w:val="009F1313"/>
    <w:rsid w:val="00A20351"/>
    <w:rsid w:val="00A65A81"/>
    <w:rsid w:val="00A80DA2"/>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6671</Words>
  <Characters>38030</Characters>
  <Application>Microsoft Office Word</Application>
  <DocSecurity>0</DocSecurity>
  <Lines>316</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2022-06-24T15:57:00Z</dcterms:created>
  <dcterms:modified xsi:type="dcterms:W3CDTF">2022-06-24T15:57:00Z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