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59192C" w:rsidR="007122AD" w:rsidRDefault="00DD466D" w:rsidP="00936AD0">
      <w:pPr>
        <w:pStyle w:val="Heading1"/>
      </w:pPr>
      <w:r>
        <w:t>1.ИМЕ НА ЛЕКАРСТВЕНИЯ ПРОДУКТ</w:t>
      </w:r>
    </w:p>
    <w:p w14:paraId="502759B7" w14:textId="10A9AC2E" w:rsidR="001258BC" w:rsidRDefault="001258BC" w:rsidP="001258BC"/>
    <w:p w14:paraId="6F72BEFF" w14:textId="17A29EC6" w:rsidR="001258BC" w:rsidRPr="001258BC" w:rsidRDefault="00394C09" w:rsidP="001258BC">
      <w:pPr>
        <w:spacing w:line="240" w:lineRule="auto"/>
        <w:rPr>
          <w:rFonts w:eastAsia="Times New Roman" w:cs="Arial"/>
          <w:sz w:val="28"/>
          <w:szCs w:val="24"/>
        </w:rPr>
      </w:pPr>
      <w:r>
        <w:rPr>
          <w:rFonts w:eastAsia="Times New Roman" w:cs="Arial"/>
          <w:color w:val="000000"/>
          <w:szCs w:val="20"/>
          <w:lang w:eastAsia="bg-BG"/>
        </w:rPr>
        <w:t>Кантаб Плюс 16</w:t>
      </w:r>
      <w:bookmarkStart w:id="1" w:name="_GoBack"/>
      <w:bookmarkEnd w:id="1"/>
      <w:r w:rsidR="001258BC" w:rsidRPr="001258BC">
        <w:rPr>
          <w:rFonts w:eastAsia="Times New Roman" w:cs="Arial"/>
          <w:color w:val="000000"/>
          <w:szCs w:val="20"/>
          <w:lang w:eastAsia="bg-BG"/>
        </w:rPr>
        <w:t xml:space="preserve"> </w:t>
      </w:r>
      <w:r w:rsidR="001258BC" w:rsidRPr="001258BC">
        <w:rPr>
          <w:rFonts w:eastAsia="Times New Roman" w:cs="Arial"/>
          <w:color w:val="000000"/>
          <w:szCs w:val="20"/>
          <w:lang w:val="en-US"/>
        </w:rPr>
        <w:t>mg</w:t>
      </w:r>
      <w:r w:rsidR="001258BC" w:rsidRPr="00394C09">
        <w:rPr>
          <w:rFonts w:eastAsia="Times New Roman" w:cs="Arial"/>
          <w:color w:val="000000"/>
          <w:szCs w:val="20"/>
        </w:rPr>
        <w:t xml:space="preserve"> </w:t>
      </w:r>
      <w:r w:rsidR="001258BC" w:rsidRPr="001258BC">
        <w:rPr>
          <w:rFonts w:eastAsia="Times New Roman" w:cs="Arial"/>
          <w:color w:val="000000"/>
          <w:szCs w:val="20"/>
          <w:lang w:eastAsia="bg-BG"/>
        </w:rPr>
        <w:t xml:space="preserve">/12,5 </w:t>
      </w:r>
      <w:r w:rsidR="001258BC" w:rsidRPr="001258BC">
        <w:rPr>
          <w:rFonts w:eastAsia="Times New Roman" w:cs="Arial"/>
          <w:color w:val="000000"/>
          <w:szCs w:val="20"/>
          <w:lang w:val="en-US"/>
        </w:rPr>
        <w:t>mg</w:t>
      </w:r>
      <w:r w:rsidR="001258BC" w:rsidRPr="00394C09">
        <w:rPr>
          <w:rFonts w:eastAsia="Times New Roman" w:cs="Arial"/>
          <w:color w:val="000000"/>
          <w:szCs w:val="20"/>
        </w:rPr>
        <w:t xml:space="preserve"> </w:t>
      </w:r>
      <w:r w:rsidR="001258BC" w:rsidRPr="001258BC">
        <w:rPr>
          <w:rFonts w:eastAsia="Times New Roman" w:cs="Arial"/>
          <w:color w:val="000000"/>
          <w:szCs w:val="20"/>
          <w:lang w:eastAsia="bg-BG"/>
        </w:rPr>
        <w:t>таблетки</w:t>
      </w:r>
    </w:p>
    <w:p w14:paraId="583F2D5D" w14:textId="145F1C8E" w:rsidR="001258BC" w:rsidRPr="001258BC" w:rsidRDefault="001258BC" w:rsidP="001258BC">
      <w:pPr>
        <w:rPr>
          <w:rFonts w:cs="Arial"/>
          <w:sz w:val="24"/>
        </w:rPr>
      </w:pPr>
      <w:proofErr w:type="spellStart"/>
      <w:r w:rsidRPr="001258BC">
        <w:rPr>
          <w:rFonts w:eastAsia="Times New Roman" w:cs="Arial"/>
          <w:color w:val="000000"/>
          <w:szCs w:val="20"/>
          <w:lang w:val="en-US"/>
        </w:rPr>
        <w:t>Cantab</w:t>
      </w:r>
      <w:proofErr w:type="spellEnd"/>
      <w:r w:rsidRPr="00394C09">
        <w:rPr>
          <w:rFonts w:eastAsia="Times New Roman" w:cs="Arial"/>
          <w:color w:val="000000"/>
          <w:szCs w:val="20"/>
        </w:rPr>
        <w:t xml:space="preserve"> </w:t>
      </w:r>
      <w:r w:rsidR="00394C09">
        <w:rPr>
          <w:rFonts w:eastAsia="Times New Roman" w:cs="Arial"/>
          <w:color w:val="000000"/>
          <w:szCs w:val="20"/>
          <w:lang w:val="en-US"/>
        </w:rPr>
        <w:t>Plus</w:t>
      </w:r>
      <w:r w:rsidRPr="00394C09">
        <w:rPr>
          <w:rFonts w:eastAsia="Times New Roman" w:cs="Arial"/>
          <w:color w:val="000000"/>
          <w:szCs w:val="20"/>
        </w:rPr>
        <w:t xml:space="preserve"> </w:t>
      </w:r>
      <w:r w:rsidR="00394C09" w:rsidRPr="00394C09">
        <w:rPr>
          <w:rFonts w:eastAsia="Times New Roman" w:cs="Arial"/>
          <w:color w:val="000000"/>
          <w:szCs w:val="20"/>
        </w:rPr>
        <w:t xml:space="preserve">16 </w:t>
      </w:r>
      <w:r w:rsidRPr="001258BC">
        <w:rPr>
          <w:rFonts w:eastAsia="Times New Roman" w:cs="Arial"/>
          <w:color w:val="000000"/>
          <w:szCs w:val="20"/>
          <w:lang w:val="en-US"/>
        </w:rPr>
        <w:t>mg</w:t>
      </w:r>
      <w:r w:rsidRPr="00394C09">
        <w:rPr>
          <w:rFonts w:eastAsia="Times New Roman" w:cs="Arial"/>
          <w:color w:val="000000"/>
          <w:szCs w:val="20"/>
        </w:rPr>
        <w:t xml:space="preserve"> </w:t>
      </w:r>
      <w:r w:rsidRPr="001258BC">
        <w:rPr>
          <w:rFonts w:eastAsia="Times New Roman" w:cs="Arial"/>
          <w:color w:val="000000"/>
          <w:szCs w:val="20"/>
          <w:lang w:eastAsia="bg-BG"/>
        </w:rPr>
        <w:t>/12</w:t>
      </w:r>
      <w:proofErr w:type="gramStart"/>
      <w:r w:rsidRPr="001258BC">
        <w:rPr>
          <w:rFonts w:eastAsia="Times New Roman" w:cs="Arial"/>
          <w:color w:val="000000"/>
          <w:szCs w:val="20"/>
          <w:lang w:eastAsia="bg-BG"/>
        </w:rPr>
        <w:t>,5</w:t>
      </w:r>
      <w:proofErr w:type="gramEnd"/>
      <w:r w:rsidRPr="001258BC">
        <w:rPr>
          <w:rFonts w:eastAsia="Times New Roman" w:cs="Arial"/>
          <w:color w:val="000000"/>
          <w:szCs w:val="20"/>
          <w:lang w:eastAsia="bg-BG"/>
        </w:rPr>
        <w:t xml:space="preserve"> </w:t>
      </w:r>
      <w:r w:rsidRPr="001258BC">
        <w:rPr>
          <w:rFonts w:eastAsia="Times New Roman" w:cs="Arial"/>
          <w:color w:val="000000"/>
          <w:szCs w:val="20"/>
          <w:lang w:val="en-US"/>
        </w:rPr>
        <w:t>mg</w:t>
      </w:r>
      <w:r w:rsidRPr="00394C09">
        <w:rPr>
          <w:rFonts w:eastAsia="Times New Roman" w:cs="Arial"/>
          <w:color w:val="000000"/>
          <w:szCs w:val="20"/>
        </w:rPr>
        <w:t xml:space="preserve"> </w:t>
      </w:r>
      <w:r w:rsidRPr="001258BC">
        <w:rPr>
          <w:rFonts w:eastAsia="Times New Roman" w:cs="Arial"/>
          <w:color w:val="000000"/>
          <w:szCs w:val="20"/>
          <w:lang w:val="en-US"/>
        </w:rPr>
        <w:t>tablets</w:t>
      </w:r>
    </w:p>
    <w:p w14:paraId="6920A680" w14:textId="1D023E6F" w:rsidR="00C40420" w:rsidRDefault="00DD466D" w:rsidP="004A448E">
      <w:pPr>
        <w:pStyle w:val="Heading1"/>
      </w:pPr>
      <w:r>
        <w:t>2. КАЧЕСТВЕН И КОЛИЧЕСТВЕН СЪСТАВ</w:t>
      </w:r>
    </w:p>
    <w:p w14:paraId="7A21E324" w14:textId="0113CC7A" w:rsidR="001258BC" w:rsidRDefault="001258BC" w:rsidP="001258BC"/>
    <w:p w14:paraId="693D3CC4"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Всяка таблетка съдържа 16 </w:t>
      </w:r>
      <w:r w:rsidRPr="001258BC">
        <w:rPr>
          <w:rFonts w:eastAsia="Times New Roman" w:cs="Arial"/>
          <w:color w:val="000000"/>
          <w:szCs w:val="20"/>
          <w:lang w:val="en-US"/>
        </w:rPr>
        <w:t>mg</w:t>
      </w:r>
      <w:r w:rsidRPr="001258BC">
        <w:rPr>
          <w:rFonts w:eastAsia="Times New Roman" w:cs="Arial"/>
          <w:color w:val="000000"/>
          <w:szCs w:val="20"/>
        </w:rPr>
        <w:t xml:space="preserve"> </w:t>
      </w:r>
      <w:r w:rsidRPr="001258BC">
        <w:rPr>
          <w:rFonts w:eastAsia="Times New Roman" w:cs="Arial"/>
          <w:color w:val="000000"/>
          <w:szCs w:val="20"/>
          <w:lang w:eastAsia="bg-BG"/>
        </w:rPr>
        <w:t xml:space="preserve">кандесартан цилексетил </w:t>
      </w:r>
      <w:r w:rsidRPr="001258BC">
        <w:rPr>
          <w:rFonts w:eastAsia="Times New Roman" w:cs="Arial"/>
          <w:i/>
          <w:iCs/>
          <w:color w:val="000000"/>
          <w:szCs w:val="20"/>
        </w:rPr>
        <w:t>(</w:t>
      </w:r>
      <w:r w:rsidRPr="001258BC">
        <w:rPr>
          <w:rFonts w:eastAsia="Times New Roman" w:cs="Arial"/>
          <w:i/>
          <w:iCs/>
          <w:color w:val="000000"/>
          <w:szCs w:val="20"/>
          <w:lang w:val="en-US"/>
        </w:rPr>
        <w:t>candesartan</w:t>
      </w:r>
      <w:r w:rsidRPr="001258BC">
        <w:rPr>
          <w:rFonts w:eastAsia="Times New Roman" w:cs="Arial"/>
          <w:i/>
          <w:iCs/>
          <w:color w:val="000000"/>
          <w:szCs w:val="20"/>
        </w:rPr>
        <w:t xml:space="preserve"> </w:t>
      </w:r>
      <w:proofErr w:type="spellStart"/>
      <w:r w:rsidRPr="001258BC">
        <w:rPr>
          <w:rFonts w:eastAsia="Times New Roman" w:cs="Arial"/>
          <w:i/>
          <w:iCs/>
          <w:color w:val="000000"/>
          <w:szCs w:val="20"/>
          <w:lang w:val="en-US"/>
        </w:rPr>
        <w:t>cilexetil</w:t>
      </w:r>
      <w:proofErr w:type="spellEnd"/>
      <w:r w:rsidRPr="001258BC">
        <w:rPr>
          <w:rFonts w:eastAsia="Times New Roman" w:cs="Arial"/>
          <w:i/>
          <w:iCs/>
          <w:color w:val="000000"/>
          <w:szCs w:val="20"/>
        </w:rPr>
        <w:t>)</w:t>
      </w:r>
      <w:r w:rsidRPr="001258BC">
        <w:rPr>
          <w:rFonts w:eastAsia="Times New Roman" w:cs="Arial"/>
          <w:color w:val="000000"/>
          <w:szCs w:val="20"/>
        </w:rPr>
        <w:t xml:space="preserve"> </w:t>
      </w:r>
      <w:r w:rsidRPr="001258BC">
        <w:rPr>
          <w:rFonts w:eastAsia="Times New Roman" w:cs="Arial"/>
          <w:color w:val="000000"/>
          <w:szCs w:val="20"/>
          <w:lang w:eastAsia="bg-BG"/>
        </w:rPr>
        <w:t xml:space="preserve">и 12,5 </w:t>
      </w:r>
      <w:r w:rsidRPr="001258BC">
        <w:rPr>
          <w:rFonts w:eastAsia="Times New Roman" w:cs="Arial"/>
          <w:color w:val="000000"/>
          <w:szCs w:val="20"/>
          <w:lang w:val="en-US"/>
        </w:rPr>
        <w:t>mg</w:t>
      </w:r>
      <w:r w:rsidRPr="001258BC">
        <w:rPr>
          <w:rFonts w:eastAsia="Times New Roman" w:cs="Arial"/>
          <w:color w:val="000000"/>
          <w:szCs w:val="20"/>
        </w:rPr>
        <w:t xml:space="preserve"> </w:t>
      </w:r>
      <w:r w:rsidRPr="001258BC">
        <w:rPr>
          <w:rFonts w:eastAsia="Times New Roman" w:cs="Arial"/>
          <w:color w:val="000000"/>
          <w:szCs w:val="20"/>
          <w:lang w:eastAsia="bg-BG"/>
        </w:rPr>
        <w:t xml:space="preserve">хидрохлоротиазид </w:t>
      </w:r>
      <w:r w:rsidRPr="001258BC">
        <w:rPr>
          <w:rFonts w:eastAsia="Times New Roman" w:cs="Arial"/>
          <w:i/>
          <w:iCs/>
          <w:color w:val="000000"/>
          <w:szCs w:val="20"/>
        </w:rPr>
        <w:t>(</w:t>
      </w:r>
      <w:r w:rsidRPr="001258BC">
        <w:rPr>
          <w:rFonts w:eastAsia="Times New Roman" w:cs="Arial"/>
          <w:i/>
          <w:iCs/>
          <w:color w:val="000000"/>
          <w:szCs w:val="20"/>
          <w:lang w:val="en-US"/>
        </w:rPr>
        <w:t>hydrochlorothiazide</w:t>
      </w:r>
      <w:r w:rsidRPr="001258BC">
        <w:rPr>
          <w:rFonts w:eastAsia="Times New Roman" w:cs="Arial"/>
          <w:i/>
          <w:iCs/>
          <w:color w:val="000000"/>
          <w:szCs w:val="20"/>
        </w:rPr>
        <w:t>).</w:t>
      </w:r>
    </w:p>
    <w:p w14:paraId="6D510809"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Помощни вещества с известно действие: всяка таблетка съдържа 73,850 </w:t>
      </w:r>
      <w:r w:rsidRPr="001258BC">
        <w:rPr>
          <w:rFonts w:eastAsia="Times New Roman" w:cs="Arial"/>
          <w:color w:val="000000"/>
          <w:szCs w:val="20"/>
          <w:lang w:val="en-US"/>
        </w:rPr>
        <w:t>mg</w:t>
      </w:r>
      <w:r w:rsidRPr="001258BC">
        <w:rPr>
          <w:rFonts w:eastAsia="Times New Roman" w:cs="Arial"/>
          <w:color w:val="000000"/>
          <w:szCs w:val="20"/>
          <w:lang w:val="ru-RU"/>
        </w:rPr>
        <w:t xml:space="preserve"> </w:t>
      </w:r>
      <w:r w:rsidRPr="001258BC">
        <w:rPr>
          <w:rFonts w:eastAsia="Times New Roman" w:cs="Arial"/>
          <w:color w:val="000000"/>
          <w:szCs w:val="20"/>
          <w:lang w:eastAsia="bg-BG"/>
        </w:rPr>
        <w:t xml:space="preserve">лактоза монохидрат </w:t>
      </w:r>
      <w:r w:rsidRPr="001258BC">
        <w:rPr>
          <w:rFonts w:eastAsia="Times New Roman" w:cs="Arial"/>
          <w:i/>
          <w:iCs/>
          <w:color w:val="000000"/>
          <w:szCs w:val="20"/>
          <w:lang w:val="ru-RU"/>
        </w:rPr>
        <w:t>(</w:t>
      </w:r>
      <w:r w:rsidRPr="001258BC">
        <w:rPr>
          <w:rFonts w:eastAsia="Times New Roman" w:cs="Arial"/>
          <w:i/>
          <w:iCs/>
          <w:color w:val="000000"/>
          <w:szCs w:val="20"/>
          <w:lang w:val="en-US"/>
        </w:rPr>
        <w:t>Lactose</w:t>
      </w:r>
      <w:r w:rsidRPr="001258BC">
        <w:rPr>
          <w:rFonts w:eastAsia="Times New Roman" w:cs="Arial"/>
          <w:i/>
          <w:iCs/>
          <w:color w:val="000000"/>
          <w:szCs w:val="20"/>
          <w:lang w:val="ru-RU"/>
        </w:rPr>
        <w:t xml:space="preserve"> </w:t>
      </w:r>
      <w:r w:rsidRPr="001258BC">
        <w:rPr>
          <w:rFonts w:eastAsia="Times New Roman" w:cs="Arial"/>
          <w:i/>
          <w:iCs/>
          <w:color w:val="000000"/>
          <w:szCs w:val="20"/>
          <w:lang w:val="en-US"/>
        </w:rPr>
        <w:t>monohydrate</w:t>
      </w:r>
      <w:r w:rsidRPr="001258BC">
        <w:rPr>
          <w:rFonts w:eastAsia="Times New Roman" w:cs="Arial"/>
          <w:i/>
          <w:iCs/>
          <w:color w:val="000000"/>
          <w:szCs w:val="20"/>
          <w:lang w:val="ru-RU"/>
        </w:rPr>
        <w:t>).</w:t>
      </w:r>
    </w:p>
    <w:p w14:paraId="6F98031D" w14:textId="77777777" w:rsidR="001258BC" w:rsidRPr="001258BC" w:rsidRDefault="001258BC" w:rsidP="001258BC"/>
    <w:p w14:paraId="614984C4" w14:textId="74B634AA" w:rsidR="008A6AF2" w:rsidRDefault="00DD466D" w:rsidP="002C50EE">
      <w:pPr>
        <w:pStyle w:val="Heading1"/>
      </w:pPr>
      <w:r>
        <w:t>3. ЛЕКАРСТВЕНА ФОРМА</w:t>
      </w:r>
    </w:p>
    <w:p w14:paraId="0D0F5439" w14:textId="201EC8EE" w:rsidR="001258BC" w:rsidRDefault="001258BC" w:rsidP="001258BC"/>
    <w:p w14:paraId="1E354455" w14:textId="77777777" w:rsidR="001258BC" w:rsidRPr="001258BC" w:rsidRDefault="001258BC" w:rsidP="001258BC">
      <w:pPr>
        <w:rPr>
          <w:sz w:val="24"/>
          <w:szCs w:val="24"/>
        </w:rPr>
      </w:pPr>
      <w:r w:rsidRPr="001258BC">
        <w:rPr>
          <w:lang w:eastAsia="bg-BG"/>
        </w:rPr>
        <w:t>Таблетка.</w:t>
      </w:r>
    </w:p>
    <w:p w14:paraId="7C8B4578" w14:textId="77777777" w:rsidR="001258BC" w:rsidRPr="001258BC" w:rsidRDefault="001258BC" w:rsidP="001258BC">
      <w:pPr>
        <w:rPr>
          <w:sz w:val="24"/>
          <w:szCs w:val="24"/>
        </w:rPr>
      </w:pPr>
      <w:r w:rsidRPr="001258BC">
        <w:rPr>
          <w:lang w:eastAsia="bg-BG"/>
        </w:rPr>
        <w:t>Светложълти продълговати таблетки, с делителна черта от едната старна и гравиран надпис Нобел от другата страна.</w:t>
      </w:r>
    </w:p>
    <w:p w14:paraId="580F0B1B" w14:textId="77777777" w:rsidR="001258BC" w:rsidRPr="001258BC" w:rsidRDefault="001258BC" w:rsidP="001258BC"/>
    <w:p w14:paraId="490FC2C4" w14:textId="0F4A4A75" w:rsidR="002C50EE" w:rsidRDefault="002C50EE" w:rsidP="002C50EE">
      <w:pPr>
        <w:pStyle w:val="Heading1"/>
      </w:pPr>
      <w:r>
        <w:t>4. КЛИНИЧНИ ДАННИ</w:t>
      </w:r>
    </w:p>
    <w:p w14:paraId="74330405" w14:textId="05F50F93" w:rsidR="007122AD" w:rsidRDefault="002C50EE" w:rsidP="00936AD0">
      <w:pPr>
        <w:pStyle w:val="Heading2"/>
      </w:pPr>
      <w:r>
        <w:t>4.1. Терапевтични показания</w:t>
      </w:r>
    </w:p>
    <w:p w14:paraId="25631B00" w14:textId="660F8300" w:rsidR="001258BC" w:rsidRDefault="001258BC" w:rsidP="001258BC"/>
    <w:p w14:paraId="0712EED5" w14:textId="09A6E418" w:rsidR="001258BC" w:rsidRPr="001258BC" w:rsidRDefault="001258BC" w:rsidP="001258BC">
      <w:pPr>
        <w:spacing w:line="240" w:lineRule="auto"/>
        <w:rPr>
          <w:rFonts w:eastAsia="Times New Roman" w:cs="Arial"/>
          <w:color w:val="000000"/>
          <w:szCs w:val="20"/>
          <w:lang w:eastAsia="bg-BG"/>
        </w:rPr>
      </w:pPr>
      <w:r w:rsidRPr="001258BC">
        <w:rPr>
          <w:rFonts w:eastAsia="Times New Roman" w:cs="Arial"/>
          <w:color w:val="000000"/>
          <w:szCs w:val="20"/>
          <w:lang w:eastAsia="bg-BG"/>
        </w:rPr>
        <w:t>Кантаб Плюс е показан за:</w:t>
      </w:r>
    </w:p>
    <w:p w14:paraId="6289164D" w14:textId="77777777" w:rsidR="001258BC" w:rsidRPr="001258BC" w:rsidRDefault="001258BC" w:rsidP="001258BC">
      <w:pPr>
        <w:spacing w:line="240" w:lineRule="auto"/>
        <w:rPr>
          <w:rFonts w:eastAsia="Times New Roman" w:cs="Arial"/>
          <w:sz w:val="28"/>
          <w:szCs w:val="24"/>
        </w:rPr>
      </w:pPr>
    </w:p>
    <w:p w14:paraId="7C611227" w14:textId="1A293452"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Лечение на есенциална хипертония при възрастни пациенти, при които не се постига оптимален контрол на артериалното налягане чрез монотерапия с кандесартан цилексетил или хидрохлоротиазид.</w:t>
      </w:r>
    </w:p>
    <w:p w14:paraId="7C217315" w14:textId="77777777" w:rsidR="001258BC" w:rsidRPr="001258BC" w:rsidRDefault="001258BC" w:rsidP="001258BC"/>
    <w:p w14:paraId="53F5B866" w14:textId="453222B3" w:rsidR="007122AD" w:rsidRDefault="002C50EE" w:rsidP="00936AD0">
      <w:pPr>
        <w:pStyle w:val="Heading2"/>
      </w:pPr>
      <w:r>
        <w:t>4.2. Дозировка и начин на приложение</w:t>
      </w:r>
    </w:p>
    <w:p w14:paraId="2F69F915" w14:textId="0F855C1F" w:rsidR="001258BC" w:rsidRDefault="001258BC" w:rsidP="001258BC"/>
    <w:p w14:paraId="5378220E" w14:textId="77777777" w:rsidR="001258BC" w:rsidRPr="001258BC" w:rsidRDefault="001258BC" w:rsidP="001258BC">
      <w:pPr>
        <w:pStyle w:val="Heading3"/>
        <w:rPr>
          <w:rFonts w:eastAsia="Times New Roman"/>
          <w:sz w:val="28"/>
          <w:u w:val="single"/>
        </w:rPr>
      </w:pPr>
      <w:r w:rsidRPr="001258BC">
        <w:rPr>
          <w:rFonts w:eastAsia="Times New Roman"/>
          <w:u w:val="single"/>
          <w:lang w:eastAsia="bg-BG"/>
        </w:rPr>
        <w:t>Дозировка</w:t>
      </w:r>
    </w:p>
    <w:p w14:paraId="77A72C5B" w14:textId="77777777" w:rsidR="001258BC" w:rsidRPr="001258BC" w:rsidRDefault="001258BC" w:rsidP="001258BC">
      <w:pPr>
        <w:spacing w:line="240" w:lineRule="auto"/>
        <w:rPr>
          <w:rFonts w:eastAsia="Times New Roman" w:cs="Arial"/>
          <w:color w:val="000000"/>
          <w:szCs w:val="20"/>
          <w:lang w:eastAsia="bg-BG"/>
        </w:rPr>
      </w:pPr>
    </w:p>
    <w:p w14:paraId="42BF5D69" w14:textId="35C8E933"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Препоръчителната доза на Кантаб Плюс е една таблетка веднъж дневно.</w:t>
      </w:r>
    </w:p>
    <w:p w14:paraId="426F5551"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Препоръчва се дозово титриране с отделните компоненти - кандесартан цилексетил и хидрохлоротиазид.</w:t>
      </w:r>
    </w:p>
    <w:p w14:paraId="379DA4D2" w14:textId="77777777" w:rsidR="001258BC" w:rsidRPr="001258BC" w:rsidRDefault="001258BC" w:rsidP="001258BC">
      <w:pPr>
        <w:spacing w:line="240" w:lineRule="auto"/>
        <w:rPr>
          <w:rFonts w:eastAsia="Times New Roman" w:cs="Arial"/>
          <w:color w:val="000000"/>
          <w:szCs w:val="20"/>
          <w:lang w:eastAsia="bg-BG"/>
        </w:rPr>
      </w:pPr>
    </w:p>
    <w:p w14:paraId="4428EBE7" w14:textId="37FB1D3E"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Обичайно антихипертензивния ефект се постига в рамките на 4 седмици след започване на лечението.</w:t>
      </w:r>
    </w:p>
    <w:p w14:paraId="70EED0D6"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Когато е клинично приемливо, може да се вземе предвид директно преминаване от монотерапия към лечение с Кантаб Плюс.</w:t>
      </w:r>
    </w:p>
    <w:p w14:paraId="14CE8C5E"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Препоръчва се дозово титриране на кандесартан цилексетил при преминаване от монотерапия с хидрохлоротиазид. Кантаб Плюс може да се прилага на пациенти, чието </w:t>
      </w:r>
      <w:r w:rsidRPr="001258BC">
        <w:rPr>
          <w:rFonts w:eastAsia="Times New Roman" w:cs="Arial"/>
          <w:color w:val="000000"/>
          <w:szCs w:val="20"/>
          <w:lang w:eastAsia="bg-BG"/>
        </w:rPr>
        <w:lastRenderedPageBreak/>
        <w:t>кръвно налягане не е оптимално контролирано с монотерапия с кандесартан цилексетил или хидрохлоротиазид или с приемането на Кантаб Плюс в по-ниски дози.</w:t>
      </w:r>
    </w:p>
    <w:p w14:paraId="0A2BBB4D" w14:textId="635D8F4D" w:rsidR="001258BC" w:rsidRPr="001258BC" w:rsidRDefault="001258BC" w:rsidP="001258BC">
      <w:pPr>
        <w:rPr>
          <w:rFonts w:eastAsia="Times New Roman" w:cs="Arial"/>
          <w:color w:val="000000"/>
          <w:szCs w:val="20"/>
          <w:lang w:eastAsia="bg-BG"/>
        </w:rPr>
      </w:pPr>
      <w:r w:rsidRPr="001258BC">
        <w:rPr>
          <w:rFonts w:eastAsia="Times New Roman" w:cs="Arial"/>
          <w:color w:val="000000"/>
          <w:szCs w:val="20"/>
          <w:lang w:eastAsia="bg-BG"/>
        </w:rPr>
        <w:t>Обичайно антихипертензивния ефект се постига в рамките на 4 седмици от започване</w:t>
      </w:r>
      <w:r w:rsidRPr="001258BC">
        <w:rPr>
          <w:rFonts w:eastAsia="Times New Roman" w:cs="Arial"/>
          <w:color w:val="000000"/>
          <w:szCs w:val="20"/>
          <w:lang w:val="ru-RU"/>
        </w:rPr>
        <w:t xml:space="preserve"> </w:t>
      </w:r>
      <w:r w:rsidRPr="001258BC">
        <w:rPr>
          <w:rFonts w:eastAsia="Times New Roman" w:cs="Arial"/>
          <w:color w:val="000000"/>
          <w:szCs w:val="20"/>
          <w:lang w:eastAsia="bg-BG"/>
        </w:rPr>
        <w:t>на лечението.</w:t>
      </w:r>
    </w:p>
    <w:p w14:paraId="174F5AB6" w14:textId="5A57B482" w:rsidR="001258BC" w:rsidRPr="001258BC" w:rsidRDefault="001258BC" w:rsidP="001258BC">
      <w:pPr>
        <w:rPr>
          <w:rFonts w:eastAsia="Times New Roman" w:cs="Arial"/>
          <w:color w:val="000000"/>
          <w:szCs w:val="20"/>
          <w:lang w:eastAsia="bg-BG"/>
        </w:rPr>
      </w:pPr>
    </w:p>
    <w:p w14:paraId="6A9AEAC5" w14:textId="77777777"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u w:val="single"/>
          <w:lang w:eastAsia="bg-BG"/>
        </w:rPr>
        <w:t>Специални популации пациенти</w:t>
      </w:r>
    </w:p>
    <w:p w14:paraId="38ECDD56" w14:textId="77777777" w:rsidR="001258BC" w:rsidRPr="001258BC" w:rsidRDefault="001258BC" w:rsidP="001258BC">
      <w:pPr>
        <w:spacing w:line="240" w:lineRule="auto"/>
        <w:rPr>
          <w:rFonts w:eastAsia="Times New Roman" w:cs="Arial"/>
          <w:i/>
          <w:iCs/>
          <w:color w:val="000000"/>
          <w:szCs w:val="20"/>
          <w:lang w:eastAsia="bg-BG"/>
        </w:rPr>
      </w:pPr>
    </w:p>
    <w:p w14:paraId="542D7530" w14:textId="46DD756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в старческа възраст</w:t>
      </w:r>
    </w:p>
    <w:p w14:paraId="6EF5824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пациенти в старческа възраст не е необходима корекция на дозата.</w:t>
      </w:r>
    </w:p>
    <w:p w14:paraId="36612A6B" w14:textId="77777777" w:rsidR="001258BC" w:rsidRPr="001258BC" w:rsidRDefault="001258BC" w:rsidP="001258BC">
      <w:pPr>
        <w:spacing w:line="240" w:lineRule="auto"/>
        <w:rPr>
          <w:rFonts w:eastAsia="Times New Roman" w:cs="Arial"/>
          <w:i/>
          <w:iCs/>
          <w:color w:val="000000"/>
          <w:szCs w:val="20"/>
          <w:lang w:eastAsia="bg-BG"/>
        </w:rPr>
      </w:pPr>
    </w:p>
    <w:p w14:paraId="5B9502AA" w14:textId="71F3F093"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с вътресъдово обемно изчерпване</w:t>
      </w:r>
    </w:p>
    <w:p w14:paraId="7E94183C"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При рискови за развитие на хипотония пациенти, каквито са тези с евентуално обемно изчерпване, се препоръчва титриране на дозата на кандесартан цилексетил (при тях може да се има предвид начална доза на кандесартан цилексетил от 4 </w:t>
      </w:r>
      <w:r w:rsidRPr="001258BC">
        <w:rPr>
          <w:rFonts w:eastAsia="Times New Roman" w:cs="Arial"/>
          <w:color w:val="000000"/>
          <w:szCs w:val="20"/>
          <w:lang w:val="en-US"/>
        </w:rPr>
        <w:t>mg</w:t>
      </w:r>
      <w:r w:rsidRPr="001258BC">
        <w:rPr>
          <w:rFonts w:eastAsia="Times New Roman" w:cs="Arial"/>
          <w:color w:val="000000"/>
          <w:szCs w:val="20"/>
          <w:lang w:val="ru-RU"/>
        </w:rPr>
        <w:t>).</w:t>
      </w:r>
    </w:p>
    <w:p w14:paraId="0175B7B1" w14:textId="77777777" w:rsidR="001258BC" w:rsidRPr="001258BC" w:rsidRDefault="001258BC" w:rsidP="001258BC">
      <w:pPr>
        <w:spacing w:line="240" w:lineRule="auto"/>
        <w:rPr>
          <w:rFonts w:eastAsia="Times New Roman" w:cs="Arial"/>
          <w:i/>
          <w:iCs/>
          <w:color w:val="000000"/>
          <w:szCs w:val="20"/>
          <w:lang w:eastAsia="bg-BG"/>
        </w:rPr>
      </w:pPr>
    </w:p>
    <w:p w14:paraId="1272A5E5" w14:textId="48A51DD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с бъбречно увреждане</w:t>
      </w:r>
    </w:p>
    <w:p w14:paraId="5352EB7A"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В тази популация се предпочитат бримкови пред тиазидни диуретици. При пациенти с леко до умерено чернодробно увреждане се препоръчва титриране на дозата на кандесартан цилексетил (креатининов клирънс ≥30 </w:t>
      </w:r>
      <w:r w:rsidRPr="001258BC">
        <w:rPr>
          <w:rFonts w:eastAsia="Times New Roman" w:cs="Arial"/>
          <w:color w:val="000000"/>
          <w:szCs w:val="20"/>
          <w:lang w:val="en-US"/>
        </w:rPr>
        <w:t>ml</w:t>
      </w:r>
      <w:r w:rsidRPr="001258BC">
        <w:rPr>
          <w:rFonts w:eastAsia="Times New Roman" w:cs="Arial"/>
          <w:color w:val="000000"/>
          <w:szCs w:val="20"/>
          <w:lang w:val="ru-RU"/>
        </w:rPr>
        <w:t>/</w:t>
      </w:r>
      <w:r w:rsidRPr="001258BC">
        <w:rPr>
          <w:rFonts w:eastAsia="Times New Roman" w:cs="Arial"/>
          <w:color w:val="000000"/>
          <w:szCs w:val="20"/>
          <w:lang w:val="en-US"/>
        </w:rPr>
        <w:t>min</w:t>
      </w:r>
      <w:r w:rsidRPr="001258BC">
        <w:rPr>
          <w:rFonts w:eastAsia="Times New Roman" w:cs="Arial"/>
          <w:color w:val="000000"/>
          <w:szCs w:val="20"/>
          <w:lang w:val="ru-RU"/>
        </w:rPr>
        <w:t>/1,</w:t>
      </w:r>
      <w:r w:rsidRPr="001258BC">
        <w:rPr>
          <w:rFonts w:eastAsia="Times New Roman" w:cs="Arial"/>
          <w:color w:val="000000"/>
          <w:szCs w:val="20"/>
          <w:lang w:eastAsia="bg-BG"/>
        </w:rPr>
        <w:t xml:space="preserve">73 </w:t>
      </w:r>
      <w:r w:rsidRPr="001258BC">
        <w:rPr>
          <w:rFonts w:eastAsia="Times New Roman" w:cs="Arial"/>
          <w:color w:val="000000"/>
          <w:szCs w:val="20"/>
          <w:lang w:val="en-US"/>
        </w:rPr>
        <w:t>m</w:t>
      </w:r>
      <w:r w:rsidRPr="001258BC">
        <w:rPr>
          <w:rFonts w:eastAsia="Times New Roman" w:cs="Arial"/>
          <w:color w:val="000000"/>
          <w:szCs w:val="20"/>
          <w:vertAlign w:val="superscript"/>
          <w:lang w:val="ru-RU"/>
        </w:rPr>
        <w:t>2</w:t>
      </w:r>
      <w:r w:rsidRPr="001258BC">
        <w:rPr>
          <w:rFonts w:eastAsia="Times New Roman" w:cs="Arial"/>
          <w:color w:val="000000"/>
          <w:szCs w:val="20"/>
          <w:lang w:val="ru-RU"/>
        </w:rPr>
        <w:t xml:space="preserve"> </w:t>
      </w:r>
      <w:r w:rsidRPr="001258BC">
        <w:rPr>
          <w:rFonts w:eastAsia="Times New Roman" w:cs="Arial"/>
          <w:color w:val="000000"/>
          <w:szCs w:val="20"/>
          <w:lang w:eastAsia="bg-BG"/>
        </w:rPr>
        <w:t xml:space="preserve">телесна повърхност (ТП)), преди да се започне лечение с Кантаб Плюс. При тези пациенти препоръчителната начална доза на кандесартан цилексетил е 4 </w:t>
      </w:r>
      <w:r w:rsidRPr="001258BC">
        <w:rPr>
          <w:rFonts w:eastAsia="Times New Roman" w:cs="Arial"/>
          <w:color w:val="000000"/>
          <w:szCs w:val="20"/>
          <w:lang w:val="en-US"/>
        </w:rPr>
        <w:t>mg</w:t>
      </w:r>
      <w:r w:rsidRPr="001258BC">
        <w:rPr>
          <w:rFonts w:eastAsia="Times New Roman" w:cs="Arial"/>
          <w:color w:val="000000"/>
          <w:szCs w:val="20"/>
          <w:lang w:val="ru-RU"/>
        </w:rPr>
        <w:t>.</w:t>
      </w:r>
    </w:p>
    <w:p w14:paraId="2F208462"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Кантаб Плюс е противопоказан при пациенти с тежко бъбречно увреждане, при които креатининовия клирънс е &lt;30 </w:t>
      </w:r>
      <w:r w:rsidRPr="001258BC">
        <w:rPr>
          <w:rFonts w:eastAsia="Times New Roman" w:cs="Arial"/>
          <w:color w:val="000000"/>
          <w:szCs w:val="20"/>
          <w:lang w:val="en-US"/>
        </w:rPr>
        <w:t>ml</w:t>
      </w:r>
      <w:r w:rsidRPr="001258BC">
        <w:rPr>
          <w:rFonts w:eastAsia="Times New Roman" w:cs="Arial"/>
          <w:color w:val="000000"/>
          <w:szCs w:val="20"/>
          <w:lang w:val="ru-RU"/>
        </w:rPr>
        <w:t>/</w:t>
      </w:r>
      <w:r w:rsidRPr="001258BC">
        <w:rPr>
          <w:rFonts w:eastAsia="Times New Roman" w:cs="Arial"/>
          <w:color w:val="000000"/>
          <w:szCs w:val="20"/>
          <w:lang w:val="en-US"/>
        </w:rPr>
        <w:t>min</w:t>
      </w:r>
      <w:r w:rsidRPr="001258BC">
        <w:rPr>
          <w:rFonts w:eastAsia="Times New Roman" w:cs="Arial"/>
          <w:color w:val="000000"/>
          <w:szCs w:val="20"/>
          <w:lang w:val="ru-RU"/>
        </w:rPr>
        <w:t>/1,</w:t>
      </w:r>
      <w:r w:rsidRPr="001258BC">
        <w:rPr>
          <w:rFonts w:eastAsia="Times New Roman" w:cs="Arial"/>
          <w:color w:val="000000"/>
          <w:szCs w:val="20"/>
          <w:lang w:eastAsia="bg-BG"/>
        </w:rPr>
        <w:t xml:space="preserve">73 </w:t>
      </w:r>
      <w:r w:rsidRPr="001258BC">
        <w:rPr>
          <w:rFonts w:eastAsia="Times New Roman" w:cs="Arial"/>
          <w:color w:val="000000"/>
          <w:szCs w:val="20"/>
          <w:lang w:val="en-US"/>
        </w:rPr>
        <w:t>m</w:t>
      </w:r>
      <w:r w:rsidRPr="001258BC">
        <w:rPr>
          <w:rFonts w:eastAsia="Times New Roman" w:cs="Arial"/>
          <w:color w:val="000000"/>
          <w:szCs w:val="20"/>
          <w:vertAlign w:val="superscript"/>
          <w:lang w:val="ru-RU"/>
        </w:rPr>
        <w:t>2</w:t>
      </w:r>
      <w:r w:rsidRPr="001258BC">
        <w:rPr>
          <w:rFonts w:eastAsia="Times New Roman" w:cs="Arial"/>
          <w:color w:val="000000"/>
          <w:szCs w:val="20"/>
          <w:lang w:val="ru-RU"/>
        </w:rPr>
        <w:t xml:space="preserve"> </w:t>
      </w:r>
      <w:r w:rsidRPr="001258BC">
        <w:rPr>
          <w:rFonts w:eastAsia="Times New Roman" w:cs="Arial"/>
          <w:color w:val="000000"/>
          <w:szCs w:val="20"/>
          <w:lang w:eastAsia="bg-BG"/>
        </w:rPr>
        <w:t>ТП (вж. точка 4.3).</w:t>
      </w:r>
    </w:p>
    <w:p w14:paraId="60AA5080" w14:textId="77777777" w:rsidR="001258BC" w:rsidRPr="001258BC" w:rsidRDefault="001258BC" w:rsidP="001258BC">
      <w:pPr>
        <w:spacing w:line="240" w:lineRule="auto"/>
        <w:rPr>
          <w:rFonts w:eastAsia="Times New Roman" w:cs="Arial"/>
          <w:i/>
          <w:iCs/>
          <w:color w:val="000000"/>
          <w:szCs w:val="20"/>
          <w:lang w:eastAsia="bg-BG"/>
        </w:rPr>
      </w:pPr>
    </w:p>
    <w:p w14:paraId="0D836E02" w14:textId="1C14AFD5"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с чернодробно увреждане</w:t>
      </w:r>
    </w:p>
    <w:p w14:paraId="0620045E"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При пациенти с леко до умерено чернодробно увреждане се препоръчва титриране на дозата на кандесартан цилексетил, преди да се започне лечение с Кантаб Плюс. При тези пациенти препоръчваната начална доза на кандесартан цилексетил е 4 </w:t>
      </w:r>
      <w:r w:rsidRPr="001258BC">
        <w:rPr>
          <w:rFonts w:eastAsia="Times New Roman" w:cs="Arial"/>
          <w:color w:val="000000"/>
          <w:szCs w:val="20"/>
          <w:lang w:val="en-US"/>
        </w:rPr>
        <w:t>mg</w:t>
      </w:r>
      <w:r w:rsidRPr="001258BC">
        <w:rPr>
          <w:rFonts w:eastAsia="Times New Roman" w:cs="Arial"/>
          <w:color w:val="000000"/>
          <w:szCs w:val="20"/>
          <w:lang w:val="ru-RU"/>
        </w:rPr>
        <w:t>.</w:t>
      </w:r>
    </w:p>
    <w:p w14:paraId="1554421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пациенти с тежко чернодробно увреждане и/или холестаза Кантаб Плюс е противопоказан (вж. точки 4.3).</w:t>
      </w:r>
    </w:p>
    <w:p w14:paraId="0BE1CA4B" w14:textId="77777777" w:rsidR="001258BC" w:rsidRPr="001258BC" w:rsidRDefault="001258BC" w:rsidP="001258BC">
      <w:pPr>
        <w:spacing w:line="240" w:lineRule="auto"/>
        <w:rPr>
          <w:rFonts w:eastAsia="Times New Roman" w:cs="Arial"/>
          <w:i/>
          <w:iCs/>
          <w:color w:val="000000"/>
          <w:szCs w:val="20"/>
          <w:lang w:eastAsia="bg-BG"/>
        </w:rPr>
      </w:pPr>
    </w:p>
    <w:p w14:paraId="5C796D09" w14:textId="00DF26D8"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Педиатрична популация</w:t>
      </w:r>
    </w:p>
    <w:p w14:paraId="3958E0F0"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Безопасността и ефикасността на Кантаб Плюс при деца на възраст от новородени до 18 години все още не са установени.</w:t>
      </w:r>
    </w:p>
    <w:p w14:paraId="21BA3BE5"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Няма налични данни.</w:t>
      </w:r>
    </w:p>
    <w:p w14:paraId="3E938CFB" w14:textId="77777777" w:rsidR="001258BC" w:rsidRPr="001258BC" w:rsidRDefault="001258BC" w:rsidP="001258BC">
      <w:pPr>
        <w:spacing w:line="240" w:lineRule="auto"/>
        <w:rPr>
          <w:rFonts w:eastAsia="Times New Roman" w:cs="Arial"/>
          <w:color w:val="000000"/>
          <w:szCs w:val="20"/>
          <w:u w:val="single"/>
          <w:lang w:eastAsia="bg-BG"/>
        </w:rPr>
      </w:pPr>
    </w:p>
    <w:p w14:paraId="00987877" w14:textId="701A5DF6" w:rsidR="001258BC" w:rsidRPr="001258BC" w:rsidRDefault="001258BC" w:rsidP="001258BC">
      <w:pPr>
        <w:pStyle w:val="Heading3"/>
        <w:rPr>
          <w:rFonts w:eastAsia="Times New Roman"/>
          <w:sz w:val="28"/>
          <w:u w:val="single"/>
        </w:rPr>
      </w:pPr>
      <w:r w:rsidRPr="001258BC">
        <w:rPr>
          <w:rFonts w:eastAsia="Times New Roman"/>
          <w:u w:val="single"/>
          <w:lang w:eastAsia="bg-BG"/>
        </w:rPr>
        <w:t>Начин на приложение</w:t>
      </w:r>
    </w:p>
    <w:p w14:paraId="7FBD4DC7" w14:textId="77777777" w:rsidR="001258BC" w:rsidRPr="001258BC" w:rsidRDefault="001258BC" w:rsidP="001258BC">
      <w:pPr>
        <w:spacing w:line="240" w:lineRule="auto"/>
        <w:rPr>
          <w:rFonts w:eastAsia="Times New Roman" w:cs="Arial"/>
          <w:color w:val="000000"/>
          <w:szCs w:val="20"/>
          <w:lang w:eastAsia="bg-BG"/>
        </w:rPr>
      </w:pPr>
    </w:p>
    <w:p w14:paraId="74523083" w14:textId="3D945CEA"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Перорално.</w:t>
      </w:r>
    </w:p>
    <w:p w14:paraId="101C1624"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Кантаб Плюс може да се приема както на гладно, така и след хранене.</w:t>
      </w:r>
    </w:p>
    <w:p w14:paraId="208A2E88"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Бионаличността на кандесартан не се повлиява от приема на храна.</w:t>
      </w:r>
    </w:p>
    <w:p w14:paraId="71B4C880" w14:textId="16E16880" w:rsidR="001258BC" w:rsidRDefault="001258BC" w:rsidP="001258BC">
      <w:pPr>
        <w:rPr>
          <w:rFonts w:eastAsia="Times New Roman" w:cs="Arial"/>
          <w:color w:val="000000"/>
          <w:szCs w:val="20"/>
          <w:lang w:eastAsia="bg-BG"/>
        </w:rPr>
      </w:pPr>
      <w:r w:rsidRPr="001258BC">
        <w:rPr>
          <w:rFonts w:eastAsia="Times New Roman" w:cs="Arial"/>
          <w:color w:val="000000"/>
          <w:szCs w:val="20"/>
          <w:lang w:eastAsia="bg-BG"/>
        </w:rPr>
        <w:t>Не е установено клинично значимо взаимодействие между хидрохлоротиазид и храната.</w:t>
      </w:r>
    </w:p>
    <w:p w14:paraId="6072B7FC" w14:textId="77777777" w:rsidR="001258BC" w:rsidRPr="001258BC" w:rsidRDefault="001258BC" w:rsidP="001258BC">
      <w:pPr>
        <w:rPr>
          <w:rFonts w:cs="Arial"/>
          <w:sz w:val="24"/>
        </w:rPr>
      </w:pPr>
    </w:p>
    <w:p w14:paraId="0F253247" w14:textId="72856D2C" w:rsidR="007122AD" w:rsidRDefault="002C50EE" w:rsidP="00936AD0">
      <w:pPr>
        <w:pStyle w:val="Heading2"/>
      </w:pPr>
      <w:r>
        <w:t>4.3. Противопоказания</w:t>
      </w:r>
    </w:p>
    <w:p w14:paraId="03BA231B" w14:textId="2C09354F" w:rsidR="001258BC" w:rsidRDefault="001258BC" w:rsidP="001258BC"/>
    <w:p w14:paraId="2DB68B1C"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Свръхчувствителност към активните вещества (кандесартан цилексетил и/или хидрохлоротиазид) или към някое от помощните вещества, или към активни вещества, производни на сулфонамидите (хидрохлоротиазид е активно вещество, производно на сулфонамидите).</w:t>
      </w:r>
    </w:p>
    <w:p w14:paraId="455CD1AF"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lastRenderedPageBreak/>
        <w:t>Втори и трети триместър на бременността (вж. точки 4.4 и 4.6).</w:t>
      </w:r>
    </w:p>
    <w:p w14:paraId="0F463A2F"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Тежко чернодробно увреждане и/или холестаза.</w:t>
      </w:r>
    </w:p>
    <w:p w14:paraId="28F4EF63"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 xml:space="preserve">Тежко бъбречно увреждане (креатининов клирънс &lt;30 </w:t>
      </w:r>
      <w:r w:rsidRPr="001258BC">
        <w:rPr>
          <w:rFonts w:eastAsia="Times New Roman" w:cs="Arial"/>
          <w:color w:val="000000"/>
          <w:szCs w:val="20"/>
          <w:lang w:val="en-US"/>
        </w:rPr>
        <w:t>ml</w:t>
      </w:r>
      <w:r w:rsidRPr="001258BC">
        <w:rPr>
          <w:rFonts w:eastAsia="Times New Roman" w:cs="Arial"/>
          <w:color w:val="000000"/>
          <w:szCs w:val="20"/>
          <w:lang w:val="ru-RU"/>
        </w:rPr>
        <w:t>/</w:t>
      </w:r>
      <w:r w:rsidRPr="001258BC">
        <w:rPr>
          <w:rFonts w:eastAsia="Times New Roman" w:cs="Arial"/>
          <w:color w:val="000000"/>
          <w:szCs w:val="20"/>
          <w:lang w:val="en-US"/>
        </w:rPr>
        <w:t>min</w:t>
      </w:r>
      <w:r w:rsidRPr="001258BC">
        <w:rPr>
          <w:rFonts w:eastAsia="Times New Roman" w:cs="Arial"/>
          <w:color w:val="000000"/>
          <w:szCs w:val="20"/>
          <w:lang w:val="ru-RU"/>
        </w:rPr>
        <w:t>/1,</w:t>
      </w:r>
      <w:r w:rsidRPr="001258BC">
        <w:rPr>
          <w:rFonts w:eastAsia="Times New Roman" w:cs="Arial"/>
          <w:color w:val="000000"/>
          <w:szCs w:val="20"/>
          <w:lang w:eastAsia="bg-BG"/>
        </w:rPr>
        <w:t xml:space="preserve">73 </w:t>
      </w:r>
      <w:r w:rsidRPr="001258BC">
        <w:rPr>
          <w:rFonts w:eastAsia="Times New Roman" w:cs="Arial"/>
          <w:color w:val="000000"/>
          <w:szCs w:val="20"/>
          <w:lang w:val="en-US"/>
        </w:rPr>
        <w:t>m</w:t>
      </w:r>
      <w:r w:rsidRPr="001258BC">
        <w:rPr>
          <w:rFonts w:eastAsia="Times New Roman" w:cs="Arial"/>
          <w:color w:val="000000"/>
          <w:szCs w:val="20"/>
          <w:vertAlign w:val="superscript"/>
          <w:lang w:val="ru-RU"/>
        </w:rPr>
        <w:t>2</w:t>
      </w:r>
      <w:r w:rsidRPr="001258BC">
        <w:rPr>
          <w:rFonts w:eastAsia="Times New Roman" w:cs="Arial"/>
          <w:color w:val="000000"/>
          <w:szCs w:val="20"/>
          <w:lang w:val="ru-RU"/>
        </w:rPr>
        <w:t xml:space="preserve"> </w:t>
      </w:r>
      <w:r w:rsidRPr="001258BC">
        <w:rPr>
          <w:rFonts w:eastAsia="Times New Roman" w:cs="Arial"/>
          <w:color w:val="000000"/>
          <w:szCs w:val="20"/>
          <w:lang w:eastAsia="bg-BG"/>
        </w:rPr>
        <w:t>ТП).</w:t>
      </w:r>
    </w:p>
    <w:p w14:paraId="6CE45962"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Рефрактерна хипокалиемия и хиперкалциемия.</w:t>
      </w:r>
    </w:p>
    <w:p w14:paraId="641A0466" w14:textId="65C90C28"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Подагра.</w:t>
      </w:r>
    </w:p>
    <w:p w14:paraId="784EEDB7" w14:textId="77777777" w:rsidR="001258BC" w:rsidRPr="001258BC" w:rsidRDefault="001258BC" w:rsidP="001258BC"/>
    <w:p w14:paraId="0E0BDCC7" w14:textId="0F45F24D" w:rsidR="007122AD" w:rsidRDefault="002C50EE" w:rsidP="00936AD0">
      <w:pPr>
        <w:pStyle w:val="Heading2"/>
      </w:pPr>
      <w:r>
        <w:t>4.4. Специални предупреждения и предпазни мерки при употреба</w:t>
      </w:r>
    </w:p>
    <w:p w14:paraId="096D2474" w14:textId="3B1C3D9F" w:rsidR="001258BC" w:rsidRDefault="001258BC" w:rsidP="001258BC"/>
    <w:p w14:paraId="58D565F3" w14:textId="77777777"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Бъбречно увреждане/бъбречна транспллантаиия</w:t>
      </w:r>
    </w:p>
    <w:p w14:paraId="0DB4FE43"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В тази популация се препоръчва използването на бримковите пред тиазидните диуретици. Затова когато Кантаб Плюс се използва при пациенти с нарушена бъбречна функция е необходимо проследяване на нивата на калий в кръвта, на серумния креатинин и пикочната киселина.</w:t>
      </w:r>
    </w:p>
    <w:p w14:paraId="738B01CA"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Няма опит по отношение приложението на Кантаб Плюс при пациенти след извършена бъбречна трансплантация.</w:t>
      </w:r>
    </w:p>
    <w:p w14:paraId="4F3116A8" w14:textId="77777777" w:rsidR="001258BC" w:rsidRPr="001258BC" w:rsidRDefault="001258BC" w:rsidP="001258BC">
      <w:pPr>
        <w:spacing w:line="240" w:lineRule="auto"/>
        <w:rPr>
          <w:rFonts w:eastAsia="Times New Roman" w:cs="Arial"/>
          <w:i/>
          <w:iCs/>
          <w:color w:val="000000"/>
          <w:u w:val="single"/>
          <w:lang w:eastAsia="bg-BG"/>
        </w:rPr>
      </w:pPr>
    </w:p>
    <w:p w14:paraId="36D09E17" w14:textId="3FD0FAC4"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Стеноза на бъбречната артерия</w:t>
      </w:r>
    </w:p>
    <w:p w14:paraId="7C4DADFF"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с двустранна стеноза на бъбречната артерия или със стеноза на бъбречна артерия на единствен бъбрек, ангиотензин II рецепторните антагонисти (АТ2 рецепторните антагонисти), могат да повишат нивата на кръвната урея и на креатинина в серума.</w:t>
      </w:r>
    </w:p>
    <w:p w14:paraId="71547490" w14:textId="77777777" w:rsidR="001258BC" w:rsidRPr="001258BC" w:rsidRDefault="001258BC" w:rsidP="001258BC">
      <w:pPr>
        <w:spacing w:line="240" w:lineRule="auto"/>
        <w:rPr>
          <w:rFonts w:eastAsia="Times New Roman" w:cs="Arial"/>
          <w:i/>
          <w:iCs/>
          <w:color w:val="000000"/>
          <w:u w:val="single"/>
          <w:lang w:eastAsia="bg-BG"/>
        </w:rPr>
      </w:pPr>
    </w:p>
    <w:p w14:paraId="4B190114" w14:textId="293F02A0"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Анестезия и оперативни интервенции</w:t>
      </w:r>
    </w:p>
    <w:p w14:paraId="194B3668"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които са лекувани с ангиотензин II рецепторните антагонисти, по време на анестезия и оперативни интервенции е възможна хипотония поради блокада на ренин-ангиотензин- алдостероновата система. Много рядко, хипотонията може да е тежка и да изисква интравенозни вливания и/или приложение на вазопресори.</w:t>
      </w:r>
    </w:p>
    <w:p w14:paraId="751225F2" w14:textId="77777777" w:rsidR="001258BC" w:rsidRPr="001258BC" w:rsidRDefault="001258BC" w:rsidP="001258BC">
      <w:pPr>
        <w:spacing w:line="240" w:lineRule="auto"/>
        <w:rPr>
          <w:rFonts w:eastAsia="Times New Roman" w:cs="Arial"/>
          <w:i/>
          <w:iCs/>
          <w:color w:val="000000"/>
          <w:u w:val="single"/>
          <w:lang w:eastAsia="bg-BG"/>
        </w:rPr>
      </w:pPr>
    </w:p>
    <w:p w14:paraId="7572FAF6" w14:textId="50089A3E"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Вътресъдово обемно изчерпване</w:t>
      </w:r>
    </w:p>
    <w:p w14:paraId="57129EA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с вътрееъдово обемно и/или натриево изчерпване може да се развие симптоматична артериална хипотония, каквато е описана при приложение на други средства повлияващи ренин- ангиотензин-алдостероновата система. Ето защо, не се препоръчва употребата на Кантаб Плюс, докато това състояние не се овладее.</w:t>
      </w:r>
    </w:p>
    <w:p w14:paraId="3523CE4D" w14:textId="77777777" w:rsidR="001258BC" w:rsidRPr="001258BC" w:rsidRDefault="001258BC" w:rsidP="001258BC">
      <w:pPr>
        <w:spacing w:line="240" w:lineRule="auto"/>
        <w:rPr>
          <w:rFonts w:eastAsia="Times New Roman" w:cs="Arial"/>
          <w:i/>
          <w:iCs/>
          <w:color w:val="000000"/>
          <w:u w:val="single"/>
          <w:lang w:eastAsia="bg-BG"/>
        </w:rPr>
      </w:pPr>
    </w:p>
    <w:p w14:paraId="005CA305" w14:textId="5446A48E"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Анестезия и операции</w:t>
      </w:r>
    </w:p>
    <w:p w14:paraId="7CE69516"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които са лекувани с ангиотензин II рецепторните антагонисти, по време на анестезия и операция е възможна хипотония поради блокада на ренин-ангиотензин- алдостероновата система. Много рядко, хипотонията може да е тежка и да изисква интравенозни вливания и/или приложение на вазопресори.</w:t>
      </w:r>
    </w:p>
    <w:p w14:paraId="6C73CC27" w14:textId="77777777" w:rsidR="001258BC" w:rsidRPr="001258BC" w:rsidRDefault="001258BC" w:rsidP="001258BC">
      <w:pPr>
        <w:spacing w:line="240" w:lineRule="auto"/>
        <w:rPr>
          <w:rFonts w:eastAsia="Times New Roman" w:cs="Arial"/>
          <w:i/>
          <w:iCs/>
          <w:color w:val="000000"/>
          <w:u w:val="single"/>
          <w:lang w:eastAsia="bg-BG"/>
        </w:rPr>
      </w:pPr>
    </w:p>
    <w:p w14:paraId="34F25585" w14:textId="39AE3D56"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Чернодробно увреждане</w:t>
      </w:r>
    </w:p>
    <w:p w14:paraId="4FC7A02A"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Тиазидите трябва да се използват с повишено внимание при пациенти с нарушена чернодробна функция или прогресиращо чернодробно заболяване, защото при тях незначителни промени във водно-електролитния баланс е възможно да провокират настъпването на хепатална кома.</w:t>
      </w:r>
    </w:p>
    <w:p w14:paraId="385844B9"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Липсва клиничен опит с Кантаб Плюс при пациенти с чернодробно увреждане.</w:t>
      </w:r>
    </w:p>
    <w:p w14:paraId="15319632" w14:textId="77777777" w:rsidR="001258BC" w:rsidRPr="001258BC" w:rsidRDefault="001258BC" w:rsidP="001258BC">
      <w:pPr>
        <w:spacing w:line="240" w:lineRule="auto"/>
        <w:rPr>
          <w:rFonts w:eastAsia="Times New Roman" w:cs="Arial"/>
          <w:i/>
          <w:iCs/>
          <w:color w:val="000000"/>
          <w:u w:val="single"/>
          <w:lang w:eastAsia="bg-BG"/>
        </w:rPr>
      </w:pPr>
    </w:p>
    <w:p w14:paraId="2D514267" w14:textId="316BF20C"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Аортна и митрална стеноза (обструктивна хипертрофична кардиомиопатия)</w:t>
      </w:r>
    </w:p>
    <w:p w14:paraId="216D310D"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lastRenderedPageBreak/>
        <w:t>При пациенти страдащи от хемодинамично значима аортна или митрална стеноза, или от обструктивна хипертрофична кардиомиопатия, се препоръчва използването на Кантаб Плюс, както и на други вазодилататори, да се извършва с повишено внимание.</w:t>
      </w:r>
    </w:p>
    <w:p w14:paraId="1C42832C" w14:textId="77777777" w:rsidR="001258BC" w:rsidRPr="001258BC" w:rsidRDefault="001258BC" w:rsidP="001258BC">
      <w:pPr>
        <w:spacing w:line="240" w:lineRule="auto"/>
        <w:rPr>
          <w:rFonts w:eastAsia="Times New Roman" w:cs="Arial"/>
          <w:i/>
          <w:iCs/>
          <w:color w:val="000000"/>
          <w:u w:val="single"/>
          <w:lang w:eastAsia="bg-BG"/>
        </w:rPr>
      </w:pPr>
    </w:p>
    <w:p w14:paraId="74FF8C12" w14:textId="2A5BBBDB"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Първичен хипералдостеронизъм</w:t>
      </w:r>
    </w:p>
    <w:p w14:paraId="4574E18A" w14:textId="3EAEF4D1" w:rsidR="001258BC" w:rsidRPr="001258BC" w:rsidRDefault="001258BC" w:rsidP="001258BC">
      <w:pPr>
        <w:rPr>
          <w:rFonts w:eastAsia="Times New Roman" w:cs="Arial"/>
          <w:color w:val="000000"/>
          <w:lang w:eastAsia="bg-BG"/>
        </w:rPr>
      </w:pPr>
      <w:r w:rsidRPr="001258BC">
        <w:rPr>
          <w:rFonts w:eastAsia="Times New Roman" w:cs="Arial"/>
          <w:color w:val="000000"/>
          <w:lang w:eastAsia="bg-BG"/>
        </w:rPr>
        <w:t>Като цяло пациентите с първичен хипералдостеронизъм не отговарят на лечението с антихипертензивни лекарствени продукти, действащи чрез инхибиране на ренин-ангиотензин- алдостероновата система. Ето защо употребатата на Кантаб Плюс в тази популация не се препоръчва.</w:t>
      </w:r>
    </w:p>
    <w:p w14:paraId="58F2DADA" w14:textId="77C2D0BB" w:rsidR="001258BC" w:rsidRPr="001258BC" w:rsidRDefault="001258BC" w:rsidP="001258BC">
      <w:pPr>
        <w:rPr>
          <w:rFonts w:eastAsia="Times New Roman" w:cs="Arial"/>
          <w:color w:val="000000"/>
          <w:lang w:eastAsia="bg-BG"/>
        </w:rPr>
      </w:pPr>
    </w:p>
    <w:p w14:paraId="5E6E1F0B" w14:textId="77777777"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Електролитни нарушения</w:t>
      </w:r>
    </w:p>
    <w:p w14:paraId="41A9C7DB"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Серумните електролити трябва да се изследват на подходящи интервали. Тиазидите, включително хидрохлоротиазид, могат да предизвикат развитие на електролитни нарушения - хиперкалциемия, хипокалиемия, хипонатриемия, хипомагнезиемия и хипохлоремична алкалоза.</w:t>
      </w:r>
    </w:p>
    <w:p w14:paraId="2964F4C0"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Тиазидните диуретици могат да причинят намаляване на уринната секреция на калций и да предизвикат периодично леко повишаване на концентрацията на калций в серума.</w:t>
      </w:r>
    </w:p>
    <w:p w14:paraId="210E3B93"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Изразената хиперкалциемия може да е белег на неизявен хиперпаратиреоидизъм. Преди започване на лечение с тиазиди трябва да се изследва функцията на околощитовидните жлези.</w:t>
      </w:r>
    </w:p>
    <w:p w14:paraId="3A10375E"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Хидрохлоротиазид повишава дозозависимо уринната екскреция на калий, което може да доведе до развитие на хипокалиемия. Счита се, че този ефект е по-слабо изразен при прием на комбинацията - хидрохлоротиазид и кандесартан цилексетил.</w:t>
      </w:r>
    </w:p>
    <w:p w14:paraId="1B28D72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с чернодробна цироза, при пациенти с по-силно изразена диуреза, при пациенти приемащи кортикостероиди или адренокортикотропен хормон (АКТХ) и при пациенти с недостатъчен перорален прием на електролити, рискът за развитие на хипокалиемия е по-голям. Тиазидите повишават уринната екскреция на магнезий, което може да доведе до развитие на хипомагнезиемия.</w:t>
      </w:r>
    </w:p>
    <w:p w14:paraId="3DCEE71D" w14:textId="77777777" w:rsidR="001258BC" w:rsidRPr="001258BC" w:rsidRDefault="001258BC" w:rsidP="001258BC">
      <w:pPr>
        <w:spacing w:line="240" w:lineRule="auto"/>
        <w:rPr>
          <w:rFonts w:eastAsia="Times New Roman" w:cs="Arial"/>
          <w:color w:val="000000"/>
          <w:lang w:eastAsia="bg-BG"/>
        </w:rPr>
      </w:pPr>
    </w:p>
    <w:p w14:paraId="08D1FFDB" w14:textId="74856DB6" w:rsidR="001258BC" w:rsidRPr="001258BC" w:rsidRDefault="001258BC" w:rsidP="001258BC">
      <w:pPr>
        <w:spacing w:line="240" w:lineRule="auto"/>
        <w:rPr>
          <w:rFonts w:eastAsia="Times New Roman" w:cs="Arial"/>
        </w:rPr>
      </w:pPr>
      <w:r w:rsidRPr="001258BC">
        <w:rPr>
          <w:rFonts w:eastAsia="Times New Roman" w:cs="Arial"/>
          <w:color w:val="000000"/>
          <w:lang w:eastAsia="bg-BG"/>
        </w:rPr>
        <w:t>Лечението с кандесартан цилексетил може да предизвика хиперкалиемия, особено при пациенти със сърдечни и/или бъбречни увреждания. Едновременното приложение на Кантаб Плюс с калий- пестящи диуретици, калиеви препарати или заместители на готварската сол, както и с други лекарствени продукти, които биха могли да повишат серумната концентрация на калий (напр. хепарин натрий), може да доведе до повишаване на калия в серума. При нужда серумната концентрация на калий трябва да се контролира.</w:t>
      </w:r>
    </w:p>
    <w:p w14:paraId="1CED52C2" w14:textId="77777777" w:rsidR="001258BC" w:rsidRPr="001258BC" w:rsidRDefault="001258BC" w:rsidP="001258BC">
      <w:pPr>
        <w:spacing w:line="240" w:lineRule="auto"/>
        <w:rPr>
          <w:rFonts w:eastAsia="Times New Roman" w:cs="Arial"/>
          <w:i/>
          <w:iCs/>
          <w:color w:val="000000"/>
          <w:u w:val="single"/>
          <w:lang w:eastAsia="bg-BG"/>
        </w:rPr>
      </w:pPr>
    </w:p>
    <w:p w14:paraId="7B51397D" w14:textId="45851116"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Метаболитни и ендокринни ефекти</w:t>
      </w:r>
    </w:p>
    <w:p w14:paraId="761774CE"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Тиазидните диуретици могат да нарушат глюкозния толеранс. Това трябва да се има предвид при пациенти с диабет, защото може да се наложи корекция на дозата на антидиабетните лекарствени продукти, включително и на инсулина. По време на лечение с тиазидни диуретици може да се манифестира латентен диабет.</w:t>
      </w:r>
    </w:p>
    <w:p w14:paraId="7CE90189"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Наблюдавана е връзка между приема на тиазидни диуретици и повишаване на концентрацията на холестерол и триглицериди. При дозите, които се съдържат в Кантаб Плюс, са наблюдавани само минимални ефекти.</w:t>
      </w:r>
    </w:p>
    <w:p w14:paraId="11ECEAF8"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Тиазидните диуретици предизвикват повишаване на концентрацията на пикочна киселина в серума и при предразположени пациенти могат да провокират развитието на подагра.</w:t>
      </w:r>
    </w:p>
    <w:p w14:paraId="48FEEBDC"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употребата на Кантаб Плюс тези ефекти са минимални.</w:t>
      </w:r>
    </w:p>
    <w:p w14:paraId="49F66D39" w14:textId="77777777" w:rsidR="001258BC" w:rsidRPr="001258BC" w:rsidRDefault="001258BC" w:rsidP="001258BC">
      <w:pPr>
        <w:spacing w:line="240" w:lineRule="auto"/>
        <w:rPr>
          <w:rFonts w:eastAsia="Times New Roman" w:cs="Arial"/>
          <w:i/>
          <w:iCs/>
          <w:color w:val="000000"/>
          <w:u w:val="single"/>
          <w:lang w:eastAsia="bg-BG"/>
        </w:rPr>
      </w:pPr>
    </w:p>
    <w:p w14:paraId="76AB2080" w14:textId="578CA72E"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Фоточувствителност</w:t>
      </w:r>
    </w:p>
    <w:p w14:paraId="1E0AB694" w14:textId="77777777" w:rsidR="001258BC" w:rsidRPr="001258BC" w:rsidRDefault="001258BC" w:rsidP="001258BC">
      <w:pPr>
        <w:spacing w:line="240" w:lineRule="auto"/>
        <w:rPr>
          <w:rFonts w:eastAsia="Times New Roman" w:cs="Arial"/>
        </w:rPr>
      </w:pPr>
      <w:r w:rsidRPr="001258BC">
        <w:rPr>
          <w:rFonts w:eastAsia="Times New Roman" w:cs="Arial"/>
          <w:i/>
          <w:iCs/>
          <w:color w:val="000000"/>
          <w:lang w:eastAsia="bg-BG"/>
        </w:rPr>
        <w:lastRenderedPageBreak/>
        <w:t>Има</w:t>
      </w:r>
      <w:r w:rsidRPr="001258BC">
        <w:rPr>
          <w:rFonts w:eastAsia="Times New Roman" w:cs="Arial"/>
          <w:color w:val="000000"/>
          <w:lang w:eastAsia="bg-BG"/>
        </w:rPr>
        <w:t xml:space="preserve"> съобщения за реакции на фоточувствителност по време на лечението с тиазидни диуретици (вж. точка 4.8). Ако се развие реакция на фоточувствителност, се препоръчва да се спре лечението. Ако възобновяването на лечението е крайно необходимо, се препоръчва предпазване на кожните зони, които са изложени на слънчеви лъчи или на изкуствена УВ светлина.</w:t>
      </w:r>
    </w:p>
    <w:p w14:paraId="70E7CA38" w14:textId="77777777" w:rsidR="001258BC" w:rsidRPr="001258BC" w:rsidRDefault="001258BC" w:rsidP="001258BC">
      <w:pPr>
        <w:spacing w:line="240" w:lineRule="auto"/>
        <w:rPr>
          <w:rFonts w:eastAsia="Times New Roman" w:cs="Arial"/>
          <w:i/>
          <w:iCs/>
          <w:color w:val="000000"/>
          <w:u w:val="single"/>
          <w:lang w:eastAsia="bg-BG"/>
        </w:rPr>
      </w:pPr>
    </w:p>
    <w:p w14:paraId="1C0B0AC8" w14:textId="0DC8F190"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Обши</w:t>
      </w:r>
    </w:p>
    <w:p w14:paraId="321E7736" w14:textId="77777777" w:rsidR="001258BC" w:rsidRPr="001258BC" w:rsidRDefault="001258BC" w:rsidP="001258BC">
      <w:pPr>
        <w:rPr>
          <w:rFonts w:eastAsia="Times New Roman" w:cs="Arial"/>
        </w:rPr>
      </w:pPr>
      <w:r w:rsidRPr="001258BC">
        <w:rPr>
          <w:rFonts w:eastAsia="Times New Roman" w:cs="Arial"/>
          <w:color w:val="000000"/>
          <w:lang w:eastAsia="bg-BG"/>
        </w:rPr>
        <w:t>При пациенти, чийто съдов тонус и бъбречна функция зависят главно от активността на ренин- ангиотензин-алдостероновата система (напр. пациенти с тежка застойна сърдена недостатъчност или подлежащо бъбречно заболяване, включително стеноза на бъбречната артерия), има съобщения, че лечението с лекарствени продукти, които повлияват тази система, включително А</w:t>
      </w:r>
      <w:r w:rsidRPr="001258BC">
        <w:rPr>
          <w:rFonts w:eastAsia="Times New Roman" w:cs="Arial"/>
          <w:color w:val="000000"/>
          <w:lang w:val="en-US"/>
        </w:rPr>
        <w:t>II</w:t>
      </w:r>
      <w:r w:rsidRPr="001258BC">
        <w:rPr>
          <w:rFonts w:eastAsia="Times New Roman" w:cs="Arial"/>
          <w:color w:val="000000"/>
          <w:lang w:eastAsia="bg-BG"/>
        </w:rPr>
        <w:t>РБ, е свързано с остра хипотонния, азотемия, ологурия или рядко с остра бъбрчна недостатъчност. Както при всички антихипертензивни средства, голямото понижаване на артериалното налягане при пациенти с исхемична болест на сърцето или артеросклеротична мозъчно-съдова болест може да доведе до развитие на инфаркт на миокарда или инсулт. Реакции на свръхчувствителност към хидрохлоротиазид могат да се развият както при пациенти с анамнеза за алергия или бронхиална астма, както и при пациенти без такава анамнеза, но при първите вероятността е по-голяма.</w:t>
      </w:r>
    </w:p>
    <w:p w14:paraId="55D01261"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употреба на тиазидни диуретици има съобщения за екзацербация или отключваме на системен лупус еритематодес.</w:t>
      </w:r>
    </w:p>
    <w:p w14:paraId="213F14DB" w14:textId="77777777" w:rsidR="001258BC" w:rsidRPr="001258BC" w:rsidRDefault="001258BC" w:rsidP="001258BC">
      <w:pPr>
        <w:spacing w:line="240" w:lineRule="auto"/>
        <w:rPr>
          <w:rFonts w:eastAsia="Times New Roman" w:cs="Arial"/>
          <w:color w:val="000000"/>
          <w:lang w:eastAsia="bg-BG"/>
        </w:rPr>
      </w:pPr>
    </w:p>
    <w:p w14:paraId="2A5E032F" w14:textId="67E397AF" w:rsidR="001258BC" w:rsidRPr="001258BC" w:rsidRDefault="001258BC" w:rsidP="001258BC">
      <w:pPr>
        <w:spacing w:line="240" w:lineRule="auto"/>
        <w:rPr>
          <w:rFonts w:eastAsia="Times New Roman" w:cs="Arial"/>
        </w:rPr>
      </w:pPr>
      <w:r w:rsidRPr="001258BC">
        <w:rPr>
          <w:rFonts w:eastAsia="Times New Roman" w:cs="Arial"/>
          <w:color w:val="000000"/>
          <w:lang w:eastAsia="bg-BG"/>
        </w:rPr>
        <w:t>Антихипертензивният ефект на Кантаб Плюс може да се потенцира от други антихипертензивни средства.</w:t>
      </w:r>
    </w:p>
    <w:p w14:paraId="54723202" w14:textId="77777777" w:rsidR="001258BC" w:rsidRPr="001258BC" w:rsidRDefault="001258BC" w:rsidP="001258BC">
      <w:pPr>
        <w:spacing w:line="240" w:lineRule="auto"/>
        <w:rPr>
          <w:rFonts w:eastAsia="Times New Roman" w:cs="Arial"/>
          <w:color w:val="000000"/>
          <w:lang w:eastAsia="bg-BG"/>
        </w:rPr>
      </w:pPr>
    </w:p>
    <w:p w14:paraId="73ACE3C9" w14:textId="0C0FC7D7" w:rsidR="001258BC" w:rsidRPr="001258BC" w:rsidRDefault="001258BC" w:rsidP="001258BC">
      <w:pPr>
        <w:spacing w:line="240" w:lineRule="auto"/>
        <w:rPr>
          <w:rFonts w:eastAsia="Times New Roman" w:cs="Arial"/>
        </w:rPr>
      </w:pPr>
      <w:r w:rsidRPr="001258BC">
        <w:rPr>
          <w:rFonts w:eastAsia="Times New Roman" w:cs="Arial"/>
          <w:color w:val="000000"/>
          <w:lang w:eastAsia="bg-BG"/>
        </w:rPr>
        <w:t>Кантаб Плюс съдържа лактоза монохидрат.</w:t>
      </w:r>
    </w:p>
    <w:p w14:paraId="4AAB7B5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 xml:space="preserve">Пациенти с редки наследствени проблеми на непоносимост към фруктоза, галактозна непоносимост, </w:t>
      </w:r>
      <w:proofErr w:type="spellStart"/>
      <w:r w:rsidRPr="001258BC">
        <w:rPr>
          <w:rFonts w:eastAsia="Times New Roman" w:cs="Arial"/>
          <w:color w:val="000000"/>
          <w:lang w:val="en-US"/>
        </w:rPr>
        <w:t>Laap</w:t>
      </w:r>
      <w:proofErr w:type="spellEnd"/>
      <w:r w:rsidRPr="001258BC">
        <w:rPr>
          <w:rFonts w:eastAsia="Times New Roman" w:cs="Arial"/>
          <w:color w:val="000000"/>
          <w:lang w:val="ru-RU"/>
        </w:rPr>
        <w:t xml:space="preserve"> </w:t>
      </w:r>
      <w:r w:rsidRPr="001258BC">
        <w:rPr>
          <w:rFonts w:eastAsia="Times New Roman" w:cs="Arial"/>
          <w:color w:val="000000"/>
          <w:lang w:eastAsia="bg-BG"/>
        </w:rPr>
        <w:t>лактозен дефицит или глюкозо - галактозна малабсорбция, не трябва да приемат този продукт.</w:t>
      </w:r>
    </w:p>
    <w:p w14:paraId="51312D88" w14:textId="77777777" w:rsidR="001258BC" w:rsidRPr="001258BC" w:rsidRDefault="001258BC" w:rsidP="001258BC">
      <w:pPr>
        <w:spacing w:line="240" w:lineRule="auto"/>
        <w:rPr>
          <w:rFonts w:eastAsia="Times New Roman" w:cs="Arial"/>
          <w:i/>
          <w:iCs/>
          <w:color w:val="000000"/>
          <w:u w:val="single"/>
          <w:lang w:eastAsia="bg-BG"/>
        </w:rPr>
      </w:pPr>
    </w:p>
    <w:p w14:paraId="2FA6E8CF" w14:textId="3BF56BB1"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Бременност</w:t>
      </w:r>
    </w:p>
    <w:p w14:paraId="313E15E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По време на бременност не трябва да се започва лечение с ангиотензин II рецепторни антагонисти. Освен ако продължаването на лечението с ангиотензин II рецепторни антагонисти не се смята за крайно необходимо, пациентките, които смятат да забременеят, трябва да преминат на лечение с алтернативно антихипертензивно средство, което е с доказана безопасност по време на бременност.</w:t>
      </w:r>
    </w:p>
    <w:p w14:paraId="6EA96B47" w14:textId="35DA39EC"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установяване на бременност, лечението с ангиотензин II рецепторни антагонисти трябва да спре незабавно и, ако това е необходимо, да се започне алтернативно лечение (вж. точки 4.3 и 4.6).</w:t>
      </w:r>
    </w:p>
    <w:p w14:paraId="07CE9996" w14:textId="77777777" w:rsidR="001258BC" w:rsidRPr="001258BC" w:rsidRDefault="001258BC" w:rsidP="001258BC"/>
    <w:p w14:paraId="1E970E8B" w14:textId="17603CE8" w:rsidR="001258BC" w:rsidRDefault="002C50EE" w:rsidP="001258BC">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20D421B" w14:textId="31ADFDFF" w:rsidR="001258BC" w:rsidRDefault="001258BC" w:rsidP="001258BC"/>
    <w:p w14:paraId="1FEB5A97"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Съединенията, изследвани в клинични фармакокинетични проучвания, включват варфарин, дигоксин, перорални контрацептиви (т.е. етинилестрадиол /левоноргестрел), глибенкламид и нифедипин. В тези проучвания не са установени клинично значими фармакокинетични взаимодействия.</w:t>
      </w:r>
    </w:p>
    <w:p w14:paraId="22FF05BC"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Може да се очаква калий-губещият ефект на хидрохлоротиазид да се потенцира от други лекарствени продукти, свързани със загуба на калий и хипокалиемия (напр. други калий-</w:t>
      </w:r>
      <w:r w:rsidRPr="001258BC">
        <w:rPr>
          <w:rFonts w:eastAsia="Times New Roman" w:cs="Arial"/>
          <w:color w:val="000000"/>
          <w:szCs w:val="20"/>
          <w:lang w:eastAsia="bg-BG"/>
        </w:rPr>
        <w:lastRenderedPageBreak/>
        <w:t xml:space="preserve">губещи диуретици, лаксативи, амфотерицин, карбеноксолон, пеницилин </w:t>
      </w:r>
      <w:r w:rsidRPr="001258BC">
        <w:rPr>
          <w:rFonts w:eastAsia="Times New Roman" w:cs="Arial"/>
          <w:color w:val="000000"/>
          <w:szCs w:val="20"/>
          <w:lang w:val="en-US"/>
        </w:rPr>
        <w:t>G</w:t>
      </w:r>
      <w:r w:rsidRPr="001258BC">
        <w:rPr>
          <w:rFonts w:eastAsia="Times New Roman" w:cs="Arial"/>
          <w:color w:val="000000"/>
          <w:szCs w:val="20"/>
          <w:lang w:val="ru-RU"/>
        </w:rPr>
        <w:t xml:space="preserve"> </w:t>
      </w:r>
      <w:r w:rsidRPr="001258BC">
        <w:rPr>
          <w:rFonts w:eastAsia="Times New Roman" w:cs="Arial"/>
          <w:color w:val="000000"/>
          <w:szCs w:val="20"/>
          <w:lang w:eastAsia="bg-BG"/>
        </w:rPr>
        <w:t>натрий, производни на салициловата киселина, стероиди, АКТХ).</w:t>
      </w:r>
    </w:p>
    <w:p w14:paraId="596B497F" w14:textId="77777777" w:rsidR="001258BC" w:rsidRPr="001258BC" w:rsidRDefault="001258BC" w:rsidP="001258BC">
      <w:pPr>
        <w:spacing w:line="240" w:lineRule="auto"/>
        <w:rPr>
          <w:rFonts w:eastAsia="Times New Roman" w:cs="Arial"/>
          <w:color w:val="000000"/>
          <w:szCs w:val="20"/>
          <w:lang w:eastAsia="bg-BG"/>
        </w:rPr>
      </w:pPr>
    </w:p>
    <w:p w14:paraId="2C8BBD96" w14:textId="5AD285FE"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Едновременното приложение на Кантаб Плюс с калий-съхраняващи диуретици, калиеви добавки, заместители на готварската сол, съдържащи калий, или други лекарствени продукти (напр. хепарин натрий), може да повиши стойностите на серумния калий. При необходимост трябва се предприеме мониториране на серумния калий (вж. точка 4.4).</w:t>
      </w:r>
    </w:p>
    <w:p w14:paraId="161CCAA7" w14:textId="77777777" w:rsidR="001258BC" w:rsidRPr="001258BC" w:rsidRDefault="001258BC" w:rsidP="001258BC">
      <w:pPr>
        <w:spacing w:line="240" w:lineRule="auto"/>
        <w:rPr>
          <w:rFonts w:eastAsia="Times New Roman" w:cs="Arial"/>
          <w:color w:val="000000"/>
          <w:szCs w:val="20"/>
          <w:lang w:eastAsia="bg-BG"/>
        </w:rPr>
      </w:pPr>
    </w:p>
    <w:p w14:paraId="07F4F77E" w14:textId="03EF8061"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Индуцираните от диуретици хипокалиемия и хипомагнезиемия предразполагат към развитие на потенциални кардиотоксични ефекти на дигиталисовите гликозиди и антиаритмичните препарати. Препоръчва се периодичен контрол на серумния калий, когато Кантаб Плюс се прилага с такива лекарствени продукти, както и със следните лекарствени продукти, които могат да предизвикат </w:t>
      </w:r>
      <w:r w:rsidRPr="001258BC">
        <w:rPr>
          <w:rFonts w:eastAsia="Times New Roman" w:cs="Arial"/>
          <w:i/>
          <w:iCs/>
          <w:color w:val="000000"/>
          <w:szCs w:val="20"/>
          <w:lang w:val="ru-RU"/>
        </w:rPr>
        <w:t>„</w:t>
      </w:r>
      <w:proofErr w:type="spellStart"/>
      <w:r w:rsidRPr="001258BC">
        <w:rPr>
          <w:rFonts w:eastAsia="Times New Roman" w:cs="Arial"/>
          <w:i/>
          <w:iCs/>
          <w:color w:val="000000"/>
          <w:szCs w:val="20"/>
          <w:lang w:val="en-US"/>
        </w:rPr>
        <w:t>torsades</w:t>
      </w:r>
      <w:proofErr w:type="spellEnd"/>
      <w:r w:rsidRPr="001258BC">
        <w:rPr>
          <w:rFonts w:eastAsia="Times New Roman" w:cs="Arial"/>
          <w:i/>
          <w:iCs/>
          <w:color w:val="000000"/>
          <w:szCs w:val="20"/>
          <w:lang w:val="ru-RU"/>
        </w:rPr>
        <w:t xml:space="preserve"> </w:t>
      </w:r>
      <w:r w:rsidRPr="001258BC">
        <w:rPr>
          <w:rFonts w:eastAsia="Times New Roman" w:cs="Arial"/>
          <w:i/>
          <w:iCs/>
          <w:color w:val="000000"/>
          <w:szCs w:val="20"/>
          <w:lang w:val="en-US"/>
        </w:rPr>
        <w:t>de</w:t>
      </w:r>
      <w:r w:rsidRPr="001258BC">
        <w:rPr>
          <w:rFonts w:eastAsia="Times New Roman" w:cs="Arial"/>
          <w:i/>
          <w:iCs/>
          <w:color w:val="000000"/>
          <w:szCs w:val="20"/>
          <w:lang w:val="ru-RU"/>
        </w:rPr>
        <w:t xml:space="preserve"> </w:t>
      </w:r>
      <w:r w:rsidRPr="001258BC">
        <w:rPr>
          <w:rFonts w:eastAsia="Times New Roman" w:cs="Arial"/>
          <w:i/>
          <w:iCs/>
          <w:color w:val="000000"/>
          <w:szCs w:val="20"/>
          <w:lang w:val="en-US"/>
        </w:rPr>
        <w:t>pointes</w:t>
      </w:r>
    </w:p>
    <w:p w14:paraId="515EB536" w14:textId="77777777"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Антиаритмични препарати от клас Iа - хинидин, хидрохинидин, дизопирамид;</w:t>
      </w:r>
    </w:p>
    <w:p w14:paraId="035E1D4E" w14:textId="77777777"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 xml:space="preserve">Антиаритмични препарати от клас </w:t>
      </w:r>
      <w:r w:rsidRPr="001258BC">
        <w:rPr>
          <w:rFonts w:eastAsia="Times New Roman" w:cs="Arial"/>
          <w:color w:val="000000"/>
          <w:szCs w:val="20"/>
          <w:lang w:val="en-US"/>
        </w:rPr>
        <w:t>III</w:t>
      </w:r>
      <w:r w:rsidRPr="001258BC">
        <w:rPr>
          <w:rFonts w:eastAsia="Times New Roman" w:cs="Arial"/>
          <w:color w:val="000000"/>
          <w:szCs w:val="20"/>
          <w:lang w:eastAsia="bg-BG"/>
        </w:rPr>
        <w:t xml:space="preserve"> - амиодарон, соталол, дофетилид, ибутилид;</w:t>
      </w:r>
    </w:p>
    <w:p w14:paraId="49D5E9F7" w14:textId="77777777"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Някои антипсихотици - тиоридазин, хлорпромазин, левомепромазин, трифлуоперази</w:t>
      </w:r>
      <w:r w:rsidRPr="001258BC">
        <w:rPr>
          <w:rFonts w:eastAsia="Times New Roman" w:cs="Arial"/>
          <w:color w:val="000000"/>
          <w:szCs w:val="20"/>
          <w:u w:val="single"/>
          <w:lang w:eastAsia="bg-BG"/>
        </w:rPr>
        <w:t xml:space="preserve">н, </w:t>
      </w:r>
      <w:r w:rsidRPr="001258BC">
        <w:rPr>
          <w:rFonts w:eastAsia="Times New Roman" w:cs="Arial"/>
          <w:color w:val="000000"/>
          <w:szCs w:val="20"/>
          <w:lang w:eastAsia="bg-BG"/>
        </w:rPr>
        <w:t>циамемазин, сулпирид, султоприд, амисулприд, тиаприд, пимозид, халоперидол дроперидол;</w:t>
      </w:r>
    </w:p>
    <w:p w14:paraId="7AF5E099" w14:textId="2E7D8F75"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Други - бепридил, цизаприд, дифеманил, халофантрин, кетансерин, мизоластин пентамидин, спарфлоксацин, терфенадин, винкамин, еритромицин.</w:t>
      </w:r>
    </w:p>
    <w:p w14:paraId="21F55678" w14:textId="6D558A0B" w:rsidR="001258BC" w:rsidRPr="001258BC" w:rsidRDefault="001258BC" w:rsidP="001258BC">
      <w:pPr>
        <w:spacing w:line="240" w:lineRule="auto"/>
        <w:rPr>
          <w:rFonts w:eastAsia="Times New Roman" w:cs="Arial"/>
          <w:sz w:val="28"/>
          <w:szCs w:val="24"/>
        </w:rPr>
      </w:pPr>
    </w:p>
    <w:p w14:paraId="2F5A92BA"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едновременното приемане на литиеви препарати с инхибитори на ангиотензин-конвертиращия ензим (АСЕ) и хидрохлоротиазид има съобщения за обратимо повишаване на серумната концентрация на литий, както и прояви на токсичност. Има съобщения за подобен ефект и при прием с ангиотензин II рецепторни антагонисти. Поради това, приложението на кандесартан и хидрохлоротиазид с литий не се препоръчва. Ако приложението на тази комбинация се окаже необходимо, се препоръчва внимателен контрол на серумната концентрация на лития.</w:t>
      </w:r>
    </w:p>
    <w:p w14:paraId="2BCB8589" w14:textId="77777777" w:rsidR="001258BC" w:rsidRPr="001258BC" w:rsidRDefault="001258BC" w:rsidP="001258BC">
      <w:pPr>
        <w:spacing w:line="240" w:lineRule="auto"/>
        <w:rPr>
          <w:rFonts w:eastAsia="Times New Roman" w:cs="Arial"/>
          <w:color w:val="000000"/>
          <w:szCs w:val="20"/>
          <w:lang w:eastAsia="bg-BG"/>
        </w:rPr>
      </w:pPr>
    </w:p>
    <w:p w14:paraId="40BBABCF" w14:textId="12644584"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При едновременното приложение на ангиотензин II рецепторни антагонисти с нестероидни противовъзпалителни средства (НСПВС) (т.е. селективни СОХ-2 инхибитори, ацетилсалицилова киселина (&gt;3 </w:t>
      </w:r>
      <w:r w:rsidRPr="001258BC">
        <w:rPr>
          <w:rFonts w:eastAsia="Times New Roman" w:cs="Arial"/>
          <w:color w:val="000000"/>
          <w:szCs w:val="20"/>
          <w:lang w:val="en-US"/>
        </w:rPr>
        <w:t>g</w:t>
      </w:r>
      <w:r w:rsidRPr="001258BC">
        <w:rPr>
          <w:rFonts w:eastAsia="Times New Roman" w:cs="Arial"/>
          <w:color w:val="000000"/>
          <w:szCs w:val="20"/>
          <w:lang w:eastAsia="bg-BG"/>
        </w:rPr>
        <w:t>/дневно) и неселктивни НСПВС) може да се наблюдава отслабване на антихипертензивния ефект.</w:t>
      </w:r>
    </w:p>
    <w:p w14:paraId="4A16F74D" w14:textId="77777777" w:rsidR="001258BC" w:rsidRPr="001258BC" w:rsidRDefault="001258BC" w:rsidP="001258BC">
      <w:pPr>
        <w:spacing w:line="240" w:lineRule="auto"/>
        <w:rPr>
          <w:rFonts w:eastAsia="Times New Roman" w:cs="Arial"/>
          <w:color w:val="000000"/>
          <w:szCs w:val="20"/>
          <w:lang w:eastAsia="bg-BG"/>
        </w:rPr>
      </w:pPr>
    </w:p>
    <w:p w14:paraId="7ABAED8D" w14:textId="39CEB588"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Както и при АСЕ инхибиторите, едновременното приложение на А</w:t>
      </w:r>
      <w:r w:rsidRPr="001258BC">
        <w:rPr>
          <w:rFonts w:eastAsia="Times New Roman" w:cs="Arial"/>
          <w:color w:val="000000"/>
          <w:szCs w:val="20"/>
          <w:lang w:val="en-US"/>
        </w:rPr>
        <w:t>II</w:t>
      </w:r>
      <w:r w:rsidRPr="001258BC">
        <w:rPr>
          <w:rFonts w:eastAsia="Times New Roman" w:cs="Arial"/>
          <w:color w:val="000000"/>
          <w:szCs w:val="20"/>
          <w:lang w:eastAsia="bg-BG"/>
        </w:rPr>
        <w:t>РБ и НСПВС представлява риск за влошаване на бъбречната функция, развитие на бъбречна недостатъчност, както и за повишаване нивата на серумния калий, особено при пациенти с предварително нарушена бъбречна функция.Тази комбинация трябва да се прилага с повишено внимание, особено при пациенти в старческа възраст. Пациентите трябва да бъдат адекватно хидратирани и по време на терапията трябва да се извършва проследяване на бъбречната функция, както и периодично след това.</w:t>
      </w:r>
    </w:p>
    <w:p w14:paraId="79F4D08D" w14:textId="77777777" w:rsidR="001258BC" w:rsidRPr="001258BC" w:rsidRDefault="001258BC" w:rsidP="001258BC">
      <w:pPr>
        <w:spacing w:line="240" w:lineRule="auto"/>
        <w:rPr>
          <w:rFonts w:eastAsia="Times New Roman" w:cs="Arial"/>
          <w:color w:val="000000"/>
          <w:szCs w:val="20"/>
          <w:lang w:eastAsia="bg-BG"/>
        </w:rPr>
      </w:pPr>
    </w:p>
    <w:p w14:paraId="703833C1" w14:textId="6E1A171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Диуретичният, натрийуретичният и антихипертензивният ефект на хидрохлоротиазид се подтискат от НСПВС.</w:t>
      </w:r>
    </w:p>
    <w:p w14:paraId="3680F0B9" w14:textId="77777777" w:rsidR="001258BC" w:rsidRPr="001258BC" w:rsidRDefault="001258BC" w:rsidP="001258BC">
      <w:pPr>
        <w:spacing w:line="240" w:lineRule="auto"/>
        <w:rPr>
          <w:rFonts w:eastAsia="Times New Roman" w:cs="Arial"/>
          <w:color w:val="000000"/>
          <w:szCs w:val="20"/>
          <w:lang w:eastAsia="bg-BG"/>
        </w:rPr>
      </w:pPr>
    </w:p>
    <w:p w14:paraId="372664EE" w14:textId="3FF1B386"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Резорбцията на хидрохлоротиазид се подтиска от колестипол или колестирамин.</w:t>
      </w:r>
    </w:p>
    <w:p w14:paraId="0BF90A4D" w14:textId="77777777" w:rsidR="001258BC" w:rsidRPr="001258BC" w:rsidRDefault="001258BC" w:rsidP="001258BC">
      <w:pPr>
        <w:spacing w:line="240" w:lineRule="auto"/>
        <w:rPr>
          <w:rFonts w:eastAsia="Times New Roman" w:cs="Arial"/>
          <w:color w:val="000000"/>
          <w:szCs w:val="20"/>
          <w:lang w:eastAsia="bg-BG"/>
        </w:rPr>
      </w:pPr>
    </w:p>
    <w:p w14:paraId="56FAD501" w14:textId="0B9FC945"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може да потенцира ефекта на недеполяризиращите миорелаксанти (напр. тубокурарин).</w:t>
      </w:r>
    </w:p>
    <w:p w14:paraId="454F6BAA" w14:textId="77777777" w:rsidR="001258BC" w:rsidRPr="001258BC" w:rsidRDefault="001258BC" w:rsidP="001258BC">
      <w:pPr>
        <w:spacing w:line="240" w:lineRule="auto"/>
        <w:rPr>
          <w:rFonts w:eastAsia="Times New Roman" w:cs="Arial"/>
          <w:color w:val="000000"/>
          <w:szCs w:val="20"/>
          <w:lang w:eastAsia="bg-BG"/>
        </w:rPr>
      </w:pPr>
    </w:p>
    <w:p w14:paraId="6FCA5955" w14:textId="6C0CE238"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Тиазидните диуретици могат да повишат серумната концентрация на калий поради понижаването на екскрецията му. Ако е необходимо да се предпише хранителна добавка, съдържаща калций, или витамин </w:t>
      </w:r>
      <w:r w:rsidRPr="001258BC">
        <w:rPr>
          <w:rFonts w:eastAsia="Times New Roman" w:cs="Arial"/>
          <w:color w:val="000000"/>
          <w:szCs w:val="20"/>
          <w:lang w:val="en-US"/>
        </w:rPr>
        <w:t>D</w:t>
      </w:r>
      <w:r w:rsidRPr="001258BC">
        <w:rPr>
          <w:rFonts w:eastAsia="Times New Roman" w:cs="Arial"/>
          <w:color w:val="000000"/>
          <w:szCs w:val="20"/>
          <w:lang w:val="ru-RU"/>
        </w:rPr>
        <w:t xml:space="preserve">, </w:t>
      </w:r>
      <w:r w:rsidRPr="001258BC">
        <w:rPr>
          <w:rFonts w:eastAsia="Times New Roman" w:cs="Arial"/>
          <w:color w:val="000000"/>
          <w:szCs w:val="20"/>
          <w:lang w:eastAsia="bg-BG"/>
        </w:rPr>
        <w:t>трябва да се следи серумната концентрация на калций и дозата да се коригира според нея.</w:t>
      </w:r>
    </w:p>
    <w:p w14:paraId="0AD2E839" w14:textId="77777777" w:rsidR="001258BC" w:rsidRPr="001258BC" w:rsidRDefault="001258BC" w:rsidP="001258BC">
      <w:pPr>
        <w:spacing w:line="240" w:lineRule="auto"/>
        <w:rPr>
          <w:rFonts w:eastAsia="Times New Roman" w:cs="Arial"/>
          <w:color w:val="000000"/>
          <w:szCs w:val="20"/>
          <w:lang w:eastAsia="bg-BG"/>
        </w:rPr>
      </w:pPr>
    </w:p>
    <w:p w14:paraId="40D20724" w14:textId="12E23333"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тиазидите да потенцират хипергликемизиращия ефект на бета-блокерите и на диазоксид.</w:t>
      </w:r>
    </w:p>
    <w:p w14:paraId="669D4235" w14:textId="77777777" w:rsidR="001258BC" w:rsidRPr="001258BC" w:rsidRDefault="001258BC" w:rsidP="001258BC">
      <w:pPr>
        <w:spacing w:line="240" w:lineRule="auto"/>
        <w:rPr>
          <w:rFonts w:eastAsia="Times New Roman" w:cs="Arial"/>
          <w:color w:val="000000"/>
          <w:szCs w:val="20"/>
          <w:lang w:eastAsia="bg-BG"/>
        </w:rPr>
      </w:pPr>
    </w:p>
    <w:p w14:paraId="5468D442" w14:textId="58238B20"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тиазидните диуретици да повишат риска за развитие на нежелани реакции при прием на амантадин.</w:t>
      </w:r>
    </w:p>
    <w:p w14:paraId="761D3FE6" w14:textId="77777777" w:rsidR="001258BC" w:rsidRPr="001258BC" w:rsidRDefault="001258BC" w:rsidP="001258BC">
      <w:pPr>
        <w:spacing w:line="240" w:lineRule="auto"/>
        <w:rPr>
          <w:rFonts w:eastAsia="Times New Roman" w:cs="Arial"/>
          <w:color w:val="000000"/>
          <w:szCs w:val="20"/>
          <w:lang w:eastAsia="bg-BG"/>
        </w:rPr>
      </w:pPr>
    </w:p>
    <w:p w14:paraId="54A3BC32" w14:textId="3A01E790"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анихолинергичните средства (напр. атропин, бипериден) да повишат бионаличността на тиазидните диуретици чрез подтискане на стомашно-чревния мотилитет и забавяне на стомашното изпразване.</w:t>
      </w:r>
    </w:p>
    <w:p w14:paraId="5A18F26A" w14:textId="77777777" w:rsidR="001258BC" w:rsidRPr="001258BC" w:rsidRDefault="001258BC" w:rsidP="001258BC">
      <w:pPr>
        <w:spacing w:line="240" w:lineRule="auto"/>
        <w:rPr>
          <w:rFonts w:eastAsia="Times New Roman" w:cs="Arial"/>
          <w:color w:val="000000"/>
          <w:szCs w:val="20"/>
          <w:lang w:eastAsia="bg-BG"/>
        </w:rPr>
      </w:pPr>
    </w:p>
    <w:p w14:paraId="2877AA4C" w14:textId="5B294A6C"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тиазидните диуретици да намалят бъбречната екскреция на цитотоксични лекарствени продукти (напр. циклофосфамид, метотрексат) и да потенцират миелосупресивния им ефект.</w:t>
      </w:r>
    </w:p>
    <w:p w14:paraId="7213AF13" w14:textId="77777777" w:rsidR="001258BC" w:rsidRPr="001258BC" w:rsidRDefault="001258BC" w:rsidP="001258BC">
      <w:pPr>
        <w:spacing w:line="240" w:lineRule="auto"/>
        <w:rPr>
          <w:rFonts w:eastAsia="Times New Roman" w:cs="Arial"/>
          <w:color w:val="000000"/>
          <w:szCs w:val="20"/>
          <w:lang w:eastAsia="bg-BG"/>
        </w:rPr>
      </w:pPr>
    </w:p>
    <w:p w14:paraId="11CD012D" w14:textId="0A18BCE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едновременен прием с алкохол, барбитурати или анестетици може да се утежни</w:t>
      </w:r>
    </w:p>
    <w:p w14:paraId="00B2CD7B"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ортостатичната хипотония.</w:t>
      </w:r>
    </w:p>
    <w:p w14:paraId="72B35085" w14:textId="77777777" w:rsidR="001258BC" w:rsidRPr="001258BC" w:rsidRDefault="001258BC" w:rsidP="001258BC">
      <w:pPr>
        <w:spacing w:line="240" w:lineRule="auto"/>
        <w:rPr>
          <w:rFonts w:eastAsia="Times New Roman" w:cs="Arial"/>
          <w:color w:val="000000"/>
          <w:szCs w:val="20"/>
          <w:lang w:eastAsia="bg-BG"/>
        </w:rPr>
      </w:pPr>
    </w:p>
    <w:p w14:paraId="668188A6" w14:textId="78305ED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Лечението с тиазиден диуретик може да влоши глюкозния толеранс. Може да е необходима корекция на дозата на антидиабетните лекарствени продукти, включително и на инсулина.</w:t>
      </w:r>
    </w:p>
    <w:p w14:paraId="059DC7AE" w14:textId="6424E63D" w:rsidR="001258BC" w:rsidRPr="001258BC" w:rsidRDefault="001258BC" w:rsidP="001258BC">
      <w:pPr>
        <w:spacing w:line="240" w:lineRule="auto"/>
        <w:rPr>
          <w:rFonts w:eastAsia="Times New Roman" w:cs="Arial"/>
          <w:sz w:val="28"/>
          <w:szCs w:val="24"/>
        </w:rPr>
      </w:pPr>
    </w:p>
    <w:p w14:paraId="570D9415"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Метформин трябва да се прилага с повишено внимание поради </w:t>
      </w:r>
      <w:r w:rsidRPr="001258BC">
        <w:rPr>
          <w:rFonts w:eastAsia="Times New Roman" w:cs="Arial"/>
          <w:i/>
          <w:iCs/>
          <w:color w:val="000000"/>
          <w:szCs w:val="20"/>
          <w:lang w:eastAsia="bg-BG"/>
        </w:rPr>
        <w:t>риска от</w:t>
      </w:r>
      <w:r w:rsidRPr="001258BC">
        <w:rPr>
          <w:rFonts w:eastAsia="Times New Roman" w:cs="Arial"/>
          <w:color w:val="000000"/>
          <w:szCs w:val="20"/>
          <w:lang w:eastAsia="bg-BG"/>
        </w:rPr>
        <w:t xml:space="preserve"> развитие на лактоацидоза, индуцирана от евентуална бъбречна недостатъчност, свързана с прием на хидрохлоротиазид.</w:t>
      </w:r>
    </w:p>
    <w:p w14:paraId="067587E7" w14:textId="77777777" w:rsidR="001258BC" w:rsidRPr="001258BC" w:rsidRDefault="001258BC" w:rsidP="001258BC">
      <w:pPr>
        <w:spacing w:line="240" w:lineRule="auto"/>
        <w:rPr>
          <w:rFonts w:eastAsia="Times New Roman" w:cs="Arial"/>
          <w:color w:val="000000"/>
          <w:szCs w:val="20"/>
          <w:lang w:eastAsia="bg-BG"/>
        </w:rPr>
      </w:pPr>
    </w:p>
    <w:p w14:paraId="3EF6CBA3" w14:textId="0DEADEE4"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може да предизвика отслабване на отговора към действието на пресорните амини (напр. адреналин), но не до степен на липса на пресорен ефект.</w:t>
      </w:r>
    </w:p>
    <w:p w14:paraId="6D691616" w14:textId="77777777" w:rsidR="001258BC" w:rsidRPr="001258BC" w:rsidRDefault="001258BC" w:rsidP="001258BC">
      <w:pPr>
        <w:spacing w:line="240" w:lineRule="auto"/>
        <w:rPr>
          <w:rFonts w:eastAsia="Times New Roman" w:cs="Arial"/>
          <w:color w:val="000000"/>
          <w:szCs w:val="20"/>
          <w:lang w:eastAsia="bg-BG"/>
        </w:rPr>
      </w:pPr>
    </w:p>
    <w:p w14:paraId="142CDEDF" w14:textId="186ECADC" w:rsidR="001258BC" w:rsidRPr="001258BC" w:rsidRDefault="001258BC" w:rsidP="001258BC">
      <w:pPr>
        <w:spacing w:line="240" w:lineRule="auto"/>
        <w:rPr>
          <w:rFonts w:eastAsia="Times New Roman" w:cs="Arial"/>
          <w:color w:val="000000"/>
          <w:szCs w:val="20"/>
          <w:lang w:eastAsia="bg-BG"/>
        </w:rPr>
      </w:pPr>
      <w:r w:rsidRPr="001258BC">
        <w:rPr>
          <w:rFonts w:eastAsia="Times New Roman" w:cs="Arial"/>
          <w:color w:val="000000"/>
          <w:szCs w:val="20"/>
          <w:lang w:eastAsia="bg-BG"/>
        </w:rPr>
        <w:t xml:space="preserve">Хидрохлоротиазид може да повиши риска за развитие на остра бъбречна недостатъчност, особено при </w:t>
      </w:r>
    </w:p>
    <w:p w14:paraId="1CEEF62C" w14:textId="65EB6FCC"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приложение на йодни контрастни вещества във високи дози.</w:t>
      </w:r>
    </w:p>
    <w:p w14:paraId="41365B6D" w14:textId="77777777" w:rsidR="001258BC" w:rsidRPr="001258BC" w:rsidRDefault="001258BC" w:rsidP="001258BC">
      <w:pPr>
        <w:spacing w:line="240" w:lineRule="auto"/>
        <w:rPr>
          <w:rFonts w:eastAsia="Times New Roman" w:cs="Arial"/>
          <w:color w:val="000000"/>
          <w:szCs w:val="20"/>
          <w:lang w:eastAsia="bg-BG"/>
        </w:rPr>
      </w:pPr>
    </w:p>
    <w:p w14:paraId="1666B42D" w14:textId="738144B9"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Едновременното лечение с циклоспорин повишава риска от развитие на хиперурикемия и усложнения от типа на подагра.</w:t>
      </w:r>
    </w:p>
    <w:p w14:paraId="04AD936E" w14:textId="77777777" w:rsidR="001258BC" w:rsidRPr="001258BC" w:rsidRDefault="001258BC" w:rsidP="001258BC">
      <w:pPr>
        <w:spacing w:line="240" w:lineRule="auto"/>
        <w:rPr>
          <w:rFonts w:eastAsia="Times New Roman" w:cs="Arial"/>
          <w:color w:val="000000"/>
          <w:szCs w:val="20"/>
          <w:lang w:eastAsia="bg-BG"/>
        </w:rPr>
      </w:pPr>
    </w:p>
    <w:p w14:paraId="76A1AFF6" w14:textId="11FD9FE1" w:rsidR="001258BC" w:rsidRPr="001258BC" w:rsidRDefault="001258BC" w:rsidP="001258BC">
      <w:pPr>
        <w:spacing w:line="240" w:lineRule="auto"/>
        <w:rPr>
          <w:rFonts w:eastAsia="Times New Roman" w:cs="Arial"/>
          <w:color w:val="000000"/>
          <w:szCs w:val="20"/>
          <w:lang w:eastAsia="bg-BG"/>
        </w:rPr>
      </w:pPr>
      <w:r w:rsidRPr="001258BC">
        <w:rPr>
          <w:rFonts w:eastAsia="Times New Roman" w:cs="Arial"/>
          <w:color w:val="000000"/>
          <w:szCs w:val="20"/>
          <w:lang w:eastAsia="bg-BG"/>
        </w:rPr>
        <w:t>Едновременното лечение с баклофен, амифостин, трициклични антидепресанти или невролептици може да доведе до потенциране на антихипертензивния ефект и индуциране на хипотония.</w:t>
      </w:r>
    </w:p>
    <w:p w14:paraId="076B07EC" w14:textId="301BAB7F" w:rsidR="001258BC" w:rsidRPr="001258BC" w:rsidRDefault="001258BC" w:rsidP="001258BC">
      <w:pPr>
        <w:spacing w:line="240" w:lineRule="auto"/>
        <w:rPr>
          <w:rFonts w:ascii="Times New Roman" w:eastAsia="Times New Roman" w:hAnsi="Times New Roman" w:cs="Times New Roman"/>
          <w:sz w:val="24"/>
          <w:szCs w:val="24"/>
        </w:rPr>
      </w:pPr>
    </w:p>
    <w:p w14:paraId="5D9F40EA" w14:textId="101DFB8B" w:rsidR="007122AD" w:rsidRDefault="002C50EE" w:rsidP="00936AD0">
      <w:pPr>
        <w:pStyle w:val="Heading2"/>
      </w:pPr>
      <w:r>
        <w:t>4.6. Фертилитет, бременност и кърмене</w:t>
      </w:r>
    </w:p>
    <w:p w14:paraId="6947AD01" w14:textId="308EFAE8" w:rsidR="001258BC" w:rsidRDefault="001258BC" w:rsidP="001258BC"/>
    <w:p w14:paraId="783C72F7" w14:textId="2164CF66" w:rsidR="001258BC" w:rsidRPr="001258BC" w:rsidRDefault="001258BC" w:rsidP="001258BC">
      <w:pPr>
        <w:pStyle w:val="Heading3"/>
        <w:rPr>
          <w:i/>
          <w:u w:val="single"/>
        </w:rPr>
      </w:pPr>
      <w:r w:rsidRPr="001258BC">
        <w:rPr>
          <w:i/>
          <w:u w:val="single"/>
        </w:rPr>
        <w:t>Бременност</w:t>
      </w:r>
    </w:p>
    <w:p w14:paraId="33753826" w14:textId="32F7D735" w:rsidR="001258BC" w:rsidRDefault="001258BC" w:rsidP="001258BC">
      <w:pPr>
        <w:rPr>
          <w:i/>
          <w:iCs/>
          <w:sz w:val="20"/>
          <w:szCs w:val="20"/>
          <w:u w:val="single"/>
        </w:rPr>
      </w:pPr>
    </w:p>
    <w:tbl>
      <w:tblPr>
        <w:tblStyle w:val="TableGrid"/>
        <w:tblW w:w="0" w:type="auto"/>
        <w:tblLook w:val="04A0" w:firstRow="1" w:lastRow="0" w:firstColumn="1" w:lastColumn="0" w:noHBand="0" w:noVBand="1"/>
      </w:tblPr>
      <w:tblGrid>
        <w:gridCol w:w="9350"/>
      </w:tblGrid>
      <w:tr w:rsidR="001258BC" w14:paraId="230B8266" w14:textId="77777777" w:rsidTr="001258BC">
        <w:tc>
          <w:tcPr>
            <w:tcW w:w="9576" w:type="dxa"/>
          </w:tcPr>
          <w:p w14:paraId="3AF34E31" w14:textId="036D4F04" w:rsidR="001258BC" w:rsidRPr="001258BC" w:rsidRDefault="001258BC" w:rsidP="001258BC">
            <w:pPr>
              <w:spacing w:line="240" w:lineRule="auto"/>
              <w:rPr>
                <w:rFonts w:eastAsia="Times New Roman" w:cs="Arial"/>
                <w:sz w:val="24"/>
                <w:szCs w:val="24"/>
              </w:rPr>
            </w:pPr>
            <w:r w:rsidRPr="001258BC">
              <w:rPr>
                <w:rFonts w:eastAsia="Times New Roman" w:cs="Arial"/>
                <w:color w:val="000000"/>
                <w:szCs w:val="20"/>
                <w:lang w:eastAsia="bg-BG"/>
              </w:rPr>
              <w:lastRenderedPageBreak/>
              <w:t>Не се препоръчва приема на ангиотензин П рецепторни антагонисти през първия триместър от бременността (вж. точка 4.4). По време на втория и тртия триместър на бременността, приема на ангиотензин II рецепторни антагонисти е противопоказан (вж. точки 4.3 и 4.4).</w:t>
            </w:r>
          </w:p>
        </w:tc>
      </w:tr>
    </w:tbl>
    <w:p w14:paraId="6907D814" w14:textId="374C9C0E" w:rsidR="001258BC" w:rsidRDefault="001258BC" w:rsidP="001258BC"/>
    <w:p w14:paraId="5C9ECFF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Епидемиологичните данни, касаещи риска от тератогенен ефект след прием на АСЕ инхибитор през първия триместър от бременността не са еднозначни, но все пак не може да се изключи леко повишаване на риска. Макар да няма контролирани епидемиологични данни, касаещи риска при прием на А</w:t>
      </w:r>
      <w:r w:rsidRPr="001258BC">
        <w:rPr>
          <w:rFonts w:eastAsia="Times New Roman" w:cs="Arial"/>
          <w:color w:val="000000"/>
          <w:szCs w:val="20"/>
          <w:lang w:val="en-US"/>
        </w:rPr>
        <w:t>II</w:t>
      </w:r>
      <w:r w:rsidRPr="001258BC">
        <w:rPr>
          <w:rFonts w:eastAsia="Times New Roman" w:cs="Arial"/>
          <w:color w:val="000000"/>
          <w:szCs w:val="20"/>
          <w:lang w:eastAsia="bg-BG"/>
        </w:rPr>
        <w:t>РА, при този клас лекарства може да съществува подобен риск. Освен ако продължаването на лечението с А</w:t>
      </w:r>
      <w:r w:rsidRPr="001258BC">
        <w:rPr>
          <w:rFonts w:eastAsia="Times New Roman" w:cs="Arial"/>
          <w:color w:val="000000"/>
          <w:szCs w:val="20"/>
          <w:lang w:val="en-US"/>
        </w:rPr>
        <w:t>II</w:t>
      </w:r>
      <w:r w:rsidRPr="001258BC">
        <w:rPr>
          <w:rFonts w:eastAsia="Times New Roman" w:cs="Arial"/>
          <w:color w:val="000000"/>
          <w:szCs w:val="20"/>
          <w:lang w:eastAsia="bg-BG"/>
        </w:rPr>
        <w:t>РА не се смята за крайно необходимо, при пациентите,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 установяване на бременност лечението с А</w:t>
      </w:r>
      <w:r w:rsidRPr="001258BC">
        <w:rPr>
          <w:rFonts w:eastAsia="Times New Roman" w:cs="Arial"/>
          <w:color w:val="000000"/>
          <w:szCs w:val="20"/>
          <w:lang w:val="en-US"/>
        </w:rPr>
        <w:t>II</w:t>
      </w:r>
      <w:r w:rsidRPr="001258BC">
        <w:rPr>
          <w:rFonts w:eastAsia="Times New Roman" w:cs="Arial"/>
          <w:color w:val="000000"/>
          <w:szCs w:val="20"/>
          <w:lang w:eastAsia="bg-BG"/>
        </w:rPr>
        <w:t>РА трябва да се спре незабавно и, ако е уместно, да предприеме алтернативно лечение.</w:t>
      </w:r>
    </w:p>
    <w:p w14:paraId="4F1C18B7" w14:textId="77777777" w:rsidR="001258BC" w:rsidRPr="001258BC" w:rsidRDefault="001258BC" w:rsidP="001258BC">
      <w:pPr>
        <w:spacing w:line="240" w:lineRule="auto"/>
        <w:rPr>
          <w:rFonts w:eastAsia="Times New Roman" w:cs="Arial"/>
          <w:color w:val="000000"/>
          <w:szCs w:val="20"/>
          <w:lang w:eastAsia="bg-BG"/>
        </w:rPr>
      </w:pPr>
    </w:p>
    <w:p w14:paraId="539E61BF" w14:textId="73884DC3"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Известно е, че експозицията на А</w:t>
      </w:r>
      <w:r w:rsidRPr="001258BC">
        <w:rPr>
          <w:rFonts w:eastAsia="Times New Roman" w:cs="Arial"/>
          <w:color w:val="000000"/>
          <w:szCs w:val="20"/>
          <w:lang w:val="en-US"/>
        </w:rPr>
        <w:t>II</w:t>
      </w:r>
      <w:r w:rsidRPr="001258BC">
        <w:rPr>
          <w:rFonts w:eastAsia="Times New Roman" w:cs="Arial"/>
          <w:color w:val="000000"/>
          <w:szCs w:val="20"/>
          <w:lang w:eastAsia="bg-BG"/>
        </w:rPr>
        <w:t>РА през втория и третия триместър на бременността има фетотоксичен ефект (намалена бъбречната функция, олигохидрамнион, забавена осификация на черепните кости) и неонатална токсичност (бъбречна недостатъчност, хипотония, хеперкалиемия) (вж.точки 4.3 и 4.4).</w:t>
      </w:r>
    </w:p>
    <w:p w14:paraId="382A0756" w14:textId="77777777" w:rsidR="001258BC" w:rsidRPr="001258BC" w:rsidRDefault="001258BC" w:rsidP="001258BC">
      <w:pPr>
        <w:spacing w:line="240" w:lineRule="auto"/>
        <w:rPr>
          <w:rFonts w:eastAsia="Times New Roman" w:cs="Arial"/>
          <w:color w:val="000000"/>
          <w:szCs w:val="20"/>
          <w:lang w:eastAsia="bg-BG"/>
        </w:rPr>
      </w:pPr>
    </w:p>
    <w:p w14:paraId="7E18BCBE" w14:textId="03ED0D76"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експозиция на А</w:t>
      </w:r>
      <w:r w:rsidRPr="001258BC">
        <w:rPr>
          <w:rFonts w:eastAsia="Times New Roman" w:cs="Arial"/>
          <w:color w:val="000000"/>
          <w:szCs w:val="20"/>
          <w:lang w:val="en-US"/>
        </w:rPr>
        <w:t>II</w:t>
      </w:r>
      <w:r w:rsidRPr="001258BC">
        <w:rPr>
          <w:rFonts w:eastAsia="Times New Roman" w:cs="Arial"/>
          <w:color w:val="000000"/>
          <w:szCs w:val="20"/>
          <w:lang w:eastAsia="bg-BG"/>
        </w:rPr>
        <w:t>РА след началото на втория триместър на бременността, се препоръчва ехографска оценка на бъбречната функция и състоянието на черепните челюсти.</w:t>
      </w:r>
    </w:p>
    <w:p w14:paraId="160DB57E"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Кърмачета, чиито майки са приемали А</w:t>
      </w:r>
      <w:r w:rsidRPr="001258BC">
        <w:rPr>
          <w:rFonts w:eastAsia="Times New Roman" w:cs="Arial"/>
          <w:color w:val="000000"/>
          <w:szCs w:val="20"/>
          <w:lang w:val="en-US"/>
        </w:rPr>
        <w:t>II</w:t>
      </w:r>
      <w:r w:rsidRPr="001258BC">
        <w:rPr>
          <w:rFonts w:eastAsia="Times New Roman" w:cs="Arial"/>
          <w:color w:val="000000"/>
          <w:szCs w:val="20"/>
          <w:lang w:eastAsia="bg-BG"/>
        </w:rPr>
        <w:t>РА, трябва да са под непосредствено наблюдение за развитие на хипотония (вж. точки 4.3 и 4.4).</w:t>
      </w:r>
    </w:p>
    <w:p w14:paraId="204B8C2A" w14:textId="77777777" w:rsidR="001258BC" w:rsidRPr="001258BC" w:rsidRDefault="001258BC" w:rsidP="001258BC">
      <w:pPr>
        <w:spacing w:line="240" w:lineRule="auto"/>
        <w:rPr>
          <w:rFonts w:eastAsia="Times New Roman" w:cs="Arial"/>
          <w:i/>
          <w:iCs/>
          <w:color w:val="000000"/>
          <w:szCs w:val="20"/>
          <w:lang w:eastAsia="bg-BG"/>
        </w:rPr>
      </w:pPr>
    </w:p>
    <w:p w14:paraId="26F86EFA" w14:textId="3F68532C"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Хидрохлоротиазид</w:t>
      </w:r>
    </w:p>
    <w:p w14:paraId="23C63C3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Клиничният опит касаещ риска от прием на хидрохлоротиазид по време на бременност е ограничен, особено през първия триместър. Проучванията при животни са недостатъчни. </w:t>
      </w:r>
    </w:p>
    <w:p w14:paraId="4C3EF85E" w14:textId="77777777" w:rsidR="001258BC" w:rsidRPr="001258BC" w:rsidRDefault="001258BC" w:rsidP="001258BC">
      <w:pPr>
        <w:rPr>
          <w:rFonts w:eastAsia="Times New Roman" w:cs="Arial"/>
          <w:sz w:val="28"/>
          <w:szCs w:val="24"/>
        </w:rPr>
      </w:pPr>
      <w:r w:rsidRPr="001258BC">
        <w:rPr>
          <w:rFonts w:eastAsia="Times New Roman" w:cs="Arial"/>
          <w:color w:val="000000"/>
          <w:szCs w:val="20"/>
          <w:lang w:eastAsia="bg-BG"/>
        </w:rPr>
        <w:t>Хидрохлоротиазид преминава през плацентата. Въз основа на фармакологичния механизъм на действие на хидрохлоротиазид, може да се очаква, че приема му през втория и третия триместър на бременността е вероятно да компроментира фето-плацетарната перфузия и да се отрази върху плода и новороденото като иктер. Възможни са нарушения на водно-електролитния баланс и тромбоцитопения.</w:t>
      </w:r>
    </w:p>
    <w:p w14:paraId="26CAF961"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не трябва да се прилага, при отоци по време на бременност и гестационна хипертония, поради риск от понижаване на плазмения обем и плацетарна хипоперфузия, без благоприятен ефект върху хода на болестта.</w:t>
      </w:r>
    </w:p>
    <w:p w14:paraId="53CDBFCD"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не трябва да се прилага при есенциална хипертрофия при бременни жени, освен в случаите, когато не може да се приложи друго лечение.</w:t>
      </w:r>
    </w:p>
    <w:p w14:paraId="7DAA3808" w14:textId="77777777" w:rsidR="001258BC" w:rsidRPr="001258BC" w:rsidRDefault="001258BC" w:rsidP="001258BC">
      <w:pPr>
        <w:spacing w:line="240" w:lineRule="auto"/>
        <w:rPr>
          <w:rFonts w:eastAsia="Times New Roman" w:cs="Arial"/>
          <w:i/>
          <w:iCs/>
          <w:color w:val="000000"/>
          <w:szCs w:val="20"/>
          <w:u w:val="single"/>
          <w:lang w:eastAsia="bg-BG"/>
        </w:rPr>
      </w:pPr>
    </w:p>
    <w:p w14:paraId="1743F2D8" w14:textId="069E3029" w:rsidR="001258BC" w:rsidRPr="001258BC" w:rsidRDefault="001258BC" w:rsidP="001258BC">
      <w:pPr>
        <w:pStyle w:val="Heading3"/>
        <w:rPr>
          <w:rFonts w:eastAsia="Times New Roman"/>
          <w:i/>
          <w:sz w:val="28"/>
          <w:u w:val="single"/>
        </w:rPr>
      </w:pPr>
      <w:r w:rsidRPr="001258BC">
        <w:rPr>
          <w:rFonts w:eastAsia="Times New Roman"/>
          <w:i/>
          <w:u w:val="single"/>
          <w:lang w:eastAsia="bg-BG"/>
        </w:rPr>
        <w:t>Кърмене</w:t>
      </w:r>
    </w:p>
    <w:p w14:paraId="29E0564D" w14:textId="77777777" w:rsidR="001258BC" w:rsidRPr="001258BC" w:rsidRDefault="001258BC" w:rsidP="001258BC">
      <w:pPr>
        <w:spacing w:line="240" w:lineRule="auto"/>
        <w:rPr>
          <w:rFonts w:eastAsia="Times New Roman" w:cs="Arial"/>
          <w:i/>
          <w:iCs/>
          <w:color w:val="000000"/>
          <w:szCs w:val="20"/>
          <w:lang w:eastAsia="bg-BG"/>
        </w:rPr>
      </w:pPr>
    </w:p>
    <w:p w14:paraId="24C7F401" w14:textId="0634926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Ангиотензин II Рецепторни антагонисти (АТ2</w:t>
      </w:r>
      <w:r w:rsidRPr="001258BC">
        <w:rPr>
          <w:rFonts w:eastAsia="Times New Roman" w:cs="Arial"/>
          <w:i/>
          <w:iCs/>
          <w:color w:val="000000"/>
          <w:szCs w:val="20"/>
          <w:lang w:val="ru-RU"/>
        </w:rPr>
        <w:t xml:space="preserve"> </w:t>
      </w:r>
      <w:r w:rsidRPr="001258BC">
        <w:rPr>
          <w:rFonts w:eastAsia="Times New Roman" w:cs="Arial"/>
          <w:i/>
          <w:iCs/>
          <w:color w:val="000000"/>
          <w:szCs w:val="20"/>
          <w:lang w:eastAsia="bg-BG"/>
        </w:rPr>
        <w:t>рецепторни антагонисти):</w:t>
      </w:r>
    </w:p>
    <w:p w14:paraId="25E8924C"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Понеже липсва информация, касаеща употребата на Кантаб Плюс по време на кърмене, приложението на Кантаб Плюс не се препоръчва, като за предпочитане лечение с алтернативни лекарствени средства, които имат установен профил на безопасност при кърмене, особено при кърмене на новородено или недоносено бебе.</w:t>
      </w:r>
    </w:p>
    <w:p w14:paraId="39E036D1" w14:textId="77777777" w:rsidR="001258BC" w:rsidRPr="001258BC" w:rsidRDefault="001258BC" w:rsidP="001258BC">
      <w:pPr>
        <w:spacing w:line="240" w:lineRule="auto"/>
        <w:rPr>
          <w:rFonts w:eastAsia="Times New Roman" w:cs="Arial"/>
          <w:i/>
          <w:iCs/>
          <w:color w:val="000000"/>
          <w:szCs w:val="20"/>
          <w:lang w:eastAsia="bg-BG"/>
        </w:rPr>
      </w:pPr>
    </w:p>
    <w:p w14:paraId="66412F78" w14:textId="1E5B914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Хидрохлоротиазид:</w:t>
      </w:r>
    </w:p>
    <w:p w14:paraId="6DC701D5"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lastRenderedPageBreak/>
        <w:t>При хора хидрохлоротиазид се екскретира в кърмата в малко количество.Тиазидите във високи дози, предизвикващи интензивна диуреза, могат да инхибират образуването на кърма. Използването на Кантаб Плюс по време на кърмене не се препоръчва.</w:t>
      </w:r>
    </w:p>
    <w:p w14:paraId="0702050C" w14:textId="0D4CDE2F" w:rsidR="001258BC" w:rsidRPr="001258BC" w:rsidRDefault="001258BC" w:rsidP="001258BC">
      <w:pPr>
        <w:spacing w:line="240" w:lineRule="auto"/>
        <w:rPr>
          <w:rFonts w:ascii="Times New Roman" w:eastAsia="Times New Roman" w:hAnsi="Times New Roman" w:cs="Times New Roman"/>
          <w:sz w:val="24"/>
          <w:szCs w:val="24"/>
        </w:rPr>
      </w:pPr>
    </w:p>
    <w:p w14:paraId="110BA0F4" w14:textId="77777777" w:rsidR="001258BC" w:rsidRPr="001258BC" w:rsidRDefault="001258BC" w:rsidP="001258BC"/>
    <w:p w14:paraId="5DD7A76D" w14:textId="30642CF7" w:rsidR="007122AD" w:rsidRDefault="002C50EE" w:rsidP="00936AD0">
      <w:pPr>
        <w:pStyle w:val="Heading2"/>
      </w:pPr>
      <w:r>
        <w:t>4.7. Ефекти върху способността за шофиране и работа с машини</w:t>
      </w:r>
    </w:p>
    <w:p w14:paraId="0E1DC03F" w14:textId="2664F36D" w:rsidR="001258BC" w:rsidRDefault="001258BC" w:rsidP="001258BC"/>
    <w:p w14:paraId="0AE05946" w14:textId="77777777" w:rsidR="001258BC" w:rsidRPr="001258BC" w:rsidRDefault="001258BC" w:rsidP="001258BC">
      <w:pPr>
        <w:rPr>
          <w:sz w:val="24"/>
          <w:szCs w:val="24"/>
        </w:rPr>
      </w:pPr>
      <w:r w:rsidRPr="001258BC">
        <w:rPr>
          <w:lang w:eastAsia="bg-BG"/>
        </w:rPr>
        <w:t>Не са правени проучвания на ефектите върху способността за шофиране и работа с машини. При шофиране и работа с машини трябва да се имат предвид редките случаи на замайване или отпадналост по време на лечението с Кантаб Плюс.</w:t>
      </w:r>
    </w:p>
    <w:p w14:paraId="09DB5B77" w14:textId="77777777" w:rsidR="001258BC" w:rsidRPr="001258BC" w:rsidRDefault="001258BC" w:rsidP="001258BC"/>
    <w:p w14:paraId="44CE30A3" w14:textId="5BCD981D" w:rsidR="007122AD" w:rsidRDefault="002C50EE" w:rsidP="00936AD0">
      <w:pPr>
        <w:pStyle w:val="Heading2"/>
      </w:pPr>
      <w:r>
        <w:t>4.8. Нежелани лекарствени реакции</w:t>
      </w:r>
    </w:p>
    <w:p w14:paraId="79516786" w14:textId="42FD7B76" w:rsidR="001258BC" w:rsidRDefault="001258BC" w:rsidP="001258BC"/>
    <w:p w14:paraId="5A47E0B7"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В контролираните клинични проучвания на кандесартан цилексетил/хидрохлоротиазид нежеланите реакции са леки и преходни. Случаите на отпадане поради нежелани реакции със сходна честота в групите на кандесартан цилексетил/хидрохлоротиазид (2,3-3,3%) и плацебо </w:t>
      </w:r>
      <w:r w:rsidRPr="001258BC">
        <w:rPr>
          <w:rFonts w:eastAsia="Times New Roman" w:cs="Arial"/>
          <w:i/>
          <w:iCs/>
          <w:color w:val="000000"/>
          <w:szCs w:val="20"/>
          <w:lang w:eastAsia="bg-BG"/>
        </w:rPr>
        <w:t>(2,</w:t>
      </w:r>
      <w:r w:rsidRPr="001258BC">
        <w:rPr>
          <w:rFonts w:eastAsia="Times New Roman" w:cs="Arial"/>
          <w:color w:val="000000"/>
          <w:szCs w:val="20"/>
          <w:lang w:eastAsia="bg-BG"/>
        </w:rPr>
        <w:t>7-4,3%).</w:t>
      </w:r>
    </w:p>
    <w:p w14:paraId="1FCAD5D2" w14:textId="77777777" w:rsidR="001258BC" w:rsidRPr="001258BC" w:rsidRDefault="001258BC" w:rsidP="001258BC">
      <w:pPr>
        <w:spacing w:line="240" w:lineRule="auto"/>
        <w:rPr>
          <w:rFonts w:eastAsia="Times New Roman" w:cs="Arial"/>
          <w:color w:val="000000"/>
          <w:szCs w:val="20"/>
          <w:lang w:eastAsia="bg-BG"/>
        </w:rPr>
      </w:pPr>
    </w:p>
    <w:p w14:paraId="1284BD1A" w14:textId="2CE9C8D8"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 клиничните проучвания на кандесартан цилексетил/хидрохлоротиазид нежеланите реакция са сведени до такива, за които има по-ранни съобщения при кандесартан цилексетил и/или хидрохлоротиазид.</w:t>
      </w:r>
    </w:p>
    <w:p w14:paraId="2B281536" w14:textId="77777777" w:rsidR="001258BC" w:rsidRPr="001258BC" w:rsidRDefault="001258BC" w:rsidP="001258BC">
      <w:pPr>
        <w:spacing w:line="240" w:lineRule="auto"/>
        <w:rPr>
          <w:rFonts w:eastAsia="Times New Roman" w:cs="Arial"/>
          <w:color w:val="000000"/>
          <w:szCs w:val="20"/>
          <w:lang w:eastAsia="bg-BG"/>
        </w:rPr>
      </w:pPr>
    </w:p>
    <w:p w14:paraId="09574226" w14:textId="43799A7A"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 дадената таблица по-долу са представени нежеланите реакции от клиничните проучвания и постмаркетинговия опит. В сборен анализ на данните от клиничните проучвания при пациенти с артериална хипертония нежеланите реакции към кандесартан цилексетил са дефинирани според честотата на възникване при прием на кандесартан цилексетил, надвишаваща с поне 1% честотата при прием на плацебо.</w:t>
      </w:r>
    </w:p>
    <w:p w14:paraId="2E9F7089" w14:textId="77777777" w:rsidR="001258BC" w:rsidRPr="001258BC" w:rsidRDefault="001258BC" w:rsidP="001258BC">
      <w:pPr>
        <w:rPr>
          <w:rFonts w:eastAsia="Times New Roman" w:cs="Arial"/>
          <w:color w:val="000000"/>
          <w:szCs w:val="20"/>
          <w:lang w:eastAsia="bg-BG"/>
        </w:rPr>
      </w:pPr>
    </w:p>
    <w:p w14:paraId="11763A68" w14:textId="02CDF0B2" w:rsidR="001258BC" w:rsidRDefault="001258BC" w:rsidP="001258BC">
      <w:pPr>
        <w:rPr>
          <w:rFonts w:eastAsia="Times New Roman" w:cs="Arial"/>
          <w:color w:val="000000"/>
          <w:szCs w:val="20"/>
          <w:lang w:eastAsia="bg-BG"/>
        </w:rPr>
      </w:pPr>
      <w:r w:rsidRPr="001258BC">
        <w:rPr>
          <w:rFonts w:eastAsia="Times New Roman" w:cs="Arial"/>
          <w:color w:val="000000"/>
          <w:szCs w:val="20"/>
          <w:lang w:eastAsia="bg-BG"/>
        </w:rPr>
        <w:t>Използваните в таблиците в точка 4.8 честоти са както следва: много чести (≥1/10), чести (≥1/100 до &lt;1/10), нечести (≥1/1000 до &lt;1/100), редки (≥1/10 000 до &lt;1/1000), много редки (&lt;1/10 000), с неизвестна честота (от наличните данни не може да бъде направена оценка).</w:t>
      </w:r>
    </w:p>
    <w:p w14:paraId="31979B61" w14:textId="2030B35B" w:rsidR="001258BC" w:rsidRDefault="001258BC" w:rsidP="001258BC">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26"/>
        <w:gridCol w:w="3081"/>
        <w:gridCol w:w="3143"/>
      </w:tblGrid>
      <w:tr w:rsidR="001258BC" w14:paraId="6554825A" w14:textId="77777777" w:rsidTr="001258BC">
        <w:tc>
          <w:tcPr>
            <w:tcW w:w="3192" w:type="dxa"/>
          </w:tcPr>
          <w:p w14:paraId="2BCC5906" w14:textId="7B7180CE" w:rsidR="001258BC" w:rsidRPr="001258BC" w:rsidRDefault="001258BC" w:rsidP="001258BC">
            <w:pPr>
              <w:rPr>
                <w:rFonts w:eastAsia="Times New Roman" w:cs="Arial"/>
                <w:color w:val="000000"/>
                <w:szCs w:val="20"/>
                <w:lang w:eastAsia="bg-BG"/>
              </w:rPr>
            </w:pPr>
            <w:r w:rsidRPr="001258BC">
              <w:rPr>
                <w:rFonts w:cs="Arial"/>
                <w:b/>
                <w:bCs/>
                <w:szCs w:val="20"/>
              </w:rPr>
              <w:t>Системо-органни класове</w:t>
            </w:r>
          </w:p>
        </w:tc>
        <w:tc>
          <w:tcPr>
            <w:tcW w:w="3192" w:type="dxa"/>
          </w:tcPr>
          <w:p w14:paraId="59800223" w14:textId="4C67488F" w:rsidR="001258BC" w:rsidRPr="001258BC" w:rsidRDefault="001258BC" w:rsidP="001258BC">
            <w:pPr>
              <w:rPr>
                <w:rFonts w:eastAsia="Times New Roman" w:cs="Arial"/>
                <w:color w:val="000000"/>
                <w:szCs w:val="20"/>
                <w:lang w:eastAsia="bg-BG"/>
              </w:rPr>
            </w:pPr>
            <w:r w:rsidRPr="001258BC">
              <w:rPr>
                <w:rFonts w:cs="Arial"/>
                <w:b/>
                <w:bCs/>
                <w:szCs w:val="20"/>
              </w:rPr>
              <w:t>Честота</w:t>
            </w:r>
          </w:p>
        </w:tc>
        <w:tc>
          <w:tcPr>
            <w:tcW w:w="3192" w:type="dxa"/>
          </w:tcPr>
          <w:p w14:paraId="1EDED315" w14:textId="31577B2E" w:rsidR="001258BC" w:rsidRPr="001258BC" w:rsidRDefault="001258BC" w:rsidP="001258BC">
            <w:pPr>
              <w:rPr>
                <w:rFonts w:eastAsia="Times New Roman" w:cs="Arial"/>
                <w:color w:val="000000"/>
                <w:szCs w:val="20"/>
                <w:lang w:eastAsia="bg-BG"/>
              </w:rPr>
            </w:pPr>
            <w:r w:rsidRPr="001258BC">
              <w:rPr>
                <w:rFonts w:cs="Arial"/>
                <w:b/>
                <w:bCs/>
                <w:szCs w:val="20"/>
              </w:rPr>
              <w:t>Нежелана реакция</w:t>
            </w:r>
          </w:p>
        </w:tc>
      </w:tr>
      <w:tr w:rsidR="001258BC" w14:paraId="3997DEAF" w14:textId="77777777" w:rsidTr="001258BC">
        <w:tc>
          <w:tcPr>
            <w:tcW w:w="3192" w:type="dxa"/>
          </w:tcPr>
          <w:p w14:paraId="76199999" w14:textId="041D5667" w:rsidR="001258BC" w:rsidRPr="001258BC" w:rsidRDefault="001258BC" w:rsidP="001258BC">
            <w:pPr>
              <w:rPr>
                <w:rFonts w:eastAsia="Times New Roman" w:cs="Arial"/>
                <w:color w:val="000000"/>
                <w:szCs w:val="20"/>
                <w:lang w:eastAsia="bg-BG"/>
              </w:rPr>
            </w:pPr>
            <w:r w:rsidRPr="001258BC">
              <w:rPr>
                <w:rFonts w:cs="Arial"/>
                <w:szCs w:val="20"/>
              </w:rPr>
              <w:t>Инфекции и инвестации</w:t>
            </w:r>
          </w:p>
        </w:tc>
        <w:tc>
          <w:tcPr>
            <w:tcW w:w="3192" w:type="dxa"/>
          </w:tcPr>
          <w:p w14:paraId="4F2679CB" w14:textId="748853DA" w:rsidR="001258BC" w:rsidRPr="001258BC" w:rsidRDefault="001258BC" w:rsidP="001258BC">
            <w:pPr>
              <w:rPr>
                <w:rFonts w:eastAsia="Times New Roman" w:cs="Arial"/>
                <w:color w:val="000000"/>
                <w:szCs w:val="20"/>
                <w:lang w:eastAsia="bg-BG"/>
              </w:rPr>
            </w:pPr>
            <w:r w:rsidRPr="001258BC">
              <w:rPr>
                <w:rFonts w:cs="Arial"/>
                <w:szCs w:val="20"/>
              </w:rPr>
              <w:t>Чести</w:t>
            </w:r>
          </w:p>
        </w:tc>
        <w:tc>
          <w:tcPr>
            <w:tcW w:w="3192" w:type="dxa"/>
          </w:tcPr>
          <w:p w14:paraId="121B3A4A" w14:textId="2D05D95E" w:rsidR="001258BC" w:rsidRPr="001258BC" w:rsidRDefault="001258BC" w:rsidP="001258BC">
            <w:pPr>
              <w:rPr>
                <w:rFonts w:eastAsia="Times New Roman" w:cs="Arial"/>
                <w:color w:val="000000"/>
                <w:szCs w:val="20"/>
                <w:lang w:eastAsia="bg-BG"/>
              </w:rPr>
            </w:pPr>
            <w:r w:rsidRPr="001258BC">
              <w:rPr>
                <w:rFonts w:cs="Arial"/>
                <w:szCs w:val="20"/>
              </w:rPr>
              <w:t>Респираторна инфекция</w:t>
            </w:r>
          </w:p>
        </w:tc>
      </w:tr>
      <w:tr w:rsidR="001258BC" w14:paraId="65F24E3E" w14:textId="77777777" w:rsidTr="001258BC">
        <w:tc>
          <w:tcPr>
            <w:tcW w:w="3192" w:type="dxa"/>
          </w:tcPr>
          <w:p w14:paraId="1246A316" w14:textId="78015AB9" w:rsidR="001258BC" w:rsidRPr="001258BC" w:rsidRDefault="001258BC" w:rsidP="001258BC">
            <w:pPr>
              <w:rPr>
                <w:rFonts w:eastAsia="Times New Roman" w:cs="Arial"/>
                <w:color w:val="000000"/>
                <w:szCs w:val="20"/>
                <w:lang w:eastAsia="bg-BG"/>
              </w:rPr>
            </w:pPr>
            <w:r w:rsidRPr="001258BC">
              <w:rPr>
                <w:rFonts w:cs="Arial"/>
                <w:szCs w:val="20"/>
                <w:u w:val="single"/>
              </w:rPr>
              <w:t xml:space="preserve">Нарушения на кръвта и лимфната </w:t>
            </w:r>
            <w:r w:rsidRPr="001258BC">
              <w:rPr>
                <w:rFonts w:cs="Arial"/>
                <w:szCs w:val="20"/>
              </w:rPr>
              <w:t>система</w:t>
            </w:r>
          </w:p>
        </w:tc>
        <w:tc>
          <w:tcPr>
            <w:tcW w:w="3192" w:type="dxa"/>
          </w:tcPr>
          <w:p w14:paraId="3AEB4FB8" w14:textId="036A84CC"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705E1FAE" w14:textId="4BA4BE2C" w:rsidR="001258BC" w:rsidRPr="001258BC" w:rsidRDefault="001258BC" w:rsidP="001258BC">
            <w:pPr>
              <w:rPr>
                <w:rFonts w:eastAsia="Times New Roman" w:cs="Arial"/>
                <w:szCs w:val="24"/>
              </w:rPr>
            </w:pPr>
            <w:r w:rsidRPr="001258BC">
              <w:rPr>
                <w:rFonts w:cs="Arial"/>
                <w:szCs w:val="20"/>
              </w:rPr>
              <w:t xml:space="preserve">Левкопения, неутропения и </w:t>
            </w:r>
            <w:r w:rsidRPr="001258BC">
              <w:rPr>
                <w:rFonts w:eastAsia="Times New Roman" w:cs="Arial"/>
                <w:color w:val="000000"/>
                <w:szCs w:val="20"/>
                <w:lang w:eastAsia="bg-BG"/>
              </w:rPr>
              <w:t>агранулоцитоза</w:t>
            </w:r>
          </w:p>
        </w:tc>
      </w:tr>
      <w:tr w:rsidR="001258BC" w14:paraId="024E6E6D" w14:textId="77777777" w:rsidTr="00BF34A2">
        <w:tc>
          <w:tcPr>
            <w:tcW w:w="3192" w:type="dxa"/>
            <w:vAlign w:val="bottom"/>
          </w:tcPr>
          <w:p w14:paraId="1BB0A06E" w14:textId="7C02BB1E" w:rsidR="001258BC" w:rsidRPr="001258BC" w:rsidRDefault="001258BC" w:rsidP="001258BC">
            <w:pPr>
              <w:rPr>
                <w:rFonts w:eastAsia="Times New Roman" w:cs="Arial"/>
                <w:color w:val="000000"/>
                <w:szCs w:val="20"/>
                <w:lang w:eastAsia="bg-BG"/>
              </w:rPr>
            </w:pPr>
            <w:r w:rsidRPr="001258BC">
              <w:rPr>
                <w:rFonts w:cs="Arial"/>
                <w:szCs w:val="20"/>
              </w:rPr>
              <w:t>Нарушения на метаболизма и храненето</w:t>
            </w:r>
          </w:p>
        </w:tc>
        <w:tc>
          <w:tcPr>
            <w:tcW w:w="3192" w:type="dxa"/>
          </w:tcPr>
          <w:p w14:paraId="620751C2" w14:textId="0FD1571A"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4DD8695A" w14:textId="6D0734D1" w:rsidR="001258BC" w:rsidRPr="001258BC" w:rsidRDefault="001258BC" w:rsidP="001258BC">
            <w:pPr>
              <w:rPr>
                <w:rFonts w:eastAsia="Times New Roman" w:cs="Arial"/>
                <w:color w:val="000000"/>
                <w:szCs w:val="20"/>
                <w:lang w:eastAsia="bg-BG"/>
              </w:rPr>
            </w:pPr>
            <w:r w:rsidRPr="001258BC">
              <w:rPr>
                <w:rFonts w:cs="Arial"/>
                <w:szCs w:val="20"/>
              </w:rPr>
              <w:t>Хиперкалиемия, хипонатриемия</w:t>
            </w:r>
          </w:p>
        </w:tc>
      </w:tr>
      <w:tr w:rsidR="001258BC" w14:paraId="1F3A8745" w14:textId="77777777" w:rsidTr="00BF34A2">
        <w:tc>
          <w:tcPr>
            <w:tcW w:w="3192" w:type="dxa"/>
            <w:vAlign w:val="bottom"/>
          </w:tcPr>
          <w:p w14:paraId="15EEFF14" w14:textId="488234DB" w:rsidR="001258BC" w:rsidRPr="001258BC" w:rsidRDefault="001258BC" w:rsidP="001258BC">
            <w:pPr>
              <w:rPr>
                <w:rFonts w:eastAsia="Times New Roman" w:cs="Arial"/>
                <w:color w:val="000000"/>
                <w:szCs w:val="20"/>
                <w:lang w:eastAsia="bg-BG"/>
              </w:rPr>
            </w:pPr>
            <w:r w:rsidRPr="001258BC">
              <w:rPr>
                <w:rFonts w:cs="Arial"/>
                <w:szCs w:val="20"/>
              </w:rPr>
              <w:t>Нарушения на нервната система</w:t>
            </w:r>
          </w:p>
        </w:tc>
        <w:tc>
          <w:tcPr>
            <w:tcW w:w="3192" w:type="dxa"/>
            <w:vAlign w:val="bottom"/>
          </w:tcPr>
          <w:p w14:paraId="0CBC4D94" w14:textId="46328402" w:rsidR="001258BC" w:rsidRPr="001258BC" w:rsidRDefault="001258BC" w:rsidP="001258BC">
            <w:pPr>
              <w:rPr>
                <w:rFonts w:eastAsia="Times New Roman" w:cs="Arial"/>
                <w:color w:val="000000"/>
                <w:szCs w:val="20"/>
                <w:lang w:eastAsia="bg-BG"/>
              </w:rPr>
            </w:pPr>
            <w:r w:rsidRPr="001258BC">
              <w:rPr>
                <w:rFonts w:cs="Arial"/>
                <w:szCs w:val="20"/>
              </w:rPr>
              <w:t>Чести</w:t>
            </w:r>
          </w:p>
        </w:tc>
        <w:tc>
          <w:tcPr>
            <w:tcW w:w="3192" w:type="dxa"/>
            <w:vAlign w:val="bottom"/>
          </w:tcPr>
          <w:p w14:paraId="2EF8F0CC" w14:textId="1AFF2163" w:rsidR="001258BC" w:rsidRPr="001258BC" w:rsidRDefault="001258BC" w:rsidP="001258BC">
            <w:pPr>
              <w:rPr>
                <w:rFonts w:eastAsia="Times New Roman" w:cs="Arial"/>
                <w:color w:val="000000"/>
                <w:szCs w:val="20"/>
                <w:lang w:eastAsia="bg-BG"/>
              </w:rPr>
            </w:pPr>
            <w:r w:rsidRPr="001258BC">
              <w:rPr>
                <w:rFonts w:cs="Arial"/>
                <w:szCs w:val="20"/>
              </w:rPr>
              <w:t>Замайване/вертиго, главоболие</w:t>
            </w:r>
          </w:p>
        </w:tc>
      </w:tr>
      <w:tr w:rsidR="001258BC" w14:paraId="4E64333E" w14:textId="77777777" w:rsidTr="00BF34A2">
        <w:tc>
          <w:tcPr>
            <w:tcW w:w="3192" w:type="dxa"/>
            <w:vAlign w:val="bottom"/>
          </w:tcPr>
          <w:p w14:paraId="23642EA5" w14:textId="48B09294" w:rsidR="001258BC" w:rsidRPr="001258BC" w:rsidRDefault="001258BC" w:rsidP="001258BC">
            <w:pPr>
              <w:rPr>
                <w:rFonts w:eastAsia="Times New Roman" w:cs="Arial"/>
                <w:color w:val="000000"/>
                <w:szCs w:val="20"/>
                <w:lang w:eastAsia="bg-BG"/>
              </w:rPr>
            </w:pPr>
            <w:r w:rsidRPr="001258BC">
              <w:rPr>
                <w:rFonts w:cs="Arial"/>
                <w:szCs w:val="20"/>
              </w:rPr>
              <w:t>Респираторни, гръдни и медиастинални нарушения</w:t>
            </w:r>
          </w:p>
        </w:tc>
        <w:tc>
          <w:tcPr>
            <w:tcW w:w="3192" w:type="dxa"/>
          </w:tcPr>
          <w:p w14:paraId="555E3BD8" w14:textId="38F419C6"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1B2AA763" w14:textId="078D8AE3" w:rsidR="001258BC" w:rsidRPr="001258BC" w:rsidRDefault="001258BC" w:rsidP="001258BC">
            <w:pPr>
              <w:rPr>
                <w:rFonts w:eastAsia="Times New Roman" w:cs="Arial"/>
                <w:color w:val="000000"/>
                <w:szCs w:val="20"/>
                <w:lang w:eastAsia="bg-BG"/>
              </w:rPr>
            </w:pPr>
            <w:r w:rsidRPr="001258BC">
              <w:rPr>
                <w:rFonts w:cs="Arial"/>
                <w:szCs w:val="20"/>
              </w:rPr>
              <w:t>Кашлица</w:t>
            </w:r>
          </w:p>
        </w:tc>
      </w:tr>
      <w:tr w:rsidR="001258BC" w14:paraId="65D1FFEB" w14:textId="77777777" w:rsidTr="00BF34A2">
        <w:tc>
          <w:tcPr>
            <w:tcW w:w="3192" w:type="dxa"/>
            <w:vAlign w:val="bottom"/>
          </w:tcPr>
          <w:p w14:paraId="750EA6CA" w14:textId="5C15E4A7" w:rsidR="001258BC" w:rsidRPr="001258BC" w:rsidRDefault="001258BC" w:rsidP="001258BC">
            <w:pPr>
              <w:rPr>
                <w:rFonts w:eastAsia="Times New Roman" w:cs="Arial"/>
                <w:color w:val="000000"/>
                <w:szCs w:val="20"/>
                <w:lang w:eastAsia="bg-BG"/>
              </w:rPr>
            </w:pPr>
            <w:r w:rsidRPr="001258BC">
              <w:rPr>
                <w:rFonts w:cs="Arial"/>
                <w:szCs w:val="20"/>
              </w:rPr>
              <w:t>Стомашно-чревни нарушения</w:t>
            </w:r>
          </w:p>
        </w:tc>
        <w:tc>
          <w:tcPr>
            <w:tcW w:w="3192" w:type="dxa"/>
            <w:vAlign w:val="bottom"/>
          </w:tcPr>
          <w:p w14:paraId="4E218858" w14:textId="4EF1D1BA"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vAlign w:val="bottom"/>
          </w:tcPr>
          <w:p w14:paraId="777886A3" w14:textId="2E07BE76" w:rsidR="001258BC" w:rsidRPr="001258BC" w:rsidRDefault="001258BC" w:rsidP="001258BC">
            <w:pPr>
              <w:rPr>
                <w:rFonts w:eastAsia="Times New Roman" w:cs="Arial"/>
                <w:color w:val="000000"/>
                <w:szCs w:val="20"/>
                <w:lang w:eastAsia="bg-BG"/>
              </w:rPr>
            </w:pPr>
            <w:r w:rsidRPr="001258BC">
              <w:rPr>
                <w:rFonts w:cs="Arial"/>
                <w:szCs w:val="20"/>
              </w:rPr>
              <w:t>Гадене</w:t>
            </w:r>
          </w:p>
        </w:tc>
      </w:tr>
      <w:tr w:rsidR="001258BC" w14:paraId="742FFDA1" w14:textId="77777777" w:rsidTr="001258BC">
        <w:tc>
          <w:tcPr>
            <w:tcW w:w="3192" w:type="dxa"/>
          </w:tcPr>
          <w:p w14:paraId="4453B901" w14:textId="7A22924D" w:rsidR="001258BC" w:rsidRPr="001258BC" w:rsidRDefault="001258BC" w:rsidP="001258BC">
            <w:pPr>
              <w:rPr>
                <w:rFonts w:eastAsia="Times New Roman" w:cs="Arial"/>
                <w:color w:val="000000"/>
                <w:szCs w:val="20"/>
                <w:lang w:eastAsia="bg-BG"/>
              </w:rPr>
            </w:pPr>
            <w:r w:rsidRPr="001258BC">
              <w:rPr>
                <w:rFonts w:cs="Arial"/>
                <w:szCs w:val="20"/>
              </w:rPr>
              <w:t>Хепатобилиарни нарушения</w:t>
            </w:r>
          </w:p>
        </w:tc>
        <w:tc>
          <w:tcPr>
            <w:tcW w:w="3192" w:type="dxa"/>
          </w:tcPr>
          <w:p w14:paraId="5AED4503" w14:textId="1B538138"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5B7D6246" w14:textId="6D9114E3" w:rsidR="001258BC" w:rsidRPr="001258BC" w:rsidRDefault="001258BC" w:rsidP="001258BC">
            <w:pPr>
              <w:rPr>
                <w:rFonts w:eastAsia="Times New Roman" w:cs="Arial"/>
                <w:color w:val="000000"/>
                <w:szCs w:val="20"/>
                <w:lang w:eastAsia="bg-BG"/>
              </w:rPr>
            </w:pPr>
            <w:r w:rsidRPr="001258BC">
              <w:rPr>
                <w:rFonts w:cs="Arial"/>
                <w:szCs w:val="20"/>
              </w:rPr>
              <w:t xml:space="preserve">Повишаване на чернодробните ензими, отклонения в </w:t>
            </w:r>
            <w:r w:rsidRPr="001258BC">
              <w:rPr>
                <w:rFonts w:cs="Arial"/>
                <w:szCs w:val="20"/>
              </w:rPr>
              <w:lastRenderedPageBreak/>
              <w:t>чернодробната функция или хепатит</w:t>
            </w:r>
          </w:p>
        </w:tc>
      </w:tr>
      <w:tr w:rsidR="001258BC" w14:paraId="3C9F24AD" w14:textId="77777777" w:rsidTr="00BF34A2">
        <w:tc>
          <w:tcPr>
            <w:tcW w:w="3192" w:type="dxa"/>
            <w:vAlign w:val="bottom"/>
          </w:tcPr>
          <w:p w14:paraId="70220066" w14:textId="71DB369B" w:rsidR="001258BC" w:rsidRPr="001258BC" w:rsidRDefault="001258BC" w:rsidP="001258BC">
            <w:pPr>
              <w:rPr>
                <w:rFonts w:eastAsia="Times New Roman" w:cs="Arial"/>
                <w:color w:val="000000"/>
                <w:szCs w:val="20"/>
                <w:lang w:eastAsia="bg-BG"/>
              </w:rPr>
            </w:pPr>
            <w:r w:rsidRPr="001258BC">
              <w:rPr>
                <w:rFonts w:cs="Arial"/>
                <w:szCs w:val="20"/>
              </w:rPr>
              <w:lastRenderedPageBreak/>
              <w:t>Нарушения на кожата и подкожната тъкан</w:t>
            </w:r>
          </w:p>
        </w:tc>
        <w:tc>
          <w:tcPr>
            <w:tcW w:w="3192" w:type="dxa"/>
          </w:tcPr>
          <w:p w14:paraId="63762D15" w14:textId="01CAD91D"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vAlign w:val="bottom"/>
          </w:tcPr>
          <w:p w14:paraId="47AC6B5A" w14:textId="5DF7EA4D" w:rsidR="001258BC" w:rsidRPr="001258BC" w:rsidRDefault="001258BC" w:rsidP="001258BC">
            <w:pPr>
              <w:rPr>
                <w:rFonts w:eastAsia="Times New Roman" w:cs="Arial"/>
                <w:color w:val="000000"/>
                <w:szCs w:val="20"/>
                <w:lang w:eastAsia="bg-BG"/>
              </w:rPr>
            </w:pPr>
            <w:r w:rsidRPr="001258BC">
              <w:rPr>
                <w:rFonts w:cs="Arial"/>
                <w:szCs w:val="20"/>
              </w:rPr>
              <w:t>Ангиоедем, обрив, уртикария, пруритус</w:t>
            </w:r>
          </w:p>
        </w:tc>
      </w:tr>
      <w:tr w:rsidR="001258BC" w14:paraId="271BD886" w14:textId="77777777" w:rsidTr="00BF34A2">
        <w:tc>
          <w:tcPr>
            <w:tcW w:w="3192" w:type="dxa"/>
            <w:vAlign w:val="bottom"/>
          </w:tcPr>
          <w:p w14:paraId="404ED78A" w14:textId="0AE471BB" w:rsidR="001258BC" w:rsidRPr="001258BC" w:rsidRDefault="001258BC" w:rsidP="001258BC">
            <w:pPr>
              <w:rPr>
                <w:rFonts w:eastAsia="Times New Roman" w:cs="Arial"/>
                <w:color w:val="000000"/>
                <w:szCs w:val="20"/>
                <w:lang w:eastAsia="bg-BG"/>
              </w:rPr>
            </w:pPr>
            <w:r w:rsidRPr="001258BC">
              <w:rPr>
                <w:rFonts w:cs="Arial"/>
                <w:szCs w:val="20"/>
              </w:rPr>
              <w:t>Нарушения на мускулно-скелетната система и съединителната тъкан</w:t>
            </w:r>
          </w:p>
        </w:tc>
        <w:tc>
          <w:tcPr>
            <w:tcW w:w="3192" w:type="dxa"/>
          </w:tcPr>
          <w:p w14:paraId="2BAFA90B" w14:textId="78EBD0AC"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0CF4D1A8" w14:textId="09B14A1A" w:rsidR="001258BC" w:rsidRPr="001258BC" w:rsidRDefault="001258BC" w:rsidP="001258BC">
            <w:pPr>
              <w:rPr>
                <w:rFonts w:eastAsia="Times New Roman" w:cs="Arial"/>
                <w:color w:val="000000"/>
                <w:szCs w:val="20"/>
                <w:lang w:eastAsia="bg-BG"/>
              </w:rPr>
            </w:pPr>
            <w:r w:rsidRPr="001258BC">
              <w:rPr>
                <w:rFonts w:cs="Arial"/>
                <w:szCs w:val="20"/>
              </w:rPr>
              <w:t>Болки в гърба, артралгия, миалгия</w:t>
            </w:r>
          </w:p>
        </w:tc>
      </w:tr>
      <w:tr w:rsidR="001258BC" w14:paraId="2D520F13" w14:textId="77777777" w:rsidTr="001258BC">
        <w:tc>
          <w:tcPr>
            <w:tcW w:w="3192" w:type="dxa"/>
          </w:tcPr>
          <w:p w14:paraId="724E52E2" w14:textId="71748569" w:rsidR="001258BC" w:rsidRPr="001258BC" w:rsidRDefault="001258BC" w:rsidP="001258BC">
            <w:pPr>
              <w:rPr>
                <w:rFonts w:eastAsia="Times New Roman" w:cs="Arial"/>
                <w:color w:val="000000"/>
                <w:szCs w:val="20"/>
                <w:lang w:eastAsia="bg-BG"/>
              </w:rPr>
            </w:pPr>
            <w:r w:rsidRPr="001258BC">
              <w:rPr>
                <w:rFonts w:cs="Arial"/>
                <w:szCs w:val="20"/>
              </w:rPr>
              <w:t>Нарушения на бъбреците и пикочните пътища</w:t>
            </w:r>
          </w:p>
        </w:tc>
        <w:tc>
          <w:tcPr>
            <w:tcW w:w="3192" w:type="dxa"/>
          </w:tcPr>
          <w:p w14:paraId="41CEAFDF" w14:textId="1E2EEF4E"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313DDCF2" w14:textId="2D498DA8" w:rsidR="001258BC" w:rsidRPr="001258BC" w:rsidRDefault="001258BC" w:rsidP="001258BC">
            <w:pPr>
              <w:rPr>
                <w:rFonts w:cs="Arial"/>
              </w:rPr>
            </w:pPr>
            <w:r w:rsidRPr="001258BC">
              <w:rPr>
                <w:rFonts w:cs="Arial"/>
                <w:szCs w:val="20"/>
              </w:rPr>
              <w:t>Бъбречно увреждане, включително бъбречна недостатъчност при предразположени пациенти (вж.</w:t>
            </w:r>
            <w:r w:rsidRPr="001258BC">
              <w:rPr>
                <w:rFonts w:cs="Arial"/>
              </w:rPr>
              <w:t xml:space="preserve"> </w:t>
            </w:r>
            <w:r w:rsidRPr="001258BC">
              <w:rPr>
                <w:rFonts w:cs="Arial"/>
                <w:szCs w:val="20"/>
              </w:rPr>
              <w:t>точка 4.4)</w:t>
            </w:r>
          </w:p>
        </w:tc>
      </w:tr>
    </w:tbl>
    <w:p w14:paraId="075D6FBF" w14:textId="77777777" w:rsidR="001258BC" w:rsidRPr="001258BC" w:rsidRDefault="001258BC" w:rsidP="001258BC">
      <w:pPr>
        <w:rPr>
          <w:rFonts w:eastAsia="Times New Roman" w:cs="Arial"/>
          <w:color w:val="000000"/>
          <w:szCs w:val="20"/>
          <w:lang w:eastAsia="bg-BG"/>
        </w:rPr>
      </w:pPr>
    </w:p>
    <w:p w14:paraId="51D403F7" w14:textId="77777777" w:rsidR="001258BC" w:rsidRPr="001258BC" w:rsidRDefault="001258BC" w:rsidP="001258BC">
      <w:pPr>
        <w:rPr>
          <w:sz w:val="24"/>
          <w:szCs w:val="24"/>
        </w:rPr>
      </w:pPr>
      <w:r w:rsidRPr="001258BC">
        <w:rPr>
          <w:lang w:eastAsia="bg-BG"/>
        </w:rPr>
        <w:t xml:space="preserve">В дадената таблица по-долу са представени нежеланите реакции при монотерапия с хидрохлоротиазид, обикновено в доза от 25 </w:t>
      </w:r>
      <w:r w:rsidRPr="001258BC">
        <w:rPr>
          <w:lang w:val="en-US"/>
        </w:rPr>
        <w:t>mg</w:t>
      </w:r>
      <w:r w:rsidRPr="001258BC">
        <w:rPr>
          <w:lang w:val="ru-RU"/>
        </w:rPr>
        <w:t xml:space="preserve"> </w:t>
      </w:r>
      <w:r w:rsidRPr="001258BC">
        <w:rPr>
          <w:lang w:eastAsia="bg-BG"/>
        </w:rPr>
        <w:t>или по-висока.</w:t>
      </w:r>
    </w:p>
    <w:p w14:paraId="01F42E35" w14:textId="4DA8F28C" w:rsidR="001258BC" w:rsidRDefault="001258BC" w:rsidP="001258BC"/>
    <w:tbl>
      <w:tblPr>
        <w:tblStyle w:val="TableGrid"/>
        <w:tblW w:w="0" w:type="auto"/>
        <w:tblLook w:val="04A0" w:firstRow="1" w:lastRow="0" w:firstColumn="1" w:lastColumn="0" w:noHBand="0" w:noVBand="1"/>
      </w:tblPr>
      <w:tblGrid>
        <w:gridCol w:w="3125"/>
        <w:gridCol w:w="3079"/>
        <w:gridCol w:w="3146"/>
      </w:tblGrid>
      <w:tr w:rsidR="001258BC" w14:paraId="427534A9" w14:textId="77777777" w:rsidTr="001948F4">
        <w:tc>
          <w:tcPr>
            <w:tcW w:w="3192" w:type="dxa"/>
            <w:vAlign w:val="bottom"/>
          </w:tcPr>
          <w:p w14:paraId="4CF5008A" w14:textId="7DCBED15" w:rsidR="001258BC" w:rsidRPr="001258BC" w:rsidRDefault="001258BC" w:rsidP="001258BC">
            <w:r w:rsidRPr="001258BC">
              <w:rPr>
                <w:b/>
                <w:bCs/>
                <w:szCs w:val="20"/>
              </w:rPr>
              <w:t>Системо-органни класове</w:t>
            </w:r>
          </w:p>
        </w:tc>
        <w:tc>
          <w:tcPr>
            <w:tcW w:w="3192" w:type="dxa"/>
            <w:vAlign w:val="bottom"/>
          </w:tcPr>
          <w:p w14:paraId="6E228A84" w14:textId="13533CA9" w:rsidR="001258BC" w:rsidRPr="001258BC" w:rsidRDefault="001258BC" w:rsidP="001258BC">
            <w:r w:rsidRPr="001258BC">
              <w:rPr>
                <w:b/>
                <w:bCs/>
                <w:szCs w:val="20"/>
              </w:rPr>
              <w:t>Честота</w:t>
            </w:r>
          </w:p>
        </w:tc>
        <w:tc>
          <w:tcPr>
            <w:tcW w:w="3192" w:type="dxa"/>
            <w:vAlign w:val="bottom"/>
          </w:tcPr>
          <w:p w14:paraId="3E28E8BB" w14:textId="7B4AE6F3" w:rsidR="001258BC" w:rsidRPr="001258BC" w:rsidRDefault="001258BC" w:rsidP="001258BC">
            <w:r w:rsidRPr="001258BC">
              <w:rPr>
                <w:b/>
                <w:bCs/>
                <w:szCs w:val="20"/>
              </w:rPr>
              <w:t>Нежелана реакция</w:t>
            </w:r>
          </w:p>
        </w:tc>
      </w:tr>
      <w:tr w:rsidR="001258BC" w14:paraId="64CB24D0" w14:textId="77777777" w:rsidTr="001258BC">
        <w:tc>
          <w:tcPr>
            <w:tcW w:w="3192" w:type="dxa"/>
          </w:tcPr>
          <w:p w14:paraId="2572125C" w14:textId="038AE407" w:rsidR="001258BC" w:rsidRPr="001258BC" w:rsidRDefault="001258BC" w:rsidP="001258BC">
            <w:r w:rsidRPr="001258BC">
              <w:rPr>
                <w:szCs w:val="20"/>
              </w:rPr>
              <w:t>Нарушения на кръвта и лимфната система</w:t>
            </w:r>
          </w:p>
        </w:tc>
        <w:tc>
          <w:tcPr>
            <w:tcW w:w="3192" w:type="dxa"/>
          </w:tcPr>
          <w:p w14:paraId="24371A88" w14:textId="025A9BD1" w:rsidR="001258BC" w:rsidRPr="001258BC" w:rsidRDefault="001258BC" w:rsidP="001258BC">
            <w:r w:rsidRPr="001258BC">
              <w:rPr>
                <w:szCs w:val="20"/>
              </w:rPr>
              <w:t>Редки</w:t>
            </w:r>
          </w:p>
        </w:tc>
        <w:tc>
          <w:tcPr>
            <w:tcW w:w="3192" w:type="dxa"/>
          </w:tcPr>
          <w:p w14:paraId="71019557" w14:textId="69184809" w:rsidR="001258BC" w:rsidRPr="001258BC" w:rsidRDefault="001258BC" w:rsidP="001258BC">
            <w:r w:rsidRPr="001258BC">
              <w:rPr>
                <w:szCs w:val="20"/>
              </w:rPr>
              <w:t>Левкопения, неутропения и агранулоцитоза, тромбоцитопения, апластична анемия, костно-мозъчна супресия, хемолитична анемия</w:t>
            </w:r>
          </w:p>
        </w:tc>
      </w:tr>
      <w:tr w:rsidR="001258BC" w14:paraId="42D48D74" w14:textId="77777777" w:rsidTr="001948F4">
        <w:tc>
          <w:tcPr>
            <w:tcW w:w="3192" w:type="dxa"/>
            <w:vAlign w:val="bottom"/>
          </w:tcPr>
          <w:p w14:paraId="6050234A" w14:textId="63907A6E" w:rsidR="001258BC" w:rsidRPr="001258BC" w:rsidRDefault="001258BC" w:rsidP="001258BC">
            <w:r w:rsidRPr="001258BC">
              <w:rPr>
                <w:szCs w:val="20"/>
              </w:rPr>
              <w:t>Нарушения на имунната система</w:t>
            </w:r>
          </w:p>
        </w:tc>
        <w:tc>
          <w:tcPr>
            <w:tcW w:w="3192" w:type="dxa"/>
            <w:vAlign w:val="bottom"/>
          </w:tcPr>
          <w:p w14:paraId="7D66C504" w14:textId="38B5B3CA" w:rsidR="001258BC" w:rsidRPr="001258BC" w:rsidRDefault="001258BC" w:rsidP="001258BC">
            <w:r w:rsidRPr="001258BC">
              <w:rPr>
                <w:szCs w:val="20"/>
              </w:rPr>
              <w:t>Редки</w:t>
            </w:r>
          </w:p>
        </w:tc>
        <w:tc>
          <w:tcPr>
            <w:tcW w:w="3192" w:type="dxa"/>
            <w:vAlign w:val="bottom"/>
          </w:tcPr>
          <w:p w14:paraId="6AA1234F" w14:textId="2DBF2074" w:rsidR="001258BC" w:rsidRPr="001258BC" w:rsidRDefault="001258BC" w:rsidP="001258BC">
            <w:r w:rsidRPr="001258BC">
              <w:rPr>
                <w:szCs w:val="20"/>
              </w:rPr>
              <w:t>Анафилактични реакции</w:t>
            </w:r>
          </w:p>
        </w:tc>
      </w:tr>
      <w:tr w:rsidR="001258BC" w14:paraId="6591ECF1" w14:textId="77777777" w:rsidTr="001948F4">
        <w:tc>
          <w:tcPr>
            <w:tcW w:w="3192" w:type="dxa"/>
          </w:tcPr>
          <w:p w14:paraId="6F43695D" w14:textId="184CD457" w:rsidR="001258BC" w:rsidRPr="001258BC" w:rsidRDefault="001258BC" w:rsidP="001258BC">
            <w:r w:rsidRPr="001258BC">
              <w:rPr>
                <w:szCs w:val="20"/>
              </w:rPr>
              <w:t>Нарушения на метаболизма и храненето</w:t>
            </w:r>
          </w:p>
        </w:tc>
        <w:tc>
          <w:tcPr>
            <w:tcW w:w="3192" w:type="dxa"/>
          </w:tcPr>
          <w:p w14:paraId="082E06E8" w14:textId="567ACB0C" w:rsidR="001258BC" w:rsidRPr="001258BC" w:rsidRDefault="001258BC" w:rsidP="001258BC">
            <w:r w:rsidRPr="001258BC">
              <w:rPr>
                <w:szCs w:val="20"/>
              </w:rPr>
              <w:t>Чести</w:t>
            </w:r>
          </w:p>
        </w:tc>
        <w:tc>
          <w:tcPr>
            <w:tcW w:w="3192" w:type="dxa"/>
            <w:vAlign w:val="bottom"/>
          </w:tcPr>
          <w:p w14:paraId="68CB97F8" w14:textId="3FCC631A" w:rsidR="001258BC" w:rsidRPr="001258BC" w:rsidRDefault="001258BC" w:rsidP="001258BC">
            <w:r w:rsidRPr="001258BC">
              <w:rPr>
                <w:szCs w:val="20"/>
              </w:rPr>
              <w:t>Хиперкалиемия, хиперурикемия, електролитен дисбаланс (включително хипонатриемия и хипокалиемия)</w:t>
            </w:r>
          </w:p>
        </w:tc>
      </w:tr>
      <w:tr w:rsidR="001258BC" w14:paraId="51FACAD2" w14:textId="77777777" w:rsidTr="001948F4">
        <w:tc>
          <w:tcPr>
            <w:tcW w:w="3192" w:type="dxa"/>
          </w:tcPr>
          <w:p w14:paraId="2A3BD050" w14:textId="1F02AAD3" w:rsidR="001258BC" w:rsidRPr="001258BC" w:rsidRDefault="001258BC" w:rsidP="001258BC">
            <w:r w:rsidRPr="001258BC">
              <w:rPr>
                <w:szCs w:val="20"/>
              </w:rPr>
              <w:t>Психични нарушения</w:t>
            </w:r>
          </w:p>
        </w:tc>
        <w:tc>
          <w:tcPr>
            <w:tcW w:w="3192" w:type="dxa"/>
          </w:tcPr>
          <w:p w14:paraId="53B36314" w14:textId="446013FA" w:rsidR="001258BC" w:rsidRPr="001258BC" w:rsidRDefault="001258BC" w:rsidP="001258BC">
            <w:r w:rsidRPr="001258BC">
              <w:rPr>
                <w:szCs w:val="20"/>
              </w:rPr>
              <w:t>Редки</w:t>
            </w:r>
          </w:p>
        </w:tc>
        <w:tc>
          <w:tcPr>
            <w:tcW w:w="3192" w:type="dxa"/>
            <w:vAlign w:val="bottom"/>
          </w:tcPr>
          <w:p w14:paraId="23ECE430" w14:textId="34EB47EB" w:rsidR="001258BC" w:rsidRPr="001258BC" w:rsidRDefault="001258BC" w:rsidP="001258BC">
            <w:r w:rsidRPr="001258BC">
              <w:rPr>
                <w:szCs w:val="20"/>
              </w:rPr>
              <w:t>Нарушения на съня, безпокойство, депресия</w:t>
            </w:r>
          </w:p>
        </w:tc>
      </w:tr>
      <w:tr w:rsidR="001258BC" w14:paraId="20D47CEE" w14:textId="77777777" w:rsidTr="001258BC">
        <w:tc>
          <w:tcPr>
            <w:tcW w:w="3192" w:type="dxa"/>
            <w:vMerge w:val="restart"/>
          </w:tcPr>
          <w:p w14:paraId="1D43BBC6" w14:textId="4132E401" w:rsidR="001258BC" w:rsidRPr="001258BC" w:rsidRDefault="001258BC" w:rsidP="001258BC">
            <w:r w:rsidRPr="001258BC">
              <w:rPr>
                <w:szCs w:val="20"/>
              </w:rPr>
              <w:t>Нарушения на нервната система</w:t>
            </w:r>
          </w:p>
        </w:tc>
        <w:tc>
          <w:tcPr>
            <w:tcW w:w="3192" w:type="dxa"/>
          </w:tcPr>
          <w:p w14:paraId="4A875A78" w14:textId="5861C7D7" w:rsidR="001258BC" w:rsidRPr="001258BC" w:rsidRDefault="001258BC" w:rsidP="001258BC">
            <w:r w:rsidRPr="001258BC">
              <w:rPr>
                <w:szCs w:val="20"/>
              </w:rPr>
              <w:t>Чести</w:t>
            </w:r>
          </w:p>
        </w:tc>
        <w:tc>
          <w:tcPr>
            <w:tcW w:w="3192" w:type="dxa"/>
          </w:tcPr>
          <w:p w14:paraId="45A688A2" w14:textId="3A3C55E7" w:rsidR="001258BC" w:rsidRPr="001258BC" w:rsidRDefault="001258BC" w:rsidP="001258BC">
            <w:r w:rsidRPr="001258BC">
              <w:rPr>
                <w:szCs w:val="20"/>
              </w:rPr>
              <w:t>Прималяване, вертиго</w:t>
            </w:r>
          </w:p>
        </w:tc>
      </w:tr>
      <w:tr w:rsidR="001258BC" w14:paraId="66D30944" w14:textId="77777777" w:rsidTr="001948F4">
        <w:tc>
          <w:tcPr>
            <w:tcW w:w="3192" w:type="dxa"/>
            <w:vMerge/>
          </w:tcPr>
          <w:p w14:paraId="12C97448" w14:textId="77777777" w:rsidR="001258BC" w:rsidRPr="001258BC" w:rsidRDefault="001258BC" w:rsidP="001258BC"/>
        </w:tc>
        <w:tc>
          <w:tcPr>
            <w:tcW w:w="3192" w:type="dxa"/>
            <w:vAlign w:val="bottom"/>
          </w:tcPr>
          <w:p w14:paraId="557E9C03" w14:textId="37B84DBE" w:rsidR="001258BC" w:rsidRPr="001258BC" w:rsidRDefault="001258BC" w:rsidP="001258BC">
            <w:r w:rsidRPr="001258BC">
              <w:rPr>
                <w:szCs w:val="20"/>
              </w:rPr>
              <w:t>Редки</w:t>
            </w:r>
          </w:p>
        </w:tc>
        <w:tc>
          <w:tcPr>
            <w:tcW w:w="3192" w:type="dxa"/>
            <w:vAlign w:val="bottom"/>
          </w:tcPr>
          <w:p w14:paraId="7533FF38" w14:textId="348B4F29" w:rsidR="001258BC" w:rsidRPr="001258BC" w:rsidRDefault="001258BC" w:rsidP="001258BC">
            <w:r w:rsidRPr="001258BC">
              <w:rPr>
                <w:szCs w:val="20"/>
              </w:rPr>
              <w:t>Парестезии</w:t>
            </w:r>
          </w:p>
        </w:tc>
      </w:tr>
      <w:tr w:rsidR="001258BC" w14:paraId="7132C5E2" w14:textId="77777777" w:rsidTr="001258BC">
        <w:tc>
          <w:tcPr>
            <w:tcW w:w="3192" w:type="dxa"/>
          </w:tcPr>
          <w:p w14:paraId="491774B5" w14:textId="5647AE2C" w:rsidR="001258BC" w:rsidRPr="001258BC" w:rsidRDefault="001258BC" w:rsidP="001258BC">
            <w:r w:rsidRPr="001258BC">
              <w:rPr>
                <w:szCs w:val="20"/>
              </w:rPr>
              <w:t>Нарушения на очите</w:t>
            </w:r>
          </w:p>
        </w:tc>
        <w:tc>
          <w:tcPr>
            <w:tcW w:w="3192" w:type="dxa"/>
          </w:tcPr>
          <w:p w14:paraId="23E51906" w14:textId="16F1A02F" w:rsidR="001258BC" w:rsidRPr="001258BC" w:rsidRDefault="001258BC" w:rsidP="001258BC">
            <w:r w:rsidRPr="001258BC">
              <w:rPr>
                <w:szCs w:val="20"/>
              </w:rPr>
              <w:t>Редки</w:t>
            </w:r>
          </w:p>
        </w:tc>
        <w:tc>
          <w:tcPr>
            <w:tcW w:w="3192" w:type="dxa"/>
          </w:tcPr>
          <w:p w14:paraId="26FDC9C8" w14:textId="4E9AE884" w:rsidR="001258BC" w:rsidRPr="001258BC" w:rsidRDefault="001258BC" w:rsidP="001258BC">
            <w:r w:rsidRPr="001258BC">
              <w:rPr>
                <w:szCs w:val="20"/>
              </w:rPr>
              <w:t>Преходно замъглено виждане</w:t>
            </w:r>
          </w:p>
        </w:tc>
      </w:tr>
      <w:tr w:rsidR="001258BC" w14:paraId="6F8B0C8E" w14:textId="77777777" w:rsidTr="00701C74">
        <w:tc>
          <w:tcPr>
            <w:tcW w:w="3192" w:type="dxa"/>
            <w:vAlign w:val="bottom"/>
          </w:tcPr>
          <w:p w14:paraId="43DE7333" w14:textId="27D6E7B2" w:rsidR="001258BC" w:rsidRPr="001258BC" w:rsidRDefault="001258BC" w:rsidP="001258BC">
            <w:r w:rsidRPr="001258BC">
              <w:rPr>
                <w:szCs w:val="20"/>
              </w:rPr>
              <w:t>Сърдечни нарушения</w:t>
            </w:r>
          </w:p>
        </w:tc>
        <w:tc>
          <w:tcPr>
            <w:tcW w:w="3192" w:type="dxa"/>
            <w:vAlign w:val="bottom"/>
          </w:tcPr>
          <w:p w14:paraId="47F64E5C" w14:textId="7A836609" w:rsidR="001258BC" w:rsidRPr="001258BC" w:rsidRDefault="001258BC" w:rsidP="001258BC">
            <w:r w:rsidRPr="001258BC">
              <w:rPr>
                <w:szCs w:val="20"/>
              </w:rPr>
              <w:t>Редки</w:t>
            </w:r>
          </w:p>
        </w:tc>
        <w:tc>
          <w:tcPr>
            <w:tcW w:w="3192" w:type="dxa"/>
            <w:vAlign w:val="bottom"/>
          </w:tcPr>
          <w:p w14:paraId="4F28E94D" w14:textId="1DEE6753" w:rsidR="001258BC" w:rsidRPr="001258BC" w:rsidRDefault="001258BC" w:rsidP="001258BC">
            <w:r w:rsidRPr="001258BC">
              <w:rPr>
                <w:szCs w:val="20"/>
              </w:rPr>
              <w:t>Аритмии</w:t>
            </w:r>
          </w:p>
        </w:tc>
      </w:tr>
      <w:tr w:rsidR="001258BC" w14:paraId="6ECC40F5" w14:textId="77777777" w:rsidTr="00701C74">
        <w:tc>
          <w:tcPr>
            <w:tcW w:w="3192" w:type="dxa"/>
            <w:vMerge w:val="restart"/>
          </w:tcPr>
          <w:p w14:paraId="446D9EC5" w14:textId="5DFE9EF6" w:rsidR="001258BC" w:rsidRPr="001258BC" w:rsidRDefault="001258BC" w:rsidP="001258BC">
            <w:r w:rsidRPr="001258BC">
              <w:rPr>
                <w:szCs w:val="20"/>
              </w:rPr>
              <w:t>Съдови нарушения</w:t>
            </w:r>
          </w:p>
        </w:tc>
        <w:tc>
          <w:tcPr>
            <w:tcW w:w="3192" w:type="dxa"/>
            <w:vAlign w:val="bottom"/>
          </w:tcPr>
          <w:p w14:paraId="3C70B6B8" w14:textId="0C252BF8" w:rsidR="001258BC" w:rsidRPr="001258BC" w:rsidRDefault="001258BC" w:rsidP="001258BC">
            <w:r w:rsidRPr="001258BC">
              <w:rPr>
                <w:szCs w:val="20"/>
              </w:rPr>
              <w:t>Нечести</w:t>
            </w:r>
          </w:p>
        </w:tc>
        <w:tc>
          <w:tcPr>
            <w:tcW w:w="3192" w:type="dxa"/>
            <w:vAlign w:val="bottom"/>
          </w:tcPr>
          <w:p w14:paraId="4B1E91CD" w14:textId="09149274" w:rsidR="001258BC" w:rsidRPr="001258BC" w:rsidRDefault="001258BC" w:rsidP="001258BC">
            <w:r w:rsidRPr="001258BC">
              <w:rPr>
                <w:szCs w:val="20"/>
              </w:rPr>
              <w:t>Ортостатична хипотония</w:t>
            </w:r>
          </w:p>
        </w:tc>
      </w:tr>
      <w:tr w:rsidR="001258BC" w14:paraId="665FB120" w14:textId="77777777" w:rsidTr="00701C74">
        <w:tc>
          <w:tcPr>
            <w:tcW w:w="3192" w:type="dxa"/>
            <w:vMerge/>
          </w:tcPr>
          <w:p w14:paraId="2CE4EEE4" w14:textId="77777777" w:rsidR="001258BC" w:rsidRPr="001258BC" w:rsidRDefault="001258BC" w:rsidP="001258BC"/>
        </w:tc>
        <w:tc>
          <w:tcPr>
            <w:tcW w:w="3192" w:type="dxa"/>
          </w:tcPr>
          <w:p w14:paraId="65AD6C47" w14:textId="754318F2" w:rsidR="001258BC" w:rsidRPr="001258BC" w:rsidRDefault="001258BC" w:rsidP="001258BC">
            <w:r w:rsidRPr="001258BC">
              <w:rPr>
                <w:szCs w:val="20"/>
              </w:rPr>
              <w:t>Редки</w:t>
            </w:r>
          </w:p>
        </w:tc>
        <w:tc>
          <w:tcPr>
            <w:tcW w:w="3192" w:type="dxa"/>
            <w:vAlign w:val="bottom"/>
          </w:tcPr>
          <w:p w14:paraId="491FDCA0" w14:textId="2A20ED95" w:rsidR="001258BC" w:rsidRPr="001258BC" w:rsidRDefault="001258BC" w:rsidP="001258BC">
            <w:r w:rsidRPr="001258BC">
              <w:rPr>
                <w:szCs w:val="20"/>
              </w:rPr>
              <w:t>Некротизиращ ангиит (васкулит, кожен васкулит)</w:t>
            </w:r>
          </w:p>
        </w:tc>
      </w:tr>
      <w:tr w:rsidR="001258BC" w14:paraId="3CB5E3AD" w14:textId="77777777" w:rsidTr="007855FB">
        <w:tc>
          <w:tcPr>
            <w:tcW w:w="3192" w:type="dxa"/>
            <w:vAlign w:val="bottom"/>
          </w:tcPr>
          <w:p w14:paraId="001B1203" w14:textId="331D1756" w:rsidR="001258BC" w:rsidRPr="001258BC" w:rsidRDefault="001258BC" w:rsidP="001258BC">
            <w:r w:rsidRPr="001258BC">
              <w:rPr>
                <w:szCs w:val="20"/>
              </w:rPr>
              <w:t>Респираторни, гръдни и медиастинални нарушения</w:t>
            </w:r>
          </w:p>
        </w:tc>
        <w:tc>
          <w:tcPr>
            <w:tcW w:w="3192" w:type="dxa"/>
          </w:tcPr>
          <w:p w14:paraId="298EBA75" w14:textId="7E14FC94" w:rsidR="001258BC" w:rsidRPr="001258BC" w:rsidRDefault="001258BC" w:rsidP="001258BC">
            <w:r w:rsidRPr="001258BC">
              <w:rPr>
                <w:szCs w:val="20"/>
              </w:rPr>
              <w:t>Редки</w:t>
            </w:r>
          </w:p>
        </w:tc>
        <w:tc>
          <w:tcPr>
            <w:tcW w:w="3192" w:type="dxa"/>
            <w:vAlign w:val="bottom"/>
          </w:tcPr>
          <w:p w14:paraId="6393EB47" w14:textId="062ABEC4" w:rsidR="001258BC" w:rsidRPr="001258BC" w:rsidRDefault="001258BC" w:rsidP="001258BC">
            <w:r w:rsidRPr="001258BC">
              <w:rPr>
                <w:szCs w:val="20"/>
              </w:rPr>
              <w:t>Респираторен дистрес (включително пневмония и белодробен оток)</w:t>
            </w:r>
          </w:p>
        </w:tc>
      </w:tr>
      <w:tr w:rsidR="001258BC" w14:paraId="60E1B1A4" w14:textId="77777777" w:rsidTr="007855FB">
        <w:tc>
          <w:tcPr>
            <w:tcW w:w="3192" w:type="dxa"/>
            <w:vMerge w:val="restart"/>
          </w:tcPr>
          <w:p w14:paraId="28EC385E" w14:textId="30E52891" w:rsidR="001258BC" w:rsidRPr="001258BC" w:rsidRDefault="001258BC" w:rsidP="001258BC">
            <w:r w:rsidRPr="001258BC">
              <w:rPr>
                <w:szCs w:val="20"/>
              </w:rPr>
              <w:t>Стомашно-чревни нарушения</w:t>
            </w:r>
          </w:p>
        </w:tc>
        <w:tc>
          <w:tcPr>
            <w:tcW w:w="3192" w:type="dxa"/>
          </w:tcPr>
          <w:p w14:paraId="093B43CC" w14:textId="62520177" w:rsidR="001258BC" w:rsidRPr="001258BC" w:rsidRDefault="001258BC" w:rsidP="001258BC">
            <w:r w:rsidRPr="001258BC">
              <w:rPr>
                <w:szCs w:val="20"/>
              </w:rPr>
              <w:t>Нечести</w:t>
            </w:r>
          </w:p>
        </w:tc>
        <w:tc>
          <w:tcPr>
            <w:tcW w:w="3192" w:type="dxa"/>
            <w:vAlign w:val="bottom"/>
          </w:tcPr>
          <w:p w14:paraId="7F0F144F" w14:textId="77777777" w:rsidR="001258BC" w:rsidRPr="001258BC" w:rsidRDefault="001258BC" w:rsidP="001258BC">
            <w:r w:rsidRPr="001258BC">
              <w:rPr>
                <w:szCs w:val="20"/>
              </w:rPr>
              <w:t>Анорексия, загуба на апетит</w:t>
            </w:r>
          </w:p>
          <w:p w14:paraId="41A48DD3" w14:textId="008B11FD" w:rsidR="001258BC" w:rsidRPr="001258BC" w:rsidRDefault="001258BC" w:rsidP="001258BC">
            <w:r w:rsidRPr="001258BC">
              <w:rPr>
                <w:szCs w:val="20"/>
              </w:rPr>
              <w:t>стомашно дразнене, диария, констипация</w:t>
            </w:r>
          </w:p>
        </w:tc>
      </w:tr>
      <w:tr w:rsidR="001258BC" w14:paraId="5301974D" w14:textId="77777777" w:rsidTr="001258BC">
        <w:tc>
          <w:tcPr>
            <w:tcW w:w="3192" w:type="dxa"/>
            <w:vMerge/>
          </w:tcPr>
          <w:p w14:paraId="4D68C030" w14:textId="77777777" w:rsidR="001258BC" w:rsidRPr="001258BC" w:rsidRDefault="001258BC" w:rsidP="001258BC"/>
        </w:tc>
        <w:tc>
          <w:tcPr>
            <w:tcW w:w="3192" w:type="dxa"/>
          </w:tcPr>
          <w:p w14:paraId="46A1C296" w14:textId="723DD0FA" w:rsidR="001258BC" w:rsidRPr="001258BC" w:rsidRDefault="001258BC" w:rsidP="001258BC">
            <w:r w:rsidRPr="001258BC">
              <w:rPr>
                <w:szCs w:val="20"/>
              </w:rPr>
              <w:t>Редки</w:t>
            </w:r>
          </w:p>
        </w:tc>
        <w:tc>
          <w:tcPr>
            <w:tcW w:w="3192" w:type="dxa"/>
          </w:tcPr>
          <w:p w14:paraId="46B2C377" w14:textId="4886FE42" w:rsidR="001258BC" w:rsidRPr="001258BC" w:rsidRDefault="001258BC" w:rsidP="001258BC">
            <w:r w:rsidRPr="001258BC">
              <w:rPr>
                <w:szCs w:val="20"/>
              </w:rPr>
              <w:t>Панкреатит</w:t>
            </w:r>
          </w:p>
        </w:tc>
      </w:tr>
      <w:tr w:rsidR="00B9128F" w14:paraId="71486021" w14:textId="77777777" w:rsidTr="001258BC">
        <w:tc>
          <w:tcPr>
            <w:tcW w:w="3192" w:type="dxa"/>
          </w:tcPr>
          <w:p w14:paraId="7F165476" w14:textId="5226F9BF" w:rsidR="00B9128F" w:rsidRPr="00B9128F" w:rsidRDefault="00B9128F" w:rsidP="00B9128F">
            <w:r w:rsidRPr="00B9128F">
              <w:rPr>
                <w:szCs w:val="20"/>
              </w:rPr>
              <w:t>Хепатобилиарни нарушения</w:t>
            </w:r>
          </w:p>
        </w:tc>
        <w:tc>
          <w:tcPr>
            <w:tcW w:w="3192" w:type="dxa"/>
          </w:tcPr>
          <w:p w14:paraId="16B33DDD" w14:textId="3C47E430" w:rsidR="00B9128F" w:rsidRPr="00B9128F" w:rsidRDefault="00B9128F" w:rsidP="00B9128F">
            <w:r w:rsidRPr="00B9128F">
              <w:rPr>
                <w:szCs w:val="20"/>
              </w:rPr>
              <w:t>Редки</w:t>
            </w:r>
          </w:p>
        </w:tc>
        <w:tc>
          <w:tcPr>
            <w:tcW w:w="3192" w:type="dxa"/>
          </w:tcPr>
          <w:p w14:paraId="7558F8A9" w14:textId="2D09CA13" w:rsidR="00B9128F" w:rsidRPr="00B9128F" w:rsidRDefault="00B9128F" w:rsidP="00B9128F">
            <w:r w:rsidRPr="00B9128F">
              <w:rPr>
                <w:szCs w:val="20"/>
              </w:rPr>
              <w:t>Иктер (интрахепатален холестатичен иктер)</w:t>
            </w:r>
          </w:p>
        </w:tc>
      </w:tr>
      <w:tr w:rsidR="00B9128F" w14:paraId="561D13F3" w14:textId="77777777" w:rsidTr="001258BC">
        <w:tc>
          <w:tcPr>
            <w:tcW w:w="3192" w:type="dxa"/>
            <w:vMerge w:val="restart"/>
          </w:tcPr>
          <w:p w14:paraId="009CD232" w14:textId="6B99FD10" w:rsidR="00B9128F" w:rsidRPr="00B9128F" w:rsidRDefault="00B9128F" w:rsidP="00B9128F">
            <w:r w:rsidRPr="00B9128F">
              <w:rPr>
                <w:szCs w:val="20"/>
              </w:rPr>
              <w:t>Нарушения на кожата и подкожната тъкан</w:t>
            </w:r>
          </w:p>
        </w:tc>
        <w:tc>
          <w:tcPr>
            <w:tcW w:w="3192" w:type="dxa"/>
          </w:tcPr>
          <w:p w14:paraId="1B38738D" w14:textId="0D8E3791" w:rsidR="00B9128F" w:rsidRPr="00B9128F" w:rsidRDefault="00B9128F" w:rsidP="00B9128F">
            <w:r w:rsidRPr="00B9128F">
              <w:rPr>
                <w:szCs w:val="20"/>
              </w:rPr>
              <w:t>Нечести</w:t>
            </w:r>
          </w:p>
        </w:tc>
        <w:tc>
          <w:tcPr>
            <w:tcW w:w="3192" w:type="dxa"/>
          </w:tcPr>
          <w:p w14:paraId="5FB5A237" w14:textId="23F666C1" w:rsidR="00B9128F" w:rsidRPr="00B9128F" w:rsidRDefault="00B9128F" w:rsidP="00B9128F">
            <w:r w:rsidRPr="00B9128F">
              <w:rPr>
                <w:szCs w:val="20"/>
              </w:rPr>
              <w:t>Обрив, ургикария, реакции на фоточувствителност</w:t>
            </w:r>
          </w:p>
        </w:tc>
      </w:tr>
      <w:tr w:rsidR="00B9128F" w14:paraId="735695D2" w14:textId="77777777" w:rsidTr="001258BC">
        <w:tc>
          <w:tcPr>
            <w:tcW w:w="3192" w:type="dxa"/>
            <w:vMerge/>
          </w:tcPr>
          <w:p w14:paraId="34932C17" w14:textId="77777777" w:rsidR="00B9128F" w:rsidRPr="00B9128F" w:rsidRDefault="00B9128F" w:rsidP="00B9128F"/>
        </w:tc>
        <w:tc>
          <w:tcPr>
            <w:tcW w:w="3192" w:type="dxa"/>
          </w:tcPr>
          <w:p w14:paraId="0D0F4DE4" w14:textId="3ED0D2FB" w:rsidR="00B9128F" w:rsidRPr="00B9128F" w:rsidRDefault="00B9128F" w:rsidP="00B9128F">
            <w:r w:rsidRPr="00B9128F">
              <w:rPr>
                <w:szCs w:val="20"/>
              </w:rPr>
              <w:t>Редки</w:t>
            </w:r>
          </w:p>
        </w:tc>
        <w:tc>
          <w:tcPr>
            <w:tcW w:w="3192" w:type="dxa"/>
          </w:tcPr>
          <w:p w14:paraId="1F2BEE02" w14:textId="6C3AAAFE" w:rsidR="00B9128F" w:rsidRPr="00B9128F" w:rsidRDefault="00B9128F" w:rsidP="00B9128F">
            <w:r w:rsidRPr="00B9128F">
              <w:rPr>
                <w:szCs w:val="20"/>
              </w:rPr>
              <w:t>Токсична епидермална некролиза, реакции от типа на кожен лупус еритематодес, рецидив на кожен лупус еритематодес</w:t>
            </w:r>
          </w:p>
        </w:tc>
      </w:tr>
      <w:tr w:rsidR="00B9128F" w14:paraId="411CC0DE" w14:textId="77777777" w:rsidTr="001258BC">
        <w:tc>
          <w:tcPr>
            <w:tcW w:w="3192" w:type="dxa"/>
          </w:tcPr>
          <w:p w14:paraId="5BBE83FC" w14:textId="21BEBAE0" w:rsidR="00B9128F" w:rsidRPr="00B9128F" w:rsidRDefault="00B9128F" w:rsidP="00B9128F">
            <w:r w:rsidRPr="00B9128F">
              <w:rPr>
                <w:szCs w:val="20"/>
              </w:rPr>
              <w:t>Нарушения на мускулно-скелетната система и съединителната тъкан</w:t>
            </w:r>
          </w:p>
        </w:tc>
        <w:tc>
          <w:tcPr>
            <w:tcW w:w="3192" w:type="dxa"/>
          </w:tcPr>
          <w:p w14:paraId="36DA4D90" w14:textId="2D13ECBB" w:rsidR="00B9128F" w:rsidRPr="00B9128F" w:rsidRDefault="00B9128F" w:rsidP="00B9128F">
            <w:r w:rsidRPr="00B9128F">
              <w:rPr>
                <w:szCs w:val="20"/>
              </w:rPr>
              <w:t>Редки</w:t>
            </w:r>
          </w:p>
        </w:tc>
        <w:tc>
          <w:tcPr>
            <w:tcW w:w="3192" w:type="dxa"/>
          </w:tcPr>
          <w:p w14:paraId="6FDE602E" w14:textId="706D951A" w:rsidR="00B9128F" w:rsidRPr="00B9128F" w:rsidRDefault="00B9128F" w:rsidP="00B9128F">
            <w:r w:rsidRPr="00B9128F">
              <w:rPr>
                <w:szCs w:val="20"/>
              </w:rPr>
              <w:t>Мускулни спазми</w:t>
            </w:r>
          </w:p>
        </w:tc>
      </w:tr>
      <w:tr w:rsidR="00B9128F" w14:paraId="7BAA1A16" w14:textId="77777777" w:rsidTr="001258BC">
        <w:tc>
          <w:tcPr>
            <w:tcW w:w="3192" w:type="dxa"/>
            <w:vMerge w:val="restart"/>
          </w:tcPr>
          <w:p w14:paraId="071FDDBE" w14:textId="36FDF81D" w:rsidR="00B9128F" w:rsidRPr="00B9128F" w:rsidRDefault="00B9128F" w:rsidP="00B9128F">
            <w:r w:rsidRPr="00B9128F">
              <w:rPr>
                <w:szCs w:val="20"/>
              </w:rPr>
              <w:t>Нарушения на бъбреците и пикочните пътища</w:t>
            </w:r>
          </w:p>
        </w:tc>
        <w:tc>
          <w:tcPr>
            <w:tcW w:w="3192" w:type="dxa"/>
          </w:tcPr>
          <w:p w14:paraId="6C8A745F" w14:textId="48243924" w:rsidR="00B9128F" w:rsidRPr="00B9128F" w:rsidRDefault="00B9128F" w:rsidP="00B9128F">
            <w:r w:rsidRPr="00B9128F">
              <w:rPr>
                <w:szCs w:val="20"/>
              </w:rPr>
              <w:t>Чести</w:t>
            </w:r>
          </w:p>
        </w:tc>
        <w:tc>
          <w:tcPr>
            <w:tcW w:w="3192" w:type="dxa"/>
          </w:tcPr>
          <w:p w14:paraId="169F631D" w14:textId="30B0F44B" w:rsidR="00B9128F" w:rsidRPr="00B9128F" w:rsidRDefault="00B9128F" w:rsidP="00B9128F">
            <w:r w:rsidRPr="00B9128F">
              <w:rPr>
                <w:szCs w:val="20"/>
              </w:rPr>
              <w:t>Глюкозурия</w:t>
            </w:r>
          </w:p>
        </w:tc>
      </w:tr>
      <w:tr w:rsidR="00B9128F" w14:paraId="7D46EABA" w14:textId="77777777" w:rsidTr="001258BC">
        <w:tc>
          <w:tcPr>
            <w:tcW w:w="3192" w:type="dxa"/>
            <w:vMerge/>
          </w:tcPr>
          <w:p w14:paraId="47B7B3EE" w14:textId="77777777" w:rsidR="00B9128F" w:rsidRPr="00B9128F" w:rsidRDefault="00B9128F" w:rsidP="00B9128F"/>
        </w:tc>
        <w:tc>
          <w:tcPr>
            <w:tcW w:w="3192" w:type="dxa"/>
          </w:tcPr>
          <w:p w14:paraId="6D7E87B3" w14:textId="0F98AF66" w:rsidR="00B9128F" w:rsidRPr="00B9128F" w:rsidRDefault="00B9128F" w:rsidP="00B9128F">
            <w:r w:rsidRPr="00B9128F">
              <w:rPr>
                <w:szCs w:val="20"/>
              </w:rPr>
              <w:t>Редки</w:t>
            </w:r>
          </w:p>
        </w:tc>
        <w:tc>
          <w:tcPr>
            <w:tcW w:w="3192" w:type="dxa"/>
          </w:tcPr>
          <w:p w14:paraId="2A28E0DB" w14:textId="6F8DA0D6" w:rsidR="00B9128F" w:rsidRPr="00B9128F" w:rsidRDefault="00B9128F" w:rsidP="00B9128F">
            <w:r w:rsidRPr="00B9128F">
              <w:rPr>
                <w:szCs w:val="20"/>
              </w:rPr>
              <w:t>Нарушена бъбречна функция и интерстициален нефрит</w:t>
            </w:r>
          </w:p>
        </w:tc>
      </w:tr>
      <w:tr w:rsidR="00B9128F" w14:paraId="3F48ADDF" w14:textId="77777777" w:rsidTr="001258BC">
        <w:tc>
          <w:tcPr>
            <w:tcW w:w="3192" w:type="dxa"/>
            <w:vMerge w:val="restart"/>
          </w:tcPr>
          <w:p w14:paraId="24A7D21D" w14:textId="27602835" w:rsidR="00B9128F" w:rsidRPr="00B9128F" w:rsidRDefault="00B9128F" w:rsidP="00B9128F">
            <w:r w:rsidRPr="00B9128F">
              <w:rPr>
                <w:szCs w:val="20"/>
              </w:rPr>
              <w:t>Общи нарушения и ефекти на мястото на приложение</w:t>
            </w:r>
          </w:p>
        </w:tc>
        <w:tc>
          <w:tcPr>
            <w:tcW w:w="3192" w:type="dxa"/>
          </w:tcPr>
          <w:p w14:paraId="553475C8" w14:textId="2EF33379" w:rsidR="00B9128F" w:rsidRPr="00B9128F" w:rsidRDefault="00B9128F" w:rsidP="00B9128F">
            <w:r w:rsidRPr="00B9128F">
              <w:rPr>
                <w:szCs w:val="20"/>
              </w:rPr>
              <w:t>Чести</w:t>
            </w:r>
          </w:p>
        </w:tc>
        <w:tc>
          <w:tcPr>
            <w:tcW w:w="3192" w:type="dxa"/>
          </w:tcPr>
          <w:p w14:paraId="58974BED" w14:textId="430A87F7" w:rsidR="00B9128F" w:rsidRPr="00B9128F" w:rsidRDefault="00B9128F" w:rsidP="00B9128F">
            <w:r w:rsidRPr="00B9128F">
              <w:rPr>
                <w:szCs w:val="20"/>
              </w:rPr>
              <w:t>Слабост</w:t>
            </w:r>
          </w:p>
        </w:tc>
      </w:tr>
      <w:tr w:rsidR="00B9128F" w14:paraId="71BF2007" w14:textId="77777777" w:rsidTr="001258BC">
        <w:tc>
          <w:tcPr>
            <w:tcW w:w="3192" w:type="dxa"/>
            <w:vMerge/>
          </w:tcPr>
          <w:p w14:paraId="624317A1" w14:textId="77777777" w:rsidR="00B9128F" w:rsidRPr="00B9128F" w:rsidRDefault="00B9128F" w:rsidP="00B9128F"/>
        </w:tc>
        <w:tc>
          <w:tcPr>
            <w:tcW w:w="3192" w:type="dxa"/>
          </w:tcPr>
          <w:p w14:paraId="42EE709A" w14:textId="060EF4DD" w:rsidR="00B9128F" w:rsidRPr="00B9128F" w:rsidRDefault="00B9128F" w:rsidP="00B9128F">
            <w:r w:rsidRPr="00B9128F">
              <w:rPr>
                <w:szCs w:val="20"/>
              </w:rPr>
              <w:t>Редки</w:t>
            </w:r>
          </w:p>
        </w:tc>
        <w:tc>
          <w:tcPr>
            <w:tcW w:w="3192" w:type="dxa"/>
          </w:tcPr>
          <w:p w14:paraId="50629A1D" w14:textId="06D46581" w:rsidR="00B9128F" w:rsidRPr="00B9128F" w:rsidRDefault="00B9128F" w:rsidP="00B9128F">
            <w:r w:rsidRPr="00B9128F">
              <w:rPr>
                <w:szCs w:val="20"/>
              </w:rPr>
              <w:t>Фебрилитет</w:t>
            </w:r>
          </w:p>
        </w:tc>
      </w:tr>
      <w:tr w:rsidR="00B9128F" w14:paraId="2092D5AC" w14:textId="77777777" w:rsidTr="001258BC">
        <w:tc>
          <w:tcPr>
            <w:tcW w:w="3192" w:type="dxa"/>
            <w:vMerge w:val="restart"/>
          </w:tcPr>
          <w:p w14:paraId="4C3C900C" w14:textId="1D46C794" w:rsidR="00B9128F" w:rsidRPr="00B9128F" w:rsidRDefault="00B9128F" w:rsidP="00B9128F">
            <w:r w:rsidRPr="00B9128F">
              <w:rPr>
                <w:szCs w:val="20"/>
              </w:rPr>
              <w:t>Изследвания</w:t>
            </w:r>
          </w:p>
        </w:tc>
        <w:tc>
          <w:tcPr>
            <w:tcW w:w="3192" w:type="dxa"/>
          </w:tcPr>
          <w:p w14:paraId="4A6EFE97" w14:textId="3F6337B5" w:rsidR="00B9128F" w:rsidRPr="00B9128F" w:rsidRDefault="00B9128F" w:rsidP="00B9128F">
            <w:r w:rsidRPr="00B9128F">
              <w:rPr>
                <w:szCs w:val="20"/>
              </w:rPr>
              <w:t>Чести</w:t>
            </w:r>
          </w:p>
        </w:tc>
        <w:tc>
          <w:tcPr>
            <w:tcW w:w="3192" w:type="dxa"/>
          </w:tcPr>
          <w:p w14:paraId="1F29C5B8" w14:textId="5C5CE468" w:rsidR="00B9128F" w:rsidRPr="00B9128F" w:rsidRDefault="00B9128F" w:rsidP="00B9128F">
            <w:r w:rsidRPr="00B9128F">
              <w:rPr>
                <w:szCs w:val="20"/>
              </w:rPr>
              <w:t>Повишаване стойностите на холестерола и триглицеридите</w:t>
            </w:r>
          </w:p>
        </w:tc>
      </w:tr>
      <w:tr w:rsidR="00B9128F" w14:paraId="7E459486" w14:textId="77777777" w:rsidTr="001258BC">
        <w:tc>
          <w:tcPr>
            <w:tcW w:w="3192" w:type="dxa"/>
            <w:vMerge/>
          </w:tcPr>
          <w:p w14:paraId="3C1BF94E" w14:textId="77777777" w:rsidR="00B9128F" w:rsidRPr="00B9128F" w:rsidRDefault="00B9128F" w:rsidP="00B9128F"/>
        </w:tc>
        <w:tc>
          <w:tcPr>
            <w:tcW w:w="3192" w:type="dxa"/>
          </w:tcPr>
          <w:p w14:paraId="18380CAA" w14:textId="72B358D2" w:rsidR="00B9128F" w:rsidRPr="00B9128F" w:rsidRDefault="00B9128F" w:rsidP="00B9128F">
            <w:r w:rsidRPr="00B9128F">
              <w:rPr>
                <w:szCs w:val="20"/>
              </w:rPr>
              <w:t>Редки</w:t>
            </w:r>
          </w:p>
        </w:tc>
        <w:tc>
          <w:tcPr>
            <w:tcW w:w="3192" w:type="dxa"/>
          </w:tcPr>
          <w:p w14:paraId="394A9BBE" w14:textId="656377D5" w:rsidR="00B9128F" w:rsidRPr="00B9128F" w:rsidRDefault="00B9128F" w:rsidP="00B9128F">
            <w:r w:rsidRPr="00B9128F">
              <w:rPr>
                <w:szCs w:val="20"/>
              </w:rPr>
              <w:t>Повишаване на стойностите на уреята и креатина в серума</w:t>
            </w:r>
          </w:p>
        </w:tc>
      </w:tr>
    </w:tbl>
    <w:p w14:paraId="656DBA33" w14:textId="33F916D9" w:rsidR="001258BC" w:rsidRDefault="001258BC" w:rsidP="001258BC"/>
    <w:p w14:paraId="23EB013D" w14:textId="77777777" w:rsidR="00B9128F" w:rsidRPr="00B9128F" w:rsidRDefault="00B9128F" w:rsidP="00B9128F">
      <w:pPr>
        <w:spacing w:line="240" w:lineRule="auto"/>
        <w:rPr>
          <w:rFonts w:eastAsia="Times New Roman" w:cs="Arial"/>
        </w:rPr>
      </w:pPr>
      <w:r w:rsidRPr="00B9128F">
        <w:rPr>
          <w:rFonts w:eastAsia="Times New Roman" w:cs="Arial"/>
          <w:color w:val="000000"/>
          <w:u w:val="single"/>
          <w:lang w:eastAsia="bg-BG"/>
        </w:rPr>
        <w:t>Съобщаване на подозирани нежелани реакции</w:t>
      </w:r>
    </w:p>
    <w:p w14:paraId="099B3B9C"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директно на Изпълнителна агенция по лекарствата (ИАЛ):</w:t>
      </w:r>
    </w:p>
    <w:p w14:paraId="3F8F5685" w14:textId="77777777" w:rsidR="00B9128F" w:rsidRPr="00B9128F" w:rsidRDefault="00B9128F" w:rsidP="00B9128F">
      <w:pPr>
        <w:spacing w:line="240" w:lineRule="auto"/>
        <w:rPr>
          <w:rFonts w:eastAsia="Times New Roman" w:cs="Arial"/>
          <w:color w:val="000000"/>
          <w:lang w:eastAsia="bg-BG"/>
        </w:rPr>
      </w:pPr>
    </w:p>
    <w:p w14:paraId="234A76DD" w14:textId="183EE2CB" w:rsidR="00B9128F" w:rsidRPr="00B9128F" w:rsidRDefault="00B9128F" w:rsidP="00B9128F">
      <w:pPr>
        <w:spacing w:line="240" w:lineRule="auto"/>
        <w:rPr>
          <w:rFonts w:eastAsia="Times New Roman" w:cs="Arial"/>
        </w:rPr>
      </w:pPr>
      <w:r w:rsidRPr="00B9128F">
        <w:rPr>
          <w:rFonts w:eastAsia="Times New Roman" w:cs="Arial"/>
          <w:color w:val="000000"/>
          <w:lang w:eastAsia="bg-BG"/>
        </w:rPr>
        <w:t>ул.,Дамян Груев“ № 8</w:t>
      </w:r>
    </w:p>
    <w:p w14:paraId="7ABEAFAF"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София 1303</w:t>
      </w:r>
    </w:p>
    <w:p w14:paraId="0066BDA5"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тел.: +359 2 8903417</w:t>
      </w:r>
    </w:p>
    <w:p w14:paraId="00861A2B"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 xml:space="preserve">ел. Поща: </w:t>
      </w:r>
      <w:r w:rsidRPr="00B9128F">
        <w:rPr>
          <w:rFonts w:eastAsia="Times New Roman" w:cs="Arial"/>
        </w:rPr>
        <w:fldChar w:fldCharType="begin"/>
      </w:r>
      <w:r w:rsidRPr="00B9128F">
        <w:rPr>
          <w:rFonts w:eastAsia="Times New Roman" w:cs="Arial"/>
        </w:rPr>
        <w:instrText xml:space="preserve"> HYPERLINK "mailto:bda@bda.bg" </w:instrText>
      </w:r>
      <w:r w:rsidRPr="00B9128F">
        <w:rPr>
          <w:rFonts w:eastAsia="Times New Roman" w:cs="Arial"/>
        </w:rPr>
        <w:fldChar w:fldCharType="separate"/>
      </w:r>
      <w:r w:rsidRPr="00B9128F">
        <w:rPr>
          <w:rFonts w:eastAsia="Times New Roman" w:cs="Arial"/>
          <w:color w:val="000000"/>
          <w:lang w:val="en-US"/>
        </w:rPr>
        <w:t>bda</w:t>
      </w:r>
      <w:r w:rsidRPr="00B9128F">
        <w:rPr>
          <w:rFonts w:eastAsia="Times New Roman" w:cs="Arial"/>
          <w:color w:val="000000"/>
          <w:lang w:val="ru-RU"/>
        </w:rPr>
        <w:t>@</w:t>
      </w:r>
      <w:r w:rsidRPr="00B9128F">
        <w:rPr>
          <w:rFonts w:eastAsia="Times New Roman" w:cs="Arial"/>
          <w:color w:val="000000"/>
          <w:lang w:val="en-US"/>
        </w:rPr>
        <w:t>bda</w:t>
      </w:r>
      <w:r w:rsidRPr="00B9128F">
        <w:rPr>
          <w:rFonts w:eastAsia="Times New Roman" w:cs="Arial"/>
          <w:color w:val="000000"/>
          <w:lang w:val="ru-RU"/>
        </w:rPr>
        <w:t>.</w:t>
      </w:r>
      <w:r w:rsidRPr="00B9128F">
        <w:rPr>
          <w:rFonts w:eastAsia="Times New Roman" w:cs="Arial"/>
          <w:color w:val="000000"/>
          <w:lang w:val="en-US"/>
        </w:rPr>
        <w:t>bg</w:t>
      </w:r>
      <w:r w:rsidRPr="00B9128F">
        <w:rPr>
          <w:rFonts w:eastAsia="Times New Roman" w:cs="Arial"/>
        </w:rPr>
        <w:fldChar w:fldCharType="end"/>
      </w:r>
    </w:p>
    <w:p w14:paraId="33A69214"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 xml:space="preserve">уебсайт: </w:t>
      </w:r>
      <w:r w:rsidRPr="00B9128F">
        <w:rPr>
          <w:rFonts w:eastAsia="Times New Roman" w:cs="Arial"/>
        </w:rPr>
        <w:fldChar w:fldCharType="begin"/>
      </w:r>
      <w:r w:rsidRPr="00B9128F">
        <w:rPr>
          <w:rFonts w:eastAsia="Times New Roman" w:cs="Arial"/>
        </w:rPr>
        <w:instrText xml:space="preserve"> HYPERLINK "http://www.bda.bg" </w:instrText>
      </w:r>
      <w:r w:rsidRPr="00B9128F">
        <w:rPr>
          <w:rFonts w:eastAsia="Times New Roman" w:cs="Arial"/>
        </w:rPr>
        <w:fldChar w:fldCharType="separate"/>
      </w:r>
      <w:r w:rsidRPr="00B9128F">
        <w:rPr>
          <w:rFonts w:eastAsia="Times New Roman" w:cs="Arial"/>
          <w:color w:val="000000"/>
          <w:u w:val="single"/>
          <w:lang w:val="en-US"/>
        </w:rPr>
        <w:t>www</w:t>
      </w:r>
      <w:r w:rsidRPr="00B9128F">
        <w:rPr>
          <w:rFonts w:eastAsia="Times New Roman" w:cs="Arial"/>
          <w:color w:val="000000"/>
          <w:u w:val="single"/>
          <w:lang w:val="ru-RU"/>
        </w:rPr>
        <w:t>.</w:t>
      </w:r>
      <w:proofErr w:type="spellStart"/>
      <w:r w:rsidRPr="00B9128F">
        <w:rPr>
          <w:rFonts w:eastAsia="Times New Roman" w:cs="Arial"/>
          <w:color w:val="000000"/>
          <w:u w:val="single"/>
          <w:lang w:val="en-US"/>
        </w:rPr>
        <w:t>bda</w:t>
      </w:r>
      <w:proofErr w:type="spellEnd"/>
      <w:r w:rsidRPr="00B9128F">
        <w:rPr>
          <w:rFonts w:eastAsia="Times New Roman" w:cs="Arial"/>
          <w:color w:val="000000"/>
          <w:u w:val="single"/>
          <w:lang w:val="ru-RU"/>
        </w:rPr>
        <w:t>.</w:t>
      </w:r>
      <w:proofErr w:type="spellStart"/>
      <w:r w:rsidRPr="00B9128F">
        <w:rPr>
          <w:rFonts w:eastAsia="Times New Roman" w:cs="Arial"/>
          <w:color w:val="000000"/>
          <w:u w:val="single"/>
          <w:lang w:val="en-US"/>
        </w:rPr>
        <w:t>bg</w:t>
      </w:r>
      <w:proofErr w:type="spellEnd"/>
      <w:r w:rsidRPr="00B9128F">
        <w:rPr>
          <w:rFonts w:eastAsia="Times New Roman" w:cs="Arial"/>
        </w:rPr>
        <w:fldChar w:fldCharType="end"/>
      </w:r>
    </w:p>
    <w:p w14:paraId="75EE4EF5" w14:textId="77777777" w:rsidR="00B9128F" w:rsidRPr="001258BC" w:rsidRDefault="00B9128F" w:rsidP="001258BC"/>
    <w:p w14:paraId="5A87DBA3" w14:textId="16EF6B65" w:rsidR="007122AD" w:rsidRDefault="002C50EE" w:rsidP="00936AD0">
      <w:pPr>
        <w:pStyle w:val="Heading2"/>
      </w:pPr>
      <w:r>
        <w:t>4.9. Предозиране</w:t>
      </w:r>
    </w:p>
    <w:p w14:paraId="79F7CF9D" w14:textId="32E4B6A4" w:rsidR="00B9128F" w:rsidRDefault="00B9128F" w:rsidP="00B9128F"/>
    <w:p w14:paraId="22018D34" w14:textId="77777777" w:rsidR="00B9128F" w:rsidRPr="00B9128F" w:rsidRDefault="00B9128F" w:rsidP="00B9128F">
      <w:pPr>
        <w:pStyle w:val="Heading3"/>
        <w:rPr>
          <w:rFonts w:eastAsia="Times New Roman"/>
          <w:i/>
          <w:sz w:val="28"/>
        </w:rPr>
      </w:pPr>
      <w:r w:rsidRPr="00B9128F">
        <w:rPr>
          <w:rFonts w:eastAsia="Times New Roman"/>
          <w:i/>
          <w:lang w:eastAsia="bg-BG"/>
        </w:rPr>
        <w:t>Симптоми</w:t>
      </w:r>
    </w:p>
    <w:p w14:paraId="3092DA36"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Въз основа на фармакологични съображения, изглежда вероятно основните прояви на предозиране на кандесартан цилексетил да бъдат симптоматична хипотония или замайване. В отделните съобщения за предозиране (до 672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кандесартан цилексетил) възстановяването на пациентите протича без усложнения.</w:t>
      </w:r>
    </w:p>
    <w:p w14:paraId="3108535C" w14:textId="77777777" w:rsidR="00B9128F" w:rsidRPr="00B9128F" w:rsidRDefault="00B9128F" w:rsidP="00B9128F">
      <w:pPr>
        <w:spacing w:line="240" w:lineRule="auto"/>
        <w:rPr>
          <w:rFonts w:eastAsia="Times New Roman" w:cs="Arial"/>
          <w:color w:val="000000"/>
          <w:szCs w:val="20"/>
          <w:lang w:eastAsia="bg-BG"/>
        </w:rPr>
      </w:pPr>
    </w:p>
    <w:p w14:paraId="597DE6CC"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lastRenderedPageBreak/>
        <w:t>Основните симптоми на предозиране на хидрохлоротиазид са остра загуба на течности и електролити. Могат да се наблюдават и симптоми като замайване, хипотония, жажда, тахикардия, камерни аритмии, седация/нарушено съзнание и мускулни крампи.</w:t>
      </w:r>
    </w:p>
    <w:p w14:paraId="3E15FEB7" w14:textId="77777777" w:rsidR="00B9128F" w:rsidRPr="00B9128F" w:rsidRDefault="00B9128F" w:rsidP="00B9128F">
      <w:pPr>
        <w:spacing w:line="240" w:lineRule="auto"/>
        <w:rPr>
          <w:rFonts w:eastAsia="Times New Roman" w:cs="Arial"/>
          <w:sz w:val="28"/>
          <w:szCs w:val="24"/>
        </w:rPr>
      </w:pPr>
    </w:p>
    <w:p w14:paraId="3D6F42D6" w14:textId="4E0C0483" w:rsidR="00B9128F" w:rsidRPr="00B9128F" w:rsidRDefault="00B9128F" w:rsidP="00B9128F">
      <w:pPr>
        <w:pStyle w:val="Heading3"/>
        <w:rPr>
          <w:rFonts w:eastAsia="Times New Roman"/>
          <w:i/>
          <w:sz w:val="28"/>
        </w:rPr>
      </w:pPr>
      <w:r w:rsidRPr="00B9128F">
        <w:rPr>
          <w:rFonts w:eastAsia="Times New Roman"/>
          <w:i/>
          <w:lang w:eastAsia="bg-BG"/>
        </w:rPr>
        <w:t>Лечение</w:t>
      </w:r>
    </w:p>
    <w:p w14:paraId="7063EEB8"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Липсва конкретна информация относно предозирането на Кантаб Плюс. Все пак, в случай на предозиране се предлагат дадените по-долу мерки.</w:t>
      </w:r>
      <w:bookmarkStart w:id="2" w:name="bookmark0"/>
      <w:bookmarkEnd w:id="2"/>
    </w:p>
    <w:p w14:paraId="52F3663F" w14:textId="77777777" w:rsidR="00B9128F" w:rsidRPr="00B9128F" w:rsidRDefault="00B9128F" w:rsidP="00B9128F">
      <w:pPr>
        <w:rPr>
          <w:rFonts w:eastAsia="Times New Roman" w:cs="Arial"/>
          <w:sz w:val="28"/>
          <w:szCs w:val="24"/>
        </w:rPr>
      </w:pPr>
    </w:p>
    <w:p w14:paraId="14E1868E" w14:textId="77777777" w:rsidR="00B9128F" w:rsidRPr="00B9128F" w:rsidRDefault="00B9128F" w:rsidP="00B9128F">
      <w:pPr>
        <w:rPr>
          <w:rFonts w:eastAsia="Times New Roman" w:cs="Arial"/>
          <w:sz w:val="28"/>
          <w:szCs w:val="24"/>
        </w:rPr>
      </w:pPr>
      <w:r w:rsidRPr="00B9128F">
        <w:rPr>
          <w:rFonts w:eastAsia="Times New Roman" w:cs="Arial"/>
          <w:color w:val="000000"/>
          <w:szCs w:val="20"/>
          <w:lang w:eastAsia="bg-BG"/>
        </w:rPr>
        <w:t>При тези прояви трябва да се обмисли индуцирането на повръщане или стомашна примивк. Ако се развие изявена хипотония, трябва да се започне симптоматично лечение и да се наблюдават жизнените показатели. Пациентът следва да се постави по гръб, с повдигнати крака. Ако това не е достатъчно, плазмения обем трябва да се повиши чрез вливане на изотоничен разтвор на натриев хлорид. Трябва да се изследват серумните електролити и алкално-киселинното състояние и, при нужда, да се коригират. Ако изброените мерки не са достатъчни, може да се прилагат и симпатикомиметици.</w:t>
      </w:r>
    </w:p>
    <w:p w14:paraId="4BB62853" w14:textId="77777777" w:rsidR="00B9128F" w:rsidRPr="00B9128F" w:rsidRDefault="00B9128F" w:rsidP="00B9128F">
      <w:pPr>
        <w:spacing w:line="240" w:lineRule="auto"/>
        <w:rPr>
          <w:rFonts w:eastAsia="Times New Roman" w:cs="Arial"/>
          <w:color w:val="000000"/>
          <w:szCs w:val="20"/>
          <w:lang w:eastAsia="bg-BG"/>
        </w:rPr>
      </w:pPr>
    </w:p>
    <w:p w14:paraId="2AF3C071" w14:textId="642A7422" w:rsidR="00B9128F" w:rsidRPr="00B9128F" w:rsidRDefault="00B9128F" w:rsidP="00B9128F">
      <w:pPr>
        <w:spacing w:line="240" w:lineRule="auto"/>
        <w:rPr>
          <w:rFonts w:ascii="Times New Roman" w:eastAsia="Times New Roman" w:hAnsi="Times New Roman" w:cs="Times New Roman"/>
          <w:sz w:val="24"/>
          <w:szCs w:val="24"/>
        </w:rPr>
      </w:pPr>
      <w:r w:rsidRPr="00B9128F">
        <w:rPr>
          <w:rFonts w:eastAsia="Times New Roman" w:cs="Arial"/>
          <w:color w:val="000000"/>
          <w:szCs w:val="20"/>
          <w:lang w:eastAsia="bg-BG"/>
        </w:rPr>
        <w:t>Кандесартан не се отстранява чрез хемодиализа. Не е известно до каква степен хидрохлоротиазид се отстранява чрез хемодиализа.</w:t>
      </w:r>
    </w:p>
    <w:p w14:paraId="0B3F8E1E" w14:textId="6CD9863F" w:rsidR="00B9128F" w:rsidRPr="00B9128F" w:rsidRDefault="00B9128F" w:rsidP="00B9128F"/>
    <w:p w14:paraId="02081B24" w14:textId="1F46E296" w:rsidR="00395555" w:rsidRPr="00395555" w:rsidRDefault="002C50EE" w:rsidP="008A6AF2">
      <w:pPr>
        <w:pStyle w:val="Heading1"/>
      </w:pPr>
      <w:r>
        <w:t>5. ФАРМАКОЛОГИЧНИ СВОЙСТВА</w:t>
      </w:r>
    </w:p>
    <w:p w14:paraId="7DE36AC8" w14:textId="24397B78" w:rsidR="00B6672E" w:rsidRDefault="002C50EE" w:rsidP="00936AD0">
      <w:pPr>
        <w:pStyle w:val="Heading2"/>
      </w:pPr>
      <w:r>
        <w:t>5.1. Фармакодинамични свойства</w:t>
      </w:r>
    </w:p>
    <w:p w14:paraId="4C427C57" w14:textId="2DA8F5F7" w:rsidR="00B9128F" w:rsidRDefault="00B9128F" w:rsidP="00B9128F"/>
    <w:p w14:paraId="3B70601C"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Фармакотерапевтична група: Ангиотензин </w:t>
      </w:r>
      <w:r w:rsidRPr="00B9128F">
        <w:rPr>
          <w:rFonts w:eastAsia="Times New Roman" w:cs="Arial"/>
          <w:color w:val="000000"/>
          <w:szCs w:val="20"/>
          <w:lang w:val="en-US"/>
        </w:rPr>
        <w:t>II</w:t>
      </w:r>
      <w:r w:rsidRPr="00B9128F">
        <w:rPr>
          <w:rFonts w:eastAsia="Times New Roman" w:cs="Arial"/>
          <w:color w:val="000000"/>
          <w:szCs w:val="20"/>
          <w:lang w:eastAsia="bg-BG"/>
        </w:rPr>
        <w:t xml:space="preserve"> антагонисти +диуретици АТС код: </w:t>
      </w:r>
      <w:r w:rsidRPr="00B9128F">
        <w:rPr>
          <w:rFonts w:eastAsia="Times New Roman" w:cs="Arial"/>
          <w:color w:val="000000"/>
          <w:szCs w:val="20"/>
          <w:lang w:val="en-US"/>
        </w:rPr>
        <w:t>C</w:t>
      </w:r>
      <w:r w:rsidRPr="00B9128F">
        <w:rPr>
          <w:rFonts w:eastAsia="Times New Roman" w:cs="Arial"/>
          <w:color w:val="000000"/>
          <w:szCs w:val="20"/>
          <w:lang w:val="ru-RU"/>
        </w:rPr>
        <w:t>09</w:t>
      </w:r>
      <w:r w:rsidRPr="00B9128F">
        <w:rPr>
          <w:rFonts w:eastAsia="Times New Roman" w:cs="Arial"/>
          <w:color w:val="000000"/>
          <w:szCs w:val="20"/>
          <w:lang w:val="en-US"/>
        </w:rPr>
        <w:t>DA</w:t>
      </w:r>
      <w:r w:rsidRPr="00B9128F">
        <w:rPr>
          <w:rFonts w:eastAsia="Times New Roman" w:cs="Arial"/>
          <w:color w:val="000000"/>
          <w:szCs w:val="20"/>
          <w:lang w:val="ru-RU"/>
        </w:rPr>
        <w:t>06</w:t>
      </w:r>
    </w:p>
    <w:p w14:paraId="238B7D61" w14:textId="77777777" w:rsidR="00B9128F" w:rsidRPr="00B9128F" w:rsidRDefault="00B9128F" w:rsidP="00B9128F">
      <w:pPr>
        <w:spacing w:line="240" w:lineRule="auto"/>
        <w:rPr>
          <w:rFonts w:eastAsia="Times New Roman" w:cs="Arial"/>
          <w:color w:val="000000"/>
          <w:szCs w:val="20"/>
          <w:lang w:eastAsia="bg-BG"/>
        </w:rPr>
      </w:pPr>
    </w:p>
    <w:p w14:paraId="6123E651" w14:textId="0687D1E2"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Ангиотензин II е основния вазоактивен хормон от ренин-ангиотензин-алдостероновата система и има роля в патофизиологията на хипертонията и други сърдечно-съдови нарушения. Той също така играе роля в патогенезата на терминалната органна хипертрофия и терминалното органно увреждане. Основните физиологични ефекти на ангиотензин II като вазоконстрикция, стимулиране освобождаването на алдостерон, регулация на електролитната и водната хомеостаза и стимулиране на клетъчния растеж, се медиират чрез рецептора от тип 1 </w:t>
      </w:r>
      <w:r w:rsidRPr="00B9128F">
        <w:rPr>
          <w:rFonts w:eastAsia="Times New Roman" w:cs="Arial"/>
          <w:color w:val="000000"/>
          <w:szCs w:val="20"/>
          <w:lang w:val="ru-RU"/>
        </w:rPr>
        <w:t>(</w:t>
      </w:r>
      <w:r w:rsidRPr="00B9128F">
        <w:rPr>
          <w:rFonts w:eastAsia="Times New Roman" w:cs="Arial"/>
          <w:color w:val="000000"/>
          <w:szCs w:val="20"/>
          <w:lang w:val="en-US"/>
        </w:rPr>
        <w:t>AT</w:t>
      </w:r>
      <w:r w:rsidRPr="00B9128F">
        <w:rPr>
          <w:rFonts w:eastAsia="Times New Roman" w:cs="Arial"/>
          <w:color w:val="000000"/>
          <w:szCs w:val="20"/>
          <w:lang w:val="ru-RU"/>
        </w:rPr>
        <w:t>1).</w:t>
      </w:r>
    </w:p>
    <w:p w14:paraId="2AD394D4" w14:textId="77777777" w:rsidR="00B9128F" w:rsidRPr="00B9128F" w:rsidRDefault="00B9128F" w:rsidP="00B9128F">
      <w:pPr>
        <w:spacing w:line="240" w:lineRule="auto"/>
        <w:rPr>
          <w:rFonts w:eastAsia="Times New Roman" w:cs="Arial"/>
          <w:color w:val="000000"/>
          <w:szCs w:val="20"/>
          <w:lang w:eastAsia="bg-BG"/>
        </w:rPr>
      </w:pPr>
    </w:p>
    <w:p w14:paraId="39478A97" w14:textId="3955C782"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цилексетил е пролекарство.</w:t>
      </w:r>
    </w:p>
    <w:p w14:paraId="089CA28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перорален прием, в процеса на резорбция в гастроинтестиналния тракт кандесартан цилексетил се хидролизира (естерна хидролиза) до активното вещество кандесартан.</w:t>
      </w:r>
    </w:p>
    <w:p w14:paraId="7C14603F"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е А</w:t>
      </w:r>
      <w:r w:rsidRPr="00B9128F">
        <w:rPr>
          <w:rFonts w:eastAsia="Times New Roman" w:cs="Arial"/>
          <w:color w:val="000000"/>
          <w:szCs w:val="20"/>
          <w:lang w:val="en-US"/>
        </w:rPr>
        <w:t>II</w:t>
      </w:r>
      <w:r w:rsidRPr="00B9128F">
        <w:rPr>
          <w:rFonts w:eastAsia="Times New Roman" w:cs="Arial"/>
          <w:color w:val="000000"/>
          <w:szCs w:val="20"/>
          <w:lang w:eastAsia="bg-BG"/>
        </w:rPr>
        <w:t xml:space="preserve">РБ, селективен по отношение на </w:t>
      </w:r>
      <w:r w:rsidRPr="00B9128F">
        <w:rPr>
          <w:rFonts w:eastAsia="Times New Roman" w:cs="Arial"/>
          <w:color w:val="000000"/>
          <w:szCs w:val="20"/>
          <w:lang w:val="en-US"/>
        </w:rPr>
        <w:t>AT</w:t>
      </w:r>
      <w:r w:rsidRPr="00B9128F">
        <w:rPr>
          <w:rFonts w:eastAsia="Times New Roman" w:cs="Arial"/>
          <w:color w:val="000000"/>
          <w:szCs w:val="20"/>
          <w:lang w:val="ru-RU"/>
        </w:rPr>
        <w:t xml:space="preserve">1 </w:t>
      </w:r>
      <w:r w:rsidRPr="00B9128F">
        <w:rPr>
          <w:rFonts w:eastAsia="Times New Roman" w:cs="Arial"/>
          <w:color w:val="000000"/>
          <w:szCs w:val="20"/>
          <w:lang w:eastAsia="bg-BG"/>
        </w:rPr>
        <w:t>рецепторите, който се свързва здраво и се отделя бавно от рецептора. Той няма миметична активност.</w:t>
      </w:r>
    </w:p>
    <w:p w14:paraId="5796BB9F" w14:textId="77777777" w:rsidR="00B9128F" w:rsidRPr="00B9128F" w:rsidRDefault="00B9128F" w:rsidP="00B9128F">
      <w:pPr>
        <w:spacing w:line="240" w:lineRule="auto"/>
        <w:rPr>
          <w:rFonts w:eastAsia="Times New Roman" w:cs="Arial"/>
          <w:color w:val="000000"/>
          <w:szCs w:val="20"/>
          <w:lang w:eastAsia="bg-BG"/>
        </w:rPr>
      </w:pPr>
    </w:p>
    <w:p w14:paraId="34BD421B" w14:textId="12015140"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не повлиява АСЕ или други ензимни системи, които обикновено са свързани с използването на АСЕ инхибитори. Понеже не оказват ефект върху разграждането на кинините, нито върху метаболизма на други съединения - като субстанция Р, е малко вероятно да се очаква А</w:t>
      </w:r>
      <w:r w:rsidRPr="00B9128F">
        <w:rPr>
          <w:rFonts w:eastAsia="Times New Roman" w:cs="Arial"/>
          <w:color w:val="000000"/>
          <w:szCs w:val="20"/>
          <w:lang w:val="en-US"/>
        </w:rPr>
        <w:t>II</w:t>
      </w:r>
      <w:r w:rsidRPr="00B9128F">
        <w:rPr>
          <w:rFonts w:eastAsia="Times New Roman" w:cs="Arial"/>
          <w:color w:val="000000"/>
          <w:szCs w:val="20"/>
          <w:lang w:eastAsia="bg-BG"/>
        </w:rPr>
        <w:t xml:space="preserve">РБ да се свързват с кашлица. В контролираните клинични проучвания, сравняващи кандесартан цилексетил с АСЕ инхибитори, честотата на развитие на кашлица при пациентите, приемащи кандесартан цилексетил, е по-ниска. Кандесартан не се свързва към или блокира други хормонални рецептори или йонни канали, за които да е известно, че са важни за сърдечно-съдовата регулация. Антагонизмът спрямо </w:t>
      </w:r>
      <w:r w:rsidRPr="00B9128F">
        <w:rPr>
          <w:rFonts w:eastAsia="Times New Roman" w:cs="Arial"/>
          <w:color w:val="000000"/>
          <w:szCs w:val="20"/>
          <w:lang w:val="en-US"/>
        </w:rPr>
        <w:t>AT</w:t>
      </w:r>
      <w:r w:rsidRPr="00B9128F">
        <w:rPr>
          <w:rFonts w:eastAsia="Times New Roman" w:cs="Arial"/>
          <w:color w:val="000000"/>
          <w:szCs w:val="20"/>
          <w:lang w:val="ru-RU"/>
        </w:rPr>
        <w:t xml:space="preserve">1 </w:t>
      </w:r>
      <w:r w:rsidRPr="00B9128F">
        <w:rPr>
          <w:rFonts w:eastAsia="Times New Roman" w:cs="Arial"/>
          <w:color w:val="000000"/>
          <w:szCs w:val="20"/>
          <w:lang w:eastAsia="bg-BG"/>
        </w:rPr>
        <w:t xml:space="preserve">рецепторите води до дозозависимо повишаване на плазмената </w:t>
      </w:r>
      <w:r w:rsidRPr="00B9128F">
        <w:rPr>
          <w:rFonts w:eastAsia="Times New Roman" w:cs="Arial"/>
          <w:color w:val="000000"/>
          <w:szCs w:val="20"/>
          <w:lang w:eastAsia="bg-BG"/>
        </w:rPr>
        <w:lastRenderedPageBreak/>
        <w:t>концентрация на ренин, ангиотензин I и ангиотензин II, и понижаване плазмената концентрация на алдостерон.</w:t>
      </w:r>
    </w:p>
    <w:p w14:paraId="7CE2A239" w14:textId="77777777" w:rsidR="00B9128F" w:rsidRPr="00B9128F" w:rsidRDefault="00B9128F" w:rsidP="00B9128F">
      <w:pPr>
        <w:spacing w:line="240" w:lineRule="auto"/>
        <w:rPr>
          <w:rFonts w:eastAsia="Times New Roman" w:cs="Arial"/>
          <w:color w:val="000000"/>
          <w:szCs w:val="20"/>
          <w:lang w:eastAsia="bg-BG"/>
        </w:rPr>
      </w:pPr>
    </w:p>
    <w:p w14:paraId="5B9DCAF7" w14:textId="4CA8A584"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Ефектите на кандесартан цилексетил при прием на количества от 8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до 16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(средна доза 12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еднократна дневна доза, върху сърдечно-съдовата заболеваемост и смъртност са оценени при рандомизаирано клинично проучване, включващо 4 937 пациенти в старческа възраст (70-89 години, 21% на възраст 80 или повече години) с лека до умерено тежка хипертония, проследявани в продължение на 3,7 години. Пациентите са приемали кандесартан цилексети или плацебо с добавяне при нужда на друго антихипертензивно средство.</w:t>
      </w:r>
    </w:p>
    <w:p w14:paraId="4F8058A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Артериалното налягане показва понижаване от 166/90 на 145/80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в групата на кандесартан и от 167/90 до 149/82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в групата на плацебо.</w:t>
      </w:r>
    </w:p>
    <w:p w14:paraId="09D68A64"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По отношение на първичната крайна точка - значими сърдечно-съдови събития (сърдечно-съдова смъртност, нефатален инсулт и нефатален инфаркт на миокарда) няма статистически значима разлика. В групата на кандесартан ицидентите са 26,7 на 1000 пациента годишно а в контролната група - 30,0 на 1000 пациента годишно (относителен риск 0,89,95% С10,75 до 1,06, </w:t>
      </w:r>
      <w:r w:rsidRPr="00B9128F">
        <w:rPr>
          <w:rFonts w:eastAsia="Times New Roman" w:cs="Arial"/>
          <w:color w:val="000000"/>
          <w:szCs w:val="20"/>
          <w:lang w:val="en-US"/>
        </w:rPr>
        <w:t>p</w:t>
      </w:r>
      <w:r w:rsidRPr="00B9128F">
        <w:rPr>
          <w:rFonts w:eastAsia="Times New Roman" w:cs="Arial"/>
          <w:color w:val="000000"/>
          <w:szCs w:val="20"/>
          <w:lang w:val="ru-RU"/>
        </w:rPr>
        <w:t>=0,19).</w:t>
      </w:r>
    </w:p>
    <w:p w14:paraId="45F0CED6" w14:textId="1D766CC7" w:rsidR="00B9128F" w:rsidRPr="00B9128F" w:rsidRDefault="00B9128F" w:rsidP="00B9128F">
      <w:pPr>
        <w:rPr>
          <w:rFonts w:cs="Arial"/>
          <w:sz w:val="24"/>
        </w:rPr>
      </w:pPr>
    </w:p>
    <w:p w14:paraId="0A488C5E"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Хидрохлоротиазид инхибира активната реабсобция на натрий, главно в дисталните туболи и стимулира екскрецията на натрий, хлор и вода. Бъбречната екскреция на калий и магнезий се повишава дозозависимо, докато реабсорбцията на калций се повишава. Хидрохлоротиазид понижава плазмения обем и обема на извънклетъчната течност, понижава минутния обем на сърцето и артериалното налягане. При дългосрочно лечение пониженото периферно съпротивление допринася за понижаването на артериалното налягане.</w:t>
      </w:r>
    </w:p>
    <w:p w14:paraId="0CAA6F5A" w14:textId="77777777" w:rsidR="00B9128F" w:rsidRPr="00B9128F" w:rsidRDefault="00B9128F" w:rsidP="00B9128F">
      <w:pPr>
        <w:spacing w:line="240" w:lineRule="auto"/>
        <w:rPr>
          <w:rFonts w:eastAsia="Times New Roman" w:cs="Arial"/>
          <w:color w:val="000000"/>
          <w:szCs w:val="20"/>
          <w:lang w:eastAsia="bg-BG"/>
        </w:rPr>
      </w:pPr>
    </w:p>
    <w:p w14:paraId="1C3DA421" w14:textId="06EEA7DD"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Големи клинични проучвания показват, че дългосрочното лечение с хидрохлоротиазид намалява риска за сърдечно-съдова заболеваемост и смъртност.</w:t>
      </w:r>
    </w:p>
    <w:p w14:paraId="6F0D6E8C" w14:textId="77777777" w:rsidR="00B9128F" w:rsidRPr="00B9128F" w:rsidRDefault="00B9128F" w:rsidP="00B9128F">
      <w:pPr>
        <w:spacing w:line="240" w:lineRule="auto"/>
        <w:rPr>
          <w:rFonts w:eastAsia="Times New Roman" w:cs="Arial"/>
          <w:color w:val="000000"/>
          <w:szCs w:val="20"/>
          <w:lang w:eastAsia="bg-BG"/>
        </w:rPr>
      </w:pPr>
    </w:p>
    <w:p w14:paraId="03CE3F63" w14:textId="017E8DAA"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и хидрохлоротиазид имат адитивен антихипертензивен ефект.</w:t>
      </w:r>
    </w:p>
    <w:p w14:paraId="2F201376" w14:textId="77777777" w:rsidR="00B9128F" w:rsidRPr="00B9128F" w:rsidRDefault="00B9128F" w:rsidP="00B9128F">
      <w:pPr>
        <w:spacing w:line="240" w:lineRule="auto"/>
        <w:rPr>
          <w:rFonts w:eastAsia="Times New Roman" w:cs="Arial"/>
          <w:color w:val="000000"/>
          <w:szCs w:val="20"/>
          <w:lang w:eastAsia="bg-BG"/>
        </w:rPr>
      </w:pPr>
    </w:p>
    <w:p w14:paraId="1A6271B0" w14:textId="7156EF1D"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пациенти с артериална хипертония приема на Кантаб Плюс води до дозозависимо и продължително понижаване на артериалното налягане без рефлекторно повишаване на сърдечната честота. Няма данни за сериозен или прекомерен хипотензивен ефект на първата доза или ребаунд ефект след спиране на лечението. След прилагане на еднократна доза Кантаб Плюс като цяло антихипертензивния ефект започва да се проявява в рамките на 2 часа. Оптимален ефект се постига в рамките на 4 седмици, като в хода на дългосрочно лечение се запазва. Кантаб Плюс еднократно дневно осигурява ефективно и равномерно понижаване на артериалното налягане за период от 24 часа, с малка разлика между ефекта при максималната и при най-ниската концентрация в рамките на интервала на прилагане.</w:t>
      </w:r>
    </w:p>
    <w:p w14:paraId="4DB033A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двойно-сляпо рандомизирано проучване Кантаб Плюс 16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еднократно дневно показва понижаване на артериалното налягане в значимо по-голяма степен и постигане на контрол при значимо повече пациенти, отколкото при използване на комбинацията лозартан/хидрохлоротиазид 50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еднократно дневно.</w:t>
      </w:r>
    </w:p>
    <w:p w14:paraId="7BBB12F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двойно-слепи, рандомизирани проучвания, честотата на нежеланите реакции, особено на кашлица, е по-ниска при лечение с Кантаб Плюс, отколкото при лечение с комбинации от АСЕ инхибитори и хидрохлоротиазид.</w:t>
      </w:r>
    </w:p>
    <w:p w14:paraId="58494890" w14:textId="77777777" w:rsidR="00B9128F" w:rsidRPr="00B9128F" w:rsidRDefault="00B9128F" w:rsidP="00B9128F">
      <w:pPr>
        <w:spacing w:line="240" w:lineRule="auto"/>
        <w:rPr>
          <w:rFonts w:eastAsia="Times New Roman" w:cs="Arial"/>
          <w:color w:val="000000"/>
          <w:szCs w:val="20"/>
          <w:lang w:eastAsia="bg-BG"/>
        </w:rPr>
      </w:pPr>
    </w:p>
    <w:p w14:paraId="52D29000" w14:textId="7C976D4E"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две клинични проучвания (рандомизирани, двойно-сляпи, плацебо-контролирани, с успоредни групи) включващи съответно 275 и 1 524 рандомизирани пациенти, приемът на </w:t>
      </w:r>
      <w:r w:rsidRPr="00B9128F">
        <w:rPr>
          <w:rFonts w:eastAsia="Times New Roman" w:cs="Arial"/>
          <w:color w:val="000000"/>
          <w:szCs w:val="20"/>
          <w:lang w:eastAsia="bg-BG"/>
        </w:rPr>
        <w:lastRenderedPageBreak/>
        <w:t xml:space="preserve">комбинацията кандесартан цилексетил/хидрохлоротиазид в дози 32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32 </w:t>
      </w:r>
      <w:r w:rsidRPr="00B9128F">
        <w:rPr>
          <w:rFonts w:eastAsia="Times New Roman" w:cs="Arial"/>
          <w:color w:val="000000"/>
          <w:szCs w:val="20"/>
          <w:lang w:val="en-US"/>
        </w:rPr>
        <w:t>mg</w:t>
      </w:r>
      <w:r w:rsidRPr="00B9128F">
        <w:rPr>
          <w:rFonts w:eastAsia="Times New Roman" w:cs="Arial"/>
          <w:color w:val="000000"/>
          <w:szCs w:val="20"/>
          <w:lang w:val="ru-RU"/>
        </w:rPr>
        <w:t xml:space="preserve">/25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води до понижаване на артериалното налягане съответно с 22/15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21/14 </w:t>
      </w:r>
      <w:r w:rsidRPr="00B9128F">
        <w:rPr>
          <w:rFonts w:eastAsia="Times New Roman" w:cs="Arial"/>
          <w:color w:val="000000"/>
          <w:szCs w:val="20"/>
          <w:lang w:val="en-US"/>
        </w:rPr>
        <w:t>mm</w:t>
      </w:r>
      <w:r w:rsidRPr="00B9128F">
        <w:rPr>
          <w:rFonts w:eastAsia="Times New Roman" w:cs="Arial"/>
          <w:color w:val="000000"/>
          <w:szCs w:val="20"/>
          <w:lang w:val="ru-RU"/>
        </w:rPr>
        <w:t xml:space="preserve"> </w:t>
      </w:r>
      <w:r w:rsidRPr="00B9128F">
        <w:rPr>
          <w:rFonts w:eastAsia="Times New Roman" w:cs="Arial"/>
          <w:color w:val="000000"/>
          <w:szCs w:val="20"/>
          <w:lang w:val="en-US"/>
        </w:rPr>
        <w:t>Hg</w:t>
      </w:r>
      <w:r w:rsidRPr="00B9128F">
        <w:rPr>
          <w:rFonts w:eastAsia="Times New Roman" w:cs="Arial"/>
          <w:color w:val="000000"/>
          <w:szCs w:val="20"/>
          <w:lang w:val="ru-RU"/>
        </w:rPr>
        <w:t xml:space="preserve">, </w:t>
      </w:r>
      <w:r w:rsidRPr="00B9128F">
        <w:rPr>
          <w:rFonts w:eastAsia="Times New Roman" w:cs="Arial"/>
          <w:color w:val="000000"/>
          <w:szCs w:val="20"/>
          <w:lang w:eastAsia="bg-BG"/>
        </w:rPr>
        <w:t>като показва значително по-висока ефективност от тази на съответните компоненти по отделно.</w:t>
      </w:r>
    </w:p>
    <w:p w14:paraId="39128B64" w14:textId="77777777" w:rsidR="00B9128F" w:rsidRPr="00B9128F" w:rsidRDefault="00B9128F" w:rsidP="00B9128F">
      <w:pPr>
        <w:spacing w:line="240" w:lineRule="auto"/>
        <w:rPr>
          <w:rFonts w:eastAsia="Times New Roman" w:cs="Arial"/>
          <w:color w:val="000000"/>
          <w:szCs w:val="20"/>
          <w:lang w:eastAsia="bg-BG"/>
        </w:rPr>
      </w:pPr>
    </w:p>
    <w:p w14:paraId="72EB31EE" w14:textId="0E71A6A4"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рандомизирано, двойно-сляпо, клинично проучване с успоредни групи, е установено, че добавянето на 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или 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хидрохлоротиазид към дневната доза от 32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кандесартан цилексетил води до допълнително понижаване на артериалното налягане.</w:t>
      </w:r>
    </w:p>
    <w:p w14:paraId="476D8EF8" w14:textId="77777777" w:rsidR="00B9128F" w:rsidRPr="00B9128F" w:rsidRDefault="00B9128F" w:rsidP="00B9128F">
      <w:pPr>
        <w:spacing w:line="240" w:lineRule="auto"/>
        <w:rPr>
          <w:rFonts w:eastAsia="Times New Roman" w:cs="Arial"/>
          <w:color w:val="000000"/>
          <w:szCs w:val="20"/>
          <w:lang w:eastAsia="bg-BG"/>
        </w:rPr>
      </w:pPr>
    </w:p>
    <w:p w14:paraId="43E760CF" w14:textId="177A3C72"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Комбинацията кандесартан цилексетил/хидрохлоротиазид 32 </w:t>
      </w:r>
      <w:r w:rsidRPr="00B9128F">
        <w:rPr>
          <w:rFonts w:eastAsia="Times New Roman" w:cs="Arial"/>
          <w:color w:val="000000"/>
          <w:szCs w:val="20"/>
          <w:lang w:val="en-US"/>
        </w:rPr>
        <w:t>mg</w:t>
      </w:r>
      <w:r w:rsidRPr="00B9128F">
        <w:rPr>
          <w:rFonts w:eastAsia="Times New Roman" w:cs="Arial"/>
          <w:color w:val="000000"/>
          <w:szCs w:val="20"/>
          <w:lang w:val="ru-RU"/>
        </w:rPr>
        <w:t xml:space="preserve">/25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показва значимо по-висока ефективност от комбинацията 32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като средното понижаване на артериалното налягане е съответно 16/10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13/9 </w:t>
      </w:r>
      <w:r w:rsidRPr="00B9128F">
        <w:rPr>
          <w:rFonts w:eastAsia="Times New Roman" w:cs="Arial"/>
          <w:color w:val="000000"/>
          <w:szCs w:val="20"/>
          <w:lang w:val="en-US"/>
        </w:rPr>
        <w:t>mmHg</w:t>
      </w:r>
      <w:r w:rsidRPr="00B9128F">
        <w:rPr>
          <w:rFonts w:eastAsia="Times New Roman" w:cs="Arial"/>
          <w:color w:val="000000"/>
          <w:szCs w:val="20"/>
          <w:lang w:val="ru-RU"/>
        </w:rPr>
        <w:t>.</w:t>
      </w:r>
    </w:p>
    <w:p w14:paraId="1E79CE07"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Комбинацията кандесартан цилексетил/хидрохлоротиазид показва сходна ефективност без значение от възрастта и пола.</w:t>
      </w:r>
    </w:p>
    <w:p w14:paraId="542C1A87" w14:textId="77777777" w:rsidR="00B9128F" w:rsidRPr="00B9128F" w:rsidRDefault="00B9128F" w:rsidP="00B9128F">
      <w:pPr>
        <w:rPr>
          <w:rFonts w:eastAsia="Times New Roman" w:cs="Arial"/>
          <w:color w:val="000000"/>
          <w:szCs w:val="20"/>
          <w:lang w:eastAsia="bg-BG"/>
        </w:rPr>
      </w:pPr>
    </w:p>
    <w:p w14:paraId="6337E2BC" w14:textId="3B028409" w:rsidR="00B9128F" w:rsidRPr="00B9128F" w:rsidRDefault="00B9128F" w:rsidP="00B9128F">
      <w:pPr>
        <w:rPr>
          <w:rFonts w:eastAsia="Times New Roman" w:cs="Arial"/>
          <w:color w:val="000000"/>
          <w:szCs w:val="20"/>
          <w:lang w:eastAsia="bg-BG"/>
        </w:rPr>
      </w:pPr>
      <w:r w:rsidRPr="00B9128F">
        <w:rPr>
          <w:rFonts w:eastAsia="Times New Roman" w:cs="Arial"/>
          <w:color w:val="000000"/>
          <w:szCs w:val="20"/>
          <w:lang w:eastAsia="bg-BG"/>
        </w:rPr>
        <w:t>Към момента липсват данни за употреба на кандесартан цилексетил/хидрохлоротиазид при пациенти с бъбречно заболяване/нефропатия, намалена левокамерна функция, застойна сърдечна дейност и след инфаркт на миокарда.</w:t>
      </w:r>
    </w:p>
    <w:p w14:paraId="6A9022AF" w14:textId="77777777" w:rsidR="00B9128F" w:rsidRPr="00B9128F" w:rsidRDefault="00B9128F" w:rsidP="00B9128F"/>
    <w:p w14:paraId="78DD93AA" w14:textId="5309632F" w:rsidR="00B6672E" w:rsidRDefault="002C50EE" w:rsidP="00936AD0">
      <w:pPr>
        <w:pStyle w:val="Heading2"/>
      </w:pPr>
      <w:r>
        <w:t>5.2. Фармакокинетични свойства</w:t>
      </w:r>
    </w:p>
    <w:p w14:paraId="2A2EDDCA" w14:textId="62FF4E72" w:rsidR="00B9128F" w:rsidRDefault="00B9128F" w:rsidP="00B9128F"/>
    <w:p w14:paraId="1A3DF3E9"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Едновременното приложение на кандесартан цилексетил и хидрохлоротиазид не оказва клинично значими ефекти върху фармакокинетиката им.</w:t>
      </w:r>
    </w:p>
    <w:p w14:paraId="16B1F64E" w14:textId="77777777" w:rsidR="00B9128F" w:rsidRPr="00B9128F" w:rsidRDefault="00B9128F" w:rsidP="00B9128F">
      <w:pPr>
        <w:spacing w:line="240" w:lineRule="auto"/>
        <w:rPr>
          <w:rFonts w:eastAsia="Times New Roman" w:cs="Arial"/>
          <w:i/>
          <w:iCs/>
          <w:color w:val="000000"/>
          <w:szCs w:val="20"/>
          <w:u w:val="single"/>
          <w:lang w:eastAsia="bg-BG"/>
        </w:rPr>
      </w:pPr>
    </w:p>
    <w:p w14:paraId="55C2E365" w14:textId="2E0F2959" w:rsidR="00B9128F" w:rsidRPr="00B9128F" w:rsidRDefault="00B9128F" w:rsidP="00B9128F">
      <w:pPr>
        <w:pStyle w:val="Heading3"/>
        <w:rPr>
          <w:rFonts w:eastAsia="Times New Roman"/>
          <w:sz w:val="28"/>
          <w:u w:val="single"/>
        </w:rPr>
      </w:pPr>
      <w:r w:rsidRPr="00B9128F">
        <w:rPr>
          <w:rFonts w:eastAsia="Times New Roman"/>
          <w:u w:val="single"/>
          <w:lang w:eastAsia="bg-BG"/>
        </w:rPr>
        <w:t>Абсобиия и разпределение</w:t>
      </w:r>
    </w:p>
    <w:p w14:paraId="4FCA3D78" w14:textId="77777777" w:rsidR="00B9128F" w:rsidRPr="00B9128F" w:rsidRDefault="00B9128F" w:rsidP="00B9128F">
      <w:pPr>
        <w:spacing w:line="240" w:lineRule="auto"/>
        <w:rPr>
          <w:rFonts w:eastAsia="Times New Roman" w:cs="Arial"/>
          <w:i/>
          <w:iCs/>
          <w:color w:val="000000"/>
          <w:szCs w:val="20"/>
          <w:lang w:eastAsia="bg-BG"/>
        </w:rPr>
      </w:pPr>
    </w:p>
    <w:p w14:paraId="309A8AE9" w14:textId="4442BFF0"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Кандесартан цилексетил</w:t>
      </w:r>
    </w:p>
    <w:p w14:paraId="33CFD1B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След перорален прием кандесартан цилексетил се превръща в активното вещество кандесартан. Абсолютната бионаличност на кандесартан, след прием на перорален разтвор на кандесартан цилексетил е около 40%.</w:t>
      </w:r>
    </w:p>
    <w:p w14:paraId="46ADB88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сравнение с пероралния разтвор, относителната бионаличност на таблетната форма на кандесартан цилексетил е приблизително 34% с минимална вариабилност.</w:t>
      </w:r>
    </w:p>
    <w:p w14:paraId="118D7C86"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Средната пикова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се постига 3-4 часа след приема на таблетката. С повишаване на дозата в рамките на терапевтичния дозов диапазон, серумната концентрация на кандесартан се повишава в линейна зависимост. Не е наблюдавана зависимост на фармакокинетиката на кандесартан цилексетил от пола.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не се повлиява значимо от приема на храна.</w:t>
      </w:r>
    </w:p>
    <w:p w14:paraId="0EE19A0F" w14:textId="77777777" w:rsidR="00B9128F" w:rsidRPr="00B9128F" w:rsidRDefault="00B9128F" w:rsidP="00B9128F">
      <w:pPr>
        <w:spacing w:line="240" w:lineRule="auto"/>
        <w:rPr>
          <w:rFonts w:eastAsia="Times New Roman" w:cs="Arial"/>
          <w:color w:val="000000"/>
          <w:szCs w:val="20"/>
          <w:lang w:eastAsia="bg-BG"/>
        </w:rPr>
      </w:pPr>
    </w:p>
    <w:p w14:paraId="7BEED3DA" w14:textId="331A3149"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се свързва във висока степен с плазмените протеини (над 99%). Привидният обем на разпределение на кандесартан е 0,1</w:t>
      </w:r>
      <w:r w:rsidRPr="00B9128F">
        <w:rPr>
          <w:rFonts w:eastAsia="Times New Roman" w:cs="Arial"/>
          <w:color w:val="000000"/>
          <w:szCs w:val="20"/>
          <w:lang w:val="ru-RU"/>
        </w:rPr>
        <w:t>1/</w:t>
      </w:r>
      <w:r w:rsidRPr="00B9128F">
        <w:rPr>
          <w:rFonts w:eastAsia="Times New Roman" w:cs="Arial"/>
          <w:color w:val="000000"/>
          <w:szCs w:val="20"/>
          <w:lang w:val="en-US"/>
        </w:rPr>
        <w:t>kg</w:t>
      </w:r>
      <w:r w:rsidRPr="00B9128F">
        <w:rPr>
          <w:rFonts w:eastAsia="Times New Roman" w:cs="Arial"/>
          <w:color w:val="000000"/>
          <w:szCs w:val="20"/>
          <w:lang w:val="ru-RU"/>
        </w:rPr>
        <w:t>,</w:t>
      </w:r>
    </w:p>
    <w:p w14:paraId="7EE1AF97" w14:textId="77777777" w:rsidR="00B9128F" w:rsidRPr="00B9128F" w:rsidRDefault="00B9128F" w:rsidP="00B9128F">
      <w:pPr>
        <w:spacing w:line="240" w:lineRule="auto"/>
        <w:rPr>
          <w:rFonts w:eastAsia="Times New Roman" w:cs="Arial"/>
          <w:i/>
          <w:iCs/>
          <w:color w:val="000000"/>
          <w:szCs w:val="20"/>
          <w:lang w:eastAsia="bg-BG"/>
        </w:rPr>
      </w:pPr>
    </w:p>
    <w:p w14:paraId="144254B9" w14:textId="1CA4F1EC"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Хидрохлоротиазид</w:t>
      </w:r>
    </w:p>
    <w:p w14:paraId="4FB900DE"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Хидрохлоротиазид се резорбира бързо в гастроинтестиналния тракт, като абсолютната му бионаличност е приблизително 70%.</w:t>
      </w:r>
    </w:p>
    <w:p w14:paraId="07631F5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Едновременният прием на храна увеличава резорбцията му с близо 15%. При пациенти със сърдечна недостатъчност и явно изразени отоци бионаличността му може да намалее.</w:t>
      </w:r>
    </w:p>
    <w:p w14:paraId="4D3E342C" w14:textId="77777777" w:rsidR="00B9128F" w:rsidRPr="00B9128F" w:rsidRDefault="00B9128F" w:rsidP="00B9128F">
      <w:pPr>
        <w:spacing w:line="240" w:lineRule="auto"/>
        <w:rPr>
          <w:rFonts w:eastAsia="Times New Roman" w:cs="Arial"/>
          <w:color w:val="000000"/>
          <w:szCs w:val="20"/>
          <w:lang w:eastAsia="bg-BG"/>
        </w:rPr>
      </w:pPr>
    </w:p>
    <w:p w14:paraId="00B511AA" w14:textId="7FDFF16F"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lastRenderedPageBreak/>
        <w:t xml:space="preserve">Свързването на хидрохлоротиазид с плазмените протеини е приблизително 60%. Привидният му обем на разпределение е приблизително 0,8 </w:t>
      </w:r>
      <w:r w:rsidRPr="00B9128F">
        <w:rPr>
          <w:rFonts w:eastAsia="Times New Roman" w:cs="Arial"/>
          <w:color w:val="000000"/>
          <w:szCs w:val="20"/>
          <w:lang w:val="en-US"/>
        </w:rPr>
        <w:t>l</w:t>
      </w:r>
      <w:r w:rsidRPr="00B9128F">
        <w:rPr>
          <w:rFonts w:eastAsia="Times New Roman" w:cs="Arial"/>
          <w:color w:val="000000"/>
          <w:szCs w:val="20"/>
          <w:lang w:val="ru-RU"/>
        </w:rPr>
        <w:t>/</w:t>
      </w:r>
      <w:r w:rsidRPr="00B9128F">
        <w:rPr>
          <w:rFonts w:eastAsia="Times New Roman" w:cs="Arial"/>
          <w:color w:val="000000"/>
          <w:szCs w:val="20"/>
          <w:lang w:val="en-US"/>
        </w:rPr>
        <w:t>kg</w:t>
      </w:r>
      <w:r w:rsidRPr="00B9128F">
        <w:rPr>
          <w:rFonts w:eastAsia="Times New Roman" w:cs="Arial"/>
          <w:color w:val="000000"/>
          <w:szCs w:val="20"/>
          <w:lang w:val="ru-RU"/>
        </w:rPr>
        <w:t>.</w:t>
      </w:r>
    </w:p>
    <w:p w14:paraId="32880DF6" w14:textId="77777777" w:rsidR="00B9128F" w:rsidRPr="00B9128F" w:rsidRDefault="00B9128F" w:rsidP="00B9128F">
      <w:pPr>
        <w:spacing w:line="240" w:lineRule="auto"/>
        <w:rPr>
          <w:rFonts w:eastAsia="Times New Roman" w:cs="Arial"/>
          <w:i/>
          <w:iCs/>
          <w:color w:val="000000"/>
          <w:szCs w:val="20"/>
          <w:u w:val="single"/>
          <w:lang w:eastAsia="bg-BG"/>
        </w:rPr>
      </w:pPr>
    </w:p>
    <w:p w14:paraId="3D7352D1" w14:textId="666457C5" w:rsidR="00B9128F" w:rsidRPr="00B9128F" w:rsidRDefault="00B9128F" w:rsidP="00B9128F">
      <w:pPr>
        <w:pStyle w:val="Heading3"/>
        <w:rPr>
          <w:rFonts w:eastAsia="Times New Roman"/>
          <w:sz w:val="28"/>
          <w:u w:val="single"/>
        </w:rPr>
      </w:pPr>
      <w:r w:rsidRPr="00B9128F">
        <w:rPr>
          <w:rFonts w:eastAsia="Times New Roman"/>
          <w:u w:val="single"/>
          <w:lang w:eastAsia="bg-BG"/>
        </w:rPr>
        <w:t>Биотрансформаиия и елиминиране</w:t>
      </w:r>
    </w:p>
    <w:p w14:paraId="2FD8E5FF" w14:textId="77777777" w:rsidR="00B9128F" w:rsidRPr="00B9128F" w:rsidRDefault="00B9128F" w:rsidP="00B9128F">
      <w:pPr>
        <w:spacing w:line="240" w:lineRule="auto"/>
        <w:rPr>
          <w:rFonts w:eastAsia="Times New Roman" w:cs="Arial"/>
          <w:i/>
          <w:iCs/>
          <w:color w:val="000000"/>
          <w:szCs w:val="20"/>
          <w:lang w:eastAsia="bg-BG"/>
        </w:rPr>
      </w:pPr>
    </w:p>
    <w:p w14:paraId="0C3CEE47" w14:textId="288C77B3"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Кандесартан цилексетил</w:t>
      </w:r>
    </w:p>
    <w:p w14:paraId="188DCA46"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Кандесартан се елиминира главно непроменен с урината и жлъчния сок, като в малка степен се елиминира чрез метаболизиране в черния дроб </w:t>
      </w:r>
      <w:r w:rsidRPr="00B9128F">
        <w:rPr>
          <w:rFonts w:eastAsia="Times New Roman" w:cs="Arial"/>
          <w:color w:val="000000"/>
          <w:szCs w:val="20"/>
          <w:lang w:val="ru-RU"/>
        </w:rPr>
        <w:t>(</w:t>
      </w:r>
      <w:r w:rsidRPr="00B9128F">
        <w:rPr>
          <w:rFonts w:eastAsia="Times New Roman" w:cs="Arial"/>
          <w:color w:val="000000"/>
          <w:szCs w:val="20"/>
          <w:lang w:val="en-US"/>
        </w:rPr>
        <w:t>CYP</w:t>
      </w:r>
      <w:r w:rsidRPr="00B9128F">
        <w:rPr>
          <w:rFonts w:eastAsia="Times New Roman" w:cs="Arial"/>
          <w:color w:val="000000"/>
          <w:szCs w:val="20"/>
          <w:lang w:val="ru-RU"/>
        </w:rPr>
        <w:t>2</w:t>
      </w:r>
      <w:r w:rsidRPr="00B9128F">
        <w:rPr>
          <w:rFonts w:eastAsia="Times New Roman" w:cs="Arial"/>
          <w:color w:val="000000"/>
          <w:szCs w:val="20"/>
          <w:lang w:val="en-US"/>
        </w:rPr>
        <w:t>C</w:t>
      </w:r>
      <w:r w:rsidRPr="00B9128F">
        <w:rPr>
          <w:rFonts w:eastAsia="Times New Roman" w:cs="Arial"/>
          <w:color w:val="000000"/>
          <w:szCs w:val="20"/>
          <w:lang w:val="ru-RU"/>
        </w:rPr>
        <w:t>9).</w:t>
      </w:r>
    </w:p>
    <w:p w14:paraId="1295A6EA"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Наличните проучвания за взаимодействия не показват ефект върху </w:t>
      </w:r>
      <w:r w:rsidRPr="00B9128F">
        <w:rPr>
          <w:rFonts w:eastAsia="Times New Roman" w:cs="Arial"/>
          <w:color w:val="000000"/>
          <w:szCs w:val="20"/>
          <w:lang w:val="en-US"/>
        </w:rPr>
        <w:t>CYP</w:t>
      </w:r>
      <w:r w:rsidRPr="00B9128F">
        <w:rPr>
          <w:rFonts w:eastAsia="Times New Roman" w:cs="Arial"/>
          <w:color w:val="000000"/>
          <w:szCs w:val="20"/>
          <w:lang w:val="ru-RU"/>
        </w:rPr>
        <w:t>2</w:t>
      </w:r>
      <w:r w:rsidRPr="00B9128F">
        <w:rPr>
          <w:rFonts w:eastAsia="Times New Roman" w:cs="Arial"/>
          <w:color w:val="000000"/>
          <w:szCs w:val="20"/>
          <w:lang w:val="en-US"/>
        </w:rPr>
        <w:t>C</w:t>
      </w:r>
      <w:r w:rsidRPr="00B9128F">
        <w:rPr>
          <w:rFonts w:eastAsia="Times New Roman" w:cs="Arial"/>
          <w:color w:val="000000"/>
          <w:szCs w:val="20"/>
          <w:lang w:val="ru-RU"/>
        </w:rPr>
        <w:t xml:space="preserve">9 </w:t>
      </w:r>
      <w:r w:rsidRPr="00B9128F">
        <w:rPr>
          <w:rFonts w:eastAsia="Times New Roman" w:cs="Arial"/>
          <w:color w:val="000000"/>
          <w:szCs w:val="20"/>
          <w:lang w:eastAsia="bg-BG"/>
        </w:rPr>
        <w:t xml:space="preserve">и </w:t>
      </w:r>
      <w:r w:rsidRPr="00B9128F">
        <w:rPr>
          <w:rFonts w:eastAsia="Times New Roman" w:cs="Arial"/>
          <w:color w:val="000000"/>
          <w:szCs w:val="20"/>
          <w:lang w:val="en-US"/>
        </w:rPr>
        <w:t>CYP</w:t>
      </w:r>
      <w:r w:rsidRPr="00B9128F">
        <w:rPr>
          <w:rFonts w:eastAsia="Times New Roman" w:cs="Arial"/>
          <w:color w:val="000000"/>
          <w:szCs w:val="20"/>
          <w:lang w:val="ru-RU"/>
        </w:rPr>
        <w:t>3</w:t>
      </w:r>
      <w:r w:rsidRPr="00B9128F">
        <w:rPr>
          <w:rFonts w:eastAsia="Times New Roman" w:cs="Arial"/>
          <w:color w:val="000000"/>
          <w:szCs w:val="20"/>
          <w:lang w:val="en-US"/>
        </w:rPr>
        <w:t>A</w:t>
      </w:r>
      <w:r w:rsidRPr="00B9128F">
        <w:rPr>
          <w:rFonts w:eastAsia="Times New Roman" w:cs="Arial"/>
          <w:color w:val="000000"/>
          <w:szCs w:val="20"/>
          <w:lang w:val="ru-RU"/>
        </w:rPr>
        <w:t xml:space="preserve">4. </w:t>
      </w:r>
      <w:r w:rsidRPr="00B9128F">
        <w:rPr>
          <w:rFonts w:eastAsia="Times New Roman" w:cs="Arial"/>
          <w:color w:val="000000"/>
          <w:szCs w:val="20"/>
          <w:lang w:eastAsia="bg-BG"/>
        </w:rPr>
        <w:t xml:space="preserve">Въз основа на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vitro</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данните не се очаква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vivo</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да настъпи взаимодействие с лекарства, чието метаболизиране зависи от изоензимите на цитохром </w:t>
      </w:r>
      <w:r w:rsidRPr="00B9128F">
        <w:rPr>
          <w:rFonts w:eastAsia="Times New Roman" w:cs="Arial"/>
          <w:i/>
          <w:iCs/>
          <w:color w:val="000000"/>
          <w:szCs w:val="20"/>
          <w:lang w:eastAsia="bg-BG"/>
        </w:rPr>
        <w:t xml:space="preserve">Р450 </w:t>
      </w:r>
      <w:r w:rsidRPr="00B9128F">
        <w:rPr>
          <w:rFonts w:eastAsia="Times New Roman" w:cs="Arial"/>
          <w:i/>
          <w:iCs/>
          <w:color w:val="000000"/>
          <w:szCs w:val="20"/>
          <w:lang w:val="en-US"/>
        </w:rPr>
        <w:t>CYP</w:t>
      </w:r>
      <w:r w:rsidRPr="00B9128F">
        <w:rPr>
          <w:rFonts w:eastAsia="Times New Roman" w:cs="Arial"/>
          <w:i/>
          <w:iCs/>
          <w:color w:val="000000"/>
          <w:szCs w:val="20"/>
          <w:lang w:val="ru-RU"/>
        </w:rPr>
        <w:t>1</w:t>
      </w:r>
      <w:r w:rsidRPr="00B9128F">
        <w:rPr>
          <w:rFonts w:eastAsia="Times New Roman" w:cs="Arial"/>
          <w:i/>
          <w:iCs/>
          <w:color w:val="000000"/>
          <w:szCs w:val="20"/>
          <w:lang w:val="en-US"/>
        </w:rPr>
        <w:t>A</w:t>
      </w:r>
      <w:r w:rsidRPr="00B9128F">
        <w:rPr>
          <w:rFonts w:eastAsia="Times New Roman" w:cs="Arial"/>
          <w:i/>
          <w:iCs/>
          <w:color w:val="000000"/>
          <w:szCs w:val="20"/>
          <w:lang w:val="ru-RU"/>
        </w:rPr>
        <w:t xml:space="preserve">2,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A</w:t>
      </w:r>
      <w:r w:rsidRPr="00B9128F">
        <w:rPr>
          <w:rFonts w:eastAsia="Times New Roman" w:cs="Arial"/>
          <w:i/>
          <w:iCs/>
          <w:color w:val="000000"/>
          <w:szCs w:val="20"/>
          <w:lang w:val="ru-RU"/>
        </w:rPr>
        <w:t xml:space="preserve">6,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C</w:t>
      </w:r>
      <w:r w:rsidRPr="00B9128F">
        <w:rPr>
          <w:rFonts w:eastAsia="Times New Roman" w:cs="Arial"/>
          <w:i/>
          <w:iCs/>
          <w:color w:val="000000"/>
          <w:szCs w:val="20"/>
          <w:lang w:val="ru-RU"/>
        </w:rPr>
        <w:t xml:space="preserve">9,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C</w:t>
      </w:r>
      <w:r w:rsidRPr="00B9128F">
        <w:rPr>
          <w:rFonts w:eastAsia="Times New Roman" w:cs="Arial"/>
          <w:i/>
          <w:iCs/>
          <w:color w:val="000000"/>
          <w:szCs w:val="20"/>
          <w:lang w:val="ru-RU"/>
        </w:rPr>
        <w:t xml:space="preserve">19,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D</w:t>
      </w:r>
      <w:r w:rsidRPr="00B9128F">
        <w:rPr>
          <w:rFonts w:eastAsia="Times New Roman" w:cs="Arial"/>
          <w:i/>
          <w:iCs/>
          <w:color w:val="000000"/>
          <w:szCs w:val="20"/>
          <w:lang w:val="ru-RU"/>
        </w:rPr>
        <w:t xml:space="preserve">6,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E</w:t>
      </w:r>
      <w:r w:rsidRPr="00B9128F">
        <w:rPr>
          <w:rFonts w:eastAsia="Times New Roman" w:cs="Arial"/>
          <w:i/>
          <w:iCs/>
          <w:color w:val="000000"/>
          <w:szCs w:val="20"/>
          <w:lang w:val="ru-RU"/>
        </w:rPr>
        <w:t>1,</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или </w:t>
      </w:r>
      <w:r w:rsidRPr="00B9128F">
        <w:rPr>
          <w:rFonts w:eastAsia="Times New Roman" w:cs="Arial"/>
          <w:i/>
          <w:iCs/>
          <w:color w:val="000000"/>
          <w:szCs w:val="20"/>
          <w:lang w:val="en-US"/>
        </w:rPr>
        <w:t>CYP</w:t>
      </w:r>
      <w:r w:rsidRPr="00B9128F">
        <w:rPr>
          <w:rFonts w:eastAsia="Times New Roman" w:cs="Arial"/>
          <w:i/>
          <w:iCs/>
          <w:color w:val="000000"/>
          <w:szCs w:val="20"/>
          <w:lang w:val="ru-RU"/>
        </w:rPr>
        <w:t>3</w:t>
      </w:r>
      <w:r w:rsidRPr="00B9128F">
        <w:rPr>
          <w:rFonts w:eastAsia="Times New Roman" w:cs="Arial"/>
          <w:i/>
          <w:iCs/>
          <w:color w:val="000000"/>
          <w:szCs w:val="20"/>
          <w:lang w:val="en-US"/>
        </w:rPr>
        <w:t>A</w:t>
      </w:r>
      <w:r w:rsidRPr="00B9128F">
        <w:rPr>
          <w:rFonts w:eastAsia="Times New Roman" w:cs="Arial"/>
          <w:i/>
          <w:iCs/>
          <w:color w:val="000000"/>
          <w:szCs w:val="20"/>
          <w:lang w:val="ru-RU"/>
        </w:rPr>
        <w:t>4.</w:t>
      </w:r>
      <w:r w:rsidRPr="00B9128F">
        <w:rPr>
          <w:rFonts w:eastAsia="Times New Roman" w:cs="Arial"/>
          <w:color w:val="000000"/>
          <w:szCs w:val="20"/>
          <w:lang w:val="ru-RU"/>
        </w:rPr>
        <w:t xml:space="preserve"> </w:t>
      </w:r>
      <w:r w:rsidRPr="00B9128F">
        <w:rPr>
          <w:rFonts w:eastAsia="Times New Roman" w:cs="Arial"/>
          <w:color w:val="000000"/>
          <w:szCs w:val="20"/>
          <w:lang w:eastAsia="bg-BG"/>
        </w:rPr>
        <w:t>Терминалният полуживот на кандесартан е около 9 часа При многократен прием кандесартан не се кумулира в организма. Полуживотът на кандесартан остава непроменен (приблизително 9 часа) при прилагане в комбинация с хидрохлоротиазид. При многократно прилагане на комбинацията, не се наблюдава допълнително комулиране на кандесартан в сравнение с монотерапията.</w:t>
      </w:r>
    </w:p>
    <w:p w14:paraId="1A1328EA" w14:textId="77777777" w:rsidR="00B9128F" w:rsidRPr="00B9128F" w:rsidRDefault="00B9128F" w:rsidP="00B9128F">
      <w:pPr>
        <w:spacing w:line="240" w:lineRule="auto"/>
        <w:rPr>
          <w:rFonts w:eastAsia="Times New Roman" w:cs="Arial"/>
          <w:color w:val="000000"/>
          <w:szCs w:val="20"/>
          <w:lang w:eastAsia="bg-BG"/>
        </w:rPr>
      </w:pPr>
    </w:p>
    <w:p w14:paraId="12311D6D" w14:textId="2EFC248E"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Тоталният плазмен клирьнс на кандесартан е около 0,37 </w:t>
      </w:r>
      <w:r w:rsidRPr="00B9128F">
        <w:rPr>
          <w:rFonts w:eastAsia="Times New Roman" w:cs="Arial"/>
          <w:color w:val="000000"/>
          <w:szCs w:val="20"/>
          <w:lang w:val="en-US"/>
        </w:rPr>
        <w:t>ml</w:t>
      </w:r>
      <w:r w:rsidRPr="00B9128F">
        <w:rPr>
          <w:rFonts w:eastAsia="Times New Roman" w:cs="Arial"/>
          <w:color w:val="000000"/>
          <w:szCs w:val="20"/>
          <w:lang w:val="ru-RU"/>
        </w:rPr>
        <w:t>/</w:t>
      </w:r>
      <w:r w:rsidRPr="00B9128F">
        <w:rPr>
          <w:rFonts w:eastAsia="Times New Roman" w:cs="Arial"/>
          <w:color w:val="000000"/>
          <w:szCs w:val="20"/>
          <w:lang w:val="en-US"/>
        </w:rPr>
        <w:t>min</w:t>
      </w:r>
      <w:r w:rsidRPr="00B9128F">
        <w:rPr>
          <w:rFonts w:eastAsia="Times New Roman" w:cs="Arial"/>
          <w:color w:val="000000"/>
          <w:szCs w:val="20"/>
          <w:lang w:val="ru-RU"/>
        </w:rPr>
        <w:t>/</w:t>
      </w:r>
      <w:r w:rsidRPr="00B9128F">
        <w:rPr>
          <w:rFonts w:eastAsia="Times New Roman" w:cs="Arial"/>
          <w:color w:val="000000"/>
          <w:szCs w:val="20"/>
          <w:lang w:val="en-US"/>
        </w:rPr>
        <w:t>kg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при бъбречен клирьнс около 0,19 </w:t>
      </w:r>
      <w:r w:rsidRPr="00B9128F">
        <w:rPr>
          <w:rFonts w:eastAsia="Times New Roman" w:cs="Arial"/>
          <w:color w:val="000000"/>
          <w:szCs w:val="20"/>
          <w:lang w:val="en-US"/>
        </w:rPr>
        <w:t>ml</w:t>
      </w:r>
      <w:r w:rsidRPr="00B9128F">
        <w:rPr>
          <w:rFonts w:eastAsia="Times New Roman" w:cs="Arial"/>
          <w:color w:val="000000"/>
          <w:szCs w:val="20"/>
          <w:lang w:val="ru-RU"/>
        </w:rPr>
        <w:t>/</w:t>
      </w:r>
      <w:r w:rsidRPr="00B9128F">
        <w:rPr>
          <w:rFonts w:eastAsia="Times New Roman" w:cs="Arial"/>
          <w:color w:val="000000"/>
          <w:szCs w:val="20"/>
          <w:lang w:val="en-US"/>
        </w:rPr>
        <w:t>min</w:t>
      </w:r>
      <w:r w:rsidRPr="00B9128F">
        <w:rPr>
          <w:rFonts w:eastAsia="Times New Roman" w:cs="Arial"/>
          <w:color w:val="000000"/>
          <w:szCs w:val="20"/>
          <w:lang w:val="ru-RU"/>
        </w:rPr>
        <w:t>/</w:t>
      </w:r>
      <w:r w:rsidRPr="00B9128F">
        <w:rPr>
          <w:rFonts w:eastAsia="Times New Roman" w:cs="Arial"/>
          <w:color w:val="000000"/>
          <w:szCs w:val="20"/>
          <w:lang w:val="en-US"/>
        </w:rPr>
        <w:t>kg</w:t>
      </w:r>
      <w:r w:rsidRPr="00B9128F">
        <w:rPr>
          <w:rFonts w:eastAsia="Times New Roman" w:cs="Arial"/>
          <w:color w:val="000000"/>
          <w:szCs w:val="20"/>
          <w:lang w:val="ru-RU"/>
        </w:rPr>
        <w:t>.</w:t>
      </w:r>
    </w:p>
    <w:p w14:paraId="01429DD7"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Бъбречното елиминиране на кандесартан се осъществява чрез гломерулна филтрация </w:t>
      </w:r>
      <w:r w:rsidRPr="00B9128F">
        <w:rPr>
          <w:rFonts w:eastAsia="Times New Roman" w:cs="Arial"/>
          <w:color w:val="000000"/>
          <w:szCs w:val="20"/>
          <w:u w:val="single"/>
          <w:lang w:eastAsia="bg-BG"/>
        </w:rPr>
        <w:t xml:space="preserve">и чрез </w:t>
      </w:r>
      <w:r w:rsidRPr="00B9128F">
        <w:rPr>
          <w:rFonts w:eastAsia="Times New Roman" w:cs="Arial"/>
          <w:color w:val="000000"/>
          <w:szCs w:val="20"/>
          <w:lang w:eastAsia="bg-BG"/>
        </w:rPr>
        <w:t>активна тубулна секреция.</w:t>
      </w:r>
    </w:p>
    <w:p w14:paraId="73AE0044"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След перорален прием на маркиран кандесартан цилексетил с </w:t>
      </w:r>
      <w:r w:rsidRPr="00B9128F">
        <w:rPr>
          <w:rFonts w:eastAsia="Times New Roman" w:cs="Arial"/>
          <w:color w:val="000000"/>
          <w:szCs w:val="20"/>
          <w:vertAlign w:val="superscript"/>
          <w:lang w:eastAsia="bg-BG"/>
        </w:rPr>
        <w:t>14</w:t>
      </w:r>
      <w:r w:rsidRPr="00B9128F">
        <w:rPr>
          <w:rFonts w:eastAsia="Times New Roman" w:cs="Arial"/>
          <w:color w:val="000000"/>
          <w:szCs w:val="20"/>
          <w:lang w:eastAsia="bg-BG"/>
        </w:rPr>
        <w:t>С е установено,</w:t>
      </w:r>
      <w:r w:rsidRPr="00B9128F">
        <w:rPr>
          <w:rFonts w:eastAsia="Times New Roman" w:cs="Arial"/>
          <w:color w:val="000000"/>
          <w:szCs w:val="20"/>
          <w:lang w:val="ru-RU"/>
        </w:rPr>
        <w:t xml:space="preserve"> </w:t>
      </w:r>
      <w:r w:rsidRPr="00B9128F">
        <w:rPr>
          <w:rFonts w:eastAsia="Times New Roman" w:cs="Arial"/>
          <w:color w:val="000000"/>
          <w:szCs w:val="20"/>
          <w:lang w:eastAsia="bg-BG"/>
        </w:rPr>
        <w:t>че с урината се екскретира приблизително 26% от приетата доза (като кандесартан) и 7% като некативен метаболит, докато във фецеса се откриват приблизително 56% от дозата като кандесартан и 10%</w:t>
      </w:r>
    </w:p>
    <w:p w14:paraId="777150DD" w14:textId="6C155DDD" w:rsidR="00B9128F" w:rsidRPr="00B9128F" w:rsidRDefault="00B9128F" w:rsidP="00B9128F">
      <w:pPr>
        <w:rPr>
          <w:rFonts w:eastAsia="Times New Roman" w:cs="Arial"/>
          <w:color w:val="000000"/>
          <w:szCs w:val="20"/>
          <w:lang w:eastAsia="bg-BG"/>
        </w:rPr>
      </w:pPr>
      <w:r w:rsidRPr="00B9128F">
        <w:rPr>
          <w:rFonts w:eastAsia="Times New Roman" w:cs="Arial"/>
          <w:color w:val="000000"/>
          <w:szCs w:val="20"/>
          <w:lang w:eastAsia="bg-BG"/>
        </w:rPr>
        <w:t>като неактивен метаболит.</w:t>
      </w:r>
    </w:p>
    <w:p w14:paraId="0ABEE4B8" w14:textId="58591D04" w:rsidR="00B9128F" w:rsidRPr="00B9128F" w:rsidRDefault="00B9128F" w:rsidP="00B9128F">
      <w:pPr>
        <w:rPr>
          <w:rFonts w:eastAsia="Times New Roman" w:cs="Arial"/>
          <w:color w:val="000000"/>
          <w:szCs w:val="20"/>
          <w:lang w:eastAsia="bg-BG"/>
        </w:rPr>
      </w:pPr>
    </w:p>
    <w:p w14:paraId="6558E48D"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Чернодробната трансформация на кандесартан се извършва от </w:t>
      </w:r>
      <w:r w:rsidRPr="00B9128F">
        <w:rPr>
          <w:rFonts w:eastAsia="Times New Roman" w:cs="Arial"/>
          <w:color w:val="000000"/>
          <w:szCs w:val="20"/>
          <w:lang w:val="en-US"/>
        </w:rPr>
        <w:t>CYP</w:t>
      </w:r>
      <w:r w:rsidRPr="00B9128F">
        <w:rPr>
          <w:rFonts w:eastAsia="Times New Roman" w:cs="Arial"/>
          <w:color w:val="000000"/>
          <w:szCs w:val="20"/>
          <w:lang w:val="ru-RU"/>
        </w:rPr>
        <w:t>2</w:t>
      </w:r>
      <w:r w:rsidRPr="00B9128F">
        <w:rPr>
          <w:rFonts w:eastAsia="Times New Roman" w:cs="Arial"/>
          <w:color w:val="000000"/>
          <w:szCs w:val="20"/>
          <w:lang w:val="en-US"/>
        </w:rPr>
        <w:t>C</w:t>
      </w:r>
      <w:r w:rsidRPr="00B9128F">
        <w:rPr>
          <w:rFonts w:eastAsia="Times New Roman" w:cs="Arial"/>
          <w:color w:val="000000"/>
          <w:szCs w:val="20"/>
          <w:lang w:val="ru-RU"/>
        </w:rPr>
        <w:t xml:space="preserve">9, </w:t>
      </w:r>
      <w:r w:rsidRPr="00B9128F">
        <w:rPr>
          <w:rFonts w:eastAsia="Times New Roman" w:cs="Arial"/>
          <w:color w:val="000000"/>
          <w:szCs w:val="20"/>
          <w:lang w:eastAsia="bg-BG"/>
        </w:rPr>
        <w:t>който е цитохром Р450 ензим.</w:t>
      </w:r>
    </w:p>
    <w:p w14:paraId="5F74850F" w14:textId="77777777" w:rsidR="00B9128F" w:rsidRPr="00B9128F" w:rsidRDefault="00B9128F" w:rsidP="00B9128F">
      <w:pPr>
        <w:spacing w:line="240" w:lineRule="auto"/>
        <w:rPr>
          <w:rFonts w:eastAsia="Times New Roman" w:cs="Arial"/>
          <w:i/>
          <w:iCs/>
          <w:color w:val="000000"/>
          <w:szCs w:val="20"/>
          <w:lang w:eastAsia="bg-BG"/>
        </w:rPr>
      </w:pPr>
    </w:p>
    <w:p w14:paraId="1E44EA1D" w14:textId="63195F93"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Хидрохлоротиазид</w:t>
      </w:r>
    </w:p>
    <w:p w14:paraId="54D61BCC"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Хидрохлоротиазид не се метаболизира и се екскретира почти напълно непроменен чрез глумерулна филтрация и активна тубулна секреция.</w:t>
      </w:r>
    </w:p>
    <w:p w14:paraId="34F542F7"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Терминалният полуживот на хидрохлоротиазид е приблизително 8 часа. Полуживотът на хидрохлоротиазид остава непроменен (приблизително 8 часа) при прилагане в комбинация с кандесартан цилексетил. При многократно прилагане на комбинацията с кандесартан цилексетил, не се наблюдава допълнително комулиране на хидрохлоротиазид в сравнение с монотерапията. Приблизително 70% от приетата перорално доза се елиминира с урината в рамките на 48 часа.</w:t>
      </w:r>
    </w:p>
    <w:p w14:paraId="62F433AA" w14:textId="77777777" w:rsidR="00B9128F" w:rsidRPr="00B9128F" w:rsidRDefault="00B9128F" w:rsidP="00B9128F">
      <w:pPr>
        <w:spacing w:line="240" w:lineRule="auto"/>
        <w:rPr>
          <w:rFonts w:eastAsia="Times New Roman" w:cs="Arial"/>
          <w:i/>
          <w:iCs/>
          <w:color w:val="000000"/>
          <w:szCs w:val="20"/>
          <w:u w:val="single"/>
          <w:lang w:eastAsia="bg-BG"/>
        </w:rPr>
      </w:pPr>
    </w:p>
    <w:p w14:paraId="4016E01D" w14:textId="1421778E" w:rsidR="00B9128F" w:rsidRPr="00B9128F" w:rsidRDefault="00B9128F" w:rsidP="00B9128F">
      <w:pPr>
        <w:pStyle w:val="Heading3"/>
        <w:rPr>
          <w:rFonts w:eastAsia="Times New Roman"/>
          <w:sz w:val="28"/>
          <w:u w:val="single"/>
        </w:rPr>
      </w:pPr>
      <w:r w:rsidRPr="00B9128F">
        <w:rPr>
          <w:rFonts w:eastAsia="Times New Roman"/>
          <w:u w:val="single"/>
          <w:lang w:eastAsia="bg-BG"/>
        </w:rPr>
        <w:t>Фармакокинетика в специални популации</w:t>
      </w:r>
    </w:p>
    <w:p w14:paraId="309F92F0" w14:textId="77777777" w:rsidR="00B9128F" w:rsidRPr="00B9128F" w:rsidRDefault="00B9128F" w:rsidP="00B9128F">
      <w:pPr>
        <w:spacing w:line="240" w:lineRule="auto"/>
        <w:rPr>
          <w:rFonts w:eastAsia="Times New Roman" w:cs="Arial"/>
          <w:i/>
          <w:iCs/>
          <w:color w:val="000000"/>
          <w:szCs w:val="20"/>
          <w:lang w:eastAsia="bg-BG"/>
        </w:rPr>
      </w:pPr>
    </w:p>
    <w:p w14:paraId="48A07EF8" w14:textId="4D6ED99F"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Кандесартан цилексетил</w:t>
      </w:r>
    </w:p>
    <w:p w14:paraId="5033C00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сравнение с млади индивиди, при такива в старческа възраст (над 65 години) максималната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и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се увеличават съответно с около 50% и 80%.</w:t>
      </w:r>
    </w:p>
    <w:p w14:paraId="6C5B389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След прием на определена доза Кантаб Плюс обаче, повлияването на артериалното налягане, както и честотата на нежеланите реакции са сходни при млади пациенти и пациенти в старческа възраст (вж.точка 4.2).</w:t>
      </w:r>
    </w:p>
    <w:p w14:paraId="2159F5F4" w14:textId="77777777" w:rsidR="00B9128F" w:rsidRPr="00B9128F" w:rsidRDefault="00B9128F" w:rsidP="00B9128F">
      <w:pPr>
        <w:spacing w:line="240" w:lineRule="auto"/>
        <w:rPr>
          <w:rFonts w:eastAsia="Times New Roman" w:cs="Arial"/>
          <w:color w:val="000000"/>
          <w:szCs w:val="20"/>
          <w:lang w:eastAsia="bg-BG"/>
        </w:rPr>
      </w:pPr>
    </w:p>
    <w:p w14:paraId="0295F2F6" w14:textId="74D4C36C"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пациенти с леко до умерено бъбречно увреждане максималната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и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се увеличават съответно с около 50% и 70%, но терминалния полуживот остава непроменен в сравнение с пациенти с нормална бъбречна функция.</w:t>
      </w:r>
    </w:p>
    <w:p w14:paraId="4D968A94" w14:textId="78F85911"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пациенти с тежко бъбречно увреждане максималната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и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се увеличават съответно с приблизително 50% и 110%, а терминалния полуживот на кандесартан цилексетил приблизително се удвоява.</w:t>
      </w:r>
    </w:p>
    <w:p w14:paraId="794D82A4" w14:textId="77777777" w:rsidR="00B9128F" w:rsidRPr="00B9128F" w:rsidRDefault="00B9128F" w:rsidP="00B9128F">
      <w:pPr>
        <w:spacing w:line="240" w:lineRule="auto"/>
        <w:rPr>
          <w:rFonts w:eastAsia="Times New Roman" w:cs="Arial"/>
          <w:color w:val="000000"/>
          <w:szCs w:val="20"/>
          <w:lang w:eastAsia="bg-BG"/>
        </w:rPr>
      </w:pPr>
    </w:p>
    <w:p w14:paraId="234F26FD" w14:textId="6A7DDB28"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две клинични проучвания, като и в двете са включени пациенти с леко до умерено тежко бъбречно увреждане, се установява повишаване на средната </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 с приблизително 20% в едното проучване и 80% в другото проучване (вж. точка 4.2).</w:t>
      </w:r>
    </w:p>
    <w:p w14:paraId="2E976C83"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Липсва опит при пациенти с тежко чернодробно увреждане.</w:t>
      </w:r>
    </w:p>
    <w:p w14:paraId="7FEB69D0" w14:textId="77777777" w:rsidR="00B9128F" w:rsidRPr="00B9128F" w:rsidRDefault="00B9128F" w:rsidP="00B9128F">
      <w:pPr>
        <w:spacing w:line="240" w:lineRule="auto"/>
        <w:rPr>
          <w:rFonts w:eastAsia="Times New Roman" w:cs="Arial"/>
          <w:i/>
          <w:iCs/>
          <w:color w:val="000000"/>
          <w:szCs w:val="20"/>
          <w:lang w:eastAsia="bg-BG"/>
        </w:rPr>
      </w:pPr>
    </w:p>
    <w:p w14:paraId="022AA4B3" w14:textId="2D99CA1C"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Хидрохлоротиазид</w:t>
      </w:r>
    </w:p>
    <w:p w14:paraId="6DBB08CD" w14:textId="685EFF6D" w:rsidR="00B9128F" w:rsidRDefault="00B9128F" w:rsidP="00B9128F">
      <w:pPr>
        <w:rPr>
          <w:rFonts w:eastAsia="Times New Roman" w:cs="Arial"/>
          <w:color w:val="000000"/>
          <w:szCs w:val="20"/>
          <w:lang w:eastAsia="bg-BG"/>
        </w:rPr>
      </w:pPr>
      <w:r w:rsidRPr="00B9128F">
        <w:rPr>
          <w:rFonts w:eastAsia="Times New Roman" w:cs="Arial"/>
          <w:color w:val="000000"/>
          <w:szCs w:val="20"/>
          <w:lang w:eastAsia="bg-BG"/>
        </w:rPr>
        <w:t>При пациенти с бъбречно увреждане терминалния полуживот на хидрохлоротиазид се удължава.</w:t>
      </w:r>
    </w:p>
    <w:p w14:paraId="1F79DCA1" w14:textId="77777777" w:rsidR="00B9128F" w:rsidRPr="00B9128F" w:rsidRDefault="00B9128F" w:rsidP="00B9128F">
      <w:pPr>
        <w:rPr>
          <w:rFonts w:cs="Arial"/>
          <w:sz w:val="24"/>
        </w:rPr>
      </w:pPr>
    </w:p>
    <w:p w14:paraId="4FB791BE" w14:textId="2111D2C6" w:rsidR="00B6672E" w:rsidRDefault="002C50EE" w:rsidP="00936AD0">
      <w:pPr>
        <w:pStyle w:val="Heading2"/>
      </w:pPr>
      <w:r>
        <w:t>5.3. Предклинични данни за безопасност</w:t>
      </w:r>
    </w:p>
    <w:p w14:paraId="43CFB7F1" w14:textId="12D0735E" w:rsidR="00B9128F" w:rsidRDefault="00B9128F" w:rsidP="00B9128F"/>
    <w:p w14:paraId="02FD80FA"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По отношение на комбинацията не са установени качествено нови токсикологични находки в сравнение с наблюдаваните за отделните компоненти.</w:t>
      </w:r>
    </w:p>
    <w:p w14:paraId="52499F8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предклиничните проучвания е установено, че във високи дози кандесартан цилексетил повлиява негативно функцията на бъбреците и еритроцитните показатели при мишки, плъхове, кучета и маймуни, а именно:</w:t>
      </w:r>
    </w:p>
    <w:p w14:paraId="196E3CEE" w14:textId="77777777" w:rsidR="00B9128F" w:rsidRPr="00B9128F" w:rsidRDefault="00B9128F" w:rsidP="00B9128F">
      <w:pPr>
        <w:pStyle w:val="ListParagraph"/>
        <w:numPr>
          <w:ilvl w:val="0"/>
          <w:numId w:val="39"/>
        </w:numPr>
        <w:spacing w:line="240" w:lineRule="auto"/>
        <w:rPr>
          <w:rFonts w:eastAsia="Times New Roman" w:cs="Arial"/>
          <w:sz w:val="28"/>
          <w:szCs w:val="24"/>
        </w:rPr>
      </w:pPr>
      <w:r w:rsidRPr="00B9128F">
        <w:rPr>
          <w:rFonts w:eastAsia="Times New Roman" w:cs="Arial"/>
          <w:color w:val="000000"/>
          <w:szCs w:val="20"/>
          <w:lang w:eastAsia="bg-BG"/>
        </w:rPr>
        <w:t>индуцира ефекти върху бъбреците като интерстициален нефрит, тубулна дилатация, базофилно оцветяване на тубулите, които вероятно са следствие от хипертензивния му ефект,</w:t>
      </w:r>
      <w:r w:rsidRPr="00B9128F">
        <w:rPr>
          <w:rFonts w:eastAsia="Times New Roman" w:cs="Arial"/>
          <w:color w:val="000000"/>
          <w:szCs w:val="20"/>
          <w:lang w:val="ru-RU"/>
        </w:rPr>
        <w:t xml:space="preserve"> </w:t>
      </w:r>
      <w:r w:rsidRPr="00B9128F">
        <w:rPr>
          <w:rFonts w:eastAsia="Times New Roman" w:cs="Arial"/>
          <w:color w:val="000000"/>
          <w:szCs w:val="20"/>
          <w:lang w:eastAsia="bg-BG"/>
        </w:rPr>
        <w:t>водещ до промяна на бъбречната перфузия;</w:t>
      </w:r>
    </w:p>
    <w:p w14:paraId="61667458" w14:textId="77777777" w:rsidR="00B9128F" w:rsidRPr="00B9128F" w:rsidRDefault="00B9128F" w:rsidP="00B9128F">
      <w:pPr>
        <w:pStyle w:val="ListParagraph"/>
        <w:numPr>
          <w:ilvl w:val="0"/>
          <w:numId w:val="39"/>
        </w:numPr>
        <w:spacing w:line="240" w:lineRule="auto"/>
        <w:rPr>
          <w:rFonts w:eastAsia="Times New Roman" w:cs="Arial"/>
          <w:sz w:val="28"/>
          <w:szCs w:val="24"/>
        </w:rPr>
      </w:pPr>
      <w:r w:rsidRPr="00B9128F">
        <w:rPr>
          <w:rFonts w:eastAsia="Times New Roman" w:cs="Arial"/>
          <w:color w:val="000000"/>
          <w:szCs w:val="20"/>
          <w:lang w:eastAsia="bg-BG"/>
        </w:rPr>
        <w:t>индуцира хиперплазия/хипертрофия на юкстагломерулните клетки;</w:t>
      </w:r>
    </w:p>
    <w:p w14:paraId="61E69651" w14:textId="0FD9B202" w:rsidR="00B9128F" w:rsidRPr="00B9128F" w:rsidRDefault="00B9128F" w:rsidP="00B9128F">
      <w:pPr>
        <w:pStyle w:val="ListParagraph"/>
        <w:numPr>
          <w:ilvl w:val="0"/>
          <w:numId w:val="39"/>
        </w:numPr>
        <w:spacing w:line="240" w:lineRule="auto"/>
        <w:rPr>
          <w:rFonts w:eastAsia="Times New Roman" w:cs="Arial"/>
          <w:sz w:val="28"/>
          <w:szCs w:val="24"/>
        </w:rPr>
      </w:pPr>
      <w:r w:rsidRPr="00B9128F">
        <w:rPr>
          <w:rFonts w:eastAsia="Times New Roman" w:cs="Arial"/>
          <w:color w:val="000000"/>
          <w:szCs w:val="20"/>
          <w:lang w:eastAsia="bg-BG"/>
        </w:rPr>
        <w:t>понижава броя на еритроцитите, нивото на хемоглобин и хематокрит.</w:t>
      </w:r>
    </w:p>
    <w:p w14:paraId="2D8EC1F5" w14:textId="3D0B220C" w:rsidR="00B9128F" w:rsidRPr="00B9128F" w:rsidRDefault="00B9128F" w:rsidP="00B9128F">
      <w:pPr>
        <w:spacing w:line="240" w:lineRule="auto"/>
        <w:rPr>
          <w:rFonts w:eastAsia="Times New Roman" w:cs="Arial"/>
          <w:sz w:val="28"/>
          <w:szCs w:val="24"/>
        </w:rPr>
      </w:pPr>
    </w:p>
    <w:p w14:paraId="7D5FDE8A"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Смята се, че тези промени се дължат на фармакологичното действие на кандесартан и клиничното им значение е слабо. Добавянето на хидрохлоротиазид потенцира нефротоксичността на кандесартан.</w:t>
      </w:r>
    </w:p>
    <w:p w14:paraId="61E9492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прием на кандесартан цилексетил в късните срокове на бременността се наблюдава фетална токсичност. Добавянето на хидрохлоротиазид не променя значително резултата от проучванията за фетотоксичност и токсичност за развитието на плъхове, мишки или зайци (вж.точка 4.6).</w:t>
      </w:r>
    </w:p>
    <w:p w14:paraId="617C0955" w14:textId="77777777" w:rsidR="00B9128F" w:rsidRPr="00B9128F" w:rsidRDefault="00B9128F" w:rsidP="00B9128F">
      <w:pPr>
        <w:spacing w:line="240" w:lineRule="auto"/>
        <w:rPr>
          <w:rFonts w:eastAsia="Times New Roman" w:cs="Arial"/>
          <w:color w:val="000000"/>
          <w:szCs w:val="20"/>
          <w:lang w:eastAsia="bg-BG"/>
        </w:rPr>
      </w:pPr>
    </w:p>
    <w:p w14:paraId="4DA8EC55" w14:textId="05A336DA"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много високи дози както кандесартан, така и хидрохлоротиазид показват генотоксичност. Данните от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vitro</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vivo</w:t>
      </w:r>
      <w:r w:rsidRPr="00B9128F">
        <w:rPr>
          <w:rFonts w:eastAsia="Times New Roman" w:cs="Arial"/>
          <w:color w:val="000000"/>
          <w:szCs w:val="20"/>
          <w:lang w:val="ru-RU"/>
        </w:rPr>
        <w:t xml:space="preserve"> </w:t>
      </w:r>
      <w:r w:rsidRPr="00B9128F">
        <w:rPr>
          <w:rFonts w:eastAsia="Times New Roman" w:cs="Arial"/>
          <w:color w:val="000000"/>
          <w:szCs w:val="20"/>
          <w:lang w:eastAsia="bg-BG"/>
        </w:rPr>
        <w:t>проучванията за генотоксичност показват, че в условията на клиничното приложение е малко вероятно кандесартан и хидрохлоротиазид да проявят мутагенна или кластогенна активност.</w:t>
      </w:r>
    </w:p>
    <w:p w14:paraId="1688D372" w14:textId="77777777" w:rsidR="00B9128F" w:rsidRPr="00B9128F" w:rsidRDefault="00B9128F" w:rsidP="00B9128F">
      <w:pPr>
        <w:spacing w:line="240" w:lineRule="auto"/>
        <w:rPr>
          <w:rFonts w:eastAsia="Times New Roman" w:cs="Arial"/>
          <w:color w:val="000000"/>
          <w:szCs w:val="20"/>
          <w:lang w:eastAsia="bg-BG"/>
        </w:rPr>
      </w:pPr>
    </w:p>
    <w:p w14:paraId="6F260A63" w14:textId="6E7EEE4C"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Няма данни което и да е от двете активни вещества да е канцерогенно.</w:t>
      </w:r>
    </w:p>
    <w:p w14:paraId="1BA6531D" w14:textId="18AFD243" w:rsidR="00B6672E" w:rsidRDefault="002C50EE" w:rsidP="00936AD0">
      <w:pPr>
        <w:pStyle w:val="Heading1"/>
      </w:pPr>
      <w:r>
        <w:t>7. ПРИТЕЖАТЕЛ НА РАЗРЕШЕНИЕТО ЗА УПОТРЕБА</w:t>
      </w:r>
    </w:p>
    <w:p w14:paraId="2C22063E" w14:textId="30565151" w:rsidR="00B9128F" w:rsidRDefault="00B9128F" w:rsidP="00B9128F"/>
    <w:p w14:paraId="16B77D76" w14:textId="77777777" w:rsidR="00B9128F" w:rsidRPr="00B9128F" w:rsidRDefault="00B9128F" w:rsidP="00B9128F">
      <w:pPr>
        <w:rPr>
          <w:sz w:val="24"/>
          <w:szCs w:val="24"/>
        </w:rPr>
      </w:pPr>
      <w:r w:rsidRPr="00B9128F">
        <w:rPr>
          <w:lang w:eastAsia="bg-BG"/>
        </w:rPr>
        <w:lastRenderedPageBreak/>
        <w:t>НОБЕЛ ФАРМА ЕООД</w:t>
      </w:r>
    </w:p>
    <w:p w14:paraId="1854C4D4" w14:textId="77777777" w:rsidR="00B9128F" w:rsidRPr="00B9128F" w:rsidRDefault="00B9128F" w:rsidP="00B9128F">
      <w:pPr>
        <w:rPr>
          <w:sz w:val="24"/>
          <w:szCs w:val="24"/>
        </w:rPr>
      </w:pPr>
      <w:r w:rsidRPr="00B9128F">
        <w:rPr>
          <w:lang w:eastAsia="bg-BG"/>
        </w:rPr>
        <w:t>ул. Околовръстен път № 36</w:t>
      </w:r>
    </w:p>
    <w:p w14:paraId="070FABE5" w14:textId="77777777" w:rsidR="00B9128F" w:rsidRPr="00B9128F" w:rsidRDefault="00B9128F" w:rsidP="00B9128F">
      <w:pPr>
        <w:rPr>
          <w:sz w:val="24"/>
          <w:szCs w:val="24"/>
        </w:rPr>
      </w:pPr>
      <w:r w:rsidRPr="00B9128F">
        <w:rPr>
          <w:lang w:eastAsia="bg-BG"/>
        </w:rPr>
        <w:t>София 1415, България</w:t>
      </w:r>
    </w:p>
    <w:p w14:paraId="7A7A4D44" w14:textId="77777777" w:rsidR="00B9128F" w:rsidRPr="00B9128F" w:rsidRDefault="00B9128F" w:rsidP="00B9128F"/>
    <w:p w14:paraId="508F3A54" w14:textId="7F42307A" w:rsidR="00B6672E" w:rsidRDefault="00936AD0" w:rsidP="00936AD0">
      <w:pPr>
        <w:pStyle w:val="Heading1"/>
      </w:pPr>
      <w:r>
        <w:t>8.</w:t>
      </w:r>
      <w:r w:rsidR="002C50EE">
        <w:t>НОМЕР НА РАЗРЕШЕНИЕТО ЗА УПОТРЕБА</w:t>
      </w:r>
    </w:p>
    <w:p w14:paraId="294AB2AE" w14:textId="31B58884" w:rsidR="00B9128F" w:rsidRDefault="00B9128F" w:rsidP="00B9128F"/>
    <w:p w14:paraId="1C42F87C" w14:textId="78B7AD09" w:rsidR="00B9128F" w:rsidRPr="00B9128F" w:rsidRDefault="00B9128F" w:rsidP="00B9128F">
      <w:pPr>
        <w:rPr>
          <w:sz w:val="24"/>
          <w:szCs w:val="24"/>
        </w:rPr>
      </w:pPr>
      <w:proofErr w:type="spellStart"/>
      <w:r>
        <w:rPr>
          <w:lang w:val="en-US"/>
        </w:rPr>
        <w:t>Pe</w:t>
      </w:r>
      <w:proofErr w:type="spellEnd"/>
      <w:r>
        <w:t>г</w:t>
      </w:r>
      <w:r w:rsidRPr="00B9128F">
        <w:rPr>
          <w:lang w:val="ru-RU"/>
        </w:rPr>
        <w:t xml:space="preserve">. </w:t>
      </w:r>
      <w:r w:rsidRPr="00B9128F">
        <w:rPr>
          <w:lang w:eastAsia="bg-BG"/>
        </w:rPr>
        <w:t>№20150104</w:t>
      </w:r>
    </w:p>
    <w:p w14:paraId="2CCB5832" w14:textId="397617CC" w:rsidR="007C605B" w:rsidRDefault="002C50EE" w:rsidP="007C605B">
      <w:pPr>
        <w:pStyle w:val="Heading1"/>
      </w:pPr>
      <w:r>
        <w:t>9. ДАТА НА ПЪРВО РАЗРЕШАВАНЕ/ПОДНОВЯВАНЕ НА РАЗРЕШЕНИЕТО ЗА УПОТРЕБА</w:t>
      </w:r>
    </w:p>
    <w:p w14:paraId="027BCBBF" w14:textId="624421AC" w:rsidR="00B9128F" w:rsidRDefault="00B9128F" w:rsidP="00B9128F"/>
    <w:p w14:paraId="24B90F56" w14:textId="77777777" w:rsidR="00B9128F" w:rsidRPr="00B9128F" w:rsidRDefault="00B9128F" w:rsidP="00B9128F">
      <w:pPr>
        <w:rPr>
          <w:sz w:val="24"/>
          <w:szCs w:val="24"/>
        </w:rPr>
      </w:pPr>
      <w:r w:rsidRPr="00B9128F">
        <w:rPr>
          <w:lang w:eastAsia="bg-BG"/>
        </w:rPr>
        <w:t>Дата на първо разрешаване: 30.03.2015</w:t>
      </w:r>
    </w:p>
    <w:p w14:paraId="6A8E2CEF" w14:textId="77777777" w:rsidR="00B9128F" w:rsidRPr="00B9128F" w:rsidRDefault="00B9128F" w:rsidP="00B9128F">
      <w:pPr>
        <w:rPr>
          <w:sz w:val="24"/>
          <w:szCs w:val="24"/>
        </w:rPr>
      </w:pPr>
      <w:r w:rsidRPr="00B9128F">
        <w:rPr>
          <w:lang w:eastAsia="bg-BG"/>
        </w:rPr>
        <w:t>Дата на последно подновяване: 23.03.2020</w:t>
      </w:r>
    </w:p>
    <w:p w14:paraId="6ACCA1AB" w14:textId="77777777" w:rsidR="00B9128F" w:rsidRPr="00B9128F" w:rsidRDefault="00B9128F" w:rsidP="00B9128F"/>
    <w:p w14:paraId="0E9D0119" w14:textId="0245C6D7" w:rsidR="002C50EE" w:rsidRDefault="002C50EE" w:rsidP="002C50EE">
      <w:pPr>
        <w:pStyle w:val="Heading1"/>
      </w:pPr>
      <w:r>
        <w:t>10. ДАТА НА АКТУАЛИЗИРАНЕ НА ТЕКСТА</w:t>
      </w:r>
    </w:p>
    <w:bookmarkEnd w:id="0"/>
    <w:p w14:paraId="43FB38A2" w14:textId="3D096732" w:rsidR="007C605B" w:rsidRPr="003E3126" w:rsidRDefault="00B9128F" w:rsidP="00B9128F">
      <w:r>
        <w:t>12.2021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F4463B"/>
    <w:multiLevelType w:val="hybridMultilevel"/>
    <w:tmpl w:val="F43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86EA3"/>
    <w:multiLevelType w:val="hybridMultilevel"/>
    <w:tmpl w:val="23E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037A"/>
    <w:multiLevelType w:val="hybridMultilevel"/>
    <w:tmpl w:val="FE56CD4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5"/>
  </w:num>
  <w:num w:numId="28">
    <w:abstractNumId w:val="6"/>
  </w:num>
  <w:num w:numId="29">
    <w:abstractNumId w:val="23"/>
  </w:num>
  <w:num w:numId="30">
    <w:abstractNumId w:val="38"/>
  </w:num>
  <w:num w:numId="31">
    <w:abstractNumId w:val="5"/>
  </w:num>
  <w:num w:numId="32">
    <w:abstractNumId w:val="37"/>
  </w:num>
  <w:num w:numId="33">
    <w:abstractNumId w:val="31"/>
  </w:num>
  <w:num w:numId="34">
    <w:abstractNumId w:val="36"/>
  </w:num>
  <w:num w:numId="35">
    <w:abstractNumId w:val="7"/>
  </w:num>
  <w:num w:numId="36">
    <w:abstractNumId w:val="10"/>
  </w:num>
  <w:num w:numId="37">
    <w:abstractNumId w:val="17"/>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258BC"/>
    <w:rsid w:val="00185A46"/>
    <w:rsid w:val="001915B6"/>
    <w:rsid w:val="001D1B23"/>
    <w:rsid w:val="002B3C38"/>
    <w:rsid w:val="002B4DBB"/>
    <w:rsid w:val="002C50EE"/>
    <w:rsid w:val="00340A0A"/>
    <w:rsid w:val="003765DC"/>
    <w:rsid w:val="00394C09"/>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9128F"/>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5856</Words>
  <Characters>33383</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2022-06-27T10:21:00Z</dcterms:created>
  <dcterms:modified xsi:type="dcterms:W3CDTF">2022-06-27T10:34:00Z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