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16D69851"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Карбамазепин Актавис 200 </w:t>
      </w:r>
      <w:r w:rsidRPr="000A31E6">
        <w:rPr>
          <w:rFonts w:eastAsia="Times New Roman" w:cs="Arial"/>
          <w:color w:val="000000"/>
          <w:lang w:val="en-US"/>
        </w:rPr>
        <w:t xml:space="preserve">mg </w:t>
      </w:r>
      <w:r w:rsidRPr="000A31E6">
        <w:rPr>
          <w:rFonts w:eastAsia="Times New Roman" w:cs="Arial"/>
          <w:color w:val="000000"/>
          <w:lang w:eastAsia="bg-BG"/>
        </w:rPr>
        <w:t>таблетки</w:t>
      </w:r>
    </w:p>
    <w:p w14:paraId="69AC8148" w14:textId="419E0742" w:rsidR="00EC41ED" w:rsidRPr="000A31E6" w:rsidRDefault="000A31E6" w:rsidP="000A31E6">
      <w:pPr>
        <w:rPr>
          <w:rFonts w:cs="Arial"/>
        </w:rPr>
      </w:pPr>
      <w:proofErr w:type="spellStart"/>
      <w:r w:rsidRPr="000A31E6">
        <w:rPr>
          <w:rFonts w:eastAsia="Times New Roman" w:cs="Arial"/>
          <w:color w:val="000000"/>
          <w:lang w:val="en-US"/>
        </w:rPr>
        <w:t>Carbamazepin</w:t>
      </w:r>
      <w:proofErr w:type="spellEnd"/>
      <w:r w:rsidRPr="000A31E6">
        <w:rPr>
          <w:rFonts w:eastAsia="Times New Roman" w:cs="Arial"/>
          <w:color w:val="000000"/>
          <w:lang w:val="en-US"/>
        </w:rPr>
        <w:t xml:space="preserve"> Actavis </w:t>
      </w:r>
      <w:r w:rsidRPr="000A31E6">
        <w:rPr>
          <w:rFonts w:eastAsia="Times New Roman" w:cs="Arial"/>
          <w:color w:val="000000"/>
          <w:lang w:eastAsia="bg-BG"/>
        </w:rPr>
        <w:t xml:space="preserve">200 </w:t>
      </w:r>
      <w:r w:rsidRPr="000A31E6">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19FCCD61"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Всяка таблетка съдържа 200 </w:t>
      </w:r>
      <w:r w:rsidRPr="000A31E6">
        <w:rPr>
          <w:rFonts w:eastAsia="Times New Roman" w:cs="Arial"/>
          <w:color w:val="000000"/>
          <w:lang w:val="en-US"/>
        </w:rPr>
        <w:t xml:space="preserve">mg </w:t>
      </w:r>
      <w:r w:rsidRPr="000A31E6">
        <w:rPr>
          <w:rFonts w:eastAsia="Times New Roman" w:cs="Arial"/>
          <w:color w:val="000000"/>
          <w:lang w:eastAsia="bg-BG"/>
        </w:rPr>
        <w:t xml:space="preserve">карбамазепин </w:t>
      </w:r>
      <w:r w:rsidRPr="000A31E6">
        <w:rPr>
          <w:rFonts w:eastAsia="Times New Roman" w:cs="Arial"/>
          <w:i/>
          <w:iCs/>
          <w:color w:val="000000"/>
          <w:lang w:val="en-US"/>
        </w:rPr>
        <w:t>{carbamazepine).</w:t>
      </w:r>
    </w:p>
    <w:p w14:paraId="04FDC0CB" w14:textId="77777777" w:rsidR="000A31E6" w:rsidRPr="000A31E6" w:rsidRDefault="000A31E6" w:rsidP="000A31E6">
      <w:pPr>
        <w:rPr>
          <w:rFonts w:eastAsia="Times New Roman" w:cs="Arial"/>
          <w:color w:val="000000"/>
          <w:lang w:eastAsia="bg-BG"/>
        </w:rPr>
      </w:pPr>
    </w:p>
    <w:p w14:paraId="54632B43" w14:textId="7C272685" w:rsidR="00EC41ED" w:rsidRPr="000A31E6" w:rsidRDefault="000A31E6" w:rsidP="000A31E6">
      <w:pPr>
        <w:rPr>
          <w:rFonts w:cs="Arial"/>
        </w:rPr>
      </w:pPr>
      <w:r w:rsidRPr="000A31E6">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27234DDF"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Таблетка</w:t>
      </w:r>
    </w:p>
    <w:p w14:paraId="106F1B50"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Кръгли, плоски таблетки, с диаметър 10 </w:t>
      </w:r>
      <w:r w:rsidRPr="000A31E6">
        <w:rPr>
          <w:rFonts w:eastAsia="Times New Roman" w:cs="Arial"/>
          <w:color w:val="000000"/>
          <w:lang w:val="en-US"/>
        </w:rPr>
        <w:t xml:space="preserve">mm </w:t>
      </w:r>
      <w:r w:rsidRPr="000A31E6">
        <w:rPr>
          <w:rFonts w:eastAsia="Times New Roman" w:cs="Arial"/>
          <w:color w:val="000000"/>
          <w:lang w:eastAsia="bg-BG"/>
        </w:rPr>
        <w:t>и делителна черта от едната страна, с бял или почти бял цвят.</w:t>
      </w:r>
    </w:p>
    <w:p w14:paraId="743244F0" w14:textId="1177817D" w:rsidR="00EC41ED" w:rsidRPr="000A31E6" w:rsidRDefault="000A31E6" w:rsidP="000A31E6">
      <w:pPr>
        <w:rPr>
          <w:rFonts w:cs="Arial"/>
        </w:rPr>
      </w:pPr>
      <w:r w:rsidRPr="000A31E6">
        <w:rPr>
          <w:rFonts w:eastAsia="Times New Roman" w:cs="Arial"/>
          <w:color w:val="000000"/>
          <w:lang w:eastAsia="bg-BG"/>
        </w:rPr>
        <w:t>Таблетката може да бъде разделена на две равни дози.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5F0F1F4" w14:textId="6CD6ECF6" w:rsidR="000A31E6" w:rsidRPr="000A31E6" w:rsidRDefault="000A31E6" w:rsidP="000A31E6">
      <w:pPr>
        <w:pStyle w:val="ListParagraph"/>
        <w:numPr>
          <w:ilvl w:val="0"/>
          <w:numId w:val="37"/>
        </w:numPr>
        <w:spacing w:line="240" w:lineRule="auto"/>
        <w:rPr>
          <w:rFonts w:eastAsia="Times New Roman" w:cs="Arial"/>
          <w:lang w:eastAsia="bg-BG"/>
        </w:rPr>
      </w:pPr>
      <w:r w:rsidRPr="000A31E6">
        <w:rPr>
          <w:rFonts w:eastAsia="Times New Roman" w:cs="Arial"/>
          <w:color w:val="000000"/>
          <w:lang w:eastAsia="bg-BG"/>
        </w:rPr>
        <w:t>Епилепсия</w:t>
      </w:r>
    </w:p>
    <w:p w14:paraId="3F6C36F1" w14:textId="77777777" w:rsidR="000A31E6" w:rsidRPr="000A31E6" w:rsidRDefault="000A31E6" w:rsidP="000A31E6">
      <w:pPr>
        <w:pStyle w:val="ListParagraph"/>
        <w:numPr>
          <w:ilvl w:val="0"/>
          <w:numId w:val="39"/>
        </w:numPr>
        <w:spacing w:line="240" w:lineRule="auto"/>
        <w:rPr>
          <w:rFonts w:eastAsia="Times New Roman" w:cs="Arial"/>
          <w:lang w:eastAsia="bg-BG"/>
        </w:rPr>
      </w:pPr>
      <w:r w:rsidRPr="000A31E6">
        <w:rPr>
          <w:rFonts w:eastAsia="Times New Roman" w:cs="Arial"/>
          <w:color w:val="000000"/>
          <w:lang w:eastAsia="bg-BG"/>
        </w:rPr>
        <w:t>Комплексни или прости парциални пристъпи (със или без загуба на съзнание) със или без вторична генерализация;</w:t>
      </w:r>
    </w:p>
    <w:p w14:paraId="0D42175A" w14:textId="3A007A9A" w:rsidR="000A31E6" w:rsidRPr="000A31E6" w:rsidRDefault="000A31E6" w:rsidP="000A31E6">
      <w:pPr>
        <w:pStyle w:val="ListParagraph"/>
        <w:numPr>
          <w:ilvl w:val="0"/>
          <w:numId w:val="39"/>
        </w:numPr>
        <w:spacing w:line="240" w:lineRule="auto"/>
        <w:rPr>
          <w:rFonts w:eastAsia="Times New Roman" w:cs="Arial"/>
          <w:lang w:eastAsia="bg-BG"/>
        </w:rPr>
      </w:pPr>
      <w:r w:rsidRPr="000A31E6">
        <w:rPr>
          <w:rFonts w:eastAsia="Times New Roman" w:cs="Arial"/>
          <w:color w:val="000000"/>
          <w:lang w:eastAsia="bg-BG"/>
        </w:rPr>
        <w:t>Генерализирани тонично-клонични пристъпи; смесени форми на пристъпи;</w:t>
      </w:r>
    </w:p>
    <w:p w14:paraId="3B867E0F"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Карбамазепин Актавис е подходящ за моно- и комбинирана терапия. Продуктът не е ефективен при абсанси </w:t>
      </w:r>
      <w:r w:rsidRPr="000A31E6">
        <w:rPr>
          <w:rFonts w:eastAsia="Times New Roman" w:cs="Arial"/>
          <w:color w:val="000000"/>
          <w:lang w:val="en-US"/>
        </w:rPr>
        <w:t xml:space="preserve">(petit mal) </w:t>
      </w:r>
      <w:r w:rsidRPr="000A31E6">
        <w:rPr>
          <w:rFonts w:eastAsia="Times New Roman" w:cs="Arial"/>
          <w:color w:val="000000"/>
          <w:lang w:eastAsia="bg-BG"/>
        </w:rPr>
        <w:t>и миоклонични пристъпи.</w:t>
      </w:r>
    </w:p>
    <w:p w14:paraId="6A805494" w14:textId="77777777" w:rsidR="000A31E6" w:rsidRPr="000A31E6" w:rsidRDefault="000A31E6" w:rsidP="000A31E6">
      <w:pPr>
        <w:pStyle w:val="ListParagraph"/>
        <w:numPr>
          <w:ilvl w:val="0"/>
          <w:numId w:val="36"/>
        </w:numPr>
        <w:spacing w:line="240" w:lineRule="auto"/>
        <w:rPr>
          <w:rFonts w:eastAsia="Times New Roman" w:cs="Arial"/>
          <w:color w:val="000000"/>
          <w:lang w:eastAsia="bg-BG"/>
        </w:rPr>
      </w:pPr>
      <w:r w:rsidRPr="000A31E6">
        <w:rPr>
          <w:rFonts w:eastAsia="Times New Roman" w:cs="Arial"/>
          <w:color w:val="000000"/>
          <w:lang w:eastAsia="bg-BG"/>
        </w:rPr>
        <w:t>Остра мания и поддържащо лечение при биполярни афективни разстройства за превенция и редукция на рецидивите;</w:t>
      </w:r>
    </w:p>
    <w:p w14:paraId="3B8D3131" w14:textId="77777777" w:rsidR="000A31E6" w:rsidRPr="000A31E6" w:rsidRDefault="000A31E6" w:rsidP="000A31E6">
      <w:pPr>
        <w:pStyle w:val="ListParagraph"/>
        <w:numPr>
          <w:ilvl w:val="0"/>
          <w:numId w:val="36"/>
        </w:numPr>
        <w:spacing w:line="240" w:lineRule="auto"/>
        <w:rPr>
          <w:rFonts w:eastAsia="Times New Roman" w:cs="Arial"/>
          <w:color w:val="000000"/>
          <w:lang w:eastAsia="bg-BG"/>
        </w:rPr>
      </w:pPr>
      <w:r w:rsidRPr="000A31E6">
        <w:rPr>
          <w:rFonts w:eastAsia="Times New Roman" w:cs="Arial"/>
          <w:color w:val="000000"/>
          <w:lang w:eastAsia="bg-BG"/>
        </w:rPr>
        <w:t>Синдром на алкохолна абстиненция;</w:t>
      </w:r>
    </w:p>
    <w:p w14:paraId="1BC40C3F" w14:textId="77777777" w:rsidR="000A31E6" w:rsidRPr="000A31E6" w:rsidRDefault="000A31E6" w:rsidP="000A31E6">
      <w:pPr>
        <w:pStyle w:val="ListParagraph"/>
        <w:numPr>
          <w:ilvl w:val="0"/>
          <w:numId w:val="36"/>
        </w:numPr>
        <w:spacing w:line="240" w:lineRule="auto"/>
        <w:rPr>
          <w:rFonts w:eastAsia="Times New Roman" w:cs="Arial"/>
          <w:color w:val="000000"/>
          <w:lang w:eastAsia="bg-BG"/>
        </w:rPr>
      </w:pPr>
      <w:r w:rsidRPr="000A31E6">
        <w:rPr>
          <w:rFonts w:eastAsia="Times New Roman" w:cs="Arial"/>
          <w:color w:val="000000"/>
          <w:lang w:eastAsia="bg-BG"/>
        </w:rPr>
        <w:t>Идиопатична тригеминална невралгия и тригеминална невралгия, дължаща се на мултиплена склероза (типична и атипична). Идиопатична глософарингеална невралгия;</w:t>
      </w:r>
    </w:p>
    <w:p w14:paraId="68E7AA96" w14:textId="77777777" w:rsidR="000A31E6" w:rsidRPr="000A31E6" w:rsidRDefault="000A31E6" w:rsidP="000A31E6">
      <w:pPr>
        <w:pStyle w:val="ListParagraph"/>
        <w:numPr>
          <w:ilvl w:val="0"/>
          <w:numId w:val="36"/>
        </w:numPr>
        <w:spacing w:line="240" w:lineRule="auto"/>
        <w:rPr>
          <w:rFonts w:eastAsia="Times New Roman" w:cs="Arial"/>
          <w:color w:val="000000"/>
          <w:lang w:eastAsia="bg-BG"/>
        </w:rPr>
      </w:pPr>
      <w:r w:rsidRPr="000A31E6">
        <w:rPr>
          <w:rFonts w:eastAsia="Times New Roman" w:cs="Arial"/>
          <w:color w:val="000000"/>
          <w:lang w:eastAsia="bg-BG"/>
        </w:rPr>
        <w:t>Болезнена диабетна невропатия;</w:t>
      </w:r>
    </w:p>
    <w:p w14:paraId="6DFA4B9D" w14:textId="322FA55D" w:rsidR="0091385D" w:rsidRPr="000A31E6" w:rsidRDefault="000A31E6" w:rsidP="000A31E6">
      <w:pPr>
        <w:pStyle w:val="ListParagraph"/>
        <w:numPr>
          <w:ilvl w:val="0"/>
          <w:numId w:val="36"/>
        </w:numPr>
        <w:spacing w:line="240" w:lineRule="auto"/>
        <w:rPr>
          <w:rFonts w:eastAsia="Times New Roman" w:cs="Arial"/>
          <w:color w:val="000000"/>
          <w:lang w:eastAsia="bg-BG"/>
        </w:rPr>
      </w:pPr>
      <w:r w:rsidRPr="000A31E6">
        <w:rPr>
          <w:rFonts w:eastAsia="Times New Roman" w:cs="Arial"/>
          <w:color w:val="000000"/>
          <w:lang w:eastAsia="bg-BG"/>
        </w:rPr>
        <w:t>Безвкусен диабет - централен тип; полиурия и полидипсия с неврохормонален произход.</w:t>
      </w:r>
    </w:p>
    <w:p w14:paraId="642F56D9" w14:textId="77777777" w:rsidR="00EC41ED" w:rsidRPr="000A31E6" w:rsidRDefault="00EC41ED" w:rsidP="0091385D"/>
    <w:p w14:paraId="30BE2C7B" w14:textId="3633C1E4" w:rsidR="008134C8" w:rsidRDefault="002C50EE" w:rsidP="004A448E">
      <w:pPr>
        <w:pStyle w:val="Heading2"/>
      </w:pPr>
      <w:r>
        <w:lastRenderedPageBreak/>
        <w:t>4.2. Дозировка и начин на приложение</w:t>
      </w:r>
    </w:p>
    <w:p w14:paraId="7AA22B68" w14:textId="0723B40D" w:rsidR="0091385D" w:rsidRDefault="0091385D" w:rsidP="0091385D"/>
    <w:p w14:paraId="228E3B5B" w14:textId="77777777" w:rsidR="000A31E6" w:rsidRPr="000A31E6" w:rsidRDefault="000A31E6" w:rsidP="000A31E6">
      <w:pPr>
        <w:pStyle w:val="Heading3"/>
        <w:rPr>
          <w:rFonts w:eastAsia="Times New Roman"/>
          <w:u w:val="single"/>
          <w:lang w:eastAsia="bg-BG"/>
        </w:rPr>
      </w:pPr>
      <w:r w:rsidRPr="000A31E6">
        <w:rPr>
          <w:rFonts w:eastAsia="Times New Roman"/>
          <w:u w:val="single"/>
          <w:lang w:eastAsia="bg-BG"/>
        </w:rPr>
        <w:t>Дозировка</w:t>
      </w:r>
    </w:p>
    <w:p w14:paraId="4587E741"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Терапията с Карбамазепин Актавис трябва да започне с ниска дневна доза, която постепенно да се повишава на интервали от една седмица до постигане на оптимален ефект.</w:t>
      </w:r>
    </w:p>
    <w:p w14:paraId="0B425696" w14:textId="77777777" w:rsidR="000A31E6" w:rsidRDefault="000A31E6" w:rsidP="000A31E6">
      <w:pPr>
        <w:rPr>
          <w:rFonts w:eastAsia="Times New Roman" w:cs="Arial"/>
          <w:color w:val="000000"/>
        </w:rPr>
      </w:pPr>
      <w:r w:rsidRPr="000A31E6">
        <w:rPr>
          <w:rFonts w:eastAsia="Times New Roman" w:cs="Arial"/>
          <w:color w:val="000000"/>
          <w:lang w:eastAsia="bg-BG"/>
        </w:rPr>
        <w:t>Терапевтичната доза за пациента трябва да се определи, като се изследва концентрацията му в плазмата, особено ако се използват няколко антиепилептични лекарствени продукти. Терапевтичен ефект се наблюдава, когато плазмената концентрация на карбамазепин в кръвта е 4-12</w:t>
      </w:r>
      <w:r w:rsidRPr="000A31E6">
        <w:rPr>
          <w:rFonts w:eastAsia="Times New Roman" w:cs="Arial"/>
          <w:color w:val="000000"/>
          <w:lang w:val="en-US"/>
        </w:rPr>
        <w:t xml:space="preserve"> </w:t>
      </w:r>
      <w:r w:rsidRPr="000A31E6">
        <w:rPr>
          <w:rFonts w:eastAsia="Times New Roman" w:cs="Arial"/>
          <w:color w:val="000000"/>
          <w:lang w:eastAsia="bg-BG"/>
        </w:rPr>
        <w:t>μ</w:t>
      </w:r>
      <w:r w:rsidRPr="000A31E6">
        <w:rPr>
          <w:rFonts w:eastAsia="Times New Roman" w:cs="Arial"/>
          <w:color w:val="000000"/>
          <w:lang w:val="en-US"/>
        </w:rPr>
        <w:t>g/ml</w:t>
      </w:r>
      <w:r>
        <w:rPr>
          <w:rFonts w:eastAsia="Times New Roman" w:cs="Arial"/>
          <w:color w:val="000000"/>
        </w:rPr>
        <w:t xml:space="preserve"> </w:t>
      </w:r>
    </w:p>
    <w:p w14:paraId="2B998AFD" w14:textId="77777777" w:rsidR="000A31E6" w:rsidRDefault="000A31E6" w:rsidP="000A31E6">
      <w:pPr>
        <w:rPr>
          <w:rFonts w:eastAsia="Times New Roman" w:cs="Arial"/>
          <w:color w:val="000000"/>
        </w:rPr>
      </w:pPr>
    </w:p>
    <w:p w14:paraId="57C3D0D4" w14:textId="0B00751D" w:rsidR="000A31E6" w:rsidRPr="000A31E6" w:rsidRDefault="000A31E6" w:rsidP="000A31E6">
      <w:pPr>
        <w:rPr>
          <w:rFonts w:eastAsia="Times New Roman" w:cs="Arial"/>
          <w:sz w:val="24"/>
          <w:szCs w:val="24"/>
          <w:lang w:eastAsia="bg-BG"/>
        </w:rPr>
      </w:pPr>
      <w:r w:rsidRPr="000A31E6">
        <w:rPr>
          <w:rFonts w:eastAsia="Times New Roman" w:cs="Arial"/>
          <w:i/>
          <w:iCs/>
          <w:color w:val="000000"/>
          <w:u w:val="single"/>
          <w:lang w:eastAsia="bg-BG"/>
        </w:rPr>
        <w:t>Епилепсия</w:t>
      </w:r>
    </w:p>
    <w:p w14:paraId="0E2F2C03"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Препоръчва се, когато е възможно, карбамазепин да се приема като монотерапия. Когато продуктът се прибавя към започната вече антиепилептична терапия, неговото включване трябва да се извърши при запазване или, ако е необходимо, след адаптиране на дозировката на другия противоепилептичен продукт.</w:t>
      </w:r>
    </w:p>
    <w:p w14:paraId="42B81E25"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Необходимата за пациента доза може да се различава от посочените начални и поддържащи дози (например, когато метаболизмът на лекарствения продукт се ускорява поради ензимна индукция или потенциални взаимодействия при приемане на множество антиепилептични лекарствени продукти).</w:t>
      </w:r>
    </w:p>
    <w:p w14:paraId="2C694DFB"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Лечението трябва да се проследява от лекар с опит в лечението на епилепсия. Препоръчително е да се следват следните препоръки за дозиране, освен ако не е предписано по друг начин.</w:t>
      </w:r>
    </w:p>
    <w:p w14:paraId="09F1437D" w14:textId="77777777" w:rsidR="000A31E6" w:rsidRPr="000A31E6" w:rsidRDefault="000A31E6" w:rsidP="000A31E6">
      <w:pPr>
        <w:spacing w:line="240" w:lineRule="auto"/>
        <w:rPr>
          <w:rFonts w:eastAsia="Times New Roman" w:cs="Arial"/>
          <w:i/>
          <w:iCs/>
          <w:color w:val="000000"/>
          <w:lang w:eastAsia="bg-BG"/>
        </w:rPr>
      </w:pPr>
    </w:p>
    <w:p w14:paraId="5EE1562C" w14:textId="36A59927"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Възрастни</w:t>
      </w:r>
    </w:p>
    <w:p w14:paraId="05B3B479"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Обикновено лечението започва с дневна доза 200 - 400 </w:t>
      </w:r>
      <w:r w:rsidRPr="000A31E6">
        <w:rPr>
          <w:rFonts w:eastAsia="Times New Roman" w:cs="Arial"/>
          <w:color w:val="000000"/>
          <w:lang w:val="en-US"/>
        </w:rPr>
        <w:t xml:space="preserve">mg, </w:t>
      </w:r>
      <w:r w:rsidRPr="000A31E6">
        <w:rPr>
          <w:rFonts w:eastAsia="Times New Roman" w:cs="Arial"/>
          <w:color w:val="000000"/>
          <w:lang w:eastAsia="bg-BG"/>
        </w:rPr>
        <w:t xml:space="preserve">един или два пъти дневно, като дозата може да се повишава постепенно до достигане на дневна доза 800 - 1 200 </w:t>
      </w:r>
      <w:r w:rsidRPr="000A31E6">
        <w:rPr>
          <w:rFonts w:eastAsia="Times New Roman" w:cs="Arial"/>
          <w:color w:val="000000"/>
          <w:lang w:val="en-US"/>
        </w:rPr>
        <w:t xml:space="preserve">mg, </w:t>
      </w:r>
      <w:r w:rsidRPr="000A31E6">
        <w:rPr>
          <w:rFonts w:eastAsia="Times New Roman" w:cs="Arial"/>
          <w:color w:val="000000"/>
          <w:lang w:eastAsia="bg-BG"/>
        </w:rPr>
        <w:t xml:space="preserve">разпределена в два- три приема до постигане на оптимален ефект. Препоръчителната дневна доза на карбамазепин не трябва да надвишава 1 200 </w:t>
      </w:r>
      <w:r w:rsidRPr="000A31E6">
        <w:rPr>
          <w:rFonts w:eastAsia="Times New Roman" w:cs="Arial"/>
          <w:color w:val="000000"/>
          <w:lang w:val="en-US"/>
        </w:rPr>
        <w:t xml:space="preserve">mg. </w:t>
      </w:r>
      <w:r w:rsidRPr="000A31E6">
        <w:rPr>
          <w:rFonts w:eastAsia="Times New Roman" w:cs="Arial"/>
          <w:color w:val="000000"/>
          <w:lang w:eastAsia="bg-BG"/>
        </w:rPr>
        <w:t xml:space="preserve">Максималната дневна доза не трябва да надвишава 1 600 </w:t>
      </w:r>
      <w:r w:rsidRPr="000A31E6">
        <w:rPr>
          <w:rFonts w:eastAsia="Times New Roman" w:cs="Arial"/>
          <w:color w:val="000000"/>
          <w:lang w:val="en-US"/>
        </w:rPr>
        <w:t xml:space="preserve">mg, </w:t>
      </w:r>
      <w:r w:rsidRPr="000A31E6">
        <w:rPr>
          <w:rFonts w:eastAsia="Times New Roman" w:cs="Arial"/>
          <w:color w:val="000000"/>
          <w:lang w:eastAsia="bg-BG"/>
        </w:rPr>
        <w:t xml:space="preserve">тъй като по-високи дози повишават честотата на нежеланите лекарствени реакции. При някои пациенти е необходима доза от 1 600 </w:t>
      </w:r>
      <w:r w:rsidRPr="000A31E6">
        <w:rPr>
          <w:rFonts w:eastAsia="Times New Roman" w:cs="Arial"/>
          <w:color w:val="000000"/>
          <w:lang w:val="en-US"/>
        </w:rPr>
        <w:t xml:space="preserve">mg </w:t>
      </w:r>
      <w:r w:rsidRPr="000A31E6">
        <w:rPr>
          <w:rFonts w:eastAsia="Times New Roman" w:cs="Arial"/>
          <w:color w:val="000000"/>
          <w:lang w:eastAsia="bg-BG"/>
        </w:rPr>
        <w:t xml:space="preserve">или 2 000 </w:t>
      </w:r>
      <w:r w:rsidRPr="000A31E6">
        <w:rPr>
          <w:rFonts w:eastAsia="Times New Roman" w:cs="Arial"/>
          <w:color w:val="000000"/>
          <w:lang w:val="en-US"/>
        </w:rPr>
        <w:t>mg.</w:t>
      </w:r>
    </w:p>
    <w:p w14:paraId="5FCF8170" w14:textId="77777777" w:rsidR="000A31E6" w:rsidRPr="000A31E6" w:rsidRDefault="000A31E6" w:rsidP="000A31E6">
      <w:pPr>
        <w:spacing w:line="240" w:lineRule="auto"/>
        <w:rPr>
          <w:rFonts w:eastAsia="Times New Roman" w:cs="Arial"/>
          <w:i/>
          <w:iCs/>
          <w:color w:val="000000"/>
          <w:lang w:eastAsia="bg-BG"/>
        </w:rPr>
      </w:pPr>
    </w:p>
    <w:p w14:paraId="5A1F3B4E" w14:textId="3455EF71"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Педиатрична популация</w:t>
      </w:r>
    </w:p>
    <w:p w14:paraId="7B3305C2"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Деца под 4-годишна възраст - препоръчва се лечението да започне с доза от 20 до 60 </w:t>
      </w:r>
      <w:r w:rsidRPr="000A31E6">
        <w:rPr>
          <w:rFonts w:eastAsia="Times New Roman" w:cs="Arial"/>
          <w:color w:val="000000"/>
          <w:lang w:val="en-US"/>
        </w:rPr>
        <w:t xml:space="preserve">mg </w:t>
      </w:r>
      <w:r w:rsidRPr="000A31E6">
        <w:rPr>
          <w:rFonts w:eastAsia="Times New Roman" w:cs="Arial"/>
          <w:color w:val="000000"/>
          <w:lang w:eastAsia="bg-BG"/>
        </w:rPr>
        <w:t xml:space="preserve">дневно (5 </w:t>
      </w:r>
      <w:r w:rsidRPr="000A31E6">
        <w:rPr>
          <w:rFonts w:eastAsia="Times New Roman" w:cs="Arial"/>
          <w:color w:val="000000"/>
          <w:lang w:val="en-US"/>
        </w:rPr>
        <w:t xml:space="preserve">mg/kg </w:t>
      </w:r>
      <w:r w:rsidRPr="000A31E6">
        <w:rPr>
          <w:rFonts w:eastAsia="Times New Roman" w:cs="Arial"/>
          <w:color w:val="000000"/>
          <w:lang w:eastAsia="bg-BG"/>
        </w:rPr>
        <w:t xml:space="preserve">телесно тегло), след което дозата трябва да се повишава постепенно с по 20 до 60 </w:t>
      </w:r>
      <w:r w:rsidRPr="000A31E6">
        <w:rPr>
          <w:rFonts w:eastAsia="Times New Roman" w:cs="Arial"/>
          <w:color w:val="000000"/>
          <w:lang w:val="en-US"/>
        </w:rPr>
        <w:t xml:space="preserve">mg </w:t>
      </w:r>
      <w:r w:rsidRPr="000A31E6">
        <w:rPr>
          <w:rFonts w:eastAsia="Times New Roman" w:cs="Arial"/>
          <w:color w:val="000000"/>
          <w:lang w:eastAsia="bg-BG"/>
        </w:rPr>
        <w:t xml:space="preserve">през ден, докато е достатъчна за постигане на желания ефект. Деца под 4 години първоначално трябва да приемат друга лекарствена форма на карбамазепин, тъй като таблетките карбамазепин от 200 </w:t>
      </w:r>
      <w:r w:rsidRPr="000A31E6">
        <w:rPr>
          <w:rFonts w:eastAsia="Times New Roman" w:cs="Arial"/>
          <w:color w:val="000000"/>
          <w:lang w:val="en-US"/>
        </w:rPr>
        <w:t xml:space="preserve">mg </w:t>
      </w:r>
      <w:r w:rsidRPr="000A31E6">
        <w:rPr>
          <w:rFonts w:eastAsia="Times New Roman" w:cs="Arial"/>
          <w:color w:val="000000"/>
          <w:lang w:eastAsia="bg-BG"/>
        </w:rPr>
        <w:t xml:space="preserve">не могат да доставят доза от 20-60 </w:t>
      </w:r>
      <w:r w:rsidRPr="000A31E6">
        <w:rPr>
          <w:rFonts w:eastAsia="Times New Roman" w:cs="Arial"/>
          <w:color w:val="000000"/>
          <w:lang w:val="en-US"/>
        </w:rPr>
        <w:t>mg.</w:t>
      </w:r>
    </w:p>
    <w:p w14:paraId="6F70EF4A"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При деца над 4 години лечението започва със 100 </w:t>
      </w:r>
      <w:r w:rsidRPr="000A31E6">
        <w:rPr>
          <w:rFonts w:eastAsia="Times New Roman" w:cs="Arial"/>
          <w:color w:val="000000"/>
          <w:lang w:val="en-US"/>
        </w:rPr>
        <w:t xml:space="preserve">mg </w:t>
      </w:r>
      <w:r w:rsidRPr="000A31E6">
        <w:rPr>
          <w:rFonts w:eastAsia="Times New Roman" w:cs="Arial"/>
          <w:color w:val="000000"/>
          <w:lang w:eastAsia="bg-BG"/>
        </w:rPr>
        <w:t xml:space="preserve">дневно, последвано от ежеседмично или на всеки два дни увеличение с по 100 </w:t>
      </w:r>
      <w:r w:rsidRPr="000A31E6">
        <w:rPr>
          <w:rFonts w:eastAsia="Times New Roman" w:cs="Arial"/>
          <w:color w:val="000000"/>
          <w:lang w:val="en-US"/>
        </w:rPr>
        <w:t xml:space="preserve">mg </w:t>
      </w:r>
      <w:r w:rsidRPr="000A31E6">
        <w:rPr>
          <w:rFonts w:eastAsia="Times New Roman" w:cs="Arial"/>
          <w:color w:val="000000"/>
          <w:lang w:eastAsia="bg-BG"/>
        </w:rPr>
        <w:t>до постигане на оптималната доза. Въпреки посоченото по- горе, максималната поддържаща дневна доза не трябва да се надвишава.</w:t>
      </w:r>
    </w:p>
    <w:p w14:paraId="30F7FA9C" w14:textId="77777777" w:rsidR="000A31E6" w:rsidRPr="000A31E6" w:rsidRDefault="000A31E6" w:rsidP="000A31E6">
      <w:pPr>
        <w:spacing w:line="240" w:lineRule="auto"/>
        <w:rPr>
          <w:rFonts w:eastAsia="Times New Roman" w:cs="Arial"/>
          <w:color w:val="000000"/>
          <w:lang w:eastAsia="bg-BG"/>
        </w:rPr>
      </w:pPr>
    </w:p>
    <w:p w14:paraId="5A98E7FC" w14:textId="4EBFD916"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Поддържаща доза: 10 - 20 </w:t>
      </w:r>
      <w:r w:rsidRPr="000A31E6">
        <w:rPr>
          <w:rFonts w:eastAsia="Times New Roman" w:cs="Arial"/>
          <w:color w:val="000000"/>
          <w:lang w:val="en-US"/>
        </w:rPr>
        <w:t xml:space="preserve">mg/kg </w:t>
      </w:r>
      <w:r w:rsidRPr="000A31E6">
        <w:rPr>
          <w:rFonts w:eastAsia="Times New Roman" w:cs="Arial"/>
          <w:color w:val="000000"/>
          <w:lang w:eastAsia="bg-BG"/>
        </w:rPr>
        <w:t>телесно тегло дневно, както следва:</w:t>
      </w:r>
    </w:p>
    <w:p w14:paraId="3708A35C" w14:textId="14598B91" w:rsidR="000A31E6" w:rsidRPr="000A31E6" w:rsidRDefault="000A31E6" w:rsidP="000A31E6">
      <w:pPr>
        <w:spacing w:line="240" w:lineRule="auto"/>
        <w:jc w:val="center"/>
        <w:rPr>
          <w:rFonts w:eastAsia="Times New Roman" w:cs="Arial"/>
          <w:sz w:val="24"/>
          <w:szCs w:val="24"/>
          <w:lang w:eastAsia="bg-BG"/>
        </w:rPr>
      </w:pPr>
      <w:r w:rsidRPr="000A31E6">
        <w:rPr>
          <w:rFonts w:eastAsia="Times New Roman" w:cs="Arial"/>
          <w:color w:val="000000"/>
          <w:lang w:eastAsia="bg-BG"/>
        </w:rPr>
        <w:t xml:space="preserve">деца от 1 до 5 години:       200-400 </w:t>
      </w:r>
      <w:r w:rsidRPr="000A31E6">
        <w:rPr>
          <w:rFonts w:eastAsia="Times New Roman" w:cs="Arial"/>
          <w:color w:val="000000"/>
          <w:lang w:val="en-US"/>
        </w:rPr>
        <w:t xml:space="preserve">mg </w:t>
      </w:r>
      <w:r w:rsidRPr="000A31E6">
        <w:rPr>
          <w:rFonts w:eastAsia="Times New Roman" w:cs="Arial"/>
          <w:color w:val="000000"/>
          <w:lang w:eastAsia="bg-BG"/>
        </w:rPr>
        <w:t>дневно</w:t>
      </w:r>
    </w:p>
    <w:p w14:paraId="616FE114" w14:textId="5C69E35F" w:rsidR="000A31E6" w:rsidRPr="000A31E6" w:rsidRDefault="000A31E6" w:rsidP="000A31E6">
      <w:pPr>
        <w:spacing w:line="240" w:lineRule="auto"/>
        <w:jc w:val="center"/>
        <w:rPr>
          <w:rFonts w:eastAsia="Times New Roman" w:cs="Arial"/>
          <w:sz w:val="24"/>
          <w:szCs w:val="24"/>
          <w:lang w:eastAsia="bg-BG"/>
        </w:rPr>
      </w:pPr>
      <w:r w:rsidRPr="000A31E6">
        <w:rPr>
          <w:rFonts w:eastAsia="Times New Roman" w:cs="Arial"/>
          <w:color w:val="000000"/>
          <w:lang w:eastAsia="bg-BG"/>
        </w:rPr>
        <w:t xml:space="preserve">деца от 6 до 10 години:     400-600 </w:t>
      </w:r>
      <w:r w:rsidRPr="000A31E6">
        <w:rPr>
          <w:rFonts w:eastAsia="Times New Roman" w:cs="Arial"/>
          <w:color w:val="000000"/>
          <w:lang w:val="en-US"/>
        </w:rPr>
        <w:t xml:space="preserve">mg </w:t>
      </w:r>
      <w:r w:rsidRPr="000A31E6">
        <w:rPr>
          <w:rFonts w:eastAsia="Times New Roman" w:cs="Arial"/>
          <w:color w:val="000000"/>
          <w:lang w:eastAsia="bg-BG"/>
        </w:rPr>
        <w:t>дневно</w:t>
      </w:r>
    </w:p>
    <w:p w14:paraId="1C1AA23F" w14:textId="488D573E" w:rsidR="000A31E6" w:rsidRPr="000A31E6" w:rsidRDefault="000A31E6" w:rsidP="000A31E6">
      <w:pPr>
        <w:spacing w:line="240" w:lineRule="auto"/>
        <w:jc w:val="center"/>
        <w:rPr>
          <w:rFonts w:eastAsia="Times New Roman" w:cs="Arial"/>
          <w:sz w:val="24"/>
          <w:szCs w:val="24"/>
          <w:lang w:eastAsia="bg-BG"/>
        </w:rPr>
      </w:pPr>
      <w:r w:rsidRPr="000A31E6">
        <w:rPr>
          <w:rFonts w:eastAsia="Times New Roman" w:cs="Arial"/>
          <w:color w:val="000000"/>
          <w:lang w:eastAsia="bg-BG"/>
        </w:rPr>
        <w:t xml:space="preserve">деца от 11 до 15 години:   600-1 000 </w:t>
      </w:r>
      <w:r w:rsidRPr="000A31E6">
        <w:rPr>
          <w:rFonts w:eastAsia="Times New Roman" w:cs="Arial"/>
          <w:color w:val="000000"/>
          <w:lang w:val="en-US"/>
        </w:rPr>
        <w:t xml:space="preserve">mg </w:t>
      </w:r>
      <w:r w:rsidRPr="000A31E6">
        <w:rPr>
          <w:rFonts w:eastAsia="Times New Roman" w:cs="Arial"/>
          <w:color w:val="000000"/>
          <w:lang w:eastAsia="bg-BG"/>
        </w:rPr>
        <w:t>дневно</w:t>
      </w:r>
    </w:p>
    <w:p w14:paraId="53646D3F" w14:textId="77777777" w:rsidR="000A31E6" w:rsidRPr="000A31E6" w:rsidRDefault="000A31E6" w:rsidP="000A31E6">
      <w:pPr>
        <w:spacing w:line="240" w:lineRule="auto"/>
        <w:rPr>
          <w:rFonts w:eastAsia="Times New Roman" w:cs="Arial"/>
          <w:i/>
          <w:iCs/>
          <w:color w:val="000000"/>
          <w:u w:val="single"/>
          <w:lang w:eastAsia="bg-BG"/>
        </w:rPr>
      </w:pPr>
    </w:p>
    <w:p w14:paraId="44CF0688" w14:textId="4410CBBA"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eastAsia="bg-BG"/>
        </w:rPr>
        <w:lastRenderedPageBreak/>
        <w:t>Идиопатична терминална тригеминална невралгия и тригеминална невралгия вследствие на мултиплена склероза (типична или атипична)</w:t>
      </w:r>
    </w:p>
    <w:p w14:paraId="553A595C"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Началната дневна доза е 200-400 </w:t>
      </w:r>
      <w:r w:rsidRPr="000A31E6">
        <w:rPr>
          <w:rFonts w:eastAsia="Times New Roman" w:cs="Arial"/>
          <w:color w:val="000000"/>
          <w:lang w:val="en-US"/>
        </w:rPr>
        <w:t xml:space="preserve">mg, </w:t>
      </w:r>
      <w:r w:rsidRPr="000A31E6">
        <w:rPr>
          <w:rFonts w:eastAsia="Times New Roman" w:cs="Arial"/>
          <w:color w:val="000000"/>
          <w:lang w:eastAsia="bg-BG"/>
        </w:rPr>
        <w:t xml:space="preserve">след което дозата се повишава постепенно до постигане на пълно облекчаване на болката (обикновено 3-4 пъти по 200 </w:t>
      </w:r>
      <w:r w:rsidRPr="000A31E6">
        <w:rPr>
          <w:rFonts w:eastAsia="Times New Roman" w:cs="Arial"/>
          <w:color w:val="000000"/>
          <w:lang w:val="en-US"/>
        </w:rPr>
        <w:t xml:space="preserve">mg </w:t>
      </w:r>
      <w:r w:rsidRPr="000A31E6">
        <w:rPr>
          <w:rFonts w:eastAsia="Times New Roman" w:cs="Arial"/>
          <w:color w:val="000000"/>
          <w:lang w:eastAsia="bg-BG"/>
        </w:rPr>
        <w:t>дневно).</w:t>
      </w:r>
    </w:p>
    <w:p w14:paraId="3A8302FA"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След отзвучаване на болката се уточнява минималната ефективна доза чрез постепенно понижаване на дозата.</w:t>
      </w:r>
    </w:p>
    <w:p w14:paraId="4F160184"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Някои пациенти могат да бъдат лекувани с редуцирана поддържаща дневна доза, т.е. 400 </w:t>
      </w:r>
      <w:r w:rsidRPr="000A31E6">
        <w:rPr>
          <w:rFonts w:eastAsia="Times New Roman" w:cs="Arial"/>
          <w:color w:val="000000"/>
          <w:lang w:val="en-US"/>
        </w:rPr>
        <w:t xml:space="preserve">mg, </w:t>
      </w:r>
      <w:r w:rsidRPr="000A31E6">
        <w:rPr>
          <w:rFonts w:eastAsia="Times New Roman" w:cs="Arial"/>
          <w:color w:val="000000"/>
          <w:lang w:eastAsia="bg-BG"/>
        </w:rPr>
        <w:t>която трябва да се приема два пъти дневно.</w:t>
      </w:r>
    </w:p>
    <w:p w14:paraId="1A4516D9"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Пациенти в старческа възраст и пациенти, които са чувствителни към лекарствения продукт първоначално трябва да приемат 100 </w:t>
      </w:r>
      <w:r w:rsidRPr="000A31E6">
        <w:rPr>
          <w:rFonts w:eastAsia="Times New Roman" w:cs="Arial"/>
          <w:color w:val="000000"/>
          <w:lang w:val="en-US"/>
        </w:rPr>
        <w:t xml:space="preserve">mg </w:t>
      </w:r>
      <w:r w:rsidRPr="000A31E6">
        <w:rPr>
          <w:rFonts w:eastAsia="Times New Roman" w:cs="Arial"/>
          <w:color w:val="000000"/>
          <w:lang w:eastAsia="bg-BG"/>
        </w:rPr>
        <w:t>(16 таблетка) 2 пъти дневно.</w:t>
      </w:r>
    </w:p>
    <w:p w14:paraId="5B8CCFE8" w14:textId="77777777" w:rsidR="000A31E6" w:rsidRPr="000A31E6" w:rsidRDefault="000A31E6" w:rsidP="000A31E6">
      <w:pPr>
        <w:spacing w:line="240" w:lineRule="auto"/>
        <w:rPr>
          <w:rFonts w:eastAsia="Times New Roman" w:cs="Arial"/>
          <w:i/>
          <w:iCs/>
          <w:color w:val="000000"/>
          <w:u w:val="single"/>
          <w:lang w:eastAsia="bg-BG"/>
        </w:rPr>
      </w:pPr>
    </w:p>
    <w:p w14:paraId="678A39E7" w14:textId="6BBA0CE0"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eastAsia="bg-BG"/>
        </w:rPr>
        <w:t>Синдром на алкохолна абстинениия</w:t>
      </w:r>
    </w:p>
    <w:p w14:paraId="3CDC402A"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Началната доза е 200 </w:t>
      </w:r>
      <w:r w:rsidRPr="000A31E6">
        <w:rPr>
          <w:rFonts w:eastAsia="Times New Roman" w:cs="Arial"/>
          <w:color w:val="000000"/>
          <w:lang w:val="en-US"/>
        </w:rPr>
        <w:t xml:space="preserve">mg </w:t>
      </w:r>
      <w:r w:rsidRPr="000A31E6">
        <w:rPr>
          <w:rFonts w:eastAsia="Times New Roman" w:cs="Arial"/>
          <w:color w:val="000000"/>
          <w:lang w:eastAsia="bg-BG"/>
        </w:rPr>
        <w:t>три пъти дневно в първите няколко дни, след което при тежки случаи</w:t>
      </w:r>
      <w:r w:rsidRPr="000A31E6">
        <w:rPr>
          <w:rFonts w:eastAsia="Times New Roman" w:cs="Arial"/>
          <w:color w:val="000000"/>
          <w:u w:val="single"/>
          <w:lang w:eastAsia="bg-BG"/>
        </w:rPr>
        <w:t xml:space="preserve"> </w:t>
      </w:r>
      <w:r w:rsidRPr="000A31E6">
        <w:rPr>
          <w:rFonts w:eastAsia="Times New Roman" w:cs="Arial"/>
          <w:color w:val="000000"/>
          <w:lang w:eastAsia="bg-BG"/>
        </w:rPr>
        <w:t xml:space="preserve">дозата може да се повиши (до 400 </w:t>
      </w:r>
      <w:r w:rsidRPr="000A31E6">
        <w:rPr>
          <w:rFonts w:eastAsia="Times New Roman" w:cs="Arial"/>
          <w:color w:val="000000"/>
          <w:lang w:val="en-US"/>
        </w:rPr>
        <w:t xml:space="preserve">mg </w:t>
      </w:r>
      <w:r w:rsidRPr="000A31E6">
        <w:rPr>
          <w:rFonts w:eastAsia="Times New Roman" w:cs="Arial"/>
          <w:color w:val="000000"/>
          <w:lang w:eastAsia="bg-BG"/>
        </w:rPr>
        <w:t>3 пъти дневно). Уместно е прилагането и на седативни</w:t>
      </w:r>
    </w:p>
    <w:p w14:paraId="7FBF1BCE" w14:textId="68965EA7" w:rsidR="00EC41ED" w:rsidRPr="000A31E6" w:rsidRDefault="000A31E6" w:rsidP="000A31E6">
      <w:pPr>
        <w:rPr>
          <w:rFonts w:cs="Arial"/>
        </w:rPr>
      </w:pPr>
      <w:r w:rsidRPr="000A31E6">
        <w:rPr>
          <w:rFonts w:eastAsia="Times New Roman" w:cs="Arial"/>
          <w:color w:val="000000"/>
          <w:lang w:eastAsia="bg-BG"/>
        </w:rPr>
        <w:t>хипнотици. След отзвучаване на острия стадий лечението може да се продължи с карбамазепин като монотерапия.</w:t>
      </w:r>
    </w:p>
    <w:p w14:paraId="132F3111" w14:textId="7158C641" w:rsidR="005B0F27" w:rsidRPr="000A31E6" w:rsidRDefault="005B0F27" w:rsidP="0091385D">
      <w:pPr>
        <w:rPr>
          <w:rFonts w:cs="Arial"/>
        </w:rPr>
      </w:pPr>
    </w:p>
    <w:p w14:paraId="0708592F"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eastAsia="bg-BG"/>
        </w:rPr>
        <w:t>Остра мания и профилактика на биполярни афективни разстройства</w:t>
      </w:r>
    </w:p>
    <w:p w14:paraId="66520BC1"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Началната доза е 200-400 </w:t>
      </w:r>
      <w:r w:rsidRPr="000A31E6">
        <w:rPr>
          <w:rFonts w:eastAsia="Times New Roman" w:cs="Arial"/>
          <w:color w:val="000000"/>
          <w:lang w:val="en-US"/>
        </w:rPr>
        <w:t xml:space="preserve">mg </w:t>
      </w:r>
      <w:r w:rsidRPr="000A31E6">
        <w:rPr>
          <w:rFonts w:eastAsia="Times New Roman" w:cs="Arial"/>
          <w:color w:val="000000"/>
          <w:lang w:eastAsia="bg-BG"/>
        </w:rPr>
        <w:t xml:space="preserve">Препоръчителната дневна доза е между 400 и 1 600 </w:t>
      </w:r>
      <w:r w:rsidRPr="000A31E6">
        <w:rPr>
          <w:rFonts w:eastAsia="Times New Roman" w:cs="Arial"/>
          <w:color w:val="000000"/>
          <w:lang w:val="en-US"/>
        </w:rPr>
        <w:t xml:space="preserve">mg. </w:t>
      </w:r>
      <w:r w:rsidRPr="000A31E6">
        <w:rPr>
          <w:rFonts w:eastAsia="Times New Roman" w:cs="Arial"/>
          <w:color w:val="000000"/>
          <w:lang w:eastAsia="bg-BG"/>
        </w:rPr>
        <w:t xml:space="preserve">Обичайната доза е 400-600 </w:t>
      </w:r>
      <w:r w:rsidRPr="000A31E6">
        <w:rPr>
          <w:rFonts w:eastAsia="Times New Roman" w:cs="Arial"/>
          <w:color w:val="000000"/>
          <w:lang w:val="en-US"/>
        </w:rPr>
        <w:t xml:space="preserve">mg, </w:t>
      </w:r>
      <w:r w:rsidRPr="000A31E6">
        <w:rPr>
          <w:rFonts w:eastAsia="Times New Roman" w:cs="Arial"/>
          <w:color w:val="000000"/>
          <w:lang w:eastAsia="bg-BG"/>
        </w:rPr>
        <w:t>разделена на 2-3 приема.</w:t>
      </w:r>
    </w:p>
    <w:p w14:paraId="7499E757"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За да се избегне рецидив на биполярното афективно разстройство, лечението е по-продължително. В изключителни случаи (когато литият не е достатъчен за превенция на биполярно афективно разстройство) карбамазепин се прилага едновременно с литий. В такива случаи, за да се избегне лекарствено взаимодействие, плазмените концентрации на карбамазепин трябва да бъдат под 8 μ</w:t>
      </w:r>
      <w:r w:rsidRPr="000A31E6">
        <w:rPr>
          <w:rFonts w:eastAsia="Times New Roman" w:cs="Arial"/>
          <w:color w:val="000000"/>
          <w:lang w:val="en-US"/>
        </w:rPr>
        <w:t xml:space="preserve">mg/ml, </w:t>
      </w:r>
      <w:r w:rsidRPr="000A31E6">
        <w:rPr>
          <w:rFonts w:eastAsia="Times New Roman" w:cs="Arial"/>
          <w:color w:val="000000"/>
          <w:lang w:eastAsia="bg-BG"/>
        </w:rPr>
        <w:t xml:space="preserve">а литият трябва да се прилага в ниски дози (0,3-0,8 </w:t>
      </w:r>
      <w:proofErr w:type="spellStart"/>
      <w:r w:rsidRPr="000A31E6">
        <w:rPr>
          <w:rFonts w:eastAsia="Times New Roman" w:cs="Arial"/>
          <w:color w:val="000000"/>
          <w:lang w:val="en-US"/>
        </w:rPr>
        <w:t>mval</w:t>
      </w:r>
      <w:proofErr w:type="spellEnd"/>
      <w:r w:rsidRPr="000A31E6">
        <w:rPr>
          <w:rFonts w:eastAsia="Times New Roman" w:cs="Arial"/>
          <w:color w:val="000000"/>
          <w:lang w:val="en-US"/>
        </w:rPr>
        <w:t xml:space="preserve">/l). </w:t>
      </w:r>
      <w:r w:rsidRPr="000A31E6">
        <w:rPr>
          <w:rFonts w:eastAsia="Times New Roman" w:cs="Arial"/>
          <w:color w:val="000000"/>
          <w:lang w:eastAsia="bg-BG"/>
        </w:rPr>
        <w:t>Не се разрешава едновременна употреба с невролептици. Невролептици не трябва да се приемат най-малко осем седмици, преди прием на карбамазепин.</w:t>
      </w:r>
    </w:p>
    <w:p w14:paraId="480798A1" w14:textId="77777777" w:rsidR="000A31E6" w:rsidRPr="000A31E6" w:rsidRDefault="000A31E6" w:rsidP="000A31E6">
      <w:pPr>
        <w:spacing w:line="240" w:lineRule="auto"/>
        <w:rPr>
          <w:rFonts w:eastAsia="Times New Roman" w:cs="Arial"/>
          <w:color w:val="000000"/>
          <w:lang w:eastAsia="bg-BG"/>
        </w:rPr>
      </w:pPr>
    </w:p>
    <w:p w14:paraId="4F4CFAF4" w14:textId="69CBBC6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 лечение на остра мания дозата се повишава по-бързо, докато при профилактика на биполярно разстройство това се извършва по-бавно, за да се осигури оптимална поносимост.</w:t>
      </w:r>
    </w:p>
    <w:p w14:paraId="0E530639" w14:textId="77777777" w:rsidR="000A31E6" w:rsidRPr="000A31E6" w:rsidRDefault="000A31E6" w:rsidP="000A31E6">
      <w:pPr>
        <w:spacing w:line="240" w:lineRule="auto"/>
        <w:rPr>
          <w:rFonts w:eastAsia="Times New Roman" w:cs="Arial"/>
          <w:i/>
          <w:iCs/>
          <w:color w:val="000000"/>
          <w:u w:val="single"/>
          <w:lang w:eastAsia="bg-BG"/>
        </w:rPr>
      </w:pPr>
    </w:p>
    <w:p w14:paraId="57443057" w14:textId="522270ED"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eastAsia="bg-BG"/>
        </w:rPr>
        <w:t>Безвкусен диабет - централен тип</w:t>
      </w:r>
    </w:p>
    <w:p w14:paraId="6DFF614E"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Обичайната дозировка за възрастни е 200 </w:t>
      </w:r>
      <w:r w:rsidRPr="000A31E6">
        <w:rPr>
          <w:rFonts w:eastAsia="Times New Roman" w:cs="Arial"/>
          <w:color w:val="000000"/>
          <w:lang w:val="en-US"/>
        </w:rPr>
        <w:t xml:space="preserve">mg </w:t>
      </w:r>
      <w:r w:rsidRPr="000A31E6">
        <w:rPr>
          <w:rFonts w:eastAsia="Times New Roman" w:cs="Arial"/>
          <w:color w:val="000000"/>
          <w:lang w:eastAsia="bg-BG"/>
        </w:rPr>
        <w:t>2-3 пъти дневно. При деца дозировката трябва да се намали пропорционално на възрастта и теглото.</w:t>
      </w:r>
    </w:p>
    <w:p w14:paraId="1E101393" w14:textId="77777777" w:rsidR="000A31E6" w:rsidRPr="000A31E6" w:rsidRDefault="000A31E6" w:rsidP="000A31E6">
      <w:pPr>
        <w:spacing w:line="240" w:lineRule="auto"/>
        <w:rPr>
          <w:rFonts w:eastAsia="Times New Roman" w:cs="Arial"/>
          <w:i/>
          <w:iCs/>
          <w:color w:val="000000"/>
          <w:u w:val="single"/>
          <w:lang w:eastAsia="bg-BG"/>
        </w:rPr>
      </w:pPr>
    </w:p>
    <w:p w14:paraId="7944D628" w14:textId="22226F2F"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eastAsia="bg-BG"/>
        </w:rPr>
        <w:t>Болезнена диабетна невропатия</w:t>
      </w:r>
    </w:p>
    <w:p w14:paraId="60D8C13A"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Обичайна дозировка - 200 </w:t>
      </w:r>
      <w:r w:rsidRPr="000A31E6">
        <w:rPr>
          <w:rFonts w:eastAsia="Times New Roman" w:cs="Arial"/>
          <w:color w:val="000000"/>
          <w:lang w:val="en-US"/>
        </w:rPr>
        <w:t xml:space="preserve">mg </w:t>
      </w:r>
      <w:r w:rsidRPr="000A31E6">
        <w:rPr>
          <w:rFonts w:eastAsia="Times New Roman" w:cs="Arial"/>
          <w:color w:val="000000"/>
          <w:lang w:eastAsia="bg-BG"/>
        </w:rPr>
        <w:t>2-4 пъти дневно.</w:t>
      </w:r>
    </w:p>
    <w:p w14:paraId="059914C7" w14:textId="77777777" w:rsidR="000A31E6" w:rsidRPr="000A31E6" w:rsidRDefault="000A31E6" w:rsidP="000A31E6">
      <w:pPr>
        <w:spacing w:line="240" w:lineRule="auto"/>
        <w:rPr>
          <w:rFonts w:eastAsia="Times New Roman" w:cs="Arial"/>
          <w:i/>
          <w:iCs/>
          <w:color w:val="000000"/>
          <w:lang w:eastAsia="bg-BG"/>
        </w:rPr>
      </w:pPr>
    </w:p>
    <w:p w14:paraId="7679C248" w14:textId="667730D4"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Пациенти с бъбречна недостатъчност</w:t>
      </w:r>
    </w:p>
    <w:p w14:paraId="381F39CB"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При пациенти с гломерулна филтрация под 10 </w:t>
      </w:r>
      <w:r w:rsidRPr="000A31E6">
        <w:rPr>
          <w:rFonts w:eastAsia="Times New Roman" w:cs="Arial"/>
          <w:color w:val="000000"/>
          <w:lang w:val="en-US"/>
        </w:rPr>
        <w:t xml:space="preserve">mg/min </w:t>
      </w:r>
      <w:r w:rsidRPr="000A31E6">
        <w:rPr>
          <w:rFonts w:eastAsia="Times New Roman" w:cs="Arial"/>
          <w:color w:val="000000"/>
          <w:lang w:eastAsia="bg-BG"/>
        </w:rPr>
        <w:t>и при пациенти на диализа се препоръчва прилагане на 75% от обичайната терапевтична доза.</w:t>
      </w:r>
    </w:p>
    <w:p w14:paraId="1F189330" w14:textId="77777777" w:rsidR="000A31E6" w:rsidRPr="000A31E6" w:rsidRDefault="000A31E6" w:rsidP="000A31E6">
      <w:pPr>
        <w:spacing w:line="240" w:lineRule="auto"/>
        <w:rPr>
          <w:rFonts w:eastAsia="Times New Roman" w:cs="Arial"/>
          <w:color w:val="000000"/>
          <w:lang w:eastAsia="bg-BG"/>
        </w:rPr>
      </w:pPr>
    </w:p>
    <w:p w14:paraId="20F9017B" w14:textId="5CBECF03"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Предупреждение</w:t>
      </w:r>
    </w:p>
    <w:p w14:paraId="0BBA9245"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Пациенти с тежки сърдечно-съдови, чернодробни и бъбречни заболявалия и пациенти в старческа възраст трябва да приемат по-ниски дози.</w:t>
      </w:r>
    </w:p>
    <w:p w14:paraId="0F8A1897"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В повечето случаи, ефектът е много добър, ако дневната доза се разпредели на 4-5 единични дози.</w:t>
      </w:r>
    </w:p>
    <w:p w14:paraId="23C602A5" w14:textId="77777777" w:rsidR="000A31E6" w:rsidRPr="000A31E6" w:rsidRDefault="000A31E6" w:rsidP="000A31E6">
      <w:pPr>
        <w:spacing w:line="240" w:lineRule="auto"/>
        <w:rPr>
          <w:rFonts w:eastAsia="Times New Roman" w:cs="Arial"/>
          <w:color w:val="000000"/>
          <w:lang w:eastAsia="bg-BG"/>
        </w:rPr>
      </w:pPr>
    </w:p>
    <w:p w14:paraId="3FDE232F" w14:textId="0CD35DE6"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lastRenderedPageBreak/>
        <w:t>Продължителността на лечението зависи от показанията и от отговора на пациента към лекарствения продукт. Строго забранено е да се прекратява употребата на лекарствения продукт без разрешение.</w:t>
      </w:r>
    </w:p>
    <w:p w14:paraId="47F8A31B"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Най-често лечението на епилепсията е продължително. Винаги когато трябва да се прилага карбамазепин, продължителността и прекратяването на лечението се определят от специалист в тази област. Обикновено, възможността за понижаване на дозата или прекратяване на лечението може да се обмисли най-рано 2-3 години след последните гърчове.</w:t>
      </w:r>
    </w:p>
    <w:p w14:paraId="28962544"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 спиране на лечението е необходимо дозата да се понижава постепенно, в продължение на 1-2 години.</w:t>
      </w:r>
    </w:p>
    <w:p w14:paraId="4B05B7D6" w14:textId="77777777" w:rsidR="000A31E6" w:rsidRPr="000A31E6" w:rsidRDefault="000A31E6" w:rsidP="000A31E6">
      <w:pPr>
        <w:spacing w:line="240" w:lineRule="auto"/>
        <w:rPr>
          <w:rFonts w:eastAsia="Times New Roman" w:cs="Arial"/>
          <w:color w:val="000000"/>
          <w:lang w:eastAsia="bg-BG"/>
        </w:rPr>
      </w:pPr>
    </w:p>
    <w:p w14:paraId="23206F1B" w14:textId="7E602F5B"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По време на лечението е необходимо да се наблюдава и отчита влошаването на показанията на електроенцефалограмата, поради увеличаването на телесното тегло при деца.</w:t>
      </w:r>
    </w:p>
    <w:p w14:paraId="6964BB25" w14:textId="77777777" w:rsidR="000A31E6" w:rsidRPr="000A31E6" w:rsidRDefault="000A31E6" w:rsidP="000A31E6">
      <w:pPr>
        <w:spacing w:line="240" w:lineRule="auto"/>
        <w:rPr>
          <w:rFonts w:eastAsia="Times New Roman" w:cs="Arial"/>
          <w:color w:val="000000"/>
          <w:lang w:eastAsia="bg-BG"/>
        </w:rPr>
      </w:pPr>
    </w:p>
    <w:p w14:paraId="2E532AA3" w14:textId="6629B72A"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 лечението на невралгия е от полза да се приема поддържаща доза за облекчаване на болка в продължение на няколко седмици. Необходимо е внимателно понижаване на дозата на лекарствения продукт, за да се предотврати повторна поява на симптомите. Ако пристъпите на болка рецидивират, те трябва да бъдат лекувани предварително с приемане на поддържаща доза.</w:t>
      </w:r>
    </w:p>
    <w:p w14:paraId="4BA3CE2F" w14:textId="77777777" w:rsidR="000A31E6" w:rsidRPr="000A31E6" w:rsidRDefault="000A31E6" w:rsidP="000A31E6">
      <w:pPr>
        <w:spacing w:line="240" w:lineRule="auto"/>
        <w:rPr>
          <w:rFonts w:eastAsia="Times New Roman" w:cs="Arial"/>
          <w:color w:val="000000"/>
          <w:lang w:eastAsia="bg-BG"/>
        </w:rPr>
      </w:pPr>
    </w:p>
    <w:p w14:paraId="47978229" w14:textId="356A574C"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 лечение на диабетна невропатична болка и неепилептични гърчове при пациенти с</w:t>
      </w:r>
    </w:p>
    <w:p w14:paraId="75BA988E" w14:textId="496FFD49" w:rsidR="000A31E6" w:rsidRPr="000A31E6" w:rsidRDefault="000A31E6" w:rsidP="000A31E6">
      <w:pPr>
        <w:rPr>
          <w:rFonts w:eastAsia="Times New Roman" w:cs="Arial"/>
          <w:b/>
          <w:bCs/>
          <w:color w:val="000000"/>
          <w:lang w:eastAsia="bg-BG"/>
        </w:rPr>
      </w:pPr>
      <w:r w:rsidRPr="000A31E6">
        <w:rPr>
          <w:rFonts w:eastAsia="Times New Roman" w:cs="Arial"/>
          <w:color w:val="000000"/>
          <w:lang w:eastAsia="bg-BG"/>
        </w:rPr>
        <w:t>множествена склероза, указанията са същите, както в случая на невралгия.</w:t>
      </w:r>
    </w:p>
    <w:p w14:paraId="6854C650" w14:textId="1748E161" w:rsidR="000A31E6" w:rsidRPr="000A31E6" w:rsidRDefault="000A31E6" w:rsidP="000A31E6">
      <w:pPr>
        <w:rPr>
          <w:rFonts w:eastAsia="Times New Roman" w:cs="Arial"/>
          <w:b/>
          <w:bCs/>
          <w:color w:val="000000"/>
          <w:lang w:eastAsia="bg-BG"/>
        </w:rPr>
      </w:pPr>
    </w:p>
    <w:p w14:paraId="7B38D14A"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Преди да се вземе решение за започване на лечение, пациентите от китайското родословие Нап и </w:t>
      </w:r>
      <w:r w:rsidRPr="000A31E6">
        <w:rPr>
          <w:rFonts w:eastAsia="Times New Roman" w:cs="Arial"/>
          <w:color w:val="000000"/>
          <w:lang w:val="en-US"/>
        </w:rPr>
        <w:t xml:space="preserve">Thai, </w:t>
      </w:r>
      <w:r w:rsidRPr="000A31E6">
        <w:rPr>
          <w:rFonts w:eastAsia="Times New Roman" w:cs="Arial"/>
          <w:color w:val="000000"/>
          <w:lang w:eastAsia="bg-BG"/>
        </w:rPr>
        <w:t xml:space="preserve">когато е възможно, трябва да бъдат скринирани за наличие на алела </w:t>
      </w:r>
      <w:r w:rsidRPr="000A31E6">
        <w:rPr>
          <w:rFonts w:eastAsia="Times New Roman" w:cs="Arial"/>
          <w:color w:val="000000"/>
          <w:lang w:val="en-US"/>
        </w:rPr>
        <w:t xml:space="preserve">HLA-B*1502, </w:t>
      </w:r>
      <w:r w:rsidRPr="000A31E6">
        <w:rPr>
          <w:rFonts w:eastAsia="Times New Roman" w:cs="Arial"/>
          <w:color w:val="000000"/>
          <w:lang w:eastAsia="bg-BG"/>
        </w:rPr>
        <w:t xml:space="preserve">тъй като този алел със сигурност предсказва риска от възникване на синдром на </w:t>
      </w:r>
      <w:r w:rsidRPr="000A31E6">
        <w:rPr>
          <w:rFonts w:eastAsia="Times New Roman" w:cs="Arial"/>
          <w:color w:val="000000"/>
          <w:lang w:val="en-US"/>
        </w:rPr>
        <w:t xml:space="preserve">Stevens-Johnson (SJS) </w:t>
      </w:r>
      <w:r w:rsidRPr="000A31E6">
        <w:rPr>
          <w:rFonts w:eastAsia="Times New Roman" w:cs="Arial"/>
          <w:color w:val="000000"/>
          <w:lang w:eastAsia="bg-BG"/>
        </w:rPr>
        <w:t xml:space="preserve">в тежка форма, свързан с карбамазепин лечението </w:t>
      </w:r>
      <w:r w:rsidRPr="000A31E6">
        <w:rPr>
          <w:rFonts w:eastAsia="Times New Roman" w:cs="Arial"/>
          <w:b/>
          <w:bCs/>
          <w:color w:val="000000"/>
          <w:lang w:eastAsia="bg-BG"/>
        </w:rPr>
        <w:t>(вж. информацията за генетично тестване и кожни реакции в точка 4.4).</w:t>
      </w:r>
    </w:p>
    <w:p w14:paraId="19D70446" w14:textId="77777777" w:rsidR="000A31E6" w:rsidRPr="000A31E6" w:rsidRDefault="000A31E6" w:rsidP="000A31E6">
      <w:pPr>
        <w:spacing w:line="240" w:lineRule="auto"/>
        <w:rPr>
          <w:rFonts w:eastAsia="Times New Roman" w:cs="Arial"/>
          <w:color w:val="000000"/>
          <w:u w:val="single"/>
          <w:lang w:eastAsia="bg-BG"/>
        </w:rPr>
      </w:pPr>
    </w:p>
    <w:p w14:paraId="4DC1FADE" w14:textId="3E9FF717" w:rsidR="000A31E6" w:rsidRPr="000A31E6" w:rsidRDefault="000A31E6" w:rsidP="000A31E6">
      <w:pPr>
        <w:pStyle w:val="Heading3"/>
        <w:rPr>
          <w:rFonts w:eastAsia="Times New Roman"/>
          <w:u w:val="single"/>
          <w:lang w:eastAsia="bg-BG"/>
        </w:rPr>
      </w:pPr>
      <w:r w:rsidRPr="000A31E6">
        <w:rPr>
          <w:rFonts w:eastAsia="Times New Roman"/>
          <w:u w:val="single"/>
          <w:lang w:eastAsia="bg-BG"/>
        </w:rPr>
        <w:t xml:space="preserve">Начин </w:t>
      </w:r>
      <w:bookmarkStart w:id="1" w:name="_GoBack"/>
      <w:bookmarkEnd w:id="1"/>
      <w:r w:rsidRPr="000A31E6">
        <w:rPr>
          <w:rFonts w:eastAsia="Times New Roman"/>
          <w:u w:val="single"/>
          <w:lang w:eastAsia="bg-BG"/>
        </w:rPr>
        <w:t>на приложение</w:t>
      </w:r>
    </w:p>
    <w:p w14:paraId="25C20193"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Перорално приложение.</w:t>
      </w:r>
    </w:p>
    <w:p w14:paraId="61FAF272" w14:textId="1EC31F99" w:rsidR="000A31E6" w:rsidRPr="000A31E6" w:rsidRDefault="000A31E6" w:rsidP="000A31E6">
      <w:pPr>
        <w:rPr>
          <w:rFonts w:cs="Arial"/>
        </w:rPr>
      </w:pPr>
      <w:r w:rsidRPr="000A31E6">
        <w:rPr>
          <w:rFonts w:eastAsia="Times New Roman" w:cs="Arial"/>
          <w:color w:val="000000"/>
          <w:lang w:eastAsia="bg-BG"/>
        </w:rPr>
        <w:t>Карбамазепин Актавис може да се приема по време или след хранене с достатъчно количество течност за да се улесни резорбцията и да се избегне дразнене на стомашно-чревния тракт.</w:t>
      </w:r>
    </w:p>
    <w:p w14:paraId="278332E4" w14:textId="77777777" w:rsidR="000A31E6" w:rsidRPr="0091385D" w:rsidRDefault="000A31E6"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7DAC9431" w14:textId="77777777" w:rsidR="000A31E6" w:rsidRPr="000A31E6" w:rsidRDefault="000A31E6" w:rsidP="000A31E6">
      <w:pPr>
        <w:pStyle w:val="ListParagraph"/>
        <w:numPr>
          <w:ilvl w:val="0"/>
          <w:numId w:val="41"/>
        </w:numPr>
        <w:spacing w:line="240" w:lineRule="auto"/>
        <w:rPr>
          <w:rFonts w:eastAsia="Times New Roman" w:cs="Arial"/>
          <w:color w:val="000000"/>
          <w:lang w:eastAsia="bg-BG"/>
        </w:rPr>
      </w:pPr>
      <w:r w:rsidRPr="000A31E6">
        <w:rPr>
          <w:rFonts w:eastAsia="Times New Roman" w:cs="Arial"/>
          <w:color w:val="000000"/>
          <w:lang w:eastAsia="bg-BG"/>
        </w:rPr>
        <w:t>Свръхчувствителност към карбамазепин или към други лекарства с подобна структура (напр. трициклични антидепресанти) или към някое от помощните вещества, изброени в точка 6.1.</w:t>
      </w:r>
    </w:p>
    <w:p w14:paraId="19BFF97C" w14:textId="77777777" w:rsidR="000A31E6" w:rsidRPr="000A31E6" w:rsidRDefault="000A31E6" w:rsidP="000A31E6">
      <w:pPr>
        <w:pStyle w:val="ListParagraph"/>
        <w:numPr>
          <w:ilvl w:val="0"/>
          <w:numId w:val="41"/>
        </w:numPr>
        <w:spacing w:line="240" w:lineRule="auto"/>
        <w:rPr>
          <w:rFonts w:eastAsia="Times New Roman" w:cs="Arial"/>
          <w:color w:val="000000"/>
          <w:lang w:eastAsia="bg-BG"/>
        </w:rPr>
      </w:pPr>
      <w:r w:rsidRPr="000A31E6">
        <w:rPr>
          <w:rFonts w:eastAsia="Times New Roman" w:cs="Arial"/>
          <w:color w:val="000000"/>
          <w:lang w:eastAsia="bg-BG"/>
        </w:rPr>
        <w:t xml:space="preserve">Атриовентрикуларен </w:t>
      </w:r>
      <w:r w:rsidRPr="000A31E6">
        <w:rPr>
          <w:rFonts w:eastAsia="Times New Roman" w:cs="Arial"/>
          <w:color w:val="000000"/>
          <w:lang w:val="en-US"/>
        </w:rPr>
        <w:t xml:space="preserve">(AV) </w:t>
      </w:r>
      <w:r w:rsidRPr="000A31E6">
        <w:rPr>
          <w:rFonts w:eastAsia="Times New Roman" w:cs="Arial"/>
          <w:color w:val="000000"/>
          <w:lang w:eastAsia="bg-BG"/>
        </w:rPr>
        <w:t>блок.</w:t>
      </w:r>
    </w:p>
    <w:p w14:paraId="674455D5" w14:textId="77777777" w:rsidR="000A31E6" w:rsidRPr="000A31E6" w:rsidRDefault="000A31E6" w:rsidP="000A31E6">
      <w:pPr>
        <w:pStyle w:val="ListParagraph"/>
        <w:numPr>
          <w:ilvl w:val="0"/>
          <w:numId w:val="41"/>
        </w:numPr>
        <w:spacing w:line="240" w:lineRule="auto"/>
        <w:rPr>
          <w:rFonts w:eastAsia="Times New Roman" w:cs="Arial"/>
          <w:color w:val="000000"/>
          <w:lang w:eastAsia="bg-BG"/>
        </w:rPr>
      </w:pPr>
      <w:r w:rsidRPr="000A31E6">
        <w:rPr>
          <w:rFonts w:eastAsia="Times New Roman" w:cs="Arial"/>
          <w:color w:val="000000"/>
          <w:lang w:eastAsia="bg-BG"/>
        </w:rPr>
        <w:t>Пациенти с анамнеза за супресия на костномозъчната функция.</w:t>
      </w:r>
    </w:p>
    <w:p w14:paraId="1AA2FDE2" w14:textId="77777777" w:rsidR="000A31E6" w:rsidRPr="000A31E6" w:rsidRDefault="000A31E6" w:rsidP="000A31E6">
      <w:pPr>
        <w:pStyle w:val="ListParagraph"/>
        <w:numPr>
          <w:ilvl w:val="0"/>
          <w:numId w:val="41"/>
        </w:numPr>
        <w:spacing w:line="240" w:lineRule="auto"/>
        <w:rPr>
          <w:rFonts w:eastAsia="Times New Roman" w:cs="Arial"/>
          <w:color w:val="000000"/>
          <w:lang w:eastAsia="bg-BG"/>
        </w:rPr>
      </w:pPr>
      <w:r w:rsidRPr="000A31E6">
        <w:rPr>
          <w:rFonts w:eastAsia="Times New Roman" w:cs="Arial"/>
          <w:color w:val="000000"/>
          <w:lang w:eastAsia="bg-BG"/>
        </w:rPr>
        <w:t>Пациенти с анамнеза за чернодробна порфирия (напр. остра интермитентна порфирия, порфирия кутанеа тарда).</w:t>
      </w:r>
    </w:p>
    <w:p w14:paraId="13FD9390" w14:textId="77777777" w:rsidR="000A31E6" w:rsidRPr="000A31E6" w:rsidRDefault="000A31E6" w:rsidP="000A31E6">
      <w:pPr>
        <w:pStyle w:val="ListParagraph"/>
        <w:numPr>
          <w:ilvl w:val="0"/>
          <w:numId w:val="41"/>
        </w:numPr>
        <w:spacing w:line="240" w:lineRule="auto"/>
        <w:rPr>
          <w:rFonts w:eastAsia="Times New Roman" w:cs="Arial"/>
          <w:color w:val="000000"/>
          <w:lang w:eastAsia="bg-BG"/>
        </w:rPr>
      </w:pPr>
      <w:r w:rsidRPr="000A31E6">
        <w:rPr>
          <w:rFonts w:eastAsia="Times New Roman" w:cs="Arial"/>
          <w:color w:val="000000"/>
          <w:lang w:eastAsia="bg-BG"/>
        </w:rPr>
        <w:t>Пациенти с остра чернодробна недостатъчност.</w:t>
      </w:r>
    </w:p>
    <w:p w14:paraId="030B6A4D" w14:textId="68A81A15" w:rsidR="00EC41ED" w:rsidRPr="000A31E6" w:rsidRDefault="000A31E6" w:rsidP="000A31E6">
      <w:pPr>
        <w:pStyle w:val="ListParagraph"/>
        <w:numPr>
          <w:ilvl w:val="0"/>
          <w:numId w:val="41"/>
        </w:numPr>
        <w:spacing w:line="240" w:lineRule="auto"/>
        <w:rPr>
          <w:rFonts w:eastAsia="Times New Roman" w:cs="Arial"/>
          <w:color w:val="000000"/>
          <w:lang w:eastAsia="bg-BG"/>
        </w:rPr>
      </w:pPr>
      <w:r w:rsidRPr="000A31E6">
        <w:rPr>
          <w:rFonts w:eastAsia="Times New Roman" w:cs="Arial"/>
          <w:color w:val="000000"/>
          <w:lang w:eastAsia="bg-BG"/>
        </w:rPr>
        <w:t>Не се препоръчва комбинация на карбамазепин с МАО - инхибитори (вж. точка 4.5).</w:t>
      </w:r>
    </w:p>
    <w:p w14:paraId="31B39DC6" w14:textId="77777777" w:rsidR="0091385D" w:rsidRPr="0091385D" w:rsidRDefault="0091385D" w:rsidP="0091385D"/>
    <w:p w14:paraId="212F509C" w14:textId="52B87D4F" w:rsidR="004F498A" w:rsidRDefault="002C50EE" w:rsidP="004A448E">
      <w:pPr>
        <w:pStyle w:val="Heading2"/>
      </w:pPr>
      <w:r>
        <w:lastRenderedPageBreak/>
        <w:t>4.4. Специални предупреждения и предпазни мерки при употреба</w:t>
      </w:r>
    </w:p>
    <w:p w14:paraId="0AAC2B60" w14:textId="1E0703C7" w:rsidR="0091385D" w:rsidRDefault="0091385D" w:rsidP="0091385D"/>
    <w:p w14:paraId="213A5222"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Карбамазепин се прилага само след внимателна преценка на съотношението полза/риск от терапията и под строго наблюдение на пациентите с анамнеза за сърдечно-съдово, чернодробно или бъбречно заболяване и с нежелани хематологични реакции към други лекарства или с данни за предшестващо прекъсване на курса на лечение с карбамазепин.</w:t>
      </w:r>
    </w:p>
    <w:p w14:paraId="08B11634" w14:textId="77777777" w:rsidR="000A31E6" w:rsidRPr="000A31E6" w:rsidRDefault="000A31E6" w:rsidP="000A31E6">
      <w:pPr>
        <w:spacing w:line="240" w:lineRule="auto"/>
        <w:rPr>
          <w:rFonts w:eastAsia="Times New Roman" w:cs="Arial"/>
          <w:i/>
          <w:iCs/>
          <w:color w:val="000000"/>
          <w:lang w:eastAsia="bg-BG"/>
        </w:rPr>
      </w:pPr>
    </w:p>
    <w:p w14:paraId="556D9EBE" w14:textId="0D336B89"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Хематологични ефекти</w:t>
      </w:r>
    </w:p>
    <w:p w14:paraId="696FC84C"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Приложението на карбамазепин се свързва с разнитие на агранулоцитоза и апластична анемия, но поради много ниската честота на тези състояния е трудно да се прецени потенциалният риск.</w:t>
      </w:r>
    </w:p>
    <w:p w14:paraId="0063ED52"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Общият риск при нелекувана популация се оценява на 4,7 случая на 1 000 000 годишно за развитие на агранулоцитоза и 2,0 случая на 1 000 000 годишно за развитие на апластична анемия.</w:t>
      </w:r>
    </w:p>
    <w:p w14:paraId="149410DF"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По време на лечение с карбамазепин може да се наблюдава преходно или постоянно понижение на броя на тромбоцитите или левкоцитите. Преди започване на терапията и периодично след това се провежда изследване на пълна кръвна картина, включително брой на тромбоцити и по възможност- ретикулоцити и серумно желязо.</w:t>
      </w:r>
    </w:p>
    <w:p w14:paraId="0F5809B1"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Общото състояние на пациента и показателите на пълната кръвна картина трябва да се контролират внимателно, ако по време на лечението броят на левкоцитите или тромбоцитите при пациентите е нисък или се понижава. Лечението с карбамазепин трябва да се преустанови, ако пациентът развие левкопения, която е тежка, прогресивна или е придружена от клинични прояви, като повишена температура или възпалено гърло. Приемането на продукта трябва да се прекрати, ако има доказателства за значима костномозъчна супресия.</w:t>
      </w:r>
    </w:p>
    <w:p w14:paraId="0E28BBDE" w14:textId="0CAD7B8C" w:rsidR="007A2185" w:rsidRPr="000A31E6" w:rsidRDefault="000A31E6" w:rsidP="000A31E6">
      <w:pPr>
        <w:rPr>
          <w:rFonts w:eastAsia="Times New Roman" w:cs="Arial"/>
          <w:color w:val="000000"/>
          <w:lang w:eastAsia="bg-BG"/>
        </w:rPr>
      </w:pPr>
      <w:r w:rsidRPr="000A31E6">
        <w:rPr>
          <w:rFonts w:eastAsia="Times New Roman" w:cs="Arial"/>
          <w:color w:val="000000"/>
          <w:lang w:eastAsia="bg-BG"/>
        </w:rPr>
        <w:t>Пациентите и техните близки трябва да бъдат уведомени за ранните симптоми на токсичност и потенциални хематологични нарушения, а също и за симптомите на кожни или чернодробни реакции. В случай, че се появят симптоми като треска, зачервяване на гърлото, обрив, афти в устната кухина, лесно образуване на синини, петехии или хеморагична пурпура, пациентът трябва незабавно да се консултира с лекуващия лекар.</w:t>
      </w:r>
    </w:p>
    <w:p w14:paraId="7669553D" w14:textId="41F80BE2" w:rsidR="000A31E6" w:rsidRPr="000A31E6" w:rsidRDefault="000A31E6" w:rsidP="000A31E6">
      <w:pPr>
        <w:rPr>
          <w:rFonts w:eastAsia="Times New Roman" w:cs="Arial"/>
          <w:color w:val="000000"/>
          <w:lang w:eastAsia="bg-BG"/>
        </w:rPr>
      </w:pPr>
    </w:p>
    <w:p w14:paraId="4F801B72"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Кожни реакции</w:t>
      </w:r>
    </w:p>
    <w:p w14:paraId="00A9D3C3"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По време на лечение с карбамазепин се съобщава за сериозни, понякога фатални кожни реакции, вкл. токсична епидермална некролиза </w:t>
      </w:r>
      <w:r w:rsidRPr="000A31E6">
        <w:rPr>
          <w:rFonts w:eastAsia="Times New Roman" w:cs="Arial"/>
          <w:color w:val="000000"/>
          <w:lang w:val="en-US"/>
        </w:rPr>
        <w:t xml:space="preserve">(TEN) </w:t>
      </w:r>
      <w:r w:rsidRPr="000A31E6">
        <w:rPr>
          <w:rFonts w:eastAsia="Times New Roman" w:cs="Arial"/>
          <w:color w:val="000000"/>
          <w:lang w:eastAsia="bg-BG"/>
        </w:rPr>
        <w:t xml:space="preserve">и синдрома на </w:t>
      </w:r>
      <w:r w:rsidRPr="000A31E6">
        <w:rPr>
          <w:rFonts w:eastAsia="Times New Roman" w:cs="Arial"/>
          <w:color w:val="000000"/>
          <w:lang w:val="en-US"/>
        </w:rPr>
        <w:t xml:space="preserve">Stevens-Johnson (SJS). </w:t>
      </w:r>
      <w:r w:rsidRPr="000A31E6">
        <w:rPr>
          <w:rFonts w:eastAsia="Times New Roman" w:cs="Arial"/>
          <w:color w:val="000000"/>
          <w:lang w:eastAsia="bg-BG"/>
        </w:rPr>
        <w:t>В страни с преобладаваща кавказка популация се очаква тези реакции да се наблюдават при 1-6 на 10 000 нови пациенти, но в някои азиатски страни рискът е около 10 пъти по-висок.</w:t>
      </w:r>
    </w:p>
    <w:p w14:paraId="1E4D6932" w14:textId="77777777" w:rsidR="000A31E6" w:rsidRPr="000A31E6" w:rsidRDefault="000A31E6" w:rsidP="000A31E6">
      <w:pPr>
        <w:spacing w:line="240" w:lineRule="auto"/>
        <w:rPr>
          <w:rFonts w:eastAsia="Times New Roman" w:cs="Arial"/>
          <w:color w:val="000000"/>
          <w:lang w:eastAsia="bg-BG"/>
        </w:rPr>
      </w:pPr>
    </w:p>
    <w:p w14:paraId="0E2D9BA3" w14:textId="0B24D008"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Нарастват данните за ролята на различни </w:t>
      </w:r>
      <w:r w:rsidRPr="000A31E6">
        <w:rPr>
          <w:rFonts w:eastAsia="Times New Roman" w:cs="Arial"/>
          <w:color w:val="000000"/>
          <w:lang w:val="en-US"/>
        </w:rPr>
        <w:t xml:space="preserve">HLA </w:t>
      </w:r>
      <w:r w:rsidRPr="000A31E6">
        <w:rPr>
          <w:rFonts w:eastAsia="Times New Roman" w:cs="Arial"/>
          <w:color w:val="000000"/>
          <w:lang w:eastAsia="bg-BG"/>
        </w:rPr>
        <w:t>алели в предразполагането на пациенти към имуномедиирани нежелани лекарствени реакции (вж. точка 4.2).</w:t>
      </w:r>
    </w:p>
    <w:p w14:paraId="3DC20D10" w14:textId="77777777" w:rsidR="000A31E6" w:rsidRPr="000A31E6" w:rsidRDefault="000A31E6" w:rsidP="000A31E6">
      <w:pPr>
        <w:spacing w:line="240" w:lineRule="auto"/>
        <w:rPr>
          <w:rFonts w:eastAsia="Times New Roman" w:cs="Arial"/>
          <w:i/>
          <w:iCs/>
          <w:color w:val="000000"/>
          <w:u w:val="single"/>
          <w:lang w:val="en-US"/>
        </w:rPr>
      </w:pPr>
    </w:p>
    <w:p w14:paraId="06B86DBF" w14:textId="1AC9760A"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val="en-US"/>
        </w:rPr>
        <w:t xml:space="preserve">HLA-B*1502 </w:t>
      </w:r>
      <w:r w:rsidRPr="000A31E6">
        <w:rPr>
          <w:rFonts w:eastAsia="Times New Roman" w:cs="Arial"/>
          <w:i/>
          <w:iCs/>
          <w:color w:val="000000"/>
          <w:u w:val="single"/>
          <w:lang w:eastAsia="bg-BG"/>
        </w:rPr>
        <w:t xml:space="preserve">алелът при индивиди от китайското родословие Нап и </w:t>
      </w:r>
      <w:r w:rsidRPr="000A31E6">
        <w:rPr>
          <w:rFonts w:eastAsia="Times New Roman" w:cs="Arial"/>
          <w:i/>
          <w:iCs/>
          <w:color w:val="000000"/>
          <w:u w:val="single"/>
          <w:lang w:val="en-US"/>
        </w:rPr>
        <w:t xml:space="preserve">Thai </w:t>
      </w:r>
      <w:r w:rsidRPr="000A31E6">
        <w:rPr>
          <w:rFonts w:eastAsia="Times New Roman" w:cs="Arial"/>
          <w:i/>
          <w:iCs/>
          <w:color w:val="000000"/>
          <w:u w:val="single"/>
          <w:lang w:eastAsia="bg-BG"/>
        </w:rPr>
        <w:t>и други азиатски популации</w:t>
      </w:r>
    </w:p>
    <w:p w14:paraId="6C56F9D6" w14:textId="5028F341"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Наличието на алела </w:t>
      </w:r>
      <w:r w:rsidRPr="000A31E6">
        <w:rPr>
          <w:rFonts w:eastAsia="Times New Roman" w:cs="Arial"/>
          <w:color w:val="000000"/>
          <w:lang w:val="en-US"/>
        </w:rPr>
        <w:t xml:space="preserve">HLA-B*1502 </w:t>
      </w:r>
      <w:r w:rsidRPr="000A31E6">
        <w:rPr>
          <w:rFonts w:eastAsia="Times New Roman" w:cs="Arial"/>
          <w:color w:val="000000"/>
          <w:lang w:eastAsia="bg-BG"/>
        </w:rPr>
        <w:t>при индивиди от китайското родословие На</w:t>
      </w:r>
      <w:r w:rsidRPr="000A31E6">
        <w:rPr>
          <w:rFonts w:eastAsia="Times New Roman" w:cs="Arial"/>
          <w:color w:val="000000"/>
          <w:lang w:val="en-US"/>
        </w:rPr>
        <w:t>n</w:t>
      </w:r>
      <w:r w:rsidRPr="000A31E6">
        <w:rPr>
          <w:rFonts w:eastAsia="Times New Roman" w:cs="Arial"/>
          <w:color w:val="000000"/>
          <w:lang w:eastAsia="bg-BG"/>
        </w:rPr>
        <w:t xml:space="preserve"> и </w:t>
      </w:r>
      <w:r w:rsidRPr="000A31E6">
        <w:rPr>
          <w:rFonts w:eastAsia="Times New Roman" w:cs="Arial"/>
          <w:color w:val="000000"/>
          <w:lang w:val="en-US"/>
        </w:rPr>
        <w:t xml:space="preserve">Thai </w:t>
      </w:r>
      <w:r w:rsidRPr="000A31E6">
        <w:rPr>
          <w:rFonts w:eastAsia="Times New Roman" w:cs="Arial"/>
          <w:color w:val="000000"/>
          <w:lang w:eastAsia="bg-BG"/>
        </w:rPr>
        <w:t xml:space="preserve">показва строга корелация с риска от развитието на тежки дерматологични реакции от типа на синдром на </w:t>
      </w:r>
      <w:r w:rsidRPr="000A31E6">
        <w:rPr>
          <w:rFonts w:eastAsia="Times New Roman" w:cs="Arial"/>
          <w:color w:val="000000"/>
          <w:lang w:val="en-US"/>
        </w:rPr>
        <w:t xml:space="preserve">Stevens-Johnson(SJS) </w:t>
      </w:r>
      <w:r w:rsidRPr="000A31E6">
        <w:rPr>
          <w:rFonts w:eastAsia="Times New Roman" w:cs="Arial"/>
          <w:color w:val="000000"/>
          <w:lang w:eastAsia="bg-BG"/>
        </w:rPr>
        <w:t xml:space="preserve">при лечение с карбамазепин. При </w:t>
      </w:r>
      <w:r w:rsidRPr="000A31E6">
        <w:rPr>
          <w:rFonts w:eastAsia="Times New Roman" w:cs="Arial"/>
          <w:color w:val="000000"/>
          <w:lang w:val="en-US" w:eastAsia="bg-BG"/>
        </w:rPr>
        <w:t>Han</w:t>
      </w:r>
      <w:r w:rsidRPr="000A31E6">
        <w:rPr>
          <w:rFonts w:eastAsia="Times New Roman" w:cs="Arial"/>
          <w:color w:val="000000"/>
          <w:lang w:eastAsia="bg-BG"/>
        </w:rPr>
        <w:t xml:space="preserve"> и </w:t>
      </w:r>
      <w:r w:rsidRPr="000A31E6">
        <w:rPr>
          <w:rFonts w:eastAsia="Times New Roman" w:cs="Arial"/>
          <w:color w:val="000000"/>
          <w:lang w:val="en-US"/>
        </w:rPr>
        <w:t xml:space="preserve">Thai </w:t>
      </w:r>
      <w:r w:rsidRPr="000A31E6">
        <w:rPr>
          <w:rFonts w:eastAsia="Times New Roman" w:cs="Arial"/>
          <w:color w:val="000000"/>
          <w:lang w:eastAsia="bg-BG"/>
        </w:rPr>
        <w:t xml:space="preserve">популацията носителите на </w:t>
      </w:r>
      <w:r w:rsidRPr="000A31E6">
        <w:rPr>
          <w:rFonts w:eastAsia="Times New Roman" w:cs="Arial"/>
          <w:color w:val="000000"/>
          <w:lang w:val="en-US"/>
        </w:rPr>
        <w:t xml:space="preserve">HLA-B*1502 </w:t>
      </w:r>
      <w:r w:rsidRPr="000A31E6">
        <w:rPr>
          <w:rFonts w:eastAsia="Times New Roman" w:cs="Arial"/>
          <w:color w:val="000000"/>
          <w:lang w:eastAsia="bg-BG"/>
        </w:rPr>
        <w:t xml:space="preserve">са около 10%. Когато е възможно преди началото на терапия с карбамазепин тези пациенти трябва да се скринират за носителство на този алел (вж. точка 4.2). При положителен резултат карбамазепин не трябва да се използва или употребата му се допуска, само в случаите, когато не съществува друга терапевтична </w:t>
      </w:r>
      <w:r w:rsidRPr="000A31E6">
        <w:rPr>
          <w:rFonts w:eastAsia="Times New Roman" w:cs="Arial"/>
          <w:color w:val="000000"/>
          <w:lang w:eastAsia="bg-BG"/>
        </w:rPr>
        <w:lastRenderedPageBreak/>
        <w:t xml:space="preserve">алтернатива. При изследваните пациенти с отрицателен резултат за </w:t>
      </w:r>
      <w:r w:rsidRPr="000A31E6">
        <w:rPr>
          <w:rFonts w:eastAsia="Times New Roman" w:cs="Arial"/>
          <w:color w:val="000000"/>
          <w:lang w:val="en-US"/>
        </w:rPr>
        <w:t xml:space="preserve">HLA-B*1502 </w:t>
      </w:r>
      <w:r w:rsidRPr="000A31E6">
        <w:rPr>
          <w:rFonts w:eastAsia="Times New Roman" w:cs="Arial"/>
          <w:color w:val="000000"/>
          <w:lang w:eastAsia="bg-BG"/>
        </w:rPr>
        <w:t xml:space="preserve">рискът от развитие на синдром на </w:t>
      </w:r>
      <w:r w:rsidRPr="000A31E6">
        <w:rPr>
          <w:rFonts w:eastAsia="Times New Roman" w:cs="Arial"/>
          <w:color w:val="000000"/>
          <w:lang w:val="en-US"/>
        </w:rPr>
        <w:t xml:space="preserve">Stevens-Johnson (SJS) </w:t>
      </w:r>
      <w:r w:rsidRPr="000A31E6">
        <w:rPr>
          <w:rFonts w:eastAsia="Times New Roman" w:cs="Arial"/>
          <w:color w:val="000000"/>
          <w:lang w:eastAsia="bg-BG"/>
        </w:rPr>
        <w:t>е нисък, но такива реакции, макар и много рядко, все пак могат да възникнат.</w:t>
      </w:r>
    </w:p>
    <w:p w14:paraId="26DF51C4" w14:textId="77777777" w:rsidR="000A31E6" w:rsidRPr="000A31E6" w:rsidRDefault="000A31E6" w:rsidP="000A31E6">
      <w:pPr>
        <w:spacing w:line="240" w:lineRule="auto"/>
        <w:rPr>
          <w:rFonts w:eastAsia="Times New Roman" w:cs="Arial"/>
          <w:color w:val="000000"/>
          <w:lang w:eastAsia="bg-BG"/>
        </w:rPr>
      </w:pPr>
    </w:p>
    <w:p w14:paraId="5FBB66D6" w14:textId="587BF7D3"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Съществуват някои данни, от които се предполага, че и в други азиатски популации съществува повишен риск от поява на сериозни кожни реакции, като </w:t>
      </w:r>
      <w:r w:rsidRPr="000A31E6">
        <w:rPr>
          <w:rFonts w:eastAsia="Times New Roman" w:cs="Arial"/>
          <w:color w:val="000000"/>
          <w:lang w:val="en-US"/>
        </w:rPr>
        <w:t xml:space="preserve">TEN/SJS, </w:t>
      </w:r>
      <w:r w:rsidRPr="000A31E6">
        <w:rPr>
          <w:rFonts w:eastAsia="Times New Roman" w:cs="Arial"/>
          <w:color w:val="000000"/>
          <w:lang w:eastAsia="bg-BG"/>
        </w:rPr>
        <w:t xml:space="preserve">свързани с карбамазепин лечението. Поради разпространението на този алел в други азиатски популации (например над 15% във Филипините и Малайзия) при най-уязвимите групи от населението се препоръчва генетично тестване за </w:t>
      </w:r>
      <w:r w:rsidRPr="000A31E6">
        <w:rPr>
          <w:rFonts w:eastAsia="Times New Roman" w:cs="Arial"/>
          <w:color w:val="000000"/>
          <w:lang w:val="en-US"/>
        </w:rPr>
        <w:t xml:space="preserve">HLA-B*1502 </w:t>
      </w:r>
      <w:r w:rsidRPr="000A31E6">
        <w:rPr>
          <w:rFonts w:eastAsia="Times New Roman" w:cs="Arial"/>
          <w:color w:val="000000"/>
          <w:lang w:eastAsia="bg-BG"/>
        </w:rPr>
        <w:t>носителство.</w:t>
      </w:r>
    </w:p>
    <w:p w14:paraId="0C391CA3" w14:textId="77777777" w:rsidR="000A31E6" w:rsidRPr="000A31E6" w:rsidRDefault="000A31E6" w:rsidP="000A31E6">
      <w:pPr>
        <w:spacing w:line="240" w:lineRule="auto"/>
        <w:rPr>
          <w:rFonts w:eastAsia="Times New Roman" w:cs="Arial"/>
          <w:color w:val="000000"/>
          <w:lang w:eastAsia="bg-BG"/>
        </w:rPr>
      </w:pPr>
    </w:p>
    <w:p w14:paraId="33650B1E" w14:textId="60508632"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При европейци, африканци, испанското население, японци и корейци разпространението на </w:t>
      </w:r>
      <w:r w:rsidRPr="000A31E6">
        <w:rPr>
          <w:rFonts w:eastAsia="Times New Roman" w:cs="Arial"/>
          <w:color w:val="000000"/>
          <w:lang w:val="en-US"/>
        </w:rPr>
        <w:t xml:space="preserve">HLA- </w:t>
      </w:r>
      <w:r w:rsidRPr="000A31E6">
        <w:rPr>
          <w:rFonts w:eastAsia="Times New Roman" w:cs="Arial"/>
          <w:color w:val="000000"/>
          <w:lang w:eastAsia="bg-BG"/>
        </w:rPr>
        <w:t>В*1502 алела е незначително (&lt;1%).</w:t>
      </w:r>
    </w:p>
    <w:p w14:paraId="1ED8EBA4" w14:textId="77777777" w:rsidR="000A31E6" w:rsidRPr="000A31E6" w:rsidRDefault="000A31E6" w:rsidP="000A31E6">
      <w:pPr>
        <w:spacing w:line="240" w:lineRule="auto"/>
        <w:rPr>
          <w:rFonts w:eastAsia="Times New Roman" w:cs="Arial"/>
          <w:i/>
          <w:iCs/>
          <w:color w:val="000000"/>
          <w:u w:val="single"/>
          <w:lang w:val="en-US"/>
        </w:rPr>
      </w:pPr>
    </w:p>
    <w:p w14:paraId="46683C8A" w14:textId="060C3EFC"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u w:val="single"/>
          <w:lang w:val="en-US"/>
        </w:rPr>
        <w:t xml:space="preserve">HLA-B*3101 </w:t>
      </w:r>
      <w:r w:rsidRPr="000A31E6">
        <w:rPr>
          <w:rFonts w:eastAsia="Times New Roman" w:cs="Arial"/>
          <w:i/>
          <w:iCs/>
          <w:color w:val="000000"/>
          <w:u w:val="single"/>
          <w:lang w:eastAsia="bg-BG"/>
        </w:rPr>
        <w:t>алелът при европейската и японската популация</w:t>
      </w:r>
    </w:p>
    <w:p w14:paraId="27E74E47"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Според някои данни се предполага, че носителството на </w:t>
      </w:r>
      <w:r w:rsidRPr="000A31E6">
        <w:rPr>
          <w:rFonts w:eastAsia="Times New Roman" w:cs="Arial"/>
          <w:color w:val="000000"/>
          <w:lang w:val="en-US"/>
        </w:rPr>
        <w:t xml:space="preserve">HLA-A*3101 </w:t>
      </w:r>
      <w:r w:rsidRPr="000A31E6">
        <w:rPr>
          <w:rFonts w:eastAsia="Times New Roman" w:cs="Arial"/>
          <w:color w:val="000000"/>
          <w:lang w:eastAsia="bg-BG"/>
        </w:rPr>
        <w:t xml:space="preserve">при лица с европейски и японски произход е свързано с повишен риск от карбамазепин предизвикани кожни нежелани лекарствени реакции, включително </w:t>
      </w:r>
      <w:r w:rsidRPr="000A31E6">
        <w:rPr>
          <w:rFonts w:eastAsia="Times New Roman" w:cs="Arial"/>
          <w:color w:val="000000"/>
          <w:lang w:val="en-US"/>
        </w:rPr>
        <w:t xml:space="preserve">SJS, TEN, </w:t>
      </w:r>
      <w:r w:rsidRPr="000A31E6">
        <w:rPr>
          <w:rFonts w:eastAsia="Times New Roman" w:cs="Arial"/>
          <w:color w:val="000000"/>
          <w:lang w:eastAsia="bg-BG"/>
        </w:rPr>
        <w:t xml:space="preserve">лекарствен обрив с еозинофилия </w:t>
      </w:r>
      <w:r w:rsidRPr="000A31E6">
        <w:rPr>
          <w:rFonts w:eastAsia="Times New Roman" w:cs="Arial"/>
          <w:color w:val="000000"/>
          <w:lang w:val="en-US"/>
        </w:rPr>
        <w:t xml:space="preserve">(DRESS), </w:t>
      </w:r>
      <w:r w:rsidRPr="000A31E6">
        <w:rPr>
          <w:rFonts w:eastAsia="Times New Roman" w:cs="Arial"/>
          <w:color w:val="000000"/>
          <w:lang w:eastAsia="bg-BG"/>
        </w:rPr>
        <w:t xml:space="preserve">или умерено тежка остра генерализирана екзантематозна пустулоза </w:t>
      </w:r>
      <w:r w:rsidRPr="000A31E6">
        <w:rPr>
          <w:rFonts w:eastAsia="Times New Roman" w:cs="Arial"/>
          <w:color w:val="000000"/>
          <w:lang w:val="en-US"/>
        </w:rPr>
        <w:t xml:space="preserve">(AGEP) </w:t>
      </w:r>
      <w:r w:rsidRPr="000A31E6">
        <w:rPr>
          <w:rFonts w:eastAsia="Times New Roman" w:cs="Arial"/>
          <w:color w:val="000000"/>
          <w:lang w:eastAsia="bg-BG"/>
        </w:rPr>
        <w:t>и макулопапулозен обрив (вж. точка 4.8).</w:t>
      </w:r>
    </w:p>
    <w:p w14:paraId="36AAADF4" w14:textId="77777777" w:rsidR="000A31E6" w:rsidRPr="000A31E6" w:rsidRDefault="000A31E6" w:rsidP="000A31E6">
      <w:pPr>
        <w:spacing w:line="240" w:lineRule="auto"/>
        <w:rPr>
          <w:rFonts w:eastAsia="Times New Roman" w:cs="Arial"/>
          <w:color w:val="000000"/>
          <w:lang w:eastAsia="bg-BG"/>
        </w:rPr>
      </w:pPr>
    </w:p>
    <w:p w14:paraId="6FB2D2F4" w14:textId="02D4BEDC"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В отделните етнически групи честотата на </w:t>
      </w:r>
      <w:r w:rsidRPr="000A31E6">
        <w:rPr>
          <w:rFonts w:eastAsia="Times New Roman" w:cs="Arial"/>
          <w:color w:val="000000"/>
          <w:lang w:val="en-US"/>
        </w:rPr>
        <w:t xml:space="preserve">HLA-A* </w:t>
      </w:r>
      <w:r w:rsidRPr="000A31E6">
        <w:rPr>
          <w:rFonts w:eastAsia="Times New Roman" w:cs="Arial"/>
          <w:color w:val="000000"/>
          <w:lang w:eastAsia="bg-BG"/>
        </w:rPr>
        <w:t xml:space="preserve">3101 алела варира в широки граници. Носителство на </w:t>
      </w:r>
      <w:r w:rsidRPr="000A31E6">
        <w:rPr>
          <w:rFonts w:eastAsia="Times New Roman" w:cs="Arial"/>
          <w:color w:val="000000"/>
          <w:lang w:val="en-US"/>
        </w:rPr>
        <w:t xml:space="preserve">HLA-A*3101 </w:t>
      </w:r>
      <w:r w:rsidRPr="000A31E6">
        <w:rPr>
          <w:rFonts w:eastAsia="Times New Roman" w:cs="Arial"/>
          <w:color w:val="000000"/>
          <w:lang w:eastAsia="bg-BG"/>
        </w:rPr>
        <w:t>алел се наблюдава при 2 до 5% от европейските популации и около 10% в японската популация.</w:t>
      </w:r>
    </w:p>
    <w:p w14:paraId="79C6FA74" w14:textId="77777777" w:rsidR="000A31E6" w:rsidRPr="000A31E6" w:rsidRDefault="000A31E6" w:rsidP="000A31E6">
      <w:pPr>
        <w:spacing w:line="240" w:lineRule="auto"/>
        <w:rPr>
          <w:rFonts w:eastAsia="Times New Roman" w:cs="Arial"/>
          <w:color w:val="000000"/>
          <w:lang w:eastAsia="bg-BG"/>
        </w:rPr>
      </w:pPr>
    </w:p>
    <w:p w14:paraId="3A53E0B0" w14:textId="02EBBCC5"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Наличието наН</w:t>
      </w:r>
      <w:r w:rsidRPr="000A31E6">
        <w:rPr>
          <w:rFonts w:eastAsia="Times New Roman" w:cs="Arial"/>
          <w:color w:val="000000"/>
          <w:lang w:val="en-US" w:eastAsia="bg-BG"/>
        </w:rPr>
        <w:t>L</w:t>
      </w:r>
      <w:r w:rsidRPr="000A31E6">
        <w:rPr>
          <w:rFonts w:eastAsia="Times New Roman" w:cs="Arial"/>
          <w:color w:val="000000"/>
          <w:lang w:eastAsia="bg-BG"/>
        </w:rPr>
        <w:t>А-А*3101 алел може да увеличи риска от карбамазепин предизвикани кожни реакции (предимно умерено тежки) от 5,0% в общата популация до 26,0% сред лицата с европейски произход, докато отсъствието му може да намали риска от 5,0% до 3,8 %.</w:t>
      </w:r>
    </w:p>
    <w:p w14:paraId="6C59766E" w14:textId="77777777" w:rsidR="000A31E6" w:rsidRPr="000A31E6" w:rsidRDefault="000A31E6" w:rsidP="000A31E6">
      <w:pPr>
        <w:spacing w:line="240" w:lineRule="auto"/>
        <w:rPr>
          <w:rFonts w:eastAsia="Times New Roman" w:cs="Arial"/>
          <w:color w:val="000000"/>
          <w:lang w:eastAsia="bg-BG"/>
        </w:rPr>
      </w:pPr>
    </w:p>
    <w:p w14:paraId="3EDF9821" w14:textId="2CE87190"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Данните, които подкрепят провеждането на скрининг за носителство на </w:t>
      </w:r>
      <w:r w:rsidRPr="000A31E6">
        <w:rPr>
          <w:rFonts w:eastAsia="Times New Roman" w:cs="Arial"/>
          <w:color w:val="000000"/>
          <w:lang w:val="en-US"/>
        </w:rPr>
        <w:t>HLA-A*3</w:t>
      </w:r>
      <w:r w:rsidRPr="000A31E6">
        <w:rPr>
          <w:rFonts w:eastAsia="Times New Roman" w:cs="Arial"/>
          <w:color w:val="000000"/>
          <w:lang w:eastAsia="bg-BG"/>
        </w:rPr>
        <w:t>101 преди започване на лечение с карбамазепин са недостатъчни.</w:t>
      </w:r>
    </w:p>
    <w:p w14:paraId="4F4533FE" w14:textId="77777777" w:rsidR="000A31E6" w:rsidRPr="000A31E6" w:rsidRDefault="000A31E6" w:rsidP="000A31E6">
      <w:pPr>
        <w:spacing w:line="240" w:lineRule="auto"/>
        <w:rPr>
          <w:rFonts w:eastAsia="Times New Roman" w:cs="Arial"/>
          <w:color w:val="000000"/>
          <w:lang w:eastAsia="bg-BG"/>
        </w:rPr>
      </w:pPr>
    </w:p>
    <w:p w14:paraId="22DBFBD0" w14:textId="35C236E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 пациентите с европейски или японски произход, носители на</w:t>
      </w:r>
      <w:r w:rsidRPr="000A31E6">
        <w:rPr>
          <w:rFonts w:eastAsia="Times New Roman" w:cs="Arial"/>
          <w:color w:val="000000"/>
          <w:lang w:val="en-US" w:eastAsia="bg-BG"/>
        </w:rPr>
        <w:t xml:space="preserve"> </w:t>
      </w:r>
      <w:r w:rsidRPr="000A31E6">
        <w:rPr>
          <w:rFonts w:eastAsia="Times New Roman" w:cs="Arial"/>
          <w:color w:val="000000"/>
          <w:lang w:eastAsia="bg-BG"/>
        </w:rPr>
        <w:t>НLА-А* 3101 алел,</w:t>
      </w:r>
    </w:p>
    <w:p w14:paraId="63ECA75B" w14:textId="6C581B86" w:rsidR="000A31E6" w:rsidRPr="000A31E6" w:rsidRDefault="000A31E6" w:rsidP="000A31E6">
      <w:pPr>
        <w:rPr>
          <w:rFonts w:cs="Arial"/>
        </w:rPr>
      </w:pPr>
      <w:r w:rsidRPr="000A31E6">
        <w:rPr>
          <w:rFonts w:eastAsia="Times New Roman" w:cs="Arial"/>
          <w:color w:val="000000"/>
          <w:lang w:eastAsia="bg-BG"/>
        </w:rPr>
        <w:t>карбамазепин може да се употребява, ако ползата от лечението надвишава риска.</w:t>
      </w:r>
    </w:p>
    <w:p w14:paraId="24E3E82F" w14:textId="0B31259F" w:rsidR="0091385D" w:rsidRDefault="0091385D" w:rsidP="0091385D"/>
    <w:p w14:paraId="6C20E0DE"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При употреба на карбамазепин са наблюдавани животозастрашаващи кожни реакции - синдром на </w:t>
      </w:r>
      <w:r w:rsidRPr="000A31E6">
        <w:rPr>
          <w:rFonts w:eastAsia="Times New Roman" w:cs="Arial"/>
          <w:color w:val="000000"/>
          <w:lang w:val="en-US"/>
        </w:rPr>
        <w:t xml:space="preserve">Stevens-Johnson (SJS) </w:t>
      </w:r>
      <w:r w:rsidRPr="000A31E6">
        <w:rPr>
          <w:rFonts w:eastAsia="Times New Roman" w:cs="Arial"/>
          <w:color w:val="000000"/>
          <w:lang w:eastAsia="bg-BG"/>
        </w:rPr>
        <w:t xml:space="preserve">и токсична епидермална некролиза </w:t>
      </w:r>
      <w:r w:rsidRPr="000A31E6">
        <w:rPr>
          <w:rFonts w:eastAsia="Times New Roman" w:cs="Arial"/>
          <w:color w:val="000000"/>
          <w:lang w:val="en-US"/>
        </w:rPr>
        <w:t>(TEN).</w:t>
      </w:r>
    </w:p>
    <w:p w14:paraId="2B51D37B" w14:textId="77777777" w:rsidR="000A31E6" w:rsidRPr="000A31E6" w:rsidRDefault="000A31E6" w:rsidP="000A31E6">
      <w:pPr>
        <w:spacing w:line="240" w:lineRule="auto"/>
        <w:rPr>
          <w:rFonts w:eastAsia="Times New Roman" w:cs="Arial"/>
          <w:color w:val="000000"/>
          <w:lang w:eastAsia="bg-BG"/>
        </w:rPr>
      </w:pPr>
    </w:p>
    <w:p w14:paraId="445F9DE2" w14:textId="58B82434"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Пациентите трябва да бъдат предупредени за признаците и симптомите и да се наблюдават внимателно за поява на кожни реакции. Най-висок риск за възникване на </w:t>
      </w:r>
      <w:r w:rsidRPr="000A31E6">
        <w:rPr>
          <w:rFonts w:eastAsia="Times New Roman" w:cs="Arial"/>
          <w:color w:val="000000"/>
          <w:lang w:val="en-US"/>
        </w:rPr>
        <w:t xml:space="preserve">SJS </w:t>
      </w:r>
      <w:r w:rsidRPr="000A31E6">
        <w:rPr>
          <w:rFonts w:eastAsia="Times New Roman" w:cs="Arial"/>
          <w:color w:val="000000"/>
          <w:lang w:eastAsia="bg-BG"/>
        </w:rPr>
        <w:t xml:space="preserve">или </w:t>
      </w:r>
      <w:r w:rsidRPr="000A31E6">
        <w:rPr>
          <w:rFonts w:eastAsia="Times New Roman" w:cs="Arial"/>
          <w:color w:val="000000"/>
          <w:lang w:val="en-US"/>
        </w:rPr>
        <w:t xml:space="preserve">TEN </w:t>
      </w:r>
      <w:r w:rsidRPr="000A31E6">
        <w:rPr>
          <w:rFonts w:eastAsia="Times New Roman" w:cs="Arial"/>
          <w:color w:val="000000"/>
          <w:lang w:eastAsia="bg-BG"/>
        </w:rPr>
        <w:t>съществува в рамките на първите седмици от лечението.</w:t>
      </w:r>
    </w:p>
    <w:p w14:paraId="69360704" w14:textId="77777777" w:rsidR="000A31E6" w:rsidRPr="000A31E6" w:rsidRDefault="000A31E6" w:rsidP="000A31E6">
      <w:pPr>
        <w:spacing w:line="240" w:lineRule="auto"/>
        <w:rPr>
          <w:rFonts w:eastAsia="Times New Roman" w:cs="Arial"/>
          <w:color w:val="000000"/>
          <w:lang w:eastAsia="bg-BG"/>
        </w:rPr>
      </w:pPr>
    </w:p>
    <w:p w14:paraId="2338BD0C" w14:textId="7B8CF23D"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Ако са налице симптоми или признаци на </w:t>
      </w:r>
      <w:r w:rsidRPr="000A31E6">
        <w:rPr>
          <w:rFonts w:eastAsia="Times New Roman" w:cs="Arial"/>
          <w:color w:val="000000"/>
          <w:lang w:val="en-US"/>
        </w:rPr>
        <w:t xml:space="preserve">SJS </w:t>
      </w:r>
      <w:r w:rsidRPr="000A31E6">
        <w:rPr>
          <w:rFonts w:eastAsia="Times New Roman" w:cs="Arial"/>
          <w:color w:val="000000"/>
          <w:lang w:eastAsia="bg-BG"/>
        </w:rPr>
        <w:t xml:space="preserve">или </w:t>
      </w:r>
      <w:r w:rsidRPr="000A31E6">
        <w:rPr>
          <w:rFonts w:eastAsia="Times New Roman" w:cs="Arial"/>
          <w:color w:val="000000"/>
          <w:lang w:val="en-US"/>
        </w:rPr>
        <w:t xml:space="preserve">TEN </w:t>
      </w:r>
      <w:r w:rsidRPr="000A31E6">
        <w:rPr>
          <w:rFonts w:eastAsia="Times New Roman" w:cs="Arial"/>
          <w:color w:val="000000"/>
          <w:lang w:eastAsia="bg-BG"/>
        </w:rPr>
        <w:t>(например прогресивен кожен обрив, често с мехури или лезии по лигавиците), терапията с карбамазепин трябва да се преустанови.</w:t>
      </w:r>
    </w:p>
    <w:p w14:paraId="49FC9FD8" w14:textId="77777777" w:rsidR="000A31E6" w:rsidRPr="000A31E6" w:rsidRDefault="000A31E6" w:rsidP="000A31E6">
      <w:pPr>
        <w:spacing w:line="240" w:lineRule="auto"/>
        <w:rPr>
          <w:rFonts w:eastAsia="Times New Roman" w:cs="Arial"/>
          <w:color w:val="000000"/>
          <w:lang w:eastAsia="bg-BG"/>
        </w:rPr>
      </w:pPr>
    </w:p>
    <w:p w14:paraId="52B935F2" w14:textId="3DDC5D86"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 xml:space="preserve">Най-добри резултати в овладяването на </w:t>
      </w:r>
      <w:r w:rsidRPr="000A31E6">
        <w:rPr>
          <w:rFonts w:eastAsia="Times New Roman" w:cs="Arial"/>
          <w:color w:val="000000"/>
          <w:lang w:val="en-US"/>
        </w:rPr>
        <w:t xml:space="preserve">SJS </w:t>
      </w:r>
      <w:r w:rsidRPr="000A31E6">
        <w:rPr>
          <w:rFonts w:eastAsia="Times New Roman" w:cs="Arial"/>
          <w:color w:val="000000"/>
          <w:lang w:eastAsia="bg-BG"/>
        </w:rPr>
        <w:t xml:space="preserve">и </w:t>
      </w:r>
      <w:r w:rsidRPr="000A31E6">
        <w:rPr>
          <w:rFonts w:eastAsia="Times New Roman" w:cs="Arial"/>
          <w:color w:val="000000"/>
          <w:lang w:val="en-US"/>
        </w:rPr>
        <w:t xml:space="preserve">TEN </w:t>
      </w:r>
      <w:r w:rsidRPr="000A31E6">
        <w:rPr>
          <w:rFonts w:eastAsia="Times New Roman" w:cs="Arial"/>
          <w:color w:val="000000"/>
          <w:lang w:eastAsia="bg-BG"/>
        </w:rPr>
        <w:t>се постигат при ранна диагностика и незабавно преустановяване на всички заподозрени лекарства. Ранното прекратяване на терапията се свързва с по-добра прогноза.</w:t>
      </w:r>
    </w:p>
    <w:p w14:paraId="6FE877D9" w14:textId="77777777" w:rsidR="000A31E6" w:rsidRPr="000A31E6" w:rsidRDefault="000A31E6" w:rsidP="000A31E6">
      <w:pPr>
        <w:spacing w:line="240" w:lineRule="auto"/>
        <w:rPr>
          <w:rFonts w:eastAsia="Times New Roman" w:cs="Arial"/>
          <w:color w:val="000000"/>
          <w:lang w:eastAsia="bg-BG"/>
        </w:rPr>
      </w:pPr>
    </w:p>
    <w:p w14:paraId="265774C9" w14:textId="71E4C1B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lastRenderedPageBreak/>
        <w:t xml:space="preserve">Ако при пациента се наблюдава </w:t>
      </w:r>
      <w:r w:rsidRPr="000A31E6">
        <w:rPr>
          <w:rFonts w:eastAsia="Times New Roman" w:cs="Arial"/>
          <w:color w:val="000000"/>
          <w:lang w:val="en-US"/>
        </w:rPr>
        <w:t xml:space="preserve">SJS </w:t>
      </w:r>
      <w:r w:rsidRPr="000A31E6">
        <w:rPr>
          <w:rFonts w:eastAsia="Times New Roman" w:cs="Arial"/>
          <w:color w:val="000000"/>
          <w:lang w:eastAsia="bg-BG"/>
        </w:rPr>
        <w:t xml:space="preserve">или </w:t>
      </w:r>
      <w:r w:rsidRPr="000A31E6">
        <w:rPr>
          <w:rFonts w:eastAsia="Times New Roman" w:cs="Arial"/>
          <w:color w:val="000000"/>
          <w:lang w:val="en-US"/>
        </w:rPr>
        <w:t xml:space="preserve">TEN </w:t>
      </w:r>
      <w:r w:rsidRPr="000A31E6">
        <w:rPr>
          <w:rFonts w:eastAsia="Times New Roman" w:cs="Arial"/>
          <w:color w:val="000000"/>
          <w:lang w:eastAsia="bg-BG"/>
        </w:rPr>
        <w:t>след употреба на карбамазепин, никога не трябва да се прилага повторно лечение с карбамазепин.</w:t>
      </w:r>
    </w:p>
    <w:p w14:paraId="002C4840" w14:textId="77777777" w:rsidR="000A31E6" w:rsidRPr="000A31E6" w:rsidRDefault="000A31E6" w:rsidP="000A31E6">
      <w:pPr>
        <w:spacing w:line="240" w:lineRule="auto"/>
        <w:rPr>
          <w:rFonts w:eastAsia="Times New Roman" w:cs="Arial"/>
          <w:color w:val="000000"/>
          <w:lang w:eastAsia="bg-BG"/>
        </w:rPr>
      </w:pPr>
    </w:p>
    <w:p w14:paraId="0427FDC4" w14:textId="444AAF1A"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Могат да настъпят леки кожни реакции (макулозен или макулопапулозен екзантем), които най- често са преходни и не представляват опасност. Обикновено отзвучават за няколко дни/седмици, или в хода на лечението, или при понижаване на дозата. Тъй като понякога е трудно да се разграничат ранните признаци на сериозните кожни реакции от тези на лекостепенниге преходни реакции, пациентът трябва да се наблюдава внимателно и при влошаване на симптомите лечението с карбамазепин незабавно се прекратява.</w:t>
      </w:r>
    </w:p>
    <w:p w14:paraId="076CBEEA" w14:textId="77777777" w:rsidR="000A31E6" w:rsidRPr="000A31E6" w:rsidRDefault="000A31E6" w:rsidP="000A31E6">
      <w:pPr>
        <w:spacing w:line="240" w:lineRule="auto"/>
        <w:rPr>
          <w:rFonts w:eastAsia="Times New Roman" w:cs="Arial"/>
          <w:i/>
          <w:iCs/>
          <w:color w:val="000000"/>
          <w:lang w:eastAsia="bg-BG"/>
        </w:rPr>
      </w:pPr>
    </w:p>
    <w:p w14:paraId="0D3F0B44" w14:textId="12093CC3"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Свръхчувствителност</w:t>
      </w:r>
    </w:p>
    <w:p w14:paraId="469FF8FC"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Карбамазепин може да отключи реакции на свръхчувствителност, включително реакции на мултиорганна свръхчувствителност, които могат да засегнат кожата, черния дроб, органите на хемопоезата, лимфната система и други органи, поотделно или едновременно в контекста на системна реакция(вж. точка 4.8).</w:t>
      </w:r>
    </w:p>
    <w:p w14:paraId="021FA7C1" w14:textId="3A1178EC"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При поява на признаци и симптоми на реакции на свръхчувствителност, приложението на карбамазепин трябва да се прекрати незабавно.</w:t>
      </w:r>
    </w:p>
    <w:p w14:paraId="62DC03F1" w14:textId="77777777" w:rsidR="000A31E6" w:rsidRPr="000A31E6" w:rsidRDefault="000A31E6" w:rsidP="000A31E6">
      <w:pPr>
        <w:spacing w:line="240" w:lineRule="auto"/>
        <w:rPr>
          <w:rFonts w:eastAsia="Times New Roman" w:cs="Arial"/>
          <w:color w:val="000000"/>
          <w:lang w:eastAsia="bg-BG"/>
        </w:rPr>
      </w:pPr>
    </w:p>
    <w:p w14:paraId="1373402D" w14:textId="58F24F60"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Пациенти, показали реакции на свръхчувствителност към карбамазепин, трябва да бъдат информирани, че приблизително 25-30% от тях могат да развият реакции на свръхчувствителност към окскарбазепин.</w:t>
      </w:r>
    </w:p>
    <w:p w14:paraId="1A9172EB" w14:textId="77777777" w:rsidR="000A31E6" w:rsidRPr="000A31E6" w:rsidRDefault="000A31E6" w:rsidP="000A31E6">
      <w:pPr>
        <w:spacing w:line="240" w:lineRule="auto"/>
        <w:rPr>
          <w:rFonts w:eastAsia="Times New Roman" w:cs="Arial"/>
          <w:color w:val="000000"/>
          <w:lang w:eastAsia="bg-BG"/>
        </w:rPr>
      </w:pPr>
    </w:p>
    <w:p w14:paraId="4771C681" w14:textId="26A4C7CB"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Възможна е кръстосана реакция на свръхчувствителност между карбамазепин и фенитоин.</w:t>
      </w:r>
    </w:p>
    <w:p w14:paraId="711751AA" w14:textId="77777777" w:rsidR="000A31E6" w:rsidRPr="000A31E6" w:rsidRDefault="000A31E6" w:rsidP="000A31E6">
      <w:pPr>
        <w:spacing w:line="240" w:lineRule="auto"/>
        <w:rPr>
          <w:rFonts w:eastAsia="Times New Roman" w:cs="Arial"/>
          <w:i/>
          <w:iCs/>
          <w:color w:val="000000"/>
          <w:lang w:eastAsia="bg-BG"/>
        </w:rPr>
      </w:pPr>
    </w:p>
    <w:p w14:paraId="72D930A1" w14:textId="7D2AE16F" w:rsidR="000A31E6" w:rsidRPr="000A31E6" w:rsidRDefault="000A31E6" w:rsidP="000A31E6">
      <w:pPr>
        <w:spacing w:line="240" w:lineRule="auto"/>
        <w:rPr>
          <w:rFonts w:eastAsia="Times New Roman" w:cs="Arial"/>
          <w:sz w:val="24"/>
          <w:szCs w:val="24"/>
          <w:lang w:eastAsia="bg-BG"/>
        </w:rPr>
      </w:pPr>
      <w:r w:rsidRPr="000A31E6">
        <w:rPr>
          <w:rFonts w:eastAsia="Times New Roman" w:cs="Arial"/>
          <w:i/>
          <w:iCs/>
          <w:color w:val="000000"/>
          <w:lang w:eastAsia="bg-BG"/>
        </w:rPr>
        <w:t>Чернодробна функция</w:t>
      </w:r>
    </w:p>
    <w:p w14:paraId="112B94AA"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Преди започване на лечение с карбамазепин и периодично след това трябва да се изследва чернодробната функция, особено при пациенти с анамнеза за чернодробно заболяване и пациенти в старческа възраст. Терапията трябва да се преустанови веднага след установяване на чернодробна дисфункция или при проява на активно чернодробно заболяване.</w:t>
      </w:r>
    </w:p>
    <w:p w14:paraId="4FF3011E" w14:textId="77777777"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Някои функционални чернодробни изследвания могат да покажат абнормни стойности при пациентите, получаващи карбамазепин, най-вече стойностите на гама-глутамил трансферазата. Това, вероятно, се дължи на чернодробна ензимна индукция и може да доведе до умерено повишаване на алкалната фосфатаза. Такова повишаване на чернодробния метаболизъм не е показание за спиране на лечението с карбамазепин.</w:t>
      </w:r>
    </w:p>
    <w:p w14:paraId="777D0A84" w14:textId="6600E176" w:rsidR="000A31E6" w:rsidRPr="000A31E6" w:rsidRDefault="000A31E6" w:rsidP="000A31E6">
      <w:pPr>
        <w:spacing w:line="240" w:lineRule="auto"/>
        <w:rPr>
          <w:rFonts w:eastAsia="Times New Roman" w:cs="Arial"/>
          <w:sz w:val="24"/>
          <w:szCs w:val="24"/>
          <w:lang w:eastAsia="bg-BG"/>
        </w:rPr>
      </w:pPr>
      <w:r w:rsidRPr="000A31E6">
        <w:rPr>
          <w:rFonts w:eastAsia="Times New Roman" w:cs="Arial"/>
          <w:color w:val="000000"/>
          <w:lang w:eastAsia="bg-BG"/>
        </w:rPr>
        <w:t>Много рядко могат да настъпят тежки чернодробни реакции. Развитието на признаци и симптоми на чернодробна дисфункция или на активно чернодробно заболяване налага спешна преоценка на състоянието и лечението с карбамазепин трябва да бъде преустановено до приключване на</w:t>
      </w:r>
      <w:r>
        <w:rPr>
          <w:rFonts w:eastAsia="Times New Roman" w:cs="Arial"/>
          <w:sz w:val="24"/>
          <w:szCs w:val="24"/>
          <w:lang w:val="en-US" w:eastAsia="bg-BG"/>
        </w:rPr>
        <w:t xml:space="preserve"> </w:t>
      </w:r>
      <w:r w:rsidRPr="000A31E6">
        <w:rPr>
          <w:rFonts w:eastAsia="Times New Roman" w:cs="Arial"/>
          <w:color w:val="000000"/>
          <w:lang w:eastAsia="bg-BG"/>
        </w:rPr>
        <w:t>оценката.</w:t>
      </w:r>
    </w:p>
    <w:p w14:paraId="6BD86B3D" w14:textId="4AD653A4" w:rsidR="000A31E6" w:rsidRDefault="000A31E6" w:rsidP="0091385D"/>
    <w:p w14:paraId="27E26151" w14:textId="77777777"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Бъбречна функция</w:t>
      </w:r>
    </w:p>
    <w:p w14:paraId="32BC1A1F"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Преди началото и периодично по време на терапията с карбамазепин се препоръчва пълен анализ на урината и определяне на уреята в кръвта.</w:t>
      </w:r>
    </w:p>
    <w:p w14:paraId="27BA31F8" w14:textId="77777777" w:rsidR="000A31E6" w:rsidRPr="004E109F" w:rsidRDefault="000A31E6" w:rsidP="000A31E6">
      <w:pPr>
        <w:spacing w:line="240" w:lineRule="auto"/>
        <w:rPr>
          <w:rFonts w:eastAsia="Times New Roman" w:cs="Arial"/>
          <w:i/>
          <w:iCs/>
          <w:color w:val="000000"/>
          <w:lang w:eastAsia="bg-BG"/>
        </w:rPr>
      </w:pPr>
    </w:p>
    <w:p w14:paraId="7542EBDA" w14:textId="516B982F"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Епилептични пристъпи</w:t>
      </w:r>
    </w:p>
    <w:p w14:paraId="235F0D2C"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Карбамазепин Актавис трябва да се прилага внимателно при пациенти със смесен тип епилепсия, която включва абсанси, както типични, така и атипични. При всички тези състояния карбамазепин може да изостри пристъпите. В тези случаи приложението на продукта трябва да се преустанови.</w:t>
      </w:r>
    </w:p>
    <w:p w14:paraId="383B2E4A" w14:textId="77777777" w:rsidR="000A31E6" w:rsidRPr="004E109F" w:rsidRDefault="000A31E6" w:rsidP="000A31E6">
      <w:pPr>
        <w:spacing w:line="240" w:lineRule="auto"/>
        <w:rPr>
          <w:rFonts w:eastAsia="Times New Roman" w:cs="Arial"/>
          <w:i/>
          <w:iCs/>
          <w:color w:val="000000"/>
          <w:lang w:eastAsia="bg-BG"/>
        </w:rPr>
      </w:pPr>
    </w:p>
    <w:p w14:paraId="108917F2" w14:textId="416419B6"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lastRenderedPageBreak/>
        <w:t>Суицидни мисли и поведение</w:t>
      </w:r>
    </w:p>
    <w:p w14:paraId="766852E9"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Суицидни мисли и поведение са докладвани при пациенти, лекувани с антиепилептични продукти при различни показания. Мета-анализ на рандомизирани, плацебо-контролирани проучвания на антиепилептичните лекарствени средства също показва леко повишен риск от суицидни мисли и поведение. Механизмът на този риск не е ясен и наличните данни не изключват възможността за повишен риск при прием на карбамазепин. По тази причина пациентите трябва да бъдат наблюдавани за признаци на суицидна идеация и поведение и да се предприема съответното лечение. Пациентите и хората, които се грижат за тях, трябва да се посъветват да потърсят медицински съвет и помощ в случай на поява на признаци на суицидни мисли и поведение.</w:t>
      </w:r>
    </w:p>
    <w:p w14:paraId="32E97617" w14:textId="77777777" w:rsidR="000A31E6" w:rsidRPr="004E109F" w:rsidRDefault="000A31E6" w:rsidP="000A31E6">
      <w:pPr>
        <w:spacing w:line="240" w:lineRule="auto"/>
        <w:rPr>
          <w:rFonts w:eastAsia="Times New Roman" w:cs="Arial"/>
          <w:i/>
          <w:iCs/>
          <w:color w:val="000000"/>
          <w:lang w:eastAsia="bg-BG"/>
        </w:rPr>
      </w:pPr>
    </w:p>
    <w:p w14:paraId="1B41B719" w14:textId="7AEB60B2"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Преустановяване на лечението и понижаване на дозата</w:t>
      </w:r>
    </w:p>
    <w:p w14:paraId="4319F6B3"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Внезапното спиране на лечението с карбамазепин може да предизвика гърч. При необходимост от внезапно преустановяване на терапията с продукта при пациенти с епилепсия, преминаването към новият антиепилептичен лекарствен продукт трябва да се извърши при едновременен прием и на друго, подходящо лекарство (напр. диазепам </w:t>
      </w:r>
      <w:proofErr w:type="spellStart"/>
      <w:r w:rsidRPr="000A31E6">
        <w:rPr>
          <w:rFonts w:eastAsia="Times New Roman" w:cs="Arial"/>
          <w:color w:val="000000"/>
          <w:lang w:val="en-US"/>
        </w:rPr>
        <w:t>i.v.</w:t>
      </w:r>
      <w:proofErr w:type="spellEnd"/>
      <w:r w:rsidRPr="000A31E6">
        <w:rPr>
          <w:rFonts w:eastAsia="Times New Roman" w:cs="Arial"/>
          <w:color w:val="000000"/>
          <w:lang w:eastAsia="bg-BG"/>
        </w:rPr>
        <w:t xml:space="preserve">/ректално или фенитоин </w:t>
      </w:r>
      <w:proofErr w:type="spellStart"/>
      <w:r w:rsidRPr="000A31E6">
        <w:rPr>
          <w:rFonts w:eastAsia="Times New Roman" w:cs="Arial"/>
          <w:color w:val="000000"/>
          <w:lang w:val="en-US"/>
        </w:rPr>
        <w:t>i.v</w:t>
      </w:r>
      <w:proofErr w:type="spellEnd"/>
      <w:r w:rsidRPr="000A31E6">
        <w:rPr>
          <w:rFonts w:eastAsia="Times New Roman" w:cs="Arial"/>
          <w:color w:val="000000"/>
          <w:lang w:val="en-US"/>
        </w:rPr>
        <w:t>).</w:t>
      </w:r>
    </w:p>
    <w:p w14:paraId="6CCC7683" w14:textId="77777777" w:rsidR="000A31E6" w:rsidRPr="004E109F" w:rsidRDefault="000A31E6" w:rsidP="000A31E6">
      <w:pPr>
        <w:spacing w:line="240" w:lineRule="auto"/>
        <w:rPr>
          <w:rFonts w:eastAsia="Times New Roman" w:cs="Arial"/>
          <w:i/>
          <w:iCs/>
          <w:color w:val="000000"/>
          <w:lang w:eastAsia="bg-BG"/>
        </w:rPr>
      </w:pPr>
    </w:p>
    <w:p w14:paraId="561A08D8" w14:textId="698D4CE9"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Ендокринни ефекти</w:t>
      </w:r>
    </w:p>
    <w:p w14:paraId="3FD21BD0"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Поради ензимната индукция, карбамазепин може да компрометира терапията с естроген и/или прогестерон- съдържащи продукти. Това може да доведе до намалена ефективност на контрацепцията, кървене, зацапване или рецидив на симптомите.</w:t>
      </w:r>
    </w:p>
    <w:p w14:paraId="7A81D021"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Пациентите, които приемат карбамазепин и които се нуждаят от хормонална контрацепция, трябва да приемат лекарство, съдържащо не по-малко от 50 μ</w:t>
      </w:r>
      <w:r w:rsidRPr="000A31E6">
        <w:rPr>
          <w:rFonts w:eastAsia="Times New Roman" w:cs="Arial"/>
          <w:color w:val="000000"/>
          <w:lang w:val="en-US"/>
        </w:rPr>
        <w:t xml:space="preserve">g </w:t>
      </w:r>
      <w:r w:rsidRPr="000A31E6">
        <w:rPr>
          <w:rFonts w:eastAsia="Times New Roman" w:cs="Arial"/>
          <w:color w:val="000000"/>
          <w:lang w:eastAsia="bg-BG"/>
        </w:rPr>
        <w:t>естроген или да използват друг алтернативен, нехормонален метод на контрацепция.</w:t>
      </w:r>
    </w:p>
    <w:p w14:paraId="581CF26E" w14:textId="77777777" w:rsidR="000A31E6" w:rsidRPr="004E109F" w:rsidRDefault="000A31E6" w:rsidP="000A31E6">
      <w:pPr>
        <w:spacing w:line="240" w:lineRule="auto"/>
        <w:rPr>
          <w:rFonts w:eastAsia="Times New Roman" w:cs="Arial"/>
          <w:i/>
          <w:iCs/>
          <w:color w:val="000000"/>
          <w:lang w:eastAsia="bg-BG"/>
        </w:rPr>
      </w:pPr>
    </w:p>
    <w:p w14:paraId="611A6C76" w14:textId="69E02CA0"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Наблюдение на плазмените концентрации</w:t>
      </w:r>
    </w:p>
    <w:p w14:paraId="4DBFC90D"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Въпреки че зависимостта между дозата и плазмените концентрации на карбамазепин, както и между плазмените концентрации и клиничната ефикасност и поносимост е слабо изразена, проследяването на плазмените концентрации може да бъде полезно при следните ситуации: значимо увеличение на честотата на епилептичните пристъпи, за установяване на съдействието на пациента към провежданото лечение; при лечение на деца и юноши; при съмнения за нарушения в резорбцията; при съмнения за токсичност, когато се прилага повече от един лекарствен продукт (вж. точка 4.5).</w:t>
      </w:r>
    </w:p>
    <w:p w14:paraId="74974287" w14:textId="77777777" w:rsidR="000A31E6" w:rsidRPr="004E109F" w:rsidRDefault="000A31E6" w:rsidP="000A31E6">
      <w:pPr>
        <w:spacing w:line="240" w:lineRule="auto"/>
        <w:rPr>
          <w:rFonts w:eastAsia="Times New Roman" w:cs="Arial"/>
          <w:i/>
          <w:iCs/>
          <w:color w:val="000000"/>
          <w:lang w:eastAsia="bg-BG"/>
        </w:rPr>
      </w:pPr>
    </w:p>
    <w:p w14:paraId="5190DDED" w14:textId="416C58CB"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Антихолинергични ефекти</w:t>
      </w:r>
    </w:p>
    <w:p w14:paraId="3D9E9DA5"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Карбамазепин притежава лека антихолинергична активност, следователно пациентите с повишено вътреочно налягане трябва да бъдат предупредени за това действие и да бъдат наблюдавани по време на лечението (вж. точка 4.8).</w:t>
      </w:r>
    </w:p>
    <w:p w14:paraId="641CD6E1" w14:textId="77777777" w:rsidR="000A31E6" w:rsidRPr="004E109F" w:rsidRDefault="000A31E6" w:rsidP="000A31E6">
      <w:pPr>
        <w:spacing w:line="240" w:lineRule="auto"/>
        <w:rPr>
          <w:rFonts w:eastAsia="Times New Roman" w:cs="Arial"/>
          <w:i/>
          <w:iCs/>
          <w:color w:val="000000"/>
          <w:lang w:eastAsia="bg-BG"/>
        </w:rPr>
      </w:pPr>
    </w:p>
    <w:p w14:paraId="0912A6E6" w14:textId="3B8B2525"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Психични ефекти</w:t>
      </w:r>
    </w:p>
    <w:p w14:paraId="1B53AA60" w14:textId="2D1BCA57" w:rsidR="000A31E6" w:rsidRPr="004E109F" w:rsidRDefault="000A31E6" w:rsidP="000A31E6">
      <w:pPr>
        <w:rPr>
          <w:rFonts w:eastAsia="Times New Roman" w:cs="Arial"/>
          <w:color w:val="000000"/>
          <w:lang w:eastAsia="bg-BG"/>
        </w:rPr>
      </w:pPr>
      <w:r w:rsidRPr="004E109F">
        <w:rPr>
          <w:rFonts w:eastAsia="Times New Roman" w:cs="Arial"/>
          <w:color w:val="000000"/>
          <w:lang w:eastAsia="bg-BG"/>
        </w:rPr>
        <w:t>Възможността за активиране на латентна психоза и поява на обърканост и възбуда при пациенти в старческа възраст трябва да се вземат под внимание.</w:t>
      </w:r>
    </w:p>
    <w:p w14:paraId="087345DB" w14:textId="5BD6E680" w:rsidR="000A31E6" w:rsidRPr="0091385D" w:rsidRDefault="000A31E6"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15C785C"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Цитохром Р450 ЗА4 </w:t>
      </w:r>
      <w:r w:rsidRPr="000A31E6">
        <w:rPr>
          <w:rFonts w:eastAsia="Times New Roman" w:cs="Arial"/>
          <w:color w:val="000000"/>
          <w:lang w:val="en-US"/>
        </w:rPr>
        <w:t xml:space="preserve">(CYP </w:t>
      </w:r>
      <w:r w:rsidRPr="000A31E6">
        <w:rPr>
          <w:rFonts w:eastAsia="Times New Roman" w:cs="Arial"/>
          <w:color w:val="000000"/>
          <w:lang w:eastAsia="bg-BG"/>
        </w:rPr>
        <w:t>ЗА4) е основният ензим, катализиращ образуването на активния матаболит карбамазепин-10,11-епоксид.</w:t>
      </w:r>
    </w:p>
    <w:p w14:paraId="638241A1"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lastRenderedPageBreak/>
        <w:t xml:space="preserve">Едновременното приложение с инхибитори на </w:t>
      </w:r>
      <w:r w:rsidRPr="000A31E6">
        <w:rPr>
          <w:rFonts w:eastAsia="Times New Roman" w:cs="Arial"/>
          <w:color w:val="000000"/>
          <w:lang w:val="en-US"/>
        </w:rPr>
        <w:t xml:space="preserve">CYP </w:t>
      </w:r>
      <w:r w:rsidRPr="000A31E6">
        <w:rPr>
          <w:rFonts w:eastAsia="Times New Roman" w:cs="Arial"/>
          <w:color w:val="000000"/>
          <w:lang w:eastAsia="bg-BG"/>
        </w:rPr>
        <w:t xml:space="preserve">ЗА4, може да доведе до повишаване на плазмените концентрации на карбамазепин и да предизвика нежелани лекарствени реакции. Едновременното приложение на индуктори на </w:t>
      </w:r>
      <w:r w:rsidRPr="000A31E6">
        <w:rPr>
          <w:rFonts w:eastAsia="Times New Roman" w:cs="Arial"/>
          <w:color w:val="000000"/>
          <w:lang w:val="en-US"/>
        </w:rPr>
        <w:t xml:space="preserve">CYP </w:t>
      </w:r>
      <w:r w:rsidRPr="000A31E6">
        <w:rPr>
          <w:rFonts w:eastAsia="Times New Roman" w:cs="Arial"/>
          <w:color w:val="000000"/>
          <w:lang w:eastAsia="bg-BG"/>
        </w:rPr>
        <w:t>ЗА4 може да повиши степента на метаболизъм на карбамазепин, което води до потенциално намаление на плазмените концентрации на карбамазепин и терапевтичния ефект.</w:t>
      </w:r>
    </w:p>
    <w:p w14:paraId="171CA006" w14:textId="73EACDEA"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 xml:space="preserve">Преустановяването на приема на индукторите на </w:t>
      </w:r>
      <w:r w:rsidRPr="000A31E6">
        <w:rPr>
          <w:rFonts w:eastAsia="Times New Roman" w:cs="Arial"/>
          <w:color w:val="000000"/>
          <w:lang w:val="en-US"/>
        </w:rPr>
        <w:t xml:space="preserve">CYP </w:t>
      </w:r>
      <w:r w:rsidRPr="000A31E6">
        <w:rPr>
          <w:rFonts w:eastAsia="Times New Roman" w:cs="Arial"/>
          <w:color w:val="000000"/>
          <w:lang w:eastAsia="bg-BG"/>
        </w:rPr>
        <w:t xml:space="preserve">ЗА4, може да намали степента на метаболизъм на карбамазепин, което води до покачване на плазмените му концентрации. Карбамазепин е силен индуктор на </w:t>
      </w:r>
      <w:r w:rsidRPr="000A31E6">
        <w:rPr>
          <w:rFonts w:eastAsia="Times New Roman" w:cs="Arial"/>
          <w:color w:val="000000"/>
          <w:lang w:val="en-US"/>
        </w:rPr>
        <w:t xml:space="preserve">CYP </w:t>
      </w:r>
      <w:r w:rsidRPr="000A31E6">
        <w:rPr>
          <w:rFonts w:eastAsia="Times New Roman" w:cs="Arial"/>
          <w:color w:val="000000"/>
          <w:lang w:eastAsia="bg-BG"/>
        </w:rPr>
        <w:t xml:space="preserve">ЗА4 и други ензимни системи в черния дроб, участващи в реакциите на фаза I и фаза II на метаболизма и по тази причина може да намали плазмените концентрации на лекарства, които се метаболизират главно от </w:t>
      </w:r>
      <w:r w:rsidRPr="000A31E6">
        <w:rPr>
          <w:rFonts w:eastAsia="Times New Roman" w:cs="Arial"/>
          <w:color w:val="000000"/>
          <w:lang w:val="en-US"/>
        </w:rPr>
        <w:t xml:space="preserve">CYP </w:t>
      </w:r>
      <w:r w:rsidR="004E109F">
        <w:rPr>
          <w:rFonts w:eastAsia="Times New Roman" w:cs="Arial"/>
          <w:color w:val="000000"/>
          <w:lang w:eastAsia="bg-BG"/>
        </w:rPr>
        <w:t>3</w:t>
      </w:r>
      <w:r w:rsidRPr="000A31E6">
        <w:rPr>
          <w:rFonts w:eastAsia="Times New Roman" w:cs="Arial"/>
          <w:color w:val="000000"/>
          <w:lang w:eastAsia="bg-BG"/>
        </w:rPr>
        <w:t>А4.</w:t>
      </w:r>
    </w:p>
    <w:p w14:paraId="401C9B32" w14:textId="77777777" w:rsidR="000A31E6" w:rsidRPr="004E109F" w:rsidRDefault="000A31E6" w:rsidP="000A31E6">
      <w:pPr>
        <w:spacing w:line="240" w:lineRule="auto"/>
        <w:rPr>
          <w:rFonts w:eastAsia="Times New Roman" w:cs="Arial"/>
          <w:i/>
          <w:iCs/>
          <w:color w:val="000000"/>
          <w:lang w:eastAsia="bg-BG"/>
        </w:rPr>
      </w:pPr>
    </w:p>
    <w:p w14:paraId="4033B430" w14:textId="094F3E7B"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Вещества, които могат да повишат плазмените концентрации на карбамазепин:</w:t>
      </w:r>
    </w:p>
    <w:p w14:paraId="1A945D26"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Тъй като повишените плазмени концентрации на карбамазепин могат да доведат до появата на нежелани лекарствени реакции (напр. замаяност, сънливост, атаксия, диплопия), дозата на карбамазепин трябва да бъде подходящо коригирана и/или плазмените концентрации да се мониторират при едновременна употреба със следните лекарства:</w:t>
      </w:r>
    </w:p>
    <w:p w14:paraId="0427E5DE"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Антитуберкулозни средства: изониазид;</w:t>
      </w:r>
      <w:r w:rsidRPr="004E109F">
        <w:rPr>
          <w:rFonts w:eastAsia="Times New Roman" w:cs="Arial"/>
          <w:color w:val="000000"/>
          <w:lang w:val="en-US" w:eastAsia="bg-BG"/>
        </w:rPr>
        <w:t xml:space="preserve"> </w:t>
      </w:r>
    </w:p>
    <w:p w14:paraId="6117BB88"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Сърдечно-съдови лекарства: верапамил, дилтиазем;</w:t>
      </w:r>
    </w:p>
    <w:p w14:paraId="7B0757DA"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Антивирусни: протеазни инхибитори за лечение на СПИН (ритонавир);</w:t>
      </w:r>
    </w:p>
    <w:p w14:paraId="78E5C27F"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Противовъзпалителни средства: декстропропоксифен;</w:t>
      </w:r>
    </w:p>
    <w:p w14:paraId="766665DC"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Антидепресанти: флуоксетин, флувоксамин, тразодон;</w:t>
      </w:r>
    </w:p>
    <w:p w14:paraId="7F6365BD"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Гастроинтестинални продукти: циметидин, омепразол;</w:t>
      </w:r>
    </w:p>
    <w:p w14:paraId="35099624"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Инхибитори на карбоанхидразата: ацетазоламид;</w:t>
      </w:r>
    </w:p>
    <w:p w14:paraId="72445BBC"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Андрогени: даназол;</w:t>
      </w:r>
    </w:p>
    <w:p w14:paraId="3AD9C69A"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Антиепилептици: вигабатрин;</w:t>
      </w:r>
    </w:p>
    <w:p w14:paraId="79988818"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Макролидни антибиотици: (напр. еритромицин, кларитромицин);</w:t>
      </w:r>
    </w:p>
    <w:p w14:paraId="66E8E97B"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Антимикотици: азоли (напр. итраконазол, кетоконазол, флуконазол, вориконазол);</w:t>
      </w:r>
    </w:p>
    <w:p w14:paraId="75E31F07"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Антихистамини: лоратадин;</w:t>
      </w:r>
    </w:p>
    <w:p w14:paraId="512E78CD" w14:textId="77777777"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Антипсихотици: оланзапин;</w:t>
      </w:r>
    </w:p>
    <w:p w14:paraId="7168D4E4" w14:textId="7ACE2355" w:rsidR="000A31E6" w:rsidRPr="004E109F" w:rsidRDefault="000A31E6" w:rsidP="000A31E6">
      <w:pPr>
        <w:pStyle w:val="ListParagraph"/>
        <w:numPr>
          <w:ilvl w:val="0"/>
          <w:numId w:val="42"/>
        </w:numPr>
        <w:spacing w:line="240" w:lineRule="auto"/>
        <w:rPr>
          <w:rFonts w:eastAsia="Times New Roman" w:cs="Arial"/>
          <w:lang w:eastAsia="bg-BG"/>
        </w:rPr>
      </w:pPr>
      <w:r w:rsidRPr="004E109F">
        <w:rPr>
          <w:rFonts w:eastAsia="Times New Roman" w:cs="Arial"/>
          <w:color w:val="000000"/>
          <w:lang w:eastAsia="bg-BG"/>
        </w:rPr>
        <w:t>Други взаимодействия: сок от грейпфрут, никотинамид (при възрастни, само във високи дози).</w:t>
      </w:r>
    </w:p>
    <w:p w14:paraId="5831CB40" w14:textId="77777777" w:rsidR="000A31E6" w:rsidRPr="004E109F" w:rsidRDefault="000A31E6" w:rsidP="000A31E6">
      <w:pPr>
        <w:spacing w:line="240" w:lineRule="auto"/>
        <w:rPr>
          <w:rFonts w:eastAsia="Times New Roman" w:cs="Arial"/>
          <w:color w:val="000000"/>
          <w:lang w:eastAsia="bg-BG"/>
        </w:rPr>
      </w:pPr>
    </w:p>
    <w:p w14:paraId="5DBC3566" w14:textId="795BF779"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При повишени плазмени концентрации на карбамазепин-10,11-епоксид може да се наложи адаптиране на дозата на карбамазепин и/или проследяване на нивата на лекарствения продукт в плазмата, когато се прилага едновременно със следните продукти: кветиапин, примидон.</w:t>
      </w:r>
    </w:p>
    <w:p w14:paraId="1843BAA4" w14:textId="77777777" w:rsidR="000A31E6" w:rsidRPr="004E109F" w:rsidRDefault="000A31E6" w:rsidP="000A31E6">
      <w:pPr>
        <w:spacing w:line="240" w:lineRule="auto"/>
        <w:rPr>
          <w:rFonts w:eastAsia="Times New Roman" w:cs="Arial"/>
          <w:i/>
          <w:iCs/>
          <w:color w:val="000000"/>
          <w:lang w:eastAsia="bg-BG"/>
        </w:rPr>
      </w:pPr>
    </w:p>
    <w:p w14:paraId="18596C97" w14:textId="2A40EFFE" w:rsidR="000A31E6" w:rsidRPr="000A31E6" w:rsidRDefault="000A31E6" w:rsidP="000A31E6">
      <w:pPr>
        <w:spacing w:line="240" w:lineRule="auto"/>
        <w:rPr>
          <w:rFonts w:eastAsia="Times New Roman" w:cs="Arial"/>
          <w:lang w:eastAsia="bg-BG"/>
        </w:rPr>
      </w:pPr>
      <w:r w:rsidRPr="000A31E6">
        <w:rPr>
          <w:rFonts w:eastAsia="Times New Roman" w:cs="Arial"/>
          <w:i/>
          <w:iCs/>
          <w:color w:val="000000"/>
          <w:lang w:eastAsia="bg-BG"/>
        </w:rPr>
        <w:t>Вещества, които могат да понижат плазмените концентрации на карбамазепин</w:t>
      </w:r>
    </w:p>
    <w:p w14:paraId="39A78ADD" w14:textId="77777777" w:rsidR="000A31E6" w:rsidRPr="000A31E6" w:rsidRDefault="000A31E6" w:rsidP="000A31E6">
      <w:pPr>
        <w:spacing w:line="240" w:lineRule="auto"/>
        <w:rPr>
          <w:rFonts w:eastAsia="Times New Roman" w:cs="Arial"/>
          <w:lang w:eastAsia="bg-BG"/>
        </w:rPr>
      </w:pPr>
      <w:r w:rsidRPr="000A31E6">
        <w:rPr>
          <w:rFonts w:eastAsia="Times New Roman" w:cs="Arial"/>
          <w:color w:val="000000"/>
          <w:lang w:eastAsia="bg-BG"/>
        </w:rPr>
        <w:t>При едновременна употреба с изброените продукти може да се наложи адаптиране на дозата на карбамазепин:</w:t>
      </w:r>
    </w:p>
    <w:p w14:paraId="2AFEB35A" w14:textId="77777777" w:rsidR="000A31E6" w:rsidRPr="004E109F" w:rsidRDefault="000A31E6" w:rsidP="000A31E6">
      <w:pPr>
        <w:pStyle w:val="ListParagraph"/>
        <w:numPr>
          <w:ilvl w:val="0"/>
          <w:numId w:val="43"/>
        </w:numPr>
        <w:spacing w:line="240" w:lineRule="auto"/>
        <w:rPr>
          <w:rFonts w:eastAsia="Times New Roman" w:cs="Arial"/>
          <w:lang w:eastAsia="bg-BG"/>
        </w:rPr>
      </w:pPr>
      <w:r w:rsidRPr="004E109F">
        <w:rPr>
          <w:rFonts w:eastAsia="Times New Roman" w:cs="Arial"/>
          <w:color w:val="000000"/>
          <w:lang w:eastAsia="bg-BG"/>
        </w:rPr>
        <w:t>Антиепилептични средства: фенобарбитал, фенитоин, примидон, и въпреки частично противоречивите данни, вероятно към тази група принадлежи клоназепам;</w:t>
      </w:r>
    </w:p>
    <w:p w14:paraId="786F66E6" w14:textId="77777777" w:rsidR="000A31E6" w:rsidRPr="004E109F" w:rsidRDefault="000A31E6" w:rsidP="000A31E6">
      <w:pPr>
        <w:pStyle w:val="ListParagraph"/>
        <w:numPr>
          <w:ilvl w:val="0"/>
          <w:numId w:val="43"/>
        </w:numPr>
        <w:spacing w:line="240" w:lineRule="auto"/>
        <w:rPr>
          <w:rFonts w:eastAsia="Times New Roman" w:cs="Arial"/>
          <w:lang w:eastAsia="bg-BG"/>
        </w:rPr>
      </w:pPr>
      <w:r w:rsidRPr="004E109F">
        <w:rPr>
          <w:rFonts w:eastAsia="Times New Roman" w:cs="Arial"/>
          <w:color w:val="000000"/>
          <w:lang w:eastAsia="bg-BG"/>
        </w:rPr>
        <w:t>Антинеопластични средства: цисплатин или доксорубицин;</w:t>
      </w:r>
    </w:p>
    <w:p w14:paraId="6E8B79E1" w14:textId="77777777" w:rsidR="000A31E6" w:rsidRPr="004E109F" w:rsidRDefault="000A31E6" w:rsidP="000A31E6">
      <w:pPr>
        <w:pStyle w:val="ListParagraph"/>
        <w:numPr>
          <w:ilvl w:val="0"/>
          <w:numId w:val="43"/>
        </w:numPr>
        <w:spacing w:line="240" w:lineRule="auto"/>
        <w:rPr>
          <w:rFonts w:eastAsia="Times New Roman" w:cs="Arial"/>
          <w:lang w:eastAsia="bg-BG"/>
        </w:rPr>
      </w:pPr>
      <w:r w:rsidRPr="004E109F">
        <w:rPr>
          <w:rFonts w:eastAsia="Times New Roman" w:cs="Arial"/>
          <w:color w:val="000000"/>
          <w:lang w:eastAsia="bg-BG"/>
        </w:rPr>
        <w:t>Антитуберкулозни средства: рифампицин;</w:t>
      </w:r>
    </w:p>
    <w:p w14:paraId="7C635F78" w14:textId="77777777" w:rsidR="000A31E6" w:rsidRPr="004E109F" w:rsidRDefault="000A31E6" w:rsidP="000A31E6">
      <w:pPr>
        <w:pStyle w:val="ListParagraph"/>
        <w:numPr>
          <w:ilvl w:val="0"/>
          <w:numId w:val="43"/>
        </w:numPr>
        <w:spacing w:line="240" w:lineRule="auto"/>
        <w:rPr>
          <w:rFonts w:eastAsia="Times New Roman" w:cs="Arial"/>
          <w:lang w:eastAsia="bg-BG"/>
        </w:rPr>
      </w:pPr>
      <w:r w:rsidRPr="004E109F">
        <w:rPr>
          <w:rFonts w:eastAsia="Times New Roman" w:cs="Arial"/>
          <w:color w:val="000000"/>
          <w:lang w:eastAsia="bg-BG"/>
        </w:rPr>
        <w:t>Бронходилататори и антиастматични средства: теофилин, аминофилин;</w:t>
      </w:r>
    </w:p>
    <w:p w14:paraId="36D9C263" w14:textId="77777777" w:rsidR="000A31E6" w:rsidRPr="004E109F" w:rsidRDefault="000A31E6" w:rsidP="000A31E6">
      <w:pPr>
        <w:pStyle w:val="ListParagraph"/>
        <w:numPr>
          <w:ilvl w:val="0"/>
          <w:numId w:val="43"/>
        </w:numPr>
        <w:spacing w:line="240" w:lineRule="auto"/>
        <w:rPr>
          <w:rFonts w:eastAsia="Times New Roman" w:cs="Arial"/>
          <w:lang w:eastAsia="bg-BG"/>
        </w:rPr>
      </w:pPr>
      <w:r w:rsidRPr="004E109F">
        <w:rPr>
          <w:rFonts w:eastAsia="Times New Roman" w:cs="Arial"/>
          <w:color w:val="000000"/>
          <w:lang w:eastAsia="bg-BG"/>
        </w:rPr>
        <w:t>Дерматологични средства: изотретиноин;</w:t>
      </w:r>
    </w:p>
    <w:p w14:paraId="6C693B16" w14:textId="5EA463FD" w:rsidR="004E109F" w:rsidRPr="004E109F" w:rsidRDefault="000A31E6" w:rsidP="004E109F">
      <w:pPr>
        <w:pStyle w:val="ListParagraph"/>
        <w:numPr>
          <w:ilvl w:val="0"/>
          <w:numId w:val="43"/>
        </w:numPr>
        <w:spacing w:line="240" w:lineRule="auto"/>
        <w:rPr>
          <w:rFonts w:eastAsia="Times New Roman" w:cs="Arial"/>
          <w:lang w:eastAsia="bg-BG"/>
        </w:rPr>
      </w:pPr>
      <w:r w:rsidRPr="004E109F">
        <w:rPr>
          <w:rFonts w:eastAsia="Times New Roman" w:cs="Arial"/>
          <w:color w:val="000000"/>
          <w:lang w:eastAsia="bg-BG"/>
        </w:rPr>
        <w:lastRenderedPageBreak/>
        <w:t xml:space="preserve">Други взаимодействия: растителни продукти, съдържащи жълт кантарион </w:t>
      </w:r>
      <w:r w:rsidRPr="004E109F">
        <w:rPr>
          <w:rFonts w:eastAsia="Times New Roman" w:cs="Arial"/>
          <w:color w:val="000000"/>
          <w:lang w:val="en-US"/>
        </w:rPr>
        <w:t>(</w:t>
      </w:r>
      <w:proofErr w:type="spellStart"/>
      <w:r w:rsidRPr="004E109F">
        <w:rPr>
          <w:rFonts w:eastAsia="Times New Roman" w:cs="Arial"/>
          <w:color w:val="000000"/>
          <w:lang w:val="en-US"/>
        </w:rPr>
        <w:t>HyperiCum</w:t>
      </w:r>
      <w:proofErr w:type="spellEnd"/>
      <w:r w:rsidRPr="004E109F">
        <w:rPr>
          <w:rFonts w:eastAsia="Times New Roman" w:cs="Arial"/>
          <w:color w:val="000000"/>
          <w:lang w:val="en-US"/>
        </w:rPr>
        <w:t xml:space="preserve"> </w:t>
      </w:r>
      <w:proofErr w:type="spellStart"/>
      <w:r w:rsidRPr="004E109F">
        <w:rPr>
          <w:rFonts w:eastAsia="Times New Roman" w:cs="Arial"/>
          <w:color w:val="000000"/>
          <w:lang w:val="en-US"/>
        </w:rPr>
        <w:t>Perforatum</w:t>
      </w:r>
      <w:proofErr w:type="spellEnd"/>
      <w:r w:rsidRPr="004E109F">
        <w:rPr>
          <w:rFonts w:eastAsia="Times New Roman" w:cs="Arial"/>
          <w:color w:val="000000"/>
          <w:lang w:val="en-US"/>
        </w:rPr>
        <w:t>).</w:t>
      </w:r>
    </w:p>
    <w:p w14:paraId="6B40BB83" w14:textId="517D3CB3" w:rsidR="004E109F" w:rsidRDefault="004E109F" w:rsidP="004E109F">
      <w:pPr>
        <w:spacing w:line="240" w:lineRule="auto"/>
        <w:ind w:left="360"/>
        <w:rPr>
          <w:rFonts w:eastAsia="Times New Roman" w:cs="Arial"/>
          <w:lang w:eastAsia="bg-BG"/>
        </w:rPr>
      </w:pPr>
    </w:p>
    <w:p w14:paraId="46913E47"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Мефлокин може да антагонизира антиепилептичния ефект на карбамазепин, което ще наложи коригиране дозата на последния.</w:t>
      </w:r>
    </w:p>
    <w:p w14:paraId="6F0CF044" w14:textId="77777777" w:rsidR="004E109F" w:rsidRPr="004E109F" w:rsidRDefault="004E109F" w:rsidP="004E109F">
      <w:pPr>
        <w:spacing w:line="240" w:lineRule="auto"/>
        <w:rPr>
          <w:rFonts w:eastAsia="Times New Roman" w:cs="Arial"/>
          <w:i/>
          <w:iCs/>
          <w:color w:val="000000"/>
          <w:lang w:eastAsia="bg-BG"/>
        </w:rPr>
      </w:pPr>
    </w:p>
    <w:p w14:paraId="4D0EFB64" w14:textId="1EBA604B"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 xml:space="preserve">Ефекти на карбамазепин върху плазмените концентрации на едновременно прилагани лекарства </w:t>
      </w:r>
      <w:r w:rsidRPr="004E109F">
        <w:rPr>
          <w:rFonts w:eastAsia="Times New Roman" w:cs="Arial"/>
          <w:color w:val="000000"/>
          <w:lang w:eastAsia="bg-BG"/>
        </w:rPr>
        <w:t>Карбамазепин може да понижи в по-малка или по-голяма степен плазмените концентрации или дори да неутрализира действието на редица лекарства. Може да се наложи адаптиране на дозата на следните продукти:</w:t>
      </w:r>
    </w:p>
    <w:p w14:paraId="372ADD41"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Тироидни продукти: левотироксин;</w:t>
      </w:r>
    </w:p>
    <w:p w14:paraId="1A3D07E5"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Антиепилептици: клобазам, клоназепам, етосукцимид, примидон, валпроева киселина, ламотригин, окскарбазепин, топирамат, тиагабин;</w:t>
      </w:r>
    </w:p>
    <w:p w14:paraId="5927A81E"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Анксиолитици: алпразолам;</w:t>
      </w:r>
    </w:p>
    <w:p w14:paraId="18039A89"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Кортикостероиди: дексаматазон;</w:t>
      </w:r>
    </w:p>
    <w:p w14:paraId="640A61D8"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Имуносупресори: циклоспорин;</w:t>
      </w:r>
    </w:p>
    <w:p w14:paraId="61C9680D"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Сърдечно-съдови лекарства: дигоксин, дихидропиридинови производни (фелодипин, израдипин);</w:t>
      </w:r>
    </w:p>
    <w:p w14:paraId="0B3B7D4A"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Антибиотици: доксициклин;</w:t>
      </w:r>
    </w:p>
    <w:p w14:paraId="75FFE056"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Антивирусни лекарства: протеазни инхибитори за лечение на СПИН (напр. индинавир, ритонавир, секвинавир);</w:t>
      </w:r>
    </w:p>
    <w:p w14:paraId="093CB55F"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Антипсихотици: клозапин, оланзапин, кветиапин, рисперидон, халоперидол;</w:t>
      </w:r>
    </w:p>
    <w:p w14:paraId="63E29177"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Антидепресанти: бупропион, циталопрам, тразодон, трициклични антидепресанти (напр. имипрамин, амитриптилин, нортриптилин, кломипрамин)</w:t>
      </w:r>
    </w:p>
    <w:p w14:paraId="49EDF648"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Аналгетици и противовъзпалителни средства: метадон, парацетамол, трамадол;</w:t>
      </w:r>
    </w:p>
    <w:p w14:paraId="6F02FFC8"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Перорални антикоагуланти: варфарин, аценокумарол;</w:t>
      </w:r>
    </w:p>
    <w:p w14:paraId="08007138"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Антимикотици: итраконазол;</w:t>
      </w:r>
    </w:p>
    <w:p w14:paraId="26EBDEBE"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Антинеопластични продукти: иматиниб;</w:t>
      </w:r>
    </w:p>
    <w:p w14:paraId="5896F6D6"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Бронходилататори: теофилин;</w:t>
      </w:r>
    </w:p>
    <w:p w14:paraId="1BCBE05E" w14:textId="77777777"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Контрацептиви: хормонални продукти, съдържащи естрогени и/или прогестерон (необходимо е да се намерят алтернативни контрацептивни методи);</w:t>
      </w:r>
    </w:p>
    <w:p w14:paraId="46D49FB1" w14:textId="7DF0D943" w:rsidR="004E109F" w:rsidRPr="004E109F" w:rsidRDefault="004E109F" w:rsidP="004E109F">
      <w:pPr>
        <w:pStyle w:val="ListParagraph"/>
        <w:numPr>
          <w:ilvl w:val="0"/>
          <w:numId w:val="44"/>
        </w:numPr>
        <w:spacing w:line="240" w:lineRule="auto"/>
        <w:rPr>
          <w:rFonts w:eastAsia="Times New Roman" w:cs="Arial"/>
          <w:sz w:val="24"/>
          <w:szCs w:val="24"/>
          <w:lang w:eastAsia="bg-BG"/>
        </w:rPr>
      </w:pPr>
      <w:r w:rsidRPr="004E109F">
        <w:rPr>
          <w:rFonts w:eastAsia="Times New Roman" w:cs="Arial"/>
          <w:color w:val="000000"/>
          <w:lang w:eastAsia="bg-BG"/>
        </w:rPr>
        <w:t>Други лекарствени взаимодействия: лекарства, съдържащи естрогени и/или прогестерон (напр. гестринон, тиболон, торемифен)</w:t>
      </w:r>
    </w:p>
    <w:p w14:paraId="65FF34F9"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Съществуват данни за повишение или намаление на плазмените концентрации на фенитоин при приложение на карбамазепин и в редки случаи повишение на плазмените концентрации на мефенитоин.</w:t>
      </w:r>
    </w:p>
    <w:p w14:paraId="130AC1D2" w14:textId="77777777" w:rsidR="004E109F" w:rsidRPr="004E109F" w:rsidRDefault="004E109F" w:rsidP="004E109F">
      <w:pPr>
        <w:spacing w:line="240" w:lineRule="auto"/>
        <w:rPr>
          <w:rFonts w:eastAsia="Times New Roman" w:cs="Arial"/>
          <w:i/>
          <w:iCs/>
          <w:color w:val="000000"/>
          <w:lang w:eastAsia="bg-BG"/>
        </w:rPr>
      </w:pPr>
    </w:p>
    <w:p w14:paraId="0AA00EF9" w14:textId="1248EF23"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Комбинации, които изискват специално внимание</w:t>
      </w:r>
    </w:p>
    <w:p w14:paraId="396B2A1E"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Едновременната употреба на карбамазепин и изониазид може да доведе до повишена честота на изониазид-индуцирана хепатотоксичност.</w:t>
      </w:r>
    </w:p>
    <w:p w14:paraId="5F3B9B8F"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Комбинирането на карбамазепин и литий може да доведе до повишена невротоксичност, въпреки че плазмените концентрации на лития са в рамките на терапевтичните граници. Едновременното приложение на карбамазепин и невролептици (халоперидол, тиоридазин) или метоклопрамид може да доведе до повишена честота на неврологичните нежелани лекарствени реакции.</w:t>
      </w:r>
    </w:p>
    <w:p w14:paraId="0CCBB4EA"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 xml:space="preserve">Употребата на карбамазепин не се препоръчва в комбинация с </w:t>
      </w:r>
      <w:r w:rsidRPr="004E109F">
        <w:rPr>
          <w:rFonts w:eastAsia="Times New Roman" w:cs="Arial"/>
          <w:color w:val="000000"/>
          <w:lang w:val="en-US"/>
        </w:rPr>
        <w:t>MAO</w:t>
      </w:r>
      <w:r w:rsidRPr="004E109F">
        <w:rPr>
          <w:rFonts w:eastAsia="Times New Roman" w:cs="Arial"/>
          <w:color w:val="000000"/>
          <w:lang w:eastAsia="bg-BG"/>
        </w:rPr>
        <w:t>-инхибитори. Приемът на МАО-инхибиторите трябва да се преустанови поне за 2 седмици или повече, ако клиничното състояние го позволява, преди приложението на карбамазепин.</w:t>
      </w:r>
    </w:p>
    <w:p w14:paraId="7DE82110"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lastRenderedPageBreak/>
        <w:t>Едновременното лечение с карбамазепин и някои диуретици (хидрохлортиазид, фуроземид) може да доведе до симптоматична хипонатриемия.</w:t>
      </w:r>
    </w:p>
    <w:p w14:paraId="4C8E75CB" w14:textId="4D495B86"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Карбамазепин може да антагонизира ефектите на недеполяризиращите миорелаксанти (напр. панкуроний). Може да се наложи повишаване на тяхната доза и стриктно мониториране на пациентите, поради възможността за по-бързо от очакваното възстановяване от невромускулната блокада.</w:t>
      </w:r>
    </w:p>
    <w:p w14:paraId="0395BD2E" w14:textId="2DC9D9CB" w:rsidR="007A2185" w:rsidRDefault="007A2185" w:rsidP="0091385D"/>
    <w:p w14:paraId="33B502AF" w14:textId="0E132DE7" w:rsidR="004E109F" w:rsidRPr="004E109F" w:rsidRDefault="004E109F" w:rsidP="0091385D">
      <w:r w:rsidRPr="004E109F">
        <w:t>Карбамазепин, подобно на другите психоактивни вещества, може да намали поносимостта към алкохол. Препоръчително е пациентите на терапия с карбамазепин да се въздържат от употреба на алкохол.</w:t>
      </w:r>
    </w:p>
    <w:p w14:paraId="7DD33786" w14:textId="77777777" w:rsidR="004E109F" w:rsidRPr="0091385D" w:rsidRDefault="004E109F"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6EB8C0B8" w14:textId="77777777" w:rsidR="004E109F" w:rsidRPr="004E109F" w:rsidRDefault="004E109F" w:rsidP="004E109F">
      <w:pPr>
        <w:pStyle w:val="Heading3"/>
        <w:rPr>
          <w:rFonts w:eastAsia="Times New Roman"/>
          <w:u w:val="single"/>
          <w:lang w:eastAsia="bg-BG"/>
        </w:rPr>
      </w:pPr>
      <w:r w:rsidRPr="004E109F">
        <w:rPr>
          <w:rFonts w:eastAsia="Times New Roman"/>
          <w:u w:val="single"/>
          <w:lang w:eastAsia="bg-BG"/>
        </w:rPr>
        <w:t>Бременност</w:t>
      </w:r>
    </w:p>
    <w:p w14:paraId="40C63A52"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 xml:space="preserve">При животни (мишки, плъхове и зайци) пероралното приложение на карбамазепин по време на органогенезата води до повишена смъртност на ембрионите при дневни дози, токсични за майката (над 200 </w:t>
      </w:r>
      <w:r w:rsidRPr="004E109F">
        <w:rPr>
          <w:rFonts w:eastAsia="Times New Roman" w:cs="Arial"/>
          <w:color w:val="000000"/>
          <w:lang w:val="en-US"/>
        </w:rPr>
        <w:t xml:space="preserve">mg/kg </w:t>
      </w:r>
      <w:r w:rsidRPr="004E109F">
        <w:rPr>
          <w:rFonts w:eastAsia="Times New Roman" w:cs="Arial"/>
          <w:color w:val="000000"/>
          <w:lang w:eastAsia="bg-BG"/>
        </w:rPr>
        <w:t xml:space="preserve">телесно тегло дневно, т.е. 20 пъти над обичайната доза при човек). При плъховете съществуват данни за аборт при 300 </w:t>
      </w:r>
      <w:r w:rsidRPr="004E109F">
        <w:rPr>
          <w:rFonts w:eastAsia="Times New Roman" w:cs="Arial"/>
          <w:color w:val="000000"/>
          <w:lang w:val="en-US"/>
        </w:rPr>
        <w:t xml:space="preserve">mg/kg </w:t>
      </w:r>
      <w:r w:rsidRPr="004E109F">
        <w:rPr>
          <w:rFonts w:eastAsia="Times New Roman" w:cs="Arial"/>
          <w:color w:val="000000"/>
          <w:lang w:eastAsia="bg-BG"/>
        </w:rPr>
        <w:t xml:space="preserve">телесно тегло дневно. Няма дани за тератогенен потенциал при трите изследвани животински вида, но в едно проучване с мишки, карбамазепин (40-240 </w:t>
      </w:r>
      <w:r w:rsidRPr="004E109F">
        <w:rPr>
          <w:rFonts w:eastAsia="Times New Roman" w:cs="Arial"/>
          <w:color w:val="000000"/>
          <w:lang w:val="en-US"/>
        </w:rPr>
        <w:t xml:space="preserve">mg/kg </w:t>
      </w:r>
      <w:r w:rsidRPr="004E109F">
        <w:rPr>
          <w:rFonts w:eastAsia="Times New Roman" w:cs="Arial"/>
          <w:color w:val="000000"/>
          <w:lang w:eastAsia="bg-BG"/>
        </w:rPr>
        <w:t>телесно тегло дневно, перорално) причинява дефекти (основно дилатация на мозъчните вентрикули при 4,7% от изложените на веществото фетуси, в сравнение с 1,3% при контролната група).</w:t>
      </w:r>
    </w:p>
    <w:p w14:paraId="0FB82FC9"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Да се има предвид следната информация:</w:t>
      </w:r>
    </w:p>
    <w:p w14:paraId="165AA3F5"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Бременните жени с епилепсия трябва да се лекуват с особено внимание.</w:t>
      </w:r>
    </w:p>
    <w:p w14:paraId="48C29B59"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Ако жена, приемаща карбамазепин забременее или планира да забременее, или ако по време на бременност възникне необходимост от започване на терапия с продукта, е необходима консултация със специалист и много внимателно трябва да се преценят потенциалните ползи от лечението и възможните рискове, особено през първите три месеца от бременността. -По време на бременност антиепилептичното лечение не трябва да се прекъсва, тъй като влошаването на състоянието може да бъде вредно както за майката, така и за плода.</w:t>
      </w:r>
    </w:p>
    <w:p w14:paraId="145189CA"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Препоръчва се приложение на минимални ефективни дози и мониториране на плазмените концентрации.</w:t>
      </w:r>
    </w:p>
    <w:p w14:paraId="36C69D31"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Децата на майки, страдащи от епилепсия, лекувани с антиепилептични лекарства, са по- склонни към нарушения в развитието, включително малформации. Твърде вероятно е карбамазепин, подобно на другите основни антиепилептични лекарствени продукти, също да увеличи този риск, независимо, че липсват сигурни данни от контролирани проучвания при монотерапия с лекарството. Съществуват съобщения за нарушения в развитието и малформации, включително спина бифида, както и други вродени аномалии, като кранио- фациални дефекти, сърдечно-съдови малформации, хипоспадия и аномалии на различни органи и системи, свързани с приложението на карбамазепин.</w:t>
      </w:r>
    </w:p>
    <w:p w14:paraId="2F877516"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Рискът от вродени дефекти се увеличава с коефициент 2 или 3 при деца на майки, лекувани с антиепилептични средства. Най-често съобщаваните дефекти са заешка устна, сърдечно</w:t>
      </w:r>
      <w:r w:rsidRPr="004E109F">
        <w:rPr>
          <w:rFonts w:eastAsia="Times New Roman" w:cs="Arial"/>
          <w:color w:val="000000"/>
          <w:lang w:eastAsia="bg-BG"/>
        </w:rPr>
        <w:softHyphen/>
        <w:t>съдови малформации и дефекти на невралната тръба.</w:t>
      </w:r>
    </w:p>
    <w:p w14:paraId="689E28E9"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При жени в репродуктивна възраст карбамазепин трябва да се предписва по възможност като монотерапия, тъй като рискът от поява на вродени аномалии в потомството на жени, лекувани с комбинирана антиепилептична терапия, е по-голям, в сравнение с тези, приемащи само един лекарствен продукт.</w:t>
      </w:r>
    </w:p>
    <w:p w14:paraId="68A53E55"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lastRenderedPageBreak/>
        <w:t>Пациентите трябва да се консултират относно вероятността за повишен риск от малформации и да им се предостави възможност за пренатален скрининг.</w:t>
      </w:r>
    </w:p>
    <w:p w14:paraId="09F24541"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При бременни жени може да се развие недостиг на фолиева киселина, който може допълнително да се задълбочи при приложение на антиепилептични лекарства и да доведе до повишена честота на вродени малформации у плода. В тези случаи се препоръчва приемане на допълнителни количества фолиева киселина преди и по време на бременността.</w:t>
      </w:r>
    </w:p>
    <w:p w14:paraId="763BBB4A" w14:textId="77777777"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С цел предотвратяване нарушенията в кръвосъсирването при новородените, се препоръчва приложението на витамин К1, както при майката в последните седмици на бременноста, така и при новороденото.</w:t>
      </w:r>
    </w:p>
    <w:p w14:paraId="56153C32" w14:textId="339BACAA" w:rsidR="004E109F" w:rsidRPr="004E109F" w:rsidRDefault="004E109F" w:rsidP="004E109F">
      <w:pPr>
        <w:pStyle w:val="ListParagraph"/>
        <w:numPr>
          <w:ilvl w:val="0"/>
          <w:numId w:val="45"/>
        </w:numPr>
        <w:spacing w:line="240" w:lineRule="auto"/>
        <w:rPr>
          <w:rFonts w:eastAsia="Times New Roman" w:cs="Arial"/>
          <w:sz w:val="24"/>
          <w:szCs w:val="24"/>
          <w:lang w:eastAsia="bg-BG"/>
        </w:rPr>
      </w:pPr>
      <w:r w:rsidRPr="004E109F">
        <w:rPr>
          <w:rFonts w:eastAsia="Times New Roman" w:cs="Arial"/>
          <w:color w:val="000000"/>
          <w:lang w:eastAsia="bg-BG"/>
        </w:rPr>
        <w:t>Има данни за няколко случая на епилептични гърчове и/или респираторна депресия при</w:t>
      </w:r>
      <w:r w:rsidRPr="004E109F">
        <w:rPr>
          <w:rFonts w:eastAsia="Times New Roman" w:cs="Arial"/>
          <w:color w:val="000000"/>
          <w:lang w:val="en-US" w:eastAsia="bg-BG"/>
        </w:rPr>
        <w:t xml:space="preserve"> </w:t>
      </w:r>
      <w:r w:rsidRPr="004E109F">
        <w:rPr>
          <w:rFonts w:eastAsia="Times New Roman" w:cs="Arial"/>
          <w:color w:val="000000"/>
          <w:lang w:eastAsia="bg-BG"/>
        </w:rPr>
        <w:t>новороденото, свързани с прием на карбамазепин едновременно с други антиепилептични</w:t>
      </w:r>
      <w:r w:rsidRPr="004E109F">
        <w:rPr>
          <w:rFonts w:eastAsia="Times New Roman" w:cs="Arial"/>
          <w:color w:val="000000"/>
          <w:lang w:val="en-US" w:eastAsia="bg-BG"/>
        </w:rPr>
        <w:t xml:space="preserve"> </w:t>
      </w:r>
      <w:r w:rsidRPr="004E109F">
        <w:rPr>
          <w:rFonts w:eastAsia="Times New Roman" w:cs="Arial"/>
          <w:color w:val="000000"/>
          <w:lang w:eastAsia="bg-BG"/>
        </w:rPr>
        <w:t>лекарствени продукти от майката. Също са докладвани няколко случая на повръщане, диария и/или нежелание за хранене при новородени от майки, приемащи карбамазепин. Тези симптоми представляват синдром на абстиненция при новороденото.</w:t>
      </w:r>
    </w:p>
    <w:p w14:paraId="1F85CEA7" w14:textId="77777777" w:rsidR="004E109F" w:rsidRPr="004E109F" w:rsidRDefault="004E109F" w:rsidP="004E109F">
      <w:pPr>
        <w:spacing w:line="240" w:lineRule="auto"/>
        <w:rPr>
          <w:rFonts w:eastAsia="Times New Roman" w:cs="Arial"/>
          <w:color w:val="000000"/>
          <w:u w:val="single"/>
          <w:lang w:eastAsia="bg-BG"/>
        </w:rPr>
      </w:pPr>
    </w:p>
    <w:p w14:paraId="07B3243B" w14:textId="2993A09F" w:rsidR="004E109F" w:rsidRPr="004E109F" w:rsidRDefault="004E109F" w:rsidP="004E109F">
      <w:pPr>
        <w:pStyle w:val="Heading3"/>
        <w:rPr>
          <w:rFonts w:eastAsia="Times New Roman"/>
          <w:u w:val="single"/>
          <w:lang w:eastAsia="bg-BG"/>
        </w:rPr>
      </w:pPr>
      <w:r w:rsidRPr="004E109F">
        <w:rPr>
          <w:rFonts w:eastAsia="Times New Roman"/>
          <w:u w:val="single"/>
          <w:lang w:eastAsia="bg-BG"/>
        </w:rPr>
        <w:t>Кърмене</w:t>
      </w:r>
    </w:p>
    <w:p w14:paraId="7E81ABA5"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Карбамазепин преминава в майчиното мляко (около 25-60% от плазмените концентрации). Необходимо е да се прецени съотношението между ползата от кърменето спрямо възможността от поява на нежелани реакции при кърмачето. Майките, приемащи карбамазепин, могат да кърмят, но децата трябва да се проследяват за възможни нежелани реакции (напр. повишена сънливост, алергични кожни реакции).</w:t>
      </w:r>
    </w:p>
    <w:p w14:paraId="4E6D7742" w14:textId="77777777" w:rsidR="004E109F" w:rsidRPr="004E109F" w:rsidRDefault="004E109F" w:rsidP="004E109F">
      <w:pPr>
        <w:spacing w:line="240" w:lineRule="auto"/>
        <w:rPr>
          <w:rFonts w:eastAsia="Times New Roman" w:cs="Arial"/>
          <w:color w:val="000000"/>
          <w:u w:val="single"/>
          <w:lang w:eastAsia="bg-BG"/>
        </w:rPr>
      </w:pPr>
    </w:p>
    <w:p w14:paraId="4FA2CC55" w14:textId="6B559CCE" w:rsidR="004E109F" w:rsidRPr="004E109F" w:rsidRDefault="004E109F" w:rsidP="004E109F">
      <w:pPr>
        <w:pStyle w:val="Heading3"/>
        <w:rPr>
          <w:rFonts w:eastAsia="Times New Roman"/>
          <w:u w:val="single"/>
          <w:lang w:eastAsia="bg-BG"/>
        </w:rPr>
      </w:pPr>
      <w:r w:rsidRPr="004E109F">
        <w:rPr>
          <w:rFonts w:eastAsia="Times New Roman"/>
          <w:u w:val="single"/>
          <w:lang w:eastAsia="bg-BG"/>
        </w:rPr>
        <w:t>Фертилитет</w:t>
      </w:r>
    </w:p>
    <w:p w14:paraId="102F0D07" w14:textId="3385A83B" w:rsidR="007A2185"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Има много редки съобщения за нарушения на мъжкия фертилитет и/или аномалии в сперматогенезата.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6FB29B1B" w:rsidR="007A2185" w:rsidRDefault="004E109F" w:rsidP="0091385D">
      <w:r>
        <w:t>Способността на пациентите за реакция може да се наруши поради световъртеж и повишена сънливост, дължащи се на карбамазепин. Тези нежелани реакции се наблюдават, най-често, в началото на лечението или при прием на високи дози. Необходимо е повишено внимание при шофиране или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5337A602"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t>В началото на терапията с карбамазепин, ако началните дози са много високи или при пациенти в старческа възраст, много често или често могат да възникнат следните нежелани реакции - от страна на ЦНС (световъртеж, главоболие, атаксия, сънливост, умора, диплопия), гастроинтестинални смущения (гадене, повръщане), както и кожни алергични реакции. Дозозависимите нежелани реакции обикновено отзвучават спонтанно след няколко дни или след постепенно понижаване на дозата. Нежеланите реакции от страна на ЦНС могат да се проявят при относително предозиране на продукта или при значителни флуктуации в плазмените концентрации. В тези случаи се препоръчва мониторинг на плазмените концентрации.</w:t>
      </w:r>
    </w:p>
    <w:p w14:paraId="2A3EB573" w14:textId="77777777" w:rsidR="004E109F" w:rsidRPr="004E109F" w:rsidRDefault="004E109F" w:rsidP="004E109F">
      <w:pPr>
        <w:spacing w:line="240" w:lineRule="auto"/>
        <w:rPr>
          <w:rFonts w:eastAsia="Times New Roman" w:cs="Arial"/>
          <w:color w:val="000000"/>
          <w:lang w:eastAsia="bg-BG"/>
        </w:rPr>
      </w:pPr>
    </w:p>
    <w:p w14:paraId="18E87864" w14:textId="1DF3BA4C"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lang w:eastAsia="bg-BG"/>
        </w:rPr>
        <w:lastRenderedPageBreak/>
        <w:t>Нежеланите лекарствени реакции са подредени по системо-органни класове и по честота. Според честотата се определят като: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1B90D2CD" w14:textId="77777777" w:rsidR="004E109F" w:rsidRPr="004E109F" w:rsidRDefault="004E109F" w:rsidP="004E109F">
      <w:pPr>
        <w:spacing w:line="240" w:lineRule="auto"/>
        <w:rPr>
          <w:rFonts w:eastAsia="Times New Roman" w:cs="Arial"/>
          <w:i/>
          <w:iCs/>
          <w:color w:val="000000"/>
          <w:lang w:eastAsia="bg-BG"/>
        </w:rPr>
      </w:pPr>
    </w:p>
    <w:p w14:paraId="295F49C1" w14:textId="77BFFE6F"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Нарушения на кръвта и лимфната система</w:t>
      </w:r>
    </w:p>
    <w:p w14:paraId="479D3825"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чести</w:t>
      </w:r>
      <w:r w:rsidRPr="004E109F">
        <w:rPr>
          <w:rFonts w:eastAsia="Times New Roman" w:cs="Arial"/>
          <w:color w:val="000000"/>
          <w:lang w:eastAsia="bg-BG"/>
        </w:rPr>
        <w:t xml:space="preserve"> - левкопения;</w:t>
      </w:r>
    </w:p>
    <w:p w14:paraId="757FC4C5"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Чести-</w:t>
      </w:r>
      <w:r w:rsidRPr="004E109F">
        <w:rPr>
          <w:rFonts w:eastAsia="Times New Roman" w:cs="Arial"/>
          <w:color w:val="000000"/>
          <w:lang w:eastAsia="bg-BG"/>
        </w:rPr>
        <w:t xml:space="preserve"> тромбоцитопения, еозинофилия;</w:t>
      </w:r>
    </w:p>
    <w:p w14:paraId="41ACB7E5"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левкоцитоза, лимфаденопатия, дефицит на фолиева киселина;</w:t>
      </w:r>
    </w:p>
    <w:p w14:paraId="1A17AFA0"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агранулоцитоза, апластична анемия, панцитопения, придобита (чиста) аплазия на еритроцитите, анемия, мегалобластна анемия, остра интермитентна порфирия, порфирия кутанеа тарда, ретикулоцитоза, възможно е да се развие хемолитична анемия.</w:t>
      </w:r>
    </w:p>
    <w:p w14:paraId="46DBC276" w14:textId="77777777" w:rsidR="004E109F" w:rsidRPr="004E109F" w:rsidRDefault="004E109F" w:rsidP="004E109F">
      <w:pPr>
        <w:spacing w:line="240" w:lineRule="auto"/>
        <w:rPr>
          <w:rFonts w:eastAsia="Times New Roman" w:cs="Arial"/>
          <w:i/>
          <w:iCs/>
          <w:color w:val="000000"/>
          <w:lang w:eastAsia="bg-BG"/>
        </w:rPr>
      </w:pPr>
    </w:p>
    <w:p w14:paraId="19B94207" w14:textId="3119D3B6"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Нарушения на имунната система</w:t>
      </w:r>
    </w:p>
    <w:p w14:paraId="0254AACC" w14:textId="7326C328" w:rsidR="007A2185" w:rsidRPr="004E109F" w:rsidRDefault="004E109F" w:rsidP="004E109F">
      <w:pPr>
        <w:rPr>
          <w:rFonts w:cs="Arial"/>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мултиорганна свръхчувствителност от забавен тип стреска, кожни обриви, васкулит, лимфаденопатия, псевдолимфом, артралгия, левкопения, еозинофилия, хепатоспленомегалия, отклонения от нормалните стойности на чернодробните функционални изследвания, в различни  комбинации. Други органи също могат да бъдат засегнати (напр. бели дробове, бъбреци, панкреас,</w:t>
      </w:r>
      <w:r w:rsidRPr="004E109F">
        <w:rPr>
          <w:rFonts w:eastAsia="Times New Roman" w:cs="Arial"/>
          <w:color w:val="000000"/>
          <w:vertAlign w:val="superscript"/>
          <w:lang w:eastAsia="bg-BG"/>
        </w:rPr>
        <w:t xml:space="preserve"> </w:t>
      </w:r>
      <w:r w:rsidRPr="004E109F">
        <w:rPr>
          <w:rFonts w:eastAsia="Times New Roman" w:cs="Arial"/>
          <w:color w:val="000000"/>
          <w:lang w:eastAsia="bg-BG"/>
        </w:rPr>
        <w:t>миокард, дебело черво);</w:t>
      </w:r>
    </w:p>
    <w:p w14:paraId="443BC107" w14:textId="42C3CD53" w:rsidR="005B0F27" w:rsidRPr="004E109F" w:rsidRDefault="005B0F27" w:rsidP="0091385D">
      <w:pPr>
        <w:rPr>
          <w:rFonts w:cs="Arial"/>
        </w:rPr>
      </w:pPr>
    </w:p>
    <w:p w14:paraId="05D8F02F"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асептичен менингит с миоклонус и периферна еозинофилия, анафилактична реакция, ангионевротичен едем.</w:t>
      </w:r>
    </w:p>
    <w:p w14:paraId="2755B349" w14:textId="77777777" w:rsidR="004E109F" w:rsidRPr="004E109F" w:rsidRDefault="004E109F" w:rsidP="004E109F">
      <w:pPr>
        <w:spacing w:line="240" w:lineRule="auto"/>
        <w:rPr>
          <w:rFonts w:eastAsia="Times New Roman" w:cs="Arial"/>
          <w:i/>
          <w:iCs/>
          <w:color w:val="000000"/>
          <w:lang w:eastAsia="bg-BG"/>
        </w:rPr>
      </w:pPr>
    </w:p>
    <w:p w14:paraId="6E82EB1A" w14:textId="646239F1"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Нарушения на ендокринната система</w:t>
      </w:r>
    </w:p>
    <w:p w14:paraId="2F822ED8"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Чести</w:t>
      </w:r>
      <w:r w:rsidRPr="004E109F">
        <w:rPr>
          <w:rFonts w:eastAsia="Times New Roman" w:cs="Arial"/>
          <w:color w:val="000000"/>
          <w:lang w:eastAsia="bg-BG"/>
        </w:rPr>
        <w:t xml:space="preserve"> - оток, задържане на течности, повишение на теглото, хипонатриемия и понижен плазмен осмоларитет, дължащ се на ефект, подобен на действието на АДХ (антидиуретичен хормон), който може да доведе, в редки случаи, до водна интоксикация, придружена от летаргия, повръщане, главоболие, обърканост, неврологични отклонения.</w:t>
      </w:r>
    </w:p>
    <w:p w14:paraId="304BEB9D"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увеличение на пролактина със или без клинични прояви като галакторея, гинекомастия, абнормни тироидни функционални изследвания: понижение на </w:t>
      </w:r>
      <w:r w:rsidRPr="004E109F">
        <w:rPr>
          <w:rFonts w:eastAsia="Times New Roman" w:cs="Arial"/>
          <w:color w:val="000000"/>
          <w:lang w:val="en-US"/>
        </w:rPr>
        <w:t>L</w:t>
      </w:r>
      <w:r w:rsidRPr="004E109F">
        <w:rPr>
          <w:rFonts w:eastAsia="Times New Roman" w:cs="Arial"/>
          <w:color w:val="000000"/>
          <w:lang w:eastAsia="bg-BG"/>
        </w:rPr>
        <w:t xml:space="preserve">-тироксина (свободен тироксин, тироксин, трийодтиронин) и повишение на ТСХ (тиреоид-стимулиращия хормон) в кръвта, обикновено без клинични прояви, нарушения на костния метаболизъм (понижение на плазмения калций и 25-хидроксихолекалциферола), водещо до остеомалация/остеопороза, повишени стойности на холестерола, вкл. </w:t>
      </w:r>
      <w:r w:rsidRPr="004E109F">
        <w:rPr>
          <w:rFonts w:eastAsia="Times New Roman" w:cs="Arial"/>
          <w:color w:val="000000"/>
          <w:lang w:val="en-US"/>
        </w:rPr>
        <w:t>HDL</w:t>
      </w:r>
      <w:r w:rsidRPr="004E109F">
        <w:rPr>
          <w:rFonts w:eastAsia="Times New Roman" w:cs="Arial"/>
          <w:color w:val="000000"/>
          <w:lang w:eastAsia="bg-BG"/>
        </w:rPr>
        <w:t>-холестерола и триглицеридите.</w:t>
      </w:r>
    </w:p>
    <w:p w14:paraId="63739684" w14:textId="77777777" w:rsidR="004E109F" w:rsidRPr="004E109F" w:rsidRDefault="004E109F" w:rsidP="004E109F">
      <w:pPr>
        <w:spacing w:line="240" w:lineRule="auto"/>
        <w:rPr>
          <w:rFonts w:eastAsia="Times New Roman" w:cs="Arial"/>
          <w:i/>
          <w:iCs/>
          <w:color w:val="000000"/>
          <w:lang w:eastAsia="bg-BG"/>
        </w:rPr>
      </w:pPr>
    </w:p>
    <w:p w14:paraId="6B9AA306" w14:textId="4F49F61D"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Психични нарушения</w:t>
      </w:r>
    </w:p>
    <w:p w14:paraId="266D17D7"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халюцинации (зрителни и слухови), депресия, анорексия, агресивно поведение, тревожност, обърканост;</w:t>
      </w:r>
    </w:p>
    <w:p w14:paraId="423853EB"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реактивна психоза.</w:t>
      </w:r>
    </w:p>
    <w:p w14:paraId="07B53F4C" w14:textId="77777777" w:rsidR="004E109F" w:rsidRPr="004E109F" w:rsidRDefault="004E109F" w:rsidP="004E109F">
      <w:pPr>
        <w:spacing w:line="240" w:lineRule="auto"/>
        <w:rPr>
          <w:rFonts w:eastAsia="Times New Roman" w:cs="Arial"/>
          <w:i/>
          <w:iCs/>
          <w:color w:val="000000"/>
          <w:lang w:eastAsia="bg-BG"/>
        </w:rPr>
      </w:pPr>
    </w:p>
    <w:p w14:paraId="05F83CC9" w14:textId="54DEF04B"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Нарушения на нервната система</w:t>
      </w:r>
    </w:p>
    <w:p w14:paraId="1F409967"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чести</w:t>
      </w:r>
      <w:r w:rsidRPr="004E109F">
        <w:rPr>
          <w:rFonts w:eastAsia="Times New Roman" w:cs="Arial"/>
          <w:color w:val="000000"/>
          <w:lang w:eastAsia="bg-BG"/>
        </w:rPr>
        <w:t xml:space="preserve"> - замаяност, атаксия, сънливост, умора;</w:t>
      </w:r>
    </w:p>
    <w:p w14:paraId="0C49C89B"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Чести</w:t>
      </w:r>
      <w:r w:rsidRPr="004E109F">
        <w:rPr>
          <w:rFonts w:eastAsia="Times New Roman" w:cs="Arial"/>
          <w:color w:val="000000"/>
          <w:lang w:eastAsia="bg-BG"/>
        </w:rPr>
        <w:t xml:space="preserve"> - главоболие;</w:t>
      </w:r>
    </w:p>
    <w:p w14:paraId="05A1A107"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Нечести</w:t>
      </w:r>
      <w:r w:rsidRPr="004E109F">
        <w:rPr>
          <w:rFonts w:eastAsia="Times New Roman" w:cs="Arial"/>
          <w:color w:val="000000"/>
          <w:lang w:eastAsia="bg-BG"/>
        </w:rPr>
        <w:t xml:space="preserve"> - абнормни неволеви движения (тремор, астериксис, дистония, нистагьм;</w:t>
      </w:r>
    </w:p>
    <w:p w14:paraId="24AB3E4B"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орофациална дискинезия, нарушения в речта (дизартрия, неясен говор), хореиформени движения, периферна невропатия, парестезии;</w:t>
      </w:r>
    </w:p>
    <w:p w14:paraId="5881984A"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 -</w:t>
      </w:r>
      <w:r w:rsidRPr="004E109F">
        <w:rPr>
          <w:rFonts w:eastAsia="Times New Roman" w:cs="Arial"/>
          <w:color w:val="000000"/>
          <w:lang w:eastAsia="bg-BG"/>
        </w:rPr>
        <w:t xml:space="preserve"> вкусови нарушения, невролептичен малигнен синдром.</w:t>
      </w:r>
    </w:p>
    <w:p w14:paraId="0FEB6719" w14:textId="77777777" w:rsidR="004E109F" w:rsidRPr="004E109F" w:rsidRDefault="004E109F" w:rsidP="004E109F">
      <w:pPr>
        <w:spacing w:line="240" w:lineRule="auto"/>
        <w:rPr>
          <w:rFonts w:eastAsia="Times New Roman" w:cs="Arial"/>
          <w:i/>
          <w:iCs/>
          <w:color w:val="000000"/>
          <w:lang w:eastAsia="bg-BG"/>
        </w:rPr>
      </w:pPr>
    </w:p>
    <w:p w14:paraId="7EBC2EF0" w14:textId="01E02B57"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lastRenderedPageBreak/>
        <w:t>Нарушения на очите</w:t>
      </w:r>
    </w:p>
    <w:p w14:paraId="1461A826"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Чести -</w:t>
      </w:r>
      <w:r w:rsidRPr="004E109F">
        <w:rPr>
          <w:rFonts w:eastAsia="Times New Roman" w:cs="Arial"/>
          <w:color w:val="000000"/>
          <w:lang w:eastAsia="bg-BG"/>
        </w:rPr>
        <w:t xml:space="preserve"> диплопия, акомодационни нарушения (напр. замъглено зрение) </w:t>
      </w:r>
      <w:r w:rsidRPr="004E109F">
        <w:rPr>
          <w:rFonts w:eastAsia="Times New Roman" w:cs="Arial"/>
          <w:color w:val="000000"/>
          <w:u w:val="single"/>
          <w:lang w:eastAsia="bg-BG"/>
        </w:rPr>
        <w:t>Редки -</w:t>
      </w:r>
      <w:r w:rsidRPr="004E109F">
        <w:rPr>
          <w:rFonts w:eastAsia="Times New Roman" w:cs="Arial"/>
          <w:color w:val="000000"/>
          <w:lang w:eastAsia="bg-BG"/>
        </w:rPr>
        <w:t xml:space="preserve"> окуломоторни нарушения</w:t>
      </w:r>
    </w:p>
    <w:p w14:paraId="017C7022"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помътняване на лещата, конюнктивит, покачване на вътреочното налягане.</w:t>
      </w:r>
    </w:p>
    <w:p w14:paraId="4D279085" w14:textId="77777777" w:rsidR="004E109F" w:rsidRPr="004E109F" w:rsidRDefault="004E109F" w:rsidP="004E109F">
      <w:pPr>
        <w:spacing w:line="240" w:lineRule="auto"/>
        <w:rPr>
          <w:rFonts w:eastAsia="Times New Roman" w:cs="Arial"/>
          <w:i/>
          <w:iCs/>
          <w:color w:val="000000"/>
          <w:lang w:eastAsia="bg-BG"/>
        </w:rPr>
      </w:pPr>
    </w:p>
    <w:p w14:paraId="1DE66FEB" w14:textId="7BD59E51"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Нарушения на ухото и лабиринта</w:t>
      </w:r>
    </w:p>
    <w:p w14:paraId="2C603A41"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слухови нарушения като тинитус, хиперакузис, хипоакузис, промяна в усещането за сила на звука.</w:t>
      </w:r>
    </w:p>
    <w:p w14:paraId="7BA1736A" w14:textId="77777777" w:rsidR="004E109F" w:rsidRPr="004E109F" w:rsidRDefault="004E109F" w:rsidP="004E109F">
      <w:pPr>
        <w:spacing w:line="240" w:lineRule="auto"/>
        <w:rPr>
          <w:rFonts w:eastAsia="Times New Roman" w:cs="Arial"/>
          <w:i/>
          <w:iCs/>
          <w:color w:val="000000"/>
          <w:lang w:eastAsia="bg-BG"/>
        </w:rPr>
      </w:pPr>
    </w:p>
    <w:p w14:paraId="02A79138" w14:textId="7F8064A1"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Сърдечно-съдови нарушения</w:t>
      </w:r>
    </w:p>
    <w:p w14:paraId="717AB2A6"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нарушения в сърдечната проводимост, хипертония или хипотония;</w:t>
      </w:r>
    </w:p>
    <w:p w14:paraId="0B246D54"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брадикаолия. аритмия, </w:t>
      </w:r>
      <w:r w:rsidRPr="004E109F">
        <w:rPr>
          <w:rFonts w:eastAsia="Times New Roman" w:cs="Arial"/>
          <w:color w:val="000000"/>
          <w:lang w:val="en-US"/>
        </w:rPr>
        <w:t>AV</w:t>
      </w:r>
      <w:r w:rsidRPr="004E109F">
        <w:rPr>
          <w:rFonts w:eastAsia="Times New Roman" w:cs="Arial"/>
          <w:color w:val="000000"/>
          <w:lang w:eastAsia="bg-BG"/>
        </w:rPr>
        <w:t>-блок със синкоп, циркулаторен колапс, застойна сърдечна недостатъчност, утежняване на исхемична болест на сърцето, тромбофлебит, тромбемболизъм (напр. белодробен тромбемболизъм).</w:t>
      </w:r>
    </w:p>
    <w:p w14:paraId="51E2A929" w14:textId="77777777" w:rsidR="004E109F" w:rsidRPr="004E109F" w:rsidRDefault="004E109F" w:rsidP="004E109F">
      <w:pPr>
        <w:spacing w:line="240" w:lineRule="auto"/>
        <w:rPr>
          <w:rFonts w:eastAsia="Times New Roman" w:cs="Arial"/>
          <w:i/>
          <w:iCs/>
          <w:color w:val="000000"/>
          <w:lang w:eastAsia="bg-BG"/>
        </w:rPr>
      </w:pPr>
    </w:p>
    <w:p w14:paraId="0F82E864" w14:textId="7A7E146E"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Респираторни, гръдни и медиастинални нарушения</w:t>
      </w:r>
    </w:p>
    <w:p w14:paraId="6CA8CD1B" w14:textId="2C19F2A3" w:rsidR="004E109F" w:rsidRPr="004E109F" w:rsidRDefault="004E109F" w:rsidP="004E109F">
      <w:pPr>
        <w:rPr>
          <w:rFonts w:cs="Arial"/>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белодробна свръхчувствителност, характеризираща се с треска, диспнея, пневмонит или пневмония.</w:t>
      </w:r>
    </w:p>
    <w:p w14:paraId="56EF039E" w14:textId="2239349D" w:rsidR="004E109F" w:rsidRDefault="004E109F" w:rsidP="0091385D"/>
    <w:p w14:paraId="0450DEE9"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i/>
          <w:iCs/>
          <w:color w:val="000000"/>
          <w:lang w:eastAsia="bg-BG"/>
        </w:rPr>
        <w:t>Стомашно-чревни нарушения</w:t>
      </w:r>
    </w:p>
    <w:p w14:paraId="2D8443F9"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Много чести</w:t>
      </w:r>
      <w:r w:rsidRPr="004E109F">
        <w:rPr>
          <w:rFonts w:eastAsia="Times New Roman" w:cs="Arial"/>
          <w:color w:val="000000"/>
          <w:lang w:eastAsia="bg-BG"/>
        </w:rPr>
        <w:t xml:space="preserve"> - гадене, повръщане;</w:t>
      </w:r>
    </w:p>
    <w:p w14:paraId="46306B31" w14:textId="77777777" w:rsidR="004E109F" w:rsidRPr="004E109F" w:rsidRDefault="004E109F" w:rsidP="004E109F">
      <w:pPr>
        <w:spacing w:line="240" w:lineRule="auto"/>
        <w:rPr>
          <w:rFonts w:eastAsia="Times New Roman" w:cs="Arial"/>
          <w:sz w:val="24"/>
          <w:szCs w:val="24"/>
          <w:lang w:eastAsia="bg-BG"/>
        </w:rPr>
      </w:pPr>
      <w:r w:rsidRPr="004E109F">
        <w:rPr>
          <w:rFonts w:eastAsia="Times New Roman" w:cs="Arial"/>
          <w:color w:val="000000"/>
          <w:u w:val="single"/>
          <w:lang w:eastAsia="bg-BG"/>
        </w:rPr>
        <w:t>Чести</w:t>
      </w:r>
      <w:r w:rsidRPr="004E109F">
        <w:rPr>
          <w:rFonts w:eastAsia="Times New Roman" w:cs="Arial"/>
          <w:color w:val="000000"/>
          <w:lang w:eastAsia="bg-BG"/>
        </w:rPr>
        <w:t xml:space="preserve"> - сухота в устата;</w:t>
      </w:r>
    </w:p>
    <w:p w14:paraId="07A42B54" w14:textId="4A8D186F" w:rsidR="004E109F" w:rsidRPr="004E109F" w:rsidRDefault="004E109F" w:rsidP="004E109F">
      <w:pPr>
        <w:rPr>
          <w:rFonts w:cs="Arial"/>
        </w:rPr>
      </w:pPr>
      <w:r w:rsidRPr="004E109F">
        <w:rPr>
          <w:rFonts w:eastAsia="Times New Roman" w:cs="Arial"/>
          <w:color w:val="000000"/>
          <w:u w:val="single"/>
          <w:lang w:eastAsia="bg-BG"/>
        </w:rPr>
        <w:t>Нечести</w:t>
      </w:r>
      <w:r w:rsidRPr="004E109F">
        <w:rPr>
          <w:rFonts w:eastAsia="Times New Roman" w:cs="Arial"/>
          <w:color w:val="000000"/>
          <w:lang w:eastAsia="bg-BG"/>
        </w:rPr>
        <w:t xml:space="preserve"> - диария, запек;</w:t>
      </w:r>
    </w:p>
    <w:p w14:paraId="7BFCF408" w14:textId="53056B11" w:rsidR="004E109F" w:rsidRDefault="004E109F" w:rsidP="0091385D"/>
    <w:p w14:paraId="6A633D61"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болка в областта на корема;</w:t>
      </w:r>
    </w:p>
    <w:p w14:paraId="7C36B4FC"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глосит, стоматит, панкреатит.</w:t>
      </w:r>
    </w:p>
    <w:p w14:paraId="719F71C7" w14:textId="77777777" w:rsidR="004E109F" w:rsidRPr="004E109F" w:rsidRDefault="004E109F" w:rsidP="004E109F">
      <w:pPr>
        <w:spacing w:line="240" w:lineRule="auto"/>
        <w:rPr>
          <w:rFonts w:eastAsia="Times New Roman" w:cs="Arial"/>
          <w:i/>
          <w:iCs/>
          <w:color w:val="000000"/>
          <w:lang w:eastAsia="bg-BG"/>
        </w:rPr>
      </w:pPr>
    </w:p>
    <w:p w14:paraId="59CA2653" w14:textId="4D98952B"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Хепатобилиарни нарушения</w:t>
      </w:r>
    </w:p>
    <w:p w14:paraId="3B2D24E1"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чести</w:t>
      </w:r>
      <w:r w:rsidRPr="004E109F">
        <w:rPr>
          <w:rFonts w:eastAsia="Times New Roman" w:cs="Arial"/>
          <w:color w:val="000000"/>
          <w:lang w:eastAsia="bg-BG"/>
        </w:rPr>
        <w:t xml:space="preserve"> — повишени стойности на ГГТ (гама-глутамил трансферазата), обикновено без клинично значение;</w:t>
      </w:r>
    </w:p>
    <w:p w14:paraId="4DECA6B3"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Чести</w:t>
      </w:r>
      <w:r w:rsidRPr="004E109F">
        <w:rPr>
          <w:rFonts w:eastAsia="Times New Roman" w:cs="Arial"/>
          <w:color w:val="000000"/>
          <w:lang w:eastAsia="bg-BG"/>
        </w:rPr>
        <w:t xml:space="preserve"> - повишение на серумната алкална фосфатаза;</w:t>
      </w:r>
    </w:p>
    <w:p w14:paraId="0AC40E80"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Нечести</w:t>
      </w:r>
      <w:r w:rsidRPr="004E109F">
        <w:rPr>
          <w:rFonts w:eastAsia="Times New Roman" w:cs="Arial"/>
          <w:color w:val="000000"/>
          <w:lang w:eastAsia="bg-BG"/>
        </w:rPr>
        <w:t xml:space="preserve"> - повишение на трансаминазите;</w:t>
      </w:r>
    </w:p>
    <w:p w14:paraId="1E6D0670"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хепатит от холестатичен, паренхиматозен (хепатоцелуларен) или смесен тип, жълтеница; </w:t>
      </w: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граиуломатозен хепатит, чернодробна недостатъчност.</w:t>
      </w:r>
    </w:p>
    <w:p w14:paraId="1AC3336D" w14:textId="77777777" w:rsidR="004E109F" w:rsidRPr="004E109F" w:rsidRDefault="004E109F" w:rsidP="004E109F">
      <w:pPr>
        <w:spacing w:line="240" w:lineRule="auto"/>
        <w:rPr>
          <w:rFonts w:eastAsia="Times New Roman" w:cs="Arial"/>
          <w:i/>
          <w:iCs/>
          <w:color w:val="000000"/>
          <w:lang w:eastAsia="bg-BG"/>
        </w:rPr>
      </w:pPr>
    </w:p>
    <w:p w14:paraId="579CCA88" w14:textId="7FCDF1D3"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Нарушения на кожата и подкожната тъкан</w:t>
      </w:r>
    </w:p>
    <w:p w14:paraId="3512A710"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чести</w:t>
      </w:r>
      <w:r w:rsidRPr="004E109F">
        <w:rPr>
          <w:rFonts w:eastAsia="Times New Roman" w:cs="Arial"/>
          <w:color w:val="000000"/>
          <w:lang w:eastAsia="bg-BG"/>
        </w:rPr>
        <w:t xml:space="preserve"> - алергичен дерматит, уртикария;</w:t>
      </w:r>
    </w:p>
    <w:p w14:paraId="279FDA9E"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Нечести</w:t>
      </w:r>
      <w:r w:rsidRPr="004E109F">
        <w:rPr>
          <w:rFonts w:eastAsia="Times New Roman" w:cs="Arial"/>
          <w:color w:val="000000"/>
          <w:lang w:eastAsia="bg-BG"/>
        </w:rPr>
        <w:t xml:space="preserve"> - ексфолиативен дерматит, еритродерма;</w:t>
      </w:r>
    </w:p>
    <w:p w14:paraId="3A92B604"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Редки</w:t>
      </w:r>
      <w:r w:rsidRPr="004E109F">
        <w:rPr>
          <w:rFonts w:eastAsia="Times New Roman" w:cs="Arial"/>
          <w:color w:val="000000"/>
          <w:lang w:eastAsia="bg-BG"/>
        </w:rPr>
        <w:t xml:space="preserve"> - системен лупус еритематодес, пруритус;</w:t>
      </w:r>
    </w:p>
    <w:p w14:paraId="0EA531D6" w14:textId="77777777" w:rsidR="004E109F" w:rsidRPr="004E109F" w:rsidRDefault="004E109F" w:rsidP="004E109F">
      <w:pPr>
        <w:spacing w:line="240" w:lineRule="auto"/>
        <w:rPr>
          <w:rFonts w:eastAsia="Times New Roman" w:cs="Arial"/>
          <w:color w:val="000000"/>
          <w:lang w:eastAsia="bg-BG"/>
        </w:rPr>
      </w:pPr>
    </w:p>
    <w:p w14:paraId="295D9065" w14:textId="0CDCD35C"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 xml:space="preserve">Тежки кожни нежелани лекарствени реакции </w:t>
      </w:r>
      <w:r w:rsidRPr="004E109F">
        <w:rPr>
          <w:rFonts w:eastAsia="Times New Roman" w:cs="Arial"/>
          <w:color w:val="000000"/>
          <w:lang w:val="en-US"/>
        </w:rPr>
        <w:t xml:space="preserve">(SCARs): </w:t>
      </w:r>
      <w:r w:rsidRPr="004E109F">
        <w:rPr>
          <w:rFonts w:eastAsia="Times New Roman" w:cs="Arial"/>
          <w:color w:val="000000"/>
          <w:lang w:eastAsia="bg-BG"/>
        </w:rPr>
        <w:t xml:space="preserve">има съобщения за синдром на Стивънс- Джонсън </w:t>
      </w:r>
      <w:r w:rsidRPr="004E109F">
        <w:rPr>
          <w:rFonts w:eastAsia="Times New Roman" w:cs="Arial"/>
          <w:color w:val="000000"/>
          <w:lang w:val="en-US"/>
        </w:rPr>
        <w:t xml:space="preserve">(SJS) </w:t>
      </w:r>
      <w:r w:rsidRPr="004E109F">
        <w:rPr>
          <w:rFonts w:eastAsia="Times New Roman" w:cs="Arial"/>
          <w:color w:val="000000"/>
          <w:lang w:eastAsia="bg-BG"/>
        </w:rPr>
        <w:t xml:space="preserve">и токсична епидермална некролиза </w:t>
      </w:r>
      <w:r w:rsidRPr="004E109F">
        <w:rPr>
          <w:rFonts w:eastAsia="Times New Roman" w:cs="Arial"/>
          <w:color w:val="000000"/>
          <w:lang w:val="en-US"/>
        </w:rPr>
        <w:t xml:space="preserve">(TEN) </w:t>
      </w:r>
      <w:r w:rsidRPr="004E109F">
        <w:rPr>
          <w:rFonts w:eastAsia="Times New Roman" w:cs="Arial"/>
          <w:color w:val="000000"/>
          <w:lang w:eastAsia="bg-BG"/>
        </w:rPr>
        <w:t>(вж. точка 4.4)</w:t>
      </w:r>
    </w:p>
    <w:p w14:paraId="05793D79"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синдром на Стивънс-Джонсън, токсична епидермална некролиза, реакция на фоточувствителност, еритема мултиформе, еритема нодозум, промени в кожната пигментация, пурпура, акне, хиперхидроза, косопад, хирзутизъм.</w:t>
      </w:r>
    </w:p>
    <w:p w14:paraId="17380913"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 xml:space="preserve">Съществуват все повече доказателства относно връзката между генетичните маркери и появата на кожни НЛР, като </w:t>
      </w:r>
      <w:r w:rsidRPr="004E109F">
        <w:rPr>
          <w:rFonts w:eastAsia="Times New Roman" w:cs="Arial"/>
          <w:color w:val="000000"/>
          <w:lang w:val="en-US"/>
        </w:rPr>
        <w:t xml:space="preserve">SJS, TEN, DRESS, AGEP </w:t>
      </w:r>
      <w:r w:rsidRPr="004E109F">
        <w:rPr>
          <w:rFonts w:eastAsia="Times New Roman" w:cs="Arial"/>
          <w:color w:val="000000"/>
          <w:lang w:eastAsia="bg-BG"/>
        </w:rPr>
        <w:t xml:space="preserve">и макулопапулозен обрив. Съобщава се, че при пациенти с японски и европейски произход тези реакции са свързани с употребата на карбамазепин и носителството на </w:t>
      </w:r>
      <w:r w:rsidRPr="004E109F">
        <w:rPr>
          <w:rFonts w:eastAsia="Times New Roman" w:cs="Arial"/>
          <w:color w:val="000000"/>
          <w:lang w:val="en-US"/>
        </w:rPr>
        <w:t xml:space="preserve">HLA-A </w:t>
      </w:r>
      <w:r w:rsidRPr="004E109F">
        <w:rPr>
          <w:rFonts w:eastAsia="Times New Roman" w:cs="Arial"/>
          <w:color w:val="000000"/>
          <w:lang w:eastAsia="bg-BG"/>
        </w:rPr>
        <w:t xml:space="preserve">* 3101 алел. Доказано е, че друг маркер - </w:t>
      </w:r>
      <w:r w:rsidRPr="004E109F">
        <w:rPr>
          <w:rFonts w:eastAsia="Times New Roman" w:cs="Arial"/>
          <w:color w:val="000000"/>
          <w:lang w:val="en-US"/>
        </w:rPr>
        <w:t xml:space="preserve">HLA-B </w:t>
      </w:r>
      <w:r w:rsidRPr="004E109F">
        <w:rPr>
          <w:rFonts w:eastAsia="Times New Roman" w:cs="Arial"/>
          <w:color w:val="000000"/>
          <w:lang w:eastAsia="bg-BG"/>
        </w:rPr>
        <w:t xml:space="preserve">* 1502 е тясно свързан със </w:t>
      </w:r>
      <w:r w:rsidRPr="004E109F">
        <w:rPr>
          <w:rFonts w:eastAsia="Times New Roman" w:cs="Arial"/>
          <w:color w:val="000000"/>
          <w:lang w:val="en-US"/>
        </w:rPr>
        <w:t xml:space="preserve">SJS </w:t>
      </w:r>
      <w:r w:rsidRPr="004E109F">
        <w:rPr>
          <w:rFonts w:eastAsia="Times New Roman" w:cs="Arial"/>
          <w:color w:val="000000"/>
          <w:lang w:eastAsia="bg-BG"/>
        </w:rPr>
        <w:t xml:space="preserve">и </w:t>
      </w:r>
      <w:r w:rsidRPr="004E109F">
        <w:rPr>
          <w:rFonts w:eastAsia="Times New Roman" w:cs="Arial"/>
          <w:color w:val="000000"/>
          <w:lang w:val="en-US"/>
        </w:rPr>
        <w:t xml:space="preserve">TEN </w:t>
      </w:r>
      <w:r w:rsidRPr="004E109F">
        <w:rPr>
          <w:rFonts w:eastAsia="Times New Roman" w:cs="Arial"/>
          <w:color w:val="000000"/>
          <w:lang w:eastAsia="bg-BG"/>
        </w:rPr>
        <w:t xml:space="preserve">сред лицата от Нап </w:t>
      </w:r>
      <w:r w:rsidRPr="004E109F">
        <w:rPr>
          <w:rFonts w:eastAsia="Times New Roman" w:cs="Arial"/>
          <w:color w:val="000000"/>
          <w:lang w:eastAsia="bg-BG"/>
        </w:rPr>
        <w:lastRenderedPageBreak/>
        <w:t xml:space="preserve">китайски и </w:t>
      </w:r>
      <w:r w:rsidRPr="004E109F">
        <w:rPr>
          <w:rFonts w:eastAsia="Times New Roman" w:cs="Arial"/>
          <w:color w:val="000000"/>
          <w:lang w:val="en-US"/>
        </w:rPr>
        <w:t xml:space="preserve">Thai </w:t>
      </w:r>
      <w:r w:rsidRPr="004E109F">
        <w:rPr>
          <w:rFonts w:eastAsia="Times New Roman" w:cs="Arial"/>
          <w:color w:val="000000"/>
          <w:lang w:eastAsia="bg-BG"/>
        </w:rPr>
        <w:t>произход и някои други азиатци (за допълнителна информация вж. точки 4.2 и 4.4).</w:t>
      </w:r>
    </w:p>
    <w:p w14:paraId="1346022B" w14:textId="77777777" w:rsidR="004E109F" w:rsidRPr="004E109F" w:rsidRDefault="004E109F" w:rsidP="004E109F">
      <w:pPr>
        <w:spacing w:line="240" w:lineRule="auto"/>
        <w:rPr>
          <w:rFonts w:eastAsia="Times New Roman" w:cs="Arial"/>
          <w:i/>
          <w:iCs/>
          <w:color w:val="000000"/>
          <w:lang w:eastAsia="bg-BG"/>
        </w:rPr>
      </w:pPr>
    </w:p>
    <w:p w14:paraId="1EF0095A" w14:textId="77777777" w:rsidR="00EA7239" w:rsidRDefault="004E109F" w:rsidP="004E109F">
      <w:pPr>
        <w:spacing w:line="240" w:lineRule="auto"/>
        <w:rPr>
          <w:rFonts w:eastAsia="Times New Roman" w:cs="Arial"/>
          <w:i/>
          <w:iCs/>
          <w:color w:val="000000"/>
          <w:lang w:eastAsia="bg-BG"/>
        </w:rPr>
      </w:pPr>
      <w:r w:rsidRPr="004E109F">
        <w:rPr>
          <w:rFonts w:eastAsia="Times New Roman" w:cs="Arial"/>
          <w:i/>
          <w:iCs/>
          <w:color w:val="000000"/>
          <w:lang w:eastAsia="bg-BG"/>
        </w:rPr>
        <w:t xml:space="preserve">Нарушения на мускулно-скелетната система и съединителната тъкан </w:t>
      </w:r>
    </w:p>
    <w:p w14:paraId="5BC0E7A1" w14:textId="4EB2082A"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артралгия, мускулни болки, мускулни спазми.</w:t>
      </w:r>
    </w:p>
    <w:p w14:paraId="12830181"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При пациенти, които провеждат продължително лечение с карбамазепин има съобщения за намалена костна минерална плътност, остеопения, остеопороза и фрактури. Механизмът, по който карбамазепин засяга костния метаболизъм не е определен.</w:t>
      </w:r>
    </w:p>
    <w:p w14:paraId="0F5FE692" w14:textId="77777777" w:rsidR="004E109F" w:rsidRPr="004E109F" w:rsidRDefault="004E109F" w:rsidP="004E109F">
      <w:pPr>
        <w:spacing w:line="240" w:lineRule="auto"/>
        <w:rPr>
          <w:rFonts w:eastAsia="Times New Roman" w:cs="Arial"/>
          <w:i/>
          <w:iCs/>
          <w:color w:val="000000"/>
          <w:lang w:eastAsia="bg-BG"/>
        </w:rPr>
      </w:pPr>
    </w:p>
    <w:p w14:paraId="46DD6890" w14:textId="06EB63CA"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Нарушения на бъбреците и пикочните пътища</w:t>
      </w:r>
    </w:p>
    <w:p w14:paraId="370126B8"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интерстициален нефрит, бъбречна недостатъчност (албуминурия, хематурия, олигурия, повишение на кръвната урея/азотемия), често уриниране, задръжка на урина.</w:t>
      </w:r>
    </w:p>
    <w:p w14:paraId="7D4CD098" w14:textId="77777777" w:rsidR="004E109F" w:rsidRPr="004E109F" w:rsidRDefault="004E109F" w:rsidP="004E109F">
      <w:pPr>
        <w:spacing w:line="240" w:lineRule="auto"/>
        <w:rPr>
          <w:rFonts w:eastAsia="Times New Roman" w:cs="Arial"/>
          <w:i/>
          <w:iCs/>
          <w:color w:val="000000"/>
          <w:lang w:eastAsia="bg-BG"/>
        </w:rPr>
      </w:pPr>
    </w:p>
    <w:p w14:paraId="4237227B" w14:textId="28A28173"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Нарушения на възпроизводителната система и гърдата</w:t>
      </w:r>
    </w:p>
    <w:p w14:paraId="5832A704"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Много редки</w:t>
      </w:r>
      <w:r w:rsidRPr="004E109F">
        <w:rPr>
          <w:rFonts w:eastAsia="Times New Roman" w:cs="Arial"/>
          <w:color w:val="000000"/>
          <w:lang w:eastAsia="bg-BG"/>
        </w:rPr>
        <w:t xml:space="preserve"> - сексуална дисфункция/импотентност, абнормна сперматогенеза (с намален брой и/или понижена подвижност на сперматозоидите).</w:t>
      </w:r>
    </w:p>
    <w:p w14:paraId="3281623D" w14:textId="77777777" w:rsidR="004E109F" w:rsidRPr="004E109F" w:rsidRDefault="004E109F" w:rsidP="004E109F">
      <w:pPr>
        <w:spacing w:line="240" w:lineRule="auto"/>
        <w:rPr>
          <w:rFonts w:eastAsia="Times New Roman" w:cs="Arial"/>
          <w:color w:val="000000"/>
          <w:u w:val="single"/>
          <w:lang w:eastAsia="bg-BG"/>
        </w:rPr>
      </w:pPr>
    </w:p>
    <w:p w14:paraId="2A3E3898" w14:textId="2077E463"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Съобщаване на подозирани нежелани реакции</w:t>
      </w:r>
    </w:p>
    <w:p w14:paraId="11E950C8" w14:textId="300DE787" w:rsidR="004E109F" w:rsidRPr="004E109F" w:rsidRDefault="004E109F" w:rsidP="004E109F">
      <w:pPr>
        <w:rPr>
          <w:rFonts w:cs="Arial"/>
        </w:rPr>
      </w:pPr>
      <w:r w:rsidRPr="004E109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r w:rsidRPr="004E109F">
        <w:rPr>
          <w:rFonts w:eastAsia="Times New Roman" w:cs="Arial"/>
          <w:lang w:eastAsia="bg-BG"/>
        </w:rPr>
        <w:fldChar w:fldCharType="begin"/>
      </w:r>
      <w:r w:rsidRPr="004E109F">
        <w:rPr>
          <w:rFonts w:eastAsia="Times New Roman" w:cs="Arial"/>
          <w:lang w:eastAsia="bg-BG"/>
        </w:rPr>
        <w:instrText xml:space="preserve"> HYPERLINK "http://www.bda.bg" </w:instrText>
      </w:r>
      <w:r w:rsidRPr="004E109F">
        <w:rPr>
          <w:rFonts w:eastAsia="Times New Roman" w:cs="Arial"/>
          <w:lang w:eastAsia="bg-BG"/>
        </w:rPr>
      </w:r>
      <w:r w:rsidRPr="004E109F">
        <w:rPr>
          <w:rFonts w:eastAsia="Times New Roman" w:cs="Arial"/>
          <w:lang w:eastAsia="bg-BG"/>
        </w:rPr>
        <w:fldChar w:fldCharType="separate"/>
      </w:r>
      <w:r w:rsidRPr="004E109F">
        <w:rPr>
          <w:rFonts w:eastAsia="Times New Roman" w:cs="Arial"/>
          <w:color w:val="000000"/>
          <w:lang w:val="en-US"/>
        </w:rPr>
        <w:t>www.bda.bg</w:t>
      </w:r>
      <w:r w:rsidRPr="004E109F">
        <w:rPr>
          <w:rFonts w:eastAsia="Times New Roman" w:cs="Arial"/>
          <w:lang w:eastAsia="bg-BG"/>
        </w:rPr>
        <w:fldChar w:fldCharType="end"/>
      </w:r>
      <w:r w:rsidRPr="004E109F">
        <w:rPr>
          <w:rFonts w:eastAsia="Times New Roman" w:cs="Arial"/>
          <w:color w:val="000000"/>
          <w:lang w:val="en-US"/>
        </w:rPr>
        <w:t>.</w:t>
      </w:r>
    </w:p>
    <w:p w14:paraId="511AA1D9" w14:textId="77777777" w:rsidR="004E109F" w:rsidRPr="0091385D" w:rsidRDefault="004E109F"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73A7E550" w14:textId="77777777" w:rsidR="004E109F" w:rsidRPr="00EA7239" w:rsidRDefault="004E109F" w:rsidP="00EA7239">
      <w:pPr>
        <w:pStyle w:val="Heading3"/>
        <w:rPr>
          <w:rFonts w:eastAsia="Times New Roman"/>
          <w:u w:val="single"/>
          <w:lang w:eastAsia="bg-BG"/>
        </w:rPr>
      </w:pPr>
      <w:r w:rsidRPr="00EA7239">
        <w:rPr>
          <w:rFonts w:eastAsia="Times New Roman"/>
          <w:u w:val="single"/>
          <w:lang w:eastAsia="bg-BG"/>
        </w:rPr>
        <w:t>Признаци и симптоми</w:t>
      </w:r>
    </w:p>
    <w:p w14:paraId="0B151FCF"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Признаците и симптомите на предозиране с карбамазепин обикновено са от страна на ЦНС, сърдечно-съдовата и дихателната система.</w:t>
      </w:r>
    </w:p>
    <w:p w14:paraId="532C96A6" w14:textId="77777777" w:rsidR="004E109F" w:rsidRPr="004E109F" w:rsidRDefault="004E109F" w:rsidP="004E109F">
      <w:pPr>
        <w:spacing w:line="240" w:lineRule="auto"/>
        <w:rPr>
          <w:rFonts w:eastAsia="Times New Roman" w:cs="Arial"/>
          <w:i/>
          <w:iCs/>
          <w:color w:val="000000"/>
          <w:lang w:eastAsia="bg-BG"/>
        </w:rPr>
      </w:pPr>
    </w:p>
    <w:p w14:paraId="4471F17C" w14:textId="1CD5DA83"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Централна нервна система</w:t>
      </w:r>
    </w:p>
    <w:p w14:paraId="6249FF1B"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Потискане на ЦНС, дезориентация, сънливост, възбуда, халюцинации, кома; замъглено зрение, неясен говор, дизартрия, нистагъм, атаксия, дискинезия, начална хиперрефлексия, късна хипорефлексия; гърчове, психомоторни нарушения, миоклонус, хипотермия, мидриаза.</w:t>
      </w:r>
    </w:p>
    <w:p w14:paraId="4D2B9A93" w14:textId="77777777" w:rsidR="004E109F" w:rsidRPr="004E109F" w:rsidRDefault="004E109F" w:rsidP="004E109F">
      <w:pPr>
        <w:spacing w:line="240" w:lineRule="auto"/>
        <w:rPr>
          <w:rFonts w:eastAsia="Times New Roman" w:cs="Arial"/>
          <w:i/>
          <w:iCs/>
          <w:color w:val="000000"/>
          <w:lang w:eastAsia="bg-BG"/>
        </w:rPr>
      </w:pPr>
    </w:p>
    <w:p w14:paraId="4BCC9F93" w14:textId="28CCA03A"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Дихателна система</w:t>
      </w:r>
    </w:p>
    <w:p w14:paraId="0412B268"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Потискане на дишането, белодробен оток.</w:t>
      </w:r>
    </w:p>
    <w:p w14:paraId="33F3BDFF" w14:textId="77777777" w:rsidR="004E109F" w:rsidRPr="004E109F" w:rsidRDefault="004E109F" w:rsidP="004E109F">
      <w:pPr>
        <w:spacing w:line="240" w:lineRule="auto"/>
        <w:rPr>
          <w:rFonts w:eastAsia="Times New Roman" w:cs="Arial"/>
          <w:i/>
          <w:iCs/>
          <w:color w:val="000000"/>
          <w:lang w:eastAsia="bg-BG"/>
        </w:rPr>
      </w:pPr>
    </w:p>
    <w:p w14:paraId="5C52F7C0" w14:textId="55BC4D71"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Сърдечносъдова система</w:t>
      </w:r>
    </w:p>
    <w:p w14:paraId="75F774E3"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 xml:space="preserve">Тахикардия, хипотония, понякога хипертония, проводни нарушения с разширяване на </w:t>
      </w:r>
      <w:r w:rsidRPr="004E109F">
        <w:rPr>
          <w:rFonts w:eastAsia="Times New Roman" w:cs="Arial"/>
          <w:color w:val="000000"/>
          <w:lang w:val="en-US"/>
        </w:rPr>
        <w:t xml:space="preserve">QRS- </w:t>
      </w:r>
      <w:r w:rsidRPr="004E109F">
        <w:rPr>
          <w:rFonts w:eastAsia="Times New Roman" w:cs="Arial"/>
          <w:color w:val="000000"/>
          <w:lang w:eastAsia="bg-BG"/>
        </w:rPr>
        <w:t>комплекса; синкоп в резултат на сърдечен арест.</w:t>
      </w:r>
    </w:p>
    <w:p w14:paraId="7D663997" w14:textId="77777777" w:rsidR="004E109F" w:rsidRPr="004E109F" w:rsidRDefault="004E109F" w:rsidP="004E109F">
      <w:pPr>
        <w:spacing w:line="240" w:lineRule="auto"/>
        <w:rPr>
          <w:rFonts w:eastAsia="Times New Roman" w:cs="Arial"/>
          <w:i/>
          <w:iCs/>
          <w:color w:val="000000"/>
          <w:lang w:eastAsia="bg-BG"/>
        </w:rPr>
      </w:pPr>
    </w:p>
    <w:p w14:paraId="314C1723" w14:textId="2FD79B1B"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Гастроинтестинален тракт</w:t>
      </w:r>
    </w:p>
    <w:p w14:paraId="4F205821"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Повръщане, забавено стомашно изпразване, намален чревен мотилитет.</w:t>
      </w:r>
    </w:p>
    <w:p w14:paraId="61525D71" w14:textId="77777777" w:rsidR="004E109F" w:rsidRPr="004E109F" w:rsidRDefault="004E109F" w:rsidP="004E109F">
      <w:pPr>
        <w:spacing w:line="240" w:lineRule="auto"/>
        <w:rPr>
          <w:rFonts w:eastAsia="Times New Roman" w:cs="Arial"/>
          <w:i/>
          <w:iCs/>
          <w:color w:val="000000"/>
          <w:lang w:eastAsia="bg-BG"/>
        </w:rPr>
      </w:pPr>
    </w:p>
    <w:p w14:paraId="26E1CF98" w14:textId="397F3CF5"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Бъбречна функция</w:t>
      </w:r>
    </w:p>
    <w:p w14:paraId="3FE5B962"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lastRenderedPageBreak/>
        <w:t>Ретенция на урината, олигурия или анурия, ретенция на течности, водна интоксикация, дължаща се на АДХ-подобния ефект на карбамазепин.</w:t>
      </w:r>
    </w:p>
    <w:p w14:paraId="4C92DEEE" w14:textId="77777777" w:rsidR="004E109F" w:rsidRPr="004E109F" w:rsidRDefault="004E109F" w:rsidP="004E109F">
      <w:pPr>
        <w:spacing w:line="240" w:lineRule="auto"/>
        <w:rPr>
          <w:rFonts w:eastAsia="Times New Roman" w:cs="Arial"/>
          <w:i/>
          <w:iCs/>
          <w:color w:val="000000"/>
          <w:lang w:eastAsia="bg-BG"/>
        </w:rPr>
      </w:pPr>
    </w:p>
    <w:p w14:paraId="6B05C329" w14:textId="3285A836"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Лабораторни находки</w:t>
      </w:r>
    </w:p>
    <w:p w14:paraId="571CDE93"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Хипонатриемия, възможна метаболитна ацидоза, възможна хипергликемия, повишена мускулна креатинфосфокиназа.</w:t>
      </w:r>
    </w:p>
    <w:p w14:paraId="4820EF35" w14:textId="77777777" w:rsidR="004E109F" w:rsidRPr="004E109F" w:rsidRDefault="004E109F" w:rsidP="004E109F">
      <w:pPr>
        <w:spacing w:line="240" w:lineRule="auto"/>
        <w:rPr>
          <w:rFonts w:eastAsia="Times New Roman" w:cs="Arial"/>
          <w:color w:val="000000"/>
          <w:u w:val="single"/>
          <w:lang w:eastAsia="bg-BG"/>
        </w:rPr>
      </w:pPr>
    </w:p>
    <w:p w14:paraId="09938FC9" w14:textId="40423CBD" w:rsidR="004E109F" w:rsidRPr="00EA7239" w:rsidRDefault="004E109F" w:rsidP="00EA7239">
      <w:pPr>
        <w:pStyle w:val="Heading3"/>
        <w:rPr>
          <w:rFonts w:eastAsia="Times New Roman"/>
          <w:u w:val="single"/>
          <w:lang w:eastAsia="bg-BG"/>
        </w:rPr>
      </w:pPr>
      <w:r w:rsidRPr="00EA7239">
        <w:rPr>
          <w:rFonts w:eastAsia="Times New Roman"/>
          <w:u w:val="single"/>
          <w:lang w:eastAsia="bg-BG"/>
        </w:rPr>
        <w:t>Лечение</w:t>
      </w:r>
    </w:p>
    <w:p w14:paraId="2129161E" w14:textId="7777777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Няма специфичен антидот.</w:t>
      </w:r>
    </w:p>
    <w:p w14:paraId="7E1FAA16" w14:textId="0777FCC7"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Мерките трябва да бъдат съобразени с клиничното състояние на пациента; препоръчва се хоспитализация. Определят се плазмените концентрации, за да се потвърди интоксикацията с карбамазепин и да се установи степента на предозиране.</w:t>
      </w:r>
    </w:p>
    <w:p w14:paraId="709808DB" w14:textId="77777777" w:rsidR="004E109F" w:rsidRPr="004E109F" w:rsidRDefault="004E109F" w:rsidP="004E109F">
      <w:pPr>
        <w:spacing w:line="240" w:lineRule="auto"/>
        <w:rPr>
          <w:rFonts w:eastAsia="Times New Roman" w:cs="Arial"/>
          <w:color w:val="000000"/>
          <w:lang w:eastAsia="bg-BG"/>
        </w:rPr>
      </w:pPr>
    </w:p>
    <w:p w14:paraId="1FCD0701" w14:textId="0AB8DA36" w:rsidR="004E109F" w:rsidRPr="004E109F" w:rsidRDefault="004E109F" w:rsidP="004E109F">
      <w:pPr>
        <w:spacing w:line="240" w:lineRule="auto"/>
        <w:rPr>
          <w:rFonts w:eastAsia="Times New Roman" w:cs="Arial"/>
          <w:lang w:eastAsia="bg-BG"/>
        </w:rPr>
      </w:pPr>
      <w:r w:rsidRPr="004E109F">
        <w:rPr>
          <w:rFonts w:eastAsia="Times New Roman" w:cs="Arial"/>
          <w:color w:val="000000"/>
          <w:lang w:eastAsia="bg-BG"/>
        </w:rPr>
        <w:t>Евакуация на стомашното съдържимо, лаваж и приложение на активен въглен. Забавянето на евакуацията на стомашното съдържимо може да доведе до забавяне на резорбцията, което да предизвика рецидив по време на възстановителния период след интоксикацията. Необходимо е поддържащо лечение в интензивно отделение с мониторинг на сърдечната функция и внимателна корекция на нарушеното електролитно равновесие.</w:t>
      </w:r>
    </w:p>
    <w:p w14:paraId="321FD847" w14:textId="77777777" w:rsidR="004E109F" w:rsidRPr="004E109F" w:rsidRDefault="004E109F" w:rsidP="004E109F">
      <w:pPr>
        <w:spacing w:line="240" w:lineRule="auto"/>
        <w:rPr>
          <w:rFonts w:eastAsia="Times New Roman" w:cs="Arial"/>
          <w:color w:val="000000"/>
          <w:u w:val="single"/>
          <w:lang w:eastAsia="bg-BG"/>
        </w:rPr>
      </w:pPr>
    </w:p>
    <w:p w14:paraId="17927254" w14:textId="1E295147" w:rsidR="004E109F" w:rsidRPr="004E109F" w:rsidRDefault="004E109F" w:rsidP="004E109F">
      <w:pPr>
        <w:spacing w:line="240" w:lineRule="auto"/>
        <w:rPr>
          <w:rFonts w:eastAsia="Times New Roman" w:cs="Arial"/>
          <w:lang w:eastAsia="bg-BG"/>
        </w:rPr>
      </w:pPr>
      <w:r w:rsidRPr="004E109F">
        <w:rPr>
          <w:rFonts w:eastAsia="Times New Roman" w:cs="Arial"/>
          <w:color w:val="000000"/>
          <w:u w:val="single"/>
          <w:lang w:eastAsia="bg-BG"/>
        </w:rPr>
        <w:t>Специални препоръки</w:t>
      </w:r>
    </w:p>
    <w:p w14:paraId="6838C67F" w14:textId="77777777"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Хипотония:</w:t>
      </w:r>
      <w:r w:rsidRPr="004E109F">
        <w:rPr>
          <w:rFonts w:eastAsia="Times New Roman" w:cs="Arial"/>
          <w:color w:val="000000"/>
          <w:lang w:eastAsia="bg-BG"/>
        </w:rPr>
        <w:t xml:space="preserve"> </w:t>
      </w:r>
      <w:proofErr w:type="spellStart"/>
      <w:r w:rsidRPr="004E109F">
        <w:rPr>
          <w:rFonts w:eastAsia="Times New Roman" w:cs="Arial"/>
          <w:color w:val="000000"/>
          <w:lang w:val="en-US"/>
        </w:rPr>
        <w:t>i.v.</w:t>
      </w:r>
      <w:proofErr w:type="spellEnd"/>
      <w:r w:rsidRPr="004E109F">
        <w:rPr>
          <w:rFonts w:eastAsia="Times New Roman" w:cs="Arial"/>
          <w:color w:val="000000"/>
          <w:lang w:val="en-US"/>
        </w:rPr>
        <w:t xml:space="preserve"> </w:t>
      </w:r>
      <w:r w:rsidRPr="004E109F">
        <w:rPr>
          <w:rFonts w:eastAsia="Times New Roman" w:cs="Arial"/>
          <w:color w:val="000000"/>
          <w:lang w:eastAsia="bg-BG"/>
        </w:rPr>
        <w:t>приложение на допамин или добутамин</w:t>
      </w:r>
    </w:p>
    <w:p w14:paraId="2881FF3B" w14:textId="77777777" w:rsidR="004E109F" w:rsidRPr="004E109F" w:rsidRDefault="004E109F" w:rsidP="004E109F">
      <w:pPr>
        <w:spacing w:line="240" w:lineRule="auto"/>
        <w:rPr>
          <w:rFonts w:eastAsia="Times New Roman" w:cs="Arial"/>
          <w:i/>
          <w:iCs/>
          <w:color w:val="000000"/>
          <w:lang w:eastAsia="bg-BG"/>
        </w:rPr>
      </w:pPr>
    </w:p>
    <w:p w14:paraId="6523E900" w14:textId="7F422B3F"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Нарушения в сърдечния ритъм:</w:t>
      </w:r>
      <w:r w:rsidRPr="004E109F">
        <w:rPr>
          <w:rFonts w:eastAsia="Times New Roman" w:cs="Arial"/>
          <w:color w:val="000000"/>
          <w:lang w:eastAsia="bg-BG"/>
        </w:rPr>
        <w:t xml:space="preserve"> индивидуален подход.</w:t>
      </w:r>
    </w:p>
    <w:p w14:paraId="2DAE904C" w14:textId="77777777"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Гърчове:</w:t>
      </w:r>
      <w:r w:rsidRPr="004E109F">
        <w:rPr>
          <w:rFonts w:eastAsia="Times New Roman" w:cs="Arial"/>
          <w:color w:val="000000"/>
          <w:lang w:eastAsia="bg-BG"/>
        </w:rPr>
        <w:t xml:space="preserve"> приложение на бензодиазепин (диазепам) или друг антиконвулсант (фенобарбитал), но с повишено внимание поради увеличена възможност за потискане на дишането. Може също да се приложи и паралдехид.</w:t>
      </w:r>
    </w:p>
    <w:p w14:paraId="17966234" w14:textId="77777777" w:rsidR="004E109F" w:rsidRPr="004E109F" w:rsidRDefault="004E109F" w:rsidP="004E109F">
      <w:pPr>
        <w:spacing w:line="240" w:lineRule="auto"/>
        <w:rPr>
          <w:rFonts w:eastAsia="Times New Roman" w:cs="Arial"/>
          <w:i/>
          <w:iCs/>
          <w:color w:val="000000"/>
          <w:lang w:eastAsia="bg-BG"/>
        </w:rPr>
      </w:pPr>
    </w:p>
    <w:p w14:paraId="1CE291A6" w14:textId="2D57AD0C" w:rsidR="004E109F" w:rsidRPr="004E109F" w:rsidRDefault="004E109F" w:rsidP="004E109F">
      <w:pPr>
        <w:spacing w:line="240" w:lineRule="auto"/>
        <w:rPr>
          <w:rFonts w:eastAsia="Times New Roman" w:cs="Arial"/>
          <w:lang w:eastAsia="bg-BG"/>
        </w:rPr>
      </w:pPr>
      <w:r w:rsidRPr="004E109F">
        <w:rPr>
          <w:rFonts w:eastAsia="Times New Roman" w:cs="Arial"/>
          <w:i/>
          <w:iCs/>
          <w:color w:val="000000"/>
          <w:lang w:eastAsia="bg-BG"/>
        </w:rPr>
        <w:t>Хипонатриемия (водна интоксикация):</w:t>
      </w:r>
      <w:r w:rsidRPr="004E109F">
        <w:rPr>
          <w:rFonts w:eastAsia="Times New Roman" w:cs="Arial"/>
          <w:color w:val="000000"/>
          <w:lang w:eastAsia="bg-BG"/>
        </w:rPr>
        <w:t xml:space="preserve"> ограничаване на течностите и внимателна </w:t>
      </w:r>
      <w:proofErr w:type="spellStart"/>
      <w:r w:rsidRPr="004E109F">
        <w:rPr>
          <w:rFonts w:eastAsia="Times New Roman" w:cs="Arial"/>
          <w:color w:val="000000"/>
          <w:lang w:val="en-US"/>
        </w:rPr>
        <w:t>i.v.</w:t>
      </w:r>
      <w:proofErr w:type="spellEnd"/>
      <w:r w:rsidRPr="004E109F">
        <w:rPr>
          <w:rFonts w:eastAsia="Times New Roman" w:cs="Arial"/>
          <w:color w:val="000000"/>
          <w:lang w:val="en-US"/>
        </w:rPr>
        <w:t xml:space="preserve"> </w:t>
      </w:r>
      <w:r w:rsidRPr="004E109F">
        <w:rPr>
          <w:rFonts w:eastAsia="Times New Roman" w:cs="Arial"/>
          <w:color w:val="000000"/>
          <w:lang w:eastAsia="bg-BG"/>
        </w:rPr>
        <w:t xml:space="preserve">инфузия на 0,9% </w:t>
      </w:r>
      <w:proofErr w:type="spellStart"/>
      <w:r w:rsidRPr="004E109F">
        <w:rPr>
          <w:rFonts w:eastAsia="Times New Roman" w:cs="Arial"/>
          <w:color w:val="000000"/>
          <w:lang w:val="en-US"/>
        </w:rPr>
        <w:t>NaCl</w:t>
      </w:r>
      <w:proofErr w:type="spellEnd"/>
      <w:r w:rsidRPr="004E109F">
        <w:rPr>
          <w:rFonts w:eastAsia="Times New Roman" w:cs="Arial"/>
          <w:color w:val="000000"/>
          <w:lang w:val="en-US"/>
        </w:rPr>
        <w:t xml:space="preserve">. </w:t>
      </w:r>
      <w:r w:rsidRPr="004E109F">
        <w:rPr>
          <w:rFonts w:eastAsia="Times New Roman" w:cs="Arial"/>
          <w:color w:val="000000"/>
          <w:lang w:eastAsia="bg-BG"/>
        </w:rPr>
        <w:t>Тези мерки могат да са полезни за предотвратяване на мозъчни увреждания.</w:t>
      </w:r>
    </w:p>
    <w:p w14:paraId="6A43B8F3" w14:textId="71980DE3" w:rsidR="007A2185" w:rsidRPr="004E109F" w:rsidRDefault="004E109F" w:rsidP="004E109F">
      <w:pPr>
        <w:rPr>
          <w:rFonts w:cs="Arial"/>
          <w:lang w:val="en-US"/>
        </w:rPr>
      </w:pPr>
      <w:r w:rsidRPr="004E109F">
        <w:rPr>
          <w:rFonts w:eastAsia="Times New Roman" w:cs="Arial"/>
          <w:color w:val="000000"/>
          <w:lang w:eastAsia="bg-BG"/>
        </w:rPr>
        <w:t>Препоръчва се хемоперфузия и прилагане на активен въглен. Съществуват данни за неефективност на форсираната диуреза, хемодиализата и перитонеалната диализа. Възможно е да настъпи</w:t>
      </w:r>
      <w:r w:rsidRPr="004E109F">
        <w:rPr>
          <w:rFonts w:eastAsia="Times New Roman" w:cs="Arial"/>
          <w:color w:val="000000"/>
          <w:lang w:val="en-US" w:eastAsia="bg-BG"/>
        </w:rPr>
        <w:t xml:space="preserve"> </w:t>
      </w:r>
      <w:r w:rsidRPr="004E109F">
        <w:rPr>
          <w:rFonts w:cs="Arial"/>
        </w:rPr>
        <w:t>рецидив и задълбочаване на симптоматиката на втория и третия ден след предозирането, поради забавена резорбция.</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5EA2949A"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 xml:space="preserve">Фармакотерапевтична група: Антиепилептично, невротропно и психотропно средство, АТС код: </w:t>
      </w:r>
      <w:r w:rsidRPr="00CB33CC">
        <w:rPr>
          <w:rFonts w:eastAsia="Times New Roman" w:cs="Arial"/>
          <w:color w:val="000000"/>
          <w:lang w:val="en-US"/>
        </w:rPr>
        <w:t>N03AF01.</w:t>
      </w:r>
    </w:p>
    <w:p w14:paraId="3C287E3B" w14:textId="77777777" w:rsidR="00CB33CC" w:rsidRPr="00CB33CC" w:rsidRDefault="00CB33CC" w:rsidP="00CB33CC">
      <w:pPr>
        <w:spacing w:line="240" w:lineRule="auto"/>
        <w:rPr>
          <w:rFonts w:eastAsia="Times New Roman" w:cs="Arial"/>
          <w:color w:val="000000"/>
          <w:lang w:eastAsia="bg-BG"/>
        </w:rPr>
      </w:pPr>
    </w:p>
    <w:p w14:paraId="1E2BD1B5" w14:textId="53CEB5FD"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Дибензазепиново производно.</w:t>
      </w:r>
    </w:p>
    <w:p w14:paraId="1218C69A"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Антиепилептичният спектър на действие обхваща: парциални гърчове (прости и комплексни) с или без вторична генерализация, генерализирани тонично-клонични гърчове, както и комбинация от тези видове пристъпи.</w:t>
      </w:r>
    </w:p>
    <w:p w14:paraId="5B87BE1D"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lastRenderedPageBreak/>
        <w:t>Механизмът на действие на карбамазепин е проучен само частично. Изглежда той стабилизира свръхактивните невронни мембрани, инхибира вторичния невронен потенциал и намалява разпространението на възбудни импулси в синапса. Възможно е основният механизъм на действие да е предотвратяване на повтаряемото провокиране на натрий-зависимите акционни потенциали при деполяризирани неврони чрез волтаж-зависима блокада на натриевите канали.</w:t>
      </w:r>
    </w:p>
    <w:p w14:paraId="038F692B" w14:textId="019532E9" w:rsidR="007A2185" w:rsidRPr="00CB33CC" w:rsidRDefault="00CB33CC" w:rsidP="00CB33CC">
      <w:pPr>
        <w:rPr>
          <w:rFonts w:cs="Arial"/>
        </w:rPr>
      </w:pPr>
      <w:r w:rsidRPr="00CB33CC">
        <w:rPr>
          <w:rFonts w:eastAsia="Times New Roman" w:cs="Arial"/>
          <w:color w:val="000000"/>
          <w:lang w:eastAsia="bg-BG"/>
        </w:rPr>
        <w:t>Намаленото освобождаване на глутамат и стабилизирането на невронните мембрани обуславят противоепилептичното действие, а потискащото действие - върху допамин и норадреналин- антиманийните свойства на карбамазепин.</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4F6659E1" w14:textId="77777777" w:rsidR="00CB33CC" w:rsidRPr="00CB33CC" w:rsidRDefault="00CB33CC" w:rsidP="00CB33CC">
      <w:pPr>
        <w:pStyle w:val="Heading3"/>
        <w:rPr>
          <w:rFonts w:eastAsia="Times New Roman"/>
          <w:u w:val="single"/>
          <w:lang w:eastAsia="bg-BG"/>
        </w:rPr>
      </w:pPr>
      <w:r w:rsidRPr="00CB33CC">
        <w:rPr>
          <w:rFonts w:eastAsia="Times New Roman"/>
          <w:u w:val="single"/>
          <w:lang w:eastAsia="bg-BG"/>
        </w:rPr>
        <w:t>Абсорбция</w:t>
      </w:r>
    </w:p>
    <w:p w14:paraId="2492EEBF"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Карбамазепин се резорбира бавно. Степента на резорбция варира значително, въпреки че карбамазепин се резорбира напълно в стомашно-чревния тракт. Много по-висока бионаличност се наблюдава, когато таблетката се приема по време на хранене. Прилагането на антиацидни средства няма ефект върху бионаличността. След единична начална доза най-високи плазмени концентрации се достигат средно след 6 часа (2-24 часа). В резултат на „самоиндукция” по време на продължително прилагане се наблюдава повишена елиминация.</w:t>
      </w:r>
    </w:p>
    <w:p w14:paraId="67BFF8D0" w14:textId="77777777" w:rsidR="00CB33CC" w:rsidRPr="00CB33CC" w:rsidRDefault="00CB33CC" w:rsidP="00CB33CC">
      <w:pPr>
        <w:spacing w:line="240" w:lineRule="auto"/>
        <w:rPr>
          <w:rFonts w:eastAsia="Times New Roman" w:cs="Arial"/>
          <w:color w:val="000000"/>
          <w:u w:val="single"/>
          <w:lang w:eastAsia="bg-BG"/>
        </w:rPr>
      </w:pPr>
    </w:p>
    <w:p w14:paraId="33DDDF58" w14:textId="12F8A433" w:rsidR="00CB33CC" w:rsidRPr="00CB33CC" w:rsidRDefault="00CB33CC" w:rsidP="00CB33CC">
      <w:pPr>
        <w:pStyle w:val="Heading3"/>
        <w:rPr>
          <w:rFonts w:eastAsia="Times New Roman"/>
          <w:u w:val="single"/>
          <w:lang w:eastAsia="bg-BG"/>
        </w:rPr>
      </w:pPr>
      <w:r w:rsidRPr="00CB33CC">
        <w:rPr>
          <w:rFonts w:eastAsia="Times New Roman"/>
          <w:u w:val="single"/>
          <w:lang w:eastAsia="bg-BG"/>
        </w:rPr>
        <w:t>Разпределение</w:t>
      </w:r>
    </w:p>
    <w:p w14:paraId="61CDF128"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Свободният карбамазепин в плазмата е около 25%. Свързването с плазмените протеини е 55-59% при деца и 76% при възрастни.</w:t>
      </w:r>
    </w:p>
    <w:p w14:paraId="2333BD7A" w14:textId="77777777" w:rsidR="00CB33CC" w:rsidRPr="00CB33CC" w:rsidRDefault="00CB33CC" w:rsidP="00CB33CC">
      <w:pPr>
        <w:spacing w:line="240" w:lineRule="auto"/>
        <w:rPr>
          <w:rFonts w:eastAsia="Times New Roman" w:cs="Arial"/>
          <w:color w:val="000000"/>
          <w:u w:val="single"/>
          <w:lang w:eastAsia="bg-BG"/>
        </w:rPr>
      </w:pPr>
    </w:p>
    <w:p w14:paraId="34A98298" w14:textId="56A8C253" w:rsidR="00CB33CC" w:rsidRPr="00CB33CC" w:rsidRDefault="00CB33CC" w:rsidP="00CB33CC">
      <w:pPr>
        <w:pStyle w:val="Heading3"/>
        <w:rPr>
          <w:rFonts w:eastAsia="Times New Roman"/>
          <w:u w:val="single"/>
          <w:lang w:eastAsia="bg-BG"/>
        </w:rPr>
      </w:pPr>
      <w:r w:rsidRPr="00CB33CC">
        <w:rPr>
          <w:rFonts w:eastAsia="Times New Roman"/>
          <w:u w:val="single"/>
          <w:lang w:eastAsia="bg-BG"/>
        </w:rPr>
        <w:t>Биотрансформация</w:t>
      </w:r>
    </w:p>
    <w:p w14:paraId="6603CCBF"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Карбамазепин се метаболизира в черния дроб. Той се метаболизира до 10,11 -епоксид, трансидол и производни на хидроксиметил акридан. Активният метаболит на карбамазепин е 10,11- епоксидекарбамазепин, който притежава антиепилептично, антиневралгично и антидепресантно действие.</w:t>
      </w:r>
    </w:p>
    <w:p w14:paraId="327F3F36" w14:textId="77777777" w:rsidR="00CB33CC" w:rsidRPr="00CB33CC" w:rsidRDefault="00CB33CC" w:rsidP="00CB33CC">
      <w:pPr>
        <w:spacing w:line="240" w:lineRule="auto"/>
        <w:rPr>
          <w:rFonts w:eastAsia="Times New Roman" w:cs="Arial"/>
          <w:color w:val="000000"/>
          <w:u w:val="single"/>
          <w:lang w:eastAsia="bg-BG"/>
        </w:rPr>
      </w:pPr>
    </w:p>
    <w:p w14:paraId="3AD298D3" w14:textId="52B2DAC3" w:rsidR="00CB33CC" w:rsidRPr="00CB33CC" w:rsidRDefault="00CB33CC" w:rsidP="00CB33CC">
      <w:pPr>
        <w:pStyle w:val="Heading3"/>
        <w:rPr>
          <w:rFonts w:eastAsia="Times New Roman"/>
          <w:u w:val="single"/>
          <w:lang w:eastAsia="bg-BG"/>
        </w:rPr>
      </w:pPr>
      <w:r w:rsidRPr="00CB33CC">
        <w:rPr>
          <w:rFonts w:eastAsia="Times New Roman"/>
          <w:u w:val="single"/>
          <w:lang w:eastAsia="bg-BG"/>
        </w:rPr>
        <w:t>Елиминиране</w:t>
      </w:r>
    </w:p>
    <w:p w14:paraId="3C3D9D89"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Чрез бъбреците се елиминират 72% от карбамазепин и 28% с фецеса.</w:t>
      </w:r>
    </w:p>
    <w:p w14:paraId="22D1642B"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При продължителна употреба метаболитите се увеличават до 35%.</w:t>
      </w:r>
    </w:p>
    <w:p w14:paraId="45551830" w14:textId="55FC7F77" w:rsidR="007A2185" w:rsidRPr="00CB33CC" w:rsidRDefault="00CB33CC" w:rsidP="00CB33CC">
      <w:pPr>
        <w:rPr>
          <w:rFonts w:cs="Arial"/>
        </w:rPr>
      </w:pPr>
      <w:r w:rsidRPr="00CB33CC">
        <w:rPr>
          <w:rFonts w:eastAsia="Times New Roman" w:cs="Arial"/>
          <w:color w:val="000000"/>
          <w:lang w:eastAsia="bg-BG"/>
        </w:rPr>
        <w:t>След приемане на единична доза времето на полуживот е 35 часа, а след продължително приложение -11 до 27 часа.</w:t>
      </w:r>
    </w:p>
    <w:p w14:paraId="4EE1BB0B" w14:textId="4AB93DEC" w:rsidR="0091385D" w:rsidRPr="00CB33CC" w:rsidRDefault="0091385D" w:rsidP="0091385D">
      <w:pPr>
        <w:rPr>
          <w:rFonts w:cs="Arial"/>
        </w:rPr>
      </w:pPr>
    </w:p>
    <w:p w14:paraId="65BBBAE2"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u w:val="single"/>
          <w:lang w:eastAsia="bg-BG"/>
        </w:rPr>
        <w:t>Връзка фармакокинетика-фармакодинамика</w:t>
      </w:r>
    </w:p>
    <w:p w14:paraId="6DFD6AAF"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Терапевтичните концентрации са между 6 и 12 μ</w:t>
      </w:r>
      <w:r w:rsidRPr="00CB33CC">
        <w:rPr>
          <w:rFonts w:eastAsia="Times New Roman" w:cs="Arial"/>
          <w:color w:val="000000"/>
          <w:lang w:val="en-US"/>
        </w:rPr>
        <w:t xml:space="preserve">g/ml, </w:t>
      </w:r>
      <w:r w:rsidRPr="00CB33CC">
        <w:rPr>
          <w:rFonts w:eastAsia="Times New Roman" w:cs="Arial"/>
          <w:color w:val="000000"/>
          <w:lang w:eastAsia="bg-BG"/>
        </w:rPr>
        <w:t>но се наблюдават значителни вариации. При концентрации над 9 μ</w:t>
      </w:r>
      <w:r w:rsidRPr="00CB33CC">
        <w:rPr>
          <w:rFonts w:eastAsia="Times New Roman" w:cs="Arial"/>
          <w:color w:val="000000"/>
          <w:lang w:val="en-US"/>
        </w:rPr>
        <w:t xml:space="preserve">g/ml, </w:t>
      </w:r>
      <w:r w:rsidRPr="00CB33CC">
        <w:rPr>
          <w:rFonts w:eastAsia="Times New Roman" w:cs="Arial"/>
          <w:color w:val="000000"/>
          <w:lang w:eastAsia="bg-BG"/>
        </w:rPr>
        <w:t>могат да се развият нежелани лекарствени реакции.</w:t>
      </w:r>
    </w:p>
    <w:p w14:paraId="2DF29BB5"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Началото на терапевтичен ефект настъпва по различно време при различните пациенти: в случаите на антиепилептична активност - от няколко дена до месец; за антиневралгична активност - от 8 до 72 часа и за антипсихотична активност - от 7 до 10 дена.</w:t>
      </w:r>
    </w:p>
    <w:p w14:paraId="3F8951F6" w14:textId="4F4C4A64" w:rsidR="00CB33CC" w:rsidRPr="00CB33CC" w:rsidRDefault="00CB33CC" w:rsidP="00CB33CC">
      <w:pPr>
        <w:rPr>
          <w:rFonts w:cs="Arial"/>
        </w:rPr>
      </w:pPr>
      <w:r w:rsidRPr="00CB33CC">
        <w:rPr>
          <w:rFonts w:eastAsia="Times New Roman" w:cs="Arial"/>
          <w:color w:val="000000"/>
          <w:lang w:eastAsia="bg-BG"/>
        </w:rPr>
        <w:t xml:space="preserve">Карбамазепин преминава плацентарната бариера в рамките на 30-60 </w:t>
      </w:r>
      <w:r w:rsidRPr="00CB33CC">
        <w:rPr>
          <w:rFonts w:eastAsia="Times New Roman" w:cs="Arial"/>
          <w:color w:val="000000"/>
          <w:lang w:val="en-US"/>
        </w:rPr>
        <w:t xml:space="preserve">min </w:t>
      </w:r>
      <w:r w:rsidRPr="00CB33CC">
        <w:rPr>
          <w:rFonts w:eastAsia="Times New Roman" w:cs="Arial"/>
          <w:color w:val="000000"/>
          <w:lang w:eastAsia="bg-BG"/>
        </w:rPr>
        <w:t>и се разпределя в тъканите на плода.</w:t>
      </w:r>
    </w:p>
    <w:p w14:paraId="12083E9E" w14:textId="77777777" w:rsidR="00CB33CC" w:rsidRPr="0091385D" w:rsidRDefault="00CB33CC" w:rsidP="0091385D"/>
    <w:p w14:paraId="648E39DA" w14:textId="44D16CBD" w:rsidR="00CF77F7" w:rsidRDefault="002C50EE" w:rsidP="004A448E">
      <w:pPr>
        <w:pStyle w:val="Heading2"/>
      </w:pPr>
      <w:r>
        <w:lastRenderedPageBreak/>
        <w:t>5.3. Предклинични данни за безопасност</w:t>
      </w:r>
    </w:p>
    <w:p w14:paraId="20E967BE" w14:textId="751DCF54" w:rsidR="0091385D" w:rsidRDefault="0091385D" w:rsidP="0091385D"/>
    <w:p w14:paraId="13A7B62A" w14:textId="2882F2F9" w:rsidR="007A2185" w:rsidRDefault="00CB33CC" w:rsidP="0091385D">
      <w:r>
        <w:t xml:space="preserve">При плъхове, третирани с карбамазепин в продължение на 2 години, с дози от 25, 75 и 250 </w:t>
      </w:r>
      <w:r>
        <w:rPr>
          <w:lang w:val="en-US"/>
        </w:rPr>
        <w:t>mg/kg</w:t>
      </w:r>
      <w:r>
        <w:t>/дневно, се наблюдава повишена честота на хепатоцелуларни тумори у женските животни и доброкачествени интерстициалноклетьчни аденоми в тестисите на мъжките животни. Изследванията за мутагенност при бактерии и бозайници са показали негативни резултати.</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7DC2F623"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Актавис ЕАД</w:t>
      </w:r>
    </w:p>
    <w:p w14:paraId="3B69AA54"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у л.” Атанас Дуков” № 29</w:t>
      </w:r>
    </w:p>
    <w:p w14:paraId="4F02909F" w14:textId="5FB83E0B" w:rsidR="007A2185" w:rsidRPr="00CB33CC" w:rsidRDefault="00CB33CC" w:rsidP="00CB33CC">
      <w:pPr>
        <w:rPr>
          <w:rFonts w:cs="Arial"/>
        </w:rPr>
      </w:pPr>
      <w:r w:rsidRPr="00CB33CC">
        <w:rPr>
          <w:rFonts w:eastAsia="Times New Roman" w:cs="Arial"/>
          <w:color w:val="000000"/>
          <w:lang w:eastAsia="bg-BG"/>
        </w:rPr>
        <w:t>1407 София, България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1B822F9C" w:rsidR="007A2185" w:rsidRPr="00CB33CC" w:rsidRDefault="00CB33CC" w:rsidP="0091385D">
      <w:pPr>
        <w:rPr>
          <w:rFonts w:cs="Arial"/>
        </w:rPr>
      </w:pPr>
      <w:proofErr w:type="spellStart"/>
      <w:r w:rsidRPr="00CB33CC">
        <w:rPr>
          <w:rFonts w:cs="Arial"/>
          <w:lang w:val="en-US"/>
        </w:rPr>
        <w:t>Pe</w:t>
      </w:r>
      <w:proofErr w:type="spellEnd"/>
      <w:r w:rsidRPr="00CB33CC">
        <w:rPr>
          <w:rFonts w:cs="Arial"/>
        </w:rPr>
        <w:t>г</w:t>
      </w:r>
      <w:r w:rsidRPr="00CB33CC">
        <w:rPr>
          <w:rFonts w:cs="Arial"/>
          <w:lang w:val="en-US"/>
        </w:rPr>
        <w:t xml:space="preserve">. </w:t>
      </w:r>
      <w:r w:rsidRPr="00CB33CC">
        <w:rPr>
          <w:rFonts w:cs="Arial"/>
        </w:rPr>
        <w:t>№ 20000456</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1D793CA2" w14:textId="77777777" w:rsidR="00CB33CC" w:rsidRPr="00CB33CC" w:rsidRDefault="00CB33CC" w:rsidP="00CB33CC">
      <w:pPr>
        <w:spacing w:line="240" w:lineRule="auto"/>
        <w:rPr>
          <w:rFonts w:eastAsia="Times New Roman" w:cs="Arial"/>
          <w:sz w:val="24"/>
          <w:szCs w:val="24"/>
          <w:lang w:eastAsia="bg-BG"/>
        </w:rPr>
      </w:pPr>
      <w:r w:rsidRPr="00CB33CC">
        <w:rPr>
          <w:rFonts w:eastAsia="Times New Roman" w:cs="Arial"/>
          <w:color w:val="000000"/>
          <w:lang w:eastAsia="bg-BG"/>
        </w:rPr>
        <w:t>Дата на първо разрешаване: 03.08.2000 г.</w:t>
      </w:r>
    </w:p>
    <w:p w14:paraId="6C57D8B6" w14:textId="4F17D1B7" w:rsidR="007A2185" w:rsidRPr="00CB33CC" w:rsidRDefault="00CB33CC" w:rsidP="00CB33CC">
      <w:pPr>
        <w:rPr>
          <w:rFonts w:cs="Arial"/>
        </w:rPr>
      </w:pPr>
      <w:r w:rsidRPr="00CB33CC">
        <w:rPr>
          <w:rFonts w:eastAsia="Times New Roman" w:cs="Arial"/>
          <w:color w:val="000000"/>
          <w:lang w:eastAsia="bg-BG"/>
        </w:rPr>
        <w:t>Дата на последно подновяване: 13.12.2010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77777777" w:rsidR="007A2185" w:rsidRDefault="007A2185"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C08C7"/>
    <w:multiLevelType w:val="hybridMultilevel"/>
    <w:tmpl w:val="B9DE0480"/>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D184B"/>
    <w:multiLevelType w:val="hybridMultilevel"/>
    <w:tmpl w:val="E6A030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694548"/>
    <w:multiLevelType w:val="hybridMultilevel"/>
    <w:tmpl w:val="31B6882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3376025"/>
    <w:multiLevelType w:val="hybridMultilevel"/>
    <w:tmpl w:val="92C29B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62C27"/>
    <w:multiLevelType w:val="hybridMultilevel"/>
    <w:tmpl w:val="041E39F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57B122D"/>
    <w:multiLevelType w:val="hybridMultilevel"/>
    <w:tmpl w:val="FF6C730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8A902E5"/>
    <w:multiLevelType w:val="hybridMultilevel"/>
    <w:tmpl w:val="785841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559EA"/>
    <w:multiLevelType w:val="hybridMultilevel"/>
    <w:tmpl w:val="55F28A6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E79F9"/>
    <w:multiLevelType w:val="hybridMultilevel"/>
    <w:tmpl w:val="2298741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507B3"/>
    <w:multiLevelType w:val="hybridMultilevel"/>
    <w:tmpl w:val="0C9C269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7"/>
  </w:num>
  <w:num w:numId="2">
    <w:abstractNumId w:val="0"/>
  </w:num>
  <w:num w:numId="3">
    <w:abstractNumId w:val="19"/>
  </w:num>
  <w:num w:numId="4">
    <w:abstractNumId w:val="3"/>
  </w:num>
  <w:num w:numId="5">
    <w:abstractNumId w:val="1"/>
  </w:num>
  <w:num w:numId="6">
    <w:abstractNumId w:val="24"/>
  </w:num>
  <w:num w:numId="7">
    <w:abstractNumId w:val="16"/>
  </w:num>
  <w:num w:numId="8">
    <w:abstractNumId w:val="23"/>
  </w:num>
  <w:num w:numId="9">
    <w:abstractNumId w:val="2"/>
  </w:num>
  <w:num w:numId="10">
    <w:abstractNumId w:val="5"/>
  </w:num>
  <w:num w:numId="11">
    <w:abstractNumId w:val="40"/>
  </w:num>
  <w:num w:numId="12">
    <w:abstractNumId w:val="21"/>
  </w:num>
  <w:num w:numId="13">
    <w:abstractNumId w:val="27"/>
  </w:num>
  <w:num w:numId="14">
    <w:abstractNumId w:val="18"/>
  </w:num>
  <w:num w:numId="15">
    <w:abstractNumId w:val="39"/>
  </w:num>
  <w:num w:numId="16">
    <w:abstractNumId w:val="14"/>
  </w:num>
  <w:num w:numId="17">
    <w:abstractNumId w:val="33"/>
  </w:num>
  <w:num w:numId="18">
    <w:abstractNumId w:val="11"/>
  </w:num>
  <w:num w:numId="19">
    <w:abstractNumId w:val="36"/>
  </w:num>
  <w:num w:numId="20">
    <w:abstractNumId w:val="32"/>
  </w:num>
  <w:num w:numId="21">
    <w:abstractNumId w:val="25"/>
  </w:num>
  <w:num w:numId="22">
    <w:abstractNumId w:val="34"/>
  </w:num>
  <w:num w:numId="23">
    <w:abstractNumId w:val="26"/>
  </w:num>
  <w:num w:numId="24">
    <w:abstractNumId w:val="12"/>
  </w:num>
  <w:num w:numId="25">
    <w:abstractNumId w:val="31"/>
  </w:num>
  <w:num w:numId="26">
    <w:abstractNumId w:val="30"/>
  </w:num>
  <w:num w:numId="27">
    <w:abstractNumId w:val="41"/>
  </w:num>
  <w:num w:numId="28">
    <w:abstractNumId w:val="9"/>
  </w:num>
  <w:num w:numId="29">
    <w:abstractNumId w:val="29"/>
  </w:num>
  <w:num w:numId="30">
    <w:abstractNumId w:val="44"/>
  </w:num>
  <w:num w:numId="31">
    <w:abstractNumId w:val="6"/>
  </w:num>
  <w:num w:numId="32">
    <w:abstractNumId w:val="43"/>
  </w:num>
  <w:num w:numId="33">
    <w:abstractNumId w:val="38"/>
  </w:num>
  <w:num w:numId="34">
    <w:abstractNumId w:val="42"/>
  </w:num>
  <w:num w:numId="35">
    <w:abstractNumId w:val="20"/>
  </w:num>
  <w:num w:numId="36">
    <w:abstractNumId w:val="10"/>
  </w:num>
  <w:num w:numId="37">
    <w:abstractNumId w:val="7"/>
  </w:num>
  <w:num w:numId="38">
    <w:abstractNumId w:val="13"/>
  </w:num>
  <w:num w:numId="39">
    <w:abstractNumId w:val="4"/>
  </w:num>
  <w:num w:numId="40">
    <w:abstractNumId w:val="28"/>
  </w:num>
  <w:num w:numId="41">
    <w:abstractNumId w:val="17"/>
  </w:num>
  <w:num w:numId="42">
    <w:abstractNumId w:val="35"/>
  </w:num>
  <w:num w:numId="43">
    <w:abstractNumId w:val="8"/>
  </w:num>
  <w:num w:numId="44">
    <w:abstractNumId w:val="1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A31E6"/>
    <w:rsid w:val="00185A46"/>
    <w:rsid w:val="001915B6"/>
    <w:rsid w:val="001D1B23"/>
    <w:rsid w:val="002B3C38"/>
    <w:rsid w:val="002B4DBB"/>
    <w:rsid w:val="002C50EE"/>
    <w:rsid w:val="00340A0A"/>
    <w:rsid w:val="003765DC"/>
    <w:rsid w:val="00395555"/>
    <w:rsid w:val="003E3126"/>
    <w:rsid w:val="00426E5F"/>
    <w:rsid w:val="004A448E"/>
    <w:rsid w:val="004D4D6B"/>
    <w:rsid w:val="004E109F"/>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B33CC"/>
    <w:rsid w:val="00CF77F7"/>
    <w:rsid w:val="00D86297"/>
    <w:rsid w:val="00DD466D"/>
    <w:rsid w:val="00EA7239"/>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6578</Words>
  <Characters>37499</Characters>
  <Application>Microsoft Office Word</Application>
  <DocSecurity>0</DocSecurity>
  <Lines>312</Lines>
  <Paragraphs>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2023-02-06T08:32:00Z</dcterms:created>
  <dcterms:modified xsi:type="dcterms:W3CDTF">2023-02-06T08:32:00Z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