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7A328C" w14:textId="16329281" w:rsidR="002C50EE" w:rsidRDefault="002C50EE" w:rsidP="002C50EE">
      <w:pPr>
        <w:pStyle w:val="Heading1"/>
        <w:jc w:val="center"/>
      </w:pPr>
      <w:bookmarkStart w:id="0" w:name="_Hlk63124480"/>
      <w:r>
        <w:t>КРАТКА ХАРАКТЕРИСТИКА НА ПРОДУКТА</w:t>
      </w:r>
    </w:p>
    <w:p w14:paraId="3320F4BE" w14:textId="3CB62D60" w:rsidR="00C40420" w:rsidRDefault="00DD466D" w:rsidP="004A448E">
      <w:pPr>
        <w:pStyle w:val="Heading1"/>
      </w:pPr>
      <w:r>
        <w:t>1.ИМЕ НА ЛЕКАРСТВЕНИЯ ПРОДУКТ</w:t>
      </w:r>
    </w:p>
    <w:p w14:paraId="33F77E7D" w14:textId="38BC473E" w:rsidR="0008663D" w:rsidRDefault="0008663D" w:rsidP="0008663D"/>
    <w:p w14:paraId="2B9D0C01" w14:textId="77777777" w:rsidR="0008663D" w:rsidRPr="0008663D" w:rsidRDefault="0008663D" w:rsidP="0008663D">
      <w:pPr>
        <w:rPr>
          <w:sz w:val="24"/>
          <w:szCs w:val="24"/>
          <w:lang w:val="en-US"/>
        </w:rPr>
      </w:pPr>
      <w:r w:rsidRPr="0008663D">
        <w:rPr>
          <w:lang w:eastAsia="bg-BG"/>
        </w:rPr>
        <w:t>Кардифре</w:t>
      </w:r>
      <w:proofErr w:type="spellStart"/>
      <w:r w:rsidRPr="0008663D">
        <w:rPr>
          <w:lang w:val="en-US"/>
        </w:rPr>
        <w:t>nd</w:t>
      </w:r>
      <w:proofErr w:type="spellEnd"/>
      <w:r w:rsidRPr="0008663D">
        <w:rPr>
          <w:lang w:eastAsia="bg-BG"/>
        </w:rPr>
        <w:t xml:space="preserve"> 5 </w:t>
      </w:r>
      <w:r w:rsidRPr="0008663D">
        <w:rPr>
          <w:lang w:val="en-US"/>
        </w:rPr>
        <w:t xml:space="preserve">mg </w:t>
      </w:r>
      <w:r w:rsidRPr="0008663D">
        <w:rPr>
          <w:lang w:eastAsia="bg-BG"/>
        </w:rPr>
        <w:t>таблетки</w:t>
      </w:r>
    </w:p>
    <w:p w14:paraId="42E2486C" w14:textId="77777777" w:rsidR="0008663D" w:rsidRPr="0008663D" w:rsidRDefault="0008663D" w:rsidP="0008663D">
      <w:pPr>
        <w:rPr>
          <w:sz w:val="24"/>
          <w:szCs w:val="24"/>
          <w:lang w:val="en-US"/>
        </w:rPr>
      </w:pPr>
      <w:proofErr w:type="spellStart"/>
      <w:r w:rsidRPr="0008663D">
        <w:rPr>
          <w:lang w:val="en-US"/>
        </w:rPr>
        <w:t>Cardifriend</w:t>
      </w:r>
      <w:proofErr w:type="spellEnd"/>
      <w:r w:rsidRPr="0008663D">
        <w:rPr>
          <w:lang w:val="en-US"/>
        </w:rPr>
        <w:t xml:space="preserve"> </w:t>
      </w:r>
      <w:r w:rsidRPr="0008663D">
        <w:rPr>
          <w:lang w:eastAsia="bg-BG"/>
        </w:rPr>
        <w:t xml:space="preserve">5 </w:t>
      </w:r>
      <w:r w:rsidRPr="0008663D">
        <w:rPr>
          <w:lang w:val="en-US"/>
        </w:rPr>
        <w:t>mg tablets</w:t>
      </w:r>
    </w:p>
    <w:p w14:paraId="78DF479B" w14:textId="77777777" w:rsidR="0008663D" w:rsidRDefault="0008663D" w:rsidP="0008663D">
      <w:pPr>
        <w:rPr>
          <w:lang w:eastAsia="bg-BG"/>
        </w:rPr>
      </w:pPr>
    </w:p>
    <w:p w14:paraId="7E012AB3" w14:textId="04CAF32A" w:rsidR="0008663D" w:rsidRPr="0008663D" w:rsidRDefault="0008663D" w:rsidP="0008663D">
      <w:pPr>
        <w:rPr>
          <w:sz w:val="24"/>
          <w:szCs w:val="24"/>
        </w:rPr>
      </w:pPr>
      <w:r w:rsidRPr="0008663D">
        <w:rPr>
          <w:lang w:eastAsia="bg-BG"/>
        </w:rPr>
        <w:t xml:space="preserve">Кардифренд 10 </w:t>
      </w:r>
      <w:r w:rsidRPr="0008663D">
        <w:rPr>
          <w:lang w:val="en-US"/>
        </w:rPr>
        <w:t>mg</w:t>
      </w:r>
      <w:r w:rsidRPr="0008663D">
        <w:t xml:space="preserve"> </w:t>
      </w:r>
      <w:r w:rsidRPr="0008663D">
        <w:rPr>
          <w:lang w:eastAsia="bg-BG"/>
        </w:rPr>
        <w:t>таблетки</w:t>
      </w:r>
    </w:p>
    <w:p w14:paraId="0DD02292" w14:textId="77777777" w:rsidR="0008663D" w:rsidRPr="0008663D" w:rsidRDefault="0008663D" w:rsidP="0008663D">
      <w:pPr>
        <w:rPr>
          <w:sz w:val="24"/>
          <w:szCs w:val="24"/>
        </w:rPr>
      </w:pPr>
      <w:proofErr w:type="spellStart"/>
      <w:r w:rsidRPr="0008663D">
        <w:rPr>
          <w:lang w:val="en-US"/>
        </w:rPr>
        <w:t>Cardifnend</w:t>
      </w:r>
      <w:proofErr w:type="spellEnd"/>
      <w:r w:rsidRPr="0008663D">
        <w:t xml:space="preserve"> </w:t>
      </w:r>
      <w:r w:rsidRPr="0008663D">
        <w:rPr>
          <w:lang w:eastAsia="bg-BG"/>
        </w:rPr>
        <w:t xml:space="preserve">10 </w:t>
      </w:r>
      <w:r w:rsidRPr="0008663D">
        <w:rPr>
          <w:lang w:val="en-US"/>
        </w:rPr>
        <w:t>mg</w:t>
      </w:r>
      <w:r w:rsidRPr="0008663D">
        <w:t xml:space="preserve"> </w:t>
      </w:r>
      <w:r w:rsidRPr="0008663D">
        <w:rPr>
          <w:lang w:val="en-US"/>
        </w:rPr>
        <w:t>tablets</w:t>
      </w:r>
    </w:p>
    <w:p w14:paraId="2A05FA74" w14:textId="77777777" w:rsidR="0008663D" w:rsidRPr="0008663D" w:rsidRDefault="0008663D" w:rsidP="0008663D"/>
    <w:p w14:paraId="6920A680" w14:textId="28CAEBBD" w:rsidR="00C40420" w:rsidRDefault="00DD466D" w:rsidP="004A448E">
      <w:pPr>
        <w:pStyle w:val="Heading1"/>
      </w:pPr>
      <w:r>
        <w:t>2. КАЧЕСТВЕН И КОЛИЧЕСТВЕН СЪСТАВ</w:t>
      </w:r>
    </w:p>
    <w:p w14:paraId="0BC270D4" w14:textId="3D6F2D36" w:rsidR="0008663D" w:rsidRDefault="0008663D" w:rsidP="0008663D"/>
    <w:p w14:paraId="1BB728F8" w14:textId="77777777" w:rsidR="0008663D" w:rsidRPr="0008663D" w:rsidRDefault="0008663D" w:rsidP="0008663D">
      <w:pPr>
        <w:rPr>
          <w:sz w:val="24"/>
          <w:szCs w:val="24"/>
        </w:rPr>
      </w:pPr>
      <w:r w:rsidRPr="0008663D">
        <w:rPr>
          <w:lang w:eastAsia="bg-BG"/>
        </w:rPr>
        <w:t xml:space="preserve">Всяка таблетка от 5 </w:t>
      </w:r>
      <w:r w:rsidRPr="0008663D">
        <w:rPr>
          <w:lang w:val="en-US"/>
        </w:rPr>
        <w:t>mg</w:t>
      </w:r>
      <w:r w:rsidRPr="0008663D">
        <w:t xml:space="preserve"> </w:t>
      </w:r>
      <w:r w:rsidRPr="0008663D">
        <w:rPr>
          <w:lang w:eastAsia="bg-BG"/>
        </w:rPr>
        <w:t xml:space="preserve">съдържа 5 </w:t>
      </w:r>
      <w:r w:rsidRPr="0008663D">
        <w:rPr>
          <w:lang w:val="en-US"/>
        </w:rPr>
        <w:t>mg</w:t>
      </w:r>
      <w:r w:rsidRPr="0008663D">
        <w:t xml:space="preserve"> </w:t>
      </w:r>
      <w:r w:rsidRPr="0008663D">
        <w:rPr>
          <w:lang w:eastAsia="bg-BG"/>
        </w:rPr>
        <w:t>рамиприл (</w:t>
      </w:r>
      <w:proofErr w:type="spellStart"/>
      <w:r w:rsidRPr="0008663D">
        <w:rPr>
          <w:i/>
          <w:iCs/>
          <w:lang w:val="en-US"/>
        </w:rPr>
        <w:t>ramipril</w:t>
      </w:r>
      <w:proofErr w:type="spellEnd"/>
      <w:r w:rsidRPr="0008663D">
        <w:rPr>
          <w:i/>
          <w:iCs/>
        </w:rPr>
        <w:t>).</w:t>
      </w:r>
    </w:p>
    <w:p w14:paraId="5CAB802B" w14:textId="77777777" w:rsidR="0008663D" w:rsidRPr="0008663D" w:rsidRDefault="0008663D" w:rsidP="0008663D">
      <w:pPr>
        <w:rPr>
          <w:sz w:val="24"/>
          <w:szCs w:val="24"/>
        </w:rPr>
      </w:pPr>
      <w:r w:rsidRPr="0008663D">
        <w:rPr>
          <w:lang w:eastAsia="bg-BG"/>
        </w:rPr>
        <w:t xml:space="preserve">Всяка таблетка от 10 </w:t>
      </w:r>
      <w:r w:rsidRPr="0008663D">
        <w:rPr>
          <w:lang w:val="en-US"/>
        </w:rPr>
        <w:t>mg</w:t>
      </w:r>
      <w:r w:rsidRPr="0008663D">
        <w:t xml:space="preserve"> </w:t>
      </w:r>
      <w:r w:rsidRPr="0008663D">
        <w:rPr>
          <w:lang w:eastAsia="bg-BG"/>
        </w:rPr>
        <w:t xml:space="preserve">съдържа 10 </w:t>
      </w:r>
      <w:r w:rsidRPr="0008663D">
        <w:rPr>
          <w:lang w:val="en-US"/>
        </w:rPr>
        <w:t>mg</w:t>
      </w:r>
      <w:r w:rsidRPr="0008663D">
        <w:t xml:space="preserve"> </w:t>
      </w:r>
      <w:r w:rsidRPr="0008663D">
        <w:rPr>
          <w:lang w:eastAsia="bg-BG"/>
        </w:rPr>
        <w:t>рамиприл (</w:t>
      </w:r>
      <w:proofErr w:type="spellStart"/>
      <w:r w:rsidRPr="0008663D">
        <w:rPr>
          <w:i/>
          <w:iCs/>
          <w:lang w:val="en-US"/>
        </w:rPr>
        <w:t>ramipril</w:t>
      </w:r>
      <w:proofErr w:type="spellEnd"/>
      <w:r w:rsidRPr="0008663D">
        <w:rPr>
          <w:i/>
          <w:iCs/>
        </w:rPr>
        <w:t>).</w:t>
      </w:r>
    </w:p>
    <w:p w14:paraId="07AAFCF5" w14:textId="77777777" w:rsidR="0008663D" w:rsidRDefault="0008663D" w:rsidP="0008663D">
      <w:pPr>
        <w:rPr>
          <w:lang w:eastAsia="bg-BG"/>
        </w:rPr>
      </w:pPr>
    </w:p>
    <w:p w14:paraId="3A60D5CD" w14:textId="1A6AA0E4" w:rsidR="0008663D" w:rsidRPr="0008663D" w:rsidRDefault="0008663D" w:rsidP="0008663D">
      <w:pPr>
        <w:rPr>
          <w:sz w:val="24"/>
          <w:szCs w:val="24"/>
        </w:rPr>
      </w:pPr>
      <w:r w:rsidRPr="0008663D">
        <w:rPr>
          <w:lang w:eastAsia="bg-BG"/>
        </w:rPr>
        <w:t>Помощно вещество с известно действие:</w:t>
      </w:r>
    </w:p>
    <w:p w14:paraId="2FF6EDB2" w14:textId="77777777" w:rsidR="0008663D" w:rsidRPr="0008663D" w:rsidRDefault="0008663D" w:rsidP="0008663D">
      <w:pPr>
        <w:rPr>
          <w:sz w:val="24"/>
          <w:szCs w:val="24"/>
        </w:rPr>
      </w:pPr>
      <w:r w:rsidRPr="0008663D">
        <w:rPr>
          <w:lang w:eastAsia="bg-BG"/>
        </w:rPr>
        <w:t xml:space="preserve">Всяка таблетка от 5 </w:t>
      </w:r>
      <w:r w:rsidRPr="0008663D">
        <w:rPr>
          <w:lang w:val="en-US"/>
        </w:rPr>
        <w:t>mg</w:t>
      </w:r>
      <w:r w:rsidRPr="0008663D">
        <w:rPr>
          <w:lang w:val="ru-RU"/>
        </w:rPr>
        <w:t xml:space="preserve"> </w:t>
      </w:r>
      <w:r w:rsidRPr="0008663D">
        <w:rPr>
          <w:lang w:eastAsia="bg-BG"/>
        </w:rPr>
        <w:t xml:space="preserve">съдържа 143,8 </w:t>
      </w:r>
      <w:r w:rsidRPr="0008663D">
        <w:rPr>
          <w:lang w:val="en-US"/>
        </w:rPr>
        <w:t>mg</w:t>
      </w:r>
      <w:r w:rsidRPr="0008663D">
        <w:rPr>
          <w:lang w:val="ru-RU"/>
        </w:rPr>
        <w:t xml:space="preserve"> </w:t>
      </w:r>
      <w:r w:rsidRPr="0008663D">
        <w:rPr>
          <w:lang w:eastAsia="bg-BG"/>
        </w:rPr>
        <w:t>лактоза (като лактоза, безводна).</w:t>
      </w:r>
    </w:p>
    <w:p w14:paraId="2F097F6F" w14:textId="77777777" w:rsidR="0008663D" w:rsidRPr="0008663D" w:rsidRDefault="0008663D" w:rsidP="0008663D">
      <w:pPr>
        <w:rPr>
          <w:sz w:val="24"/>
          <w:szCs w:val="24"/>
        </w:rPr>
      </w:pPr>
      <w:r w:rsidRPr="0008663D">
        <w:rPr>
          <w:lang w:eastAsia="bg-BG"/>
        </w:rPr>
        <w:t xml:space="preserve">Всяка таблетка от 10 </w:t>
      </w:r>
      <w:r w:rsidRPr="0008663D">
        <w:rPr>
          <w:lang w:val="en-US"/>
        </w:rPr>
        <w:t>mg</w:t>
      </w:r>
      <w:r w:rsidRPr="0008663D">
        <w:rPr>
          <w:lang w:val="ru-RU"/>
        </w:rPr>
        <w:t xml:space="preserve"> </w:t>
      </w:r>
      <w:r w:rsidRPr="0008663D">
        <w:rPr>
          <w:lang w:eastAsia="bg-BG"/>
        </w:rPr>
        <w:t xml:space="preserve">съдържа 139 </w:t>
      </w:r>
      <w:r w:rsidRPr="0008663D">
        <w:rPr>
          <w:lang w:val="en-US"/>
        </w:rPr>
        <w:t>mg</w:t>
      </w:r>
      <w:r w:rsidRPr="0008663D">
        <w:rPr>
          <w:lang w:val="ru-RU"/>
        </w:rPr>
        <w:t xml:space="preserve"> </w:t>
      </w:r>
      <w:r w:rsidRPr="0008663D">
        <w:rPr>
          <w:lang w:eastAsia="bg-BG"/>
        </w:rPr>
        <w:t>лактоза (като лактоза, безводна).</w:t>
      </w:r>
    </w:p>
    <w:p w14:paraId="6D26534C" w14:textId="77777777" w:rsidR="0008663D" w:rsidRPr="0008663D" w:rsidRDefault="0008663D" w:rsidP="0008663D"/>
    <w:p w14:paraId="614984C4" w14:textId="45B70A56" w:rsidR="008A6AF2" w:rsidRDefault="00DD466D" w:rsidP="002C50EE">
      <w:pPr>
        <w:pStyle w:val="Heading1"/>
      </w:pPr>
      <w:r>
        <w:t>3. ЛЕКАРСТВЕНА ФОРМА</w:t>
      </w:r>
    </w:p>
    <w:p w14:paraId="1A145C16" w14:textId="1A1D7F7A" w:rsidR="0008663D" w:rsidRDefault="0008663D" w:rsidP="0008663D"/>
    <w:p w14:paraId="3056F2B1" w14:textId="77777777" w:rsidR="0008663D" w:rsidRPr="0008663D" w:rsidRDefault="0008663D" w:rsidP="0008663D">
      <w:pPr>
        <w:rPr>
          <w:sz w:val="24"/>
          <w:szCs w:val="24"/>
        </w:rPr>
      </w:pPr>
      <w:r w:rsidRPr="0008663D">
        <w:rPr>
          <w:lang w:eastAsia="bg-BG"/>
        </w:rPr>
        <w:t>Таблетка.</w:t>
      </w:r>
    </w:p>
    <w:p w14:paraId="3CB79026" w14:textId="77777777" w:rsidR="0008663D" w:rsidRDefault="0008663D" w:rsidP="0008663D">
      <w:pPr>
        <w:rPr>
          <w:lang w:eastAsia="bg-BG"/>
        </w:rPr>
      </w:pPr>
    </w:p>
    <w:p w14:paraId="12A9432D" w14:textId="2586BAC3" w:rsidR="0008663D" w:rsidRPr="0008663D" w:rsidRDefault="0008663D" w:rsidP="0008663D">
      <w:pPr>
        <w:rPr>
          <w:sz w:val="24"/>
          <w:szCs w:val="24"/>
        </w:rPr>
      </w:pPr>
      <w:r w:rsidRPr="0008663D">
        <w:rPr>
          <w:lang w:eastAsia="bg-BG"/>
        </w:rPr>
        <w:t xml:space="preserve">Таблетките от 5 </w:t>
      </w:r>
      <w:r w:rsidRPr="0008663D">
        <w:rPr>
          <w:lang w:val="en-US"/>
        </w:rPr>
        <w:t>mg</w:t>
      </w:r>
      <w:r w:rsidRPr="0008663D">
        <w:rPr>
          <w:lang w:val="ru-RU"/>
        </w:rPr>
        <w:t xml:space="preserve"> </w:t>
      </w:r>
      <w:r w:rsidRPr="0008663D">
        <w:rPr>
          <w:lang w:eastAsia="bg-BG"/>
        </w:rPr>
        <w:t>са бледорозови, продълговати, двойноизпъкнали таблетки, с делителна черта от едната страна.</w:t>
      </w:r>
    </w:p>
    <w:p w14:paraId="4733B3D5" w14:textId="77777777" w:rsidR="0008663D" w:rsidRDefault="0008663D" w:rsidP="0008663D">
      <w:pPr>
        <w:rPr>
          <w:lang w:eastAsia="bg-BG"/>
        </w:rPr>
      </w:pPr>
    </w:p>
    <w:p w14:paraId="0282C4C8" w14:textId="354C3255" w:rsidR="0008663D" w:rsidRPr="0008663D" w:rsidRDefault="0008663D" w:rsidP="0008663D">
      <w:pPr>
        <w:rPr>
          <w:sz w:val="24"/>
          <w:szCs w:val="24"/>
        </w:rPr>
      </w:pPr>
      <w:r w:rsidRPr="0008663D">
        <w:rPr>
          <w:lang w:eastAsia="bg-BG"/>
        </w:rPr>
        <w:t xml:space="preserve">Таблетките от 10 </w:t>
      </w:r>
      <w:r w:rsidRPr="0008663D">
        <w:rPr>
          <w:lang w:val="en-US"/>
        </w:rPr>
        <w:t>mg</w:t>
      </w:r>
      <w:r w:rsidRPr="0008663D">
        <w:rPr>
          <w:lang w:val="ru-RU"/>
        </w:rPr>
        <w:t xml:space="preserve"> </w:t>
      </w:r>
      <w:r w:rsidRPr="0008663D">
        <w:rPr>
          <w:lang w:eastAsia="bg-BG"/>
        </w:rPr>
        <w:t>са бели, продълговати, двойноизпъкнали таблетки, с делителна черта от едната страна.</w:t>
      </w:r>
    </w:p>
    <w:p w14:paraId="47702BC6" w14:textId="77777777" w:rsidR="0008663D" w:rsidRDefault="0008663D" w:rsidP="0008663D">
      <w:pPr>
        <w:rPr>
          <w:lang w:eastAsia="bg-BG"/>
        </w:rPr>
      </w:pPr>
    </w:p>
    <w:p w14:paraId="6DC3DF4E" w14:textId="0E5AAB74" w:rsidR="0008663D" w:rsidRPr="0008663D" w:rsidRDefault="0008663D" w:rsidP="0008663D">
      <w:pPr>
        <w:rPr>
          <w:sz w:val="24"/>
          <w:szCs w:val="24"/>
        </w:rPr>
      </w:pPr>
      <w:r w:rsidRPr="0008663D">
        <w:rPr>
          <w:lang w:eastAsia="bg-BG"/>
        </w:rPr>
        <w:t>Таблетката може да бъде разделена на равни половини.</w:t>
      </w:r>
    </w:p>
    <w:p w14:paraId="78B029BC" w14:textId="77777777" w:rsidR="0008663D" w:rsidRPr="0008663D" w:rsidRDefault="0008663D" w:rsidP="0008663D"/>
    <w:p w14:paraId="490FC2C4" w14:textId="32682B15" w:rsidR="002C50EE" w:rsidRDefault="002C50EE" w:rsidP="002C50EE">
      <w:pPr>
        <w:pStyle w:val="Heading1"/>
      </w:pPr>
      <w:r>
        <w:t>4. КЛИНИЧНИ ДАННИ</w:t>
      </w:r>
    </w:p>
    <w:p w14:paraId="0C8E6903" w14:textId="6921DC51" w:rsidR="008134C8" w:rsidRDefault="002C50EE" w:rsidP="004A448E">
      <w:pPr>
        <w:pStyle w:val="Heading2"/>
      </w:pPr>
      <w:r>
        <w:t>4.1. Терапевтични показания</w:t>
      </w:r>
    </w:p>
    <w:p w14:paraId="530DF973" w14:textId="5A278B70" w:rsidR="0008663D" w:rsidRDefault="0008663D" w:rsidP="0008663D"/>
    <w:p w14:paraId="567CED74"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Лечение на хипертония</w:t>
      </w:r>
    </w:p>
    <w:p w14:paraId="67A3A9CC" w14:textId="7ACAF098"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Лечение на бъбречно заболяване:</w:t>
      </w:r>
    </w:p>
    <w:p w14:paraId="6BA248F4" w14:textId="77777777" w:rsidR="0008663D" w:rsidRDefault="0008663D" w:rsidP="0008663D">
      <w:pPr>
        <w:spacing w:line="240" w:lineRule="auto"/>
        <w:rPr>
          <w:rFonts w:eastAsia="Times New Roman" w:cs="Arial"/>
          <w:color w:val="000000"/>
          <w:lang w:eastAsia="bg-BG"/>
        </w:rPr>
      </w:pPr>
    </w:p>
    <w:p w14:paraId="3AD124B1" w14:textId="77777777" w:rsidR="0008663D" w:rsidRDefault="0008663D" w:rsidP="0008663D">
      <w:pPr>
        <w:pStyle w:val="ListParagraph"/>
        <w:numPr>
          <w:ilvl w:val="0"/>
          <w:numId w:val="36"/>
        </w:numPr>
        <w:spacing w:line="240" w:lineRule="auto"/>
        <w:rPr>
          <w:rFonts w:eastAsia="Times New Roman" w:cs="Arial"/>
          <w:color w:val="000000"/>
          <w:lang w:eastAsia="bg-BG"/>
        </w:rPr>
      </w:pPr>
      <w:r w:rsidRPr="0008663D">
        <w:rPr>
          <w:rFonts w:eastAsia="Times New Roman" w:cs="Arial"/>
          <w:color w:val="000000"/>
          <w:lang w:eastAsia="bg-BG"/>
        </w:rPr>
        <w:t>Начална диабетна гломерулна нефропатия, определена от наличие на микроалбуминурия;</w:t>
      </w:r>
    </w:p>
    <w:p w14:paraId="75F9929F" w14:textId="77777777" w:rsidR="0008663D" w:rsidRDefault="0008663D" w:rsidP="0008663D">
      <w:pPr>
        <w:pStyle w:val="ListParagraph"/>
        <w:numPr>
          <w:ilvl w:val="0"/>
          <w:numId w:val="36"/>
        </w:numPr>
        <w:spacing w:line="240" w:lineRule="auto"/>
        <w:rPr>
          <w:rFonts w:eastAsia="Times New Roman" w:cs="Arial"/>
          <w:color w:val="000000"/>
          <w:lang w:eastAsia="bg-BG"/>
        </w:rPr>
      </w:pPr>
      <w:r w:rsidRPr="0008663D">
        <w:rPr>
          <w:rFonts w:eastAsia="Times New Roman" w:cs="Arial"/>
          <w:color w:val="000000"/>
          <w:lang w:eastAsia="bg-BG"/>
        </w:rPr>
        <w:t>Проявена диабетна гломерулна нефропатия, определена от макропротеинурия при пациенти с поне един сърдечно-съдов рисков фактор (вж. точка 5.1),</w:t>
      </w:r>
    </w:p>
    <w:p w14:paraId="6272F813" w14:textId="08B3D4DB" w:rsidR="0008663D" w:rsidRPr="0008663D" w:rsidRDefault="0008663D" w:rsidP="0008663D">
      <w:pPr>
        <w:pStyle w:val="ListParagraph"/>
        <w:numPr>
          <w:ilvl w:val="0"/>
          <w:numId w:val="36"/>
        </w:numPr>
        <w:spacing w:line="240" w:lineRule="auto"/>
        <w:rPr>
          <w:rFonts w:eastAsia="Times New Roman" w:cs="Arial"/>
          <w:color w:val="000000"/>
          <w:lang w:eastAsia="bg-BG"/>
        </w:rPr>
      </w:pPr>
      <w:r w:rsidRPr="0008663D">
        <w:rPr>
          <w:rFonts w:eastAsia="Times New Roman" w:cs="Arial"/>
          <w:color w:val="000000"/>
          <w:lang w:eastAsia="bg-BG"/>
        </w:rPr>
        <w:lastRenderedPageBreak/>
        <w:t xml:space="preserve">Проявена недиабетна гломерулна нефропатия, определена от макропротеинурия≥3 </w:t>
      </w:r>
      <w:r w:rsidRPr="0008663D">
        <w:rPr>
          <w:rFonts w:eastAsia="Times New Roman" w:cs="Arial"/>
          <w:color w:val="000000"/>
          <w:lang w:val="en-US"/>
        </w:rPr>
        <w:t>g</w:t>
      </w:r>
      <w:r w:rsidRPr="0008663D">
        <w:rPr>
          <w:rFonts w:eastAsia="Times New Roman" w:cs="Arial"/>
          <w:color w:val="000000"/>
          <w:lang w:eastAsia="bg-BG"/>
        </w:rPr>
        <w:t>/ден (вж. точка 5.1).</w:t>
      </w:r>
    </w:p>
    <w:p w14:paraId="3ED8BC18" w14:textId="77777777" w:rsidR="0008663D" w:rsidRDefault="0008663D" w:rsidP="0008663D">
      <w:pPr>
        <w:spacing w:line="240" w:lineRule="auto"/>
        <w:rPr>
          <w:rFonts w:eastAsia="Times New Roman" w:cs="Arial"/>
          <w:color w:val="000000"/>
          <w:lang w:eastAsia="bg-BG"/>
        </w:rPr>
      </w:pPr>
    </w:p>
    <w:p w14:paraId="2F2FC773"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Лечение на симптоматична сърдечна недостатъчност.</w:t>
      </w:r>
    </w:p>
    <w:p w14:paraId="3A1D3FA6" w14:textId="5CF1A1AC"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Вторична профилактика след остър миокарден инфаркт: намаляване на смъртността в</w:t>
      </w:r>
      <w:r w:rsidRPr="0008663D">
        <w:rPr>
          <w:rFonts w:eastAsia="Times New Roman" w:cs="Arial"/>
          <w:color w:val="000000"/>
          <w:lang w:val="ru-RU" w:eastAsia="bg-BG"/>
        </w:rPr>
        <w:t xml:space="preserve"> </w:t>
      </w:r>
      <w:r w:rsidRPr="0008663D">
        <w:rPr>
          <w:rFonts w:eastAsia="Times New Roman" w:cs="Arial"/>
          <w:color w:val="000000"/>
          <w:lang w:eastAsia="bg-BG"/>
        </w:rPr>
        <w:t>острата фаза на миокарден инфаркт при пациенти с клинични признаци на сърдечна</w:t>
      </w:r>
      <w:r w:rsidRPr="0008663D">
        <w:rPr>
          <w:rFonts w:eastAsia="Times New Roman" w:cs="Arial"/>
          <w:color w:val="000000"/>
          <w:lang w:val="ru-RU" w:eastAsia="bg-BG"/>
        </w:rPr>
        <w:t xml:space="preserve"> </w:t>
      </w:r>
      <w:r w:rsidRPr="0008663D">
        <w:rPr>
          <w:rFonts w:eastAsia="Times New Roman" w:cs="Arial"/>
          <w:color w:val="000000"/>
          <w:lang w:eastAsia="bg-BG"/>
        </w:rPr>
        <w:t>недостатъчност, с начало повече от 48 часа след остър миокарден инфаркт.</w:t>
      </w:r>
    </w:p>
    <w:p w14:paraId="3CD418D4" w14:textId="77777777" w:rsidR="0008663D" w:rsidRPr="0008663D" w:rsidRDefault="0008663D" w:rsidP="0008663D">
      <w:pPr>
        <w:spacing w:line="240" w:lineRule="auto"/>
        <w:rPr>
          <w:rFonts w:eastAsia="Times New Roman" w:cs="Arial"/>
        </w:rPr>
      </w:pPr>
    </w:p>
    <w:p w14:paraId="30BE2C7B" w14:textId="7B9F4C15" w:rsidR="008134C8" w:rsidRDefault="002C50EE" w:rsidP="004A448E">
      <w:pPr>
        <w:pStyle w:val="Heading2"/>
      </w:pPr>
      <w:r>
        <w:t>4.2. Дозировка и начин на приложение</w:t>
      </w:r>
    </w:p>
    <w:p w14:paraId="2936AAE8" w14:textId="314741B3" w:rsidR="0008663D" w:rsidRDefault="0008663D" w:rsidP="0008663D"/>
    <w:p w14:paraId="2E45BD54" w14:textId="77777777" w:rsidR="0008663D" w:rsidRPr="0008663D" w:rsidRDefault="0008663D" w:rsidP="0008663D">
      <w:pPr>
        <w:pStyle w:val="Heading3"/>
        <w:rPr>
          <w:rFonts w:eastAsia="Times New Roman"/>
          <w:u w:val="single"/>
        </w:rPr>
      </w:pPr>
      <w:r w:rsidRPr="0008663D">
        <w:rPr>
          <w:rFonts w:eastAsia="Times New Roman"/>
          <w:u w:val="single"/>
          <w:lang w:eastAsia="bg-BG"/>
        </w:rPr>
        <w:t>Дозировка</w:t>
      </w:r>
    </w:p>
    <w:p w14:paraId="447D1BFA"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Препоръчва се Кардифренд да се приема веднъж дневно, по едно и също време всеки ден. Тъй като приемът на храна не променя бионаличността му, Кардифренд може да бъде приеман преди, по време на или след хранене (вж. точка 5.2).</w:t>
      </w:r>
    </w:p>
    <w:p w14:paraId="0EA72535"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Кардифренд трябва да се поглъща с течност. Не трябва да се дъвче или разтрошава.</w:t>
      </w:r>
    </w:p>
    <w:p w14:paraId="7617286D" w14:textId="77777777" w:rsidR="0008663D" w:rsidRDefault="0008663D" w:rsidP="0008663D">
      <w:pPr>
        <w:spacing w:line="240" w:lineRule="auto"/>
        <w:rPr>
          <w:rFonts w:eastAsia="Times New Roman" w:cs="Arial"/>
          <w:i/>
          <w:iCs/>
          <w:color w:val="000000"/>
          <w:u w:val="single"/>
          <w:lang w:eastAsia="bg-BG"/>
        </w:rPr>
      </w:pPr>
    </w:p>
    <w:p w14:paraId="3D4B1E7F" w14:textId="46BDB009" w:rsidR="0008663D" w:rsidRPr="0008663D" w:rsidRDefault="0008663D" w:rsidP="0008663D">
      <w:pPr>
        <w:spacing w:line="240" w:lineRule="auto"/>
        <w:rPr>
          <w:rFonts w:eastAsia="Times New Roman" w:cs="Arial"/>
        </w:rPr>
      </w:pPr>
      <w:r w:rsidRPr="0008663D">
        <w:rPr>
          <w:rFonts w:eastAsia="Times New Roman" w:cs="Arial"/>
          <w:i/>
          <w:iCs/>
          <w:color w:val="000000"/>
          <w:u w:val="single"/>
          <w:lang w:eastAsia="bg-BG"/>
        </w:rPr>
        <w:t>Възрастни</w:t>
      </w:r>
    </w:p>
    <w:p w14:paraId="7656282B" w14:textId="77777777" w:rsidR="0008663D" w:rsidRDefault="0008663D" w:rsidP="0008663D">
      <w:pPr>
        <w:spacing w:line="240" w:lineRule="auto"/>
        <w:rPr>
          <w:rFonts w:eastAsia="Times New Roman" w:cs="Arial"/>
          <w:color w:val="000000"/>
          <w:u w:val="single"/>
          <w:lang w:eastAsia="bg-BG"/>
        </w:rPr>
      </w:pPr>
    </w:p>
    <w:p w14:paraId="05DDC97A" w14:textId="7176D1A9"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Пациенти, лекувани с диуретипи</w:t>
      </w:r>
    </w:p>
    <w:p w14:paraId="288710E8"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След започване на терапия с Кардифренд, може да настъпи хипотония; това е по-вероятно при пациенти, които са лекувани едновременно и с диуретици. Поради това се препоръчва повишено внимание, тъй като тези пациенти могат да бъдат с намален обем течности и/или соли.</w:t>
      </w:r>
    </w:p>
    <w:p w14:paraId="60A067F9"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Ако е възможно, диуретикьт трябва да бъде спрян 2-3 дни преди началото на терапията с Кардифренд (вж. точка 4.4).</w:t>
      </w:r>
    </w:p>
    <w:p w14:paraId="04C1B78B"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При пациенти с хипертония, при които диуретикьт не е спрян, терапията с Кардифренд трябва да бъде започната с доза от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Трябва да се проследяват бъбречната функция и плазменият калий. Последващата дозировка на Кардифренд трябва да бъде определяна според желаните стойности на кръвно налягане.</w:t>
      </w:r>
    </w:p>
    <w:p w14:paraId="2EBD4198" w14:textId="77777777" w:rsidR="0008663D" w:rsidRDefault="0008663D" w:rsidP="0008663D">
      <w:pPr>
        <w:spacing w:line="240" w:lineRule="auto"/>
        <w:rPr>
          <w:rFonts w:eastAsia="Times New Roman" w:cs="Arial"/>
          <w:i/>
          <w:iCs/>
          <w:color w:val="000000"/>
          <w:lang w:eastAsia="bg-BG"/>
        </w:rPr>
      </w:pPr>
    </w:p>
    <w:p w14:paraId="16AAFB2F" w14:textId="624FE97D"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Хипертония</w:t>
      </w:r>
    </w:p>
    <w:p w14:paraId="291D1269" w14:textId="77777777" w:rsidR="0008663D" w:rsidRDefault="0008663D" w:rsidP="0008663D">
      <w:pPr>
        <w:spacing w:line="240" w:lineRule="auto"/>
        <w:rPr>
          <w:rFonts w:eastAsia="Times New Roman" w:cs="Arial"/>
          <w:color w:val="000000"/>
          <w:lang w:eastAsia="bg-BG"/>
        </w:rPr>
      </w:pPr>
    </w:p>
    <w:p w14:paraId="3872E994" w14:textId="2D8A2E40" w:rsidR="0008663D" w:rsidRPr="0008663D" w:rsidRDefault="0008663D" w:rsidP="0008663D">
      <w:pPr>
        <w:spacing w:line="240" w:lineRule="auto"/>
        <w:rPr>
          <w:rFonts w:eastAsia="Times New Roman" w:cs="Arial"/>
        </w:rPr>
      </w:pPr>
      <w:r w:rsidRPr="0008663D">
        <w:rPr>
          <w:rFonts w:eastAsia="Times New Roman" w:cs="Arial"/>
          <w:color w:val="000000"/>
          <w:lang w:eastAsia="bg-BG"/>
        </w:rPr>
        <w:t>Дозата трябва да бъде определена индивидуално, според профила на пациента (вж. точка 4.4) и контрола на кръвното налягане.</w:t>
      </w:r>
    </w:p>
    <w:p w14:paraId="5CD347A2" w14:textId="77777777" w:rsidR="0008663D" w:rsidRDefault="0008663D" w:rsidP="0008663D">
      <w:pPr>
        <w:spacing w:line="240" w:lineRule="auto"/>
        <w:rPr>
          <w:rFonts w:eastAsia="Times New Roman" w:cs="Arial"/>
          <w:color w:val="000000"/>
          <w:lang w:eastAsia="bg-BG"/>
        </w:rPr>
      </w:pPr>
    </w:p>
    <w:p w14:paraId="2B77B2C0" w14:textId="27F77F16" w:rsidR="0008663D" w:rsidRPr="0008663D" w:rsidRDefault="0008663D" w:rsidP="0008663D">
      <w:pPr>
        <w:spacing w:line="240" w:lineRule="auto"/>
        <w:rPr>
          <w:rFonts w:eastAsia="Times New Roman" w:cs="Arial"/>
        </w:rPr>
      </w:pPr>
      <w:r w:rsidRPr="0008663D">
        <w:rPr>
          <w:rFonts w:eastAsia="Times New Roman" w:cs="Arial"/>
          <w:color w:val="000000"/>
          <w:lang w:eastAsia="bg-BG"/>
        </w:rPr>
        <w:t>Кардифренд може да бъде използван като монотерапия или в комбинация с други класове антихипертензивни лекарствени продукти (вж. точки 4.3,4.4,4.5 и 5.1).</w:t>
      </w:r>
    </w:p>
    <w:p w14:paraId="5CD30F1C" w14:textId="77777777" w:rsidR="0008663D" w:rsidRDefault="0008663D" w:rsidP="0008663D">
      <w:pPr>
        <w:spacing w:line="240" w:lineRule="auto"/>
        <w:rPr>
          <w:rFonts w:eastAsia="Times New Roman" w:cs="Arial"/>
          <w:color w:val="000000"/>
          <w:u w:val="single"/>
          <w:lang w:eastAsia="bg-BG"/>
        </w:rPr>
      </w:pPr>
    </w:p>
    <w:p w14:paraId="2A113D61" w14:textId="5B5812B8"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726C6C9B"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Кардифренд трябва да бъде започван постепенно с препоръчана първоначална доза от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дневно.</w:t>
      </w:r>
    </w:p>
    <w:p w14:paraId="448F6341"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При пациенти с повишена активност на ренин-ангиотензин-алдостероновата системата може да настъпи значително понижение на кръвното налягане след приема на първата доза. При подобни пациенти се препоръчва начална доза от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и началото на лечението трябва да бъде извършено под медицински контрол (вж. точка 4.4).</w:t>
      </w:r>
    </w:p>
    <w:p w14:paraId="50025EDC" w14:textId="77777777" w:rsidR="0008663D" w:rsidRDefault="0008663D" w:rsidP="0008663D">
      <w:pPr>
        <w:spacing w:line="240" w:lineRule="auto"/>
        <w:rPr>
          <w:rFonts w:eastAsia="Times New Roman" w:cs="Arial"/>
          <w:color w:val="000000"/>
          <w:u w:val="single"/>
          <w:lang w:eastAsia="bg-BG"/>
        </w:rPr>
      </w:pPr>
    </w:p>
    <w:p w14:paraId="4BDF92A6" w14:textId="306FE71F"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5B09C292"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lastRenderedPageBreak/>
        <w:t xml:space="preserve">Постепенно дозата може да бъде удвоена през интервал от две до четири седмици, за да се постигане желаното кръвно налягане; максимално допустимата доза на Кардифренд е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дневно. Обикновено дозата се прилага веднъж дневно.</w:t>
      </w:r>
    </w:p>
    <w:p w14:paraId="7E3301AF" w14:textId="77777777" w:rsidR="0008663D" w:rsidRDefault="0008663D" w:rsidP="0008663D">
      <w:pPr>
        <w:spacing w:line="240" w:lineRule="auto"/>
        <w:rPr>
          <w:rFonts w:eastAsia="Times New Roman" w:cs="Arial"/>
          <w:i/>
          <w:iCs/>
          <w:color w:val="000000"/>
          <w:lang w:eastAsia="bg-BG"/>
        </w:rPr>
      </w:pPr>
    </w:p>
    <w:p w14:paraId="207A33D5" w14:textId="05FE0C85"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Сърдечно-съдова превенция</w:t>
      </w:r>
    </w:p>
    <w:p w14:paraId="0B232F39" w14:textId="77777777"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5FD76410"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Препоръчваната начална доза е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48FF32BA" w14:textId="77777777" w:rsidR="0008663D" w:rsidRDefault="0008663D" w:rsidP="0008663D">
      <w:pPr>
        <w:spacing w:line="240" w:lineRule="auto"/>
        <w:rPr>
          <w:rFonts w:eastAsia="Times New Roman" w:cs="Arial"/>
          <w:color w:val="000000"/>
          <w:u w:val="single"/>
          <w:lang w:eastAsia="bg-BG"/>
        </w:rPr>
      </w:pPr>
    </w:p>
    <w:p w14:paraId="6526A927" w14:textId="05D49FB2"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17343A3A"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 зависимост от толерантността на пациента към активното вещество, дозата впоследствие трябва да бъде увеличавана. Препоръчва се удвояване на дозата след една или две седмици лечение и след още две до три седмици - да се увеличи до таргетната поддържаща доза от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082AC167" w14:textId="77777777" w:rsidR="0008663D" w:rsidRDefault="0008663D" w:rsidP="0008663D">
      <w:pPr>
        <w:rPr>
          <w:rFonts w:eastAsia="Times New Roman" w:cs="Arial"/>
          <w:color w:val="000000"/>
          <w:lang w:eastAsia="bg-BG"/>
        </w:rPr>
      </w:pPr>
    </w:p>
    <w:p w14:paraId="15B04B71" w14:textId="0149D2DB" w:rsidR="0008663D" w:rsidRPr="0008663D" w:rsidRDefault="0008663D" w:rsidP="0008663D">
      <w:pPr>
        <w:rPr>
          <w:rFonts w:eastAsia="Times New Roman" w:cs="Arial"/>
          <w:color w:val="000000"/>
          <w:lang w:eastAsia="bg-BG"/>
        </w:rPr>
      </w:pPr>
      <w:r w:rsidRPr="0008663D">
        <w:rPr>
          <w:rFonts w:eastAsia="Times New Roman" w:cs="Arial"/>
          <w:color w:val="000000"/>
          <w:lang w:eastAsia="bg-BG"/>
        </w:rPr>
        <w:t>Виж също по-горе дозировка при пациенти, лекувани с диуретици.</w:t>
      </w:r>
    </w:p>
    <w:p w14:paraId="18EC7DF1" w14:textId="6B4A357A" w:rsidR="0008663D" w:rsidRDefault="0008663D" w:rsidP="0008663D"/>
    <w:p w14:paraId="40530EFB" w14:textId="77777777" w:rsidR="0008663D" w:rsidRPr="0008663D" w:rsidRDefault="0008663D" w:rsidP="0008663D">
      <w:pPr>
        <w:spacing w:line="240" w:lineRule="auto"/>
        <w:rPr>
          <w:rFonts w:eastAsia="Times New Roman" w:cs="Arial"/>
        </w:rPr>
      </w:pPr>
      <w:r w:rsidRPr="0008663D">
        <w:rPr>
          <w:rFonts w:eastAsia="Times New Roman" w:cs="Arial"/>
          <w:i/>
          <w:iCs/>
          <w:color w:val="000000"/>
          <w:u w:val="single"/>
          <w:lang w:eastAsia="bg-BG"/>
        </w:rPr>
        <w:t>Лечение на бъбречно заболяване</w:t>
      </w:r>
    </w:p>
    <w:p w14:paraId="5EFCDA9C" w14:textId="77777777" w:rsidR="0008663D" w:rsidRDefault="0008663D" w:rsidP="0008663D">
      <w:pPr>
        <w:spacing w:line="240" w:lineRule="auto"/>
        <w:rPr>
          <w:rFonts w:eastAsia="Times New Roman" w:cs="Arial"/>
          <w:color w:val="000000"/>
          <w:u w:val="single"/>
          <w:lang w:eastAsia="bg-BG"/>
        </w:rPr>
      </w:pPr>
    </w:p>
    <w:p w14:paraId="4D728D9F" w14:textId="5D6DF92B"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При пациенти с диабет и микроалбуминурия:</w:t>
      </w:r>
    </w:p>
    <w:p w14:paraId="4067235D" w14:textId="77777777" w:rsidR="0008663D" w:rsidRDefault="0008663D" w:rsidP="0008663D">
      <w:pPr>
        <w:spacing w:line="240" w:lineRule="auto"/>
        <w:rPr>
          <w:rFonts w:eastAsia="Times New Roman" w:cs="Arial"/>
          <w:color w:val="000000"/>
          <w:u w:val="single"/>
          <w:lang w:eastAsia="bg-BG"/>
        </w:rPr>
      </w:pPr>
    </w:p>
    <w:p w14:paraId="3EAFEFD1" w14:textId="255B7368"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7E9003B5"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Препоръчаната начална доза е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412284D0" w14:textId="77777777" w:rsidR="0008663D" w:rsidRDefault="0008663D" w:rsidP="0008663D">
      <w:pPr>
        <w:spacing w:line="240" w:lineRule="auto"/>
        <w:rPr>
          <w:rFonts w:eastAsia="Times New Roman" w:cs="Arial"/>
          <w:color w:val="000000"/>
          <w:u w:val="single"/>
          <w:lang w:eastAsia="bg-BG"/>
        </w:rPr>
      </w:pPr>
    </w:p>
    <w:p w14:paraId="75EB2E56" w14:textId="4FC484AB"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5A5D958C"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след една или две седмици и след това до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Кардифренд след още две или три седмици. Таргетната дневна доза е 10 </w:t>
      </w:r>
      <w:r w:rsidRPr="0008663D">
        <w:rPr>
          <w:rFonts w:eastAsia="Times New Roman" w:cs="Arial"/>
          <w:color w:val="000000"/>
          <w:lang w:val="en-US"/>
        </w:rPr>
        <w:t>mg</w:t>
      </w:r>
      <w:r w:rsidRPr="0008663D">
        <w:rPr>
          <w:rFonts w:eastAsia="Times New Roman" w:cs="Arial"/>
          <w:color w:val="000000"/>
          <w:lang w:val="ru-RU"/>
        </w:rPr>
        <w:t>.</w:t>
      </w:r>
    </w:p>
    <w:p w14:paraId="1F79A9AD" w14:textId="77777777" w:rsidR="0008663D" w:rsidRDefault="0008663D" w:rsidP="0008663D">
      <w:pPr>
        <w:spacing w:line="240" w:lineRule="auto"/>
        <w:rPr>
          <w:rFonts w:eastAsia="Times New Roman" w:cs="Arial"/>
          <w:i/>
          <w:iCs/>
          <w:color w:val="000000"/>
          <w:u w:val="single"/>
          <w:lang w:eastAsia="bg-BG"/>
        </w:rPr>
      </w:pPr>
    </w:p>
    <w:p w14:paraId="533F02E3" w14:textId="644E0098" w:rsidR="0008663D" w:rsidRPr="0008663D" w:rsidRDefault="0008663D" w:rsidP="0008663D">
      <w:pPr>
        <w:spacing w:line="240" w:lineRule="auto"/>
        <w:rPr>
          <w:rFonts w:eastAsia="Times New Roman" w:cs="Arial"/>
        </w:rPr>
      </w:pPr>
      <w:r w:rsidRPr="0008663D">
        <w:rPr>
          <w:rFonts w:eastAsia="Times New Roman" w:cs="Arial"/>
          <w:i/>
          <w:iCs/>
          <w:color w:val="000000"/>
          <w:u w:val="single"/>
          <w:lang w:eastAsia="bg-BG"/>
        </w:rPr>
        <w:t>При паииенти с диабет и поне един сърдечно-съдов рисков фактор</w:t>
      </w:r>
    </w:p>
    <w:p w14:paraId="570EA614" w14:textId="77777777" w:rsidR="0008663D" w:rsidRDefault="0008663D" w:rsidP="0008663D">
      <w:pPr>
        <w:spacing w:line="240" w:lineRule="auto"/>
        <w:rPr>
          <w:rFonts w:eastAsia="Times New Roman" w:cs="Arial"/>
          <w:color w:val="000000"/>
          <w:u w:val="single"/>
          <w:lang w:eastAsia="bg-BG"/>
        </w:rPr>
      </w:pPr>
    </w:p>
    <w:p w14:paraId="335E8EF0" w14:textId="196F1F40"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4D9E6A2C"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Препоръчваната начална доза е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4E0E9461" w14:textId="77777777" w:rsidR="0008663D" w:rsidRDefault="0008663D" w:rsidP="0008663D">
      <w:pPr>
        <w:spacing w:line="240" w:lineRule="auto"/>
        <w:rPr>
          <w:rFonts w:eastAsia="Times New Roman" w:cs="Arial"/>
          <w:color w:val="000000"/>
          <w:u w:val="single"/>
          <w:lang w:eastAsia="bg-BG"/>
        </w:rPr>
      </w:pPr>
    </w:p>
    <w:p w14:paraId="515C03C8" w14:textId="68062036"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5209FBC7"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Кардифренд след една или две седмици и впоследствие до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Кардифренд след още две или три седмици. Таргетната дневна доза е 10 </w:t>
      </w:r>
      <w:r w:rsidRPr="0008663D">
        <w:rPr>
          <w:rFonts w:eastAsia="Times New Roman" w:cs="Arial"/>
          <w:color w:val="000000"/>
          <w:lang w:val="en-US"/>
        </w:rPr>
        <w:t>mg</w:t>
      </w:r>
      <w:r w:rsidRPr="0008663D">
        <w:rPr>
          <w:rFonts w:eastAsia="Times New Roman" w:cs="Arial"/>
          <w:color w:val="000000"/>
          <w:lang w:val="ru-RU"/>
        </w:rPr>
        <w:t>.</w:t>
      </w:r>
    </w:p>
    <w:p w14:paraId="7CAD4478" w14:textId="77777777" w:rsidR="0008663D" w:rsidRDefault="0008663D" w:rsidP="0008663D">
      <w:pPr>
        <w:spacing w:line="240" w:lineRule="auto"/>
        <w:rPr>
          <w:rFonts w:eastAsia="Times New Roman" w:cs="Arial"/>
          <w:i/>
          <w:iCs/>
          <w:color w:val="000000"/>
          <w:u w:val="single"/>
          <w:lang w:eastAsia="bg-BG"/>
        </w:rPr>
      </w:pPr>
    </w:p>
    <w:p w14:paraId="640CDF40" w14:textId="205F2222" w:rsidR="0008663D" w:rsidRPr="0008663D" w:rsidRDefault="0008663D" w:rsidP="0008663D">
      <w:pPr>
        <w:spacing w:line="240" w:lineRule="auto"/>
        <w:rPr>
          <w:rFonts w:eastAsia="Times New Roman" w:cs="Arial"/>
        </w:rPr>
      </w:pPr>
      <w:r w:rsidRPr="0008663D">
        <w:rPr>
          <w:rFonts w:eastAsia="Times New Roman" w:cs="Arial"/>
          <w:i/>
          <w:iCs/>
          <w:color w:val="000000"/>
          <w:u w:val="single"/>
          <w:lang w:eastAsia="bg-BG"/>
        </w:rPr>
        <w:t>При паииенти с недиабетна нефропатия, определена от протпеинурия ≥ 3 е/на ден</w:t>
      </w:r>
    </w:p>
    <w:p w14:paraId="1A5FF1B0" w14:textId="77777777" w:rsidR="0008663D" w:rsidRDefault="0008663D" w:rsidP="0008663D">
      <w:pPr>
        <w:spacing w:line="240" w:lineRule="auto"/>
        <w:rPr>
          <w:rFonts w:eastAsia="Times New Roman" w:cs="Arial"/>
          <w:color w:val="000000"/>
          <w:u w:val="single"/>
          <w:lang w:eastAsia="bg-BG"/>
        </w:rPr>
      </w:pPr>
    </w:p>
    <w:p w14:paraId="5CDD91E9" w14:textId="1E28B2CC"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3B33748E"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Препоръчваната начална доза е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 веднъж дневно.</w:t>
      </w:r>
    </w:p>
    <w:p w14:paraId="1DA6FC97" w14:textId="77777777" w:rsidR="0008663D" w:rsidRDefault="0008663D" w:rsidP="0008663D">
      <w:pPr>
        <w:spacing w:line="240" w:lineRule="auto"/>
        <w:rPr>
          <w:rFonts w:eastAsia="Times New Roman" w:cs="Arial"/>
          <w:color w:val="000000"/>
          <w:u w:val="single"/>
          <w:lang w:eastAsia="bg-BG"/>
        </w:rPr>
      </w:pPr>
    </w:p>
    <w:p w14:paraId="400B4E6B" w14:textId="6DC79B8A"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лоза</w:t>
      </w:r>
    </w:p>
    <w:p w14:paraId="0CCC28C1"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 зависимост от толерантността на пациента към активното вещество дозата впоследствие се повишава. Препоръчва се удвояване на еднократната дневна доза до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след две седмици и до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след още две седмици.</w:t>
      </w:r>
    </w:p>
    <w:p w14:paraId="2C5AA26C" w14:textId="77777777" w:rsidR="0008663D" w:rsidRDefault="0008663D" w:rsidP="0008663D">
      <w:pPr>
        <w:spacing w:line="240" w:lineRule="auto"/>
        <w:rPr>
          <w:rFonts w:eastAsia="Times New Roman" w:cs="Arial"/>
          <w:i/>
          <w:iCs/>
          <w:color w:val="000000"/>
          <w:lang w:eastAsia="bg-BG"/>
        </w:rPr>
      </w:pPr>
    </w:p>
    <w:p w14:paraId="0F442B57" w14:textId="0388A626"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Симптоматична сърдечна недостатъчност</w:t>
      </w:r>
    </w:p>
    <w:p w14:paraId="4966B05C" w14:textId="77777777" w:rsidR="0008663D" w:rsidRDefault="0008663D" w:rsidP="0008663D">
      <w:pPr>
        <w:spacing w:line="240" w:lineRule="auto"/>
        <w:rPr>
          <w:rFonts w:eastAsia="Times New Roman" w:cs="Arial"/>
          <w:color w:val="000000"/>
          <w:u w:val="single"/>
          <w:lang w:eastAsia="bg-BG"/>
        </w:rPr>
      </w:pPr>
    </w:p>
    <w:p w14:paraId="453F5710" w14:textId="2A34DF49"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29FBCBF8"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При стабилизирани пациенти на диуретична терапия препоръчваната начална доза е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дневно.</w:t>
      </w:r>
    </w:p>
    <w:p w14:paraId="5E3C6701" w14:textId="77777777" w:rsidR="0008663D" w:rsidRDefault="0008663D" w:rsidP="0008663D">
      <w:pPr>
        <w:spacing w:line="240" w:lineRule="auto"/>
        <w:rPr>
          <w:rFonts w:eastAsia="Times New Roman" w:cs="Arial"/>
          <w:color w:val="000000"/>
          <w:u w:val="single"/>
          <w:lang w:eastAsia="bg-BG"/>
        </w:rPr>
      </w:pPr>
    </w:p>
    <w:p w14:paraId="3BCCA3B0" w14:textId="2C15DFEE"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34B0726D"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Кардифренд трябва да бъде титриран чрез удвояване на дозата на всеки една-две седмици до максимална дневна доза 10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Предпочита се двукратен дневен прием.</w:t>
      </w:r>
    </w:p>
    <w:p w14:paraId="4E255A74" w14:textId="77777777" w:rsidR="0008663D" w:rsidRDefault="0008663D" w:rsidP="0008663D">
      <w:pPr>
        <w:spacing w:line="240" w:lineRule="auto"/>
        <w:rPr>
          <w:rFonts w:eastAsia="Times New Roman" w:cs="Arial"/>
          <w:i/>
          <w:iCs/>
          <w:color w:val="000000"/>
          <w:lang w:eastAsia="bg-BG"/>
        </w:rPr>
      </w:pPr>
    </w:p>
    <w:p w14:paraId="7022911E" w14:textId="4E487E62"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Вторична профилактика след остър миокарден инфаркт и със сърдечна недостатъчност</w:t>
      </w:r>
    </w:p>
    <w:p w14:paraId="09842787" w14:textId="77777777" w:rsidR="0008663D" w:rsidRDefault="0008663D" w:rsidP="0008663D">
      <w:pPr>
        <w:spacing w:line="240" w:lineRule="auto"/>
        <w:rPr>
          <w:rFonts w:eastAsia="Times New Roman" w:cs="Arial"/>
          <w:color w:val="000000"/>
          <w:u w:val="single"/>
          <w:lang w:eastAsia="bg-BG"/>
        </w:rPr>
      </w:pPr>
    </w:p>
    <w:p w14:paraId="79261DB6" w14:textId="0A0C00B7"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Начална доза:</w:t>
      </w:r>
    </w:p>
    <w:p w14:paraId="18F28358" w14:textId="2DED1E9E" w:rsidR="0008663D" w:rsidRDefault="0008663D" w:rsidP="0008663D">
      <w:pPr>
        <w:rPr>
          <w:rFonts w:eastAsia="Times New Roman" w:cs="Arial"/>
          <w:color w:val="000000"/>
          <w:lang w:eastAsia="bg-BG"/>
        </w:rPr>
      </w:pPr>
      <w:r w:rsidRPr="0008663D">
        <w:rPr>
          <w:rFonts w:eastAsia="Times New Roman" w:cs="Arial"/>
          <w:color w:val="000000"/>
          <w:lang w:eastAsia="bg-BG"/>
        </w:rPr>
        <w:t xml:space="preserve">48 часа след остър миокарден инфаркт при клинично и хемодинамично стабилни пациенти началната доза е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два пъти дневно в продължение на три дни. Ако началната доза от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не се толерира, доза от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два пъти дневно трябва да бъде прилагана два дни преди повишаване до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и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два пъти дневно. Ако дозата не може да бъде повишена до 2,5 </w:t>
      </w:r>
      <w:r w:rsidRPr="0008663D">
        <w:rPr>
          <w:rFonts w:eastAsia="Times New Roman" w:cs="Arial"/>
          <w:color w:val="000000"/>
          <w:lang w:val="en-US"/>
        </w:rPr>
        <w:t>mg</w:t>
      </w:r>
      <w:r w:rsidRPr="0008663D">
        <w:rPr>
          <w:rFonts w:eastAsia="Times New Roman" w:cs="Arial"/>
          <w:color w:val="000000"/>
          <w:lang w:eastAsia="bg-BG"/>
        </w:rPr>
        <w:t xml:space="preserve"> два пъти дневно, лечението трябва да се отмени.</w:t>
      </w:r>
    </w:p>
    <w:p w14:paraId="7CBC4C31" w14:textId="5EC3E7DD" w:rsidR="0008663D" w:rsidRDefault="0008663D" w:rsidP="0008663D">
      <w:pPr>
        <w:rPr>
          <w:rFonts w:eastAsia="Times New Roman" w:cs="Arial"/>
          <w:color w:val="000000"/>
          <w:lang w:eastAsia="bg-BG"/>
        </w:rPr>
      </w:pPr>
    </w:p>
    <w:p w14:paraId="715D2BAD" w14:textId="77777777"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Вижте също по-горе дозировка при пациенти, лекувани с диуретици.</w:t>
      </w:r>
    </w:p>
    <w:p w14:paraId="1E182EE1" w14:textId="77777777" w:rsidR="0008663D" w:rsidRDefault="0008663D" w:rsidP="0008663D">
      <w:pPr>
        <w:spacing w:line="240" w:lineRule="auto"/>
        <w:rPr>
          <w:rFonts w:eastAsia="Times New Roman" w:cs="Arial"/>
          <w:color w:val="000000"/>
          <w:u w:val="single"/>
          <w:lang w:eastAsia="bg-BG"/>
        </w:rPr>
      </w:pPr>
    </w:p>
    <w:p w14:paraId="1E617C64" w14:textId="7A6F6239"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Титриране и поддържаща доза</w:t>
      </w:r>
    </w:p>
    <w:p w14:paraId="1CEDDB93"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Впоследствие дневната доза се повишава чрез удвояването й на интервали от един до три дни до достигане на таргетната поддържаща доза от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два пъти дневно.</w:t>
      </w:r>
    </w:p>
    <w:p w14:paraId="6C0D68AC"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Когато е възможно, поддържащата доза се разделя на два приема дневно.</w:t>
      </w:r>
    </w:p>
    <w:p w14:paraId="59757942"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Ако дозата не може да се повиши до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два пъти дневно, лечението трябва да се отмени. Все още липсва достатъчен опит при лечение на пациенти с тежка </w:t>
      </w:r>
      <w:r w:rsidRPr="0008663D">
        <w:rPr>
          <w:rFonts w:eastAsia="Times New Roman" w:cs="Arial"/>
          <w:color w:val="000000"/>
          <w:lang w:val="ru-RU"/>
        </w:rPr>
        <w:t>(</w:t>
      </w:r>
      <w:r w:rsidRPr="0008663D">
        <w:rPr>
          <w:rFonts w:eastAsia="Times New Roman" w:cs="Arial"/>
          <w:color w:val="000000"/>
          <w:lang w:val="en-US"/>
        </w:rPr>
        <w:t>NYHA</w:t>
      </w:r>
      <w:r w:rsidRPr="0008663D">
        <w:rPr>
          <w:rFonts w:eastAsia="Times New Roman" w:cs="Arial"/>
          <w:color w:val="000000"/>
          <w:lang w:val="ru-RU"/>
        </w:rPr>
        <w:t xml:space="preserve"> </w:t>
      </w:r>
      <w:r w:rsidRPr="0008663D">
        <w:rPr>
          <w:rFonts w:eastAsia="Times New Roman" w:cs="Arial"/>
          <w:color w:val="000000"/>
          <w:lang w:eastAsia="bg-BG"/>
        </w:rPr>
        <w:t xml:space="preserve">IV) сърдечна недостатъчност непосредствено след миокарден инфаркт. Ако се вземе решение за лечение на такива пациенти, препоръчва се терапията да се започне с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веднъж дневно и всяко повишаване на дозата да бъде извършвано с повишено внимание.</w:t>
      </w:r>
    </w:p>
    <w:p w14:paraId="2B759046" w14:textId="77777777" w:rsidR="0008663D" w:rsidRDefault="0008663D" w:rsidP="0008663D">
      <w:pPr>
        <w:spacing w:line="240" w:lineRule="auto"/>
        <w:rPr>
          <w:rFonts w:eastAsia="Times New Roman" w:cs="Arial"/>
          <w:color w:val="000000"/>
          <w:u w:val="single"/>
          <w:lang w:eastAsia="bg-BG"/>
        </w:rPr>
      </w:pPr>
    </w:p>
    <w:p w14:paraId="0AB9ACAD" w14:textId="514FFF44"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Специални популации</w:t>
      </w:r>
    </w:p>
    <w:p w14:paraId="09F3F24C" w14:textId="77777777" w:rsidR="0008663D" w:rsidRDefault="0008663D" w:rsidP="0008663D">
      <w:pPr>
        <w:spacing w:line="240" w:lineRule="auto"/>
        <w:rPr>
          <w:rFonts w:eastAsia="Times New Roman" w:cs="Arial"/>
          <w:i/>
          <w:iCs/>
          <w:color w:val="000000"/>
          <w:lang w:eastAsia="bg-BG"/>
        </w:rPr>
      </w:pPr>
    </w:p>
    <w:p w14:paraId="10221835" w14:textId="0500C78C"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Пациенти с бъбречно увреждане</w:t>
      </w:r>
    </w:p>
    <w:p w14:paraId="070754F1"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Дневната доза при пациенти с бъбречно увреждане трябва да се определя въз основа на креатининовия клирънс (вж. точка 5.2):</w:t>
      </w:r>
    </w:p>
    <w:p w14:paraId="43F273C4"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 xml:space="preserve">ако креатининовият клирънс е ≥ 60 </w:t>
      </w:r>
      <w:r w:rsidRPr="0008663D">
        <w:rPr>
          <w:rFonts w:eastAsia="Times New Roman" w:cs="Arial"/>
          <w:color w:val="000000"/>
          <w:lang w:val="en-US"/>
        </w:rPr>
        <w:t>ml</w:t>
      </w:r>
      <w:r w:rsidRPr="0008663D">
        <w:rPr>
          <w:rFonts w:eastAsia="Times New Roman" w:cs="Arial"/>
          <w:color w:val="000000"/>
          <w:lang w:val="ru-RU"/>
        </w:rPr>
        <w:t>/</w:t>
      </w:r>
      <w:r w:rsidRPr="0008663D">
        <w:rPr>
          <w:rFonts w:eastAsia="Times New Roman" w:cs="Arial"/>
          <w:color w:val="000000"/>
          <w:lang w:val="en-US"/>
        </w:rPr>
        <w:t>min</w:t>
      </w:r>
      <w:r w:rsidRPr="0008663D">
        <w:rPr>
          <w:rFonts w:eastAsia="Times New Roman" w:cs="Arial"/>
          <w:color w:val="000000"/>
          <w:lang w:val="ru-RU"/>
        </w:rPr>
        <w:t xml:space="preserve">, </w:t>
      </w:r>
      <w:r w:rsidRPr="0008663D">
        <w:rPr>
          <w:rFonts w:eastAsia="Times New Roman" w:cs="Arial"/>
          <w:color w:val="000000"/>
          <w:lang w:eastAsia="bg-BG"/>
        </w:rPr>
        <w:t xml:space="preserve">не е необходимо коригиране на началната доза (2,5 </w:t>
      </w:r>
      <w:r w:rsidRPr="0008663D">
        <w:rPr>
          <w:rFonts w:eastAsia="Times New Roman" w:cs="Arial"/>
          <w:color w:val="000000"/>
          <w:lang w:val="en-US"/>
        </w:rPr>
        <w:t>mg</w:t>
      </w:r>
      <w:r w:rsidRPr="0008663D">
        <w:rPr>
          <w:rFonts w:eastAsia="Times New Roman" w:cs="Arial"/>
          <w:color w:val="000000"/>
          <w:lang w:eastAsia="bg-BG"/>
        </w:rPr>
        <w:t>/дневно); максималната дневна доза</w:t>
      </w:r>
      <w:r w:rsidRPr="0008663D">
        <w:rPr>
          <w:rFonts w:eastAsia="Times New Roman" w:cs="Arial"/>
          <w:color w:val="000000"/>
          <w:lang w:val="ru-RU"/>
        </w:rPr>
        <w:t xml:space="preserve"> </w:t>
      </w:r>
      <w:r w:rsidRPr="0008663D">
        <w:rPr>
          <w:rFonts w:eastAsia="Times New Roman" w:cs="Arial"/>
          <w:color w:val="000000"/>
          <w:lang w:eastAsia="bg-BG"/>
        </w:rPr>
        <w:t xml:space="preserve">е 10 </w:t>
      </w:r>
      <w:r w:rsidRPr="0008663D">
        <w:rPr>
          <w:rFonts w:eastAsia="Times New Roman" w:cs="Arial"/>
          <w:color w:val="000000"/>
          <w:lang w:val="en-US"/>
        </w:rPr>
        <w:t>mg</w:t>
      </w:r>
      <w:r w:rsidRPr="0008663D">
        <w:rPr>
          <w:rFonts w:eastAsia="Times New Roman" w:cs="Arial"/>
          <w:color w:val="000000"/>
          <w:lang w:val="ru-RU"/>
        </w:rPr>
        <w:t>;</w:t>
      </w:r>
    </w:p>
    <w:p w14:paraId="11402FB8"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 xml:space="preserve">ако креатининовият клирънс е между 30-60 </w:t>
      </w:r>
      <w:r w:rsidRPr="0008663D">
        <w:rPr>
          <w:rFonts w:eastAsia="Times New Roman" w:cs="Arial"/>
          <w:color w:val="000000"/>
          <w:lang w:val="en-US"/>
        </w:rPr>
        <w:t>ml</w:t>
      </w:r>
      <w:r w:rsidRPr="0008663D">
        <w:rPr>
          <w:rFonts w:eastAsia="Times New Roman" w:cs="Arial"/>
          <w:color w:val="000000"/>
          <w:lang w:val="ru-RU"/>
        </w:rPr>
        <w:t>/</w:t>
      </w:r>
      <w:r w:rsidRPr="0008663D">
        <w:rPr>
          <w:rFonts w:eastAsia="Times New Roman" w:cs="Arial"/>
          <w:color w:val="000000"/>
          <w:lang w:val="en-US"/>
        </w:rPr>
        <w:t>min</w:t>
      </w:r>
      <w:r w:rsidRPr="0008663D">
        <w:rPr>
          <w:rFonts w:eastAsia="Times New Roman" w:cs="Arial"/>
          <w:color w:val="000000"/>
          <w:lang w:val="ru-RU"/>
        </w:rPr>
        <w:t xml:space="preserve">, </w:t>
      </w:r>
      <w:r w:rsidRPr="0008663D">
        <w:rPr>
          <w:rFonts w:eastAsia="Times New Roman" w:cs="Arial"/>
          <w:color w:val="000000"/>
          <w:lang w:eastAsia="bg-BG"/>
        </w:rPr>
        <w:t xml:space="preserve">не е необходимо коригиране на началната доза (2,5 </w:t>
      </w:r>
      <w:r w:rsidRPr="0008663D">
        <w:rPr>
          <w:rFonts w:eastAsia="Times New Roman" w:cs="Arial"/>
          <w:color w:val="000000"/>
          <w:lang w:val="en-US"/>
        </w:rPr>
        <w:t>mg</w:t>
      </w:r>
      <w:r w:rsidRPr="0008663D">
        <w:rPr>
          <w:rFonts w:eastAsia="Times New Roman" w:cs="Arial"/>
          <w:color w:val="000000"/>
          <w:lang w:eastAsia="bg-BG"/>
        </w:rPr>
        <w:t xml:space="preserve">/дневно); максималната дневна доза е 5 </w:t>
      </w:r>
      <w:r w:rsidRPr="0008663D">
        <w:rPr>
          <w:rFonts w:eastAsia="Times New Roman" w:cs="Arial"/>
          <w:color w:val="000000"/>
          <w:lang w:val="en-US"/>
        </w:rPr>
        <w:t>mg</w:t>
      </w:r>
      <w:r w:rsidRPr="0008663D">
        <w:rPr>
          <w:rFonts w:eastAsia="Times New Roman" w:cs="Arial"/>
          <w:color w:val="000000"/>
          <w:lang w:val="ru-RU"/>
        </w:rPr>
        <w:t>;</w:t>
      </w:r>
    </w:p>
    <w:p w14:paraId="345F5628" w14:textId="77777777"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 xml:space="preserve">ако креатининовият клирънс е между 10-30 </w:t>
      </w:r>
      <w:r w:rsidRPr="0008663D">
        <w:rPr>
          <w:rFonts w:eastAsia="Times New Roman" w:cs="Arial"/>
          <w:color w:val="000000"/>
          <w:lang w:val="en-US"/>
        </w:rPr>
        <w:t>ml</w:t>
      </w:r>
      <w:r w:rsidRPr="0008663D">
        <w:rPr>
          <w:rFonts w:eastAsia="Times New Roman" w:cs="Arial"/>
          <w:color w:val="000000"/>
          <w:lang w:val="ru-RU"/>
        </w:rPr>
        <w:t>/</w:t>
      </w:r>
      <w:r w:rsidRPr="0008663D">
        <w:rPr>
          <w:rFonts w:eastAsia="Times New Roman" w:cs="Arial"/>
          <w:color w:val="000000"/>
          <w:lang w:val="en-US"/>
        </w:rPr>
        <w:t>min</w:t>
      </w:r>
      <w:r w:rsidRPr="0008663D">
        <w:rPr>
          <w:rFonts w:eastAsia="Times New Roman" w:cs="Arial"/>
          <w:color w:val="000000"/>
          <w:lang w:val="ru-RU"/>
        </w:rPr>
        <w:t xml:space="preserve">, </w:t>
      </w:r>
      <w:r w:rsidRPr="0008663D">
        <w:rPr>
          <w:rFonts w:eastAsia="Times New Roman" w:cs="Arial"/>
          <w:color w:val="000000"/>
          <w:lang w:eastAsia="bg-BG"/>
        </w:rPr>
        <w:t xml:space="preserve">началната доза е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 xml:space="preserve">/дневно и максималната дневна доза е 5 </w:t>
      </w:r>
      <w:r w:rsidRPr="0008663D">
        <w:rPr>
          <w:rFonts w:eastAsia="Times New Roman" w:cs="Arial"/>
          <w:color w:val="000000"/>
          <w:lang w:val="en-US"/>
        </w:rPr>
        <w:t>mg</w:t>
      </w:r>
      <w:r w:rsidRPr="0008663D">
        <w:rPr>
          <w:rFonts w:eastAsia="Times New Roman" w:cs="Arial"/>
          <w:color w:val="000000"/>
          <w:lang w:val="ru-RU"/>
        </w:rPr>
        <w:t>;</w:t>
      </w:r>
    </w:p>
    <w:p w14:paraId="1F2EC1FE" w14:textId="7E523F9D" w:rsidR="0008663D" w:rsidRPr="0008663D" w:rsidRDefault="0008663D" w:rsidP="0008663D">
      <w:pPr>
        <w:pStyle w:val="ListParagraph"/>
        <w:numPr>
          <w:ilvl w:val="0"/>
          <w:numId w:val="35"/>
        </w:numPr>
        <w:spacing w:line="240" w:lineRule="auto"/>
        <w:rPr>
          <w:rFonts w:eastAsia="Times New Roman" w:cs="Arial"/>
        </w:rPr>
      </w:pPr>
      <w:r w:rsidRPr="0008663D">
        <w:rPr>
          <w:rFonts w:eastAsia="Times New Roman" w:cs="Arial"/>
          <w:color w:val="000000"/>
          <w:lang w:eastAsia="bg-BG"/>
        </w:rPr>
        <w:t xml:space="preserve">при хипертоници на хемодиализа: рамиприл се диализира слабо; началната доза е 1,25 </w:t>
      </w:r>
      <w:r w:rsidRPr="0008663D">
        <w:rPr>
          <w:rFonts w:eastAsia="Times New Roman" w:cs="Arial"/>
          <w:color w:val="000000"/>
          <w:lang w:val="en-US"/>
        </w:rPr>
        <w:t>mg</w:t>
      </w:r>
      <w:r w:rsidRPr="0008663D">
        <w:rPr>
          <w:rFonts w:eastAsia="Times New Roman" w:cs="Arial"/>
          <w:color w:val="000000"/>
          <w:lang w:eastAsia="bg-BG"/>
        </w:rPr>
        <w:t xml:space="preserve">/дневно и максималната дневна доза е 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лекарственият продукт трябва да се приема няколко часа след хемодиализната процедура.</w:t>
      </w:r>
    </w:p>
    <w:p w14:paraId="68FD04F0" w14:textId="77777777" w:rsidR="0008663D" w:rsidRDefault="0008663D" w:rsidP="0008663D">
      <w:pPr>
        <w:spacing w:line="240" w:lineRule="auto"/>
        <w:rPr>
          <w:rFonts w:eastAsia="Times New Roman" w:cs="Arial"/>
          <w:i/>
          <w:iCs/>
          <w:color w:val="000000"/>
          <w:lang w:eastAsia="bg-BG"/>
        </w:rPr>
      </w:pPr>
    </w:p>
    <w:p w14:paraId="5FD4F3DB" w14:textId="48791A91"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Пациенти с чернодробно нарушение (вж. точка 5.2)</w:t>
      </w:r>
    </w:p>
    <w:p w14:paraId="079BF673"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При пациенти с чернодробно нарушение, лечението с Кардифренд трябва да започне под стриктен медицински контрол и максималната дневна доза е 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Кардифренд.</w:t>
      </w:r>
    </w:p>
    <w:p w14:paraId="77036ECF" w14:textId="77777777" w:rsidR="0008663D" w:rsidRDefault="0008663D" w:rsidP="0008663D">
      <w:pPr>
        <w:spacing w:line="240" w:lineRule="auto"/>
        <w:rPr>
          <w:rFonts w:eastAsia="Times New Roman" w:cs="Arial"/>
          <w:i/>
          <w:iCs/>
          <w:color w:val="000000"/>
          <w:lang w:eastAsia="bg-BG"/>
        </w:rPr>
      </w:pPr>
    </w:p>
    <w:p w14:paraId="054A3DBF" w14:textId="4DB36A57"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Старческа възраст</w:t>
      </w:r>
    </w:p>
    <w:p w14:paraId="0C2F830F"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Началните дози трябва да са по-ниски и впоследствие титрирането на дозата трябва да бъде по- бавно, поради по-голямата възможност за нежелани реакции, особено при много възрастни и немощни пациенти. Трябва да се има предвид намаляване на началната доза рамиприл на 1,25 </w:t>
      </w:r>
      <w:r w:rsidRPr="0008663D">
        <w:rPr>
          <w:rFonts w:eastAsia="Times New Roman" w:cs="Arial"/>
          <w:color w:val="000000"/>
          <w:lang w:val="en-US"/>
        </w:rPr>
        <w:t>mg</w:t>
      </w:r>
      <w:r w:rsidRPr="0008663D">
        <w:rPr>
          <w:rFonts w:eastAsia="Times New Roman" w:cs="Arial"/>
          <w:color w:val="000000"/>
          <w:lang w:val="ru-RU"/>
        </w:rPr>
        <w:t xml:space="preserve">. </w:t>
      </w:r>
      <w:r w:rsidRPr="0008663D">
        <w:rPr>
          <w:rFonts w:eastAsia="Times New Roman" w:cs="Arial"/>
          <w:color w:val="000000"/>
          <w:lang w:eastAsia="bg-BG"/>
        </w:rPr>
        <w:t>а</w:t>
      </w:r>
    </w:p>
    <w:p w14:paraId="0BD411CB" w14:textId="77777777" w:rsidR="0008663D" w:rsidRDefault="0008663D" w:rsidP="0008663D">
      <w:pPr>
        <w:spacing w:line="240" w:lineRule="auto"/>
        <w:rPr>
          <w:rFonts w:eastAsia="Times New Roman" w:cs="Arial"/>
          <w:i/>
          <w:iCs/>
          <w:color w:val="000000"/>
          <w:lang w:eastAsia="bg-BG"/>
        </w:rPr>
      </w:pPr>
    </w:p>
    <w:p w14:paraId="15C3928B" w14:textId="59BEE7EB"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Педиатрична популация</w:t>
      </w:r>
    </w:p>
    <w:p w14:paraId="0AD9ABE7"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Безопасността и ефикасността на рамиприл при деца все още не е установена. Наличната информация е описана в точки 4.8, 5.1, 5.2 и 5.3, но не могат да бъдат направени специални препоръки за дозировката.</w:t>
      </w:r>
    </w:p>
    <w:p w14:paraId="69FA91C8" w14:textId="77777777" w:rsidR="0008663D" w:rsidRDefault="0008663D" w:rsidP="0008663D">
      <w:pPr>
        <w:spacing w:line="240" w:lineRule="auto"/>
        <w:rPr>
          <w:rFonts w:eastAsia="Times New Roman" w:cs="Arial"/>
          <w:color w:val="000000"/>
          <w:u w:val="single"/>
          <w:lang w:eastAsia="bg-BG"/>
        </w:rPr>
      </w:pPr>
    </w:p>
    <w:p w14:paraId="5BA46261" w14:textId="61BB500B" w:rsidR="0008663D" w:rsidRPr="0008663D" w:rsidRDefault="0008663D" w:rsidP="0008663D">
      <w:pPr>
        <w:pStyle w:val="Heading3"/>
        <w:rPr>
          <w:rFonts w:eastAsia="Times New Roman"/>
          <w:u w:val="single"/>
        </w:rPr>
      </w:pPr>
      <w:r w:rsidRPr="0008663D">
        <w:rPr>
          <w:rFonts w:eastAsia="Times New Roman"/>
          <w:u w:val="single"/>
          <w:lang w:eastAsia="bg-BG"/>
        </w:rPr>
        <w:t>Начин на приложение</w:t>
      </w:r>
    </w:p>
    <w:p w14:paraId="4C5F1C8C"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Перорална употреба.</w:t>
      </w:r>
    </w:p>
    <w:p w14:paraId="1CA2F110" w14:textId="77777777" w:rsidR="0008663D" w:rsidRPr="0008663D" w:rsidRDefault="0008663D" w:rsidP="0008663D">
      <w:pPr>
        <w:rPr>
          <w:rFonts w:cs="Arial"/>
        </w:rPr>
      </w:pPr>
    </w:p>
    <w:p w14:paraId="28C984E8" w14:textId="4CB7930D" w:rsidR="008134C8" w:rsidRDefault="002C50EE" w:rsidP="004A448E">
      <w:pPr>
        <w:pStyle w:val="Heading2"/>
      </w:pPr>
      <w:r>
        <w:t>4.3. Противопоказания</w:t>
      </w:r>
    </w:p>
    <w:p w14:paraId="39913B0E" w14:textId="1393600E" w:rsidR="0008663D" w:rsidRDefault="0008663D" w:rsidP="0008663D"/>
    <w:p w14:paraId="57A58539" w14:textId="77777777" w:rsidR="0008663D" w:rsidRPr="0008663D" w:rsidRDefault="0008663D" w:rsidP="0008663D">
      <w:pPr>
        <w:pStyle w:val="ListParagraph"/>
        <w:numPr>
          <w:ilvl w:val="0"/>
          <w:numId w:val="37"/>
        </w:numPr>
        <w:rPr>
          <w:sz w:val="24"/>
          <w:szCs w:val="24"/>
        </w:rPr>
      </w:pPr>
      <w:r w:rsidRPr="0008663D">
        <w:rPr>
          <w:lang w:eastAsia="bg-BG"/>
        </w:rPr>
        <w:t>Свръхчувствителност към активното вещество или към някое от помощните вещества или друг АСЕ инхибитор (инхибитор на ангиотензин-конвертиращия ензим) (вж. точка</w:t>
      </w:r>
      <w:r w:rsidRPr="0008663D">
        <w:rPr>
          <w:lang w:val="ru-RU" w:eastAsia="bg-BG"/>
        </w:rPr>
        <w:t xml:space="preserve"> </w:t>
      </w:r>
      <w:r w:rsidRPr="0008663D">
        <w:rPr>
          <w:lang w:eastAsia="bg-BG"/>
        </w:rPr>
        <w:t>6.1).</w:t>
      </w:r>
    </w:p>
    <w:p w14:paraId="4AFCC1B9" w14:textId="77777777" w:rsidR="0008663D" w:rsidRPr="0008663D" w:rsidRDefault="0008663D" w:rsidP="0008663D">
      <w:pPr>
        <w:pStyle w:val="ListParagraph"/>
        <w:numPr>
          <w:ilvl w:val="0"/>
          <w:numId w:val="37"/>
        </w:numPr>
        <w:rPr>
          <w:sz w:val="24"/>
          <w:szCs w:val="24"/>
        </w:rPr>
      </w:pPr>
      <w:r w:rsidRPr="0008663D">
        <w:rPr>
          <w:lang w:eastAsia="bg-BG"/>
        </w:rPr>
        <w:t>Анамнеза за ангиоедем (наследствен, идиопатичен или вследствие</w:t>
      </w:r>
      <w:r w:rsidRPr="0008663D">
        <w:rPr>
          <w:lang w:val="ru-RU"/>
        </w:rPr>
        <w:t xml:space="preserve"> </w:t>
      </w:r>
      <w:r w:rsidRPr="0008663D">
        <w:rPr>
          <w:lang w:eastAsia="bg-BG"/>
        </w:rPr>
        <w:t xml:space="preserve">лечение с </w:t>
      </w:r>
      <w:r w:rsidRPr="0008663D">
        <w:rPr>
          <w:lang w:val="en-US"/>
        </w:rPr>
        <w:t>ACE</w:t>
      </w:r>
      <w:r w:rsidRPr="0008663D">
        <w:rPr>
          <w:lang w:eastAsia="bg-BG"/>
        </w:rPr>
        <w:t xml:space="preserve"> инхибитори или ангиотензин II рецепторни антагонисти </w:t>
      </w:r>
      <w:r w:rsidRPr="0008663D">
        <w:rPr>
          <w:lang w:val="ru-RU"/>
        </w:rPr>
        <w:t>(</w:t>
      </w:r>
      <w:r w:rsidRPr="0008663D">
        <w:rPr>
          <w:lang w:val="en-US"/>
        </w:rPr>
        <w:t>AIIRAs</w:t>
      </w:r>
      <w:r w:rsidRPr="0008663D">
        <w:rPr>
          <w:lang w:val="ru-RU"/>
        </w:rPr>
        <w:t>))</w:t>
      </w:r>
    </w:p>
    <w:p w14:paraId="3FA714B2" w14:textId="77777777" w:rsidR="0008663D" w:rsidRPr="0008663D" w:rsidRDefault="0008663D" w:rsidP="0008663D">
      <w:pPr>
        <w:pStyle w:val="ListParagraph"/>
        <w:numPr>
          <w:ilvl w:val="0"/>
          <w:numId w:val="37"/>
        </w:numPr>
        <w:rPr>
          <w:sz w:val="24"/>
          <w:szCs w:val="24"/>
        </w:rPr>
      </w:pPr>
      <w:r w:rsidRPr="0008663D">
        <w:rPr>
          <w:lang w:eastAsia="bg-BG"/>
        </w:rPr>
        <w:t>Екстракорпорално лечение, водещо до контакт на кръвта с отрицателно заредени повърхности (вж. точка 4.5)</w:t>
      </w:r>
    </w:p>
    <w:p w14:paraId="44F205B5" w14:textId="77777777" w:rsidR="0008663D" w:rsidRPr="0008663D" w:rsidRDefault="0008663D" w:rsidP="0008663D">
      <w:pPr>
        <w:pStyle w:val="ListParagraph"/>
        <w:numPr>
          <w:ilvl w:val="0"/>
          <w:numId w:val="37"/>
        </w:numPr>
        <w:rPr>
          <w:sz w:val="24"/>
          <w:szCs w:val="24"/>
        </w:rPr>
      </w:pPr>
      <w:r w:rsidRPr="0008663D">
        <w:rPr>
          <w:lang w:eastAsia="bg-BG"/>
        </w:rPr>
        <w:t>Значима двустранна стеноза на бъбречната артерия или стеноза на бъбречна артерия на единствен функциониращ бъбрек</w:t>
      </w:r>
    </w:p>
    <w:p w14:paraId="70B28A6D" w14:textId="77777777" w:rsidR="0008663D" w:rsidRPr="0008663D" w:rsidRDefault="0008663D" w:rsidP="0008663D">
      <w:pPr>
        <w:pStyle w:val="ListParagraph"/>
        <w:numPr>
          <w:ilvl w:val="0"/>
          <w:numId w:val="37"/>
        </w:numPr>
        <w:rPr>
          <w:sz w:val="24"/>
          <w:szCs w:val="24"/>
        </w:rPr>
      </w:pPr>
      <w:r w:rsidRPr="0008663D">
        <w:rPr>
          <w:lang w:eastAsia="bg-BG"/>
        </w:rPr>
        <w:t>Втори или трети триместьр на бременността (вж. точки 4.4 и 4.6)</w:t>
      </w:r>
    </w:p>
    <w:p w14:paraId="52392BA2" w14:textId="77777777" w:rsidR="0008663D" w:rsidRPr="0008663D" w:rsidRDefault="0008663D" w:rsidP="0008663D">
      <w:pPr>
        <w:pStyle w:val="ListParagraph"/>
        <w:numPr>
          <w:ilvl w:val="0"/>
          <w:numId w:val="37"/>
        </w:numPr>
        <w:rPr>
          <w:sz w:val="24"/>
          <w:szCs w:val="24"/>
        </w:rPr>
      </w:pPr>
      <w:r w:rsidRPr="0008663D">
        <w:rPr>
          <w:lang w:eastAsia="bg-BG"/>
        </w:rPr>
        <w:t>Рамиприл не трябва да се прилага при пациенти с хипотония или с нестабилна хемодинамика.</w:t>
      </w:r>
    </w:p>
    <w:p w14:paraId="293A6E57" w14:textId="552A48D6" w:rsidR="0008663D" w:rsidRPr="0008663D" w:rsidRDefault="0008663D" w:rsidP="0008663D">
      <w:pPr>
        <w:pStyle w:val="ListParagraph"/>
        <w:numPr>
          <w:ilvl w:val="0"/>
          <w:numId w:val="37"/>
        </w:numPr>
        <w:rPr>
          <w:sz w:val="24"/>
          <w:szCs w:val="24"/>
        </w:rPr>
      </w:pPr>
      <w:r w:rsidRPr="0008663D">
        <w:rPr>
          <w:lang w:eastAsia="bg-BG"/>
        </w:rPr>
        <w:t xml:space="preserve">Едновременната употреба на Кардифренд с алискирен-съдържащи продукти е противопоказана при пациенти със захарен диабет или бъбречно увреждане </w:t>
      </w:r>
      <w:r w:rsidRPr="0008663D">
        <w:rPr>
          <w:lang w:val="ru-RU"/>
        </w:rPr>
        <w:t>(</w:t>
      </w:r>
      <w:r w:rsidRPr="0008663D">
        <w:rPr>
          <w:lang w:val="en-US"/>
        </w:rPr>
        <w:t>GFR</w:t>
      </w:r>
      <w:r w:rsidRPr="0008663D">
        <w:rPr>
          <w:lang w:val="ru-RU"/>
        </w:rPr>
        <w:t xml:space="preserve"> </w:t>
      </w:r>
      <w:r w:rsidRPr="0008663D">
        <w:rPr>
          <w:lang w:eastAsia="bg-BG"/>
        </w:rPr>
        <w:t xml:space="preserve">&lt; 60 </w:t>
      </w:r>
      <w:r w:rsidRPr="0008663D">
        <w:rPr>
          <w:lang w:val="en-US"/>
        </w:rPr>
        <w:t>ml</w:t>
      </w:r>
      <w:r w:rsidRPr="0008663D">
        <w:rPr>
          <w:lang w:val="ru-RU"/>
        </w:rPr>
        <w:t>/</w:t>
      </w:r>
      <w:r w:rsidRPr="0008663D">
        <w:rPr>
          <w:lang w:val="en-US"/>
        </w:rPr>
        <w:t>min</w:t>
      </w:r>
      <w:r w:rsidRPr="0008663D">
        <w:rPr>
          <w:lang w:val="ru-RU"/>
        </w:rPr>
        <w:t>/</w:t>
      </w:r>
      <w:r w:rsidRPr="0008663D">
        <w:rPr>
          <w:lang w:eastAsia="bg-BG"/>
        </w:rPr>
        <w:t xml:space="preserve">1,73 </w:t>
      </w:r>
      <w:r w:rsidRPr="0008663D">
        <w:rPr>
          <w:lang w:val="en-US"/>
        </w:rPr>
        <w:t>m</w:t>
      </w:r>
      <w:r w:rsidRPr="0008663D">
        <w:rPr>
          <w:vertAlign w:val="superscript"/>
          <w:lang w:val="ru-RU"/>
        </w:rPr>
        <w:t>2</w:t>
      </w:r>
      <w:r w:rsidRPr="0008663D">
        <w:rPr>
          <w:lang w:val="ru-RU"/>
        </w:rPr>
        <w:t xml:space="preserve">) </w:t>
      </w:r>
      <w:r w:rsidRPr="0008663D">
        <w:rPr>
          <w:lang w:eastAsia="bg-BG"/>
        </w:rPr>
        <w:t>(вж. точки 4.5 и 5.1).</w:t>
      </w:r>
    </w:p>
    <w:p w14:paraId="382E0F21" w14:textId="77777777" w:rsidR="0008663D" w:rsidRPr="0008663D" w:rsidRDefault="0008663D" w:rsidP="0008663D">
      <w:pPr>
        <w:rPr>
          <w:sz w:val="24"/>
          <w:szCs w:val="24"/>
        </w:rPr>
      </w:pPr>
    </w:p>
    <w:p w14:paraId="212F509C" w14:textId="764BC349" w:rsidR="004F498A" w:rsidRDefault="002C50EE" w:rsidP="004A448E">
      <w:pPr>
        <w:pStyle w:val="Heading2"/>
      </w:pPr>
      <w:r>
        <w:t>4.4. Специални предупреждения и предпазни мерки при употреба</w:t>
      </w:r>
    </w:p>
    <w:p w14:paraId="538FB4C4" w14:textId="4B1696BF" w:rsidR="0008663D" w:rsidRDefault="0008663D" w:rsidP="0008663D"/>
    <w:p w14:paraId="445FEEF3" w14:textId="77777777"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Специални популации</w:t>
      </w:r>
    </w:p>
    <w:p w14:paraId="2F5EC1FC" w14:textId="77777777" w:rsidR="0008663D" w:rsidRPr="0008663D" w:rsidRDefault="0008663D" w:rsidP="0008663D">
      <w:pPr>
        <w:spacing w:line="240" w:lineRule="auto"/>
        <w:rPr>
          <w:rFonts w:eastAsia="Times New Roman" w:cs="Arial"/>
        </w:rPr>
      </w:pPr>
      <w:r w:rsidRPr="0008663D">
        <w:rPr>
          <w:rFonts w:eastAsia="Times New Roman" w:cs="Arial"/>
          <w:i/>
          <w:iCs/>
          <w:color w:val="000000"/>
          <w:lang w:eastAsia="bg-BG"/>
        </w:rPr>
        <w:t>Бременност:</w:t>
      </w:r>
      <w:r w:rsidRPr="0008663D">
        <w:rPr>
          <w:rFonts w:eastAsia="Times New Roman" w:cs="Arial"/>
          <w:color w:val="000000"/>
          <w:lang w:eastAsia="bg-BG"/>
        </w:rPr>
        <w:t xml:space="preserve"> Лечение с АСЕ инхибитори като рамиприл или ангиотензин </w:t>
      </w:r>
      <w:r w:rsidRPr="0008663D">
        <w:rPr>
          <w:rFonts w:eastAsia="Times New Roman" w:cs="Arial"/>
          <w:color w:val="000000"/>
          <w:lang w:val="en-US"/>
        </w:rPr>
        <w:t>II</w:t>
      </w:r>
      <w:r w:rsidRPr="0008663D">
        <w:rPr>
          <w:rFonts w:eastAsia="Times New Roman" w:cs="Arial"/>
          <w:color w:val="000000"/>
          <w:lang w:eastAsia="bg-BG"/>
        </w:rPr>
        <w:t xml:space="preserve"> рецепторни антагонисти </w:t>
      </w:r>
      <w:r w:rsidRPr="0008663D">
        <w:rPr>
          <w:rFonts w:eastAsia="Times New Roman" w:cs="Arial"/>
          <w:color w:val="000000"/>
          <w:lang w:val="ru-RU"/>
        </w:rPr>
        <w:t>(</w:t>
      </w:r>
      <w:proofErr w:type="spellStart"/>
      <w:r w:rsidRPr="0008663D">
        <w:rPr>
          <w:rFonts w:eastAsia="Times New Roman" w:cs="Arial"/>
          <w:color w:val="000000"/>
          <w:lang w:val="en-US"/>
        </w:rPr>
        <w:t>AlIRAs</w:t>
      </w:r>
      <w:proofErr w:type="spellEnd"/>
      <w:r w:rsidRPr="0008663D">
        <w:rPr>
          <w:rFonts w:eastAsia="Times New Roman" w:cs="Arial"/>
          <w:color w:val="000000"/>
          <w:lang w:val="ru-RU"/>
        </w:rPr>
        <w:t xml:space="preserve">) </w:t>
      </w:r>
      <w:r w:rsidRPr="0008663D">
        <w:rPr>
          <w:rFonts w:eastAsia="Times New Roman" w:cs="Arial"/>
          <w:color w:val="000000"/>
          <w:lang w:eastAsia="bg-BG"/>
        </w:rPr>
        <w:t>не трябва да се започва по време на бременност. При пациентките, планиращи да забременеят, терапията с АСЕ инхибитори</w:t>
      </w:r>
      <w:r w:rsidRPr="0008663D">
        <w:rPr>
          <w:rFonts w:eastAsia="Times New Roman" w:cs="Arial"/>
          <w:color w:val="000000"/>
          <w:lang w:val="ru-RU"/>
        </w:rPr>
        <w:t>/</w:t>
      </w:r>
      <w:r w:rsidRPr="0008663D">
        <w:rPr>
          <w:rFonts w:eastAsia="Times New Roman" w:cs="Arial"/>
          <w:color w:val="000000"/>
          <w:lang w:val="en-US"/>
        </w:rPr>
        <w:t>AIIRAs</w:t>
      </w:r>
      <w:r w:rsidRPr="0008663D">
        <w:rPr>
          <w:rFonts w:eastAsia="Times New Roman" w:cs="Arial"/>
          <w:color w:val="000000"/>
          <w:lang w:val="ru-RU"/>
        </w:rPr>
        <w:t xml:space="preserve">, </w:t>
      </w:r>
      <w:r w:rsidRPr="0008663D">
        <w:rPr>
          <w:rFonts w:eastAsia="Times New Roman" w:cs="Arial"/>
          <w:color w:val="000000"/>
          <w:lang w:eastAsia="bg-BG"/>
        </w:rPr>
        <w:t>трябва да се замени с алтернативно антихипертензивно лечение, което има установен профил на безопасност за употреба по време на бременност, освен ако не се счита за крайно необходима. При установяване на бременност, лечението с АСЕ инхибитори</w:t>
      </w:r>
      <w:r w:rsidRPr="0008663D">
        <w:rPr>
          <w:rFonts w:eastAsia="Times New Roman" w:cs="Arial"/>
          <w:color w:val="000000"/>
          <w:lang w:val="ru-RU"/>
        </w:rPr>
        <w:t>/</w:t>
      </w:r>
      <w:r w:rsidRPr="0008663D">
        <w:rPr>
          <w:rFonts w:eastAsia="Times New Roman" w:cs="Arial"/>
          <w:color w:val="000000"/>
          <w:lang w:val="en-US"/>
        </w:rPr>
        <w:t>AIIRAs</w:t>
      </w:r>
      <w:r w:rsidRPr="0008663D">
        <w:rPr>
          <w:rFonts w:eastAsia="Times New Roman" w:cs="Arial"/>
          <w:color w:val="000000"/>
          <w:lang w:val="ru-RU"/>
        </w:rPr>
        <w:t xml:space="preserve"> </w:t>
      </w:r>
      <w:r w:rsidRPr="0008663D">
        <w:rPr>
          <w:rFonts w:eastAsia="Times New Roman" w:cs="Arial"/>
          <w:color w:val="000000"/>
          <w:lang w:eastAsia="bg-BG"/>
        </w:rPr>
        <w:t>трябва да бъде спряно незабавно и ако е необходимо, трябва да бъде започната алтернативна терапия (вж. точки 4.3 и 4.6).</w:t>
      </w:r>
    </w:p>
    <w:p w14:paraId="24513079" w14:textId="77777777" w:rsidR="0008663D" w:rsidRDefault="0008663D" w:rsidP="0008663D">
      <w:pPr>
        <w:spacing w:line="240" w:lineRule="auto"/>
        <w:rPr>
          <w:rFonts w:eastAsia="Times New Roman" w:cs="Arial"/>
          <w:color w:val="000000"/>
          <w:lang w:eastAsia="bg-BG"/>
        </w:rPr>
      </w:pPr>
    </w:p>
    <w:p w14:paraId="6144B4FD" w14:textId="376477B5" w:rsidR="0008663D" w:rsidRPr="0008663D" w:rsidRDefault="0008663D" w:rsidP="0008663D">
      <w:pPr>
        <w:pStyle w:val="ListParagraph"/>
        <w:numPr>
          <w:ilvl w:val="0"/>
          <w:numId w:val="39"/>
        </w:numPr>
        <w:spacing w:line="240" w:lineRule="auto"/>
        <w:rPr>
          <w:rFonts w:eastAsia="Times New Roman" w:cs="Arial"/>
        </w:rPr>
      </w:pPr>
      <w:r w:rsidRPr="0008663D">
        <w:rPr>
          <w:rFonts w:eastAsia="Times New Roman" w:cs="Arial"/>
          <w:color w:val="000000"/>
          <w:u w:val="single"/>
          <w:lang w:eastAsia="bg-BG"/>
        </w:rPr>
        <w:t>Пациенти с особен риск от хипотония</w:t>
      </w:r>
    </w:p>
    <w:p w14:paraId="650DD087" w14:textId="77777777" w:rsidR="0008663D" w:rsidRDefault="0008663D" w:rsidP="0008663D">
      <w:pPr>
        <w:spacing w:line="240" w:lineRule="auto"/>
        <w:rPr>
          <w:rFonts w:eastAsia="Times New Roman" w:cs="Arial"/>
          <w:color w:val="000000"/>
          <w:u w:val="single"/>
          <w:lang w:eastAsia="bg-BG"/>
        </w:rPr>
      </w:pPr>
    </w:p>
    <w:p w14:paraId="23E042F3" w14:textId="7CB92001"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Пациенти с повишена активност на ренин-ангиотензин-алдостероновата системата</w:t>
      </w:r>
    </w:p>
    <w:p w14:paraId="1F02852F" w14:textId="77777777" w:rsidR="0008663D" w:rsidRDefault="0008663D" w:rsidP="0008663D">
      <w:pPr>
        <w:spacing w:line="240" w:lineRule="auto"/>
        <w:rPr>
          <w:rFonts w:eastAsia="Times New Roman" w:cs="Arial"/>
          <w:color w:val="000000"/>
          <w:lang w:eastAsia="bg-BG"/>
        </w:rPr>
      </w:pPr>
    </w:p>
    <w:p w14:paraId="5AF12078" w14:textId="77777777" w:rsidR="009D629D" w:rsidRDefault="0008663D" w:rsidP="0008663D">
      <w:pPr>
        <w:spacing w:line="240" w:lineRule="auto"/>
        <w:rPr>
          <w:rFonts w:eastAsia="Times New Roman" w:cs="Arial"/>
          <w:color w:val="000000"/>
          <w:lang w:eastAsia="bg-BG"/>
        </w:rPr>
      </w:pPr>
      <w:r w:rsidRPr="0008663D">
        <w:rPr>
          <w:rFonts w:eastAsia="Times New Roman" w:cs="Arial"/>
          <w:color w:val="000000"/>
          <w:lang w:eastAsia="bg-BG"/>
        </w:rPr>
        <w:t xml:space="preserve">Пациенти с повишена активност на ренин-ангиотензин-алдостероновата системата са изложени на риск от силно изразено понижаване на кръвното налягане и влошаване на бъбречната функция поради АСЕ инхибиране, особено когато АСЕ инхибитор или съпътстващ диуретик се приема за пръв път или при начално повишаване на дозата. Значима активност на ренин- ангиотензин-алдостероновата системата може да се очаква и е необходимо медицинско наблюдение, включващо проследяване на кръвното налягане, например при: </w:t>
      </w:r>
    </w:p>
    <w:p w14:paraId="2727B405"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тежка хипертония </w:t>
      </w:r>
    </w:p>
    <w:p w14:paraId="49CF3664"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декомпенсирана застойна сърдечна недостатъчност </w:t>
      </w:r>
    </w:p>
    <w:p w14:paraId="4D2D56AF"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хемодинамично влошен левокамерен изходящ или входящ кръвоток (напр. стеноза на аортата или на митралната клапа) </w:t>
      </w:r>
    </w:p>
    <w:p w14:paraId="7EE6D04F"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едностранна стеноза на бъбречната артерия с втори функциониращ бъбрек пациенти, при които има или може да настъпи намален обем на телесните течности или соли (включително пациенти, приемащи диуретици) </w:t>
      </w:r>
    </w:p>
    <w:p w14:paraId="5B35FAF2" w14:textId="77777777" w:rsidR="009D629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 xml:space="preserve">пациенти с чернодробна цироза и/или асцит </w:t>
      </w:r>
    </w:p>
    <w:p w14:paraId="6D753379" w14:textId="77D255E4" w:rsidR="0008663D" w:rsidRPr="009D629D" w:rsidRDefault="0008663D" w:rsidP="009D629D">
      <w:pPr>
        <w:pStyle w:val="ListParagraph"/>
        <w:numPr>
          <w:ilvl w:val="0"/>
          <w:numId w:val="37"/>
        </w:numPr>
        <w:spacing w:line="240" w:lineRule="auto"/>
        <w:rPr>
          <w:rFonts w:eastAsia="Times New Roman" w:cs="Arial"/>
        </w:rPr>
      </w:pPr>
      <w:r w:rsidRPr="009D629D">
        <w:rPr>
          <w:rFonts w:eastAsia="Times New Roman" w:cs="Arial"/>
          <w:color w:val="000000"/>
          <w:lang w:eastAsia="bg-BG"/>
        </w:rPr>
        <w:t>пациенти, подложени на голяма хирургична интервенция или анестезия със средства, които предизвикват хипотония.</w:t>
      </w:r>
    </w:p>
    <w:p w14:paraId="456A77F4" w14:textId="77777777" w:rsidR="009D629D" w:rsidRDefault="009D629D" w:rsidP="0008663D">
      <w:pPr>
        <w:spacing w:line="240" w:lineRule="auto"/>
        <w:rPr>
          <w:rFonts w:eastAsia="Times New Roman" w:cs="Arial"/>
          <w:color w:val="000000"/>
          <w:lang w:eastAsia="bg-BG"/>
        </w:rPr>
      </w:pPr>
    </w:p>
    <w:p w14:paraId="4444A8EF" w14:textId="40E8FE24" w:rsidR="0008663D" w:rsidRPr="0008663D" w:rsidRDefault="0008663D" w:rsidP="0008663D">
      <w:pPr>
        <w:spacing w:line="240" w:lineRule="auto"/>
        <w:rPr>
          <w:rFonts w:eastAsia="Times New Roman" w:cs="Arial"/>
        </w:rPr>
      </w:pPr>
      <w:r w:rsidRPr="0008663D">
        <w:rPr>
          <w:rFonts w:eastAsia="Times New Roman" w:cs="Arial"/>
          <w:color w:val="000000"/>
          <w:lang w:eastAsia="bg-BG"/>
        </w:rPr>
        <w:t>Обикновено се препоръчва коригиране на дехидратацията, хиповолемията или солевия дефицит преди началото на терапията (при пациенти със сърдечна недостатъчност, обаче корекцията трябва да бъде внимателно преценена спрямо риска от обемно натоварване).</w:t>
      </w:r>
    </w:p>
    <w:p w14:paraId="3757D94D" w14:textId="77777777" w:rsidR="009D629D" w:rsidRDefault="009D629D" w:rsidP="0008663D">
      <w:pPr>
        <w:spacing w:line="240" w:lineRule="auto"/>
        <w:rPr>
          <w:rFonts w:eastAsia="Times New Roman" w:cs="Arial"/>
          <w:color w:val="000000"/>
          <w:u w:val="single"/>
          <w:lang w:eastAsia="bg-BG"/>
        </w:rPr>
      </w:pPr>
    </w:p>
    <w:p w14:paraId="1911BBF5" w14:textId="2088B36B" w:rsidR="0008663D" w:rsidRPr="0008663D" w:rsidRDefault="0008663D" w:rsidP="0008663D">
      <w:pPr>
        <w:spacing w:line="240" w:lineRule="auto"/>
        <w:rPr>
          <w:rFonts w:eastAsia="Times New Roman" w:cs="Arial"/>
        </w:rPr>
      </w:pPr>
      <w:r w:rsidRPr="0008663D">
        <w:rPr>
          <w:rFonts w:eastAsia="Times New Roman" w:cs="Arial"/>
          <w:color w:val="000000"/>
          <w:u w:val="single"/>
          <w:lang w:eastAsia="bg-BG"/>
        </w:rPr>
        <w:t>Двойно блокиране на ренин-ангиотензин-алдостероновата система (РААС)</w:t>
      </w:r>
    </w:p>
    <w:p w14:paraId="58646564" w14:textId="77777777" w:rsidR="0008663D" w:rsidRPr="0008663D" w:rsidRDefault="0008663D" w:rsidP="0008663D">
      <w:pPr>
        <w:spacing w:line="240" w:lineRule="auto"/>
        <w:rPr>
          <w:rFonts w:eastAsia="Times New Roman" w:cs="Arial"/>
        </w:rPr>
      </w:pPr>
      <w:r w:rsidRPr="0008663D">
        <w:rPr>
          <w:rFonts w:eastAsia="Times New Roman" w:cs="Arial"/>
          <w:color w:val="000000"/>
          <w:lang w:eastAsia="bg-BG"/>
        </w:rPr>
        <w:t xml:space="preserve">Има данни, че едновременната употреба на АСЕ инхибитори, ангиотензин </w:t>
      </w:r>
      <w:r w:rsidRPr="0008663D">
        <w:rPr>
          <w:rFonts w:eastAsia="Times New Roman" w:cs="Arial"/>
          <w:color w:val="000000"/>
          <w:lang w:val="en-US"/>
        </w:rPr>
        <w:t>II</w:t>
      </w:r>
      <w:r w:rsidRPr="0008663D">
        <w:rPr>
          <w:rFonts w:eastAsia="Times New Roman" w:cs="Arial"/>
          <w:color w:val="000000"/>
          <w:lang w:eastAsia="bg-BG"/>
        </w:rPr>
        <w:t xml:space="preserve"> рецепторни блокери или алискирен повишава риска от хипотония, хиперкалиемия и намаляване на бъбречната функция (включително остра бъбречна недостатъчност). Поради това не се препоръчва двойно блокиране на РААС чрез комбинираната употреба на </w:t>
      </w:r>
      <w:r w:rsidRPr="0008663D">
        <w:rPr>
          <w:rFonts w:eastAsia="Times New Roman" w:cs="Arial"/>
          <w:color w:val="000000"/>
          <w:lang w:val="en-US"/>
        </w:rPr>
        <w:t>ACE</w:t>
      </w:r>
      <w:r w:rsidRPr="0008663D">
        <w:rPr>
          <w:rFonts w:eastAsia="Times New Roman" w:cs="Arial"/>
          <w:color w:val="000000"/>
          <w:lang w:val="ru-RU"/>
        </w:rPr>
        <w:t xml:space="preserve"> </w:t>
      </w:r>
      <w:r w:rsidRPr="0008663D">
        <w:rPr>
          <w:rFonts w:eastAsia="Times New Roman" w:cs="Arial"/>
          <w:color w:val="000000"/>
          <w:lang w:eastAsia="bg-BG"/>
        </w:rPr>
        <w:t xml:space="preserve">инхибитори, ангиотензин </w:t>
      </w:r>
      <w:r w:rsidRPr="0008663D">
        <w:rPr>
          <w:rFonts w:eastAsia="Times New Roman" w:cs="Arial"/>
          <w:color w:val="000000"/>
          <w:lang w:val="en-US"/>
        </w:rPr>
        <w:t>II</w:t>
      </w:r>
      <w:r w:rsidRPr="0008663D">
        <w:rPr>
          <w:rFonts w:eastAsia="Times New Roman" w:cs="Arial"/>
          <w:color w:val="000000"/>
          <w:lang w:eastAsia="bg-BG"/>
        </w:rPr>
        <w:t xml:space="preserve"> рецепторни блокери или алискирен (вж. точки 4.5 и 5.1)</w:t>
      </w:r>
    </w:p>
    <w:p w14:paraId="3CA20B88" w14:textId="4038391D" w:rsidR="0008663D" w:rsidRDefault="0008663D" w:rsidP="0008663D"/>
    <w:p w14:paraId="7811E046"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Ако се прецени, че терапията с двойно блокиране е абсолютно необходима, това трябва да става само под наблюдението на специалист и при често внимателно мониториране на бъбречната функция, електролитите и кръвното налягане.</w:t>
      </w:r>
    </w:p>
    <w:p w14:paraId="60D5CF2B"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 xml:space="preserve">АСЕ инхибитори и ангиотензин </w:t>
      </w:r>
      <w:r w:rsidRPr="009D629D">
        <w:rPr>
          <w:rFonts w:eastAsia="Times New Roman" w:cs="Arial"/>
          <w:color w:val="000000"/>
          <w:lang w:val="en-US"/>
        </w:rPr>
        <w:t>II</w:t>
      </w:r>
      <w:r w:rsidRPr="009D629D">
        <w:rPr>
          <w:rFonts w:eastAsia="Times New Roman" w:cs="Arial"/>
          <w:color w:val="000000"/>
          <w:lang w:eastAsia="bg-BG"/>
        </w:rPr>
        <w:t xml:space="preserve"> рецепторни блокери не трябва да се използват едновременно при пациенти с д иабетна нефропатия.</w:t>
      </w:r>
    </w:p>
    <w:p w14:paraId="637CB22B" w14:textId="77777777" w:rsidR="009D629D" w:rsidRDefault="009D629D" w:rsidP="009D629D">
      <w:pPr>
        <w:spacing w:line="240" w:lineRule="auto"/>
        <w:rPr>
          <w:rFonts w:eastAsia="Times New Roman" w:cs="Arial"/>
          <w:i/>
          <w:iCs/>
          <w:color w:val="000000"/>
          <w:lang w:eastAsia="bg-BG"/>
        </w:rPr>
      </w:pPr>
    </w:p>
    <w:p w14:paraId="72ABB9BC" w14:textId="77777777" w:rsidR="009D629D" w:rsidRPr="009D629D" w:rsidRDefault="009D629D" w:rsidP="009D629D">
      <w:pPr>
        <w:pStyle w:val="ListParagraph"/>
        <w:numPr>
          <w:ilvl w:val="0"/>
          <w:numId w:val="37"/>
        </w:numPr>
        <w:spacing w:line="240" w:lineRule="auto"/>
        <w:rPr>
          <w:rFonts w:eastAsia="Times New Roman" w:cs="Arial"/>
        </w:rPr>
      </w:pPr>
      <w:r w:rsidRPr="009D629D">
        <w:rPr>
          <w:rFonts w:eastAsia="Times New Roman" w:cs="Arial"/>
          <w:i/>
          <w:iCs/>
          <w:color w:val="000000"/>
          <w:lang w:eastAsia="bg-BG"/>
        </w:rPr>
        <w:t>Преходна или персистираща сърдечна недостатъчност след миокарден инфаркт</w:t>
      </w:r>
    </w:p>
    <w:p w14:paraId="252E15EA" w14:textId="376D2EDE" w:rsidR="009D629D" w:rsidRPr="009D629D" w:rsidRDefault="009D629D" w:rsidP="009D629D">
      <w:pPr>
        <w:pStyle w:val="ListParagraph"/>
        <w:numPr>
          <w:ilvl w:val="0"/>
          <w:numId w:val="37"/>
        </w:numPr>
        <w:spacing w:line="240" w:lineRule="auto"/>
        <w:rPr>
          <w:rFonts w:eastAsia="Times New Roman" w:cs="Arial"/>
        </w:rPr>
      </w:pPr>
      <w:r w:rsidRPr="009D629D">
        <w:rPr>
          <w:rFonts w:eastAsia="Times New Roman" w:cs="Arial"/>
          <w:i/>
          <w:iCs/>
          <w:color w:val="000000"/>
          <w:lang w:eastAsia="bg-BG"/>
        </w:rPr>
        <w:t>Пациенти, изложени на риск от сърдечна или мозъчна исхемия в случай на остра хипотония</w:t>
      </w:r>
    </w:p>
    <w:p w14:paraId="6CB00120" w14:textId="77777777" w:rsidR="009D629D" w:rsidRDefault="009D629D" w:rsidP="009D629D">
      <w:pPr>
        <w:spacing w:line="240" w:lineRule="auto"/>
        <w:rPr>
          <w:rFonts w:eastAsia="Times New Roman" w:cs="Arial"/>
          <w:color w:val="000000"/>
          <w:lang w:eastAsia="bg-BG"/>
        </w:rPr>
      </w:pPr>
    </w:p>
    <w:p w14:paraId="740B7C69" w14:textId="41015F40" w:rsidR="009D629D" w:rsidRPr="009D629D" w:rsidRDefault="009D629D" w:rsidP="009D629D">
      <w:pPr>
        <w:spacing w:line="240" w:lineRule="auto"/>
        <w:rPr>
          <w:rFonts w:eastAsia="Times New Roman" w:cs="Arial"/>
        </w:rPr>
      </w:pPr>
      <w:r w:rsidRPr="009D629D">
        <w:rPr>
          <w:rFonts w:eastAsia="Times New Roman" w:cs="Arial"/>
          <w:color w:val="000000"/>
          <w:lang w:eastAsia="bg-BG"/>
        </w:rPr>
        <w:t>Началото на терапията изисква строг медицински контрол.</w:t>
      </w:r>
    </w:p>
    <w:p w14:paraId="27A54C18" w14:textId="77777777" w:rsidR="009D629D" w:rsidRDefault="009D629D" w:rsidP="009D629D">
      <w:pPr>
        <w:spacing w:line="240" w:lineRule="auto"/>
        <w:rPr>
          <w:rFonts w:eastAsia="Times New Roman" w:cs="Arial"/>
          <w:color w:val="000000"/>
          <w:lang w:eastAsia="bg-BG"/>
        </w:rPr>
      </w:pPr>
    </w:p>
    <w:p w14:paraId="77B0B024" w14:textId="5EE238AE" w:rsidR="009D629D" w:rsidRPr="009D629D" w:rsidRDefault="009D629D" w:rsidP="009D629D">
      <w:pPr>
        <w:pStyle w:val="ListParagraph"/>
        <w:numPr>
          <w:ilvl w:val="0"/>
          <w:numId w:val="39"/>
        </w:numPr>
        <w:spacing w:line="240" w:lineRule="auto"/>
        <w:rPr>
          <w:rFonts w:eastAsia="Times New Roman" w:cs="Arial"/>
        </w:rPr>
      </w:pPr>
      <w:r w:rsidRPr="009D629D">
        <w:rPr>
          <w:rFonts w:eastAsia="Times New Roman" w:cs="Arial"/>
          <w:color w:val="000000"/>
          <w:lang w:eastAsia="bg-BG"/>
        </w:rPr>
        <w:t>Пациенти в старческа възраст (вж. точка 4.2.)</w:t>
      </w:r>
    </w:p>
    <w:p w14:paraId="2C82D88D" w14:textId="77777777" w:rsidR="009D629D" w:rsidRDefault="009D629D" w:rsidP="009D629D">
      <w:pPr>
        <w:spacing w:line="240" w:lineRule="auto"/>
        <w:rPr>
          <w:rFonts w:eastAsia="Times New Roman" w:cs="Arial"/>
          <w:i/>
          <w:iCs/>
          <w:color w:val="000000"/>
          <w:u w:val="single"/>
          <w:lang w:eastAsia="bg-BG"/>
        </w:rPr>
      </w:pPr>
    </w:p>
    <w:p w14:paraId="506259C7" w14:textId="00B14A7A"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Хирургични интервенции</w:t>
      </w:r>
    </w:p>
    <w:p w14:paraId="681AF524"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Препоръчва се, когато е възможно, лечението с АСЕ инхибитори като рамиприл да бъде прекъснато един ден преди хирургична процедура.</w:t>
      </w:r>
    </w:p>
    <w:p w14:paraId="36476534" w14:textId="77777777" w:rsidR="009D629D" w:rsidRDefault="009D629D" w:rsidP="009D629D">
      <w:pPr>
        <w:spacing w:line="240" w:lineRule="auto"/>
        <w:rPr>
          <w:rFonts w:eastAsia="Times New Roman" w:cs="Arial"/>
          <w:i/>
          <w:iCs/>
          <w:color w:val="000000"/>
          <w:u w:val="single"/>
          <w:lang w:eastAsia="bg-BG"/>
        </w:rPr>
      </w:pPr>
    </w:p>
    <w:p w14:paraId="6D3B5BB7" w14:textId="32BA75D6"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Проследяване на бъбречната функция</w:t>
      </w:r>
    </w:p>
    <w:p w14:paraId="193A5C11"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lastRenderedPageBreak/>
        <w:t>Бъбречната функция трябва да се оцени преди и по време на терапията и дозата трябва да бъде коригирана най-вече през първите седмици от лечението, Особено внимателно проследяване се изисква при пациенти с бъбречно увреждане (вж. точка 4.2). Има риск от влошаване на бъбречната функция, особено при страдащи от застойна сърдечна недостатъчност или след бъбречна трансплангация.</w:t>
      </w:r>
    </w:p>
    <w:p w14:paraId="2D261099" w14:textId="77777777" w:rsidR="009D629D" w:rsidRDefault="009D629D" w:rsidP="009D629D">
      <w:pPr>
        <w:spacing w:line="240" w:lineRule="auto"/>
        <w:rPr>
          <w:rFonts w:eastAsia="Times New Roman" w:cs="Arial"/>
          <w:i/>
          <w:iCs/>
          <w:color w:val="000000"/>
          <w:u w:val="single"/>
          <w:lang w:eastAsia="bg-BG"/>
        </w:rPr>
      </w:pPr>
    </w:p>
    <w:p w14:paraId="6EEAB0E5" w14:textId="6C023E89"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Ангиоедем</w:t>
      </w:r>
    </w:p>
    <w:p w14:paraId="3C912E4A"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Ангиоедем е съобщаван при пациенти, лекувани с АСЕ инхибитори, включително рамиприл (вж. точка 4.8).</w:t>
      </w:r>
    </w:p>
    <w:p w14:paraId="28A99258"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 xml:space="preserve">Този риск може да се увеличи при пациенти, приемащи едновременно лекарства, като </w:t>
      </w:r>
      <w:proofErr w:type="spellStart"/>
      <w:r w:rsidRPr="009D629D">
        <w:rPr>
          <w:rFonts w:eastAsia="Times New Roman" w:cs="Arial"/>
          <w:color w:val="000000"/>
          <w:lang w:val="en-US"/>
        </w:rPr>
        <w:t>mTOR</w:t>
      </w:r>
      <w:proofErr w:type="spellEnd"/>
      <w:r w:rsidRPr="009D629D">
        <w:rPr>
          <w:rFonts w:eastAsia="Times New Roman" w:cs="Arial"/>
          <w:color w:val="000000"/>
          <w:lang w:val="ru-RU"/>
        </w:rPr>
        <w:t xml:space="preserve"> </w:t>
      </w:r>
      <w:r w:rsidRPr="009D629D">
        <w:rPr>
          <w:rFonts w:eastAsia="Times New Roman" w:cs="Arial"/>
          <w:color w:val="000000"/>
          <w:lang w:eastAsia="bg-BG"/>
        </w:rPr>
        <w:t>инхибитори (таргетни на рапамицин, при бозайници) (напр. темсиролимус, еверолимус, сиролимус) или вилдаглиптин.</w:t>
      </w:r>
    </w:p>
    <w:p w14:paraId="3E73944B" w14:textId="77777777" w:rsidR="009D629D" w:rsidRDefault="009D629D" w:rsidP="009D629D">
      <w:pPr>
        <w:spacing w:line="240" w:lineRule="auto"/>
        <w:rPr>
          <w:rFonts w:eastAsia="Times New Roman" w:cs="Arial"/>
          <w:color w:val="000000"/>
          <w:lang w:eastAsia="bg-BG"/>
        </w:rPr>
      </w:pPr>
    </w:p>
    <w:p w14:paraId="0C5FFC0F" w14:textId="285776C1" w:rsidR="009D629D" w:rsidRPr="009D629D" w:rsidRDefault="009D629D" w:rsidP="009D629D">
      <w:pPr>
        <w:spacing w:line="240" w:lineRule="auto"/>
        <w:rPr>
          <w:rFonts w:eastAsia="Times New Roman" w:cs="Arial"/>
        </w:rPr>
      </w:pPr>
      <w:r w:rsidRPr="009D629D">
        <w:rPr>
          <w:rFonts w:eastAsia="Times New Roman" w:cs="Arial"/>
          <w:color w:val="000000"/>
          <w:lang w:eastAsia="bg-BG"/>
        </w:rPr>
        <w:t>В случай на ангиоедем приемът на Кардифренд трябва да се прекрати.</w:t>
      </w:r>
    </w:p>
    <w:p w14:paraId="595586DE"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Трябва незабавно да се назначи спешна терапия. Пациентът трябва да бъде поставен под наблюдение поне за 12 до 24 часа и изписан след напълно отшумяване на симптомите.</w:t>
      </w:r>
    </w:p>
    <w:p w14:paraId="4E3AF84E" w14:textId="77777777" w:rsidR="009D629D" w:rsidRDefault="009D629D" w:rsidP="009D629D">
      <w:pPr>
        <w:spacing w:line="240" w:lineRule="auto"/>
        <w:rPr>
          <w:rFonts w:eastAsia="Times New Roman" w:cs="Arial"/>
          <w:color w:val="000000"/>
          <w:lang w:eastAsia="bg-BG"/>
        </w:rPr>
      </w:pPr>
    </w:p>
    <w:p w14:paraId="4123CE10" w14:textId="730CD457" w:rsidR="009D629D" w:rsidRPr="009D629D" w:rsidRDefault="009D629D" w:rsidP="009D629D">
      <w:pPr>
        <w:spacing w:line="240" w:lineRule="auto"/>
        <w:rPr>
          <w:rFonts w:eastAsia="Times New Roman" w:cs="Arial"/>
        </w:rPr>
      </w:pPr>
      <w:r w:rsidRPr="009D629D">
        <w:rPr>
          <w:rFonts w:eastAsia="Times New Roman" w:cs="Arial"/>
          <w:color w:val="000000"/>
          <w:lang w:eastAsia="bg-BG"/>
        </w:rPr>
        <w:t>Интестинален ангиоедем е съобщаван при пациенти, лекувани с АСЕ инхибитори, включително Кардифренд (вж. точка 4.8). При тези пациенти се наблюдава абдоминална болка (със или без гадене и повръщане).</w:t>
      </w:r>
    </w:p>
    <w:p w14:paraId="12E480C9" w14:textId="77777777" w:rsidR="009D629D" w:rsidRDefault="009D629D" w:rsidP="009D629D">
      <w:pPr>
        <w:spacing w:line="240" w:lineRule="auto"/>
        <w:rPr>
          <w:rFonts w:eastAsia="Times New Roman" w:cs="Arial"/>
          <w:i/>
          <w:iCs/>
          <w:color w:val="000000"/>
          <w:u w:val="single"/>
          <w:lang w:eastAsia="bg-BG"/>
        </w:rPr>
      </w:pPr>
    </w:p>
    <w:p w14:paraId="15A5065E" w14:textId="475494FD"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Анафилактични реакции по време на десенсибшизиране</w:t>
      </w:r>
    </w:p>
    <w:p w14:paraId="76F213B8"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Вероятността от поява и тежестта на анафилактични и анафилактоидни реакции към отровата на насекоми и други алергени се повишават при АСЕ инхибиране. Трябва да се има предвид временно прекъсване на Кардифренд преди десенсибилизация.</w:t>
      </w:r>
    </w:p>
    <w:p w14:paraId="5C276ACA" w14:textId="77777777" w:rsidR="009D629D" w:rsidRDefault="009D629D" w:rsidP="009D629D">
      <w:pPr>
        <w:spacing w:line="240" w:lineRule="auto"/>
        <w:rPr>
          <w:rFonts w:eastAsia="Times New Roman" w:cs="Arial"/>
          <w:i/>
          <w:iCs/>
          <w:color w:val="000000"/>
          <w:u w:val="single"/>
          <w:lang w:eastAsia="bg-BG"/>
        </w:rPr>
      </w:pPr>
    </w:p>
    <w:p w14:paraId="3FEB764D" w14:textId="632D4E73"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Проследяване на електролитите: Хиперкалиемия</w:t>
      </w:r>
    </w:p>
    <w:p w14:paraId="47F3D4B8" w14:textId="6F38BF7E" w:rsidR="009D629D" w:rsidRDefault="009D629D" w:rsidP="009D629D">
      <w:pPr>
        <w:rPr>
          <w:rFonts w:eastAsia="Times New Roman" w:cs="Arial"/>
          <w:color w:val="000000"/>
          <w:lang w:eastAsia="bg-BG"/>
        </w:rPr>
      </w:pPr>
      <w:r w:rsidRPr="009D629D">
        <w:rPr>
          <w:rFonts w:eastAsia="Times New Roman" w:cs="Arial"/>
          <w:color w:val="000000"/>
          <w:lang w:eastAsia="bg-BG"/>
        </w:rPr>
        <w:t>При някои пациенти, лекувани с АСЕ инхибитори, включително с Кардифренд, се наблюдава хиперкалиемия. Риск от хиперкалиемия има при пациенти с бъбречна недостатъчност на възраст &gt; 70 години, с неконтролиран захарен диабет или такива, приемащи калиеви соли калий-съхраняващи диуретици и други активни вещества, повишаващи плазмените нива на калия, или състояния като дехидратация, остра сърдечна декомпенсация, метаболитна ацидоза.</w:t>
      </w:r>
    </w:p>
    <w:p w14:paraId="6F172521" w14:textId="65F8539B" w:rsidR="009D629D" w:rsidRDefault="009D629D" w:rsidP="009D629D">
      <w:pPr>
        <w:rPr>
          <w:rFonts w:eastAsia="Times New Roman" w:cs="Arial"/>
          <w:color w:val="000000"/>
          <w:lang w:eastAsia="bg-BG"/>
        </w:rPr>
      </w:pPr>
    </w:p>
    <w:p w14:paraId="0E4FAA65"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Ако едновременната употреба на посочените средства се счита за подходяща, препоръчва се редовно проследяване на серумния калий (вж. точка 4.5).</w:t>
      </w:r>
    </w:p>
    <w:p w14:paraId="6EAF1595" w14:textId="77777777" w:rsidR="009D629D" w:rsidRDefault="009D629D" w:rsidP="009D629D">
      <w:pPr>
        <w:spacing w:line="240" w:lineRule="auto"/>
        <w:rPr>
          <w:rFonts w:eastAsia="Times New Roman" w:cs="Arial"/>
          <w:i/>
          <w:iCs/>
          <w:color w:val="000000"/>
          <w:u w:val="single"/>
          <w:lang w:eastAsia="bg-BG"/>
        </w:rPr>
      </w:pPr>
    </w:p>
    <w:p w14:paraId="21489A31" w14:textId="6770D52D"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Проследяване на електролитите: Хипонатриемия</w:t>
      </w:r>
    </w:p>
    <w:p w14:paraId="795017CC"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 xml:space="preserve">При някои пациенти, лекувани с рамиприл, е наблюдаван синдром на неадекватна секреция на ангидиуретичен хормон </w:t>
      </w:r>
      <w:r w:rsidRPr="009D629D">
        <w:rPr>
          <w:rFonts w:eastAsia="Times New Roman" w:cs="Arial"/>
          <w:color w:val="000000"/>
          <w:lang w:val="ru-RU"/>
        </w:rPr>
        <w:t>(</w:t>
      </w:r>
      <w:r w:rsidRPr="009D629D">
        <w:rPr>
          <w:rFonts w:eastAsia="Times New Roman" w:cs="Arial"/>
          <w:color w:val="000000"/>
          <w:lang w:val="en-US"/>
        </w:rPr>
        <w:t>SIADH</w:t>
      </w:r>
      <w:r w:rsidRPr="009D629D">
        <w:rPr>
          <w:rFonts w:eastAsia="Times New Roman" w:cs="Arial"/>
          <w:color w:val="000000"/>
          <w:lang w:val="ru-RU"/>
        </w:rPr>
        <w:t xml:space="preserve">) </w:t>
      </w:r>
      <w:r w:rsidRPr="009D629D">
        <w:rPr>
          <w:rFonts w:eastAsia="Times New Roman" w:cs="Arial"/>
          <w:color w:val="000000"/>
          <w:lang w:eastAsia="bg-BG"/>
        </w:rPr>
        <w:t>и последваща хипонатриемия. При пациенти в старческа възраст и други пациенти с риск от хипонатриемия, се препоръчва редовно проследяване на серумните нива на натрия.</w:t>
      </w:r>
    </w:p>
    <w:p w14:paraId="083D6834" w14:textId="77777777" w:rsidR="009D629D" w:rsidRDefault="009D629D" w:rsidP="009D629D">
      <w:pPr>
        <w:spacing w:line="240" w:lineRule="auto"/>
        <w:rPr>
          <w:rFonts w:eastAsia="Times New Roman" w:cs="Arial"/>
          <w:i/>
          <w:iCs/>
          <w:color w:val="000000"/>
          <w:u w:val="single"/>
          <w:lang w:eastAsia="bg-BG"/>
        </w:rPr>
      </w:pPr>
    </w:p>
    <w:p w14:paraId="10ADF0B0" w14:textId="4DDBE718"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Неутропения/агранулоиитоза</w:t>
      </w:r>
    </w:p>
    <w:p w14:paraId="7BF741E9"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 xml:space="preserve">Рядко са наблюдавани неутропения/агранулоцитоза, съобщавана е също и костномозъчна супресия, както и тромбоцитопения и анемия. Препоръчва се проследяване на броя бели кръвни клетки, за да се установи евентуална левкопения. По-често проследяване се препоръчва в началото на лечението и при пациенти с нарушена бъбречна функция, със съпътстваща колагеноза (напр. лупус еритематодес или </w:t>
      </w:r>
      <w:r w:rsidRPr="009D629D">
        <w:rPr>
          <w:rFonts w:eastAsia="Times New Roman" w:cs="Arial"/>
          <w:color w:val="000000"/>
          <w:lang w:eastAsia="bg-BG"/>
        </w:rPr>
        <w:lastRenderedPageBreak/>
        <w:t>склеродермия) и при лекувани с други лекарствени продукти, които могат да причинят промени в кръвната картина (вж. точка 4.5 и 4.8).</w:t>
      </w:r>
    </w:p>
    <w:p w14:paraId="19A9AFD8" w14:textId="77777777" w:rsidR="009D629D" w:rsidRDefault="009D629D" w:rsidP="009D629D">
      <w:pPr>
        <w:spacing w:line="240" w:lineRule="auto"/>
        <w:rPr>
          <w:rFonts w:eastAsia="Times New Roman" w:cs="Arial"/>
          <w:i/>
          <w:iCs/>
          <w:color w:val="000000"/>
          <w:u w:val="single"/>
          <w:lang w:eastAsia="bg-BG"/>
        </w:rPr>
      </w:pPr>
    </w:p>
    <w:p w14:paraId="57A88DC4" w14:textId="15A94430"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Етнически различия</w:t>
      </w:r>
    </w:p>
    <w:p w14:paraId="7853776F"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АСЕ инхибиторите причиняват ангиоедем с по-висока честота при чернокожи пациенти, отколкото при останалите.</w:t>
      </w:r>
    </w:p>
    <w:p w14:paraId="3519D85C"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Както и другите АСЕ инхибитори, рамиприл може да бъде по-малко ефективен за понижаване на кръвното налягане при чернокожи пациенти, отколкото при останалите, поради по-честото наличие на хипертония с ниски ренинови нива при чернокожата популация.</w:t>
      </w:r>
    </w:p>
    <w:p w14:paraId="5FD551A0" w14:textId="77777777" w:rsidR="009D629D" w:rsidRDefault="009D629D" w:rsidP="009D629D">
      <w:pPr>
        <w:spacing w:line="240" w:lineRule="auto"/>
        <w:rPr>
          <w:rFonts w:eastAsia="Times New Roman" w:cs="Arial"/>
          <w:i/>
          <w:iCs/>
          <w:color w:val="000000"/>
          <w:u w:val="single"/>
          <w:lang w:eastAsia="bg-BG"/>
        </w:rPr>
      </w:pPr>
    </w:p>
    <w:p w14:paraId="3B8DFECA" w14:textId="36D33642" w:rsidR="009D629D" w:rsidRPr="009D629D" w:rsidRDefault="009D629D" w:rsidP="009D629D">
      <w:pPr>
        <w:spacing w:line="240" w:lineRule="auto"/>
        <w:rPr>
          <w:rFonts w:eastAsia="Times New Roman" w:cs="Arial"/>
        </w:rPr>
      </w:pPr>
      <w:r w:rsidRPr="009D629D">
        <w:rPr>
          <w:rFonts w:eastAsia="Times New Roman" w:cs="Arial"/>
          <w:i/>
          <w:iCs/>
          <w:color w:val="000000"/>
          <w:u w:val="single"/>
          <w:lang w:eastAsia="bg-BG"/>
        </w:rPr>
        <w:t>Кашлииа</w:t>
      </w:r>
    </w:p>
    <w:p w14:paraId="51745C28" w14:textId="77777777" w:rsidR="009D629D" w:rsidRPr="009D629D" w:rsidRDefault="009D629D" w:rsidP="009D629D">
      <w:pPr>
        <w:spacing w:line="240" w:lineRule="auto"/>
        <w:rPr>
          <w:rFonts w:eastAsia="Times New Roman" w:cs="Arial"/>
        </w:rPr>
      </w:pPr>
      <w:r w:rsidRPr="009D629D">
        <w:rPr>
          <w:rFonts w:eastAsia="Times New Roman" w:cs="Arial"/>
          <w:color w:val="000000"/>
          <w:lang w:eastAsia="bg-BG"/>
        </w:rPr>
        <w:t>При употребата на АСЕ инхибитори е съобщавана кашлица. Характерно е, че тя е непродуктивна, продължителна и отзвучава след прекратяване на терапията. Индуцираната от АСЕ инхибитор кашлица, трябва да се разглежда като част от диференциалната диагноза на кашлица.</w:t>
      </w:r>
    </w:p>
    <w:p w14:paraId="02AC3B74" w14:textId="77777777" w:rsidR="009D629D" w:rsidRPr="009D629D" w:rsidRDefault="009D629D" w:rsidP="009D629D">
      <w:pPr>
        <w:rPr>
          <w:rFonts w:cs="Arial"/>
        </w:rPr>
      </w:pPr>
    </w:p>
    <w:p w14:paraId="619DED1E" w14:textId="0EF25703" w:rsidR="004F498A" w:rsidRDefault="002C50EE" w:rsidP="004A448E">
      <w:pPr>
        <w:pStyle w:val="Heading2"/>
      </w:pPr>
      <w:r>
        <w:t>4.5. Взаимодействие с други лекарствени продукти и други форми на</w:t>
      </w:r>
      <w:r w:rsidR="004F1CE7" w:rsidRPr="004F1CE7">
        <w:rPr>
          <w:lang w:val="ru-RU"/>
        </w:rPr>
        <w:t xml:space="preserve"> </w:t>
      </w:r>
      <w:r w:rsidR="004F1CE7">
        <w:t>взаимодействие</w:t>
      </w:r>
      <w:r>
        <w:t xml:space="preserve"> </w:t>
      </w:r>
    </w:p>
    <w:p w14:paraId="0200C65D" w14:textId="72C6A111" w:rsidR="00093ED1" w:rsidRDefault="00093ED1" w:rsidP="00093ED1"/>
    <w:p w14:paraId="1CEAAB71" w14:textId="77777777" w:rsidR="00093ED1" w:rsidRPr="00093ED1" w:rsidRDefault="00093ED1" w:rsidP="00093ED1">
      <w:pPr>
        <w:spacing w:line="240" w:lineRule="auto"/>
        <w:rPr>
          <w:rFonts w:eastAsia="Times New Roman" w:cs="Arial"/>
        </w:rPr>
      </w:pPr>
      <w:r w:rsidRPr="00093ED1">
        <w:rPr>
          <w:rFonts w:eastAsia="Times New Roman" w:cs="Arial"/>
          <w:color w:val="000000"/>
          <w:lang w:eastAsia="bg-BG"/>
        </w:rPr>
        <w:t xml:space="preserve">Данни от клинични проучвания показват, че двойното блокиране на РААС чрез комбинираната употреба на АСЕ инхибитори, ангиотензин </w:t>
      </w:r>
      <w:r w:rsidRPr="00093ED1">
        <w:rPr>
          <w:rFonts w:eastAsia="Times New Roman" w:cs="Arial"/>
          <w:color w:val="000000"/>
          <w:lang w:val="en-US"/>
        </w:rPr>
        <w:t>II</w:t>
      </w:r>
      <w:r w:rsidRPr="00093ED1">
        <w:rPr>
          <w:rFonts w:eastAsia="Times New Roman" w:cs="Arial"/>
          <w:color w:val="000000"/>
          <w:lang w:eastAsia="bg-BG"/>
        </w:rPr>
        <w:t xml:space="preserve"> рецепторни блокери или алискирен се свързва с по-висока честота на нежелани събития, като например хипотония, хиперкалиемия и намаляване на бъбречната функция (включително остра бъбречна недостатъчност), в сравнение с употребата само на едно средство, действащо върху РААС (вж. точки 4.3,4.4 и 5.1).</w:t>
      </w:r>
    </w:p>
    <w:p w14:paraId="676178C9" w14:textId="77777777" w:rsidR="00093ED1" w:rsidRDefault="00093ED1" w:rsidP="00093ED1">
      <w:pPr>
        <w:spacing w:line="240" w:lineRule="auto"/>
        <w:rPr>
          <w:rFonts w:eastAsia="Times New Roman" w:cs="Arial"/>
          <w:color w:val="000000"/>
          <w:u w:val="single"/>
          <w:lang w:eastAsia="bg-BG"/>
        </w:rPr>
      </w:pPr>
    </w:p>
    <w:p w14:paraId="71BFD023" w14:textId="73E305C6" w:rsidR="00093ED1" w:rsidRPr="00093ED1" w:rsidRDefault="00093ED1" w:rsidP="00093ED1">
      <w:pPr>
        <w:spacing w:line="240" w:lineRule="auto"/>
        <w:rPr>
          <w:rFonts w:eastAsia="Times New Roman" w:cs="Arial"/>
        </w:rPr>
      </w:pPr>
      <w:r w:rsidRPr="00093ED1">
        <w:rPr>
          <w:rFonts w:eastAsia="Times New Roman" w:cs="Arial"/>
          <w:color w:val="000000"/>
          <w:u w:val="single"/>
          <w:lang w:eastAsia="bg-BG"/>
        </w:rPr>
        <w:t>Противопоказани комбинации</w:t>
      </w:r>
    </w:p>
    <w:p w14:paraId="66A0B07F" w14:textId="77777777" w:rsidR="00093ED1" w:rsidRPr="00093ED1" w:rsidRDefault="00093ED1" w:rsidP="00093ED1">
      <w:pPr>
        <w:spacing w:line="240" w:lineRule="auto"/>
        <w:rPr>
          <w:rFonts w:eastAsia="Times New Roman" w:cs="Arial"/>
        </w:rPr>
      </w:pPr>
      <w:r w:rsidRPr="00093ED1">
        <w:rPr>
          <w:rFonts w:eastAsia="Times New Roman" w:cs="Arial"/>
          <w:color w:val="000000"/>
          <w:lang w:eastAsia="bg-BG"/>
        </w:rPr>
        <w:t>Екстракорпорално лечение, водещо до контакт на кръвта с отрицателно заредени повърхности като например диализа или хемофилтрация с определени високопропускливи мембрани (напр. полиакрилонитрилни мембрани) и афереза на липопротеини с ниска плътност с декстран сулфат, поради повишен риск от тежка анафилактоидна реакция (вж. точка 4.3). Ако се изисква подобно лечение, необходимо е да се обмисли използване на различен тип диализна мембрана или различен клас антихипертензивно средство.</w:t>
      </w:r>
    </w:p>
    <w:p w14:paraId="052EC8C9" w14:textId="77777777" w:rsidR="00093ED1" w:rsidRDefault="00093ED1" w:rsidP="00093ED1">
      <w:pPr>
        <w:spacing w:line="240" w:lineRule="auto"/>
        <w:rPr>
          <w:rFonts w:eastAsia="Times New Roman" w:cs="Arial"/>
          <w:color w:val="000000"/>
          <w:u w:val="single"/>
          <w:lang w:eastAsia="bg-BG"/>
        </w:rPr>
      </w:pPr>
    </w:p>
    <w:p w14:paraId="3D9FD3A0" w14:textId="21639A9A" w:rsidR="00093ED1" w:rsidRPr="00093ED1" w:rsidRDefault="00093ED1" w:rsidP="00093ED1">
      <w:pPr>
        <w:spacing w:line="240" w:lineRule="auto"/>
        <w:rPr>
          <w:rFonts w:eastAsia="Times New Roman" w:cs="Arial"/>
        </w:rPr>
      </w:pPr>
      <w:r w:rsidRPr="00093ED1">
        <w:rPr>
          <w:rFonts w:eastAsia="Times New Roman" w:cs="Arial"/>
          <w:color w:val="000000"/>
          <w:u w:val="single"/>
          <w:lang w:eastAsia="bg-BG"/>
        </w:rPr>
        <w:t>Предпазни мерки при употреба</w:t>
      </w:r>
    </w:p>
    <w:p w14:paraId="378672A6" w14:textId="77777777"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 xml:space="preserve">Калиеви соли, хепарин, калий-съхраняващи диуретици и други активни вещества, повишаващи плазмените нива на калия (включително ангиотензин II антагонисти, триметоприм и в комбинация с фиксирана доза сулфаметоксазон, такролимус, циклоспорин): възможно е да се </w:t>
      </w:r>
      <w:r w:rsidRPr="00093ED1">
        <w:rPr>
          <w:rFonts w:eastAsia="Times New Roman" w:cs="Arial"/>
          <w:color w:val="000000"/>
          <w:lang w:eastAsia="bg-BG"/>
        </w:rPr>
        <w:t>прояви хиперкалиемия, поради което се изисква стриктно проследяване на серумния калий</w:t>
      </w:r>
    </w:p>
    <w:p w14:paraId="3BE915C2" w14:textId="77777777" w:rsidR="00093ED1" w:rsidRPr="00093ED1" w:rsidRDefault="00093ED1" w:rsidP="00093ED1">
      <w:pPr>
        <w:spacing w:line="240" w:lineRule="auto"/>
        <w:rPr>
          <w:rFonts w:eastAsia="Times New Roman" w:cs="Arial"/>
        </w:rPr>
      </w:pPr>
    </w:p>
    <w:p w14:paraId="49D225C2" w14:textId="77777777" w:rsidR="00093ED1" w:rsidRPr="00093ED1" w:rsidRDefault="00093ED1" w:rsidP="00093ED1">
      <w:pPr>
        <w:rPr>
          <w:rFonts w:eastAsia="Times New Roman" w:cs="Arial"/>
        </w:rPr>
      </w:pPr>
      <w:r w:rsidRPr="00093ED1">
        <w:rPr>
          <w:rFonts w:eastAsia="Times New Roman" w:cs="Arial"/>
          <w:i/>
          <w:iCs/>
          <w:color w:val="000000"/>
          <w:lang w:eastAsia="bg-BG"/>
        </w:rPr>
        <w:t>Антихипертензивни средства (напр. диуретици) и други вещества, които могат да понижат кръвното налягане (като нитрати, трициклични антидепресанти, анестетици, прекомерен</w:t>
      </w:r>
      <w:r w:rsidRPr="00093ED1">
        <w:rPr>
          <w:rFonts w:eastAsia="Times New Roman" w:cs="Arial"/>
          <w:i/>
          <w:iCs/>
          <w:color w:val="000000"/>
          <w:lang w:val="ru-RU" w:eastAsia="bg-BG"/>
        </w:rPr>
        <w:t xml:space="preserve"> </w:t>
      </w:r>
      <w:r w:rsidRPr="00093ED1">
        <w:rPr>
          <w:rFonts w:eastAsia="Times New Roman" w:cs="Arial"/>
          <w:i/>
          <w:iCs/>
          <w:color w:val="000000"/>
          <w:lang w:eastAsia="bg-BG"/>
        </w:rPr>
        <w:t>прием на алкохол, баклофен, алфузозин, доксазозин, празозин, тамсулозин, тетразозин):</w:t>
      </w:r>
      <w:r w:rsidRPr="00093ED1">
        <w:rPr>
          <w:rFonts w:eastAsia="Times New Roman" w:cs="Arial"/>
          <w:color w:val="000000"/>
          <w:lang w:eastAsia="bg-BG"/>
        </w:rPr>
        <w:t xml:space="preserve"> може да се очаква увеличаване на риска от хипотония (вж. точка 4.2 за диуретици).</w:t>
      </w:r>
    </w:p>
    <w:p w14:paraId="2958202B" w14:textId="77777777" w:rsidR="00093ED1" w:rsidRDefault="00093ED1" w:rsidP="00093ED1">
      <w:pPr>
        <w:spacing w:line="240" w:lineRule="auto"/>
        <w:rPr>
          <w:rFonts w:eastAsia="Times New Roman" w:cs="Arial"/>
          <w:i/>
          <w:iCs/>
          <w:color w:val="000000"/>
          <w:lang w:eastAsia="bg-BG"/>
        </w:rPr>
      </w:pPr>
    </w:p>
    <w:p w14:paraId="1DFF5FF1" w14:textId="6281D1BD"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lastRenderedPageBreak/>
        <w:t>Вазопресорни симпатикомиметици и други вещества (напр. изопротеренол, добутамин, допамин, епинефрин),</w:t>
      </w:r>
      <w:r w:rsidRPr="00093ED1">
        <w:rPr>
          <w:rFonts w:eastAsia="Times New Roman" w:cs="Arial"/>
          <w:color w:val="000000"/>
          <w:lang w:eastAsia="bg-BG"/>
        </w:rPr>
        <w:t xml:space="preserve"> които могат да намалят антихипертензивния ефект на Кардифренд: препоръчва се стриктно проследяване на кръвното налягане.</w:t>
      </w:r>
    </w:p>
    <w:p w14:paraId="33CEE2A5" w14:textId="77777777" w:rsidR="00093ED1" w:rsidRDefault="00093ED1" w:rsidP="00093ED1">
      <w:pPr>
        <w:spacing w:line="240" w:lineRule="auto"/>
        <w:rPr>
          <w:rFonts w:eastAsia="Times New Roman" w:cs="Arial"/>
          <w:i/>
          <w:iCs/>
          <w:color w:val="000000"/>
          <w:lang w:eastAsia="bg-BG"/>
        </w:rPr>
      </w:pPr>
    </w:p>
    <w:p w14:paraId="69105992" w14:textId="34D6E9AA"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Алопуринол, имуносупресори, кортикостероиди, прокаинамид, цитостатици и други вещества, които могат да променят броя на кръвните клетки:</w:t>
      </w:r>
      <w:r w:rsidRPr="00093ED1">
        <w:rPr>
          <w:rFonts w:eastAsia="Times New Roman" w:cs="Arial"/>
          <w:color w:val="000000"/>
          <w:lang w:eastAsia="bg-BG"/>
        </w:rPr>
        <w:t xml:space="preserve"> повишена вероятност от поява на хематологични реакции (вж. точка 4.4).</w:t>
      </w:r>
    </w:p>
    <w:p w14:paraId="116E800B" w14:textId="77777777" w:rsidR="00093ED1" w:rsidRDefault="00093ED1" w:rsidP="00093ED1">
      <w:pPr>
        <w:spacing w:line="240" w:lineRule="auto"/>
        <w:rPr>
          <w:rFonts w:eastAsia="Times New Roman" w:cs="Arial"/>
          <w:i/>
          <w:iCs/>
          <w:color w:val="000000"/>
          <w:lang w:eastAsia="bg-BG"/>
        </w:rPr>
      </w:pPr>
    </w:p>
    <w:p w14:paraId="334918A5" w14:textId="22D99D26"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Литиеви соли:</w:t>
      </w:r>
      <w:r w:rsidRPr="00093ED1">
        <w:rPr>
          <w:rFonts w:eastAsia="Times New Roman" w:cs="Arial"/>
          <w:color w:val="000000"/>
          <w:lang w:eastAsia="bg-BG"/>
        </w:rPr>
        <w:t xml:space="preserve"> екскрецията на лития може да бъде понижена от АСЕ инхибиторите и поради това токсичността на лития може да се увеличи. Нивата на лития трябва да се проследяват.</w:t>
      </w:r>
    </w:p>
    <w:p w14:paraId="53DC537E" w14:textId="77777777" w:rsidR="00093ED1" w:rsidRDefault="00093ED1" w:rsidP="00093ED1">
      <w:pPr>
        <w:spacing w:line="240" w:lineRule="auto"/>
        <w:rPr>
          <w:rFonts w:eastAsia="Times New Roman" w:cs="Arial"/>
          <w:i/>
          <w:iCs/>
          <w:color w:val="000000"/>
          <w:lang w:eastAsia="bg-BG"/>
        </w:rPr>
      </w:pPr>
    </w:p>
    <w:p w14:paraId="16434D48" w14:textId="5732D32D"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Антидиабетни средства, включително инсулин:</w:t>
      </w:r>
      <w:r w:rsidRPr="00093ED1">
        <w:rPr>
          <w:rFonts w:eastAsia="Times New Roman" w:cs="Arial"/>
          <w:color w:val="000000"/>
          <w:lang w:eastAsia="bg-BG"/>
        </w:rPr>
        <w:t xml:space="preserve"> могат да възникнат хипогликемични реакции. Препоръчва се проследяване на нивата на кръвната захар.</w:t>
      </w:r>
    </w:p>
    <w:p w14:paraId="19C2B1EF" w14:textId="77777777" w:rsidR="00093ED1" w:rsidRDefault="00093ED1" w:rsidP="00093ED1">
      <w:pPr>
        <w:spacing w:line="240" w:lineRule="auto"/>
        <w:rPr>
          <w:rFonts w:eastAsia="Times New Roman" w:cs="Arial"/>
          <w:i/>
          <w:iCs/>
          <w:color w:val="000000"/>
          <w:lang w:eastAsia="bg-BG"/>
        </w:rPr>
      </w:pPr>
    </w:p>
    <w:p w14:paraId="2EF886BE" w14:textId="467BE310"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Нестероидни противовъзпалителни средства и ацетилсалицилова киселина:</w:t>
      </w:r>
      <w:r w:rsidRPr="00093ED1">
        <w:rPr>
          <w:rFonts w:eastAsia="Times New Roman" w:cs="Arial"/>
          <w:color w:val="000000"/>
          <w:lang w:eastAsia="bg-BG"/>
        </w:rPr>
        <w:t xml:space="preserve"> може да се очаква намаляване на антихипертензивния ефект на Кардифренд. Освен това съпътстващото лечение с АСЕ инхибитори и НСПВС може да доведе до повишен риск от влошаване на бъбречната функция и да увеличи калиемията.</w:t>
      </w:r>
    </w:p>
    <w:p w14:paraId="36D431E2" w14:textId="77777777" w:rsidR="00093ED1" w:rsidRDefault="00093ED1" w:rsidP="00093ED1">
      <w:pPr>
        <w:spacing w:line="240" w:lineRule="auto"/>
        <w:rPr>
          <w:rFonts w:eastAsia="Times New Roman" w:cs="Arial"/>
          <w:i/>
          <w:iCs/>
          <w:color w:val="000000"/>
          <w:lang w:eastAsia="bg-BG"/>
        </w:rPr>
      </w:pPr>
    </w:p>
    <w:p w14:paraId="0F55FAB9" w14:textId="5D30DE7C" w:rsidR="00093ED1" w:rsidRPr="00093ED1" w:rsidRDefault="00093ED1" w:rsidP="00093ED1">
      <w:pPr>
        <w:spacing w:line="240" w:lineRule="auto"/>
        <w:rPr>
          <w:rFonts w:eastAsia="Times New Roman" w:cs="Arial"/>
        </w:rPr>
      </w:pPr>
      <w:r w:rsidRPr="00093ED1">
        <w:rPr>
          <w:rFonts w:eastAsia="Times New Roman" w:cs="Arial"/>
          <w:i/>
          <w:iCs/>
          <w:color w:val="000000"/>
          <w:lang w:eastAsia="bg-BG"/>
        </w:rPr>
        <w:t>Триметоприм или комбинацията с фиксирани дози триметоприм и сулфаметоксазол (Ко- тримоксазол).</w:t>
      </w:r>
      <w:r w:rsidRPr="00093ED1">
        <w:rPr>
          <w:rFonts w:eastAsia="Times New Roman" w:cs="Arial"/>
          <w:color w:val="000000"/>
          <w:lang w:eastAsia="bg-BG"/>
        </w:rPr>
        <w:t xml:space="preserve"> Повишена честота на хиперкалиемия се наблюдава при пациенти, приемащи АСЕ инхибитори и триметоприм или комбинацията с фиксирани дози триметоприм и сулфаметоксазол (Ко-тримоксазол).</w:t>
      </w:r>
    </w:p>
    <w:p w14:paraId="2E939DCB" w14:textId="77777777" w:rsidR="00093ED1" w:rsidRPr="00C95F9A" w:rsidRDefault="00093ED1" w:rsidP="00093ED1">
      <w:pPr>
        <w:spacing w:line="240" w:lineRule="auto"/>
        <w:rPr>
          <w:rFonts w:eastAsia="Times New Roman" w:cs="Arial"/>
          <w:i/>
          <w:iCs/>
          <w:color w:val="000000"/>
          <w:lang w:val="ru-RU"/>
        </w:rPr>
      </w:pPr>
    </w:p>
    <w:p w14:paraId="70803A8F" w14:textId="058A8817" w:rsidR="00093ED1" w:rsidRPr="00093ED1" w:rsidRDefault="00093ED1" w:rsidP="00093ED1">
      <w:pPr>
        <w:spacing w:line="240" w:lineRule="auto"/>
        <w:rPr>
          <w:rFonts w:eastAsia="Times New Roman" w:cs="Arial"/>
        </w:rPr>
      </w:pPr>
      <w:proofErr w:type="spellStart"/>
      <w:proofErr w:type="gramStart"/>
      <w:r w:rsidRPr="00093ED1">
        <w:rPr>
          <w:rFonts w:eastAsia="Times New Roman" w:cs="Arial"/>
          <w:i/>
          <w:iCs/>
          <w:color w:val="000000"/>
          <w:lang w:val="en-US"/>
        </w:rPr>
        <w:t>mTOR</w:t>
      </w:r>
      <w:proofErr w:type="spellEnd"/>
      <w:proofErr w:type="gramEnd"/>
      <w:r w:rsidRPr="00093ED1">
        <w:rPr>
          <w:rFonts w:eastAsia="Times New Roman" w:cs="Arial"/>
          <w:i/>
          <w:iCs/>
          <w:color w:val="000000"/>
          <w:lang w:val="ru-RU"/>
        </w:rPr>
        <w:t xml:space="preserve"> </w:t>
      </w:r>
      <w:r w:rsidRPr="00093ED1">
        <w:rPr>
          <w:rFonts w:eastAsia="Times New Roman" w:cs="Arial"/>
          <w:i/>
          <w:iCs/>
          <w:color w:val="000000"/>
          <w:lang w:eastAsia="bg-BG"/>
        </w:rPr>
        <w:t>инхибитори или вилдаглиптин:</w:t>
      </w:r>
      <w:r w:rsidRPr="00093ED1">
        <w:rPr>
          <w:rFonts w:eastAsia="Times New Roman" w:cs="Arial"/>
          <w:color w:val="000000"/>
          <w:lang w:eastAsia="bg-BG"/>
        </w:rPr>
        <w:t xml:space="preserve"> повишен риск от развитие на ангиоедем е възможно при пациенти, приемащи едновременно лекарства, като </w:t>
      </w:r>
      <w:proofErr w:type="spellStart"/>
      <w:r w:rsidRPr="00093ED1">
        <w:rPr>
          <w:rFonts w:eastAsia="Times New Roman" w:cs="Arial"/>
          <w:color w:val="000000"/>
          <w:lang w:val="en-US"/>
        </w:rPr>
        <w:t>mTOR</w:t>
      </w:r>
      <w:proofErr w:type="spellEnd"/>
      <w:r w:rsidRPr="00093ED1">
        <w:rPr>
          <w:rFonts w:eastAsia="Times New Roman" w:cs="Arial"/>
          <w:color w:val="000000"/>
          <w:lang w:val="ru-RU"/>
        </w:rPr>
        <w:t xml:space="preserve"> </w:t>
      </w:r>
      <w:r w:rsidRPr="00093ED1">
        <w:rPr>
          <w:rFonts w:eastAsia="Times New Roman" w:cs="Arial"/>
          <w:color w:val="000000"/>
          <w:lang w:eastAsia="bg-BG"/>
        </w:rPr>
        <w:t>инхибитори (напр. темсиролимус, еверолимус, сиролимус) или вилдаглиптин. С повишено внимание трябва да се използва, когато се започва лечение (вж. точка 4.4)</w:t>
      </w:r>
    </w:p>
    <w:p w14:paraId="6DB70D00" w14:textId="6D872E0C" w:rsidR="00093ED1" w:rsidRPr="00093ED1" w:rsidRDefault="00093ED1" w:rsidP="00093ED1"/>
    <w:p w14:paraId="394A7584" w14:textId="70193A80" w:rsidR="004F498A" w:rsidRDefault="002C50EE" w:rsidP="004A448E">
      <w:pPr>
        <w:pStyle w:val="Heading2"/>
      </w:pPr>
      <w:r>
        <w:t>4.6. Фертилитет, бременност и кърмене</w:t>
      </w:r>
    </w:p>
    <w:p w14:paraId="12E644D4" w14:textId="26EB241A" w:rsidR="00093ED1" w:rsidRDefault="00093ED1" w:rsidP="00093ED1"/>
    <w:p w14:paraId="49936E8C" w14:textId="77777777" w:rsidR="00093ED1" w:rsidRPr="00093ED1" w:rsidRDefault="00093ED1" w:rsidP="00093ED1">
      <w:pPr>
        <w:spacing w:line="240" w:lineRule="auto"/>
        <w:rPr>
          <w:rFonts w:eastAsia="Times New Roman" w:cs="Arial"/>
        </w:rPr>
      </w:pPr>
      <w:r w:rsidRPr="00093ED1">
        <w:rPr>
          <w:rFonts w:eastAsia="Times New Roman" w:cs="Arial"/>
          <w:color w:val="000000"/>
          <w:lang w:eastAsia="bg-BG"/>
        </w:rPr>
        <w:t>Кардифренд не се препоръчва по време на първия триместър на бременност (вж. точка 4.4) и е противопоказан по време на втория и третия триместър на бременността (вж. точка 4.3).</w:t>
      </w:r>
    </w:p>
    <w:p w14:paraId="3486AF66" w14:textId="77777777" w:rsidR="00093ED1" w:rsidRDefault="00093ED1" w:rsidP="00093ED1">
      <w:pPr>
        <w:spacing w:line="240" w:lineRule="auto"/>
        <w:rPr>
          <w:rFonts w:eastAsia="Times New Roman" w:cs="Arial"/>
          <w:color w:val="000000"/>
          <w:lang w:eastAsia="bg-BG"/>
        </w:rPr>
      </w:pPr>
    </w:p>
    <w:p w14:paraId="3804CD52" w14:textId="4FD18922" w:rsidR="00093ED1" w:rsidRPr="00093ED1" w:rsidRDefault="00093ED1" w:rsidP="00093ED1">
      <w:pPr>
        <w:spacing w:line="240" w:lineRule="auto"/>
        <w:rPr>
          <w:rFonts w:eastAsia="Times New Roman" w:cs="Arial"/>
        </w:rPr>
      </w:pPr>
      <w:r w:rsidRPr="00093ED1">
        <w:rPr>
          <w:rFonts w:eastAsia="Times New Roman" w:cs="Arial"/>
          <w:color w:val="000000"/>
          <w:lang w:eastAsia="bg-BG"/>
        </w:rPr>
        <w:t>Епидемиологични данни относно риска от тератогенност след експозиция на АСЕ инхибитори по време на първия триместър от бременността не са били убедителни, но леко повишаване на риска не може да се изключи. При пациентките, планиращи бременност, терапията с АСЕ инхибитори трябва да се замени с алтернативно антихипертензивно лечение, което има установен профил на безопасност при употреба по време на бременност, освен ако не се счита за крайно необходима. При установяване на бременност лечението с АСЕ инхибитори трябва да бъде спряно незабавно и ако е уместно, трябва да бъде започната алтернативна терапия.</w:t>
      </w:r>
    </w:p>
    <w:p w14:paraId="5ECD8AB7" w14:textId="77777777" w:rsidR="00093ED1" w:rsidRDefault="00093ED1" w:rsidP="00093ED1">
      <w:pPr>
        <w:rPr>
          <w:rFonts w:eastAsia="Times New Roman" w:cs="Arial"/>
          <w:color w:val="000000"/>
          <w:lang w:eastAsia="bg-BG"/>
        </w:rPr>
      </w:pPr>
    </w:p>
    <w:p w14:paraId="25D4BDEF" w14:textId="0E4F8279" w:rsidR="00093ED1" w:rsidRDefault="00093ED1" w:rsidP="00093ED1">
      <w:pPr>
        <w:rPr>
          <w:rFonts w:eastAsia="Times New Roman" w:cs="Arial"/>
          <w:color w:val="000000"/>
          <w:lang w:eastAsia="bg-BG"/>
        </w:rPr>
      </w:pPr>
      <w:r w:rsidRPr="00093ED1">
        <w:rPr>
          <w:rFonts w:eastAsia="Times New Roman" w:cs="Arial"/>
          <w:color w:val="000000"/>
          <w:lang w:eastAsia="bg-BG"/>
        </w:rPr>
        <w:t xml:space="preserve">Експозицията на терапия с АСЕ инхибитор/ангиотензин II рецепторен антагонист </w:t>
      </w:r>
      <w:r w:rsidRPr="00093ED1">
        <w:rPr>
          <w:rFonts w:eastAsia="Times New Roman" w:cs="Arial"/>
          <w:color w:val="000000"/>
          <w:lang w:val="ru-RU"/>
        </w:rPr>
        <w:t>(</w:t>
      </w:r>
      <w:r w:rsidRPr="00093ED1">
        <w:rPr>
          <w:rFonts w:eastAsia="Times New Roman" w:cs="Arial"/>
          <w:color w:val="000000"/>
          <w:lang w:val="en-US"/>
        </w:rPr>
        <w:t>AIIRA</w:t>
      </w:r>
      <w:r w:rsidRPr="00093ED1">
        <w:rPr>
          <w:rFonts w:eastAsia="Times New Roman" w:cs="Arial"/>
          <w:color w:val="000000"/>
          <w:lang w:val="ru-RU"/>
        </w:rPr>
        <w:t xml:space="preserve">) </w:t>
      </w:r>
      <w:r w:rsidRPr="00093ED1">
        <w:rPr>
          <w:rFonts w:eastAsia="Times New Roman" w:cs="Arial"/>
          <w:color w:val="000000"/>
          <w:lang w:eastAsia="bg-BG"/>
        </w:rPr>
        <w:t xml:space="preserve">по време на втория и третия триместър причинява фетотоксичност при хора (намалена бъбречна функция, олигохидрамнион, забавена осификация на черепа) и неонатална токсичност (бъбречна недостатъчност, хипотония, хиперкалиемия) (вж. също 5.3 „Предклинични данни за безопасност”). В случай на експозиция на АСЕ инхибитор през </w:t>
      </w:r>
      <w:r w:rsidRPr="00093ED1">
        <w:rPr>
          <w:rFonts w:eastAsia="Times New Roman" w:cs="Arial"/>
          <w:color w:val="000000"/>
          <w:lang w:eastAsia="bg-BG"/>
        </w:rPr>
        <w:lastRenderedPageBreak/>
        <w:t>втория триместър на бременността се препоръчва проверка на бъбречната функция и черепа чрез ултразвук Новородени, чиито майки са приемали АСЕ инхибитори, трябва да бъдат стриктно наблюдавани за хипотония, олигурия и хиперкалиемия (вж. също точки 4.3 и 4.4)</w:t>
      </w:r>
    </w:p>
    <w:p w14:paraId="1B4D1654" w14:textId="775E5B18" w:rsidR="00093ED1" w:rsidRDefault="00093ED1" w:rsidP="00093ED1">
      <w:pPr>
        <w:rPr>
          <w:rFonts w:eastAsia="Times New Roman" w:cs="Arial"/>
          <w:color w:val="000000"/>
          <w:lang w:eastAsia="bg-BG"/>
        </w:rPr>
      </w:pPr>
    </w:p>
    <w:p w14:paraId="63EB56F1" w14:textId="77777777" w:rsidR="00093ED1" w:rsidRPr="00093ED1" w:rsidRDefault="00093ED1" w:rsidP="00093ED1">
      <w:pPr>
        <w:rPr>
          <w:i/>
          <w:sz w:val="24"/>
          <w:szCs w:val="24"/>
        </w:rPr>
      </w:pPr>
      <w:r w:rsidRPr="00093ED1">
        <w:rPr>
          <w:i/>
          <w:lang w:eastAsia="bg-BG"/>
        </w:rPr>
        <w:t>Кърмене</w:t>
      </w:r>
    </w:p>
    <w:p w14:paraId="56735AB4" w14:textId="77777777" w:rsidR="00093ED1" w:rsidRPr="00093ED1" w:rsidRDefault="00093ED1" w:rsidP="00093ED1">
      <w:pPr>
        <w:rPr>
          <w:sz w:val="24"/>
          <w:szCs w:val="24"/>
        </w:rPr>
      </w:pPr>
      <w:r w:rsidRPr="00093ED1">
        <w:rPr>
          <w:lang w:eastAsia="bg-BG"/>
        </w:rPr>
        <w:t>Поради недостатъчна информация относно употребата на рамиприл по време на кърмене (вж. точка 5.2), не се препоръчва приллагането на Кардифренд, като за предпочитане е алтернативно лечение с по-добре установен профил на безопасност, особено при кърмене на новородено или недоносено кърмаче.</w:t>
      </w:r>
    </w:p>
    <w:p w14:paraId="15990032" w14:textId="226B8E99" w:rsidR="00093ED1" w:rsidRPr="00093ED1" w:rsidRDefault="00093ED1" w:rsidP="00093ED1"/>
    <w:p w14:paraId="064DF1DE" w14:textId="134A49F1" w:rsidR="00CF77F7" w:rsidRDefault="002C50EE" w:rsidP="004A448E">
      <w:pPr>
        <w:pStyle w:val="Heading2"/>
      </w:pPr>
      <w:r>
        <w:t>4.7. Ефекти върху способността за шофиране и работа с машини</w:t>
      </w:r>
    </w:p>
    <w:p w14:paraId="24036B88" w14:textId="32411719" w:rsidR="00093ED1" w:rsidRDefault="00093ED1" w:rsidP="00093ED1"/>
    <w:p w14:paraId="0DAA98DB" w14:textId="77777777" w:rsidR="00093ED1" w:rsidRPr="00093ED1" w:rsidRDefault="00093ED1" w:rsidP="00093ED1">
      <w:pPr>
        <w:rPr>
          <w:sz w:val="24"/>
          <w:szCs w:val="24"/>
        </w:rPr>
      </w:pPr>
      <w:r w:rsidRPr="00093ED1">
        <w:rPr>
          <w:lang w:eastAsia="bg-BG"/>
        </w:rPr>
        <w:t>Някои странични ефекти (напр. симптоми на понижаване на кръвното налягане, като замайване) могат да нарушат способността на пациента за концентрация и реакция, ето защо представлява риск в ситуации, при които тези способности са от особено значение (напр. шофиране и работа с машини).</w:t>
      </w:r>
    </w:p>
    <w:p w14:paraId="64B6CDF7" w14:textId="77777777" w:rsidR="00093ED1" w:rsidRPr="00093ED1" w:rsidRDefault="00093ED1" w:rsidP="00093ED1">
      <w:pPr>
        <w:rPr>
          <w:sz w:val="24"/>
          <w:szCs w:val="24"/>
        </w:rPr>
      </w:pPr>
      <w:r w:rsidRPr="00093ED1">
        <w:rPr>
          <w:lang w:eastAsia="bg-BG"/>
        </w:rPr>
        <w:t>Това може да се случи особено в началото на лечението или при преминаване от други препарати. След първата доза или последващо повишаване на дозата не е препоръчително шофиране или работа с машини за няколко часа.</w:t>
      </w:r>
    </w:p>
    <w:p w14:paraId="061FF9FE" w14:textId="77777777" w:rsidR="00093ED1" w:rsidRPr="00093ED1" w:rsidRDefault="00093ED1" w:rsidP="00093ED1"/>
    <w:p w14:paraId="37A3FD9F" w14:textId="540876B6" w:rsidR="00CF77F7" w:rsidRDefault="002C50EE" w:rsidP="004A448E">
      <w:pPr>
        <w:pStyle w:val="Heading2"/>
      </w:pPr>
      <w:r>
        <w:t>4.8. Нежелани лекарствени реакции</w:t>
      </w:r>
    </w:p>
    <w:p w14:paraId="63BF193A" w14:textId="3537C29A" w:rsidR="00093ED1" w:rsidRDefault="00093ED1" w:rsidP="00093ED1"/>
    <w:p w14:paraId="48AAAAC4" w14:textId="77777777" w:rsidR="00093ED1" w:rsidRPr="00093ED1" w:rsidRDefault="00093ED1" w:rsidP="00093ED1">
      <w:pPr>
        <w:rPr>
          <w:sz w:val="24"/>
          <w:szCs w:val="24"/>
        </w:rPr>
      </w:pPr>
      <w:r w:rsidRPr="00093ED1">
        <w:rPr>
          <w:lang w:eastAsia="bg-BG"/>
        </w:rPr>
        <w:t>Профилът на безопасност на рамиприл включва упорита суха кашлица и реакции, свързани с хипотония. Сериозните нежелани лекарствени реакции включват ангиоедем, хиперкалиемия, бъбречно или чернодробно увреждане, панкреатит, тежки кожни реакции и неутропения/ агранулоцитоза.</w:t>
      </w:r>
    </w:p>
    <w:p w14:paraId="5665EE27" w14:textId="77777777" w:rsidR="00093ED1" w:rsidRPr="00093ED1" w:rsidRDefault="00093ED1" w:rsidP="00093ED1">
      <w:pPr>
        <w:rPr>
          <w:sz w:val="24"/>
          <w:szCs w:val="24"/>
        </w:rPr>
      </w:pPr>
      <w:r w:rsidRPr="00093ED1">
        <w:rPr>
          <w:lang w:eastAsia="bg-BG"/>
        </w:rPr>
        <w:t>Честотата на нежеланите реакции се определя чрез използване на следната конвенция:</w:t>
      </w:r>
    </w:p>
    <w:p w14:paraId="1F6E3CEA" w14:textId="77777777" w:rsidR="00093ED1" w:rsidRPr="00093ED1" w:rsidRDefault="00093ED1" w:rsidP="00093ED1">
      <w:pPr>
        <w:rPr>
          <w:sz w:val="24"/>
          <w:szCs w:val="24"/>
        </w:rPr>
      </w:pPr>
      <w:r w:rsidRPr="00093ED1">
        <w:rPr>
          <w:lang w:eastAsia="bg-BG"/>
        </w:rPr>
        <w:t>Много чести (≥ 1/10); чести (≥ 1/10 000); нечести (≥ 1/1000 до &lt; 1/100); редки (≥ 1/10 000 до &lt; 1/1000); много редки (&lt; 1/10 000), с неизвестна честота (от наличните данни не може да бъде направена оценка).</w:t>
      </w:r>
    </w:p>
    <w:p w14:paraId="2C66FC36" w14:textId="77777777" w:rsidR="00093ED1" w:rsidRDefault="00093ED1" w:rsidP="00093ED1">
      <w:pPr>
        <w:rPr>
          <w:lang w:eastAsia="bg-BG"/>
        </w:rPr>
      </w:pPr>
    </w:p>
    <w:p w14:paraId="6323A251" w14:textId="6916D7F0" w:rsidR="00093ED1" w:rsidRPr="00093ED1" w:rsidRDefault="00093ED1" w:rsidP="00093ED1">
      <w:pPr>
        <w:rPr>
          <w:sz w:val="24"/>
          <w:szCs w:val="24"/>
        </w:rPr>
      </w:pPr>
      <w:r w:rsidRPr="00093ED1">
        <w:rPr>
          <w:lang w:eastAsia="bg-BG"/>
        </w:rPr>
        <w:t>При всяко групиране в зависимост от честотата нежеланите лекарствени реакции се изброяват в низходящ ред по отношение на тяхната сериозност.</w:t>
      </w:r>
    </w:p>
    <w:p w14:paraId="37316370" w14:textId="05E67E49" w:rsidR="00093ED1" w:rsidRDefault="00093ED1" w:rsidP="00093ED1"/>
    <w:tbl>
      <w:tblPr>
        <w:tblStyle w:val="TableGrid"/>
        <w:tblW w:w="0" w:type="auto"/>
        <w:tblLook w:val="04A0" w:firstRow="1" w:lastRow="0" w:firstColumn="1" w:lastColumn="0" w:noHBand="0" w:noVBand="1"/>
      </w:tblPr>
      <w:tblGrid>
        <w:gridCol w:w="1637"/>
        <w:gridCol w:w="1550"/>
        <w:gridCol w:w="1663"/>
        <w:gridCol w:w="1606"/>
        <w:gridCol w:w="1198"/>
        <w:gridCol w:w="1696"/>
      </w:tblGrid>
      <w:tr w:rsidR="00244CE7" w14:paraId="3D8EF526" w14:textId="77777777" w:rsidTr="00244CE7">
        <w:tc>
          <w:tcPr>
            <w:tcW w:w="1677" w:type="dxa"/>
          </w:tcPr>
          <w:p w14:paraId="2C85A44D" w14:textId="77777777" w:rsidR="00244CE7" w:rsidRPr="00244CE7" w:rsidRDefault="00244CE7" w:rsidP="00244CE7"/>
        </w:tc>
        <w:tc>
          <w:tcPr>
            <w:tcW w:w="1588" w:type="dxa"/>
          </w:tcPr>
          <w:p w14:paraId="1DFCF1BF" w14:textId="1A054BC0" w:rsidR="00244CE7" w:rsidRPr="00244CE7" w:rsidRDefault="00244CE7" w:rsidP="00244CE7">
            <w:r w:rsidRPr="00244CE7">
              <w:rPr>
                <w:b/>
                <w:bCs/>
                <w:i/>
                <w:iCs/>
              </w:rPr>
              <w:t>Чести</w:t>
            </w:r>
          </w:p>
        </w:tc>
        <w:tc>
          <w:tcPr>
            <w:tcW w:w="1703" w:type="dxa"/>
          </w:tcPr>
          <w:p w14:paraId="0BD2E2B7" w14:textId="5837B261" w:rsidR="00244CE7" w:rsidRPr="00244CE7" w:rsidRDefault="00244CE7" w:rsidP="00244CE7">
            <w:r w:rsidRPr="00244CE7">
              <w:rPr>
                <w:b/>
                <w:bCs/>
                <w:i/>
                <w:iCs/>
              </w:rPr>
              <w:t>Нечести</w:t>
            </w:r>
          </w:p>
        </w:tc>
        <w:tc>
          <w:tcPr>
            <w:tcW w:w="1645" w:type="dxa"/>
          </w:tcPr>
          <w:p w14:paraId="34502E0B" w14:textId="6BC324D4" w:rsidR="00244CE7" w:rsidRPr="00244CE7" w:rsidRDefault="00244CE7" w:rsidP="00244CE7">
            <w:r w:rsidRPr="00244CE7">
              <w:rPr>
                <w:b/>
                <w:bCs/>
                <w:i/>
                <w:iCs/>
              </w:rPr>
              <w:t>Редки</w:t>
            </w:r>
          </w:p>
        </w:tc>
        <w:tc>
          <w:tcPr>
            <w:tcW w:w="1226" w:type="dxa"/>
            <w:vAlign w:val="bottom"/>
          </w:tcPr>
          <w:p w14:paraId="0303323E" w14:textId="3868C0F1" w:rsidR="00244CE7" w:rsidRPr="00244CE7" w:rsidRDefault="00244CE7" w:rsidP="00244CE7">
            <w:r w:rsidRPr="00244CE7">
              <w:rPr>
                <w:b/>
                <w:bCs/>
                <w:i/>
                <w:iCs/>
              </w:rPr>
              <w:t>Много редки</w:t>
            </w:r>
          </w:p>
        </w:tc>
        <w:tc>
          <w:tcPr>
            <w:tcW w:w="1737" w:type="dxa"/>
            <w:vAlign w:val="bottom"/>
          </w:tcPr>
          <w:p w14:paraId="25BEB4FE" w14:textId="4DEF08E2" w:rsidR="00244CE7" w:rsidRPr="00244CE7" w:rsidRDefault="00244CE7" w:rsidP="00244CE7">
            <w:r>
              <w:rPr>
                <w:b/>
                <w:bCs/>
                <w:i/>
                <w:iCs/>
              </w:rPr>
              <w:t xml:space="preserve">С </w:t>
            </w:r>
            <w:r w:rsidRPr="00244CE7">
              <w:rPr>
                <w:b/>
                <w:bCs/>
                <w:i/>
                <w:iCs/>
              </w:rPr>
              <w:t>неизвестна</w:t>
            </w:r>
          </w:p>
          <w:p w14:paraId="2CAB2AA0" w14:textId="20324D24" w:rsidR="00244CE7" w:rsidRPr="00244CE7" w:rsidRDefault="00244CE7" w:rsidP="00244CE7">
            <w:r w:rsidRPr="00244CE7">
              <w:rPr>
                <w:b/>
                <w:bCs/>
                <w:i/>
                <w:iCs/>
              </w:rPr>
              <w:t>честота</w:t>
            </w:r>
          </w:p>
        </w:tc>
      </w:tr>
      <w:tr w:rsidR="00244CE7" w14:paraId="4607A6A3" w14:textId="77777777" w:rsidTr="00244CE7">
        <w:tc>
          <w:tcPr>
            <w:tcW w:w="1677" w:type="dxa"/>
          </w:tcPr>
          <w:p w14:paraId="305F860D" w14:textId="44C621E3" w:rsidR="00244CE7" w:rsidRPr="00244CE7" w:rsidRDefault="00244CE7" w:rsidP="00244CE7">
            <w:r w:rsidRPr="00244CE7">
              <w:rPr>
                <w:i/>
                <w:iCs/>
                <w:u w:val="single"/>
              </w:rPr>
              <w:t>Нарушения на кръвта и лимфната система</w:t>
            </w:r>
          </w:p>
        </w:tc>
        <w:tc>
          <w:tcPr>
            <w:tcW w:w="1588" w:type="dxa"/>
          </w:tcPr>
          <w:p w14:paraId="5BA672FE" w14:textId="77777777" w:rsidR="00244CE7" w:rsidRPr="00244CE7" w:rsidRDefault="00244CE7" w:rsidP="00244CE7"/>
        </w:tc>
        <w:tc>
          <w:tcPr>
            <w:tcW w:w="1703" w:type="dxa"/>
          </w:tcPr>
          <w:p w14:paraId="1B96650C" w14:textId="000EEA12" w:rsidR="00244CE7" w:rsidRPr="00244CE7" w:rsidRDefault="00244CE7" w:rsidP="00244CE7">
            <w:r w:rsidRPr="00244CE7">
              <w:t>Еозинофилия</w:t>
            </w:r>
          </w:p>
        </w:tc>
        <w:tc>
          <w:tcPr>
            <w:tcW w:w="1645" w:type="dxa"/>
            <w:vAlign w:val="bottom"/>
          </w:tcPr>
          <w:p w14:paraId="73AF50FA" w14:textId="57365788" w:rsidR="00244CE7" w:rsidRPr="00244CE7" w:rsidRDefault="00244CE7" w:rsidP="00244CE7">
            <w:r w:rsidRPr="00244CE7">
              <w:t xml:space="preserve">Понижен брой на белите кръвни клетки (включително неутропения или </w:t>
            </w:r>
            <w:r w:rsidRPr="00244CE7">
              <w:lastRenderedPageBreak/>
              <w:t>агрануло</w:t>
            </w:r>
            <w:r w:rsidRPr="00244CE7">
              <w:softHyphen/>
              <w:t>цитоза), понижен брой червени кръвни клетки, намален хемоглобин, намален брой тромбоцити</w:t>
            </w:r>
          </w:p>
        </w:tc>
        <w:tc>
          <w:tcPr>
            <w:tcW w:w="1226" w:type="dxa"/>
          </w:tcPr>
          <w:p w14:paraId="27C27BEF" w14:textId="77777777" w:rsidR="00244CE7" w:rsidRPr="00244CE7" w:rsidRDefault="00244CE7" w:rsidP="00244CE7"/>
        </w:tc>
        <w:tc>
          <w:tcPr>
            <w:tcW w:w="1737" w:type="dxa"/>
          </w:tcPr>
          <w:p w14:paraId="6B195610" w14:textId="5AC8CF94" w:rsidR="00244CE7" w:rsidRPr="00244CE7" w:rsidRDefault="00244CE7" w:rsidP="00244CE7">
            <w:r w:rsidRPr="00244CE7">
              <w:t>Костномозъчна супресия, панцитопения, хемолитична анемия</w:t>
            </w:r>
          </w:p>
        </w:tc>
      </w:tr>
      <w:tr w:rsidR="00244CE7" w14:paraId="298681C2" w14:textId="77777777" w:rsidTr="00244CE7">
        <w:tc>
          <w:tcPr>
            <w:tcW w:w="1677" w:type="dxa"/>
          </w:tcPr>
          <w:p w14:paraId="721C5E4F" w14:textId="15A490AB" w:rsidR="00244CE7" w:rsidRPr="00244CE7" w:rsidRDefault="00244CE7" w:rsidP="00244CE7">
            <w:pPr>
              <w:rPr>
                <w:i/>
                <w:iCs/>
                <w:u w:val="single"/>
              </w:rPr>
            </w:pPr>
            <w:r w:rsidRPr="00244CE7">
              <w:rPr>
                <w:i/>
                <w:iCs/>
              </w:rPr>
              <w:t>Нарушения на имунната система</w:t>
            </w:r>
          </w:p>
        </w:tc>
        <w:tc>
          <w:tcPr>
            <w:tcW w:w="1588" w:type="dxa"/>
          </w:tcPr>
          <w:p w14:paraId="455AE560" w14:textId="77777777" w:rsidR="00244CE7" w:rsidRPr="00244CE7" w:rsidRDefault="00244CE7" w:rsidP="00244CE7"/>
        </w:tc>
        <w:tc>
          <w:tcPr>
            <w:tcW w:w="1703" w:type="dxa"/>
          </w:tcPr>
          <w:p w14:paraId="4B1E6446" w14:textId="77777777" w:rsidR="00244CE7" w:rsidRPr="00244CE7" w:rsidRDefault="00244CE7" w:rsidP="00244CE7"/>
        </w:tc>
        <w:tc>
          <w:tcPr>
            <w:tcW w:w="1645" w:type="dxa"/>
          </w:tcPr>
          <w:p w14:paraId="67F9A772" w14:textId="77777777" w:rsidR="00244CE7" w:rsidRPr="00244CE7" w:rsidRDefault="00244CE7" w:rsidP="00244CE7"/>
        </w:tc>
        <w:tc>
          <w:tcPr>
            <w:tcW w:w="1226" w:type="dxa"/>
            <w:vAlign w:val="bottom"/>
          </w:tcPr>
          <w:p w14:paraId="6F99AE55" w14:textId="77777777" w:rsidR="00244CE7" w:rsidRPr="00244CE7" w:rsidRDefault="00244CE7" w:rsidP="00244CE7"/>
        </w:tc>
        <w:tc>
          <w:tcPr>
            <w:tcW w:w="1737" w:type="dxa"/>
          </w:tcPr>
          <w:p w14:paraId="654EB893" w14:textId="77777777" w:rsidR="00244CE7" w:rsidRPr="00244CE7" w:rsidRDefault="00244CE7" w:rsidP="00244CE7">
            <w:r w:rsidRPr="00244CE7">
              <w:t>Анафилактични или анафилактоидни реакции,</w:t>
            </w:r>
          </w:p>
          <w:p w14:paraId="180BD20C" w14:textId="77777777" w:rsidR="00244CE7" w:rsidRPr="00244CE7" w:rsidRDefault="00244CE7" w:rsidP="00244CE7">
            <w:r w:rsidRPr="00244CE7">
              <w:t>повишени</w:t>
            </w:r>
          </w:p>
          <w:p w14:paraId="75C1DE9F" w14:textId="0B55170B" w:rsidR="00244CE7" w:rsidRPr="00244CE7" w:rsidRDefault="00244CE7" w:rsidP="00244CE7">
            <w:r w:rsidRPr="00244CE7">
              <w:t>антинумлеарни</w:t>
            </w:r>
            <w:r w:rsidRPr="00C95F9A">
              <w:rPr>
                <w:lang w:val="ru-RU"/>
              </w:rPr>
              <w:t xml:space="preserve"> </w:t>
            </w:r>
            <w:r w:rsidRPr="00244CE7">
              <w:t>антитела</w:t>
            </w:r>
          </w:p>
        </w:tc>
      </w:tr>
      <w:tr w:rsidR="00244CE7" w14:paraId="56C8528E" w14:textId="77777777" w:rsidTr="00244CE7">
        <w:tc>
          <w:tcPr>
            <w:tcW w:w="1677" w:type="dxa"/>
          </w:tcPr>
          <w:p w14:paraId="2E909AC0" w14:textId="1BB74585" w:rsidR="00244CE7" w:rsidRPr="00244CE7" w:rsidRDefault="00244CE7" w:rsidP="00244CE7">
            <w:r w:rsidRPr="00244CE7">
              <w:rPr>
                <w:i/>
                <w:iCs/>
              </w:rPr>
              <w:t>Нарушения на ендокринната система</w:t>
            </w:r>
          </w:p>
        </w:tc>
        <w:tc>
          <w:tcPr>
            <w:tcW w:w="1588" w:type="dxa"/>
          </w:tcPr>
          <w:p w14:paraId="7C8D81ED" w14:textId="77777777" w:rsidR="00244CE7" w:rsidRPr="00244CE7" w:rsidRDefault="00244CE7" w:rsidP="00244CE7"/>
        </w:tc>
        <w:tc>
          <w:tcPr>
            <w:tcW w:w="1703" w:type="dxa"/>
          </w:tcPr>
          <w:p w14:paraId="5BBE5A8E" w14:textId="77777777" w:rsidR="00244CE7" w:rsidRPr="00244CE7" w:rsidRDefault="00244CE7" w:rsidP="00244CE7"/>
        </w:tc>
        <w:tc>
          <w:tcPr>
            <w:tcW w:w="1645" w:type="dxa"/>
          </w:tcPr>
          <w:p w14:paraId="30A4E45C" w14:textId="77777777" w:rsidR="00244CE7" w:rsidRPr="00244CE7" w:rsidRDefault="00244CE7" w:rsidP="00244CE7"/>
        </w:tc>
        <w:tc>
          <w:tcPr>
            <w:tcW w:w="1226" w:type="dxa"/>
          </w:tcPr>
          <w:p w14:paraId="40D9710B" w14:textId="77777777" w:rsidR="00244CE7" w:rsidRPr="00244CE7" w:rsidRDefault="00244CE7" w:rsidP="00244CE7"/>
        </w:tc>
        <w:tc>
          <w:tcPr>
            <w:tcW w:w="1737" w:type="dxa"/>
          </w:tcPr>
          <w:p w14:paraId="70D281BE" w14:textId="60F2BF87" w:rsidR="00244CE7" w:rsidRPr="00244CE7" w:rsidRDefault="00244CE7" w:rsidP="00244CE7">
            <w:r w:rsidRPr="00244CE7">
              <w:t xml:space="preserve">Синдром на нарушена секреция на антидиуретичен хормон </w:t>
            </w:r>
            <w:r w:rsidRPr="00244CE7">
              <w:rPr>
                <w:lang w:val="ru-RU"/>
              </w:rPr>
              <w:t>(</w:t>
            </w:r>
            <w:r w:rsidRPr="00244CE7">
              <w:rPr>
                <w:lang w:val="en-US"/>
              </w:rPr>
              <w:t>SIADH</w:t>
            </w:r>
            <w:r w:rsidRPr="00244CE7">
              <w:rPr>
                <w:lang w:val="ru-RU"/>
              </w:rPr>
              <w:t>)</w:t>
            </w:r>
          </w:p>
        </w:tc>
      </w:tr>
      <w:tr w:rsidR="00244CE7" w14:paraId="4A248D3D" w14:textId="77777777" w:rsidTr="00244CE7">
        <w:tc>
          <w:tcPr>
            <w:tcW w:w="1677" w:type="dxa"/>
            <w:vAlign w:val="bottom"/>
          </w:tcPr>
          <w:p w14:paraId="5E13E73A" w14:textId="5BAA916E" w:rsidR="00244CE7" w:rsidRPr="00244CE7" w:rsidRDefault="00244CE7" w:rsidP="00244CE7">
            <w:r w:rsidRPr="00244CE7">
              <w:rPr>
                <w:i/>
                <w:iCs/>
              </w:rPr>
              <w:t>Нарушения на метаболизма и храненето</w:t>
            </w:r>
          </w:p>
        </w:tc>
        <w:tc>
          <w:tcPr>
            <w:tcW w:w="1588" w:type="dxa"/>
            <w:vAlign w:val="bottom"/>
          </w:tcPr>
          <w:p w14:paraId="3C9A8D83" w14:textId="399A1EAD" w:rsidR="00244CE7" w:rsidRPr="00244CE7" w:rsidRDefault="00244CE7" w:rsidP="00244CE7">
            <w:r w:rsidRPr="00244CE7">
              <w:t>Увеличено съдържание на калий в кръвта</w:t>
            </w:r>
          </w:p>
        </w:tc>
        <w:tc>
          <w:tcPr>
            <w:tcW w:w="1703" w:type="dxa"/>
            <w:vAlign w:val="bottom"/>
          </w:tcPr>
          <w:p w14:paraId="1033B495" w14:textId="68979408" w:rsidR="00244CE7" w:rsidRPr="00244CE7" w:rsidRDefault="00244CE7" w:rsidP="00244CE7">
            <w:r w:rsidRPr="00244CE7">
              <w:t>Анорексия, намаляване на апетита</w:t>
            </w:r>
          </w:p>
        </w:tc>
        <w:tc>
          <w:tcPr>
            <w:tcW w:w="1645" w:type="dxa"/>
          </w:tcPr>
          <w:p w14:paraId="2AA37160" w14:textId="77777777" w:rsidR="00244CE7" w:rsidRPr="00244CE7" w:rsidRDefault="00244CE7" w:rsidP="00244CE7"/>
        </w:tc>
        <w:tc>
          <w:tcPr>
            <w:tcW w:w="1226" w:type="dxa"/>
          </w:tcPr>
          <w:p w14:paraId="5B414105" w14:textId="77777777" w:rsidR="00244CE7" w:rsidRPr="00244CE7" w:rsidRDefault="00244CE7" w:rsidP="00244CE7"/>
        </w:tc>
        <w:tc>
          <w:tcPr>
            <w:tcW w:w="1737" w:type="dxa"/>
            <w:vAlign w:val="bottom"/>
          </w:tcPr>
          <w:p w14:paraId="71685227" w14:textId="1A16F829" w:rsidR="00244CE7" w:rsidRPr="00244CE7" w:rsidRDefault="00244CE7" w:rsidP="00244CE7">
            <w:r w:rsidRPr="00244CE7">
              <w:t>Намалено съдържание на натрий в кръвта</w:t>
            </w:r>
          </w:p>
        </w:tc>
      </w:tr>
      <w:tr w:rsidR="00244CE7" w14:paraId="4BECC7B1" w14:textId="77777777" w:rsidTr="00244CE7">
        <w:tc>
          <w:tcPr>
            <w:tcW w:w="1677" w:type="dxa"/>
          </w:tcPr>
          <w:p w14:paraId="774B4CBA" w14:textId="7E3AFD08" w:rsidR="00244CE7" w:rsidRPr="00244CE7" w:rsidRDefault="00244CE7" w:rsidP="00244CE7">
            <w:r w:rsidRPr="00244CE7">
              <w:rPr>
                <w:i/>
                <w:iCs/>
              </w:rPr>
              <w:t>Психични нарушения</w:t>
            </w:r>
          </w:p>
        </w:tc>
        <w:tc>
          <w:tcPr>
            <w:tcW w:w="1588" w:type="dxa"/>
          </w:tcPr>
          <w:p w14:paraId="1ECB672B" w14:textId="77777777" w:rsidR="00244CE7" w:rsidRPr="00244CE7" w:rsidRDefault="00244CE7" w:rsidP="00244CE7"/>
        </w:tc>
        <w:tc>
          <w:tcPr>
            <w:tcW w:w="1703" w:type="dxa"/>
            <w:vAlign w:val="bottom"/>
          </w:tcPr>
          <w:p w14:paraId="7C41B02A" w14:textId="380A0854" w:rsidR="00244CE7" w:rsidRPr="00244CE7" w:rsidRDefault="00244CE7" w:rsidP="00244CE7">
            <w:r w:rsidRPr="00244CE7">
              <w:t>Депресивно настроение, тревожност, нервност, безпокойство, нарушение на съня, включително сънливост</w:t>
            </w:r>
          </w:p>
        </w:tc>
        <w:tc>
          <w:tcPr>
            <w:tcW w:w="1645" w:type="dxa"/>
          </w:tcPr>
          <w:p w14:paraId="7F102966" w14:textId="73EE520F" w:rsidR="00244CE7" w:rsidRPr="00244CE7" w:rsidRDefault="00244CE7" w:rsidP="00244CE7">
            <w:r w:rsidRPr="00244CE7">
              <w:t>Състояние на обърканост</w:t>
            </w:r>
          </w:p>
        </w:tc>
        <w:tc>
          <w:tcPr>
            <w:tcW w:w="1226" w:type="dxa"/>
          </w:tcPr>
          <w:p w14:paraId="2A112EDC" w14:textId="77777777" w:rsidR="00244CE7" w:rsidRPr="00244CE7" w:rsidRDefault="00244CE7" w:rsidP="00244CE7"/>
        </w:tc>
        <w:tc>
          <w:tcPr>
            <w:tcW w:w="1737" w:type="dxa"/>
          </w:tcPr>
          <w:p w14:paraId="703F6AB0" w14:textId="18CEF799" w:rsidR="00244CE7" w:rsidRPr="00244CE7" w:rsidRDefault="00244CE7" w:rsidP="00244CE7">
            <w:r w:rsidRPr="00244CE7">
              <w:t>Нарушение на вниманието</w:t>
            </w:r>
          </w:p>
        </w:tc>
      </w:tr>
      <w:tr w:rsidR="00244CE7" w14:paraId="79B3E4CF" w14:textId="77777777" w:rsidTr="00244CE7">
        <w:tc>
          <w:tcPr>
            <w:tcW w:w="1677" w:type="dxa"/>
          </w:tcPr>
          <w:p w14:paraId="55B59E8D" w14:textId="56FD5CA8" w:rsidR="00244CE7" w:rsidRPr="00244CE7" w:rsidRDefault="00244CE7" w:rsidP="00244CE7">
            <w:r w:rsidRPr="00244CE7">
              <w:rPr>
                <w:i/>
                <w:iCs/>
              </w:rPr>
              <w:t>Нарушения на нервната система</w:t>
            </w:r>
          </w:p>
        </w:tc>
        <w:tc>
          <w:tcPr>
            <w:tcW w:w="1588" w:type="dxa"/>
          </w:tcPr>
          <w:p w14:paraId="33906B7A" w14:textId="50D87C16" w:rsidR="00244CE7" w:rsidRPr="00244CE7" w:rsidRDefault="00244CE7" w:rsidP="00244CE7">
            <w:r w:rsidRPr="00244CE7">
              <w:t>Главоболие, замайване</w:t>
            </w:r>
          </w:p>
        </w:tc>
        <w:tc>
          <w:tcPr>
            <w:tcW w:w="1703" w:type="dxa"/>
          </w:tcPr>
          <w:p w14:paraId="46780282" w14:textId="1C1D36C7" w:rsidR="00244CE7" w:rsidRPr="00244CE7" w:rsidRDefault="00244CE7" w:rsidP="00244CE7">
            <w:r w:rsidRPr="00244CE7">
              <w:t>Световъртеж, парестезия, агезия, дисгезия</w:t>
            </w:r>
          </w:p>
        </w:tc>
        <w:tc>
          <w:tcPr>
            <w:tcW w:w="1645" w:type="dxa"/>
          </w:tcPr>
          <w:p w14:paraId="0505113E" w14:textId="27CB4184" w:rsidR="00244CE7" w:rsidRPr="00244CE7" w:rsidRDefault="00244CE7" w:rsidP="00244CE7">
            <w:r w:rsidRPr="00244CE7">
              <w:t>Тремор, нарушено равновесие</w:t>
            </w:r>
          </w:p>
        </w:tc>
        <w:tc>
          <w:tcPr>
            <w:tcW w:w="1226" w:type="dxa"/>
          </w:tcPr>
          <w:p w14:paraId="2E732D19" w14:textId="77777777" w:rsidR="00244CE7" w:rsidRPr="00244CE7" w:rsidRDefault="00244CE7" w:rsidP="00244CE7"/>
        </w:tc>
        <w:tc>
          <w:tcPr>
            <w:tcW w:w="1737" w:type="dxa"/>
          </w:tcPr>
          <w:p w14:paraId="1395ED0E" w14:textId="3B9D3AE5" w:rsidR="00244CE7" w:rsidRPr="00244CE7" w:rsidRDefault="00244CE7" w:rsidP="00244CE7">
            <w:r w:rsidRPr="00244CE7">
              <w:t xml:space="preserve">Мозъчна исхемия, включително исхемичен инсулт и транзиторна исхемична атака, </w:t>
            </w:r>
            <w:r w:rsidRPr="00244CE7">
              <w:lastRenderedPageBreak/>
              <w:t>психомоторни нарушения, усещане за парене, паросмия</w:t>
            </w:r>
          </w:p>
        </w:tc>
      </w:tr>
      <w:tr w:rsidR="00244CE7" w14:paraId="49855164" w14:textId="77777777" w:rsidTr="00244CE7">
        <w:tc>
          <w:tcPr>
            <w:tcW w:w="1677" w:type="dxa"/>
          </w:tcPr>
          <w:p w14:paraId="055DD848" w14:textId="0A4D531B" w:rsidR="00244CE7" w:rsidRPr="00244CE7" w:rsidRDefault="00244CE7" w:rsidP="00244CE7">
            <w:r w:rsidRPr="00244CE7">
              <w:rPr>
                <w:i/>
                <w:iCs/>
              </w:rPr>
              <w:lastRenderedPageBreak/>
              <w:t>Нарушения на очите</w:t>
            </w:r>
          </w:p>
        </w:tc>
        <w:tc>
          <w:tcPr>
            <w:tcW w:w="1588" w:type="dxa"/>
          </w:tcPr>
          <w:p w14:paraId="7C3EF807" w14:textId="77777777" w:rsidR="00244CE7" w:rsidRPr="00244CE7" w:rsidRDefault="00244CE7" w:rsidP="00244CE7"/>
        </w:tc>
        <w:tc>
          <w:tcPr>
            <w:tcW w:w="1703" w:type="dxa"/>
          </w:tcPr>
          <w:p w14:paraId="16BE1563" w14:textId="5379EA8E" w:rsidR="00244CE7" w:rsidRPr="00244CE7" w:rsidRDefault="00244CE7" w:rsidP="00244CE7">
            <w:r w:rsidRPr="00244CE7">
              <w:t>Зрителни смущения, включително замъглено виждане</w:t>
            </w:r>
          </w:p>
        </w:tc>
        <w:tc>
          <w:tcPr>
            <w:tcW w:w="1645" w:type="dxa"/>
          </w:tcPr>
          <w:p w14:paraId="15473FB9" w14:textId="072828D3" w:rsidR="00244CE7" w:rsidRPr="00244CE7" w:rsidRDefault="00244CE7" w:rsidP="00244CE7">
            <w:r w:rsidRPr="00244CE7">
              <w:t>Конюнктивит</w:t>
            </w:r>
          </w:p>
        </w:tc>
        <w:tc>
          <w:tcPr>
            <w:tcW w:w="1226" w:type="dxa"/>
          </w:tcPr>
          <w:p w14:paraId="69645DFE" w14:textId="77777777" w:rsidR="00244CE7" w:rsidRPr="00244CE7" w:rsidRDefault="00244CE7" w:rsidP="00244CE7"/>
        </w:tc>
        <w:tc>
          <w:tcPr>
            <w:tcW w:w="1737" w:type="dxa"/>
          </w:tcPr>
          <w:p w14:paraId="4A76C58B" w14:textId="77777777" w:rsidR="00244CE7" w:rsidRPr="00244CE7" w:rsidRDefault="00244CE7" w:rsidP="00244CE7"/>
        </w:tc>
      </w:tr>
      <w:tr w:rsidR="00244CE7" w14:paraId="1B2BB3EE" w14:textId="77777777" w:rsidTr="00244CE7">
        <w:tc>
          <w:tcPr>
            <w:tcW w:w="1677" w:type="dxa"/>
            <w:vAlign w:val="bottom"/>
          </w:tcPr>
          <w:p w14:paraId="1A9058C0" w14:textId="2AB2D4F6" w:rsidR="00244CE7" w:rsidRPr="00244CE7" w:rsidRDefault="00244CE7" w:rsidP="00244CE7">
            <w:r w:rsidRPr="00244CE7">
              <w:rPr>
                <w:i/>
                <w:iCs/>
              </w:rPr>
              <w:t>Нарушения на ухото и лабиринта</w:t>
            </w:r>
          </w:p>
        </w:tc>
        <w:tc>
          <w:tcPr>
            <w:tcW w:w="1588" w:type="dxa"/>
          </w:tcPr>
          <w:p w14:paraId="2EA9750C" w14:textId="77777777" w:rsidR="00244CE7" w:rsidRPr="00244CE7" w:rsidRDefault="00244CE7" w:rsidP="00244CE7"/>
        </w:tc>
        <w:tc>
          <w:tcPr>
            <w:tcW w:w="1703" w:type="dxa"/>
          </w:tcPr>
          <w:p w14:paraId="35FC2926" w14:textId="77777777" w:rsidR="00244CE7" w:rsidRPr="00244CE7" w:rsidRDefault="00244CE7" w:rsidP="00244CE7"/>
        </w:tc>
        <w:tc>
          <w:tcPr>
            <w:tcW w:w="1645" w:type="dxa"/>
          </w:tcPr>
          <w:p w14:paraId="25C35DD7" w14:textId="29A09E96" w:rsidR="00244CE7" w:rsidRPr="00244CE7" w:rsidRDefault="00244CE7" w:rsidP="00244CE7">
            <w:r w:rsidRPr="00244CE7">
              <w:t>Увреждане на слуха, тинитус</w:t>
            </w:r>
          </w:p>
        </w:tc>
        <w:tc>
          <w:tcPr>
            <w:tcW w:w="1226" w:type="dxa"/>
          </w:tcPr>
          <w:p w14:paraId="52F3BC13" w14:textId="77777777" w:rsidR="00244CE7" w:rsidRPr="00244CE7" w:rsidRDefault="00244CE7" w:rsidP="00244CE7"/>
        </w:tc>
        <w:tc>
          <w:tcPr>
            <w:tcW w:w="1737" w:type="dxa"/>
          </w:tcPr>
          <w:p w14:paraId="6B82FCDE" w14:textId="77777777" w:rsidR="00244CE7" w:rsidRPr="00244CE7" w:rsidRDefault="00244CE7" w:rsidP="00244CE7"/>
        </w:tc>
      </w:tr>
      <w:tr w:rsidR="00244CE7" w14:paraId="3E7078FF" w14:textId="77777777" w:rsidTr="00244CE7">
        <w:tc>
          <w:tcPr>
            <w:tcW w:w="1677" w:type="dxa"/>
          </w:tcPr>
          <w:p w14:paraId="76A27EDC" w14:textId="11F0A355" w:rsidR="00244CE7" w:rsidRPr="00244CE7" w:rsidRDefault="00244CE7" w:rsidP="00244CE7">
            <w:r w:rsidRPr="00244CE7">
              <w:rPr>
                <w:i/>
                <w:iCs/>
                <w:u w:val="single"/>
              </w:rPr>
              <w:t>Сърдечни нарушения</w:t>
            </w:r>
          </w:p>
        </w:tc>
        <w:tc>
          <w:tcPr>
            <w:tcW w:w="1588" w:type="dxa"/>
          </w:tcPr>
          <w:p w14:paraId="52E9B01D" w14:textId="77777777" w:rsidR="00244CE7" w:rsidRPr="00244CE7" w:rsidRDefault="00244CE7" w:rsidP="00244CE7"/>
        </w:tc>
        <w:tc>
          <w:tcPr>
            <w:tcW w:w="1703" w:type="dxa"/>
            <w:vAlign w:val="bottom"/>
          </w:tcPr>
          <w:p w14:paraId="6A161B7B" w14:textId="57B6A841" w:rsidR="00244CE7" w:rsidRPr="00244CE7" w:rsidRDefault="00244CE7" w:rsidP="00244CE7">
            <w:r w:rsidRPr="00244CE7">
              <w:t>Миокардна исхемия, включително ангина пекторис или миокарден инфаркт, тахикардия, аритмия, палпитации, периферен едем</w:t>
            </w:r>
          </w:p>
        </w:tc>
        <w:tc>
          <w:tcPr>
            <w:tcW w:w="1645" w:type="dxa"/>
          </w:tcPr>
          <w:p w14:paraId="6D291A71" w14:textId="77777777" w:rsidR="00244CE7" w:rsidRPr="00244CE7" w:rsidRDefault="00244CE7" w:rsidP="00244CE7"/>
        </w:tc>
        <w:tc>
          <w:tcPr>
            <w:tcW w:w="1226" w:type="dxa"/>
            <w:vAlign w:val="center"/>
          </w:tcPr>
          <w:p w14:paraId="5CE85C4E" w14:textId="77777777" w:rsidR="00244CE7" w:rsidRPr="00244CE7" w:rsidRDefault="00244CE7" w:rsidP="00244CE7"/>
        </w:tc>
        <w:tc>
          <w:tcPr>
            <w:tcW w:w="1737" w:type="dxa"/>
          </w:tcPr>
          <w:p w14:paraId="592A14E5" w14:textId="77777777" w:rsidR="00244CE7" w:rsidRPr="00244CE7" w:rsidRDefault="00244CE7" w:rsidP="00244CE7"/>
        </w:tc>
      </w:tr>
      <w:tr w:rsidR="00244CE7" w14:paraId="6062FA39" w14:textId="77777777" w:rsidTr="00244CE7">
        <w:tc>
          <w:tcPr>
            <w:tcW w:w="1677" w:type="dxa"/>
          </w:tcPr>
          <w:p w14:paraId="7BDEA660" w14:textId="15619E2E" w:rsidR="00244CE7" w:rsidRPr="00244CE7" w:rsidRDefault="00244CE7" w:rsidP="00244CE7">
            <w:r w:rsidRPr="00244CE7">
              <w:rPr>
                <w:i/>
                <w:iCs/>
              </w:rPr>
              <w:t>Съдови нарушения</w:t>
            </w:r>
          </w:p>
        </w:tc>
        <w:tc>
          <w:tcPr>
            <w:tcW w:w="1588" w:type="dxa"/>
          </w:tcPr>
          <w:p w14:paraId="27A1A59D" w14:textId="5CFE1902" w:rsidR="00244CE7" w:rsidRPr="00244CE7" w:rsidRDefault="00244CE7" w:rsidP="00244CE7">
            <w:r w:rsidRPr="00244CE7">
              <w:t>Хипотония, оргосгатично намалено кръвно налягане, синкоп</w:t>
            </w:r>
          </w:p>
        </w:tc>
        <w:tc>
          <w:tcPr>
            <w:tcW w:w="1703" w:type="dxa"/>
          </w:tcPr>
          <w:p w14:paraId="7F5B51DF" w14:textId="1B125AD0" w:rsidR="00244CE7" w:rsidRPr="00244CE7" w:rsidRDefault="00244CE7" w:rsidP="00244CE7">
            <w:r w:rsidRPr="00244CE7">
              <w:t>Зачервяване</w:t>
            </w:r>
          </w:p>
        </w:tc>
        <w:tc>
          <w:tcPr>
            <w:tcW w:w="1645" w:type="dxa"/>
          </w:tcPr>
          <w:p w14:paraId="6D60D00B" w14:textId="2A32A56C" w:rsidR="00244CE7" w:rsidRPr="00244CE7" w:rsidRDefault="00244CE7" w:rsidP="00244CE7">
            <w:r w:rsidRPr="00244CE7">
              <w:t>Съдова стеноза, хипоперфузия, васкулит</w:t>
            </w:r>
          </w:p>
        </w:tc>
        <w:tc>
          <w:tcPr>
            <w:tcW w:w="1226" w:type="dxa"/>
            <w:vAlign w:val="bottom"/>
          </w:tcPr>
          <w:p w14:paraId="361A35E6" w14:textId="77777777" w:rsidR="00244CE7" w:rsidRPr="00244CE7" w:rsidRDefault="00244CE7" w:rsidP="00244CE7"/>
        </w:tc>
        <w:tc>
          <w:tcPr>
            <w:tcW w:w="1737" w:type="dxa"/>
          </w:tcPr>
          <w:p w14:paraId="269294CB" w14:textId="7400DB20" w:rsidR="00244CE7" w:rsidRPr="00244CE7" w:rsidRDefault="00244CE7" w:rsidP="00244CE7">
            <w:r w:rsidRPr="00244CE7">
              <w:t>Синдром на Рейно</w:t>
            </w:r>
          </w:p>
        </w:tc>
      </w:tr>
      <w:tr w:rsidR="00244CE7" w14:paraId="0777C77A" w14:textId="77777777" w:rsidTr="00244CE7">
        <w:tc>
          <w:tcPr>
            <w:tcW w:w="1677" w:type="dxa"/>
          </w:tcPr>
          <w:p w14:paraId="50264BAD" w14:textId="4E8C866E" w:rsidR="00244CE7" w:rsidRPr="00244CE7" w:rsidRDefault="00244CE7" w:rsidP="00244CE7">
            <w:r w:rsidRPr="00244CE7">
              <w:rPr>
                <w:i/>
                <w:iCs/>
              </w:rPr>
              <w:t>Респираторни, гръдни и медиастинални нарушения</w:t>
            </w:r>
          </w:p>
        </w:tc>
        <w:tc>
          <w:tcPr>
            <w:tcW w:w="1588" w:type="dxa"/>
            <w:vAlign w:val="bottom"/>
          </w:tcPr>
          <w:p w14:paraId="6832060F" w14:textId="000E0288" w:rsidR="00244CE7" w:rsidRPr="00244CE7" w:rsidRDefault="00244CE7" w:rsidP="00244CE7">
            <w:r w:rsidRPr="00244CE7">
              <w:t>Непродуктивна дразнеща кашлица, бронхит, синузит, диспнея</w:t>
            </w:r>
          </w:p>
        </w:tc>
        <w:tc>
          <w:tcPr>
            <w:tcW w:w="1703" w:type="dxa"/>
          </w:tcPr>
          <w:p w14:paraId="621F61F6" w14:textId="3483C358" w:rsidR="00244CE7" w:rsidRPr="00244CE7" w:rsidRDefault="00244CE7" w:rsidP="00244CE7">
            <w:r w:rsidRPr="00244CE7">
              <w:t>Бронхоспазъм, включително обострена астма, запушен нос</w:t>
            </w:r>
          </w:p>
        </w:tc>
        <w:tc>
          <w:tcPr>
            <w:tcW w:w="1645" w:type="dxa"/>
          </w:tcPr>
          <w:p w14:paraId="68FE0583" w14:textId="77777777" w:rsidR="00244CE7" w:rsidRPr="00244CE7" w:rsidRDefault="00244CE7" w:rsidP="00244CE7"/>
        </w:tc>
        <w:tc>
          <w:tcPr>
            <w:tcW w:w="1226" w:type="dxa"/>
          </w:tcPr>
          <w:p w14:paraId="7426690C" w14:textId="77777777" w:rsidR="00244CE7" w:rsidRPr="00244CE7" w:rsidRDefault="00244CE7" w:rsidP="00244CE7"/>
        </w:tc>
        <w:tc>
          <w:tcPr>
            <w:tcW w:w="1737" w:type="dxa"/>
          </w:tcPr>
          <w:p w14:paraId="0098F83C" w14:textId="77777777" w:rsidR="00244CE7" w:rsidRPr="00244CE7" w:rsidRDefault="00244CE7" w:rsidP="00244CE7"/>
        </w:tc>
      </w:tr>
      <w:tr w:rsidR="00244CE7" w14:paraId="65130A07" w14:textId="77777777" w:rsidTr="00244CE7">
        <w:tc>
          <w:tcPr>
            <w:tcW w:w="1677" w:type="dxa"/>
          </w:tcPr>
          <w:p w14:paraId="192C5736" w14:textId="3DE9D9B1" w:rsidR="00244CE7" w:rsidRPr="00244CE7" w:rsidRDefault="00244CE7" w:rsidP="00244CE7">
            <w:r w:rsidRPr="00244CE7">
              <w:rPr>
                <w:i/>
                <w:iCs/>
              </w:rPr>
              <w:t>Стомашно- чревни нарушения</w:t>
            </w:r>
          </w:p>
        </w:tc>
        <w:tc>
          <w:tcPr>
            <w:tcW w:w="1588" w:type="dxa"/>
          </w:tcPr>
          <w:p w14:paraId="551A60F6" w14:textId="4F5130CB" w:rsidR="00244CE7" w:rsidRPr="00244CE7" w:rsidRDefault="00244CE7" w:rsidP="00244CE7">
            <w:r w:rsidRPr="00244CE7">
              <w:t>Стомашно- чревно възпаление, храносмила</w:t>
            </w:r>
            <w:r w:rsidRPr="00244CE7">
              <w:softHyphen/>
              <w:t xml:space="preserve">телни смущения, коремен дискомфорт, диспепсия, диария, </w:t>
            </w:r>
            <w:r w:rsidRPr="00244CE7">
              <w:lastRenderedPageBreak/>
              <w:t>гадене, повръщане</w:t>
            </w:r>
          </w:p>
        </w:tc>
        <w:tc>
          <w:tcPr>
            <w:tcW w:w="1703" w:type="dxa"/>
            <w:vAlign w:val="bottom"/>
          </w:tcPr>
          <w:p w14:paraId="7006913F" w14:textId="78C9BF3F" w:rsidR="00244CE7" w:rsidRPr="00244CE7" w:rsidRDefault="00244CE7" w:rsidP="00244CE7">
            <w:r w:rsidRPr="00244CE7">
              <w:lastRenderedPageBreak/>
              <w:t xml:space="preserve">Панкреатит (случаи с фатален изход са съобщавани изключително рядко при лечение с АСЕ инхибитори), </w:t>
            </w:r>
            <w:r w:rsidRPr="00244CE7">
              <w:lastRenderedPageBreak/>
              <w:t>повишаване на панкреасните ензими, ангиоедем на тънкото черво, болка в горната част на корема, запек, сухота в устата</w:t>
            </w:r>
          </w:p>
        </w:tc>
        <w:tc>
          <w:tcPr>
            <w:tcW w:w="1645" w:type="dxa"/>
          </w:tcPr>
          <w:p w14:paraId="46FF182B" w14:textId="6EBADC7A" w:rsidR="00244CE7" w:rsidRPr="00244CE7" w:rsidRDefault="00244CE7" w:rsidP="00244CE7">
            <w:r w:rsidRPr="00244CE7">
              <w:lastRenderedPageBreak/>
              <w:t>Глосит</w:t>
            </w:r>
          </w:p>
        </w:tc>
        <w:tc>
          <w:tcPr>
            <w:tcW w:w="1226" w:type="dxa"/>
          </w:tcPr>
          <w:p w14:paraId="434F143F" w14:textId="77777777" w:rsidR="00244CE7" w:rsidRPr="00244CE7" w:rsidRDefault="00244CE7" w:rsidP="00244CE7"/>
        </w:tc>
        <w:tc>
          <w:tcPr>
            <w:tcW w:w="1737" w:type="dxa"/>
          </w:tcPr>
          <w:p w14:paraId="4BC87A92" w14:textId="11A9399F" w:rsidR="00244CE7" w:rsidRPr="00244CE7" w:rsidRDefault="00244CE7" w:rsidP="00244CE7">
            <w:r w:rsidRPr="00244CE7">
              <w:t>Афтозен стоматит</w:t>
            </w:r>
          </w:p>
        </w:tc>
      </w:tr>
      <w:tr w:rsidR="00244CE7" w14:paraId="5AA5FFC9" w14:textId="77777777" w:rsidTr="00244CE7">
        <w:tc>
          <w:tcPr>
            <w:tcW w:w="1677" w:type="dxa"/>
          </w:tcPr>
          <w:p w14:paraId="2674AA54" w14:textId="241441A2" w:rsidR="00244CE7" w:rsidRPr="00244CE7" w:rsidRDefault="00244CE7" w:rsidP="00244CE7">
            <w:r w:rsidRPr="00244CE7">
              <w:rPr>
                <w:i/>
                <w:iCs/>
              </w:rPr>
              <w:t>Хепато- билиарни нарушения</w:t>
            </w:r>
          </w:p>
        </w:tc>
        <w:tc>
          <w:tcPr>
            <w:tcW w:w="1588" w:type="dxa"/>
          </w:tcPr>
          <w:p w14:paraId="64B70EB0" w14:textId="77777777" w:rsidR="00244CE7" w:rsidRPr="00244CE7" w:rsidRDefault="00244CE7" w:rsidP="00244CE7"/>
        </w:tc>
        <w:tc>
          <w:tcPr>
            <w:tcW w:w="1703" w:type="dxa"/>
          </w:tcPr>
          <w:p w14:paraId="5DBB5C4A" w14:textId="3826B885" w:rsidR="00244CE7" w:rsidRPr="00244CE7" w:rsidRDefault="00244CE7" w:rsidP="00244CE7">
            <w:r w:rsidRPr="00244CE7">
              <w:t>Повишени нива на чернодробните ензими и/или конюгирания билирубин</w:t>
            </w:r>
          </w:p>
        </w:tc>
        <w:tc>
          <w:tcPr>
            <w:tcW w:w="1645" w:type="dxa"/>
          </w:tcPr>
          <w:p w14:paraId="77D0615D" w14:textId="4081A9E5" w:rsidR="00244CE7" w:rsidRPr="00244CE7" w:rsidRDefault="00244CE7" w:rsidP="00244CE7">
            <w:r w:rsidRPr="00244CE7">
              <w:t>Жълтеница, холестатично хепатоцелулар- но увреждане</w:t>
            </w:r>
          </w:p>
        </w:tc>
        <w:tc>
          <w:tcPr>
            <w:tcW w:w="1226" w:type="dxa"/>
          </w:tcPr>
          <w:p w14:paraId="10342EDD" w14:textId="77777777" w:rsidR="00244CE7" w:rsidRPr="00244CE7" w:rsidRDefault="00244CE7" w:rsidP="00244CE7"/>
        </w:tc>
        <w:tc>
          <w:tcPr>
            <w:tcW w:w="1737" w:type="dxa"/>
            <w:vAlign w:val="bottom"/>
          </w:tcPr>
          <w:p w14:paraId="3CF69459" w14:textId="495F9F64" w:rsidR="00244CE7" w:rsidRPr="00244CE7" w:rsidRDefault="00244CE7" w:rsidP="00244CE7">
            <w:r w:rsidRPr="00244CE7">
              <w:t>Остра чернодробна недостатъчност, холестатичен или цитолитичен хепатит (изключително рядко с фатален изход).</w:t>
            </w:r>
          </w:p>
        </w:tc>
      </w:tr>
      <w:tr w:rsidR="00244CE7" w14:paraId="14647C19" w14:textId="77777777" w:rsidTr="00244CE7">
        <w:tc>
          <w:tcPr>
            <w:tcW w:w="1677" w:type="dxa"/>
          </w:tcPr>
          <w:p w14:paraId="2D52999D" w14:textId="53B03FBE" w:rsidR="00244CE7" w:rsidRPr="00244CE7" w:rsidRDefault="00244CE7" w:rsidP="00244CE7">
            <w:r w:rsidRPr="00244CE7">
              <w:rPr>
                <w:i/>
                <w:iCs/>
              </w:rPr>
              <w:t>Нарушения на кожата и подкожната тъкан</w:t>
            </w:r>
          </w:p>
        </w:tc>
        <w:tc>
          <w:tcPr>
            <w:tcW w:w="1588" w:type="dxa"/>
          </w:tcPr>
          <w:p w14:paraId="54DBDC79" w14:textId="2845857A" w:rsidR="00244CE7" w:rsidRPr="00244CE7" w:rsidRDefault="00244CE7" w:rsidP="00244CE7">
            <w:r w:rsidRPr="00244CE7">
              <w:t>Обрив обикновено макуло- папулозен</w:t>
            </w:r>
          </w:p>
        </w:tc>
        <w:tc>
          <w:tcPr>
            <w:tcW w:w="1703" w:type="dxa"/>
          </w:tcPr>
          <w:p w14:paraId="11A5EFE4" w14:textId="0E1E53B1" w:rsidR="00244CE7" w:rsidRPr="00244CE7" w:rsidRDefault="00244CE7" w:rsidP="00244CE7">
            <w:r w:rsidRPr="00244CE7">
              <w:t>Ангиоедем; изключително рядко обструкция на въздухоносните пътища в резултат от ангиоедем може да има фатален изход;сърбеж, хиперхидроза</w:t>
            </w:r>
          </w:p>
        </w:tc>
        <w:tc>
          <w:tcPr>
            <w:tcW w:w="1645" w:type="dxa"/>
          </w:tcPr>
          <w:p w14:paraId="25F0C0D1" w14:textId="3C7D73E2" w:rsidR="00244CE7" w:rsidRPr="00244CE7" w:rsidRDefault="00244CE7" w:rsidP="00244CE7">
            <w:r w:rsidRPr="00244CE7">
              <w:t>Ексфолиативен дерматит, уртикария, онихолиза</w:t>
            </w:r>
          </w:p>
        </w:tc>
        <w:tc>
          <w:tcPr>
            <w:tcW w:w="1226" w:type="dxa"/>
          </w:tcPr>
          <w:p w14:paraId="2021D43D" w14:textId="33D382FD" w:rsidR="00244CE7" w:rsidRPr="00244CE7" w:rsidRDefault="00244CE7" w:rsidP="00244CE7">
            <w:r w:rsidRPr="00244CE7">
              <w:t>Реакция на фоточувст- вителност</w:t>
            </w:r>
          </w:p>
        </w:tc>
        <w:tc>
          <w:tcPr>
            <w:tcW w:w="1737" w:type="dxa"/>
            <w:vAlign w:val="bottom"/>
          </w:tcPr>
          <w:p w14:paraId="4CD7F87C" w14:textId="5454EE3D" w:rsidR="00244CE7" w:rsidRPr="00244CE7" w:rsidRDefault="00244CE7" w:rsidP="00244CE7">
            <w:r w:rsidRPr="00244CE7">
              <w:t xml:space="preserve">Токсична епидермална некролиза, синдром на </w:t>
            </w:r>
            <w:r w:rsidRPr="00244CE7">
              <w:rPr>
                <w:lang w:val="en-US"/>
              </w:rPr>
              <w:t>Stevens</w:t>
            </w:r>
            <w:r w:rsidRPr="00244CE7">
              <w:t>-</w:t>
            </w:r>
            <w:r w:rsidRPr="00244CE7">
              <w:rPr>
                <w:lang w:val="en-US"/>
              </w:rPr>
              <w:t>Johnson</w:t>
            </w:r>
            <w:r w:rsidRPr="00244CE7">
              <w:t>, еритема мултиформе, пемфитус, обострен псориазис, псориатичен дерматит, пемфигоиден или лихеноиден екзантем или енантем, алопеция</w:t>
            </w:r>
          </w:p>
        </w:tc>
      </w:tr>
      <w:tr w:rsidR="00244CE7" w14:paraId="261EDD79" w14:textId="77777777" w:rsidTr="00244CE7">
        <w:tc>
          <w:tcPr>
            <w:tcW w:w="1677" w:type="dxa"/>
            <w:vAlign w:val="bottom"/>
          </w:tcPr>
          <w:p w14:paraId="6DF996C2" w14:textId="59447B31" w:rsidR="00244CE7" w:rsidRPr="00244CE7" w:rsidRDefault="00244CE7" w:rsidP="00244CE7">
            <w:r w:rsidRPr="00244CE7">
              <w:rPr>
                <w:i/>
                <w:iCs/>
              </w:rPr>
              <w:t xml:space="preserve">Нарушения на мускулно- скелетната система и </w:t>
            </w:r>
            <w:r w:rsidRPr="00244CE7">
              <w:rPr>
                <w:i/>
                <w:iCs/>
              </w:rPr>
              <w:lastRenderedPageBreak/>
              <w:t>съединителна</w:t>
            </w:r>
            <w:r w:rsidRPr="00244CE7">
              <w:rPr>
                <w:i/>
                <w:iCs/>
              </w:rPr>
              <w:softHyphen/>
              <w:t>та тъкан</w:t>
            </w:r>
          </w:p>
        </w:tc>
        <w:tc>
          <w:tcPr>
            <w:tcW w:w="1588" w:type="dxa"/>
          </w:tcPr>
          <w:p w14:paraId="1B197BDA" w14:textId="3336E942" w:rsidR="00244CE7" w:rsidRPr="00244CE7" w:rsidRDefault="00244CE7" w:rsidP="00244CE7">
            <w:r w:rsidRPr="00244CE7">
              <w:lastRenderedPageBreak/>
              <w:t>Мускулни спазми, миалгия</w:t>
            </w:r>
          </w:p>
        </w:tc>
        <w:tc>
          <w:tcPr>
            <w:tcW w:w="1703" w:type="dxa"/>
          </w:tcPr>
          <w:p w14:paraId="3BB118E9" w14:textId="5C9F5660" w:rsidR="00244CE7" w:rsidRPr="00244CE7" w:rsidRDefault="00244CE7" w:rsidP="00244CE7">
            <w:r w:rsidRPr="00244CE7">
              <w:t>Артралгия</w:t>
            </w:r>
          </w:p>
        </w:tc>
        <w:tc>
          <w:tcPr>
            <w:tcW w:w="1645" w:type="dxa"/>
          </w:tcPr>
          <w:p w14:paraId="14157DC3" w14:textId="77777777" w:rsidR="00244CE7" w:rsidRPr="00244CE7" w:rsidRDefault="00244CE7" w:rsidP="00244CE7"/>
        </w:tc>
        <w:tc>
          <w:tcPr>
            <w:tcW w:w="1226" w:type="dxa"/>
            <w:vAlign w:val="bottom"/>
          </w:tcPr>
          <w:p w14:paraId="17865086" w14:textId="77777777" w:rsidR="00244CE7" w:rsidRPr="00244CE7" w:rsidRDefault="00244CE7" w:rsidP="00244CE7"/>
        </w:tc>
        <w:tc>
          <w:tcPr>
            <w:tcW w:w="1737" w:type="dxa"/>
            <w:vAlign w:val="bottom"/>
          </w:tcPr>
          <w:p w14:paraId="16CBDE61" w14:textId="77777777" w:rsidR="00244CE7" w:rsidRPr="00244CE7" w:rsidRDefault="00244CE7" w:rsidP="00244CE7"/>
        </w:tc>
      </w:tr>
      <w:tr w:rsidR="00244CE7" w14:paraId="26A5F6CD" w14:textId="77777777" w:rsidTr="00244CE7">
        <w:tc>
          <w:tcPr>
            <w:tcW w:w="1677" w:type="dxa"/>
          </w:tcPr>
          <w:p w14:paraId="09232135" w14:textId="234D8843" w:rsidR="00244CE7" w:rsidRPr="00244CE7" w:rsidRDefault="00244CE7" w:rsidP="00244CE7">
            <w:r w:rsidRPr="00244CE7">
              <w:rPr>
                <w:i/>
                <w:iCs/>
              </w:rPr>
              <w:t>Нарушения на бъбреците и пикочните пътища</w:t>
            </w:r>
          </w:p>
        </w:tc>
        <w:tc>
          <w:tcPr>
            <w:tcW w:w="1588" w:type="dxa"/>
          </w:tcPr>
          <w:p w14:paraId="23BDB537" w14:textId="77777777" w:rsidR="00244CE7" w:rsidRPr="00244CE7" w:rsidRDefault="00244CE7" w:rsidP="00244CE7"/>
        </w:tc>
        <w:tc>
          <w:tcPr>
            <w:tcW w:w="1703" w:type="dxa"/>
          </w:tcPr>
          <w:p w14:paraId="3FDDB2FB" w14:textId="70714343" w:rsidR="00244CE7" w:rsidRPr="00244CE7" w:rsidRDefault="00244CE7" w:rsidP="00244CE7">
            <w:r w:rsidRPr="00244CE7">
              <w:t>Бъбречно увреждане, включително остра бъбречна недостатъчност, полиурия, влошаване на съществуваща протеинурия, повишена урея в кръвта, повишен креатинин в кръвта</w:t>
            </w:r>
          </w:p>
        </w:tc>
        <w:tc>
          <w:tcPr>
            <w:tcW w:w="1645" w:type="dxa"/>
          </w:tcPr>
          <w:p w14:paraId="37282345" w14:textId="77777777" w:rsidR="00244CE7" w:rsidRPr="00244CE7" w:rsidRDefault="00244CE7" w:rsidP="00244CE7"/>
        </w:tc>
        <w:tc>
          <w:tcPr>
            <w:tcW w:w="1226" w:type="dxa"/>
          </w:tcPr>
          <w:p w14:paraId="19DDF0F9" w14:textId="77777777" w:rsidR="00244CE7" w:rsidRPr="00244CE7" w:rsidRDefault="00244CE7" w:rsidP="00244CE7"/>
        </w:tc>
        <w:tc>
          <w:tcPr>
            <w:tcW w:w="1737" w:type="dxa"/>
          </w:tcPr>
          <w:p w14:paraId="7272514D" w14:textId="77777777" w:rsidR="00244CE7" w:rsidRPr="00244CE7" w:rsidRDefault="00244CE7" w:rsidP="00244CE7"/>
        </w:tc>
      </w:tr>
      <w:tr w:rsidR="00244CE7" w14:paraId="072F76CB" w14:textId="77777777" w:rsidTr="00244CE7">
        <w:tc>
          <w:tcPr>
            <w:tcW w:w="1677" w:type="dxa"/>
          </w:tcPr>
          <w:p w14:paraId="47F9EBD1" w14:textId="442E41C6" w:rsidR="00244CE7" w:rsidRPr="00244CE7" w:rsidRDefault="00244CE7" w:rsidP="00244CE7">
            <w:r w:rsidRPr="00244CE7">
              <w:rPr>
                <w:i/>
                <w:iCs/>
              </w:rPr>
              <w:t>Нарушения на възпроизводи</w:t>
            </w:r>
            <w:r w:rsidRPr="00244CE7">
              <w:rPr>
                <w:i/>
                <w:iCs/>
              </w:rPr>
              <w:softHyphen/>
              <w:t>телната система и гърдата</w:t>
            </w:r>
          </w:p>
        </w:tc>
        <w:tc>
          <w:tcPr>
            <w:tcW w:w="1588" w:type="dxa"/>
          </w:tcPr>
          <w:p w14:paraId="59D8867E" w14:textId="77777777" w:rsidR="00244CE7" w:rsidRPr="00244CE7" w:rsidRDefault="00244CE7" w:rsidP="00244CE7"/>
        </w:tc>
        <w:tc>
          <w:tcPr>
            <w:tcW w:w="1703" w:type="dxa"/>
          </w:tcPr>
          <w:p w14:paraId="62AC7A3F" w14:textId="3D9E1A14" w:rsidR="00244CE7" w:rsidRPr="00244CE7" w:rsidRDefault="00244CE7" w:rsidP="00244CE7">
            <w:r w:rsidRPr="00244CE7">
              <w:t>Преходна еректилна дисфункция, понижено либидо</w:t>
            </w:r>
          </w:p>
        </w:tc>
        <w:tc>
          <w:tcPr>
            <w:tcW w:w="1645" w:type="dxa"/>
          </w:tcPr>
          <w:p w14:paraId="0DDAA100" w14:textId="77777777" w:rsidR="00244CE7" w:rsidRPr="00244CE7" w:rsidRDefault="00244CE7" w:rsidP="00244CE7"/>
        </w:tc>
        <w:tc>
          <w:tcPr>
            <w:tcW w:w="1226" w:type="dxa"/>
          </w:tcPr>
          <w:p w14:paraId="175F35E0" w14:textId="77777777" w:rsidR="00244CE7" w:rsidRPr="00244CE7" w:rsidRDefault="00244CE7" w:rsidP="00244CE7"/>
        </w:tc>
        <w:tc>
          <w:tcPr>
            <w:tcW w:w="1737" w:type="dxa"/>
          </w:tcPr>
          <w:p w14:paraId="3AA280AE" w14:textId="755B403D" w:rsidR="00244CE7" w:rsidRPr="00244CE7" w:rsidRDefault="00244CE7" w:rsidP="00244CE7">
            <w:r w:rsidRPr="00244CE7">
              <w:t>Гинекомастия</w:t>
            </w:r>
          </w:p>
        </w:tc>
      </w:tr>
      <w:tr w:rsidR="00244CE7" w14:paraId="4CF0F27A" w14:textId="77777777" w:rsidTr="00244CE7">
        <w:tc>
          <w:tcPr>
            <w:tcW w:w="1677" w:type="dxa"/>
          </w:tcPr>
          <w:p w14:paraId="42ED0C95" w14:textId="48BC4F3C" w:rsidR="00244CE7" w:rsidRPr="00244CE7" w:rsidRDefault="00244CE7" w:rsidP="00244CE7">
            <w:r w:rsidRPr="00244CE7">
              <w:rPr>
                <w:i/>
                <w:iCs/>
              </w:rPr>
              <w:t>Общи нарушения и ефекти на мястото на приложение</w:t>
            </w:r>
          </w:p>
        </w:tc>
        <w:tc>
          <w:tcPr>
            <w:tcW w:w="1588" w:type="dxa"/>
          </w:tcPr>
          <w:p w14:paraId="1B088ADF" w14:textId="7B387A00" w:rsidR="00244CE7" w:rsidRPr="00244CE7" w:rsidRDefault="00244CE7" w:rsidP="00244CE7">
            <w:r w:rsidRPr="00244CE7">
              <w:t>Гръдна болка, умора</w:t>
            </w:r>
          </w:p>
        </w:tc>
        <w:tc>
          <w:tcPr>
            <w:tcW w:w="1703" w:type="dxa"/>
          </w:tcPr>
          <w:p w14:paraId="31C43F37" w14:textId="40AD3D99" w:rsidR="00244CE7" w:rsidRPr="00244CE7" w:rsidRDefault="00244CE7" w:rsidP="00244CE7">
            <w:r w:rsidRPr="00244CE7">
              <w:t>Повишена температура</w:t>
            </w:r>
          </w:p>
        </w:tc>
        <w:tc>
          <w:tcPr>
            <w:tcW w:w="1645" w:type="dxa"/>
          </w:tcPr>
          <w:p w14:paraId="50B9EF48" w14:textId="5120EA20" w:rsidR="00244CE7" w:rsidRPr="00244CE7" w:rsidRDefault="00244CE7" w:rsidP="00244CE7">
            <w:r w:rsidRPr="00244CE7">
              <w:t>Астения</w:t>
            </w:r>
          </w:p>
        </w:tc>
        <w:tc>
          <w:tcPr>
            <w:tcW w:w="1226" w:type="dxa"/>
          </w:tcPr>
          <w:p w14:paraId="081D6FE1" w14:textId="77777777" w:rsidR="00244CE7" w:rsidRPr="00244CE7" w:rsidRDefault="00244CE7" w:rsidP="00244CE7"/>
        </w:tc>
        <w:tc>
          <w:tcPr>
            <w:tcW w:w="1737" w:type="dxa"/>
          </w:tcPr>
          <w:p w14:paraId="6C59D298" w14:textId="77777777" w:rsidR="00244CE7" w:rsidRPr="00244CE7" w:rsidRDefault="00244CE7" w:rsidP="00244CE7"/>
        </w:tc>
      </w:tr>
    </w:tbl>
    <w:p w14:paraId="72DFB066" w14:textId="77777777" w:rsidR="00244CE7" w:rsidRDefault="00244CE7" w:rsidP="00244CE7">
      <w:pPr>
        <w:spacing w:line="240" w:lineRule="auto"/>
        <w:rPr>
          <w:rFonts w:ascii="Times New Roman" w:eastAsia="Times New Roman" w:hAnsi="Times New Roman" w:cs="Times New Roman"/>
          <w:b/>
          <w:bCs/>
          <w:color w:val="000000"/>
          <w:sz w:val="46"/>
          <w:szCs w:val="46"/>
          <w:u w:val="single"/>
          <w:lang w:eastAsia="bg-BG"/>
        </w:rPr>
      </w:pPr>
      <w:bookmarkStart w:id="1" w:name="bookmark0"/>
    </w:p>
    <w:p w14:paraId="18E5EFA7" w14:textId="5632B893" w:rsidR="00244CE7" w:rsidRPr="00244CE7" w:rsidRDefault="00244CE7" w:rsidP="00244CE7">
      <w:pPr>
        <w:spacing w:line="240" w:lineRule="auto"/>
        <w:rPr>
          <w:rFonts w:eastAsia="Times New Roman" w:cs="Arial"/>
        </w:rPr>
      </w:pPr>
      <w:r w:rsidRPr="00244CE7">
        <w:rPr>
          <w:rFonts w:eastAsia="Times New Roman" w:cs="Arial"/>
          <w:b/>
          <w:bCs/>
          <w:color w:val="000000"/>
          <w:u w:val="single"/>
          <w:lang w:eastAsia="bg-BG"/>
        </w:rPr>
        <w:t>Съобщаване на подозирани нежелани реакции</w:t>
      </w:r>
      <w:bookmarkEnd w:id="1"/>
    </w:p>
    <w:p w14:paraId="4827962C"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Съобщаването на подозирани нежелани лекарствени реакции след разрешаване за употреба на лекарствения продукт е важно. Това позволява да продължи наблюдението на съотношението полза/риск за лекарствения продукт. От медицинските специалисти се изисква да съобщават всяка подозирана нежелана реакция чрез националната система за съобщаване, на Изпълнителната агенция по лекарствата.</w:t>
      </w:r>
    </w:p>
    <w:p w14:paraId="4A0CF574" w14:textId="77777777" w:rsidR="00244CE7" w:rsidRPr="00244CE7" w:rsidRDefault="00244CE7" w:rsidP="00244CE7">
      <w:pPr>
        <w:spacing w:line="240" w:lineRule="auto"/>
        <w:rPr>
          <w:rFonts w:eastAsia="Times New Roman" w:cs="Arial"/>
          <w:b/>
          <w:bCs/>
          <w:color w:val="000000"/>
          <w:lang w:eastAsia="bg-BG"/>
        </w:rPr>
      </w:pPr>
      <w:bookmarkStart w:id="2" w:name="bookmark2"/>
    </w:p>
    <w:p w14:paraId="31B8F688" w14:textId="0A7F2076" w:rsidR="00244CE7" w:rsidRPr="00244CE7" w:rsidRDefault="00244CE7" w:rsidP="00244CE7">
      <w:pPr>
        <w:spacing w:line="240" w:lineRule="auto"/>
        <w:rPr>
          <w:rFonts w:eastAsia="Times New Roman" w:cs="Arial"/>
        </w:rPr>
      </w:pPr>
      <w:r w:rsidRPr="00244CE7">
        <w:rPr>
          <w:rFonts w:eastAsia="Times New Roman" w:cs="Arial"/>
          <w:b/>
          <w:bCs/>
          <w:color w:val="000000"/>
          <w:lang w:eastAsia="bg-BG"/>
        </w:rPr>
        <w:t>Контакти:</w:t>
      </w:r>
      <w:bookmarkEnd w:id="2"/>
    </w:p>
    <w:p w14:paraId="1FD687CA"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Изпълнителна агенция по лекарствата</w:t>
      </w:r>
    </w:p>
    <w:p w14:paraId="042415B2"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ул.,Дамян Груев” № 8</w:t>
      </w:r>
    </w:p>
    <w:p w14:paraId="776101D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1303 София, България</w:t>
      </w:r>
    </w:p>
    <w:p w14:paraId="5F8F7296"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Тел.: +35 928903417</w:t>
      </w:r>
    </w:p>
    <w:p w14:paraId="1D2BBF3C"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уебсайт: </w:t>
      </w:r>
      <w:r w:rsidRPr="00244CE7">
        <w:rPr>
          <w:rFonts w:eastAsia="Times New Roman" w:cs="Arial"/>
        </w:rPr>
        <w:fldChar w:fldCharType="begin"/>
      </w:r>
      <w:r w:rsidRPr="00244CE7">
        <w:rPr>
          <w:rFonts w:eastAsia="Times New Roman" w:cs="Arial"/>
        </w:rPr>
        <w:instrText xml:space="preserve"> HYPERLINK "http://www.bda.bg" </w:instrText>
      </w:r>
      <w:r w:rsidRPr="00244CE7">
        <w:rPr>
          <w:rFonts w:eastAsia="Times New Roman" w:cs="Arial"/>
        </w:rPr>
        <w:fldChar w:fldCharType="separate"/>
      </w:r>
      <w:r w:rsidRPr="00244CE7">
        <w:rPr>
          <w:rFonts w:eastAsia="Times New Roman" w:cs="Arial"/>
          <w:color w:val="000000"/>
          <w:lang w:val="en-US"/>
        </w:rPr>
        <w:t>www</w:t>
      </w:r>
      <w:r w:rsidRPr="00244CE7">
        <w:rPr>
          <w:rFonts w:eastAsia="Times New Roman" w:cs="Arial"/>
          <w:color w:val="000000"/>
          <w:lang w:val="ru-RU"/>
        </w:rPr>
        <w:t>.</w:t>
      </w:r>
      <w:proofErr w:type="spellStart"/>
      <w:r w:rsidRPr="00244CE7">
        <w:rPr>
          <w:rFonts w:eastAsia="Times New Roman" w:cs="Arial"/>
          <w:color w:val="000000"/>
          <w:lang w:val="en-US"/>
        </w:rPr>
        <w:t>bda</w:t>
      </w:r>
      <w:proofErr w:type="spellEnd"/>
      <w:r w:rsidRPr="00244CE7">
        <w:rPr>
          <w:rFonts w:eastAsia="Times New Roman" w:cs="Arial"/>
          <w:color w:val="000000"/>
          <w:lang w:val="ru-RU"/>
        </w:rPr>
        <w:t>.</w:t>
      </w:r>
      <w:proofErr w:type="spellStart"/>
      <w:r w:rsidRPr="00244CE7">
        <w:rPr>
          <w:rFonts w:eastAsia="Times New Roman" w:cs="Arial"/>
          <w:color w:val="000000"/>
          <w:lang w:val="en-US"/>
        </w:rPr>
        <w:t>bg</w:t>
      </w:r>
      <w:proofErr w:type="spellEnd"/>
      <w:r w:rsidRPr="00244CE7">
        <w:rPr>
          <w:rFonts w:eastAsia="Times New Roman" w:cs="Arial"/>
        </w:rPr>
        <w:fldChar w:fldCharType="end"/>
      </w:r>
    </w:p>
    <w:p w14:paraId="768761C0" w14:textId="77777777" w:rsidR="00093ED1" w:rsidRPr="00093ED1" w:rsidRDefault="00093ED1" w:rsidP="00093ED1"/>
    <w:p w14:paraId="0A023CE0" w14:textId="49852485" w:rsidR="00CF77F7" w:rsidRDefault="002C50EE" w:rsidP="004A448E">
      <w:pPr>
        <w:pStyle w:val="Heading2"/>
      </w:pPr>
      <w:r>
        <w:lastRenderedPageBreak/>
        <w:t>4.9. Предозиране</w:t>
      </w:r>
    </w:p>
    <w:p w14:paraId="13D6CD06" w14:textId="32841654" w:rsidR="00244CE7" w:rsidRDefault="00244CE7" w:rsidP="00244CE7"/>
    <w:p w14:paraId="2E904D9D" w14:textId="77777777"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Симптоми</w:t>
      </w:r>
    </w:p>
    <w:p w14:paraId="70FE4A83"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Симптомите, свързани с предозиране на АСЕ инхибитори, могат да включват прекомерна периферна вазодилатация (с подчертана хипотония, шок), брадикардия, електролитни нарушения и бъбречна недостатъчност.</w:t>
      </w:r>
    </w:p>
    <w:p w14:paraId="731ED21C" w14:textId="77777777" w:rsidR="00244CE7" w:rsidRDefault="00244CE7" w:rsidP="00244CE7">
      <w:pPr>
        <w:spacing w:line="240" w:lineRule="auto"/>
        <w:rPr>
          <w:rFonts w:eastAsia="Times New Roman" w:cs="Arial"/>
          <w:color w:val="000000"/>
          <w:u w:val="single"/>
          <w:lang w:eastAsia="bg-BG"/>
        </w:rPr>
      </w:pPr>
    </w:p>
    <w:p w14:paraId="667D728E" w14:textId="196281EB"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Мерки при предозиране</w:t>
      </w:r>
    </w:p>
    <w:p w14:paraId="1059625F" w14:textId="75A0B23C" w:rsidR="00244CE7" w:rsidRPr="00244CE7" w:rsidRDefault="00244CE7" w:rsidP="00244CE7">
      <w:r w:rsidRPr="00244CE7">
        <w:rPr>
          <w:rFonts w:eastAsia="Times New Roman" w:cs="Arial"/>
          <w:color w:val="000000"/>
          <w:lang w:eastAsia="bg-BG"/>
        </w:rPr>
        <w:t>Пациентът трябва да бъде стриктно наблюдаван, лечението трябва да е симптоматично и поддържащо. Предлаганите мерки включват първоначална детоксикация (стомашна промивка, прилагане на адсорбенти) и мерки за възстановяване на хемодинамичната стабилност, включително прилагане на алфа-1-адренергични агонисти или ангиотензин (ангиотензинамид). Рамиприлат, активният метаболит на рамиприл, се отстранява незадоволително чрез хемодиализа от общото кръвообращение.</w:t>
      </w:r>
    </w:p>
    <w:p w14:paraId="02081B24" w14:textId="1F46E296" w:rsidR="00395555" w:rsidRPr="00395555" w:rsidRDefault="002C50EE" w:rsidP="008A6AF2">
      <w:pPr>
        <w:pStyle w:val="Heading1"/>
      </w:pPr>
      <w:r>
        <w:t>5. ФАРМАКОЛОГИЧНИ СВОЙСТВА</w:t>
      </w:r>
    </w:p>
    <w:p w14:paraId="32B6DE66" w14:textId="006F6FCA" w:rsidR="00CF77F7" w:rsidRDefault="002C50EE" w:rsidP="004A448E">
      <w:pPr>
        <w:pStyle w:val="Heading2"/>
      </w:pPr>
      <w:r>
        <w:t>5.1. Фармакодинамични свойства</w:t>
      </w:r>
    </w:p>
    <w:p w14:paraId="4E205659" w14:textId="499D767D" w:rsidR="00244CE7" w:rsidRDefault="00244CE7" w:rsidP="00244CE7"/>
    <w:p w14:paraId="2A33EB94"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Фармакотерапевтична група: АСЕ инхибитори, самостоятелно, АТС код: С09АА05.</w:t>
      </w:r>
    </w:p>
    <w:p w14:paraId="6511DE3D" w14:textId="77777777" w:rsidR="00244CE7" w:rsidRDefault="00244CE7" w:rsidP="00244CE7">
      <w:pPr>
        <w:spacing w:line="240" w:lineRule="auto"/>
        <w:rPr>
          <w:rFonts w:eastAsia="Times New Roman" w:cs="Arial"/>
          <w:i/>
          <w:iCs/>
          <w:color w:val="000000"/>
          <w:u w:val="single"/>
          <w:lang w:eastAsia="bg-BG"/>
        </w:rPr>
      </w:pPr>
    </w:p>
    <w:p w14:paraId="24E147A9" w14:textId="3F7E2302" w:rsidR="00244CE7" w:rsidRPr="00244CE7" w:rsidRDefault="00244CE7" w:rsidP="00244CE7">
      <w:pPr>
        <w:spacing w:line="240" w:lineRule="auto"/>
        <w:rPr>
          <w:rFonts w:eastAsia="Times New Roman" w:cs="Arial"/>
        </w:rPr>
      </w:pPr>
      <w:r w:rsidRPr="00244CE7">
        <w:rPr>
          <w:rFonts w:eastAsia="Times New Roman" w:cs="Arial"/>
          <w:i/>
          <w:iCs/>
          <w:color w:val="000000"/>
          <w:u w:val="single"/>
          <w:lang w:eastAsia="bg-BG"/>
        </w:rPr>
        <w:t>Механизъм на действие</w:t>
      </w:r>
    </w:p>
    <w:p w14:paraId="7186EF64"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Рамиприлат, активният метаболит на предлекарството рамиприл, инхибира ензима дипептидилкарбоксипептидаза I (синоними: ангиотензин-конвертиращ ензим; кининаза II). В плазмата и тъканите този ензим катализира конвертирането на ангиотензин I до активния вазоконстриктор ангиотензин </w:t>
      </w:r>
      <w:r w:rsidRPr="00244CE7">
        <w:rPr>
          <w:rFonts w:eastAsia="Times New Roman" w:cs="Arial"/>
          <w:color w:val="000000"/>
          <w:lang w:val="en-US"/>
        </w:rPr>
        <w:t>II</w:t>
      </w:r>
      <w:r w:rsidRPr="00244CE7">
        <w:rPr>
          <w:rFonts w:eastAsia="Times New Roman" w:cs="Arial"/>
          <w:color w:val="000000"/>
          <w:lang w:eastAsia="bg-BG"/>
        </w:rPr>
        <w:t>, както и инхибира разграждането на активния вазодилататор брадикинин. Пониженото образуване на ангиотензин II и ихибиране на разграждането на брадикинин, водят до вазодилатация.</w:t>
      </w:r>
    </w:p>
    <w:p w14:paraId="609AB6BA"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Тъй като ангиотензин </w:t>
      </w:r>
      <w:r w:rsidRPr="00244CE7">
        <w:rPr>
          <w:rFonts w:eastAsia="Times New Roman" w:cs="Arial"/>
          <w:color w:val="000000"/>
          <w:lang w:val="en-US"/>
        </w:rPr>
        <w:t>II</w:t>
      </w:r>
      <w:r w:rsidRPr="00244CE7">
        <w:rPr>
          <w:rFonts w:eastAsia="Times New Roman" w:cs="Arial"/>
          <w:color w:val="000000"/>
          <w:lang w:eastAsia="bg-BG"/>
        </w:rPr>
        <w:t xml:space="preserve"> стимулира освобождаването на алдостерон, рамиприлат води до намаляване на алдостероновата секреция. Средностатистически повлияването от монотерапия с АСЕ инхибитор е по-слабо при чернокожи (афро-карибска раса) хипертонични пациенти - обикновено популация с хипертония с нисък ренин, отколкото при нечернокожи пациенти.</w:t>
      </w:r>
    </w:p>
    <w:p w14:paraId="661849BC" w14:textId="77777777" w:rsidR="00244CE7" w:rsidRDefault="00244CE7" w:rsidP="00244CE7">
      <w:pPr>
        <w:spacing w:line="240" w:lineRule="auto"/>
        <w:rPr>
          <w:rFonts w:eastAsia="Times New Roman" w:cs="Arial"/>
          <w:i/>
          <w:iCs/>
          <w:color w:val="000000"/>
          <w:u w:val="single"/>
          <w:lang w:eastAsia="bg-BG"/>
        </w:rPr>
      </w:pPr>
    </w:p>
    <w:p w14:paraId="2A60F0E3" w14:textId="7987B42E" w:rsidR="00244CE7" w:rsidRPr="00244CE7" w:rsidRDefault="00244CE7" w:rsidP="00244CE7">
      <w:pPr>
        <w:spacing w:line="240" w:lineRule="auto"/>
        <w:rPr>
          <w:rFonts w:eastAsia="Times New Roman" w:cs="Arial"/>
        </w:rPr>
      </w:pPr>
      <w:r w:rsidRPr="00244CE7">
        <w:rPr>
          <w:rFonts w:eastAsia="Times New Roman" w:cs="Arial"/>
          <w:i/>
          <w:iCs/>
          <w:color w:val="000000"/>
          <w:u w:val="single"/>
          <w:lang w:eastAsia="bg-BG"/>
        </w:rPr>
        <w:t>Фармакодинамични ефекти</w:t>
      </w:r>
    </w:p>
    <w:p w14:paraId="6405FCD8" w14:textId="77777777"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Антихипертензивни свойства</w:t>
      </w:r>
      <w:r w:rsidRPr="00244CE7">
        <w:rPr>
          <w:rFonts w:eastAsia="Times New Roman" w:cs="Arial"/>
          <w:color w:val="000000"/>
          <w:lang w:eastAsia="bg-BG"/>
        </w:rPr>
        <w:t>:</w:t>
      </w:r>
    </w:p>
    <w:p w14:paraId="54C1D624"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Прилагането на рамиприл води до значително понижаване на периферната артериална резистентност. В повечето случаи няма значими промени в бъбречния кръвоток и скоростта на гломерулната филтрация. Прилагането на рамиприл при пациенти с хипертония води до понижаване на кръвното налягане в изправено и легнало положение, без компенсаторно повишаване на сърдечната честота.</w:t>
      </w:r>
    </w:p>
    <w:p w14:paraId="2B40FD98"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При повечето пациенти началото на антихипертензивния ефект на еднократната доза се проявява от 1 до 2 часа след перорално приложение. Пиковият ефект на еднократната доза обикновено се достига от 3 до 6 часа след перорално приложение. Антихипертензивният ефект на еднократна доза обикновено продължава 24 часа.</w:t>
      </w:r>
    </w:p>
    <w:p w14:paraId="774D73E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Максималният антихипертензивен ефект на продължително лечение с рамиприл обикновено настъпва след 3-4 седмици. Доказано е, че антихипертензивният ефект е постоянен при дълготрайна терапия, продължаваща 2 години.</w:t>
      </w:r>
    </w:p>
    <w:p w14:paraId="71635966"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Рязкото прекъсване на приема на рамиприл не води до бърз и прекомерен ребаунд ефект на повишаване на кръвното налягане.</w:t>
      </w:r>
    </w:p>
    <w:p w14:paraId="225CDB24" w14:textId="77777777" w:rsidR="00244CE7" w:rsidRDefault="00244CE7" w:rsidP="00244CE7">
      <w:pPr>
        <w:spacing w:line="240" w:lineRule="auto"/>
        <w:rPr>
          <w:rFonts w:eastAsia="Times New Roman" w:cs="Arial"/>
          <w:color w:val="000000"/>
          <w:u w:val="single"/>
          <w:lang w:eastAsia="bg-BG"/>
        </w:rPr>
      </w:pPr>
    </w:p>
    <w:p w14:paraId="0B69962B" w14:textId="4CD1A968"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Сърдечна недостатъчност</w:t>
      </w:r>
      <w:r w:rsidRPr="00244CE7">
        <w:rPr>
          <w:rFonts w:eastAsia="Times New Roman" w:cs="Arial"/>
          <w:color w:val="000000"/>
          <w:lang w:eastAsia="bg-BG"/>
        </w:rPr>
        <w:t>:</w:t>
      </w:r>
    </w:p>
    <w:p w14:paraId="6CB2A9B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Като добавка към конвенционалната терапия с диуретици и изборно със сърдечни гликозиди рамиприл показва ефективност при пациенти с функционален клас </w:t>
      </w:r>
      <w:r w:rsidRPr="00244CE7">
        <w:rPr>
          <w:rFonts w:eastAsia="Times New Roman" w:cs="Arial"/>
          <w:color w:val="000000"/>
          <w:lang w:val="en-US"/>
        </w:rPr>
        <w:t>II</w:t>
      </w:r>
      <w:r w:rsidRPr="00244CE7">
        <w:rPr>
          <w:rFonts w:eastAsia="Times New Roman" w:cs="Arial"/>
          <w:color w:val="000000"/>
          <w:lang w:val="ru-RU"/>
        </w:rPr>
        <w:t>-</w:t>
      </w:r>
      <w:r w:rsidRPr="00244CE7">
        <w:rPr>
          <w:rFonts w:eastAsia="Times New Roman" w:cs="Arial"/>
          <w:color w:val="000000"/>
          <w:lang w:val="en-US"/>
        </w:rPr>
        <w:t>IV</w:t>
      </w:r>
      <w:r w:rsidRPr="00244CE7">
        <w:rPr>
          <w:rFonts w:eastAsia="Times New Roman" w:cs="Arial"/>
          <w:color w:val="000000"/>
          <w:lang w:val="ru-RU"/>
        </w:rPr>
        <w:t xml:space="preserve"> </w:t>
      </w:r>
      <w:r w:rsidRPr="00244CE7">
        <w:rPr>
          <w:rFonts w:eastAsia="Times New Roman" w:cs="Arial"/>
          <w:color w:val="000000"/>
          <w:lang w:eastAsia="bg-BG"/>
        </w:rPr>
        <w:t xml:space="preserve">по </w:t>
      </w:r>
      <w:r w:rsidRPr="00244CE7">
        <w:rPr>
          <w:rFonts w:eastAsia="Times New Roman" w:cs="Arial"/>
          <w:color w:val="000000"/>
          <w:lang w:val="en-US"/>
        </w:rPr>
        <w:t>New</w:t>
      </w:r>
      <w:r w:rsidRPr="00244CE7">
        <w:rPr>
          <w:rFonts w:eastAsia="Times New Roman" w:cs="Arial"/>
          <w:color w:val="000000"/>
          <w:lang w:val="ru-RU"/>
        </w:rPr>
        <w:t xml:space="preserve"> </w:t>
      </w:r>
      <w:r w:rsidRPr="00244CE7">
        <w:rPr>
          <w:rFonts w:eastAsia="Times New Roman" w:cs="Arial"/>
          <w:color w:val="000000"/>
          <w:lang w:val="en-US"/>
        </w:rPr>
        <w:t>York</w:t>
      </w:r>
      <w:r w:rsidRPr="00244CE7">
        <w:rPr>
          <w:rFonts w:eastAsia="Times New Roman" w:cs="Arial"/>
          <w:color w:val="000000"/>
          <w:lang w:val="ru-RU"/>
        </w:rPr>
        <w:t xml:space="preserve"> </w:t>
      </w:r>
      <w:r w:rsidRPr="00244CE7">
        <w:rPr>
          <w:rFonts w:eastAsia="Times New Roman" w:cs="Arial"/>
          <w:color w:val="000000"/>
          <w:lang w:val="en-US"/>
        </w:rPr>
        <w:t>Heart</w:t>
      </w:r>
      <w:r w:rsidRPr="00244CE7">
        <w:rPr>
          <w:rFonts w:eastAsia="Times New Roman" w:cs="Arial"/>
          <w:color w:val="000000"/>
          <w:lang w:val="ru-RU"/>
        </w:rPr>
        <w:t xml:space="preserve"> </w:t>
      </w:r>
      <w:r w:rsidRPr="00244CE7">
        <w:rPr>
          <w:rFonts w:eastAsia="Times New Roman" w:cs="Arial"/>
          <w:color w:val="000000"/>
          <w:lang w:val="en-US"/>
        </w:rPr>
        <w:t>Association</w:t>
      </w:r>
      <w:r w:rsidRPr="00244CE7">
        <w:rPr>
          <w:rFonts w:eastAsia="Times New Roman" w:cs="Arial"/>
          <w:color w:val="000000"/>
          <w:lang w:val="ru-RU"/>
        </w:rPr>
        <w:t xml:space="preserve">. </w:t>
      </w:r>
      <w:r w:rsidRPr="00244CE7">
        <w:rPr>
          <w:rFonts w:eastAsia="Times New Roman" w:cs="Arial"/>
          <w:color w:val="000000"/>
          <w:lang w:eastAsia="bg-BG"/>
        </w:rPr>
        <w:t>Лекарството има ползотворни ефекти върху сърдечната хемодинамика (намаляване на налягането при пълнене на лявата и дясната камера, намаляване на общата периферна съдова резистентност, повишаване на изходящия сърдечен кръвоток и подобрен сърдечен индекс). Понижава също невроендокринната активация.</w:t>
      </w:r>
    </w:p>
    <w:p w14:paraId="13B30E9D" w14:textId="77777777" w:rsidR="00244CE7" w:rsidRDefault="00244CE7" w:rsidP="00244CE7">
      <w:pPr>
        <w:spacing w:line="240" w:lineRule="auto"/>
        <w:rPr>
          <w:rFonts w:eastAsia="Times New Roman" w:cs="Arial"/>
          <w:i/>
          <w:iCs/>
          <w:color w:val="000000"/>
          <w:u w:val="single"/>
          <w:lang w:eastAsia="bg-BG"/>
        </w:rPr>
      </w:pPr>
    </w:p>
    <w:p w14:paraId="1D24BC60" w14:textId="5A15DC58" w:rsidR="00244CE7" w:rsidRPr="00244CE7" w:rsidRDefault="00244CE7" w:rsidP="00244CE7">
      <w:pPr>
        <w:spacing w:line="240" w:lineRule="auto"/>
        <w:rPr>
          <w:rFonts w:eastAsia="Times New Roman" w:cs="Arial"/>
        </w:rPr>
      </w:pPr>
      <w:r w:rsidRPr="00244CE7">
        <w:rPr>
          <w:rFonts w:eastAsia="Times New Roman" w:cs="Arial"/>
          <w:i/>
          <w:iCs/>
          <w:color w:val="000000"/>
          <w:u w:val="single"/>
          <w:lang w:eastAsia="bg-BG"/>
        </w:rPr>
        <w:t>Клинична ефикасност и безопасност</w:t>
      </w:r>
    </w:p>
    <w:p w14:paraId="113FDD34" w14:textId="77777777" w:rsidR="00244CE7" w:rsidRDefault="00244CE7" w:rsidP="00244CE7">
      <w:pPr>
        <w:spacing w:line="240" w:lineRule="auto"/>
        <w:rPr>
          <w:rFonts w:eastAsia="Times New Roman" w:cs="Arial"/>
          <w:color w:val="000000"/>
          <w:u w:val="single"/>
          <w:lang w:eastAsia="bg-BG"/>
        </w:rPr>
      </w:pPr>
    </w:p>
    <w:p w14:paraId="255B7708" w14:textId="5F4FBE2E"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Сърдечно-съдова превешшя/нефропротекция</w:t>
      </w:r>
    </w:p>
    <w:p w14:paraId="38D77CC4" w14:textId="2941615D" w:rsidR="00244CE7" w:rsidRPr="00244CE7" w:rsidRDefault="00244CE7" w:rsidP="00244CE7">
      <w:pPr>
        <w:rPr>
          <w:rFonts w:eastAsia="Times New Roman" w:cs="Arial"/>
          <w:color w:val="000000"/>
          <w:lang w:eastAsia="bg-BG"/>
        </w:rPr>
      </w:pPr>
      <w:r w:rsidRPr="00244CE7">
        <w:rPr>
          <w:rFonts w:eastAsia="Times New Roman" w:cs="Arial"/>
          <w:color w:val="000000"/>
          <w:lang w:eastAsia="bg-BG"/>
        </w:rPr>
        <w:t>Проведено е плацебо-контролирано проучване за превенция (проучването НОРЕ), при което рамиприл е добавен към стандартната терапия при повече от 9200 пациенти. Пациентите е повишен риск от сърдечно-съдово заболяване, атеротромботична кардиоваскуларна болест (анамнеза за коронарна артериална болест, инсулт или периферна артериална болест) или захарен диабет с поне един съпътстващ рисков фактор (доказана микроалбуминурия, хипертония, повишени нива на общия холестерол, ниско ниво на липопротеините с висока плътност или тютюнопушене) са включени в изпитването.</w:t>
      </w:r>
    </w:p>
    <w:p w14:paraId="4C40EF52" w14:textId="57444D10" w:rsidR="00244CE7" w:rsidRDefault="00244CE7" w:rsidP="00244CE7"/>
    <w:p w14:paraId="3EE6830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Изпитването показва, че рамиприл статистически значимо понижава честотата на миокарден инфаркт, сърдечносъдова смърт и инсулт, самостоятелно или в комбинация (първично комбинирани събития).</w:t>
      </w:r>
    </w:p>
    <w:p w14:paraId="69114150" w14:textId="77777777" w:rsidR="00244CE7" w:rsidRPr="00244CE7" w:rsidRDefault="00244CE7" w:rsidP="00244CE7">
      <w:pPr>
        <w:rPr>
          <w:rFonts w:eastAsia="Times New Roman" w:cs="Arial"/>
          <w:b/>
          <w:bCs/>
          <w:color w:val="000000"/>
          <w:lang w:eastAsia="bg-BG"/>
        </w:rPr>
      </w:pPr>
    </w:p>
    <w:p w14:paraId="51ABBCE8" w14:textId="4EC9E604" w:rsidR="00244CE7" w:rsidRDefault="00244CE7" w:rsidP="00244CE7">
      <w:pPr>
        <w:rPr>
          <w:rFonts w:eastAsia="Times New Roman" w:cs="Arial"/>
          <w:b/>
          <w:bCs/>
          <w:color w:val="000000"/>
          <w:lang w:eastAsia="bg-BG"/>
        </w:rPr>
      </w:pPr>
      <w:r w:rsidRPr="00244CE7">
        <w:rPr>
          <w:rFonts w:eastAsia="Times New Roman" w:cs="Arial"/>
          <w:b/>
          <w:bCs/>
          <w:color w:val="000000"/>
          <w:lang w:eastAsia="bg-BG"/>
        </w:rPr>
        <w:t>Основни резултати от изпитването НОРЕ</w:t>
      </w:r>
    </w:p>
    <w:tbl>
      <w:tblPr>
        <w:tblStyle w:val="TableGrid"/>
        <w:tblW w:w="0" w:type="auto"/>
        <w:tblLook w:val="04A0" w:firstRow="1" w:lastRow="0" w:firstColumn="1" w:lastColumn="0" w:noHBand="0" w:noVBand="1"/>
      </w:tblPr>
      <w:tblGrid>
        <w:gridCol w:w="2553"/>
        <w:gridCol w:w="1297"/>
        <w:gridCol w:w="1307"/>
        <w:gridCol w:w="2894"/>
        <w:gridCol w:w="1299"/>
      </w:tblGrid>
      <w:tr w:rsidR="00244CE7" w14:paraId="0CB5FB20" w14:textId="77777777" w:rsidTr="00244CE7">
        <w:tc>
          <w:tcPr>
            <w:tcW w:w="2600" w:type="dxa"/>
          </w:tcPr>
          <w:p w14:paraId="4DFEF58E" w14:textId="77777777" w:rsidR="00244CE7" w:rsidRPr="00244CE7" w:rsidRDefault="00244CE7" w:rsidP="00244CE7">
            <w:pPr>
              <w:rPr>
                <w:rFonts w:cs="Arial"/>
              </w:rPr>
            </w:pPr>
          </w:p>
        </w:tc>
        <w:tc>
          <w:tcPr>
            <w:tcW w:w="1302" w:type="dxa"/>
          </w:tcPr>
          <w:p w14:paraId="491F2832" w14:textId="7777F476" w:rsidR="00244CE7" w:rsidRPr="00244CE7" w:rsidRDefault="00244CE7" w:rsidP="00244CE7">
            <w:pPr>
              <w:rPr>
                <w:rFonts w:cs="Arial"/>
              </w:rPr>
            </w:pPr>
            <w:r w:rsidRPr="00244CE7">
              <w:t>Рамиприл</w:t>
            </w:r>
          </w:p>
        </w:tc>
        <w:tc>
          <w:tcPr>
            <w:tcW w:w="1326" w:type="dxa"/>
          </w:tcPr>
          <w:p w14:paraId="4B55E2C6" w14:textId="4FEA3878" w:rsidR="00244CE7" w:rsidRPr="00244CE7" w:rsidRDefault="00244CE7" w:rsidP="00244CE7">
            <w:pPr>
              <w:rPr>
                <w:rFonts w:cs="Arial"/>
              </w:rPr>
            </w:pPr>
            <w:r w:rsidRPr="00244CE7">
              <w:t>Плацебо</w:t>
            </w:r>
          </w:p>
        </w:tc>
        <w:tc>
          <w:tcPr>
            <w:tcW w:w="3031" w:type="dxa"/>
          </w:tcPr>
          <w:p w14:paraId="38E9B340" w14:textId="6785391F" w:rsidR="00244CE7" w:rsidRPr="00244CE7" w:rsidRDefault="00244CE7" w:rsidP="00244CE7">
            <w:pPr>
              <w:rPr>
                <w:rFonts w:cs="Arial"/>
              </w:rPr>
            </w:pPr>
            <w:r w:rsidRPr="00244CE7">
              <w:t>Относителен риск (95% доверителен интервал)</w:t>
            </w:r>
          </w:p>
        </w:tc>
        <w:tc>
          <w:tcPr>
            <w:tcW w:w="1317" w:type="dxa"/>
          </w:tcPr>
          <w:p w14:paraId="788E789C" w14:textId="7CED38D1" w:rsidR="00244CE7" w:rsidRPr="00244CE7" w:rsidRDefault="00244CE7" w:rsidP="00244CE7">
            <w:pPr>
              <w:rPr>
                <w:rFonts w:cs="Arial"/>
              </w:rPr>
            </w:pPr>
            <w:r w:rsidRPr="00244CE7">
              <w:t>р-стойност</w:t>
            </w:r>
          </w:p>
        </w:tc>
      </w:tr>
      <w:tr w:rsidR="00244CE7" w14:paraId="45031DA9" w14:textId="77777777" w:rsidTr="00244CE7">
        <w:tc>
          <w:tcPr>
            <w:tcW w:w="2600" w:type="dxa"/>
          </w:tcPr>
          <w:p w14:paraId="3C6FB73E" w14:textId="77777777" w:rsidR="00244CE7" w:rsidRPr="00244CE7" w:rsidRDefault="00244CE7" w:rsidP="00244CE7">
            <w:pPr>
              <w:rPr>
                <w:rFonts w:cs="Arial"/>
              </w:rPr>
            </w:pPr>
          </w:p>
        </w:tc>
        <w:tc>
          <w:tcPr>
            <w:tcW w:w="1302" w:type="dxa"/>
          </w:tcPr>
          <w:p w14:paraId="24D59D57" w14:textId="33A9B2F9" w:rsidR="00244CE7" w:rsidRPr="00244CE7" w:rsidRDefault="00244CE7" w:rsidP="00244CE7">
            <w:pPr>
              <w:rPr>
                <w:rFonts w:cs="Arial"/>
              </w:rPr>
            </w:pPr>
            <w:r w:rsidRPr="00244CE7">
              <w:rPr>
                <w:b/>
                <w:bCs/>
              </w:rPr>
              <w:t>%</w:t>
            </w:r>
          </w:p>
        </w:tc>
        <w:tc>
          <w:tcPr>
            <w:tcW w:w="1326" w:type="dxa"/>
          </w:tcPr>
          <w:p w14:paraId="3201E7F3" w14:textId="1043B67A" w:rsidR="00244CE7" w:rsidRPr="00244CE7" w:rsidRDefault="00244CE7" w:rsidP="00244CE7">
            <w:pPr>
              <w:rPr>
                <w:rFonts w:cs="Arial"/>
              </w:rPr>
            </w:pPr>
            <w:r w:rsidRPr="00244CE7">
              <w:rPr>
                <w:b/>
                <w:bCs/>
              </w:rPr>
              <w:t>%</w:t>
            </w:r>
          </w:p>
        </w:tc>
        <w:tc>
          <w:tcPr>
            <w:tcW w:w="3031" w:type="dxa"/>
          </w:tcPr>
          <w:p w14:paraId="0E2C2AD9" w14:textId="77777777" w:rsidR="00244CE7" w:rsidRPr="00244CE7" w:rsidRDefault="00244CE7" w:rsidP="00244CE7">
            <w:pPr>
              <w:rPr>
                <w:rFonts w:cs="Arial"/>
              </w:rPr>
            </w:pPr>
          </w:p>
        </w:tc>
        <w:tc>
          <w:tcPr>
            <w:tcW w:w="1317" w:type="dxa"/>
          </w:tcPr>
          <w:p w14:paraId="4F748AF1" w14:textId="77777777" w:rsidR="00244CE7" w:rsidRPr="00244CE7" w:rsidRDefault="00244CE7" w:rsidP="00244CE7">
            <w:pPr>
              <w:rPr>
                <w:rFonts w:cs="Arial"/>
              </w:rPr>
            </w:pPr>
          </w:p>
        </w:tc>
      </w:tr>
      <w:tr w:rsidR="00244CE7" w14:paraId="36548BE4" w14:textId="77777777" w:rsidTr="00244CE7">
        <w:tc>
          <w:tcPr>
            <w:tcW w:w="2600" w:type="dxa"/>
          </w:tcPr>
          <w:p w14:paraId="2395BBA1" w14:textId="10BC2CC2" w:rsidR="00244CE7" w:rsidRPr="00244CE7" w:rsidRDefault="00244CE7" w:rsidP="00244CE7">
            <w:pPr>
              <w:rPr>
                <w:rFonts w:cs="Arial"/>
              </w:rPr>
            </w:pPr>
            <w:r w:rsidRPr="00244CE7">
              <w:rPr>
                <w:b/>
                <w:bCs/>
              </w:rPr>
              <w:t>Всички пациенти</w:t>
            </w:r>
          </w:p>
        </w:tc>
        <w:tc>
          <w:tcPr>
            <w:tcW w:w="1302" w:type="dxa"/>
          </w:tcPr>
          <w:p w14:paraId="424BE428" w14:textId="1E0DB810" w:rsidR="00244CE7" w:rsidRPr="00244CE7" w:rsidRDefault="00244CE7" w:rsidP="00244CE7">
            <w:pPr>
              <w:rPr>
                <w:rFonts w:cs="Arial"/>
              </w:rPr>
            </w:pPr>
            <w:r w:rsidRPr="00244CE7">
              <w:rPr>
                <w:b/>
                <w:bCs/>
                <w:lang w:val="en-US"/>
              </w:rPr>
              <w:t>n</w:t>
            </w:r>
            <w:r w:rsidRPr="00244CE7">
              <w:rPr>
                <w:b/>
                <w:bCs/>
              </w:rPr>
              <w:t xml:space="preserve"> = 4 645</w:t>
            </w:r>
          </w:p>
        </w:tc>
        <w:tc>
          <w:tcPr>
            <w:tcW w:w="1326" w:type="dxa"/>
          </w:tcPr>
          <w:p w14:paraId="747CB61C" w14:textId="0F5B1063" w:rsidR="00244CE7" w:rsidRPr="00244CE7" w:rsidRDefault="00244CE7" w:rsidP="00244CE7">
            <w:pPr>
              <w:rPr>
                <w:rFonts w:cs="Arial"/>
              </w:rPr>
            </w:pPr>
            <w:r w:rsidRPr="00244CE7">
              <w:rPr>
                <w:b/>
                <w:bCs/>
                <w:lang w:val="en-US"/>
              </w:rPr>
              <w:t>n</w:t>
            </w:r>
            <w:r w:rsidRPr="00244CE7">
              <w:rPr>
                <w:b/>
                <w:bCs/>
              </w:rPr>
              <w:t xml:space="preserve"> = 4 652</w:t>
            </w:r>
          </w:p>
        </w:tc>
        <w:tc>
          <w:tcPr>
            <w:tcW w:w="3031" w:type="dxa"/>
          </w:tcPr>
          <w:p w14:paraId="6F63395E" w14:textId="77777777" w:rsidR="00244CE7" w:rsidRPr="00244CE7" w:rsidRDefault="00244CE7" w:rsidP="00244CE7">
            <w:pPr>
              <w:rPr>
                <w:rFonts w:cs="Arial"/>
              </w:rPr>
            </w:pPr>
          </w:p>
        </w:tc>
        <w:tc>
          <w:tcPr>
            <w:tcW w:w="1317" w:type="dxa"/>
          </w:tcPr>
          <w:p w14:paraId="4C9CCC40" w14:textId="77777777" w:rsidR="00244CE7" w:rsidRPr="00244CE7" w:rsidRDefault="00244CE7" w:rsidP="00244CE7">
            <w:pPr>
              <w:rPr>
                <w:rFonts w:cs="Arial"/>
              </w:rPr>
            </w:pPr>
          </w:p>
        </w:tc>
      </w:tr>
      <w:tr w:rsidR="00244CE7" w14:paraId="1C5E7D2C" w14:textId="77777777" w:rsidTr="00244CE7">
        <w:tc>
          <w:tcPr>
            <w:tcW w:w="2600" w:type="dxa"/>
          </w:tcPr>
          <w:p w14:paraId="64877F18" w14:textId="33905FE3" w:rsidR="00244CE7" w:rsidRPr="00244CE7" w:rsidRDefault="00244CE7" w:rsidP="00244CE7">
            <w:pPr>
              <w:rPr>
                <w:rFonts w:cs="Arial"/>
              </w:rPr>
            </w:pPr>
            <w:r w:rsidRPr="00244CE7">
              <w:rPr>
                <w:b/>
                <w:bCs/>
              </w:rPr>
              <w:t>(Първично комбинирани събития</w:t>
            </w:r>
          </w:p>
        </w:tc>
        <w:tc>
          <w:tcPr>
            <w:tcW w:w="1302" w:type="dxa"/>
          </w:tcPr>
          <w:p w14:paraId="3D23B0AF" w14:textId="44BB4A9A" w:rsidR="00244CE7" w:rsidRPr="00244CE7" w:rsidRDefault="00244CE7" w:rsidP="00244CE7">
            <w:pPr>
              <w:rPr>
                <w:rFonts w:cs="Arial"/>
              </w:rPr>
            </w:pPr>
            <w:r w:rsidRPr="00244CE7">
              <w:rPr>
                <w:b/>
                <w:bCs/>
              </w:rPr>
              <w:t>14,0</w:t>
            </w:r>
          </w:p>
        </w:tc>
        <w:tc>
          <w:tcPr>
            <w:tcW w:w="1326" w:type="dxa"/>
          </w:tcPr>
          <w:p w14:paraId="1D3DF1CF" w14:textId="6029C631" w:rsidR="00244CE7" w:rsidRPr="00244CE7" w:rsidRDefault="00244CE7" w:rsidP="00244CE7">
            <w:pPr>
              <w:rPr>
                <w:rFonts w:cs="Arial"/>
              </w:rPr>
            </w:pPr>
            <w:r w:rsidRPr="00244CE7">
              <w:rPr>
                <w:b/>
                <w:bCs/>
              </w:rPr>
              <w:t>17,8</w:t>
            </w:r>
          </w:p>
        </w:tc>
        <w:tc>
          <w:tcPr>
            <w:tcW w:w="3031" w:type="dxa"/>
          </w:tcPr>
          <w:p w14:paraId="6C724992" w14:textId="3DA5343F" w:rsidR="00244CE7" w:rsidRPr="00244CE7" w:rsidRDefault="00244CE7" w:rsidP="00244CE7">
            <w:pPr>
              <w:rPr>
                <w:rFonts w:cs="Arial"/>
              </w:rPr>
            </w:pPr>
            <w:r w:rsidRPr="00244CE7">
              <w:rPr>
                <w:b/>
                <w:bCs/>
              </w:rPr>
              <w:t>0,78 (0,70-0,86)</w:t>
            </w:r>
          </w:p>
        </w:tc>
        <w:tc>
          <w:tcPr>
            <w:tcW w:w="1317" w:type="dxa"/>
          </w:tcPr>
          <w:p w14:paraId="777D48CB" w14:textId="05D224B0" w:rsidR="00244CE7" w:rsidRPr="00244CE7" w:rsidRDefault="00244CE7" w:rsidP="00244CE7">
            <w:pPr>
              <w:rPr>
                <w:rFonts w:cs="Arial"/>
              </w:rPr>
            </w:pPr>
            <w:r w:rsidRPr="00244CE7">
              <w:rPr>
                <w:b/>
                <w:bCs/>
              </w:rPr>
              <w:t>&lt;0,001</w:t>
            </w:r>
          </w:p>
        </w:tc>
      </w:tr>
      <w:tr w:rsidR="00244CE7" w14:paraId="70DE9F55" w14:textId="77777777" w:rsidTr="00244CE7">
        <w:tc>
          <w:tcPr>
            <w:tcW w:w="2600" w:type="dxa"/>
          </w:tcPr>
          <w:p w14:paraId="6FF4CA56" w14:textId="69D63892" w:rsidR="00244CE7" w:rsidRPr="00244CE7" w:rsidRDefault="00244CE7" w:rsidP="00244CE7">
            <w:pPr>
              <w:rPr>
                <w:rFonts w:cs="Arial"/>
              </w:rPr>
            </w:pPr>
            <w:r w:rsidRPr="00244CE7">
              <w:rPr>
                <w:i/>
                <w:iCs/>
              </w:rPr>
              <w:t>Миокарден инфаркт</w:t>
            </w:r>
          </w:p>
        </w:tc>
        <w:tc>
          <w:tcPr>
            <w:tcW w:w="1302" w:type="dxa"/>
          </w:tcPr>
          <w:p w14:paraId="1D033EC7" w14:textId="5A452190" w:rsidR="00244CE7" w:rsidRPr="00244CE7" w:rsidRDefault="00244CE7" w:rsidP="00244CE7">
            <w:pPr>
              <w:rPr>
                <w:rFonts w:cs="Arial"/>
              </w:rPr>
            </w:pPr>
            <w:r w:rsidRPr="00244CE7">
              <w:rPr>
                <w:i/>
                <w:iCs/>
              </w:rPr>
              <w:t>9,9</w:t>
            </w:r>
          </w:p>
        </w:tc>
        <w:tc>
          <w:tcPr>
            <w:tcW w:w="1326" w:type="dxa"/>
          </w:tcPr>
          <w:p w14:paraId="208C23BF" w14:textId="29257A10" w:rsidR="00244CE7" w:rsidRPr="00244CE7" w:rsidRDefault="00244CE7" w:rsidP="00244CE7">
            <w:pPr>
              <w:rPr>
                <w:rFonts w:cs="Arial"/>
              </w:rPr>
            </w:pPr>
            <w:r w:rsidRPr="00244CE7">
              <w:rPr>
                <w:i/>
                <w:iCs/>
              </w:rPr>
              <w:t>12,3</w:t>
            </w:r>
          </w:p>
        </w:tc>
        <w:tc>
          <w:tcPr>
            <w:tcW w:w="3031" w:type="dxa"/>
          </w:tcPr>
          <w:p w14:paraId="3B442CDB" w14:textId="1DC88F1B" w:rsidR="00244CE7" w:rsidRPr="00244CE7" w:rsidRDefault="00244CE7" w:rsidP="00244CE7">
            <w:pPr>
              <w:rPr>
                <w:rFonts w:cs="Arial"/>
              </w:rPr>
            </w:pPr>
            <w:r w:rsidRPr="00244CE7">
              <w:rPr>
                <w:i/>
                <w:iCs/>
              </w:rPr>
              <w:t>0,80(0,70-0,90)</w:t>
            </w:r>
          </w:p>
        </w:tc>
        <w:tc>
          <w:tcPr>
            <w:tcW w:w="1317" w:type="dxa"/>
          </w:tcPr>
          <w:p w14:paraId="41799890" w14:textId="3226C9BD" w:rsidR="00244CE7" w:rsidRPr="00244CE7" w:rsidRDefault="00244CE7" w:rsidP="00244CE7">
            <w:pPr>
              <w:rPr>
                <w:rFonts w:cs="Arial"/>
              </w:rPr>
            </w:pPr>
            <w:r w:rsidRPr="00244CE7">
              <w:rPr>
                <w:i/>
                <w:iCs/>
              </w:rPr>
              <w:t>&lt; 0,001</w:t>
            </w:r>
          </w:p>
        </w:tc>
      </w:tr>
      <w:tr w:rsidR="00244CE7" w14:paraId="45147B5E" w14:textId="77777777" w:rsidTr="00244CE7">
        <w:tc>
          <w:tcPr>
            <w:tcW w:w="2600" w:type="dxa"/>
          </w:tcPr>
          <w:p w14:paraId="2793639C" w14:textId="151623B7" w:rsidR="00244CE7" w:rsidRPr="00244CE7" w:rsidRDefault="00244CE7" w:rsidP="00244CE7">
            <w:pPr>
              <w:rPr>
                <w:rFonts w:cs="Arial"/>
              </w:rPr>
            </w:pPr>
            <w:r w:rsidRPr="00244CE7">
              <w:rPr>
                <w:i/>
                <w:iCs/>
              </w:rPr>
              <w:t>Сърдечно-съдова смърт</w:t>
            </w:r>
          </w:p>
        </w:tc>
        <w:tc>
          <w:tcPr>
            <w:tcW w:w="1302" w:type="dxa"/>
          </w:tcPr>
          <w:p w14:paraId="5C612885" w14:textId="0D64E4F9" w:rsidR="00244CE7" w:rsidRPr="00244CE7" w:rsidRDefault="00244CE7" w:rsidP="00244CE7">
            <w:pPr>
              <w:rPr>
                <w:rFonts w:cs="Arial"/>
              </w:rPr>
            </w:pPr>
            <w:r w:rsidRPr="00244CE7">
              <w:rPr>
                <w:i/>
                <w:iCs/>
              </w:rPr>
              <w:t>6,1</w:t>
            </w:r>
          </w:p>
        </w:tc>
        <w:tc>
          <w:tcPr>
            <w:tcW w:w="1326" w:type="dxa"/>
          </w:tcPr>
          <w:p w14:paraId="165C4FC9" w14:textId="72B0CE7D" w:rsidR="00244CE7" w:rsidRPr="00244CE7" w:rsidRDefault="00244CE7" w:rsidP="00244CE7">
            <w:pPr>
              <w:rPr>
                <w:rFonts w:cs="Arial"/>
              </w:rPr>
            </w:pPr>
            <w:r w:rsidRPr="00244CE7">
              <w:rPr>
                <w:i/>
                <w:iCs/>
              </w:rPr>
              <w:t>8,1</w:t>
            </w:r>
          </w:p>
        </w:tc>
        <w:tc>
          <w:tcPr>
            <w:tcW w:w="3031" w:type="dxa"/>
          </w:tcPr>
          <w:p w14:paraId="6E6D80D9" w14:textId="03EE8DCC" w:rsidR="00244CE7" w:rsidRPr="00244CE7" w:rsidRDefault="00244CE7" w:rsidP="00244CE7">
            <w:pPr>
              <w:rPr>
                <w:rFonts w:cs="Arial"/>
              </w:rPr>
            </w:pPr>
            <w:r w:rsidRPr="00244CE7">
              <w:rPr>
                <w:i/>
                <w:iCs/>
              </w:rPr>
              <w:t>0,74(0,64-0,87)</w:t>
            </w:r>
          </w:p>
        </w:tc>
        <w:tc>
          <w:tcPr>
            <w:tcW w:w="1317" w:type="dxa"/>
          </w:tcPr>
          <w:p w14:paraId="79F4F2D3" w14:textId="71C26C4D" w:rsidR="00244CE7" w:rsidRPr="00244CE7" w:rsidRDefault="00244CE7" w:rsidP="00244CE7">
            <w:pPr>
              <w:rPr>
                <w:rFonts w:cs="Arial"/>
              </w:rPr>
            </w:pPr>
            <w:r w:rsidRPr="00244CE7">
              <w:rPr>
                <w:i/>
                <w:iCs/>
              </w:rPr>
              <w:t>&lt; 0,001</w:t>
            </w:r>
          </w:p>
        </w:tc>
      </w:tr>
      <w:tr w:rsidR="00244CE7" w14:paraId="759C7CBC" w14:textId="77777777" w:rsidTr="00244CE7">
        <w:tc>
          <w:tcPr>
            <w:tcW w:w="2600" w:type="dxa"/>
          </w:tcPr>
          <w:p w14:paraId="3DCDA296" w14:textId="4AC1B1B8" w:rsidR="00244CE7" w:rsidRPr="00244CE7" w:rsidRDefault="00244CE7" w:rsidP="00244CE7">
            <w:pPr>
              <w:rPr>
                <w:rFonts w:cs="Arial"/>
              </w:rPr>
            </w:pPr>
            <w:r w:rsidRPr="00244CE7">
              <w:rPr>
                <w:i/>
                <w:iCs/>
              </w:rPr>
              <w:t>Инсулт</w:t>
            </w:r>
          </w:p>
        </w:tc>
        <w:tc>
          <w:tcPr>
            <w:tcW w:w="1302" w:type="dxa"/>
          </w:tcPr>
          <w:p w14:paraId="14E31B61" w14:textId="03CBC17B" w:rsidR="00244CE7" w:rsidRPr="00244CE7" w:rsidRDefault="00244CE7" w:rsidP="00244CE7">
            <w:pPr>
              <w:rPr>
                <w:rFonts w:cs="Arial"/>
              </w:rPr>
            </w:pPr>
            <w:r w:rsidRPr="00244CE7">
              <w:rPr>
                <w:i/>
                <w:iCs/>
              </w:rPr>
              <w:t>3,4</w:t>
            </w:r>
          </w:p>
        </w:tc>
        <w:tc>
          <w:tcPr>
            <w:tcW w:w="1326" w:type="dxa"/>
          </w:tcPr>
          <w:p w14:paraId="679E0545" w14:textId="3ACA32CC" w:rsidR="00244CE7" w:rsidRPr="00244CE7" w:rsidRDefault="00244CE7" w:rsidP="00244CE7">
            <w:pPr>
              <w:rPr>
                <w:rFonts w:cs="Arial"/>
              </w:rPr>
            </w:pPr>
            <w:r w:rsidRPr="00244CE7">
              <w:rPr>
                <w:i/>
                <w:iCs/>
              </w:rPr>
              <w:t>4,9</w:t>
            </w:r>
          </w:p>
        </w:tc>
        <w:tc>
          <w:tcPr>
            <w:tcW w:w="3031" w:type="dxa"/>
          </w:tcPr>
          <w:p w14:paraId="343D0846" w14:textId="7A0B8EE7" w:rsidR="00244CE7" w:rsidRPr="00244CE7" w:rsidRDefault="00244CE7" w:rsidP="00244CE7">
            <w:pPr>
              <w:rPr>
                <w:rFonts w:cs="Arial"/>
              </w:rPr>
            </w:pPr>
            <w:r w:rsidRPr="00244CE7">
              <w:rPr>
                <w:i/>
                <w:iCs/>
              </w:rPr>
              <w:t>0,68 (0,56-0,84)</w:t>
            </w:r>
          </w:p>
        </w:tc>
        <w:tc>
          <w:tcPr>
            <w:tcW w:w="1317" w:type="dxa"/>
          </w:tcPr>
          <w:p w14:paraId="247347F6" w14:textId="2876291C" w:rsidR="00244CE7" w:rsidRPr="00244CE7" w:rsidRDefault="00244CE7" w:rsidP="00244CE7">
            <w:pPr>
              <w:rPr>
                <w:rFonts w:cs="Arial"/>
              </w:rPr>
            </w:pPr>
            <w:r w:rsidRPr="00244CE7">
              <w:rPr>
                <w:i/>
                <w:iCs/>
              </w:rPr>
              <w:t>&lt; 0,001</w:t>
            </w:r>
          </w:p>
        </w:tc>
      </w:tr>
      <w:tr w:rsidR="00244CE7" w14:paraId="2125DB85" w14:textId="77777777" w:rsidTr="006C63A3">
        <w:tc>
          <w:tcPr>
            <w:tcW w:w="9576" w:type="dxa"/>
            <w:gridSpan w:val="5"/>
          </w:tcPr>
          <w:p w14:paraId="0208A81C" w14:textId="72AC88FE" w:rsidR="00244CE7" w:rsidRPr="00244CE7" w:rsidRDefault="00244CE7" w:rsidP="00244CE7">
            <w:pPr>
              <w:rPr>
                <w:rFonts w:cs="Arial"/>
                <w:b/>
              </w:rPr>
            </w:pPr>
            <w:r w:rsidRPr="00244CE7">
              <w:rPr>
                <w:b/>
              </w:rPr>
              <w:t>Вторични крайни точки</w:t>
            </w:r>
          </w:p>
        </w:tc>
      </w:tr>
      <w:tr w:rsidR="00244CE7" w14:paraId="540727D5" w14:textId="77777777" w:rsidTr="00244CE7">
        <w:tc>
          <w:tcPr>
            <w:tcW w:w="2600" w:type="dxa"/>
          </w:tcPr>
          <w:p w14:paraId="446335C6" w14:textId="6CA93702" w:rsidR="00244CE7" w:rsidRPr="00244CE7" w:rsidRDefault="00244CE7" w:rsidP="00244CE7">
            <w:pPr>
              <w:rPr>
                <w:rFonts w:cs="Arial"/>
              </w:rPr>
            </w:pPr>
            <w:r w:rsidRPr="00244CE7">
              <w:rPr>
                <w:i/>
                <w:iCs/>
              </w:rPr>
              <w:t>Смърт по всякаква причина</w:t>
            </w:r>
          </w:p>
        </w:tc>
        <w:tc>
          <w:tcPr>
            <w:tcW w:w="1302" w:type="dxa"/>
          </w:tcPr>
          <w:p w14:paraId="2D12BDD1" w14:textId="32B04083" w:rsidR="00244CE7" w:rsidRPr="00244CE7" w:rsidRDefault="00244CE7" w:rsidP="00244CE7">
            <w:pPr>
              <w:rPr>
                <w:rFonts w:cs="Arial"/>
              </w:rPr>
            </w:pPr>
            <w:r w:rsidRPr="00244CE7">
              <w:rPr>
                <w:i/>
                <w:iCs/>
              </w:rPr>
              <w:t>10,4</w:t>
            </w:r>
          </w:p>
        </w:tc>
        <w:tc>
          <w:tcPr>
            <w:tcW w:w="1326" w:type="dxa"/>
          </w:tcPr>
          <w:p w14:paraId="4308C4A8" w14:textId="2EA7B3F0" w:rsidR="00244CE7" w:rsidRPr="00244CE7" w:rsidRDefault="00244CE7" w:rsidP="00244CE7">
            <w:pPr>
              <w:rPr>
                <w:rFonts w:cs="Arial"/>
              </w:rPr>
            </w:pPr>
            <w:r w:rsidRPr="00244CE7">
              <w:rPr>
                <w:i/>
                <w:iCs/>
              </w:rPr>
              <w:t>12,2</w:t>
            </w:r>
          </w:p>
        </w:tc>
        <w:tc>
          <w:tcPr>
            <w:tcW w:w="3031" w:type="dxa"/>
          </w:tcPr>
          <w:p w14:paraId="426D30AE" w14:textId="72AEC990" w:rsidR="00244CE7" w:rsidRPr="00244CE7" w:rsidRDefault="00244CE7" w:rsidP="00244CE7">
            <w:pPr>
              <w:rPr>
                <w:rFonts w:cs="Arial"/>
              </w:rPr>
            </w:pPr>
            <w:r w:rsidRPr="00244CE7">
              <w:rPr>
                <w:i/>
                <w:iCs/>
              </w:rPr>
              <w:t>0,84(0,75-0,95)</w:t>
            </w:r>
          </w:p>
        </w:tc>
        <w:tc>
          <w:tcPr>
            <w:tcW w:w="1317" w:type="dxa"/>
          </w:tcPr>
          <w:p w14:paraId="71F16045" w14:textId="36778F2D" w:rsidR="00244CE7" w:rsidRPr="00244CE7" w:rsidRDefault="00244CE7" w:rsidP="00244CE7">
            <w:pPr>
              <w:rPr>
                <w:rFonts w:cs="Arial"/>
              </w:rPr>
            </w:pPr>
            <w:r w:rsidRPr="00244CE7">
              <w:rPr>
                <w:i/>
                <w:iCs/>
              </w:rPr>
              <w:t>0,005</w:t>
            </w:r>
          </w:p>
        </w:tc>
      </w:tr>
      <w:tr w:rsidR="00244CE7" w14:paraId="1C428AF7" w14:textId="77777777" w:rsidTr="00244CE7">
        <w:tc>
          <w:tcPr>
            <w:tcW w:w="2600" w:type="dxa"/>
          </w:tcPr>
          <w:p w14:paraId="318FFE75" w14:textId="23BC808D" w:rsidR="00244CE7" w:rsidRPr="00244CE7" w:rsidRDefault="00244CE7" w:rsidP="00244CE7">
            <w:pPr>
              <w:rPr>
                <w:rFonts w:cs="Arial"/>
              </w:rPr>
            </w:pPr>
            <w:r w:rsidRPr="00244CE7">
              <w:rPr>
                <w:i/>
                <w:iCs/>
              </w:rPr>
              <w:t>Необходимост от уеваскуларизация</w:t>
            </w:r>
          </w:p>
        </w:tc>
        <w:tc>
          <w:tcPr>
            <w:tcW w:w="1302" w:type="dxa"/>
          </w:tcPr>
          <w:p w14:paraId="7C218D71" w14:textId="119C547A" w:rsidR="00244CE7" w:rsidRPr="00244CE7" w:rsidRDefault="00244CE7" w:rsidP="00244CE7">
            <w:pPr>
              <w:rPr>
                <w:rFonts w:cs="Arial"/>
              </w:rPr>
            </w:pPr>
            <w:r w:rsidRPr="00244CE7">
              <w:rPr>
                <w:i/>
                <w:iCs/>
              </w:rPr>
              <w:t>16,0</w:t>
            </w:r>
          </w:p>
        </w:tc>
        <w:tc>
          <w:tcPr>
            <w:tcW w:w="1326" w:type="dxa"/>
          </w:tcPr>
          <w:p w14:paraId="2E3C1812" w14:textId="35618917" w:rsidR="00244CE7" w:rsidRPr="00244CE7" w:rsidRDefault="00244CE7" w:rsidP="00244CE7">
            <w:pPr>
              <w:rPr>
                <w:rFonts w:cs="Arial"/>
              </w:rPr>
            </w:pPr>
            <w:r w:rsidRPr="00244CE7">
              <w:rPr>
                <w:i/>
                <w:iCs/>
              </w:rPr>
              <w:t>18,3</w:t>
            </w:r>
          </w:p>
        </w:tc>
        <w:tc>
          <w:tcPr>
            <w:tcW w:w="3031" w:type="dxa"/>
          </w:tcPr>
          <w:p w14:paraId="5274334B" w14:textId="79D4F6BE" w:rsidR="00244CE7" w:rsidRPr="00244CE7" w:rsidRDefault="00244CE7" w:rsidP="00244CE7">
            <w:pPr>
              <w:rPr>
                <w:rFonts w:cs="Arial"/>
              </w:rPr>
            </w:pPr>
            <w:r w:rsidRPr="00244CE7">
              <w:rPr>
                <w:i/>
                <w:iCs/>
              </w:rPr>
              <w:t>0,85 (0,77-0,94)</w:t>
            </w:r>
          </w:p>
        </w:tc>
        <w:tc>
          <w:tcPr>
            <w:tcW w:w="1317" w:type="dxa"/>
          </w:tcPr>
          <w:p w14:paraId="4EE0AC65" w14:textId="7A0ACA7C" w:rsidR="00244CE7" w:rsidRPr="00244CE7" w:rsidRDefault="00244CE7" w:rsidP="00244CE7">
            <w:pPr>
              <w:rPr>
                <w:rFonts w:cs="Arial"/>
              </w:rPr>
            </w:pPr>
            <w:r w:rsidRPr="00244CE7">
              <w:rPr>
                <w:i/>
                <w:iCs/>
              </w:rPr>
              <w:t>0,002</w:t>
            </w:r>
          </w:p>
        </w:tc>
      </w:tr>
      <w:tr w:rsidR="00244CE7" w14:paraId="34D7F386" w14:textId="77777777" w:rsidTr="00244CE7">
        <w:tc>
          <w:tcPr>
            <w:tcW w:w="2600" w:type="dxa"/>
          </w:tcPr>
          <w:p w14:paraId="3FD9EB44" w14:textId="0B06F3CE" w:rsidR="00244CE7" w:rsidRPr="00244CE7" w:rsidRDefault="00244CE7" w:rsidP="00244CE7">
            <w:pPr>
              <w:rPr>
                <w:rFonts w:cs="Arial"/>
              </w:rPr>
            </w:pPr>
            <w:r w:rsidRPr="00244CE7">
              <w:rPr>
                <w:i/>
                <w:iCs/>
              </w:rPr>
              <w:t>Хоспитализация поради нестабилна ангина</w:t>
            </w:r>
          </w:p>
        </w:tc>
        <w:tc>
          <w:tcPr>
            <w:tcW w:w="1302" w:type="dxa"/>
          </w:tcPr>
          <w:p w14:paraId="262358C3" w14:textId="24C3E9F3" w:rsidR="00244CE7" w:rsidRPr="00244CE7" w:rsidRDefault="00244CE7" w:rsidP="00244CE7">
            <w:pPr>
              <w:rPr>
                <w:rFonts w:cs="Arial"/>
              </w:rPr>
            </w:pPr>
            <w:r w:rsidRPr="00244CE7">
              <w:rPr>
                <w:i/>
                <w:iCs/>
              </w:rPr>
              <w:t>12,1</w:t>
            </w:r>
          </w:p>
        </w:tc>
        <w:tc>
          <w:tcPr>
            <w:tcW w:w="1326" w:type="dxa"/>
          </w:tcPr>
          <w:p w14:paraId="3510E823" w14:textId="0AF2C707" w:rsidR="00244CE7" w:rsidRPr="00244CE7" w:rsidRDefault="00244CE7" w:rsidP="00244CE7">
            <w:pPr>
              <w:rPr>
                <w:rFonts w:cs="Arial"/>
              </w:rPr>
            </w:pPr>
            <w:r w:rsidRPr="00244CE7">
              <w:rPr>
                <w:i/>
                <w:iCs/>
              </w:rPr>
              <w:t>12,3</w:t>
            </w:r>
          </w:p>
        </w:tc>
        <w:tc>
          <w:tcPr>
            <w:tcW w:w="3031" w:type="dxa"/>
          </w:tcPr>
          <w:p w14:paraId="64A66280" w14:textId="1ECA106A" w:rsidR="00244CE7" w:rsidRPr="00244CE7" w:rsidRDefault="00244CE7" w:rsidP="00244CE7">
            <w:pPr>
              <w:rPr>
                <w:rFonts w:cs="Arial"/>
              </w:rPr>
            </w:pPr>
            <w:r w:rsidRPr="00244CE7">
              <w:rPr>
                <w:i/>
                <w:iCs/>
              </w:rPr>
              <w:t>0,98 (0,87-1,10)</w:t>
            </w:r>
          </w:p>
        </w:tc>
        <w:tc>
          <w:tcPr>
            <w:tcW w:w="1317" w:type="dxa"/>
          </w:tcPr>
          <w:p w14:paraId="5E1DB5E5" w14:textId="48E4872D" w:rsidR="00244CE7" w:rsidRPr="00244CE7" w:rsidRDefault="00244CE7" w:rsidP="00244CE7">
            <w:pPr>
              <w:rPr>
                <w:rFonts w:cs="Arial"/>
              </w:rPr>
            </w:pPr>
            <w:r w:rsidRPr="00244CE7">
              <w:rPr>
                <w:i/>
                <w:iCs/>
                <w:lang w:val="en-US"/>
              </w:rPr>
              <w:t>NS</w:t>
            </w:r>
          </w:p>
        </w:tc>
      </w:tr>
      <w:tr w:rsidR="00244CE7" w14:paraId="58F2A479" w14:textId="77777777" w:rsidTr="00244CE7">
        <w:tc>
          <w:tcPr>
            <w:tcW w:w="2600" w:type="dxa"/>
          </w:tcPr>
          <w:p w14:paraId="5BA633A5" w14:textId="0222ACEE" w:rsidR="00244CE7" w:rsidRPr="00244CE7" w:rsidRDefault="00244CE7" w:rsidP="00244CE7">
            <w:pPr>
              <w:rPr>
                <w:rFonts w:cs="Arial"/>
              </w:rPr>
            </w:pPr>
            <w:r w:rsidRPr="00244CE7">
              <w:rPr>
                <w:i/>
                <w:iCs/>
              </w:rPr>
              <w:lastRenderedPageBreak/>
              <w:t>Хоспитализация поради сърдечна недостатъчност</w:t>
            </w:r>
          </w:p>
        </w:tc>
        <w:tc>
          <w:tcPr>
            <w:tcW w:w="1302" w:type="dxa"/>
          </w:tcPr>
          <w:p w14:paraId="12182439" w14:textId="0750E94D" w:rsidR="00244CE7" w:rsidRPr="00244CE7" w:rsidRDefault="00244CE7" w:rsidP="00244CE7">
            <w:pPr>
              <w:rPr>
                <w:rFonts w:cs="Arial"/>
              </w:rPr>
            </w:pPr>
            <w:r w:rsidRPr="00244CE7">
              <w:rPr>
                <w:i/>
                <w:iCs/>
              </w:rPr>
              <w:t>3,2</w:t>
            </w:r>
          </w:p>
        </w:tc>
        <w:tc>
          <w:tcPr>
            <w:tcW w:w="1326" w:type="dxa"/>
          </w:tcPr>
          <w:p w14:paraId="43326C08" w14:textId="4612E35A" w:rsidR="00244CE7" w:rsidRPr="00244CE7" w:rsidRDefault="00244CE7" w:rsidP="00244CE7">
            <w:pPr>
              <w:rPr>
                <w:rFonts w:cs="Arial"/>
              </w:rPr>
            </w:pPr>
            <w:r w:rsidRPr="00244CE7">
              <w:rPr>
                <w:i/>
                <w:iCs/>
              </w:rPr>
              <w:t>3,5</w:t>
            </w:r>
          </w:p>
        </w:tc>
        <w:tc>
          <w:tcPr>
            <w:tcW w:w="3031" w:type="dxa"/>
          </w:tcPr>
          <w:p w14:paraId="00675A22" w14:textId="5DA8BCE4" w:rsidR="00244CE7" w:rsidRPr="00244CE7" w:rsidRDefault="00244CE7" w:rsidP="00244CE7">
            <w:pPr>
              <w:rPr>
                <w:rFonts w:cs="Arial"/>
              </w:rPr>
            </w:pPr>
            <w:r w:rsidRPr="00244CE7">
              <w:rPr>
                <w:i/>
                <w:iCs/>
              </w:rPr>
              <w:t>0,88(0,70-1,10)</w:t>
            </w:r>
          </w:p>
        </w:tc>
        <w:tc>
          <w:tcPr>
            <w:tcW w:w="1317" w:type="dxa"/>
          </w:tcPr>
          <w:p w14:paraId="17F97B0F" w14:textId="2D635324" w:rsidR="00244CE7" w:rsidRPr="00244CE7" w:rsidRDefault="00244CE7" w:rsidP="00244CE7">
            <w:pPr>
              <w:rPr>
                <w:rFonts w:cs="Arial"/>
              </w:rPr>
            </w:pPr>
            <w:r w:rsidRPr="00244CE7">
              <w:rPr>
                <w:i/>
                <w:iCs/>
              </w:rPr>
              <w:t>0,25</w:t>
            </w:r>
          </w:p>
        </w:tc>
      </w:tr>
      <w:tr w:rsidR="00244CE7" w14:paraId="1038C0CC" w14:textId="77777777" w:rsidTr="00244CE7">
        <w:tc>
          <w:tcPr>
            <w:tcW w:w="2600" w:type="dxa"/>
          </w:tcPr>
          <w:p w14:paraId="6F9C9CBD" w14:textId="56795D86" w:rsidR="00244CE7" w:rsidRPr="00244CE7" w:rsidRDefault="00244CE7" w:rsidP="00244CE7">
            <w:pPr>
              <w:rPr>
                <w:rFonts w:cs="Arial"/>
              </w:rPr>
            </w:pPr>
            <w:r w:rsidRPr="00244CE7">
              <w:rPr>
                <w:i/>
                <w:iCs/>
              </w:rPr>
              <w:t>Усложнения, свързани с диабет</w:t>
            </w:r>
          </w:p>
        </w:tc>
        <w:tc>
          <w:tcPr>
            <w:tcW w:w="1302" w:type="dxa"/>
          </w:tcPr>
          <w:p w14:paraId="6635E875" w14:textId="0905C888" w:rsidR="00244CE7" w:rsidRPr="00244CE7" w:rsidRDefault="00244CE7" w:rsidP="00244CE7">
            <w:pPr>
              <w:rPr>
                <w:rFonts w:cs="Arial"/>
              </w:rPr>
            </w:pPr>
            <w:r w:rsidRPr="00244CE7">
              <w:rPr>
                <w:i/>
                <w:iCs/>
              </w:rPr>
              <w:t>6,4</w:t>
            </w:r>
          </w:p>
        </w:tc>
        <w:tc>
          <w:tcPr>
            <w:tcW w:w="1326" w:type="dxa"/>
          </w:tcPr>
          <w:p w14:paraId="3D23BCA0" w14:textId="3DEABDA2" w:rsidR="00244CE7" w:rsidRPr="00244CE7" w:rsidRDefault="00244CE7" w:rsidP="00244CE7">
            <w:pPr>
              <w:rPr>
                <w:rFonts w:cs="Arial"/>
              </w:rPr>
            </w:pPr>
            <w:r w:rsidRPr="00244CE7">
              <w:rPr>
                <w:i/>
                <w:iCs/>
              </w:rPr>
              <w:t>7,6</w:t>
            </w:r>
          </w:p>
        </w:tc>
        <w:tc>
          <w:tcPr>
            <w:tcW w:w="3031" w:type="dxa"/>
          </w:tcPr>
          <w:p w14:paraId="1F082416" w14:textId="7179BA7A" w:rsidR="00244CE7" w:rsidRPr="00244CE7" w:rsidRDefault="00244CE7" w:rsidP="00244CE7">
            <w:pPr>
              <w:rPr>
                <w:rFonts w:cs="Arial"/>
              </w:rPr>
            </w:pPr>
            <w:r w:rsidRPr="00244CE7">
              <w:rPr>
                <w:i/>
                <w:iCs/>
              </w:rPr>
              <w:t>0,84(0,72-0,98)</w:t>
            </w:r>
          </w:p>
        </w:tc>
        <w:tc>
          <w:tcPr>
            <w:tcW w:w="1317" w:type="dxa"/>
          </w:tcPr>
          <w:p w14:paraId="165D314B" w14:textId="65F3D739" w:rsidR="00244CE7" w:rsidRPr="00244CE7" w:rsidRDefault="00244CE7" w:rsidP="00244CE7">
            <w:pPr>
              <w:rPr>
                <w:rFonts w:cs="Arial"/>
              </w:rPr>
            </w:pPr>
            <w:r w:rsidRPr="00244CE7">
              <w:rPr>
                <w:i/>
                <w:iCs/>
              </w:rPr>
              <w:t>0,03</w:t>
            </w:r>
          </w:p>
        </w:tc>
      </w:tr>
    </w:tbl>
    <w:p w14:paraId="5D1A5E02" w14:textId="77777777" w:rsidR="00244CE7" w:rsidRDefault="00244CE7" w:rsidP="00244CE7">
      <w:pPr>
        <w:spacing w:line="240" w:lineRule="auto"/>
        <w:rPr>
          <w:rFonts w:eastAsia="Times New Roman" w:cs="Arial"/>
          <w:color w:val="000000"/>
          <w:lang w:eastAsia="bg-BG"/>
        </w:rPr>
      </w:pPr>
    </w:p>
    <w:p w14:paraId="375BFC5E" w14:textId="2284D634"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Изпитването </w:t>
      </w:r>
      <w:r w:rsidRPr="00244CE7">
        <w:rPr>
          <w:rFonts w:eastAsia="Times New Roman" w:cs="Arial"/>
          <w:color w:val="000000"/>
          <w:lang w:val="en-US"/>
        </w:rPr>
        <w:t>MICRO</w:t>
      </w:r>
      <w:r w:rsidRPr="00244CE7">
        <w:rPr>
          <w:rFonts w:eastAsia="Times New Roman" w:cs="Arial"/>
          <w:color w:val="000000"/>
          <w:lang w:val="ru-RU"/>
        </w:rPr>
        <w:t>-</w:t>
      </w:r>
      <w:r w:rsidRPr="00244CE7">
        <w:rPr>
          <w:rFonts w:eastAsia="Times New Roman" w:cs="Arial"/>
          <w:color w:val="000000"/>
          <w:lang w:val="en-US"/>
        </w:rPr>
        <w:t>HOPE</w:t>
      </w:r>
      <w:r w:rsidRPr="00244CE7">
        <w:rPr>
          <w:rFonts w:eastAsia="Times New Roman" w:cs="Arial"/>
          <w:color w:val="000000"/>
          <w:lang w:val="ru-RU"/>
        </w:rPr>
        <w:t xml:space="preserve">, </w:t>
      </w:r>
      <w:r w:rsidRPr="00244CE7">
        <w:rPr>
          <w:rFonts w:eastAsia="Times New Roman" w:cs="Arial"/>
          <w:color w:val="000000"/>
          <w:lang w:eastAsia="bg-BG"/>
        </w:rPr>
        <w:t xml:space="preserve">предварително определено подизпитване от НОРЕ, изследва ефекта от добавянето на рамиприл 10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t>към текущата схема на лечение спрямо плацебо при 3577 пациенти на 55-годишна възраст и по-възрастни (без горна граница на възрастта), като мнозинството са с диабет тип 2 (и поне един сърдечно-съдов рисков фактор), с нормално артериално налягане или хипертоници.</w:t>
      </w:r>
    </w:p>
    <w:p w14:paraId="5EED60C9"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Първичният анализ показва, че 117 (6,5%) от участниците на рамиприл и 149 (8,4%) от тези на плацебо развиват доказана нефропатия, което съответства на </w:t>
      </w:r>
      <w:r w:rsidRPr="00244CE7">
        <w:rPr>
          <w:rFonts w:eastAsia="Times New Roman" w:cs="Arial"/>
          <w:color w:val="000000"/>
          <w:lang w:val="en-US"/>
        </w:rPr>
        <w:t>RRR</w:t>
      </w:r>
      <w:r w:rsidRPr="00244CE7">
        <w:rPr>
          <w:rFonts w:eastAsia="Times New Roman" w:cs="Arial"/>
          <w:color w:val="000000"/>
          <w:lang w:val="ru-RU"/>
        </w:rPr>
        <w:t xml:space="preserve"> </w:t>
      </w:r>
      <w:r w:rsidRPr="00244CE7">
        <w:rPr>
          <w:rFonts w:eastAsia="Times New Roman" w:cs="Arial"/>
          <w:color w:val="000000"/>
          <w:lang w:eastAsia="bg-BG"/>
        </w:rPr>
        <w:t xml:space="preserve">24%, 95% </w:t>
      </w:r>
      <w:r w:rsidRPr="00244CE7">
        <w:rPr>
          <w:rFonts w:eastAsia="Times New Roman" w:cs="Arial"/>
          <w:color w:val="000000"/>
          <w:lang w:val="en-US"/>
        </w:rPr>
        <w:t>CI</w:t>
      </w:r>
      <w:r w:rsidRPr="00244CE7">
        <w:rPr>
          <w:rFonts w:eastAsia="Times New Roman" w:cs="Arial"/>
          <w:color w:val="000000"/>
          <w:lang w:val="ru-RU"/>
        </w:rPr>
        <w:t xml:space="preserve"> </w:t>
      </w:r>
      <w:r w:rsidRPr="00244CE7">
        <w:rPr>
          <w:rFonts w:eastAsia="Times New Roman" w:cs="Arial"/>
          <w:color w:val="000000"/>
          <w:lang w:eastAsia="bg-BG"/>
        </w:rPr>
        <w:t>[3-40], р = 0,027.</w:t>
      </w:r>
    </w:p>
    <w:p w14:paraId="53A6F987"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Изпитването </w:t>
      </w:r>
      <w:r w:rsidRPr="00244CE7">
        <w:rPr>
          <w:rFonts w:eastAsia="Times New Roman" w:cs="Arial"/>
          <w:color w:val="000000"/>
          <w:lang w:val="en-US"/>
        </w:rPr>
        <w:t>REIN</w:t>
      </w:r>
      <w:r w:rsidRPr="00244CE7">
        <w:rPr>
          <w:rFonts w:eastAsia="Times New Roman" w:cs="Arial"/>
          <w:color w:val="000000"/>
          <w:lang w:val="ru-RU"/>
        </w:rPr>
        <w:t xml:space="preserve"> </w:t>
      </w:r>
      <w:r w:rsidRPr="00244CE7">
        <w:rPr>
          <w:rFonts w:eastAsia="Times New Roman" w:cs="Arial"/>
          <w:color w:val="000000"/>
          <w:lang w:eastAsia="bg-BG"/>
        </w:rPr>
        <w:t xml:space="preserve">е многоцентрово, рандомизирано, двойносляпо, плацебо-контролирано изпитване с паралелни групи, целящо оценяване на ефекта от лечението с рамиприл върху честотата на влошаване на степента на гломерулна филтрация (СГФ) при 352 пациенти с нормално артериално налягане или хипертоници (18-70-годишна възраст), страдащи от лека (т.е. средна екскреция на протеин в урината &gt; 1 и &lt; 3 </w:t>
      </w:r>
      <w:r w:rsidRPr="00244CE7">
        <w:rPr>
          <w:rFonts w:eastAsia="Times New Roman" w:cs="Arial"/>
          <w:color w:val="000000"/>
          <w:lang w:val="en-US"/>
        </w:rPr>
        <w:t>g</w:t>
      </w:r>
      <w:r w:rsidRPr="00244CE7">
        <w:rPr>
          <w:rFonts w:eastAsia="Times New Roman" w:cs="Arial"/>
          <w:color w:val="000000"/>
          <w:lang w:val="ru-RU"/>
        </w:rPr>
        <w:t xml:space="preserve">/24 </w:t>
      </w:r>
      <w:r w:rsidRPr="00244CE7">
        <w:rPr>
          <w:rFonts w:eastAsia="Times New Roman" w:cs="Arial"/>
          <w:color w:val="000000"/>
          <w:lang w:eastAsia="bg-BG"/>
        </w:rPr>
        <w:t xml:space="preserve">часа) или тежка протеинурия (≥ </w:t>
      </w:r>
      <w:r w:rsidRPr="00244CE7">
        <w:rPr>
          <w:rFonts w:eastAsia="Times New Roman" w:cs="Arial"/>
          <w:i/>
          <w:iCs/>
          <w:color w:val="000000"/>
          <w:lang w:eastAsia="bg-BG"/>
        </w:rPr>
        <w:t xml:space="preserve">3 </w:t>
      </w:r>
      <w:r w:rsidRPr="00244CE7">
        <w:rPr>
          <w:rFonts w:eastAsia="Times New Roman" w:cs="Arial"/>
          <w:color w:val="000000"/>
          <w:lang w:val="en-US"/>
        </w:rPr>
        <w:t>g</w:t>
      </w:r>
      <w:r w:rsidRPr="00244CE7">
        <w:rPr>
          <w:rFonts w:eastAsia="Times New Roman" w:cs="Arial"/>
          <w:color w:val="000000"/>
          <w:lang w:val="ru-RU"/>
        </w:rPr>
        <w:t xml:space="preserve">/24 </w:t>
      </w:r>
      <w:r w:rsidRPr="00244CE7">
        <w:rPr>
          <w:rFonts w:eastAsia="Times New Roman" w:cs="Arial"/>
          <w:color w:val="000000"/>
          <w:lang w:eastAsia="bg-BG"/>
        </w:rPr>
        <w:t>часа) поради хронична недиабетна нефропатия. И двете субпопулации са проспективно стратифицирани.</w:t>
      </w:r>
    </w:p>
    <w:p w14:paraId="328A0A5C" w14:textId="4D487230" w:rsidR="00244CE7" w:rsidRDefault="00244CE7" w:rsidP="00244CE7">
      <w:pPr>
        <w:spacing w:line="240" w:lineRule="auto"/>
        <w:rPr>
          <w:rFonts w:eastAsia="Times New Roman" w:cs="Arial"/>
          <w:color w:val="000000"/>
          <w:lang w:eastAsia="bg-BG"/>
        </w:rPr>
      </w:pPr>
      <w:r w:rsidRPr="00244CE7">
        <w:rPr>
          <w:rFonts w:eastAsia="Times New Roman" w:cs="Arial"/>
          <w:color w:val="000000"/>
          <w:lang w:eastAsia="bg-BG"/>
        </w:rPr>
        <w:t xml:space="preserve">Основният анализ на пациентите с най-тежка протеинурия (частта от пациенти преждевременно отстранена поради предимствата при групата на рамиприл) показва, че средната честота на влошаване на СГФ за месец е по-ниска при рамиприл, отколкото при плацебо; -0,54 (0,66) спрямо -0,88 (1,03) </w:t>
      </w:r>
      <w:r w:rsidRPr="00244CE7">
        <w:rPr>
          <w:rFonts w:eastAsia="Times New Roman" w:cs="Arial"/>
          <w:color w:val="000000"/>
          <w:lang w:val="en-US"/>
        </w:rPr>
        <w:t>ml</w:t>
      </w:r>
      <w:r w:rsidRPr="00244CE7">
        <w:rPr>
          <w:rFonts w:eastAsia="Times New Roman" w:cs="Arial"/>
          <w:color w:val="000000"/>
          <w:lang w:val="ru-RU"/>
        </w:rPr>
        <w:t>/</w:t>
      </w:r>
      <w:r w:rsidRPr="00244CE7">
        <w:rPr>
          <w:rFonts w:eastAsia="Times New Roman" w:cs="Arial"/>
          <w:color w:val="000000"/>
          <w:lang w:val="en-US"/>
        </w:rPr>
        <w:t>min</w:t>
      </w:r>
      <w:r w:rsidRPr="00244CE7">
        <w:rPr>
          <w:rFonts w:eastAsia="Times New Roman" w:cs="Arial"/>
          <w:color w:val="000000"/>
          <w:lang w:eastAsia="bg-BG"/>
        </w:rPr>
        <w:t xml:space="preserve">/месец, р = 0,038. Вътрегруповата разлика е 0,34 [0,03-0,65] за месец, и около 4 </w:t>
      </w:r>
      <w:r w:rsidRPr="00244CE7">
        <w:rPr>
          <w:rFonts w:eastAsia="Times New Roman" w:cs="Arial"/>
          <w:color w:val="000000"/>
          <w:lang w:val="en-US"/>
        </w:rPr>
        <w:t>ml</w:t>
      </w:r>
      <w:r w:rsidRPr="00244CE7">
        <w:rPr>
          <w:rFonts w:eastAsia="Times New Roman" w:cs="Arial"/>
          <w:color w:val="000000"/>
          <w:lang w:val="ru-RU"/>
        </w:rPr>
        <w:t>/</w:t>
      </w:r>
      <w:r w:rsidRPr="00244CE7">
        <w:rPr>
          <w:rFonts w:eastAsia="Times New Roman" w:cs="Arial"/>
          <w:color w:val="000000"/>
          <w:lang w:val="en-US"/>
        </w:rPr>
        <w:t>min</w:t>
      </w:r>
      <w:r w:rsidRPr="00244CE7">
        <w:rPr>
          <w:rFonts w:eastAsia="Times New Roman" w:cs="Arial"/>
          <w:color w:val="000000"/>
          <w:lang w:eastAsia="bg-BG"/>
        </w:rPr>
        <w:t>/година; 23,1% от пациентите в групата на</w:t>
      </w:r>
      <w:r w:rsidRPr="00244CE7">
        <w:rPr>
          <w:rFonts w:eastAsia="Times New Roman" w:cs="Arial"/>
          <w:color w:val="000000"/>
          <w:lang w:val="ru-RU"/>
        </w:rPr>
        <w:t xml:space="preserve"> </w:t>
      </w:r>
      <w:r w:rsidRPr="00244CE7">
        <w:rPr>
          <w:rFonts w:eastAsia="Times New Roman" w:cs="Arial"/>
          <w:color w:val="000000"/>
          <w:lang w:eastAsia="bg-BG"/>
        </w:rPr>
        <w:t>рамиприл достигат комбинираните вторични крайни точки на удвояване концентрацията на изходния</w:t>
      </w:r>
      <w:r w:rsidRPr="00244CE7">
        <w:rPr>
          <w:rFonts w:eastAsia="Times New Roman" w:cs="Arial"/>
          <w:color w:val="000000"/>
          <w:vertAlign w:val="subscript"/>
          <w:lang w:eastAsia="bg-BG"/>
        </w:rPr>
        <w:t xml:space="preserve"> </w:t>
      </w:r>
      <w:r w:rsidRPr="00244CE7">
        <w:rPr>
          <w:rFonts w:eastAsia="Times New Roman" w:cs="Arial"/>
          <w:color w:val="000000"/>
          <w:lang w:eastAsia="bg-BG"/>
        </w:rPr>
        <w:t>серумен креатинин и/или терминална бъбречна недостатъчност (необходимост от диализа или</w:t>
      </w:r>
      <w:r w:rsidRPr="00244CE7">
        <w:rPr>
          <w:rFonts w:eastAsia="Times New Roman" w:cs="Arial"/>
          <w:lang w:val="ru-RU"/>
        </w:rPr>
        <w:t xml:space="preserve"> </w:t>
      </w:r>
      <w:r w:rsidRPr="00244CE7">
        <w:rPr>
          <w:rFonts w:eastAsia="Times New Roman" w:cs="Arial"/>
          <w:color w:val="000000"/>
          <w:lang w:eastAsia="bg-BG"/>
        </w:rPr>
        <w:t>бъбречна трансплантация) спрямо 45,5 % в групата на плацебо (р = 0,02).</w:t>
      </w:r>
    </w:p>
    <w:p w14:paraId="6F518442" w14:textId="254BDC9A" w:rsidR="00244CE7" w:rsidRDefault="00244CE7" w:rsidP="00244CE7">
      <w:pPr>
        <w:spacing w:line="240" w:lineRule="auto"/>
        <w:rPr>
          <w:rFonts w:eastAsia="Times New Roman" w:cs="Arial"/>
          <w:color w:val="000000"/>
          <w:lang w:eastAsia="bg-BG"/>
        </w:rPr>
      </w:pPr>
    </w:p>
    <w:p w14:paraId="18A53D55" w14:textId="77777777" w:rsidR="00244CE7" w:rsidRPr="00244CE7" w:rsidRDefault="00244CE7" w:rsidP="00244CE7">
      <w:pPr>
        <w:spacing w:line="240" w:lineRule="auto"/>
        <w:rPr>
          <w:rFonts w:eastAsia="Times New Roman" w:cs="Arial"/>
        </w:rPr>
      </w:pPr>
      <w:r w:rsidRPr="00244CE7">
        <w:rPr>
          <w:rFonts w:eastAsia="Times New Roman" w:cs="Arial"/>
          <w:i/>
          <w:iCs/>
          <w:color w:val="000000"/>
          <w:lang w:eastAsia="bg-BG"/>
        </w:rPr>
        <w:t>Двойна блокада на ренин-ангиотензим-алдостероновата система (РААС)</w:t>
      </w:r>
    </w:p>
    <w:p w14:paraId="162E94C9"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Две големи рандомизирани контролирани проучвания - </w:t>
      </w:r>
      <w:r w:rsidRPr="00244CE7">
        <w:rPr>
          <w:rFonts w:eastAsia="Times New Roman" w:cs="Arial"/>
          <w:color w:val="000000"/>
          <w:lang w:val="en-US"/>
        </w:rPr>
        <w:t>ONTARGET</w:t>
      </w:r>
      <w:r w:rsidRPr="00244CE7">
        <w:rPr>
          <w:rFonts w:eastAsia="Times New Roman" w:cs="Arial"/>
          <w:color w:val="000000"/>
        </w:rPr>
        <w:t xml:space="preserve"> (</w:t>
      </w:r>
      <w:proofErr w:type="spellStart"/>
      <w:r w:rsidRPr="00244CE7">
        <w:rPr>
          <w:rFonts w:eastAsia="Times New Roman" w:cs="Arial"/>
          <w:color w:val="000000"/>
          <w:lang w:val="en-US"/>
        </w:rPr>
        <w:t>ONgoing</w:t>
      </w:r>
      <w:proofErr w:type="spellEnd"/>
      <w:r w:rsidRPr="00244CE7">
        <w:rPr>
          <w:rFonts w:eastAsia="Times New Roman" w:cs="Arial"/>
          <w:color w:val="000000"/>
        </w:rPr>
        <w:t xml:space="preserve"> </w:t>
      </w:r>
      <w:proofErr w:type="spellStart"/>
      <w:r w:rsidRPr="00244CE7">
        <w:rPr>
          <w:rFonts w:eastAsia="Times New Roman" w:cs="Arial"/>
          <w:color w:val="000000"/>
          <w:lang w:val="en-US"/>
        </w:rPr>
        <w:t>Telmisartan</w:t>
      </w:r>
      <w:proofErr w:type="spellEnd"/>
      <w:r w:rsidRPr="00244CE7">
        <w:rPr>
          <w:rFonts w:eastAsia="Times New Roman" w:cs="Arial"/>
          <w:color w:val="000000"/>
        </w:rPr>
        <w:t xml:space="preserve"> </w:t>
      </w:r>
      <w:r w:rsidRPr="00244CE7">
        <w:rPr>
          <w:rFonts w:eastAsia="Times New Roman" w:cs="Arial"/>
          <w:color w:val="000000"/>
          <w:lang w:val="en-US"/>
        </w:rPr>
        <w:t>Alone</w:t>
      </w:r>
      <w:r w:rsidRPr="00244CE7">
        <w:rPr>
          <w:rFonts w:eastAsia="Times New Roman" w:cs="Arial"/>
          <w:color w:val="000000"/>
        </w:rPr>
        <w:t xml:space="preserve"> </w:t>
      </w:r>
      <w:r w:rsidRPr="00244CE7">
        <w:rPr>
          <w:rFonts w:eastAsia="Times New Roman" w:cs="Arial"/>
          <w:color w:val="000000"/>
          <w:lang w:val="en-US"/>
        </w:rPr>
        <w:t>and</w:t>
      </w:r>
      <w:r w:rsidRPr="00244CE7">
        <w:rPr>
          <w:rFonts w:eastAsia="Times New Roman" w:cs="Arial"/>
          <w:color w:val="000000"/>
        </w:rPr>
        <w:t xml:space="preserve"> </w:t>
      </w:r>
      <w:r w:rsidRPr="00244CE7">
        <w:rPr>
          <w:rFonts w:eastAsia="Times New Roman" w:cs="Arial"/>
          <w:color w:val="000000"/>
          <w:lang w:val="en-US"/>
        </w:rPr>
        <w:t>in</w:t>
      </w:r>
      <w:r w:rsidRPr="00244CE7">
        <w:rPr>
          <w:rFonts w:eastAsia="Times New Roman" w:cs="Arial"/>
          <w:color w:val="000000"/>
        </w:rPr>
        <w:t xml:space="preserve"> </w:t>
      </w:r>
      <w:r w:rsidRPr="00244CE7">
        <w:rPr>
          <w:rFonts w:eastAsia="Times New Roman" w:cs="Arial"/>
          <w:color w:val="000000"/>
          <w:lang w:val="en-US"/>
        </w:rPr>
        <w:t>combination</w:t>
      </w:r>
      <w:r w:rsidRPr="00244CE7">
        <w:rPr>
          <w:rFonts w:eastAsia="Times New Roman" w:cs="Arial"/>
          <w:color w:val="000000"/>
        </w:rPr>
        <w:t xml:space="preserve"> </w:t>
      </w:r>
      <w:r w:rsidRPr="00244CE7">
        <w:rPr>
          <w:rFonts w:eastAsia="Times New Roman" w:cs="Arial"/>
          <w:color w:val="000000"/>
          <w:lang w:val="en-US"/>
        </w:rPr>
        <w:t>with</w:t>
      </w:r>
      <w:r w:rsidRPr="00244CE7">
        <w:rPr>
          <w:rFonts w:eastAsia="Times New Roman" w:cs="Arial"/>
          <w:color w:val="000000"/>
        </w:rPr>
        <w:t xml:space="preserve"> </w:t>
      </w:r>
      <w:r w:rsidRPr="00244CE7">
        <w:rPr>
          <w:rFonts w:eastAsia="Times New Roman" w:cs="Arial"/>
          <w:color w:val="000000"/>
          <w:lang w:val="en-US"/>
        </w:rPr>
        <w:t>Ramipril</w:t>
      </w:r>
      <w:r w:rsidRPr="00244CE7">
        <w:rPr>
          <w:rFonts w:eastAsia="Times New Roman" w:cs="Arial"/>
          <w:color w:val="000000"/>
        </w:rPr>
        <w:t xml:space="preserve"> </w:t>
      </w:r>
      <w:r w:rsidRPr="00244CE7">
        <w:rPr>
          <w:rFonts w:eastAsia="Times New Roman" w:cs="Arial"/>
          <w:color w:val="000000"/>
          <w:lang w:val="en-US"/>
        </w:rPr>
        <w:t>Global</w:t>
      </w:r>
      <w:r w:rsidRPr="00244CE7">
        <w:rPr>
          <w:rFonts w:eastAsia="Times New Roman" w:cs="Arial"/>
          <w:color w:val="000000"/>
        </w:rPr>
        <w:t xml:space="preserve"> </w:t>
      </w:r>
      <w:r w:rsidRPr="00244CE7">
        <w:rPr>
          <w:rFonts w:eastAsia="Times New Roman" w:cs="Arial"/>
          <w:color w:val="000000"/>
          <w:lang w:val="en-US"/>
        </w:rPr>
        <w:t>Endpoint</w:t>
      </w:r>
      <w:r w:rsidRPr="00244CE7">
        <w:rPr>
          <w:rFonts w:eastAsia="Times New Roman" w:cs="Arial"/>
          <w:color w:val="000000"/>
        </w:rPr>
        <w:t xml:space="preserve"> </w:t>
      </w:r>
      <w:r w:rsidRPr="00244CE7">
        <w:rPr>
          <w:rFonts w:eastAsia="Times New Roman" w:cs="Arial"/>
          <w:color w:val="000000"/>
          <w:lang w:val="en-US"/>
        </w:rPr>
        <w:t>Trial</w:t>
      </w:r>
      <w:r w:rsidRPr="00244CE7">
        <w:rPr>
          <w:rFonts w:eastAsia="Times New Roman" w:cs="Arial"/>
          <w:color w:val="000000"/>
        </w:rPr>
        <w:t xml:space="preserve"> - </w:t>
      </w:r>
      <w:r w:rsidRPr="00244CE7">
        <w:rPr>
          <w:rFonts w:eastAsia="Times New Roman" w:cs="Arial"/>
          <w:color w:val="000000"/>
          <w:lang w:eastAsia="bg-BG"/>
        </w:rPr>
        <w:t xml:space="preserve">текущо глобално изпитване за крайни точки на телмисартан, самостоятелно и в комбинация с рамиприл) и </w:t>
      </w:r>
      <w:r w:rsidRPr="00244CE7">
        <w:rPr>
          <w:rFonts w:eastAsia="Times New Roman" w:cs="Arial"/>
          <w:color w:val="000000"/>
          <w:lang w:val="en-US"/>
        </w:rPr>
        <w:t>VA</w:t>
      </w:r>
      <w:r w:rsidRPr="00244CE7">
        <w:rPr>
          <w:rFonts w:eastAsia="Times New Roman" w:cs="Arial"/>
          <w:color w:val="000000"/>
        </w:rPr>
        <w:t xml:space="preserve"> </w:t>
      </w:r>
      <w:r w:rsidRPr="00244CE7">
        <w:rPr>
          <w:rFonts w:eastAsia="Times New Roman" w:cs="Arial"/>
          <w:color w:val="000000"/>
          <w:lang w:val="en-US"/>
        </w:rPr>
        <w:t>NEPHRON</w:t>
      </w:r>
      <w:r w:rsidRPr="00244CE7">
        <w:rPr>
          <w:rFonts w:eastAsia="Times New Roman" w:cs="Arial"/>
          <w:color w:val="000000"/>
        </w:rPr>
        <w:t>-</w:t>
      </w:r>
      <w:r w:rsidRPr="00244CE7">
        <w:rPr>
          <w:rFonts w:eastAsia="Times New Roman" w:cs="Arial"/>
          <w:color w:val="000000"/>
          <w:lang w:val="en-US"/>
        </w:rPr>
        <w:t>D</w:t>
      </w:r>
      <w:r w:rsidRPr="00244CE7">
        <w:rPr>
          <w:rFonts w:eastAsia="Times New Roman" w:cs="Arial"/>
          <w:color w:val="000000"/>
        </w:rPr>
        <w:t xml:space="preserve"> </w:t>
      </w:r>
      <w:r w:rsidRPr="00244CE7">
        <w:rPr>
          <w:rFonts w:eastAsia="Times New Roman" w:cs="Arial"/>
          <w:color w:val="000000"/>
          <w:lang w:eastAsia="bg-BG"/>
        </w:rPr>
        <w:t>(Клинично проучване, свързано с развитие на нефропатия при диабет, проведено от Министерство по въпросите на ветераните) - проучват употребата на комбинацията от АСЕ инхибитор и ангиотензин II рецепторен блокер.</w:t>
      </w:r>
    </w:p>
    <w:p w14:paraId="140EB19F" w14:textId="77777777" w:rsidR="00244CE7" w:rsidRPr="00244CE7" w:rsidRDefault="00244CE7" w:rsidP="00244CE7">
      <w:pPr>
        <w:spacing w:line="240" w:lineRule="auto"/>
        <w:rPr>
          <w:rFonts w:eastAsia="Times New Roman" w:cs="Arial"/>
        </w:rPr>
      </w:pPr>
      <w:r w:rsidRPr="00244CE7">
        <w:rPr>
          <w:rFonts w:eastAsia="Times New Roman" w:cs="Arial"/>
          <w:color w:val="000000"/>
          <w:lang w:val="en-US"/>
        </w:rPr>
        <w:t>ONTARGET</w:t>
      </w:r>
      <w:r w:rsidRPr="00244CE7">
        <w:rPr>
          <w:rFonts w:eastAsia="Times New Roman" w:cs="Arial"/>
          <w:color w:val="000000"/>
          <w:lang w:val="ru-RU"/>
        </w:rPr>
        <w:t xml:space="preserve"> </w:t>
      </w:r>
      <w:r w:rsidRPr="00244CE7">
        <w:rPr>
          <w:rFonts w:eastAsia="Times New Roman" w:cs="Arial"/>
          <w:color w:val="000000"/>
          <w:lang w:eastAsia="bg-BG"/>
        </w:rPr>
        <w:t xml:space="preserve">е проучване, проведено при пациенти с анамнеза за сърдечно-съдова или мозъчносъдова болест, или захарен диабет тип 2, придружени с данни за увреждане на ефекторни органи. </w:t>
      </w:r>
      <w:r w:rsidRPr="00244CE7">
        <w:rPr>
          <w:rFonts w:eastAsia="Times New Roman" w:cs="Arial"/>
          <w:color w:val="000000"/>
          <w:lang w:val="en-US"/>
        </w:rPr>
        <w:t>VA</w:t>
      </w:r>
      <w:r w:rsidRPr="00244CE7">
        <w:rPr>
          <w:rFonts w:eastAsia="Times New Roman" w:cs="Arial"/>
          <w:color w:val="000000"/>
          <w:lang w:val="ru-RU"/>
        </w:rPr>
        <w:t xml:space="preserve"> </w:t>
      </w:r>
      <w:r w:rsidRPr="00244CE7">
        <w:rPr>
          <w:rFonts w:eastAsia="Times New Roman" w:cs="Arial"/>
          <w:color w:val="000000"/>
          <w:lang w:val="en-US"/>
        </w:rPr>
        <w:t>NEPHRON</w:t>
      </w:r>
      <w:r w:rsidRPr="00244CE7">
        <w:rPr>
          <w:rFonts w:eastAsia="Times New Roman" w:cs="Arial"/>
          <w:color w:val="000000"/>
          <w:lang w:val="ru-RU"/>
        </w:rPr>
        <w:t>-</w:t>
      </w:r>
      <w:r w:rsidRPr="00244CE7">
        <w:rPr>
          <w:rFonts w:eastAsia="Times New Roman" w:cs="Arial"/>
          <w:color w:val="000000"/>
          <w:lang w:val="en-US"/>
        </w:rPr>
        <w:t>D</w:t>
      </w:r>
      <w:r w:rsidRPr="00244CE7">
        <w:rPr>
          <w:rFonts w:eastAsia="Times New Roman" w:cs="Arial"/>
          <w:color w:val="000000"/>
          <w:lang w:val="ru-RU"/>
        </w:rPr>
        <w:t xml:space="preserve"> </w:t>
      </w:r>
      <w:r w:rsidRPr="00244CE7">
        <w:rPr>
          <w:rFonts w:eastAsia="Times New Roman" w:cs="Arial"/>
          <w:color w:val="000000"/>
          <w:lang w:eastAsia="bg-BG"/>
        </w:rPr>
        <w:t>е проучване при пациенти със захарен диабет тип 2 и диабетна нефропатия.</w:t>
      </w:r>
    </w:p>
    <w:p w14:paraId="12C0E8FF"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Тези проучвания не показват значим благоприятен ефект върху бъбречните и/или сърдечно</w:t>
      </w:r>
      <w:r w:rsidRPr="00244CE7">
        <w:rPr>
          <w:rFonts w:eastAsia="Times New Roman" w:cs="Arial"/>
          <w:color w:val="000000"/>
          <w:lang w:eastAsia="bg-BG"/>
        </w:rPr>
        <w:softHyphen/>
        <w:t>съдовите последици и смъртност, като същевременно са наблюдавани повишен риск от хилеркалиемия, остро увреждане на бъбреците и/или хипотония в сравнение с монотерапията. Като се имат предвид сходните им фармакодинамични свойства, тези резултати са приложими и за други АСЕ инхибитори и ангиотензин II рецепторни блокери.</w:t>
      </w:r>
    </w:p>
    <w:p w14:paraId="0DB73603"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АСЕ инхибитори и ангиотензин </w:t>
      </w:r>
      <w:r w:rsidRPr="00244CE7">
        <w:rPr>
          <w:rFonts w:eastAsia="Times New Roman" w:cs="Arial"/>
          <w:color w:val="000000"/>
          <w:lang w:val="en-US"/>
        </w:rPr>
        <w:t>II</w:t>
      </w:r>
      <w:r w:rsidRPr="00244CE7">
        <w:rPr>
          <w:rFonts w:eastAsia="Times New Roman" w:cs="Arial"/>
          <w:color w:val="000000"/>
          <w:lang w:eastAsia="bg-BG"/>
        </w:rPr>
        <w:t xml:space="preserve"> рецепторни блокери следователно не трябва да се използват едновременно при пациенти с диабетна нефропатия.</w:t>
      </w:r>
    </w:p>
    <w:p w14:paraId="489FCD7B" w14:textId="77777777" w:rsidR="00244CE7" w:rsidRPr="00244CE7" w:rsidRDefault="00244CE7" w:rsidP="00244CE7">
      <w:pPr>
        <w:spacing w:line="240" w:lineRule="auto"/>
        <w:rPr>
          <w:rFonts w:eastAsia="Times New Roman" w:cs="Arial"/>
        </w:rPr>
      </w:pPr>
      <w:r w:rsidRPr="00244CE7">
        <w:rPr>
          <w:rFonts w:eastAsia="Times New Roman" w:cs="Arial"/>
          <w:color w:val="000000"/>
          <w:lang w:val="en-US"/>
        </w:rPr>
        <w:lastRenderedPageBreak/>
        <w:t>ALTITUDE</w:t>
      </w:r>
      <w:r w:rsidRPr="00244CE7">
        <w:rPr>
          <w:rFonts w:eastAsia="Times New Roman" w:cs="Arial"/>
          <w:color w:val="000000"/>
          <w:lang w:val="ru-RU"/>
        </w:rPr>
        <w:t xml:space="preserve"> </w:t>
      </w:r>
      <w:r w:rsidRPr="00244CE7">
        <w:rPr>
          <w:rFonts w:eastAsia="Times New Roman" w:cs="Arial"/>
          <w:color w:val="000000"/>
          <w:lang w:eastAsia="bg-BG"/>
        </w:rPr>
        <w:t>(Клинично проучване, проведено с алискирен при пациенти със захарен диабет тип 2 с използване на сърдечно-съдови и бъбречни заболявалия като крайни точки) е проучване, предназначено да изследва ползата от добавянето на алискирен към стандартна терапия с АСЕ инхибитор или ангиотензин II рецепторен блокер при пациенти със захарен диабет тип 2 и хронично бъбречно заболяване, сърдечно-съдово заболяване или и двете. Проучването е прекратено преждевременно поради повишен риск от неблагоприятни последици. Както сърдечно-съдовата смърт, така и инсултът са по-чести в групата на алискирен, отколкото в плацебо-групата, а представляващите интерес нежелани събития и сериозни нежелани събития (хиперкалиемия, хипотония и бъбречна дисфункция) се съобщават по-често в групата на алискирен, отколкото в групата на плацебо.</w:t>
      </w:r>
    </w:p>
    <w:p w14:paraId="7CA6F0B2" w14:textId="77777777" w:rsidR="00244CE7" w:rsidRDefault="00244CE7" w:rsidP="00244CE7">
      <w:pPr>
        <w:spacing w:line="240" w:lineRule="auto"/>
        <w:rPr>
          <w:rFonts w:eastAsia="Times New Roman" w:cs="Arial"/>
          <w:color w:val="000000"/>
          <w:u w:val="single"/>
          <w:lang w:eastAsia="bg-BG"/>
        </w:rPr>
      </w:pPr>
    </w:p>
    <w:p w14:paraId="359AD0F5" w14:textId="133BEAAF"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Вторична профилактика след остър миокарден инфаркт</w:t>
      </w:r>
    </w:p>
    <w:p w14:paraId="6A5AC6E6" w14:textId="6AD9A28F" w:rsidR="00244CE7" w:rsidRPr="00C95F9A" w:rsidRDefault="00244CE7" w:rsidP="00244CE7">
      <w:pPr>
        <w:spacing w:line="240" w:lineRule="auto"/>
        <w:rPr>
          <w:rFonts w:eastAsia="Times New Roman" w:cs="Arial"/>
          <w:color w:val="000000"/>
          <w:lang w:val="ru-RU" w:eastAsia="bg-BG"/>
        </w:rPr>
      </w:pPr>
      <w:r w:rsidRPr="00244CE7">
        <w:rPr>
          <w:rFonts w:eastAsia="Times New Roman" w:cs="Arial"/>
          <w:color w:val="000000"/>
          <w:lang w:eastAsia="bg-BG"/>
        </w:rPr>
        <w:t xml:space="preserve">Изпитване </w:t>
      </w:r>
      <w:r w:rsidRPr="00244CE7">
        <w:rPr>
          <w:rFonts w:eastAsia="Times New Roman" w:cs="Arial"/>
          <w:color w:val="000000"/>
          <w:lang w:val="en-US"/>
        </w:rPr>
        <w:t>AIRE</w:t>
      </w:r>
      <w:r w:rsidRPr="00244CE7">
        <w:rPr>
          <w:rFonts w:eastAsia="Times New Roman" w:cs="Arial"/>
          <w:color w:val="000000"/>
          <w:lang w:val="ru-RU"/>
        </w:rPr>
        <w:t xml:space="preserve"> </w:t>
      </w:r>
      <w:r w:rsidRPr="00244CE7">
        <w:rPr>
          <w:rFonts w:eastAsia="Times New Roman" w:cs="Arial"/>
          <w:color w:val="000000"/>
          <w:lang w:eastAsia="bg-BG"/>
        </w:rPr>
        <w:t xml:space="preserve">включва повече от 2000 пациенти с преходни/персистиращи клинични признаци на сърдечна недостатъчност след доказан миокарден инфаркт. Лечението с рамиприл е започнато 3 до 10 дни след острия миокарден инфаркт. Изпитването показва, че след средно време на проследяване от 15 месеца, смъртността при пациентите, лекувани с рамиприл, е 16,9 а при тези на плацебо - 22,6%. Това означава несъмнено намаляване на смъртността с 5,7% и понижаване на относителния риск с 27% (95% </w:t>
      </w:r>
      <w:r w:rsidRPr="00244CE7">
        <w:rPr>
          <w:rFonts w:eastAsia="Times New Roman" w:cs="Arial"/>
          <w:color w:val="000000"/>
          <w:lang w:val="en-US"/>
        </w:rPr>
        <w:t>CI</w:t>
      </w:r>
      <w:r w:rsidRPr="00244CE7">
        <w:rPr>
          <w:rFonts w:eastAsia="Times New Roman" w:cs="Arial"/>
          <w:color w:val="000000"/>
          <w:lang w:val="ru-RU"/>
        </w:rPr>
        <w:t xml:space="preserve"> </w:t>
      </w:r>
      <w:r w:rsidRPr="00244CE7">
        <w:rPr>
          <w:rFonts w:eastAsia="Times New Roman" w:cs="Arial"/>
          <w:color w:val="000000"/>
          <w:lang w:eastAsia="bg-BG"/>
        </w:rPr>
        <w:t>[11-40%]).</w:t>
      </w:r>
    </w:p>
    <w:p w14:paraId="3A3E3CFD" w14:textId="77777777" w:rsidR="00244CE7" w:rsidRPr="00244CE7" w:rsidRDefault="00244CE7" w:rsidP="00244CE7">
      <w:pPr>
        <w:spacing w:line="240" w:lineRule="auto"/>
        <w:rPr>
          <w:rFonts w:eastAsia="Times New Roman" w:cs="Arial"/>
        </w:rPr>
      </w:pPr>
    </w:p>
    <w:p w14:paraId="35F84B81" w14:textId="2B6CD48D" w:rsidR="00CF77F7" w:rsidRDefault="002C50EE" w:rsidP="004A448E">
      <w:pPr>
        <w:pStyle w:val="Heading2"/>
      </w:pPr>
      <w:r>
        <w:t>5.2. Фармакокинетични свойства</w:t>
      </w:r>
    </w:p>
    <w:p w14:paraId="0922F0AE" w14:textId="1C77F351" w:rsidR="00244CE7" w:rsidRDefault="00244CE7" w:rsidP="00244CE7"/>
    <w:p w14:paraId="6792C6DA" w14:textId="77777777" w:rsidR="00244CE7" w:rsidRPr="00244CE7" w:rsidRDefault="00244CE7" w:rsidP="00244CE7">
      <w:pPr>
        <w:pStyle w:val="Heading3"/>
        <w:rPr>
          <w:rFonts w:eastAsia="Times New Roman"/>
          <w:u w:val="single"/>
        </w:rPr>
      </w:pPr>
      <w:r w:rsidRPr="00244CE7">
        <w:rPr>
          <w:rFonts w:eastAsia="Times New Roman"/>
          <w:u w:val="single"/>
          <w:lang w:eastAsia="bg-BG"/>
        </w:rPr>
        <w:t>Абсорбиия</w:t>
      </w:r>
    </w:p>
    <w:p w14:paraId="04E3834C"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След перорално приложение рамиприл се абсорбира бързо в стомашно-чревния тракт: пикова плазмена концентрация на рамиприл се достига в рамките на 1 час. Въз основа на възстановяване в урината, степента на абсорбция е поне 56% и не се повлиява значимо от присъствието на храна в стомашно-чревния тракт. Бионаличността на активния метаболит рамиприлат след перорално приложение на 2,5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t xml:space="preserve">и 5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t>рамиприл е 45%. Пикова плазмена концентрация на рамиприлат, единствения активен метаболит на рамиприл, се достига 2-4 часа след приема на рамиприл. Стационарните плазмени концентрации на рамиприлат след прилагане веднъж дневно на обичайни дози рамиприл се достигат след около 4 дни лечение.</w:t>
      </w:r>
    </w:p>
    <w:p w14:paraId="419E4E3B" w14:textId="77777777" w:rsidR="00244CE7" w:rsidRDefault="00244CE7" w:rsidP="00244CE7">
      <w:pPr>
        <w:spacing w:line="240" w:lineRule="auto"/>
        <w:rPr>
          <w:rFonts w:eastAsia="Times New Roman" w:cs="Arial"/>
          <w:i/>
          <w:iCs/>
          <w:color w:val="000000"/>
          <w:u w:val="single"/>
          <w:lang w:eastAsia="bg-BG"/>
        </w:rPr>
      </w:pPr>
    </w:p>
    <w:p w14:paraId="2730B5E1" w14:textId="3F3A7B70" w:rsidR="00244CE7" w:rsidRPr="00244CE7" w:rsidRDefault="00244CE7" w:rsidP="00244CE7">
      <w:pPr>
        <w:pStyle w:val="Heading3"/>
        <w:rPr>
          <w:rFonts w:eastAsia="Times New Roman"/>
          <w:u w:val="single"/>
        </w:rPr>
      </w:pPr>
      <w:r w:rsidRPr="00244CE7">
        <w:rPr>
          <w:rFonts w:eastAsia="Times New Roman"/>
          <w:u w:val="single"/>
          <w:lang w:eastAsia="bg-BG"/>
        </w:rPr>
        <w:t>Разпределение</w:t>
      </w:r>
    </w:p>
    <w:p w14:paraId="12BE4638"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Свързването с плазмените протеини на рамиприл е около 73%, а това на рамиприлат около 56%</w:t>
      </w:r>
    </w:p>
    <w:p w14:paraId="3FF207AE" w14:textId="77777777" w:rsidR="00244CE7" w:rsidRDefault="00244CE7" w:rsidP="00244CE7">
      <w:pPr>
        <w:spacing w:line="240" w:lineRule="auto"/>
        <w:rPr>
          <w:rFonts w:eastAsia="Times New Roman" w:cs="Arial"/>
          <w:i/>
          <w:iCs/>
          <w:color w:val="000000"/>
          <w:u w:val="single"/>
          <w:lang w:eastAsia="bg-BG"/>
        </w:rPr>
      </w:pPr>
    </w:p>
    <w:p w14:paraId="28987EC7" w14:textId="712BFF67" w:rsidR="00244CE7" w:rsidRPr="00244CE7" w:rsidRDefault="00244CE7" w:rsidP="00244CE7">
      <w:pPr>
        <w:pStyle w:val="Heading3"/>
        <w:rPr>
          <w:rFonts w:eastAsia="Times New Roman"/>
          <w:u w:val="single"/>
        </w:rPr>
      </w:pPr>
      <w:r w:rsidRPr="00244CE7">
        <w:rPr>
          <w:rFonts w:eastAsia="Times New Roman"/>
          <w:u w:val="single"/>
          <w:lang w:eastAsia="bg-BG"/>
        </w:rPr>
        <w:t>Биотранаформаиия</w:t>
      </w:r>
    </w:p>
    <w:p w14:paraId="40BE356E" w14:textId="431D8264" w:rsidR="00244CE7" w:rsidRDefault="00244CE7" w:rsidP="00244CE7">
      <w:pPr>
        <w:rPr>
          <w:rFonts w:eastAsia="Times New Roman" w:cs="Arial"/>
          <w:color w:val="000000"/>
          <w:lang w:eastAsia="bg-BG"/>
        </w:rPr>
      </w:pPr>
      <w:r w:rsidRPr="00244CE7">
        <w:rPr>
          <w:rFonts w:eastAsia="Times New Roman" w:cs="Arial"/>
          <w:color w:val="000000"/>
          <w:lang w:eastAsia="bg-BG"/>
        </w:rPr>
        <w:t>Рамиприл почти напълно се метаболизира до рамиприлат и до дикетопиперазинов естер, дикетопиперазинова киселина и глюкуронидите на рамиприл и рамиприлат.</w:t>
      </w:r>
    </w:p>
    <w:p w14:paraId="5E200A8C" w14:textId="0E417CFF" w:rsidR="00244CE7" w:rsidRDefault="00244CE7" w:rsidP="00244CE7">
      <w:pPr>
        <w:rPr>
          <w:rFonts w:eastAsia="Times New Roman" w:cs="Arial"/>
          <w:color w:val="000000"/>
          <w:lang w:eastAsia="bg-BG"/>
        </w:rPr>
      </w:pPr>
    </w:p>
    <w:p w14:paraId="5CE4EE97" w14:textId="77777777" w:rsidR="00244CE7" w:rsidRPr="00244CE7" w:rsidRDefault="00244CE7" w:rsidP="00244CE7">
      <w:pPr>
        <w:pStyle w:val="Heading3"/>
        <w:rPr>
          <w:rFonts w:eastAsia="Times New Roman"/>
          <w:u w:val="single"/>
        </w:rPr>
      </w:pPr>
      <w:r w:rsidRPr="00244CE7">
        <w:rPr>
          <w:rFonts w:eastAsia="Times New Roman"/>
          <w:u w:val="single"/>
          <w:lang w:eastAsia="bg-BG"/>
        </w:rPr>
        <w:t>Елиминиране</w:t>
      </w:r>
    </w:p>
    <w:p w14:paraId="55A1ED06"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Екскрецията на метаболитите е предимно бъбречна. Плазмената концентрация на рамиприлат намалява по полифазов начин. Поради неговото силно, насищащо свързване с АСЕ и бавното разделяне от ензима, рамиприлат показва удължена терминална елиминационна фаза при много ниски плазмени концентрации.</w:t>
      </w:r>
    </w:p>
    <w:p w14:paraId="400ED4AC"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След многократно прилагане на дози рамиприл, веднъж дневно, ефективният полуживот на рамиприлат е 13-17 часа за дози от 5-10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t xml:space="preserve">и по-дълъг за по-ниските дози 1,25-2,5 </w:t>
      </w:r>
      <w:r w:rsidRPr="00244CE7">
        <w:rPr>
          <w:rFonts w:eastAsia="Times New Roman" w:cs="Arial"/>
          <w:color w:val="000000"/>
          <w:lang w:val="en-US"/>
        </w:rPr>
        <w:t>mg</w:t>
      </w:r>
      <w:r w:rsidRPr="00244CE7">
        <w:rPr>
          <w:rFonts w:eastAsia="Times New Roman" w:cs="Arial"/>
          <w:color w:val="000000"/>
          <w:lang w:val="ru-RU"/>
        </w:rPr>
        <w:t xml:space="preserve">. </w:t>
      </w:r>
      <w:r w:rsidRPr="00244CE7">
        <w:rPr>
          <w:rFonts w:eastAsia="Times New Roman" w:cs="Arial"/>
          <w:color w:val="000000"/>
          <w:lang w:eastAsia="bg-BG"/>
        </w:rPr>
        <w:lastRenderedPageBreak/>
        <w:t>Тази разлика е свързана с капацитета за насищане на ензима чрез свързване с рамиприлат.</w:t>
      </w:r>
    </w:p>
    <w:p w14:paraId="2653A694" w14:textId="77777777" w:rsidR="00244CE7" w:rsidRDefault="00244CE7" w:rsidP="00244CE7">
      <w:pPr>
        <w:spacing w:line="240" w:lineRule="auto"/>
        <w:rPr>
          <w:rFonts w:eastAsia="Times New Roman" w:cs="Arial"/>
          <w:color w:val="000000"/>
          <w:lang w:eastAsia="bg-BG"/>
        </w:rPr>
      </w:pPr>
    </w:p>
    <w:p w14:paraId="1401ADFE" w14:textId="5DEB48C5" w:rsidR="00244CE7" w:rsidRPr="00244CE7" w:rsidRDefault="00244CE7" w:rsidP="00244CE7">
      <w:pPr>
        <w:spacing w:line="240" w:lineRule="auto"/>
        <w:rPr>
          <w:rFonts w:eastAsia="Times New Roman" w:cs="Arial"/>
        </w:rPr>
      </w:pPr>
      <w:r w:rsidRPr="00244CE7">
        <w:rPr>
          <w:rFonts w:eastAsia="Times New Roman" w:cs="Arial"/>
          <w:color w:val="000000"/>
          <w:lang w:eastAsia="bg-BG"/>
        </w:rPr>
        <w:t>Еднократна перорална доза рамиприл дава неоткриваемо ниво на рамиприл и неговите метаболити в кърмата. Обаче ефектът при многократно прилагане е неизвестен.</w:t>
      </w:r>
    </w:p>
    <w:p w14:paraId="4AD4B9DE" w14:textId="77777777" w:rsidR="00244CE7" w:rsidRDefault="00244CE7" w:rsidP="00244CE7">
      <w:pPr>
        <w:spacing w:line="240" w:lineRule="auto"/>
        <w:rPr>
          <w:rFonts w:eastAsia="Times New Roman" w:cs="Arial"/>
          <w:color w:val="000000"/>
          <w:u w:val="single"/>
          <w:lang w:eastAsia="bg-BG"/>
        </w:rPr>
      </w:pPr>
    </w:p>
    <w:p w14:paraId="1F7CA525" w14:textId="464471F6"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Пациенти с бъбречно увреждане (вж. точка 4.2)</w:t>
      </w:r>
    </w:p>
    <w:p w14:paraId="0BD834F1"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Бъбречната екскреция на рамиприлат е намалена при пациенти с нарушена бъбречна функция, и бъбречният клирънс на рамиприлат е пропорционално свързан с креатининовия клирънс. Това води до повишена плазмена концентрация на рамиприлат, която намалява по-бавно, отколкото при индивиди с нормална бъбречна функция.</w:t>
      </w:r>
    </w:p>
    <w:p w14:paraId="5965B80B" w14:textId="77777777" w:rsidR="00244CE7" w:rsidRDefault="00244CE7" w:rsidP="00244CE7">
      <w:pPr>
        <w:spacing w:line="240" w:lineRule="auto"/>
        <w:rPr>
          <w:rFonts w:eastAsia="Times New Roman" w:cs="Arial"/>
          <w:color w:val="000000"/>
          <w:u w:val="single"/>
          <w:lang w:eastAsia="bg-BG"/>
        </w:rPr>
      </w:pPr>
    </w:p>
    <w:p w14:paraId="0073B362" w14:textId="722A3CA7"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Пациенти с чернодробно увреждане (вж. точка 4.2)</w:t>
      </w:r>
    </w:p>
    <w:p w14:paraId="71B5620F"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При пациенти с нарушена чернодробна функция метаболизирането на рамиприл до рамиприлат е забавено поради намалената активност на чернодробните естерази и плазмените нива на рамиприл при тези пациенти са повишени. Пиковите концентрации на рамиприлат при тези пациенти обаче не се различават от наблюдаваните при индивиди с нормална чернодробна функция.</w:t>
      </w:r>
    </w:p>
    <w:p w14:paraId="2C618BFA" w14:textId="77777777" w:rsidR="00244CE7" w:rsidRDefault="00244CE7" w:rsidP="00244CE7">
      <w:pPr>
        <w:spacing w:line="240" w:lineRule="auto"/>
        <w:rPr>
          <w:rFonts w:eastAsia="Times New Roman" w:cs="Arial"/>
          <w:color w:val="000000"/>
          <w:u w:val="single"/>
          <w:lang w:eastAsia="bg-BG"/>
        </w:rPr>
      </w:pPr>
    </w:p>
    <w:p w14:paraId="567FC0C7" w14:textId="2E52750F" w:rsidR="00244CE7" w:rsidRPr="00244CE7" w:rsidRDefault="00244CE7" w:rsidP="00244CE7">
      <w:pPr>
        <w:spacing w:line="240" w:lineRule="auto"/>
        <w:rPr>
          <w:rFonts w:eastAsia="Times New Roman" w:cs="Arial"/>
        </w:rPr>
      </w:pPr>
      <w:r w:rsidRPr="00244CE7">
        <w:rPr>
          <w:rFonts w:eastAsia="Times New Roman" w:cs="Arial"/>
          <w:color w:val="000000"/>
          <w:u w:val="single"/>
          <w:lang w:eastAsia="bg-BG"/>
        </w:rPr>
        <w:t>Кърмене</w:t>
      </w:r>
    </w:p>
    <w:p w14:paraId="7E1363E3"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Еднократна доза рамиприл перорално не води до откриване на рамиприл и неговия метаболит в майчиното мляко. Въпреки това ефектът на няколко дози не е известен.</w:t>
      </w:r>
    </w:p>
    <w:p w14:paraId="0164F7D7" w14:textId="77777777" w:rsidR="00244CE7" w:rsidRPr="00244CE7" w:rsidRDefault="00244CE7" w:rsidP="00244CE7">
      <w:pPr>
        <w:rPr>
          <w:rFonts w:cs="Arial"/>
        </w:rPr>
      </w:pPr>
    </w:p>
    <w:p w14:paraId="648E39DA" w14:textId="3543D342" w:rsidR="00CF77F7" w:rsidRDefault="002C50EE" w:rsidP="004A448E">
      <w:pPr>
        <w:pStyle w:val="Heading2"/>
      </w:pPr>
      <w:r>
        <w:t>5.3. Предклинични данни за безопасност</w:t>
      </w:r>
    </w:p>
    <w:p w14:paraId="060C51DD" w14:textId="21AD3852" w:rsidR="00244CE7" w:rsidRDefault="00244CE7" w:rsidP="00244CE7"/>
    <w:p w14:paraId="081785B9"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Пероралното приложение на рамиприл не показва остра токсичност при гризачи и кучета.</w:t>
      </w:r>
    </w:p>
    <w:p w14:paraId="0971C9FA"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Проучвания, включващи продължително перорално приложение, са провеждани при плъхове, кучета и маймуни. Промени в плазмените електролити и кръвната картина са установени и при трите вида.</w:t>
      </w:r>
    </w:p>
    <w:p w14:paraId="6D5E1F09"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При кучета и маймуни при дневни дози от 250 </w:t>
      </w:r>
      <w:r w:rsidRPr="00244CE7">
        <w:rPr>
          <w:rFonts w:eastAsia="Times New Roman" w:cs="Arial"/>
          <w:color w:val="000000"/>
          <w:lang w:val="en-US"/>
        </w:rPr>
        <w:t>mg</w:t>
      </w:r>
      <w:r w:rsidRPr="00244CE7">
        <w:rPr>
          <w:rFonts w:eastAsia="Times New Roman" w:cs="Arial"/>
          <w:color w:val="000000"/>
          <w:lang w:val="ru-RU"/>
        </w:rPr>
        <w:t>/</w:t>
      </w:r>
      <w:r w:rsidRPr="00244CE7">
        <w:rPr>
          <w:rFonts w:eastAsia="Times New Roman" w:cs="Arial"/>
          <w:color w:val="000000"/>
          <w:lang w:val="en-US"/>
        </w:rPr>
        <w:t>kg</w:t>
      </w:r>
      <w:r w:rsidRPr="00244CE7">
        <w:rPr>
          <w:rFonts w:eastAsia="Times New Roman" w:cs="Arial"/>
          <w:color w:val="000000"/>
          <w:lang w:eastAsia="bg-BG"/>
        </w:rPr>
        <w:t xml:space="preserve">/ден е наблюдавано значително уголемяване на юкстагломеруларния апарат вследствие фармакодинамичната активност на рамиприл. Плъхове, кучета и маймуни понасят дневни дози съответно от 2, 2,5 и 8 </w:t>
      </w:r>
      <w:r w:rsidRPr="00244CE7">
        <w:rPr>
          <w:rFonts w:eastAsia="Times New Roman" w:cs="Arial"/>
          <w:color w:val="000000"/>
          <w:lang w:val="en-US"/>
        </w:rPr>
        <w:t>mg</w:t>
      </w:r>
      <w:r w:rsidRPr="00244CE7">
        <w:rPr>
          <w:rFonts w:eastAsia="Times New Roman" w:cs="Arial"/>
          <w:color w:val="000000"/>
          <w:lang w:val="ru-RU"/>
        </w:rPr>
        <w:t>/</w:t>
      </w:r>
      <w:r w:rsidRPr="00244CE7">
        <w:rPr>
          <w:rFonts w:eastAsia="Times New Roman" w:cs="Arial"/>
          <w:color w:val="000000"/>
          <w:lang w:val="en-US"/>
        </w:rPr>
        <w:t>kg</w:t>
      </w:r>
      <w:r w:rsidRPr="00244CE7">
        <w:rPr>
          <w:rFonts w:eastAsia="Times New Roman" w:cs="Arial"/>
          <w:color w:val="000000"/>
          <w:lang w:eastAsia="bg-BG"/>
        </w:rPr>
        <w:t>/дневно без вредни ефекти. Необратимо бъбречно увреждане е наблюдавано при много млади плъхове, получили еднократна доза рамиприл.</w:t>
      </w:r>
    </w:p>
    <w:p w14:paraId="4ED98458"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Изпитванията за репродуктивна токсичност при плъхове, зайци и маймуни не показват тератогенни свойства.</w:t>
      </w:r>
    </w:p>
    <w:p w14:paraId="09B7095A"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Фертилитетът не се повлиява нито при мъжки, нито при женски плъхове.</w:t>
      </w:r>
    </w:p>
    <w:p w14:paraId="4DEE6BF4"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 xml:space="preserve">Прилагането на рамиприл върху женски плъхове по време на феталния период и лактацията причинява необратимо бъбречно увреждане (дилатация на бъбречното легенче) в потомството при дневни дози от 50 </w:t>
      </w:r>
      <w:r w:rsidRPr="00244CE7">
        <w:rPr>
          <w:rFonts w:eastAsia="Times New Roman" w:cs="Arial"/>
          <w:color w:val="000000"/>
          <w:lang w:val="en-US"/>
        </w:rPr>
        <w:t>mg</w:t>
      </w:r>
      <w:r w:rsidRPr="00244CE7">
        <w:rPr>
          <w:rFonts w:eastAsia="Times New Roman" w:cs="Arial"/>
          <w:color w:val="000000"/>
          <w:lang w:val="ru-RU"/>
        </w:rPr>
        <w:t>/</w:t>
      </w:r>
      <w:r w:rsidRPr="00244CE7">
        <w:rPr>
          <w:rFonts w:eastAsia="Times New Roman" w:cs="Arial"/>
          <w:color w:val="000000"/>
          <w:lang w:val="en-US"/>
        </w:rPr>
        <w:t>kg</w:t>
      </w:r>
      <w:r w:rsidRPr="00244CE7">
        <w:rPr>
          <w:rFonts w:eastAsia="Times New Roman" w:cs="Arial"/>
          <w:color w:val="000000"/>
          <w:lang w:val="ru-RU"/>
        </w:rPr>
        <w:t xml:space="preserve"> </w:t>
      </w:r>
      <w:r w:rsidRPr="00244CE7">
        <w:rPr>
          <w:rFonts w:eastAsia="Times New Roman" w:cs="Arial"/>
          <w:color w:val="000000"/>
          <w:lang w:eastAsia="bg-BG"/>
        </w:rPr>
        <w:t>телесно тегло или по-високи.</w:t>
      </w:r>
    </w:p>
    <w:p w14:paraId="4EB05A90" w14:textId="77777777" w:rsidR="00244CE7" w:rsidRPr="00244CE7" w:rsidRDefault="00244CE7" w:rsidP="00244CE7">
      <w:pPr>
        <w:spacing w:line="240" w:lineRule="auto"/>
        <w:rPr>
          <w:rFonts w:eastAsia="Times New Roman" w:cs="Arial"/>
        </w:rPr>
      </w:pPr>
      <w:r w:rsidRPr="00244CE7">
        <w:rPr>
          <w:rFonts w:eastAsia="Times New Roman" w:cs="Arial"/>
          <w:color w:val="000000"/>
          <w:lang w:eastAsia="bg-BG"/>
        </w:rPr>
        <w:t>Разширено изследване за мутагенност, чрез използване на няколко системи за изследване, не показва, че рамиприл притежава мутагенни или генотоксични свойства.</w:t>
      </w:r>
    </w:p>
    <w:p w14:paraId="0D565BA3" w14:textId="77777777" w:rsidR="00244CE7" w:rsidRPr="00244CE7" w:rsidRDefault="00244CE7" w:rsidP="00244CE7"/>
    <w:p w14:paraId="6A7820AB" w14:textId="5433E68B" w:rsidR="008A6AF2" w:rsidRDefault="002C50EE" w:rsidP="00395555">
      <w:pPr>
        <w:pStyle w:val="Heading1"/>
      </w:pPr>
      <w:r>
        <w:t>7. ПРИТЕЖАТЕЛ НА РАЗРЕШЕНИЕТО ЗА УПОТРЕБА</w:t>
      </w:r>
    </w:p>
    <w:p w14:paraId="66204879" w14:textId="7F892BF6" w:rsidR="00244CE7" w:rsidRDefault="00244CE7" w:rsidP="00244CE7"/>
    <w:p w14:paraId="6BDFCEC5" w14:textId="77777777" w:rsidR="00244CE7" w:rsidRDefault="00244CE7" w:rsidP="00244CE7">
      <w:r>
        <w:t xml:space="preserve">„Чайкафарма Висококачествените Лекарства” АД </w:t>
      </w:r>
    </w:p>
    <w:p w14:paraId="4C686CAF" w14:textId="72FCEB67" w:rsidR="00244CE7" w:rsidRPr="00244CE7" w:rsidRDefault="00244CE7" w:rsidP="00244CE7">
      <w:r>
        <w:t>буя.” Г. М. Димитров” № 1, гр. София 1172, България</w:t>
      </w:r>
    </w:p>
    <w:p w14:paraId="7BA1BA64" w14:textId="0C587824" w:rsidR="00CF77F7" w:rsidRDefault="002C50EE" w:rsidP="004A448E">
      <w:pPr>
        <w:pStyle w:val="Heading1"/>
      </w:pPr>
      <w:r>
        <w:lastRenderedPageBreak/>
        <w:t>8. НОМЕР НА РАЗРЕШЕНИЕТО ЗА УПОТРЕБА</w:t>
      </w:r>
    </w:p>
    <w:p w14:paraId="3905C71C" w14:textId="040C3B41" w:rsidR="00244CE7" w:rsidRDefault="00244CE7" w:rsidP="00244CE7"/>
    <w:p w14:paraId="50C4573A" w14:textId="77777777" w:rsidR="00244CE7" w:rsidRPr="00244CE7" w:rsidRDefault="00244CE7" w:rsidP="00244CE7">
      <w:pPr>
        <w:rPr>
          <w:sz w:val="24"/>
          <w:szCs w:val="24"/>
          <w:lang w:val="en-US"/>
        </w:rPr>
      </w:pPr>
      <w:proofErr w:type="spellStart"/>
      <w:r w:rsidRPr="00244CE7">
        <w:rPr>
          <w:lang w:val="en-US"/>
        </w:rPr>
        <w:t>Cardifnend</w:t>
      </w:r>
      <w:proofErr w:type="spellEnd"/>
      <w:r w:rsidRPr="00244CE7">
        <w:rPr>
          <w:lang w:val="en-US"/>
        </w:rPr>
        <w:t xml:space="preserve"> </w:t>
      </w:r>
      <w:r w:rsidRPr="00244CE7">
        <w:rPr>
          <w:lang w:eastAsia="bg-BG"/>
        </w:rPr>
        <w:t xml:space="preserve">5 </w:t>
      </w:r>
      <w:r w:rsidRPr="00244CE7">
        <w:rPr>
          <w:lang w:val="en-US"/>
        </w:rPr>
        <w:t xml:space="preserve">mg tablets </w:t>
      </w:r>
      <w:r w:rsidRPr="00244CE7">
        <w:rPr>
          <w:lang w:eastAsia="bg-BG"/>
        </w:rPr>
        <w:t xml:space="preserve">- </w:t>
      </w:r>
      <w:r w:rsidRPr="00244CE7">
        <w:rPr>
          <w:lang w:val="en-US"/>
        </w:rPr>
        <w:t>Per. № 20100603</w:t>
      </w:r>
    </w:p>
    <w:p w14:paraId="6449DE70" w14:textId="175328E9" w:rsidR="00244CE7" w:rsidRDefault="00244CE7" w:rsidP="00244CE7">
      <w:proofErr w:type="spellStart"/>
      <w:r w:rsidRPr="00244CE7">
        <w:rPr>
          <w:lang w:val="en-US"/>
        </w:rPr>
        <w:t>Cardifnend</w:t>
      </w:r>
      <w:proofErr w:type="spellEnd"/>
      <w:r w:rsidRPr="00244CE7">
        <w:rPr>
          <w:lang w:val="en-US"/>
        </w:rPr>
        <w:t xml:space="preserve"> 10 mg tablets - Per. </w:t>
      </w:r>
      <w:r w:rsidRPr="00C95F9A">
        <w:rPr>
          <w:lang w:val="ru-RU"/>
        </w:rPr>
        <w:t>№ 20100604</w:t>
      </w:r>
    </w:p>
    <w:p w14:paraId="77618374" w14:textId="77777777" w:rsidR="00244CE7" w:rsidRPr="00244CE7" w:rsidRDefault="00244CE7" w:rsidP="00244CE7"/>
    <w:p w14:paraId="2CCB5832" w14:textId="6C552824" w:rsidR="007C605B" w:rsidRDefault="002C50EE" w:rsidP="007C605B">
      <w:pPr>
        <w:pStyle w:val="Heading1"/>
      </w:pPr>
      <w:r>
        <w:t>9. ДАТА НА ПЪРВО РАЗРЕШАВАНЕ/ПОДНОВЯВАНЕ НА РАЗРЕШЕНИЕТО ЗА УПОТРЕБА</w:t>
      </w:r>
    </w:p>
    <w:p w14:paraId="19F1E172" w14:textId="6F628955" w:rsidR="00244CE7" w:rsidRDefault="00244CE7" w:rsidP="00244CE7"/>
    <w:p w14:paraId="323B878D" w14:textId="2137DB91" w:rsidR="00244CE7" w:rsidRPr="00244CE7" w:rsidRDefault="00244CE7" w:rsidP="00244CE7">
      <w:r>
        <w:t>29.09.2010</w:t>
      </w:r>
    </w:p>
    <w:p w14:paraId="0E9D0119" w14:textId="0245C6D7" w:rsidR="002C50EE" w:rsidRDefault="002C50EE" w:rsidP="002C50EE">
      <w:pPr>
        <w:pStyle w:val="Heading1"/>
      </w:pPr>
      <w:r>
        <w:t>10. ДАТА НА АКТУАЛИЗИРАНЕ НА ТЕКСТА</w:t>
      </w:r>
    </w:p>
    <w:bookmarkEnd w:id="0"/>
    <w:p w14:paraId="43FB38A2" w14:textId="76EF0012" w:rsidR="007C605B" w:rsidRDefault="007C605B" w:rsidP="00CF77F7"/>
    <w:p w14:paraId="49E2ADCC" w14:textId="29D89F47" w:rsidR="00244CE7" w:rsidRPr="003E3126" w:rsidRDefault="00C95F9A" w:rsidP="00244CE7">
      <w:r>
        <w:t>Юли</w:t>
      </w:r>
      <w:bookmarkStart w:id="3" w:name="_GoBack"/>
      <w:bookmarkEnd w:id="3"/>
      <w:r w:rsidR="00244CE7">
        <w:t>, 2017</w:t>
      </w:r>
    </w:p>
    <w:sectPr w:rsidR="00244CE7" w:rsidRPr="003E31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 w15:restartNumberingAfterBreak="0">
    <w:nsid w:val="00000003"/>
    <w:multiLevelType w:val="multilevel"/>
    <w:tmpl w:val="293C6334"/>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 w15:restartNumberingAfterBreak="0">
    <w:nsid w:val="00894126"/>
    <w:multiLevelType w:val="multilevel"/>
    <w:tmpl w:val="588ED07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0AE4925"/>
    <w:multiLevelType w:val="multilevel"/>
    <w:tmpl w:val="4CC8ED5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04834C69"/>
    <w:multiLevelType w:val="multilevel"/>
    <w:tmpl w:val="DC0A14F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99A0F47"/>
    <w:multiLevelType w:val="hybridMultilevel"/>
    <w:tmpl w:val="5F3E3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643E1F"/>
    <w:multiLevelType w:val="hybridMultilevel"/>
    <w:tmpl w:val="EC2A9870"/>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3A2C2D"/>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8" w15:restartNumberingAfterBreak="0">
    <w:nsid w:val="16352211"/>
    <w:multiLevelType w:val="hybridMultilevel"/>
    <w:tmpl w:val="FC4A3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016EEE"/>
    <w:multiLevelType w:val="hybridMultilevel"/>
    <w:tmpl w:val="52F6376E"/>
    <w:lvl w:ilvl="0" w:tplc="4F7A9382">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343B0"/>
    <w:multiLevelType w:val="hybridMultilevel"/>
    <w:tmpl w:val="DD4E8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258ED"/>
    <w:multiLevelType w:val="hybridMultilevel"/>
    <w:tmpl w:val="AA423BD4"/>
    <w:lvl w:ilvl="0" w:tplc="04090001">
      <w:start w:val="1"/>
      <w:numFmt w:val="bullet"/>
      <w:lvlText w:val=""/>
      <w:lvlJc w:val="left"/>
      <w:pPr>
        <w:ind w:left="1637" w:hanging="360"/>
      </w:pPr>
      <w:rPr>
        <w:rFonts w:ascii="Symbol" w:hAnsi="Symbol" w:hint="default"/>
      </w:rPr>
    </w:lvl>
    <w:lvl w:ilvl="1" w:tplc="04090003" w:tentative="1">
      <w:start w:val="1"/>
      <w:numFmt w:val="bullet"/>
      <w:lvlText w:val="o"/>
      <w:lvlJc w:val="left"/>
      <w:pPr>
        <w:ind w:left="2357" w:hanging="360"/>
      </w:pPr>
      <w:rPr>
        <w:rFonts w:ascii="Courier New" w:hAnsi="Courier New" w:cs="Courier New" w:hint="default"/>
      </w:rPr>
    </w:lvl>
    <w:lvl w:ilvl="2" w:tplc="04090005" w:tentative="1">
      <w:start w:val="1"/>
      <w:numFmt w:val="bullet"/>
      <w:lvlText w:val=""/>
      <w:lvlJc w:val="left"/>
      <w:pPr>
        <w:ind w:left="3077" w:hanging="360"/>
      </w:pPr>
      <w:rPr>
        <w:rFonts w:ascii="Wingdings" w:hAnsi="Wingdings" w:hint="default"/>
      </w:rPr>
    </w:lvl>
    <w:lvl w:ilvl="3" w:tplc="04090001" w:tentative="1">
      <w:start w:val="1"/>
      <w:numFmt w:val="bullet"/>
      <w:lvlText w:val=""/>
      <w:lvlJc w:val="left"/>
      <w:pPr>
        <w:ind w:left="3797" w:hanging="360"/>
      </w:pPr>
      <w:rPr>
        <w:rFonts w:ascii="Symbol" w:hAnsi="Symbol" w:hint="default"/>
      </w:rPr>
    </w:lvl>
    <w:lvl w:ilvl="4" w:tplc="04090003" w:tentative="1">
      <w:start w:val="1"/>
      <w:numFmt w:val="bullet"/>
      <w:lvlText w:val="o"/>
      <w:lvlJc w:val="left"/>
      <w:pPr>
        <w:ind w:left="4517" w:hanging="360"/>
      </w:pPr>
      <w:rPr>
        <w:rFonts w:ascii="Courier New" w:hAnsi="Courier New" w:cs="Courier New" w:hint="default"/>
      </w:rPr>
    </w:lvl>
    <w:lvl w:ilvl="5" w:tplc="04090005" w:tentative="1">
      <w:start w:val="1"/>
      <w:numFmt w:val="bullet"/>
      <w:lvlText w:val=""/>
      <w:lvlJc w:val="left"/>
      <w:pPr>
        <w:ind w:left="5237" w:hanging="360"/>
      </w:pPr>
      <w:rPr>
        <w:rFonts w:ascii="Wingdings" w:hAnsi="Wingdings" w:hint="default"/>
      </w:rPr>
    </w:lvl>
    <w:lvl w:ilvl="6" w:tplc="04090001" w:tentative="1">
      <w:start w:val="1"/>
      <w:numFmt w:val="bullet"/>
      <w:lvlText w:val=""/>
      <w:lvlJc w:val="left"/>
      <w:pPr>
        <w:ind w:left="5957" w:hanging="360"/>
      </w:pPr>
      <w:rPr>
        <w:rFonts w:ascii="Symbol" w:hAnsi="Symbol" w:hint="default"/>
      </w:rPr>
    </w:lvl>
    <w:lvl w:ilvl="7" w:tplc="04090003" w:tentative="1">
      <w:start w:val="1"/>
      <w:numFmt w:val="bullet"/>
      <w:lvlText w:val="o"/>
      <w:lvlJc w:val="left"/>
      <w:pPr>
        <w:ind w:left="6677" w:hanging="360"/>
      </w:pPr>
      <w:rPr>
        <w:rFonts w:ascii="Courier New" w:hAnsi="Courier New" w:cs="Courier New" w:hint="default"/>
      </w:rPr>
    </w:lvl>
    <w:lvl w:ilvl="8" w:tplc="04090005" w:tentative="1">
      <w:start w:val="1"/>
      <w:numFmt w:val="bullet"/>
      <w:lvlText w:val=""/>
      <w:lvlJc w:val="left"/>
      <w:pPr>
        <w:ind w:left="7397" w:hanging="360"/>
      </w:pPr>
      <w:rPr>
        <w:rFonts w:ascii="Wingdings" w:hAnsi="Wingdings" w:hint="default"/>
      </w:rPr>
    </w:lvl>
  </w:abstractNum>
  <w:abstractNum w:abstractNumId="12" w15:restartNumberingAfterBreak="0">
    <w:nsid w:val="26177103"/>
    <w:multiLevelType w:val="multilevel"/>
    <w:tmpl w:val="E82C6D46"/>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2C0F0359"/>
    <w:multiLevelType w:val="hybridMultilevel"/>
    <w:tmpl w:val="44CA7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A60FB9"/>
    <w:multiLevelType w:val="hybridMultilevel"/>
    <w:tmpl w:val="BA3E8EEE"/>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833B60"/>
    <w:multiLevelType w:val="hybridMultilevel"/>
    <w:tmpl w:val="2A2E8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A002FE"/>
    <w:multiLevelType w:val="hybridMultilevel"/>
    <w:tmpl w:val="60D40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687B8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18" w15:restartNumberingAfterBreak="0">
    <w:nsid w:val="403D3417"/>
    <w:multiLevelType w:val="multilevel"/>
    <w:tmpl w:val="B57254DC"/>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42823E3C"/>
    <w:multiLevelType w:val="hybridMultilevel"/>
    <w:tmpl w:val="80B0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0E33D8"/>
    <w:multiLevelType w:val="hybridMultilevel"/>
    <w:tmpl w:val="71309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D0C31"/>
    <w:multiLevelType w:val="hybridMultilevel"/>
    <w:tmpl w:val="2946DD8C"/>
    <w:lvl w:ilvl="0" w:tplc="83C2330A">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817B77"/>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abstractNum w:abstractNumId="23" w15:restartNumberingAfterBreak="0">
    <w:nsid w:val="4B960DEC"/>
    <w:multiLevelType w:val="hybridMultilevel"/>
    <w:tmpl w:val="DE7AABEA"/>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31061F"/>
    <w:multiLevelType w:val="hybridMultilevel"/>
    <w:tmpl w:val="7BE09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F21348"/>
    <w:multiLevelType w:val="hybridMultilevel"/>
    <w:tmpl w:val="DF64B4C6"/>
    <w:lvl w:ilvl="0" w:tplc="D59C7A5E">
      <w:start w:val="4"/>
      <w:numFmt w:val="bullet"/>
      <w:lvlText w:val="-"/>
      <w:lvlJc w:val="left"/>
      <w:pPr>
        <w:ind w:left="720" w:hanging="360"/>
      </w:pPr>
      <w:rPr>
        <w:rFonts w:ascii="Arial" w:eastAsia="Times New Roman" w:hAnsi="Arial" w:cs="Arial"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FE48DA"/>
    <w:multiLevelType w:val="hybridMultilevel"/>
    <w:tmpl w:val="8D98AC54"/>
    <w:lvl w:ilvl="0" w:tplc="04090001">
      <w:start w:val="1"/>
      <w:numFmt w:val="bullet"/>
      <w:lvlText w:val=""/>
      <w:lvlJc w:val="left"/>
      <w:pPr>
        <w:ind w:left="720" w:hanging="360"/>
      </w:pPr>
      <w:rPr>
        <w:rFonts w:ascii="Symbol" w:hAnsi="Symbol" w:hint="default"/>
      </w:rPr>
    </w:lvl>
    <w:lvl w:ilvl="1" w:tplc="9F088CA4">
      <w:numFmt w:val="bullet"/>
      <w:lvlText w:val="•"/>
      <w:lvlJc w:val="left"/>
      <w:pPr>
        <w:ind w:left="1800" w:hanging="720"/>
      </w:pPr>
      <w:rPr>
        <w:rFonts w:ascii="Arial" w:eastAsiaTheme="minorHAnsi" w:hAnsi="Arial" w:cs="Arial" w:hint="default"/>
        <w:sz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FAB1ABA"/>
    <w:multiLevelType w:val="hybridMultilevel"/>
    <w:tmpl w:val="EEEC7F7E"/>
    <w:lvl w:ilvl="0" w:tplc="E38E44DA">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16B"/>
    <w:multiLevelType w:val="hybridMultilevel"/>
    <w:tmpl w:val="F18C2434"/>
    <w:lvl w:ilvl="0" w:tplc="04B87F8E">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5C2302E"/>
    <w:multiLevelType w:val="hybridMultilevel"/>
    <w:tmpl w:val="FF02B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5E1666B"/>
    <w:multiLevelType w:val="hybridMultilevel"/>
    <w:tmpl w:val="AE626D1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BC51B1"/>
    <w:multiLevelType w:val="hybridMultilevel"/>
    <w:tmpl w:val="81784A74"/>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1F677A"/>
    <w:multiLevelType w:val="hybridMultilevel"/>
    <w:tmpl w:val="96EC7004"/>
    <w:lvl w:ilvl="0" w:tplc="D63C3370">
      <w:start w:val="4"/>
      <w:numFmt w:val="bullet"/>
      <w:lvlText w:val="-"/>
      <w:lvlJc w:val="left"/>
      <w:pPr>
        <w:ind w:left="720" w:hanging="360"/>
      </w:pPr>
      <w:rPr>
        <w:rFonts w:ascii="Arial" w:eastAsia="Times New Roman" w:hAnsi="Arial" w:cs="Arial" w:hint="default"/>
        <w:color w:val="00000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122928"/>
    <w:multiLevelType w:val="hybridMultilevel"/>
    <w:tmpl w:val="A8F06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B539E2"/>
    <w:multiLevelType w:val="hybridMultilevel"/>
    <w:tmpl w:val="E3BC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BC7DEC"/>
    <w:multiLevelType w:val="hybridMultilevel"/>
    <w:tmpl w:val="EE04B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AD1413"/>
    <w:multiLevelType w:val="hybridMultilevel"/>
    <w:tmpl w:val="9B941132"/>
    <w:lvl w:ilvl="0" w:tplc="7E0614AE">
      <w:start w:val="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646080"/>
    <w:multiLevelType w:val="hybridMultilevel"/>
    <w:tmpl w:val="AF3E9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9E39A0"/>
    <w:multiLevelType w:val="hybridMultilevel"/>
    <w:tmpl w:val="E28A72A8"/>
    <w:lvl w:ilvl="0" w:tplc="61A8CAF0">
      <w:start w:val="4"/>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B2D78"/>
    <w:multiLevelType w:val="multilevel"/>
    <w:tmpl w:val="00000000"/>
    <w:lvl w:ilvl="0">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1">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2">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3">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4">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5">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6">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7">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lvl w:ilvl="8">
      <w:start w:val="1"/>
      <w:numFmt w:val="bullet"/>
      <w:lvlText w:val="-"/>
      <w:lvlJc w:val="left"/>
      <w:rPr>
        <w:rFonts w:ascii="Arial" w:hAnsi="Arial" w:cs="Arial"/>
        <w:b w:val="0"/>
        <w:bCs w:val="0"/>
        <w:i w:val="0"/>
        <w:iCs w:val="0"/>
        <w:smallCaps w:val="0"/>
        <w:strike w:val="0"/>
        <w:color w:val="000000"/>
        <w:spacing w:val="0"/>
        <w:w w:val="100"/>
        <w:position w:val="0"/>
        <w:sz w:val="28"/>
        <w:szCs w:val="28"/>
        <w:u w:val="none"/>
      </w:rPr>
    </w:lvl>
  </w:abstractNum>
  <w:num w:numId="1">
    <w:abstractNumId w:val="32"/>
  </w:num>
  <w:num w:numId="2">
    <w:abstractNumId w:val="0"/>
  </w:num>
  <w:num w:numId="3">
    <w:abstractNumId w:val="14"/>
  </w:num>
  <w:num w:numId="4">
    <w:abstractNumId w:val="3"/>
  </w:num>
  <w:num w:numId="5">
    <w:abstractNumId w:val="1"/>
  </w:num>
  <w:num w:numId="6">
    <w:abstractNumId w:val="18"/>
  </w:num>
  <w:num w:numId="7">
    <w:abstractNumId w:val="12"/>
  </w:num>
  <w:num w:numId="8">
    <w:abstractNumId w:val="17"/>
  </w:num>
  <w:num w:numId="9">
    <w:abstractNumId w:val="2"/>
  </w:num>
  <w:num w:numId="10">
    <w:abstractNumId w:val="4"/>
  </w:num>
  <w:num w:numId="11">
    <w:abstractNumId w:val="35"/>
  </w:num>
  <w:num w:numId="12">
    <w:abstractNumId w:val="16"/>
  </w:num>
  <w:num w:numId="13">
    <w:abstractNumId w:val="21"/>
  </w:num>
  <w:num w:numId="14">
    <w:abstractNumId w:val="13"/>
  </w:num>
  <w:num w:numId="15">
    <w:abstractNumId w:val="34"/>
  </w:num>
  <w:num w:numId="16">
    <w:abstractNumId w:val="11"/>
  </w:num>
  <w:num w:numId="17">
    <w:abstractNumId w:val="27"/>
  </w:num>
  <w:num w:numId="18">
    <w:abstractNumId w:val="9"/>
  </w:num>
  <w:num w:numId="19">
    <w:abstractNumId w:val="29"/>
  </w:num>
  <w:num w:numId="20">
    <w:abstractNumId w:val="26"/>
  </w:num>
  <w:num w:numId="21">
    <w:abstractNumId w:val="19"/>
  </w:num>
  <w:num w:numId="22">
    <w:abstractNumId w:val="28"/>
  </w:num>
  <w:num w:numId="23">
    <w:abstractNumId w:val="20"/>
  </w:num>
  <w:num w:numId="24">
    <w:abstractNumId w:val="10"/>
  </w:num>
  <w:num w:numId="25">
    <w:abstractNumId w:val="24"/>
  </w:num>
  <w:num w:numId="26">
    <w:abstractNumId w:val="23"/>
  </w:num>
  <w:num w:numId="27">
    <w:abstractNumId w:val="36"/>
  </w:num>
  <w:num w:numId="28">
    <w:abstractNumId w:val="7"/>
  </w:num>
  <w:num w:numId="29">
    <w:abstractNumId w:val="22"/>
  </w:num>
  <w:num w:numId="30">
    <w:abstractNumId w:val="39"/>
  </w:num>
  <w:num w:numId="31">
    <w:abstractNumId w:val="5"/>
  </w:num>
  <w:num w:numId="32">
    <w:abstractNumId w:val="38"/>
  </w:num>
  <w:num w:numId="33">
    <w:abstractNumId w:val="33"/>
  </w:num>
  <w:num w:numId="34">
    <w:abstractNumId w:val="37"/>
  </w:num>
  <w:num w:numId="35">
    <w:abstractNumId w:val="25"/>
  </w:num>
  <w:num w:numId="36">
    <w:abstractNumId w:val="15"/>
  </w:num>
  <w:num w:numId="37">
    <w:abstractNumId w:val="30"/>
  </w:num>
  <w:num w:numId="38">
    <w:abstractNumId w:val="31"/>
  </w:num>
  <w:num w:numId="39">
    <w:abstractNumId w:val="8"/>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A00"/>
    <w:rsid w:val="0008663D"/>
    <w:rsid w:val="00093ED1"/>
    <w:rsid w:val="00185A46"/>
    <w:rsid w:val="001915B6"/>
    <w:rsid w:val="001D1B23"/>
    <w:rsid w:val="00244CE7"/>
    <w:rsid w:val="002B3C38"/>
    <w:rsid w:val="002B4DBB"/>
    <w:rsid w:val="002C50EE"/>
    <w:rsid w:val="00340A0A"/>
    <w:rsid w:val="003765DC"/>
    <w:rsid w:val="00395555"/>
    <w:rsid w:val="003E3126"/>
    <w:rsid w:val="00426E5F"/>
    <w:rsid w:val="004A448E"/>
    <w:rsid w:val="004D4D6B"/>
    <w:rsid w:val="004F1CE7"/>
    <w:rsid w:val="004F498A"/>
    <w:rsid w:val="00517A5B"/>
    <w:rsid w:val="00593A00"/>
    <w:rsid w:val="005A66D9"/>
    <w:rsid w:val="00605BCA"/>
    <w:rsid w:val="006158A1"/>
    <w:rsid w:val="00617B1F"/>
    <w:rsid w:val="00672487"/>
    <w:rsid w:val="00672600"/>
    <w:rsid w:val="00681D4A"/>
    <w:rsid w:val="00685882"/>
    <w:rsid w:val="0075649D"/>
    <w:rsid w:val="007C605B"/>
    <w:rsid w:val="008134C8"/>
    <w:rsid w:val="00814073"/>
    <w:rsid w:val="00826F0D"/>
    <w:rsid w:val="00893B92"/>
    <w:rsid w:val="008A6AF2"/>
    <w:rsid w:val="008C70A2"/>
    <w:rsid w:val="009773E4"/>
    <w:rsid w:val="009B171C"/>
    <w:rsid w:val="009D629D"/>
    <w:rsid w:val="009F1313"/>
    <w:rsid w:val="00A20351"/>
    <w:rsid w:val="00A65A81"/>
    <w:rsid w:val="00AA23EC"/>
    <w:rsid w:val="00AC63CE"/>
    <w:rsid w:val="00AE2107"/>
    <w:rsid w:val="00B275A8"/>
    <w:rsid w:val="00BF2600"/>
    <w:rsid w:val="00C0049F"/>
    <w:rsid w:val="00C07B84"/>
    <w:rsid w:val="00C33464"/>
    <w:rsid w:val="00C40420"/>
    <w:rsid w:val="00C809A7"/>
    <w:rsid w:val="00C83063"/>
    <w:rsid w:val="00C87E90"/>
    <w:rsid w:val="00C95F9A"/>
    <w:rsid w:val="00CA1B57"/>
    <w:rsid w:val="00CF77F7"/>
    <w:rsid w:val="00D86297"/>
    <w:rsid w:val="00DD466D"/>
    <w:rsid w:val="00EB6364"/>
    <w:rsid w:val="00F37B64"/>
    <w:rsid w:val="00FD6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84BA7"/>
  <w15:docId w15:val="{3DA60348-CCDC-4D6D-877F-EA9575E07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364"/>
    <w:pPr>
      <w:spacing w:after="0" w:line="256" w:lineRule="auto"/>
    </w:pPr>
    <w:rPr>
      <w:rFonts w:ascii="Arial" w:hAnsi="Arial"/>
      <w:lang w:val="bg-BG"/>
    </w:rPr>
  </w:style>
  <w:style w:type="paragraph" w:styleId="Heading1">
    <w:name w:val="heading 1"/>
    <w:basedOn w:val="Normal"/>
    <w:next w:val="Normal"/>
    <w:link w:val="Heading1Char"/>
    <w:uiPriority w:val="9"/>
    <w:qFormat/>
    <w:rsid w:val="00681D4A"/>
    <w:pPr>
      <w:keepNext/>
      <w:keepLines/>
      <w:spacing w:before="240" w:line="259"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681D4A"/>
    <w:pPr>
      <w:keepNext/>
      <w:keepLines/>
      <w:spacing w:before="40" w:line="259" w:lineRule="auto"/>
      <w:outlineLvl w:val="1"/>
    </w:pPr>
    <w:rPr>
      <w:rFonts w:eastAsiaTheme="majorEastAsia" w:cstheme="majorBidi"/>
      <w:color w:val="000000" w:themeColor="text1"/>
      <w:sz w:val="26"/>
      <w:szCs w:val="26"/>
    </w:rPr>
  </w:style>
  <w:style w:type="paragraph" w:styleId="Heading3">
    <w:name w:val="heading 3"/>
    <w:basedOn w:val="Normal"/>
    <w:next w:val="Normal"/>
    <w:link w:val="Heading3Char"/>
    <w:uiPriority w:val="9"/>
    <w:unhideWhenUsed/>
    <w:qFormat/>
    <w:rsid w:val="00681D4A"/>
    <w:pPr>
      <w:keepNext/>
      <w:keepLines/>
      <w:spacing w:before="40" w:line="259" w:lineRule="auto"/>
      <w:outlineLvl w:val="2"/>
    </w:pPr>
    <w:rPr>
      <w:rFonts w:eastAsiaTheme="majorEastAsia" w:cstheme="majorBidi"/>
      <w:color w:val="000000" w:themeColor="text1"/>
      <w:sz w:val="24"/>
      <w:szCs w:val="24"/>
    </w:rPr>
  </w:style>
  <w:style w:type="paragraph" w:styleId="Heading4">
    <w:name w:val="heading 4"/>
    <w:basedOn w:val="Normal"/>
    <w:next w:val="Normal"/>
    <w:link w:val="Heading4Char"/>
    <w:uiPriority w:val="9"/>
    <w:unhideWhenUsed/>
    <w:qFormat/>
    <w:rsid w:val="00681D4A"/>
    <w:pPr>
      <w:keepNext/>
      <w:keepLines/>
      <w:spacing w:before="40" w:line="259" w:lineRule="auto"/>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Стил1"/>
    <w:basedOn w:val="Heading3"/>
    <w:next w:val="Normal"/>
    <w:link w:val="10"/>
    <w:qFormat/>
    <w:rsid w:val="00C87E90"/>
    <w:pPr>
      <w:widowControl w:val="0"/>
      <w:spacing w:after="1080" w:line="240" w:lineRule="auto"/>
      <w:ind w:left="4400"/>
      <w:jc w:val="center"/>
    </w:pPr>
    <w:rPr>
      <w:b/>
      <w:sz w:val="22"/>
      <w:szCs w:val="22"/>
    </w:rPr>
  </w:style>
  <w:style w:type="character" w:customStyle="1" w:styleId="10">
    <w:name w:val="Стил1 Знак"/>
    <w:basedOn w:val="Heading3Char"/>
    <w:link w:val="1"/>
    <w:rsid w:val="00C87E90"/>
    <w:rPr>
      <w:rFonts w:ascii="Arial" w:eastAsiaTheme="majorEastAsia" w:hAnsi="Arial" w:cstheme="majorBidi"/>
      <w:b/>
      <w:color w:val="000000" w:themeColor="text1"/>
      <w:sz w:val="24"/>
      <w:szCs w:val="24"/>
    </w:rPr>
  </w:style>
  <w:style w:type="character" w:customStyle="1" w:styleId="Heading3Char">
    <w:name w:val="Heading 3 Char"/>
    <w:basedOn w:val="DefaultParagraphFont"/>
    <w:link w:val="Heading3"/>
    <w:uiPriority w:val="9"/>
    <w:rsid w:val="00681D4A"/>
    <w:rPr>
      <w:rFonts w:ascii="Arial" w:eastAsiaTheme="majorEastAsia" w:hAnsi="Arial" w:cstheme="majorBidi"/>
      <w:color w:val="000000" w:themeColor="text1"/>
      <w:sz w:val="24"/>
      <w:szCs w:val="24"/>
    </w:rPr>
  </w:style>
  <w:style w:type="paragraph" w:styleId="ListParagraph">
    <w:name w:val="List Paragraph"/>
    <w:basedOn w:val="Normal"/>
    <w:uiPriority w:val="34"/>
    <w:qFormat/>
    <w:rsid w:val="00685882"/>
    <w:pPr>
      <w:spacing w:line="259" w:lineRule="auto"/>
      <w:ind w:left="720"/>
      <w:contextualSpacing/>
    </w:pPr>
  </w:style>
  <w:style w:type="character" w:customStyle="1" w:styleId="Heading1Char">
    <w:name w:val="Heading 1 Char"/>
    <w:basedOn w:val="DefaultParagraphFont"/>
    <w:link w:val="Heading1"/>
    <w:uiPriority w:val="9"/>
    <w:rsid w:val="00681D4A"/>
    <w:rPr>
      <w:rFonts w:ascii="Arial" w:eastAsiaTheme="majorEastAsia" w:hAnsi="Arial" w:cstheme="majorBidi"/>
      <w:color w:val="000000" w:themeColor="text1"/>
      <w:sz w:val="32"/>
      <w:szCs w:val="32"/>
    </w:rPr>
  </w:style>
  <w:style w:type="character" w:customStyle="1" w:styleId="Heading2Char">
    <w:name w:val="Heading 2 Char"/>
    <w:basedOn w:val="DefaultParagraphFont"/>
    <w:link w:val="Heading2"/>
    <w:uiPriority w:val="9"/>
    <w:rsid w:val="00681D4A"/>
    <w:rPr>
      <w:rFonts w:ascii="Arial" w:eastAsiaTheme="majorEastAsia" w:hAnsi="Arial" w:cstheme="majorBidi"/>
      <w:color w:val="000000" w:themeColor="text1"/>
      <w:sz w:val="26"/>
      <w:szCs w:val="26"/>
    </w:rPr>
  </w:style>
  <w:style w:type="character" w:customStyle="1" w:styleId="Heading4Char">
    <w:name w:val="Heading 4 Char"/>
    <w:basedOn w:val="DefaultParagraphFont"/>
    <w:link w:val="Heading4"/>
    <w:uiPriority w:val="9"/>
    <w:rsid w:val="00681D4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7564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4627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6025</Words>
  <Characters>34344</Characters>
  <Application>Microsoft Office Word</Application>
  <DocSecurity>0</DocSecurity>
  <Lines>286</Lines>
  <Paragraphs>80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40289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petar vasilev</dc:creator>
  <cp:keywords/>
  <dc:description/>
  <cp:lastModifiedBy>petar vasilev</cp:lastModifiedBy>
  <cp:revision>3</cp:revision>
  <dcterms:created xsi:type="dcterms:W3CDTF">2022-04-14T18:55:00Z</dcterms:created>
  <dcterms:modified xsi:type="dcterms:W3CDTF">2022-04-15T08:59:00Z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8080e56-8894-418a-9b19-f357e77b996f_Enabled">
    <vt:lpwstr>true</vt:lpwstr>
  </property>
  <property fmtid="{D5CDD505-2E9C-101B-9397-08002B2CF9AE}" pid="3" name="MSIP_Label_78080e56-8894-418a-9b19-f357e77b996f_SetDate">
    <vt:lpwstr>2021-02-06T20:50:59Z</vt:lpwstr>
  </property>
  <property fmtid="{D5CDD505-2E9C-101B-9397-08002B2CF9AE}" pid="4" name="MSIP_Label_78080e56-8894-418a-9b19-f357e77b996f_Method">
    <vt:lpwstr>Standard</vt:lpwstr>
  </property>
  <property fmtid="{D5CDD505-2E9C-101B-9397-08002B2CF9AE}" pid="5" name="MSIP_Label_78080e56-8894-418a-9b19-f357e77b996f_Name">
    <vt:lpwstr>Internal Use Unencrypted</vt:lpwstr>
  </property>
  <property fmtid="{D5CDD505-2E9C-101B-9397-08002B2CF9AE}" pid="6" name="MSIP_Label_78080e56-8894-418a-9b19-f357e77b996f_SiteId">
    <vt:lpwstr>6c7fadf5-6b9d-485a-85cb-f8112e9720ec</vt:lpwstr>
  </property>
  <property fmtid="{D5CDD505-2E9C-101B-9397-08002B2CF9AE}" pid="7" name="MSIP_Label_78080e56-8894-418a-9b19-f357e77b996f_ActionId">
    <vt:lpwstr>0a32757c-47c4-4949-90c3-637a5e65fde2</vt:lpwstr>
  </property>
  <property fmtid="{D5CDD505-2E9C-101B-9397-08002B2CF9AE}" pid="8" name="MSIP_Label_78080e56-8894-418a-9b19-f357e77b996f_ContentBits">
    <vt:lpwstr>2</vt:lpwstr>
  </property>
</Properties>
</file>