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722E5FE8" w:rsidR="007122AD" w:rsidRDefault="00DD466D" w:rsidP="00936AD0">
      <w:pPr>
        <w:pStyle w:val="Heading1"/>
      </w:pPr>
      <w:r>
        <w:t>1.ИМЕ НА ЛЕКАРСТВЕНИЯ ПРОДУКТ</w:t>
      </w:r>
    </w:p>
    <w:p w14:paraId="78223CFE" w14:textId="548AC3E6" w:rsidR="0067056B" w:rsidRDefault="0067056B" w:rsidP="0067056B"/>
    <w:p w14:paraId="7BCFB84C" w14:textId="77777777" w:rsidR="0067056B" w:rsidRPr="0067056B" w:rsidRDefault="0067056B" w:rsidP="0067056B">
      <w:pPr>
        <w:rPr>
          <w:sz w:val="24"/>
          <w:szCs w:val="24"/>
        </w:rPr>
      </w:pPr>
      <w:r w:rsidRPr="0067056B">
        <w:rPr>
          <w:lang w:eastAsia="bg-BG"/>
        </w:rPr>
        <w:t xml:space="preserve">Кардифренд-Ко 5 </w:t>
      </w:r>
      <w:r w:rsidRPr="0067056B">
        <w:rPr>
          <w:lang w:val="en-US"/>
        </w:rPr>
        <w:t>mg</w:t>
      </w:r>
      <w:r w:rsidRPr="0067056B">
        <w:t xml:space="preserve"> </w:t>
      </w:r>
      <w:r w:rsidRPr="0067056B">
        <w:rPr>
          <w:lang w:eastAsia="bg-BG"/>
        </w:rPr>
        <w:t xml:space="preserve">/ 12,5 </w:t>
      </w:r>
      <w:r w:rsidRPr="0067056B">
        <w:rPr>
          <w:lang w:val="en-US"/>
        </w:rPr>
        <w:t>mg</w:t>
      </w:r>
      <w:r w:rsidRPr="0067056B">
        <w:t xml:space="preserve"> </w:t>
      </w:r>
      <w:r w:rsidRPr="0067056B">
        <w:rPr>
          <w:lang w:eastAsia="bg-BG"/>
        </w:rPr>
        <w:t>таблетки</w:t>
      </w:r>
    </w:p>
    <w:p w14:paraId="6ADE42ED" w14:textId="77777777" w:rsidR="0067056B" w:rsidRPr="0067056B" w:rsidRDefault="0067056B" w:rsidP="0067056B">
      <w:pPr>
        <w:rPr>
          <w:sz w:val="24"/>
          <w:szCs w:val="24"/>
        </w:rPr>
      </w:pPr>
      <w:proofErr w:type="spellStart"/>
      <w:r w:rsidRPr="0067056B">
        <w:rPr>
          <w:lang w:val="en-US"/>
        </w:rPr>
        <w:t>Cardifriend</w:t>
      </w:r>
      <w:proofErr w:type="spellEnd"/>
      <w:r w:rsidRPr="0067056B">
        <w:t>-</w:t>
      </w:r>
      <w:r w:rsidRPr="0067056B">
        <w:rPr>
          <w:lang w:val="en-US"/>
        </w:rPr>
        <w:t>Co</w:t>
      </w:r>
      <w:r w:rsidRPr="0067056B">
        <w:t xml:space="preserve"> 5 </w:t>
      </w:r>
      <w:r w:rsidRPr="0067056B">
        <w:rPr>
          <w:lang w:val="en-US"/>
        </w:rPr>
        <w:t>mg</w:t>
      </w:r>
      <w:r w:rsidRPr="0067056B">
        <w:t xml:space="preserve"> </w:t>
      </w:r>
      <w:r w:rsidRPr="0067056B">
        <w:rPr>
          <w:lang w:eastAsia="bg-BG"/>
        </w:rPr>
        <w:t>/</w:t>
      </w:r>
      <w:r w:rsidRPr="0067056B">
        <w:t>12</w:t>
      </w:r>
      <w:proofErr w:type="gramStart"/>
      <w:r w:rsidRPr="0067056B">
        <w:t>,5</w:t>
      </w:r>
      <w:proofErr w:type="gramEnd"/>
      <w:r w:rsidRPr="0067056B">
        <w:t xml:space="preserve"> </w:t>
      </w:r>
      <w:r w:rsidRPr="0067056B">
        <w:rPr>
          <w:lang w:val="en-US"/>
        </w:rPr>
        <w:t>mg</w:t>
      </w:r>
      <w:r w:rsidRPr="0067056B">
        <w:t xml:space="preserve"> </w:t>
      </w:r>
      <w:r w:rsidRPr="0067056B">
        <w:rPr>
          <w:lang w:val="en-US"/>
        </w:rPr>
        <w:t>tablets</w:t>
      </w:r>
    </w:p>
    <w:p w14:paraId="6A8A307C" w14:textId="77777777" w:rsidR="0067056B" w:rsidRPr="0067056B" w:rsidRDefault="0067056B" w:rsidP="0067056B"/>
    <w:p w14:paraId="6920A680" w14:textId="6BBA8019" w:rsidR="00C40420" w:rsidRDefault="00DD466D" w:rsidP="004A448E">
      <w:pPr>
        <w:pStyle w:val="Heading1"/>
      </w:pPr>
      <w:r>
        <w:t>2. КАЧЕСТВЕН И КОЛИЧЕСТВЕН СЪСТАВ</w:t>
      </w:r>
    </w:p>
    <w:p w14:paraId="6CD11E9D" w14:textId="2D905DA7" w:rsidR="0067056B" w:rsidRDefault="0067056B" w:rsidP="0067056B"/>
    <w:p w14:paraId="11AA8518" w14:textId="77777777" w:rsidR="0067056B" w:rsidRPr="0067056B" w:rsidRDefault="0067056B" w:rsidP="0067056B">
      <w:pPr>
        <w:rPr>
          <w:sz w:val="24"/>
          <w:szCs w:val="24"/>
        </w:rPr>
      </w:pPr>
      <w:r w:rsidRPr="0067056B">
        <w:rPr>
          <w:lang w:eastAsia="bg-BG"/>
        </w:rPr>
        <w:t xml:space="preserve">Всяка таблетка съдържа 5 </w:t>
      </w:r>
      <w:r w:rsidRPr="0067056B">
        <w:rPr>
          <w:lang w:val="en-US"/>
        </w:rPr>
        <w:t>mg</w:t>
      </w:r>
      <w:r w:rsidRPr="0067056B">
        <w:t xml:space="preserve"> </w:t>
      </w:r>
      <w:r w:rsidRPr="0067056B">
        <w:rPr>
          <w:lang w:eastAsia="bg-BG"/>
        </w:rPr>
        <w:t xml:space="preserve">рамиприл </w:t>
      </w:r>
      <w:r w:rsidRPr="0067056B">
        <w:t>(</w:t>
      </w:r>
      <w:proofErr w:type="spellStart"/>
      <w:r w:rsidRPr="0067056B">
        <w:rPr>
          <w:lang w:val="en-US"/>
        </w:rPr>
        <w:t>ramipril</w:t>
      </w:r>
      <w:proofErr w:type="spellEnd"/>
      <w:r w:rsidRPr="0067056B">
        <w:t xml:space="preserve">) </w:t>
      </w:r>
      <w:r w:rsidRPr="0067056B">
        <w:rPr>
          <w:lang w:eastAsia="bg-BG"/>
        </w:rPr>
        <w:t>и 1</w:t>
      </w:r>
      <w:r w:rsidRPr="0067056B">
        <w:rPr>
          <w:i/>
          <w:iCs/>
          <w:lang w:eastAsia="bg-BG"/>
        </w:rPr>
        <w:t>2,5</w:t>
      </w:r>
      <w:r w:rsidRPr="0067056B">
        <w:rPr>
          <w:lang w:eastAsia="bg-BG"/>
        </w:rPr>
        <w:t xml:space="preserve"> </w:t>
      </w:r>
      <w:r w:rsidRPr="0067056B">
        <w:rPr>
          <w:lang w:val="en-US"/>
        </w:rPr>
        <w:t>mg</w:t>
      </w:r>
      <w:r w:rsidRPr="0067056B">
        <w:t xml:space="preserve"> </w:t>
      </w:r>
      <w:r w:rsidRPr="0067056B">
        <w:rPr>
          <w:lang w:eastAsia="bg-BG"/>
        </w:rPr>
        <w:t xml:space="preserve">хидрохлоротиазид </w:t>
      </w:r>
      <w:r w:rsidRPr="0067056B">
        <w:t>(</w:t>
      </w:r>
      <w:r w:rsidRPr="0067056B">
        <w:rPr>
          <w:lang w:val="en-US"/>
        </w:rPr>
        <w:t>hydrochlorothiazide</w:t>
      </w:r>
      <w:r w:rsidRPr="0067056B">
        <w:t>).</w:t>
      </w:r>
    </w:p>
    <w:p w14:paraId="3B8A4A30" w14:textId="77777777" w:rsidR="0067056B" w:rsidRDefault="0067056B" w:rsidP="0067056B">
      <w:pPr>
        <w:rPr>
          <w:u w:val="single"/>
          <w:lang w:eastAsia="bg-BG"/>
        </w:rPr>
      </w:pPr>
    </w:p>
    <w:p w14:paraId="55C0ADAD" w14:textId="64EEE313" w:rsidR="0067056B" w:rsidRPr="0067056B" w:rsidRDefault="0067056B" w:rsidP="0067056B">
      <w:pPr>
        <w:rPr>
          <w:sz w:val="24"/>
          <w:szCs w:val="24"/>
        </w:rPr>
      </w:pPr>
      <w:r w:rsidRPr="0067056B">
        <w:rPr>
          <w:u w:val="single"/>
          <w:lang w:eastAsia="bg-BG"/>
        </w:rPr>
        <w:t>Помощни вещества с известно действие</w:t>
      </w:r>
    </w:p>
    <w:p w14:paraId="5BD3BC62" w14:textId="77777777" w:rsidR="0067056B" w:rsidRPr="0067056B" w:rsidRDefault="0067056B" w:rsidP="0067056B">
      <w:pPr>
        <w:rPr>
          <w:sz w:val="24"/>
          <w:szCs w:val="24"/>
        </w:rPr>
      </w:pPr>
      <w:r w:rsidRPr="0067056B">
        <w:rPr>
          <w:lang w:eastAsia="bg-BG"/>
        </w:rPr>
        <w:t xml:space="preserve">Всяка таблетка съдържа 199,43 </w:t>
      </w:r>
      <w:r w:rsidRPr="0067056B">
        <w:rPr>
          <w:lang w:val="en-US"/>
        </w:rPr>
        <w:t>mg</w:t>
      </w:r>
      <w:r w:rsidRPr="0067056B">
        <w:rPr>
          <w:lang w:val="ru-RU"/>
        </w:rPr>
        <w:t xml:space="preserve"> </w:t>
      </w:r>
      <w:r w:rsidRPr="0067056B">
        <w:rPr>
          <w:lang w:eastAsia="bg-BG"/>
        </w:rPr>
        <w:t>лактоза монохидрат.</w:t>
      </w:r>
    </w:p>
    <w:p w14:paraId="1665A9CF" w14:textId="77777777" w:rsidR="0067056B" w:rsidRPr="0067056B" w:rsidRDefault="0067056B" w:rsidP="0067056B"/>
    <w:p w14:paraId="614984C4" w14:textId="434CD7B3" w:rsidR="008A6AF2" w:rsidRDefault="00DD466D" w:rsidP="002C50EE">
      <w:pPr>
        <w:pStyle w:val="Heading1"/>
      </w:pPr>
      <w:r>
        <w:t>3. ЛЕКАРСТВЕНА ФОРМА</w:t>
      </w:r>
    </w:p>
    <w:p w14:paraId="75FBB3B5" w14:textId="542A241C" w:rsidR="0067056B" w:rsidRDefault="0067056B" w:rsidP="0067056B"/>
    <w:p w14:paraId="67628CA2" w14:textId="77777777" w:rsidR="0067056B" w:rsidRPr="0067056B" w:rsidRDefault="0067056B" w:rsidP="0067056B">
      <w:pPr>
        <w:rPr>
          <w:sz w:val="24"/>
          <w:szCs w:val="24"/>
        </w:rPr>
      </w:pPr>
      <w:r w:rsidRPr="0067056B">
        <w:rPr>
          <w:lang w:eastAsia="bg-BG"/>
        </w:rPr>
        <w:t>Таблетки.</w:t>
      </w:r>
    </w:p>
    <w:p w14:paraId="4ABA114C" w14:textId="77777777" w:rsidR="0067056B" w:rsidRPr="0067056B" w:rsidRDefault="0067056B" w:rsidP="0067056B">
      <w:pPr>
        <w:rPr>
          <w:sz w:val="24"/>
          <w:szCs w:val="24"/>
        </w:rPr>
      </w:pPr>
      <w:r w:rsidRPr="0067056B">
        <w:rPr>
          <w:lang w:eastAsia="bg-BG"/>
        </w:rPr>
        <w:t>Бели или почти бели, кръгли, двойноизпъкнали таблетки, с делителна черта от едната страна.</w:t>
      </w:r>
    </w:p>
    <w:p w14:paraId="6FB81BAA" w14:textId="77777777" w:rsidR="0067056B" w:rsidRPr="0067056B" w:rsidRDefault="0067056B" w:rsidP="0067056B"/>
    <w:p w14:paraId="490FC2C4" w14:textId="0F4A4A75" w:rsidR="002C50EE" w:rsidRDefault="002C50EE" w:rsidP="002C50EE">
      <w:pPr>
        <w:pStyle w:val="Heading1"/>
      </w:pPr>
      <w:r>
        <w:t>4. КЛИНИЧНИ ДАННИ</w:t>
      </w:r>
    </w:p>
    <w:p w14:paraId="74330405" w14:textId="5F366068" w:rsidR="007122AD" w:rsidRDefault="002C50EE" w:rsidP="00936AD0">
      <w:pPr>
        <w:pStyle w:val="Heading2"/>
      </w:pPr>
      <w:r>
        <w:t>4.1. Терапевтични показания</w:t>
      </w:r>
    </w:p>
    <w:p w14:paraId="441D60C7" w14:textId="36169AD2" w:rsidR="0067056B" w:rsidRDefault="0067056B" w:rsidP="0067056B"/>
    <w:p w14:paraId="032CAB35" w14:textId="77777777" w:rsidR="0067056B" w:rsidRPr="0067056B" w:rsidRDefault="0067056B" w:rsidP="0067056B">
      <w:pPr>
        <w:rPr>
          <w:sz w:val="24"/>
          <w:szCs w:val="24"/>
        </w:rPr>
      </w:pPr>
      <w:r w:rsidRPr="0067056B">
        <w:rPr>
          <w:lang w:eastAsia="bg-BG"/>
        </w:rPr>
        <w:t>Лечение на хипертония.</w:t>
      </w:r>
    </w:p>
    <w:p w14:paraId="63B0BE8F" w14:textId="77777777" w:rsidR="0067056B" w:rsidRPr="0067056B" w:rsidRDefault="0067056B" w:rsidP="0067056B">
      <w:pPr>
        <w:rPr>
          <w:sz w:val="24"/>
          <w:szCs w:val="24"/>
        </w:rPr>
      </w:pPr>
      <w:r w:rsidRPr="0067056B">
        <w:rPr>
          <w:lang w:eastAsia="bg-BG"/>
        </w:rPr>
        <w:t>Комбинацията с фиксирани дози е показана при пациенти, чието кръвно налягане не е достатъчно добре контролирано при самостоятелното прилагане на рамиприл или хидрохлоротиазид.</w:t>
      </w:r>
    </w:p>
    <w:p w14:paraId="1C3E2CAE" w14:textId="77777777" w:rsidR="0067056B" w:rsidRPr="0067056B" w:rsidRDefault="0067056B" w:rsidP="0067056B"/>
    <w:p w14:paraId="53F5B866" w14:textId="0E8B5789" w:rsidR="007122AD" w:rsidRDefault="002C50EE" w:rsidP="00936AD0">
      <w:pPr>
        <w:pStyle w:val="Heading2"/>
      </w:pPr>
      <w:r>
        <w:t>4.2. Дозировка и начин на приложение</w:t>
      </w:r>
    </w:p>
    <w:p w14:paraId="12A9D640" w14:textId="188D0090" w:rsidR="0067056B" w:rsidRDefault="0067056B" w:rsidP="0067056B"/>
    <w:p w14:paraId="0EDAD7AD" w14:textId="77777777" w:rsidR="0067056B" w:rsidRPr="0067056B" w:rsidRDefault="0067056B" w:rsidP="0067056B">
      <w:pPr>
        <w:pStyle w:val="Heading3"/>
        <w:rPr>
          <w:rFonts w:eastAsia="Times New Roman"/>
          <w:u w:val="single"/>
        </w:rPr>
      </w:pPr>
      <w:r w:rsidRPr="0067056B">
        <w:rPr>
          <w:rFonts w:eastAsia="Times New Roman"/>
          <w:u w:val="single"/>
          <w:lang w:eastAsia="bg-BG"/>
        </w:rPr>
        <w:t>Дозировка</w:t>
      </w:r>
    </w:p>
    <w:p w14:paraId="7C90AEA8" w14:textId="7D5FC1B2"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Препоръчва се Кардифренд-Ко да бъде приеман веднъж дневно, по едно и също време всеки ден, обикновено сутрин.</w:t>
      </w:r>
    </w:p>
    <w:p w14:paraId="558966AE"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Тъй като приемът на храна не променя бионаличността му, Кардифренд-Ко може да бъде приеман преди, по време на или след хранене (вж. точка 5.2).</w:t>
      </w:r>
    </w:p>
    <w:p w14:paraId="13350099"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Кардифренд-Ко трябва да се поглъща с течност. Не трябва да се дъвче или разтрошава.</w:t>
      </w:r>
    </w:p>
    <w:p w14:paraId="7ED363E9" w14:textId="77777777" w:rsidR="0067056B" w:rsidRDefault="0067056B" w:rsidP="0067056B">
      <w:pPr>
        <w:spacing w:line="240" w:lineRule="auto"/>
        <w:rPr>
          <w:rFonts w:eastAsia="Times New Roman" w:cs="Arial"/>
          <w:i/>
          <w:iCs/>
          <w:color w:val="000000"/>
          <w:u w:val="single"/>
          <w:lang w:eastAsia="bg-BG"/>
        </w:rPr>
      </w:pPr>
    </w:p>
    <w:p w14:paraId="7364A9D2" w14:textId="5D96D76D"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Възрастни</w:t>
      </w:r>
    </w:p>
    <w:p w14:paraId="77D3DEFD"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Дозата трябва да бъде индивидуализирана според профила на пациента (вж. точка 4.4) и контрола на кръвното налягане. Кардифренд-Ко трябва да бъде прилаган като една </w:t>
      </w:r>
      <w:r w:rsidRPr="0067056B">
        <w:rPr>
          <w:rFonts w:eastAsia="Times New Roman" w:cs="Arial"/>
          <w:color w:val="000000"/>
          <w:lang w:eastAsia="bg-BG"/>
        </w:rPr>
        <w:lastRenderedPageBreak/>
        <w:t xml:space="preserve">таблетка веднъж дневно. Максимално допустимите дози са 10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рамиприл и 25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хидрохлоротиазид дневно.</w:t>
      </w:r>
    </w:p>
    <w:p w14:paraId="16C351CA" w14:textId="77777777" w:rsidR="0067056B" w:rsidRDefault="0067056B" w:rsidP="0067056B">
      <w:pPr>
        <w:spacing w:line="240" w:lineRule="auto"/>
        <w:rPr>
          <w:rFonts w:eastAsia="Times New Roman" w:cs="Arial"/>
          <w:i/>
          <w:iCs/>
          <w:color w:val="000000"/>
          <w:u w:val="single"/>
          <w:lang w:eastAsia="bg-BG"/>
        </w:rPr>
      </w:pPr>
    </w:p>
    <w:p w14:paraId="161E79F0" w14:textId="0EACD064"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Специални популации</w:t>
      </w:r>
    </w:p>
    <w:p w14:paraId="5DF20160" w14:textId="77777777" w:rsidR="0067056B" w:rsidRDefault="0067056B" w:rsidP="0067056B">
      <w:pPr>
        <w:spacing w:line="240" w:lineRule="auto"/>
        <w:rPr>
          <w:rFonts w:eastAsia="Times New Roman" w:cs="Arial"/>
          <w:i/>
          <w:iCs/>
          <w:color w:val="000000"/>
          <w:lang w:eastAsia="bg-BG"/>
        </w:rPr>
      </w:pPr>
    </w:p>
    <w:p w14:paraId="2A38A090" w14:textId="5E257478"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Пациенти лекувани с диуретици</w:t>
      </w:r>
    </w:p>
    <w:p w14:paraId="745B4756" w14:textId="282B9B4A" w:rsidR="0067056B" w:rsidRDefault="0067056B" w:rsidP="0067056B">
      <w:pPr>
        <w:rPr>
          <w:rFonts w:eastAsia="Times New Roman" w:cs="Arial"/>
          <w:color w:val="000000"/>
          <w:lang w:eastAsia="bg-BG"/>
        </w:rPr>
      </w:pPr>
      <w:r w:rsidRPr="0067056B">
        <w:rPr>
          <w:rFonts w:eastAsia="Times New Roman" w:cs="Arial"/>
          <w:color w:val="000000"/>
          <w:lang w:eastAsia="bg-BG"/>
        </w:rPr>
        <w:t>При пациенти, едновременно лекувани с диуретици, се препоръчва повишено внимание, тъй като може да възникне хипотония след започване на лечението. Трябва да се има предвид намаляване на дозата на диуретика или спирането му, преди започване на лечение с Кардифренд-Ко.</w:t>
      </w:r>
    </w:p>
    <w:p w14:paraId="2BF13070" w14:textId="5EDC0843" w:rsidR="0067056B" w:rsidRDefault="0067056B" w:rsidP="0067056B">
      <w:pPr>
        <w:rPr>
          <w:rFonts w:eastAsia="Times New Roman" w:cs="Arial"/>
          <w:color w:val="000000"/>
          <w:lang w:eastAsia="bg-BG"/>
        </w:rPr>
      </w:pPr>
    </w:p>
    <w:p w14:paraId="032DD91C"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Ако спирането на диуретика не е възможно, се препоръчва лечението да бъде започнато с най- ниската възможна доза рамиприл (1,25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дневно) без да е във фиксирана комбинация. Препоръчва се в последствие да се премине към първоначална дневна доза от не повече от 2,5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рамиприл/12,5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хидрохлоротиазид.</w:t>
      </w:r>
    </w:p>
    <w:p w14:paraId="4DDB2575" w14:textId="77777777" w:rsidR="0067056B" w:rsidRDefault="0067056B" w:rsidP="0067056B">
      <w:pPr>
        <w:spacing w:line="240" w:lineRule="auto"/>
        <w:rPr>
          <w:rFonts w:eastAsia="Times New Roman" w:cs="Arial"/>
          <w:i/>
          <w:iCs/>
          <w:color w:val="000000"/>
          <w:lang w:eastAsia="bg-BG"/>
        </w:rPr>
      </w:pPr>
    </w:p>
    <w:p w14:paraId="10EEB269" w14:textId="3DCF1EBE" w:rsidR="0067056B" w:rsidRPr="0067056B" w:rsidRDefault="0067056B" w:rsidP="0067056B">
      <w:pPr>
        <w:spacing w:line="240" w:lineRule="auto"/>
        <w:rPr>
          <w:rFonts w:eastAsia="Times New Roman" w:cs="Arial"/>
          <w:i/>
          <w:iCs/>
          <w:color w:val="000000"/>
          <w:lang w:eastAsia="bg-BG"/>
        </w:rPr>
      </w:pPr>
      <w:r w:rsidRPr="0067056B">
        <w:rPr>
          <w:rFonts w:eastAsia="Times New Roman" w:cs="Arial"/>
          <w:i/>
          <w:iCs/>
          <w:color w:val="000000"/>
          <w:lang w:eastAsia="bg-BG"/>
        </w:rPr>
        <w:t>Пациенти с бъбречно увреждане</w:t>
      </w:r>
    </w:p>
    <w:p w14:paraId="303F1235" w14:textId="23C0394B" w:rsidR="0067056B" w:rsidRPr="0067056B" w:rsidRDefault="0067056B" w:rsidP="0067056B">
      <w:pPr>
        <w:spacing w:line="240" w:lineRule="auto"/>
        <w:rPr>
          <w:rFonts w:eastAsia="Times New Roman" w:cs="Arial"/>
        </w:rPr>
      </w:pPr>
      <w:r w:rsidRPr="0067056B">
        <w:rPr>
          <w:rFonts w:eastAsia="Times New Roman" w:cs="Arial"/>
          <w:color w:val="000000"/>
          <w:u w:val="single"/>
          <w:lang w:eastAsia="bg-BG"/>
        </w:rPr>
        <w:t>Тежко бъбречно увреждане</w:t>
      </w:r>
    </w:p>
    <w:p w14:paraId="7EAA3E3C"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Кардифренд-Ко е противопоказан при тежко бъбречно увреждане поради хидрохлоротиазидната компонента (креатининов клирънс &lt; </w:t>
      </w:r>
      <w:r w:rsidRPr="0067056B">
        <w:rPr>
          <w:rFonts w:eastAsia="Times New Roman" w:cs="Arial"/>
          <w:color w:val="000000"/>
          <w:lang w:val="ru-RU"/>
        </w:rPr>
        <w:t>30</w:t>
      </w:r>
      <w:r w:rsidRPr="0067056B">
        <w:rPr>
          <w:rFonts w:eastAsia="Times New Roman" w:cs="Arial"/>
          <w:color w:val="000000"/>
          <w:lang w:val="en-US"/>
        </w:rPr>
        <w:t>ml</w:t>
      </w:r>
      <w:r w:rsidRPr="0067056B">
        <w:rPr>
          <w:rFonts w:eastAsia="Times New Roman" w:cs="Arial"/>
          <w:color w:val="000000"/>
          <w:lang w:val="ru-RU"/>
        </w:rPr>
        <w:t>/</w:t>
      </w:r>
      <w:r w:rsidRPr="0067056B">
        <w:rPr>
          <w:rFonts w:eastAsia="Times New Roman" w:cs="Arial"/>
          <w:color w:val="000000"/>
          <w:lang w:val="en-US"/>
        </w:rPr>
        <w:t>min</w:t>
      </w:r>
      <w:r w:rsidRPr="0067056B">
        <w:rPr>
          <w:rFonts w:eastAsia="Times New Roman" w:cs="Arial"/>
          <w:color w:val="000000"/>
          <w:lang w:val="ru-RU"/>
        </w:rPr>
        <w:t xml:space="preserve">) </w:t>
      </w:r>
      <w:r w:rsidRPr="0067056B">
        <w:rPr>
          <w:rFonts w:eastAsia="Times New Roman" w:cs="Arial"/>
          <w:color w:val="000000"/>
          <w:lang w:eastAsia="bg-BG"/>
        </w:rPr>
        <w:t>(вж. точка 4.3).</w:t>
      </w:r>
    </w:p>
    <w:p w14:paraId="7C9539B5" w14:textId="77777777" w:rsidR="0067056B" w:rsidRDefault="0067056B" w:rsidP="0067056B">
      <w:pPr>
        <w:spacing w:line="240" w:lineRule="auto"/>
        <w:rPr>
          <w:rFonts w:eastAsia="Times New Roman" w:cs="Arial"/>
          <w:color w:val="000000"/>
          <w:u w:val="single"/>
          <w:lang w:eastAsia="bg-BG"/>
        </w:rPr>
      </w:pPr>
    </w:p>
    <w:p w14:paraId="642292D5" w14:textId="6B38C973" w:rsidR="0067056B" w:rsidRPr="0067056B" w:rsidRDefault="0067056B" w:rsidP="0067056B">
      <w:pPr>
        <w:spacing w:line="240" w:lineRule="auto"/>
        <w:rPr>
          <w:rFonts w:eastAsia="Times New Roman" w:cs="Arial"/>
        </w:rPr>
      </w:pPr>
      <w:r w:rsidRPr="0067056B">
        <w:rPr>
          <w:rFonts w:eastAsia="Times New Roman" w:cs="Arial"/>
          <w:color w:val="000000"/>
          <w:u w:val="single"/>
          <w:lang w:eastAsia="bg-BG"/>
        </w:rPr>
        <w:t>Умерено бъбречно увреждане</w:t>
      </w:r>
    </w:p>
    <w:p w14:paraId="1D67EC25"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Пациенти с нива на креатининов клирънс между 30 и 60 </w:t>
      </w:r>
      <w:r w:rsidRPr="0067056B">
        <w:rPr>
          <w:rFonts w:eastAsia="Times New Roman" w:cs="Arial"/>
          <w:color w:val="000000"/>
          <w:lang w:val="en-US"/>
        </w:rPr>
        <w:t>ml</w:t>
      </w:r>
      <w:r w:rsidRPr="0067056B">
        <w:rPr>
          <w:rFonts w:eastAsia="Times New Roman" w:cs="Arial"/>
          <w:color w:val="000000"/>
          <w:lang w:val="ru-RU"/>
        </w:rPr>
        <w:t>/</w:t>
      </w:r>
      <w:r w:rsidRPr="0067056B">
        <w:rPr>
          <w:rFonts w:eastAsia="Times New Roman" w:cs="Arial"/>
          <w:color w:val="000000"/>
          <w:lang w:val="en-US"/>
        </w:rPr>
        <w:t>min</w:t>
      </w:r>
      <w:r w:rsidRPr="0067056B">
        <w:rPr>
          <w:rFonts w:eastAsia="Times New Roman" w:cs="Arial"/>
          <w:color w:val="000000"/>
          <w:lang w:val="ru-RU"/>
        </w:rPr>
        <w:t xml:space="preserve"> </w:t>
      </w:r>
      <w:r w:rsidRPr="0067056B">
        <w:rPr>
          <w:rFonts w:eastAsia="Times New Roman" w:cs="Arial"/>
          <w:color w:val="000000"/>
          <w:lang w:eastAsia="bg-BG"/>
        </w:rPr>
        <w:t xml:space="preserve">могат да бъдат лекувани само с най-ниските дози на фиксираната комбинация рамиприл и хидрохлоротиазид след самостоятелно прилагане на рамиприл. Максималните допустими дози са 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рамиприл и 25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хидрохлоротиазид дневно.</w:t>
      </w:r>
    </w:p>
    <w:p w14:paraId="719A815E" w14:textId="77777777" w:rsidR="0067056B" w:rsidRDefault="0067056B" w:rsidP="0067056B">
      <w:pPr>
        <w:spacing w:line="240" w:lineRule="auto"/>
        <w:rPr>
          <w:rFonts w:eastAsia="Times New Roman" w:cs="Arial"/>
          <w:i/>
          <w:iCs/>
          <w:color w:val="000000"/>
          <w:lang w:eastAsia="bg-BG"/>
        </w:rPr>
      </w:pPr>
    </w:p>
    <w:p w14:paraId="36DAF719" w14:textId="03D3DB8E"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Пациенти с чернодробно увреждане</w:t>
      </w:r>
    </w:p>
    <w:p w14:paraId="094641A4" w14:textId="77777777" w:rsidR="0067056B" w:rsidRPr="0067056B" w:rsidRDefault="0067056B" w:rsidP="0067056B">
      <w:pPr>
        <w:spacing w:line="240" w:lineRule="auto"/>
        <w:rPr>
          <w:rFonts w:eastAsia="Times New Roman" w:cs="Arial"/>
        </w:rPr>
      </w:pPr>
      <w:r w:rsidRPr="0067056B">
        <w:rPr>
          <w:rFonts w:eastAsia="Times New Roman" w:cs="Arial"/>
          <w:color w:val="000000"/>
          <w:u w:val="single"/>
          <w:lang w:eastAsia="bg-BG"/>
        </w:rPr>
        <w:t>Леко или умерено чернодробно увреждане</w:t>
      </w:r>
    </w:p>
    <w:p w14:paraId="6750F5F6"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При пациенти с леко до умерено чернодробно увреждане лечението с рамиприл и хидрохлоротиазид трябва да бъде започнато само под стриктно медицинско наблюдение и максималните дневни дози са 2,5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рамиприл и 12,5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хидрохлоротиазид.</w:t>
      </w:r>
    </w:p>
    <w:p w14:paraId="7A20C844" w14:textId="77777777" w:rsidR="0067056B" w:rsidRDefault="0067056B" w:rsidP="0067056B">
      <w:pPr>
        <w:spacing w:line="240" w:lineRule="auto"/>
        <w:rPr>
          <w:rFonts w:eastAsia="Times New Roman" w:cs="Arial"/>
          <w:color w:val="000000"/>
          <w:u w:val="single"/>
          <w:lang w:eastAsia="bg-BG"/>
        </w:rPr>
      </w:pPr>
    </w:p>
    <w:p w14:paraId="27F8BFDA" w14:textId="4F61E87C" w:rsidR="0067056B" w:rsidRPr="0067056B" w:rsidRDefault="0067056B" w:rsidP="0067056B">
      <w:pPr>
        <w:spacing w:line="240" w:lineRule="auto"/>
        <w:rPr>
          <w:rFonts w:eastAsia="Times New Roman" w:cs="Arial"/>
        </w:rPr>
      </w:pPr>
      <w:r w:rsidRPr="0067056B">
        <w:rPr>
          <w:rFonts w:eastAsia="Times New Roman" w:cs="Arial"/>
          <w:color w:val="000000"/>
          <w:u w:val="single"/>
          <w:lang w:eastAsia="bg-BG"/>
        </w:rPr>
        <w:t>Тежко чернодробно увреждане</w:t>
      </w:r>
    </w:p>
    <w:p w14:paraId="0CE4CDBD"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Кардифренд-Ко е противопоказан при тежко чернодробно увреждане (вж, точка 4.3).</w:t>
      </w:r>
    </w:p>
    <w:p w14:paraId="72CEF468" w14:textId="77777777" w:rsidR="0067056B" w:rsidRDefault="0067056B" w:rsidP="0067056B">
      <w:pPr>
        <w:spacing w:line="240" w:lineRule="auto"/>
        <w:rPr>
          <w:rFonts w:eastAsia="Times New Roman" w:cs="Arial"/>
          <w:i/>
          <w:iCs/>
          <w:color w:val="000000"/>
          <w:lang w:eastAsia="bg-BG"/>
        </w:rPr>
      </w:pPr>
    </w:p>
    <w:p w14:paraId="40B58056" w14:textId="25F994D2"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Пациенти в старческа възраст</w:t>
      </w:r>
    </w:p>
    <w:p w14:paraId="0E093152"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Началните дози трябва да бъдат по-ниски и последващото титриране на дозата трябва да бъде по-бавно, поради по-голямата възможност от нежелани реакции, особено при много възрастни и немощни пациенти.</w:t>
      </w:r>
    </w:p>
    <w:p w14:paraId="32B6B2E4" w14:textId="77777777" w:rsidR="0067056B" w:rsidRDefault="0067056B" w:rsidP="0067056B">
      <w:pPr>
        <w:spacing w:line="240" w:lineRule="auto"/>
        <w:rPr>
          <w:rFonts w:eastAsia="Times New Roman" w:cs="Arial"/>
          <w:i/>
          <w:iCs/>
          <w:color w:val="000000"/>
          <w:lang w:eastAsia="bg-BG"/>
        </w:rPr>
      </w:pPr>
    </w:p>
    <w:p w14:paraId="11B5D49C" w14:textId="56AFD622"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Педиатрична популация</w:t>
      </w:r>
    </w:p>
    <w:p w14:paraId="07AA1288"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Кардифренд-Ко не се препоръчва за употреба при деца и юноши до 18 години, поради недостатъчни данни за безопасност и ефикасност.</w:t>
      </w:r>
    </w:p>
    <w:p w14:paraId="2D9C26FD" w14:textId="77777777" w:rsidR="0067056B" w:rsidRDefault="0067056B" w:rsidP="0067056B">
      <w:pPr>
        <w:spacing w:line="240" w:lineRule="auto"/>
        <w:rPr>
          <w:rFonts w:eastAsia="Times New Roman" w:cs="Arial"/>
          <w:color w:val="000000"/>
          <w:u w:val="single"/>
          <w:lang w:eastAsia="bg-BG"/>
        </w:rPr>
      </w:pPr>
    </w:p>
    <w:p w14:paraId="2295A52E" w14:textId="08833BDC" w:rsidR="0067056B" w:rsidRPr="0067056B" w:rsidRDefault="0067056B" w:rsidP="0067056B">
      <w:pPr>
        <w:pStyle w:val="Heading3"/>
        <w:rPr>
          <w:rFonts w:eastAsia="Times New Roman"/>
          <w:u w:val="single"/>
        </w:rPr>
      </w:pPr>
      <w:r w:rsidRPr="0067056B">
        <w:rPr>
          <w:rFonts w:eastAsia="Times New Roman"/>
          <w:u w:val="single"/>
          <w:lang w:eastAsia="bg-BG"/>
        </w:rPr>
        <w:t>Начин на приложение</w:t>
      </w:r>
    </w:p>
    <w:p w14:paraId="61EE8AE9" w14:textId="77777777" w:rsidR="0067056B" w:rsidRPr="0067056B" w:rsidRDefault="0067056B" w:rsidP="0067056B">
      <w:pPr>
        <w:spacing w:line="240" w:lineRule="auto"/>
        <w:rPr>
          <w:rFonts w:ascii="Times New Roman" w:eastAsia="Times New Roman" w:hAnsi="Times New Roman" w:cs="Times New Roman"/>
          <w:sz w:val="24"/>
          <w:szCs w:val="24"/>
        </w:rPr>
      </w:pPr>
      <w:r w:rsidRPr="0067056B">
        <w:rPr>
          <w:rFonts w:eastAsia="Times New Roman" w:cs="Arial"/>
          <w:color w:val="000000"/>
          <w:lang w:eastAsia="bg-BG"/>
        </w:rPr>
        <w:t>Перорално приложение.</w:t>
      </w:r>
    </w:p>
    <w:p w14:paraId="3A35C86F" w14:textId="77777777" w:rsidR="0067056B" w:rsidRPr="0067056B" w:rsidRDefault="0067056B" w:rsidP="0067056B">
      <w:pPr>
        <w:rPr>
          <w:rFonts w:cs="Arial"/>
        </w:rPr>
      </w:pPr>
    </w:p>
    <w:p w14:paraId="0F253247" w14:textId="5A907700" w:rsidR="007122AD" w:rsidRDefault="002C50EE" w:rsidP="00936AD0">
      <w:pPr>
        <w:pStyle w:val="Heading2"/>
      </w:pPr>
      <w:r>
        <w:t>4.3. Противопоказания</w:t>
      </w:r>
    </w:p>
    <w:p w14:paraId="73321297" w14:textId="630011A8" w:rsidR="0067056B" w:rsidRDefault="0067056B" w:rsidP="0067056B"/>
    <w:p w14:paraId="3BE996BF"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lastRenderedPageBreak/>
        <w:t>Свръхчувствителност към активното вещество или към друг АСЕ инхибитор (инхибитор на ангиотензин конвертиращия ензим), хидрохлоротиазид, друг тиазиден диуретик, сулфонамиди или някое от помощните вещества, изброени в точка 6.1;</w:t>
      </w:r>
    </w:p>
    <w:p w14:paraId="0B48FEA6"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 xml:space="preserve">Анамнеза за ангиоедем (наследствен, идиопатичен или вследствие лечение с АСЕ инхибитори или ангиотензин II рецепторни антагонисти </w:t>
      </w:r>
      <w:r w:rsidRPr="0067056B">
        <w:rPr>
          <w:rFonts w:eastAsia="Times New Roman" w:cs="Arial"/>
          <w:color w:val="000000"/>
          <w:lang w:val="ru-RU"/>
        </w:rPr>
        <w:t>(</w:t>
      </w:r>
      <w:r w:rsidRPr="0067056B">
        <w:rPr>
          <w:rFonts w:eastAsia="Times New Roman" w:cs="Arial"/>
          <w:color w:val="000000"/>
          <w:lang w:val="en-US"/>
        </w:rPr>
        <w:t>AIIRAs</w:t>
      </w:r>
      <w:r w:rsidRPr="0067056B">
        <w:rPr>
          <w:rFonts w:eastAsia="Times New Roman" w:cs="Arial"/>
          <w:color w:val="000000"/>
          <w:lang w:val="ru-RU"/>
        </w:rPr>
        <w:t>));</w:t>
      </w:r>
    </w:p>
    <w:p w14:paraId="0A5DD0F1"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Екстракорпорално лечение, водещо до контакт на кръвта с отрицателно заредени повърхности (вж. точка 4.5.);</w:t>
      </w:r>
    </w:p>
    <w:p w14:paraId="4C256E97"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Значима двустранна стеноза на бъбречната артерия или стеноза на бъбречна артерия на единствен функциониращ бъбрек;</w:t>
      </w:r>
    </w:p>
    <w:p w14:paraId="531063CE"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Втори или трети триместър на бременността (вж. точки 4.4. и 4.6.);</w:t>
      </w:r>
    </w:p>
    <w:p w14:paraId="36D1C495"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Кърмене (вж, точка 4.6.);</w:t>
      </w:r>
    </w:p>
    <w:p w14:paraId="286F4D70"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Тежко увреждане на бъбречната функция (креатининов клирънс под 30 недиализирани пациенти (виж точка 4.2);</w:t>
      </w:r>
    </w:p>
    <w:p w14:paraId="6F71F2EF"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Клинично значими електролитни нарушения, които могат да се влошат след лечение с</w:t>
      </w:r>
      <w:r>
        <w:rPr>
          <w:rFonts w:eastAsia="Times New Roman" w:cs="Arial"/>
          <w:color w:val="000000"/>
          <w:lang w:eastAsia="bg-BG"/>
        </w:rPr>
        <w:t xml:space="preserve"> </w:t>
      </w:r>
      <w:r w:rsidRPr="0067056B">
        <w:rPr>
          <w:rFonts w:eastAsia="Times New Roman" w:cs="Arial"/>
          <w:color w:val="000000"/>
          <w:lang w:eastAsia="bg-BG"/>
        </w:rPr>
        <w:t>Кардифренд-Ко (вж. точка 4.4);</w:t>
      </w:r>
    </w:p>
    <w:p w14:paraId="4BAF618C" w14:textId="77777777" w:rsidR="0067056B" w:rsidRPr="0067056B" w:rsidRDefault="0067056B" w:rsidP="0067056B">
      <w:pPr>
        <w:pStyle w:val="ListParagraph"/>
        <w:numPr>
          <w:ilvl w:val="0"/>
          <w:numId w:val="37"/>
        </w:numPr>
        <w:spacing w:line="240" w:lineRule="auto"/>
        <w:rPr>
          <w:rFonts w:eastAsia="Times New Roman" w:cs="Arial"/>
        </w:rPr>
      </w:pPr>
      <w:r w:rsidRPr="0067056B">
        <w:rPr>
          <w:lang w:eastAsia="bg-BG"/>
        </w:rPr>
        <w:t>Тежко увреждане на чернодробната функция (виж точка 4.2);</w:t>
      </w:r>
    </w:p>
    <w:p w14:paraId="30CE9742" w14:textId="77777777" w:rsidR="0067056B" w:rsidRPr="0067056B" w:rsidRDefault="0067056B" w:rsidP="0067056B">
      <w:pPr>
        <w:pStyle w:val="ListParagraph"/>
        <w:numPr>
          <w:ilvl w:val="0"/>
          <w:numId w:val="37"/>
        </w:numPr>
        <w:spacing w:line="240" w:lineRule="auto"/>
        <w:rPr>
          <w:rFonts w:eastAsia="Times New Roman" w:cs="Arial"/>
        </w:rPr>
      </w:pPr>
      <w:r w:rsidRPr="0067056B">
        <w:rPr>
          <w:lang w:eastAsia="bg-BG"/>
        </w:rPr>
        <w:t>Чернодробна енцефалопатия;</w:t>
      </w:r>
    </w:p>
    <w:p w14:paraId="10DB4E1E" w14:textId="35664E17" w:rsidR="0067056B" w:rsidRPr="0067056B" w:rsidRDefault="0067056B" w:rsidP="0067056B">
      <w:pPr>
        <w:pStyle w:val="ListParagraph"/>
        <w:numPr>
          <w:ilvl w:val="0"/>
          <w:numId w:val="37"/>
        </w:numPr>
        <w:spacing w:line="240" w:lineRule="auto"/>
        <w:rPr>
          <w:rFonts w:eastAsia="Times New Roman" w:cs="Arial"/>
        </w:rPr>
      </w:pPr>
      <w:r w:rsidRPr="0067056B">
        <w:rPr>
          <w:lang w:eastAsia="bg-BG"/>
        </w:rPr>
        <w:t xml:space="preserve">Едновременна употреба на Кардифренд-Ко с алискирен-съдържащи продукти е противопоказана при пациенти със захарен диабет или бъбречно увреждане </w:t>
      </w:r>
      <w:r w:rsidRPr="0067056B">
        <w:rPr>
          <w:lang w:val="ru-RU"/>
        </w:rPr>
        <w:t>(</w:t>
      </w:r>
      <w:r w:rsidRPr="0067056B">
        <w:rPr>
          <w:lang w:val="en-US"/>
        </w:rPr>
        <w:t>GFR</w:t>
      </w:r>
      <w:r w:rsidRPr="0067056B">
        <w:rPr>
          <w:lang w:val="ru-RU"/>
        </w:rPr>
        <w:t xml:space="preserve"> </w:t>
      </w:r>
      <w:r w:rsidRPr="0067056B">
        <w:rPr>
          <w:lang w:eastAsia="bg-BG"/>
        </w:rPr>
        <w:t xml:space="preserve">&lt; 60 </w:t>
      </w:r>
      <w:r w:rsidRPr="0067056B">
        <w:rPr>
          <w:lang w:val="en-US"/>
        </w:rPr>
        <w:t>ml</w:t>
      </w:r>
      <w:r w:rsidRPr="0067056B">
        <w:rPr>
          <w:lang w:val="ru-RU"/>
        </w:rPr>
        <w:t>/</w:t>
      </w:r>
      <w:r w:rsidRPr="0067056B">
        <w:rPr>
          <w:lang w:val="en-US"/>
        </w:rPr>
        <w:t>min</w:t>
      </w:r>
      <w:r w:rsidRPr="0067056B">
        <w:rPr>
          <w:lang w:val="ru-RU"/>
        </w:rPr>
        <w:t xml:space="preserve">/1.73 </w:t>
      </w:r>
      <w:r w:rsidRPr="0067056B">
        <w:rPr>
          <w:lang w:val="en-US"/>
        </w:rPr>
        <w:t>m</w:t>
      </w:r>
      <w:r w:rsidRPr="0067056B">
        <w:rPr>
          <w:vertAlign w:val="superscript"/>
          <w:lang w:val="ru-RU"/>
        </w:rPr>
        <w:t>2</w:t>
      </w:r>
      <w:r w:rsidRPr="0067056B">
        <w:rPr>
          <w:lang w:val="ru-RU"/>
        </w:rPr>
        <w:t xml:space="preserve">) </w:t>
      </w:r>
      <w:r w:rsidRPr="0067056B">
        <w:rPr>
          <w:lang w:eastAsia="bg-BG"/>
        </w:rPr>
        <w:t>(вж. точка 4.5 и 5.1).</w:t>
      </w:r>
    </w:p>
    <w:p w14:paraId="240F4A4C" w14:textId="77777777" w:rsidR="0067056B" w:rsidRPr="0067056B" w:rsidRDefault="0067056B" w:rsidP="0067056B">
      <w:pPr>
        <w:spacing w:line="240" w:lineRule="auto"/>
        <w:rPr>
          <w:rFonts w:eastAsia="Times New Roman" w:cs="Arial"/>
        </w:rPr>
      </w:pPr>
    </w:p>
    <w:p w14:paraId="0E0BDCC7" w14:textId="008D7CB9" w:rsidR="007122AD" w:rsidRDefault="002C50EE" w:rsidP="00936AD0">
      <w:pPr>
        <w:pStyle w:val="Heading2"/>
      </w:pPr>
      <w:r>
        <w:t>4.4. Специални предупреждения и предпазни мерки при употреба</w:t>
      </w:r>
    </w:p>
    <w:p w14:paraId="4EF66C18" w14:textId="5E9DB8F9" w:rsidR="0067056B" w:rsidRDefault="0067056B" w:rsidP="0067056B"/>
    <w:p w14:paraId="141811CD" w14:textId="77777777"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Специални популации</w:t>
      </w:r>
    </w:p>
    <w:p w14:paraId="115BE7E3" w14:textId="77777777" w:rsidR="0067056B" w:rsidRDefault="0067056B" w:rsidP="0067056B">
      <w:pPr>
        <w:spacing w:line="240" w:lineRule="auto"/>
        <w:rPr>
          <w:rFonts w:eastAsia="Times New Roman" w:cs="Arial"/>
          <w:i/>
          <w:iCs/>
          <w:color w:val="000000"/>
          <w:lang w:eastAsia="bg-BG"/>
        </w:rPr>
      </w:pPr>
    </w:p>
    <w:p w14:paraId="7A6F908E" w14:textId="5B7ACEC9" w:rsidR="0067056B" w:rsidRPr="0067056B" w:rsidRDefault="0067056B" w:rsidP="0067056B">
      <w:pPr>
        <w:pStyle w:val="ListParagraph"/>
        <w:numPr>
          <w:ilvl w:val="0"/>
          <w:numId w:val="38"/>
        </w:numPr>
        <w:spacing w:line="240" w:lineRule="auto"/>
        <w:rPr>
          <w:rFonts w:eastAsia="Times New Roman" w:cs="Arial"/>
          <w:i/>
          <w:iCs/>
          <w:color w:val="000000"/>
          <w:lang w:eastAsia="bg-BG"/>
        </w:rPr>
      </w:pPr>
      <w:r w:rsidRPr="0067056B">
        <w:rPr>
          <w:rFonts w:eastAsia="Times New Roman" w:cs="Arial"/>
          <w:i/>
          <w:iCs/>
          <w:color w:val="000000"/>
          <w:lang w:eastAsia="bg-BG"/>
        </w:rPr>
        <w:t>Бременност</w:t>
      </w:r>
    </w:p>
    <w:p w14:paraId="25098270"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Лечение с АСЕ инхибитори като рамиприл или ангиотензин II рецепторни антагонисти </w:t>
      </w:r>
      <w:r w:rsidRPr="0067056B">
        <w:rPr>
          <w:rFonts w:eastAsia="Times New Roman" w:cs="Arial"/>
          <w:color w:val="000000"/>
          <w:lang w:val="ru-RU"/>
        </w:rPr>
        <w:t>(</w:t>
      </w:r>
      <w:r w:rsidRPr="0067056B">
        <w:rPr>
          <w:rFonts w:eastAsia="Times New Roman" w:cs="Arial"/>
          <w:color w:val="000000"/>
          <w:lang w:val="en-US"/>
        </w:rPr>
        <w:t>AIIRAs</w:t>
      </w:r>
      <w:r w:rsidRPr="0067056B">
        <w:rPr>
          <w:rFonts w:eastAsia="Times New Roman" w:cs="Arial"/>
          <w:color w:val="000000"/>
          <w:lang w:val="ru-RU"/>
        </w:rPr>
        <w:t xml:space="preserve">) </w:t>
      </w:r>
      <w:r w:rsidRPr="0067056B">
        <w:rPr>
          <w:rFonts w:eastAsia="Times New Roman" w:cs="Arial"/>
          <w:color w:val="000000"/>
          <w:lang w:eastAsia="bg-BG"/>
        </w:rPr>
        <w:t>не трябва да се започва по време бременност.</w:t>
      </w:r>
    </w:p>
    <w:p w14:paraId="78DDB70F"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При пациентките, планиращи да забременеят, терапията с АСЕ инхибитори </w:t>
      </w:r>
      <w:r w:rsidRPr="0067056B">
        <w:rPr>
          <w:rFonts w:eastAsia="Times New Roman" w:cs="Arial"/>
          <w:color w:val="000000"/>
          <w:lang w:val="ru-RU"/>
        </w:rPr>
        <w:t>/</w:t>
      </w:r>
      <w:r w:rsidRPr="0067056B">
        <w:rPr>
          <w:rFonts w:eastAsia="Times New Roman" w:cs="Arial"/>
          <w:color w:val="000000"/>
          <w:lang w:val="en-US"/>
        </w:rPr>
        <w:t>AIIRAs</w:t>
      </w:r>
      <w:r w:rsidRPr="0067056B">
        <w:rPr>
          <w:rFonts w:eastAsia="Times New Roman" w:cs="Arial"/>
          <w:color w:val="000000"/>
          <w:lang w:val="ru-RU"/>
        </w:rPr>
        <w:t xml:space="preserve"> </w:t>
      </w:r>
      <w:r w:rsidRPr="0067056B">
        <w:rPr>
          <w:rFonts w:eastAsia="Times New Roman" w:cs="Arial"/>
          <w:color w:val="000000"/>
          <w:lang w:eastAsia="bg-BG"/>
        </w:rPr>
        <w:t xml:space="preserve">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w:t>
      </w:r>
      <w:r w:rsidRPr="0067056B">
        <w:rPr>
          <w:rFonts w:eastAsia="Times New Roman" w:cs="Arial"/>
          <w:color w:val="000000"/>
          <w:lang w:val="en-US"/>
        </w:rPr>
        <w:t>AIIRAs</w:t>
      </w:r>
      <w:r w:rsidRPr="0067056B">
        <w:rPr>
          <w:rFonts w:eastAsia="Times New Roman" w:cs="Arial"/>
          <w:color w:val="000000"/>
          <w:lang w:val="ru-RU"/>
        </w:rPr>
        <w:t xml:space="preserve"> </w:t>
      </w:r>
      <w:r w:rsidRPr="0067056B">
        <w:rPr>
          <w:rFonts w:eastAsia="Times New Roman" w:cs="Arial"/>
          <w:color w:val="000000"/>
          <w:lang w:eastAsia="bg-BG"/>
        </w:rPr>
        <w:t>трябва да бъде спряно незабавно и, ако е уместно, трябва да бъде започната алтернативна терапия (вж. точки 4.3 и 4.6).</w:t>
      </w:r>
    </w:p>
    <w:p w14:paraId="69B1E268" w14:textId="77777777" w:rsidR="0067056B" w:rsidRDefault="0067056B" w:rsidP="0067056B">
      <w:pPr>
        <w:spacing w:line="240" w:lineRule="auto"/>
        <w:rPr>
          <w:rFonts w:eastAsia="Times New Roman" w:cs="Arial"/>
          <w:i/>
          <w:iCs/>
          <w:color w:val="000000"/>
          <w:lang w:eastAsia="bg-BG"/>
        </w:rPr>
      </w:pPr>
    </w:p>
    <w:p w14:paraId="5A46CCB4" w14:textId="77777777" w:rsidR="0067056B" w:rsidRDefault="0067056B" w:rsidP="0067056B">
      <w:pPr>
        <w:pStyle w:val="ListParagraph"/>
        <w:numPr>
          <w:ilvl w:val="0"/>
          <w:numId w:val="37"/>
        </w:numPr>
        <w:spacing w:line="240" w:lineRule="auto"/>
        <w:rPr>
          <w:rFonts w:eastAsia="Times New Roman" w:cs="Arial"/>
          <w:i/>
          <w:iCs/>
          <w:color w:val="000000"/>
          <w:lang w:eastAsia="bg-BG"/>
        </w:rPr>
      </w:pPr>
      <w:r w:rsidRPr="0067056B">
        <w:rPr>
          <w:rFonts w:eastAsia="Times New Roman" w:cs="Arial"/>
          <w:i/>
          <w:iCs/>
          <w:color w:val="000000"/>
          <w:lang w:eastAsia="bg-BG"/>
        </w:rPr>
        <w:t>Пациенти с особен риск от хипотония</w:t>
      </w:r>
    </w:p>
    <w:p w14:paraId="52088CB0" w14:textId="1BDBCCA6" w:rsidR="0067056B" w:rsidRPr="0067056B" w:rsidRDefault="0067056B" w:rsidP="0067056B">
      <w:pPr>
        <w:pStyle w:val="ListParagraph"/>
        <w:numPr>
          <w:ilvl w:val="0"/>
          <w:numId w:val="37"/>
        </w:numPr>
        <w:spacing w:line="240" w:lineRule="auto"/>
        <w:rPr>
          <w:rFonts w:eastAsia="Times New Roman" w:cs="Arial"/>
          <w:i/>
          <w:iCs/>
          <w:color w:val="000000"/>
          <w:lang w:eastAsia="bg-BG"/>
        </w:rPr>
      </w:pPr>
      <w:r w:rsidRPr="0067056B">
        <w:rPr>
          <w:rFonts w:eastAsia="Times New Roman" w:cs="Arial"/>
          <w:i/>
          <w:iCs/>
          <w:color w:val="000000"/>
          <w:lang w:eastAsia="bg-BG"/>
        </w:rPr>
        <w:t>Пациенти с повишена активност на ренин-ангиотензин-алдостерон системата</w:t>
      </w:r>
    </w:p>
    <w:p w14:paraId="3B7EE2B4" w14:textId="77777777" w:rsidR="0067056B" w:rsidRDefault="0067056B" w:rsidP="0067056B">
      <w:pPr>
        <w:spacing w:line="240" w:lineRule="auto"/>
        <w:rPr>
          <w:rFonts w:eastAsia="Times New Roman" w:cs="Arial"/>
          <w:color w:val="000000"/>
          <w:lang w:eastAsia="bg-BG"/>
        </w:rPr>
      </w:pPr>
    </w:p>
    <w:p w14:paraId="2D0A1CAC" w14:textId="6927EB68" w:rsidR="0067056B" w:rsidRPr="0067056B" w:rsidRDefault="0067056B" w:rsidP="0067056B">
      <w:pPr>
        <w:spacing w:line="240" w:lineRule="auto"/>
        <w:rPr>
          <w:rFonts w:eastAsia="Times New Roman" w:cs="Arial"/>
        </w:rPr>
      </w:pPr>
      <w:r w:rsidRPr="0067056B">
        <w:rPr>
          <w:rFonts w:eastAsia="Times New Roman" w:cs="Arial"/>
          <w:color w:val="000000"/>
          <w:lang w:eastAsia="bg-BG"/>
        </w:rPr>
        <w:t>Пациенти с повишена активност на ренин-ангиотензин-алдостерон системата са изложени на риск от силно изразено понижаване на кръвното налягане и влошаване на бъбречната функция, поради АСЕ инхибиране, особено когато АСЕ инхибитор или съпътстващ диуретик се приема за пръв път или при начално повишаване на дозата. Значима активност на ренин- ангиотензин- алдостерон системата може да се очаква и е необходимо медицинско наблюдение, включващо проследяване на кръвното налягане, при:</w:t>
      </w:r>
    </w:p>
    <w:p w14:paraId="674877E6"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пациенти с тежка хипертония;</w:t>
      </w:r>
    </w:p>
    <w:p w14:paraId="68419DDE"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пациенти с декомпенсирана застойна сърдечна недостатъчност;</w:t>
      </w:r>
    </w:p>
    <w:p w14:paraId="4EA105A5"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пациенти с хемодинамично влошен лявокамерен изходящ или входящ кръвоток (напр. стеноза на аортата или митралната клапа);</w:t>
      </w:r>
    </w:p>
    <w:p w14:paraId="73AD9FEE"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lastRenderedPageBreak/>
        <w:t xml:space="preserve">пациенти с едностранна стеноза на бъбречната артерия с втори функциониращ бъбрек; </w:t>
      </w:r>
    </w:p>
    <w:p w14:paraId="332EEEFE" w14:textId="5B44A653"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пациенти, при които има или може да настъпи намален обем на телесните течности или соли (включително пациенти, приемащи диуретици);</w:t>
      </w:r>
    </w:p>
    <w:p w14:paraId="0377EC4E" w14:textId="7777777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пациенти с чернодробна цироза и/или асцит;</w:t>
      </w:r>
    </w:p>
    <w:p w14:paraId="66A53717" w14:textId="6E2E5B78"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color w:val="000000"/>
          <w:lang w:eastAsia="bg-BG"/>
        </w:rPr>
        <w:t>пациенти, подложени на голяма хирургична интервенция или анестезия със средства, които предизвикват хипотония.</w:t>
      </w:r>
    </w:p>
    <w:p w14:paraId="6AC4A1B6" w14:textId="77777777" w:rsidR="0067056B" w:rsidRDefault="0067056B" w:rsidP="0067056B">
      <w:pPr>
        <w:spacing w:line="240" w:lineRule="auto"/>
        <w:rPr>
          <w:rFonts w:eastAsia="Times New Roman" w:cs="Arial"/>
          <w:color w:val="000000"/>
          <w:lang w:eastAsia="bg-BG"/>
        </w:rPr>
      </w:pPr>
    </w:p>
    <w:p w14:paraId="6B3F5C06" w14:textId="2AB1317F" w:rsidR="0067056B" w:rsidRPr="0067056B" w:rsidRDefault="0067056B" w:rsidP="0067056B">
      <w:pPr>
        <w:spacing w:line="240" w:lineRule="auto"/>
        <w:rPr>
          <w:rFonts w:eastAsia="Times New Roman" w:cs="Arial"/>
        </w:rPr>
      </w:pPr>
      <w:r w:rsidRPr="0067056B">
        <w:rPr>
          <w:rFonts w:eastAsia="Times New Roman" w:cs="Arial"/>
          <w:color w:val="000000"/>
          <w:lang w:eastAsia="bg-BG"/>
        </w:rPr>
        <w:t>Обикновено се препоръчва коригиране на дехидратацията, хиповолемията или солевия дефицит преди началото на лечението (при пациенти със сърдечна недостатъчност, обаче, корекцията трябва да бъде внимателно преценена спрямо риска от обемно натоварване).</w:t>
      </w:r>
    </w:p>
    <w:p w14:paraId="0F474A98" w14:textId="77777777" w:rsidR="0067056B" w:rsidRDefault="0067056B" w:rsidP="0067056B">
      <w:pPr>
        <w:spacing w:line="240" w:lineRule="auto"/>
        <w:rPr>
          <w:rFonts w:eastAsia="Times New Roman" w:cs="Arial"/>
          <w:i/>
          <w:iCs/>
          <w:color w:val="000000"/>
          <w:lang w:eastAsia="bg-BG"/>
        </w:rPr>
      </w:pPr>
    </w:p>
    <w:p w14:paraId="78BA36E1" w14:textId="02759837" w:rsidR="0067056B" w:rsidRPr="0067056B" w:rsidRDefault="0067056B" w:rsidP="0067056B">
      <w:pPr>
        <w:pStyle w:val="ListParagraph"/>
        <w:numPr>
          <w:ilvl w:val="0"/>
          <w:numId w:val="37"/>
        </w:numPr>
        <w:spacing w:line="240" w:lineRule="auto"/>
        <w:rPr>
          <w:rFonts w:eastAsia="Times New Roman" w:cs="Arial"/>
        </w:rPr>
      </w:pPr>
      <w:r w:rsidRPr="0067056B">
        <w:rPr>
          <w:rFonts w:eastAsia="Times New Roman" w:cs="Arial"/>
          <w:i/>
          <w:iCs/>
          <w:color w:val="000000"/>
          <w:lang w:eastAsia="bg-BG"/>
        </w:rPr>
        <w:t>Пациенти, изложени на риск от сърдечна или мозъчна исхемия в случай на остра хипотония</w:t>
      </w:r>
    </w:p>
    <w:p w14:paraId="1AD85ABD"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Началото на терапията изисква строг медицински контрол.</w:t>
      </w:r>
    </w:p>
    <w:p w14:paraId="0E8BE5DA" w14:textId="77777777" w:rsidR="0067056B" w:rsidRDefault="0067056B" w:rsidP="0067056B">
      <w:pPr>
        <w:spacing w:line="240" w:lineRule="auto"/>
        <w:rPr>
          <w:rFonts w:eastAsia="Times New Roman" w:cs="Arial"/>
          <w:i/>
          <w:iCs/>
          <w:color w:val="000000"/>
          <w:lang w:eastAsia="bg-BG"/>
        </w:rPr>
      </w:pPr>
    </w:p>
    <w:p w14:paraId="791DC804" w14:textId="6843DD41" w:rsidR="0067056B" w:rsidRPr="0067056B" w:rsidRDefault="0067056B" w:rsidP="0067056B">
      <w:pPr>
        <w:pStyle w:val="ListParagraph"/>
        <w:numPr>
          <w:ilvl w:val="0"/>
          <w:numId w:val="38"/>
        </w:numPr>
        <w:spacing w:line="240" w:lineRule="auto"/>
        <w:rPr>
          <w:rFonts w:eastAsia="Times New Roman" w:cs="Arial"/>
          <w:i/>
          <w:iCs/>
          <w:color w:val="000000"/>
          <w:lang w:eastAsia="bg-BG"/>
        </w:rPr>
      </w:pPr>
      <w:r w:rsidRPr="0067056B">
        <w:rPr>
          <w:rFonts w:eastAsia="Times New Roman" w:cs="Arial"/>
          <w:i/>
          <w:iCs/>
          <w:color w:val="000000"/>
          <w:lang w:eastAsia="bg-BG"/>
        </w:rPr>
        <w:t>Първичен хипералдостеронизъм</w:t>
      </w:r>
    </w:p>
    <w:p w14:paraId="19D7F1C5" w14:textId="77777777" w:rsidR="0067056B" w:rsidRDefault="0067056B" w:rsidP="0067056B">
      <w:pPr>
        <w:spacing w:line="240" w:lineRule="auto"/>
        <w:rPr>
          <w:rFonts w:eastAsia="Times New Roman" w:cs="Arial"/>
        </w:rPr>
      </w:pPr>
      <w:r w:rsidRPr="0067056B">
        <w:rPr>
          <w:rFonts w:eastAsia="Times New Roman" w:cs="Arial"/>
          <w:color w:val="000000"/>
          <w:lang w:eastAsia="bg-BG"/>
        </w:rPr>
        <w:t>Комбинацията рамиприл + хидрохлоротиазид не е избор за лечение при първичен хипералдостеронизъм. Ако рамиприл + хидрохлоротиазид се използва при пациенти с първичен хипералдостеронизъм се изисква внимателно проследяване на плазмените нива на калия.</w:t>
      </w:r>
    </w:p>
    <w:p w14:paraId="479BBFE8" w14:textId="77777777" w:rsidR="0067056B" w:rsidRDefault="0067056B" w:rsidP="0067056B">
      <w:pPr>
        <w:spacing w:line="240" w:lineRule="auto"/>
        <w:rPr>
          <w:rFonts w:eastAsia="Times New Roman" w:cs="Arial"/>
        </w:rPr>
      </w:pPr>
    </w:p>
    <w:p w14:paraId="63CE0F1B" w14:textId="66DD6F3C" w:rsidR="0067056B" w:rsidRPr="0067056B" w:rsidRDefault="0067056B" w:rsidP="0067056B">
      <w:pPr>
        <w:pStyle w:val="ListParagraph"/>
        <w:numPr>
          <w:ilvl w:val="0"/>
          <w:numId w:val="38"/>
        </w:numPr>
        <w:spacing w:line="240" w:lineRule="auto"/>
        <w:rPr>
          <w:rFonts w:eastAsia="Times New Roman" w:cs="Arial"/>
        </w:rPr>
      </w:pPr>
      <w:r w:rsidRPr="0067056B">
        <w:rPr>
          <w:rFonts w:eastAsia="Times New Roman" w:cs="Arial"/>
          <w:i/>
          <w:iCs/>
          <w:color w:val="000000"/>
          <w:lang w:eastAsia="bg-BG"/>
        </w:rPr>
        <w:t>Пациенти в старческа възраст</w:t>
      </w:r>
    </w:p>
    <w:p w14:paraId="580141B6" w14:textId="563AD1BC" w:rsidR="0067056B" w:rsidRDefault="0067056B" w:rsidP="0067056B">
      <w:pPr>
        <w:spacing w:line="240" w:lineRule="auto"/>
        <w:rPr>
          <w:rFonts w:eastAsia="Times New Roman" w:cs="Arial"/>
        </w:rPr>
      </w:pPr>
    </w:p>
    <w:p w14:paraId="7622043C"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Вж. точка 4.2.</w:t>
      </w:r>
    </w:p>
    <w:p w14:paraId="0E49E31E" w14:textId="77777777" w:rsidR="0067056B" w:rsidRDefault="0067056B" w:rsidP="0067056B">
      <w:pPr>
        <w:spacing w:line="240" w:lineRule="auto"/>
        <w:rPr>
          <w:rFonts w:eastAsia="Times New Roman" w:cs="Arial"/>
          <w:i/>
          <w:iCs/>
          <w:color w:val="000000"/>
          <w:lang w:eastAsia="bg-BG"/>
        </w:rPr>
      </w:pPr>
    </w:p>
    <w:p w14:paraId="12096677" w14:textId="5B595CCC" w:rsidR="0067056B" w:rsidRPr="0067056B" w:rsidRDefault="0067056B" w:rsidP="0067056B">
      <w:pPr>
        <w:pStyle w:val="ListParagraph"/>
        <w:numPr>
          <w:ilvl w:val="0"/>
          <w:numId w:val="38"/>
        </w:numPr>
        <w:spacing w:line="240" w:lineRule="auto"/>
        <w:rPr>
          <w:rFonts w:eastAsia="Times New Roman" w:cs="Arial"/>
          <w:i/>
          <w:iCs/>
          <w:color w:val="000000"/>
          <w:lang w:eastAsia="bg-BG"/>
        </w:rPr>
      </w:pPr>
      <w:r w:rsidRPr="0067056B">
        <w:rPr>
          <w:rFonts w:eastAsia="Times New Roman" w:cs="Arial"/>
          <w:i/>
          <w:iCs/>
          <w:color w:val="000000"/>
          <w:lang w:eastAsia="bg-BG"/>
        </w:rPr>
        <w:t>Пациенти с чернодробно заболяване</w:t>
      </w:r>
    </w:p>
    <w:p w14:paraId="0DAC8FAB"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Електролитни нарушения поради диуретична терапия, включително хидрохлоротиазид, могат да причинят чернодробна енцефалопатия при пациенти с чернодробно заболяване.</w:t>
      </w:r>
    </w:p>
    <w:p w14:paraId="2321D484" w14:textId="77777777" w:rsidR="0067056B" w:rsidRDefault="0067056B" w:rsidP="0067056B">
      <w:pPr>
        <w:spacing w:line="240" w:lineRule="auto"/>
        <w:rPr>
          <w:rFonts w:eastAsia="Times New Roman" w:cs="Arial"/>
          <w:i/>
          <w:iCs/>
          <w:color w:val="000000"/>
          <w:lang w:eastAsia="bg-BG"/>
        </w:rPr>
      </w:pPr>
    </w:p>
    <w:p w14:paraId="30103B95" w14:textId="39378CD0" w:rsidR="0067056B" w:rsidRPr="0067056B" w:rsidRDefault="0067056B" w:rsidP="0067056B">
      <w:pPr>
        <w:pStyle w:val="ListParagraph"/>
        <w:numPr>
          <w:ilvl w:val="0"/>
          <w:numId w:val="38"/>
        </w:numPr>
        <w:spacing w:line="240" w:lineRule="auto"/>
        <w:rPr>
          <w:rFonts w:eastAsia="Times New Roman" w:cs="Arial"/>
          <w:i/>
          <w:iCs/>
          <w:color w:val="000000"/>
          <w:lang w:eastAsia="bg-BG"/>
        </w:rPr>
      </w:pPr>
      <w:r w:rsidRPr="0067056B">
        <w:rPr>
          <w:rFonts w:eastAsia="Times New Roman" w:cs="Arial"/>
          <w:i/>
          <w:iCs/>
          <w:color w:val="000000"/>
          <w:lang w:eastAsia="bg-BG"/>
        </w:rPr>
        <w:t>Хирургични интервенции</w:t>
      </w:r>
    </w:p>
    <w:p w14:paraId="79CAA043"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Препоръчва се, когато е възможно, лечението с инхибитори на ангиотензин конвертиращия ензим като рамиприл, да бъде прекъснато един ден преди хирургична процедура.</w:t>
      </w:r>
    </w:p>
    <w:p w14:paraId="75C49416" w14:textId="77777777" w:rsidR="0067056B" w:rsidRDefault="0067056B" w:rsidP="0067056B">
      <w:pPr>
        <w:spacing w:line="240" w:lineRule="auto"/>
        <w:rPr>
          <w:rFonts w:eastAsia="Times New Roman" w:cs="Arial"/>
          <w:i/>
          <w:iCs/>
          <w:color w:val="000000"/>
          <w:u w:val="single"/>
          <w:lang w:eastAsia="bg-BG"/>
        </w:rPr>
      </w:pPr>
    </w:p>
    <w:p w14:paraId="6D732213" w14:textId="13EFE8D9"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Проследяване на бъбречната функция</w:t>
      </w:r>
    </w:p>
    <w:p w14:paraId="74EF16EE"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Бъбречната функция трябва да бъде оценена преди и по време на терапията и дозата трябва да бъде коригирана, особено през първите седмици от лечението. Особено внимателно проследяване се изисква при пациенти с бъбречно увреждане (вж. точка 4.2). Има риск от влошаване на бъбречната функция, особено при пациенти със застойна сърдечна недостатъчност или след бъбречна трансплантация или с реноваскуларно заболяване, включително пациенти с хемодинамично зависима унилатерална стеноза на бъбречната артерия.</w:t>
      </w:r>
    </w:p>
    <w:p w14:paraId="5E65D12F" w14:textId="77777777" w:rsidR="0067056B" w:rsidRDefault="0067056B" w:rsidP="0067056B">
      <w:pPr>
        <w:spacing w:line="240" w:lineRule="auto"/>
        <w:rPr>
          <w:rFonts w:eastAsia="Times New Roman" w:cs="Arial"/>
          <w:i/>
          <w:iCs/>
          <w:color w:val="000000"/>
          <w:u w:val="single"/>
          <w:lang w:eastAsia="bg-BG"/>
        </w:rPr>
      </w:pPr>
    </w:p>
    <w:p w14:paraId="134F952F" w14:textId="1172063B"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Бъбречни увреждания</w:t>
      </w:r>
    </w:p>
    <w:p w14:paraId="6F1AF520"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При пациенти с бъбречно заболяване, тиазидите могат да предизвикат уремия. Кумулативни ефекти на активните вещества могат да се проявят при пациенти с нарушена бъбречна функция. Ако настъпи прогресия на бъбречното увреждане, </w:t>
      </w:r>
      <w:r w:rsidRPr="0067056B">
        <w:rPr>
          <w:rFonts w:eastAsia="Times New Roman" w:cs="Arial"/>
          <w:color w:val="000000"/>
          <w:lang w:eastAsia="bg-BG"/>
        </w:rPr>
        <w:lastRenderedPageBreak/>
        <w:t>установено чрез повишен небелтъчен азот е необходима внимателна преоценка на терапията с оглед на преустановяване на диуретичната терапия (вж. точка 4.3).</w:t>
      </w:r>
    </w:p>
    <w:p w14:paraId="53BAB6D9" w14:textId="77777777" w:rsidR="0067056B" w:rsidRDefault="0067056B" w:rsidP="0067056B">
      <w:pPr>
        <w:spacing w:line="240" w:lineRule="auto"/>
        <w:rPr>
          <w:rFonts w:eastAsia="Times New Roman" w:cs="Arial"/>
          <w:i/>
          <w:iCs/>
          <w:color w:val="000000"/>
          <w:u w:val="single"/>
          <w:lang w:eastAsia="bg-BG"/>
        </w:rPr>
      </w:pPr>
    </w:p>
    <w:p w14:paraId="783AD0A5" w14:textId="56C80D7F"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Електролитен дисбаланс</w:t>
      </w:r>
    </w:p>
    <w:p w14:paraId="03634C3F" w14:textId="363628CD" w:rsidR="0067056B" w:rsidRPr="0067056B" w:rsidRDefault="0067056B" w:rsidP="0067056B">
      <w:pPr>
        <w:spacing w:line="240" w:lineRule="auto"/>
        <w:rPr>
          <w:rFonts w:eastAsia="Times New Roman" w:cs="Arial"/>
        </w:rPr>
      </w:pPr>
      <w:r w:rsidRPr="0067056B">
        <w:rPr>
          <w:rFonts w:eastAsia="Times New Roman" w:cs="Arial"/>
          <w:color w:val="000000"/>
          <w:lang w:eastAsia="bg-BG"/>
        </w:rPr>
        <w:t>Необходимо е да се извършва периодично изследване на серумните електролити през подходящи интервали, както при всеки пациент, приемащ диуретична терапия. Тиазидите, включително хидрохлоротиазид, могат да причинят дисбаланс на телесните течности или електролитен дисбаланс (хипокалиемия, хипонатриемия и хипохлоремична алкалоза). Въпреки, че хипокалиемия може да се развие при употребата на тиазидни диуретици, съпътстващата терапия с рамиприл може да намали диуретик-индуцираната хипокалиемия. Рискът от хипокалиемия е най-голям при пациенти с чернодробна цироза, при пациенти с форсирана диуреза, при пациенти, приемащи неподходящи електролити и при пациенти, приемащи съпътстваща терапия с кортикостероиди или АКТХ (вж. точка 4.5). Първото определяне на плазмените нива на калия трябва да се извърши през първата седмица след започване на лечението. Препоръчва се коригиране, ако се установи ниско ниво на калия. Може да настъпи дилутационна хипонатриемия. В началото пониженото ниво на натрия може да бъде асимптомно и поради това е важно редовното му изследване. Изследването трябва да е по-често при пациенти в старческа възраст и циротични пациенти. Тиазидите водят до повишена екскреция на магнезий в урината, което може да доведе до хипомагнезиемия.</w:t>
      </w:r>
    </w:p>
    <w:p w14:paraId="189AAC7E" w14:textId="77777777" w:rsidR="0067056B" w:rsidRDefault="0067056B" w:rsidP="0067056B">
      <w:pPr>
        <w:spacing w:line="240" w:lineRule="auto"/>
        <w:rPr>
          <w:rFonts w:eastAsia="Times New Roman" w:cs="Arial"/>
          <w:i/>
          <w:iCs/>
          <w:color w:val="000000"/>
          <w:u w:val="single"/>
          <w:lang w:eastAsia="bg-BG"/>
        </w:rPr>
      </w:pPr>
    </w:p>
    <w:p w14:paraId="1370BB92" w14:textId="3D058A62"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Проследяване на електролитите: Хиперкалиемия</w:t>
      </w:r>
    </w:p>
    <w:p w14:paraId="66D889BB"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При някои пациенти, лекувани с АСЕ инхибитори, включително с Кардифренд-Ко, се наблюдава хиперкалиемия. Риск от хиперкалиемия има при пациенти с бъбречна недостатъчност, на възраст &gt; 70 години, с неконтролиран захарен диабет или такива приемащи калиеви соли, калии-съхраняващи диуретици и други активни вещества повишаващи плазмените нива на калия или състояния като дехидратация, остра сърдечна декомпенсация, метаболитна ацидоза. Ако едновременната употреба на посочените средства се счита за подходяща, препоръчва се редовно проследяване на серумния калий (вж. точка</w:t>
      </w:r>
    </w:p>
    <w:p w14:paraId="7E006010" w14:textId="77777777" w:rsidR="0067056B" w:rsidRDefault="0067056B" w:rsidP="0067056B">
      <w:pPr>
        <w:spacing w:line="240" w:lineRule="auto"/>
        <w:rPr>
          <w:rFonts w:eastAsia="Times New Roman" w:cs="Arial"/>
          <w:i/>
          <w:iCs/>
          <w:color w:val="000000"/>
          <w:u w:val="single"/>
          <w:lang w:eastAsia="bg-BG"/>
        </w:rPr>
      </w:pPr>
    </w:p>
    <w:p w14:paraId="1C28C5E5" w14:textId="00D81DEB"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Проследяване на електролитите: Хипонатриемия</w:t>
      </w:r>
    </w:p>
    <w:p w14:paraId="51229DFA" w14:textId="77777777" w:rsidR="0067056B" w:rsidRPr="0067056B" w:rsidRDefault="0067056B" w:rsidP="0067056B">
      <w:pPr>
        <w:rPr>
          <w:rFonts w:eastAsia="Times New Roman" w:cs="Arial"/>
        </w:rPr>
      </w:pPr>
      <w:r w:rsidRPr="0067056B">
        <w:rPr>
          <w:rFonts w:eastAsia="Times New Roman" w:cs="Arial"/>
          <w:color w:val="000000"/>
          <w:lang w:eastAsia="bg-BG"/>
        </w:rPr>
        <w:t xml:space="preserve">При някои пациенти, лекувани с рамиприл е наблюдаван синдром на неадекватна секреция на антидиуретичен хормон </w:t>
      </w:r>
      <w:r w:rsidRPr="0067056B">
        <w:rPr>
          <w:rFonts w:eastAsia="Times New Roman" w:cs="Arial"/>
          <w:color w:val="000000"/>
          <w:lang w:val="ru-RU"/>
        </w:rPr>
        <w:t>(</w:t>
      </w:r>
      <w:r w:rsidRPr="0067056B">
        <w:rPr>
          <w:rFonts w:eastAsia="Times New Roman" w:cs="Arial"/>
          <w:color w:val="000000"/>
          <w:lang w:val="en-US"/>
        </w:rPr>
        <w:t>SIADH</w:t>
      </w:r>
      <w:r w:rsidRPr="0067056B">
        <w:rPr>
          <w:rFonts w:eastAsia="Times New Roman" w:cs="Arial"/>
          <w:color w:val="000000"/>
          <w:lang w:val="ru-RU"/>
        </w:rPr>
        <w:t xml:space="preserve">) </w:t>
      </w:r>
      <w:r w:rsidRPr="0067056B">
        <w:rPr>
          <w:rFonts w:eastAsia="Times New Roman" w:cs="Arial"/>
          <w:color w:val="000000"/>
          <w:lang w:eastAsia="bg-BG"/>
        </w:rPr>
        <w:t>и последваща хипонатриемия. При пациенти в старческа</w:t>
      </w:r>
      <w:r>
        <w:rPr>
          <w:rFonts w:eastAsia="Times New Roman" w:cs="Arial"/>
          <w:color w:val="000000"/>
          <w:lang w:eastAsia="bg-BG"/>
        </w:rPr>
        <w:t xml:space="preserve"> </w:t>
      </w:r>
      <w:r w:rsidRPr="0067056B">
        <w:rPr>
          <w:rFonts w:eastAsia="Times New Roman" w:cs="Arial"/>
          <w:color w:val="000000"/>
          <w:lang w:eastAsia="bg-BG"/>
        </w:rPr>
        <w:t>възраст и други пациенти с риск от хипонатриемия, се препоръчва редовно проследяване на серумните нива на натрия.</w:t>
      </w:r>
    </w:p>
    <w:p w14:paraId="0ACB11F8" w14:textId="77777777" w:rsidR="0067056B" w:rsidRDefault="0067056B" w:rsidP="0067056B">
      <w:pPr>
        <w:spacing w:line="240" w:lineRule="auto"/>
        <w:rPr>
          <w:rFonts w:eastAsia="Times New Roman" w:cs="Arial"/>
          <w:i/>
          <w:iCs/>
          <w:color w:val="000000"/>
          <w:u w:val="single"/>
          <w:lang w:eastAsia="bg-BG"/>
        </w:rPr>
      </w:pPr>
    </w:p>
    <w:p w14:paraId="3813601B" w14:textId="1AFD8459"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Чернодробна е нцефалопатия</w:t>
      </w:r>
    </w:p>
    <w:p w14:paraId="5A5AAEF1"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Електролитни нарушения поради диуретична терапия, включително хидрохлоротиазид, могат да причинят чернодробна енцефалопатия при пациенти с чернодробно заболяване. В случай на чернодробна енцефалопатия лечението трябва да се прекрати незабавно.</w:t>
      </w:r>
    </w:p>
    <w:p w14:paraId="7505EBFD" w14:textId="77777777" w:rsidR="0067056B" w:rsidRDefault="0067056B" w:rsidP="0067056B">
      <w:pPr>
        <w:spacing w:line="240" w:lineRule="auto"/>
        <w:rPr>
          <w:rFonts w:eastAsia="Times New Roman" w:cs="Arial"/>
          <w:i/>
          <w:iCs/>
          <w:color w:val="000000"/>
          <w:u w:val="single"/>
          <w:lang w:eastAsia="bg-BG"/>
        </w:rPr>
      </w:pPr>
    </w:p>
    <w:p w14:paraId="63F64A29" w14:textId="2B7CFD15"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Хиперкалциемия</w:t>
      </w:r>
    </w:p>
    <w:p w14:paraId="7A87F556"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Хидрохлоротиазида стимулира бъбречната реабсорбция на калция и може да причини хиперкалциемия. Това може да попречи при изследване на паратиреоидната функция.</w:t>
      </w:r>
    </w:p>
    <w:p w14:paraId="1C8E1C08" w14:textId="77777777" w:rsidR="0067056B" w:rsidRDefault="0067056B" w:rsidP="0067056B">
      <w:pPr>
        <w:spacing w:line="240" w:lineRule="auto"/>
        <w:rPr>
          <w:rFonts w:eastAsia="Times New Roman" w:cs="Arial"/>
          <w:i/>
          <w:iCs/>
          <w:color w:val="000000"/>
          <w:u w:val="single"/>
          <w:lang w:eastAsia="bg-BG"/>
        </w:rPr>
      </w:pPr>
    </w:p>
    <w:p w14:paraId="4CDBDA67" w14:textId="7F3B2F2F"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Ангиоедем</w:t>
      </w:r>
    </w:p>
    <w:p w14:paraId="29568C7E"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Ангиоедем е съобщаван при пациенти, лекувани с АСЕ инхибитори, включително рамиприл (вж. точка 4.8). В случай на ангиоедем приемът на Кардифренд-Ко трябва да се прекрати. Трябва незабавно да се назначи спешна терапия. Пациентът трябва да бъде </w:t>
      </w:r>
      <w:r w:rsidRPr="0067056B">
        <w:rPr>
          <w:rFonts w:eastAsia="Times New Roman" w:cs="Arial"/>
          <w:color w:val="000000"/>
          <w:lang w:eastAsia="bg-BG"/>
        </w:rPr>
        <w:lastRenderedPageBreak/>
        <w:t xml:space="preserve">поставен под наблюдение поне за 12 до 24 часа и изписан след напълно отшумяване на симптомите. Интестинален ангиоедем е съобщаван при пациенти, лекувани с АСЕ инхибитори, включително Кардифренд-Ко (вж, точка 4,8.). Този риск може да бъде повишен при пациенти, приемащи едновременно лекарства, като </w:t>
      </w:r>
      <w:proofErr w:type="spellStart"/>
      <w:r w:rsidRPr="0067056B">
        <w:rPr>
          <w:rFonts w:eastAsia="Times New Roman" w:cs="Arial"/>
          <w:color w:val="000000"/>
          <w:lang w:val="en-US"/>
        </w:rPr>
        <w:t>mTOR</w:t>
      </w:r>
      <w:proofErr w:type="spellEnd"/>
      <w:r w:rsidRPr="0067056B">
        <w:rPr>
          <w:rFonts w:eastAsia="Times New Roman" w:cs="Arial"/>
          <w:color w:val="000000"/>
          <w:lang w:val="ru-RU"/>
        </w:rPr>
        <w:t xml:space="preserve"> </w:t>
      </w:r>
      <w:r w:rsidRPr="0067056B">
        <w:rPr>
          <w:rFonts w:eastAsia="Times New Roman" w:cs="Arial"/>
          <w:color w:val="000000"/>
          <w:lang w:eastAsia="bg-BG"/>
        </w:rPr>
        <w:t>инхибитори (таргетни на рапамицин при бозайници) (например, темсиролимус, еверолимус, сиролимус) или вилдаглиптин. При тези пациенти се наблюдава абдоминална болка (със или без гадене и повръщане). Симптомите на интестинален ангиоедем преминават след спиране на АСЕ инхибитора.</w:t>
      </w:r>
    </w:p>
    <w:p w14:paraId="4B19DFF5" w14:textId="77777777" w:rsidR="0067056B" w:rsidRDefault="0067056B" w:rsidP="0067056B">
      <w:pPr>
        <w:spacing w:line="240" w:lineRule="auto"/>
        <w:rPr>
          <w:rFonts w:eastAsia="Times New Roman" w:cs="Arial"/>
          <w:i/>
          <w:iCs/>
          <w:color w:val="000000"/>
          <w:u w:val="single"/>
          <w:lang w:eastAsia="bg-BG"/>
        </w:rPr>
      </w:pPr>
    </w:p>
    <w:p w14:paraId="785886E6" w14:textId="3EB1EE90"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Анафилактични реакции по време на десенсибилизиране</w:t>
      </w:r>
    </w:p>
    <w:p w14:paraId="773C308B"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Вероятността от поява и тежестта на анафилактични и анафилактоидни реакции към отровата на насекоми и други алергени са повишени при АСЕ инхибиране. Трябва да се има предвид временно прекъсване на Кардифренд-Ко преди десенсибилизация.</w:t>
      </w:r>
    </w:p>
    <w:p w14:paraId="19286B88" w14:textId="77777777" w:rsidR="0067056B" w:rsidRDefault="0067056B" w:rsidP="0067056B">
      <w:pPr>
        <w:spacing w:line="240" w:lineRule="auto"/>
        <w:rPr>
          <w:rFonts w:eastAsia="Times New Roman" w:cs="Arial"/>
          <w:i/>
          <w:iCs/>
          <w:color w:val="000000"/>
          <w:u w:val="single"/>
          <w:lang w:eastAsia="bg-BG"/>
        </w:rPr>
      </w:pPr>
    </w:p>
    <w:p w14:paraId="5B1F4299" w14:textId="511120E9"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Неутропения/агранулоцитоза</w:t>
      </w:r>
    </w:p>
    <w:p w14:paraId="594ADC65"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Рядко са наблюдавани неутропения/агранулоцитоза, съобщавана е също и костно-мозъчна супресия. Препоръчва се проследяване на броя бели кръвни клетки, за да се установи евентуална левкопения. По-често проследяване се препоръчва в началото на лечението и при пациенти с нарушена бъбречна функция, при такива със съпътстваща колагеноза (напр. лупус еритематодес или склеродермия), и при лекувани с други лекарствени продукти, които могат да причинят промени в кръвната картина (вж. точка 4.5 и 4.8).</w:t>
      </w:r>
    </w:p>
    <w:p w14:paraId="6F5CAACB" w14:textId="77777777" w:rsidR="0067056B" w:rsidRDefault="0067056B" w:rsidP="0067056B">
      <w:pPr>
        <w:spacing w:line="240" w:lineRule="auto"/>
        <w:rPr>
          <w:rFonts w:eastAsia="Times New Roman" w:cs="Arial"/>
          <w:i/>
          <w:iCs/>
          <w:color w:val="000000"/>
          <w:u w:val="single"/>
          <w:lang w:eastAsia="bg-BG"/>
        </w:rPr>
      </w:pPr>
    </w:p>
    <w:p w14:paraId="27F5EF5A" w14:textId="40754ECB"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Хороидален излив, остра миопия и вторична закритоъгълна глаукома</w:t>
      </w:r>
    </w:p>
    <w:p w14:paraId="20EC0F50"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Сулфонамидите или лекарства,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намаляване на зрителната острота или болка в очите и обичайно възникват в рамките на часове до седмица от започване на лечението. Нелекуваната остра закритоъгълна глаукома може да доведе до трайна загуба на зрението. Първичното лечениетовключва възможно най-бързо прекратяване на приема на лекарството. Ако вътреочното налягане остава неконтролирано., може да се наложи спешно медикаментозно или хирургично лечение. Рисковите фактори за развитие на остра закритоъгълна глаукома могат да включват анамнеза за алергия към сулфонамиди или пеницилин.</w:t>
      </w:r>
    </w:p>
    <w:p w14:paraId="3B8034C5" w14:textId="77777777" w:rsidR="0067056B" w:rsidRDefault="0067056B" w:rsidP="0067056B">
      <w:pPr>
        <w:spacing w:line="240" w:lineRule="auto"/>
        <w:rPr>
          <w:rFonts w:eastAsia="Times New Roman" w:cs="Arial"/>
          <w:i/>
          <w:iCs/>
          <w:color w:val="000000"/>
          <w:u w:val="single"/>
          <w:lang w:eastAsia="bg-BG"/>
        </w:rPr>
      </w:pPr>
    </w:p>
    <w:p w14:paraId="1B142BB5" w14:textId="12D61F6C"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Етнически различия</w:t>
      </w:r>
    </w:p>
    <w:p w14:paraId="6FDD88B5"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АСЕ инхибиторите причиняват ангиоедем с по-висока честота при чернокожи пациенти, отколкото при останалите.</w:t>
      </w:r>
    </w:p>
    <w:p w14:paraId="633C9870" w14:textId="20D26C4F" w:rsidR="0067056B" w:rsidRPr="0067056B" w:rsidRDefault="0067056B" w:rsidP="0067056B">
      <w:pPr>
        <w:spacing w:line="240" w:lineRule="auto"/>
        <w:rPr>
          <w:rFonts w:eastAsia="Times New Roman" w:cs="Arial"/>
        </w:rPr>
      </w:pPr>
      <w:r w:rsidRPr="0067056B">
        <w:rPr>
          <w:rFonts w:eastAsia="Times New Roman" w:cs="Arial"/>
          <w:color w:val="000000"/>
          <w:lang w:eastAsia="bg-BG"/>
        </w:rPr>
        <w:t>Както и другите АСЕ инхибитори, рамиприл може да бъде по-малко ефективен при понижаване на кръвното налягане при чернокожи пациенти, отколкото при останалите, поради по-честото наличие на хипертония с ниски ренинови нива при чернокожата популация.</w:t>
      </w:r>
    </w:p>
    <w:p w14:paraId="298D0618" w14:textId="3AB18515" w:rsidR="0067056B" w:rsidRDefault="0067056B" w:rsidP="0067056B">
      <w:pPr>
        <w:spacing w:line="240" w:lineRule="auto"/>
        <w:rPr>
          <w:rFonts w:eastAsia="Times New Roman" w:cs="Arial"/>
        </w:rPr>
      </w:pPr>
    </w:p>
    <w:p w14:paraId="1CD1A6BC" w14:textId="77777777"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Спортисти</w:t>
      </w:r>
    </w:p>
    <w:p w14:paraId="31F64214"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Хидрохлоротиазид може да даде положителен аналитичен резултат при антидопинг тестовете.</w:t>
      </w:r>
    </w:p>
    <w:p w14:paraId="568EDD90" w14:textId="77777777" w:rsidR="0067056B" w:rsidRDefault="0067056B" w:rsidP="0067056B">
      <w:pPr>
        <w:spacing w:line="240" w:lineRule="auto"/>
        <w:rPr>
          <w:rFonts w:eastAsia="Times New Roman" w:cs="Arial"/>
          <w:i/>
          <w:iCs/>
          <w:color w:val="000000"/>
          <w:u w:val="single"/>
          <w:lang w:eastAsia="bg-BG"/>
        </w:rPr>
      </w:pPr>
    </w:p>
    <w:p w14:paraId="4F51D38E" w14:textId="303E0692"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Метаболитни и ендокринни ефекти</w:t>
      </w:r>
    </w:p>
    <w:p w14:paraId="112DC3B5"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Тиазидната терапия може да наруши глюкозния толеранс. При пациенти с диабет може да се наложи коригиране на дозата на инсулина или пероралните антидиабетни средства. Латентен захарен диабет може да се прояви по време на тиазидната терапия.</w:t>
      </w:r>
    </w:p>
    <w:p w14:paraId="23B9B76B"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lastRenderedPageBreak/>
        <w:t>Повишени нива на холестерола и триглицеридите се свързват с тиазидна диуретична терапия. Може да настъпи хиперурикемия или да се ускори възникването на подагра при някои пациенти, приемащи тиазидна терапия.</w:t>
      </w:r>
    </w:p>
    <w:p w14:paraId="674E0D0B" w14:textId="77777777" w:rsidR="0067056B" w:rsidRDefault="0067056B" w:rsidP="0067056B">
      <w:pPr>
        <w:spacing w:line="240" w:lineRule="auto"/>
        <w:rPr>
          <w:rFonts w:eastAsia="Times New Roman" w:cs="Arial"/>
          <w:i/>
          <w:iCs/>
          <w:color w:val="000000"/>
          <w:u w:val="single"/>
          <w:lang w:eastAsia="bg-BG"/>
        </w:rPr>
      </w:pPr>
    </w:p>
    <w:p w14:paraId="26BE5459" w14:textId="41D6C4F0"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Кашлица</w:t>
      </w:r>
    </w:p>
    <w:p w14:paraId="6EB690F4"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При употребата на АСЕ инхибитори е съобщавана кашлица. Характерно е, че тя е непродуктивна, продължителна и отзвучава след прекратяване на терапията. Индуцираната от АСЕ инхибитор кашлица, трябва да се разглежда като част от диференциалната диагноза на кашлица.</w:t>
      </w:r>
    </w:p>
    <w:p w14:paraId="0673ECAD" w14:textId="77777777" w:rsidR="0067056B" w:rsidRDefault="0067056B" w:rsidP="0067056B">
      <w:pPr>
        <w:spacing w:line="240" w:lineRule="auto"/>
        <w:rPr>
          <w:rFonts w:eastAsia="Times New Roman" w:cs="Arial"/>
          <w:i/>
          <w:iCs/>
          <w:color w:val="000000"/>
          <w:u w:val="single"/>
          <w:lang w:eastAsia="bg-BG"/>
        </w:rPr>
      </w:pPr>
    </w:p>
    <w:p w14:paraId="6CE3CA70" w14:textId="38574161"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Други</w:t>
      </w:r>
    </w:p>
    <w:p w14:paraId="79DA16CE"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Реакции на сенсибилизация могат да се проявят при пациенти със или без анамнеза за алергия или бронхиална астма. Съобщава се за възможност от обостряне или активиране на системен еритематозен лупус.</w:t>
      </w:r>
    </w:p>
    <w:p w14:paraId="6CA63EE5" w14:textId="77777777" w:rsidR="0067056B" w:rsidRDefault="0067056B" w:rsidP="0067056B">
      <w:pPr>
        <w:spacing w:line="240" w:lineRule="auto"/>
        <w:rPr>
          <w:rFonts w:eastAsia="Times New Roman" w:cs="Arial"/>
          <w:i/>
          <w:iCs/>
          <w:color w:val="000000"/>
          <w:u w:val="single"/>
          <w:lang w:eastAsia="bg-BG"/>
        </w:rPr>
      </w:pPr>
    </w:p>
    <w:p w14:paraId="3EA9E13C" w14:textId="284B526F"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Двойно блокиране на ренин-ангиотензин-алдостерон система (РААС)</w:t>
      </w:r>
    </w:p>
    <w:p w14:paraId="16329324"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Има данни, че едновременната употренба на АСЕ инхибитори, ангиотензин </w:t>
      </w:r>
      <w:r w:rsidRPr="0067056B">
        <w:rPr>
          <w:rFonts w:eastAsia="Times New Roman" w:cs="Arial"/>
          <w:color w:val="000000"/>
          <w:lang w:val="en-US"/>
        </w:rPr>
        <w:t>II</w:t>
      </w:r>
      <w:r w:rsidRPr="0067056B">
        <w:rPr>
          <w:rFonts w:eastAsia="Times New Roman" w:cs="Arial"/>
          <w:color w:val="000000"/>
          <w:lang w:eastAsia="bg-BG"/>
        </w:rPr>
        <w:t>-рецепторни блокери или алискирен повишава риска от хипотония, хиперкалиемия и намаляване на бъбречната функция (вкл. остра бъбречна недостатъчност). Поради това не се препоръчва двойно блокиране на РААС чрез комбинираната употреба на АСЕ инхибитори, ангиотензин II - рецепторни блокери или алискирен (вж. точки 4.5 и 5.1).</w:t>
      </w:r>
    </w:p>
    <w:p w14:paraId="2D43857A"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264520B"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АСЕ инхибитори и ангиотензин </w:t>
      </w:r>
      <w:r w:rsidRPr="0067056B">
        <w:rPr>
          <w:rFonts w:eastAsia="Times New Roman" w:cs="Arial"/>
          <w:color w:val="000000"/>
          <w:lang w:val="en-US"/>
        </w:rPr>
        <w:t>II</w:t>
      </w:r>
      <w:r w:rsidRPr="0067056B">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48D68688" w14:textId="77777777" w:rsidR="0067056B" w:rsidRDefault="0067056B" w:rsidP="0067056B">
      <w:pPr>
        <w:spacing w:line="240" w:lineRule="auto"/>
        <w:rPr>
          <w:rFonts w:eastAsia="Times New Roman" w:cs="Arial"/>
          <w:i/>
          <w:iCs/>
          <w:color w:val="000000"/>
          <w:u w:val="single"/>
          <w:lang w:eastAsia="bg-BG"/>
        </w:rPr>
      </w:pPr>
    </w:p>
    <w:p w14:paraId="2DAC36BB" w14:textId="40C7B779"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Немеланомен рак на кожата</w:t>
      </w:r>
    </w:p>
    <w:p w14:paraId="42BC6964"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В две епидемиологични проучвания, основаващи се на датския национален регистър, е наблюдаван повишен риск от немеланомен рак на кожата (НМРК) [базалноклетъчен карцином (БКК) и сквамозноклетьчен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512409C7"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Пациентите, приемащи ХХТЗ, трябва да бъдат информирани за риска от НМРК и съответно редовно да проверяват кожата си за нови лезии и незабавно да съобщават при появата на подозрителни кожни лезии. На пациентите трябва да се препоръчват възможни превантивни мерки, като огранчено излагане на слънчева светлина и ултравиолетови лъчи, а в случай на експозиция, подходяща защита, за да се сведе до минимум рискът от рк на кожата. Подозрителнте кожни лезии трябва да бъдат подложени на незабавно изследване, потенциално включващо хистологични изследвания на</w:t>
      </w:r>
      <w:r w:rsidRPr="0067056B">
        <w:rPr>
          <w:rFonts w:eastAsia="Times New Roman" w:cs="Arial"/>
          <w:color w:val="000000"/>
          <w:lang w:val="ru-RU"/>
        </w:rPr>
        <w:t xml:space="preserve"> </w:t>
      </w:r>
      <w:r w:rsidRPr="0067056B">
        <w:rPr>
          <w:rFonts w:eastAsia="Times New Roman" w:cs="Arial"/>
          <w:color w:val="000000"/>
          <w:lang w:eastAsia="bg-BG"/>
        </w:rPr>
        <w:t>биопсични материали. Преразглеждане на употребата на ХХТЗ може да се наложи и при пациенти, които са имали преходен НМРК (вж. също точка 4.8).</w:t>
      </w:r>
    </w:p>
    <w:p w14:paraId="6FE34C15" w14:textId="77777777" w:rsidR="0067056B" w:rsidRDefault="0067056B" w:rsidP="0067056B">
      <w:pPr>
        <w:spacing w:line="240" w:lineRule="auto"/>
        <w:rPr>
          <w:rFonts w:eastAsia="Times New Roman" w:cs="Arial"/>
          <w:color w:val="000000"/>
          <w:u w:val="single"/>
          <w:lang w:eastAsia="bg-BG"/>
        </w:rPr>
      </w:pPr>
    </w:p>
    <w:p w14:paraId="6E97F912" w14:textId="68F3E69F" w:rsidR="0067056B" w:rsidRPr="0067056B" w:rsidRDefault="0067056B" w:rsidP="0067056B">
      <w:pPr>
        <w:spacing w:line="240" w:lineRule="auto"/>
        <w:rPr>
          <w:rFonts w:eastAsia="Times New Roman" w:cs="Arial"/>
        </w:rPr>
      </w:pPr>
      <w:r w:rsidRPr="0067056B">
        <w:rPr>
          <w:rFonts w:eastAsia="Times New Roman" w:cs="Arial"/>
          <w:color w:val="000000"/>
          <w:u w:val="single"/>
          <w:lang w:eastAsia="bg-BG"/>
        </w:rPr>
        <w:t>Лактоза монохидрат</w:t>
      </w:r>
    </w:p>
    <w:p w14:paraId="474B509E" w14:textId="1BEBC44A" w:rsidR="0067056B" w:rsidRDefault="0067056B" w:rsidP="0067056B">
      <w:pPr>
        <w:spacing w:line="240" w:lineRule="auto"/>
        <w:rPr>
          <w:rFonts w:eastAsia="Times New Roman" w:cs="Arial"/>
          <w:color w:val="000000"/>
          <w:lang w:eastAsia="bg-BG"/>
        </w:rPr>
      </w:pPr>
      <w:r w:rsidRPr="0067056B">
        <w:rPr>
          <w:rFonts w:eastAsia="Times New Roman" w:cs="Arial"/>
          <w:color w:val="000000"/>
          <w:lang w:eastAsia="bg-BG"/>
        </w:rPr>
        <w:t xml:space="preserve">Този лекарствен продукт съдържа лактоза монохидрат. Пациентите с наследствена непоносимост към галактоза, </w:t>
      </w:r>
      <w:r w:rsidRPr="0067056B">
        <w:rPr>
          <w:rFonts w:eastAsia="Times New Roman" w:cs="Arial"/>
          <w:color w:val="000000"/>
          <w:lang w:val="en-US"/>
        </w:rPr>
        <w:t>Lapp</w:t>
      </w:r>
      <w:r w:rsidRPr="0067056B">
        <w:rPr>
          <w:rFonts w:eastAsia="Times New Roman" w:cs="Arial"/>
          <w:color w:val="000000"/>
          <w:lang w:eastAsia="bg-BG"/>
        </w:rPr>
        <w:t>-лактазен дефицит или глюкозо-галактозна малабсорбция не трябва да приемат това лекарство.</w:t>
      </w:r>
    </w:p>
    <w:p w14:paraId="3ED61B35" w14:textId="77777777" w:rsidR="0067056B" w:rsidRPr="0067056B" w:rsidRDefault="0067056B" w:rsidP="0067056B">
      <w:pPr>
        <w:spacing w:line="240" w:lineRule="auto"/>
        <w:rPr>
          <w:rFonts w:eastAsia="Times New Roman" w:cs="Arial"/>
        </w:rPr>
      </w:pPr>
    </w:p>
    <w:p w14:paraId="0734264C" w14:textId="7DEAB829" w:rsidR="007122AD" w:rsidRDefault="002C50EE" w:rsidP="00936AD0">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0A80AE3" w14:textId="39B66209" w:rsidR="0067056B" w:rsidRDefault="0067056B" w:rsidP="0067056B"/>
    <w:p w14:paraId="01526E5B" w14:textId="619D9739"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Данни от клинични проучвания показват, че двойното блокиране на ренин-ангиотензин- алдостерон система (РААС) чрез комбинираната употреба </w:t>
      </w:r>
      <w:r>
        <w:rPr>
          <w:rFonts w:eastAsia="Times New Roman" w:cs="Arial"/>
          <w:color w:val="000000"/>
          <w:lang w:eastAsia="bg-BG"/>
        </w:rPr>
        <w:t xml:space="preserve">на АСЕ инхибитори, ангиотензин </w:t>
      </w:r>
      <w:r>
        <w:rPr>
          <w:rFonts w:eastAsia="Times New Roman" w:cs="Arial"/>
          <w:color w:val="000000"/>
          <w:lang w:val="en-US" w:eastAsia="bg-BG"/>
        </w:rPr>
        <w:t>II</w:t>
      </w:r>
      <w:r w:rsidRPr="0067056B">
        <w:rPr>
          <w:rFonts w:eastAsia="Times New Roman" w:cs="Arial"/>
          <w:color w:val="000000"/>
          <w:lang w:eastAsia="bg-BG"/>
        </w:rPr>
        <w:t>-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 остра бъбречна недостатъчност), в сравнение с употребата само на едно средство, действащо върху РААС (вж. точки 4.3, 4.4 и 5.1).</w:t>
      </w:r>
    </w:p>
    <w:p w14:paraId="48C423B1" w14:textId="77777777" w:rsidR="0067056B" w:rsidRDefault="0067056B" w:rsidP="0067056B">
      <w:pPr>
        <w:spacing w:line="240" w:lineRule="auto"/>
        <w:rPr>
          <w:rFonts w:eastAsia="Times New Roman" w:cs="Arial"/>
          <w:color w:val="000000"/>
          <w:u w:val="single"/>
          <w:lang w:eastAsia="bg-BG"/>
        </w:rPr>
      </w:pPr>
    </w:p>
    <w:p w14:paraId="52603ADA" w14:textId="75BF58F2" w:rsidR="0067056B" w:rsidRPr="0067056B" w:rsidRDefault="0067056B" w:rsidP="0067056B">
      <w:pPr>
        <w:spacing w:line="240" w:lineRule="auto"/>
        <w:rPr>
          <w:rFonts w:eastAsia="Times New Roman" w:cs="Arial"/>
        </w:rPr>
      </w:pPr>
      <w:r w:rsidRPr="0067056B">
        <w:rPr>
          <w:rFonts w:eastAsia="Times New Roman" w:cs="Arial"/>
          <w:color w:val="000000"/>
          <w:u w:val="single"/>
          <w:lang w:eastAsia="bg-BG"/>
        </w:rPr>
        <w:t>Противопоказани комбинации</w:t>
      </w:r>
    </w:p>
    <w:p w14:paraId="5B03EDF1" w14:textId="77777777" w:rsidR="0067056B" w:rsidRDefault="0067056B" w:rsidP="0067056B">
      <w:pPr>
        <w:spacing w:line="240" w:lineRule="auto"/>
        <w:rPr>
          <w:rFonts w:eastAsia="Times New Roman" w:cs="Arial"/>
          <w:color w:val="000000"/>
          <w:lang w:eastAsia="bg-BG"/>
        </w:rPr>
      </w:pPr>
    </w:p>
    <w:p w14:paraId="50BEA256" w14:textId="279A06CF" w:rsidR="0067056B" w:rsidRPr="0067056B" w:rsidRDefault="0067056B" w:rsidP="0067056B">
      <w:pPr>
        <w:spacing w:line="240" w:lineRule="auto"/>
        <w:rPr>
          <w:rFonts w:eastAsia="Times New Roman" w:cs="Arial"/>
        </w:rPr>
      </w:pPr>
      <w:r w:rsidRPr="0067056B">
        <w:rPr>
          <w:rFonts w:eastAsia="Times New Roman" w:cs="Arial"/>
          <w:color w:val="000000"/>
          <w:lang w:eastAsia="bg-BG"/>
        </w:rPr>
        <w:t>Екстракорпорално лечение,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 сулфат, поради повишен риск от тежка анафилактоидна реакция (вж. точка 4.3). Ако се изисква подобно лечение, необходимо е да се обмисли използване на различен тип диализна мембрана или различен клас антихипертензивно средство.</w:t>
      </w:r>
    </w:p>
    <w:p w14:paraId="71F38319" w14:textId="77777777" w:rsidR="0067056B" w:rsidRDefault="0067056B" w:rsidP="0067056B">
      <w:pPr>
        <w:spacing w:line="240" w:lineRule="auto"/>
        <w:rPr>
          <w:rFonts w:eastAsia="Times New Roman" w:cs="Arial"/>
          <w:color w:val="000000"/>
          <w:u w:val="single"/>
          <w:lang w:eastAsia="bg-BG"/>
        </w:rPr>
      </w:pPr>
    </w:p>
    <w:p w14:paraId="3C6693EF" w14:textId="40CC1FFA" w:rsidR="0067056B" w:rsidRPr="0067056B" w:rsidRDefault="0067056B" w:rsidP="0067056B">
      <w:pPr>
        <w:spacing w:line="240" w:lineRule="auto"/>
        <w:rPr>
          <w:rFonts w:eastAsia="Times New Roman" w:cs="Arial"/>
        </w:rPr>
      </w:pPr>
      <w:r w:rsidRPr="0067056B">
        <w:rPr>
          <w:rFonts w:eastAsia="Times New Roman" w:cs="Arial"/>
          <w:color w:val="000000"/>
          <w:u w:val="single"/>
          <w:lang w:eastAsia="bg-BG"/>
        </w:rPr>
        <w:t>Предпазни мерки при употреба</w:t>
      </w:r>
    </w:p>
    <w:p w14:paraId="6764D7CD" w14:textId="77777777" w:rsidR="0067056B" w:rsidRDefault="0067056B" w:rsidP="0067056B">
      <w:pPr>
        <w:spacing w:line="240" w:lineRule="auto"/>
        <w:rPr>
          <w:rFonts w:eastAsia="Times New Roman" w:cs="Arial"/>
          <w:i/>
          <w:iCs/>
          <w:color w:val="000000"/>
          <w:lang w:eastAsia="bg-BG"/>
        </w:rPr>
      </w:pPr>
    </w:p>
    <w:p w14:paraId="464617BB" w14:textId="25F948A6"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Калиеви соли, хепарин, калий-съхраняващи диуретици и други активни вещества, повишаващи плазмените нива на капия (включително ангиотензин II антагонисти, триметоприм, такролимус, циклоспорин):</w:t>
      </w:r>
      <w:r w:rsidRPr="0067056B">
        <w:rPr>
          <w:rFonts w:eastAsia="Times New Roman" w:cs="Arial"/>
          <w:color w:val="000000"/>
          <w:lang w:eastAsia="bg-BG"/>
        </w:rPr>
        <w:t xml:space="preserve"> възможно е да се прояви хиперкалиемия, поради което се изисква стрикно проследяване на серумния калий.</w:t>
      </w:r>
    </w:p>
    <w:p w14:paraId="7FA55802" w14:textId="77777777" w:rsidR="0067056B" w:rsidRDefault="0067056B" w:rsidP="0067056B">
      <w:pPr>
        <w:spacing w:line="240" w:lineRule="auto"/>
        <w:rPr>
          <w:rFonts w:eastAsia="Times New Roman" w:cs="Arial"/>
          <w:i/>
          <w:iCs/>
          <w:color w:val="000000"/>
          <w:lang w:eastAsia="bg-BG"/>
        </w:rPr>
      </w:pPr>
    </w:p>
    <w:p w14:paraId="0A094DF5" w14:textId="22B7C8F6"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Антихипертензивни средства (напр. диуретици) и други вещества, които могат да понижат кръвното налягане (напр.нитрати, трициклични антидепрееанти, анестетици, прекомерен прием на алкохол, баклофен, алфузозин, доксазозин, празозин, тамсулозин, тетразозин):</w:t>
      </w:r>
      <w:r w:rsidRPr="0067056B">
        <w:rPr>
          <w:rFonts w:eastAsia="Times New Roman" w:cs="Arial"/>
          <w:color w:val="000000"/>
          <w:lang w:eastAsia="bg-BG"/>
        </w:rPr>
        <w:t xml:space="preserve"> може да се очаква увеличаване на риска от хипотония (вж. точка 4.2 за диуретици).</w:t>
      </w:r>
    </w:p>
    <w:p w14:paraId="39016C53" w14:textId="77777777" w:rsidR="0067056B" w:rsidRDefault="0067056B" w:rsidP="0067056B">
      <w:pPr>
        <w:spacing w:line="240" w:lineRule="auto"/>
        <w:rPr>
          <w:rFonts w:eastAsia="Times New Roman" w:cs="Arial"/>
          <w:i/>
          <w:iCs/>
          <w:color w:val="000000"/>
          <w:lang w:eastAsia="bg-BG"/>
        </w:rPr>
      </w:pPr>
    </w:p>
    <w:p w14:paraId="22006E7F" w14:textId="3EE02BE9"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Вазопресорни симпатикомиметици и други вещества (епинефрин), които могат да намалят антихипертензивния ефект на рамиприл:</w:t>
      </w:r>
      <w:r w:rsidRPr="0067056B">
        <w:rPr>
          <w:rFonts w:eastAsia="Times New Roman" w:cs="Arial"/>
          <w:color w:val="000000"/>
          <w:lang w:eastAsia="bg-BG"/>
        </w:rPr>
        <w:t xml:space="preserve"> препоръчва се стриктно проследяване на кръвното налягане. Освен това, ефектът на вазопресорни симпатикомиметици може да бъде отслабен от хидрохлоротиазид.</w:t>
      </w:r>
    </w:p>
    <w:p w14:paraId="5D19B922" w14:textId="77777777" w:rsidR="0067056B" w:rsidRDefault="0067056B" w:rsidP="0067056B">
      <w:pPr>
        <w:spacing w:line="240" w:lineRule="auto"/>
        <w:rPr>
          <w:rFonts w:eastAsia="Times New Roman" w:cs="Arial"/>
          <w:i/>
          <w:iCs/>
          <w:color w:val="000000"/>
          <w:lang w:eastAsia="bg-BG"/>
        </w:rPr>
      </w:pPr>
    </w:p>
    <w:p w14:paraId="059BC459" w14:textId="052E5258"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r w:rsidRPr="0067056B">
        <w:rPr>
          <w:rFonts w:eastAsia="Times New Roman" w:cs="Arial"/>
          <w:color w:val="000000"/>
          <w:lang w:eastAsia="bg-BG"/>
        </w:rPr>
        <w:t xml:space="preserve"> повишена вероятност от поява на хематологични реакции (вж. точка 4.4).</w:t>
      </w:r>
    </w:p>
    <w:p w14:paraId="18570456" w14:textId="77777777" w:rsidR="0067056B" w:rsidRDefault="0067056B" w:rsidP="0067056B">
      <w:pPr>
        <w:spacing w:line="240" w:lineRule="auto"/>
        <w:rPr>
          <w:rFonts w:eastAsia="Times New Roman" w:cs="Arial"/>
          <w:i/>
          <w:iCs/>
          <w:color w:val="000000"/>
          <w:lang w:eastAsia="bg-BG"/>
        </w:rPr>
      </w:pPr>
    </w:p>
    <w:p w14:paraId="43C84560" w14:textId="06A58E76"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Литиеви соли:</w:t>
      </w:r>
      <w:r w:rsidRPr="0067056B">
        <w:rPr>
          <w:rFonts w:eastAsia="Times New Roman" w:cs="Arial"/>
          <w:color w:val="000000"/>
          <w:lang w:eastAsia="bg-BG"/>
        </w:rPr>
        <w:t xml:space="preserve">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 Едновременната употреба на тиазидни диуретици може да повиши риска от литиева токсичност и да усили вече повишения от АСЕ инхибитора риск от литиева токсичност. Поради това комбинацията от рамиприл и хидрохлоротиазид с литий не се препоръчва.</w:t>
      </w:r>
    </w:p>
    <w:p w14:paraId="1520B07A" w14:textId="77777777" w:rsidR="0067056B" w:rsidRDefault="0067056B" w:rsidP="0067056B">
      <w:pPr>
        <w:spacing w:line="240" w:lineRule="auto"/>
        <w:rPr>
          <w:rFonts w:eastAsia="Times New Roman" w:cs="Arial"/>
          <w:i/>
          <w:iCs/>
          <w:color w:val="000000"/>
          <w:lang w:eastAsia="bg-BG"/>
        </w:rPr>
      </w:pPr>
    </w:p>
    <w:p w14:paraId="48C8E18D" w14:textId="77777777" w:rsidR="0067056B" w:rsidRDefault="0067056B" w:rsidP="0067056B">
      <w:pPr>
        <w:spacing w:line="240" w:lineRule="auto"/>
        <w:rPr>
          <w:rFonts w:eastAsia="Times New Roman" w:cs="Arial"/>
          <w:i/>
          <w:iCs/>
          <w:color w:val="000000"/>
          <w:lang w:eastAsia="bg-BG"/>
        </w:rPr>
      </w:pPr>
    </w:p>
    <w:p w14:paraId="751A52CE" w14:textId="27FA4F81"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lastRenderedPageBreak/>
        <w:t>Антидиабетни средства, включително инсулин:</w:t>
      </w:r>
      <w:r w:rsidRPr="0067056B">
        <w:rPr>
          <w:rFonts w:eastAsia="Times New Roman" w:cs="Arial"/>
          <w:color w:val="000000"/>
          <w:lang w:eastAsia="bg-BG"/>
        </w:rPr>
        <w:t xml:space="preserve"> могат да възникнат хипогликемични реакции. Хидрохлоротиазидът може да отслаби ефекта на антидиабетните лекарства. Поради това се препоръчва особено стриктно проследяване на нивата на кръвната захар през началния период на едновременното прилагане.</w:t>
      </w:r>
    </w:p>
    <w:p w14:paraId="18C71195" w14:textId="77777777" w:rsidR="0067056B" w:rsidRDefault="0067056B" w:rsidP="0067056B">
      <w:pPr>
        <w:spacing w:line="240" w:lineRule="auto"/>
        <w:rPr>
          <w:rFonts w:eastAsia="Times New Roman" w:cs="Arial"/>
          <w:i/>
          <w:iCs/>
          <w:color w:val="000000"/>
          <w:lang w:eastAsia="bg-BG"/>
        </w:rPr>
      </w:pPr>
    </w:p>
    <w:p w14:paraId="24DBB642" w14:textId="42624FEA" w:rsidR="0067056B" w:rsidRDefault="0067056B" w:rsidP="0067056B">
      <w:pPr>
        <w:spacing w:line="240" w:lineRule="auto"/>
        <w:rPr>
          <w:rFonts w:eastAsia="Times New Roman" w:cs="Arial"/>
          <w:color w:val="000000"/>
          <w:lang w:eastAsia="bg-BG"/>
        </w:rPr>
      </w:pPr>
      <w:r w:rsidRPr="0067056B">
        <w:rPr>
          <w:rFonts w:eastAsia="Times New Roman" w:cs="Arial"/>
          <w:i/>
          <w:iCs/>
          <w:color w:val="000000"/>
          <w:lang w:eastAsia="bg-BG"/>
        </w:rPr>
        <w:t xml:space="preserve">Нестероидни противовъзпалителни средства и ацетилсалицилова киселина: може да се очаква </w:t>
      </w:r>
      <w:r w:rsidRPr="0067056B">
        <w:rPr>
          <w:rFonts w:eastAsia="Times New Roman" w:cs="Arial"/>
          <w:color w:val="000000"/>
          <w:lang w:eastAsia="bg-BG"/>
        </w:rPr>
        <w:t>намаляване на антихипертензивния ефект на Кардифренд-Ко. Освен това, съпътстващото</w:t>
      </w:r>
      <w:r w:rsidRPr="0067056B">
        <w:rPr>
          <w:rFonts w:eastAsia="Times New Roman" w:cs="Arial"/>
          <w:color w:val="000000"/>
          <w:vertAlign w:val="subscript"/>
          <w:lang w:eastAsia="bg-BG"/>
        </w:rPr>
        <w:t xml:space="preserve"> </w:t>
      </w:r>
      <w:r w:rsidRPr="0067056B">
        <w:rPr>
          <w:rFonts w:eastAsia="Times New Roman" w:cs="Arial"/>
          <w:color w:val="000000"/>
          <w:lang w:eastAsia="bg-BG"/>
        </w:rPr>
        <w:t>лечение с АСЕ инхибитори и НСПВС може да доведе до повишен риск от влошаване на</w:t>
      </w:r>
      <w:r w:rsidRPr="0067056B">
        <w:rPr>
          <w:rFonts w:eastAsia="Times New Roman" w:cs="Arial"/>
          <w:lang w:val="ru-RU"/>
        </w:rPr>
        <w:t xml:space="preserve"> </w:t>
      </w:r>
      <w:r w:rsidRPr="0067056B">
        <w:rPr>
          <w:rFonts w:eastAsia="Times New Roman" w:cs="Arial"/>
          <w:color w:val="000000"/>
          <w:lang w:eastAsia="bg-BG"/>
        </w:rPr>
        <w:t>бъбречната функция и да увеличи калнемияга.</w:t>
      </w:r>
    </w:p>
    <w:p w14:paraId="50A092D5" w14:textId="3B2DD284" w:rsidR="0067056B" w:rsidRDefault="0067056B" w:rsidP="0067056B">
      <w:pPr>
        <w:spacing w:line="240" w:lineRule="auto"/>
        <w:rPr>
          <w:rFonts w:eastAsia="Times New Roman" w:cs="Arial"/>
          <w:color w:val="000000"/>
          <w:lang w:eastAsia="bg-BG"/>
        </w:rPr>
      </w:pPr>
    </w:p>
    <w:p w14:paraId="7BA85AFC" w14:textId="77777777"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Перорални антикоагуланти:</w:t>
      </w:r>
      <w:r w:rsidRPr="0067056B">
        <w:rPr>
          <w:rFonts w:eastAsia="Times New Roman" w:cs="Arial"/>
          <w:color w:val="000000"/>
          <w:lang w:eastAsia="bg-BG"/>
        </w:rPr>
        <w:t xml:space="preserve"> антикоагулантният ефект може да бъде намален поради едновременната употреба на хидрохлоротиазид,</w:t>
      </w:r>
    </w:p>
    <w:p w14:paraId="0FEE3CF2" w14:textId="77777777" w:rsidR="0067056B" w:rsidRDefault="0067056B" w:rsidP="0067056B">
      <w:pPr>
        <w:spacing w:line="240" w:lineRule="auto"/>
        <w:rPr>
          <w:rFonts w:eastAsia="Times New Roman" w:cs="Arial"/>
          <w:i/>
          <w:iCs/>
          <w:color w:val="000000"/>
          <w:lang w:eastAsia="bg-BG"/>
        </w:rPr>
      </w:pPr>
    </w:p>
    <w:p w14:paraId="04B780FE" w14:textId="0C400AE2"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Кортикостероиди, АКТХ, амфотерицин В, карбеноксолон, големи количества сладък корен, лаксативи</w:t>
      </w:r>
      <w:r w:rsidRPr="0067056B">
        <w:rPr>
          <w:rFonts w:eastAsia="Times New Roman" w:cs="Arial"/>
          <w:color w:val="000000"/>
          <w:lang w:eastAsia="bg-BG"/>
        </w:rPr>
        <w:t xml:space="preserve"> (в случай на продължителна употреба), и други средства, които увеличават уринната екскреция на </w:t>
      </w:r>
      <w:r w:rsidRPr="0067056B">
        <w:rPr>
          <w:rFonts w:eastAsia="Times New Roman" w:cs="Arial"/>
          <w:i/>
          <w:iCs/>
          <w:color w:val="000000"/>
          <w:lang w:eastAsia="bg-BG"/>
        </w:rPr>
        <w:t>капии или намаляват плазмения калий:</w:t>
      </w:r>
      <w:r w:rsidRPr="0067056B">
        <w:rPr>
          <w:rFonts w:eastAsia="Times New Roman" w:cs="Arial"/>
          <w:color w:val="000000"/>
          <w:lang w:eastAsia="bg-BG"/>
        </w:rPr>
        <w:t xml:space="preserve"> повишен риск от хипокалиемия.</w:t>
      </w:r>
    </w:p>
    <w:p w14:paraId="0373CB04" w14:textId="77777777" w:rsidR="0067056B" w:rsidRDefault="0067056B" w:rsidP="0067056B">
      <w:pPr>
        <w:spacing w:line="240" w:lineRule="auto"/>
        <w:rPr>
          <w:rFonts w:eastAsia="Times New Roman" w:cs="Arial"/>
          <w:i/>
          <w:iCs/>
          <w:color w:val="000000"/>
          <w:lang w:eastAsia="bg-BG"/>
        </w:rPr>
      </w:pPr>
    </w:p>
    <w:p w14:paraId="0EDC451A" w14:textId="6DCA42DB"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 xml:space="preserve">Дигитаписови препарати, активни вещества, за които е известно, че удължат </w:t>
      </w:r>
      <w:r w:rsidRPr="0067056B">
        <w:rPr>
          <w:rFonts w:eastAsia="Times New Roman" w:cs="Arial"/>
          <w:i/>
          <w:iCs/>
          <w:color w:val="000000"/>
          <w:lang w:val="en-US"/>
        </w:rPr>
        <w:t>QT</w:t>
      </w:r>
      <w:r w:rsidRPr="0067056B">
        <w:rPr>
          <w:rFonts w:eastAsia="Times New Roman" w:cs="Arial"/>
          <w:i/>
          <w:iCs/>
          <w:color w:val="000000"/>
          <w:lang w:val="ru-RU"/>
        </w:rPr>
        <w:t xml:space="preserve"> </w:t>
      </w:r>
      <w:r w:rsidRPr="0067056B">
        <w:rPr>
          <w:rFonts w:eastAsia="Times New Roman" w:cs="Arial"/>
          <w:i/>
          <w:iCs/>
          <w:color w:val="000000"/>
          <w:lang w:eastAsia="bg-BG"/>
        </w:rPr>
        <w:t>интервала и антиаритмици:</w:t>
      </w:r>
      <w:r w:rsidRPr="0067056B">
        <w:rPr>
          <w:rFonts w:eastAsia="Times New Roman" w:cs="Arial"/>
          <w:color w:val="000000"/>
          <w:lang w:eastAsia="bg-BG"/>
        </w:rPr>
        <w:t xml:space="preserve"> тяхната проаритмична токсичност може да се повиши или антиаритмичният им ефект да намалее при наличие на електролитни нарушения (напр. хипокалиемия, хипомагнезиемия).</w:t>
      </w:r>
    </w:p>
    <w:p w14:paraId="6BBD0468" w14:textId="77777777" w:rsidR="0067056B" w:rsidRDefault="0067056B" w:rsidP="0067056B">
      <w:pPr>
        <w:spacing w:line="240" w:lineRule="auto"/>
        <w:rPr>
          <w:rFonts w:eastAsia="Times New Roman" w:cs="Arial"/>
          <w:i/>
          <w:iCs/>
          <w:color w:val="000000"/>
          <w:lang w:eastAsia="bg-BG"/>
        </w:rPr>
      </w:pPr>
    </w:p>
    <w:p w14:paraId="3353AC18" w14:textId="41A4D646"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Метилдопа:</w:t>
      </w:r>
      <w:r w:rsidRPr="0067056B">
        <w:rPr>
          <w:rFonts w:eastAsia="Times New Roman" w:cs="Arial"/>
          <w:color w:val="000000"/>
          <w:lang w:eastAsia="bg-BG"/>
        </w:rPr>
        <w:t xml:space="preserve"> възможна е хемолиза.</w:t>
      </w:r>
    </w:p>
    <w:p w14:paraId="51961FB9" w14:textId="77777777" w:rsidR="0067056B" w:rsidRDefault="0067056B" w:rsidP="0067056B">
      <w:pPr>
        <w:spacing w:line="240" w:lineRule="auto"/>
        <w:rPr>
          <w:rFonts w:eastAsia="Times New Roman" w:cs="Arial"/>
          <w:i/>
          <w:iCs/>
          <w:color w:val="000000"/>
          <w:lang w:eastAsia="bg-BG"/>
        </w:rPr>
      </w:pPr>
    </w:p>
    <w:p w14:paraId="2BFDF0A8" w14:textId="4D5F06D6"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Холестирамин или други перорално прилагани йонообменни вещества:</w:t>
      </w:r>
      <w:r w:rsidRPr="0067056B">
        <w:rPr>
          <w:rFonts w:eastAsia="Times New Roman" w:cs="Arial"/>
          <w:color w:val="000000"/>
          <w:lang w:eastAsia="bg-BG"/>
        </w:rPr>
        <w:t xml:space="preserve"> намалена абсорбция на хидрохлоротиазид, Сулфонамидните диуретици трябва да бъдат вземани поне един час преди или четири до шест часа след тези лекарства,</w:t>
      </w:r>
    </w:p>
    <w:p w14:paraId="074A8EE6" w14:textId="77777777" w:rsidR="0067056B" w:rsidRDefault="0067056B" w:rsidP="0067056B">
      <w:pPr>
        <w:spacing w:line="240" w:lineRule="auto"/>
        <w:rPr>
          <w:rFonts w:eastAsia="Times New Roman" w:cs="Arial"/>
          <w:i/>
          <w:iCs/>
          <w:color w:val="000000"/>
          <w:lang w:eastAsia="bg-BG"/>
        </w:rPr>
      </w:pPr>
    </w:p>
    <w:p w14:paraId="48063200" w14:textId="074BF033"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Кураре-подобни миорелаксанти:</w:t>
      </w:r>
      <w:r w:rsidRPr="0067056B">
        <w:rPr>
          <w:rFonts w:eastAsia="Times New Roman" w:cs="Arial"/>
          <w:color w:val="000000"/>
          <w:lang w:eastAsia="bg-BG"/>
        </w:rPr>
        <w:t xml:space="preserve"> възможен е усилен и удължен миорелаксиращ ефект.</w:t>
      </w:r>
    </w:p>
    <w:p w14:paraId="34CF209A" w14:textId="77777777" w:rsidR="0067056B" w:rsidRDefault="0067056B" w:rsidP="0067056B">
      <w:pPr>
        <w:spacing w:line="240" w:lineRule="auto"/>
        <w:rPr>
          <w:rFonts w:eastAsia="Times New Roman" w:cs="Arial"/>
          <w:i/>
          <w:iCs/>
          <w:color w:val="000000"/>
          <w:lang w:eastAsia="bg-BG"/>
        </w:rPr>
      </w:pPr>
    </w:p>
    <w:p w14:paraId="30B90317" w14:textId="5258D423"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Калциеви соли и повишаващи плазмения капции лекарствени продукти:</w:t>
      </w:r>
      <w:r w:rsidRPr="0067056B">
        <w:rPr>
          <w:rFonts w:eastAsia="Times New Roman" w:cs="Arial"/>
          <w:color w:val="000000"/>
          <w:lang w:eastAsia="bg-BG"/>
        </w:rPr>
        <w:t xml:space="preserve"> в случай на едновременно прилагане с хидрохлоротиазид може да се очаква повишена серумна концентрация на калция, поради което се изисква стриктно проследяване на серумния калций.</w:t>
      </w:r>
    </w:p>
    <w:p w14:paraId="0B532477" w14:textId="77777777" w:rsidR="0067056B" w:rsidRDefault="0067056B" w:rsidP="0067056B">
      <w:pPr>
        <w:spacing w:line="240" w:lineRule="auto"/>
        <w:rPr>
          <w:rFonts w:eastAsia="Times New Roman" w:cs="Arial"/>
          <w:i/>
          <w:iCs/>
          <w:color w:val="000000"/>
          <w:lang w:eastAsia="bg-BG"/>
        </w:rPr>
      </w:pPr>
    </w:p>
    <w:p w14:paraId="44B86212" w14:textId="09227E47"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Карбамазепин:</w:t>
      </w:r>
      <w:r w:rsidRPr="0067056B">
        <w:rPr>
          <w:rFonts w:eastAsia="Times New Roman" w:cs="Arial"/>
          <w:color w:val="000000"/>
          <w:lang w:eastAsia="bg-BG"/>
        </w:rPr>
        <w:t xml:space="preserve"> риск от хипонатриемия поради адитивния ефект с хидрохлоротиазид.</w:t>
      </w:r>
    </w:p>
    <w:p w14:paraId="20952E8E" w14:textId="77777777" w:rsidR="0067056B" w:rsidRDefault="0067056B" w:rsidP="0067056B">
      <w:pPr>
        <w:spacing w:line="240" w:lineRule="auto"/>
        <w:rPr>
          <w:rFonts w:eastAsia="Times New Roman" w:cs="Arial"/>
          <w:i/>
          <w:iCs/>
          <w:color w:val="000000"/>
          <w:lang w:eastAsia="bg-BG"/>
        </w:rPr>
      </w:pPr>
    </w:p>
    <w:p w14:paraId="709728C6" w14:textId="0FAAA554"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Йод-съдържащо контрастно вещество:</w:t>
      </w:r>
      <w:r w:rsidRPr="0067056B">
        <w:rPr>
          <w:rFonts w:eastAsia="Times New Roman" w:cs="Arial"/>
          <w:color w:val="000000"/>
          <w:lang w:eastAsia="bg-BG"/>
        </w:rPr>
        <w:t xml:space="preserve"> в случай на дехидратация, предизвикана от диуретици, включително хидрохлоротиазид, има повишен риск от остро бъбречно увреждане, особено при употреба на значими дози йод-съдържащо контрастно вещество.</w:t>
      </w:r>
    </w:p>
    <w:p w14:paraId="0F66BA75" w14:textId="77777777" w:rsidR="0067056B" w:rsidRDefault="0067056B" w:rsidP="0067056B">
      <w:pPr>
        <w:spacing w:line="240" w:lineRule="auto"/>
        <w:rPr>
          <w:rFonts w:eastAsia="Times New Roman" w:cs="Arial"/>
          <w:i/>
          <w:iCs/>
          <w:color w:val="000000"/>
          <w:lang w:eastAsia="bg-BG"/>
        </w:rPr>
      </w:pPr>
    </w:p>
    <w:p w14:paraId="720424C5" w14:textId="1627C96B"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Пеницилин:</w:t>
      </w:r>
      <w:r w:rsidRPr="0067056B">
        <w:rPr>
          <w:rFonts w:eastAsia="Times New Roman" w:cs="Arial"/>
          <w:color w:val="000000"/>
          <w:lang w:eastAsia="bg-BG"/>
        </w:rPr>
        <w:t xml:space="preserve"> хидрохлоротиазид се екскретира в дисталните тубули и намалява екскрецията на пеницилина.</w:t>
      </w:r>
    </w:p>
    <w:p w14:paraId="275A02D0" w14:textId="77777777" w:rsidR="0067056B" w:rsidRDefault="0067056B" w:rsidP="0067056B">
      <w:pPr>
        <w:spacing w:line="240" w:lineRule="auto"/>
        <w:rPr>
          <w:rFonts w:eastAsia="Times New Roman" w:cs="Arial"/>
          <w:i/>
          <w:iCs/>
          <w:color w:val="000000"/>
          <w:lang w:eastAsia="bg-BG"/>
        </w:rPr>
      </w:pPr>
    </w:p>
    <w:p w14:paraId="240388B0" w14:textId="730BD0E6"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Хинин:</w:t>
      </w:r>
      <w:r w:rsidRPr="0067056B">
        <w:rPr>
          <w:rFonts w:eastAsia="Times New Roman" w:cs="Arial"/>
          <w:color w:val="000000"/>
          <w:lang w:eastAsia="bg-BG"/>
        </w:rPr>
        <w:t xml:space="preserve"> хидрохлоротиазид намалява екскрецията на хинин.</w:t>
      </w:r>
    </w:p>
    <w:p w14:paraId="58D87148" w14:textId="77777777" w:rsidR="0067056B" w:rsidRDefault="0067056B" w:rsidP="0067056B">
      <w:pPr>
        <w:spacing w:line="240" w:lineRule="auto"/>
        <w:rPr>
          <w:rFonts w:eastAsia="Times New Roman" w:cs="Arial"/>
          <w:i/>
          <w:iCs/>
          <w:color w:val="000000"/>
          <w:lang w:eastAsia="bg-BG"/>
        </w:rPr>
      </w:pPr>
    </w:p>
    <w:p w14:paraId="369F89CD" w14:textId="432AB7C2"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Хепарин:</w:t>
      </w:r>
      <w:r w:rsidRPr="0067056B">
        <w:rPr>
          <w:rFonts w:eastAsia="Times New Roman" w:cs="Arial"/>
          <w:color w:val="000000"/>
          <w:lang w:eastAsia="bg-BG"/>
        </w:rPr>
        <w:t xml:space="preserve"> възможно е повишаване на серумната концентрация на калия.</w:t>
      </w:r>
    </w:p>
    <w:p w14:paraId="51087BEE" w14:textId="77777777" w:rsidR="0067056B" w:rsidRDefault="0067056B" w:rsidP="0067056B">
      <w:pPr>
        <w:spacing w:line="240" w:lineRule="auto"/>
        <w:rPr>
          <w:rFonts w:eastAsia="Times New Roman" w:cs="Arial"/>
          <w:i/>
          <w:iCs/>
          <w:color w:val="000000"/>
        </w:rPr>
      </w:pPr>
    </w:p>
    <w:p w14:paraId="21764A5A" w14:textId="027EAEE7" w:rsidR="0067056B" w:rsidRPr="0067056B" w:rsidRDefault="0067056B" w:rsidP="0067056B">
      <w:pPr>
        <w:spacing w:line="240" w:lineRule="auto"/>
        <w:rPr>
          <w:rFonts w:eastAsia="Times New Roman" w:cs="Arial"/>
        </w:rPr>
      </w:pPr>
      <w:proofErr w:type="spellStart"/>
      <w:proofErr w:type="gramStart"/>
      <w:r w:rsidRPr="0067056B">
        <w:rPr>
          <w:rFonts w:eastAsia="Times New Roman" w:cs="Arial"/>
          <w:i/>
          <w:iCs/>
          <w:color w:val="000000"/>
          <w:lang w:val="en-US"/>
        </w:rPr>
        <w:lastRenderedPageBreak/>
        <w:t>mTOR</w:t>
      </w:r>
      <w:proofErr w:type="spellEnd"/>
      <w:proofErr w:type="gramEnd"/>
      <w:r w:rsidRPr="0067056B">
        <w:rPr>
          <w:rFonts w:eastAsia="Times New Roman" w:cs="Arial"/>
          <w:i/>
          <w:iCs/>
          <w:color w:val="000000"/>
        </w:rPr>
        <w:t xml:space="preserve"> </w:t>
      </w:r>
      <w:r w:rsidRPr="0067056B">
        <w:rPr>
          <w:rFonts w:eastAsia="Times New Roman" w:cs="Arial"/>
          <w:i/>
          <w:iCs/>
          <w:color w:val="000000"/>
          <w:lang w:eastAsia="bg-BG"/>
        </w:rPr>
        <w:t>инхибитори или вилдаглиптин:</w:t>
      </w:r>
      <w:r w:rsidRPr="0067056B">
        <w:rPr>
          <w:rFonts w:eastAsia="Times New Roman" w:cs="Arial"/>
          <w:color w:val="000000"/>
          <w:lang w:eastAsia="bg-BG"/>
        </w:rPr>
        <w:t xml:space="preserve"> повишен риск от ангиоедем е възможен при пациенти, приемащи съпътстващи лекарства, като </w:t>
      </w:r>
      <w:proofErr w:type="spellStart"/>
      <w:r w:rsidRPr="0067056B">
        <w:rPr>
          <w:rFonts w:eastAsia="Times New Roman" w:cs="Arial"/>
          <w:color w:val="000000"/>
          <w:lang w:val="en-US"/>
        </w:rPr>
        <w:t>mTOR</w:t>
      </w:r>
      <w:proofErr w:type="spellEnd"/>
      <w:r w:rsidRPr="0067056B">
        <w:rPr>
          <w:rFonts w:eastAsia="Times New Roman" w:cs="Arial"/>
          <w:color w:val="000000"/>
        </w:rPr>
        <w:t xml:space="preserve"> </w:t>
      </w:r>
      <w:r w:rsidRPr="0067056B">
        <w:rPr>
          <w:rFonts w:eastAsia="Times New Roman" w:cs="Arial"/>
          <w:color w:val="000000"/>
          <w:lang w:eastAsia="bg-BG"/>
        </w:rPr>
        <w:t>инхибитори (например темсиролимус, еверолимус, сиролимус) или вилдаглипин.</w:t>
      </w:r>
    </w:p>
    <w:p w14:paraId="520F201B"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Трябва да се използва с повишено внимание, при започване на лечение (вж.точка 4.4).</w:t>
      </w:r>
    </w:p>
    <w:p w14:paraId="56C239E8" w14:textId="77777777" w:rsidR="0067056B" w:rsidRDefault="0067056B" w:rsidP="0067056B">
      <w:pPr>
        <w:spacing w:line="240" w:lineRule="auto"/>
        <w:rPr>
          <w:rFonts w:eastAsia="Times New Roman" w:cs="Arial"/>
          <w:i/>
          <w:iCs/>
          <w:color w:val="000000"/>
          <w:lang w:eastAsia="bg-BG"/>
        </w:rPr>
      </w:pPr>
    </w:p>
    <w:p w14:paraId="294F9B9A" w14:textId="4D873327"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Сакобутрил/ валсартан</w:t>
      </w:r>
    </w:p>
    <w:p w14:paraId="67F1E353" w14:textId="25675F47" w:rsidR="0067056B" w:rsidRDefault="0067056B" w:rsidP="0067056B">
      <w:pPr>
        <w:spacing w:line="240" w:lineRule="auto"/>
        <w:rPr>
          <w:rFonts w:eastAsia="Times New Roman" w:cs="Arial"/>
          <w:color w:val="000000"/>
          <w:lang w:eastAsia="bg-BG"/>
        </w:rPr>
      </w:pPr>
      <w:r w:rsidRPr="0067056B">
        <w:rPr>
          <w:rFonts w:eastAsia="Times New Roman" w:cs="Arial"/>
          <w:color w:val="000000"/>
          <w:lang w:eastAsia="bg-BG"/>
        </w:rPr>
        <w:t>Едновременното приложение на АСЕ инхибитори със сакобутрил/ валсартан е противопоказано, тъй като т</w:t>
      </w:r>
      <w:r>
        <w:rPr>
          <w:rFonts w:eastAsia="Times New Roman" w:cs="Arial"/>
          <w:color w:val="000000"/>
          <w:lang w:eastAsia="bg-BG"/>
        </w:rPr>
        <w:t>ова увеличава риска от агиоедем.</w:t>
      </w:r>
    </w:p>
    <w:p w14:paraId="716B96F5" w14:textId="77777777" w:rsidR="0067056B" w:rsidRPr="0067056B" w:rsidRDefault="0067056B" w:rsidP="0067056B">
      <w:pPr>
        <w:spacing w:line="240" w:lineRule="auto"/>
        <w:rPr>
          <w:rFonts w:eastAsia="Times New Roman" w:cs="Arial"/>
        </w:rPr>
      </w:pPr>
    </w:p>
    <w:p w14:paraId="1634C023" w14:textId="09BEF6E5" w:rsidR="0067056B" w:rsidRDefault="002C50EE" w:rsidP="0067056B">
      <w:pPr>
        <w:pStyle w:val="Heading2"/>
      </w:pPr>
      <w:r>
        <w:t>4.6. Фертилитет, бременност и кърмене</w:t>
      </w:r>
    </w:p>
    <w:p w14:paraId="7E126955" w14:textId="235FE049" w:rsidR="0067056B" w:rsidRDefault="0067056B" w:rsidP="0067056B"/>
    <w:p w14:paraId="19F0611B" w14:textId="77777777" w:rsidR="0067056B" w:rsidRPr="0067056B" w:rsidRDefault="0067056B" w:rsidP="0067056B">
      <w:pPr>
        <w:pStyle w:val="Heading3"/>
        <w:rPr>
          <w:rFonts w:eastAsia="Times New Roman"/>
          <w:u w:val="single"/>
        </w:rPr>
      </w:pPr>
      <w:r w:rsidRPr="0067056B">
        <w:rPr>
          <w:rFonts w:eastAsia="Times New Roman"/>
          <w:u w:val="single"/>
          <w:lang w:eastAsia="bg-BG"/>
        </w:rPr>
        <w:t>Бременност</w:t>
      </w:r>
    </w:p>
    <w:p w14:paraId="302C147B" w14:textId="23C02D16" w:rsidR="0067056B" w:rsidRPr="0067056B" w:rsidRDefault="0067056B" w:rsidP="0067056B">
      <w:pPr>
        <w:rPr>
          <w:rFonts w:eastAsia="Times New Roman" w:cs="Arial"/>
          <w:color w:val="000000"/>
          <w:lang w:eastAsia="bg-BG"/>
        </w:rPr>
      </w:pPr>
      <w:r w:rsidRPr="0067056B">
        <w:rPr>
          <w:rFonts w:eastAsia="Times New Roman" w:cs="Arial"/>
          <w:color w:val="000000"/>
          <w:lang w:eastAsia="bg-BG"/>
        </w:rPr>
        <w:t>Кардифренд-Ко не се препоръчва по време на първия тримесгър на бременност (вж. точка 4.4) и е противопоказан по време на втория и третия триместър на бременността (вж. точка 4.3).</w:t>
      </w:r>
    </w:p>
    <w:p w14:paraId="1E8E6B34" w14:textId="58B364EF" w:rsidR="0067056B" w:rsidRPr="0067056B" w:rsidRDefault="0067056B" w:rsidP="0067056B">
      <w:pPr>
        <w:rPr>
          <w:rFonts w:eastAsia="Times New Roman" w:cs="Arial"/>
          <w:color w:val="000000"/>
          <w:lang w:eastAsia="bg-BG"/>
        </w:rPr>
      </w:pPr>
    </w:p>
    <w:p w14:paraId="57F1C277"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Епидемиологични данни относно риска от тератогенност след експозиция на АСЕ инхибитори по време на първия триместър от бременността не са убедителни, но леко повишаване на риска не може да бъде изключено.</w:t>
      </w:r>
    </w:p>
    <w:p w14:paraId="70BE3A86"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При пациентките планиращи бременност, терапията с АСЕ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w:t>
      </w:r>
    </w:p>
    <w:p w14:paraId="4CD82B14"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w:t>
      </w:r>
    </w:p>
    <w:p w14:paraId="1BF9769C"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Известно е, че терапията с АСЕ инхибитор /ангиотензин П-рецепторен антагонист </w:t>
      </w:r>
      <w:r w:rsidRPr="0067056B">
        <w:rPr>
          <w:rFonts w:eastAsia="Times New Roman" w:cs="Arial"/>
          <w:color w:val="000000"/>
          <w:lang w:val="ru-RU"/>
        </w:rPr>
        <w:t>(</w:t>
      </w:r>
      <w:r w:rsidRPr="0067056B">
        <w:rPr>
          <w:rFonts w:eastAsia="Times New Roman" w:cs="Arial"/>
          <w:color w:val="000000"/>
          <w:lang w:val="en-US"/>
        </w:rPr>
        <w:t>AIIRA</w:t>
      </w:r>
      <w:r w:rsidRPr="0067056B">
        <w:rPr>
          <w:rFonts w:eastAsia="Times New Roman" w:cs="Arial"/>
          <w:color w:val="000000"/>
          <w:lang w:val="ru-RU"/>
        </w:rPr>
        <w:t xml:space="preserve">) </w:t>
      </w:r>
      <w:r w:rsidRPr="0067056B">
        <w:rPr>
          <w:rFonts w:eastAsia="Times New Roman" w:cs="Arial"/>
          <w:color w:val="000000"/>
          <w:lang w:eastAsia="bg-BG"/>
        </w:rPr>
        <w:t>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също 5.3).</w:t>
      </w:r>
    </w:p>
    <w:p w14:paraId="4C47F811"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В случай на експозиция на АСЕ инхибитор през втория триместър на бременността, се препоръчва проверка на бъбречната функция и черепа чрез ултразвук.</w:t>
      </w:r>
    </w:p>
    <w:p w14:paraId="00048344"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Новородени, чиито майки са приемали АСЕ инхибитори, трябва да бъдат стриктно наблюдавани за хипотония, олигурия и хиперкалиемия (вж. също точки 4.3 и 4.4).</w:t>
      </w:r>
    </w:p>
    <w:p w14:paraId="01526E0D" w14:textId="77777777" w:rsidR="0067056B" w:rsidRDefault="0067056B" w:rsidP="0067056B">
      <w:pPr>
        <w:spacing w:line="240" w:lineRule="auto"/>
        <w:rPr>
          <w:rFonts w:eastAsia="Times New Roman" w:cs="Arial"/>
          <w:color w:val="000000"/>
          <w:lang w:eastAsia="bg-BG"/>
        </w:rPr>
      </w:pPr>
    </w:p>
    <w:p w14:paraId="482C6812" w14:textId="2EC61CFA" w:rsidR="0067056B" w:rsidRPr="0067056B" w:rsidRDefault="0067056B" w:rsidP="0067056B">
      <w:pPr>
        <w:spacing w:line="240" w:lineRule="auto"/>
        <w:rPr>
          <w:rFonts w:eastAsia="Times New Roman" w:cs="Arial"/>
        </w:rPr>
      </w:pPr>
      <w:r w:rsidRPr="0067056B">
        <w:rPr>
          <w:rFonts w:eastAsia="Times New Roman" w:cs="Arial"/>
          <w:color w:val="000000"/>
          <w:lang w:eastAsia="bg-BG"/>
        </w:rPr>
        <w:t>Хидрохлоротиазидът, в случай на продължителна експозиция по време на третия триместър на бременността, може да причини фегоплацентарна исхемия и риск от изоставане в растежа.</w:t>
      </w:r>
    </w:p>
    <w:p w14:paraId="6AA1665C"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Освен това, редки случаи на хипогликемия и тромбоцитопения при новородени са съобщавани в случай на експозиция непосредствено преди термина.Хидрохлортиазидът може да намали обема на плазмата, както и вътреплацентарния кръвен ток.</w:t>
      </w:r>
    </w:p>
    <w:p w14:paraId="151589E4" w14:textId="77777777" w:rsidR="0067056B" w:rsidRDefault="0067056B" w:rsidP="0067056B">
      <w:pPr>
        <w:spacing w:line="240" w:lineRule="auto"/>
        <w:rPr>
          <w:rFonts w:eastAsia="Times New Roman" w:cs="Arial"/>
          <w:color w:val="000000"/>
          <w:u w:val="single"/>
          <w:lang w:eastAsia="bg-BG"/>
        </w:rPr>
      </w:pPr>
    </w:p>
    <w:p w14:paraId="4CE0CDBC" w14:textId="5254AA49" w:rsidR="0067056B" w:rsidRPr="0067056B" w:rsidRDefault="0067056B" w:rsidP="0067056B">
      <w:pPr>
        <w:pStyle w:val="Heading3"/>
        <w:rPr>
          <w:rFonts w:eastAsia="Times New Roman"/>
          <w:u w:val="single"/>
        </w:rPr>
      </w:pPr>
      <w:r w:rsidRPr="0067056B">
        <w:rPr>
          <w:rFonts w:eastAsia="Times New Roman"/>
          <w:u w:val="single"/>
          <w:lang w:eastAsia="bg-BG"/>
        </w:rPr>
        <w:t>Кърмене</w:t>
      </w:r>
    </w:p>
    <w:p w14:paraId="674177DE"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Кардифренд-Ко е противопоказан по време на кърмене.</w:t>
      </w:r>
    </w:p>
    <w:p w14:paraId="55A05FEE"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При прилагането на терапевтични дози рамиприл и хидрохлоротиазид на кърмещи жени е възможно рамиприл и хидрохлоротиазид да се екскретират в кърмата в такова количество, което да оказва ефект върху кърмачето. Поради недостатъчна информация относно употребата на рамиприл по време на кърмене за предпочитане е алтернативно лечение с по-добре установен профил на безопасност по време на кърмене, особено при кърмене на новородено или недоносено кърмаче.</w:t>
      </w:r>
    </w:p>
    <w:p w14:paraId="753403C1" w14:textId="7657A6D3" w:rsidR="0067056B" w:rsidRDefault="0067056B" w:rsidP="0067056B">
      <w:pPr>
        <w:rPr>
          <w:rFonts w:eastAsia="Times New Roman" w:cs="Arial"/>
          <w:color w:val="000000"/>
          <w:lang w:eastAsia="bg-BG"/>
        </w:rPr>
      </w:pPr>
      <w:r w:rsidRPr="0067056B">
        <w:rPr>
          <w:rFonts w:eastAsia="Times New Roman" w:cs="Arial"/>
          <w:color w:val="000000"/>
          <w:lang w:eastAsia="bg-BG"/>
        </w:rPr>
        <w:lastRenderedPageBreak/>
        <w:t>Хидрохлоротиазид се екскретира в кърмата. Тиазидите, приемани от майки кърмачки се свързват с намаляване, или дори подтискане, на лактацията. Може да се прояви свръхчувствителност към активните вещества - деривати на сулфонамидите, хипокалиемия и иктер. Поради възможността за сериозни реакции при кърмачетата и от двете активни вещества, трябва да бъде взето решение дали да бъде прекратено кърменето или да бъде прекратена терапията, като се вземе предвид значението на терапията за майката.</w:t>
      </w:r>
    </w:p>
    <w:p w14:paraId="1BA7D2EF" w14:textId="77777777" w:rsidR="0067056B" w:rsidRPr="0067056B" w:rsidRDefault="0067056B" w:rsidP="0067056B">
      <w:pPr>
        <w:rPr>
          <w:rFonts w:cs="Arial"/>
        </w:rPr>
      </w:pPr>
    </w:p>
    <w:p w14:paraId="5DD7A76D" w14:textId="1053CC0E" w:rsidR="007122AD" w:rsidRDefault="002C50EE" w:rsidP="00936AD0">
      <w:pPr>
        <w:pStyle w:val="Heading2"/>
      </w:pPr>
      <w:r>
        <w:t>4.7. Ефекти върху способността за шофиране и работа с машини</w:t>
      </w:r>
    </w:p>
    <w:p w14:paraId="79C7F585" w14:textId="0722F79D" w:rsidR="0067056B" w:rsidRDefault="0067056B" w:rsidP="0067056B"/>
    <w:p w14:paraId="183EB7E9" w14:textId="77777777" w:rsidR="0067056B" w:rsidRPr="0067056B" w:rsidRDefault="0067056B" w:rsidP="0067056B">
      <w:pPr>
        <w:rPr>
          <w:sz w:val="24"/>
          <w:szCs w:val="24"/>
        </w:rPr>
      </w:pPr>
      <w:r w:rsidRPr="0067056B">
        <w:rPr>
          <w:lang w:eastAsia="bg-BG"/>
        </w:rPr>
        <w:t>Не са провеждани проучвания относно ефектите върху способността за шофиране и работа с машини. Някои странични ефекти (напр.симптоми на понижаване на кръвното налягане като замайване) могат да нарушат способността на пациента за концентрация и реакция, ето защо представлява</w:t>
      </w:r>
    </w:p>
    <w:p w14:paraId="392230F3" w14:textId="77777777" w:rsidR="0067056B" w:rsidRPr="0067056B" w:rsidRDefault="0067056B" w:rsidP="0067056B">
      <w:pPr>
        <w:rPr>
          <w:sz w:val="24"/>
          <w:szCs w:val="24"/>
        </w:rPr>
      </w:pPr>
      <w:r w:rsidRPr="0067056B">
        <w:rPr>
          <w:lang w:eastAsia="bg-BG"/>
        </w:rPr>
        <w:t>риск в ситуации, при които тези способности са от особено значение (напр. шофиране и работа с машини).</w:t>
      </w:r>
    </w:p>
    <w:p w14:paraId="63820518" w14:textId="32BEB272" w:rsidR="0067056B" w:rsidRDefault="0067056B" w:rsidP="0067056B">
      <w:pPr>
        <w:rPr>
          <w:lang w:eastAsia="bg-BG"/>
        </w:rPr>
      </w:pPr>
      <w:r w:rsidRPr="0067056B">
        <w:rPr>
          <w:lang w:eastAsia="bg-BG"/>
        </w:rPr>
        <w:t>Това може да се случи особено при начало на лечението или при преминаване от други продукти. След първата доза или последващо повишаване на дозата не е препоръчително шофиране или работа с машини за няколко часа.</w:t>
      </w:r>
    </w:p>
    <w:p w14:paraId="58D091C2" w14:textId="77777777" w:rsidR="0067056B" w:rsidRPr="0067056B" w:rsidRDefault="0067056B" w:rsidP="0067056B"/>
    <w:p w14:paraId="44CE30A3" w14:textId="5474B137" w:rsidR="007122AD" w:rsidRDefault="002C50EE" w:rsidP="00936AD0">
      <w:pPr>
        <w:pStyle w:val="Heading2"/>
      </w:pPr>
      <w:r>
        <w:t>4.8. Нежелани лекарствени реакции</w:t>
      </w:r>
    </w:p>
    <w:p w14:paraId="1BBF80D8" w14:textId="1CBEAD98" w:rsidR="0067056B" w:rsidRDefault="0067056B" w:rsidP="0067056B"/>
    <w:p w14:paraId="0688B8F6" w14:textId="77777777"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Обошение на профила на безопасност</w:t>
      </w:r>
    </w:p>
    <w:p w14:paraId="4DD770BE"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Профилът на безопасност на рамиприл + хидрохлоротиазид включва нежелани лекарствени реакции, проявяващи се във връзка с хипотония и/или с намаляване на телесните течности поради повишена диуреза.</w:t>
      </w:r>
    </w:p>
    <w:p w14:paraId="5D0D1777"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Активното вещество рамиприл може да причини упорита суха кашлица, докато активното вещество хдрохлоротиазид може да доведе до влошаване метаболизма на глюкозата, липидите и пикочната киселина.</w:t>
      </w:r>
    </w:p>
    <w:p w14:paraId="5A4A2664"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Двете активни вещества имат противоположни ефекти върху плазмения калий.</w:t>
      </w:r>
    </w:p>
    <w:p w14:paraId="69AFB553"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Сериозните нежелани лекарствени реакции включват ангиоедем или анафилактична реакция, бъбречно или чернодробно увреждане, панкреатит, тежки кожни реакции и неутропения/агранулоцитоза.</w:t>
      </w:r>
    </w:p>
    <w:p w14:paraId="498A4DB5" w14:textId="77777777" w:rsidR="0067056B" w:rsidRPr="0067056B" w:rsidRDefault="0067056B" w:rsidP="0067056B">
      <w:pPr>
        <w:spacing w:line="240" w:lineRule="auto"/>
        <w:rPr>
          <w:rFonts w:eastAsia="Times New Roman" w:cs="Arial"/>
          <w:i/>
          <w:iCs/>
          <w:color w:val="000000"/>
          <w:u w:val="single"/>
          <w:lang w:eastAsia="bg-BG"/>
        </w:rPr>
      </w:pPr>
    </w:p>
    <w:p w14:paraId="14CC19AE" w14:textId="753D3E42" w:rsidR="0067056B" w:rsidRPr="0067056B" w:rsidRDefault="0067056B" w:rsidP="0067056B">
      <w:pPr>
        <w:spacing w:line="240" w:lineRule="auto"/>
        <w:rPr>
          <w:rFonts w:eastAsia="Times New Roman" w:cs="Arial"/>
        </w:rPr>
      </w:pPr>
      <w:r w:rsidRPr="0067056B">
        <w:rPr>
          <w:rFonts w:eastAsia="Times New Roman" w:cs="Arial"/>
          <w:i/>
          <w:iCs/>
          <w:color w:val="000000"/>
          <w:u w:val="single"/>
          <w:lang w:eastAsia="bg-BG"/>
        </w:rPr>
        <w:t>Табличен списък на нежеланите реакции</w:t>
      </w:r>
    </w:p>
    <w:p w14:paraId="31B59269" w14:textId="77777777" w:rsidR="0067056B" w:rsidRPr="0067056B" w:rsidRDefault="0067056B" w:rsidP="0067056B">
      <w:pPr>
        <w:spacing w:line="240" w:lineRule="auto"/>
        <w:rPr>
          <w:rFonts w:eastAsia="Times New Roman" w:cs="Arial"/>
          <w:color w:val="000000"/>
          <w:lang w:eastAsia="bg-BG"/>
        </w:rPr>
      </w:pPr>
    </w:p>
    <w:p w14:paraId="7501EA98" w14:textId="59D3E99A" w:rsidR="0067056B" w:rsidRPr="0067056B" w:rsidRDefault="0067056B" w:rsidP="0067056B">
      <w:pPr>
        <w:spacing w:line="240" w:lineRule="auto"/>
        <w:rPr>
          <w:rFonts w:eastAsia="Times New Roman" w:cs="Arial"/>
        </w:rPr>
      </w:pPr>
      <w:r w:rsidRPr="0067056B">
        <w:rPr>
          <w:rFonts w:eastAsia="Times New Roman" w:cs="Arial"/>
          <w:color w:val="000000"/>
          <w:lang w:eastAsia="bg-BG"/>
        </w:rPr>
        <w:t>Честотата на нежеланите реакции се определя, чрез използване на следната конвенция:</w:t>
      </w:r>
    </w:p>
    <w:p w14:paraId="6591C6DF"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Много чести (≥1/10); чести (≥ 1/100 до &lt;1/10); нечести (≥ 1/1 000 до &lt; 1/100); редки (≥1/10 000 до &lt; 1/1 000); много редки (&lt; 1/10 000), с неизвестна честота (от наличните данни не може да бъде направена оценка).</w:t>
      </w:r>
    </w:p>
    <w:p w14:paraId="345A203D" w14:textId="77777777" w:rsidR="0067056B" w:rsidRPr="0067056B" w:rsidRDefault="0067056B" w:rsidP="0067056B">
      <w:pPr>
        <w:spacing w:line="240" w:lineRule="auto"/>
        <w:rPr>
          <w:rFonts w:eastAsia="Times New Roman" w:cs="Arial"/>
          <w:color w:val="000000"/>
          <w:lang w:eastAsia="bg-BG"/>
        </w:rPr>
      </w:pPr>
    </w:p>
    <w:p w14:paraId="24874A61" w14:textId="1DBE9B57" w:rsidR="0067056B" w:rsidRPr="0067056B" w:rsidRDefault="0067056B" w:rsidP="0067056B">
      <w:pPr>
        <w:spacing w:line="240" w:lineRule="auto"/>
        <w:rPr>
          <w:rFonts w:eastAsia="Times New Roman" w:cs="Arial"/>
          <w:lang w:val="en-US"/>
        </w:rPr>
      </w:pPr>
      <w:r w:rsidRPr="0067056B">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5A1672DD" w14:textId="3040604B" w:rsidR="0067056B" w:rsidRDefault="0067056B" w:rsidP="0067056B"/>
    <w:tbl>
      <w:tblPr>
        <w:tblStyle w:val="TableGrid"/>
        <w:tblW w:w="0" w:type="auto"/>
        <w:tblLook w:val="04A0" w:firstRow="1" w:lastRow="0" w:firstColumn="1" w:lastColumn="0" w:noHBand="0" w:noVBand="1"/>
      </w:tblPr>
      <w:tblGrid>
        <w:gridCol w:w="2182"/>
        <w:gridCol w:w="1886"/>
        <w:gridCol w:w="1931"/>
        <w:gridCol w:w="1231"/>
        <w:gridCol w:w="2120"/>
      </w:tblGrid>
      <w:tr w:rsidR="0067056B" w14:paraId="7F7DA3B1" w14:textId="77777777" w:rsidTr="0067056B">
        <w:tc>
          <w:tcPr>
            <w:tcW w:w="2095" w:type="dxa"/>
          </w:tcPr>
          <w:p w14:paraId="10E446C5" w14:textId="77777777" w:rsidR="0067056B" w:rsidRPr="0067056B" w:rsidRDefault="0067056B" w:rsidP="0067056B"/>
        </w:tc>
        <w:tc>
          <w:tcPr>
            <w:tcW w:w="1969" w:type="dxa"/>
          </w:tcPr>
          <w:p w14:paraId="207BC085" w14:textId="08519713" w:rsidR="0067056B" w:rsidRPr="0067056B" w:rsidRDefault="0067056B" w:rsidP="0067056B">
            <w:r w:rsidRPr="0067056B">
              <w:t>Чести</w:t>
            </w:r>
          </w:p>
        </w:tc>
        <w:tc>
          <w:tcPr>
            <w:tcW w:w="2016" w:type="dxa"/>
          </w:tcPr>
          <w:p w14:paraId="4695845A" w14:textId="3D1D6581" w:rsidR="0067056B" w:rsidRPr="0067056B" w:rsidRDefault="0067056B" w:rsidP="0067056B">
            <w:r w:rsidRPr="0067056B">
              <w:t>Нечести</w:t>
            </w:r>
          </w:p>
        </w:tc>
        <w:tc>
          <w:tcPr>
            <w:tcW w:w="1281" w:type="dxa"/>
          </w:tcPr>
          <w:p w14:paraId="710356BF" w14:textId="2BCBE925" w:rsidR="0067056B" w:rsidRPr="0067056B" w:rsidRDefault="0067056B" w:rsidP="0067056B">
            <w:r w:rsidRPr="0067056B">
              <w:t>Много редки</w:t>
            </w:r>
          </w:p>
        </w:tc>
        <w:tc>
          <w:tcPr>
            <w:tcW w:w="2215" w:type="dxa"/>
          </w:tcPr>
          <w:p w14:paraId="2823C65D" w14:textId="48BBFDC4" w:rsidR="0067056B" w:rsidRPr="0067056B" w:rsidRDefault="0067056B" w:rsidP="0067056B">
            <w:r w:rsidRPr="0067056B">
              <w:t>С неизвестна честота</w:t>
            </w:r>
          </w:p>
        </w:tc>
      </w:tr>
      <w:tr w:rsidR="0067056B" w14:paraId="46DF2DA8" w14:textId="77777777" w:rsidTr="0067056B">
        <w:tc>
          <w:tcPr>
            <w:tcW w:w="2095" w:type="dxa"/>
          </w:tcPr>
          <w:p w14:paraId="11FDA933" w14:textId="6F03336C" w:rsidR="0067056B" w:rsidRPr="0067056B" w:rsidRDefault="0067056B" w:rsidP="0067056B">
            <w:r w:rsidRPr="0067056B">
              <w:rPr>
                <w:i/>
                <w:iCs/>
                <w:u w:val="single"/>
              </w:rPr>
              <w:t xml:space="preserve">Нарушения на кръвта и </w:t>
            </w:r>
            <w:r w:rsidRPr="0067056B">
              <w:rPr>
                <w:i/>
                <w:iCs/>
                <w:u w:val="single"/>
              </w:rPr>
              <w:lastRenderedPageBreak/>
              <w:t>лимфната система</w:t>
            </w:r>
          </w:p>
        </w:tc>
        <w:tc>
          <w:tcPr>
            <w:tcW w:w="1969" w:type="dxa"/>
          </w:tcPr>
          <w:p w14:paraId="4B50D295" w14:textId="77777777" w:rsidR="0067056B" w:rsidRPr="0067056B" w:rsidRDefault="0067056B" w:rsidP="0067056B"/>
        </w:tc>
        <w:tc>
          <w:tcPr>
            <w:tcW w:w="2016" w:type="dxa"/>
          </w:tcPr>
          <w:p w14:paraId="76AB7BC9" w14:textId="68D8B3AA" w:rsidR="0067056B" w:rsidRPr="0067056B" w:rsidRDefault="0067056B" w:rsidP="0067056B">
            <w:r w:rsidRPr="0067056B">
              <w:t xml:space="preserve">Понижен брой на белите </w:t>
            </w:r>
            <w:r w:rsidRPr="0067056B">
              <w:lastRenderedPageBreak/>
              <w:t>кръвни клетки, понижен брой червени кръвни клетки, намален хемоглобин, хемолитична анемия, намален брой тромбоцити</w:t>
            </w:r>
          </w:p>
        </w:tc>
        <w:tc>
          <w:tcPr>
            <w:tcW w:w="1281" w:type="dxa"/>
          </w:tcPr>
          <w:p w14:paraId="2BB8D02C" w14:textId="77777777" w:rsidR="0067056B" w:rsidRPr="0067056B" w:rsidRDefault="0067056B" w:rsidP="0067056B"/>
        </w:tc>
        <w:tc>
          <w:tcPr>
            <w:tcW w:w="2215" w:type="dxa"/>
          </w:tcPr>
          <w:p w14:paraId="6C16EF17" w14:textId="5C715D4B" w:rsidR="0067056B" w:rsidRPr="0067056B" w:rsidRDefault="0067056B" w:rsidP="0067056B">
            <w:r w:rsidRPr="0067056B">
              <w:t xml:space="preserve">Костно- мозъчна супресия, </w:t>
            </w:r>
            <w:r w:rsidRPr="0067056B">
              <w:lastRenderedPageBreak/>
              <w:t>неутропения, влючително агранулоцитоза, панцитопения, еозинофилия, хемоконцентрация , свързана с намаляване на телесни течности</w:t>
            </w:r>
          </w:p>
        </w:tc>
      </w:tr>
      <w:tr w:rsidR="0067056B" w14:paraId="3F2D326B" w14:textId="77777777" w:rsidTr="0067056B">
        <w:tc>
          <w:tcPr>
            <w:tcW w:w="2095" w:type="dxa"/>
          </w:tcPr>
          <w:p w14:paraId="7AE759DF" w14:textId="0414EC9A" w:rsidR="0067056B" w:rsidRPr="0067056B" w:rsidRDefault="0067056B" w:rsidP="0067056B">
            <w:r w:rsidRPr="0067056B">
              <w:rPr>
                <w:i/>
                <w:iCs/>
                <w:u w:val="single"/>
              </w:rPr>
              <w:lastRenderedPageBreak/>
              <w:t>Нарушения на имунната система</w:t>
            </w:r>
          </w:p>
        </w:tc>
        <w:tc>
          <w:tcPr>
            <w:tcW w:w="1969" w:type="dxa"/>
          </w:tcPr>
          <w:p w14:paraId="186FCA08" w14:textId="77777777" w:rsidR="0067056B" w:rsidRPr="0067056B" w:rsidRDefault="0067056B" w:rsidP="0067056B"/>
        </w:tc>
        <w:tc>
          <w:tcPr>
            <w:tcW w:w="2016" w:type="dxa"/>
          </w:tcPr>
          <w:p w14:paraId="13A65EDD" w14:textId="77777777" w:rsidR="0067056B" w:rsidRPr="0067056B" w:rsidRDefault="0067056B" w:rsidP="0067056B"/>
        </w:tc>
        <w:tc>
          <w:tcPr>
            <w:tcW w:w="1281" w:type="dxa"/>
          </w:tcPr>
          <w:p w14:paraId="70920279" w14:textId="77777777" w:rsidR="0067056B" w:rsidRPr="0067056B" w:rsidRDefault="0067056B" w:rsidP="0067056B"/>
        </w:tc>
        <w:tc>
          <w:tcPr>
            <w:tcW w:w="2215" w:type="dxa"/>
          </w:tcPr>
          <w:p w14:paraId="2C75D305" w14:textId="31C58811" w:rsidR="0067056B" w:rsidRPr="0067056B" w:rsidRDefault="0067056B" w:rsidP="0067056B">
            <w:r w:rsidRPr="0067056B">
              <w:t>Анафилактични или анафилактоидни реакции, свързани както с рамиприл, така и с хидрохлоротиазид , повишени антинуклеарни антитела</w:t>
            </w:r>
          </w:p>
        </w:tc>
      </w:tr>
      <w:tr w:rsidR="0067056B" w14:paraId="39A83B4E" w14:textId="77777777" w:rsidTr="0067056B">
        <w:tc>
          <w:tcPr>
            <w:tcW w:w="2095" w:type="dxa"/>
          </w:tcPr>
          <w:p w14:paraId="43F41746" w14:textId="0201CFE4" w:rsidR="0067056B" w:rsidRPr="0067056B" w:rsidRDefault="0067056B" w:rsidP="0067056B">
            <w:r w:rsidRPr="0067056B">
              <w:rPr>
                <w:i/>
                <w:iCs/>
                <w:u w:val="single"/>
              </w:rPr>
              <w:t>Нарушения на ендокринната система</w:t>
            </w:r>
          </w:p>
        </w:tc>
        <w:tc>
          <w:tcPr>
            <w:tcW w:w="1969" w:type="dxa"/>
          </w:tcPr>
          <w:p w14:paraId="062DC18F" w14:textId="77777777" w:rsidR="0067056B" w:rsidRPr="0067056B" w:rsidRDefault="0067056B" w:rsidP="0067056B"/>
        </w:tc>
        <w:tc>
          <w:tcPr>
            <w:tcW w:w="2016" w:type="dxa"/>
          </w:tcPr>
          <w:p w14:paraId="2467385C" w14:textId="77777777" w:rsidR="0067056B" w:rsidRPr="0067056B" w:rsidRDefault="0067056B" w:rsidP="0067056B"/>
        </w:tc>
        <w:tc>
          <w:tcPr>
            <w:tcW w:w="1281" w:type="dxa"/>
          </w:tcPr>
          <w:p w14:paraId="26E9D7BF" w14:textId="77777777" w:rsidR="0067056B" w:rsidRPr="0067056B" w:rsidRDefault="0067056B" w:rsidP="0067056B"/>
        </w:tc>
        <w:tc>
          <w:tcPr>
            <w:tcW w:w="2215" w:type="dxa"/>
          </w:tcPr>
          <w:p w14:paraId="7406884F" w14:textId="1A911DE5" w:rsidR="0067056B" w:rsidRPr="0067056B" w:rsidRDefault="0067056B" w:rsidP="0067056B">
            <w:r w:rsidRPr="0067056B">
              <w:t xml:space="preserve">Синдром на неадекватната секреция на антидиуретичен хормон </w:t>
            </w:r>
            <w:r w:rsidRPr="0067056B">
              <w:rPr>
                <w:lang w:val="ru-RU"/>
              </w:rPr>
              <w:t>(</w:t>
            </w:r>
            <w:r w:rsidRPr="0067056B">
              <w:rPr>
                <w:lang w:val="en-US"/>
              </w:rPr>
              <w:t>SIADH</w:t>
            </w:r>
            <w:r w:rsidRPr="0067056B">
              <w:rPr>
                <w:lang w:val="ru-RU"/>
              </w:rPr>
              <w:t>)</w:t>
            </w:r>
          </w:p>
        </w:tc>
      </w:tr>
      <w:tr w:rsidR="0067056B" w14:paraId="76E2184B" w14:textId="77777777" w:rsidTr="0067056B">
        <w:tc>
          <w:tcPr>
            <w:tcW w:w="2095" w:type="dxa"/>
          </w:tcPr>
          <w:p w14:paraId="4C349948" w14:textId="77777777" w:rsidR="0067056B" w:rsidRPr="0067056B" w:rsidRDefault="0067056B" w:rsidP="0067056B">
            <w:r w:rsidRPr="0067056B">
              <w:rPr>
                <w:i/>
                <w:iCs/>
                <w:u w:val="single"/>
              </w:rPr>
              <w:t>Нарушения на метаболизма и</w:t>
            </w:r>
          </w:p>
          <w:p w14:paraId="05F7FBE0" w14:textId="18E94DC1" w:rsidR="0067056B" w:rsidRPr="0067056B" w:rsidRDefault="0067056B" w:rsidP="0067056B">
            <w:r w:rsidRPr="0067056B">
              <w:rPr>
                <w:i/>
                <w:iCs/>
                <w:u w:val="single"/>
              </w:rPr>
              <w:t>храненето</w:t>
            </w:r>
          </w:p>
        </w:tc>
        <w:tc>
          <w:tcPr>
            <w:tcW w:w="1969" w:type="dxa"/>
          </w:tcPr>
          <w:p w14:paraId="71540F04" w14:textId="47A1839C" w:rsidR="0067056B" w:rsidRPr="0067056B" w:rsidRDefault="0067056B" w:rsidP="0067056B">
            <w:pPr>
              <w:rPr>
                <w:rFonts w:eastAsia="Times New Roman" w:cs="Arial"/>
              </w:rPr>
            </w:pPr>
            <w:r w:rsidRPr="0067056B">
              <w:rPr>
                <w:rFonts w:cs="Arial"/>
              </w:rPr>
              <w:t xml:space="preserve">Недобре контролиран захарен диабет, намален глюкозен толеранс, </w:t>
            </w:r>
            <w:r w:rsidRPr="0067056B">
              <w:rPr>
                <w:rFonts w:eastAsia="Times New Roman" w:cs="Arial"/>
                <w:color w:val="000000"/>
                <w:lang w:eastAsia="bg-BG"/>
              </w:rPr>
              <w:t>повишено ниво на кръвната захар, повишено ниво на пикочната киселина в кръвта, обострена подагра, повишени кръвни нива на холестерола и/ или</w:t>
            </w:r>
          </w:p>
          <w:p w14:paraId="40D10ED4"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триглицеридите поради</w:t>
            </w:r>
          </w:p>
          <w:p w14:paraId="1586805E" w14:textId="104FA18F" w:rsidR="0067056B" w:rsidRPr="0067056B" w:rsidRDefault="0067056B" w:rsidP="0067056B">
            <w:pPr>
              <w:spacing w:line="240" w:lineRule="auto"/>
              <w:rPr>
                <w:rFonts w:eastAsia="Times New Roman" w:cs="Arial"/>
              </w:rPr>
            </w:pPr>
            <w:r w:rsidRPr="0067056B">
              <w:rPr>
                <w:rFonts w:eastAsia="Times New Roman" w:cs="Arial"/>
                <w:color w:val="000000"/>
                <w:lang w:eastAsia="bg-BG"/>
              </w:rPr>
              <w:t>хидрохлоротиази да</w:t>
            </w:r>
          </w:p>
        </w:tc>
        <w:tc>
          <w:tcPr>
            <w:tcW w:w="2016" w:type="dxa"/>
          </w:tcPr>
          <w:p w14:paraId="677823CD" w14:textId="77777777" w:rsidR="0067056B" w:rsidRPr="0067056B" w:rsidRDefault="0067056B" w:rsidP="0067056B">
            <w:r w:rsidRPr="0067056B">
              <w:t>Анорексия, понижен апетит</w:t>
            </w:r>
          </w:p>
          <w:p w14:paraId="151F8238" w14:textId="77777777" w:rsidR="0067056B" w:rsidRDefault="0067056B" w:rsidP="0067056B">
            <w:r w:rsidRPr="0067056B">
              <w:t>Намален калий в кръвта, жажда поради</w:t>
            </w:r>
          </w:p>
          <w:p w14:paraId="63F74E45" w14:textId="40C84D17" w:rsidR="0067056B" w:rsidRPr="0067056B" w:rsidRDefault="0067056B" w:rsidP="0067056B">
            <w:pPr>
              <w:rPr>
                <w:sz w:val="24"/>
                <w:szCs w:val="24"/>
              </w:rPr>
            </w:pPr>
            <w:r w:rsidRPr="0067056B">
              <w:rPr>
                <w:lang w:eastAsia="bg-BG"/>
              </w:rPr>
              <w:t>хидрохлоротиази да</w:t>
            </w:r>
          </w:p>
        </w:tc>
        <w:tc>
          <w:tcPr>
            <w:tcW w:w="1281" w:type="dxa"/>
          </w:tcPr>
          <w:p w14:paraId="218288C8" w14:textId="00137919" w:rsidR="0067056B" w:rsidRPr="0067056B" w:rsidRDefault="0067056B" w:rsidP="0067056B">
            <w:r w:rsidRPr="0067056B">
              <w:t>Повишено ниво на калий в кръвта поради рамиприл</w:t>
            </w:r>
          </w:p>
        </w:tc>
        <w:tc>
          <w:tcPr>
            <w:tcW w:w="2215" w:type="dxa"/>
          </w:tcPr>
          <w:p w14:paraId="0619622B" w14:textId="77777777" w:rsidR="0067056B" w:rsidRPr="0067056B" w:rsidRDefault="0067056B" w:rsidP="0067056B">
            <w:r w:rsidRPr="0067056B">
              <w:t>Понижено ниво на</w:t>
            </w:r>
          </w:p>
          <w:p w14:paraId="16D7B3F0" w14:textId="77777777" w:rsidR="0067056B" w:rsidRPr="0067056B" w:rsidRDefault="0067056B" w:rsidP="0067056B">
            <w:r w:rsidRPr="0067056B">
              <w:t>натрия в кръвта</w:t>
            </w:r>
          </w:p>
          <w:p w14:paraId="6C1EB4AD" w14:textId="77777777" w:rsidR="0067056B" w:rsidRPr="0067056B" w:rsidRDefault="0067056B" w:rsidP="0067056B">
            <w:r w:rsidRPr="0067056B">
              <w:t>Глюкозурия,</w:t>
            </w:r>
          </w:p>
          <w:p w14:paraId="71064B39" w14:textId="77777777" w:rsidR="0067056B" w:rsidRPr="0067056B" w:rsidRDefault="0067056B" w:rsidP="0067056B">
            <w:r w:rsidRPr="0067056B">
              <w:t>метаболична</w:t>
            </w:r>
          </w:p>
          <w:p w14:paraId="27C620B9" w14:textId="1EF36A9F" w:rsidR="0067056B" w:rsidRPr="0067056B" w:rsidRDefault="0067056B" w:rsidP="0067056B">
            <w:pPr>
              <w:rPr>
                <w:rFonts w:ascii="Times New Roman" w:eastAsia="Times New Roman" w:hAnsi="Times New Roman" w:cs="Times New Roman"/>
                <w:sz w:val="24"/>
                <w:szCs w:val="24"/>
              </w:rPr>
            </w:pPr>
            <w:r w:rsidRPr="0067056B">
              <w:t>алкалоза</w:t>
            </w:r>
            <w:r w:rsidRPr="0067056B">
              <w:rPr>
                <w:lang w:val="ru-RU"/>
              </w:rPr>
              <w:t xml:space="preserve"> </w:t>
            </w:r>
            <w:r w:rsidRPr="0067056B">
              <w:rPr>
                <w:lang w:eastAsia="bg-BG"/>
              </w:rPr>
              <w:t>хипохлоремия, хипомагнезиемия, хиперкалциемия, дехидратация поради хидрохлоротиазид а</w:t>
            </w:r>
          </w:p>
        </w:tc>
      </w:tr>
      <w:tr w:rsidR="0067056B" w14:paraId="0950A4A6" w14:textId="77777777" w:rsidTr="0067056B">
        <w:tc>
          <w:tcPr>
            <w:tcW w:w="2095" w:type="dxa"/>
          </w:tcPr>
          <w:p w14:paraId="5ACAF333" w14:textId="05AEADE1" w:rsidR="0067056B" w:rsidRPr="0067056B" w:rsidRDefault="0067056B" w:rsidP="0067056B">
            <w:r w:rsidRPr="0067056B">
              <w:rPr>
                <w:i/>
                <w:iCs/>
                <w:u w:val="single"/>
              </w:rPr>
              <w:lastRenderedPageBreak/>
              <w:t>Психични нарушения</w:t>
            </w:r>
          </w:p>
        </w:tc>
        <w:tc>
          <w:tcPr>
            <w:tcW w:w="1969" w:type="dxa"/>
          </w:tcPr>
          <w:p w14:paraId="36E0D268" w14:textId="77777777" w:rsidR="0067056B" w:rsidRPr="0067056B" w:rsidRDefault="0067056B" w:rsidP="0067056B"/>
        </w:tc>
        <w:tc>
          <w:tcPr>
            <w:tcW w:w="2016" w:type="dxa"/>
            <w:vAlign w:val="bottom"/>
          </w:tcPr>
          <w:p w14:paraId="69F4A251" w14:textId="195154A0" w:rsidR="0067056B" w:rsidRPr="0067056B" w:rsidRDefault="0067056B" w:rsidP="0067056B">
            <w:r w:rsidRPr="0067056B">
              <w:t>Понижено настроение, апатия, тревожност, нервност, нарушение на съня, включително сънливост</w:t>
            </w:r>
          </w:p>
        </w:tc>
        <w:tc>
          <w:tcPr>
            <w:tcW w:w="1281" w:type="dxa"/>
          </w:tcPr>
          <w:p w14:paraId="6903E2A7" w14:textId="77777777" w:rsidR="0067056B" w:rsidRPr="0067056B" w:rsidRDefault="0067056B" w:rsidP="0067056B"/>
        </w:tc>
        <w:tc>
          <w:tcPr>
            <w:tcW w:w="2215" w:type="dxa"/>
          </w:tcPr>
          <w:p w14:paraId="551B09B7" w14:textId="60284754" w:rsidR="0067056B" w:rsidRPr="0067056B" w:rsidRDefault="0067056B" w:rsidP="0067056B">
            <w:r w:rsidRPr="0067056B">
              <w:t>Състояние на обърканост, безпокойство, нарушено внимание</w:t>
            </w:r>
          </w:p>
        </w:tc>
      </w:tr>
      <w:tr w:rsidR="0067056B" w14:paraId="44350767" w14:textId="77777777" w:rsidTr="0067056B">
        <w:tc>
          <w:tcPr>
            <w:tcW w:w="2095" w:type="dxa"/>
          </w:tcPr>
          <w:p w14:paraId="75C92EBF" w14:textId="04454D1E" w:rsidR="0067056B" w:rsidRPr="0067056B" w:rsidRDefault="0067056B" w:rsidP="0067056B">
            <w:r w:rsidRPr="0067056B">
              <w:rPr>
                <w:i/>
                <w:iCs/>
                <w:u w:val="single"/>
              </w:rPr>
              <w:t>Нарушения на нервната система</w:t>
            </w:r>
          </w:p>
        </w:tc>
        <w:tc>
          <w:tcPr>
            <w:tcW w:w="1969" w:type="dxa"/>
          </w:tcPr>
          <w:p w14:paraId="4213494D" w14:textId="71AC2514" w:rsidR="0067056B" w:rsidRPr="0067056B" w:rsidRDefault="0067056B" w:rsidP="0067056B">
            <w:r w:rsidRPr="0067056B">
              <w:t>Главоболие, замайване</w:t>
            </w:r>
          </w:p>
        </w:tc>
        <w:tc>
          <w:tcPr>
            <w:tcW w:w="2016" w:type="dxa"/>
            <w:vAlign w:val="bottom"/>
          </w:tcPr>
          <w:p w14:paraId="78EFE8CF" w14:textId="74175E68" w:rsidR="0067056B" w:rsidRPr="0067056B" w:rsidRDefault="0067056B" w:rsidP="0067056B">
            <w:r w:rsidRPr="0067056B">
              <w:t>Световъртеж, парестезия, тремор, нарушено равновесие, усещане за парене, дисгеузия, агеузия</w:t>
            </w:r>
          </w:p>
        </w:tc>
        <w:tc>
          <w:tcPr>
            <w:tcW w:w="1281" w:type="dxa"/>
          </w:tcPr>
          <w:p w14:paraId="26C3453C" w14:textId="77777777" w:rsidR="0067056B" w:rsidRPr="0067056B" w:rsidRDefault="0067056B" w:rsidP="0067056B"/>
        </w:tc>
        <w:tc>
          <w:tcPr>
            <w:tcW w:w="2215" w:type="dxa"/>
          </w:tcPr>
          <w:p w14:paraId="2C43E856" w14:textId="3F8DBC95" w:rsidR="0067056B" w:rsidRPr="0067056B" w:rsidRDefault="0067056B" w:rsidP="0067056B">
            <w:r w:rsidRPr="0067056B">
              <w:t>Мозъчна исхемия, включително исхемичен инсулт и транзиторна исхемична атака, психомоторни нарушения, паросмия</w:t>
            </w:r>
          </w:p>
        </w:tc>
      </w:tr>
      <w:tr w:rsidR="0067056B" w14:paraId="308DDC16" w14:textId="77777777" w:rsidTr="0067056B">
        <w:tc>
          <w:tcPr>
            <w:tcW w:w="2095" w:type="dxa"/>
          </w:tcPr>
          <w:p w14:paraId="4169E44B" w14:textId="3B888342" w:rsidR="0067056B" w:rsidRPr="0067056B" w:rsidRDefault="0067056B" w:rsidP="0067056B">
            <w:r w:rsidRPr="0067056B">
              <w:rPr>
                <w:i/>
                <w:iCs/>
                <w:u w:val="single"/>
              </w:rPr>
              <w:t>Нарушения на очите</w:t>
            </w:r>
          </w:p>
        </w:tc>
        <w:tc>
          <w:tcPr>
            <w:tcW w:w="1969" w:type="dxa"/>
          </w:tcPr>
          <w:p w14:paraId="1667DDFA" w14:textId="77777777" w:rsidR="0067056B" w:rsidRPr="0067056B" w:rsidRDefault="0067056B" w:rsidP="0067056B"/>
        </w:tc>
        <w:tc>
          <w:tcPr>
            <w:tcW w:w="2016" w:type="dxa"/>
          </w:tcPr>
          <w:p w14:paraId="29BB734C" w14:textId="7F2060BA" w:rsidR="0067056B" w:rsidRPr="0067056B" w:rsidRDefault="0067056B" w:rsidP="0067056B">
            <w:r w:rsidRPr="0067056B">
              <w:t>Зрителни смущения, включително замъглено виждане, конюкгивит</w:t>
            </w:r>
          </w:p>
        </w:tc>
        <w:tc>
          <w:tcPr>
            <w:tcW w:w="1281" w:type="dxa"/>
          </w:tcPr>
          <w:p w14:paraId="1742FC49" w14:textId="77777777" w:rsidR="0067056B" w:rsidRPr="0067056B" w:rsidRDefault="0067056B" w:rsidP="0067056B"/>
        </w:tc>
        <w:tc>
          <w:tcPr>
            <w:tcW w:w="2215" w:type="dxa"/>
          </w:tcPr>
          <w:p w14:paraId="182BB30A" w14:textId="77777777" w:rsidR="0067056B" w:rsidRPr="0067056B" w:rsidRDefault="0067056B" w:rsidP="0067056B">
            <w:r w:rsidRPr="0067056B">
              <w:t>Ксантопсия, намалена лакримация поради хидрохлоротиазид</w:t>
            </w:r>
          </w:p>
          <w:p w14:paraId="5F8036A9" w14:textId="77777777" w:rsidR="0067056B" w:rsidRPr="0067056B" w:rsidRDefault="0067056B" w:rsidP="0067056B">
            <w:r w:rsidRPr="0067056B">
              <w:t>5</w:t>
            </w:r>
          </w:p>
          <w:p w14:paraId="7FD52F8B" w14:textId="54BDDBCB" w:rsidR="0067056B" w:rsidRPr="0067056B" w:rsidRDefault="0067056B" w:rsidP="0067056B">
            <w:r w:rsidRPr="0067056B">
              <w:t>Хороидален излив, остра закритоъгълна глаукома поради хидрохлоротиазид</w:t>
            </w:r>
          </w:p>
        </w:tc>
      </w:tr>
      <w:tr w:rsidR="0067056B" w14:paraId="345ED7CA" w14:textId="77777777" w:rsidTr="0067056B">
        <w:tc>
          <w:tcPr>
            <w:tcW w:w="2095" w:type="dxa"/>
            <w:vAlign w:val="bottom"/>
          </w:tcPr>
          <w:p w14:paraId="4D4103BF" w14:textId="12A5D1E4" w:rsidR="0067056B" w:rsidRPr="0067056B" w:rsidRDefault="0067056B" w:rsidP="0067056B">
            <w:r w:rsidRPr="0067056B">
              <w:rPr>
                <w:i/>
                <w:iCs/>
                <w:u w:val="single"/>
              </w:rPr>
              <w:t>Нарушения на ухото и лабиринта</w:t>
            </w:r>
          </w:p>
        </w:tc>
        <w:tc>
          <w:tcPr>
            <w:tcW w:w="1969" w:type="dxa"/>
          </w:tcPr>
          <w:p w14:paraId="5239825D" w14:textId="77777777" w:rsidR="0067056B" w:rsidRPr="0067056B" w:rsidRDefault="0067056B" w:rsidP="0067056B"/>
        </w:tc>
        <w:tc>
          <w:tcPr>
            <w:tcW w:w="2016" w:type="dxa"/>
          </w:tcPr>
          <w:p w14:paraId="034B0AAC" w14:textId="7E71D4D1" w:rsidR="0067056B" w:rsidRPr="0067056B" w:rsidRDefault="0067056B" w:rsidP="0067056B">
            <w:r w:rsidRPr="0067056B">
              <w:t>Тинитус</w:t>
            </w:r>
          </w:p>
        </w:tc>
        <w:tc>
          <w:tcPr>
            <w:tcW w:w="1281" w:type="dxa"/>
          </w:tcPr>
          <w:p w14:paraId="70E516A3" w14:textId="77777777" w:rsidR="0067056B" w:rsidRPr="0067056B" w:rsidRDefault="0067056B" w:rsidP="0067056B"/>
        </w:tc>
        <w:tc>
          <w:tcPr>
            <w:tcW w:w="2215" w:type="dxa"/>
            <w:vAlign w:val="bottom"/>
          </w:tcPr>
          <w:p w14:paraId="1FA2673A" w14:textId="6FFE5095" w:rsidR="0067056B" w:rsidRPr="0067056B" w:rsidRDefault="0067056B" w:rsidP="0067056B">
            <w:r w:rsidRPr="0067056B">
              <w:t>Увреждане на слуха</w:t>
            </w:r>
          </w:p>
        </w:tc>
      </w:tr>
      <w:tr w:rsidR="0067056B" w14:paraId="74ED518F" w14:textId="77777777" w:rsidTr="0067056B">
        <w:tc>
          <w:tcPr>
            <w:tcW w:w="2095" w:type="dxa"/>
          </w:tcPr>
          <w:p w14:paraId="3589314E" w14:textId="0A664B4F" w:rsidR="0067056B" w:rsidRPr="0067056B" w:rsidRDefault="0067056B" w:rsidP="0067056B">
            <w:r w:rsidRPr="0067056B">
              <w:rPr>
                <w:i/>
                <w:iCs/>
                <w:u w:val="single"/>
              </w:rPr>
              <w:t>Сърдечни нарушения</w:t>
            </w:r>
          </w:p>
        </w:tc>
        <w:tc>
          <w:tcPr>
            <w:tcW w:w="1969" w:type="dxa"/>
          </w:tcPr>
          <w:p w14:paraId="6B355DC4" w14:textId="77777777" w:rsidR="0067056B" w:rsidRPr="0067056B" w:rsidRDefault="0067056B" w:rsidP="0067056B"/>
        </w:tc>
        <w:tc>
          <w:tcPr>
            <w:tcW w:w="2016" w:type="dxa"/>
            <w:vAlign w:val="bottom"/>
          </w:tcPr>
          <w:p w14:paraId="795B1FA3" w14:textId="01E59047" w:rsidR="0067056B" w:rsidRPr="0067056B" w:rsidRDefault="0067056B" w:rsidP="0067056B">
            <w:pPr>
              <w:rPr>
                <w:rFonts w:eastAsia="Times New Roman" w:cs="Arial"/>
              </w:rPr>
            </w:pPr>
            <w:r w:rsidRPr="0067056B">
              <w:rPr>
                <w:rFonts w:cs="Arial"/>
              </w:rPr>
              <w:t>Миокардна исхемия, включително ангина пекторис, тахикардия, аритмия,</w:t>
            </w:r>
            <w:r w:rsidRPr="0067056B">
              <w:rPr>
                <w:rFonts w:cs="Arial"/>
                <w:lang w:val="ru-RU"/>
              </w:rPr>
              <w:t xml:space="preserve"> </w:t>
            </w:r>
            <w:r w:rsidRPr="0067056B">
              <w:rPr>
                <w:rFonts w:eastAsia="Times New Roman" w:cs="Arial"/>
                <w:color w:val="000000"/>
                <w:lang w:eastAsia="bg-BG"/>
              </w:rPr>
              <w:t>палпитации, периферен едем</w:t>
            </w:r>
          </w:p>
        </w:tc>
        <w:tc>
          <w:tcPr>
            <w:tcW w:w="1281" w:type="dxa"/>
          </w:tcPr>
          <w:p w14:paraId="37D99EBC" w14:textId="77777777" w:rsidR="0067056B" w:rsidRPr="0067056B" w:rsidRDefault="0067056B" w:rsidP="0067056B"/>
        </w:tc>
        <w:tc>
          <w:tcPr>
            <w:tcW w:w="2215" w:type="dxa"/>
          </w:tcPr>
          <w:p w14:paraId="32AB6924" w14:textId="3CDBCD00" w:rsidR="0067056B" w:rsidRPr="0067056B" w:rsidRDefault="0067056B" w:rsidP="0067056B">
            <w:r w:rsidRPr="0067056B">
              <w:t>Миокарден инфаркт</w:t>
            </w:r>
          </w:p>
        </w:tc>
      </w:tr>
      <w:tr w:rsidR="0067056B" w14:paraId="62C477EF" w14:textId="77777777" w:rsidTr="0067056B">
        <w:tc>
          <w:tcPr>
            <w:tcW w:w="2095" w:type="dxa"/>
          </w:tcPr>
          <w:p w14:paraId="4F5EBFBA" w14:textId="41D27A7F" w:rsidR="0067056B" w:rsidRPr="0067056B" w:rsidRDefault="0067056B" w:rsidP="0067056B">
            <w:r w:rsidRPr="0067056B">
              <w:rPr>
                <w:i/>
                <w:iCs/>
                <w:u w:val="single"/>
              </w:rPr>
              <w:t>Съдови нарушения</w:t>
            </w:r>
          </w:p>
        </w:tc>
        <w:tc>
          <w:tcPr>
            <w:tcW w:w="1969" w:type="dxa"/>
          </w:tcPr>
          <w:p w14:paraId="00EE2841" w14:textId="77777777" w:rsidR="0067056B" w:rsidRPr="0067056B" w:rsidRDefault="0067056B" w:rsidP="0067056B"/>
        </w:tc>
        <w:tc>
          <w:tcPr>
            <w:tcW w:w="2016" w:type="dxa"/>
          </w:tcPr>
          <w:p w14:paraId="4B8AE562" w14:textId="42B23EC4" w:rsidR="0067056B" w:rsidRPr="0067056B" w:rsidRDefault="0067056B" w:rsidP="0067056B">
            <w:r w:rsidRPr="0067056B">
              <w:t xml:space="preserve">Хипотония, ортостатизъм, </w:t>
            </w:r>
            <w:r w:rsidRPr="0067056B">
              <w:lastRenderedPageBreak/>
              <w:t>синкоп, зачервяване</w:t>
            </w:r>
          </w:p>
        </w:tc>
        <w:tc>
          <w:tcPr>
            <w:tcW w:w="1281" w:type="dxa"/>
          </w:tcPr>
          <w:p w14:paraId="2A8EBB0B" w14:textId="77777777" w:rsidR="0067056B" w:rsidRPr="0067056B" w:rsidRDefault="0067056B" w:rsidP="0067056B"/>
        </w:tc>
        <w:tc>
          <w:tcPr>
            <w:tcW w:w="2215" w:type="dxa"/>
            <w:vAlign w:val="bottom"/>
          </w:tcPr>
          <w:p w14:paraId="40AA5D27" w14:textId="4B1EBCDE" w:rsidR="0067056B" w:rsidRPr="0067056B" w:rsidRDefault="0067056B" w:rsidP="0067056B">
            <w:r w:rsidRPr="0067056B">
              <w:t xml:space="preserve">Тромбоза свързана със силно намален </w:t>
            </w:r>
            <w:r w:rsidRPr="0067056B">
              <w:lastRenderedPageBreak/>
              <w:t xml:space="preserve">обем на телесните течности, стесняване на съдовете, хипоперфузия, феномен на </w:t>
            </w:r>
            <w:r w:rsidRPr="0067056B">
              <w:rPr>
                <w:lang w:val="en-US"/>
              </w:rPr>
              <w:t>Raynaud</w:t>
            </w:r>
            <w:r w:rsidRPr="0067056B">
              <w:rPr>
                <w:lang w:val="ru-RU"/>
              </w:rPr>
              <w:t xml:space="preserve">, </w:t>
            </w:r>
            <w:r w:rsidRPr="0067056B">
              <w:t>васкулит</w:t>
            </w:r>
          </w:p>
        </w:tc>
      </w:tr>
      <w:tr w:rsidR="0067056B" w14:paraId="3EABE51C" w14:textId="77777777" w:rsidTr="0067056B">
        <w:tc>
          <w:tcPr>
            <w:tcW w:w="2095" w:type="dxa"/>
          </w:tcPr>
          <w:p w14:paraId="2639F2B4" w14:textId="75407E6A" w:rsidR="0067056B" w:rsidRPr="0067056B" w:rsidRDefault="0067056B" w:rsidP="0067056B">
            <w:r w:rsidRPr="0067056B">
              <w:rPr>
                <w:i/>
                <w:iCs/>
                <w:u w:val="single"/>
              </w:rPr>
              <w:lastRenderedPageBreak/>
              <w:t>Респираторни, гръдни и медиастинални нарушения</w:t>
            </w:r>
          </w:p>
        </w:tc>
        <w:tc>
          <w:tcPr>
            <w:tcW w:w="1969" w:type="dxa"/>
          </w:tcPr>
          <w:p w14:paraId="1820A5EE" w14:textId="463EACAE" w:rsidR="0067056B" w:rsidRPr="0067056B" w:rsidRDefault="0067056B" w:rsidP="0067056B">
            <w:r w:rsidRPr="0067056B">
              <w:t>Непродуктивна дразнеща кашлица, бронхит</w:t>
            </w:r>
          </w:p>
        </w:tc>
        <w:tc>
          <w:tcPr>
            <w:tcW w:w="2016" w:type="dxa"/>
          </w:tcPr>
          <w:p w14:paraId="378A5A54" w14:textId="6D7378EF" w:rsidR="0067056B" w:rsidRPr="0067056B" w:rsidRDefault="0067056B" w:rsidP="0067056B">
            <w:r w:rsidRPr="0067056B">
              <w:t>Синузит, диспнея, запушен нос</w:t>
            </w:r>
          </w:p>
        </w:tc>
        <w:tc>
          <w:tcPr>
            <w:tcW w:w="1281" w:type="dxa"/>
          </w:tcPr>
          <w:p w14:paraId="51B80B33" w14:textId="77777777" w:rsidR="0067056B" w:rsidRPr="0067056B" w:rsidRDefault="0067056B" w:rsidP="0067056B"/>
        </w:tc>
        <w:tc>
          <w:tcPr>
            <w:tcW w:w="2215" w:type="dxa"/>
          </w:tcPr>
          <w:p w14:paraId="01F34DFB" w14:textId="77777777" w:rsidR="0067056B" w:rsidRPr="0067056B" w:rsidRDefault="0067056B" w:rsidP="0067056B">
            <w:r w:rsidRPr="0067056B">
              <w:t>Бронхоспазъм, включително обострена астма;</w:t>
            </w:r>
          </w:p>
          <w:p w14:paraId="1C9296B2" w14:textId="6E03520C" w:rsidR="0067056B" w:rsidRPr="0067056B" w:rsidRDefault="0067056B" w:rsidP="0067056B">
            <w:r w:rsidRPr="0067056B">
              <w:t>Алергичен алвеолит, некардиогенен белодробен оток поради хидрохлоротиазид а</w:t>
            </w:r>
          </w:p>
        </w:tc>
      </w:tr>
      <w:tr w:rsidR="0067056B" w14:paraId="2C9D3205" w14:textId="77777777" w:rsidTr="0067056B">
        <w:tc>
          <w:tcPr>
            <w:tcW w:w="2095" w:type="dxa"/>
          </w:tcPr>
          <w:p w14:paraId="638130B9" w14:textId="106F9B96" w:rsidR="0067056B" w:rsidRPr="0067056B" w:rsidRDefault="0067056B" w:rsidP="0067056B">
            <w:r w:rsidRPr="0067056B">
              <w:rPr>
                <w:i/>
                <w:iCs/>
                <w:u w:val="single"/>
              </w:rPr>
              <w:t>Стомашно-чревни нарушения</w:t>
            </w:r>
          </w:p>
        </w:tc>
        <w:tc>
          <w:tcPr>
            <w:tcW w:w="1969" w:type="dxa"/>
          </w:tcPr>
          <w:p w14:paraId="6E3702F8" w14:textId="77777777" w:rsidR="0067056B" w:rsidRPr="0067056B" w:rsidRDefault="0067056B" w:rsidP="0067056B"/>
        </w:tc>
        <w:tc>
          <w:tcPr>
            <w:tcW w:w="2016" w:type="dxa"/>
          </w:tcPr>
          <w:p w14:paraId="24B09266" w14:textId="77777777" w:rsidR="0067056B" w:rsidRPr="0067056B" w:rsidRDefault="0067056B" w:rsidP="0067056B">
            <w:r w:rsidRPr="0067056B">
              <w:t>Стомашно- чревно възпаление, храносмилателни смущения, коремен дискомфорт, диспепсия, гастрит, гадене, запек;</w:t>
            </w:r>
          </w:p>
          <w:p w14:paraId="4F79D529" w14:textId="24ED22C8" w:rsidR="0067056B" w:rsidRPr="0067056B" w:rsidRDefault="0067056B" w:rsidP="0067056B">
            <w:r w:rsidRPr="0067056B">
              <w:t>Гингивит свързан с хидрохлоротиази да</w:t>
            </w:r>
          </w:p>
        </w:tc>
        <w:tc>
          <w:tcPr>
            <w:tcW w:w="1281" w:type="dxa"/>
          </w:tcPr>
          <w:p w14:paraId="0FF3637C" w14:textId="385C1053" w:rsidR="0067056B" w:rsidRPr="0067056B" w:rsidRDefault="0067056B" w:rsidP="0067056B">
            <w:r w:rsidRPr="0067056B">
              <w:t>Повръщан е, афтозен стоматит, глосит, диария, болка в горната част на корема, сухота в устата</w:t>
            </w:r>
          </w:p>
        </w:tc>
        <w:tc>
          <w:tcPr>
            <w:tcW w:w="2215" w:type="dxa"/>
            <w:vAlign w:val="bottom"/>
          </w:tcPr>
          <w:p w14:paraId="3EEB066F" w14:textId="77777777" w:rsidR="0067056B" w:rsidRPr="0067056B" w:rsidRDefault="0067056B" w:rsidP="0067056B">
            <w:r w:rsidRPr="0067056B">
              <w:t>Панкреатит (случаи с фатален изход са съобщавани изключително рядко при лечение с АСЕ инхибитори), повишаване на панкреасните ензими, ангиоедем на тънкото черво;</w:t>
            </w:r>
          </w:p>
          <w:p w14:paraId="073C3A82" w14:textId="5962B8B3" w:rsidR="0067056B" w:rsidRPr="0067056B" w:rsidRDefault="0067056B" w:rsidP="0067056B">
            <w:r w:rsidRPr="0067056B">
              <w:t>Сиалоаденит, свързан с хидрохлоротиазид</w:t>
            </w:r>
          </w:p>
        </w:tc>
      </w:tr>
      <w:tr w:rsidR="0067056B" w14:paraId="1D617B8D" w14:textId="77777777" w:rsidTr="0067056B">
        <w:tc>
          <w:tcPr>
            <w:tcW w:w="2095" w:type="dxa"/>
          </w:tcPr>
          <w:p w14:paraId="2594A46A" w14:textId="3B5485D7" w:rsidR="0067056B" w:rsidRPr="0067056B" w:rsidRDefault="0067056B" w:rsidP="0067056B">
            <w:r w:rsidRPr="0067056B">
              <w:rPr>
                <w:i/>
                <w:iCs/>
                <w:u w:val="single"/>
              </w:rPr>
              <w:t>Хепато-билиарн и нарушения</w:t>
            </w:r>
          </w:p>
        </w:tc>
        <w:tc>
          <w:tcPr>
            <w:tcW w:w="1969" w:type="dxa"/>
          </w:tcPr>
          <w:p w14:paraId="52742BA2" w14:textId="77777777" w:rsidR="0067056B" w:rsidRPr="0067056B" w:rsidRDefault="0067056B" w:rsidP="0067056B"/>
        </w:tc>
        <w:tc>
          <w:tcPr>
            <w:tcW w:w="2016" w:type="dxa"/>
          </w:tcPr>
          <w:p w14:paraId="349F68A4" w14:textId="77777777" w:rsidR="0067056B" w:rsidRPr="0067056B" w:rsidRDefault="0067056B" w:rsidP="0067056B">
            <w:r w:rsidRPr="0067056B">
              <w:t xml:space="preserve">Холестатичен или цитолитичен хепатит (изключително рядко с фатален изход), повишени нива на чернодробните ензими и/ или </w:t>
            </w:r>
            <w:r w:rsidRPr="0067056B">
              <w:lastRenderedPageBreak/>
              <w:t>конюгирания билирубин;</w:t>
            </w:r>
          </w:p>
          <w:p w14:paraId="4DBAB75F" w14:textId="44FF7E73" w:rsidR="0067056B" w:rsidRPr="0067056B" w:rsidRDefault="0067056B" w:rsidP="0067056B">
            <w:pPr>
              <w:rPr>
                <w:rFonts w:ascii="Times New Roman" w:eastAsia="Times New Roman" w:hAnsi="Times New Roman" w:cs="Times New Roman"/>
                <w:sz w:val="24"/>
                <w:szCs w:val="24"/>
              </w:rPr>
            </w:pPr>
            <w:r w:rsidRPr="0067056B">
              <w:t>Калкулоза холецистит поради</w:t>
            </w:r>
            <w:r w:rsidRPr="0067056B">
              <w:rPr>
                <w:lang w:val="ru-RU"/>
              </w:rPr>
              <w:t xml:space="preserve"> </w:t>
            </w:r>
            <w:r w:rsidRPr="0067056B">
              <w:t>хидрохлоротиази да</w:t>
            </w:r>
          </w:p>
        </w:tc>
        <w:tc>
          <w:tcPr>
            <w:tcW w:w="1281" w:type="dxa"/>
          </w:tcPr>
          <w:p w14:paraId="0F19A955" w14:textId="77777777" w:rsidR="0067056B" w:rsidRPr="0067056B" w:rsidRDefault="0067056B" w:rsidP="0067056B"/>
        </w:tc>
        <w:tc>
          <w:tcPr>
            <w:tcW w:w="2215" w:type="dxa"/>
          </w:tcPr>
          <w:p w14:paraId="6681D1FB" w14:textId="1C7B5693" w:rsidR="0067056B" w:rsidRPr="0067056B" w:rsidRDefault="0067056B" w:rsidP="0067056B">
            <w:r w:rsidRPr="0067056B">
              <w:t>Остра чернодробна недостатъчност, жълтеница, холестатично хепатоцелуларно увреждане</w:t>
            </w:r>
          </w:p>
        </w:tc>
      </w:tr>
      <w:tr w:rsidR="0067056B" w14:paraId="622C5D55" w14:textId="77777777" w:rsidTr="0067056B">
        <w:tc>
          <w:tcPr>
            <w:tcW w:w="2095" w:type="dxa"/>
          </w:tcPr>
          <w:p w14:paraId="3FCDA33E" w14:textId="48B26D13" w:rsidR="0067056B" w:rsidRPr="0067056B" w:rsidRDefault="0067056B" w:rsidP="0067056B">
            <w:r w:rsidRPr="0067056B">
              <w:rPr>
                <w:i/>
                <w:iCs/>
                <w:u w:val="single"/>
              </w:rPr>
              <w:t>Нарушения на кожата и подкожната тъкан</w:t>
            </w:r>
          </w:p>
        </w:tc>
        <w:tc>
          <w:tcPr>
            <w:tcW w:w="1969" w:type="dxa"/>
          </w:tcPr>
          <w:p w14:paraId="4EFC6541" w14:textId="77777777" w:rsidR="0067056B" w:rsidRPr="0067056B" w:rsidRDefault="0067056B" w:rsidP="0067056B"/>
        </w:tc>
        <w:tc>
          <w:tcPr>
            <w:tcW w:w="2016" w:type="dxa"/>
          </w:tcPr>
          <w:p w14:paraId="43C53F63" w14:textId="000F484D" w:rsidR="0067056B" w:rsidRPr="0067056B" w:rsidRDefault="0067056B" w:rsidP="0067056B">
            <w:r w:rsidRPr="0067056B">
              <w:t>Ангиоедем; изключително рядко обструкция на въздухоносните пътища в резултат от ангиоедем може да има фатален изход; псориатичен дерматит, хиперхидроза, обрив в частност макуло- папулозен, сърбеж, алопеция</w:t>
            </w:r>
          </w:p>
        </w:tc>
        <w:tc>
          <w:tcPr>
            <w:tcW w:w="1281" w:type="dxa"/>
          </w:tcPr>
          <w:p w14:paraId="011D8B77" w14:textId="77777777" w:rsidR="0067056B" w:rsidRPr="0067056B" w:rsidRDefault="0067056B" w:rsidP="0067056B"/>
        </w:tc>
        <w:tc>
          <w:tcPr>
            <w:tcW w:w="2215" w:type="dxa"/>
            <w:vAlign w:val="bottom"/>
          </w:tcPr>
          <w:p w14:paraId="65554FA4" w14:textId="77777777" w:rsidR="0067056B" w:rsidRPr="0067056B" w:rsidRDefault="0067056B" w:rsidP="0067056B">
            <w:r w:rsidRPr="0067056B">
              <w:t xml:space="preserve">Токсична епидермална некролиза, синдром на </w:t>
            </w:r>
            <w:r w:rsidRPr="0067056B">
              <w:rPr>
                <w:lang w:val="en-US"/>
              </w:rPr>
              <w:t>Stevens</w:t>
            </w:r>
            <w:r w:rsidRPr="0067056B">
              <w:rPr>
                <w:lang w:val="ru-RU"/>
              </w:rPr>
              <w:t>-</w:t>
            </w:r>
            <w:r w:rsidRPr="0067056B">
              <w:rPr>
                <w:lang w:val="en-US"/>
              </w:rPr>
              <w:t>Johnson</w:t>
            </w:r>
            <w:r w:rsidRPr="0067056B">
              <w:rPr>
                <w:lang w:val="ru-RU"/>
              </w:rPr>
              <w:t xml:space="preserve">, </w:t>
            </w:r>
            <w:r w:rsidRPr="0067056B">
              <w:t>еритема мултиформе, пемфихус, обострен псориазис, ексфолиативен дерматит, реакция на</w:t>
            </w:r>
          </w:p>
          <w:p w14:paraId="14DD4416" w14:textId="77777777" w:rsidR="0067056B" w:rsidRPr="0067056B" w:rsidRDefault="0067056B" w:rsidP="0067056B">
            <w:r w:rsidRPr="0067056B">
              <w:t>фоточувствително ст, онмхолиза, пемфигоиден или лихеноиден екзантем или енантем, уртикария;</w:t>
            </w:r>
          </w:p>
          <w:p w14:paraId="657C072E" w14:textId="0789CAA0" w:rsidR="0067056B" w:rsidRPr="0067056B" w:rsidRDefault="0067056B" w:rsidP="0067056B">
            <w:r w:rsidRPr="0067056B">
              <w:t>Системен еритематозен лупус поради хидрохлоротиазид а</w:t>
            </w:r>
          </w:p>
        </w:tc>
      </w:tr>
      <w:tr w:rsidR="0067056B" w14:paraId="70F4565D" w14:textId="77777777" w:rsidTr="0067056B">
        <w:tc>
          <w:tcPr>
            <w:tcW w:w="2095" w:type="dxa"/>
          </w:tcPr>
          <w:p w14:paraId="5B056137" w14:textId="4C2F0C4E" w:rsidR="0067056B" w:rsidRPr="0067056B" w:rsidRDefault="0067056B" w:rsidP="0067056B">
            <w:r w:rsidRPr="0067056B">
              <w:rPr>
                <w:i/>
                <w:iCs/>
                <w:u w:val="single"/>
              </w:rPr>
              <w:t>Неоплазми- доброкачествени, злокачествени и неопределени (вкл. кисти и полипи)</w:t>
            </w:r>
          </w:p>
        </w:tc>
        <w:tc>
          <w:tcPr>
            <w:tcW w:w="1969" w:type="dxa"/>
          </w:tcPr>
          <w:p w14:paraId="786F64ED" w14:textId="77777777" w:rsidR="0067056B" w:rsidRPr="0067056B" w:rsidRDefault="0067056B" w:rsidP="0067056B"/>
        </w:tc>
        <w:tc>
          <w:tcPr>
            <w:tcW w:w="2016" w:type="dxa"/>
          </w:tcPr>
          <w:p w14:paraId="647FD227" w14:textId="77777777" w:rsidR="0067056B" w:rsidRPr="0067056B" w:rsidRDefault="0067056B" w:rsidP="0067056B"/>
        </w:tc>
        <w:tc>
          <w:tcPr>
            <w:tcW w:w="1281" w:type="dxa"/>
          </w:tcPr>
          <w:p w14:paraId="16AE1E54" w14:textId="77777777" w:rsidR="0067056B" w:rsidRPr="0067056B" w:rsidRDefault="0067056B" w:rsidP="0067056B"/>
        </w:tc>
        <w:tc>
          <w:tcPr>
            <w:tcW w:w="2215" w:type="dxa"/>
            <w:vAlign w:val="bottom"/>
          </w:tcPr>
          <w:p w14:paraId="30CE2F2B" w14:textId="43F7DE4F" w:rsidR="0067056B" w:rsidRPr="0067056B" w:rsidRDefault="0067056B" w:rsidP="0067056B">
            <w:r w:rsidRPr="0067056B">
              <w:t>Немеланомен рак на кожата (базал нокл етъ чен карцином и сквамозноклетъче н карцином)</w:t>
            </w:r>
          </w:p>
        </w:tc>
      </w:tr>
      <w:tr w:rsidR="0067056B" w14:paraId="7C419FB1" w14:textId="77777777" w:rsidTr="0067056B">
        <w:tc>
          <w:tcPr>
            <w:tcW w:w="2095" w:type="dxa"/>
          </w:tcPr>
          <w:p w14:paraId="68A23481" w14:textId="17184B9A" w:rsidR="0067056B" w:rsidRPr="0067056B" w:rsidRDefault="0067056B" w:rsidP="0067056B">
            <w:r w:rsidRPr="0067056B">
              <w:rPr>
                <w:i/>
                <w:iCs/>
              </w:rPr>
              <w:t>Нарушения на мускулно- скелетната система и съединителната тъкан</w:t>
            </w:r>
          </w:p>
        </w:tc>
        <w:tc>
          <w:tcPr>
            <w:tcW w:w="1969" w:type="dxa"/>
          </w:tcPr>
          <w:p w14:paraId="31C5297B" w14:textId="77777777" w:rsidR="0067056B" w:rsidRPr="0067056B" w:rsidRDefault="0067056B" w:rsidP="0067056B"/>
        </w:tc>
        <w:tc>
          <w:tcPr>
            <w:tcW w:w="2016" w:type="dxa"/>
          </w:tcPr>
          <w:p w14:paraId="73D52DBF" w14:textId="1A1910B0" w:rsidR="0067056B" w:rsidRPr="0067056B" w:rsidRDefault="0067056B" w:rsidP="0067056B">
            <w:r w:rsidRPr="0067056B">
              <w:t>Миалгия</w:t>
            </w:r>
          </w:p>
        </w:tc>
        <w:tc>
          <w:tcPr>
            <w:tcW w:w="1281" w:type="dxa"/>
          </w:tcPr>
          <w:p w14:paraId="5448DEF6" w14:textId="77777777" w:rsidR="0067056B" w:rsidRPr="0067056B" w:rsidRDefault="0067056B" w:rsidP="0067056B"/>
        </w:tc>
        <w:tc>
          <w:tcPr>
            <w:tcW w:w="2215" w:type="dxa"/>
            <w:vAlign w:val="bottom"/>
          </w:tcPr>
          <w:p w14:paraId="4EA1FD30" w14:textId="77777777" w:rsidR="0067056B" w:rsidRPr="0067056B" w:rsidRDefault="0067056B" w:rsidP="0067056B">
            <w:r w:rsidRPr="0067056B">
              <w:t>Артралгия, мускулни спазми</w:t>
            </w:r>
          </w:p>
          <w:p w14:paraId="0A9E76D6" w14:textId="377AFEB1" w:rsidR="0067056B" w:rsidRPr="0067056B" w:rsidRDefault="0067056B" w:rsidP="0067056B">
            <w:r w:rsidRPr="0067056B">
              <w:t xml:space="preserve">Мускулна слабост, скелетно- мускулна скованост, тетания поради </w:t>
            </w:r>
            <w:r w:rsidRPr="0067056B">
              <w:lastRenderedPageBreak/>
              <w:t>хидрохлоротиазид</w:t>
            </w:r>
          </w:p>
        </w:tc>
      </w:tr>
      <w:tr w:rsidR="0067056B" w14:paraId="6E55C311" w14:textId="77777777" w:rsidTr="0067056B">
        <w:tc>
          <w:tcPr>
            <w:tcW w:w="2095" w:type="dxa"/>
          </w:tcPr>
          <w:p w14:paraId="7C985317" w14:textId="0489A77E" w:rsidR="0067056B" w:rsidRPr="0067056B" w:rsidRDefault="0067056B" w:rsidP="0067056B">
            <w:r w:rsidRPr="0067056B">
              <w:rPr>
                <w:i/>
                <w:iCs/>
                <w:u w:val="single"/>
              </w:rPr>
              <w:lastRenderedPageBreak/>
              <w:t>Нарушения на бъбреиите и пикочните пътища</w:t>
            </w:r>
          </w:p>
        </w:tc>
        <w:tc>
          <w:tcPr>
            <w:tcW w:w="1969" w:type="dxa"/>
          </w:tcPr>
          <w:p w14:paraId="7AB89B0E" w14:textId="77777777" w:rsidR="0067056B" w:rsidRPr="0067056B" w:rsidRDefault="0067056B" w:rsidP="0067056B"/>
        </w:tc>
        <w:tc>
          <w:tcPr>
            <w:tcW w:w="2016" w:type="dxa"/>
          </w:tcPr>
          <w:p w14:paraId="1721521D" w14:textId="2FEB426C" w:rsidR="0067056B" w:rsidRPr="0067056B" w:rsidRDefault="0067056B" w:rsidP="0067056B">
            <w:r w:rsidRPr="0067056B">
              <w:t>Бъбречно увреждане, включително остра бъбречна недостатъчност, полиурия, повишена урея в кръвта, повишен креатинин в кръвта</w:t>
            </w:r>
          </w:p>
        </w:tc>
        <w:tc>
          <w:tcPr>
            <w:tcW w:w="1281" w:type="dxa"/>
          </w:tcPr>
          <w:p w14:paraId="7457D6E8" w14:textId="77777777" w:rsidR="0067056B" w:rsidRPr="0067056B" w:rsidRDefault="0067056B" w:rsidP="0067056B"/>
        </w:tc>
        <w:tc>
          <w:tcPr>
            <w:tcW w:w="2215" w:type="dxa"/>
          </w:tcPr>
          <w:p w14:paraId="6F60052B" w14:textId="77777777" w:rsidR="0067056B" w:rsidRPr="0067056B" w:rsidRDefault="0067056B" w:rsidP="0067056B">
            <w:r w:rsidRPr="0067056B">
              <w:t>Влошаване на съществуваща протеинурия;</w:t>
            </w:r>
          </w:p>
          <w:p w14:paraId="68DC8135" w14:textId="51B33DF4" w:rsidR="0067056B" w:rsidRPr="0067056B" w:rsidRDefault="0067056B" w:rsidP="0067056B">
            <w:r w:rsidRPr="0067056B">
              <w:t>Интерстициален нефрит, свързан с хидрохлоротиазида</w:t>
            </w:r>
          </w:p>
        </w:tc>
      </w:tr>
      <w:tr w:rsidR="0067056B" w14:paraId="24F82923" w14:textId="77777777" w:rsidTr="0067056B">
        <w:tc>
          <w:tcPr>
            <w:tcW w:w="2095" w:type="dxa"/>
          </w:tcPr>
          <w:p w14:paraId="6B2943D5" w14:textId="0CBE0637" w:rsidR="0067056B" w:rsidRPr="0067056B" w:rsidRDefault="0067056B" w:rsidP="0067056B">
            <w:r w:rsidRPr="0067056B">
              <w:rPr>
                <w:i/>
                <w:iCs/>
                <w:u w:val="single"/>
              </w:rPr>
              <w:t>Нарушения на възпроизводителна та система и гърдата</w:t>
            </w:r>
          </w:p>
        </w:tc>
        <w:tc>
          <w:tcPr>
            <w:tcW w:w="1969" w:type="dxa"/>
          </w:tcPr>
          <w:p w14:paraId="291C2882" w14:textId="77777777" w:rsidR="0067056B" w:rsidRPr="0067056B" w:rsidRDefault="0067056B" w:rsidP="0067056B"/>
        </w:tc>
        <w:tc>
          <w:tcPr>
            <w:tcW w:w="2016" w:type="dxa"/>
          </w:tcPr>
          <w:p w14:paraId="384ACCE2" w14:textId="71013508" w:rsidR="0067056B" w:rsidRPr="0067056B" w:rsidRDefault="0067056B" w:rsidP="0067056B">
            <w:r w:rsidRPr="0067056B">
              <w:t>Преходна еректилна импотенция</w:t>
            </w:r>
          </w:p>
        </w:tc>
        <w:tc>
          <w:tcPr>
            <w:tcW w:w="1281" w:type="dxa"/>
          </w:tcPr>
          <w:p w14:paraId="28A2C2C9" w14:textId="77777777" w:rsidR="0067056B" w:rsidRPr="0067056B" w:rsidRDefault="0067056B" w:rsidP="0067056B"/>
        </w:tc>
        <w:tc>
          <w:tcPr>
            <w:tcW w:w="2215" w:type="dxa"/>
          </w:tcPr>
          <w:p w14:paraId="071753D8" w14:textId="565C77EE" w:rsidR="0067056B" w:rsidRPr="0067056B" w:rsidRDefault="0067056B" w:rsidP="0067056B">
            <w:r w:rsidRPr="0067056B">
              <w:t>Понижено либидо, гинекомастия</w:t>
            </w:r>
          </w:p>
        </w:tc>
      </w:tr>
      <w:tr w:rsidR="0067056B" w14:paraId="603B412D" w14:textId="77777777" w:rsidTr="0067056B">
        <w:tc>
          <w:tcPr>
            <w:tcW w:w="2095" w:type="dxa"/>
          </w:tcPr>
          <w:p w14:paraId="5F4EE8DF" w14:textId="3471C166" w:rsidR="0067056B" w:rsidRPr="0067056B" w:rsidRDefault="0067056B" w:rsidP="0067056B">
            <w:r w:rsidRPr="0067056B">
              <w:rPr>
                <w:i/>
                <w:iCs/>
              </w:rPr>
              <w:t>Общи нарушения и ефекти на мястото на приложение</w:t>
            </w:r>
          </w:p>
        </w:tc>
        <w:tc>
          <w:tcPr>
            <w:tcW w:w="1969" w:type="dxa"/>
          </w:tcPr>
          <w:p w14:paraId="7148A5F3" w14:textId="0B153B07" w:rsidR="0067056B" w:rsidRPr="0067056B" w:rsidRDefault="0067056B" w:rsidP="0067056B">
            <w:r w:rsidRPr="0067056B">
              <w:t>Умора, астения</w:t>
            </w:r>
          </w:p>
        </w:tc>
        <w:tc>
          <w:tcPr>
            <w:tcW w:w="2016" w:type="dxa"/>
          </w:tcPr>
          <w:p w14:paraId="0B134D8C" w14:textId="36E105E5" w:rsidR="0067056B" w:rsidRPr="0067056B" w:rsidRDefault="0067056B" w:rsidP="0067056B">
            <w:r>
              <w:t>Г</w:t>
            </w:r>
            <w:r w:rsidRPr="0067056B">
              <w:t>ръдна болка, пирексия</w:t>
            </w:r>
          </w:p>
        </w:tc>
        <w:tc>
          <w:tcPr>
            <w:tcW w:w="1281" w:type="dxa"/>
          </w:tcPr>
          <w:p w14:paraId="7E92A77B" w14:textId="77777777" w:rsidR="0067056B" w:rsidRPr="0067056B" w:rsidRDefault="0067056B" w:rsidP="0067056B"/>
        </w:tc>
        <w:tc>
          <w:tcPr>
            <w:tcW w:w="2215" w:type="dxa"/>
          </w:tcPr>
          <w:p w14:paraId="5B301FA7" w14:textId="77777777" w:rsidR="0067056B" w:rsidRPr="0067056B" w:rsidRDefault="0067056B" w:rsidP="0067056B"/>
        </w:tc>
      </w:tr>
    </w:tbl>
    <w:p w14:paraId="30BAF5D0" w14:textId="71ABECAB" w:rsidR="0067056B" w:rsidRDefault="0067056B" w:rsidP="0067056B"/>
    <w:p w14:paraId="5BF70FB9"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Описание на избрани нежелани реакции</w:t>
      </w:r>
    </w:p>
    <w:p w14:paraId="3023146F"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кумулативканата доза връзка между ХХТЗ и НМРК (вж. също точки 4.4 и 5.1).</w:t>
      </w:r>
    </w:p>
    <w:p w14:paraId="63624DA2" w14:textId="77777777" w:rsidR="0067056B" w:rsidRDefault="0067056B" w:rsidP="0067056B">
      <w:pPr>
        <w:spacing w:line="240" w:lineRule="auto"/>
        <w:rPr>
          <w:rFonts w:eastAsia="Times New Roman" w:cs="Arial"/>
          <w:color w:val="000000"/>
          <w:lang w:eastAsia="bg-BG"/>
        </w:rPr>
      </w:pPr>
    </w:p>
    <w:p w14:paraId="4CD3B333" w14:textId="3AAB943A" w:rsidR="0067056B" w:rsidRPr="0067056B" w:rsidRDefault="0067056B" w:rsidP="0067056B">
      <w:pPr>
        <w:spacing w:line="240" w:lineRule="auto"/>
        <w:rPr>
          <w:rFonts w:eastAsia="Times New Roman" w:cs="Arial"/>
        </w:rPr>
      </w:pPr>
      <w:r w:rsidRPr="0067056B">
        <w:rPr>
          <w:rFonts w:eastAsia="Times New Roman" w:cs="Arial"/>
          <w:color w:val="000000"/>
          <w:lang w:eastAsia="bg-BG"/>
        </w:rPr>
        <w:t>За случаи на хороидален излив с дефект на зрителното поле се съобщава след употреба на тиазиди и тиазид-подобни диуретици.</w:t>
      </w:r>
    </w:p>
    <w:p w14:paraId="22F0546E" w14:textId="77777777" w:rsidR="0067056B" w:rsidRDefault="0067056B" w:rsidP="0067056B">
      <w:pPr>
        <w:spacing w:line="240" w:lineRule="auto"/>
        <w:rPr>
          <w:rFonts w:eastAsia="Times New Roman" w:cs="Arial"/>
          <w:b/>
          <w:bCs/>
          <w:color w:val="000000"/>
          <w:u w:val="single"/>
          <w:lang w:eastAsia="bg-BG"/>
        </w:rPr>
      </w:pPr>
      <w:bookmarkStart w:id="1" w:name="bookmark0"/>
    </w:p>
    <w:p w14:paraId="708E934D" w14:textId="37C1DAB6" w:rsidR="0067056B" w:rsidRPr="0067056B" w:rsidRDefault="0067056B" w:rsidP="0067056B">
      <w:pPr>
        <w:spacing w:line="240" w:lineRule="auto"/>
        <w:rPr>
          <w:rFonts w:eastAsia="Times New Roman" w:cs="Arial"/>
        </w:rPr>
      </w:pPr>
      <w:r w:rsidRPr="0067056B">
        <w:rPr>
          <w:rFonts w:eastAsia="Times New Roman" w:cs="Arial"/>
          <w:b/>
          <w:bCs/>
          <w:color w:val="000000"/>
          <w:u w:val="single"/>
          <w:lang w:eastAsia="bg-BG"/>
        </w:rPr>
        <w:t>Съобщаване на подозирани нежелани реакции</w:t>
      </w:r>
      <w:bookmarkEnd w:id="1"/>
    </w:p>
    <w:p w14:paraId="28B5E0C4"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на Изпълнителна агенция по лекарствата.</w:t>
      </w:r>
    </w:p>
    <w:p w14:paraId="56E56DA1" w14:textId="77777777" w:rsidR="0067056B" w:rsidRDefault="0067056B" w:rsidP="0067056B">
      <w:pPr>
        <w:spacing w:line="240" w:lineRule="auto"/>
        <w:rPr>
          <w:rFonts w:eastAsia="Times New Roman" w:cs="Arial"/>
          <w:b/>
          <w:bCs/>
          <w:color w:val="000000"/>
          <w:lang w:eastAsia="bg-BG"/>
        </w:rPr>
      </w:pPr>
      <w:bookmarkStart w:id="2" w:name="bookmark2"/>
    </w:p>
    <w:p w14:paraId="647C9957" w14:textId="78E3D168" w:rsidR="0067056B" w:rsidRPr="0067056B" w:rsidRDefault="0067056B" w:rsidP="0067056B">
      <w:pPr>
        <w:spacing w:line="240" w:lineRule="auto"/>
        <w:rPr>
          <w:rFonts w:eastAsia="Times New Roman" w:cs="Arial"/>
        </w:rPr>
      </w:pPr>
      <w:r w:rsidRPr="0067056B">
        <w:rPr>
          <w:rFonts w:eastAsia="Times New Roman" w:cs="Arial"/>
          <w:b/>
          <w:bCs/>
          <w:color w:val="000000"/>
          <w:lang w:eastAsia="bg-BG"/>
        </w:rPr>
        <w:t>Контакти:</w:t>
      </w:r>
      <w:bookmarkEnd w:id="2"/>
    </w:p>
    <w:p w14:paraId="1B138C27"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Изпълнителна агенция по лекарствата.</w:t>
      </w:r>
    </w:p>
    <w:p w14:paraId="57F47D12"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ул. „Дамян Груев” № 8</w:t>
      </w:r>
    </w:p>
    <w:p w14:paraId="596F11A0"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1303 София</w:t>
      </w:r>
    </w:p>
    <w:p w14:paraId="15040B28"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Тел.:+35 928903417</w:t>
      </w:r>
    </w:p>
    <w:p w14:paraId="572CC3D0"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уебсайт: </w:t>
      </w:r>
      <w:proofErr w:type="spellStart"/>
      <w:r w:rsidRPr="0067056B">
        <w:rPr>
          <w:rFonts w:eastAsia="Times New Roman" w:cs="Arial"/>
          <w:color w:val="000000"/>
          <w:lang w:val="en-US"/>
        </w:rPr>
        <w:t>vvww</w:t>
      </w:r>
      <w:proofErr w:type="spellEnd"/>
      <w:r w:rsidRPr="0067056B">
        <w:rPr>
          <w:rFonts w:eastAsia="Times New Roman" w:cs="Arial"/>
          <w:color w:val="000000"/>
        </w:rPr>
        <w:t>.</w:t>
      </w:r>
      <w:proofErr w:type="spellStart"/>
      <w:r w:rsidRPr="0067056B">
        <w:rPr>
          <w:rFonts w:eastAsia="Times New Roman" w:cs="Arial"/>
          <w:color w:val="000000"/>
          <w:lang w:val="en-US"/>
        </w:rPr>
        <w:t>bda</w:t>
      </w:r>
      <w:proofErr w:type="spellEnd"/>
      <w:r w:rsidRPr="0067056B">
        <w:rPr>
          <w:rFonts w:eastAsia="Times New Roman" w:cs="Arial"/>
          <w:color w:val="000000"/>
        </w:rPr>
        <w:t>.</w:t>
      </w:r>
      <w:proofErr w:type="spellStart"/>
      <w:r w:rsidRPr="0067056B">
        <w:rPr>
          <w:rFonts w:eastAsia="Times New Roman" w:cs="Arial"/>
          <w:color w:val="000000"/>
          <w:lang w:val="en-US"/>
        </w:rPr>
        <w:t>bg</w:t>
      </w:r>
      <w:proofErr w:type="spellEnd"/>
    </w:p>
    <w:p w14:paraId="6BA34B16" w14:textId="77777777" w:rsidR="0067056B" w:rsidRPr="0067056B" w:rsidRDefault="0067056B" w:rsidP="0067056B"/>
    <w:p w14:paraId="5A87DBA3" w14:textId="4D493484" w:rsidR="007122AD" w:rsidRDefault="002C50EE" w:rsidP="00936AD0">
      <w:pPr>
        <w:pStyle w:val="Heading2"/>
      </w:pPr>
      <w:r>
        <w:t>4.9. Предозиране</w:t>
      </w:r>
    </w:p>
    <w:p w14:paraId="0C707EAD" w14:textId="52B87AB4" w:rsidR="0067056B" w:rsidRDefault="0067056B" w:rsidP="0067056B"/>
    <w:p w14:paraId="5DD3968A" w14:textId="77777777" w:rsidR="0067056B" w:rsidRPr="0067056B" w:rsidRDefault="0067056B" w:rsidP="0067056B">
      <w:pPr>
        <w:pStyle w:val="Heading3"/>
        <w:rPr>
          <w:rFonts w:eastAsia="Times New Roman"/>
          <w:u w:val="single"/>
        </w:rPr>
      </w:pPr>
      <w:r w:rsidRPr="0067056B">
        <w:rPr>
          <w:rFonts w:eastAsia="Times New Roman"/>
          <w:u w:val="single"/>
          <w:lang w:eastAsia="bg-BG"/>
        </w:rPr>
        <w:lastRenderedPageBreak/>
        <w:t>Симптоми</w:t>
      </w:r>
    </w:p>
    <w:p w14:paraId="19431DE0"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Симптомите, свързани с предозиране на АСЕ инхибитори могат да включват прекомерна периферна вазодилатация (със подчертана хипотония, шок), брадикардия, електролитни нарушения, бъбречна недостатъчност, сърдечна аритмия, нарушение на съзнанието, включително кома, церебрални конвулсии, парези и паралитичен илеус.</w:t>
      </w:r>
    </w:p>
    <w:p w14:paraId="3EDDE9E0"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При предразположени пациенти (напр. простатна хиперплазия) предозирането на хидрохлоротиазид може да предизвика остра ретенция на урина.</w:t>
      </w:r>
    </w:p>
    <w:p w14:paraId="29E6775B" w14:textId="77777777" w:rsidR="0067056B" w:rsidRDefault="0067056B" w:rsidP="0067056B">
      <w:pPr>
        <w:spacing w:line="240" w:lineRule="auto"/>
        <w:rPr>
          <w:rFonts w:eastAsia="Times New Roman" w:cs="Arial"/>
          <w:color w:val="000000"/>
          <w:u w:val="single"/>
          <w:lang w:eastAsia="bg-BG"/>
        </w:rPr>
      </w:pPr>
    </w:p>
    <w:p w14:paraId="6262057F" w14:textId="2BBDC2CA" w:rsidR="0067056B" w:rsidRPr="0067056B" w:rsidRDefault="0067056B" w:rsidP="0067056B">
      <w:pPr>
        <w:pStyle w:val="Heading3"/>
        <w:rPr>
          <w:rFonts w:eastAsia="Times New Roman"/>
          <w:u w:val="single"/>
        </w:rPr>
      </w:pPr>
      <w:r w:rsidRPr="0067056B">
        <w:rPr>
          <w:rFonts w:eastAsia="Times New Roman"/>
          <w:u w:val="single"/>
          <w:lang w:eastAsia="bg-BG"/>
        </w:rPr>
        <w:t>Лечение</w:t>
      </w:r>
    </w:p>
    <w:p w14:paraId="6579D225"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Пациентът трябва да бъде стриктно наблюдаван, лечението трябва да бъде симтоматично и поддържащо. Предлаганите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 1-адренергични агонисти или ангиотензин II (ангиотензинамид).</w:t>
      </w:r>
    </w:p>
    <w:p w14:paraId="0D7FBCB2"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Рамиприлат, активният метаболит на рамиприл, се отстранява незадоволително чрез хемодиализа от общото кръвообръщение.</w:t>
      </w:r>
    </w:p>
    <w:p w14:paraId="0A482CA7" w14:textId="77777777" w:rsidR="0067056B" w:rsidRPr="0067056B" w:rsidRDefault="0067056B" w:rsidP="0067056B"/>
    <w:p w14:paraId="02081B24" w14:textId="1F46E296" w:rsidR="00395555" w:rsidRPr="00395555" w:rsidRDefault="002C50EE" w:rsidP="008A6AF2">
      <w:pPr>
        <w:pStyle w:val="Heading1"/>
      </w:pPr>
      <w:r>
        <w:t>5. ФАРМАКОЛОГИЧНИ СВОЙСТВА</w:t>
      </w:r>
    </w:p>
    <w:p w14:paraId="7DE36AC8" w14:textId="097DABD6" w:rsidR="00B6672E" w:rsidRDefault="002C50EE" w:rsidP="00936AD0">
      <w:pPr>
        <w:pStyle w:val="Heading2"/>
      </w:pPr>
      <w:r>
        <w:t>5.1. Фармакодинамични свойства</w:t>
      </w:r>
    </w:p>
    <w:p w14:paraId="3535F90D" w14:textId="72A0260F" w:rsidR="0067056B" w:rsidRDefault="0067056B" w:rsidP="0067056B"/>
    <w:p w14:paraId="6D155BBF"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Фармакотерапевтична група: АСЕ инхибитори и диуретици, рамиприл и диуретици, </w:t>
      </w:r>
      <w:r w:rsidRPr="0067056B">
        <w:rPr>
          <w:rFonts w:eastAsia="Times New Roman" w:cs="Arial"/>
          <w:b/>
          <w:bCs/>
          <w:color w:val="000000"/>
          <w:lang w:eastAsia="bg-BG"/>
        </w:rPr>
        <w:t xml:space="preserve">АТС код: </w:t>
      </w:r>
      <w:r w:rsidRPr="0067056B">
        <w:rPr>
          <w:rFonts w:eastAsia="Times New Roman" w:cs="Arial"/>
          <w:color w:val="000000"/>
          <w:lang w:eastAsia="bg-BG"/>
        </w:rPr>
        <w:t>С09ВА05</w:t>
      </w:r>
    </w:p>
    <w:p w14:paraId="683C8114" w14:textId="77777777" w:rsidR="0067056B" w:rsidRDefault="0067056B" w:rsidP="0067056B">
      <w:pPr>
        <w:spacing w:line="240" w:lineRule="auto"/>
        <w:rPr>
          <w:rFonts w:eastAsia="Times New Roman" w:cs="Arial"/>
          <w:color w:val="000000"/>
          <w:u w:val="single"/>
          <w:lang w:eastAsia="bg-BG"/>
        </w:rPr>
      </w:pPr>
    </w:p>
    <w:p w14:paraId="676D9BA1" w14:textId="36F175AF" w:rsidR="0067056B" w:rsidRPr="0067056B" w:rsidRDefault="0067056B" w:rsidP="0067056B">
      <w:pPr>
        <w:spacing w:line="240" w:lineRule="auto"/>
        <w:rPr>
          <w:rFonts w:eastAsia="Times New Roman" w:cs="Arial"/>
        </w:rPr>
      </w:pPr>
      <w:r w:rsidRPr="0067056B">
        <w:rPr>
          <w:rFonts w:eastAsia="Times New Roman" w:cs="Arial"/>
          <w:color w:val="000000"/>
          <w:u w:val="single"/>
          <w:lang w:eastAsia="bg-BG"/>
        </w:rPr>
        <w:t>Механизъм на действие</w:t>
      </w:r>
    </w:p>
    <w:p w14:paraId="11169E50" w14:textId="77777777" w:rsidR="0067056B" w:rsidRDefault="0067056B" w:rsidP="0067056B">
      <w:pPr>
        <w:spacing w:line="240" w:lineRule="auto"/>
        <w:rPr>
          <w:rFonts w:eastAsia="Times New Roman" w:cs="Arial"/>
          <w:i/>
          <w:iCs/>
          <w:color w:val="000000"/>
          <w:lang w:eastAsia="bg-BG"/>
        </w:rPr>
      </w:pPr>
    </w:p>
    <w:p w14:paraId="72F86965" w14:textId="7430D98B"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Рамиприл</w:t>
      </w:r>
    </w:p>
    <w:p w14:paraId="3EF035D6"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II). В плазмата и тъканите този ензим катализира конвертирането на ангиотензин 1 до активния вазоконстриктор ангиотензин II, както и инхибира разграждането на активния вазодилататор брадикинин. Пониженото образуване на ангиотензин II и ихибиране на разграждането на брадикинин водят до вазодилатация.</w:t>
      </w:r>
    </w:p>
    <w:p w14:paraId="1DC84EF4" w14:textId="77777777" w:rsidR="0067056B" w:rsidRDefault="0067056B" w:rsidP="0067056B">
      <w:pPr>
        <w:spacing w:line="240" w:lineRule="auto"/>
        <w:rPr>
          <w:rFonts w:eastAsia="Times New Roman" w:cs="Arial"/>
          <w:color w:val="000000"/>
          <w:lang w:eastAsia="bg-BG"/>
        </w:rPr>
      </w:pPr>
    </w:p>
    <w:p w14:paraId="204E2D2F" w14:textId="1BB22F2B" w:rsidR="0067056B" w:rsidRPr="0067056B" w:rsidRDefault="0067056B" w:rsidP="0067056B">
      <w:pPr>
        <w:spacing w:line="240" w:lineRule="auto"/>
        <w:rPr>
          <w:rFonts w:eastAsia="Times New Roman" w:cs="Arial"/>
        </w:rPr>
      </w:pPr>
      <w:r w:rsidRPr="0067056B">
        <w:rPr>
          <w:rFonts w:eastAsia="Times New Roman" w:cs="Arial"/>
          <w:color w:val="000000"/>
          <w:lang w:eastAsia="bg-BG"/>
        </w:rPr>
        <w:t>Тъй като ангиотензин П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 инхибитор е по-слабо при чернокожи (афро-карибска раса) хипертонични пациенти (обикновено популация с хипертония с нисък ренин), отколкото при нечернокожи пациенти.</w:t>
      </w:r>
    </w:p>
    <w:p w14:paraId="1DA9F1E9" w14:textId="77777777" w:rsidR="0067056B" w:rsidRDefault="0067056B" w:rsidP="0067056B">
      <w:pPr>
        <w:spacing w:line="240" w:lineRule="auto"/>
        <w:rPr>
          <w:rFonts w:eastAsia="Times New Roman" w:cs="Arial"/>
          <w:i/>
          <w:iCs/>
          <w:color w:val="000000"/>
          <w:lang w:eastAsia="bg-BG"/>
        </w:rPr>
      </w:pPr>
    </w:p>
    <w:p w14:paraId="722820C3" w14:textId="2BC41D6F"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Хидрохлоротиазид</w:t>
      </w:r>
    </w:p>
    <w:p w14:paraId="087DDDFE"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Хидрохлоротиазид е тиазиден диуретик. Механизмът на антихипертензивния ефект на тиазидните диуретици не е напълно изяснен. Те инхибират реабсорбцията на натрий и хлориди в дисталните тубули. Повишената бъбречна екскреция на тези йони се съпътства от повишено отделяне на урина (поради осмотичното свързване на вода). Калиевата и магнезиева екскреция се повишават, намалява се екскрецията на пикочна киселина.</w:t>
      </w:r>
    </w:p>
    <w:p w14:paraId="5FBA0435"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Възможен механизъм на антихипертензивно действие на хидрохлоротиазида може да бъде: променен натриев баланс, намаляване количеството на екстрацелуларната течност </w:t>
      </w:r>
      <w:r w:rsidRPr="0067056B">
        <w:rPr>
          <w:rFonts w:eastAsia="Times New Roman" w:cs="Arial"/>
          <w:color w:val="000000"/>
          <w:lang w:eastAsia="bg-BG"/>
        </w:rPr>
        <w:lastRenderedPageBreak/>
        <w:t>и плазмения обем, промяна в бъбречната съдовата резистентност, както и понижен отговор към норепинефрин и ангиотензин II.</w:t>
      </w:r>
    </w:p>
    <w:p w14:paraId="42FE3628" w14:textId="77777777" w:rsidR="0067056B" w:rsidRDefault="0067056B" w:rsidP="0067056B">
      <w:pPr>
        <w:spacing w:line="240" w:lineRule="auto"/>
        <w:rPr>
          <w:rFonts w:eastAsia="Times New Roman" w:cs="Arial"/>
          <w:color w:val="000000"/>
          <w:u w:val="single"/>
          <w:lang w:eastAsia="bg-BG"/>
        </w:rPr>
      </w:pPr>
    </w:p>
    <w:p w14:paraId="7E404229" w14:textId="2889A150" w:rsidR="0067056B" w:rsidRPr="0067056B" w:rsidRDefault="0067056B" w:rsidP="0067056B">
      <w:pPr>
        <w:spacing w:line="240" w:lineRule="auto"/>
        <w:rPr>
          <w:rFonts w:eastAsia="Times New Roman" w:cs="Arial"/>
        </w:rPr>
      </w:pPr>
      <w:r w:rsidRPr="0067056B">
        <w:rPr>
          <w:rFonts w:eastAsia="Times New Roman" w:cs="Arial"/>
          <w:color w:val="000000"/>
          <w:u w:val="single"/>
          <w:lang w:eastAsia="bg-BG"/>
        </w:rPr>
        <w:t>Фармакодинамични ефекти</w:t>
      </w:r>
    </w:p>
    <w:p w14:paraId="4C9CC1A7" w14:textId="77777777" w:rsidR="0067056B" w:rsidRDefault="0067056B" w:rsidP="0067056B">
      <w:pPr>
        <w:spacing w:line="240" w:lineRule="auto"/>
        <w:rPr>
          <w:rFonts w:eastAsia="Times New Roman" w:cs="Arial"/>
          <w:i/>
          <w:iCs/>
          <w:color w:val="000000"/>
          <w:lang w:eastAsia="bg-BG"/>
        </w:rPr>
      </w:pPr>
    </w:p>
    <w:p w14:paraId="02372818" w14:textId="2D7069EF"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Рамиприл</w:t>
      </w:r>
    </w:p>
    <w:p w14:paraId="1909C450"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повишаване на сърдечната честота.</w:t>
      </w:r>
    </w:p>
    <w:p w14:paraId="26BCEF42"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При повечето пациенти началото на антихипертензивния ефект на еднократната доза се проявява 1 до 2 часа след перорално приложение. Пиковият ефект на еднократната доза обикновено се достига 3 до 6 часа след перорално приложение.</w:t>
      </w:r>
    </w:p>
    <w:p w14:paraId="39337851"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Антихипертензивният ефект на еднократна доза обикновено продължава 24 часа.</w:t>
      </w:r>
    </w:p>
    <w:p w14:paraId="069B7DE4"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w:t>
      </w:r>
    </w:p>
    <w:p w14:paraId="16394BBA"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Рязкото прекъсване приема на рамиприл не води до бърз и прекомерен ребаунд ефект на повишаване на кръвното налягане.</w:t>
      </w:r>
    </w:p>
    <w:p w14:paraId="76AAC1CB" w14:textId="77777777" w:rsidR="0067056B" w:rsidRDefault="0067056B" w:rsidP="0067056B">
      <w:pPr>
        <w:spacing w:line="240" w:lineRule="auto"/>
        <w:rPr>
          <w:rFonts w:eastAsia="Times New Roman" w:cs="Arial"/>
          <w:i/>
          <w:iCs/>
          <w:color w:val="000000"/>
          <w:lang w:eastAsia="bg-BG"/>
        </w:rPr>
      </w:pPr>
    </w:p>
    <w:p w14:paraId="2F1AE561" w14:textId="34BDF69D"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Хидрохлоротиазид</w:t>
      </w:r>
    </w:p>
    <w:p w14:paraId="35DE86AB"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С хидрохлоротиазид началото на диурезата настъпва до 2 часа и пиковият ефект настъпва до 4 часа, като действието продължава приблизително 6 до 12 часа.</w:t>
      </w:r>
    </w:p>
    <w:p w14:paraId="34E10C16"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Началото на антихипертензивния ефект настъпва след 3 до 4 дни и може да продължи до една седмица след прекратяване на терапията.</w:t>
      </w:r>
    </w:p>
    <w:p w14:paraId="04E11273" w14:textId="7555ABB1" w:rsidR="0067056B" w:rsidRPr="0067056B" w:rsidRDefault="0067056B" w:rsidP="0067056B">
      <w:pPr>
        <w:rPr>
          <w:rFonts w:eastAsia="Times New Roman" w:cs="Arial"/>
          <w:color w:val="000000"/>
          <w:lang w:eastAsia="bg-BG"/>
        </w:rPr>
      </w:pPr>
      <w:r w:rsidRPr="0067056B">
        <w:rPr>
          <w:rFonts w:eastAsia="Times New Roman" w:cs="Arial"/>
          <w:color w:val="000000"/>
          <w:lang w:eastAsia="bg-BG"/>
        </w:rPr>
        <w:t>Ефектът на понижаване на кръвното налягане се придружава от леко повишаване на фракцията на филтриране, бъбречната съдовата резистентност и активността на плазмения ренин</w:t>
      </w:r>
    </w:p>
    <w:p w14:paraId="26A9EC90" w14:textId="7B9FD8B8" w:rsidR="0067056B" w:rsidRDefault="0067056B" w:rsidP="0067056B"/>
    <w:p w14:paraId="6408B71E" w14:textId="77777777"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Едновременно прилагане на рамиприл-хидрохпоротиазид</w:t>
      </w:r>
    </w:p>
    <w:p w14:paraId="3D65F66E" w14:textId="77777777" w:rsidR="0067056B" w:rsidRPr="0067056B" w:rsidRDefault="0067056B" w:rsidP="0067056B">
      <w:pPr>
        <w:spacing w:line="240" w:lineRule="auto"/>
        <w:rPr>
          <w:rFonts w:eastAsia="Times New Roman" w:cs="Arial"/>
        </w:rPr>
      </w:pPr>
      <w:r w:rsidRPr="0067056B">
        <w:rPr>
          <w:rFonts w:eastAsia="Times New Roman" w:cs="Arial"/>
          <w:color w:val="000000"/>
          <w:lang w:eastAsia="bg-BG"/>
        </w:rPr>
        <w:t>При клинични изпитвания комбинацията води до по-голямо намаляване на кръвното налягане, отколкото при самостоятелното прилагане на продуктите. Вероятно чрез блокиране на ренин- ангиотензин-алдостерон системата, едновременното прилагане нарамиприл и хидрохлоротиазид води до обратима загубата на калий, свързана с този клас диуретици. Комбинацията от АСЕ инхибитор с тиазиден диуретик дава синергичен ефект и намаляване на риска от хипокалиемия, провокирана при самостоятелна употреба на диуретика.</w:t>
      </w:r>
    </w:p>
    <w:p w14:paraId="056C2C74" w14:textId="77777777" w:rsidR="0067056B" w:rsidRDefault="0067056B" w:rsidP="0067056B">
      <w:pPr>
        <w:spacing w:line="240" w:lineRule="auto"/>
        <w:rPr>
          <w:rFonts w:eastAsia="Times New Roman" w:cs="Arial"/>
          <w:color w:val="000000"/>
          <w:u w:val="single"/>
          <w:lang w:eastAsia="bg-BG"/>
        </w:rPr>
      </w:pPr>
    </w:p>
    <w:p w14:paraId="0BABAF75" w14:textId="70DDBB6D" w:rsidR="0067056B" w:rsidRPr="0067056B" w:rsidRDefault="0067056B" w:rsidP="0067056B">
      <w:pPr>
        <w:spacing w:line="240" w:lineRule="auto"/>
        <w:rPr>
          <w:rFonts w:eastAsia="Times New Roman" w:cs="Arial"/>
        </w:rPr>
      </w:pPr>
      <w:r w:rsidRPr="0067056B">
        <w:rPr>
          <w:rFonts w:eastAsia="Times New Roman" w:cs="Arial"/>
          <w:color w:val="000000"/>
          <w:u w:val="single"/>
          <w:lang w:eastAsia="bg-BG"/>
        </w:rPr>
        <w:t>Клинична ефикасност и безопасност</w:t>
      </w:r>
    </w:p>
    <w:p w14:paraId="60A5D488" w14:textId="77777777" w:rsidR="0067056B" w:rsidRDefault="0067056B" w:rsidP="0067056B">
      <w:pPr>
        <w:spacing w:line="240" w:lineRule="auto"/>
        <w:rPr>
          <w:rFonts w:eastAsia="Times New Roman" w:cs="Arial"/>
          <w:i/>
          <w:iCs/>
          <w:color w:val="000000"/>
          <w:lang w:eastAsia="bg-BG"/>
        </w:rPr>
      </w:pPr>
    </w:p>
    <w:p w14:paraId="5476D8A5" w14:textId="21F21F41"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Лека до умерена есенциална хипертония</w:t>
      </w:r>
    </w:p>
    <w:p w14:paraId="63260896" w14:textId="77777777" w:rsidR="0067056B" w:rsidRDefault="0067056B" w:rsidP="0067056B">
      <w:pPr>
        <w:spacing w:line="240" w:lineRule="auto"/>
        <w:rPr>
          <w:rFonts w:eastAsia="Times New Roman" w:cs="Arial"/>
          <w:color w:val="000000"/>
          <w:lang w:eastAsia="bg-BG"/>
        </w:rPr>
      </w:pPr>
    </w:p>
    <w:p w14:paraId="6E62142B" w14:textId="54D75007"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Ефикасността на рамиприл/хидрохлоротиазид е демонстрирана в две проучвания, включващи пациенти с лека до умерена есенциална хипертония. Първото проучване (534 пациенти) е проучване на дозовия диапазон, сравняващо самостоятелно приложение на рамилрил (2,5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до 10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и хидрохлоротиазид (12,5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или 25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или в комбинация. Лечението е прилагано шест седмици след две до 4 седмици начална фаза на плацебо. Ефикасността е оценена чрез измерване намаляването на кръвното налягане в изправено състояние и легнало положение от края на плацебо фазата до приключването </w:t>
      </w:r>
      <w:r w:rsidRPr="0067056B">
        <w:rPr>
          <w:rFonts w:eastAsia="Times New Roman" w:cs="Arial"/>
          <w:color w:val="000000"/>
          <w:lang w:eastAsia="bg-BG"/>
        </w:rPr>
        <w:lastRenderedPageBreak/>
        <w:t xml:space="preserve">на проучването (последното измерване на всеки пациент. За най-ефективната антихипертензивна доза са потвърдени десетте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(10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рамиприл. Комбинираната терапия с рамиприл и хидрохлоротиазид предизвиква значително по-голямо понижение в кръвното налягане спрямо рамиприл или хидрохлоротиазид, прилагани самостоятелно (р &lt; 0.05 за повечето от сравненията); рамиприл 10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е по-ефективен, когато е комбиниран с 12,5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или 25 </w:t>
      </w:r>
      <w:r w:rsidRPr="0067056B">
        <w:rPr>
          <w:rFonts w:eastAsia="Times New Roman" w:cs="Arial"/>
          <w:color w:val="000000"/>
          <w:lang w:val="en-US"/>
        </w:rPr>
        <w:t>mg</w:t>
      </w:r>
      <w:r w:rsidRPr="0067056B">
        <w:rPr>
          <w:rFonts w:eastAsia="Times New Roman" w:cs="Arial"/>
          <w:color w:val="000000"/>
          <w:lang w:val="ru-RU"/>
        </w:rPr>
        <w:t>.</w:t>
      </w:r>
    </w:p>
    <w:p w14:paraId="5060515F" w14:textId="77777777" w:rsidR="00231F7D" w:rsidRDefault="00231F7D" w:rsidP="0067056B">
      <w:pPr>
        <w:spacing w:line="240" w:lineRule="auto"/>
        <w:rPr>
          <w:rFonts w:eastAsia="Times New Roman" w:cs="Arial"/>
          <w:color w:val="000000"/>
          <w:lang w:eastAsia="bg-BG"/>
        </w:rPr>
      </w:pPr>
    </w:p>
    <w:p w14:paraId="43ACBAD8" w14:textId="3A9DBCC9"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Второто проучване (192 пациени) е двойно-сляпо, рандомизирано, паралено групово с четириседмичен начален период на плацебо, последван от 12 седмици активно лечение. По време на първите 6 седмици от фазата на активно лечение, пациентите приемат или рамиприл 10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или хидрохлоротиазид 50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самостоятелно.</w:t>
      </w:r>
    </w:p>
    <w:p w14:paraId="20541D5A" w14:textId="77777777" w:rsidR="00231F7D" w:rsidRDefault="00231F7D" w:rsidP="0067056B">
      <w:pPr>
        <w:spacing w:line="240" w:lineRule="auto"/>
        <w:rPr>
          <w:rFonts w:eastAsia="Times New Roman" w:cs="Arial"/>
          <w:color w:val="000000"/>
          <w:lang w:eastAsia="bg-BG"/>
        </w:rPr>
      </w:pPr>
    </w:p>
    <w:p w14:paraId="5488C8CF" w14:textId="1A1E8800" w:rsidR="0067056B" w:rsidRPr="0067056B" w:rsidRDefault="0067056B" w:rsidP="0067056B">
      <w:pPr>
        <w:spacing w:line="240" w:lineRule="auto"/>
        <w:rPr>
          <w:rFonts w:eastAsia="Times New Roman" w:cs="Arial"/>
        </w:rPr>
      </w:pPr>
      <w:r w:rsidRPr="0067056B">
        <w:rPr>
          <w:rFonts w:eastAsia="Times New Roman" w:cs="Arial"/>
          <w:color w:val="000000"/>
          <w:lang w:eastAsia="bg-BG"/>
        </w:rPr>
        <w:t xml:space="preserve">Ефикасността се определя чрез измерване на </w:t>
      </w:r>
      <w:r w:rsidRPr="0067056B">
        <w:rPr>
          <w:rFonts w:eastAsia="Times New Roman" w:cs="Arial"/>
          <w:color w:val="000000"/>
          <w:lang w:val="en-US"/>
        </w:rPr>
        <w:t>SBP</w:t>
      </w:r>
      <w:r w:rsidRPr="0067056B">
        <w:rPr>
          <w:rFonts w:eastAsia="Times New Roman" w:cs="Arial"/>
          <w:color w:val="000000"/>
          <w:lang w:val="ru-RU"/>
        </w:rPr>
        <w:t xml:space="preserve"> </w:t>
      </w:r>
      <w:r w:rsidRPr="0067056B">
        <w:rPr>
          <w:rFonts w:eastAsia="Times New Roman" w:cs="Arial"/>
          <w:color w:val="000000"/>
          <w:lang w:eastAsia="bg-BG"/>
        </w:rPr>
        <w:t xml:space="preserve">и </w:t>
      </w:r>
      <w:r w:rsidRPr="0067056B">
        <w:rPr>
          <w:rFonts w:eastAsia="Times New Roman" w:cs="Arial"/>
          <w:color w:val="000000"/>
          <w:lang w:val="en-US"/>
        </w:rPr>
        <w:t>DBP</w:t>
      </w:r>
      <w:r w:rsidRPr="0067056B">
        <w:rPr>
          <w:rFonts w:eastAsia="Times New Roman" w:cs="Arial"/>
          <w:color w:val="000000"/>
          <w:lang w:val="ru-RU"/>
        </w:rPr>
        <w:t xml:space="preserve"> </w:t>
      </w:r>
      <w:r w:rsidRPr="0067056B">
        <w:rPr>
          <w:rFonts w:eastAsia="Times New Roman" w:cs="Arial"/>
          <w:color w:val="000000"/>
          <w:lang w:eastAsia="bg-BG"/>
        </w:rPr>
        <w:t xml:space="preserve">в изправено положение. Като отговор на лечението се дефинира </w:t>
      </w:r>
      <w:r w:rsidRPr="0067056B">
        <w:rPr>
          <w:rFonts w:eastAsia="Times New Roman" w:cs="Arial"/>
          <w:color w:val="000000"/>
          <w:lang w:val="en-US"/>
        </w:rPr>
        <w:t>DBP</w:t>
      </w:r>
      <w:r w:rsidRPr="0067056B">
        <w:rPr>
          <w:rFonts w:eastAsia="Times New Roman" w:cs="Arial"/>
          <w:color w:val="000000"/>
          <w:lang w:val="ru-RU"/>
        </w:rPr>
        <w:t xml:space="preserve"> </w:t>
      </w:r>
      <w:r w:rsidRPr="0067056B">
        <w:rPr>
          <w:rFonts w:eastAsia="Times New Roman" w:cs="Arial"/>
          <w:color w:val="000000"/>
          <w:lang w:eastAsia="bg-BG"/>
        </w:rPr>
        <w:t xml:space="preserve">&lt; 90 </w:t>
      </w:r>
      <w:r w:rsidRPr="0067056B">
        <w:rPr>
          <w:rFonts w:eastAsia="Times New Roman" w:cs="Arial"/>
          <w:color w:val="000000"/>
          <w:lang w:val="en-US"/>
        </w:rPr>
        <w:t>mm</w:t>
      </w:r>
      <w:r w:rsidRPr="0067056B">
        <w:rPr>
          <w:rFonts w:eastAsia="Times New Roman" w:cs="Arial"/>
          <w:color w:val="000000"/>
          <w:lang w:val="ru-RU"/>
        </w:rPr>
        <w:t xml:space="preserve"> </w:t>
      </w:r>
      <w:r w:rsidRPr="0067056B">
        <w:rPr>
          <w:rFonts w:eastAsia="Times New Roman" w:cs="Arial"/>
          <w:color w:val="000000"/>
          <w:lang w:val="en-US"/>
        </w:rPr>
        <w:t>Hg</w:t>
      </w:r>
      <w:r w:rsidRPr="0067056B">
        <w:rPr>
          <w:rFonts w:eastAsia="Times New Roman" w:cs="Arial"/>
          <w:color w:val="000000"/>
          <w:lang w:val="ru-RU"/>
        </w:rPr>
        <w:t xml:space="preserve"> </w:t>
      </w:r>
      <w:r w:rsidRPr="0067056B">
        <w:rPr>
          <w:rFonts w:eastAsia="Times New Roman" w:cs="Arial"/>
          <w:color w:val="000000"/>
          <w:lang w:eastAsia="bg-BG"/>
        </w:rPr>
        <w:t xml:space="preserve">в изправено или легнало положение. По време на втората активна фаза на лечение, пациентите, неотговорили в края на шест седмичната фаза на монотерапия получават свободна комбинация от рамиприл 10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и хидрохлоротиазид 50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В края на първата шестседмична фаза на монотерапия, средното понижение на </w:t>
      </w:r>
      <w:r w:rsidRPr="0067056B">
        <w:rPr>
          <w:rFonts w:eastAsia="Times New Roman" w:cs="Arial"/>
          <w:color w:val="000000"/>
          <w:lang w:val="en-US"/>
        </w:rPr>
        <w:t>SBP</w:t>
      </w:r>
      <w:r w:rsidRPr="0067056B">
        <w:rPr>
          <w:rFonts w:eastAsia="Times New Roman" w:cs="Arial"/>
          <w:color w:val="000000"/>
          <w:lang w:val="ru-RU"/>
        </w:rPr>
        <w:t xml:space="preserve"> </w:t>
      </w:r>
      <w:r w:rsidRPr="0067056B">
        <w:rPr>
          <w:rFonts w:eastAsia="Times New Roman" w:cs="Arial"/>
          <w:color w:val="000000"/>
          <w:lang w:eastAsia="bg-BG"/>
        </w:rPr>
        <w:t xml:space="preserve">в легнало положение е 15,5 </w:t>
      </w:r>
      <w:r w:rsidRPr="0067056B">
        <w:rPr>
          <w:rFonts w:eastAsia="Times New Roman" w:cs="Arial"/>
          <w:color w:val="000000"/>
          <w:lang w:val="en-US"/>
        </w:rPr>
        <w:t>mm</w:t>
      </w:r>
      <w:r w:rsidRPr="0067056B">
        <w:rPr>
          <w:rFonts w:eastAsia="Times New Roman" w:cs="Arial"/>
          <w:color w:val="000000"/>
          <w:lang w:val="ru-RU"/>
        </w:rPr>
        <w:t xml:space="preserve"> </w:t>
      </w:r>
      <w:r w:rsidRPr="0067056B">
        <w:rPr>
          <w:rFonts w:eastAsia="Times New Roman" w:cs="Arial"/>
          <w:color w:val="000000"/>
          <w:lang w:val="en-US"/>
        </w:rPr>
        <w:t>Hg</w:t>
      </w:r>
      <w:r w:rsidRPr="0067056B">
        <w:rPr>
          <w:rFonts w:eastAsia="Times New Roman" w:cs="Arial"/>
          <w:color w:val="000000"/>
          <w:lang w:val="ru-RU"/>
        </w:rPr>
        <w:t xml:space="preserve"> </w:t>
      </w:r>
      <w:r w:rsidRPr="0067056B">
        <w:rPr>
          <w:rFonts w:eastAsia="Times New Roman" w:cs="Arial"/>
          <w:color w:val="000000"/>
          <w:lang w:eastAsia="bg-BG"/>
        </w:rPr>
        <w:t xml:space="preserve">при групата на хидрохлоротиазид 50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и 11,1 </w:t>
      </w:r>
      <w:r w:rsidRPr="0067056B">
        <w:rPr>
          <w:rFonts w:eastAsia="Times New Roman" w:cs="Arial"/>
          <w:color w:val="000000"/>
          <w:lang w:val="en-US"/>
        </w:rPr>
        <w:t>mm</w:t>
      </w:r>
      <w:r w:rsidRPr="0067056B">
        <w:rPr>
          <w:rFonts w:eastAsia="Times New Roman" w:cs="Arial"/>
          <w:color w:val="000000"/>
          <w:lang w:val="ru-RU"/>
        </w:rPr>
        <w:t xml:space="preserve"> </w:t>
      </w:r>
      <w:r w:rsidRPr="0067056B">
        <w:rPr>
          <w:rFonts w:eastAsia="Times New Roman" w:cs="Arial"/>
          <w:color w:val="000000"/>
          <w:lang w:val="en-US"/>
        </w:rPr>
        <w:t>Hg</w:t>
      </w:r>
      <w:r w:rsidRPr="0067056B">
        <w:rPr>
          <w:rFonts w:eastAsia="Times New Roman" w:cs="Arial"/>
          <w:color w:val="000000"/>
          <w:lang w:val="ru-RU"/>
        </w:rPr>
        <w:t xml:space="preserve"> </w:t>
      </w:r>
      <w:r w:rsidRPr="0067056B">
        <w:rPr>
          <w:rFonts w:eastAsia="Times New Roman" w:cs="Arial"/>
          <w:color w:val="000000"/>
          <w:lang w:eastAsia="bg-BG"/>
        </w:rPr>
        <w:t xml:space="preserve">при групата на рамиприл 10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съответните стойности на </w:t>
      </w:r>
      <w:r w:rsidRPr="0067056B">
        <w:rPr>
          <w:rFonts w:eastAsia="Times New Roman" w:cs="Arial"/>
          <w:color w:val="000000"/>
          <w:lang w:val="en-US"/>
        </w:rPr>
        <w:t>SBP</w:t>
      </w:r>
      <w:r w:rsidRPr="0067056B">
        <w:rPr>
          <w:rFonts w:eastAsia="Times New Roman" w:cs="Arial"/>
          <w:color w:val="000000"/>
          <w:lang w:val="ru-RU"/>
        </w:rPr>
        <w:t xml:space="preserve"> </w:t>
      </w:r>
      <w:r w:rsidRPr="0067056B">
        <w:rPr>
          <w:rFonts w:eastAsia="Times New Roman" w:cs="Arial"/>
          <w:color w:val="000000"/>
          <w:lang w:eastAsia="bg-BG"/>
        </w:rPr>
        <w:t xml:space="preserve">в изправено положение са 14,5 и 8,4 </w:t>
      </w:r>
      <w:r w:rsidRPr="0067056B">
        <w:rPr>
          <w:rFonts w:eastAsia="Times New Roman" w:cs="Arial"/>
          <w:color w:val="000000"/>
          <w:lang w:val="en-US"/>
        </w:rPr>
        <w:t>mm</w:t>
      </w:r>
      <w:r w:rsidRPr="0067056B">
        <w:rPr>
          <w:rFonts w:eastAsia="Times New Roman" w:cs="Arial"/>
          <w:color w:val="000000"/>
          <w:lang w:val="ru-RU"/>
        </w:rPr>
        <w:t xml:space="preserve"> </w:t>
      </w:r>
      <w:r w:rsidRPr="0067056B">
        <w:rPr>
          <w:rFonts w:eastAsia="Times New Roman" w:cs="Arial"/>
          <w:color w:val="000000"/>
          <w:lang w:val="en-US"/>
        </w:rPr>
        <w:t>Hg</w:t>
      </w:r>
      <w:r w:rsidRPr="0067056B">
        <w:rPr>
          <w:rFonts w:eastAsia="Times New Roman" w:cs="Arial"/>
          <w:color w:val="000000"/>
          <w:lang w:val="ru-RU"/>
        </w:rPr>
        <w:t xml:space="preserve">. </w:t>
      </w:r>
      <w:r w:rsidRPr="0067056B">
        <w:rPr>
          <w:rFonts w:eastAsia="Times New Roman" w:cs="Arial"/>
          <w:color w:val="000000"/>
          <w:lang w:eastAsia="bg-BG"/>
        </w:rPr>
        <w:t xml:space="preserve">Средното понижение на </w:t>
      </w:r>
      <w:r w:rsidRPr="0067056B">
        <w:rPr>
          <w:rFonts w:eastAsia="Times New Roman" w:cs="Arial"/>
          <w:color w:val="000000"/>
          <w:lang w:val="en-US"/>
        </w:rPr>
        <w:t>DBP</w:t>
      </w:r>
      <w:r w:rsidRPr="0067056B">
        <w:rPr>
          <w:rFonts w:eastAsia="Times New Roman" w:cs="Arial"/>
          <w:color w:val="000000"/>
          <w:lang w:val="ru-RU"/>
        </w:rPr>
        <w:t xml:space="preserve"> </w:t>
      </w:r>
      <w:r w:rsidRPr="0067056B">
        <w:rPr>
          <w:rFonts w:eastAsia="Times New Roman" w:cs="Arial"/>
          <w:color w:val="000000"/>
          <w:lang w:eastAsia="bg-BG"/>
        </w:rPr>
        <w:t xml:space="preserve">в легнало положение е 10,7 </w:t>
      </w:r>
      <w:r w:rsidRPr="0067056B">
        <w:rPr>
          <w:rFonts w:eastAsia="Times New Roman" w:cs="Arial"/>
          <w:color w:val="000000"/>
          <w:lang w:val="en-US"/>
        </w:rPr>
        <w:t>mm</w:t>
      </w:r>
      <w:r w:rsidRPr="0067056B">
        <w:rPr>
          <w:rFonts w:eastAsia="Times New Roman" w:cs="Arial"/>
          <w:color w:val="000000"/>
          <w:lang w:val="ru-RU"/>
        </w:rPr>
        <w:t xml:space="preserve"> </w:t>
      </w:r>
      <w:r w:rsidRPr="0067056B">
        <w:rPr>
          <w:rFonts w:eastAsia="Times New Roman" w:cs="Arial"/>
          <w:color w:val="000000"/>
          <w:lang w:val="en-US"/>
        </w:rPr>
        <w:t>Hg</w:t>
      </w:r>
      <w:r w:rsidRPr="0067056B">
        <w:rPr>
          <w:rFonts w:eastAsia="Times New Roman" w:cs="Arial"/>
          <w:color w:val="000000"/>
          <w:lang w:val="ru-RU"/>
        </w:rPr>
        <w:t xml:space="preserve"> </w:t>
      </w:r>
      <w:r w:rsidRPr="0067056B">
        <w:rPr>
          <w:rFonts w:eastAsia="Times New Roman" w:cs="Arial"/>
          <w:color w:val="000000"/>
          <w:lang w:eastAsia="bg-BG"/>
        </w:rPr>
        <w:t xml:space="preserve">при групата на хидрохлоротиазид 50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и 9,0 </w:t>
      </w:r>
      <w:r w:rsidRPr="0067056B">
        <w:rPr>
          <w:rFonts w:eastAsia="Times New Roman" w:cs="Arial"/>
          <w:color w:val="000000"/>
          <w:lang w:val="en-US"/>
        </w:rPr>
        <w:t>mm</w:t>
      </w:r>
      <w:r w:rsidRPr="0067056B">
        <w:rPr>
          <w:rFonts w:eastAsia="Times New Roman" w:cs="Arial"/>
          <w:color w:val="000000"/>
          <w:lang w:val="ru-RU"/>
        </w:rPr>
        <w:t xml:space="preserve"> </w:t>
      </w:r>
      <w:r w:rsidRPr="0067056B">
        <w:rPr>
          <w:rFonts w:eastAsia="Times New Roman" w:cs="Arial"/>
          <w:color w:val="000000"/>
          <w:lang w:val="en-US"/>
        </w:rPr>
        <w:t>Hg</w:t>
      </w:r>
      <w:r w:rsidRPr="0067056B">
        <w:rPr>
          <w:rFonts w:eastAsia="Times New Roman" w:cs="Arial"/>
          <w:color w:val="000000"/>
          <w:lang w:val="ru-RU"/>
        </w:rPr>
        <w:t xml:space="preserve"> </w:t>
      </w:r>
      <w:r w:rsidRPr="0067056B">
        <w:rPr>
          <w:rFonts w:eastAsia="Times New Roman" w:cs="Arial"/>
          <w:color w:val="000000"/>
          <w:lang w:eastAsia="bg-BG"/>
        </w:rPr>
        <w:t xml:space="preserve">при групата на рамиприл 10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съответните стойности на </w:t>
      </w:r>
      <w:r w:rsidRPr="0067056B">
        <w:rPr>
          <w:rFonts w:eastAsia="Times New Roman" w:cs="Arial"/>
          <w:color w:val="000000"/>
          <w:lang w:val="en-US"/>
        </w:rPr>
        <w:t>DBP</w:t>
      </w:r>
      <w:r w:rsidRPr="0067056B">
        <w:rPr>
          <w:rFonts w:eastAsia="Times New Roman" w:cs="Arial"/>
          <w:color w:val="000000"/>
          <w:lang w:val="ru-RU"/>
        </w:rPr>
        <w:t xml:space="preserve"> </w:t>
      </w:r>
      <w:r w:rsidRPr="0067056B">
        <w:rPr>
          <w:rFonts w:eastAsia="Times New Roman" w:cs="Arial"/>
          <w:color w:val="000000"/>
          <w:lang w:eastAsia="bg-BG"/>
        </w:rPr>
        <w:t xml:space="preserve">в изправено положение са 11,3 и 7,9 </w:t>
      </w:r>
      <w:r w:rsidRPr="0067056B">
        <w:rPr>
          <w:rFonts w:eastAsia="Times New Roman" w:cs="Arial"/>
          <w:color w:val="000000"/>
          <w:lang w:val="en-US"/>
        </w:rPr>
        <w:t>mm</w:t>
      </w:r>
      <w:r w:rsidRPr="0067056B">
        <w:rPr>
          <w:rFonts w:eastAsia="Times New Roman" w:cs="Arial"/>
          <w:color w:val="000000"/>
          <w:lang w:val="ru-RU"/>
        </w:rPr>
        <w:t xml:space="preserve"> </w:t>
      </w:r>
      <w:r w:rsidRPr="0067056B">
        <w:rPr>
          <w:rFonts w:eastAsia="Times New Roman" w:cs="Arial"/>
          <w:color w:val="000000"/>
          <w:lang w:val="en-US"/>
        </w:rPr>
        <w:t>Hg</w:t>
      </w:r>
      <w:r w:rsidRPr="0067056B">
        <w:rPr>
          <w:rFonts w:eastAsia="Times New Roman" w:cs="Arial"/>
          <w:color w:val="000000"/>
          <w:lang w:val="ru-RU"/>
        </w:rPr>
        <w:t xml:space="preserve">. </w:t>
      </w:r>
      <w:r w:rsidRPr="0067056B">
        <w:rPr>
          <w:rFonts w:eastAsia="Times New Roman" w:cs="Arial"/>
          <w:color w:val="000000"/>
          <w:lang w:eastAsia="bg-BG"/>
        </w:rPr>
        <w:t xml:space="preserve">Честотата на отговор след шест седмици е 52,1 % при групата на хидрохлоротиазид 50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и 37,7 % при групата на рамиприл 10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(тест за токсичност по </w:t>
      </w:r>
      <w:r w:rsidRPr="0067056B">
        <w:rPr>
          <w:rFonts w:eastAsia="Times New Roman" w:cs="Arial"/>
          <w:color w:val="000000"/>
          <w:lang w:val="en-US"/>
        </w:rPr>
        <w:t>Fisher</w:t>
      </w:r>
      <w:r w:rsidRPr="0067056B">
        <w:rPr>
          <w:rFonts w:eastAsia="Times New Roman" w:cs="Arial"/>
          <w:color w:val="000000"/>
          <w:lang w:val="ru-RU"/>
        </w:rPr>
        <w:t xml:space="preserve"> </w:t>
      </w:r>
      <w:r w:rsidRPr="0067056B">
        <w:rPr>
          <w:rFonts w:eastAsia="Times New Roman" w:cs="Arial"/>
          <w:color w:val="000000"/>
          <w:lang w:eastAsia="bg-BG"/>
        </w:rPr>
        <w:t xml:space="preserve">р=0.061). Сред 49-те пациенти, които не са отговорили на терапията в края на шест седмичната фаза на монотерапия с 50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 xml:space="preserve">хидрохлоротиазид 13 пациенти (37,1 %) са отговорили след добавяне на 10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рамиприл към дозата им хидрохлоротиазид.</w:t>
      </w:r>
    </w:p>
    <w:p w14:paraId="770D88ED" w14:textId="77777777" w:rsidR="00231F7D" w:rsidRDefault="00231F7D" w:rsidP="0067056B">
      <w:pPr>
        <w:spacing w:line="240" w:lineRule="auto"/>
        <w:rPr>
          <w:rFonts w:eastAsia="Times New Roman" w:cs="Arial"/>
          <w:i/>
          <w:iCs/>
          <w:color w:val="000000"/>
          <w:lang w:eastAsia="bg-BG"/>
        </w:rPr>
      </w:pPr>
    </w:p>
    <w:p w14:paraId="1E8C8CF6" w14:textId="55F6C5C2" w:rsidR="0067056B" w:rsidRPr="0067056B" w:rsidRDefault="0067056B" w:rsidP="0067056B">
      <w:pPr>
        <w:spacing w:line="240" w:lineRule="auto"/>
        <w:rPr>
          <w:rFonts w:eastAsia="Times New Roman" w:cs="Arial"/>
        </w:rPr>
      </w:pPr>
      <w:r w:rsidRPr="0067056B">
        <w:rPr>
          <w:rFonts w:eastAsia="Times New Roman" w:cs="Arial"/>
          <w:i/>
          <w:iCs/>
          <w:color w:val="000000"/>
          <w:lang w:eastAsia="bg-BG"/>
        </w:rPr>
        <w:t>Проучването НОРЕ</w:t>
      </w:r>
    </w:p>
    <w:p w14:paraId="714D7CDA" w14:textId="5D4AEA0D" w:rsidR="0067056B" w:rsidRDefault="0067056B" w:rsidP="0067056B">
      <w:pPr>
        <w:rPr>
          <w:rFonts w:eastAsia="Times New Roman" w:cs="Arial"/>
          <w:color w:val="000000"/>
          <w:lang w:eastAsia="bg-BG"/>
        </w:rPr>
      </w:pPr>
      <w:r w:rsidRPr="0067056B">
        <w:rPr>
          <w:rFonts w:eastAsia="Times New Roman" w:cs="Arial"/>
          <w:color w:val="000000"/>
          <w:lang w:eastAsia="bg-BG"/>
        </w:rPr>
        <w:t xml:space="preserve">В допълнение към антихипертензивния му ефект, рамиприл 10 </w:t>
      </w:r>
      <w:r w:rsidRPr="0067056B">
        <w:rPr>
          <w:rFonts w:eastAsia="Times New Roman" w:cs="Arial"/>
          <w:color w:val="000000"/>
          <w:lang w:val="en-US"/>
        </w:rPr>
        <w:t>mg</w:t>
      </w:r>
      <w:r w:rsidRPr="0067056B">
        <w:rPr>
          <w:rFonts w:eastAsia="Times New Roman" w:cs="Arial"/>
          <w:color w:val="000000"/>
          <w:lang w:val="ru-RU"/>
        </w:rPr>
        <w:t xml:space="preserve"> </w:t>
      </w:r>
      <w:r w:rsidRPr="0067056B">
        <w:rPr>
          <w:rFonts w:eastAsia="Times New Roman" w:cs="Arial"/>
          <w:color w:val="000000"/>
          <w:lang w:eastAsia="bg-BG"/>
        </w:rPr>
        <w:t>проявява положителен протективен ефект върху сърдечносъдовата система и бъбреците, който е независим от намаляването на кръвното налягане. Проведено е профилактично плацебо-контролирано проучване (проучването НОРЕ), при което е добавен рамиприл към стандартната терапия при повече от 9,200 пациенти. В проучването са включени пациенти с повишен риск от сърдечносъдово заболяване след или атеротромботично сърдечносъдово заболяване (анамнеза за коронарна болест на сърцето, инсулт или периферно съдово заболяване) или захарен диабет с поне един допълнителен рисков фактор (документирана микроалбуминурия, хипертония.</w:t>
      </w:r>
    </w:p>
    <w:p w14:paraId="1E01DB9A" w14:textId="4852657B" w:rsidR="00231F7D" w:rsidRDefault="00231F7D" w:rsidP="0067056B">
      <w:pPr>
        <w:rPr>
          <w:rFonts w:eastAsia="Times New Roman" w:cs="Arial"/>
          <w:color w:val="000000"/>
          <w:lang w:eastAsia="bg-BG"/>
        </w:rPr>
      </w:pPr>
    </w:p>
    <w:p w14:paraId="02861E74"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повишено ниво на общия холестерол, ниско ниво на липопротеин с висока плътност или тютюнопушене).</w:t>
      </w:r>
    </w:p>
    <w:p w14:paraId="6E4B00C9"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Проучването показва, че рамиприл статистически значимо намалява инцидентите на миокарден инфаркт, смърт поради сърдечносъдови причини и инсулт, самостоятелно и в комбинация (първично свързани събития).</w:t>
      </w:r>
    </w:p>
    <w:p w14:paraId="4475ABF9" w14:textId="77777777" w:rsidR="00231F7D" w:rsidRPr="00231F7D" w:rsidRDefault="00231F7D" w:rsidP="00231F7D">
      <w:pPr>
        <w:rPr>
          <w:rFonts w:eastAsia="Times New Roman" w:cs="Arial"/>
          <w:b/>
          <w:bCs/>
          <w:color w:val="000000"/>
          <w:u w:val="single"/>
          <w:lang w:eastAsia="bg-BG"/>
        </w:rPr>
      </w:pPr>
    </w:p>
    <w:p w14:paraId="1C0C04EA" w14:textId="44A30139" w:rsidR="00231F7D" w:rsidRDefault="00231F7D" w:rsidP="00231F7D">
      <w:pPr>
        <w:jc w:val="center"/>
        <w:rPr>
          <w:rFonts w:eastAsia="Times New Roman" w:cs="Arial"/>
          <w:b/>
          <w:bCs/>
          <w:color w:val="000000"/>
          <w:u w:val="single"/>
          <w:lang w:eastAsia="bg-BG"/>
        </w:rPr>
      </w:pPr>
      <w:r w:rsidRPr="00231F7D">
        <w:rPr>
          <w:rFonts w:eastAsia="Times New Roman" w:cs="Arial"/>
          <w:b/>
          <w:bCs/>
          <w:color w:val="000000"/>
          <w:u w:val="single"/>
          <w:lang w:eastAsia="bg-BG"/>
        </w:rPr>
        <w:t>Проучване НОРЕ: Основния резултати</w:t>
      </w:r>
    </w:p>
    <w:tbl>
      <w:tblPr>
        <w:tblStyle w:val="TableGrid"/>
        <w:tblW w:w="0" w:type="auto"/>
        <w:tblLook w:val="04A0" w:firstRow="1" w:lastRow="0" w:firstColumn="1" w:lastColumn="0" w:noHBand="0" w:noVBand="1"/>
      </w:tblPr>
      <w:tblGrid>
        <w:gridCol w:w="2704"/>
        <w:gridCol w:w="1552"/>
        <w:gridCol w:w="1448"/>
        <w:gridCol w:w="2286"/>
        <w:gridCol w:w="1360"/>
      </w:tblGrid>
      <w:tr w:rsidR="00231F7D" w14:paraId="493858AE" w14:textId="77777777" w:rsidTr="00231F7D">
        <w:tc>
          <w:tcPr>
            <w:tcW w:w="2774" w:type="dxa"/>
          </w:tcPr>
          <w:p w14:paraId="2264283C" w14:textId="77777777" w:rsidR="00231F7D" w:rsidRPr="00231F7D" w:rsidRDefault="00231F7D" w:rsidP="00231F7D">
            <w:pPr>
              <w:rPr>
                <w:rFonts w:cs="Arial"/>
              </w:rPr>
            </w:pPr>
          </w:p>
        </w:tc>
        <w:tc>
          <w:tcPr>
            <w:tcW w:w="1587" w:type="dxa"/>
          </w:tcPr>
          <w:p w14:paraId="77684376" w14:textId="60FEE3F3" w:rsidR="00231F7D" w:rsidRPr="00231F7D" w:rsidRDefault="00231F7D" w:rsidP="00231F7D">
            <w:pPr>
              <w:rPr>
                <w:rFonts w:cs="Arial"/>
              </w:rPr>
            </w:pPr>
            <w:r w:rsidRPr="00231F7D">
              <w:rPr>
                <w:u w:val="single"/>
              </w:rPr>
              <w:t>Рамиприл</w:t>
            </w:r>
          </w:p>
        </w:tc>
        <w:tc>
          <w:tcPr>
            <w:tcW w:w="1487" w:type="dxa"/>
          </w:tcPr>
          <w:p w14:paraId="75F0F283" w14:textId="2D7BBAD1" w:rsidR="00231F7D" w:rsidRPr="00231F7D" w:rsidRDefault="00231F7D" w:rsidP="00231F7D">
            <w:pPr>
              <w:rPr>
                <w:rFonts w:cs="Arial"/>
              </w:rPr>
            </w:pPr>
            <w:r w:rsidRPr="00231F7D">
              <w:rPr>
                <w:u w:val="single"/>
              </w:rPr>
              <w:t>Плацебо</w:t>
            </w:r>
          </w:p>
        </w:tc>
        <w:tc>
          <w:tcPr>
            <w:tcW w:w="2340" w:type="dxa"/>
            <w:vAlign w:val="bottom"/>
          </w:tcPr>
          <w:p w14:paraId="3794741E" w14:textId="7EBAC016" w:rsidR="00231F7D" w:rsidRPr="00231F7D" w:rsidRDefault="00231F7D" w:rsidP="00231F7D">
            <w:pPr>
              <w:rPr>
                <w:rFonts w:cs="Arial"/>
              </w:rPr>
            </w:pPr>
            <w:r w:rsidRPr="00231F7D">
              <w:rPr>
                <w:u w:val="single"/>
              </w:rPr>
              <w:t>Свързан риск (95% интервал на доверителпост)</w:t>
            </w:r>
          </w:p>
        </w:tc>
        <w:tc>
          <w:tcPr>
            <w:tcW w:w="1388" w:type="dxa"/>
          </w:tcPr>
          <w:p w14:paraId="5537655C" w14:textId="5D67F5DD" w:rsidR="00231F7D" w:rsidRPr="00231F7D" w:rsidRDefault="00231F7D" w:rsidP="00231F7D">
            <w:pPr>
              <w:rPr>
                <w:rFonts w:cs="Arial"/>
              </w:rPr>
            </w:pPr>
            <w:r w:rsidRPr="00231F7D">
              <w:rPr>
                <w:u w:val="single"/>
              </w:rPr>
              <w:t>р-стойност</w:t>
            </w:r>
          </w:p>
        </w:tc>
      </w:tr>
      <w:tr w:rsidR="00231F7D" w14:paraId="211A380D" w14:textId="77777777" w:rsidTr="00231F7D">
        <w:tc>
          <w:tcPr>
            <w:tcW w:w="2774" w:type="dxa"/>
          </w:tcPr>
          <w:p w14:paraId="11AEF862" w14:textId="77777777" w:rsidR="00231F7D" w:rsidRPr="00231F7D" w:rsidRDefault="00231F7D" w:rsidP="00231F7D">
            <w:pPr>
              <w:rPr>
                <w:rFonts w:cs="Arial"/>
              </w:rPr>
            </w:pPr>
          </w:p>
        </w:tc>
        <w:tc>
          <w:tcPr>
            <w:tcW w:w="1587" w:type="dxa"/>
            <w:vAlign w:val="center"/>
          </w:tcPr>
          <w:p w14:paraId="007B9408" w14:textId="78501272" w:rsidR="00231F7D" w:rsidRPr="00231F7D" w:rsidRDefault="00231F7D" w:rsidP="00231F7D">
            <w:pPr>
              <w:rPr>
                <w:rFonts w:cs="Arial"/>
              </w:rPr>
            </w:pPr>
            <w:r w:rsidRPr="00231F7D">
              <w:rPr>
                <w:u w:val="single"/>
              </w:rPr>
              <w:t>%</w:t>
            </w:r>
          </w:p>
        </w:tc>
        <w:tc>
          <w:tcPr>
            <w:tcW w:w="1487" w:type="dxa"/>
            <w:vAlign w:val="center"/>
          </w:tcPr>
          <w:p w14:paraId="1FEAB4E0" w14:textId="32E0A696" w:rsidR="00231F7D" w:rsidRPr="00231F7D" w:rsidRDefault="00231F7D" w:rsidP="00231F7D">
            <w:pPr>
              <w:rPr>
                <w:rFonts w:cs="Arial"/>
              </w:rPr>
            </w:pPr>
            <w:r w:rsidRPr="00231F7D">
              <w:rPr>
                <w:u w:val="single"/>
              </w:rPr>
              <w:t>%</w:t>
            </w:r>
          </w:p>
        </w:tc>
        <w:tc>
          <w:tcPr>
            <w:tcW w:w="2340" w:type="dxa"/>
          </w:tcPr>
          <w:p w14:paraId="0A29B12C" w14:textId="77777777" w:rsidR="00231F7D" w:rsidRPr="00231F7D" w:rsidRDefault="00231F7D" w:rsidP="00231F7D">
            <w:pPr>
              <w:rPr>
                <w:rFonts w:cs="Arial"/>
              </w:rPr>
            </w:pPr>
          </w:p>
        </w:tc>
        <w:tc>
          <w:tcPr>
            <w:tcW w:w="1388" w:type="dxa"/>
          </w:tcPr>
          <w:p w14:paraId="7C7EA203" w14:textId="77777777" w:rsidR="00231F7D" w:rsidRPr="00231F7D" w:rsidRDefault="00231F7D" w:rsidP="00231F7D">
            <w:pPr>
              <w:rPr>
                <w:rFonts w:cs="Arial"/>
              </w:rPr>
            </w:pPr>
          </w:p>
        </w:tc>
      </w:tr>
      <w:tr w:rsidR="00231F7D" w14:paraId="08E0DA50" w14:textId="77777777" w:rsidTr="00231F7D">
        <w:tc>
          <w:tcPr>
            <w:tcW w:w="2774" w:type="dxa"/>
            <w:vAlign w:val="bottom"/>
          </w:tcPr>
          <w:p w14:paraId="05E51CA0" w14:textId="6F63960A" w:rsidR="00231F7D" w:rsidRPr="00231F7D" w:rsidRDefault="00231F7D" w:rsidP="00231F7D">
            <w:pPr>
              <w:rPr>
                <w:rFonts w:cs="Arial"/>
              </w:rPr>
            </w:pPr>
            <w:r w:rsidRPr="00231F7D">
              <w:rPr>
                <w:b/>
                <w:bCs/>
                <w:u w:val="single"/>
              </w:rPr>
              <w:t>Всички пациенти</w:t>
            </w:r>
          </w:p>
        </w:tc>
        <w:tc>
          <w:tcPr>
            <w:tcW w:w="1587" w:type="dxa"/>
            <w:vAlign w:val="bottom"/>
          </w:tcPr>
          <w:p w14:paraId="4187C7B1" w14:textId="5A7FFDC2" w:rsidR="00231F7D" w:rsidRPr="00231F7D" w:rsidRDefault="00231F7D" w:rsidP="00231F7D">
            <w:pPr>
              <w:rPr>
                <w:rFonts w:cs="Arial"/>
              </w:rPr>
            </w:pPr>
            <w:r w:rsidRPr="00231F7D">
              <w:rPr>
                <w:b/>
                <w:bCs/>
                <w:u w:val="single"/>
                <w:lang w:val="en-US"/>
              </w:rPr>
              <w:t>n</w:t>
            </w:r>
            <w:r w:rsidRPr="00231F7D">
              <w:rPr>
                <w:b/>
                <w:bCs/>
                <w:u w:val="single"/>
              </w:rPr>
              <w:t xml:space="preserve"> = 4,645</w:t>
            </w:r>
          </w:p>
        </w:tc>
        <w:tc>
          <w:tcPr>
            <w:tcW w:w="1487" w:type="dxa"/>
            <w:vAlign w:val="bottom"/>
          </w:tcPr>
          <w:p w14:paraId="1104B987" w14:textId="7B36ECB1" w:rsidR="00231F7D" w:rsidRPr="00231F7D" w:rsidRDefault="00231F7D" w:rsidP="00231F7D">
            <w:pPr>
              <w:rPr>
                <w:rFonts w:cs="Arial"/>
              </w:rPr>
            </w:pPr>
            <w:r w:rsidRPr="00231F7D">
              <w:rPr>
                <w:b/>
                <w:bCs/>
                <w:u w:val="single"/>
                <w:lang w:val="en-US"/>
              </w:rPr>
              <w:t>n</w:t>
            </w:r>
            <w:r w:rsidRPr="00231F7D">
              <w:rPr>
                <w:b/>
                <w:bCs/>
                <w:u w:val="single"/>
              </w:rPr>
              <w:t xml:space="preserve"> = 4.652</w:t>
            </w:r>
          </w:p>
        </w:tc>
        <w:tc>
          <w:tcPr>
            <w:tcW w:w="2340" w:type="dxa"/>
          </w:tcPr>
          <w:p w14:paraId="7D4E3CEA" w14:textId="77777777" w:rsidR="00231F7D" w:rsidRPr="00231F7D" w:rsidRDefault="00231F7D" w:rsidP="00231F7D">
            <w:pPr>
              <w:rPr>
                <w:rFonts w:cs="Arial"/>
              </w:rPr>
            </w:pPr>
          </w:p>
        </w:tc>
        <w:tc>
          <w:tcPr>
            <w:tcW w:w="1388" w:type="dxa"/>
          </w:tcPr>
          <w:p w14:paraId="3D83EB26" w14:textId="77777777" w:rsidR="00231F7D" w:rsidRPr="00231F7D" w:rsidRDefault="00231F7D" w:rsidP="00231F7D">
            <w:pPr>
              <w:rPr>
                <w:rFonts w:cs="Arial"/>
              </w:rPr>
            </w:pPr>
          </w:p>
        </w:tc>
      </w:tr>
      <w:tr w:rsidR="00231F7D" w14:paraId="5C7D60B0" w14:textId="77777777" w:rsidTr="00231F7D">
        <w:tc>
          <w:tcPr>
            <w:tcW w:w="2774" w:type="dxa"/>
            <w:vAlign w:val="bottom"/>
          </w:tcPr>
          <w:p w14:paraId="3523E9CF" w14:textId="05232DC0" w:rsidR="00231F7D" w:rsidRPr="00231F7D" w:rsidRDefault="00231F7D" w:rsidP="00231F7D">
            <w:pPr>
              <w:rPr>
                <w:rFonts w:cs="Arial"/>
              </w:rPr>
            </w:pPr>
            <w:r w:rsidRPr="00231F7D">
              <w:rPr>
                <w:b/>
                <w:bCs/>
                <w:u w:val="single"/>
              </w:rPr>
              <w:t>Първични комбинирани събития</w:t>
            </w:r>
          </w:p>
        </w:tc>
        <w:tc>
          <w:tcPr>
            <w:tcW w:w="1587" w:type="dxa"/>
          </w:tcPr>
          <w:p w14:paraId="3DCD6D43" w14:textId="319EE482" w:rsidR="00231F7D" w:rsidRPr="00231F7D" w:rsidRDefault="00231F7D" w:rsidP="00231F7D">
            <w:pPr>
              <w:rPr>
                <w:rFonts w:cs="Arial"/>
              </w:rPr>
            </w:pPr>
            <w:r w:rsidRPr="00231F7D">
              <w:rPr>
                <w:b/>
                <w:bCs/>
                <w:u w:val="single"/>
              </w:rPr>
              <w:t>14,0</w:t>
            </w:r>
          </w:p>
        </w:tc>
        <w:tc>
          <w:tcPr>
            <w:tcW w:w="1487" w:type="dxa"/>
          </w:tcPr>
          <w:p w14:paraId="0CE56CA0" w14:textId="37B12D30" w:rsidR="00231F7D" w:rsidRPr="00231F7D" w:rsidRDefault="00231F7D" w:rsidP="00231F7D">
            <w:pPr>
              <w:rPr>
                <w:rFonts w:cs="Arial"/>
              </w:rPr>
            </w:pPr>
            <w:r w:rsidRPr="00231F7D">
              <w:rPr>
                <w:b/>
                <w:bCs/>
                <w:u w:val="single"/>
              </w:rPr>
              <w:t>17,8</w:t>
            </w:r>
          </w:p>
        </w:tc>
        <w:tc>
          <w:tcPr>
            <w:tcW w:w="2340" w:type="dxa"/>
          </w:tcPr>
          <w:p w14:paraId="5884DBF6" w14:textId="231F5BBD" w:rsidR="00231F7D" w:rsidRPr="00231F7D" w:rsidRDefault="00231F7D" w:rsidP="00231F7D">
            <w:pPr>
              <w:rPr>
                <w:rFonts w:cs="Arial"/>
              </w:rPr>
            </w:pPr>
            <w:r w:rsidRPr="00231F7D">
              <w:rPr>
                <w:b/>
                <w:bCs/>
                <w:u w:val="single"/>
              </w:rPr>
              <w:t>0,78 (0,70-0,86)</w:t>
            </w:r>
          </w:p>
        </w:tc>
        <w:tc>
          <w:tcPr>
            <w:tcW w:w="1388" w:type="dxa"/>
          </w:tcPr>
          <w:p w14:paraId="7BF76227" w14:textId="050F1836" w:rsidR="00231F7D" w:rsidRPr="00231F7D" w:rsidRDefault="00231F7D" w:rsidP="00231F7D">
            <w:pPr>
              <w:rPr>
                <w:rFonts w:cs="Arial"/>
              </w:rPr>
            </w:pPr>
            <w:r w:rsidRPr="00231F7D">
              <w:rPr>
                <w:b/>
                <w:bCs/>
                <w:u w:val="single"/>
              </w:rPr>
              <w:t>&lt;0,001</w:t>
            </w:r>
          </w:p>
        </w:tc>
      </w:tr>
      <w:tr w:rsidR="00231F7D" w14:paraId="11A081FB" w14:textId="77777777" w:rsidTr="00231F7D">
        <w:tc>
          <w:tcPr>
            <w:tcW w:w="2774" w:type="dxa"/>
            <w:vAlign w:val="bottom"/>
          </w:tcPr>
          <w:p w14:paraId="50F316C7" w14:textId="2F208C16" w:rsidR="00231F7D" w:rsidRPr="00231F7D" w:rsidRDefault="00231F7D" w:rsidP="00231F7D">
            <w:pPr>
              <w:rPr>
                <w:rFonts w:cs="Arial"/>
              </w:rPr>
            </w:pPr>
            <w:r w:rsidRPr="00231F7D">
              <w:rPr>
                <w:u w:val="single"/>
              </w:rPr>
              <w:t>Миокарден инфаркт</w:t>
            </w:r>
          </w:p>
        </w:tc>
        <w:tc>
          <w:tcPr>
            <w:tcW w:w="1587" w:type="dxa"/>
            <w:vAlign w:val="bottom"/>
          </w:tcPr>
          <w:p w14:paraId="18BDBE24" w14:textId="0EAAF1E0" w:rsidR="00231F7D" w:rsidRPr="00231F7D" w:rsidRDefault="00231F7D" w:rsidP="00231F7D">
            <w:pPr>
              <w:rPr>
                <w:rFonts w:cs="Arial"/>
              </w:rPr>
            </w:pPr>
            <w:r w:rsidRPr="00231F7D">
              <w:rPr>
                <w:u w:val="single"/>
              </w:rPr>
              <w:t>9,9</w:t>
            </w:r>
          </w:p>
        </w:tc>
        <w:tc>
          <w:tcPr>
            <w:tcW w:w="1487" w:type="dxa"/>
            <w:vAlign w:val="bottom"/>
          </w:tcPr>
          <w:p w14:paraId="4234297E" w14:textId="4F0DD599" w:rsidR="00231F7D" w:rsidRPr="00231F7D" w:rsidRDefault="00231F7D" w:rsidP="00231F7D">
            <w:pPr>
              <w:rPr>
                <w:rFonts w:cs="Arial"/>
              </w:rPr>
            </w:pPr>
            <w:r w:rsidRPr="00231F7D">
              <w:rPr>
                <w:i/>
                <w:iCs/>
              </w:rPr>
              <w:t>12,3</w:t>
            </w:r>
          </w:p>
        </w:tc>
        <w:tc>
          <w:tcPr>
            <w:tcW w:w="2340" w:type="dxa"/>
            <w:vAlign w:val="bottom"/>
          </w:tcPr>
          <w:p w14:paraId="6628AC60" w14:textId="60C82366" w:rsidR="00231F7D" w:rsidRPr="00231F7D" w:rsidRDefault="00231F7D" w:rsidP="00231F7D">
            <w:pPr>
              <w:rPr>
                <w:rFonts w:cs="Arial"/>
              </w:rPr>
            </w:pPr>
            <w:r w:rsidRPr="00231F7D">
              <w:t>0.80 (0.70-0.90)</w:t>
            </w:r>
          </w:p>
        </w:tc>
        <w:tc>
          <w:tcPr>
            <w:tcW w:w="1388" w:type="dxa"/>
            <w:vAlign w:val="bottom"/>
          </w:tcPr>
          <w:p w14:paraId="4169C467" w14:textId="7902F191" w:rsidR="00231F7D" w:rsidRPr="00231F7D" w:rsidRDefault="00231F7D" w:rsidP="00231F7D">
            <w:pPr>
              <w:rPr>
                <w:rFonts w:cs="Arial"/>
              </w:rPr>
            </w:pPr>
            <w:r w:rsidRPr="00231F7D">
              <w:rPr>
                <w:u w:val="single"/>
              </w:rPr>
              <w:t>&lt;0,001</w:t>
            </w:r>
          </w:p>
        </w:tc>
      </w:tr>
      <w:tr w:rsidR="00231F7D" w14:paraId="3FAA2D6C" w14:textId="77777777" w:rsidTr="00231F7D">
        <w:tc>
          <w:tcPr>
            <w:tcW w:w="2774" w:type="dxa"/>
            <w:vAlign w:val="bottom"/>
          </w:tcPr>
          <w:p w14:paraId="55A73680" w14:textId="00FA4F00" w:rsidR="00231F7D" w:rsidRPr="00231F7D" w:rsidRDefault="00231F7D" w:rsidP="00231F7D">
            <w:pPr>
              <w:rPr>
                <w:rFonts w:cs="Arial"/>
              </w:rPr>
            </w:pPr>
            <w:r w:rsidRPr="00231F7D">
              <w:rPr>
                <w:u w:val="single"/>
              </w:rPr>
              <w:t>Смърт поради сърдечносъдови причини</w:t>
            </w:r>
          </w:p>
        </w:tc>
        <w:tc>
          <w:tcPr>
            <w:tcW w:w="1587" w:type="dxa"/>
          </w:tcPr>
          <w:p w14:paraId="0AE2AECF" w14:textId="1DB56847" w:rsidR="00231F7D" w:rsidRPr="00231F7D" w:rsidRDefault="00231F7D" w:rsidP="00231F7D">
            <w:pPr>
              <w:rPr>
                <w:rFonts w:cs="Arial"/>
              </w:rPr>
            </w:pPr>
            <w:r w:rsidRPr="00231F7D">
              <w:rPr>
                <w:lang w:val="en-US"/>
              </w:rPr>
              <w:t>6,1</w:t>
            </w:r>
          </w:p>
        </w:tc>
        <w:tc>
          <w:tcPr>
            <w:tcW w:w="1487" w:type="dxa"/>
          </w:tcPr>
          <w:p w14:paraId="3558FAAA" w14:textId="536E24E3" w:rsidR="00231F7D" w:rsidRPr="00231F7D" w:rsidRDefault="00231F7D" w:rsidP="00231F7D">
            <w:pPr>
              <w:rPr>
                <w:rFonts w:cs="Arial"/>
              </w:rPr>
            </w:pPr>
            <w:r w:rsidRPr="00231F7D">
              <w:rPr>
                <w:u w:val="single"/>
              </w:rPr>
              <w:t>8,1</w:t>
            </w:r>
          </w:p>
        </w:tc>
        <w:tc>
          <w:tcPr>
            <w:tcW w:w="2340" w:type="dxa"/>
          </w:tcPr>
          <w:p w14:paraId="31951FD4" w14:textId="438A0D8A" w:rsidR="00231F7D" w:rsidRPr="00231F7D" w:rsidRDefault="00231F7D" w:rsidP="00231F7D">
            <w:pPr>
              <w:rPr>
                <w:rFonts w:cs="Arial"/>
              </w:rPr>
            </w:pPr>
            <w:r w:rsidRPr="00231F7D">
              <w:rPr>
                <w:u w:val="single"/>
              </w:rPr>
              <w:t>0.74(0.64-0,87)</w:t>
            </w:r>
          </w:p>
        </w:tc>
        <w:tc>
          <w:tcPr>
            <w:tcW w:w="1388" w:type="dxa"/>
          </w:tcPr>
          <w:p w14:paraId="40F2DA36" w14:textId="22364D0A" w:rsidR="00231F7D" w:rsidRPr="00231F7D" w:rsidRDefault="00231F7D" w:rsidP="00231F7D">
            <w:pPr>
              <w:rPr>
                <w:rFonts w:cs="Arial"/>
              </w:rPr>
            </w:pPr>
            <w:r w:rsidRPr="00231F7D">
              <w:rPr>
                <w:u w:val="single"/>
              </w:rPr>
              <w:t>&lt;0,001</w:t>
            </w:r>
          </w:p>
        </w:tc>
      </w:tr>
      <w:tr w:rsidR="00231F7D" w14:paraId="2EB24D62" w14:textId="77777777" w:rsidTr="00231F7D">
        <w:tc>
          <w:tcPr>
            <w:tcW w:w="2774" w:type="dxa"/>
          </w:tcPr>
          <w:p w14:paraId="7E9D5FF9" w14:textId="18362D4F" w:rsidR="00231F7D" w:rsidRPr="00231F7D" w:rsidRDefault="00231F7D" w:rsidP="00231F7D">
            <w:pPr>
              <w:rPr>
                <w:rFonts w:cs="Arial"/>
              </w:rPr>
            </w:pPr>
            <w:r w:rsidRPr="00231F7D">
              <w:rPr>
                <w:u w:val="single"/>
              </w:rPr>
              <w:t>Инсулт</w:t>
            </w:r>
          </w:p>
        </w:tc>
        <w:tc>
          <w:tcPr>
            <w:tcW w:w="1587" w:type="dxa"/>
          </w:tcPr>
          <w:p w14:paraId="7677C831" w14:textId="7174FDC6" w:rsidR="00231F7D" w:rsidRPr="00231F7D" w:rsidRDefault="00231F7D" w:rsidP="00231F7D">
            <w:pPr>
              <w:rPr>
                <w:rFonts w:cs="Arial"/>
              </w:rPr>
            </w:pPr>
            <w:r w:rsidRPr="00231F7D">
              <w:t>3,4</w:t>
            </w:r>
          </w:p>
        </w:tc>
        <w:tc>
          <w:tcPr>
            <w:tcW w:w="1487" w:type="dxa"/>
          </w:tcPr>
          <w:p w14:paraId="6C480000" w14:textId="3038791C" w:rsidR="00231F7D" w:rsidRPr="00231F7D" w:rsidRDefault="00231F7D" w:rsidP="00231F7D">
            <w:pPr>
              <w:rPr>
                <w:rFonts w:cs="Arial"/>
              </w:rPr>
            </w:pPr>
            <w:r w:rsidRPr="00231F7D">
              <w:t>4,9</w:t>
            </w:r>
          </w:p>
        </w:tc>
        <w:tc>
          <w:tcPr>
            <w:tcW w:w="2340" w:type="dxa"/>
          </w:tcPr>
          <w:p w14:paraId="2134F81D" w14:textId="018AFB78" w:rsidR="00231F7D" w:rsidRPr="00231F7D" w:rsidRDefault="00231F7D" w:rsidP="00231F7D">
            <w:pPr>
              <w:rPr>
                <w:rFonts w:cs="Arial"/>
              </w:rPr>
            </w:pPr>
            <w:r w:rsidRPr="00231F7D">
              <w:t>0,68 (0,56-0,84)</w:t>
            </w:r>
          </w:p>
        </w:tc>
        <w:tc>
          <w:tcPr>
            <w:tcW w:w="1388" w:type="dxa"/>
          </w:tcPr>
          <w:p w14:paraId="081F2A9C" w14:textId="4BDDEB55" w:rsidR="00231F7D" w:rsidRPr="00231F7D" w:rsidRDefault="00231F7D" w:rsidP="00231F7D">
            <w:pPr>
              <w:rPr>
                <w:rFonts w:cs="Arial"/>
              </w:rPr>
            </w:pPr>
            <w:r w:rsidRPr="00231F7D">
              <w:t>&lt;0,001</w:t>
            </w:r>
          </w:p>
        </w:tc>
      </w:tr>
      <w:tr w:rsidR="00231F7D" w14:paraId="6A7E7FE2" w14:textId="77777777" w:rsidTr="00835707">
        <w:tc>
          <w:tcPr>
            <w:tcW w:w="9576" w:type="dxa"/>
            <w:gridSpan w:val="5"/>
            <w:vAlign w:val="bottom"/>
          </w:tcPr>
          <w:p w14:paraId="2CD10A22" w14:textId="67F9465F" w:rsidR="00231F7D" w:rsidRPr="00231F7D" w:rsidRDefault="00231F7D" w:rsidP="00231F7D">
            <w:pPr>
              <w:rPr>
                <w:rFonts w:cs="Arial"/>
              </w:rPr>
            </w:pPr>
            <w:r w:rsidRPr="00231F7D">
              <w:rPr>
                <w:b/>
                <w:bCs/>
              </w:rPr>
              <w:t>Вторични крайни точки</w:t>
            </w:r>
          </w:p>
        </w:tc>
      </w:tr>
      <w:tr w:rsidR="00231F7D" w14:paraId="2914E72D" w14:textId="77777777" w:rsidTr="00231F7D">
        <w:tc>
          <w:tcPr>
            <w:tcW w:w="2774" w:type="dxa"/>
            <w:vAlign w:val="bottom"/>
          </w:tcPr>
          <w:p w14:paraId="11FCF086" w14:textId="0004D61F" w:rsidR="00231F7D" w:rsidRPr="00231F7D" w:rsidRDefault="00231F7D" w:rsidP="00231F7D">
            <w:pPr>
              <w:rPr>
                <w:rFonts w:cs="Arial"/>
              </w:rPr>
            </w:pPr>
            <w:r w:rsidRPr="00231F7D">
              <w:rPr>
                <w:u w:val="single"/>
              </w:rPr>
              <w:t>Смърт поради някаква причина</w:t>
            </w:r>
          </w:p>
        </w:tc>
        <w:tc>
          <w:tcPr>
            <w:tcW w:w="1587" w:type="dxa"/>
          </w:tcPr>
          <w:p w14:paraId="2FA3FBFA" w14:textId="54971BFB" w:rsidR="00231F7D" w:rsidRPr="00231F7D" w:rsidRDefault="00231F7D" w:rsidP="00231F7D">
            <w:pPr>
              <w:rPr>
                <w:rFonts w:cs="Arial"/>
              </w:rPr>
            </w:pPr>
            <w:r w:rsidRPr="00231F7D">
              <w:rPr>
                <w:u w:val="single"/>
              </w:rPr>
              <w:t>10,4</w:t>
            </w:r>
          </w:p>
        </w:tc>
        <w:tc>
          <w:tcPr>
            <w:tcW w:w="1487" w:type="dxa"/>
          </w:tcPr>
          <w:p w14:paraId="4106819C" w14:textId="44195948" w:rsidR="00231F7D" w:rsidRPr="00231F7D" w:rsidRDefault="00231F7D" w:rsidP="00231F7D">
            <w:pPr>
              <w:rPr>
                <w:rFonts w:cs="Arial"/>
              </w:rPr>
            </w:pPr>
            <w:r w:rsidRPr="00231F7D">
              <w:rPr>
                <w:u w:val="single"/>
              </w:rPr>
              <w:t>12,2</w:t>
            </w:r>
          </w:p>
        </w:tc>
        <w:tc>
          <w:tcPr>
            <w:tcW w:w="2340" w:type="dxa"/>
          </w:tcPr>
          <w:p w14:paraId="31A704B5" w14:textId="1B82F27B" w:rsidR="00231F7D" w:rsidRPr="00231F7D" w:rsidRDefault="00231F7D" w:rsidP="00231F7D">
            <w:pPr>
              <w:rPr>
                <w:rFonts w:cs="Arial"/>
              </w:rPr>
            </w:pPr>
            <w:r w:rsidRPr="00231F7D">
              <w:rPr>
                <w:u w:val="single"/>
              </w:rPr>
              <w:t>0,84(0,75-0,95)</w:t>
            </w:r>
          </w:p>
        </w:tc>
        <w:tc>
          <w:tcPr>
            <w:tcW w:w="1388" w:type="dxa"/>
          </w:tcPr>
          <w:p w14:paraId="6F6C4EB8" w14:textId="099D0B90" w:rsidR="00231F7D" w:rsidRPr="00231F7D" w:rsidRDefault="00231F7D" w:rsidP="00231F7D">
            <w:pPr>
              <w:rPr>
                <w:rFonts w:cs="Arial"/>
              </w:rPr>
            </w:pPr>
            <w:r w:rsidRPr="00231F7D">
              <w:rPr>
                <w:u w:val="single"/>
              </w:rPr>
              <w:t>0,005</w:t>
            </w:r>
          </w:p>
        </w:tc>
      </w:tr>
      <w:tr w:rsidR="00231F7D" w14:paraId="5B394C5E" w14:textId="77777777" w:rsidTr="00231F7D">
        <w:tc>
          <w:tcPr>
            <w:tcW w:w="2774" w:type="dxa"/>
            <w:vAlign w:val="bottom"/>
          </w:tcPr>
          <w:p w14:paraId="21F5666B" w14:textId="68D15399" w:rsidR="00231F7D" w:rsidRPr="00231F7D" w:rsidRDefault="00231F7D" w:rsidP="00231F7D">
            <w:pPr>
              <w:rPr>
                <w:rFonts w:cs="Arial"/>
              </w:rPr>
            </w:pPr>
            <w:r w:rsidRPr="00231F7D">
              <w:rPr>
                <w:u w:val="single"/>
              </w:rPr>
              <w:t>Необходимост от реваскуларизация</w:t>
            </w:r>
          </w:p>
        </w:tc>
        <w:tc>
          <w:tcPr>
            <w:tcW w:w="1587" w:type="dxa"/>
          </w:tcPr>
          <w:p w14:paraId="5E66CBC5" w14:textId="41810EF1" w:rsidR="00231F7D" w:rsidRPr="00231F7D" w:rsidRDefault="00231F7D" w:rsidP="00231F7D">
            <w:pPr>
              <w:rPr>
                <w:rFonts w:cs="Arial"/>
              </w:rPr>
            </w:pPr>
            <w:r w:rsidRPr="00231F7D">
              <w:rPr>
                <w:u w:val="single"/>
              </w:rPr>
              <w:t>16,0</w:t>
            </w:r>
          </w:p>
        </w:tc>
        <w:tc>
          <w:tcPr>
            <w:tcW w:w="1487" w:type="dxa"/>
          </w:tcPr>
          <w:p w14:paraId="28A4278C" w14:textId="0F26FEC8" w:rsidR="00231F7D" w:rsidRPr="00231F7D" w:rsidRDefault="00231F7D" w:rsidP="00231F7D">
            <w:pPr>
              <w:rPr>
                <w:rFonts w:cs="Arial"/>
              </w:rPr>
            </w:pPr>
            <w:r w:rsidRPr="00231F7D">
              <w:rPr>
                <w:u w:val="single"/>
              </w:rPr>
              <w:t>18,3</w:t>
            </w:r>
          </w:p>
        </w:tc>
        <w:tc>
          <w:tcPr>
            <w:tcW w:w="2340" w:type="dxa"/>
          </w:tcPr>
          <w:p w14:paraId="3C8DFDAD" w14:textId="66090037" w:rsidR="00231F7D" w:rsidRPr="00231F7D" w:rsidRDefault="00231F7D" w:rsidP="00231F7D">
            <w:pPr>
              <w:rPr>
                <w:rFonts w:cs="Arial"/>
              </w:rPr>
            </w:pPr>
            <w:r w:rsidRPr="00231F7D">
              <w:rPr>
                <w:u w:val="single"/>
              </w:rPr>
              <w:t>0,85(0,77-0,94)</w:t>
            </w:r>
          </w:p>
        </w:tc>
        <w:tc>
          <w:tcPr>
            <w:tcW w:w="1388" w:type="dxa"/>
          </w:tcPr>
          <w:p w14:paraId="2E49AB31" w14:textId="025A3BB7" w:rsidR="00231F7D" w:rsidRPr="00231F7D" w:rsidRDefault="00231F7D" w:rsidP="00231F7D">
            <w:pPr>
              <w:rPr>
                <w:rFonts w:cs="Arial"/>
              </w:rPr>
            </w:pPr>
            <w:r w:rsidRPr="00231F7D">
              <w:rPr>
                <w:u w:val="single"/>
              </w:rPr>
              <w:t>0,002</w:t>
            </w:r>
          </w:p>
        </w:tc>
      </w:tr>
      <w:tr w:rsidR="00231F7D" w14:paraId="53865F88" w14:textId="77777777" w:rsidTr="00231F7D">
        <w:tc>
          <w:tcPr>
            <w:tcW w:w="2774" w:type="dxa"/>
            <w:vAlign w:val="bottom"/>
          </w:tcPr>
          <w:p w14:paraId="40339C9F" w14:textId="5AB18703" w:rsidR="00231F7D" w:rsidRPr="00231F7D" w:rsidRDefault="00231F7D" w:rsidP="00231F7D">
            <w:pPr>
              <w:rPr>
                <w:rFonts w:cs="Arial"/>
              </w:rPr>
            </w:pPr>
            <w:r w:rsidRPr="00231F7D">
              <w:rPr>
                <w:u w:val="single"/>
              </w:rPr>
              <w:t>Хоспитализация поради нестабилна стенокардия</w:t>
            </w:r>
          </w:p>
        </w:tc>
        <w:tc>
          <w:tcPr>
            <w:tcW w:w="1587" w:type="dxa"/>
          </w:tcPr>
          <w:p w14:paraId="170C5DE0" w14:textId="67956C62" w:rsidR="00231F7D" w:rsidRPr="00231F7D" w:rsidRDefault="00231F7D" w:rsidP="00231F7D">
            <w:pPr>
              <w:rPr>
                <w:rFonts w:cs="Arial"/>
              </w:rPr>
            </w:pPr>
            <w:r w:rsidRPr="00231F7D">
              <w:t>12,1</w:t>
            </w:r>
          </w:p>
        </w:tc>
        <w:tc>
          <w:tcPr>
            <w:tcW w:w="1487" w:type="dxa"/>
          </w:tcPr>
          <w:p w14:paraId="507A133F" w14:textId="6A6BEAD4" w:rsidR="00231F7D" w:rsidRPr="00231F7D" w:rsidRDefault="00231F7D" w:rsidP="00231F7D">
            <w:pPr>
              <w:rPr>
                <w:rFonts w:cs="Arial"/>
              </w:rPr>
            </w:pPr>
            <w:r w:rsidRPr="00231F7D">
              <w:rPr>
                <w:u w:val="single"/>
              </w:rPr>
              <w:t>12,3</w:t>
            </w:r>
          </w:p>
        </w:tc>
        <w:tc>
          <w:tcPr>
            <w:tcW w:w="2340" w:type="dxa"/>
          </w:tcPr>
          <w:p w14:paraId="76412C8D" w14:textId="491CB130" w:rsidR="00231F7D" w:rsidRPr="00231F7D" w:rsidRDefault="00231F7D" w:rsidP="00231F7D">
            <w:pPr>
              <w:rPr>
                <w:rFonts w:cs="Arial"/>
              </w:rPr>
            </w:pPr>
            <w:r w:rsidRPr="00231F7D">
              <w:rPr>
                <w:u w:val="single"/>
              </w:rPr>
              <w:t>0,98(0,87-1,10)</w:t>
            </w:r>
          </w:p>
        </w:tc>
        <w:tc>
          <w:tcPr>
            <w:tcW w:w="1388" w:type="dxa"/>
          </w:tcPr>
          <w:p w14:paraId="3D57272B" w14:textId="6CC66709" w:rsidR="00231F7D" w:rsidRPr="00231F7D" w:rsidRDefault="00231F7D" w:rsidP="00231F7D">
            <w:pPr>
              <w:rPr>
                <w:rFonts w:cs="Arial"/>
              </w:rPr>
            </w:pPr>
            <w:r w:rsidRPr="00231F7D">
              <w:rPr>
                <w:u w:val="single"/>
                <w:lang w:val="en-US"/>
              </w:rPr>
              <w:t>NS</w:t>
            </w:r>
          </w:p>
        </w:tc>
      </w:tr>
      <w:tr w:rsidR="00231F7D" w14:paraId="08B4CA82" w14:textId="77777777" w:rsidTr="00231F7D">
        <w:tc>
          <w:tcPr>
            <w:tcW w:w="2774" w:type="dxa"/>
            <w:vAlign w:val="bottom"/>
          </w:tcPr>
          <w:p w14:paraId="650BC61C" w14:textId="126BB3FE" w:rsidR="00231F7D" w:rsidRPr="00231F7D" w:rsidRDefault="00231F7D" w:rsidP="00231F7D">
            <w:pPr>
              <w:rPr>
                <w:rFonts w:cs="Arial"/>
              </w:rPr>
            </w:pPr>
            <w:r w:rsidRPr="00231F7D">
              <w:rPr>
                <w:u w:val="single"/>
              </w:rPr>
              <w:t>Хоспитализация поради сърдечна недостатъчност</w:t>
            </w:r>
          </w:p>
        </w:tc>
        <w:tc>
          <w:tcPr>
            <w:tcW w:w="1587" w:type="dxa"/>
          </w:tcPr>
          <w:p w14:paraId="0FBC1AFC" w14:textId="48E4C428" w:rsidR="00231F7D" w:rsidRPr="00231F7D" w:rsidRDefault="00231F7D" w:rsidP="00231F7D">
            <w:pPr>
              <w:rPr>
                <w:rFonts w:cs="Arial"/>
              </w:rPr>
            </w:pPr>
            <w:r w:rsidRPr="00231F7D">
              <w:rPr>
                <w:u w:val="single"/>
              </w:rPr>
              <w:t>3,2</w:t>
            </w:r>
          </w:p>
        </w:tc>
        <w:tc>
          <w:tcPr>
            <w:tcW w:w="1487" w:type="dxa"/>
          </w:tcPr>
          <w:p w14:paraId="3E63DDDC" w14:textId="0B4604CE" w:rsidR="00231F7D" w:rsidRPr="00231F7D" w:rsidRDefault="00231F7D" w:rsidP="00231F7D">
            <w:pPr>
              <w:rPr>
                <w:rFonts w:cs="Arial"/>
              </w:rPr>
            </w:pPr>
            <w:r w:rsidRPr="00231F7D">
              <w:rPr>
                <w:u w:val="single"/>
              </w:rPr>
              <w:t>3,5</w:t>
            </w:r>
          </w:p>
        </w:tc>
        <w:tc>
          <w:tcPr>
            <w:tcW w:w="2340" w:type="dxa"/>
          </w:tcPr>
          <w:p w14:paraId="18431020" w14:textId="18331740" w:rsidR="00231F7D" w:rsidRPr="00231F7D" w:rsidRDefault="00231F7D" w:rsidP="00231F7D">
            <w:pPr>
              <w:rPr>
                <w:rFonts w:cs="Arial"/>
              </w:rPr>
            </w:pPr>
            <w:r w:rsidRPr="00231F7D">
              <w:rPr>
                <w:u w:val="single"/>
              </w:rPr>
              <w:t>0,88(0,70-1,10)</w:t>
            </w:r>
          </w:p>
        </w:tc>
        <w:tc>
          <w:tcPr>
            <w:tcW w:w="1388" w:type="dxa"/>
          </w:tcPr>
          <w:p w14:paraId="5FCE4EE0" w14:textId="7B0F9F81" w:rsidR="00231F7D" w:rsidRPr="00231F7D" w:rsidRDefault="00231F7D" w:rsidP="00231F7D">
            <w:pPr>
              <w:rPr>
                <w:rFonts w:cs="Arial"/>
              </w:rPr>
            </w:pPr>
            <w:r w:rsidRPr="00231F7D">
              <w:rPr>
                <w:u w:val="single"/>
              </w:rPr>
              <w:t>0,25</w:t>
            </w:r>
          </w:p>
        </w:tc>
      </w:tr>
      <w:tr w:rsidR="00231F7D" w14:paraId="3616A9C5" w14:textId="77777777" w:rsidTr="00231F7D">
        <w:tc>
          <w:tcPr>
            <w:tcW w:w="2774" w:type="dxa"/>
            <w:vAlign w:val="bottom"/>
          </w:tcPr>
          <w:p w14:paraId="1AC99C9E" w14:textId="21670CFA" w:rsidR="00231F7D" w:rsidRPr="00231F7D" w:rsidRDefault="00231F7D" w:rsidP="00231F7D">
            <w:pPr>
              <w:rPr>
                <w:rFonts w:cs="Arial"/>
              </w:rPr>
            </w:pPr>
            <w:r w:rsidRPr="00231F7D">
              <w:rPr>
                <w:u w:val="single"/>
              </w:rPr>
              <w:t>Усложнения свързани с диабет</w:t>
            </w:r>
          </w:p>
        </w:tc>
        <w:tc>
          <w:tcPr>
            <w:tcW w:w="1587" w:type="dxa"/>
          </w:tcPr>
          <w:p w14:paraId="438A2680" w14:textId="0969A911" w:rsidR="00231F7D" w:rsidRPr="00231F7D" w:rsidRDefault="00231F7D" w:rsidP="00231F7D">
            <w:pPr>
              <w:rPr>
                <w:rFonts w:cs="Arial"/>
              </w:rPr>
            </w:pPr>
            <w:r w:rsidRPr="00231F7D">
              <w:rPr>
                <w:u w:val="single"/>
              </w:rPr>
              <w:t>6,4</w:t>
            </w:r>
          </w:p>
        </w:tc>
        <w:tc>
          <w:tcPr>
            <w:tcW w:w="1487" w:type="dxa"/>
          </w:tcPr>
          <w:p w14:paraId="25F3D2D2" w14:textId="3587A746" w:rsidR="00231F7D" w:rsidRPr="00231F7D" w:rsidRDefault="00231F7D" w:rsidP="00231F7D">
            <w:pPr>
              <w:rPr>
                <w:rFonts w:cs="Arial"/>
              </w:rPr>
            </w:pPr>
            <w:r w:rsidRPr="00231F7D">
              <w:rPr>
                <w:u w:val="single"/>
              </w:rPr>
              <w:t>7,6</w:t>
            </w:r>
          </w:p>
        </w:tc>
        <w:tc>
          <w:tcPr>
            <w:tcW w:w="2340" w:type="dxa"/>
          </w:tcPr>
          <w:p w14:paraId="15EB7F5C" w14:textId="302907D1" w:rsidR="00231F7D" w:rsidRPr="00231F7D" w:rsidRDefault="00231F7D" w:rsidP="00231F7D">
            <w:pPr>
              <w:rPr>
                <w:rFonts w:cs="Arial"/>
              </w:rPr>
            </w:pPr>
            <w:r w:rsidRPr="00231F7D">
              <w:rPr>
                <w:u w:val="single"/>
              </w:rPr>
              <w:t>0,84(0,72-0,98)</w:t>
            </w:r>
          </w:p>
        </w:tc>
        <w:tc>
          <w:tcPr>
            <w:tcW w:w="1388" w:type="dxa"/>
          </w:tcPr>
          <w:p w14:paraId="0681A153" w14:textId="311D992B" w:rsidR="00231F7D" w:rsidRPr="00231F7D" w:rsidRDefault="00231F7D" w:rsidP="00231F7D">
            <w:pPr>
              <w:rPr>
                <w:rFonts w:cs="Arial"/>
              </w:rPr>
            </w:pPr>
            <w:r w:rsidRPr="00231F7D">
              <w:rPr>
                <w:u w:val="single"/>
              </w:rPr>
              <w:t>0,03</w:t>
            </w:r>
          </w:p>
        </w:tc>
      </w:tr>
    </w:tbl>
    <w:p w14:paraId="3C72CFA2" w14:textId="05635394" w:rsidR="00231F7D" w:rsidRDefault="00231F7D" w:rsidP="00231F7D">
      <w:pPr>
        <w:rPr>
          <w:rFonts w:cs="Arial"/>
        </w:rPr>
      </w:pPr>
    </w:p>
    <w:p w14:paraId="08870CE3" w14:textId="77777777" w:rsidR="00231F7D" w:rsidRPr="00231F7D" w:rsidRDefault="00231F7D" w:rsidP="00231F7D">
      <w:pPr>
        <w:spacing w:line="240" w:lineRule="auto"/>
        <w:rPr>
          <w:rFonts w:eastAsia="Times New Roman" w:cs="Arial"/>
        </w:rPr>
      </w:pPr>
      <w:r w:rsidRPr="00231F7D">
        <w:rPr>
          <w:rFonts w:eastAsia="Times New Roman" w:cs="Arial"/>
          <w:i/>
          <w:iCs/>
          <w:color w:val="000000"/>
          <w:u w:val="single"/>
          <w:lang w:eastAsia="bg-BG"/>
        </w:rPr>
        <w:t>Двойно блокиране на системата ренин-ангиотензин-алдостерон (РААС)</w:t>
      </w:r>
    </w:p>
    <w:p w14:paraId="400623C0"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Две големи рандомизирани контролирани проучвания изследват</w:t>
      </w:r>
      <w:r w:rsidRPr="00231F7D">
        <w:rPr>
          <w:rFonts w:eastAsia="Times New Roman" w:cs="Arial"/>
          <w:color w:val="000000"/>
        </w:rPr>
        <w:t>-</w:t>
      </w:r>
      <w:r w:rsidRPr="00231F7D">
        <w:rPr>
          <w:rFonts w:eastAsia="Times New Roman" w:cs="Arial"/>
          <w:color w:val="000000"/>
          <w:lang w:val="en-US"/>
        </w:rPr>
        <w:t>ONTARGET</w:t>
      </w:r>
      <w:r w:rsidRPr="00231F7D">
        <w:rPr>
          <w:rFonts w:eastAsia="Times New Roman" w:cs="Arial"/>
          <w:color w:val="000000"/>
        </w:rPr>
        <w:t xml:space="preserve"> (</w:t>
      </w:r>
      <w:r w:rsidRPr="00231F7D">
        <w:rPr>
          <w:rFonts w:eastAsia="Times New Roman" w:cs="Arial"/>
          <w:color w:val="000000"/>
          <w:lang w:val="en-US"/>
        </w:rPr>
        <w:t>Ongoing</w:t>
      </w:r>
      <w:r w:rsidRPr="00231F7D">
        <w:rPr>
          <w:rFonts w:eastAsia="Times New Roman" w:cs="Arial"/>
          <w:color w:val="000000"/>
        </w:rPr>
        <w:t xml:space="preserve"> </w:t>
      </w:r>
      <w:proofErr w:type="spellStart"/>
      <w:r w:rsidRPr="00231F7D">
        <w:rPr>
          <w:rFonts w:eastAsia="Times New Roman" w:cs="Arial"/>
          <w:color w:val="000000"/>
          <w:lang w:val="en-US"/>
        </w:rPr>
        <w:t>Telmisartan</w:t>
      </w:r>
      <w:proofErr w:type="spellEnd"/>
      <w:r w:rsidRPr="00231F7D">
        <w:rPr>
          <w:rFonts w:eastAsia="Times New Roman" w:cs="Arial"/>
          <w:color w:val="000000"/>
        </w:rPr>
        <w:t xml:space="preserve"> </w:t>
      </w:r>
      <w:r w:rsidRPr="00231F7D">
        <w:rPr>
          <w:rFonts w:eastAsia="Times New Roman" w:cs="Arial"/>
          <w:color w:val="000000"/>
          <w:lang w:val="en-US"/>
        </w:rPr>
        <w:t>Alone</w:t>
      </w:r>
      <w:r w:rsidRPr="00231F7D">
        <w:rPr>
          <w:rFonts w:eastAsia="Times New Roman" w:cs="Arial"/>
          <w:color w:val="000000"/>
        </w:rPr>
        <w:t xml:space="preserve"> </w:t>
      </w:r>
      <w:r w:rsidRPr="00231F7D">
        <w:rPr>
          <w:rFonts w:eastAsia="Times New Roman" w:cs="Arial"/>
          <w:color w:val="000000"/>
          <w:lang w:val="en-US"/>
        </w:rPr>
        <w:t>and</w:t>
      </w:r>
      <w:r w:rsidRPr="00231F7D">
        <w:rPr>
          <w:rFonts w:eastAsia="Times New Roman" w:cs="Arial"/>
          <w:color w:val="000000"/>
        </w:rPr>
        <w:t xml:space="preserve"> </w:t>
      </w:r>
      <w:r w:rsidRPr="00231F7D">
        <w:rPr>
          <w:rFonts w:eastAsia="Times New Roman" w:cs="Arial"/>
          <w:color w:val="000000"/>
          <w:lang w:val="en-US"/>
        </w:rPr>
        <w:t>in</w:t>
      </w:r>
      <w:r w:rsidRPr="00231F7D">
        <w:rPr>
          <w:rFonts w:eastAsia="Times New Roman" w:cs="Arial"/>
          <w:color w:val="000000"/>
        </w:rPr>
        <w:t xml:space="preserve"> </w:t>
      </w:r>
      <w:r w:rsidRPr="00231F7D">
        <w:rPr>
          <w:rFonts w:eastAsia="Times New Roman" w:cs="Arial"/>
          <w:color w:val="000000"/>
          <w:lang w:val="en-US"/>
        </w:rPr>
        <w:t>combination</w:t>
      </w:r>
      <w:r w:rsidRPr="00231F7D">
        <w:rPr>
          <w:rFonts w:eastAsia="Times New Roman" w:cs="Arial"/>
          <w:color w:val="000000"/>
        </w:rPr>
        <w:t xml:space="preserve"> </w:t>
      </w:r>
      <w:r w:rsidRPr="00231F7D">
        <w:rPr>
          <w:rFonts w:eastAsia="Times New Roman" w:cs="Arial"/>
          <w:color w:val="000000"/>
          <w:lang w:val="en-US"/>
        </w:rPr>
        <w:t>with</w:t>
      </w:r>
      <w:r w:rsidRPr="00231F7D">
        <w:rPr>
          <w:rFonts w:eastAsia="Times New Roman" w:cs="Arial"/>
          <w:color w:val="000000"/>
        </w:rPr>
        <w:t xml:space="preserve"> </w:t>
      </w:r>
      <w:r w:rsidRPr="00231F7D">
        <w:rPr>
          <w:rFonts w:eastAsia="Times New Roman" w:cs="Arial"/>
          <w:color w:val="000000"/>
          <w:lang w:val="en-US"/>
        </w:rPr>
        <w:t>Ramipril</w:t>
      </w:r>
      <w:r w:rsidRPr="00231F7D">
        <w:rPr>
          <w:rFonts w:eastAsia="Times New Roman" w:cs="Arial"/>
          <w:color w:val="000000"/>
        </w:rPr>
        <w:t xml:space="preserve"> </w:t>
      </w:r>
      <w:r w:rsidRPr="00231F7D">
        <w:rPr>
          <w:rFonts w:eastAsia="Times New Roman" w:cs="Arial"/>
          <w:color w:val="000000"/>
          <w:lang w:val="en-US"/>
        </w:rPr>
        <w:t>Global</w:t>
      </w:r>
      <w:r w:rsidRPr="00231F7D">
        <w:rPr>
          <w:rFonts w:eastAsia="Times New Roman" w:cs="Arial"/>
          <w:color w:val="000000"/>
        </w:rPr>
        <w:t xml:space="preserve"> </w:t>
      </w:r>
      <w:r w:rsidRPr="00231F7D">
        <w:rPr>
          <w:rFonts w:eastAsia="Times New Roman" w:cs="Arial"/>
          <w:color w:val="000000"/>
          <w:lang w:val="en-US"/>
        </w:rPr>
        <w:t>Endpoint</w:t>
      </w:r>
      <w:r w:rsidRPr="00231F7D">
        <w:rPr>
          <w:rFonts w:eastAsia="Times New Roman" w:cs="Arial"/>
          <w:color w:val="000000"/>
        </w:rPr>
        <w:t xml:space="preserve"> </w:t>
      </w:r>
      <w:r w:rsidRPr="00231F7D">
        <w:rPr>
          <w:rFonts w:eastAsia="Times New Roman" w:cs="Arial"/>
          <w:color w:val="000000"/>
          <w:lang w:val="en-US"/>
        </w:rPr>
        <w:t>Trail</w:t>
      </w:r>
      <w:r w:rsidRPr="00231F7D">
        <w:rPr>
          <w:rFonts w:eastAsia="Times New Roman" w:cs="Arial"/>
          <w:color w:val="000000"/>
        </w:rPr>
        <w:t xml:space="preserve"> </w:t>
      </w:r>
      <w:r w:rsidRPr="00231F7D">
        <w:rPr>
          <w:rFonts w:eastAsia="Times New Roman" w:cs="Arial"/>
          <w:color w:val="000000"/>
          <w:lang w:eastAsia="bg-BG"/>
        </w:rPr>
        <w:t xml:space="preserve">- текущо глобално изпитване за крайни точки на телмисартан самостоятелно и в комбинация с рамиприл) и </w:t>
      </w:r>
      <w:r w:rsidRPr="00231F7D">
        <w:rPr>
          <w:rFonts w:eastAsia="Times New Roman" w:cs="Arial"/>
          <w:color w:val="000000"/>
          <w:lang w:val="en-US"/>
        </w:rPr>
        <w:t>VA</w:t>
      </w:r>
      <w:r w:rsidRPr="00231F7D">
        <w:rPr>
          <w:rFonts w:eastAsia="Times New Roman" w:cs="Arial"/>
          <w:color w:val="000000"/>
        </w:rPr>
        <w:t xml:space="preserve"> </w:t>
      </w:r>
      <w:r w:rsidRPr="00231F7D">
        <w:rPr>
          <w:rFonts w:eastAsia="Times New Roman" w:cs="Arial"/>
          <w:color w:val="000000"/>
          <w:lang w:val="en-US"/>
        </w:rPr>
        <w:t>NEPHRON</w:t>
      </w:r>
      <w:r w:rsidRPr="00231F7D">
        <w:rPr>
          <w:rFonts w:eastAsia="Times New Roman" w:cs="Arial"/>
          <w:color w:val="000000"/>
        </w:rPr>
        <w:t>-</w:t>
      </w:r>
      <w:r w:rsidRPr="00231F7D">
        <w:rPr>
          <w:rFonts w:eastAsia="Times New Roman" w:cs="Arial"/>
          <w:color w:val="000000"/>
          <w:lang w:val="en-US"/>
        </w:rPr>
        <w:t>D</w:t>
      </w:r>
      <w:r w:rsidRPr="00231F7D">
        <w:rPr>
          <w:rFonts w:eastAsia="Times New Roman" w:cs="Arial"/>
          <w:color w:val="000000"/>
        </w:rPr>
        <w:t xml:space="preserve"> </w:t>
      </w:r>
      <w:r w:rsidRPr="00231F7D">
        <w:rPr>
          <w:rFonts w:eastAsia="Times New Roman" w:cs="Arial"/>
          <w:color w:val="000000"/>
          <w:lang w:eastAsia="bg-BG"/>
        </w:rPr>
        <w:t xml:space="preserve">(клинично проучване свързано с развитие на нефропатия при диабет, проведено от Министерството по въпросите с ветераните) - проучват употребата на комбинацията от АСЕ инхибитор и ангиотензин </w:t>
      </w:r>
      <w:r w:rsidRPr="00231F7D">
        <w:rPr>
          <w:rFonts w:eastAsia="Times New Roman" w:cs="Arial"/>
          <w:color w:val="000000"/>
          <w:lang w:val="en-US"/>
        </w:rPr>
        <w:t>II</w:t>
      </w:r>
      <w:r w:rsidRPr="00231F7D">
        <w:rPr>
          <w:rFonts w:eastAsia="Times New Roman" w:cs="Arial"/>
          <w:color w:val="000000"/>
          <w:lang w:eastAsia="bg-BG"/>
        </w:rPr>
        <w:t>-рецепторен блокер.</w:t>
      </w:r>
    </w:p>
    <w:p w14:paraId="46965AEF" w14:textId="77777777" w:rsidR="00231F7D" w:rsidRPr="00231F7D" w:rsidRDefault="00231F7D" w:rsidP="00231F7D">
      <w:pPr>
        <w:spacing w:line="240" w:lineRule="auto"/>
        <w:rPr>
          <w:rFonts w:eastAsia="Times New Roman" w:cs="Arial"/>
        </w:rPr>
      </w:pPr>
      <w:r w:rsidRPr="00231F7D">
        <w:rPr>
          <w:rFonts w:eastAsia="Times New Roman" w:cs="Arial"/>
          <w:color w:val="000000"/>
          <w:lang w:val="en-US"/>
        </w:rPr>
        <w:t>ONTARGET</w:t>
      </w:r>
      <w:r w:rsidRPr="00231F7D">
        <w:rPr>
          <w:rFonts w:eastAsia="Times New Roman" w:cs="Arial"/>
          <w:color w:val="000000"/>
          <w:lang w:val="ru-RU"/>
        </w:rPr>
        <w:t xml:space="preserve"> </w:t>
      </w:r>
      <w:r w:rsidRPr="00231F7D">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увредеждане на ефекторни органи. </w:t>
      </w:r>
      <w:r w:rsidRPr="00231F7D">
        <w:rPr>
          <w:rFonts w:eastAsia="Times New Roman" w:cs="Arial"/>
          <w:color w:val="000000"/>
          <w:lang w:val="en-US"/>
        </w:rPr>
        <w:t>VANEPHRON</w:t>
      </w:r>
      <w:r w:rsidRPr="00231F7D">
        <w:rPr>
          <w:rFonts w:eastAsia="Times New Roman" w:cs="Arial"/>
          <w:color w:val="000000"/>
          <w:lang w:val="ru-RU"/>
        </w:rPr>
        <w:t>-</w:t>
      </w:r>
      <w:r w:rsidRPr="00231F7D">
        <w:rPr>
          <w:rFonts w:eastAsia="Times New Roman" w:cs="Arial"/>
          <w:color w:val="000000"/>
          <w:lang w:val="en-US"/>
        </w:rPr>
        <w:t>D</w:t>
      </w:r>
      <w:r w:rsidRPr="00231F7D">
        <w:rPr>
          <w:rFonts w:eastAsia="Times New Roman" w:cs="Arial"/>
          <w:color w:val="000000"/>
          <w:lang w:val="ru-RU"/>
        </w:rPr>
        <w:t xml:space="preserve"> </w:t>
      </w:r>
      <w:r w:rsidRPr="00231F7D">
        <w:rPr>
          <w:rFonts w:eastAsia="Times New Roman" w:cs="Arial"/>
          <w:color w:val="000000"/>
          <w:lang w:eastAsia="bg-BG"/>
        </w:rPr>
        <w:t>е проучване при пациенти със захарен диабет тип 2 и диабетна нефропатия.</w:t>
      </w:r>
    </w:p>
    <w:p w14:paraId="112B6908"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231F7D">
        <w:rPr>
          <w:rFonts w:eastAsia="Times New Roman" w:cs="Arial"/>
          <w:color w:val="000000"/>
          <w:lang w:val="en-US"/>
        </w:rPr>
        <w:t>II</w:t>
      </w:r>
      <w:r w:rsidRPr="00231F7D">
        <w:rPr>
          <w:rFonts w:eastAsia="Times New Roman" w:cs="Arial"/>
          <w:color w:val="000000"/>
          <w:lang w:eastAsia="bg-BG"/>
        </w:rPr>
        <w:t>-рецепторни блокери.</w:t>
      </w:r>
    </w:p>
    <w:p w14:paraId="49690217"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 xml:space="preserve">АСЕ инхибитори и ангиотензин </w:t>
      </w:r>
      <w:r w:rsidRPr="00231F7D">
        <w:rPr>
          <w:rFonts w:eastAsia="Times New Roman" w:cs="Arial"/>
          <w:color w:val="000000"/>
          <w:lang w:val="en-US"/>
        </w:rPr>
        <w:t>II</w:t>
      </w:r>
      <w:r w:rsidRPr="00231F7D">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2DB5BDF0" w14:textId="77777777" w:rsidR="00231F7D" w:rsidRPr="00231F7D" w:rsidRDefault="00231F7D" w:rsidP="00231F7D">
      <w:pPr>
        <w:rPr>
          <w:rFonts w:eastAsia="Times New Roman" w:cs="Arial"/>
        </w:rPr>
      </w:pPr>
      <w:r w:rsidRPr="00231F7D">
        <w:rPr>
          <w:rFonts w:eastAsia="Times New Roman" w:cs="Arial"/>
          <w:color w:val="000000"/>
          <w:lang w:val="en-US"/>
        </w:rPr>
        <w:t>ALTITUDE</w:t>
      </w:r>
      <w:r w:rsidRPr="00231F7D">
        <w:rPr>
          <w:rFonts w:eastAsia="Times New Roman" w:cs="Arial"/>
          <w:color w:val="000000"/>
          <w:lang w:val="ru-RU"/>
        </w:rPr>
        <w:t xml:space="preserve"> </w:t>
      </w:r>
      <w:r w:rsidRPr="00231F7D">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w:t>
      </w:r>
      <w:r w:rsidRPr="00231F7D">
        <w:rPr>
          <w:rFonts w:eastAsia="Times New Roman" w:cs="Arial"/>
          <w:color w:val="000000"/>
          <w:lang w:val="en-US"/>
        </w:rPr>
        <w:t>ACE</w:t>
      </w:r>
      <w:r w:rsidRPr="00231F7D">
        <w:rPr>
          <w:rFonts w:eastAsia="Times New Roman" w:cs="Arial"/>
          <w:color w:val="000000"/>
          <w:lang w:eastAsia="bg-BG"/>
        </w:rPr>
        <w:t xml:space="preserve"> инхибитор или ангиотензин </w:t>
      </w:r>
      <w:r w:rsidRPr="00231F7D">
        <w:rPr>
          <w:rFonts w:eastAsia="Times New Roman" w:cs="Arial"/>
          <w:color w:val="000000"/>
          <w:lang w:val="en-US"/>
        </w:rPr>
        <w:t>II</w:t>
      </w:r>
      <w:r w:rsidRPr="00231F7D">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w:t>
      </w:r>
      <w:r w:rsidRPr="00231F7D">
        <w:rPr>
          <w:rFonts w:eastAsia="Times New Roman" w:cs="Arial"/>
          <w:color w:val="000000"/>
          <w:lang w:val="ru-RU" w:eastAsia="bg-BG"/>
        </w:rPr>
        <w:t xml:space="preserve"> </w:t>
      </w:r>
      <w:r w:rsidRPr="00231F7D">
        <w:rPr>
          <w:rFonts w:eastAsia="Times New Roman" w:cs="Arial"/>
          <w:color w:val="000000"/>
          <w:lang w:eastAsia="bg-BG"/>
        </w:rPr>
        <w:t xml:space="preserve">прекратено преждевременно поради повишен риск от неблагоприятни последици. Както сърдечносъдовата смърт, така и инсултът са по-чести в </w:t>
      </w:r>
      <w:r w:rsidRPr="00231F7D">
        <w:rPr>
          <w:rFonts w:eastAsia="Times New Roman" w:cs="Arial"/>
          <w:color w:val="000000"/>
          <w:lang w:eastAsia="bg-BG"/>
        </w:rPr>
        <w:lastRenderedPageBreak/>
        <w:t>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770104E" w14:textId="77777777" w:rsidR="00231F7D" w:rsidRDefault="00231F7D" w:rsidP="00231F7D">
      <w:pPr>
        <w:spacing w:line="240" w:lineRule="auto"/>
        <w:rPr>
          <w:rFonts w:eastAsia="Times New Roman" w:cs="Arial"/>
          <w:i/>
          <w:iCs/>
          <w:color w:val="000000"/>
          <w:u w:val="single"/>
          <w:lang w:eastAsia="bg-BG"/>
        </w:rPr>
      </w:pPr>
    </w:p>
    <w:p w14:paraId="30446B0B" w14:textId="6333DB47" w:rsidR="00231F7D" w:rsidRPr="00231F7D" w:rsidRDefault="00231F7D" w:rsidP="00231F7D">
      <w:pPr>
        <w:spacing w:line="240" w:lineRule="auto"/>
        <w:rPr>
          <w:rFonts w:eastAsia="Times New Roman" w:cs="Arial"/>
        </w:rPr>
      </w:pPr>
      <w:r w:rsidRPr="00231F7D">
        <w:rPr>
          <w:rFonts w:eastAsia="Times New Roman" w:cs="Arial"/>
          <w:i/>
          <w:iCs/>
          <w:color w:val="000000"/>
          <w:u w:val="single"/>
          <w:lang w:eastAsia="bg-BG"/>
        </w:rPr>
        <w:t>Немеланомен рак на кожата</w:t>
      </w:r>
    </w:p>
    <w:p w14:paraId="4BCB4A14" w14:textId="3E4A10E4" w:rsidR="00231F7D" w:rsidRDefault="00231F7D" w:rsidP="00231F7D">
      <w:pPr>
        <w:spacing w:line="240" w:lineRule="auto"/>
        <w:rPr>
          <w:rFonts w:eastAsia="Times New Roman" w:cs="Arial"/>
          <w:color w:val="000000"/>
          <w:lang w:eastAsia="bg-BG"/>
        </w:rPr>
      </w:pPr>
      <w:r w:rsidRPr="00231F7D">
        <w:rPr>
          <w:rFonts w:eastAsia="Times New Roman" w:cs="Arial"/>
          <w:color w:val="000000"/>
          <w:lang w:eastAsia="bg-BG"/>
        </w:rPr>
        <w:t xml:space="preserve">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 50 000 </w:t>
      </w:r>
      <w:r w:rsidRPr="00231F7D">
        <w:rPr>
          <w:rFonts w:eastAsia="Times New Roman" w:cs="Arial"/>
          <w:color w:val="000000"/>
          <w:lang w:val="en-US"/>
        </w:rPr>
        <w:t>mg</w:t>
      </w:r>
      <w:r w:rsidRPr="00231F7D">
        <w:rPr>
          <w:rFonts w:eastAsia="Times New Roman" w:cs="Arial"/>
          <w:color w:val="000000"/>
          <w:lang w:val="ru-RU"/>
        </w:rPr>
        <w:t xml:space="preserve">) </w:t>
      </w:r>
      <w:r w:rsidRPr="00231F7D">
        <w:rPr>
          <w:rFonts w:eastAsia="Times New Roman" w:cs="Arial"/>
          <w:color w:val="000000"/>
          <w:lang w:eastAsia="bg-BG"/>
        </w:rPr>
        <w:t xml:space="preserve">е свързана с коригиран </w:t>
      </w:r>
      <w:r w:rsidRPr="00231F7D">
        <w:rPr>
          <w:rFonts w:eastAsia="Times New Roman" w:cs="Arial"/>
          <w:color w:val="000000"/>
          <w:lang w:val="en-US"/>
        </w:rPr>
        <w:t>OR</w:t>
      </w:r>
      <w:r w:rsidRPr="00231F7D">
        <w:rPr>
          <w:rFonts w:eastAsia="Times New Roman" w:cs="Arial"/>
          <w:color w:val="000000"/>
          <w:lang w:val="ru-RU"/>
        </w:rPr>
        <w:t xml:space="preserve"> </w:t>
      </w:r>
      <w:r w:rsidRPr="00231F7D">
        <w:rPr>
          <w:rFonts w:eastAsia="Times New Roman" w:cs="Arial"/>
          <w:color w:val="00000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подобна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231F7D">
        <w:rPr>
          <w:rFonts w:eastAsia="Times New Roman" w:cs="Arial"/>
          <w:color w:val="000000"/>
          <w:lang w:val="en-US"/>
        </w:rPr>
        <w:t>OR</w:t>
      </w:r>
      <w:r w:rsidRPr="00231F7D">
        <w:rPr>
          <w:rFonts w:eastAsia="Times New Roman" w:cs="Arial"/>
          <w:color w:val="000000"/>
          <w:lang w:val="ru-RU"/>
        </w:rPr>
        <w:t xml:space="preserve"> </w:t>
      </w:r>
      <w:r w:rsidRPr="00231F7D">
        <w:rPr>
          <w:rFonts w:eastAsia="Times New Roman" w:cs="Arial"/>
          <w:color w:val="000000"/>
          <w:lang w:eastAsia="bg-BG"/>
        </w:rPr>
        <w:t xml:space="preserve">2,1 (95% ДИ: 1,7-2,6), нарастващ до </w:t>
      </w:r>
      <w:r w:rsidRPr="00231F7D">
        <w:rPr>
          <w:rFonts w:eastAsia="Times New Roman" w:cs="Arial"/>
          <w:color w:val="000000"/>
          <w:lang w:val="en-US"/>
        </w:rPr>
        <w:t>OR</w:t>
      </w:r>
      <w:r w:rsidRPr="00231F7D">
        <w:rPr>
          <w:rFonts w:eastAsia="Times New Roman" w:cs="Arial"/>
          <w:color w:val="000000"/>
          <w:lang w:val="ru-RU"/>
        </w:rPr>
        <w:t xml:space="preserve"> </w:t>
      </w:r>
      <w:r w:rsidRPr="00231F7D">
        <w:rPr>
          <w:rFonts w:eastAsia="Times New Roman" w:cs="Arial"/>
          <w:color w:val="000000"/>
          <w:lang w:eastAsia="bg-BG"/>
        </w:rPr>
        <w:t xml:space="preserve">3,9 (3,0-4,9) за висока употреба (~ 25 000 </w:t>
      </w:r>
      <w:r w:rsidRPr="00231F7D">
        <w:rPr>
          <w:rFonts w:eastAsia="Times New Roman" w:cs="Arial"/>
          <w:color w:val="000000"/>
          <w:lang w:val="en-US"/>
        </w:rPr>
        <w:t>mg</w:t>
      </w:r>
      <w:r w:rsidRPr="00231F7D">
        <w:rPr>
          <w:rFonts w:eastAsia="Times New Roman" w:cs="Arial"/>
          <w:color w:val="000000"/>
          <w:lang w:val="ru-RU"/>
        </w:rPr>
        <w:t xml:space="preserve">) </w:t>
      </w:r>
      <w:r w:rsidRPr="00231F7D">
        <w:rPr>
          <w:rFonts w:eastAsia="Times New Roman" w:cs="Arial"/>
          <w:color w:val="000000"/>
          <w:lang w:eastAsia="bg-BG"/>
        </w:rPr>
        <w:t xml:space="preserve">и </w:t>
      </w:r>
      <w:r w:rsidRPr="00231F7D">
        <w:rPr>
          <w:rFonts w:eastAsia="Times New Roman" w:cs="Arial"/>
          <w:color w:val="000000"/>
          <w:lang w:val="en-US"/>
        </w:rPr>
        <w:t>OR</w:t>
      </w:r>
      <w:r w:rsidRPr="00231F7D">
        <w:rPr>
          <w:rFonts w:eastAsia="Times New Roman" w:cs="Arial"/>
          <w:color w:val="000000"/>
          <w:lang w:val="ru-RU"/>
        </w:rPr>
        <w:t xml:space="preserve"> </w:t>
      </w:r>
      <w:r w:rsidRPr="00231F7D">
        <w:rPr>
          <w:rFonts w:eastAsia="Times New Roman" w:cs="Arial"/>
          <w:color w:val="000000"/>
          <w:lang w:eastAsia="bg-BG"/>
        </w:rPr>
        <w:t xml:space="preserve">7,7 (5,7-10,5) за най-високата кумулативна доза (~ 100 000 </w:t>
      </w:r>
      <w:r w:rsidRPr="00231F7D">
        <w:rPr>
          <w:rFonts w:eastAsia="Times New Roman" w:cs="Arial"/>
          <w:color w:val="000000"/>
          <w:lang w:val="en-US"/>
        </w:rPr>
        <w:t>mg</w:t>
      </w:r>
      <w:r w:rsidRPr="00231F7D">
        <w:rPr>
          <w:rFonts w:eastAsia="Times New Roman" w:cs="Arial"/>
          <w:color w:val="000000"/>
          <w:lang w:val="ru-RU"/>
        </w:rPr>
        <w:t xml:space="preserve">) </w:t>
      </w:r>
      <w:r w:rsidRPr="00231F7D">
        <w:rPr>
          <w:rFonts w:eastAsia="Times New Roman" w:cs="Arial"/>
          <w:color w:val="000000"/>
          <w:lang w:eastAsia="bg-BG"/>
        </w:rPr>
        <w:t>(вж. също точка 4.4).</w:t>
      </w:r>
    </w:p>
    <w:p w14:paraId="3A76D305" w14:textId="7B8A38A3" w:rsidR="00231F7D" w:rsidRDefault="00231F7D" w:rsidP="00231F7D">
      <w:pPr>
        <w:spacing w:line="240" w:lineRule="auto"/>
        <w:rPr>
          <w:rFonts w:eastAsia="Times New Roman" w:cs="Arial"/>
          <w:color w:val="000000"/>
          <w:lang w:eastAsia="bg-BG"/>
        </w:rPr>
      </w:pPr>
    </w:p>
    <w:p w14:paraId="5507168E" w14:textId="77777777" w:rsidR="00231F7D" w:rsidRDefault="00231F7D" w:rsidP="00231F7D">
      <w:pPr>
        <w:pStyle w:val="Heading2"/>
      </w:pPr>
      <w:r>
        <w:t>5.2. Фармакокинетични свойства</w:t>
      </w:r>
    </w:p>
    <w:p w14:paraId="00ABAC8C" w14:textId="0BF91910" w:rsidR="00231F7D" w:rsidRDefault="00231F7D" w:rsidP="00231F7D">
      <w:pPr>
        <w:spacing w:line="240" w:lineRule="auto"/>
        <w:rPr>
          <w:rFonts w:eastAsia="Times New Roman" w:cs="Arial"/>
          <w:lang w:val="en-US"/>
        </w:rPr>
      </w:pPr>
    </w:p>
    <w:p w14:paraId="36467224" w14:textId="77777777" w:rsidR="00231F7D" w:rsidRPr="00231F7D" w:rsidRDefault="00231F7D" w:rsidP="00231F7D">
      <w:pPr>
        <w:spacing w:line="240" w:lineRule="auto"/>
        <w:rPr>
          <w:rFonts w:eastAsia="Times New Roman" w:cs="Arial"/>
        </w:rPr>
      </w:pPr>
      <w:r w:rsidRPr="00231F7D">
        <w:rPr>
          <w:rFonts w:eastAsia="Times New Roman" w:cs="Arial"/>
          <w:i/>
          <w:iCs/>
          <w:color w:val="000000"/>
          <w:u w:val="single"/>
          <w:lang w:eastAsia="bg-BG"/>
        </w:rPr>
        <w:t>Фармакокинетика и метаболизъм</w:t>
      </w:r>
    </w:p>
    <w:p w14:paraId="013459A2" w14:textId="77777777" w:rsidR="00231F7D" w:rsidRDefault="00231F7D" w:rsidP="00231F7D">
      <w:pPr>
        <w:spacing w:line="240" w:lineRule="auto"/>
        <w:rPr>
          <w:rFonts w:eastAsia="Times New Roman" w:cs="Arial"/>
          <w:i/>
          <w:iCs/>
          <w:color w:val="000000"/>
          <w:u w:val="single"/>
          <w:lang w:eastAsia="bg-BG"/>
        </w:rPr>
      </w:pPr>
    </w:p>
    <w:p w14:paraId="4795ADDD" w14:textId="5CBE078B" w:rsidR="00231F7D" w:rsidRPr="00231F7D" w:rsidRDefault="00231F7D" w:rsidP="00231F7D">
      <w:pPr>
        <w:pStyle w:val="Heading3"/>
        <w:rPr>
          <w:rFonts w:eastAsia="Times New Roman"/>
          <w:u w:val="single"/>
        </w:rPr>
      </w:pPr>
      <w:r w:rsidRPr="00231F7D">
        <w:rPr>
          <w:rFonts w:eastAsia="Times New Roman"/>
          <w:u w:val="single"/>
          <w:lang w:eastAsia="bg-BG"/>
        </w:rPr>
        <w:t>Рамиприл</w:t>
      </w:r>
    </w:p>
    <w:p w14:paraId="73E05645" w14:textId="77777777" w:rsidR="00231F7D" w:rsidRDefault="00231F7D" w:rsidP="00231F7D">
      <w:pPr>
        <w:spacing w:line="240" w:lineRule="auto"/>
        <w:rPr>
          <w:rFonts w:eastAsia="Times New Roman" w:cs="Arial"/>
          <w:color w:val="000000"/>
          <w:u w:val="single"/>
          <w:lang w:eastAsia="bg-BG"/>
        </w:rPr>
      </w:pPr>
    </w:p>
    <w:p w14:paraId="543BC882" w14:textId="505F522D" w:rsidR="00231F7D" w:rsidRPr="00231F7D" w:rsidRDefault="00231F7D" w:rsidP="00231F7D">
      <w:pPr>
        <w:spacing w:line="240" w:lineRule="auto"/>
        <w:rPr>
          <w:rFonts w:eastAsia="Times New Roman" w:cs="Arial"/>
        </w:rPr>
      </w:pPr>
      <w:r w:rsidRPr="00231F7D">
        <w:rPr>
          <w:rFonts w:eastAsia="Times New Roman" w:cs="Arial"/>
          <w:color w:val="000000"/>
          <w:u w:val="single"/>
          <w:lang w:eastAsia="bg-BG"/>
        </w:rPr>
        <w:t>Абсорбция</w:t>
      </w:r>
    </w:p>
    <w:p w14:paraId="1487F92C"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възстановяването в урината, степента на абсорбция е поне 56% и не се повлиява значимо от присъствието на храна в стомашно-чревния тракт. Бионаличността на активния метаболит рамиприлат след перорално приложение на 2,5 </w:t>
      </w:r>
      <w:r w:rsidRPr="00231F7D">
        <w:rPr>
          <w:rFonts w:eastAsia="Times New Roman" w:cs="Arial"/>
          <w:color w:val="000000"/>
          <w:lang w:val="en-US"/>
        </w:rPr>
        <w:t>mg</w:t>
      </w:r>
      <w:r w:rsidRPr="00231F7D">
        <w:rPr>
          <w:rFonts w:eastAsia="Times New Roman" w:cs="Arial"/>
          <w:color w:val="000000"/>
          <w:lang w:val="ru-RU"/>
        </w:rPr>
        <w:t xml:space="preserve"> </w:t>
      </w:r>
      <w:r w:rsidRPr="00231F7D">
        <w:rPr>
          <w:rFonts w:eastAsia="Times New Roman" w:cs="Arial"/>
          <w:color w:val="000000"/>
          <w:lang w:eastAsia="bg-BG"/>
        </w:rPr>
        <w:t xml:space="preserve">и 5 </w:t>
      </w:r>
      <w:r w:rsidRPr="00231F7D">
        <w:rPr>
          <w:rFonts w:eastAsia="Times New Roman" w:cs="Arial"/>
          <w:color w:val="000000"/>
          <w:lang w:val="en-US"/>
        </w:rPr>
        <w:t>mg</w:t>
      </w:r>
      <w:r w:rsidRPr="00231F7D">
        <w:rPr>
          <w:rFonts w:eastAsia="Times New Roman" w:cs="Arial"/>
          <w:color w:val="000000"/>
          <w:lang w:val="ru-RU"/>
        </w:rPr>
        <w:t xml:space="preserve"> </w:t>
      </w:r>
      <w:r w:rsidRPr="00231F7D">
        <w:rPr>
          <w:rFonts w:eastAsia="Times New Roman" w:cs="Arial"/>
          <w:color w:val="000000"/>
          <w:lang w:eastAsia="bg-BG"/>
        </w:rPr>
        <w:t>рамиприл е 45 %. Пикова плазмена концентрация на рамиприлат, единственият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2F4B1C29" w14:textId="77777777" w:rsidR="00231F7D" w:rsidRDefault="00231F7D" w:rsidP="00231F7D">
      <w:pPr>
        <w:spacing w:line="240" w:lineRule="auto"/>
        <w:rPr>
          <w:rFonts w:eastAsia="Times New Roman" w:cs="Arial"/>
          <w:color w:val="000000"/>
          <w:u w:val="single"/>
          <w:lang w:eastAsia="bg-BG"/>
        </w:rPr>
      </w:pPr>
    </w:p>
    <w:p w14:paraId="3F6ECD93" w14:textId="005A9D24" w:rsidR="00231F7D" w:rsidRPr="00231F7D" w:rsidRDefault="00231F7D" w:rsidP="00231F7D">
      <w:pPr>
        <w:spacing w:line="240" w:lineRule="auto"/>
        <w:rPr>
          <w:rFonts w:eastAsia="Times New Roman" w:cs="Arial"/>
        </w:rPr>
      </w:pPr>
      <w:r w:rsidRPr="00231F7D">
        <w:rPr>
          <w:rFonts w:eastAsia="Times New Roman" w:cs="Arial"/>
          <w:color w:val="000000"/>
          <w:u w:val="single"/>
          <w:lang w:eastAsia="bg-BG"/>
        </w:rPr>
        <w:t>Разпределение</w:t>
      </w:r>
    </w:p>
    <w:p w14:paraId="18D149E9"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Свързването с плазмените протеини на рамиприл е около 73%, а това на рамиприлат около 56%.</w:t>
      </w:r>
    </w:p>
    <w:p w14:paraId="3ABC01A0" w14:textId="77777777" w:rsidR="00231F7D" w:rsidRDefault="00231F7D" w:rsidP="00231F7D">
      <w:pPr>
        <w:spacing w:line="240" w:lineRule="auto"/>
        <w:rPr>
          <w:rFonts w:eastAsia="Times New Roman" w:cs="Arial"/>
          <w:color w:val="000000"/>
          <w:u w:val="single"/>
          <w:lang w:eastAsia="bg-BG"/>
        </w:rPr>
      </w:pPr>
    </w:p>
    <w:p w14:paraId="300D2A64" w14:textId="6F841F91" w:rsidR="00231F7D" w:rsidRPr="00231F7D" w:rsidRDefault="00231F7D" w:rsidP="00231F7D">
      <w:pPr>
        <w:spacing w:line="240" w:lineRule="auto"/>
        <w:rPr>
          <w:rFonts w:eastAsia="Times New Roman" w:cs="Arial"/>
        </w:rPr>
      </w:pPr>
      <w:r w:rsidRPr="00231F7D">
        <w:rPr>
          <w:rFonts w:eastAsia="Times New Roman" w:cs="Arial"/>
          <w:color w:val="000000"/>
          <w:u w:val="single"/>
          <w:lang w:eastAsia="bg-BG"/>
        </w:rPr>
        <w:t>Биотрансформация</w:t>
      </w:r>
    </w:p>
    <w:p w14:paraId="04200165"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глюкуронидите на рамиприл и рамиприлат.</w:t>
      </w:r>
    </w:p>
    <w:p w14:paraId="17808DF1" w14:textId="77777777" w:rsidR="00231F7D" w:rsidRDefault="00231F7D" w:rsidP="00231F7D">
      <w:pPr>
        <w:spacing w:line="240" w:lineRule="auto"/>
        <w:rPr>
          <w:rFonts w:eastAsia="Times New Roman" w:cs="Arial"/>
          <w:color w:val="000000"/>
          <w:u w:val="single"/>
          <w:lang w:eastAsia="bg-BG"/>
        </w:rPr>
      </w:pPr>
    </w:p>
    <w:p w14:paraId="5AE2229B" w14:textId="59972C04" w:rsidR="00231F7D" w:rsidRPr="00231F7D" w:rsidRDefault="00231F7D" w:rsidP="00231F7D">
      <w:pPr>
        <w:spacing w:line="240" w:lineRule="auto"/>
        <w:rPr>
          <w:rFonts w:eastAsia="Times New Roman" w:cs="Arial"/>
        </w:rPr>
      </w:pPr>
      <w:r w:rsidRPr="00231F7D">
        <w:rPr>
          <w:rFonts w:eastAsia="Times New Roman" w:cs="Arial"/>
          <w:color w:val="000000"/>
          <w:u w:val="single"/>
          <w:lang w:eastAsia="bg-BG"/>
        </w:rPr>
        <w:t>Елиминиране</w:t>
      </w:r>
    </w:p>
    <w:p w14:paraId="305686E0"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Екскрецията на метаболитите е предимно бъбречна. Плазмената концентрация на рамиприлат намалява по полифазов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w:t>
      </w:r>
    </w:p>
    <w:p w14:paraId="02810ECE"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lastRenderedPageBreak/>
        <w:t xml:space="preserve">След многократно прилагане на дози рамиприл веднъж дневно, ефективният полуживот на рамиприлат е 13-17 часа за дози от 5-10 </w:t>
      </w:r>
      <w:r w:rsidRPr="00231F7D">
        <w:rPr>
          <w:rFonts w:eastAsia="Times New Roman" w:cs="Arial"/>
          <w:color w:val="000000"/>
          <w:lang w:val="en-US"/>
        </w:rPr>
        <w:t>mg</w:t>
      </w:r>
      <w:r w:rsidRPr="00231F7D">
        <w:rPr>
          <w:rFonts w:eastAsia="Times New Roman" w:cs="Arial"/>
          <w:color w:val="000000"/>
          <w:lang w:val="ru-RU"/>
        </w:rPr>
        <w:t xml:space="preserve"> </w:t>
      </w:r>
      <w:r w:rsidRPr="00231F7D">
        <w:rPr>
          <w:rFonts w:eastAsia="Times New Roman" w:cs="Arial"/>
          <w:color w:val="000000"/>
          <w:lang w:eastAsia="bg-BG"/>
        </w:rPr>
        <w:t xml:space="preserve">и по-дълъг за по-ниските дози 1,25-2,5 </w:t>
      </w:r>
      <w:r w:rsidRPr="00231F7D">
        <w:rPr>
          <w:rFonts w:eastAsia="Times New Roman" w:cs="Arial"/>
          <w:color w:val="000000"/>
          <w:lang w:val="en-US"/>
        </w:rPr>
        <w:t>mg</w:t>
      </w:r>
    </w:p>
    <w:p w14:paraId="6E4320B9" w14:textId="0BE8D5BF" w:rsidR="00231F7D" w:rsidRPr="00231F7D" w:rsidRDefault="00231F7D" w:rsidP="00231F7D">
      <w:pPr>
        <w:spacing w:line="240" w:lineRule="auto"/>
        <w:rPr>
          <w:rFonts w:eastAsia="Times New Roman" w:cs="Arial"/>
          <w:lang w:val="ru-RU"/>
        </w:rPr>
      </w:pPr>
      <w:r w:rsidRPr="00231F7D">
        <w:rPr>
          <w:rFonts w:eastAsia="Times New Roman" w:cs="Arial"/>
          <w:color w:val="000000"/>
          <w:lang w:eastAsia="bg-BG"/>
        </w:rPr>
        <w:t>Тази разлика е свързана с капацитета за насищане на ензима чрез свързване с рамиприлат Еднократна перорална доза рамиприл дава неоткриваемо ниво на рамиприл и неговите метаболити в кърмата. Обаче ефектът при многократно прилагане е неизвестен</w:t>
      </w:r>
      <w:r w:rsidRPr="00231F7D">
        <w:rPr>
          <w:rFonts w:eastAsia="Times New Roman" w:cs="Arial"/>
          <w:color w:val="000000"/>
          <w:lang w:val="ru-RU" w:eastAsia="bg-BG"/>
        </w:rPr>
        <w:t>.</w:t>
      </w:r>
    </w:p>
    <w:p w14:paraId="4A4A7B0B" w14:textId="2ACE6DD9" w:rsidR="00231F7D" w:rsidRDefault="00231F7D" w:rsidP="00231F7D">
      <w:pPr>
        <w:rPr>
          <w:rFonts w:cs="Arial"/>
        </w:rPr>
      </w:pPr>
    </w:p>
    <w:p w14:paraId="556EC8C5" w14:textId="77777777" w:rsidR="00231F7D" w:rsidRPr="00231F7D" w:rsidRDefault="00231F7D" w:rsidP="00231F7D">
      <w:pPr>
        <w:spacing w:line="240" w:lineRule="auto"/>
        <w:rPr>
          <w:rFonts w:eastAsia="Times New Roman" w:cs="Arial"/>
        </w:rPr>
      </w:pPr>
      <w:r w:rsidRPr="00231F7D">
        <w:rPr>
          <w:rFonts w:eastAsia="Times New Roman" w:cs="Arial"/>
          <w:i/>
          <w:iCs/>
          <w:color w:val="000000"/>
          <w:lang w:eastAsia="bg-BG"/>
        </w:rPr>
        <w:t>Пациенти с бъбречно увреждане (вж. точка 4.2.)</w:t>
      </w:r>
    </w:p>
    <w:p w14:paraId="161900AA"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0C6CC553" w14:textId="77777777" w:rsidR="00231F7D" w:rsidRDefault="00231F7D" w:rsidP="00231F7D">
      <w:pPr>
        <w:spacing w:line="240" w:lineRule="auto"/>
        <w:rPr>
          <w:rFonts w:eastAsia="Times New Roman" w:cs="Arial"/>
          <w:i/>
          <w:iCs/>
          <w:color w:val="000000"/>
          <w:lang w:eastAsia="bg-BG"/>
        </w:rPr>
      </w:pPr>
    </w:p>
    <w:p w14:paraId="583B3E17" w14:textId="4A2BC68C" w:rsidR="00231F7D" w:rsidRPr="00231F7D" w:rsidRDefault="00231F7D" w:rsidP="00231F7D">
      <w:pPr>
        <w:spacing w:line="240" w:lineRule="auto"/>
        <w:rPr>
          <w:rFonts w:eastAsia="Times New Roman" w:cs="Arial"/>
        </w:rPr>
      </w:pPr>
      <w:r w:rsidRPr="00231F7D">
        <w:rPr>
          <w:rFonts w:eastAsia="Times New Roman" w:cs="Arial"/>
          <w:i/>
          <w:iCs/>
          <w:color w:val="000000"/>
          <w:lang w:eastAsia="bg-BG"/>
        </w:rPr>
        <w:t>Пациенти с чернодробно увреждане (вж. точка 4.2.)</w:t>
      </w:r>
    </w:p>
    <w:p w14:paraId="73C9EB5E"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39250C97" w14:textId="77777777" w:rsidR="00231F7D" w:rsidRDefault="00231F7D" w:rsidP="00231F7D">
      <w:pPr>
        <w:spacing w:line="240" w:lineRule="auto"/>
        <w:rPr>
          <w:rFonts w:eastAsia="Times New Roman" w:cs="Arial"/>
          <w:i/>
          <w:iCs/>
          <w:color w:val="000000"/>
          <w:lang w:eastAsia="bg-BG"/>
        </w:rPr>
      </w:pPr>
    </w:p>
    <w:p w14:paraId="24576E62" w14:textId="43DABA2C" w:rsidR="00231F7D" w:rsidRPr="00231F7D" w:rsidRDefault="00231F7D" w:rsidP="00231F7D">
      <w:pPr>
        <w:pStyle w:val="Heading3"/>
        <w:rPr>
          <w:rFonts w:eastAsia="Times New Roman"/>
          <w:u w:val="single"/>
        </w:rPr>
      </w:pPr>
      <w:r w:rsidRPr="00231F7D">
        <w:rPr>
          <w:rFonts w:eastAsia="Times New Roman"/>
          <w:u w:val="single"/>
          <w:lang w:eastAsia="bg-BG"/>
        </w:rPr>
        <w:t>Хидрохлоротиазид</w:t>
      </w:r>
    </w:p>
    <w:p w14:paraId="6752B9BF" w14:textId="77777777" w:rsidR="00231F7D" w:rsidRDefault="00231F7D" w:rsidP="00231F7D">
      <w:pPr>
        <w:spacing w:line="240" w:lineRule="auto"/>
        <w:rPr>
          <w:rFonts w:eastAsia="Times New Roman" w:cs="Arial"/>
          <w:color w:val="000000"/>
          <w:u w:val="single"/>
          <w:lang w:eastAsia="bg-BG"/>
        </w:rPr>
      </w:pPr>
    </w:p>
    <w:p w14:paraId="49327B8B" w14:textId="5D60D831" w:rsidR="00231F7D" w:rsidRPr="00231F7D" w:rsidRDefault="00231F7D" w:rsidP="00231F7D">
      <w:pPr>
        <w:spacing w:line="240" w:lineRule="auto"/>
        <w:rPr>
          <w:rFonts w:eastAsia="Times New Roman" w:cs="Arial"/>
        </w:rPr>
      </w:pPr>
      <w:r w:rsidRPr="00231F7D">
        <w:rPr>
          <w:rFonts w:eastAsia="Times New Roman" w:cs="Arial"/>
          <w:color w:val="000000"/>
          <w:u w:val="single"/>
          <w:lang w:eastAsia="bg-BG"/>
        </w:rPr>
        <w:t>Абсорбция</w:t>
      </w:r>
    </w:p>
    <w:p w14:paraId="30BA6A73"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След перорално приложение около 70 % от хидрохлоротиазида се абсорбират от стомашно- чревния тракт. Пикова плазмена концентрация на хидрохлоротиазид се достига в рамките на 1.5 до 5 часа.</w:t>
      </w:r>
    </w:p>
    <w:p w14:paraId="5F78C121" w14:textId="77777777" w:rsidR="00231F7D" w:rsidRDefault="00231F7D" w:rsidP="00231F7D">
      <w:pPr>
        <w:spacing w:line="240" w:lineRule="auto"/>
        <w:rPr>
          <w:rFonts w:eastAsia="Times New Roman" w:cs="Arial"/>
          <w:color w:val="000000"/>
          <w:u w:val="single"/>
          <w:lang w:eastAsia="bg-BG"/>
        </w:rPr>
      </w:pPr>
    </w:p>
    <w:p w14:paraId="7A928747" w14:textId="6BACCE71" w:rsidR="00231F7D" w:rsidRPr="00231F7D" w:rsidRDefault="00231F7D" w:rsidP="00231F7D">
      <w:pPr>
        <w:spacing w:line="240" w:lineRule="auto"/>
        <w:rPr>
          <w:rFonts w:eastAsia="Times New Roman" w:cs="Arial"/>
        </w:rPr>
      </w:pPr>
      <w:r w:rsidRPr="00231F7D">
        <w:rPr>
          <w:rFonts w:eastAsia="Times New Roman" w:cs="Arial"/>
          <w:color w:val="000000"/>
          <w:u w:val="single"/>
          <w:lang w:eastAsia="bg-BG"/>
        </w:rPr>
        <w:t>Разпределение</w:t>
      </w:r>
    </w:p>
    <w:p w14:paraId="625CB643"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Свързването с плазмените протеини на хидрохлоротиазид е 40 %.</w:t>
      </w:r>
    </w:p>
    <w:p w14:paraId="34A6A9EC" w14:textId="77777777" w:rsidR="00231F7D" w:rsidRDefault="00231F7D" w:rsidP="00231F7D">
      <w:pPr>
        <w:spacing w:line="240" w:lineRule="auto"/>
        <w:rPr>
          <w:rFonts w:eastAsia="Times New Roman" w:cs="Arial"/>
          <w:color w:val="000000"/>
          <w:u w:val="single"/>
          <w:lang w:eastAsia="bg-BG"/>
        </w:rPr>
      </w:pPr>
    </w:p>
    <w:p w14:paraId="19C911C4" w14:textId="36960766" w:rsidR="00231F7D" w:rsidRPr="00231F7D" w:rsidRDefault="00231F7D" w:rsidP="00231F7D">
      <w:pPr>
        <w:spacing w:line="240" w:lineRule="auto"/>
        <w:rPr>
          <w:rFonts w:eastAsia="Times New Roman" w:cs="Arial"/>
        </w:rPr>
      </w:pPr>
      <w:r w:rsidRPr="00231F7D">
        <w:rPr>
          <w:rFonts w:eastAsia="Times New Roman" w:cs="Arial"/>
          <w:color w:val="000000"/>
          <w:u w:val="single"/>
          <w:lang w:eastAsia="bg-BG"/>
        </w:rPr>
        <w:t>Метаболизъм</w:t>
      </w:r>
    </w:p>
    <w:p w14:paraId="51BB557B"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Хидрохлоротиазид претърпява незначителен чернодробен метаболизъм.</w:t>
      </w:r>
    </w:p>
    <w:p w14:paraId="1D5C3A79" w14:textId="77777777" w:rsidR="00231F7D" w:rsidRDefault="00231F7D" w:rsidP="00231F7D">
      <w:pPr>
        <w:spacing w:line="240" w:lineRule="auto"/>
        <w:rPr>
          <w:rFonts w:eastAsia="Times New Roman" w:cs="Arial"/>
          <w:color w:val="000000"/>
          <w:u w:val="single"/>
          <w:lang w:eastAsia="bg-BG"/>
        </w:rPr>
      </w:pPr>
    </w:p>
    <w:p w14:paraId="1ACB4240" w14:textId="78D1A2B7" w:rsidR="00231F7D" w:rsidRPr="00231F7D" w:rsidRDefault="00231F7D" w:rsidP="00231F7D">
      <w:pPr>
        <w:spacing w:line="240" w:lineRule="auto"/>
        <w:rPr>
          <w:rFonts w:eastAsia="Times New Roman" w:cs="Arial"/>
        </w:rPr>
      </w:pPr>
      <w:r w:rsidRPr="00231F7D">
        <w:rPr>
          <w:rFonts w:eastAsia="Times New Roman" w:cs="Arial"/>
          <w:color w:val="000000"/>
          <w:u w:val="single"/>
          <w:lang w:eastAsia="bg-BG"/>
        </w:rPr>
        <w:t>Елиминиране</w:t>
      </w:r>
    </w:p>
    <w:p w14:paraId="02B960AE"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Хидрохлоротиазид се елиминира почти напълно (&gt; 95 %) в непроменена форма през бъбреците; 50 до 70 % от еднократна перорална доза се елиминират в рамките на 24 часа.</w:t>
      </w:r>
    </w:p>
    <w:p w14:paraId="1CBE9502"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Елиминационният полуживот е 5 до 6 часа.</w:t>
      </w:r>
    </w:p>
    <w:p w14:paraId="7432D318" w14:textId="77777777" w:rsidR="00231F7D" w:rsidRDefault="00231F7D" w:rsidP="00231F7D">
      <w:pPr>
        <w:spacing w:line="240" w:lineRule="auto"/>
        <w:rPr>
          <w:rFonts w:eastAsia="Times New Roman" w:cs="Arial"/>
          <w:i/>
          <w:iCs/>
          <w:color w:val="000000"/>
          <w:lang w:eastAsia="bg-BG"/>
        </w:rPr>
      </w:pPr>
    </w:p>
    <w:p w14:paraId="56671E22" w14:textId="763BEE53" w:rsidR="00231F7D" w:rsidRPr="00231F7D" w:rsidRDefault="00231F7D" w:rsidP="00231F7D">
      <w:pPr>
        <w:spacing w:line="240" w:lineRule="auto"/>
        <w:rPr>
          <w:rFonts w:eastAsia="Times New Roman" w:cs="Arial"/>
        </w:rPr>
      </w:pPr>
      <w:r w:rsidRPr="00231F7D">
        <w:rPr>
          <w:rFonts w:eastAsia="Times New Roman" w:cs="Arial"/>
          <w:i/>
          <w:iCs/>
          <w:color w:val="000000"/>
          <w:lang w:eastAsia="bg-BG"/>
        </w:rPr>
        <w:t>Пациенти с бъбречно увреждане (вж. точка 4.2.)</w:t>
      </w:r>
    </w:p>
    <w:p w14:paraId="4CFBD5DE"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Бъбречната екскреция на хидрохлоротиазид е понижена при пациенти с нарушена бъбречна функция и бъбречният клирънс на хидрохлоротиазид е свързан пропорционално с креатининоваия клирънс. Това води до повишена плазмена концентрация на хидрохлоротиазид, която намалява по-бавно, отколкото при индивиди с нормална бъбречна функция.</w:t>
      </w:r>
    </w:p>
    <w:p w14:paraId="16170B3E" w14:textId="77777777" w:rsidR="00231F7D" w:rsidRDefault="00231F7D" w:rsidP="00231F7D">
      <w:pPr>
        <w:spacing w:line="240" w:lineRule="auto"/>
        <w:rPr>
          <w:rFonts w:eastAsia="Times New Roman" w:cs="Arial"/>
          <w:i/>
          <w:iCs/>
          <w:color w:val="000000"/>
          <w:lang w:eastAsia="bg-BG"/>
        </w:rPr>
      </w:pPr>
    </w:p>
    <w:p w14:paraId="7448857B" w14:textId="5CD9441E" w:rsidR="00231F7D" w:rsidRPr="00231F7D" w:rsidRDefault="00231F7D" w:rsidP="00231F7D">
      <w:pPr>
        <w:spacing w:line="240" w:lineRule="auto"/>
        <w:rPr>
          <w:rFonts w:eastAsia="Times New Roman" w:cs="Arial"/>
        </w:rPr>
      </w:pPr>
      <w:r w:rsidRPr="00231F7D">
        <w:rPr>
          <w:rFonts w:eastAsia="Times New Roman" w:cs="Arial"/>
          <w:i/>
          <w:iCs/>
          <w:color w:val="000000"/>
          <w:lang w:eastAsia="bg-BG"/>
        </w:rPr>
        <w:t>Пациенти с чернодробно увреждане (вж. точка 4.2.)</w:t>
      </w:r>
    </w:p>
    <w:p w14:paraId="1D35A5BD"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При пациенти с чернодробна цироза фармакокинетиката на хидрохлоротиазид не се променя значимо. Фармакокинетиката на хидрохлоротиазид не е проучвана при пациенти със сърдечна недостатъчност.</w:t>
      </w:r>
    </w:p>
    <w:p w14:paraId="46D7D074" w14:textId="77777777" w:rsidR="00231F7D" w:rsidRDefault="00231F7D" w:rsidP="00231F7D">
      <w:pPr>
        <w:spacing w:line="240" w:lineRule="auto"/>
        <w:rPr>
          <w:rFonts w:eastAsia="Times New Roman" w:cs="Arial"/>
          <w:i/>
          <w:iCs/>
          <w:color w:val="000000"/>
          <w:lang w:eastAsia="bg-BG"/>
        </w:rPr>
      </w:pPr>
    </w:p>
    <w:p w14:paraId="2E24066C" w14:textId="0D1702EC" w:rsidR="00231F7D" w:rsidRPr="00231F7D" w:rsidRDefault="00231F7D" w:rsidP="00231F7D">
      <w:pPr>
        <w:spacing w:line="240" w:lineRule="auto"/>
        <w:rPr>
          <w:rFonts w:eastAsia="Times New Roman" w:cs="Arial"/>
        </w:rPr>
      </w:pPr>
      <w:r w:rsidRPr="00231F7D">
        <w:rPr>
          <w:rFonts w:eastAsia="Times New Roman" w:cs="Arial"/>
          <w:i/>
          <w:iCs/>
          <w:color w:val="000000"/>
          <w:lang w:eastAsia="bg-BG"/>
        </w:rPr>
        <w:t>Рамиприл и хидрохлоротиазид</w:t>
      </w:r>
    </w:p>
    <w:p w14:paraId="37173101" w14:textId="77777777" w:rsidR="00231F7D" w:rsidRPr="00231F7D" w:rsidRDefault="00231F7D" w:rsidP="00231F7D">
      <w:pPr>
        <w:spacing w:line="240" w:lineRule="auto"/>
        <w:rPr>
          <w:rFonts w:eastAsia="Times New Roman" w:cs="Arial"/>
        </w:rPr>
      </w:pPr>
      <w:r w:rsidRPr="00231F7D">
        <w:rPr>
          <w:rFonts w:eastAsia="Times New Roman" w:cs="Arial"/>
          <w:color w:val="000000"/>
          <w:lang w:eastAsia="bg-BG"/>
        </w:rPr>
        <w:t>Едновременното прилагане на рамиприл и хидрохлоротиазид не засяга тяхната бионаличност. Комбинираният продукт може да се счита като биоеквивалентен на продуктите, съдържащи отделните компоненти.</w:t>
      </w:r>
    </w:p>
    <w:p w14:paraId="4C58F62C" w14:textId="77777777" w:rsidR="00231F7D" w:rsidRPr="00231F7D" w:rsidRDefault="00231F7D" w:rsidP="00231F7D">
      <w:pPr>
        <w:rPr>
          <w:rFonts w:cs="Arial"/>
        </w:rPr>
      </w:pPr>
    </w:p>
    <w:p w14:paraId="4FB791BE" w14:textId="012E59A8" w:rsidR="00B6672E" w:rsidRDefault="002C50EE" w:rsidP="00936AD0">
      <w:pPr>
        <w:pStyle w:val="Heading2"/>
      </w:pPr>
      <w:r>
        <w:t>5.3. Предклинични данни за безопасност</w:t>
      </w:r>
    </w:p>
    <w:p w14:paraId="6A3222EC" w14:textId="2072ADFA" w:rsidR="00231F7D" w:rsidRDefault="00231F7D" w:rsidP="00231F7D"/>
    <w:p w14:paraId="2332FAF2" w14:textId="77777777" w:rsidR="00231F7D" w:rsidRPr="00231F7D" w:rsidRDefault="00231F7D" w:rsidP="00231F7D">
      <w:pPr>
        <w:rPr>
          <w:sz w:val="24"/>
          <w:szCs w:val="24"/>
        </w:rPr>
      </w:pPr>
      <w:r w:rsidRPr="00231F7D">
        <w:rPr>
          <w:lang w:eastAsia="bg-BG"/>
        </w:rPr>
        <w:t xml:space="preserve">При плъхове и мишки комбинацията от рамиприл и хидрохлоротиазид няма остра токсичност до 10 000 </w:t>
      </w:r>
      <w:r w:rsidRPr="00231F7D">
        <w:rPr>
          <w:lang w:val="en-US"/>
        </w:rPr>
        <w:t>mg</w:t>
      </w:r>
      <w:r w:rsidRPr="00231F7D">
        <w:rPr>
          <w:lang w:val="ru-RU"/>
        </w:rPr>
        <w:t>/</w:t>
      </w:r>
      <w:r w:rsidRPr="00231F7D">
        <w:rPr>
          <w:lang w:val="en-US"/>
        </w:rPr>
        <w:t>kg</w:t>
      </w:r>
      <w:r w:rsidRPr="00231F7D">
        <w:rPr>
          <w:lang w:val="ru-RU"/>
        </w:rPr>
        <w:t xml:space="preserve">. </w:t>
      </w:r>
      <w:r w:rsidRPr="00231F7D">
        <w:rPr>
          <w:lang w:eastAsia="bg-BG"/>
        </w:rPr>
        <w:t>Проучванията при многократно прилагане, проведени при плъхове и маймуни показват само нарушения в електролитния баланс.</w:t>
      </w:r>
    </w:p>
    <w:p w14:paraId="6A890085" w14:textId="0DC8A040" w:rsidR="00231F7D" w:rsidRDefault="00231F7D" w:rsidP="00231F7D">
      <w:pPr>
        <w:rPr>
          <w:lang w:eastAsia="bg-BG"/>
        </w:rPr>
      </w:pPr>
      <w:r w:rsidRPr="00231F7D">
        <w:rPr>
          <w:lang w:eastAsia="bg-BG"/>
        </w:rPr>
        <w:t>Не са провеждани проучвания за мутагенност и карциногенност с комбинацията, като проучванията с отделните компоненти не показват риск.</w:t>
      </w:r>
    </w:p>
    <w:p w14:paraId="64B87A9C" w14:textId="144497D4" w:rsidR="00231F7D" w:rsidRDefault="00231F7D" w:rsidP="00231F7D">
      <w:pPr>
        <w:rPr>
          <w:lang w:eastAsia="bg-BG"/>
        </w:rPr>
      </w:pPr>
    </w:p>
    <w:p w14:paraId="11B117EF" w14:textId="77777777" w:rsidR="00231F7D" w:rsidRPr="00231F7D" w:rsidRDefault="00231F7D" w:rsidP="00231F7D">
      <w:pPr>
        <w:rPr>
          <w:sz w:val="24"/>
          <w:szCs w:val="24"/>
        </w:rPr>
      </w:pPr>
      <w:r w:rsidRPr="00231F7D">
        <w:rPr>
          <w:lang w:eastAsia="bg-BG"/>
        </w:rPr>
        <w:t>Репродуктивни проучвания при плъхове и зайци показват, че комбинацията е донякъде по- токсична от самостоятелните компоненти, но нито едно от проучванията не показва тератогенен ефект на комбинацията.</w:t>
      </w:r>
    </w:p>
    <w:p w14:paraId="26815BBC" w14:textId="77777777" w:rsidR="00231F7D" w:rsidRPr="00231F7D" w:rsidRDefault="00231F7D" w:rsidP="00231F7D"/>
    <w:p w14:paraId="1BA6531D" w14:textId="51EFF3F1" w:rsidR="00B6672E" w:rsidRDefault="002C50EE" w:rsidP="00936AD0">
      <w:pPr>
        <w:pStyle w:val="Heading1"/>
      </w:pPr>
      <w:r>
        <w:t>7. ПРИТЕЖАТЕЛ НА РАЗРЕШЕНИЕТО ЗА УПОТРЕБА</w:t>
      </w:r>
    </w:p>
    <w:p w14:paraId="7D6E4B03" w14:textId="0B40AE2D" w:rsidR="00231F7D" w:rsidRDefault="00231F7D" w:rsidP="00231F7D"/>
    <w:p w14:paraId="32FA497F" w14:textId="77777777" w:rsidR="00231F7D" w:rsidRPr="00231F7D" w:rsidRDefault="00231F7D" w:rsidP="00231F7D">
      <w:pPr>
        <w:rPr>
          <w:sz w:val="24"/>
          <w:szCs w:val="24"/>
        </w:rPr>
      </w:pPr>
      <w:r w:rsidRPr="00231F7D">
        <w:rPr>
          <w:lang w:eastAsia="bg-BG"/>
        </w:rPr>
        <w:t>„Чайкафарма Висококачествените Лекарства” АД гр. София, 1172, бул. „Г.М. Димитров”№ 1 България</w:t>
      </w:r>
    </w:p>
    <w:p w14:paraId="46E25CC9" w14:textId="77777777" w:rsidR="00231F7D" w:rsidRPr="00231F7D" w:rsidRDefault="00231F7D" w:rsidP="00231F7D">
      <w:pPr>
        <w:rPr>
          <w:sz w:val="24"/>
          <w:szCs w:val="24"/>
        </w:rPr>
      </w:pPr>
      <w:r w:rsidRPr="00231F7D">
        <w:rPr>
          <w:lang w:eastAsia="bg-BG"/>
        </w:rPr>
        <w:t>тел.: 02/ 962 54 54</w:t>
      </w:r>
    </w:p>
    <w:p w14:paraId="750E6814" w14:textId="77777777" w:rsidR="00231F7D" w:rsidRPr="00231F7D" w:rsidRDefault="00231F7D" w:rsidP="00231F7D">
      <w:pPr>
        <w:rPr>
          <w:sz w:val="24"/>
          <w:szCs w:val="24"/>
        </w:rPr>
      </w:pPr>
      <w:r w:rsidRPr="00231F7D">
        <w:rPr>
          <w:lang w:eastAsia="bg-BG"/>
        </w:rPr>
        <w:t>факс: 02/ 960 37 03</w:t>
      </w:r>
    </w:p>
    <w:p w14:paraId="44BBB808" w14:textId="7346A60D" w:rsidR="00231F7D" w:rsidRPr="00231F7D" w:rsidRDefault="00231F7D" w:rsidP="00231F7D">
      <w:pPr>
        <w:rPr>
          <w:sz w:val="24"/>
          <w:szCs w:val="24"/>
        </w:rPr>
      </w:pPr>
      <w:r w:rsidRPr="00231F7D">
        <w:rPr>
          <w:lang w:eastAsia="bg-BG"/>
        </w:rPr>
        <w:t xml:space="preserve">имейл: </w:t>
      </w:r>
      <w:r w:rsidRPr="00231F7D">
        <w:rPr>
          <w:lang w:val="en-US"/>
        </w:rPr>
        <w:t>info</w:t>
      </w:r>
      <w:r w:rsidRPr="00231F7D">
        <w:rPr>
          <w:lang w:val="ru-RU"/>
        </w:rPr>
        <w:t>@</w:t>
      </w:r>
      <w:proofErr w:type="spellStart"/>
      <w:r w:rsidRPr="00231F7D">
        <w:rPr>
          <w:lang w:val="en-US"/>
        </w:rPr>
        <w:t>tchaikaphamia</w:t>
      </w:r>
      <w:proofErr w:type="spellEnd"/>
      <w:r w:rsidRPr="00231F7D">
        <w:rPr>
          <w:lang w:val="ru-RU"/>
        </w:rPr>
        <w:t>.</w:t>
      </w:r>
      <w:r>
        <w:rPr>
          <w:lang w:val="en-US"/>
        </w:rPr>
        <w:t>com</w:t>
      </w:r>
    </w:p>
    <w:p w14:paraId="4B66A008" w14:textId="77777777" w:rsidR="00231F7D" w:rsidRPr="00231F7D" w:rsidRDefault="00231F7D" w:rsidP="00231F7D"/>
    <w:p w14:paraId="508F3A54" w14:textId="785D2C3E" w:rsidR="00B6672E" w:rsidRDefault="00936AD0" w:rsidP="00936AD0">
      <w:pPr>
        <w:pStyle w:val="Heading1"/>
      </w:pPr>
      <w:r>
        <w:t>8.</w:t>
      </w:r>
      <w:r w:rsidR="002C50EE">
        <w:t>НОМЕР НА РАЗРЕШЕНИЕТО ЗА УПОТРЕБА</w:t>
      </w:r>
    </w:p>
    <w:p w14:paraId="2977398A" w14:textId="5DE73614" w:rsidR="00231F7D" w:rsidRDefault="00231F7D" w:rsidP="00231F7D"/>
    <w:p w14:paraId="0A127A08" w14:textId="5FB000E5" w:rsidR="00231F7D" w:rsidRPr="00231F7D" w:rsidRDefault="00231F7D" w:rsidP="00231F7D">
      <w:proofErr w:type="spellStart"/>
      <w:r>
        <w:rPr>
          <w:lang w:val="en-US"/>
        </w:rPr>
        <w:t>Pe</w:t>
      </w:r>
      <w:proofErr w:type="spellEnd"/>
      <w:r>
        <w:t>г</w:t>
      </w:r>
      <w:r w:rsidRPr="00231F7D">
        <w:rPr>
          <w:lang w:val="ru-RU"/>
        </w:rPr>
        <w:t xml:space="preserve">. </w:t>
      </w:r>
      <w:r>
        <w:t>номер на разрешението за употреба: 20130378</w:t>
      </w:r>
    </w:p>
    <w:p w14:paraId="2CCB5832" w14:textId="7E1F3465" w:rsidR="007C605B" w:rsidRDefault="002C50EE" w:rsidP="007C605B">
      <w:pPr>
        <w:pStyle w:val="Heading1"/>
      </w:pPr>
      <w:r>
        <w:t>9. ДАТА НА ПЪРВО РАЗРЕШАВАНЕ/ПОДНОВЯВАНЕ НА РАЗРЕШЕНИЕТО ЗА УПОТРЕБА</w:t>
      </w:r>
    </w:p>
    <w:p w14:paraId="0E29F36A" w14:textId="7A6BF28F" w:rsidR="00231F7D" w:rsidRDefault="00231F7D" w:rsidP="00231F7D"/>
    <w:p w14:paraId="27A290C1" w14:textId="77777777" w:rsidR="00231F7D" w:rsidRPr="00231F7D" w:rsidRDefault="00231F7D" w:rsidP="00231F7D">
      <w:pPr>
        <w:rPr>
          <w:sz w:val="24"/>
          <w:szCs w:val="24"/>
        </w:rPr>
      </w:pPr>
      <w:r w:rsidRPr="00231F7D">
        <w:rPr>
          <w:lang w:eastAsia="bg-BG"/>
        </w:rPr>
        <w:t>Дата на първо разрешение за употреба: 31.10.2013</w:t>
      </w:r>
    </w:p>
    <w:p w14:paraId="22980266" w14:textId="77777777" w:rsidR="00231F7D" w:rsidRPr="00231F7D" w:rsidRDefault="00231F7D" w:rsidP="00231F7D">
      <w:pPr>
        <w:rPr>
          <w:sz w:val="24"/>
          <w:szCs w:val="24"/>
        </w:rPr>
      </w:pPr>
      <w:r w:rsidRPr="00231F7D">
        <w:rPr>
          <w:lang w:eastAsia="bg-BG"/>
        </w:rPr>
        <w:t>Дата на последно подновяване: 18.09.2018</w:t>
      </w:r>
    </w:p>
    <w:p w14:paraId="1A455BFA" w14:textId="77777777" w:rsidR="00231F7D" w:rsidRPr="00231F7D" w:rsidRDefault="00231F7D" w:rsidP="00231F7D"/>
    <w:p w14:paraId="0E9D0119" w14:textId="0245C6D7" w:rsidR="002C50EE" w:rsidRDefault="002C50EE" w:rsidP="002C50EE">
      <w:pPr>
        <w:pStyle w:val="Heading1"/>
      </w:pPr>
      <w:r>
        <w:t>10. ДАТА НА АКТУАЛИЗИРАНЕ НА ТЕКСТА</w:t>
      </w:r>
    </w:p>
    <w:bookmarkEnd w:id="0"/>
    <w:p w14:paraId="43FB38A2" w14:textId="1CFAE740" w:rsidR="007C605B" w:rsidRPr="003E3126" w:rsidRDefault="00231F7D" w:rsidP="00231F7D">
      <w:r>
        <w:t>Юни, 2020</w:t>
      </w:r>
      <w:bookmarkStart w:id="3" w:name="_GoBack"/>
      <w:bookmarkEnd w:id="3"/>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CB0DF9"/>
    <w:multiLevelType w:val="hybridMultilevel"/>
    <w:tmpl w:val="8F10E54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B40A4"/>
    <w:multiLevelType w:val="hybridMultilevel"/>
    <w:tmpl w:val="3C4A693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6"/>
  </w:num>
  <w:num w:numId="4">
    <w:abstractNumId w:val="3"/>
  </w:num>
  <w:num w:numId="5">
    <w:abstractNumId w:val="1"/>
  </w:num>
  <w:num w:numId="6">
    <w:abstractNumId w:val="19"/>
  </w:num>
  <w:num w:numId="7">
    <w:abstractNumId w:val="14"/>
  </w:num>
  <w:num w:numId="8">
    <w:abstractNumId w:val="18"/>
  </w:num>
  <w:num w:numId="9">
    <w:abstractNumId w:val="2"/>
  </w:num>
  <w:num w:numId="10">
    <w:abstractNumId w:val="4"/>
  </w:num>
  <w:num w:numId="11">
    <w:abstractNumId w:val="33"/>
  </w:num>
  <w:num w:numId="12">
    <w:abstractNumId w:val="17"/>
  </w:num>
  <w:num w:numId="13">
    <w:abstractNumId w:val="22"/>
  </w:num>
  <w:num w:numId="14">
    <w:abstractNumId w:val="15"/>
  </w:num>
  <w:num w:numId="15">
    <w:abstractNumId w:val="32"/>
  </w:num>
  <w:num w:numId="16">
    <w:abstractNumId w:val="13"/>
  </w:num>
  <w:num w:numId="17">
    <w:abstractNumId w:val="27"/>
  </w:num>
  <w:num w:numId="18">
    <w:abstractNumId w:val="10"/>
  </w:num>
  <w:num w:numId="19">
    <w:abstractNumId w:val="29"/>
  </w:num>
  <w:num w:numId="20">
    <w:abstractNumId w:val="26"/>
  </w:num>
  <w:num w:numId="21">
    <w:abstractNumId w:val="20"/>
  </w:num>
  <w:num w:numId="22">
    <w:abstractNumId w:val="28"/>
  </w:num>
  <w:num w:numId="23">
    <w:abstractNumId w:val="21"/>
  </w:num>
  <w:num w:numId="24">
    <w:abstractNumId w:val="11"/>
  </w:num>
  <w:num w:numId="25">
    <w:abstractNumId w:val="25"/>
  </w:num>
  <w:num w:numId="26">
    <w:abstractNumId w:val="24"/>
  </w:num>
  <w:num w:numId="27">
    <w:abstractNumId w:val="34"/>
  </w:num>
  <w:num w:numId="28">
    <w:abstractNumId w:val="8"/>
  </w:num>
  <w:num w:numId="29">
    <w:abstractNumId w:val="23"/>
  </w:num>
  <w:num w:numId="30">
    <w:abstractNumId w:val="37"/>
  </w:num>
  <w:num w:numId="31">
    <w:abstractNumId w:val="6"/>
  </w:num>
  <w:num w:numId="32">
    <w:abstractNumId w:val="36"/>
  </w:num>
  <w:num w:numId="33">
    <w:abstractNumId w:val="31"/>
  </w:num>
  <w:num w:numId="34">
    <w:abstractNumId w:val="35"/>
  </w:num>
  <w:num w:numId="35">
    <w:abstractNumId w:val="9"/>
  </w:num>
  <w:num w:numId="36">
    <w:abstractNumId w:val="12"/>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31F7D"/>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056B"/>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7494</Words>
  <Characters>42722</Characters>
  <Application>Microsoft Office Word</Application>
  <DocSecurity>0</DocSecurity>
  <Lines>356</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2022-07-04T18:49:00Z</dcterms:created>
  <dcterms:modified xsi:type="dcterms:W3CDTF">2022-07-04T18:49:00Z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