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263F530F" w:rsidR="00AA23EC" w:rsidRDefault="00DD466D" w:rsidP="00DD466D">
      <w:pPr>
        <w:pStyle w:val="Heading1"/>
      </w:pPr>
      <w:r>
        <w:t>1.ИМЕ НА ЛЕКАРСТВЕНИЯ ПРОДУКТ</w:t>
      </w:r>
    </w:p>
    <w:p w14:paraId="6662363F" w14:textId="60C7F9E2" w:rsidR="000A0962" w:rsidRDefault="000A0962" w:rsidP="000A0962"/>
    <w:p w14:paraId="049DE482" w14:textId="77777777" w:rsidR="000A0962" w:rsidRPr="000A0962" w:rsidRDefault="000A0962" w:rsidP="000A0962">
      <w:pPr>
        <w:rPr>
          <w:sz w:val="24"/>
          <w:szCs w:val="24"/>
        </w:rPr>
      </w:pPr>
      <w:r w:rsidRPr="000A0962">
        <w:rPr>
          <w:lang w:eastAsia="bg-BG"/>
        </w:rPr>
        <w:t xml:space="preserve">Кардиостад 5 </w:t>
      </w:r>
      <w:r w:rsidRPr="000A0962">
        <w:rPr>
          <w:lang w:val="en-US"/>
        </w:rPr>
        <w:t>mg</w:t>
      </w:r>
      <w:r w:rsidRPr="000A0962">
        <w:t xml:space="preserve"> </w:t>
      </w:r>
      <w:r w:rsidRPr="000A0962">
        <w:rPr>
          <w:lang w:eastAsia="bg-BG"/>
        </w:rPr>
        <w:t>таблетки</w:t>
      </w:r>
    </w:p>
    <w:p w14:paraId="3853F55E" w14:textId="77777777" w:rsidR="000A0962" w:rsidRPr="000A0962" w:rsidRDefault="000A0962" w:rsidP="000A0962">
      <w:pPr>
        <w:rPr>
          <w:sz w:val="24"/>
          <w:szCs w:val="24"/>
        </w:rPr>
      </w:pPr>
      <w:proofErr w:type="spellStart"/>
      <w:r w:rsidRPr="000A0962">
        <w:rPr>
          <w:lang w:val="en-US"/>
        </w:rPr>
        <w:t>Cardiostad</w:t>
      </w:r>
      <w:proofErr w:type="spellEnd"/>
      <w:r w:rsidRPr="000A0962">
        <w:t xml:space="preserve"> </w:t>
      </w:r>
      <w:r w:rsidRPr="000A0962">
        <w:rPr>
          <w:lang w:eastAsia="bg-BG"/>
        </w:rPr>
        <w:t xml:space="preserve">5 </w:t>
      </w:r>
      <w:r w:rsidRPr="000A0962">
        <w:rPr>
          <w:lang w:val="en-US"/>
        </w:rPr>
        <w:t>mg</w:t>
      </w:r>
      <w:r w:rsidRPr="000A0962">
        <w:t xml:space="preserve"> </w:t>
      </w:r>
      <w:r w:rsidRPr="000A0962">
        <w:rPr>
          <w:lang w:val="en-US"/>
        </w:rPr>
        <w:t>tablets</w:t>
      </w:r>
    </w:p>
    <w:p w14:paraId="72CA3BA0" w14:textId="77777777" w:rsidR="000A0962" w:rsidRPr="000A0962" w:rsidRDefault="000A0962" w:rsidP="000A0962"/>
    <w:p w14:paraId="0A368469" w14:textId="07F8DC16" w:rsidR="00C0049F" w:rsidRDefault="00DD466D" w:rsidP="009F1313">
      <w:pPr>
        <w:pStyle w:val="Heading1"/>
      </w:pPr>
      <w:r>
        <w:t>2. КАЧЕСТВЕН И КОЛИЧЕСТВЕН СЪСТАВ</w:t>
      </w:r>
    </w:p>
    <w:p w14:paraId="711FEFA9" w14:textId="713A2505" w:rsidR="000A0962" w:rsidRDefault="000A0962" w:rsidP="000A0962"/>
    <w:p w14:paraId="2B8346E1" w14:textId="77777777" w:rsidR="000A0962" w:rsidRPr="000A0962" w:rsidRDefault="000A0962" w:rsidP="000A0962">
      <w:pPr>
        <w:rPr>
          <w:sz w:val="24"/>
          <w:szCs w:val="24"/>
        </w:rPr>
      </w:pPr>
      <w:r w:rsidRPr="000A0962">
        <w:rPr>
          <w:lang w:eastAsia="bg-BG"/>
        </w:rPr>
        <w:t xml:space="preserve">Всяка таблетка съдържа небивололов хидрохлорид </w:t>
      </w:r>
      <w:r w:rsidRPr="000A0962">
        <w:rPr>
          <w:i/>
          <w:iCs/>
        </w:rPr>
        <w:t>(</w:t>
      </w:r>
      <w:proofErr w:type="spellStart"/>
      <w:r w:rsidRPr="000A0962">
        <w:rPr>
          <w:i/>
          <w:iCs/>
          <w:lang w:val="en-US"/>
        </w:rPr>
        <w:t>nebivolol</w:t>
      </w:r>
      <w:proofErr w:type="spellEnd"/>
      <w:r w:rsidRPr="000A0962">
        <w:rPr>
          <w:i/>
          <w:iCs/>
        </w:rPr>
        <w:t xml:space="preserve"> </w:t>
      </w:r>
      <w:r w:rsidRPr="000A0962">
        <w:rPr>
          <w:i/>
          <w:iCs/>
          <w:lang w:val="en-US"/>
        </w:rPr>
        <w:t>hydrochloride</w:t>
      </w:r>
      <w:r w:rsidRPr="000A0962">
        <w:rPr>
          <w:i/>
          <w:iCs/>
        </w:rPr>
        <w:t>)</w:t>
      </w:r>
      <w:r w:rsidRPr="000A0962">
        <w:rPr>
          <w:lang w:eastAsia="bg-BG"/>
        </w:rPr>
        <w:t xml:space="preserve">, еквивалентен на 5 </w:t>
      </w:r>
      <w:r w:rsidRPr="000A0962">
        <w:rPr>
          <w:lang w:val="en-US"/>
        </w:rPr>
        <w:t>mg</w:t>
      </w:r>
      <w:r w:rsidRPr="000A0962">
        <w:t xml:space="preserve"> </w:t>
      </w:r>
      <w:r w:rsidRPr="000A0962">
        <w:rPr>
          <w:lang w:eastAsia="bg-BG"/>
        </w:rPr>
        <w:t xml:space="preserve">небиволол </w:t>
      </w:r>
      <w:r w:rsidRPr="000A0962">
        <w:rPr>
          <w:i/>
          <w:iCs/>
        </w:rPr>
        <w:t>(</w:t>
      </w:r>
      <w:proofErr w:type="spellStart"/>
      <w:r w:rsidRPr="000A0962">
        <w:rPr>
          <w:i/>
          <w:iCs/>
          <w:lang w:val="en-US"/>
        </w:rPr>
        <w:t>nebivolol</w:t>
      </w:r>
      <w:proofErr w:type="spellEnd"/>
      <w:r w:rsidRPr="000A0962">
        <w:rPr>
          <w:i/>
          <w:iCs/>
        </w:rPr>
        <w:t>).</w:t>
      </w:r>
    </w:p>
    <w:p w14:paraId="14EA5CBA" w14:textId="77777777" w:rsidR="000A0962" w:rsidRDefault="000A0962" w:rsidP="000A0962">
      <w:pPr>
        <w:rPr>
          <w:lang w:eastAsia="bg-BG"/>
        </w:rPr>
      </w:pPr>
    </w:p>
    <w:p w14:paraId="6642F59C" w14:textId="61BFC4B6" w:rsidR="000A0962" w:rsidRPr="000A0962" w:rsidRDefault="000A0962" w:rsidP="000A0962">
      <w:pPr>
        <w:rPr>
          <w:sz w:val="24"/>
          <w:szCs w:val="24"/>
        </w:rPr>
      </w:pPr>
      <w:r w:rsidRPr="000A0962">
        <w:rPr>
          <w:lang w:eastAsia="bg-BG"/>
        </w:rPr>
        <w:t>Помощно вещество с известно действие:</w:t>
      </w:r>
    </w:p>
    <w:p w14:paraId="31D553A4" w14:textId="6402FD64" w:rsidR="000A0962" w:rsidRPr="000A0962" w:rsidRDefault="000A0962" w:rsidP="000A0962">
      <w:pPr>
        <w:rPr>
          <w:sz w:val="24"/>
          <w:szCs w:val="24"/>
        </w:rPr>
      </w:pPr>
      <w:r w:rsidRPr="000A0962">
        <w:rPr>
          <w:lang w:eastAsia="bg-BG"/>
        </w:rPr>
        <w:t xml:space="preserve">Всяка таблетка съдържа: 167,05 </w:t>
      </w:r>
      <w:r w:rsidRPr="000A0962">
        <w:rPr>
          <w:lang w:val="en-US"/>
        </w:rPr>
        <w:t>mg</w:t>
      </w:r>
      <w:r w:rsidRPr="000A0962">
        <w:rPr>
          <w:lang w:val="ru-RU"/>
        </w:rPr>
        <w:t xml:space="preserve"> </w:t>
      </w:r>
      <w:r w:rsidRPr="000A0962">
        <w:rPr>
          <w:lang w:eastAsia="bg-BG"/>
        </w:rPr>
        <w:t>лактоза монохидрат (вижте точка 4.4 и 6.1)</w:t>
      </w:r>
    </w:p>
    <w:p w14:paraId="5EAB301E" w14:textId="77777777" w:rsidR="000A0962" w:rsidRPr="000A0962" w:rsidRDefault="000A0962" w:rsidP="000A0962"/>
    <w:p w14:paraId="614984C4" w14:textId="3CCB9E73" w:rsidR="008A6AF2" w:rsidRDefault="00DD466D" w:rsidP="002C50EE">
      <w:pPr>
        <w:pStyle w:val="Heading1"/>
      </w:pPr>
      <w:r>
        <w:t>3. ЛЕКАРСТВЕНА ФОРМА</w:t>
      </w:r>
    </w:p>
    <w:p w14:paraId="6A8A7E76" w14:textId="7DF4008B" w:rsidR="000A0962" w:rsidRDefault="000A0962" w:rsidP="000A0962"/>
    <w:p w14:paraId="0981B146" w14:textId="77777777" w:rsidR="000A0962" w:rsidRPr="000A0962" w:rsidRDefault="000A0962" w:rsidP="000A0962">
      <w:pPr>
        <w:rPr>
          <w:sz w:val="24"/>
          <w:szCs w:val="24"/>
        </w:rPr>
      </w:pPr>
      <w:r w:rsidRPr="000A0962">
        <w:rPr>
          <w:lang w:eastAsia="bg-BG"/>
        </w:rPr>
        <w:t>Таблетки.</w:t>
      </w:r>
    </w:p>
    <w:p w14:paraId="4F7A7E34" w14:textId="77777777" w:rsidR="000A0962" w:rsidRPr="000A0962" w:rsidRDefault="000A0962" w:rsidP="000A0962">
      <w:pPr>
        <w:rPr>
          <w:sz w:val="24"/>
          <w:szCs w:val="24"/>
        </w:rPr>
      </w:pPr>
      <w:r w:rsidRPr="000A0962">
        <w:rPr>
          <w:lang w:eastAsia="bg-BG"/>
        </w:rPr>
        <w:t>Бели, кръгли таблетки с две делителни черти на кръст.</w:t>
      </w:r>
    </w:p>
    <w:p w14:paraId="14C5BE73" w14:textId="29487E70" w:rsidR="000A0962" w:rsidRDefault="000A0962" w:rsidP="000A0962">
      <w:r w:rsidRPr="000A0962">
        <w:rPr>
          <w:lang w:eastAsia="bg-BG"/>
        </w:rPr>
        <w:t>Таблетката може да бъде разделена на четири равни дози.</w:t>
      </w:r>
    </w:p>
    <w:p w14:paraId="6928F9C6" w14:textId="77777777" w:rsidR="000A0962" w:rsidRPr="000A0962" w:rsidRDefault="000A0962" w:rsidP="000A0962"/>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5D275797" w:rsidR="00395555" w:rsidRDefault="00395555" w:rsidP="00395555"/>
    <w:p w14:paraId="69BA15F3"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u w:val="single"/>
          <w:lang w:eastAsia="bg-BG"/>
        </w:rPr>
        <w:t>Хипертония</w:t>
      </w:r>
    </w:p>
    <w:p w14:paraId="22E8EFFC"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Лечение на есенциална хипертония.</w:t>
      </w:r>
    </w:p>
    <w:p w14:paraId="18806AB2" w14:textId="77777777" w:rsidR="000A0962" w:rsidRPr="000A0962" w:rsidRDefault="000A0962" w:rsidP="000A0962">
      <w:pPr>
        <w:spacing w:line="240" w:lineRule="auto"/>
        <w:rPr>
          <w:rFonts w:eastAsia="Times New Roman" w:cs="Arial"/>
          <w:color w:val="000000"/>
          <w:szCs w:val="44"/>
          <w:u w:val="single"/>
          <w:lang w:eastAsia="bg-BG"/>
        </w:rPr>
      </w:pPr>
    </w:p>
    <w:p w14:paraId="5D4B4ED1" w14:textId="15AC929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u w:val="single"/>
          <w:lang w:eastAsia="bg-BG"/>
        </w:rPr>
        <w:t>Хронична сърдечна недостатъчност</w:t>
      </w:r>
    </w:p>
    <w:p w14:paraId="2D1B9193"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Лечение на стабилна лека до умерена хронична сърдечна недостатъчност в допълнение към основното лечение на пациенти в старческа възраст (≥70 години).</w:t>
      </w:r>
    </w:p>
    <w:p w14:paraId="495831F1" w14:textId="77777777" w:rsidR="000A0962" w:rsidRPr="00395555" w:rsidRDefault="000A0962" w:rsidP="00395555"/>
    <w:p w14:paraId="7C0CA5EB" w14:textId="76A02CB7" w:rsidR="00C0049F" w:rsidRDefault="002C50EE" w:rsidP="009F1313">
      <w:pPr>
        <w:pStyle w:val="Heading2"/>
      </w:pPr>
      <w:r>
        <w:t>4.2. Дозировка и начин на приложение</w:t>
      </w:r>
    </w:p>
    <w:p w14:paraId="103A3D8A" w14:textId="77777777" w:rsidR="000A0962" w:rsidRDefault="000A0962" w:rsidP="000A0962">
      <w:pPr>
        <w:spacing w:line="240" w:lineRule="auto"/>
        <w:rPr>
          <w:rFonts w:ascii="Times New Roman" w:eastAsia="Times New Roman" w:hAnsi="Times New Roman" w:cs="Times New Roman"/>
          <w:b/>
          <w:bCs/>
          <w:color w:val="000000"/>
          <w:sz w:val="44"/>
          <w:szCs w:val="44"/>
          <w:lang w:eastAsia="bg-BG"/>
        </w:rPr>
      </w:pPr>
      <w:bookmarkStart w:id="1" w:name="bookmark0"/>
    </w:p>
    <w:p w14:paraId="28BE4294" w14:textId="153E406C" w:rsidR="000A0962" w:rsidRPr="000A0962" w:rsidRDefault="000A0962" w:rsidP="000A0962">
      <w:pPr>
        <w:spacing w:line="240" w:lineRule="auto"/>
        <w:rPr>
          <w:rFonts w:eastAsia="Times New Roman" w:cs="Arial"/>
          <w:sz w:val="12"/>
          <w:szCs w:val="24"/>
        </w:rPr>
      </w:pPr>
      <w:r w:rsidRPr="000A0962">
        <w:rPr>
          <w:rFonts w:eastAsia="Times New Roman" w:cs="Arial"/>
          <w:b/>
          <w:bCs/>
          <w:color w:val="000000"/>
          <w:szCs w:val="44"/>
          <w:lang w:eastAsia="bg-BG"/>
        </w:rPr>
        <w:t>Когато се прилага при хипертония</w:t>
      </w:r>
      <w:bookmarkEnd w:id="1"/>
    </w:p>
    <w:p w14:paraId="295C40A2" w14:textId="77777777" w:rsidR="000A0962" w:rsidRPr="000A0962" w:rsidRDefault="000A0962" w:rsidP="000A0962">
      <w:pPr>
        <w:spacing w:line="240" w:lineRule="auto"/>
        <w:rPr>
          <w:rFonts w:eastAsia="Times New Roman" w:cs="Arial"/>
          <w:color w:val="000000"/>
          <w:szCs w:val="44"/>
          <w:u w:val="single"/>
          <w:lang w:eastAsia="bg-BG"/>
        </w:rPr>
      </w:pPr>
    </w:p>
    <w:p w14:paraId="260CEBE1" w14:textId="2557837E"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u w:val="single"/>
          <w:lang w:eastAsia="bg-BG"/>
        </w:rPr>
        <w:t>Възрастни:</w:t>
      </w:r>
    </w:p>
    <w:p w14:paraId="58C1CE7C"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 xml:space="preserve">Дозата е една таблетка (5 </w:t>
      </w:r>
      <w:r w:rsidRPr="000A0962">
        <w:rPr>
          <w:rFonts w:eastAsia="Times New Roman" w:cs="Arial"/>
          <w:color w:val="000000"/>
          <w:szCs w:val="44"/>
          <w:lang w:val="en-US"/>
        </w:rPr>
        <w:t>mg</w:t>
      </w:r>
      <w:r w:rsidRPr="000A0962">
        <w:rPr>
          <w:rFonts w:eastAsia="Times New Roman" w:cs="Arial"/>
          <w:color w:val="000000"/>
          <w:szCs w:val="44"/>
          <w:lang w:val="ru-RU"/>
        </w:rPr>
        <w:t xml:space="preserve">) </w:t>
      </w:r>
      <w:r w:rsidRPr="000A0962">
        <w:rPr>
          <w:rFonts w:eastAsia="Times New Roman" w:cs="Arial"/>
          <w:color w:val="000000"/>
          <w:szCs w:val="44"/>
          <w:lang w:eastAsia="bg-BG"/>
        </w:rPr>
        <w:t>дневно, за предпочитане по едно и също време на деня. Таблетките могат да се приемат по време на хранене.</w:t>
      </w:r>
    </w:p>
    <w:p w14:paraId="1E1B4A48"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Антихипертензивният ефект се проявява след 1-2 седмици от началото на лечението. Понякога оптималният ефект се постига само след четири седмици.</w:t>
      </w:r>
    </w:p>
    <w:p w14:paraId="498AF788" w14:textId="77777777" w:rsidR="000A0962" w:rsidRDefault="000A0962" w:rsidP="000A0962">
      <w:pPr>
        <w:spacing w:line="240" w:lineRule="auto"/>
        <w:rPr>
          <w:rFonts w:eastAsia="Times New Roman" w:cs="Arial"/>
          <w:i/>
          <w:iCs/>
          <w:color w:val="000000"/>
          <w:szCs w:val="44"/>
          <w:lang w:eastAsia="bg-BG"/>
        </w:rPr>
      </w:pPr>
    </w:p>
    <w:p w14:paraId="17FD80D4" w14:textId="165EAFCD"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lastRenderedPageBreak/>
        <w:t>Комбинация с други антихипертензивни средства</w:t>
      </w:r>
    </w:p>
    <w:p w14:paraId="7344023B"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 xml:space="preserve">Бета-блокерите могат да се използват самостоятелно или в комбинация с други антихипертензивни лекарства. До момента допълнителен антихипертензивен ефект е наблюдаван само при комбинация на Кардиостад 5 </w:t>
      </w:r>
      <w:r w:rsidRPr="000A0962">
        <w:rPr>
          <w:rFonts w:eastAsia="Times New Roman" w:cs="Arial"/>
          <w:color w:val="000000"/>
          <w:szCs w:val="44"/>
          <w:lang w:val="en-US"/>
        </w:rPr>
        <w:t>mg</w:t>
      </w:r>
      <w:r w:rsidRPr="000A0962">
        <w:rPr>
          <w:rFonts w:eastAsia="Times New Roman" w:cs="Arial"/>
          <w:color w:val="000000"/>
          <w:szCs w:val="44"/>
          <w:lang w:val="ru-RU"/>
        </w:rPr>
        <w:t xml:space="preserve"> </w:t>
      </w:r>
      <w:r w:rsidRPr="000A0962">
        <w:rPr>
          <w:rFonts w:eastAsia="Times New Roman" w:cs="Arial"/>
          <w:color w:val="000000"/>
          <w:szCs w:val="44"/>
          <w:lang w:eastAsia="bg-BG"/>
        </w:rPr>
        <w:t xml:space="preserve">с хидрохлоротиазид -12,5 </w:t>
      </w:r>
      <w:r w:rsidRPr="000A0962">
        <w:rPr>
          <w:rFonts w:eastAsia="Times New Roman" w:cs="Arial"/>
          <w:color w:val="000000"/>
          <w:szCs w:val="44"/>
          <w:lang w:val="en-US"/>
        </w:rPr>
        <w:t>mg</w:t>
      </w:r>
      <w:r w:rsidRPr="000A0962">
        <w:rPr>
          <w:rFonts w:eastAsia="Times New Roman" w:cs="Arial"/>
          <w:color w:val="000000"/>
          <w:szCs w:val="44"/>
          <w:lang w:val="ru-RU"/>
        </w:rPr>
        <w:t xml:space="preserve"> </w:t>
      </w:r>
      <w:r w:rsidRPr="000A0962">
        <w:rPr>
          <w:rFonts w:eastAsia="Times New Roman" w:cs="Arial"/>
          <w:color w:val="000000"/>
          <w:szCs w:val="44"/>
          <w:lang w:eastAsia="bg-BG"/>
        </w:rPr>
        <w:t xml:space="preserve">-25 </w:t>
      </w:r>
      <w:r w:rsidRPr="000A0962">
        <w:rPr>
          <w:rFonts w:eastAsia="Times New Roman" w:cs="Arial"/>
          <w:color w:val="000000"/>
          <w:szCs w:val="44"/>
          <w:lang w:val="en-US"/>
        </w:rPr>
        <w:t>mg</w:t>
      </w:r>
      <w:r w:rsidRPr="000A0962">
        <w:rPr>
          <w:rFonts w:eastAsia="Times New Roman" w:cs="Arial"/>
          <w:color w:val="000000"/>
          <w:szCs w:val="44"/>
          <w:lang w:val="ru-RU"/>
        </w:rPr>
        <w:t>.</w:t>
      </w:r>
    </w:p>
    <w:p w14:paraId="05FEADD0" w14:textId="77777777" w:rsidR="000A0962" w:rsidRDefault="000A0962" w:rsidP="000A0962">
      <w:pPr>
        <w:spacing w:line="240" w:lineRule="auto"/>
        <w:rPr>
          <w:rFonts w:eastAsia="Times New Roman" w:cs="Arial"/>
          <w:color w:val="000000"/>
          <w:szCs w:val="44"/>
          <w:u w:val="single"/>
          <w:lang w:eastAsia="bg-BG"/>
        </w:rPr>
      </w:pPr>
    </w:p>
    <w:p w14:paraId="13167AA3" w14:textId="2F3B0369"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u w:val="single"/>
          <w:lang w:eastAsia="bg-BG"/>
        </w:rPr>
        <w:t>Пациенти с бъбречна недостатъчност</w:t>
      </w:r>
    </w:p>
    <w:p w14:paraId="606B7397" w14:textId="7346EEC0" w:rsidR="000A0962" w:rsidRDefault="000A0962" w:rsidP="000A0962">
      <w:pPr>
        <w:spacing w:line="240" w:lineRule="auto"/>
        <w:rPr>
          <w:rFonts w:eastAsia="Times New Roman" w:cs="Arial"/>
          <w:color w:val="000000"/>
          <w:szCs w:val="44"/>
          <w:lang w:val="en-US"/>
        </w:rPr>
      </w:pPr>
      <w:r w:rsidRPr="000A0962">
        <w:rPr>
          <w:rFonts w:eastAsia="Times New Roman" w:cs="Arial"/>
          <w:color w:val="000000"/>
          <w:szCs w:val="44"/>
          <w:lang w:eastAsia="bg-BG"/>
        </w:rPr>
        <w:t xml:space="preserve">Препоръчителна доза при пациенти с бъбречна недостатъчност е 2,5 </w:t>
      </w:r>
      <w:r w:rsidRPr="000A0962">
        <w:rPr>
          <w:rFonts w:eastAsia="Times New Roman" w:cs="Arial"/>
          <w:color w:val="000000"/>
          <w:szCs w:val="44"/>
          <w:lang w:val="en-US"/>
        </w:rPr>
        <w:t>mg</w:t>
      </w:r>
      <w:r w:rsidRPr="000A0962">
        <w:rPr>
          <w:rFonts w:eastAsia="Times New Roman" w:cs="Arial"/>
          <w:color w:val="000000"/>
          <w:szCs w:val="44"/>
          <w:lang w:val="ru-RU"/>
        </w:rPr>
        <w:t xml:space="preserve"> </w:t>
      </w:r>
      <w:r w:rsidRPr="000A0962">
        <w:rPr>
          <w:rFonts w:eastAsia="Times New Roman" w:cs="Arial"/>
          <w:color w:val="000000"/>
          <w:szCs w:val="44"/>
          <w:lang w:eastAsia="bg-BG"/>
        </w:rPr>
        <w:t xml:space="preserve">дневно. При необходимост, дозата може да бъде повишена до 5 </w:t>
      </w:r>
      <w:r w:rsidRPr="000A0962">
        <w:rPr>
          <w:rFonts w:eastAsia="Times New Roman" w:cs="Arial"/>
          <w:color w:val="000000"/>
          <w:szCs w:val="44"/>
          <w:lang w:val="en-US"/>
        </w:rPr>
        <w:t>mg.</w:t>
      </w:r>
    </w:p>
    <w:p w14:paraId="03422D7F" w14:textId="1CD80A6D" w:rsidR="000A0962" w:rsidRDefault="000A0962" w:rsidP="000A0962">
      <w:pPr>
        <w:spacing w:line="240" w:lineRule="auto"/>
        <w:rPr>
          <w:rFonts w:eastAsia="Times New Roman" w:cs="Arial"/>
          <w:color w:val="000000"/>
          <w:szCs w:val="44"/>
          <w:lang w:val="en-US"/>
        </w:rPr>
      </w:pPr>
    </w:p>
    <w:p w14:paraId="3A3A9EE6"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u w:val="single"/>
          <w:lang w:eastAsia="bg-BG"/>
        </w:rPr>
        <w:t>Пациенти с чернодробна недостатъчност</w:t>
      </w:r>
    </w:p>
    <w:p w14:paraId="1A56C08B" w14:textId="77777777" w:rsidR="000A0962" w:rsidRDefault="000A0962" w:rsidP="000A0962">
      <w:pPr>
        <w:spacing w:line="240" w:lineRule="auto"/>
        <w:rPr>
          <w:rFonts w:eastAsia="Times New Roman" w:cs="Arial"/>
          <w:color w:val="000000"/>
          <w:szCs w:val="44"/>
          <w:lang w:eastAsia="bg-BG"/>
        </w:rPr>
      </w:pPr>
      <w:r w:rsidRPr="000A0962">
        <w:rPr>
          <w:rFonts w:eastAsia="Times New Roman" w:cs="Arial"/>
          <w:color w:val="000000"/>
          <w:szCs w:val="44"/>
          <w:lang w:eastAsia="bg-BG"/>
        </w:rPr>
        <w:t xml:space="preserve">Данните за пациенти с чернодробна недостатъчност или нарушена чернодробна функция са ограничени. Поради това приложението на Кардиостад 5 </w:t>
      </w:r>
      <w:r w:rsidRPr="000A0962">
        <w:rPr>
          <w:rFonts w:eastAsia="Times New Roman" w:cs="Arial"/>
          <w:color w:val="000000"/>
          <w:szCs w:val="44"/>
          <w:lang w:val="en-US"/>
        </w:rPr>
        <w:t>mg</w:t>
      </w:r>
      <w:r w:rsidRPr="000A0962">
        <w:rPr>
          <w:rFonts w:eastAsia="Times New Roman" w:cs="Arial"/>
          <w:color w:val="000000"/>
          <w:szCs w:val="44"/>
          <w:lang w:val="ru-RU"/>
        </w:rPr>
        <w:t xml:space="preserve"> </w:t>
      </w:r>
      <w:r w:rsidRPr="000A0962">
        <w:rPr>
          <w:rFonts w:eastAsia="Times New Roman" w:cs="Arial"/>
          <w:color w:val="000000"/>
          <w:szCs w:val="44"/>
          <w:lang w:eastAsia="bg-BG"/>
        </w:rPr>
        <w:t xml:space="preserve">при тези пациенти е </w:t>
      </w:r>
    </w:p>
    <w:p w14:paraId="75EEB48B" w14:textId="77C34C65"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противопоказано (вижте точка 4.3).</w:t>
      </w:r>
    </w:p>
    <w:p w14:paraId="6ECA7923" w14:textId="77777777" w:rsidR="000A0962" w:rsidRDefault="000A0962" w:rsidP="000A0962">
      <w:pPr>
        <w:spacing w:line="240" w:lineRule="auto"/>
        <w:rPr>
          <w:rFonts w:eastAsia="Times New Roman" w:cs="Arial"/>
          <w:color w:val="000000"/>
          <w:szCs w:val="44"/>
          <w:u w:val="single"/>
          <w:lang w:eastAsia="bg-BG"/>
        </w:rPr>
      </w:pPr>
    </w:p>
    <w:p w14:paraId="61913447" w14:textId="0D256619"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u w:val="single"/>
          <w:lang w:eastAsia="bg-BG"/>
        </w:rPr>
        <w:t>Старческа възраст</w:t>
      </w:r>
    </w:p>
    <w:p w14:paraId="1A8F6455"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 xml:space="preserve">Препоръчителна начална доза при пациенти над 65 години е 2,5 </w:t>
      </w:r>
      <w:r w:rsidRPr="000A0962">
        <w:rPr>
          <w:rFonts w:eastAsia="Times New Roman" w:cs="Arial"/>
          <w:color w:val="000000"/>
          <w:szCs w:val="44"/>
          <w:lang w:val="en-US"/>
        </w:rPr>
        <w:t>mg</w:t>
      </w:r>
      <w:r w:rsidRPr="000A0962">
        <w:rPr>
          <w:rFonts w:eastAsia="Times New Roman" w:cs="Arial"/>
          <w:color w:val="000000"/>
          <w:szCs w:val="44"/>
          <w:lang w:val="ru-RU"/>
        </w:rPr>
        <w:t xml:space="preserve"> </w:t>
      </w:r>
      <w:r w:rsidRPr="000A0962">
        <w:rPr>
          <w:rFonts w:eastAsia="Times New Roman" w:cs="Arial"/>
          <w:color w:val="000000"/>
          <w:szCs w:val="44"/>
          <w:lang w:eastAsia="bg-BG"/>
        </w:rPr>
        <w:t xml:space="preserve">дневно. При необходимост дневната доза може да се увеличи до 5 </w:t>
      </w:r>
      <w:r w:rsidRPr="000A0962">
        <w:rPr>
          <w:rFonts w:eastAsia="Times New Roman" w:cs="Arial"/>
          <w:color w:val="000000"/>
          <w:szCs w:val="44"/>
          <w:lang w:val="en-US"/>
        </w:rPr>
        <w:t>mg</w:t>
      </w:r>
      <w:r w:rsidRPr="000A0962">
        <w:rPr>
          <w:rFonts w:eastAsia="Times New Roman" w:cs="Arial"/>
          <w:color w:val="000000"/>
          <w:szCs w:val="44"/>
          <w:lang w:val="ru-RU"/>
        </w:rPr>
        <w:t xml:space="preserve">. </w:t>
      </w:r>
      <w:r w:rsidRPr="000A0962">
        <w:rPr>
          <w:rFonts w:eastAsia="Times New Roman" w:cs="Arial"/>
          <w:color w:val="000000"/>
          <w:szCs w:val="44"/>
          <w:lang w:eastAsia="bg-BG"/>
        </w:rPr>
        <w:t>Поради ограничен опит при пациенти над 75-годишна възраст, Кардиостад трябва да се прилага внимателно и пациентите да се проследяват отблизо.</w:t>
      </w:r>
    </w:p>
    <w:p w14:paraId="64331D0C" w14:textId="77777777" w:rsidR="000A0962" w:rsidRDefault="000A0962" w:rsidP="000A0962">
      <w:pPr>
        <w:spacing w:line="240" w:lineRule="auto"/>
        <w:rPr>
          <w:rFonts w:eastAsia="Times New Roman" w:cs="Arial"/>
          <w:color w:val="000000"/>
          <w:szCs w:val="44"/>
          <w:u w:val="single"/>
          <w:lang w:eastAsia="bg-BG"/>
        </w:rPr>
      </w:pPr>
    </w:p>
    <w:p w14:paraId="0A08D0DF" w14:textId="68962C6C"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u w:val="single"/>
          <w:lang w:eastAsia="bg-BG"/>
        </w:rPr>
        <w:t>Педиатрична популация</w:t>
      </w:r>
    </w:p>
    <w:p w14:paraId="0F41B323"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Не са провеждани проучвания при деца и юноши. Ето защо приложението при деца и юноши не се препоръчва.</w:t>
      </w:r>
    </w:p>
    <w:p w14:paraId="2CD3ECCE" w14:textId="77777777" w:rsidR="000A0962" w:rsidRDefault="000A0962" w:rsidP="000A0962">
      <w:pPr>
        <w:spacing w:line="240" w:lineRule="auto"/>
        <w:rPr>
          <w:rFonts w:eastAsia="Times New Roman" w:cs="Arial"/>
          <w:i/>
          <w:iCs/>
          <w:color w:val="000000"/>
          <w:szCs w:val="44"/>
          <w:lang w:eastAsia="bg-BG"/>
        </w:rPr>
      </w:pPr>
    </w:p>
    <w:p w14:paraId="6681FB10" w14:textId="17EE5231"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t>Когато се прилага при хронична сърдечна недостатъчност (ХСН)</w:t>
      </w:r>
    </w:p>
    <w:p w14:paraId="23897B3E"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Лечението на стабилна хронична сърдечна недостатъчност трябва да започне с постепенно увеличение на дозата до постигане на оптималната индивидуална поддържаща доза.</w:t>
      </w:r>
    </w:p>
    <w:p w14:paraId="31F34E4A" w14:textId="77777777" w:rsidR="000A0962" w:rsidRDefault="000A0962" w:rsidP="000A0962">
      <w:pPr>
        <w:spacing w:line="240" w:lineRule="auto"/>
        <w:rPr>
          <w:rFonts w:eastAsia="Times New Roman" w:cs="Arial"/>
          <w:color w:val="000000"/>
          <w:szCs w:val="44"/>
          <w:lang w:eastAsia="bg-BG"/>
        </w:rPr>
      </w:pPr>
    </w:p>
    <w:p w14:paraId="6C49B89C" w14:textId="59306DDB"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Пациентите трябва да са със стабилна хронична сърдечна недостатъчност, без епизоди на остра недостатъчност през изминалите шест седмици. Препоръчително е лекуващият лекар да има опит при лечението на хронична сърдечна недостатъчност.</w:t>
      </w:r>
    </w:p>
    <w:p w14:paraId="09BD2888" w14:textId="77777777" w:rsidR="000A0962" w:rsidRDefault="000A0962" w:rsidP="000A0962">
      <w:pPr>
        <w:spacing w:line="240" w:lineRule="auto"/>
        <w:rPr>
          <w:rFonts w:eastAsia="Times New Roman" w:cs="Arial"/>
          <w:color w:val="000000"/>
          <w:szCs w:val="44"/>
          <w:lang w:eastAsia="bg-BG"/>
        </w:rPr>
      </w:pPr>
    </w:p>
    <w:p w14:paraId="633C36A0" w14:textId="5E0F3DA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 xml:space="preserve">При пациенти, които получават сърдечно-съдови лекарства, като диуретици и/или дигоксин и/или АСЕ инхибитори и/или ангиотензин </w:t>
      </w:r>
      <w:r w:rsidRPr="000A0962">
        <w:rPr>
          <w:rFonts w:eastAsia="Times New Roman" w:cs="Arial"/>
          <w:color w:val="000000"/>
          <w:szCs w:val="44"/>
          <w:lang w:val="en-US"/>
        </w:rPr>
        <w:t>II</w:t>
      </w:r>
      <w:r w:rsidRPr="000A0962">
        <w:rPr>
          <w:rFonts w:eastAsia="Times New Roman" w:cs="Arial"/>
          <w:color w:val="000000"/>
          <w:szCs w:val="44"/>
          <w:lang w:eastAsia="bg-BG"/>
        </w:rPr>
        <w:t>-антагонисти, дозирането на тези лекарства трябва да не се променя през изминалите две седмици, преди започване на лечение с небиволол.</w:t>
      </w:r>
    </w:p>
    <w:p w14:paraId="03233CAF" w14:textId="77777777" w:rsidR="000A0962" w:rsidRDefault="000A0962" w:rsidP="000A0962">
      <w:pPr>
        <w:spacing w:line="240" w:lineRule="auto"/>
        <w:rPr>
          <w:rFonts w:eastAsia="Times New Roman" w:cs="Arial"/>
          <w:color w:val="000000"/>
          <w:szCs w:val="44"/>
          <w:lang w:eastAsia="bg-BG"/>
        </w:rPr>
      </w:pPr>
    </w:p>
    <w:p w14:paraId="18087F01" w14:textId="38C89C5C"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Дозата се титрира първоначално на интервали 1-2 седмици и според индивидуалната поносимост на пациента по следните стъпки:</w:t>
      </w:r>
    </w:p>
    <w:p w14:paraId="18FD0BE7"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 xml:space="preserve">1,25 </w:t>
      </w:r>
      <w:r w:rsidRPr="000A0962">
        <w:rPr>
          <w:rFonts w:eastAsia="Times New Roman" w:cs="Arial"/>
          <w:color w:val="000000"/>
          <w:szCs w:val="44"/>
          <w:lang w:val="en-US"/>
        </w:rPr>
        <w:t>mg</w:t>
      </w:r>
      <w:r w:rsidRPr="000A0962">
        <w:rPr>
          <w:rFonts w:eastAsia="Times New Roman" w:cs="Arial"/>
          <w:color w:val="000000"/>
          <w:szCs w:val="44"/>
          <w:lang w:val="ru-RU"/>
        </w:rPr>
        <w:t xml:space="preserve"> </w:t>
      </w:r>
      <w:r w:rsidRPr="000A0962">
        <w:rPr>
          <w:rFonts w:eastAsia="Times New Roman" w:cs="Arial"/>
          <w:color w:val="000000"/>
          <w:szCs w:val="44"/>
          <w:lang w:eastAsia="bg-BG"/>
        </w:rPr>
        <w:t xml:space="preserve">небиволол се увеличава на 2,5 </w:t>
      </w:r>
      <w:r w:rsidRPr="000A0962">
        <w:rPr>
          <w:rFonts w:eastAsia="Times New Roman" w:cs="Arial"/>
          <w:color w:val="000000"/>
          <w:szCs w:val="44"/>
          <w:lang w:val="en-US"/>
        </w:rPr>
        <w:t>mg</w:t>
      </w:r>
      <w:r w:rsidRPr="000A0962">
        <w:rPr>
          <w:rFonts w:eastAsia="Times New Roman" w:cs="Arial"/>
          <w:color w:val="000000"/>
          <w:szCs w:val="44"/>
          <w:lang w:val="ru-RU"/>
        </w:rPr>
        <w:t xml:space="preserve"> </w:t>
      </w:r>
      <w:r w:rsidRPr="000A0962">
        <w:rPr>
          <w:rFonts w:eastAsia="Times New Roman" w:cs="Arial"/>
          <w:color w:val="000000"/>
          <w:szCs w:val="44"/>
          <w:lang w:eastAsia="bg-BG"/>
        </w:rPr>
        <w:t xml:space="preserve">небиволол еднократно дневно, след това на 5 </w:t>
      </w:r>
      <w:r w:rsidRPr="000A0962">
        <w:rPr>
          <w:rFonts w:eastAsia="Times New Roman" w:cs="Arial"/>
          <w:color w:val="000000"/>
          <w:szCs w:val="44"/>
          <w:lang w:val="en-US"/>
        </w:rPr>
        <w:t>mg</w:t>
      </w:r>
      <w:r w:rsidRPr="000A0962">
        <w:rPr>
          <w:rFonts w:eastAsia="Times New Roman" w:cs="Arial"/>
          <w:color w:val="000000"/>
          <w:szCs w:val="44"/>
          <w:lang w:val="ru-RU"/>
        </w:rPr>
        <w:t xml:space="preserve"> </w:t>
      </w:r>
      <w:r w:rsidRPr="000A0962">
        <w:rPr>
          <w:rFonts w:eastAsia="Times New Roman" w:cs="Arial"/>
          <w:color w:val="000000"/>
          <w:szCs w:val="44"/>
          <w:lang w:eastAsia="bg-BG"/>
        </w:rPr>
        <w:t xml:space="preserve">небиволол еднократно дневно и след това на 10 </w:t>
      </w:r>
      <w:r w:rsidRPr="000A0962">
        <w:rPr>
          <w:rFonts w:eastAsia="Times New Roman" w:cs="Arial"/>
          <w:color w:val="000000"/>
          <w:szCs w:val="44"/>
          <w:lang w:val="en-US"/>
        </w:rPr>
        <w:t>mg</w:t>
      </w:r>
      <w:r w:rsidRPr="000A0962">
        <w:rPr>
          <w:rFonts w:eastAsia="Times New Roman" w:cs="Arial"/>
          <w:color w:val="000000"/>
          <w:szCs w:val="44"/>
          <w:lang w:val="ru-RU"/>
        </w:rPr>
        <w:t xml:space="preserve"> </w:t>
      </w:r>
      <w:r w:rsidRPr="000A0962">
        <w:rPr>
          <w:rFonts w:eastAsia="Times New Roman" w:cs="Arial"/>
          <w:color w:val="000000"/>
          <w:szCs w:val="44"/>
          <w:lang w:eastAsia="bg-BG"/>
        </w:rPr>
        <w:t>небиволол еднократно дневно.</w:t>
      </w:r>
    </w:p>
    <w:p w14:paraId="3EBE5BC9"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 xml:space="preserve">Максималната препоръчителна доза е 10 </w:t>
      </w:r>
      <w:r w:rsidRPr="000A0962">
        <w:rPr>
          <w:rFonts w:eastAsia="Times New Roman" w:cs="Arial"/>
          <w:color w:val="000000"/>
          <w:szCs w:val="44"/>
          <w:lang w:val="en-US"/>
        </w:rPr>
        <w:t>mg</w:t>
      </w:r>
      <w:r w:rsidRPr="000A0962">
        <w:rPr>
          <w:rFonts w:eastAsia="Times New Roman" w:cs="Arial"/>
          <w:color w:val="000000"/>
          <w:szCs w:val="44"/>
          <w:lang w:val="ru-RU"/>
        </w:rPr>
        <w:t xml:space="preserve"> </w:t>
      </w:r>
      <w:r w:rsidRPr="000A0962">
        <w:rPr>
          <w:rFonts w:eastAsia="Times New Roman" w:cs="Arial"/>
          <w:color w:val="000000"/>
          <w:szCs w:val="44"/>
          <w:lang w:eastAsia="bg-BG"/>
        </w:rPr>
        <w:t>дневно.</w:t>
      </w:r>
    </w:p>
    <w:p w14:paraId="7BD8AA98" w14:textId="77777777" w:rsidR="000A0962" w:rsidRDefault="000A0962" w:rsidP="000A0962">
      <w:pPr>
        <w:spacing w:line="240" w:lineRule="auto"/>
        <w:rPr>
          <w:rFonts w:eastAsia="Times New Roman" w:cs="Arial"/>
          <w:color w:val="000000"/>
          <w:szCs w:val="44"/>
          <w:lang w:eastAsia="bg-BG"/>
        </w:rPr>
      </w:pPr>
    </w:p>
    <w:p w14:paraId="27D3F0B5" w14:textId="79DBAF15"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При започване на лечението и при всяко повишение на дозата е необходим медицински контрол в продължение на поне 2 часа, за да е сигурно, че клиничното състояние е стабилно (особено по отношение на кръвно налягане, сърдечна честота, проводни нарушения, белези на влошена сърдечна недостатъчност).</w:t>
      </w:r>
    </w:p>
    <w:p w14:paraId="632BA79F" w14:textId="77777777" w:rsidR="000A0962" w:rsidRDefault="000A0962" w:rsidP="000A0962">
      <w:pPr>
        <w:spacing w:line="240" w:lineRule="auto"/>
        <w:rPr>
          <w:rFonts w:eastAsia="Times New Roman" w:cs="Arial"/>
          <w:color w:val="000000"/>
          <w:szCs w:val="44"/>
          <w:lang w:eastAsia="bg-BG"/>
        </w:rPr>
      </w:pPr>
    </w:p>
    <w:p w14:paraId="08C61C8F" w14:textId="312E958A"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lastRenderedPageBreak/>
        <w:t>Появата на нежелани ефекти може да ограничи приложението на максималната препоръчителна доза при всички пациенти. При необходимост, достигнатата доза трябва да се намали стъпка по стъпка и да се започне отново, когато е възможно.</w:t>
      </w:r>
    </w:p>
    <w:p w14:paraId="4E8DCE42" w14:textId="77777777" w:rsidR="000A0962" w:rsidRDefault="000A0962" w:rsidP="000A0962">
      <w:pPr>
        <w:spacing w:line="240" w:lineRule="auto"/>
        <w:rPr>
          <w:rFonts w:eastAsia="Times New Roman" w:cs="Arial"/>
          <w:color w:val="000000"/>
          <w:szCs w:val="44"/>
          <w:lang w:eastAsia="bg-BG"/>
        </w:rPr>
      </w:pPr>
    </w:p>
    <w:p w14:paraId="33425465" w14:textId="421584A0"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 xml:space="preserve">По време на фазата на титриране, при влошаване на сърдечната недостатъчност или при непоносимост, се препоръчва първо да се намали дозата небиволол или при необходимост да се спре веднага (при тежка хипотония, влошаване на сърдечната недостатъчност с остър белодробен оток, кардиогенен шок, симптоматична брадикардия или </w:t>
      </w:r>
      <w:r w:rsidRPr="000A0962">
        <w:rPr>
          <w:rFonts w:eastAsia="Times New Roman" w:cs="Arial"/>
          <w:color w:val="000000"/>
          <w:szCs w:val="44"/>
          <w:lang w:val="en-US"/>
        </w:rPr>
        <w:t>AV</w:t>
      </w:r>
      <w:r w:rsidRPr="000A0962">
        <w:rPr>
          <w:rFonts w:eastAsia="Times New Roman" w:cs="Arial"/>
          <w:color w:val="000000"/>
          <w:szCs w:val="44"/>
          <w:lang w:val="ru-RU"/>
        </w:rPr>
        <w:t xml:space="preserve"> </w:t>
      </w:r>
      <w:r w:rsidRPr="000A0962">
        <w:rPr>
          <w:rFonts w:eastAsia="Times New Roman" w:cs="Arial"/>
          <w:color w:val="000000"/>
          <w:szCs w:val="44"/>
          <w:lang w:eastAsia="bg-BG"/>
        </w:rPr>
        <w:t>блок).</w:t>
      </w:r>
    </w:p>
    <w:p w14:paraId="1CAF9B59" w14:textId="77777777" w:rsidR="000A0962" w:rsidRDefault="000A0962" w:rsidP="000A0962">
      <w:pPr>
        <w:spacing w:line="240" w:lineRule="auto"/>
        <w:rPr>
          <w:rFonts w:eastAsia="Times New Roman" w:cs="Arial"/>
          <w:color w:val="000000"/>
          <w:szCs w:val="44"/>
          <w:lang w:eastAsia="bg-BG"/>
        </w:rPr>
      </w:pPr>
    </w:p>
    <w:p w14:paraId="12AC743F" w14:textId="1CCA6C76"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Лечението на стабилна хронична сърдечна недостатъчност с небиволол обикновено е продължително.</w:t>
      </w:r>
    </w:p>
    <w:p w14:paraId="24464C58" w14:textId="77777777" w:rsidR="000A0962" w:rsidRDefault="000A0962" w:rsidP="000A0962">
      <w:pPr>
        <w:spacing w:line="240" w:lineRule="auto"/>
        <w:rPr>
          <w:rFonts w:eastAsia="Times New Roman" w:cs="Arial"/>
          <w:color w:val="000000"/>
          <w:szCs w:val="44"/>
          <w:lang w:eastAsia="bg-BG"/>
        </w:rPr>
      </w:pPr>
    </w:p>
    <w:p w14:paraId="2714AE4D" w14:textId="37EB8B36" w:rsidR="000A0962" w:rsidRDefault="000A0962" w:rsidP="000A0962">
      <w:pPr>
        <w:spacing w:line="240" w:lineRule="auto"/>
        <w:rPr>
          <w:rFonts w:eastAsia="Times New Roman" w:cs="Arial"/>
          <w:color w:val="000000"/>
          <w:szCs w:val="44"/>
          <w:lang w:eastAsia="bg-BG"/>
        </w:rPr>
      </w:pPr>
      <w:r w:rsidRPr="000A0962">
        <w:rPr>
          <w:rFonts w:eastAsia="Times New Roman" w:cs="Arial"/>
          <w:color w:val="000000"/>
          <w:szCs w:val="44"/>
          <w:lang w:eastAsia="bg-BG"/>
        </w:rPr>
        <w:t>Не се препоръчва лечението с небиволол да се преустанови внезапно, тъй като това може да</w:t>
      </w:r>
      <w:r w:rsidRPr="000A0962">
        <w:rPr>
          <w:rFonts w:eastAsia="Times New Roman" w:cs="Arial"/>
          <w:color w:val="000000"/>
          <w:szCs w:val="44"/>
          <w:lang w:val="ru-RU"/>
        </w:rPr>
        <w:t xml:space="preserve"> </w:t>
      </w:r>
      <w:r w:rsidRPr="000A0962">
        <w:rPr>
          <w:rFonts w:eastAsia="Times New Roman" w:cs="Arial"/>
          <w:color w:val="000000"/>
          <w:szCs w:val="44"/>
          <w:lang w:eastAsia="bg-BG"/>
        </w:rPr>
        <w:t>доведе</w:t>
      </w:r>
      <w:r w:rsidRPr="000A0962">
        <w:rPr>
          <w:rFonts w:eastAsia="Times New Roman" w:cs="Arial"/>
          <w:smallCaps/>
          <w:color w:val="000000"/>
          <w:sz w:val="28"/>
          <w:szCs w:val="52"/>
          <w:lang w:eastAsia="bg-BG"/>
        </w:rPr>
        <w:t xml:space="preserve"> </w:t>
      </w:r>
      <w:r w:rsidRPr="000A0962">
        <w:rPr>
          <w:rFonts w:eastAsia="Times New Roman" w:cs="Arial"/>
          <w:color w:val="000000"/>
          <w:szCs w:val="44"/>
          <w:lang w:eastAsia="bg-BG"/>
        </w:rPr>
        <w:t>до временно влошаване на сърдечната недостатъчност. Ако е необходимо преустановяване на лечението, дозата трябва постепенно да се понижи, като на седмица се намалява наполовина.</w:t>
      </w:r>
    </w:p>
    <w:p w14:paraId="624855C8" w14:textId="0C0FB838" w:rsidR="000A0962" w:rsidRDefault="000A0962" w:rsidP="000A0962">
      <w:pPr>
        <w:spacing w:line="240" w:lineRule="auto"/>
        <w:rPr>
          <w:rFonts w:eastAsia="Times New Roman" w:cs="Arial"/>
          <w:color w:val="000000"/>
          <w:szCs w:val="44"/>
          <w:lang w:eastAsia="bg-BG"/>
        </w:rPr>
      </w:pPr>
    </w:p>
    <w:p w14:paraId="597FFFA9"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u w:val="single"/>
          <w:lang w:eastAsia="bg-BG"/>
        </w:rPr>
        <w:t>Пациенти с бъбречна недостатъчност</w:t>
      </w:r>
    </w:p>
    <w:p w14:paraId="1E7FD3D5"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Не се налага коригиране на дозата при пациенти с лека до умерена бъбречна недостатъчност, тъй като повишението при титриране на дозата е индивидуално. Няма опит при пациенти с тежка бъбречна недостатъчност (серумен креатинин ≥ 250 μ</w:t>
      </w:r>
      <w:proofErr w:type="spellStart"/>
      <w:r w:rsidRPr="000A0962">
        <w:rPr>
          <w:rFonts w:eastAsia="Times New Roman" w:cs="Arial"/>
          <w:color w:val="000000"/>
          <w:szCs w:val="44"/>
          <w:lang w:val="en-US"/>
        </w:rPr>
        <w:t>mol</w:t>
      </w:r>
      <w:proofErr w:type="spellEnd"/>
      <w:r w:rsidRPr="000A0962">
        <w:rPr>
          <w:rFonts w:eastAsia="Times New Roman" w:cs="Arial"/>
          <w:color w:val="000000"/>
          <w:szCs w:val="44"/>
          <w:lang w:val="ru-RU"/>
        </w:rPr>
        <w:t>/</w:t>
      </w:r>
      <w:r w:rsidRPr="000A0962">
        <w:rPr>
          <w:rFonts w:eastAsia="Times New Roman" w:cs="Arial"/>
          <w:color w:val="000000"/>
          <w:szCs w:val="44"/>
          <w:lang w:val="en-US"/>
        </w:rPr>
        <w:t>l</w:t>
      </w:r>
      <w:r w:rsidRPr="000A0962">
        <w:rPr>
          <w:rFonts w:eastAsia="Times New Roman" w:cs="Arial"/>
          <w:color w:val="000000"/>
          <w:szCs w:val="44"/>
          <w:lang w:val="ru-RU"/>
        </w:rPr>
        <w:t xml:space="preserve">). </w:t>
      </w:r>
      <w:r w:rsidRPr="000A0962">
        <w:rPr>
          <w:rFonts w:eastAsia="Times New Roman" w:cs="Arial"/>
          <w:color w:val="000000"/>
          <w:szCs w:val="44"/>
          <w:lang w:eastAsia="bg-BG"/>
        </w:rPr>
        <w:t>Ето защо не се препоръчва приложението на небиволол при тези пациенти.</w:t>
      </w:r>
    </w:p>
    <w:p w14:paraId="4ACFBD2F" w14:textId="77777777" w:rsidR="000A0962" w:rsidRDefault="000A0962" w:rsidP="000A0962">
      <w:pPr>
        <w:spacing w:line="240" w:lineRule="auto"/>
        <w:rPr>
          <w:rFonts w:eastAsia="Times New Roman" w:cs="Arial"/>
          <w:color w:val="000000"/>
          <w:szCs w:val="44"/>
          <w:u w:val="single"/>
          <w:lang w:eastAsia="bg-BG"/>
        </w:rPr>
      </w:pPr>
    </w:p>
    <w:p w14:paraId="28EE5943" w14:textId="083A976C"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u w:val="single"/>
          <w:lang w:eastAsia="bg-BG"/>
        </w:rPr>
        <w:t>Пациенти с чернодробна недостатъчност</w:t>
      </w:r>
    </w:p>
    <w:p w14:paraId="5AE332BC"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Данните за пациенти с чернодробна недостатъчност са ограничени, Ето защо приложението на Кардиостад при тези пациенти е противопоказано (вижте точка 4,3).</w:t>
      </w:r>
    </w:p>
    <w:p w14:paraId="173931DD" w14:textId="77777777" w:rsidR="000A0962" w:rsidRDefault="000A0962" w:rsidP="000A0962">
      <w:pPr>
        <w:spacing w:line="240" w:lineRule="auto"/>
        <w:rPr>
          <w:rFonts w:eastAsia="Times New Roman" w:cs="Arial"/>
          <w:color w:val="000000"/>
          <w:szCs w:val="44"/>
          <w:u w:val="single"/>
          <w:lang w:eastAsia="bg-BG"/>
        </w:rPr>
      </w:pPr>
    </w:p>
    <w:p w14:paraId="591E3681" w14:textId="7974F71E"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u w:val="single"/>
          <w:lang w:eastAsia="bg-BG"/>
        </w:rPr>
        <w:t>Пациенти в старческа възраст</w:t>
      </w:r>
    </w:p>
    <w:p w14:paraId="771DD564"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Не се налага коригиране на дозата, тъй като повишението при титриране на дозата е индивидуално.</w:t>
      </w:r>
    </w:p>
    <w:p w14:paraId="2C093CF9" w14:textId="77777777" w:rsidR="000A0962" w:rsidRDefault="000A0962" w:rsidP="000A0962">
      <w:pPr>
        <w:spacing w:line="240" w:lineRule="auto"/>
        <w:rPr>
          <w:rFonts w:eastAsia="Times New Roman" w:cs="Arial"/>
          <w:color w:val="000000"/>
          <w:szCs w:val="44"/>
          <w:u w:val="single"/>
          <w:lang w:eastAsia="bg-BG"/>
        </w:rPr>
      </w:pPr>
    </w:p>
    <w:p w14:paraId="4E90580F" w14:textId="45AA298F"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u w:val="single"/>
          <w:lang w:eastAsia="bg-BG"/>
        </w:rPr>
        <w:t>Педиатрична популация</w:t>
      </w:r>
    </w:p>
    <w:p w14:paraId="128F25AC"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Не са провеждани проучвания при деца и юноши. Ето защо приложението при деца и юноши не се препоръчва.</w:t>
      </w:r>
    </w:p>
    <w:p w14:paraId="7356027B" w14:textId="77777777" w:rsidR="000A0962" w:rsidRDefault="000A0962" w:rsidP="000A0962">
      <w:pPr>
        <w:spacing w:line="240" w:lineRule="auto"/>
        <w:rPr>
          <w:rFonts w:eastAsia="Times New Roman" w:cs="Arial"/>
          <w:i/>
          <w:iCs/>
          <w:color w:val="000000"/>
          <w:szCs w:val="44"/>
          <w:lang w:eastAsia="bg-BG"/>
        </w:rPr>
      </w:pPr>
    </w:p>
    <w:p w14:paraId="18A4F261" w14:textId="13746511" w:rsidR="000A0962" w:rsidRPr="000A0962" w:rsidRDefault="000A0962" w:rsidP="000A0962">
      <w:pPr>
        <w:pStyle w:val="Heading3"/>
        <w:rPr>
          <w:rFonts w:eastAsia="Times New Roman"/>
          <w:i/>
          <w:sz w:val="12"/>
        </w:rPr>
      </w:pPr>
      <w:r w:rsidRPr="000A0962">
        <w:rPr>
          <w:rFonts w:eastAsia="Times New Roman"/>
          <w:i/>
          <w:lang w:eastAsia="bg-BG"/>
        </w:rPr>
        <w:t>Начин на приложение:</w:t>
      </w:r>
    </w:p>
    <w:p w14:paraId="0AF3443D"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Таблетката трябва да се поглъща с достатъчно количество течност (например чаша вода). Таблетката може да се приема с или без храна.</w:t>
      </w:r>
    </w:p>
    <w:p w14:paraId="521AF8A9" w14:textId="77777777" w:rsidR="000A0962" w:rsidRPr="000A0962" w:rsidRDefault="000A0962" w:rsidP="000A0962">
      <w:pPr>
        <w:spacing w:line="240" w:lineRule="auto"/>
        <w:rPr>
          <w:rFonts w:eastAsia="Times New Roman" w:cs="Arial"/>
          <w:sz w:val="2"/>
          <w:szCs w:val="24"/>
        </w:rPr>
      </w:pPr>
    </w:p>
    <w:p w14:paraId="79E0550C" w14:textId="77777777" w:rsidR="000A0962" w:rsidRPr="000A0962" w:rsidRDefault="000A0962" w:rsidP="000A0962"/>
    <w:p w14:paraId="62B13D0B" w14:textId="1E99A1B2" w:rsidR="00395555" w:rsidRDefault="002C50EE" w:rsidP="008A6AF2">
      <w:pPr>
        <w:pStyle w:val="Heading2"/>
      </w:pPr>
      <w:r>
        <w:t>4.3. Противопоказания</w:t>
      </w:r>
    </w:p>
    <w:p w14:paraId="06DCF98B" w14:textId="665DEEBC" w:rsidR="000A0962" w:rsidRDefault="000A0962" w:rsidP="000A0962"/>
    <w:p w14:paraId="4A3A5021" w14:textId="77777777" w:rsidR="000A0962" w:rsidRPr="000A0962" w:rsidRDefault="000A0962" w:rsidP="000A0962">
      <w:pPr>
        <w:pStyle w:val="ListParagraph"/>
        <w:numPr>
          <w:ilvl w:val="0"/>
          <w:numId w:val="32"/>
        </w:numPr>
        <w:rPr>
          <w:lang w:eastAsia="bg-BG"/>
        </w:rPr>
      </w:pPr>
      <w:r w:rsidRPr="000A0962">
        <w:rPr>
          <w:lang w:eastAsia="bg-BG"/>
        </w:rPr>
        <w:t>Свръхчувствителност към активното вещество или към някое от помощните вещества, изброени в точка 6.1.</w:t>
      </w:r>
    </w:p>
    <w:p w14:paraId="3A20E592" w14:textId="77777777" w:rsidR="000A0962" w:rsidRPr="000A0962" w:rsidRDefault="000A0962" w:rsidP="000A0962">
      <w:pPr>
        <w:pStyle w:val="ListParagraph"/>
        <w:numPr>
          <w:ilvl w:val="0"/>
          <w:numId w:val="32"/>
        </w:numPr>
        <w:rPr>
          <w:lang w:eastAsia="bg-BG"/>
        </w:rPr>
      </w:pPr>
      <w:r w:rsidRPr="000A0962">
        <w:rPr>
          <w:lang w:eastAsia="bg-BG"/>
        </w:rPr>
        <w:t>Чернодробна недостатъчност или нарушена чернодробна функция</w:t>
      </w:r>
    </w:p>
    <w:p w14:paraId="1B13D4E1" w14:textId="77777777" w:rsidR="000A0962" w:rsidRPr="000A0962" w:rsidRDefault="000A0962" w:rsidP="000A0962">
      <w:pPr>
        <w:pStyle w:val="ListParagraph"/>
        <w:numPr>
          <w:ilvl w:val="0"/>
          <w:numId w:val="32"/>
        </w:numPr>
        <w:rPr>
          <w:lang w:eastAsia="bg-BG"/>
        </w:rPr>
      </w:pPr>
      <w:r w:rsidRPr="000A0962">
        <w:rPr>
          <w:lang w:eastAsia="bg-BG"/>
        </w:rPr>
        <w:t>Остра сърдечна недостатъчност, кардиогенен шок или епизоди на декомпенсирана сърдечна недостатъчност, налагащи интравенозно приложение на инотропна терапия</w:t>
      </w:r>
    </w:p>
    <w:p w14:paraId="3600B68C" w14:textId="77777777" w:rsidR="000A0962" w:rsidRDefault="000A0962" w:rsidP="000A0962">
      <w:pPr>
        <w:rPr>
          <w:lang w:eastAsia="bg-BG"/>
        </w:rPr>
      </w:pPr>
    </w:p>
    <w:p w14:paraId="62DA701D" w14:textId="0634E34D" w:rsidR="000A0962" w:rsidRPr="000A0962" w:rsidRDefault="000A0962" w:rsidP="000A0962">
      <w:pPr>
        <w:rPr>
          <w:sz w:val="24"/>
          <w:szCs w:val="24"/>
        </w:rPr>
      </w:pPr>
      <w:r w:rsidRPr="000A0962">
        <w:rPr>
          <w:lang w:eastAsia="bg-BG"/>
        </w:rPr>
        <w:lastRenderedPageBreak/>
        <w:t>Освен това, подобно на другите бета-блокери, Кардиостад е противопоказан при:</w:t>
      </w:r>
    </w:p>
    <w:p w14:paraId="710BE119" w14:textId="77777777" w:rsidR="000A0962" w:rsidRPr="000A0962" w:rsidRDefault="000A0962" w:rsidP="000A0962">
      <w:pPr>
        <w:pStyle w:val="ListParagraph"/>
        <w:numPr>
          <w:ilvl w:val="0"/>
          <w:numId w:val="33"/>
        </w:numPr>
        <w:rPr>
          <w:lang w:eastAsia="bg-BG"/>
        </w:rPr>
      </w:pPr>
      <w:r w:rsidRPr="000A0962">
        <w:rPr>
          <w:lang w:eastAsia="bg-BG"/>
        </w:rPr>
        <w:t>Синдром на болния синусов възел, включително сино-атриален блок</w:t>
      </w:r>
    </w:p>
    <w:p w14:paraId="6FC770BE" w14:textId="77777777" w:rsidR="000A0962" w:rsidRPr="000A0962" w:rsidRDefault="000A0962" w:rsidP="000A0962">
      <w:pPr>
        <w:pStyle w:val="ListParagraph"/>
        <w:numPr>
          <w:ilvl w:val="0"/>
          <w:numId w:val="33"/>
        </w:numPr>
        <w:rPr>
          <w:lang w:eastAsia="bg-BG"/>
        </w:rPr>
      </w:pPr>
      <w:r w:rsidRPr="000A0962">
        <w:rPr>
          <w:lang w:eastAsia="bg-BG"/>
        </w:rPr>
        <w:t>Втора и трета степен сърдечен блок (без пейсмейкър)</w:t>
      </w:r>
    </w:p>
    <w:p w14:paraId="513D222F" w14:textId="77777777" w:rsidR="000A0962" w:rsidRPr="000A0962" w:rsidRDefault="000A0962" w:rsidP="000A0962">
      <w:pPr>
        <w:pStyle w:val="ListParagraph"/>
        <w:numPr>
          <w:ilvl w:val="0"/>
          <w:numId w:val="33"/>
        </w:numPr>
        <w:rPr>
          <w:lang w:eastAsia="bg-BG"/>
        </w:rPr>
      </w:pPr>
      <w:r w:rsidRPr="000A0962">
        <w:rPr>
          <w:lang w:eastAsia="bg-BG"/>
        </w:rPr>
        <w:t>Анамнеза за бронхоспазъм или бронхиална астма</w:t>
      </w:r>
    </w:p>
    <w:p w14:paraId="315533FA" w14:textId="77777777" w:rsidR="000A0962" w:rsidRPr="000A0962" w:rsidRDefault="000A0962" w:rsidP="000A0962">
      <w:pPr>
        <w:pStyle w:val="ListParagraph"/>
        <w:numPr>
          <w:ilvl w:val="0"/>
          <w:numId w:val="33"/>
        </w:numPr>
        <w:rPr>
          <w:lang w:eastAsia="bg-BG"/>
        </w:rPr>
      </w:pPr>
      <w:r w:rsidRPr="000A0962">
        <w:rPr>
          <w:lang w:eastAsia="bg-BG"/>
        </w:rPr>
        <w:t>Нелекуван феохромоцитом</w:t>
      </w:r>
    </w:p>
    <w:p w14:paraId="2CB7BB90" w14:textId="77777777" w:rsidR="000A0962" w:rsidRPr="000A0962" w:rsidRDefault="000A0962" w:rsidP="000A0962">
      <w:pPr>
        <w:pStyle w:val="ListParagraph"/>
        <w:numPr>
          <w:ilvl w:val="0"/>
          <w:numId w:val="33"/>
        </w:numPr>
        <w:rPr>
          <w:lang w:eastAsia="bg-BG"/>
        </w:rPr>
      </w:pPr>
      <w:r w:rsidRPr="000A0962">
        <w:rPr>
          <w:lang w:eastAsia="bg-BG"/>
        </w:rPr>
        <w:t>Метаболитна ацидоза</w:t>
      </w:r>
    </w:p>
    <w:p w14:paraId="1FA35091" w14:textId="77777777" w:rsidR="000A0962" w:rsidRPr="000A0962" w:rsidRDefault="000A0962" w:rsidP="000A0962">
      <w:pPr>
        <w:pStyle w:val="ListParagraph"/>
        <w:numPr>
          <w:ilvl w:val="0"/>
          <w:numId w:val="33"/>
        </w:numPr>
        <w:rPr>
          <w:lang w:eastAsia="bg-BG"/>
        </w:rPr>
      </w:pPr>
      <w:r w:rsidRPr="000A0962">
        <w:rPr>
          <w:lang w:eastAsia="bg-BG"/>
        </w:rPr>
        <w:t>Брадикардия (сърдечна честота &lt; 60 удара/минута преди началото на лечението);</w:t>
      </w:r>
    </w:p>
    <w:p w14:paraId="57568891" w14:textId="77777777" w:rsidR="000A0962" w:rsidRPr="000A0962" w:rsidRDefault="000A0962" w:rsidP="000A0962">
      <w:pPr>
        <w:pStyle w:val="ListParagraph"/>
        <w:numPr>
          <w:ilvl w:val="0"/>
          <w:numId w:val="33"/>
        </w:numPr>
        <w:rPr>
          <w:lang w:eastAsia="bg-BG"/>
        </w:rPr>
      </w:pPr>
      <w:r w:rsidRPr="000A0962">
        <w:rPr>
          <w:lang w:eastAsia="bg-BG"/>
        </w:rPr>
        <w:t xml:space="preserve">Хипотония (систолно артериално налягане &lt; 90 </w:t>
      </w:r>
      <w:r w:rsidRPr="000A0962">
        <w:rPr>
          <w:lang w:val="en-US"/>
        </w:rPr>
        <w:t>mmHg</w:t>
      </w:r>
      <w:r w:rsidRPr="000A0962">
        <w:rPr>
          <w:lang w:val="ru-RU"/>
        </w:rPr>
        <w:t>)</w:t>
      </w:r>
    </w:p>
    <w:p w14:paraId="2DC1FDDD" w14:textId="77777777" w:rsidR="000A0962" w:rsidRPr="000A0962" w:rsidRDefault="000A0962" w:rsidP="000A0962">
      <w:pPr>
        <w:pStyle w:val="ListParagraph"/>
        <w:numPr>
          <w:ilvl w:val="0"/>
          <w:numId w:val="33"/>
        </w:numPr>
        <w:rPr>
          <w:lang w:eastAsia="bg-BG"/>
        </w:rPr>
      </w:pPr>
      <w:r w:rsidRPr="000A0962">
        <w:rPr>
          <w:lang w:eastAsia="bg-BG"/>
        </w:rPr>
        <w:t>Тежки нарушения в периферното кръвообращение.</w:t>
      </w:r>
    </w:p>
    <w:p w14:paraId="3C9C86B4" w14:textId="77777777" w:rsidR="000A0962" w:rsidRPr="000A0962" w:rsidRDefault="000A0962" w:rsidP="000A0962"/>
    <w:p w14:paraId="5A4AC413" w14:textId="4DD28BDF" w:rsidR="00395555" w:rsidRDefault="002C50EE" w:rsidP="008A6AF2">
      <w:pPr>
        <w:pStyle w:val="Heading2"/>
      </w:pPr>
      <w:r>
        <w:t>4.4. Специални предупреждения и предпазни мерки при употреба</w:t>
      </w:r>
    </w:p>
    <w:p w14:paraId="214CBC10" w14:textId="17D77853" w:rsidR="000A0962" w:rsidRDefault="000A0962" w:rsidP="000A0962"/>
    <w:p w14:paraId="2D9E6205"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Вижте също точка 4.8.</w:t>
      </w:r>
    </w:p>
    <w:p w14:paraId="519FC699" w14:textId="77777777" w:rsidR="000A0962" w:rsidRPr="000A0962" w:rsidRDefault="000A0962" w:rsidP="000A0962">
      <w:pPr>
        <w:spacing w:line="240" w:lineRule="auto"/>
        <w:rPr>
          <w:rFonts w:eastAsia="Times New Roman" w:cs="Arial"/>
          <w:color w:val="000000"/>
          <w:szCs w:val="44"/>
          <w:lang w:eastAsia="bg-BG"/>
        </w:rPr>
      </w:pPr>
    </w:p>
    <w:p w14:paraId="30232D4A" w14:textId="021DF07E"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По принцип за бета-адренергичните антагонисти са в сила следните предупреждения и предпазни мерки при употреба:</w:t>
      </w:r>
    </w:p>
    <w:p w14:paraId="6C72907D" w14:textId="77777777" w:rsidR="000A0962" w:rsidRPr="000A0962" w:rsidRDefault="000A0962" w:rsidP="000A0962">
      <w:pPr>
        <w:spacing w:line="240" w:lineRule="auto"/>
        <w:rPr>
          <w:rFonts w:eastAsia="Times New Roman" w:cs="Arial"/>
          <w:i/>
          <w:iCs/>
          <w:color w:val="000000"/>
          <w:szCs w:val="44"/>
          <w:lang w:eastAsia="bg-BG"/>
        </w:rPr>
      </w:pPr>
    </w:p>
    <w:p w14:paraId="508D30B2" w14:textId="2259DCA6"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t>Анестезия</w:t>
      </w:r>
    </w:p>
    <w:p w14:paraId="402FB8B5" w14:textId="7992B798" w:rsidR="000A0962" w:rsidRPr="000A0962" w:rsidRDefault="000A0962" w:rsidP="000A0962">
      <w:pPr>
        <w:rPr>
          <w:rFonts w:eastAsia="Times New Roman" w:cs="Arial"/>
          <w:color w:val="000000"/>
          <w:szCs w:val="44"/>
          <w:lang w:eastAsia="bg-BG"/>
        </w:rPr>
      </w:pPr>
      <w:r w:rsidRPr="000A0962">
        <w:rPr>
          <w:rFonts w:eastAsia="Times New Roman" w:cs="Arial"/>
          <w:color w:val="000000"/>
          <w:szCs w:val="44"/>
          <w:lang w:eastAsia="bg-BG"/>
        </w:rPr>
        <w:t>Ако не се преустанови, бета-блокадата намалява риска от аритмии по време на въвеждане в анестезия или интубиране. Когато бета-блокадата се прекъсва при подготовка за оперативна намеса, приложението на бета-блокер трябва да се преустанови поне 24 часа преди това. Необходимо е внимание при приложението на някои анестетици, които подтискат миокардната функция. За да се предотврати появата на вагусови реакции при тези пациенти, може да приложи интравенозно атропин.</w:t>
      </w:r>
    </w:p>
    <w:p w14:paraId="0C9A352A" w14:textId="12F631F3" w:rsidR="000A0962" w:rsidRPr="000A0962" w:rsidRDefault="000A0962" w:rsidP="000A0962">
      <w:pPr>
        <w:rPr>
          <w:rFonts w:eastAsia="Times New Roman" w:cs="Arial"/>
          <w:color w:val="000000"/>
          <w:szCs w:val="44"/>
          <w:lang w:eastAsia="bg-BG"/>
        </w:rPr>
      </w:pPr>
    </w:p>
    <w:p w14:paraId="39A60F7C" w14:textId="77777777"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t>Сърдечно-съдова система</w:t>
      </w:r>
    </w:p>
    <w:p w14:paraId="32ACE2C9"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По принцип бета-адренергичните антагонисти не трябва да се използват при пациенти с нелекувана застойна сърдечна недостатъчност, с изключение на случаите, когато състоянието на пациента е стабилизирано.</w:t>
      </w:r>
    </w:p>
    <w:p w14:paraId="2D851196"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При пациенти с исхемична болест на сърцето приложението на бета-адренергичните антагонисти трябва да се преустанови постепенно в продължение на повече от 1-2 седмици. При необходимост през този период се започва заместваща терапия, за да се избегне екзацербация на ангина пекторис. Бета-адренергичните антагонисти могат да индуцират брадикардия: ако честотата на пулса се понижи под 50-55 удара/минута в покой и/или при симптоми, насочващи за брадикардия, дозата трябва да се намали.</w:t>
      </w:r>
    </w:p>
    <w:p w14:paraId="650075CA"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Бета-адренергичните антагонисти могат да индуцират брадикардия; ако честотата на пулса се понижи под 50-55 удара/минута в покой и/или при симптоми, насочващи за брадикардия, дозата трябва да се намали.</w:t>
      </w:r>
    </w:p>
    <w:p w14:paraId="6B822FE3" w14:textId="77777777" w:rsid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Бета-адренергичните антагонисти трябва да се използват с внимание при:</w:t>
      </w:r>
    </w:p>
    <w:p w14:paraId="65A5EF1F" w14:textId="77777777" w:rsidR="000A0962" w:rsidRPr="000A0962" w:rsidRDefault="000A0962" w:rsidP="000A0962">
      <w:pPr>
        <w:pStyle w:val="ListParagraph"/>
        <w:numPr>
          <w:ilvl w:val="0"/>
          <w:numId w:val="2"/>
        </w:numPr>
        <w:spacing w:line="240" w:lineRule="auto"/>
        <w:rPr>
          <w:rFonts w:eastAsia="Times New Roman" w:cs="Arial"/>
          <w:sz w:val="12"/>
          <w:szCs w:val="24"/>
        </w:rPr>
      </w:pPr>
      <w:r w:rsidRPr="000A0962">
        <w:rPr>
          <w:rFonts w:eastAsia="Times New Roman" w:cs="Arial"/>
          <w:color w:val="000000"/>
          <w:szCs w:val="44"/>
          <w:lang w:eastAsia="bg-BG"/>
        </w:rPr>
        <w:t>Пациенти с нарушено периферно кръвообращение (болест или синдром на Рейно, интермитентно клаудикацио), тъй като може да настъпи утежняване на тези нарушения;</w:t>
      </w:r>
    </w:p>
    <w:p w14:paraId="2E256EFE" w14:textId="77777777" w:rsidR="000A0962" w:rsidRPr="000A0962" w:rsidRDefault="000A0962" w:rsidP="000A0962">
      <w:pPr>
        <w:pStyle w:val="ListParagraph"/>
        <w:numPr>
          <w:ilvl w:val="0"/>
          <w:numId w:val="2"/>
        </w:numPr>
        <w:spacing w:line="240" w:lineRule="auto"/>
        <w:rPr>
          <w:rFonts w:eastAsia="Times New Roman" w:cs="Arial"/>
          <w:sz w:val="12"/>
          <w:szCs w:val="24"/>
        </w:rPr>
      </w:pPr>
      <w:r w:rsidRPr="000A0962">
        <w:rPr>
          <w:rFonts w:eastAsia="Times New Roman" w:cs="Arial"/>
          <w:color w:val="000000"/>
          <w:szCs w:val="44"/>
          <w:lang w:eastAsia="bg-BG"/>
        </w:rPr>
        <w:t xml:space="preserve">При пациенти с </w:t>
      </w:r>
      <w:r w:rsidRPr="000A0962">
        <w:rPr>
          <w:rFonts w:eastAsia="Times New Roman" w:cs="Arial"/>
          <w:color w:val="000000"/>
          <w:szCs w:val="44"/>
          <w:lang w:val="en-US"/>
        </w:rPr>
        <w:t>I</w:t>
      </w:r>
      <w:r w:rsidRPr="000A0962">
        <w:rPr>
          <w:rFonts w:eastAsia="Times New Roman" w:cs="Arial"/>
          <w:color w:val="000000"/>
          <w:szCs w:val="44"/>
          <w:lang w:eastAsia="bg-BG"/>
        </w:rPr>
        <w:t>-ва степен сърдечен блок, поради негативния ефект на бета-блокерите върху времето на провеждане;</w:t>
      </w:r>
    </w:p>
    <w:p w14:paraId="1A258945" w14:textId="54C895BE" w:rsidR="000A0962" w:rsidRPr="000A0962" w:rsidRDefault="000A0962" w:rsidP="000A0962">
      <w:pPr>
        <w:pStyle w:val="ListParagraph"/>
        <w:numPr>
          <w:ilvl w:val="0"/>
          <w:numId w:val="2"/>
        </w:numPr>
        <w:spacing w:line="240" w:lineRule="auto"/>
        <w:rPr>
          <w:rFonts w:eastAsia="Times New Roman" w:cs="Arial"/>
          <w:sz w:val="12"/>
          <w:szCs w:val="24"/>
        </w:rPr>
      </w:pPr>
      <w:r w:rsidRPr="000A0962">
        <w:rPr>
          <w:rFonts w:eastAsia="Times New Roman" w:cs="Arial"/>
          <w:color w:val="000000"/>
          <w:szCs w:val="44"/>
          <w:lang w:eastAsia="bg-BG"/>
        </w:rPr>
        <w:t>При пациенти с ангина на Принцментал, тъй като при тях се наблюдава коронарен вазоспазъм, медииран от алфа-рецепторите, които не се блокират, Бета-адренергичните антагонисти могат да увеличат честотата и продължителността на ангиозните пристъпи.</w:t>
      </w:r>
    </w:p>
    <w:p w14:paraId="2D0FDD1B"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lastRenderedPageBreak/>
        <w:t>Не се препоръчва комбинирането на небиволол с калциеви антагонисти от верапамилов или дилтиаземов тип, с антиаритмици клас I и с централно действащи антихипертензивни лекарства (за повече информация виж точка 4.5).</w:t>
      </w:r>
    </w:p>
    <w:p w14:paraId="51CF2237" w14:textId="77777777" w:rsidR="000A0962" w:rsidRDefault="000A0962" w:rsidP="000A0962">
      <w:pPr>
        <w:spacing w:line="240" w:lineRule="auto"/>
        <w:rPr>
          <w:rFonts w:eastAsia="Times New Roman" w:cs="Arial"/>
          <w:i/>
          <w:iCs/>
          <w:color w:val="000000"/>
          <w:szCs w:val="44"/>
          <w:lang w:eastAsia="bg-BG"/>
        </w:rPr>
      </w:pPr>
    </w:p>
    <w:p w14:paraId="54A221C2" w14:textId="0433C9BE"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t>Метаболизъм /Ендокринна система</w:t>
      </w:r>
    </w:p>
    <w:p w14:paraId="6AF5FE38"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Небиволол не повлиява нивата на кръвната глюкоза при пациенти със захараен диабет. По принцип е препоръчително да се внимава при диабетици, тъй като небиволол може да маскира някои от симптомите на хипогликемия (тахикардия, палпитации).</w:t>
      </w:r>
    </w:p>
    <w:p w14:paraId="7A269603"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Приложението на бета-блокери при пациенти с хипертиреоидизъм може да маскира симптоми на тахикардия. Внезапното прекъсване на лечението може да засили симптомите.</w:t>
      </w:r>
    </w:p>
    <w:p w14:paraId="7AC8CB7F" w14:textId="77777777" w:rsidR="000A0962" w:rsidRDefault="000A0962" w:rsidP="000A0962">
      <w:pPr>
        <w:spacing w:line="240" w:lineRule="auto"/>
        <w:rPr>
          <w:rFonts w:eastAsia="Times New Roman" w:cs="Arial"/>
          <w:i/>
          <w:iCs/>
          <w:color w:val="000000"/>
          <w:szCs w:val="44"/>
          <w:lang w:eastAsia="bg-BG"/>
        </w:rPr>
      </w:pPr>
    </w:p>
    <w:p w14:paraId="3555F20B" w14:textId="6D1FDF5C"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t>Дихателна система</w:t>
      </w:r>
    </w:p>
    <w:p w14:paraId="3D335AB3"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Бета-блокерите трябва да се прилагат предпазливо при пациенти с хронична обструктивна белодробна болест, тъй като могат да засилят спазъма на дихателните пътища.</w:t>
      </w:r>
    </w:p>
    <w:p w14:paraId="177188AE" w14:textId="77777777" w:rsidR="000A0962" w:rsidRDefault="000A0962" w:rsidP="000A0962">
      <w:pPr>
        <w:spacing w:line="240" w:lineRule="auto"/>
        <w:rPr>
          <w:rFonts w:eastAsia="Times New Roman" w:cs="Arial"/>
          <w:i/>
          <w:iCs/>
          <w:color w:val="000000"/>
          <w:szCs w:val="44"/>
          <w:lang w:eastAsia="bg-BG"/>
        </w:rPr>
      </w:pPr>
    </w:p>
    <w:p w14:paraId="762B6289" w14:textId="1260678F"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t>Други</w:t>
      </w:r>
    </w:p>
    <w:p w14:paraId="797015FB"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Пациенти с анамнеза за псориазис трябва да приемат бета-блокери само след внимателна преценка.</w:t>
      </w:r>
    </w:p>
    <w:p w14:paraId="5C0833E5"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Бета-адренергичните антагонисти могат да засилят чувствителността към алергени и тежестта на анафилактичните реакции.</w:t>
      </w:r>
    </w:p>
    <w:p w14:paraId="6F3A98EC" w14:textId="77777777" w:rsidR="000A0962" w:rsidRDefault="000A0962" w:rsidP="000A0962">
      <w:pPr>
        <w:spacing w:line="240" w:lineRule="auto"/>
        <w:rPr>
          <w:rFonts w:eastAsia="Times New Roman" w:cs="Arial"/>
          <w:color w:val="000000"/>
          <w:szCs w:val="44"/>
          <w:lang w:eastAsia="bg-BG"/>
        </w:rPr>
      </w:pPr>
    </w:p>
    <w:p w14:paraId="41BBBFD1" w14:textId="799549BC"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Започването на лечение на хроничната сърдечна недостатъчност с небиволол изисква редовно проследяване. За дозировка и начин на приложение, виж точка 4.2. Лечението не трябва да се преустановява внезапно, освен ако не е категорично показано. За повече информация, виж точка 4.2.</w:t>
      </w:r>
    </w:p>
    <w:p w14:paraId="24409E2F" w14:textId="77777777" w:rsidR="000A0962" w:rsidRDefault="000A0962" w:rsidP="000A0962">
      <w:pPr>
        <w:spacing w:line="240" w:lineRule="auto"/>
        <w:rPr>
          <w:rFonts w:eastAsia="Times New Roman" w:cs="Arial"/>
          <w:i/>
          <w:iCs/>
          <w:color w:val="000000"/>
          <w:szCs w:val="44"/>
          <w:lang w:eastAsia="bg-BG"/>
        </w:rPr>
      </w:pPr>
    </w:p>
    <w:p w14:paraId="5ABA96C8" w14:textId="360977AB"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t>Помощни вещества</w:t>
      </w:r>
    </w:p>
    <w:p w14:paraId="4337590A"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Този лекарствен продукт съдържа лактоза.</w:t>
      </w:r>
    </w:p>
    <w:p w14:paraId="09E6F8C5" w14:textId="5E013A5A" w:rsidR="000A0962" w:rsidRDefault="000A0962" w:rsidP="000A0962">
      <w:pPr>
        <w:rPr>
          <w:rFonts w:eastAsia="Times New Roman" w:cs="Arial"/>
          <w:color w:val="000000"/>
          <w:szCs w:val="44"/>
          <w:lang w:eastAsia="bg-BG"/>
        </w:rPr>
      </w:pPr>
      <w:r w:rsidRPr="000A0962">
        <w:rPr>
          <w:rFonts w:eastAsia="Times New Roman" w:cs="Arial"/>
          <w:color w:val="000000"/>
          <w:szCs w:val="44"/>
          <w:lang w:eastAsia="bg-BG"/>
        </w:rPr>
        <w:t>Пациенти с редки наследствени проблеми на непоносимост към галактоза, пълен лактазен дефицит</w:t>
      </w:r>
      <w:r w:rsidRPr="000A0962">
        <w:rPr>
          <w:rFonts w:eastAsia="Times New Roman" w:cs="Arial"/>
          <w:color w:val="000000"/>
          <w:szCs w:val="44"/>
          <w:u w:val="single"/>
          <w:lang w:eastAsia="bg-BG"/>
        </w:rPr>
        <w:t xml:space="preserve"> </w:t>
      </w:r>
      <w:r w:rsidRPr="000A0962">
        <w:rPr>
          <w:rFonts w:eastAsia="Times New Roman" w:cs="Arial"/>
          <w:color w:val="000000"/>
          <w:szCs w:val="44"/>
          <w:lang w:eastAsia="bg-BG"/>
        </w:rPr>
        <w:t>или глюкозо-галактозна малабсорбция не трябва да приемат това лекарство.</w:t>
      </w:r>
    </w:p>
    <w:p w14:paraId="70288142" w14:textId="5CF3B6C3" w:rsidR="000A0962" w:rsidRDefault="000A0962" w:rsidP="000A0962">
      <w:pPr>
        <w:rPr>
          <w:rFonts w:eastAsia="Times New Roman" w:cs="Arial"/>
          <w:color w:val="000000"/>
          <w:szCs w:val="44"/>
          <w:lang w:eastAsia="bg-BG"/>
        </w:rPr>
      </w:pPr>
    </w:p>
    <w:p w14:paraId="25D5634C" w14:textId="77777777" w:rsidR="000A0962" w:rsidRPr="000A0962" w:rsidRDefault="000A0962" w:rsidP="000A0962">
      <w:pPr>
        <w:rPr>
          <w:sz w:val="24"/>
          <w:szCs w:val="24"/>
        </w:rPr>
      </w:pPr>
      <w:r w:rsidRPr="000A0962">
        <w:rPr>
          <w:lang w:eastAsia="bg-BG"/>
        </w:rPr>
        <w:t xml:space="preserve">Това лекарство съдържа по-малко от 1 </w:t>
      </w:r>
      <w:proofErr w:type="spellStart"/>
      <w:r w:rsidRPr="000A0962">
        <w:rPr>
          <w:lang w:val="en-US"/>
        </w:rPr>
        <w:t>mmol</w:t>
      </w:r>
      <w:proofErr w:type="spellEnd"/>
      <w:r w:rsidRPr="000A0962">
        <w:rPr>
          <w:lang w:val="ru-RU"/>
        </w:rPr>
        <w:t xml:space="preserve"> </w:t>
      </w:r>
      <w:r w:rsidRPr="000A0962">
        <w:rPr>
          <w:lang w:eastAsia="bg-BG"/>
        </w:rPr>
        <w:t xml:space="preserve">натрий (23 </w:t>
      </w:r>
      <w:r w:rsidRPr="000A0962">
        <w:rPr>
          <w:lang w:val="en-US"/>
        </w:rPr>
        <w:t>mg</w:t>
      </w:r>
      <w:r w:rsidRPr="000A0962">
        <w:rPr>
          <w:lang w:val="ru-RU"/>
        </w:rPr>
        <w:t xml:space="preserve">) </w:t>
      </w:r>
      <w:r w:rsidRPr="000A0962">
        <w:rPr>
          <w:lang w:eastAsia="bg-BG"/>
        </w:rPr>
        <w:t>на таблетка, т.е. може да се каже, че практически не съдържа натрий.</w:t>
      </w:r>
    </w:p>
    <w:p w14:paraId="0CB7455D" w14:textId="77777777" w:rsidR="000A0962" w:rsidRPr="000A0962" w:rsidRDefault="000A0962" w:rsidP="000A0962"/>
    <w:p w14:paraId="1244F76A" w14:textId="064F3341" w:rsidR="00395555" w:rsidRDefault="002C50EE" w:rsidP="008A6AF2">
      <w:pPr>
        <w:pStyle w:val="Heading2"/>
      </w:pPr>
      <w:r>
        <w:t>4.5. Взаимодействие с други лекарствени продукти и други форми на взаимодействие</w:t>
      </w:r>
    </w:p>
    <w:p w14:paraId="276DF385" w14:textId="402403EB" w:rsidR="000A0962" w:rsidRDefault="000A0962" w:rsidP="000A0962"/>
    <w:p w14:paraId="336C7133"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u w:val="single"/>
          <w:lang w:eastAsia="bg-BG"/>
        </w:rPr>
        <w:t>Фармакодинамични взаимодействия</w:t>
      </w:r>
    </w:p>
    <w:p w14:paraId="623F7B8E"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За бета-блокерите са характерни следните взаимодействия:</w:t>
      </w:r>
    </w:p>
    <w:p w14:paraId="1AEE1897" w14:textId="77777777" w:rsidR="000A0962" w:rsidRDefault="000A0962" w:rsidP="000A0962">
      <w:pPr>
        <w:spacing w:line="240" w:lineRule="auto"/>
        <w:rPr>
          <w:rFonts w:eastAsia="Times New Roman" w:cs="Arial"/>
          <w:i/>
          <w:iCs/>
          <w:color w:val="000000"/>
          <w:szCs w:val="44"/>
          <w:lang w:eastAsia="bg-BG"/>
        </w:rPr>
      </w:pPr>
    </w:p>
    <w:p w14:paraId="3873E21C" w14:textId="02D0AF9F"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t>Комбинации, които не се препоръчват</w:t>
      </w:r>
    </w:p>
    <w:p w14:paraId="50B618BF"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Антиаритмични лекарства клас 1 (хинидин, хидрохинидин, цибензолин, флекаинид, дизопирамид, лидокаин, мексилетин, пропафенон): може да се потенциира ефектът върху атрио-вентрикуларното проводно време и да се усили отрицателният инотропен ефект (виж точка 4.4).</w:t>
      </w:r>
    </w:p>
    <w:p w14:paraId="0E9C2D2E" w14:textId="77777777" w:rsidR="000A0962" w:rsidRDefault="000A0962" w:rsidP="000A0962">
      <w:pPr>
        <w:spacing w:line="240" w:lineRule="auto"/>
        <w:rPr>
          <w:rFonts w:eastAsia="Times New Roman" w:cs="Arial"/>
          <w:i/>
          <w:iCs/>
          <w:color w:val="000000"/>
          <w:szCs w:val="44"/>
          <w:lang w:eastAsia="bg-BG"/>
        </w:rPr>
      </w:pPr>
    </w:p>
    <w:p w14:paraId="74E049A6" w14:textId="3B322AAE"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lastRenderedPageBreak/>
        <w:t>Калциеви антагонисти от верапамилов/дилтиаземов тип:</w:t>
      </w:r>
      <w:r w:rsidRPr="000A0962">
        <w:rPr>
          <w:rFonts w:eastAsia="Times New Roman" w:cs="Arial"/>
          <w:color w:val="000000"/>
          <w:szCs w:val="44"/>
          <w:lang w:eastAsia="bg-BG"/>
        </w:rPr>
        <w:t xml:space="preserve"> негативен ефект върху контрактилитета и атрио-вентрикуларната проводимост. Интравенозното приложение на верапамил при пациенти, приемащи бета-блокер, може да доведе до тежка хипотония и атрио-вентрикуларен блок (виж точка 4.4).</w:t>
      </w:r>
    </w:p>
    <w:p w14:paraId="3404BFD1" w14:textId="77777777" w:rsidR="000A0962" w:rsidRDefault="000A0962" w:rsidP="000A0962">
      <w:pPr>
        <w:spacing w:line="240" w:lineRule="auto"/>
        <w:rPr>
          <w:rFonts w:eastAsia="Times New Roman" w:cs="Arial"/>
          <w:color w:val="000000"/>
          <w:szCs w:val="44"/>
          <w:lang w:eastAsia="bg-BG"/>
        </w:rPr>
      </w:pPr>
    </w:p>
    <w:p w14:paraId="5B766595" w14:textId="187DFAA1"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 xml:space="preserve">Централно-действащи антихипертензивни лекарства </w:t>
      </w:r>
      <w:r w:rsidRPr="000A0962">
        <w:rPr>
          <w:rFonts w:eastAsia="Times New Roman" w:cs="Arial"/>
          <w:i/>
          <w:iCs/>
          <w:color w:val="000000"/>
          <w:szCs w:val="44"/>
          <w:lang w:eastAsia="bg-BG"/>
        </w:rPr>
        <w:t>(клонидин, гуанфацин, моксонидин, метилдопа, рилменидин):</w:t>
      </w:r>
      <w:r w:rsidRPr="000A0962">
        <w:rPr>
          <w:rFonts w:eastAsia="Times New Roman" w:cs="Arial"/>
          <w:color w:val="000000"/>
          <w:szCs w:val="44"/>
          <w:lang w:eastAsia="bg-BG"/>
        </w:rPr>
        <w:t xml:space="preserve"> едновременното приложение на централно-действащи антихипертензивни лекарства може да влоши сърдечната недостатъчност чрез понижение на централния симпатиков тонус (понижение в сърдечната честота и сърдечния дебит, вазодилатация) (виж точка 4.4). Внезапно преустановяване, особено преди преустановяване на бета-блокера, може да повиши риска от „ </w:t>
      </w:r>
      <w:r w:rsidRPr="000A0962">
        <w:rPr>
          <w:rFonts w:eastAsia="Times New Roman" w:cs="Arial"/>
          <w:color w:val="000000"/>
          <w:szCs w:val="44"/>
          <w:lang w:val="en-US"/>
        </w:rPr>
        <w:t>rebound</w:t>
      </w:r>
      <w:r w:rsidRPr="000A0962">
        <w:rPr>
          <w:rFonts w:eastAsia="Times New Roman" w:cs="Arial"/>
          <w:color w:val="000000"/>
          <w:szCs w:val="44"/>
          <w:lang w:val="ru-RU"/>
        </w:rPr>
        <w:t xml:space="preserve">- </w:t>
      </w:r>
      <w:r w:rsidRPr="000A0962">
        <w:rPr>
          <w:rFonts w:eastAsia="Times New Roman" w:cs="Arial"/>
          <w:color w:val="000000"/>
          <w:szCs w:val="44"/>
          <w:lang w:eastAsia="bg-BG"/>
        </w:rPr>
        <w:t>хипертония”.</w:t>
      </w:r>
    </w:p>
    <w:p w14:paraId="5F2FEB16" w14:textId="77777777" w:rsidR="000A0962" w:rsidRDefault="000A0962" w:rsidP="000A0962">
      <w:pPr>
        <w:spacing w:line="240" w:lineRule="auto"/>
        <w:rPr>
          <w:rFonts w:eastAsia="Times New Roman" w:cs="Arial"/>
          <w:i/>
          <w:iCs/>
          <w:color w:val="000000"/>
          <w:szCs w:val="44"/>
          <w:lang w:eastAsia="bg-BG"/>
        </w:rPr>
      </w:pPr>
    </w:p>
    <w:p w14:paraId="6823DDC4" w14:textId="353F79C9"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t>Комбинации, които трябва да се прилагат с внимание:</w:t>
      </w:r>
    </w:p>
    <w:p w14:paraId="42FFA3D6"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Антиаритмични лекарства клас III (амиодарон): може да се потенциира ефектът върху атрио- вентрикуларното проводно време.</w:t>
      </w:r>
    </w:p>
    <w:p w14:paraId="48086CA7" w14:textId="77777777" w:rsidR="000A0962" w:rsidRDefault="000A0962" w:rsidP="000A0962">
      <w:pPr>
        <w:spacing w:line="240" w:lineRule="auto"/>
        <w:rPr>
          <w:rFonts w:eastAsia="Times New Roman" w:cs="Arial"/>
          <w:i/>
          <w:iCs/>
          <w:color w:val="000000"/>
          <w:szCs w:val="44"/>
          <w:lang w:eastAsia="bg-BG"/>
        </w:rPr>
      </w:pPr>
    </w:p>
    <w:p w14:paraId="643D1757" w14:textId="4C5A8761"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t>Анестетици - летливи халогени:</w:t>
      </w:r>
      <w:r w:rsidRPr="000A0962">
        <w:rPr>
          <w:rFonts w:eastAsia="Times New Roman" w:cs="Arial"/>
          <w:color w:val="000000"/>
          <w:szCs w:val="44"/>
          <w:lang w:eastAsia="bg-BG"/>
        </w:rPr>
        <w:t xml:space="preserve"> едновременното приложение на бета-адренергични блокери и анестетици може да повиши риска от хипотония (виж точка 4.4). По принцип да се избягва внезапното преустановяване на бета-блокера. Анестезиологът трябва да бъде информиран, ако пациентът приема Кардиостад.</w:t>
      </w:r>
    </w:p>
    <w:p w14:paraId="7369E2A7" w14:textId="77777777" w:rsidR="000A0962" w:rsidRDefault="000A0962" w:rsidP="000A0962">
      <w:pPr>
        <w:spacing w:line="240" w:lineRule="auto"/>
        <w:rPr>
          <w:rFonts w:eastAsia="Times New Roman" w:cs="Arial"/>
          <w:i/>
          <w:iCs/>
          <w:color w:val="000000"/>
          <w:szCs w:val="44"/>
          <w:lang w:eastAsia="bg-BG"/>
        </w:rPr>
      </w:pPr>
    </w:p>
    <w:p w14:paraId="16B55334" w14:textId="063D2966"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t>Инсулин и антидиабетни лекарствени продукти:</w:t>
      </w:r>
      <w:r w:rsidRPr="000A0962">
        <w:rPr>
          <w:rFonts w:eastAsia="Times New Roman" w:cs="Arial"/>
          <w:color w:val="000000"/>
          <w:szCs w:val="44"/>
          <w:lang w:eastAsia="bg-BG"/>
        </w:rPr>
        <w:t xml:space="preserve"> въпреки че небиволол не повлиява нивата на кръвната глюкоза, може да се маскира някои симптоми на хипогликемията (палпитации, тахикардия).</w:t>
      </w:r>
    </w:p>
    <w:p w14:paraId="02103D18" w14:textId="77777777" w:rsidR="000A0962" w:rsidRDefault="000A0962" w:rsidP="000A0962">
      <w:pPr>
        <w:spacing w:line="240" w:lineRule="auto"/>
        <w:rPr>
          <w:rFonts w:eastAsia="Times New Roman" w:cs="Arial"/>
          <w:i/>
          <w:iCs/>
          <w:color w:val="000000"/>
          <w:szCs w:val="44"/>
          <w:lang w:eastAsia="bg-BG"/>
        </w:rPr>
      </w:pPr>
    </w:p>
    <w:p w14:paraId="4545A943" w14:textId="40290E23"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t>Баклофен(антиспастично лекарство), амифостин (антинеопластичен адювант):</w:t>
      </w:r>
    </w:p>
    <w:p w14:paraId="1C7B5219"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Вероятно е едновременното им приложение с антихипертензивни лекарствени продукти да повиши рязкото спадане на кръвното налягане, затова дозировката на антихипертензивното средство трябва да бъде подходящо адаптирана.</w:t>
      </w:r>
    </w:p>
    <w:p w14:paraId="7A362F27" w14:textId="77777777" w:rsidR="000A0962" w:rsidRDefault="000A0962" w:rsidP="000A0962">
      <w:pPr>
        <w:spacing w:line="240" w:lineRule="auto"/>
        <w:rPr>
          <w:rFonts w:eastAsia="Times New Roman" w:cs="Arial"/>
          <w:i/>
          <w:iCs/>
          <w:color w:val="000000"/>
          <w:szCs w:val="44"/>
          <w:lang w:eastAsia="bg-BG"/>
        </w:rPr>
      </w:pPr>
    </w:p>
    <w:p w14:paraId="42094BFE" w14:textId="4404762B"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t>Комбинации, които трябва да се имат предвид:</w:t>
      </w:r>
    </w:p>
    <w:p w14:paraId="79B530FA"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Дигиталисови гликозиди: едновременното приложение може да увеличи атрио-вентрикуларното проводно време. Клиничните изпитвания с небиволол не показват клинични доказателства за взаимодействия. Небиволол не повлиява кинетиката на дигоксин.</w:t>
      </w:r>
    </w:p>
    <w:p w14:paraId="445B2096" w14:textId="77777777" w:rsidR="000A0962" w:rsidRDefault="000A0962" w:rsidP="000A0962">
      <w:pPr>
        <w:spacing w:line="240" w:lineRule="auto"/>
        <w:rPr>
          <w:rFonts w:eastAsia="Times New Roman" w:cs="Arial"/>
          <w:i/>
          <w:iCs/>
          <w:color w:val="000000"/>
          <w:szCs w:val="44"/>
          <w:lang w:eastAsia="bg-BG"/>
        </w:rPr>
      </w:pPr>
    </w:p>
    <w:p w14:paraId="3724E1A1" w14:textId="0BBBF2B7"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t>Калциеви антагонисти от дихидропиридинов тип (амлодипин, фелодипин, лацидипин, нифедипин, никардипин, нимодипин, нитрендипин):</w:t>
      </w:r>
      <w:r w:rsidRPr="000A0962">
        <w:rPr>
          <w:rFonts w:eastAsia="Times New Roman" w:cs="Arial"/>
          <w:color w:val="000000"/>
          <w:szCs w:val="44"/>
          <w:lang w:eastAsia="bg-BG"/>
        </w:rPr>
        <w:t xml:space="preserve"> едновременното приложение може да увеличи риска от хипотония и не може да се изключи увеличен риск от допълнително влошаване на камерната. помпена функция при пациенти със сърдечна недоистатъчност.</w:t>
      </w:r>
    </w:p>
    <w:p w14:paraId="05852A39" w14:textId="77777777" w:rsidR="000A0962" w:rsidRDefault="000A0962" w:rsidP="000A0962">
      <w:pPr>
        <w:spacing w:line="240" w:lineRule="auto"/>
        <w:rPr>
          <w:rFonts w:eastAsia="Times New Roman" w:cs="Arial"/>
          <w:i/>
          <w:iCs/>
          <w:color w:val="000000"/>
          <w:szCs w:val="44"/>
          <w:lang w:eastAsia="bg-BG"/>
        </w:rPr>
      </w:pPr>
    </w:p>
    <w:p w14:paraId="1CF0AC3E" w14:textId="60B172B2" w:rsidR="000A0962" w:rsidRDefault="000A0962" w:rsidP="000A0962">
      <w:pPr>
        <w:spacing w:line="240" w:lineRule="auto"/>
        <w:rPr>
          <w:rFonts w:eastAsia="Times New Roman" w:cs="Arial"/>
          <w:i/>
          <w:iCs/>
          <w:color w:val="000000"/>
          <w:szCs w:val="44"/>
          <w:lang w:eastAsia="bg-BG"/>
        </w:rPr>
      </w:pPr>
      <w:r w:rsidRPr="000A0962">
        <w:rPr>
          <w:rFonts w:eastAsia="Times New Roman" w:cs="Arial"/>
          <w:i/>
          <w:iCs/>
          <w:color w:val="000000"/>
          <w:szCs w:val="44"/>
          <w:lang w:eastAsia="bg-BG"/>
        </w:rPr>
        <w:t>Антипсихотици, антидепресанти (трициклични, барбитурати и фенотиазини):</w:t>
      </w:r>
    </w:p>
    <w:p w14:paraId="5ABE88FE"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Едновременното приложение може да засили хипотензивния ефект на бета-блокерите (адитивен ефект),</w:t>
      </w:r>
    </w:p>
    <w:p w14:paraId="29FC8E1D" w14:textId="77777777" w:rsidR="000A0962" w:rsidRDefault="000A0962" w:rsidP="000A0962">
      <w:pPr>
        <w:spacing w:line="240" w:lineRule="auto"/>
        <w:rPr>
          <w:rFonts w:eastAsia="Times New Roman" w:cs="Arial"/>
          <w:i/>
          <w:iCs/>
          <w:color w:val="000000"/>
          <w:szCs w:val="44"/>
          <w:lang w:eastAsia="bg-BG"/>
        </w:rPr>
      </w:pPr>
    </w:p>
    <w:p w14:paraId="5A9A649E" w14:textId="3EE9CA24"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t>Нестероидни противовъзпалителни средства (НСПВС):</w:t>
      </w:r>
      <w:r w:rsidRPr="000A0962">
        <w:rPr>
          <w:rFonts w:eastAsia="Times New Roman" w:cs="Arial"/>
          <w:color w:val="000000"/>
          <w:szCs w:val="44"/>
          <w:lang w:eastAsia="bg-BG"/>
        </w:rPr>
        <w:t xml:space="preserve"> нямат ефект върху понижаващия кръвното налягане ефект на небиволол.</w:t>
      </w:r>
    </w:p>
    <w:p w14:paraId="574791D4" w14:textId="77777777" w:rsidR="000A0962" w:rsidRDefault="000A0962" w:rsidP="000A0962">
      <w:pPr>
        <w:spacing w:line="240" w:lineRule="auto"/>
        <w:rPr>
          <w:rFonts w:eastAsia="Times New Roman" w:cs="Arial"/>
          <w:i/>
          <w:iCs/>
          <w:color w:val="000000"/>
          <w:szCs w:val="44"/>
          <w:lang w:eastAsia="bg-BG"/>
        </w:rPr>
      </w:pPr>
    </w:p>
    <w:p w14:paraId="7012F443" w14:textId="58E4A981" w:rsidR="000A0962" w:rsidRPr="000A0962" w:rsidRDefault="000A0962" w:rsidP="000A0962">
      <w:pPr>
        <w:spacing w:line="240" w:lineRule="auto"/>
        <w:rPr>
          <w:rFonts w:eastAsia="Times New Roman" w:cs="Arial"/>
          <w:sz w:val="12"/>
          <w:szCs w:val="24"/>
        </w:rPr>
      </w:pPr>
      <w:r w:rsidRPr="000A0962">
        <w:rPr>
          <w:rFonts w:eastAsia="Times New Roman" w:cs="Arial"/>
          <w:i/>
          <w:iCs/>
          <w:color w:val="000000"/>
          <w:szCs w:val="44"/>
          <w:lang w:eastAsia="bg-BG"/>
        </w:rPr>
        <w:t>Симпатикомиметични лекарства:</w:t>
      </w:r>
      <w:r w:rsidRPr="000A0962">
        <w:rPr>
          <w:rFonts w:eastAsia="Times New Roman" w:cs="Arial"/>
          <w:color w:val="000000"/>
          <w:szCs w:val="44"/>
          <w:lang w:eastAsia="bg-BG"/>
        </w:rPr>
        <w:t xml:space="preserve"> едновременното приложение може да противодейства на бета- антагостичната активност. Бета-блокерите могат да доведат до </w:t>
      </w:r>
      <w:r w:rsidRPr="000A0962">
        <w:rPr>
          <w:rFonts w:eastAsia="Times New Roman" w:cs="Arial"/>
          <w:color w:val="000000"/>
          <w:szCs w:val="44"/>
          <w:lang w:eastAsia="bg-BG"/>
        </w:rPr>
        <w:lastRenderedPageBreak/>
        <w:t>безпрепятствена алфа- адренергичната активност на симпатикомиметиците с алфа- и с бета- адренергична активност (опасност от хипертония, тежка брадикардия и сърдечен блок).</w:t>
      </w:r>
    </w:p>
    <w:p w14:paraId="277F11F0" w14:textId="77777777" w:rsidR="000A0962" w:rsidRDefault="000A0962" w:rsidP="000A0962">
      <w:pPr>
        <w:spacing w:line="240" w:lineRule="auto"/>
        <w:rPr>
          <w:rFonts w:eastAsia="Times New Roman" w:cs="Arial"/>
          <w:color w:val="000000"/>
          <w:szCs w:val="44"/>
          <w:u w:val="single"/>
          <w:lang w:eastAsia="bg-BG"/>
        </w:rPr>
      </w:pPr>
    </w:p>
    <w:p w14:paraId="223199A4" w14:textId="6FB2554B"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u w:val="single"/>
          <w:lang w:eastAsia="bg-BG"/>
        </w:rPr>
        <w:t>Фармакокинетични взаимодействия:</w:t>
      </w:r>
    </w:p>
    <w:p w14:paraId="63DFE03F"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 xml:space="preserve">В метаболизирането на небиволол участва изоензима </w:t>
      </w:r>
      <w:r w:rsidRPr="000A0962">
        <w:rPr>
          <w:rFonts w:eastAsia="Times New Roman" w:cs="Arial"/>
          <w:color w:val="000000"/>
          <w:szCs w:val="44"/>
          <w:lang w:val="en-US"/>
        </w:rPr>
        <w:t>CYP</w:t>
      </w:r>
      <w:r w:rsidRPr="000A0962">
        <w:rPr>
          <w:rFonts w:eastAsia="Times New Roman" w:cs="Arial"/>
          <w:color w:val="000000"/>
          <w:szCs w:val="44"/>
          <w:lang w:val="ru-RU"/>
        </w:rPr>
        <w:t>2</w:t>
      </w:r>
      <w:r w:rsidRPr="000A0962">
        <w:rPr>
          <w:rFonts w:eastAsia="Times New Roman" w:cs="Arial"/>
          <w:color w:val="000000"/>
          <w:szCs w:val="44"/>
          <w:lang w:val="en-US"/>
        </w:rPr>
        <w:t>D</w:t>
      </w:r>
      <w:r w:rsidRPr="000A0962">
        <w:rPr>
          <w:rFonts w:eastAsia="Times New Roman" w:cs="Arial"/>
          <w:color w:val="000000"/>
          <w:szCs w:val="44"/>
          <w:lang w:val="ru-RU"/>
        </w:rPr>
        <w:t xml:space="preserve">6. </w:t>
      </w:r>
      <w:r w:rsidRPr="000A0962">
        <w:rPr>
          <w:rFonts w:eastAsia="Times New Roman" w:cs="Arial"/>
          <w:color w:val="000000"/>
          <w:szCs w:val="44"/>
          <w:lang w:eastAsia="bg-BG"/>
        </w:rPr>
        <w:t>Ето защо едновременното приложение на вещества, които потискат този ензим, особено пароксетин, флуксетин, тиоридазин и хинидвн, може да доведе до повишени нива на небиволол, свързани с повишен риск от тежка брадикардия и нежелани ефекти.</w:t>
      </w:r>
    </w:p>
    <w:p w14:paraId="38FC486D" w14:textId="77777777" w:rsidR="000A0962" w:rsidRDefault="000A0962" w:rsidP="000A0962">
      <w:pPr>
        <w:spacing w:line="240" w:lineRule="auto"/>
        <w:rPr>
          <w:rFonts w:eastAsia="Times New Roman" w:cs="Arial"/>
          <w:color w:val="000000"/>
          <w:szCs w:val="44"/>
          <w:lang w:eastAsia="bg-BG"/>
        </w:rPr>
      </w:pPr>
    </w:p>
    <w:p w14:paraId="1EAACF85" w14:textId="50DFE90C"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Едновременното приложение на циметидин повишава плазмените нива на небиволол без да променя клиничния ефект. Приложението на ранитидин не променя фармакокинетиката на небиволол. Двете лекарства може да се предпишат заедно, като небиволол се приема по време на хранене, а антиацидът - между две хранения.</w:t>
      </w:r>
    </w:p>
    <w:p w14:paraId="014FF0F7" w14:textId="77777777" w:rsidR="000A0962" w:rsidRDefault="000A0962" w:rsidP="000A0962">
      <w:pPr>
        <w:spacing w:line="240" w:lineRule="auto"/>
        <w:rPr>
          <w:rFonts w:eastAsia="Times New Roman" w:cs="Arial"/>
          <w:color w:val="000000"/>
          <w:szCs w:val="44"/>
          <w:lang w:eastAsia="bg-BG"/>
        </w:rPr>
      </w:pPr>
    </w:p>
    <w:p w14:paraId="31F9C8F8" w14:textId="26C9B6AC" w:rsid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Едновременното приложение на небиволол и никардипин води до леко повишение на плазмените нива и на двете лекарства без да променя клиничния ефект. Едновременното приложение на алкохол, фуроземид или хидрохлоротиазид не променя фармакокинетиката на варфарин.</w:t>
      </w:r>
    </w:p>
    <w:p w14:paraId="2371AA8B" w14:textId="77777777" w:rsidR="000A0962" w:rsidRPr="000A0962" w:rsidRDefault="000A0962" w:rsidP="000A0962"/>
    <w:p w14:paraId="6EADE4D6" w14:textId="5AA869F7" w:rsidR="00395555" w:rsidRDefault="002C50EE" w:rsidP="008A6AF2">
      <w:pPr>
        <w:pStyle w:val="Heading2"/>
      </w:pPr>
      <w:r>
        <w:t>4.6. Фертилитет, бременност и кърмене</w:t>
      </w:r>
    </w:p>
    <w:p w14:paraId="09F60FE9" w14:textId="3FCD15B1" w:rsidR="000A0962" w:rsidRDefault="000A0962" w:rsidP="000A0962"/>
    <w:p w14:paraId="3766B9E8" w14:textId="77777777" w:rsidR="000A0962" w:rsidRPr="000A0962" w:rsidRDefault="000A0962" w:rsidP="000A0962">
      <w:pPr>
        <w:pStyle w:val="Heading3"/>
        <w:rPr>
          <w:rFonts w:eastAsia="Times New Roman"/>
          <w:sz w:val="12"/>
          <w:u w:val="single"/>
        </w:rPr>
      </w:pPr>
      <w:r w:rsidRPr="000A0962">
        <w:rPr>
          <w:rFonts w:eastAsia="Times New Roman"/>
          <w:u w:val="single"/>
          <w:lang w:eastAsia="bg-BG"/>
        </w:rPr>
        <w:t>Бременност</w:t>
      </w:r>
    </w:p>
    <w:p w14:paraId="7AF6CFE5"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Небиволол притежава фармакологични ефекти, които могат да причинят вредни ефекти при бременност и/или у плода/новороденото. По принцип, бета-адренорецепторните блокери намаляват перфузията на плацентата, което може да доведе до забавен растеж, вътреутробна смърт, аборт или преждевременно раждане. Възможно е да се проявят и нежелани реакции (например хипогликемия и брадикардия) у плода и новороденото. Ако приложението на бета- блокер е наложително, се препдпочита приложението на бета-1 селективни блокери.</w:t>
      </w:r>
    </w:p>
    <w:p w14:paraId="1D4E2631" w14:textId="77777777" w:rsidR="000A0962" w:rsidRDefault="000A0962" w:rsidP="000A0962">
      <w:pPr>
        <w:spacing w:line="240" w:lineRule="auto"/>
        <w:rPr>
          <w:rFonts w:eastAsia="Times New Roman" w:cs="Arial"/>
          <w:color w:val="000000"/>
          <w:szCs w:val="44"/>
          <w:lang w:eastAsia="bg-BG"/>
        </w:rPr>
      </w:pPr>
    </w:p>
    <w:p w14:paraId="6992837E" w14:textId="6B725C5C"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Небиволол не трябва да се използва по време на бременност, освен при наличие на категорична необходимост. Ако приложението на небиволол е наистина необходимо, трябва да се проследяват утеро-плацентарния кръвоток и растежа на плода. При наличие на вреден ефект върху бременността или у плода, трябва да се приложи друго лечение. Новороденото трябва внимателно да се проследява. Симптомите на хипогликемия и брадикардия по принцип се очакват в рамките на първите 3 дни.</w:t>
      </w:r>
    </w:p>
    <w:p w14:paraId="2F194002" w14:textId="77777777" w:rsidR="000A0962" w:rsidRPr="000A0962" w:rsidRDefault="000A0962" w:rsidP="000A0962">
      <w:pPr>
        <w:spacing w:line="240" w:lineRule="auto"/>
        <w:rPr>
          <w:rFonts w:eastAsia="Times New Roman" w:cs="Arial"/>
          <w:color w:val="000000"/>
          <w:szCs w:val="44"/>
          <w:u w:val="single"/>
          <w:lang w:eastAsia="bg-BG"/>
        </w:rPr>
      </w:pPr>
    </w:p>
    <w:p w14:paraId="34CB69FE" w14:textId="7F6A6107" w:rsidR="000A0962" w:rsidRPr="000A0962" w:rsidRDefault="000A0962" w:rsidP="000A0962">
      <w:pPr>
        <w:pStyle w:val="Heading3"/>
        <w:rPr>
          <w:rFonts w:eastAsia="Times New Roman"/>
          <w:sz w:val="12"/>
          <w:u w:val="single"/>
        </w:rPr>
      </w:pPr>
      <w:r w:rsidRPr="000A0962">
        <w:rPr>
          <w:rFonts w:eastAsia="Times New Roman"/>
          <w:u w:val="single"/>
          <w:lang w:eastAsia="bg-BG"/>
        </w:rPr>
        <w:t>Кърмене</w:t>
      </w:r>
    </w:p>
    <w:p w14:paraId="7AADFA5B"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Опитите с животни показват, че небиволол се екскретира в кърмата. Не е известно дали небиволол се екскретира в майчиното мляко при човек. По-голяма част от бета-блокерите, най-вече липофилните вещества като небиволол и неговите активни метаболити, преминават в майчиното мляко в различна степен. Ето защо не се препоръчва кърмене по време на приложението на небиволол.</w:t>
      </w:r>
    </w:p>
    <w:p w14:paraId="39C5FC0C" w14:textId="77777777" w:rsidR="000A0962" w:rsidRPr="000A0962" w:rsidRDefault="000A0962" w:rsidP="000A0962"/>
    <w:p w14:paraId="5766770B" w14:textId="5A1BE783" w:rsidR="00395555" w:rsidRDefault="002C50EE" w:rsidP="008A6AF2">
      <w:pPr>
        <w:pStyle w:val="Heading2"/>
      </w:pPr>
      <w:r>
        <w:t>4.7. Ефекти върху способността за шофиране и работа с машини</w:t>
      </w:r>
    </w:p>
    <w:p w14:paraId="7B8D71E4" w14:textId="7C5727D8" w:rsidR="000A0962" w:rsidRDefault="000A0962" w:rsidP="000A0962"/>
    <w:p w14:paraId="084F1664" w14:textId="5F8F412B" w:rsidR="000A0962" w:rsidRPr="000A0962" w:rsidRDefault="000A0962" w:rsidP="000A0962">
      <w:pPr>
        <w:rPr>
          <w:sz w:val="24"/>
          <w:szCs w:val="24"/>
        </w:rPr>
      </w:pPr>
      <w:r w:rsidRPr="000A0962">
        <w:rPr>
          <w:lang w:eastAsia="bg-BG"/>
        </w:rPr>
        <w:t>Липсват изпитвания за влиянието върху способността за шофиране и работа с машини. Фармакодинамични проучвания показват, че небиволол не повлиява психомоторната</w:t>
      </w:r>
      <w:r>
        <w:rPr>
          <w:lang w:eastAsia="bg-BG"/>
        </w:rPr>
        <w:t xml:space="preserve"> </w:t>
      </w:r>
      <w:r w:rsidRPr="000A0962">
        <w:rPr>
          <w:lang w:eastAsia="bg-BG"/>
        </w:rPr>
        <w:lastRenderedPageBreak/>
        <w:t>функция. При</w:t>
      </w:r>
      <w:r>
        <w:rPr>
          <w:lang w:eastAsia="bg-BG"/>
        </w:rPr>
        <w:t xml:space="preserve"> </w:t>
      </w:r>
      <w:r w:rsidRPr="000A0962">
        <w:rPr>
          <w:lang w:eastAsia="bg-BG"/>
        </w:rPr>
        <w:t>шофиране или работа с машини трябва да се има предвид, че в редки случаи могат да възникнат световъртеж или отпадналост.</w:t>
      </w:r>
    </w:p>
    <w:p w14:paraId="36A07897" w14:textId="77777777" w:rsidR="000A0962" w:rsidRPr="000A0962" w:rsidRDefault="000A0962" w:rsidP="000A0962"/>
    <w:p w14:paraId="4FE16E21" w14:textId="15C401A4" w:rsidR="00395555" w:rsidRDefault="002C50EE" w:rsidP="008A6AF2">
      <w:pPr>
        <w:pStyle w:val="Heading2"/>
      </w:pPr>
      <w:r>
        <w:t>4.8. Нежелани лекарствени реакции</w:t>
      </w:r>
    </w:p>
    <w:p w14:paraId="1B7F9D17" w14:textId="09BA2ACA" w:rsidR="000A0962" w:rsidRDefault="000A0962" w:rsidP="000A0962"/>
    <w:p w14:paraId="0167194B" w14:textId="77777777" w:rsidR="000A0962" w:rsidRPr="000A0962" w:rsidRDefault="000A0962" w:rsidP="000A0962">
      <w:pPr>
        <w:rPr>
          <w:sz w:val="24"/>
          <w:szCs w:val="24"/>
        </w:rPr>
      </w:pPr>
      <w:r w:rsidRPr="000A0962">
        <w:rPr>
          <w:lang w:eastAsia="bg-BG"/>
        </w:rPr>
        <w:t>Нежеланите лекарствени реакции са изброени отделно за хипертония и за хронична сърдечна недостатъчност поради базови разлики в тези две заболявания.</w:t>
      </w:r>
    </w:p>
    <w:p w14:paraId="0F8E1612" w14:textId="77777777" w:rsidR="000A0962" w:rsidRDefault="000A0962" w:rsidP="000A0962">
      <w:pPr>
        <w:rPr>
          <w:u w:val="single"/>
          <w:lang w:eastAsia="bg-BG"/>
        </w:rPr>
      </w:pPr>
    </w:p>
    <w:p w14:paraId="6B421528" w14:textId="6994E124" w:rsidR="000A0962" w:rsidRPr="000A0962" w:rsidRDefault="000A0962" w:rsidP="000A0962">
      <w:pPr>
        <w:rPr>
          <w:sz w:val="24"/>
          <w:szCs w:val="24"/>
        </w:rPr>
      </w:pPr>
      <w:r w:rsidRPr="000A0962">
        <w:rPr>
          <w:u w:val="single"/>
          <w:lang w:eastAsia="bg-BG"/>
        </w:rPr>
        <w:t>Хипертония</w:t>
      </w:r>
    </w:p>
    <w:p w14:paraId="6132813D" w14:textId="77777777" w:rsidR="000A0962" w:rsidRPr="000A0962" w:rsidRDefault="000A0962" w:rsidP="000A0962">
      <w:pPr>
        <w:rPr>
          <w:sz w:val="24"/>
          <w:szCs w:val="24"/>
        </w:rPr>
      </w:pPr>
      <w:r w:rsidRPr="000A0962">
        <w:rPr>
          <w:lang w:eastAsia="bg-BG"/>
        </w:rPr>
        <w:t>Повечето нежелани лекарствени реакции са с лека до умерена проява. Те са изброени по-долу, класифицирани по системи и органи и подредени по честота на проява.</w:t>
      </w:r>
    </w:p>
    <w:p w14:paraId="46083A09" w14:textId="58F16AE8" w:rsidR="000A0962" w:rsidRDefault="000A0962" w:rsidP="000A0962"/>
    <w:tbl>
      <w:tblPr>
        <w:tblStyle w:val="TableGrid"/>
        <w:tblW w:w="0" w:type="auto"/>
        <w:tblLook w:val="04A0" w:firstRow="1" w:lastRow="0" w:firstColumn="1" w:lastColumn="0" w:noHBand="0" w:noVBand="1"/>
      </w:tblPr>
      <w:tblGrid>
        <w:gridCol w:w="2001"/>
        <w:gridCol w:w="1816"/>
        <w:gridCol w:w="1915"/>
        <w:gridCol w:w="1774"/>
        <w:gridCol w:w="1844"/>
      </w:tblGrid>
      <w:tr w:rsidR="000A0962" w14:paraId="7F74FF4B" w14:textId="77777777" w:rsidTr="000A0962">
        <w:tc>
          <w:tcPr>
            <w:tcW w:w="2001" w:type="dxa"/>
          </w:tcPr>
          <w:p w14:paraId="5B6D1556" w14:textId="49F11F4B" w:rsidR="000A0962" w:rsidRPr="000A0962" w:rsidRDefault="000A0962" w:rsidP="000A0962">
            <w:r w:rsidRPr="000A0962">
              <w:rPr>
                <w:b/>
                <w:bCs/>
                <w:szCs w:val="44"/>
              </w:rPr>
              <w:t>Система Орган клас</w:t>
            </w:r>
          </w:p>
        </w:tc>
        <w:tc>
          <w:tcPr>
            <w:tcW w:w="1888" w:type="dxa"/>
          </w:tcPr>
          <w:p w14:paraId="02D86D4C" w14:textId="424A5CA2" w:rsidR="000A0962" w:rsidRPr="000A0962" w:rsidRDefault="000A0962" w:rsidP="000A0962">
            <w:r w:rsidRPr="000A0962">
              <w:rPr>
                <w:b/>
                <w:bCs/>
                <w:szCs w:val="44"/>
              </w:rPr>
              <w:t>Чести (≥1/100 до &lt; 1/10)</w:t>
            </w:r>
          </w:p>
        </w:tc>
        <w:tc>
          <w:tcPr>
            <w:tcW w:w="1915" w:type="dxa"/>
          </w:tcPr>
          <w:p w14:paraId="39D08B45" w14:textId="77777777" w:rsidR="000A0962" w:rsidRPr="000A0962" w:rsidRDefault="000A0962" w:rsidP="000A0962">
            <w:r w:rsidRPr="000A0962">
              <w:rPr>
                <w:b/>
                <w:bCs/>
                <w:szCs w:val="44"/>
              </w:rPr>
              <w:t>Нечести (≥1/1,000 до</w:t>
            </w:r>
          </w:p>
          <w:p w14:paraId="43E5BA0D" w14:textId="107B966F" w:rsidR="000A0962" w:rsidRPr="000A0962" w:rsidRDefault="000A0962" w:rsidP="000A0962">
            <w:r w:rsidRPr="000A0962">
              <w:rPr>
                <w:b/>
                <w:bCs/>
                <w:szCs w:val="44"/>
              </w:rPr>
              <w:t>&lt;1/100)</w:t>
            </w:r>
          </w:p>
        </w:tc>
        <w:tc>
          <w:tcPr>
            <w:tcW w:w="1876" w:type="dxa"/>
          </w:tcPr>
          <w:p w14:paraId="5F1F5C77" w14:textId="7046D4EC" w:rsidR="000A0962" w:rsidRPr="000A0962" w:rsidRDefault="000A0962" w:rsidP="000A0962">
            <w:r w:rsidRPr="000A0962">
              <w:rPr>
                <w:b/>
                <w:bCs/>
                <w:szCs w:val="44"/>
              </w:rPr>
              <w:t>Много редки (&lt;1/10,000)</w:t>
            </w:r>
          </w:p>
        </w:tc>
        <w:tc>
          <w:tcPr>
            <w:tcW w:w="1896" w:type="dxa"/>
          </w:tcPr>
          <w:p w14:paraId="512B269C" w14:textId="68634F34" w:rsidR="000A0962" w:rsidRPr="000A0962" w:rsidRDefault="000A0962" w:rsidP="000A0962">
            <w:r w:rsidRPr="000A0962">
              <w:rPr>
                <w:b/>
                <w:bCs/>
                <w:szCs w:val="44"/>
              </w:rPr>
              <w:t>С неизвестна честота (от наличните данни не може да бъде направена оценка)</w:t>
            </w:r>
          </w:p>
        </w:tc>
      </w:tr>
      <w:tr w:rsidR="000A0962" w14:paraId="68E2D168" w14:textId="77777777" w:rsidTr="000A0962">
        <w:tc>
          <w:tcPr>
            <w:tcW w:w="2001" w:type="dxa"/>
          </w:tcPr>
          <w:p w14:paraId="4672CB2B" w14:textId="44E26644" w:rsidR="000A0962" w:rsidRPr="000A0962" w:rsidRDefault="000A0962" w:rsidP="000A0962">
            <w:r w:rsidRPr="000A0962">
              <w:rPr>
                <w:szCs w:val="44"/>
              </w:rPr>
              <w:t>Нарушения на имунната система</w:t>
            </w:r>
          </w:p>
        </w:tc>
        <w:tc>
          <w:tcPr>
            <w:tcW w:w="1888" w:type="dxa"/>
          </w:tcPr>
          <w:p w14:paraId="3CE91241" w14:textId="77777777" w:rsidR="000A0962" w:rsidRPr="000A0962" w:rsidRDefault="000A0962" w:rsidP="000A0962"/>
        </w:tc>
        <w:tc>
          <w:tcPr>
            <w:tcW w:w="1915" w:type="dxa"/>
          </w:tcPr>
          <w:p w14:paraId="546E1517" w14:textId="77777777" w:rsidR="000A0962" w:rsidRPr="000A0962" w:rsidRDefault="000A0962" w:rsidP="000A0962"/>
        </w:tc>
        <w:tc>
          <w:tcPr>
            <w:tcW w:w="1876" w:type="dxa"/>
          </w:tcPr>
          <w:p w14:paraId="1E2BE627" w14:textId="77777777" w:rsidR="000A0962" w:rsidRPr="000A0962" w:rsidRDefault="000A0962" w:rsidP="000A0962"/>
        </w:tc>
        <w:tc>
          <w:tcPr>
            <w:tcW w:w="1896" w:type="dxa"/>
          </w:tcPr>
          <w:p w14:paraId="152934FF" w14:textId="3C7A1984" w:rsidR="000A0962" w:rsidRPr="000A0962" w:rsidRDefault="000A0962" w:rsidP="000A0962">
            <w:r w:rsidRPr="000A0962">
              <w:rPr>
                <w:szCs w:val="44"/>
              </w:rPr>
              <w:t>Ангионевро- тичен оток, свръхчувстви</w:t>
            </w:r>
            <w:r w:rsidRPr="000A0962">
              <w:rPr>
                <w:szCs w:val="44"/>
              </w:rPr>
              <w:softHyphen/>
              <w:t>телност</w:t>
            </w:r>
          </w:p>
        </w:tc>
      </w:tr>
      <w:tr w:rsidR="000A0962" w14:paraId="0A12BFE1" w14:textId="77777777" w:rsidTr="000A0962">
        <w:tc>
          <w:tcPr>
            <w:tcW w:w="2001" w:type="dxa"/>
          </w:tcPr>
          <w:p w14:paraId="60887A84" w14:textId="3331BC7D" w:rsidR="000A0962" w:rsidRPr="000A0962" w:rsidRDefault="000A0962" w:rsidP="000A0962">
            <w:r w:rsidRPr="000A0962">
              <w:rPr>
                <w:szCs w:val="44"/>
              </w:rPr>
              <w:t>Психични нарушения</w:t>
            </w:r>
          </w:p>
        </w:tc>
        <w:tc>
          <w:tcPr>
            <w:tcW w:w="1888" w:type="dxa"/>
          </w:tcPr>
          <w:p w14:paraId="6ED0FDD4" w14:textId="77777777" w:rsidR="000A0962" w:rsidRPr="000A0962" w:rsidRDefault="000A0962" w:rsidP="000A0962"/>
        </w:tc>
        <w:tc>
          <w:tcPr>
            <w:tcW w:w="1915" w:type="dxa"/>
          </w:tcPr>
          <w:p w14:paraId="62A6B316" w14:textId="1618D198" w:rsidR="000A0962" w:rsidRPr="000A0962" w:rsidRDefault="000A0962" w:rsidP="000A0962">
            <w:r w:rsidRPr="000A0962">
              <w:rPr>
                <w:szCs w:val="44"/>
              </w:rPr>
              <w:t>Кошмари, депресия</w:t>
            </w:r>
          </w:p>
        </w:tc>
        <w:tc>
          <w:tcPr>
            <w:tcW w:w="1876" w:type="dxa"/>
          </w:tcPr>
          <w:p w14:paraId="3031439C" w14:textId="77777777" w:rsidR="000A0962" w:rsidRPr="000A0962" w:rsidRDefault="000A0962" w:rsidP="000A0962"/>
        </w:tc>
        <w:tc>
          <w:tcPr>
            <w:tcW w:w="1896" w:type="dxa"/>
          </w:tcPr>
          <w:p w14:paraId="6CFB91BC" w14:textId="77777777" w:rsidR="000A0962" w:rsidRPr="000A0962" w:rsidRDefault="000A0962" w:rsidP="000A0962"/>
        </w:tc>
      </w:tr>
      <w:tr w:rsidR="000A0962" w14:paraId="528FD3D4" w14:textId="77777777" w:rsidTr="000A0962">
        <w:tc>
          <w:tcPr>
            <w:tcW w:w="2001" w:type="dxa"/>
          </w:tcPr>
          <w:p w14:paraId="0C57C17B" w14:textId="512D60F3" w:rsidR="000A0962" w:rsidRPr="000A0962" w:rsidRDefault="000A0962" w:rsidP="000A0962">
            <w:r w:rsidRPr="000A0962">
              <w:rPr>
                <w:szCs w:val="44"/>
              </w:rPr>
              <w:t>Нарушения на нервната система</w:t>
            </w:r>
          </w:p>
        </w:tc>
        <w:tc>
          <w:tcPr>
            <w:tcW w:w="1888" w:type="dxa"/>
          </w:tcPr>
          <w:p w14:paraId="1DA63BA4" w14:textId="54ED34F9" w:rsidR="000A0962" w:rsidRPr="000A0962" w:rsidRDefault="000A0962" w:rsidP="000A0962">
            <w:r w:rsidRPr="000A0962">
              <w:rPr>
                <w:szCs w:val="44"/>
              </w:rPr>
              <w:t>Главоболие, замаяност, парестезия</w:t>
            </w:r>
          </w:p>
        </w:tc>
        <w:tc>
          <w:tcPr>
            <w:tcW w:w="1915" w:type="dxa"/>
          </w:tcPr>
          <w:p w14:paraId="0D4ABFA6" w14:textId="77777777" w:rsidR="000A0962" w:rsidRPr="000A0962" w:rsidRDefault="000A0962" w:rsidP="000A0962"/>
        </w:tc>
        <w:tc>
          <w:tcPr>
            <w:tcW w:w="1876" w:type="dxa"/>
          </w:tcPr>
          <w:p w14:paraId="07A6F835" w14:textId="2B162779" w:rsidR="000A0962" w:rsidRPr="000A0962" w:rsidRDefault="000A0962" w:rsidP="000A0962">
            <w:r w:rsidRPr="000A0962">
              <w:rPr>
                <w:szCs w:val="44"/>
              </w:rPr>
              <w:t>синкоп</w:t>
            </w:r>
          </w:p>
        </w:tc>
        <w:tc>
          <w:tcPr>
            <w:tcW w:w="1896" w:type="dxa"/>
          </w:tcPr>
          <w:p w14:paraId="2B8CC5DF" w14:textId="77777777" w:rsidR="000A0962" w:rsidRPr="000A0962" w:rsidRDefault="000A0962" w:rsidP="000A0962"/>
        </w:tc>
      </w:tr>
      <w:tr w:rsidR="000A0962" w14:paraId="77502682" w14:textId="77777777" w:rsidTr="000A0962">
        <w:tc>
          <w:tcPr>
            <w:tcW w:w="2001" w:type="dxa"/>
          </w:tcPr>
          <w:p w14:paraId="72BE415B" w14:textId="2F8C4BB4" w:rsidR="000A0962" w:rsidRPr="000A0962" w:rsidRDefault="000A0962" w:rsidP="000A0962">
            <w:r w:rsidRPr="000A0962">
              <w:rPr>
                <w:szCs w:val="44"/>
              </w:rPr>
              <w:t>Зрителни нарушения</w:t>
            </w:r>
          </w:p>
        </w:tc>
        <w:tc>
          <w:tcPr>
            <w:tcW w:w="1888" w:type="dxa"/>
          </w:tcPr>
          <w:p w14:paraId="07DE3BFE" w14:textId="77777777" w:rsidR="000A0962" w:rsidRPr="000A0962" w:rsidRDefault="000A0962" w:rsidP="000A0962"/>
        </w:tc>
        <w:tc>
          <w:tcPr>
            <w:tcW w:w="1915" w:type="dxa"/>
          </w:tcPr>
          <w:p w14:paraId="73B04388" w14:textId="3441130E" w:rsidR="000A0962" w:rsidRPr="000A0962" w:rsidRDefault="000A0962" w:rsidP="000A0962">
            <w:r w:rsidRPr="000A0962">
              <w:rPr>
                <w:szCs w:val="44"/>
              </w:rPr>
              <w:t>Нарушено виждане</w:t>
            </w:r>
          </w:p>
        </w:tc>
        <w:tc>
          <w:tcPr>
            <w:tcW w:w="1876" w:type="dxa"/>
          </w:tcPr>
          <w:p w14:paraId="4C1BA474" w14:textId="77777777" w:rsidR="000A0962" w:rsidRPr="000A0962" w:rsidRDefault="000A0962" w:rsidP="000A0962"/>
        </w:tc>
        <w:tc>
          <w:tcPr>
            <w:tcW w:w="1896" w:type="dxa"/>
          </w:tcPr>
          <w:p w14:paraId="5B80CD48" w14:textId="77777777" w:rsidR="000A0962" w:rsidRPr="000A0962" w:rsidRDefault="000A0962" w:rsidP="000A0962"/>
        </w:tc>
      </w:tr>
      <w:tr w:rsidR="000A0962" w14:paraId="449C3822" w14:textId="77777777" w:rsidTr="000A0962">
        <w:tc>
          <w:tcPr>
            <w:tcW w:w="2001" w:type="dxa"/>
          </w:tcPr>
          <w:p w14:paraId="58E243E2" w14:textId="3F84D1AF" w:rsidR="000A0962" w:rsidRPr="000A0962" w:rsidRDefault="000A0962" w:rsidP="000A0962">
            <w:r w:rsidRPr="000A0962">
              <w:rPr>
                <w:szCs w:val="44"/>
              </w:rPr>
              <w:t>Сърдечни нарушения</w:t>
            </w:r>
          </w:p>
        </w:tc>
        <w:tc>
          <w:tcPr>
            <w:tcW w:w="1888" w:type="dxa"/>
          </w:tcPr>
          <w:p w14:paraId="7B531C46" w14:textId="77777777" w:rsidR="000A0962" w:rsidRPr="000A0962" w:rsidRDefault="000A0962" w:rsidP="000A0962"/>
        </w:tc>
        <w:tc>
          <w:tcPr>
            <w:tcW w:w="1915" w:type="dxa"/>
          </w:tcPr>
          <w:p w14:paraId="3E70AE34" w14:textId="656CF8FE" w:rsidR="000A0962" w:rsidRPr="000A0962" w:rsidRDefault="000A0962" w:rsidP="000A0962">
            <w:r w:rsidRPr="000A0962">
              <w:rPr>
                <w:szCs w:val="44"/>
              </w:rPr>
              <w:t xml:space="preserve">Брадикардия, сърдечна недостатъчност, забавена </w:t>
            </w:r>
            <w:r w:rsidRPr="000A0962">
              <w:rPr>
                <w:szCs w:val="44"/>
                <w:lang w:val="en-US"/>
              </w:rPr>
              <w:t>AV</w:t>
            </w:r>
            <w:r w:rsidRPr="000A0962">
              <w:rPr>
                <w:szCs w:val="44"/>
                <w:lang w:val="ru-RU"/>
              </w:rPr>
              <w:t xml:space="preserve"> </w:t>
            </w:r>
            <w:r w:rsidRPr="000A0962">
              <w:rPr>
                <w:szCs w:val="44"/>
              </w:rPr>
              <w:t>проводимост</w:t>
            </w:r>
            <w:r w:rsidRPr="000A0962">
              <w:rPr>
                <w:szCs w:val="44"/>
                <w:lang w:val="ru-RU"/>
              </w:rPr>
              <w:t>/</w:t>
            </w:r>
            <w:r w:rsidRPr="000A0962">
              <w:rPr>
                <w:szCs w:val="44"/>
                <w:lang w:val="en-US"/>
              </w:rPr>
              <w:t>AV</w:t>
            </w:r>
            <w:r w:rsidRPr="000A0962">
              <w:rPr>
                <w:szCs w:val="44"/>
                <w:lang w:val="ru-RU"/>
              </w:rPr>
              <w:t xml:space="preserve"> </w:t>
            </w:r>
            <w:r w:rsidRPr="000A0962">
              <w:rPr>
                <w:szCs w:val="44"/>
              </w:rPr>
              <w:t>-блок</w:t>
            </w:r>
          </w:p>
        </w:tc>
        <w:tc>
          <w:tcPr>
            <w:tcW w:w="1876" w:type="dxa"/>
          </w:tcPr>
          <w:p w14:paraId="03D7D5A3" w14:textId="77777777" w:rsidR="000A0962" w:rsidRPr="000A0962" w:rsidRDefault="000A0962" w:rsidP="000A0962"/>
        </w:tc>
        <w:tc>
          <w:tcPr>
            <w:tcW w:w="1896" w:type="dxa"/>
          </w:tcPr>
          <w:p w14:paraId="0A2B9267" w14:textId="77777777" w:rsidR="000A0962" w:rsidRPr="000A0962" w:rsidRDefault="000A0962" w:rsidP="000A0962"/>
        </w:tc>
      </w:tr>
      <w:tr w:rsidR="000A0962" w14:paraId="30AF11C7" w14:textId="77777777" w:rsidTr="000A0962">
        <w:tc>
          <w:tcPr>
            <w:tcW w:w="2001" w:type="dxa"/>
          </w:tcPr>
          <w:p w14:paraId="38224B77" w14:textId="209920FC" w:rsidR="000A0962" w:rsidRPr="000A0962" w:rsidRDefault="000A0962" w:rsidP="000A0962">
            <w:r w:rsidRPr="000A0962">
              <w:rPr>
                <w:szCs w:val="44"/>
              </w:rPr>
              <w:t>Съдови нарушения</w:t>
            </w:r>
          </w:p>
        </w:tc>
        <w:tc>
          <w:tcPr>
            <w:tcW w:w="1888" w:type="dxa"/>
          </w:tcPr>
          <w:p w14:paraId="16B5E947" w14:textId="77777777" w:rsidR="000A0962" w:rsidRPr="000A0962" w:rsidRDefault="000A0962" w:rsidP="000A0962"/>
        </w:tc>
        <w:tc>
          <w:tcPr>
            <w:tcW w:w="1915" w:type="dxa"/>
          </w:tcPr>
          <w:p w14:paraId="5BC3027D" w14:textId="2D932EED" w:rsidR="000A0962" w:rsidRPr="000A0962" w:rsidRDefault="000A0962" w:rsidP="000A0962">
            <w:r w:rsidRPr="000A0962">
              <w:rPr>
                <w:szCs w:val="44"/>
              </w:rPr>
              <w:t>Хипотония, (повишаване на) интермитентно клаудикацио)</w:t>
            </w:r>
          </w:p>
        </w:tc>
        <w:tc>
          <w:tcPr>
            <w:tcW w:w="1876" w:type="dxa"/>
          </w:tcPr>
          <w:p w14:paraId="63434A01" w14:textId="77777777" w:rsidR="000A0962" w:rsidRPr="000A0962" w:rsidRDefault="000A0962" w:rsidP="000A0962"/>
        </w:tc>
        <w:tc>
          <w:tcPr>
            <w:tcW w:w="1896" w:type="dxa"/>
          </w:tcPr>
          <w:p w14:paraId="277AE4FA" w14:textId="77777777" w:rsidR="000A0962" w:rsidRPr="000A0962" w:rsidRDefault="000A0962" w:rsidP="000A0962"/>
        </w:tc>
      </w:tr>
      <w:tr w:rsidR="000A0962" w14:paraId="4A16DCD4" w14:textId="77777777" w:rsidTr="000A0962">
        <w:tc>
          <w:tcPr>
            <w:tcW w:w="2001" w:type="dxa"/>
          </w:tcPr>
          <w:p w14:paraId="4749D9A8" w14:textId="027C099A" w:rsidR="000A0962" w:rsidRPr="000A0962" w:rsidRDefault="000A0962" w:rsidP="000A0962">
            <w:r w:rsidRPr="000A0962">
              <w:rPr>
                <w:szCs w:val="44"/>
              </w:rPr>
              <w:t>Респираторни, гръдни и медиастинални нарушения</w:t>
            </w:r>
          </w:p>
        </w:tc>
        <w:tc>
          <w:tcPr>
            <w:tcW w:w="1888" w:type="dxa"/>
          </w:tcPr>
          <w:p w14:paraId="772FDE1D" w14:textId="6B8901B4" w:rsidR="000A0962" w:rsidRPr="000A0962" w:rsidRDefault="000A0962" w:rsidP="000A0962">
            <w:r w:rsidRPr="000A0962">
              <w:rPr>
                <w:szCs w:val="44"/>
              </w:rPr>
              <w:t>диспнеа</w:t>
            </w:r>
          </w:p>
        </w:tc>
        <w:tc>
          <w:tcPr>
            <w:tcW w:w="1915" w:type="dxa"/>
          </w:tcPr>
          <w:p w14:paraId="026907CF" w14:textId="02134F68" w:rsidR="000A0962" w:rsidRPr="000A0962" w:rsidRDefault="000A0962" w:rsidP="000A0962">
            <w:r w:rsidRPr="000A0962">
              <w:rPr>
                <w:szCs w:val="44"/>
              </w:rPr>
              <w:t>бронхоспазъм</w:t>
            </w:r>
          </w:p>
        </w:tc>
        <w:tc>
          <w:tcPr>
            <w:tcW w:w="1876" w:type="dxa"/>
          </w:tcPr>
          <w:p w14:paraId="125D3AB0" w14:textId="77777777" w:rsidR="000A0962" w:rsidRPr="000A0962" w:rsidRDefault="000A0962" w:rsidP="000A0962"/>
        </w:tc>
        <w:tc>
          <w:tcPr>
            <w:tcW w:w="1896" w:type="dxa"/>
          </w:tcPr>
          <w:p w14:paraId="1DA1250B" w14:textId="77777777" w:rsidR="000A0962" w:rsidRPr="000A0962" w:rsidRDefault="000A0962" w:rsidP="000A0962"/>
        </w:tc>
      </w:tr>
      <w:tr w:rsidR="000A0962" w14:paraId="544803E7" w14:textId="77777777" w:rsidTr="000A0962">
        <w:tc>
          <w:tcPr>
            <w:tcW w:w="2001" w:type="dxa"/>
          </w:tcPr>
          <w:p w14:paraId="6A2295F1" w14:textId="39D9FA4F" w:rsidR="000A0962" w:rsidRPr="000A0962" w:rsidRDefault="000A0962" w:rsidP="000A0962">
            <w:r w:rsidRPr="000A0962">
              <w:rPr>
                <w:szCs w:val="44"/>
              </w:rPr>
              <w:lastRenderedPageBreak/>
              <w:t>Стомашно- чревни нарушения</w:t>
            </w:r>
          </w:p>
        </w:tc>
        <w:tc>
          <w:tcPr>
            <w:tcW w:w="1888" w:type="dxa"/>
          </w:tcPr>
          <w:p w14:paraId="4BDF3217" w14:textId="7A648503" w:rsidR="000A0962" w:rsidRPr="000A0962" w:rsidRDefault="000A0962" w:rsidP="000A0962">
            <w:r w:rsidRPr="000A0962">
              <w:rPr>
                <w:szCs w:val="44"/>
              </w:rPr>
              <w:t>Констипация, гадене, диария</w:t>
            </w:r>
          </w:p>
        </w:tc>
        <w:tc>
          <w:tcPr>
            <w:tcW w:w="1915" w:type="dxa"/>
          </w:tcPr>
          <w:p w14:paraId="4C9179A4" w14:textId="7D4FAC89" w:rsidR="000A0962" w:rsidRPr="000A0962" w:rsidRDefault="000A0962" w:rsidP="000A0962">
            <w:r w:rsidRPr="000A0962">
              <w:rPr>
                <w:szCs w:val="44"/>
              </w:rPr>
              <w:t>диспепсия, флатуленция, повръщане</w:t>
            </w:r>
          </w:p>
        </w:tc>
        <w:tc>
          <w:tcPr>
            <w:tcW w:w="1876" w:type="dxa"/>
          </w:tcPr>
          <w:p w14:paraId="03F467E4" w14:textId="77777777" w:rsidR="000A0962" w:rsidRPr="000A0962" w:rsidRDefault="000A0962" w:rsidP="000A0962"/>
        </w:tc>
        <w:tc>
          <w:tcPr>
            <w:tcW w:w="1896" w:type="dxa"/>
          </w:tcPr>
          <w:p w14:paraId="52424B1A" w14:textId="77777777" w:rsidR="000A0962" w:rsidRPr="000A0962" w:rsidRDefault="000A0962" w:rsidP="000A0962"/>
        </w:tc>
      </w:tr>
      <w:tr w:rsidR="000A0962" w14:paraId="3C7778F6" w14:textId="77777777" w:rsidTr="000A0962">
        <w:tc>
          <w:tcPr>
            <w:tcW w:w="2001" w:type="dxa"/>
          </w:tcPr>
          <w:p w14:paraId="69CA9E7D" w14:textId="749B0C10" w:rsidR="000A0962" w:rsidRPr="000A0962" w:rsidRDefault="000A0962" w:rsidP="000A0962">
            <w:r w:rsidRPr="000A0962">
              <w:rPr>
                <w:szCs w:val="44"/>
              </w:rPr>
              <w:t>Нарушения на кожата и подкожната тъкан</w:t>
            </w:r>
          </w:p>
        </w:tc>
        <w:tc>
          <w:tcPr>
            <w:tcW w:w="1888" w:type="dxa"/>
          </w:tcPr>
          <w:p w14:paraId="1D2F1EFE" w14:textId="77777777" w:rsidR="000A0962" w:rsidRPr="000A0962" w:rsidRDefault="000A0962" w:rsidP="000A0962"/>
        </w:tc>
        <w:tc>
          <w:tcPr>
            <w:tcW w:w="1915" w:type="dxa"/>
          </w:tcPr>
          <w:p w14:paraId="33C4BA3C" w14:textId="7B2AAB3C" w:rsidR="000A0962" w:rsidRPr="000A0962" w:rsidRDefault="000A0962" w:rsidP="000A0962">
            <w:r w:rsidRPr="000A0962">
              <w:rPr>
                <w:szCs w:val="44"/>
              </w:rPr>
              <w:t>пруритус,ерите- матозен обрив</w:t>
            </w:r>
          </w:p>
        </w:tc>
        <w:tc>
          <w:tcPr>
            <w:tcW w:w="1876" w:type="dxa"/>
          </w:tcPr>
          <w:p w14:paraId="1D295FF9" w14:textId="2EF80C84" w:rsidR="000A0962" w:rsidRPr="000A0962" w:rsidRDefault="000A0962" w:rsidP="000A0962">
            <w:r w:rsidRPr="000A0962">
              <w:rPr>
                <w:szCs w:val="44"/>
              </w:rPr>
              <w:t>Утежняване на псориазиса</w:t>
            </w:r>
          </w:p>
        </w:tc>
        <w:tc>
          <w:tcPr>
            <w:tcW w:w="1896" w:type="dxa"/>
          </w:tcPr>
          <w:p w14:paraId="57539492" w14:textId="7D04F732" w:rsidR="000A0962" w:rsidRPr="000A0962" w:rsidRDefault="000A0962" w:rsidP="000A0962">
            <w:r w:rsidRPr="000A0962">
              <w:rPr>
                <w:szCs w:val="44"/>
              </w:rPr>
              <w:t>уртикария</w:t>
            </w:r>
          </w:p>
        </w:tc>
      </w:tr>
      <w:tr w:rsidR="000A0962" w14:paraId="6612F017" w14:textId="77777777" w:rsidTr="000A0962">
        <w:tc>
          <w:tcPr>
            <w:tcW w:w="2001" w:type="dxa"/>
          </w:tcPr>
          <w:p w14:paraId="4E6839A0" w14:textId="4CCC5D0B" w:rsidR="000A0962" w:rsidRPr="000A0962" w:rsidRDefault="000A0962" w:rsidP="000A0962">
            <w:r w:rsidRPr="000A0962">
              <w:rPr>
                <w:szCs w:val="44"/>
              </w:rPr>
              <w:t>Нарушения на възпроизводител ната система и гърдата</w:t>
            </w:r>
          </w:p>
        </w:tc>
        <w:tc>
          <w:tcPr>
            <w:tcW w:w="1888" w:type="dxa"/>
          </w:tcPr>
          <w:p w14:paraId="0F779B2D" w14:textId="77777777" w:rsidR="000A0962" w:rsidRPr="000A0962" w:rsidRDefault="000A0962" w:rsidP="000A0962"/>
        </w:tc>
        <w:tc>
          <w:tcPr>
            <w:tcW w:w="1915" w:type="dxa"/>
          </w:tcPr>
          <w:p w14:paraId="7A88BDF9" w14:textId="571A3B46" w:rsidR="000A0962" w:rsidRPr="000A0962" w:rsidRDefault="000A0962" w:rsidP="000A0962">
            <w:r w:rsidRPr="000A0962">
              <w:rPr>
                <w:szCs w:val="44"/>
              </w:rPr>
              <w:t>импотентност</w:t>
            </w:r>
          </w:p>
        </w:tc>
        <w:tc>
          <w:tcPr>
            <w:tcW w:w="1876" w:type="dxa"/>
          </w:tcPr>
          <w:p w14:paraId="6AECF53C" w14:textId="77777777" w:rsidR="000A0962" w:rsidRPr="000A0962" w:rsidRDefault="000A0962" w:rsidP="000A0962"/>
        </w:tc>
        <w:tc>
          <w:tcPr>
            <w:tcW w:w="1896" w:type="dxa"/>
          </w:tcPr>
          <w:p w14:paraId="1F8901B3" w14:textId="77777777" w:rsidR="000A0962" w:rsidRPr="000A0962" w:rsidRDefault="000A0962" w:rsidP="000A0962"/>
        </w:tc>
      </w:tr>
      <w:tr w:rsidR="000A0962" w14:paraId="437379FF" w14:textId="77777777" w:rsidTr="000A0962">
        <w:tc>
          <w:tcPr>
            <w:tcW w:w="2001" w:type="dxa"/>
          </w:tcPr>
          <w:p w14:paraId="7F9187CE" w14:textId="2460C2D3" w:rsidR="000A0962" w:rsidRPr="000A0962" w:rsidRDefault="000A0962" w:rsidP="000A0962">
            <w:r w:rsidRPr="000A0962">
              <w:rPr>
                <w:szCs w:val="44"/>
              </w:rPr>
              <w:t>Общи нарушения и ефекти на мястото на приложение</w:t>
            </w:r>
          </w:p>
        </w:tc>
        <w:tc>
          <w:tcPr>
            <w:tcW w:w="1888" w:type="dxa"/>
          </w:tcPr>
          <w:p w14:paraId="0D13E7CB" w14:textId="2F1EDCB0" w:rsidR="000A0962" w:rsidRPr="000A0962" w:rsidRDefault="000A0962" w:rsidP="000A0962">
            <w:r w:rsidRPr="000A0962">
              <w:rPr>
                <w:szCs w:val="44"/>
              </w:rPr>
              <w:t>отпадналост, оток</w:t>
            </w:r>
          </w:p>
        </w:tc>
        <w:tc>
          <w:tcPr>
            <w:tcW w:w="1915" w:type="dxa"/>
          </w:tcPr>
          <w:p w14:paraId="4FB01742" w14:textId="77777777" w:rsidR="000A0962" w:rsidRPr="000A0962" w:rsidRDefault="000A0962" w:rsidP="000A0962"/>
        </w:tc>
        <w:tc>
          <w:tcPr>
            <w:tcW w:w="1876" w:type="dxa"/>
          </w:tcPr>
          <w:p w14:paraId="317927E1" w14:textId="77777777" w:rsidR="000A0962" w:rsidRPr="000A0962" w:rsidRDefault="000A0962" w:rsidP="000A0962"/>
        </w:tc>
        <w:tc>
          <w:tcPr>
            <w:tcW w:w="1896" w:type="dxa"/>
          </w:tcPr>
          <w:p w14:paraId="0FFBA19B" w14:textId="77777777" w:rsidR="000A0962" w:rsidRPr="000A0962" w:rsidRDefault="000A0962" w:rsidP="000A0962"/>
        </w:tc>
      </w:tr>
    </w:tbl>
    <w:p w14:paraId="44727C48" w14:textId="77777777" w:rsidR="000A0962" w:rsidRPr="000A0962" w:rsidRDefault="000A0962" w:rsidP="000A0962">
      <w:pPr>
        <w:spacing w:line="240" w:lineRule="auto"/>
        <w:rPr>
          <w:rFonts w:eastAsia="Times New Roman" w:cs="Arial"/>
        </w:rPr>
      </w:pPr>
      <w:r w:rsidRPr="000A0962">
        <w:rPr>
          <w:rFonts w:eastAsia="Times New Roman" w:cs="Arial"/>
          <w:color w:val="000000"/>
          <w:lang w:eastAsia="bg-BG"/>
        </w:rPr>
        <w:t>Освен това при приложението на някои бета-блокери се съобщават и следните нежелани лекарствени реакции: халюцинации, психози, объркване, студени/цианотични крайници, феномен на Рейно, сухота в очите, окуло-мукокутанейна токсичност от практолов тип.</w:t>
      </w:r>
    </w:p>
    <w:p w14:paraId="450D469B" w14:textId="77777777" w:rsidR="000A0962" w:rsidRDefault="000A0962" w:rsidP="000A0962">
      <w:pPr>
        <w:spacing w:line="240" w:lineRule="auto"/>
        <w:rPr>
          <w:rFonts w:eastAsia="Times New Roman" w:cs="Arial"/>
          <w:i/>
          <w:iCs/>
          <w:color w:val="000000"/>
          <w:lang w:eastAsia="bg-BG"/>
        </w:rPr>
      </w:pPr>
    </w:p>
    <w:p w14:paraId="7716A5CD" w14:textId="3873944E" w:rsidR="000A0962" w:rsidRPr="000A0962" w:rsidRDefault="000A0962" w:rsidP="000A0962">
      <w:pPr>
        <w:spacing w:line="240" w:lineRule="auto"/>
        <w:rPr>
          <w:rFonts w:eastAsia="Times New Roman" w:cs="Arial"/>
        </w:rPr>
      </w:pPr>
      <w:r w:rsidRPr="000A0962">
        <w:rPr>
          <w:rFonts w:eastAsia="Times New Roman" w:cs="Arial"/>
          <w:i/>
          <w:iCs/>
          <w:color w:val="000000"/>
          <w:lang w:eastAsia="bg-BG"/>
        </w:rPr>
        <w:t>Хронична сърдечна недостатъчност</w:t>
      </w:r>
    </w:p>
    <w:p w14:paraId="3AE3ACE6" w14:textId="77777777" w:rsidR="000A0962" w:rsidRPr="000A0962" w:rsidRDefault="000A0962" w:rsidP="000A0962">
      <w:pPr>
        <w:spacing w:line="240" w:lineRule="auto"/>
        <w:rPr>
          <w:rFonts w:eastAsia="Times New Roman" w:cs="Arial"/>
        </w:rPr>
      </w:pPr>
      <w:r w:rsidRPr="000A0962">
        <w:rPr>
          <w:rFonts w:eastAsia="Times New Roman" w:cs="Arial"/>
          <w:color w:val="000000"/>
          <w:lang w:eastAsia="bg-BG"/>
        </w:rPr>
        <w:t>Данните за нежелани реакции при пациенти с ХСН са налични от плацебо-контролирано клинично проучване, включващо 1067 пациенти, приемащи небиволол и 1061 пациенти, приемащи плацебо. В това проучване общо 449 (42,1 %) пациенти, приемащи небиволол, съобщават за поне вероятно свързани нежелани реакции, в сравнение с 334 пациенти (31,5%), приемащи плацебо. Най-често докладваните нежелани реакции при пациентите на небиволол са брадикардия и замаяност, като и двете се проявяват при около 11% от пациентите. Честотата при плацебо е съответно 2% и 7%.</w:t>
      </w:r>
    </w:p>
    <w:p w14:paraId="12C96041" w14:textId="77777777" w:rsidR="000A0962" w:rsidRDefault="000A0962" w:rsidP="000A0962">
      <w:pPr>
        <w:spacing w:line="240" w:lineRule="auto"/>
        <w:rPr>
          <w:rFonts w:eastAsia="Times New Roman" w:cs="Arial"/>
          <w:color w:val="000000"/>
          <w:lang w:eastAsia="bg-BG"/>
        </w:rPr>
      </w:pPr>
    </w:p>
    <w:p w14:paraId="4B6CBE1C" w14:textId="295A9315" w:rsidR="000A0962" w:rsidRPr="000A0962" w:rsidRDefault="000A0962" w:rsidP="000A0962">
      <w:pPr>
        <w:spacing w:line="240" w:lineRule="auto"/>
        <w:rPr>
          <w:rFonts w:eastAsia="Times New Roman" w:cs="Arial"/>
        </w:rPr>
      </w:pPr>
      <w:r w:rsidRPr="000A0962">
        <w:rPr>
          <w:rFonts w:eastAsia="Times New Roman" w:cs="Arial"/>
          <w:color w:val="000000"/>
          <w:lang w:eastAsia="bg-BG"/>
        </w:rPr>
        <w:t>За нежеланите реакции е докладвана следната честота (поне вероятно свързани с лечението), които се приемат за специфично значими при лечението на хроничната сърдечна недостатъчност:</w:t>
      </w:r>
    </w:p>
    <w:p w14:paraId="021E9F4C" w14:textId="77777777" w:rsidR="000A0962" w:rsidRPr="000A0962" w:rsidRDefault="000A0962" w:rsidP="000A0962">
      <w:pPr>
        <w:pStyle w:val="ListParagraph"/>
        <w:numPr>
          <w:ilvl w:val="0"/>
          <w:numId w:val="34"/>
        </w:numPr>
        <w:spacing w:line="240" w:lineRule="auto"/>
        <w:rPr>
          <w:rFonts w:eastAsia="Times New Roman" w:cs="Arial"/>
        </w:rPr>
      </w:pPr>
      <w:r w:rsidRPr="000A0962">
        <w:rPr>
          <w:rFonts w:eastAsia="Times New Roman" w:cs="Arial"/>
          <w:color w:val="000000"/>
          <w:lang w:eastAsia="bg-BG"/>
        </w:rPr>
        <w:t>Влошаване на сърдечната недостатъчност - проявява се при 5,8 % от пациентите на небиволол в сравнение с 5,2 % от пациентите на плацебо;</w:t>
      </w:r>
    </w:p>
    <w:p w14:paraId="69070CFB" w14:textId="77777777" w:rsidR="000A0962" w:rsidRPr="000A0962" w:rsidRDefault="000A0962" w:rsidP="000A0962">
      <w:pPr>
        <w:pStyle w:val="ListParagraph"/>
        <w:numPr>
          <w:ilvl w:val="0"/>
          <w:numId w:val="34"/>
        </w:numPr>
        <w:spacing w:line="240" w:lineRule="auto"/>
        <w:rPr>
          <w:rFonts w:eastAsia="Times New Roman" w:cs="Arial"/>
        </w:rPr>
      </w:pPr>
      <w:r w:rsidRPr="000A0962">
        <w:rPr>
          <w:rFonts w:eastAsia="Times New Roman" w:cs="Arial"/>
          <w:color w:val="000000"/>
          <w:lang w:eastAsia="bg-BG"/>
        </w:rPr>
        <w:t>Постурална хипотония - проявява се при 2,1% от пациентите на небиволол в сравнение с 1,0% от пациентите на плацебо</w:t>
      </w:r>
    </w:p>
    <w:p w14:paraId="0E96C6F5" w14:textId="77777777" w:rsidR="000A0962" w:rsidRPr="000A0962" w:rsidRDefault="000A0962" w:rsidP="000A0962">
      <w:pPr>
        <w:pStyle w:val="ListParagraph"/>
        <w:numPr>
          <w:ilvl w:val="0"/>
          <w:numId w:val="34"/>
        </w:numPr>
        <w:spacing w:line="240" w:lineRule="auto"/>
        <w:rPr>
          <w:rFonts w:eastAsia="Times New Roman" w:cs="Arial"/>
        </w:rPr>
      </w:pPr>
      <w:r w:rsidRPr="000A0962">
        <w:rPr>
          <w:rFonts w:eastAsia="Times New Roman" w:cs="Arial"/>
          <w:color w:val="000000"/>
          <w:lang w:eastAsia="bg-BG"/>
        </w:rPr>
        <w:t>Непоносимост към лекарството - проявява се при 1,6% от пациентите на небиволол в сравнение с 0,8% от пациентите на плацебо;</w:t>
      </w:r>
    </w:p>
    <w:p w14:paraId="67BBC761" w14:textId="77777777" w:rsidR="000A0962" w:rsidRPr="000A0962" w:rsidRDefault="000A0962" w:rsidP="000A0962">
      <w:pPr>
        <w:pStyle w:val="ListParagraph"/>
        <w:numPr>
          <w:ilvl w:val="0"/>
          <w:numId w:val="34"/>
        </w:numPr>
        <w:spacing w:line="240" w:lineRule="auto"/>
        <w:rPr>
          <w:rFonts w:eastAsia="Times New Roman" w:cs="Arial"/>
        </w:rPr>
      </w:pPr>
      <w:r w:rsidRPr="000A0962">
        <w:rPr>
          <w:rFonts w:eastAsia="Times New Roman" w:cs="Arial"/>
          <w:color w:val="000000"/>
          <w:lang w:eastAsia="bg-BG"/>
        </w:rPr>
        <w:t>Атрио-вентрикуларсн блок I степен - проявява се при 1,4% от пациентите на небиволол в сравнение с 0,9% от пациентите на плацебо;</w:t>
      </w:r>
    </w:p>
    <w:p w14:paraId="2614F699" w14:textId="2C7A37CF" w:rsidR="000A0962" w:rsidRPr="000A0962" w:rsidRDefault="000A0962" w:rsidP="000A0962">
      <w:pPr>
        <w:pStyle w:val="ListParagraph"/>
        <w:numPr>
          <w:ilvl w:val="0"/>
          <w:numId w:val="34"/>
        </w:numPr>
        <w:spacing w:line="240" w:lineRule="auto"/>
        <w:rPr>
          <w:rFonts w:eastAsia="Times New Roman" w:cs="Arial"/>
        </w:rPr>
      </w:pPr>
      <w:r w:rsidRPr="000A0962">
        <w:rPr>
          <w:rFonts w:eastAsia="Times New Roman" w:cs="Arial"/>
          <w:color w:val="000000"/>
          <w:lang w:eastAsia="bg-BG"/>
        </w:rPr>
        <w:t>Оток на долните крайници - проявява се при 1,0 % от пациентите на небиволол в сравнение с 0,2 % от пациентите на плацебо.</w:t>
      </w:r>
    </w:p>
    <w:p w14:paraId="5150442B" w14:textId="77777777" w:rsidR="000A0962" w:rsidRDefault="000A0962" w:rsidP="000A0962">
      <w:pPr>
        <w:spacing w:line="240" w:lineRule="auto"/>
        <w:rPr>
          <w:rFonts w:eastAsia="Times New Roman" w:cs="Arial"/>
          <w:b/>
          <w:bCs/>
          <w:color w:val="000000"/>
          <w:u w:val="single"/>
          <w:lang w:eastAsia="bg-BG"/>
        </w:rPr>
      </w:pPr>
    </w:p>
    <w:p w14:paraId="0D45079A" w14:textId="527E4600" w:rsidR="000A0962" w:rsidRPr="000A0962" w:rsidRDefault="000A0962" w:rsidP="000A0962">
      <w:pPr>
        <w:spacing w:line="240" w:lineRule="auto"/>
        <w:rPr>
          <w:rFonts w:eastAsia="Times New Roman" w:cs="Arial"/>
        </w:rPr>
      </w:pPr>
      <w:r w:rsidRPr="000A0962">
        <w:rPr>
          <w:rFonts w:eastAsia="Times New Roman" w:cs="Arial"/>
          <w:b/>
          <w:bCs/>
          <w:color w:val="000000"/>
          <w:u w:val="single"/>
          <w:lang w:eastAsia="bg-BG"/>
        </w:rPr>
        <w:t>Съобщаване на подозирани нежелани реакции</w:t>
      </w:r>
    </w:p>
    <w:p w14:paraId="2C416561" w14:textId="77777777" w:rsidR="000A0962" w:rsidRPr="000A0962" w:rsidRDefault="000A0962" w:rsidP="000A0962">
      <w:pPr>
        <w:spacing w:line="240" w:lineRule="auto"/>
        <w:rPr>
          <w:rFonts w:eastAsia="Times New Roman" w:cs="Arial"/>
        </w:rPr>
      </w:pPr>
      <w:r w:rsidRPr="000A0962">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63DB0A2F" w14:textId="77777777" w:rsidR="000A0962" w:rsidRPr="000A0962" w:rsidRDefault="000A0962" w:rsidP="000A0962">
      <w:pPr>
        <w:spacing w:line="240" w:lineRule="auto"/>
        <w:rPr>
          <w:rFonts w:eastAsia="Times New Roman" w:cs="Arial"/>
        </w:rPr>
      </w:pPr>
      <w:r w:rsidRPr="000A0962">
        <w:rPr>
          <w:rFonts w:eastAsia="Times New Roman" w:cs="Arial"/>
          <w:color w:val="000000"/>
          <w:lang w:eastAsia="bg-BG"/>
        </w:rPr>
        <w:t>Изпълнителна агенция по лекарствата</w:t>
      </w:r>
    </w:p>
    <w:p w14:paraId="6522A602" w14:textId="77777777" w:rsidR="000A0962" w:rsidRPr="000A0962" w:rsidRDefault="000A0962" w:rsidP="000A0962">
      <w:pPr>
        <w:spacing w:line="240" w:lineRule="auto"/>
        <w:rPr>
          <w:rFonts w:eastAsia="Times New Roman" w:cs="Arial"/>
        </w:rPr>
      </w:pPr>
      <w:r w:rsidRPr="000A0962">
        <w:rPr>
          <w:rFonts w:eastAsia="Times New Roman" w:cs="Arial"/>
          <w:color w:val="000000"/>
          <w:lang w:eastAsia="bg-BG"/>
        </w:rPr>
        <w:lastRenderedPageBreak/>
        <w:t>ул. „Дамян Груев” № 8</w:t>
      </w:r>
    </w:p>
    <w:p w14:paraId="7D477B02" w14:textId="77777777" w:rsidR="000A0962" w:rsidRPr="000A0962" w:rsidRDefault="000A0962" w:rsidP="000A0962">
      <w:pPr>
        <w:spacing w:line="240" w:lineRule="auto"/>
        <w:rPr>
          <w:rFonts w:eastAsia="Times New Roman" w:cs="Arial"/>
        </w:rPr>
      </w:pPr>
      <w:r w:rsidRPr="000A0962">
        <w:rPr>
          <w:rFonts w:eastAsia="Times New Roman" w:cs="Arial"/>
          <w:color w:val="000000"/>
          <w:lang w:eastAsia="bg-BG"/>
        </w:rPr>
        <w:t>1303 София</w:t>
      </w:r>
    </w:p>
    <w:p w14:paraId="3A46E53A" w14:textId="77777777" w:rsidR="000A0962" w:rsidRPr="000A0962" w:rsidRDefault="000A0962" w:rsidP="000A0962">
      <w:pPr>
        <w:spacing w:line="240" w:lineRule="auto"/>
        <w:rPr>
          <w:rFonts w:eastAsia="Times New Roman" w:cs="Arial"/>
        </w:rPr>
      </w:pPr>
      <w:r w:rsidRPr="000A0962">
        <w:rPr>
          <w:rFonts w:eastAsia="Times New Roman" w:cs="Arial"/>
          <w:color w:val="000000"/>
          <w:lang w:eastAsia="bg-BG"/>
        </w:rPr>
        <w:t>Тел.:+359 2 8903417</w:t>
      </w:r>
    </w:p>
    <w:p w14:paraId="4CD4B251" w14:textId="77777777" w:rsidR="000A0962" w:rsidRPr="000A0962" w:rsidRDefault="000A0962" w:rsidP="000A0962">
      <w:pPr>
        <w:spacing w:line="240" w:lineRule="auto"/>
        <w:rPr>
          <w:rFonts w:eastAsia="Times New Roman" w:cs="Arial"/>
        </w:rPr>
      </w:pPr>
      <w:r w:rsidRPr="000A0962">
        <w:rPr>
          <w:rFonts w:eastAsia="Times New Roman" w:cs="Arial"/>
          <w:color w:val="000000"/>
          <w:lang w:eastAsia="bg-BG"/>
        </w:rPr>
        <w:t xml:space="preserve">уебсайт: </w:t>
      </w:r>
      <w:r w:rsidRPr="000A0962">
        <w:rPr>
          <w:rFonts w:eastAsia="Times New Roman" w:cs="Arial"/>
        </w:rPr>
        <w:fldChar w:fldCharType="begin"/>
      </w:r>
      <w:r w:rsidRPr="000A0962">
        <w:rPr>
          <w:rFonts w:eastAsia="Times New Roman" w:cs="Arial"/>
        </w:rPr>
        <w:instrText xml:space="preserve"> HYPERLINK "http://www.bda.bg" </w:instrText>
      </w:r>
      <w:r w:rsidRPr="000A0962">
        <w:rPr>
          <w:rFonts w:eastAsia="Times New Roman" w:cs="Arial"/>
        </w:rPr>
      </w:r>
      <w:r w:rsidRPr="000A0962">
        <w:rPr>
          <w:rFonts w:eastAsia="Times New Roman" w:cs="Arial"/>
        </w:rPr>
        <w:fldChar w:fldCharType="separate"/>
      </w:r>
      <w:r w:rsidRPr="000A0962">
        <w:rPr>
          <w:rFonts w:eastAsia="Times New Roman" w:cs="Arial"/>
          <w:color w:val="000000"/>
          <w:u w:val="single"/>
          <w:lang w:val="en-US"/>
        </w:rPr>
        <w:t>www</w:t>
      </w:r>
      <w:r w:rsidRPr="000A0962">
        <w:rPr>
          <w:rFonts w:eastAsia="Times New Roman" w:cs="Arial"/>
          <w:color w:val="000000"/>
          <w:u w:val="single"/>
          <w:lang w:val="ru-RU"/>
        </w:rPr>
        <w:t>.</w:t>
      </w:r>
      <w:proofErr w:type="spellStart"/>
      <w:r w:rsidRPr="000A0962">
        <w:rPr>
          <w:rFonts w:eastAsia="Times New Roman" w:cs="Arial"/>
          <w:color w:val="000000"/>
          <w:u w:val="single"/>
          <w:lang w:val="en-US"/>
        </w:rPr>
        <w:t>bda</w:t>
      </w:r>
      <w:proofErr w:type="spellEnd"/>
      <w:r w:rsidRPr="000A0962">
        <w:rPr>
          <w:rFonts w:eastAsia="Times New Roman" w:cs="Arial"/>
          <w:color w:val="000000"/>
          <w:u w:val="single"/>
          <w:lang w:val="ru-RU"/>
        </w:rPr>
        <w:t>.</w:t>
      </w:r>
      <w:proofErr w:type="spellStart"/>
      <w:r w:rsidRPr="000A0962">
        <w:rPr>
          <w:rFonts w:eastAsia="Times New Roman" w:cs="Arial"/>
          <w:color w:val="000000"/>
          <w:u w:val="single"/>
          <w:lang w:val="en-US"/>
        </w:rPr>
        <w:t>bg</w:t>
      </w:r>
      <w:proofErr w:type="spellEnd"/>
      <w:r w:rsidRPr="000A0962">
        <w:rPr>
          <w:rFonts w:eastAsia="Times New Roman" w:cs="Arial"/>
        </w:rPr>
        <w:fldChar w:fldCharType="end"/>
      </w:r>
    </w:p>
    <w:p w14:paraId="409F333A" w14:textId="77777777" w:rsidR="000A0962" w:rsidRPr="000A0962" w:rsidRDefault="000A0962" w:rsidP="000A0962"/>
    <w:p w14:paraId="4ED30546" w14:textId="29DCC382" w:rsidR="007C605B" w:rsidRDefault="002C50EE" w:rsidP="009F1313">
      <w:pPr>
        <w:pStyle w:val="Heading2"/>
      </w:pPr>
      <w:r>
        <w:t>4.9. Предозиране</w:t>
      </w:r>
    </w:p>
    <w:p w14:paraId="154521F4" w14:textId="18344B4F" w:rsidR="000A0962" w:rsidRDefault="000A0962" w:rsidP="000A0962"/>
    <w:p w14:paraId="3F5ACD99" w14:textId="77777777" w:rsidR="000A0962" w:rsidRPr="000A0962" w:rsidRDefault="000A0962" w:rsidP="000A0962">
      <w:pPr>
        <w:rPr>
          <w:sz w:val="24"/>
          <w:szCs w:val="24"/>
        </w:rPr>
      </w:pPr>
      <w:r w:rsidRPr="000A0962">
        <w:rPr>
          <w:lang w:eastAsia="bg-BG"/>
        </w:rPr>
        <w:t>Липсват данни за предозиране с Кардиостад.</w:t>
      </w:r>
    </w:p>
    <w:p w14:paraId="14FA32A7" w14:textId="77777777" w:rsidR="000A0962" w:rsidRDefault="000A0962" w:rsidP="000A0962">
      <w:pPr>
        <w:rPr>
          <w:i/>
          <w:iCs/>
          <w:lang w:eastAsia="bg-BG"/>
        </w:rPr>
      </w:pPr>
    </w:p>
    <w:p w14:paraId="198E3629" w14:textId="5D75F1EE" w:rsidR="000A0962" w:rsidRPr="000A0962" w:rsidRDefault="000A0962" w:rsidP="000A0962">
      <w:pPr>
        <w:pStyle w:val="Heading3"/>
        <w:rPr>
          <w:rFonts w:eastAsia="Times New Roman"/>
          <w:i/>
          <w:lang w:eastAsia="bg-BG"/>
        </w:rPr>
      </w:pPr>
      <w:r w:rsidRPr="000A0962">
        <w:rPr>
          <w:rFonts w:eastAsia="Times New Roman"/>
          <w:i/>
          <w:lang w:eastAsia="bg-BG"/>
        </w:rPr>
        <w:t>Симптоми</w:t>
      </w:r>
    </w:p>
    <w:p w14:paraId="2A670BDA" w14:textId="77777777" w:rsidR="000A0962" w:rsidRPr="000A0962" w:rsidRDefault="000A0962" w:rsidP="000A0962">
      <w:pPr>
        <w:rPr>
          <w:sz w:val="24"/>
          <w:szCs w:val="24"/>
        </w:rPr>
      </w:pPr>
      <w:r w:rsidRPr="000A0962">
        <w:rPr>
          <w:lang w:eastAsia="bg-BG"/>
        </w:rPr>
        <w:t>Симптоми на предозиране с бета-блокер са: брадикардия, хипотония, бронхоспазъм и остра сърдечна недостатъчност.</w:t>
      </w:r>
    </w:p>
    <w:p w14:paraId="6E2AA7F0" w14:textId="77777777" w:rsidR="000A0962" w:rsidRDefault="000A0962" w:rsidP="000A0962">
      <w:pPr>
        <w:rPr>
          <w:i/>
          <w:iCs/>
          <w:lang w:eastAsia="bg-BG"/>
        </w:rPr>
      </w:pPr>
    </w:p>
    <w:p w14:paraId="4E3E7845" w14:textId="7AECEC1A" w:rsidR="000A0962" w:rsidRPr="000A0962" w:rsidRDefault="000A0962" w:rsidP="000A0962">
      <w:pPr>
        <w:pStyle w:val="Heading3"/>
        <w:rPr>
          <w:rFonts w:eastAsia="Times New Roman"/>
          <w:i/>
        </w:rPr>
      </w:pPr>
      <w:r w:rsidRPr="000A0962">
        <w:rPr>
          <w:rFonts w:eastAsia="Times New Roman"/>
          <w:i/>
          <w:lang w:eastAsia="bg-BG"/>
        </w:rPr>
        <w:t>Лечение</w:t>
      </w:r>
    </w:p>
    <w:p w14:paraId="4D98D33F" w14:textId="77777777" w:rsidR="000A0962" w:rsidRPr="000A0962" w:rsidRDefault="000A0962" w:rsidP="000A0962">
      <w:pPr>
        <w:rPr>
          <w:sz w:val="24"/>
          <w:szCs w:val="24"/>
        </w:rPr>
      </w:pPr>
      <w:r w:rsidRPr="000A0962">
        <w:rPr>
          <w:lang w:eastAsia="bg-BG"/>
        </w:rPr>
        <w:t xml:space="preserve">В случаи на предозиране или свръхчувствителност пациентът трябва да се наблюдава непрекъснато и да се лекува в интензивно отделение. Трябва да се контролират стойностите на кръвната захар. Резорбцията на евентуално останало количество от лекарството в гастро- инестиналния тракт може да се предотврати чрез стомашен лаваж и приложението на активен въглен или лаксативни средства. Може да се наложи и изкуствено дишане. Брадикардията или силно изразените вагусови реакции се лекуват чрез приложението на атропин или метилатропин. При хипотония и шок се прилага плазма или плазмени заместители и при необходимост - катехоламин. На бета-блокиращия ефект може да се противодейства чрез бавно интравенозно приложение на изопреналин хидрохлорид с начална доза около </w:t>
      </w:r>
      <w:r w:rsidRPr="000A0962">
        <w:rPr>
          <w:lang w:val="ru-RU"/>
        </w:rPr>
        <w:t>5</w:t>
      </w:r>
      <w:r w:rsidRPr="000A0962">
        <w:rPr>
          <w:lang w:eastAsia="bg-BG"/>
        </w:rPr>
        <w:t>μ</w:t>
      </w:r>
      <w:r w:rsidRPr="000A0962">
        <w:rPr>
          <w:lang w:val="en-US"/>
        </w:rPr>
        <w:t>g</w:t>
      </w:r>
      <w:r w:rsidRPr="000A0962">
        <w:rPr>
          <w:lang w:val="ru-RU"/>
        </w:rPr>
        <w:t>/</w:t>
      </w:r>
      <w:r w:rsidRPr="000A0962">
        <w:rPr>
          <w:lang w:val="en-US"/>
        </w:rPr>
        <w:t>min</w:t>
      </w:r>
      <w:r w:rsidRPr="000A0962">
        <w:rPr>
          <w:lang w:val="ru-RU"/>
        </w:rPr>
        <w:t xml:space="preserve"> </w:t>
      </w:r>
      <w:r w:rsidRPr="000A0962">
        <w:rPr>
          <w:lang w:eastAsia="bg-BG"/>
        </w:rPr>
        <w:t xml:space="preserve">или добутамин с начална доза 2,5 </w:t>
      </w:r>
      <w:r w:rsidRPr="000A0962">
        <w:rPr>
          <w:lang w:val="ru-RU"/>
        </w:rPr>
        <w:t>5</w:t>
      </w:r>
      <w:r w:rsidRPr="000A0962">
        <w:rPr>
          <w:lang w:eastAsia="bg-BG"/>
        </w:rPr>
        <w:t>μ</w:t>
      </w:r>
      <w:r w:rsidRPr="000A0962">
        <w:rPr>
          <w:lang w:val="en-US"/>
        </w:rPr>
        <w:t>g</w:t>
      </w:r>
      <w:r w:rsidRPr="000A0962">
        <w:rPr>
          <w:lang w:val="ru-RU"/>
        </w:rPr>
        <w:t>/</w:t>
      </w:r>
      <w:r w:rsidRPr="000A0962">
        <w:rPr>
          <w:lang w:val="en-US"/>
        </w:rPr>
        <w:t>min</w:t>
      </w:r>
      <w:r w:rsidRPr="000A0962">
        <w:rPr>
          <w:lang w:val="ru-RU"/>
        </w:rPr>
        <w:t xml:space="preserve"> </w:t>
      </w:r>
      <w:r w:rsidRPr="000A0962">
        <w:rPr>
          <w:lang w:eastAsia="bg-BG"/>
        </w:rPr>
        <w:t xml:space="preserve">до достигане на желания ефект. При рефрактерни случаи изопреналин може да се комбинира с допамин. Ако отново не се постигне желания ефект, може да се обмисли интравенозно приложение на 50-100 </w:t>
      </w:r>
      <w:r w:rsidRPr="000A0962">
        <w:rPr>
          <w:lang w:val="ru-RU"/>
        </w:rPr>
        <w:t>5</w:t>
      </w:r>
      <w:r w:rsidRPr="000A0962">
        <w:rPr>
          <w:lang w:eastAsia="bg-BG"/>
        </w:rPr>
        <w:t>μ</w:t>
      </w:r>
      <w:r w:rsidRPr="000A0962">
        <w:rPr>
          <w:lang w:val="en-US"/>
        </w:rPr>
        <w:t>g</w:t>
      </w:r>
      <w:r w:rsidRPr="000A0962">
        <w:rPr>
          <w:lang w:val="ru-RU"/>
        </w:rPr>
        <w:t>/</w:t>
      </w:r>
      <w:r w:rsidRPr="000A0962">
        <w:rPr>
          <w:lang w:val="en-US"/>
        </w:rPr>
        <w:t>kg</w:t>
      </w:r>
      <w:r w:rsidRPr="000A0962">
        <w:rPr>
          <w:lang w:val="ru-RU"/>
        </w:rPr>
        <w:t xml:space="preserve"> </w:t>
      </w:r>
      <w:proofErr w:type="spellStart"/>
      <w:r w:rsidRPr="000A0962">
        <w:rPr>
          <w:lang w:val="en-US"/>
        </w:rPr>
        <w:t>i</w:t>
      </w:r>
      <w:proofErr w:type="spellEnd"/>
      <w:r w:rsidRPr="000A0962">
        <w:rPr>
          <w:lang w:val="ru-RU"/>
        </w:rPr>
        <w:t>.</w:t>
      </w:r>
      <w:r w:rsidRPr="000A0962">
        <w:rPr>
          <w:lang w:val="en-US"/>
        </w:rPr>
        <w:t>v</w:t>
      </w:r>
      <w:r w:rsidRPr="000A0962">
        <w:rPr>
          <w:lang w:val="ru-RU"/>
        </w:rPr>
        <w:t xml:space="preserve">. </w:t>
      </w:r>
      <w:r w:rsidRPr="000A0962">
        <w:rPr>
          <w:lang w:eastAsia="bg-BG"/>
        </w:rPr>
        <w:t>глюкагон и при необходимост да се повтори в рамките на един час, последвано от интравенозна инфузия глюкагон 70 μ</w:t>
      </w:r>
      <w:r w:rsidRPr="000A0962">
        <w:rPr>
          <w:lang w:val="en-US"/>
        </w:rPr>
        <w:t>g</w:t>
      </w:r>
      <w:r w:rsidRPr="000A0962">
        <w:rPr>
          <w:lang w:val="ru-RU"/>
        </w:rPr>
        <w:t>/</w:t>
      </w:r>
      <w:r w:rsidRPr="000A0962">
        <w:rPr>
          <w:lang w:val="en-US"/>
        </w:rPr>
        <w:t>kg</w:t>
      </w:r>
      <w:r w:rsidRPr="000A0962">
        <w:rPr>
          <w:lang w:val="ru-RU"/>
        </w:rPr>
        <w:t>/</w:t>
      </w:r>
      <w:r w:rsidRPr="000A0962">
        <w:rPr>
          <w:lang w:val="en-US"/>
        </w:rPr>
        <w:t>h</w:t>
      </w:r>
      <w:r w:rsidRPr="000A0962">
        <w:rPr>
          <w:lang w:val="ru-RU"/>
        </w:rPr>
        <w:t xml:space="preserve">. </w:t>
      </w:r>
      <w:r w:rsidRPr="000A0962">
        <w:rPr>
          <w:lang w:eastAsia="bg-BG"/>
        </w:rPr>
        <w:t>В екстремни случаи на брадикардия може да се постави пейсмейкър.</w:t>
      </w:r>
    </w:p>
    <w:p w14:paraId="10CF1952" w14:textId="77777777" w:rsidR="000A0962" w:rsidRPr="000A0962" w:rsidRDefault="000A0962" w:rsidP="000A0962">
      <w:pPr>
        <w:spacing w:line="240" w:lineRule="auto"/>
        <w:rPr>
          <w:rFonts w:ascii="Times New Roman" w:eastAsia="Times New Roman" w:hAnsi="Times New Roman" w:cs="Times New Roman"/>
          <w:sz w:val="24"/>
          <w:szCs w:val="24"/>
        </w:rPr>
      </w:pPr>
    </w:p>
    <w:p w14:paraId="2939DBFC" w14:textId="77777777" w:rsidR="000A0962" w:rsidRPr="000A0962" w:rsidRDefault="000A0962" w:rsidP="000A0962"/>
    <w:p w14:paraId="02081B24" w14:textId="1F46E296" w:rsidR="00395555" w:rsidRPr="00395555" w:rsidRDefault="002C50EE" w:rsidP="008A6AF2">
      <w:pPr>
        <w:pStyle w:val="Heading1"/>
      </w:pPr>
      <w:r>
        <w:t>5. ФАРМАКОЛОГИЧНИ СВОЙСТВА</w:t>
      </w:r>
    </w:p>
    <w:p w14:paraId="5350637D" w14:textId="7579A42F" w:rsidR="00395555" w:rsidRDefault="002C50EE" w:rsidP="008A6AF2">
      <w:pPr>
        <w:pStyle w:val="Heading2"/>
      </w:pPr>
      <w:r>
        <w:t>5.1. Фармакодинамични свойства</w:t>
      </w:r>
    </w:p>
    <w:p w14:paraId="569CA4F8" w14:textId="5271AEB6" w:rsidR="000A0962" w:rsidRDefault="000A0962" w:rsidP="000A0962"/>
    <w:p w14:paraId="60561742"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Фармакотерапевтична група: бета-блокери, селективни, АТС код: С07АВ12</w:t>
      </w:r>
    </w:p>
    <w:p w14:paraId="3F7A07D1" w14:textId="77777777" w:rsidR="000A0962" w:rsidRPr="000A0962" w:rsidRDefault="000A0962" w:rsidP="000A0962">
      <w:pPr>
        <w:spacing w:line="240" w:lineRule="auto"/>
        <w:rPr>
          <w:rFonts w:eastAsia="Times New Roman" w:cs="Arial"/>
          <w:color w:val="000000"/>
          <w:szCs w:val="44"/>
          <w:u w:val="single"/>
          <w:lang w:eastAsia="bg-BG"/>
        </w:rPr>
      </w:pPr>
    </w:p>
    <w:p w14:paraId="61C7288C" w14:textId="58C959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u w:val="single"/>
          <w:lang w:eastAsia="bg-BG"/>
        </w:rPr>
        <w:t>Механизъм на действие</w:t>
      </w:r>
      <w:r w:rsidRPr="000A0962">
        <w:rPr>
          <w:rFonts w:eastAsia="Times New Roman" w:cs="Arial"/>
          <w:color w:val="000000"/>
          <w:szCs w:val="44"/>
          <w:lang w:eastAsia="bg-BG"/>
        </w:rPr>
        <w:t xml:space="preserve"> и ф</w:t>
      </w:r>
      <w:r w:rsidRPr="000A0962">
        <w:rPr>
          <w:rFonts w:eastAsia="Times New Roman" w:cs="Arial"/>
          <w:color w:val="000000"/>
          <w:szCs w:val="44"/>
          <w:u w:val="single"/>
          <w:lang w:eastAsia="bg-BG"/>
        </w:rPr>
        <w:t>армакодинамични ефекти</w:t>
      </w:r>
    </w:p>
    <w:p w14:paraId="306B8071"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 xml:space="preserve">Небиволол е рацемат от два енантиомера, </w:t>
      </w:r>
      <w:r w:rsidRPr="000A0962">
        <w:rPr>
          <w:rFonts w:eastAsia="Times New Roman" w:cs="Arial"/>
          <w:color w:val="000000"/>
          <w:szCs w:val="44"/>
          <w:lang w:val="en-US"/>
        </w:rPr>
        <w:t>SRRR</w:t>
      </w:r>
      <w:r w:rsidRPr="000A0962">
        <w:rPr>
          <w:rFonts w:eastAsia="Times New Roman" w:cs="Arial"/>
          <w:color w:val="000000"/>
          <w:szCs w:val="44"/>
          <w:lang w:val="ru-RU"/>
        </w:rPr>
        <w:t xml:space="preserve">- </w:t>
      </w:r>
      <w:r w:rsidRPr="000A0962">
        <w:rPr>
          <w:rFonts w:eastAsia="Times New Roman" w:cs="Arial"/>
          <w:color w:val="000000"/>
          <w:szCs w:val="44"/>
          <w:lang w:eastAsia="bg-BG"/>
        </w:rPr>
        <w:t xml:space="preserve">небиволол (или </w:t>
      </w:r>
      <w:r w:rsidRPr="000A0962">
        <w:rPr>
          <w:rFonts w:eastAsia="Times New Roman" w:cs="Arial"/>
          <w:color w:val="000000"/>
          <w:szCs w:val="44"/>
          <w:lang w:val="en-US"/>
        </w:rPr>
        <w:t>d</w:t>
      </w:r>
      <w:r w:rsidRPr="000A0962">
        <w:rPr>
          <w:rFonts w:eastAsia="Times New Roman" w:cs="Arial"/>
          <w:color w:val="000000"/>
          <w:szCs w:val="44"/>
          <w:lang w:eastAsia="bg-BG"/>
        </w:rPr>
        <w:t xml:space="preserve">-небиволол) и </w:t>
      </w:r>
      <w:r w:rsidRPr="000A0962">
        <w:rPr>
          <w:rFonts w:eastAsia="Times New Roman" w:cs="Arial"/>
          <w:color w:val="000000"/>
          <w:szCs w:val="44"/>
          <w:lang w:val="en-US"/>
        </w:rPr>
        <w:t>RSSS</w:t>
      </w:r>
      <w:r w:rsidRPr="000A0962">
        <w:rPr>
          <w:rFonts w:eastAsia="Times New Roman" w:cs="Arial"/>
          <w:color w:val="000000"/>
          <w:szCs w:val="44"/>
          <w:lang w:eastAsia="bg-BG"/>
        </w:rPr>
        <w:t xml:space="preserve">-небиволол (или </w:t>
      </w:r>
      <w:r w:rsidRPr="000A0962">
        <w:rPr>
          <w:rFonts w:eastAsia="Times New Roman" w:cs="Arial"/>
          <w:color w:val="000000"/>
          <w:szCs w:val="44"/>
          <w:lang w:val="en-US"/>
        </w:rPr>
        <w:t>I</w:t>
      </w:r>
      <w:r w:rsidRPr="000A0962">
        <w:rPr>
          <w:rFonts w:eastAsia="Times New Roman" w:cs="Arial"/>
          <w:color w:val="000000"/>
          <w:szCs w:val="44"/>
          <w:lang w:eastAsia="bg-BG"/>
        </w:rPr>
        <w:t>-небиволол). Небиволол съчетава два фармакологични ефекта:</w:t>
      </w:r>
    </w:p>
    <w:p w14:paraId="272B3303" w14:textId="4A43D70A" w:rsidR="000A0962" w:rsidRPr="000A0962" w:rsidRDefault="000A0962" w:rsidP="000A0962">
      <w:pPr>
        <w:pStyle w:val="ListParagraph"/>
        <w:numPr>
          <w:ilvl w:val="0"/>
          <w:numId w:val="2"/>
        </w:numPr>
        <w:spacing w:line="240" w:lineRule="auto"/>
        <w:rPr>
          <w:rFonts w:eastAsia="Times New Roman" w:cs="Arial"/>
          <w:color w:val="000000"/>
          <w:szCs w:val="44"/>
          <w:lang w:eastAsia="bg-BG"/>
        </w:rPr>
      </w:pPr>
      <w:r w:rsidRPr="000A0962">
        <w:rPr>
          <w:rFonts w:eastAsia="Times New Roman" w:cs="Arial"/>
          <w:color w:val="000000"/>
          <w:szCs w:val="44"/>
          <w:lang w:eastAsia="bg-BG"/>
        </w:rPr>
        <w:t xml:space="preserve">Небиволол е конкурентен и селективен бета-рецепторен антагонист: този ефект се дължи на </w:t>
      </w:r>
      <w:r w:rsidRPr="000A0962">
        <w:rPr>
          <w:rFonts w:eastAsia="Times New Roman" w:cs="Arial"/>
          <w:color w:val="000000"/>
          <w:szCs w:val="44"/>
          <w:lang w:val="en-US"/>
        </w:rPr>
        <w:t>SRRR</w:t>
      </w:r>
      <w:r w:rsidRPr="000A0962">
        <w:rPr>
          <w:rFonts w:eastAsia="Times New Roman" w:cs="Arial"/>
          <w:color w:val="000000"/>
          <w:szCs w:val="44"/>
          <w:lang w:val="ru-RU"/>
        </w:rPr>
        <w:t xml:space="preserve"> </w:t>
      </w:r>
      <w:r w:rsidRPr="000A0962">
        <w:rPr>
          <w:rFonts w:eastAsia="Times New Roman" w:cs="Arial"/>
          <w:color w:val="000000"/>
          <w:szCs w:val="44"/>
          <w:lang w:eastAsia="bg-BG"/>
        </w:rPr>
        <w:t xml:space="preserve">- енантиомера </w:t>
      </w:r>
      <w:r w:rsidRPr="000A0962">
        <w:rPr>
          <w:rFonts w:eastAsia="Times New Roman" w:cs="Arial"/>
          <w:color w:val="000000"/>
          <w:szCs w:val="44"/>
          <w:lang w:val="ru-RU"/>
        </w:rPr>
        <w:t>(</w:t>
      </w:r>
      <w:r w:rsidRPr="000A0962">
        <w:rPr>
          <w:rFonts w:eastAsia="Times New Roman" w:cs="Arial"/>
          <w:color w:val="000000"/>
          <w:szCs w:val="44"/>
          <w:lang w:val="en-US"/>
        </w:rPr>
        <w:t>d</w:t>
      </w:r>
      <w:r w:rsidRPr="000A0962">
        <w:rPr>
          <w:rFonts w:eastAsia="Times New Roman" w:cs="Arial"/>
          <w:color w:val="000000"/>
          <w:szCs w:val="44"/>
          <w:lang w:eastAsia="bg-BG"/>
        </w:rPr>
        <w:t>-енантиомера);</w:t>
      </w:r>
    </w:p>
    <w:p w14:paraId="3F50CA43" w14:textId="4F932B30" w:rsidR="000A0962" w:rsidRPr="000A0962" w:rsidRDefault="000A0962" w:rsidP="000A0962">
      <w:pPr>
        <w:pStyle w:val="ListParagraph"/>
        <w:numPr>
          <w:ilvl w:val="0"/>
          <w:numId w:val="2"/>
        </w:numPr>
        <w:spacing w:line="240" w:lineRule="auto"/>
        <w:rPr>
          <w:rFonts w:eastAsia="Times New Roman" w:cs="Arial"/>
          <w:color w:val="000000"/>
          <w:szCs w:val="44"/>
          <w:lang w:eastAsia="bg-BG"/>
        </w:rPr>
      </w:pPr>
      <w:r w:rsidRPr="000A0962">
        <w:rPr>
          <w:rFonts w:eastAsia="Times New Roman" w:cs="Arial"/>
          <w:color w:val="000000"/>
          <w:szCs w:val="44"/>
          <w:lang w:eastAsia="bg-BG"/>
        </w:rPr>
        <w:t xml:space="preserve">Има леко вазодилатативно действие в резултат на взаимодействие със системата </w:t>
      </w:r>
      <w:r w:rsidRPr="000A0962">
        <w:rPr>
          <w:rFonts w:eastAsia="Times New Roman" w:cs="Arial"/>
          <w:color w:val="000000"/>
          <w:szCs w:val="44"/>
          <w:lang w:val="en-US"/>
        </w:rPr>
        <w:t>L</w:t>
      </w:r>
      <w:r w:rsidRPr="000A0962">
        <w:rPr>
          <w:rFonts w:eastAsia="Times New Roman" w:cs="Arial"/>
          <w:color w:val="000000"/>
          <w:szCs w:val="44"/>
          <w:lang w:val="ru-RU"/>
        </w:rPr>
        <w:t xml:space="preserve">- </w:t>
      </w:r>
      <w:r w:rsidRPr="000A0962">
        <w:rPr>
          <w:rFonts w:eastAsia="Times New Roman" w:cs="Arial"/>
          <w:color w:val="000000"/>
          <w:szCs w:val="44"/>
          <w:lang w:eastAsia="bg-BG"/>
        </w:rPr>
        <w:t>аргинин/азотен окис.</w:t>
      </w:r>
    </w:p>
    <w:p w14:paraId="196C53D2"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Еднократното и многократно приложение на небиволол понижава сърдечната честота и кръвното налягане в покой и при усилие при нормотензивни индивиди и хипертензивни пациенти. Антихипертензивният ефект се запазва и при продължително лечение.</w:t>
      </w:r>
    </w:p>
    <w:p w14:paraId="6BD84CD8"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lastRenderedPageBreak/>
        <w:t>Небиволол в терапевтични дози е лишен от алфа-антагонистичната активност.</w:t>
      </w:r>
    </w:p>
    <w:p w14:paraId="6408E517"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При остро и продължително лечение на хипертоници с небиволол се понижава периферното системно съдово съпротивление. Независимо от понижението на сърдечната честота, благодарение на увеличаването на ударния обем се ограничава намалението на клиничното значение на тези хемодинамични параметри в сравнение с други селективни бета-1 блокери.</w:t>
      </w:r>
    </w:p>
    <w:p w14:paraId="44498F7A"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 xml:space="preserve">При хипертоници, небиволол повишава </w:t>
      </w:r>
      <w:r w:rsidRPr="000A0962">
        <w:rPr>
          <w:rFonts w:eastAsia="Times New Roman" w:cs="Arial"/>
          <w:color w:val="000000"/>
          <w:szCs w:val="44"/>
          <w:lang w:val="en-US"/>
        </w:rPr>
        <w:t>NO</w:t>
      </w:r>
      <w:r w:rsidRPr="000A0962">
        <w:rPr>
          <w:rFonts w:eastAsia="Times New Roman" w:cs="Arial"/>
          <w:color w:val="000000"/>
          <w:szCs w:val="44"/>
          <w:lang w:eastAsia="bg-BG"/>
        </w:rPr>
        <w:t>-медиирания отговор на съдовете към ацетилхолин (АцХ), който е понижен при пациенти с ендотелна дисфункция.</w:t>
      </w:r>
    </w:p>
    <w:p w14:paraId="323FE88E" w14:textId="77777777" w:rsidR="000A0962" w:rsidRPr="000A0962" w:rsidRDefault="000A0962" w:rsidP="000A0962">
      <w:pPr>
        <w:spacing w:line="240" w:lineRule="auto"/>
        <w:rPr>
          <w:rFonts w:eastAsia="Times New Roman" w:cs="Arial"/>
          <w:color w:val="000000"/>
          <w:szCs w:val="44"/>
          <w:u w:val="single"/>
          <w:lang w:eastAsia="bg-BG"/>
        </w:rPr>
      </w:pPr>
    </w:p>
    <w:p w14:paraId="55121948" w14:textId="425E2F0D"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u w:val="single"/>
          <w:lang w:eastAsia="bg-BG"/>
        </w:rPr>
        <w:t>Клинична ефикасност и безопасност</w:t>
      </w:r>
    </w:p>
    <w:p w14:paraId="7832632E" w14:textId="77777777" w:rsidR="000A0962" w:rsidRPr="000A0962" w:rsidRDefault="000A0962" w:rsidP="000A0962">
      <w:pPr>
        <w:rPr>
          <w:rFonts w:eastAsia="Times New Roman" w:cs="Arial"/>
          <w:sz w:val="12"/>
          <w:szCs w:val="24"/>
        </w:rPr>
      </w:pPr>
      <w:r w:rsidRPr="000A0962">
        <w:rPr>
          <w:rFonts w:eastAsia="Times New Roman" w:cs="Arial"/>
          <w:color w:val="000000"/>
          <w:szCs w:val="44"/>
          <w:lang w:eastAsia="bg-BG"/>
        </w:rPr>
        <w:t xml:space="preserve">В плацебо-контролирано проучване за заболеваемост и смъртност с 2128 пациенти ≥70 години (средна възраст 75,2 години) със стабилна хронична сърдечна недостатъчност с или без нарушена левокамерна фракция на изтласкване </w:t>
      </w:r>
      <w:r w:rsidRPr="000A0962">
        <w:rPr>
          <w:rFonts w:eastAsia="Times New Roman" w:cs="Arial"/>
          <w:color w:val="000000"/>
          <w:szCs w:val="44"/>
          <w:lang w:val="ru-RU"/>
        </w:rPr>
        <w:t>(</w:t>
      </w:r>
      <w:r w:rsidRPr="000A0962">
        <w:rPr>
          <w:rFonts w:eastAsia="Times New Roman" w:cs="Arial"/>
          <w:color w:val="000000"/>
          <w:szCs w:val="44"/>
          <w:lang w:val="en-US"/>
        </w:rPr>
        <w:t>LVEF</w:t>
      </w:r>
      <w:r w:rsidRPr="000A0962">
        <w:rPr>
          <w:rFonts w:eastAsia="Times New Roman" w:cs="Arial"/>
          <w:color w:val="000000"/>
          <w:szCs w:val="44"/>
          <w:lang w:val="ru-RU"/>
        </w:rPr>
        <w:t xml:space="preserve">: </w:t>
      </w:r>
      <w:r w:rsidRPr="000A0962">
        <w:rPr>
          <w:rFonts w:eastAsia="Times New Roman" w:cs="Arial"/>
          <w:color w:val="000000"/>
          <w:szCs w:val="44"/>
          <w:lang w:eastAsia="bg-BG"/>
        </w:rPr>
        <w:t xml:space="preserve">36 ± 12,3 %, при следното разпределение: </w:t>
      </w:r>
      <w:r w:rsidRPr="000A0962">
        <w:rPr>
          <w:rFonts w:eastAsia="Times New Roman" w:cs="Arial"/>
          <w:color w:val="000000"/>
          <w:szCs w:val="44"/>
          <w:lang w:val="en-US"/>
        </w:rPr>
        <w:t>LVEF</w:t>
      </w:r>
      <w:r w:rsidRPr="000A0962">
        <w:rPr>
          <w:rFonts w:eastAsia="Times New Roman" w:cs="Arial"/>
          <w:color w:val="000000"/>
          <w:szCs w:val="44"/>
          <w:lang w:val="ru-RU"/>
        </w:rPr>
        <w:t xml:space="preserve"> </w:t>
      </w:r>
      <w:r w:rsidRPr="000A0962">
        <w:rPr>
          <w:rFonts w:eastAsia="Times New Roman" w:cs="Arial"/>
          <w:color w:val="000000"/>
          <w:szCs w:val="44"/>
          <w:lang w:eastAsia="bg-BG"/>
        </w:rPr>
        <w:t xml:space="preserve">по- малко от 35% при 56% от пациентите, </w:t>
      </w:r>
      <w:r w:rsidRPr="000A0962">
        <w:rPr>
          <w:rFonts w:eastAsia="Times New Roman" w:cs="Arial"/>
          <w:color w:val="000000"/>
          <w:szCs w:val="44"/>
          <w:lang w:val="en-US"/>
        </w:rPr>
        <w:t>LVEF</w:t>
      </w:r>
      <w:r w:rsidRPr="000A0962">
        <w:rPr>
          <w:rFonts w:eastAsia="Times New Roman" w:cs="Arial"/>
          <w:color w:val="000000"/>
          <w:szCs w:val="44"/>
          <w:lang w:val="ru-RU"/>
        </w:rPr>
        <w:t xml:space="preserve"> </w:t>
      </w:r>
      <w:r w:rsidRPr="000A0962">
        <w:rPr>
          <w:rFonts w:eastAsia="Times New Roman" w:cs="Arial"/>
          <w:color w:val="000000"/>
          <w:szCs w:val="44"/>
          <w:lang w:eastAsia="bg-BG"/>
        </w:rPr>
        <w:t xml:space="preserve">между 35% и 45% при 25% от пациентите и </w:t>
      </w:r>
      <w:r w:rsidRPr="000A0962">
        <w:rPr>
          <w:rFonts w:eastAsia="Times New Roman" w:cs="Arial"/>
          <w:color w:val="000000"/>
          <w:szCs w:val="44"/>
          <w:lang w:val="en-US"/>
        </w:rPr>
        <w:t>LVEF</w:t>
      </w:r>
      <w:r w:rsidRPr="000A0962">
        <w:rPr>
          <w:rFonts w:eastAsia="Times New Roman" w:cs="Arial"/>
          <w:color w:val="000000"/>
          <w:szCs w:val="44"/>
          <w:lang w:val="ru-RU"/>
        </w:rPr>
        <w:t xml:space="preserve"> </w:t>
      </w:r>
      <w:r w:rsidRPr="000A0962">
        <w:rPr>
          <w:rFonts w:eastAsia="Times New Roman" w:cs="Arial"/>
          <w:color w:val="000000"/>
          <w:szCs w:val="44"/>
          <w:lang w:eastAsia="bg-BG"/>
        </w:rPr>
        <w:t>повече от 45% при 19% от пациентите) проследени в продължение средно на 20 месеца, небиволол. добавен към стандартното лечение, сигнификантно удължава времето до проява на смъртен изход или хоспитализация по повод сърдечно-съдови събития (първичен краен изход за ефикасност), като релативният риск намалява с 14% (абсолютно намаление:4,2%). Намалението на</w:t>
      </w:r>
      <w:r>
        <w:rPr>
          <w:rFonts w:eastAsia="Times New Roman" w:cs="Arial"/>
          <w:color w:val="000000"/>
          <w:szCs w:val="44"/>
          <w:lang w:eastAsia="bg-BG"/>
        </w:rPr>
        <w:t xml:space="preserve"> </w:t>
      </w:r>
      <w:r w:rsidRPr="000A0962">
        <w:rPr>
          <w:rFonts w:eastAsia="Times New Roman" w:cs="Arial"/>
          <w:color w:val="000000"/>
          <w:szCs w:val="44"/>
          <w:lang w:eastAsia="bg-BG"/>
        </w:rPr>
        <w:t>проявява след 6-ия месец от лечението и се поддържа по време на цялото лечение (средна продължителност: 18 месеца). Ефектът на небиволол е независим от възраст, пол и левокамерна фракция на изтласкване на проучваната популация. Ползите по отношение общата смъртност не достигат сигнификантна разлика в сравнение с плацебо (абсолютно намаление: 2,3 %).</w:t>
      </w:r>
    </w:p>
    <w:p w14:paraId="4013C416"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Намаление на внезапната сърдечна смърт се наблюдава при пациентите, лекувани с небиволол (4,1 % спрямо 6,6%, релативно намаление с 38%),</w:t>
      </w:r>
    </w:p>
    <w:p w14:paraId="3FE6FFA1" w14:textId="77777777" w:rsidR="000A0962" w:rsidRPr="000A0962" w:rsidRDefault="000A0962" w:rsidP="000A0962">
      <w:pPr>
        <w:spacing w:line="240" w:lineRule="auto"/>
        <w:rPr>
          <w:rFonts w:eastAsia="Times New Roman" w:cs="Arial"/>
          <w:color w:val="000000"/>
          <w:szCs w:val="44"/>
          <w:lang w:eastAsia="bg-BG"/>
        </w:rPr>
      </w:pPr>
    </w:p>
    <w:p w14:paraId="51565AE1" w14:textId="17C6C7AD"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Ин витро и ин виво изследванията с животни показват, че небиволол е лишен от вътрешна симпатикомиметична активност.</w:t>
      </w:r>
    </w:p>
    <w:p w14:paraId="78E9503D"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Ин витро и ин виво изследванията с животни показват, че фармакологични дози на небиволол нямат мембрано-стабилизиращо действие.</w:t>
      </w:r>
    </w:p>
    <w:p w14:paraId="29B82095" w14:textId="44A2785C" w:rsidR="000A0962" w:rsidRDefault="000A0962" w:rsidP="000A0962">
      <w:pPr>
        <w:spacing w:line="240" w:lineRule="auto"/>
        <w:rPr>
          <w:rFonts w:eastAsia="Times New Roman" w:cs="Arial"/>
          <w:color w:val="000000"/>
          <w:szCs w:val="44"/>
          <w:lang w:eastAsia="bg-BG"/>
        </w:rPr>
      </w:pPr>
      <w:r w:rsidRPr="000A0962">
        <w:rPr>
          <w:rFonts w:eastAsia="Times New Roman" w:cs="Arial"/>
          <w:color w:val="000000"/>
          <w:szCs w:val="44"/>
          <w:lang w:eastAsia="bg-BG"/>
        </w:rPr>
        <w:t>При здрави доброволци небиволол не оказва значително действие върху максималния физически капацитет и издръжливост.</w:t>
      </w:r>
    </w:p>
    <w:p w14:paraId="27F0471A" w14:textId="77777777" w:rsidR="000A0962" w:rsidRPr="000A0962" w:rsidRDefault="000A0962" w:rsidP="000A0962">
      <w:pPr>
        <w:spacing w:line="240" w:lineRule="auto"/>
        <w:rPr>
          <w:rFonts w:eastAsia="Times New Roman" w:cs="Arial"/>
          <w:sz w:val="12"/>
          <w:szCs w:val="24"/>
        </w:rPr>
      </w:pPr>
    </w:p>
    <w:p w14:paraId="6E48562E" w14:textId="5ADA1946" w:rsidR="000A0962" w:rsidRPr="000A0962" w:rsidRDefault="000A0962" w:rsidP="000A0962">
      <w:pPr>
        <w:rPr>
          <w:rFonts w:cs="Arial"/>
          <w:sz w:val="10"/>
        </w:rPr>
      </w:pPr>
    </w:p>
    <w:p w14:paraId="26535098" w14:textId="47E47694" w:rsidR="00395555" w:rsidRDefault="002C50EE" w:rsidP="008A6AF2">
      <w:pPr>
        <w:pStyle w:val="Heading2"/>
      </w:pPr>
      <w:r>
        <w:t>5.2. Фармакокинетични свойства</w:t>
      </w:r>
    </w:p>
    <w:p w14:paraId="22A5E635" w14:textId="517D3BF2" w:rsidR="000A0962" w:rsidRDefault="000A0962" w:rsidP="000A0962"/>
    <w:p w14:paraId="0FFAB04B" w14:textId="77777777" w:rsidR="000A0962" w:rsidRPr="000A0962" w:rsidRDefault="000A0962" w:rsidP="000A0962">
      <w:pPr>
        <w:pStyle w:val="Heading3"/>
        <w:rPr>
          <w:rFonts w:eastAsia="Times New Roman"/>
          <w:sz w:val="12"/>
          <w:u w:val="single"/>
        </w:rPr>
      </w:pPr>
      <w:r w:rsidRPr="000A0962">
        <w:rPr>
          <w:rFonts w:eastAsia="Times New Roman"/>
          <w:u w:val="single"/>
          <w:lang w:eastAsia="bg-BG"/>
        </w:rPr>
        <w:t>Абсорбция</w:t>
      </w:r>
    </w:p>
    <w:p w14:paraId="1F49F2EF"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И двата енантиомера се абсорбират бързо след перорално приложение. Абсорбцията на небиволол не се повлиява от храната; небиволол може да се приема с или без храна.</w:t>
      </w:r>
    </w:p>
    <w:p w14:paraId="17F82571" w14:textId="77777777" w:rsidR="000A0962" w:rsidRDefault="000A0962" w:rsidP="000A0962">
      <w:pPr>
        <w:spacing w:line="240" w:lineRule="auto"/>
        <w:rPr>
          <w:rFonts w:eastAsia="Times New Roman" w:cs="Arial"/>
          <w:color w:val="000000"/>
          <w:szCs w:val="44"/>
          <w:u w:val="single"/>
          <w:lang w:eastAsia="bg-BG"/>
        </w:rPr>
      </w:pPr>
    </w:p>
    <w:p w14:paraId="72F96B73" w14:textId="77A88B62" w:rsidR="000A0962" w:rsidRPr="000A0962" w:rsidRDefault="000A0962" w:rsidP="000A0962">
      <w:pPr>
        <w:pStyle w:val="Heading3"/>
        <w:rPr>
          <w:rFonts w:eastAsia="Times New Roman"/>
          <w:sz w:val="12"/>
          <w:u w:val="single"/>
        </w:rPr>
      </w:pPr>
      <w:r w:rsidRPr="000A0962">
        <w:rPr>
          <w:rFonts w:eastAsia="Times New Roman"/>
          <w:u w:val="single"/>
          <w:lang w:eastAsia="bg-BG"/>
        </w:rPr>
        <w:t>Разпределение</w:t>
      </w:r>
    </w:p>
    <w:p w14:paraId="659C168F"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 xml:space="preserve">В плазмата, и двата енантиомера на небиволол се свързват главно с албумин. Свързването с плазмените белтъци е 98,1% за </w:t>
      </w:r>
      <w:r w:rsidRPr="000A0962">
        <w:rPr>
          <w:rFonts w:eastAsia="Times New Roman" w:cs="Arial"/>
          <w:color w:val="000000"/>
          <w:szCs w:val="44"/>
          <w:lang w:val="en-US"/>
        </w:rPr>
        <w:t>SRRR</w:t>
      </w:r>
      <w:r w:rsidRPr="000A0962">
        <w:rPr>
          <w:rFonts w:eastAsia="Times New Roman" w:cs="Arial"/>
          <w:color w:val="000000"/>
          <w:szCs w:val="44"/>
          <w:lang w:eastAsia="bg-BG"/>
        </w:rPr>
        <w:t xml:space="preserve">-небиволол и 97,9% за </w:t>
      </w:r>
      <w:r w:rsidRPr="000A0962">
        <w:rPr>
          <w:rFonts w:eastAsia="Times New Roman" w:cs="Arial"/>
          <w:color w:val="000000"/>
          <w:szCs w:val="44"/>
          <w:lang w:val="en-US"/>
        </w:rPr>
        <w:t>RSSS</w:t>
      </w:r>
      <w:r w:rsidRPr="000A0962">
        <w:rPr>
          <w:rFonts w:eastAsia="Times New Roman" w:cs="Arial"/>
          <w:color w:val="000000"/>
          <w:szCs w:val="44"/>
          <w:lang w:eastAsia="bg-BG"/>
        </w:rPr>
        <w:t>-небиволол.</w:t>
      </w:r>
    </w:p>
    <w:p w14:paraId="7B956E05" w14:textId="77777777" w:rsidR="000A0962" w:rsidRDefault="000A0962" w:rsidP="000A0962">
      <w:pPr>
        <w:spacing w:line="240" w:lineRule="auto"/>
        <w:rPr>
          <w:rFonts w:eastAsia="Times New Roman" w:cs="Arial"/>
          <w:color w:val="000000"/>
          <w:szCs w:val="44"/>
          <w:u w:val="single"/>
          <w:lang w:eastAsia="bg-BG"/>
        </w:rPr>
      </w:pPr>
    </w:p>
    <w:p w14:paraId="301A487D" w14:textId="25C116D3" w:rsidR="000A0962" w:rsidRPr="000A0962" w:rsidRDefault="000A0962" w:rsidP="000A0962">
      <w:pPr>
        <w:pStyle w:val="Heading3"/>
        <w:rPr>
          <w:rFonts w:eastAsia="Times New Roman"/>
          <w:sz w:val="12"/>
          <w:u w:val="single"/>
        </w:rPr>
      </w:pPr>
      <w:r w:rsidRPr="000A0962">
        <w:rPr>
          <w:rFonts w:eastAsia="Times New Roman"/>
          <w:u w:val="single"/>
          <w:lang w:eastAsia="bg-BG"/>
        </w:rPr>
        <w:lastRenderedPageBreak/>
        <w:t>Биотрансформация</w:t>
      </w:r>
    </w:p>
    <w:p w14:paraId="7B5BA365"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 xml:space="preserve">Небиволол се метаболизира изцяло, отчасти в активни хидрокси-метаболити. Небиволол се метаболизира чрез алициклична и ароматна хидроксилация, </w:t>
      </w:r>
      <w:r w:rsidRPr="000A0962">
        <w:rPr>
          <w:rFonts w:eastAsia="Times New Roman" w:cs="Arial"/>
          <w:color w:val="000000"/>
          <w:szCs w:val="44"/>
          <w:lang w:val="en-US"/>
        </w:rPr>
        <w:t>N</w:t>
      </w:r>
      <w:r w:rsidRPr="000A0962">
        <w:rPr>
          <w:rFonts w:eastAsia="Times New Roman" w:cs="Arial"/>
          <w:color w:val="000000"/>
          <w:szCs w:val="44"/>
          <w:lang w:eastAsia="bg-BG"/>
        </w:rPr>
        <w:t>-деалкилация и глюкоронидизация; в допълнение се образуват глюкорониди на хидрокси-метаболитите.</w:t>
      </w:r>
    </w:p>
    <w:p w14:paraId="05985E8B"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 xml:space="preserve">Метаболизмът на небиволол чрез ароматна дехидроксилация е предмет на </w:t>
      </w:r>
      <w:r w:rsidRPr="000A0962">
        <w:rPr>
          <w:rFonts w:eastAsia="Times New Roman" w:cs="Arial"/>
          <w:color w:val="000000"/>
          <w:szCs w:val="44"/>
          <w:lang w:val="en-US"/>
        </w:rPr>
        <w:t>CYP</w:t>
      </w:r>
      <w:r w:rsidRPr="000A0962">
        <w:rPr>
          <w:rFonts w:eastAsia="Times New Roman" w:cs="Arial"/>
          <w:color w:val="000000"/>
          <w:szCs w:val="44"/>
          <w:lang w:val="ru-RU"/>
        </w:rPr>
        <w:t>2</w:t>
      </w:r>
      <w:r w:rsidRPr="000A0962">
        <w:rPr>
          <w:rFonts w:eastAsia="Times New Roman" w:cs="Arial"/>
          <w:color w:val="000000"/>
          <w:szCs w:val="44"/>
          <w:lang w:val="en-US"/>
        </w:rPr>
        <w:t>D</w:t>
      </w:r>
      <w:r w:rsidRPr="000A0962">
        <w:rPr>
          <w:rFonts w:eastAsia="Times New Roman" w:cs="Arial"/>
          <w:color w:val="000000"/>
          <w:szCs w:val="44"/>
          <w:lang w:val="ru-RU"/>
        </w:rPr>
        <w:t xml:space="preserve">6 </w:t>
      </w:r>
      <w:r w:rsidRPr="000A0962">
        <w:rPr>
          <w:rFonts w:eastAsia="Times New Roman" w:cs="Arial"/>
          <w:color w:val="000000"/>
          <w:szCs w:val="44"/>
          <w:lang w:eastAsia="bg-BG"/>
        </w:rPr>
        <w:t>зависим оксидативен полиморфизъм. Бионаличността на небиволол при перорално приложение е средно 12% при пациентите с бърз метаболизъм и почти пълна при пациентите с бавен метаболизъм. При пациентите с бавен метаболизъм пиковите плазмени концентрации на непроменения небиволол са около 23 пъти по-високи в сравнение с пациентите с бърз метаболизъм, отчетени в равновесно състояние и при едни и същи дози. Ако се има предвид сумата от непромененото лекарство плюс активните метаболити, разликата в пиковите плазмени концентрации е около 1,3 до 1,4 пъти.</w:t>
      </w:r>
    </w:p>
    <w:p w14:paraId="70E5EAAA" w14:textId="77777777" w:rsidR="000A0962" w:rsidRDefault="000A0962" w:rsidP="000A0962">
      <w:pPr>
        <w:spacing w:line="240" w:lineRule="auto"/>
        <w:rPr>
          <w:rFonts w:eastAsia="Times New Roman" w:cs="Arial"/>
          <w:color w:val="000000"/>
          <w:szCs w:val="44"/>
          <w:lang w:eastAsia="bg-BG"/>
        </w:rPr>
      </w:pPr>
    </w:p>
    <w:p w14:paraId="416FAFEC" w14:textId="303EB65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Поради разликите в скоростта на метаболизиране, дозата небиволол трябва винаги да се съобразява с индивидуалните изискватния на пациента и в този смисъл при пациентите с бавен метаболизъм са необходими по-ниски дози.</w:t>
      </w:r>
    </w:p>
    <w:p w14:paraId="006FA6F3" w14:textId="77777777" w:rsidR="000A0962" w:rsidRDefault="000A0962" w:rsidP="000A0962">
      <w:pPr>
        <w:spacing w:line="240" w:lineRule="auto"/>
        <w:rPr>
          <w:rFonts w:eastAsia="Times New Roman" w:cs="Arial"/>
          <w:color w:val="000000"/>
          <w:szCs w:val="44"/>
          <w:lang w:eastAsia="bg-BG"/>
        </w:rPr>
      </w:pPr>
    </w:p>
    <w:p w14:paraId="74BCB7C3" w14:textId="104D4C2A"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 xml:space="preserve">При пациентите с бърз метаболизъм, елиминационен полуживот на енантиомерите на небиволол е средно 10 часа. При пациентите с бавен метаболизъм това време е 3-5 пъти по-дълго. При пациентите с бърз метаболизъм плазмените нива на </w:t>
      </w:r>
      <w:r w:rsidRPr="000A0962">
        <w:rPr>
          <w:rFonts w:eastAsia="Times New Roman" w:cs="Arial"/>
          <w:color w:val="000000"/>
          <w:szCs w:val="44"/>
          <w:lang w:val="en-US"/>
        </w:rPr>
        <w:t>RSSS</w:t>
      </w:r>
      <w:r w:rsidRPr="000A0962">
        <w:rPr>
          <w:rFonts w:eastAsia="Times New Roman" w:cs="Arial"/>
          <w:color w:val="000000"/>
          <w:szCs w:val="44"/>
          <w:lang w:eastAsia="bg-BG"/>
        </w:rPr>
        <w:t xml:space="preserve">-енантиомера са малко по-високи от тези на </w:t>
      </w:r>
      <w:r w:rsidRPr="000A0962">
        <w:rPr>
          <w:rFonts w:eastAsia="Times New Roman" w:cs="Arial"/>
          <w:color w:val="000000"/>
          <w:szCs w:val="44"/>
          <w:lang w:val="en-US"/>
        </w:rPr>
        <w:t>SRRR</w:t>
      </w:r>
      <w:r w:rsidRPr="000A0962">
        <w:rPr>
          <w:rFonts w:eastAsia="Times New Roman" w:cs="Arial"/>
          <w:color w:val="000000"/>
          <w:szCs w:val="44"/>
          <w:lang w:eastAsia="bg-BG"/>
        </w:rPr>
        <w:t>-енантиомера. При пациентите с бавен метаболизъм тази разлика е по-голяма. При пациентите с бърз метаболизъм елиминационен полуживот на хидроксиметаболитите на двата енантиомера е около 24 часа, а при пациенти с бавен метаболизъм е около 2 пъти по-дълго.</w:t>
      </w:r>
    </w:p>
    <w:p w14:paraId="46003064" w14:textId="77777777" w:rsidR="000A0962" w:rsidRDefault="000A0962" w:rsidP="000A0962">
      <w:pPr>
        <w:spacing w:line="240" w:lineRule="auto"/>
        <w:rPr>
          <w:rFonts w:eastAsia="Times New Roman" w:cs="Arial"/>
          <w:color w:val="000000"/>
          <w:szCs w:val="44"/>
          <w:lang w:eastAsia="bg-BG"/>
        </w:rPr>
      </w:pPr>
    </w:p>
    <w:p w14:paraId="06E2BB8A" w14:textId="6B7D6E5F"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Равновесните плазмени нива при повечето пациенти (с бърз метаболизъм) се постигат в рамките на 24 часа за небиволол и за няколко дни за хидроксиметаболитите.</w:t>
      </w:r>
    </w:p>
    <w:p w14:paraId="43414ECF" w14:textId="77777777" w:rsidR="000A0962" w:rsidRPr="000A0962" w:rsidRDefault="000A0962" w:rsidP="000A0962">
      <w:pPr>
        <w:spacing w:line="240" w:lineRule="auto"/>
        <w:rPr>
          <w:rFonts w:eastAsia="Times New Roman" w:cs="Arial"/>
          <w:sz w:val="12"/>
          <w:szCs w:val="24"/>
        </w:rPr>
      </w:pPr>
      <w:r w:rsidRPr="000A0962">
        <w:rPr>
          <w:rFonts w:eastAsia="Times New Roman" w:cs="Arial"/>
          <w:color w:val="000000"/>
          <w:szCs w:val="44"/>
          <w:lang w:eastAsia="bg-BG"/>
        </w:rPr>
        <w:t xml:space="preserve">Плазмените концентрации са пропарционални на дозата в рамките на 1-30 </w:t>
      </w:r>
      <w:r w:rsidRPr="000A0962">
        <w:rPr>
          <w:rFonts w:eastAsia="Times New Roman" w:cs="Arial"/>
          <w:color w:val="000000"/>
          <w:szCs w:val="44"/>
          <w:lang w:val="en-US"/>
        </w:rPr>
        <w:t>mg</w:t>
      </w:r>
      <w:r w:rsidRPr="000A0962">
        <w:rPr>
          <w:rFonts w:eastAsia="Times New Roman" w:cs="Arial"/>
          <w:color w:val="000000"/>
          <w:szCs w:val="44"/>
          <w:lang w:val="ru-RU"/>
        </w:rPr>
        <w:t xml:space="preserve">, </w:t>
      </w:r>
      <w:r w:rsidRPr="000A0962">
        <w:rPr>
          <w:rFonts w:eastAsia="Times New Roman" w:cs="Arial"/>
          <w:color w:val="000000"/>
          <w:szCs w:val="44"/>
          <w:lang w:eastAsia="bg-BG"/>
        </w:rPr>
        <w:t>Фармакокинетиката на небиволол не се повлиява от възрастта.</w:t>
      </w:r>
    </w:p>
    <w:p w14:paraId="67CB42A9" w14:textId="77777777" w:rsidR="000A0962" w:rsidRDefault="000A0962" w:rsidP="000A0962">
      <w:pPr>
        <w:spacing w:line="240" w:lineRule="auto"/>
        <w:rPr>
          <w:rFonts w:eastAsia="Times New Roman" w:cs="Arial"/>
          <w:color w:val="000000"/>
          <w:szCs w:val="44"/>
          <w:u w:val="single"/>
          <w:lang w:eastAsia="bg-BG"/>
        </w:rPr>
      </w:pPr>
    </w:p>
    <w:p w14:paraId="3B794573" w14:textId="7BC93DC9" w:rsidR="000A0962" w:rsidRPr="000A0962" w:rsidRDefault="000A0962" w:rsidP="000A0962">
      <w:pPr>
        <w:pStyle w:val="Heading3"/>
        <w:rPr>
          <w:rFonts w:eastAsia="Times New Roman"/>
          <w:u w:val="single"/>
          <w:lang w:eastAsia="bg-BG"/>
        </w:rPr>
      </w:pPr>
      <w:r w:rsidRPr="000A0962">
        <w:rPr>
          <w:rFonts w:eastAsia="Times New Roman"/>
          <w:u w:val="single"/>
          <w:lang w:eastAsia="bg-BG"/>
        </w:rPr>
        <w:t>Елиминиране</w:t>
      </w:r>
    </w:p>
    <w:p w14:paraId="711CEC0F" w14:textId="1C3BA1C1" w:rsidR="000A0962" w:rsidRPr="000A0962" w:rsidRDefault="000A0962" w:rsidP="000A0962">
      <w:pPr>
        <w:rPr>
          <w:sz w:val="24"/>
          <w:szCs w:val="24"/>
        </w:rPr>
      </w:pPr>
      <w:r w:rsidRPr="000A0962">
        <w:rPr>
          <w:lang w:eastAsia="bg-BG"/>
        </w:rPr>
        <w:t>Една седмица след приложението 38% от дозата се екскретира в урината и 48% във фецеса.</w:t>
      </w:r>
      <w:r>
        <w:rPr>
          <w:sz w:val="24"/>
          <w:szCs w:val="24"/>
        </w:rPr>
        <w:t xml:space="preserve"> </w:t>
      </w:r>
      <w:r w:rsidRPr="000A0962">
        <w:rPr>
          <w:lang w:eastAsia="bg-BG"/>
        </w:rPr>
        <w:t>Екскретираният непроменен небиволол в урина</w:t>
      </w:r>
      <w:r>
        <w:rPr>
          <w:lang w:eastAsia="bg-BG"/>
        </w:rPr>
        <w:t>та е по-малко от 0,5% от дозата.</w:t>
      </w:r>
    </w:p>
    <w:p w14:paraId="7254338A" w14:textId="77777777" w:rsidR="000A0962" w:rsidRPr="000A0962" w:rsidRDefault="000A0962" w:rsidP="000A0962">
      <w:pPr>
        <w:spacing w:line="240" w:lineRule="auto"/>
        <w:rPr>
          <w:rFonts w:eastAsia="Times New Roman" w:cs="Arial"/>
          <w:sz w:val="12"/>
          <w:szCs w:val="24"/>
        </w:rPr>
      </w:pPr>
    </w:p>
    <w:p w14:paraId="4C7191B3" w14:textId="77777777" w:rsidR="000A0962" w:rsidRPr="000A0962" w:rsidRDefault="000A0962" w:rsidP="000A0962"/>
    <w:p w14:paraId="028E658A" w14:textId="36B91C5D" w:rsidR="00395555" w:rsidRDefault="002C50EE" w:rsidP="008A6AF2">
      <w:pPr>
        <w:pStyle w:val="Heading2"/>
      </w:pPr>
      <w:r>
        <w:t>5.3. Предклинични данни за безопасност</w:t>
      </w:r>
    </w:p>
    <w:p w14:paraId="0F56BD9B" w14:textId="77777777" w:rsidR="000A0962" w:rsidRDefault="000A0962" w:rsidP="000A0962"/>
    <w:p w14:paraId="20B0D218" w14:textId="1D70E6E6" w:rsidR="000A0962" w:rsidRPr="000A0962" w:rsidRDefault="000A0962" w:rsidP="000A0962">
      <w:pPr>
        <w:rPr>
          <w:sz w:val="24"/>
          <w:szCs w:val="24"/>
        </w:rPr>
      </w:pPr>
      <w:r w:rsidRPr="000A0962">
        <w:rPr>
          <w:lang w:eastAsia="bg-BG"/>
        </w:rPr>
        <w:t>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генотоксичност, карциногенен потенциал, репродуктивна токсичн</w:t>
      </w:r>
      <w:r>
        <w:rPr>
          <w:lang w:eastAsia="bg-BG"/>
        </w:rPr>
        <w:t>ост и токсичност за развитието.</w:t>
      </w:r>
    </w:p>
    <w:p w14:paraId="6A7820AB" w14:textId="0DB491B1" w:rsidR="008A6AF2" w:rsidRDefault="002C50EE" w:rsidP="00395555">
      <w:pPr>
        <w:pStyle w:val="Heading1"/>
      </w:pPr>
      <w:r>
        <w:t>7. ПРИТЕЖАТЕЛ НА РАЗРЕШЕНИЕТО ЗА УПОТРЕБА</w:t>
      </w:r>
    </w:p>
    <w:p w14:paraId="6345F77C" w14:textId="0E343521" w:rsidR="000A0962" w:rsidRDefault="000A0962" w:rsidP="000A0962"/>
    <w:p w14:paraId="38539472" w14:textId="77777777" w:rsidR="000A0962" w:rsidRPr="000A0962" w:rsidRDefault="000A0962" w:rsidP="000A0962">
      <w:pPr>
        <w:rPr>
          <w:sz w:val="24"/>
          <w:szCs w:val="24"/>
          <w:lang w:val="en-US"/>
        </w:rPr>
      </w:pPr>
      <w:r w:rsidRPr="000A0962">
        <w:rPr>
          <w:lang w:val="en-US"/>
        </w:rPr>
        <w:t xml:space="preserve">STADA </w:t>
      </w:r>
      <w:proofErr w:type="spellStart"/>
      <w:r w:rsidRPr="000A0962">
        <w:rPr>
          <w:lang w:val="en-US"/>
        </w:rPr>
        <w:t>Arzneimittel</w:t>
      </w:r>
      <w:proofErr w:type="spellEnd"/>
      <w:r w:rsidRPr="000A0962">
        <w:rPr>
          <w:lang w:val="en-US"/>
        </w:rPr>
        <w:t xml:space="preserve"> AG</w:t>
      </w:r>
    </w:p>
    <w:p w14:paraId="7972AC6E" w14:textId="77777777" w:rsidR="000A0962" w:rsidRPr="000A0962" w:rsidRDefault="000A0962" w:rsidP="000A0962">
      <w:pPr>
        <w:rPr>
          <w:sz w:val="24"/>
          <w:szCs w:val="24"/>
          <w:lang w:val="en-US"/>
        </w:rPr>
      </w:pPr>
      <w:proofErr w:type="spellStart"/>
      <w:r w:rsidRPr="000A0962">
        <w:rPr>
          <w:lang w:val="en-US"/>
        </w:rPr>
        <w:t>Stadastr</w:t>
      </w:r>
      <w:proofErr w:type="spellEnd"/>
      <w:r w:rsidRPr="000A0962">
        <w:rPr>
          <w:lang w:val="en-US"/>
        </w:rPr>
        <w:t xml:space="preserve">. </w:t>
      </w:r>
      <w:r w:rsidRPr="000A0962">
        <w:rPr>
          <w:lang w:eastAsia="bg-BG"/>
        </w:rPr>
        <w:t xml:space="preserve">2-18,61118 </w:t>
      </w:r>
      <w:r w:rsidRPr="000A0962">
        <w:rPr>
          <w:lang w:val="en-US"/>
        </w:rPr>
        <w:t xml:space="preserve">Bad </w:t>
      </w:r>
      <w:proofErr w:type="spellStart"/>
      <w:r w:rsidRPr="000A0962">
        <w:rPr>
          <w:lang w:val="en-US"/>
        </w:rPr>
        <w:t>Vilbel</w:t>
      </w:r>
      <w:proofErr w:type="spellEnd"/>
    </w:p>
    <w:p w14:paraId="03E6E7BE" w14:textId="3F4E020E" w:rsidR="000A0962" w:rsidRPr="000A0962" w:rsidRDefault="000A0962" w:rsidP="000A0962">
      <w:r w:rsidRPr="000A0962">
        <w:rPr>
          <w:lang w:eastAsia="bg-BG"/>
        </w:rPr>
        <w:t>Германия</w:t>
      </w:r>
    </w:p>
    <w:p w14:paraId="04840D59" w14:textId="2EB1A3EF" w:rsidR="002C50EE" w:rsidRDefault="002C50EE" w:rsidP="00395555">
      <w:pPr>
        <w:pStyle w:val="Heading1"/>
      </w:pPr>
      <w:r>
        <w:lastRenderedPageBreak/>
        <w:t>8. НОМЕР НА РАЗРЕШЕНИЕТО ЗА УПОТРЕБА</w:t>
      </w:r>
    </w:p>
    <w:p w14:paraId="6FEAE149" w14:textId="20D1A914" w:rsidR="000A0962" w:rsidRDefault="000A0962" w:rsidP="000A0962"/>
    <w:p w14:paraId="26502BF9" w14:textId="6BF89DFC" w:rsidR="000A0962" w:rsidRPr="000A0962" w:rsidRDefault="000A0962" w:rsidP="000A0962">
      <w:r>
        <w:t>20130061</w:t>
      </w:r>
    </w:p>
    <w:p w14:paraId="2CCB5832" w14:textId="3BD1C2EF" w:rsidR="007C605B" w:rsidRDefault="002C50EE" w:rsidP="007C605B">
      <w:pPr>
        <w:pStyle w:val="Heading1"/>
      </w:pPr>
      <w:r>
        <w:t>9. ДАТА НА ПЪРВО РАЗРЕШАВАНЕ/ПОДНОВЯВАНЕ НА РАЗРЕШЕНИЕТО ЗА УПОТРЕБА</w:t>
      </w:r>
    </w:p>
    <w:p w14:paraId="7930245C" w14:textId="09A7F348" w:rsidR="000A0962" w:rsidRPr="000A0962" w:rsidRDefault="000A0962" w:rsidP="000A0962">
      <w:r>
        <w:t>11.02.2013 г. /03.10.2017</w:t>
      </w:r>
    </w:p>
    <w:p w14:paraId="0E9D0119" w14:textId="0245C6D7" w:rsidR="002C50EE" w:rsidRDefault="002C50EE" w:rsidP="002C50EE">
      <w:pPr>
        <w:pStyle w:val="Heading1"/>
      </w:pPr>
      <w:r>
        <w:t>10. ДАТА НА АКТУАЛИЗИРАНЕ НА ТЕКСТА</w:t>
      </w:r>
    </w:p>
    <w:bookmarkEnd w:id="0"/>
    <w:p w14:paraId="43FB38A2" w14:textId="7CEB290E" w:rsidR="007C605B" w:rsidRPr="003E3126" w:rsidRDefault="000A0962" w:rsidP="000A0962">
      <w:r>
        <w:t>17.01.2020</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4C573F0"/>
    <w:multiLevelType w:val="hybridMultilevel"/>
    <w:tmpl w:val="2A707EF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71C0666"/>
    <w:multiLevelType w:val="hybridMultilevel"/>
    <w:tmpl w:val="61B6169C"/>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64EEA"/>
    <w:multiLevelType w:val="hybridMultilevel"/>
    <w:tmpl w:val="6D387D1A"/>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7"/>
  </w:num>
  <w:num w:numId="7">
    <w:abstractNumId w:val="11"/>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0"/>
  </w:num>
  <w:num w:numId="17">
    <w:abstractNumId w:val="25"/>
  </w:num>
  <w:num w:numId="18">
    <w:abstractNumId w:val="8"/>
  </w:num>
  <w:num w:numId="19">
    <w:abstractNumId w:val="28"/>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3"/>
  </w:num>
  <w:num w:numId="31">
    <w:abstractNumId w:val="5"/>
  </w:num>
  <w:num w:numId="32">
    <w:abstractNumId w:val="27"/>
  </w:num>
  <w:num w:numId="33">
    <w:abstractNumId w:val="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A0962"/>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4048</Words>
  <Characters>23080</Characters>
  <Application>Microsoft Office Word</Application>
  <DocSecurity>0</DocSecurity>
  <Lines>192</Lines>
  <Paragraphs>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2022-01-10T15:11:00Z</dcterms:created>
  <dcterms:modified xsi:type="dcterms:W3CDTF">2022-01-10T15:11:00Z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