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55762C62" w:rsidR="007122AD" w:rsidRDefault="00DD466D" w:rsidP="00936AD0">
      <w:pPr>
        <w:pStyle w:val="Heading1"/>
      </w:pPr>
      <w:r>
        <w:t>1.ИМЕ НА ЛЕКАРСТВЕНИЯ ПРОДУКТ</w:t>
      </w:r>
    </w:p>
    <w:p w14:paraId="3191878A" w14:textId="37098E1A" w:rsidR="00970D99" w:rsidRDefault="00970D99" w:rsidP="00970D99"/>
    <w:p w14:paraId="59F5A7F3" w14:textId="77777777" w:rsidR="00970D99" w:rsidRPr="00970D99" w:rsidRDefault="00970D99" w:rsidP="00970D99">
      <w:pPr>
        <w:rPr>
          <w:sz w:val="24"/>
          <w:szCs w:val="24"/>
          <w:lang w:val="ru-RU"/>
        </w:rPr>
      </w:pPr>
      <w:r w:rsidRPr="00970D99">
        <w:rPr>
          <w:lang w:eastAsia="bg-BG"/>
        </w:rPr>
        <w:t xml:space="preserve">Карведил 6,25 </w:t>
      </w:r>
      <w:r w:rsidRPr="00970D99">
        <w:rPr>
          <w:lang w:val="en-US"/>
        </w:rPr>
        <w:t>mg</w:t>
      </w:r>
      <w:r w:rsidRPr="00970D99">
        <w:rPr>
          <w:lang w:val="ru-RU"/>
        </w:rPr>
        <w:t xml:space="preserve"> </w:t>
      </w:r>
      <w:r w:rsidRPr="00970D99">
        <w:rPr>
          <w:lang w:eastAsia="bg-BG"/>
        </w:rPr>
        <w:t>таблетки</w:t>
      </w:r>
    </w:p>
    <w:p w14:paraId="40390299" w14:textId="77777777" w:rsidR="00970D99" w:rsidRPr="00970D99" w:rsidRDefault="00970D99" w:rsidP="00970D99">
      <w:pPr>
        <w:rPr>
          <w:sz w:val="24"/>
          <w:szCs w:val="24"/>
          <w:lang w:val="ru-RU"/>
        </w:rPr>
      </w:pPr>
      <w:r w:rsidRPr="00970D99">
        <w:rPr>
          <w:lang w:eastAsia="bg-BG"/>
        </w:rPr>
        <w:t xml:space="preserve">Карведил 12,5 </w:t>
      </w:r>
      <w:r w:rsidRPr="00970D99">
        <w:rPr>
          <w:lang w:val="en-US"/>
        </w:rPr>
        <w:t>mg</w:t>
      </w:r>
      <w:r w:rsidRPr="00970D99">
        <w:rPr>
          <w:lang w:val="ru-RU"/>
        </w:rPr>
        <w:t xml:space="preserve"> </w:t>
      </w:r>
      <w:r w:rsidRPr="00970D99">
        <w:rPr>
          <w:lang w:eastAsia="bg-BG"/>
        </w:rPr>
        <w:t>таблетки</w:t>
      </w:r>
    </w:p>
    <w:p w14:paraId="662581F2" w14:textId="77777777" w:rsidR="00970D99" w:rsidRPr="00970D99" w:rsidRDefault="00970D99" w:rsidP="00970D99">
      <w:pPr>
        <w:rPr>
          <w:sz w:val="24"/>
          <w:szCs w:val="24"/>
          <w:lang w:val="ru-RU"/>
        </w:rPr>
      </w:pPr>
      <w:r w:rsidRPr="00970D99">
        <w:rPr>
          <w:lang w:eastAsia="bg-BG"/>
        </w:rPr>
        <w:t xml:space="preserve">Карведил 25 </w:t>
      </w:r>
      <w:r w:rsidRPr="00970D99">
        <w:rPr>
          <w:lang w:val="en-US"/>
        </w:rPr>
        <w:t>mg</w:t>
      </w:r>
      <w:r w:rsidRPr="00970D99">
        <w:rPr>
          <w:lang w:val="ru-RU"/>
        </w:rPr>
        <w:t xml:space="preserve"> </w:t>
      </w:r>
      <w:r w:rsidRPr="00970D99">
        <w:rPr>
          <w:lang w:eastAsia="bg-BG"/>
        </w:rPr>
        <w:t>таблетки</w:t>
      </w:r>
    </w:p>
    <w:p w14:paraId="5753EA7C" w14:textId="77777777" w:rsidR="00970D99" w:rsidRDefault="00970D99" w:rsidP="00970D99">
      <w:pPr>
        <w:rPr>
          <w:lang w:val="en-US"/>
        </w:rPr>
      </w:pPr>
    </w:p>
    <w:p w14:paraId="47F6FD00" w14:textId="4DEB4F74" w:rsidR="00970D99" w:rsidRPr="00970D99" w:rsidRDefault="00970D99" w:rsidP="00970D99">
      <w:pPr>
        <w:rPr>
          <w:sz w:val="24"/>
          <w:szCs w:val="24"/>
          <w:lang w:val="ru-RU"/>
        </w:rPr>
      </w:pPr>
      <w:proofErr w:type="spellStart"/>
      <w:r w:rsidRPr="00970D99">
        <w:rPr>
          <w:lang w:val="en-US"/>
        </w:rPr>
        <w:t>Carvedil</w:t>
      </w:r>
      <w:proofErr w:type="spellEnd"/>
      <w:r w:rsidRPr="00970D99">
        <w:rPr>
          <w:lang w:val="ru-RU"/>
        </w:rPr>
        <w:t xml:space="preserve"> </w:t>
      </w:r>
      <w:r w:rsidRPr="00970D99">
        <w:rPr>
          <w:lang w:eastAsia="bg-BG"/>
        </w:rPr>
        <w:t>6</w:t>
      </w:r>
      <w:proofErr w:type="gramStart"/>
      <w:r w:rsidRPr="00970D99">
        <w:rPr>
          <w:lang w:eastAsia="bg-BG"/>
        </w:rPr>
        <w:t>,25</w:t>
      </w:r>
      <w:proofErr w:type="gramEnd"/>
      <w:r w:rsidRPr="00970D99">
        <w:rPr>
          <w:lang w:eastAsia="bg-BG"/>
        </w:rPr>
        <w:t xml:space="preserve"> </w:t>
      </w:r>
      <w:r w:rsidRPr="00970D99">
        <w:rPr>
          <w:lang w:val="en-US"/>
        </w:rPr>
        <w:t>mg</w:t>
      </w:r>
      <w:r w:rsidRPr="00970D99">
        <w:rPr>
          <w:lang w:val="ru-RU"/>
        </w:rPr>
        <w:t xml:space="preserve"> </w:t>
      </w:r>
      <w:r w:rsidRPr="00970D99">
        <w:rPr>
          <w:lang w:val="en-US"/>
        </w:rPr>
        <w:t>tablets</w:t>
      </w:r>
    </w:p>
    <w:p w14:paraId="6954CBE7" w14:textId="77777777" w:rsidR="00970D99" w:rsidRPr="00970D99" w:rsidRDefault="00970D99" w:rsidP="00970D99">
      <w:pPr>
        <w:rPr>
          <w:sz w:val="24"/>
          <w:szCs w:val="24"/>
          <w:lang w:val="en-US"/>
        </w:rPr>
      </w:pPr>
      <w:proofErr w:type="spellStart"/>
      <w:r w:rsidRPr="00970D99">
        <w:rPr>
          <w:lang w:val="en-US"/>
        </w:rPr>
        <w:t>Carvedil</w:t>
      </w:r>
      <w:proofErr w:type="spellEnd"/>
      <w:r w:rsidRPr="00970D99">
        <w:rPr>
          <w:lang w:val="en-US"/>
        </w:rPr>
        <w:t xml:space="preserve"> 12</w:t>
      </w:r>
      <w:proofErr w:type="gramStart"/>
      <w:r w:rsidRPr="00970D99">
        <w:rPr>
          <w:lang w:val="en-US"/>
        </w:rPr>
        <w:t>,5</w:t>
      </w:r>
      <w:proofErr w:type="gramEnd"/>
      <w:r w:rsidRPr="00970D99">
        <w:rPr>
          <w:lang w:val="en-US"/>
        </w:rPr>
        <w:t xml:space="preserve"> mg tablets</w:t>
      </w:r>
    </w:p>
    <w:p w14:paraId="751F5420" w14:textId="77777777" w:rsidR="00970D99" w:rsidRPr="00970D99" w:rsidRDefault="00970D99" w:rsidP="00970D99">
      <w:pPr>
        <w:rPr>
          <w:sz w:val="24"/>
          <w:szCs w:val="24"/>
          <w:lang w:val="en-US"/>
        </w:rPr>
      </w:pPr>
      <w:proofErr w:type="spellStart"/>
      <w:r w:rsidRPr="00970D99">
        <w:rPr>
          <w:lang w:val="en-US"/>
        </w:rPr>
        <w:t>Carvedil</w:t>
      </w:r>
      <w:proofErr w:type="spellEnd"/>
      <w:r w:rsidRPr="00970D99">
        <w:rPr>
          <w:lang w:val="en-US"/>
        </w:rPr>
        <w:t xml:space="preserve"> 25 mg tablets</w:t>
      </w:r>
    </w:p>
    <w:p w14:paraId="049D548A" w14:textId="77777777" w:rsidR="00970D99" w:rsidRPr="00970D99" w:rsidRDefault="00970D99" w:rsidP="00970D99">
      <w:pPr>
        <w:rPr>
          <w:lang w:val="en-US"/>
        </w:rPr>
      </w:pPr>
    </w:p>
    <w:p w14:paraId="6920A680" w14:textId="49576C9D" w:rsidR="00C40420" w:rsidRDefault="00DD466D" w:rsidP="004A448E">
      <w:pPr>
        <w:pStyle w:val="Heading1"/>
      </w:pPr>
      <w:r>
        <w:t>2. КАЧЕСТВЕН И КОЛИЧЕСТВЕН СЪСТАВ</w:t>
      </w:r>
    </w:p>
    <w:p w14:paraId="39EEAD82" w14:textId="14833257" w:rsidR="00970D99" w:rsidRDefault="00970D99" w:rsidP="00970D99"/>
    <w:p w14:paraId="4343425B" w14:textId="77777777"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t xml:space="preserve">Карведил 6,25 </w:t>
      </w:r>
      <w:r w:rsidRPr="00970D99">
        <w:rPr>
          <w:rFonts w:eastAsia="Times New Roman" w:cs="Arial"/>
          <w:color w:val="000000"/>
          <w:szCs w:val="20"/>
          <w:lang w:val="en-US"/>
        </w:rPr>
        <w:t>mg</w:t>
      </w:r>
      <w:r w:rsidRPr="00970D99">
        <w:rPr>
          <w:rFonts w:eastAsia="Times New Roman" w:cs="Arial"/>
          <w:color w:val="000000"/>
          <w:szCs w:val="20"/>
          <w:lang w:val="ru-RU"/>
        </w:rPr>
        <w:t xml:space="preserve"> </w:t>
      </w:r>
      <w:r w:rsidRPr="00970D99">
        <w:rPr>
          <w:rFonts w:eastAsia="Times New Roman" w:cs="Arial"/>
          <w:color w:val="000000"/>
          <w:szCs w:val="20"/>
          <w:lang w:eastAsia="bg-BG"/>
        </w:rPr>
        <w:t xml:space="preserve">таблетки: Всяка таблетка съдържа 6,25 </w:t>
      </w:r>
      <w:r w:rsidRPr="00970D99">
        <w:rPr>
          <w:rFonts w:eastAsia="Times New Roman" w:cs="Arial"/>
          <w:color w:val="000000"/>
          <w:szCs w:val="20"/>
          <w:lang w:val="en-US"/>
        </w:rPr>
        <w:t>mg</w:t>
      </w:r>
      <w:r w:rsidRPr="00970D99">
        <w:rPr>
          <w:rFonts w:eastAsia="Times New Roman" w:cs="Arial"/>
          <w:color w:val="000000"/>
          <w:szCs w:val="20"/>
          <w:lang w:val="ru-RU"/>
        </w:rPr>
        <w:t xml:space="preserve"> </w:t>
      </w:r>
      <w:r w:rsidRPr="00970D99">
        <w:rPr>
          <w:rFonts w:eastAsia="Times New Roman" w:cs="Arial"/>
          <w:color w:val="000000"/>
          <w:szCs w:val="20"/>
          <w:lang w:eastAsia="bg-BG"/>
        </w:rPr>
        <w:t>карведилол.</w:t>
      </w:r>
    </w:p>
    <w:p w14:paraId="0655716F" w14:textId="77777777"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t xml:space="preserve">Помощни вещества с известно действие: Всяка таблетка съдържа 72,25 </w:t>
      </w:r>
      <w:r w:rsidRPr="00970D99">
        <w:rPr>
          <w:rFonts w:eastAsia="Times New Roman" w:cs="Arial"/>
          <w:color w:val="000000"/>
          <w:szCs w:val="20"/>
          <w:lang w:val="en-US"/>
        </w:rPr>
        <w:t>mg</w:t>
      </w:r>
      <w:r w:rsidRPr="00970D99">
        <w:rPr>
          <w:rFonts w:eastAsia="Times New Roman" w:cs="Arial"/>
          <w:color w:val="000000"/>
          <w:szCs w:val="20"/>
          <w:lang w:val="ru-RU"/>
        </w:rPr>
        <w:t xml:space="preserve"> </w:t>
      </w:r>
      <w:r w:rsidRPr="00970D99">
        <w:rPr>
          <w:rFonts w:eastAsia="Times New Roman" w:cs="Arial"/>
          <w:color w:val="000000"/>
          <w:szCs w:val="20"/>
          <w:lang w:eastAsia="bg-BG"/>
        </w:rPr>
        <w:t xml:space="preserve">лактоза монохидрат и 5 </w:t>
      </w:r>
      <w:r w:rsidRPr="00970D99">
        <w:rPr>
          <w:rFonts w:eastAsia="Times New Roman" w:cs="Arial"/>
          <w:color w:val="000000"/>
          <w:szCs w:val="20"/>
          <w:lang w:val="en-US"/>
        </w:rPr>
        <w:t>mg</w:t>
      </w:r>
      <w:r w:rsidRPr="00970D99">
        <w:rPr>
          <w:rFonts w:eastAsia="Times New Roman" w:cs="Arial"/>
          <w:color w:val="000000"/>
          <w:szCs w:val="20"/>
          <w:lang w:val="ru-RU"/>
        </w:rPr>
        <w:t xml:space="preserve"> </w:t>
      </w:r>
      <w:r w:rsidRPr="00970D99">
        <w:rPr>
          <w:rFonts w:eastAsia="Times New Roman" w:cs="Arial"/>
          <w:color w:val="000000"/>
          <w:szCs w:val="20"/>
          <w:lang w:eastAsia="bg-BG"/>
        </w:rPr>
        <w:t>захароза.</w:t>
      </w:r>
    </w:p>
    <w:p w14:paraId="439513D5" w14:textId="77777777" w:rsidR="00970D99" w:rsidRPr="00970D99" w:rsidRDefault="00970D99" w:rsidP="00970D99">
      <w:pPr>
        <w:spacing w:line="240" w:lineRule="auto"/>
        <w:rPr>
          <w:rFonts w:eastAsia="Times New Roman" w:cs="Arial"/>
          <w:color w:val="000000"/>
          <w:szCs w:val="20"/>
          <w:lang w:eastAsia="bg-BG"/>
        </w:rPr>
      </w:pPr>
    </w:p>
    <w:p w14:paraId="16ED50AC" w14:textId="202B98E4"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t xml:space="preserve">Карведил 12,5 </w:t>
      </w:r>
      <w:r w:rsidRPr="00970D99">
        <w:rPr>
          <w:rFonts w:eastAsia="Times New Roman" w:cs="Arial"/>
          <w:color w:val="000000"/>
          <w:szCs w:val="20"/>
          <w:lang w:val="en-US"/>
        </w:rPr>
        <w:t>mg</w:t>
      </w:r>
      <w:r w:rsidRPr="00970D99">
        <w:rPr>
          <w:rFonts w:eastAsia="Times New Roman" w:cs="Arial"/>
          <w:color w:val="000000"/>
          <w:szCs w:val="20"/>
          <w:lang w:val="ru-RU"/>
        </w:rPr>
        <w:t xml:space="preserve"> </w:t>
      </w:r>
      <w:r w:rsidRPr="00970D99">
        <w:rPr>
          <w:rFonts w:eastAsia="Times New Roman" w:cs="Arial"/>
          <w:color w:val="000000"/>
          <w:szCs w:val="20"/>
          <w:lang w:eastAsia="bg-BG"/>
        </w:rPr>
        <w:t xml:space="preserve">таблетки: Всяка таблетка съдържа 12,5 </w:t>
      </w:r>
      <w:r w:rsidRPr="00970D99">
        <w:rPr>
          <w:rFonts w:eastAsia="Times New Roman" w:cs="Arial"/>
          <w:color w:val="000000"/>
          <w:szCs w:val="20"/>
          <w:lang w:val="en-US"/>
        </w:rPr>
        <w:t>mg</w:t>
      </w:r>
      <w:r w:rsidRPr="00970D99">
        <w:rPr>
          <w:rFonts w:eastAsia="Times New Roman" w:cs="Arial"/>
          <w:color w:val="000000"/>
          <w:szCs w:val="20"/>
          <w:lang w:val="ru-RU"/>
        </w:rPr>
        <w:t xml:space="preserve"> </w:t>
      </w:r>
      <w:r w:rsidRPr="00970D99">
        <w:rPr>
          <w:rFonts w:eastAsia="Times New Roman" w:cs="Arial"/>
          <w:color w:val="000000"/>
          <w:szCs w:val="20"/>
          <w:lang w:eastAsia="bg-BG"/>
        </w:rPr>
        <w:t>карведилол.</w:t>
      </w:r>
    </w:p>
    <w:p w14:paraId="293C8371" w14:textId="77777777"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t xml:space="preserve">Помощни вещества с известно действие: Всяка таблетка съдържа 144,50 </w:t>
      </w:r>
      <w:r w:rsidRPr="00970D99">
        <w:rPr>
          <w:rFonts w:eastAsia="Times New Roman" w:cs="Arial"/>
          <w:color w:val="000000"/>
          <w:szCs w:val="20"/>
          <w:lang w:val="en-US"/>
        </w:rPr>
        <w:t>mg</w:t>
      </w:r>
      <w:r w:rsidRPr="00970D99">
        <w:rPr>
          <w:rFonts w:eastAsia="Times New Roman" w:cs="Arial"/>
          <w:color w:val="000000"/>
          <w:szCs w:val="20"/>
          <w:lang w:val="ru-RU"/>
        </w:rPr>
        <w:t xml:space="preserve"> </w:t>
      </w:r>
      <w:r w:rsidRPr="00970D99">
        <w:rPr>
          <w:rFonts w:eastAsia="Times New Roman" w:cs="Arial"/>
          <w:color w:val="000000"/>
          <w:szCs w:val="20"/>
          <w:lang w:eastAsia="bg-BG"/>
        </w:rPr>
        <w:t xml:space="preserve">лактоза монохидрат и 10 </w:t>
      </w:r>
      <w:r w:rsidRPr="00970D99">
        <w:rPr>
          <w:rFonts w:eastAsia="Times New Roman" w:cs="Arial"/>
          <w:color w:val="000000"/>
          <w:szCs w:val="20"/>
          <w:lang w:val="en-US"/>
        </w:rPr>
        <w:t>mg</w:t>
      </w:r>
      <w:r w:rsidRPr="00970D99">
        <w:rPr>
          <w:rFonts w:eastAsia="Times New Roman" w:cs="Arial"/>
          <w:color w:val="000000"/>
          <w:szCs w:val="20"/>
          <w:lang w:val="ru-RU"/>
        </w:rPr>
        <w:t xml:space="preserve"> </w:t>
      </w:r>
      <w:r w:rsidRPr="00970D99">
        <w:rPr>
          <w:rFonts w:eastAsia="Times New Roman" w:cs="Arial"/>
          <w:color w:val="000000"/>
          <w:szCs w:val="20"/>
          <w:lang w:eastAsia="bg-BG"/>
        </w:rPr>
        <w:t>захароза.</w:t>
      </w:r>
    </w:p>
    <w:p w14:paraId="2F59B96F" w14:textId="77777777" w:rsidR="00970D99" w:rsidRPr="00970D99" w:rsidRDefault="00970D99" w:rsidP="00970D99">
      <w:pPr>
        <w:spacing w:line="240" w:lineRule="auto"/>
        <w:rPr>
          <w:rFonts w:eastAsia="Times New Roman" w:cs="Arial"/>
          <w:color w:val="000000"/>
          <w:szCs w:val="20"/>
          <w:lang w:eastAsia="bg-BG"/>
        </w:rPr>
      </w:pPr>
    </w:p>
    <w:p w14:paraId="118B5F4B" w14:textId="0EF6DBC4"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t xml:space="preserve">Карведил 25 </w:t>
      </w:r>
      <w:r w:rsidRPr="00970D99">
        <w:rPr>
          <w:rFonts w:eastAsia="Times New Roman" w:cs="Arial"/>
          <w:color w:val="000000"/>
          <w:szCs w:val="20"/>
          <w:lang w:val="en-US"/>
        </w:rPr>
        <w:t>mg</w:t>
      </w:r>
      <w:r w:rsidRPr="00970D99">
        <w:rPr>
          <w:rFonts w:eastAsia="Times New Roman" w:cs="Arial"/>
          <w:color w:val="000000"/>
          <w:szCs w:val="20"/>
          <w:lang w:val="ru-RU"/>
        </w:rPr>
        <w:t xml:space="preserve"> </w:t>
      </w:r>
      <w:r w:rsidRPr="00970D99">
        <w:rPr>
          <w:rFonts w:eastAsia="Times New Roman" w:cs="Arial"/>
          <w:color w:val="000000"/>
          <w:szCs w:val="20"/>
          <w:lang w:eastAsia="bg-BG"/>
        </w:rPr>
        <w:t xml:space="preserve">таблетки: Всяка таблетка съдържа 25 </w:t>
      </w:r>
      <w:r w:rsidRPr="00970D99">
        <w:rPr>
          <w:rFonts w:eastAsia="Times New Roman" w:cs="Arial"/>
          <w:color w:val="000000"/>
          <w:szCs w:val="20"/>
          <w:lang w:val="en-US"/>
        </w:rPr>
        <w:t>mg</w:t>
      </w:r>
      <w:r w:rsidRPr="00970D99">
        <w:rPr>
          <w:rFonts w:eastAsia="Times New Roman" w:cs="Arial"/>
          <w:color w:val="000000"/>
          <w:szCs w:val="20"/>
          <w:lang w:val="ru-RU"/>
        </w:rPr>
        <w:t xml:space="preserve"> </w:t>
      </w:r>
      <w:r w:rsidRPr="00970D99">
        <w:rPr>
          <w:rFonts w:eastAsia="Times New Roman" w:cs="Arial"/>
          <w:color w:val="000000"/>
          <w:szCs w:val="20"/>
          <w:lang w:eastAsia="bg-BG"/>
        </w:rPr>
        <w:t>карведилол.</w:t>
      </w:r>
    </w:p>
    <w:p w14:paraId="2AD38089" w14:textId="77777777"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t xml:space="preserve">Помощни вещества с известно действие: Всяка таблетка съдържа 85 </w:t>
      </w:r>
      <w:r w:rsidRPr="00970D99">
        <w:rPr>
          <w:rFonts w:eastAsia="Times New Roman" w:cs="Arial"/>
          <w:color w:val="000000"/>
          <w:szCs w:val="20"/>
          <w:lang w:val="en-US"/>
        </w:rPr>
        <w:t>mg</w:t>
      </w:r>
      <w:r w:rsidRPr="00970D99">
        <w:rPr>
          <w:rFonts w:eastAsia="Times New Roman" w:cs="Arial"/>
          <w:color w:val="000000"/>
          <w:szCs w:val="20"/>
          <w:lang w:val="ru-RU"/>
        </w:rPr>
        <w:t xml:space="preserve"> </w:t>
      </w:r>
      <w:r w:rsidRPr="00970D99">
        <w:rPr>
          <w:rFonts w:eastAsia="Times New Roman" w:cs="Arial"/>
          <w:color w:val="000000"/>
          <w:szCs w:val="20"/>
          <w:lang w:eastAsia="bg-BG"/>
        </w:rPr>
        <w:t xml:space="preserve">лактоза монохидрат и 60 </w:t>
      </w:r>
      <w:r w:rsidRPr="00970D99">
        <w:rPr>
          <w:rFonts w:eastAsia="Times New Roman" w:cs="Arial"/>
          <w:color w:val="000000"/>
          <w:szCs w:val="20"/>
          <w:lang w:val="en-US"/>
        </w:rPr>
        <w:t>mg</w:t>
      </w:r>
      <w:r w:rsidRPr="00970D99">
        <w:rPr>
          <w:rFonts w:eastAsia="Times New Roman" w:cs="Arial"/>
          <w:color w:val="000000"/>
          <w:szCs w:val="20"/>
          <w:lang w:val="ru-RU"/>
        </w:rPr>
        <w:t xml:space="preserve"> </w:t>
      </w:r>
      <w:r w:rsidRPr="00970D99">
        <w:rPr>
          <w:rFonts w:eastAsia="Times New Roman" w:cs="Arial"/>
          <w:color w:val="000000"/>
          <w:szCs w:val="20"/>
          <w:lang w:eastAsia="bg-BG"/>
        </w:rPr>
        <w:t>захароза.</w:t>
      </w:r>
    </w:p>
    <w:p w14:paraId="082EEC7B" w14:textId="77777777" w:rsidR="00970D99" w:rsidRPr="00970D99" w:rsidRDefault="00970D99" w:rsidP="00970D99"/>
    <w:p w14:paraId="614984C4" w14:textId="0C98434E" w:rsidR="008A6AF2" w:rsidRDefault="00DD466D" w:rsidP="002C50EE">
      <w:pPr>
        <w:pStyle w:val="Heading1"/>
      </w:pPr>
      <w:r>
        <w:t>3. ЛЕКАРСТВЕНА ФОРМА</w:t>
      </w:r>
    </w:p>
    <w:p w14:paraId="485AD0C4" w14:textId="5F07C957" w:rsidR="00970D99" w:rsidRDefault="00970D99" w:rsidP="00970D99"/>
    <w:p w14:paraId="0A9FBD1A" w14:textId="77777777" w:rsidR="00970D99" w:rsidRPr="00970D99" w:rsidRDefault="00970D99" w:rsidP="00970D99">
      <w:pPr>
        <w:rPr>
          <w:sz w:val="24"/>
          <w:szCs w:val="24"/>
        </w:rPr>
      </w:pPr>
      <w:r w:rsidRPr="00970D99">
        <w:rPr>
          <w:lang w:eastAsia="bg-BG"/>
        </w:rPr>
        <w:t>Таблетка.</w:t>
      </w:r>
    </w:p>
    <w:p w14:paraId="2D264944" w14:textId="77777777" w:rsidR="00970D99" w:rsidRPr="00970D99" w:rsidRDefault="00970D99" w:rsidP="00970D99">
      <w:pPr>
        <w:rPr>
          <w:sz w:val="24"/>
          <w:szCs w:val="24"/>
        </w:rPr>
      </w:pPr>
      <w:r w:rsidRPr="00970D99">
        <w:rPr>
          <w:lang w:eastAsia="bg-BG"/>
        </w:rPr>
        <w:t xml:space="preserve">Карведил 6,25 </w:t>
      </w:r>
      <w:r w:rsidRPr="00970D99">
        <w:rPr>
          <w:lang w:val="en-US"/>
        </w:rPr>
        <w:t>mg</w:t>
      </w:r>
      <w:r w:rsidRPr="00970D99">
        <w:rPr>
          <w:lang w:val="ru-RU"/>
        </w:rPr>
        <w:t xml:space="preserve">: </w:t>
      </w:r>
      <w:r w:rsidRPr="00970D99">
        <w:rPr>
          <w:lang w:eastAsia="bg-BG"/>
        </w:rPr>
        <w:t xml:space="preserve">Кръгли, леко изпъкнали, бели таблетки, с една делителна черта и знак </w:t>
      </w:r>
      <w:r w:rsidRPr="00970D99">
        <w:rPr>
          <w:lang w:val="en-US"/>
        </w:rPr>
        <w:t>S</w:t>
      </w:r>
      <w:r w:rsidRPr="00970D99">
        <w:rPr>
          <w:lang w:val="ru-RU"/>
        </w:rPr>
        <w:t xml:space="preserve">2 </w:t>
      </w:r>
      <w:r w:rsidRPr="00970D99">
        <w:rPr>
          <w:lang w:eastAsia="bg-BG"/>
        </w:rPr>
        <w:t>на срещуположната страна.</w:t>
      </w:r>
    </w:p>
    <w:p w14:paraId="30D57FBC" w14:textId="77777777" w:rsidR="00970D99" w:rsidRPr="00970D99" w:rsidRDefault="00970D99" w:rsidP="00970D99">
      <w:pPr>
        <w:rPr>
          <w:sz w:val="24"/>
          <w:szCs w:val="24"/>
        </w:rPr>
      </w:pPr>
      <w:r w:rsidRPr="00970D99">
        <w:rPr>
          <w:lang w:eastAsia="bg-BG"/>
        </w:rPr>
        <w:t>Таблетката може да бъде разделена на равни дози</w:t>
      </w:r>
    </w:p>
    <w:p w14:paraId="7D38EB7F" w14:textId="77777777" w:rsidR="00970D99" w:rsidRDefault="00970D99" w:rsidP="00970D99">
      <w:pPr>
        <w:rPr>
          <w:lang w:eastAsia="bg-BG"/>
        </w:rPr>
      </w:pPr>
    </w:p>
    <w:p w14:paraId="09921476" w14:textId="6D555208" w:rsidR="00970D99" w:rsidRPr="00970D99" w:rsidRDefault="00970D99" w:rsidP="00970D99">
      <w:pPr>
        <w:rPr>
          <w:sz w:val="24"/>
          <w:szCs w:val="24"/>
        </w:rPr>
      </w:pPr>
      <w:r w:rsidRPr="00970D99">
        <w:rPr>
          <w:lang w:eastAsia="bg-BG"/>
        </w:rPr>
        <w:t xml:space="preserve">Карведил 12,5 </w:t>
      </w:r>
      <w:r w:rsidRPr="00970D99">
        <w:rPr>
          <w:lang w:val="en-US"/>
        </w:rPr>
        <w:t>mg</w:t>
      </w:r>
      <w:r w:rsidRPr="00970D99">
        <w:rPr>
          <w:lang w:val="ru-RU"/>
        </w:rPr>
        <w:t xml:space="preserve">: </w:t>
      </w:r>
      <w:r w:rsidRPr="00970D99">
        <w:rPr>
          <w:lang w:eastAsia="bg-BG"/>
        </w:rPr>
        <w:t>Кръгли, леко изпъкнали, бели таблетки с една делителна черта и знак S3 на срещуположната страна.</w:t>
      </w:r>
    </w:p>
    <w:p w14:paraId="44279915" w14:textId="77777777" w:rsidR="00970D99" w:rsidRPr="00970D99" w:rsidRDefault="00970D99" w:rsidP="00970D99">
      <w:pPr>
        <w:rPr>
          <w:sz w:val="24"/>
          <w:szCs w:val="24"/>
        </w:rPr>
      </w:pPr>
      <w:r w:rsidRPr="00970D99">
        <w:rPr>
          <w:lang w:eastAsia="bg-BG"/>
        </w:rPr>
        <w:t>Таблетката може да бъде разделена на равни дози</w:t>
      </w:r>
    </w:p>
    <w:p w14:paraId="5A6B9C3A" w14:textId="77777777" w:rsidR="00970D99" w:rsidRDefault="00970D99" w:rsidP="00970D99">
      <w:pPr>
        <w:rPr>
          <w:lang w:eastAsia="bg-BG"/>
        </w:rPr>
      </w:pPr>
    </w:p>
    <w:p w14:paraId="3E288688" w14:textId="17ACC76F" w:rsidR="00970D99" w:rsidRPr="00970D99" w:rsidRDefault="00970D99" w:rsidP="00970D99">
      <w:pPr>
        <w:rPr>
          <w:sz w:val="24"/>
          <w:szCs w:val="24"/>
        </w:rPr>
      </w:pPr>
      <w:r w:rsidRPr="00970D99">
        <w:rPr>
          <w:lang w:eastAsia="bg-BG"/>
        </w:rPr>
        <w:t xml:space="preserve">Карведил 25 </w:t>
      </w:r>
      <w:r w:rsidRPr="00970D99">
        <w:rPr>
          <w:lang w:val="en-US"/>
        </w:rPr>
        <w:t>mg</w:t>
      </w:r>
      <w:r w:rsidRPr="00970D99">
        <w:rPr>
          <w:lang w:val="ru-RU"/>
        </w:rPr>
        <w:t xml:space="preserve">: </w:t>
      </w:r>
      <w:r w:rsidRPr="00970D99">
        <w:rPr>
          <w:lang w:eastAsia="bg-BG"/>
        </w:rPr>
        <w:t>Кръгли, леко изпъкнали, бели таблетки, с една делителна черта.</w:t>
      </w:r>
    </w:p>
    <w:p w14:paraId="33BDE952" w14:textId="77777777" w:rsidR="00970D99" w:rsidRPr="00970D99" w:rsidRDefault="00970D99" w:rsidP="00970D99">
      <w:pPr>
        <w:rPr>
          <w:sz w:val="24"/>
          <w:szCs w:val="24"/>
        </w:rPr>
      </w:pPr>
      <w:r w:rsidRPr="00970D99">
        <w:rPr>
          <w:lang w:eastAsia="bg-BG"/>
        </w:rPr>
        <w:t>Таблетката може да бъде разделена на равни дози.</w:t>
      </w:r>
    </w:p>
    <w:p w14:paraId="48C3FC27" w14:textId="77777777" w:rsidR="00970D99" w:rsidRPr="00970D99" w:rsidRDefault="00970D99" w:rsidP="00970D99"/>
    <w:p w14:paraId="490FC2C4" w14:textId="0F4A4A75" w:rsidR="002C50EE" w:rsidRDefault="002C50EE" w:rsidP="002C50EE">
      <w:pPr>
        <w:pStyle w:val="Heading1"/>
      </w:pPr>
      <w:r>
        <w:lastRenderedPageBreak/>
        <w:t>4. КЛИНИЧНИ ДАННИ</w:t>
      </w:r>
    </w:p>
    <w:p w14:paraId="74330405" w14:textId="0BAF6B3D" w:rsidR="007122AD" w:rsidRDefault="002C50EE" w:rsidP="00936AD0">
      <w:pPr>
        <w:pStyle w:val="Heading2"/>
      </w:pPr>
      <w:r>
        <w:t>4.1. Терапевтични показания</w:t>
      </w:r>
    </w:p>
    <w:p w14:paraId="63B1BFA0" w14:textId="35114D5E" w:rsidR="00970D99" w:rsidRDefault="00970D99" w:rsidP="00970D99"/>
    <w:p w14:paraId="180A1091" w14:textId="77777777" w:rsidR="00970D99" w:rsidRPr="00970D99" w:rsidRDefault="00970D99" w:rsidP="00970D99">
      <w:pPr>
        <w:pStyle w:val="ListParagraph"/>
        <w:numPr>
          <w:ilvl w:val="0"/>
          <w:numId w:val="37"/>
        </w:numPr>
        <w:rPr>
          <w:lang w:eastAsia="bg-BG"/>
        </w:rPr>
      </w:pPr>
      <w:r w:rsidRPr="00970D99">
        <w:rPr>
          <w:lang w:eastAsia="bg-BG"/>
        </w:rPr>
        <w:t>Есенциална хипертония</w:t>
      </w:r>
    </w:p>
    <w:p w14:paraId="552A5587" w14:textId="77777777" w:rsidR="00970D99" w:rsidRPr="00970D99" w:rsidRDefault="00970D99" w:rsidP="00970D99">
      <w:pPr>
        <w:pStyle w:val="ListParagraph"/>
        <w:numPr>
          <w:ilvl w:val="0"/>
          <w:numId w:val="37"/>
        </w:numPr>
        <w:rPr>
          <w:lang w:eastAsia="bg-BG"/>
        </w:rPr>
      </w:pPr>
      <w:r w:rsidRPr="00970D99">
        <w:rPr>
          <w:lang w:eastAsia="bg-BG"/>
        </w:rPr>
        <w:t>Хронична стабилна стенокардия</w:t>
      </w:r>
    </w:p>
    <w:p w14:paraId="5420077D" w14:textId="77777777" w:rsidR="00970D99" w:rsidRPr="00970D99" w:rsidRDefault="00970D99" w:rsidP="00970D99">
      <w:pPr>
        <w:pStyle w:val="ListParagraph"/>
        <w:numPr>
          <w:ilvl w:val="0"/>
          <w:numId w:val="37"/>
        </w:numPr>
        <w:rPr>
          <w:lang w:eastAsia="bg-BG"/>
        </w:rPr>
      </w:pPr>
      <w:r w:rsidRPr="00970D99">
        <w:rPr>
          <w:lang w:eastAsia="bg-BG"/>
        </w:rPr>
        <w:t>Допълнителна терапия на умерено изразена до тежка хронична сърдечна недостатъчност</w:t>
      </w:r>
    </w:p>
    <w:p w14:paraId="73D1ECBB" w14:textId="77777777" w:rsidR="00970D99" w:rsidRPr="00970D99" w:rsidRDefault="00970D99" w:rsidP="00970D99"/>
    <w:p w14:paraId="53F5B866" w14:textId="04C215C9" w:rsidR="007122AD" w:rsidRDefault="002C50EE" w:rsidP="00936AD0">
      <w:pPr>
        <w:pStyle w:val="Heading2"/>
      </w:pPr>
      <w:r>
        <w:t>4.2. Дозировка и начин на приложение</w:t>
      </w:r>
    </w:p>
    <w:p w14:paraId="24CA7C90" w14:textId="0719712A" w:rsidR="00970D99" w:rsidRDefault="00970D99" w:rsidP="00970D99"/>
    <w:p w14:paraId="0690E468" w14:textId="77777777"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t xml:space="preserve">Карведил е наличен в три концентрации: таблетки от 6,25 </w:t>
      </w:r>
      <w:r w:rsidRPr="00970D99">
        <w:rPr>
          <w:rFonts w:eastAsia="Times New Roman" w:cs="Arial"/>
          <w:color w:val="000000"/>
          <w:szCs w:val="20"/>
          <w:lang w:val="en-US"/>
        </w:rPr>
        <w:t>mg</w:t>
      </w:r>
      <w:r w:rsidRPr="00970D99">
        <w:rPr>
          <w:rFonts w:eastAsia="Times New Roman" w:cs="Arial"/>
          <w:color w:val="000000"/>
          <w:szCs w:val="20"/>
          <w:lang w:val="ru-RU"/>
        </w:rPr>
        <w:t xml:space="preserve">, </w:t>
      </w:r>
      <w:r w:rsidRPr="00970D99">
        <w:rPr>
          <w:rFonts w:eastAsia="Times New Roman" w:cs="Arial"/>
          <w:color w:val="000000"/>
          <w:szCs w:val="20"/>
          <w:lang w:eastAsia="bg-BG"/>
        </w:rPr>
        <w:t xml:space="preserve">12,5 </w:t>
      </w:r>
      <w:r w:rsidRPr="00970D99">
        <w:rPr>
          <w:rFonts w:eastAsia="Times New Roman" w:cs="Arial"/>
          <w:color w:val="000000"/>
          <w:szCs w:val="20"/>
          <w:lang w:val="en-US"/>
        </w:rPr>
        <w:t>mg</w:t>
      </w:r>
      <w:r w:rsidRPr="00970D99">
        <w:rPr>
          <w:rFonts w:eastAsia="Times New Roman" w:cs="Arial"/>
          <w:color w:val="000000"/>
          <w:szCs w:val="20"/>
          <w:lang w:val="ru-RU"/>
        </w:rPr>
        <w:t xml:space="preserve"> </w:t>
      </w:r>
      <w:r w:rsidRPr="00970D99">
        <w:rPr>
          <w:rFonts w:eastAsia="Times New Roman" w:cs="Arial"/>
          <w:color w:val="000000"/>
          <w:szCs w:val="20"/>
          <w:lang w:eastAsia="bg-BG"/>
        </w:rPr>
        <w:t xml:space="preserve">и 25 </w:t>
      </w:r>
      <w:r w:rsidRPr="00970D99">
        <w:rPr>
          <w:rFonts w:eastAsia="Times New Roman" w:cs="Arial"/>
          <w:color w:val="000000"/>
          <w:szCs w:val="20"/>
          <w:lang w:val="en-US"/>
        </w:rPr>
        <w:t>mg</w:t>
      </w:r>
      <w:r w:rsidRPr="00970D99">
        <w:rPr>
          <w:rFonts w:eastAsia="Times New Roman" w:cs="Arial"/>
          <w:color w:val="000000"/>
          <w:szCs w:val="20"/>
          <w:lang w:val="ru-RU"/>
        </w:rPr>
        <w:t>.</w:t>
      </w:r>
    </w:p>
    <w:p w14:paraId="5264E6D1" w14:textId="77777777" w:rsidR="00970D99" w:rsidRPr="00970D99" w:rsidRDefault="00970D99" w:rsidP="00970D99">
      <w:pPr>
        <w:spacing w:line="240" w:lineRule="auto"/>
        <w:rPr>
          <w:rFonts w:eastAsia="Times New Roman" w:cs="Arial"/>
          <w:b/>
          <w:bCs/>
          <w:color w:val="000000"/>
          <w:szCs w:val="20"/>
          <w:u w:val="single"/>
          <w:lang w:eastAsia="bg-BG"/>
        </w:rPr>
      </w:pPr>
    </w:p>
    <w:p w14:paraId="7F9721C0" w14:textId="39537965" w:rsidR="00970D99" w:rsidRPr="00970D99" w:rsidRDefault="00970D99" w:rsidP="00970D99">
      <w:pPr>
        <w:spacing w:line="240" w:lineRule="auto"/>
        <w:rPr>
          <w:rFonts w:eastAsia="Times New Roman" w:cs="Arial"/>
          <w:sz w:val="28"/>
          <w:szCs w:val="24"/>
        </w:rPr>
      </w:pPr>
      <w:r w:rsidRPr="00970D99">
        <w:rPr>
          <w:rFonts w:eastAsia="Times New Roman" w:cs="Arial"/>
          <w:b/>
          <w:bCs/>
          <w:color w:val="000000"/>
          <w:szCs w:val="20"/>
          <w:u w:val="single"/>
          <w:lang w:eastAsia="bg-BG"/>
        </w:rPr>
        <w:t>Есенциална хипертония</w:t>
      </w:r>
    </w:p>
    <w:p w14:paraId="63F6B6E3" w14:textId="77777777"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t xml:space="preserve">Карведилол може да бъде използван за лечение на хипертония самостоятелно или в комбинация с други антихипертензивни средства, особено с тиазидни диуретици. Препоръчва се дозиране веднъж на ден, като препоръчителната максимална еднократна доза е 25 </w:t>
      </w:r>
      <w:r w:rsidRPr="00970D99">
        <w:rPr>
          <w:rFonts w:eastAsia="Times New Roman" w:cs="Arial"/>
          <w:color w:val="000000"/>
          <w:szCs w:val="20"/>
          <w:lang w:val="en-US"/>
        </w:rPr>
        <w:t>mg</w:t>
      </w:r>
      <w:r w:rsidRPr="00970D99">
        <w:rPr>
          <w:rFonts w:eastAsia="Times New Roman" w:cs="Arial"/>
          <w:color w:val="000000"/>
          <w:szCs w:val="20"/>
          <w:lang w:val="ru-RU"/>
        </w:rPr>
        <w:t xml:space="preserve">, </w:t>
      </w:r>
      <w:r w:rsidRPr="00970D99">
        <w:rPr>
          <w:rFonts w:eastAsia="Times New Roman" w:cs="Arial"/>
          <w:color w:val="000000"/>
          <w:szCs w:val="20"/>
          <w:lang w:eastAsia="bg-BG"/>
        </w:rPr>
        <w:t xml:space="preserve">а препоръчителната максимална дневна доза е 50 </w:t>
      </w:r>
      <w:r w:rsidRPr="00970D99">
        <w:rPr>
          <w:rFonts w:eastAsia="Times New Roman" w:cs="Arial"/>
          <w:color w:val="000000"/>
          <w:szCs w:val="20"/>
          <w:lang w:val="en-US"/>
        </w:rPr>
        <w:t>mg</w:t>
      </w:r>
      <w:r w:rsidRPr="00970D99">
        <w:rPr>
          <w:rFonts w:eastAsia="Times New Roman" w:cs="Arial"/>
          <w:color w:val="000000"/>
          <w:szCs w:val="20"/>
          <w:lang w:val="ru-RU"/>
        </w:rPr>
        <w:t>.</w:t>
      </w:r>
    </w:p>
    <w:p w14:paraId="0780104B" w14:textId="77777777" w:rsidR="00970D99" w:rsidRPr="00970D99" w:rsidRDefault="00970D99" w:rsidP="00970D99">
      <w:pPr>
        <w:spacing w:line="240" w:lineRule="auto"/>
        <w:rPr>
          <w:rFonts w:eastAsia="Times New Roman" w:cs="Arial"/>
          <w:color w:val="000000"/>
          <w:szCs w:val="20"/>
          <w:u w:val="single"/>
          <w:lang w:eastAsia="bg-BG"/>
        </w:rPr>
      </w:pPr>
    </w:p>
    <w:p w14:paraId="0AD3114A" w14:textId="0312E8F7"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u w:val="single"/>
          <w:lang w:eastAsia="bg-BG"/>
        </w:rPr>
        <w:t>Възрастни</w:t>
      </w:r>
    </w:p>
    <w:p w14:paraId="5E4AE9CC" w14:textId="6A4F6642"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t xml:space="preserve">Препоръчва се първоначална доза от 12,5 </w:t>
      </w:r>
      <w:r w:rsidRPr="00970D99">
        <w:rPr>
          <w:rFonts w:eastAsia="Times New Roman" w:cs="Arial"/>
          <w:color w:val="000000"/>
          <w:szCs w:val="20"/>
          <w:lang w:val="en-US"/>
        </w:rPr>
        <w:t>mg</w:t>
      </w:r>
      <w:r w:rsidRPr="00970D99">
        <w:rPr>
          <w:rFonts w:eastAsia="Times New Roman" w:cs="Arial"/>
          <w:color w:val="000000"/>
          <w:szCs w:val="20"/>
          <w:lang w:val="ru-RU"/>
        </w:rPr>
        <w:t xml:space="preserve"> </w:t>
      </w:r>
      <w:r w:rsidRPr="00970D99">
        <w:rPr>
          <w:rFonts w:eastAsia="Times New Roman" w:cs="Arial"/>
          <w:color w:val="000000"/>
          <w:szCs w:val="20"/>
          <w:lang w:eastAsia="bg-BG"/>
        </w:rPr>
        <w:t xml:space="preserve">веднъж дневно през първите два дни. След това лечението може да се продължи с доза от 25 </w:t>
      </w:r>
      <w:r w:rsidRPr="00970D99">
        <w:rPr>
          <w:rFonts w:eastAsia="Times New Roman" w:cs="Arial"/>
          <w:color w:val="000000"/>
          <w:szCs w:val="20"/>
          <w:lang w:val="en-US"/>
        </w:rPr>
        <w:t>mg</w:t>
      </w:r>
      <w:r w:rsidRPr="00970D99">
        <w:rPr>
          <w:rFonts w:eastAsia="Times New Roman" w:cs="Arial"/>
          <w:color w:val="000000"/>
          <w:szCs w:val="20"/>
          <w:lang w:eastAsia="bg-BG"/>
        </w:rPr>
        <w:t>/дневно. При необходимост дозата може да бъде повишавана постепенно през интервал от две или повече седмици.</w:t>
      </w:r>
    </w:p>
    <w:p w14:paraId="60FF748D" w14:textId="77777777" w:rsidR="00970D99" w:rsidRPr="00970D99" w:rsidRDefault="00970D99" w:rsidP="00970D99">
      <w:pPr>
        <w:spacing w:line="240" w:lineRule="auto"/>
        <w:rPr>
          <w:rFonts w:eastAsia="Times New Roman" w:cs="Arial"/>
          <w:color w:val="000000"/>
          <w:szCs w:val="20"/>
          <w:u w:val="single"/>
          <w:lang w:eastAsia="bg-BG"/>
        </w:rPr>
      </w:pPr>
    </w:p>
    <w:p w14:paraId="7AF80D80" w14:textId="56FDC871"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u w:val="single"/>
          <w:lang w:eastAsia="bg-BG"/>
        </w:rPr>
        <w:t>Пациенти в старческа възраст</w:t>
      </w:r>
    </w:p>
    <w:p w14:paraId="192AD1E7" w14:textId="77777777"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t xml:space="preserve">Препоръчителната първоначална доза при хипертония е 12,5 </w:t>
      </w:r>
      <w:r w:rsidRPr="00970D99">
        <w:rPr>
          <w:rFonts w:eastAsia="Times New Roman" w:cs="Arial"/>
          <w:color w:val="000000"/>
          <w:szCs w:val="20"/>
          <w:lang w:val="en-US"/>
        </w:rPr>
        <w:t>mg</w:t>
      </w:r>
      <w:r w:rsidRPr="00970D99">
        <w:rPr>
          <w:rFonts w:eastAsia="Times New Roman" w:cs="Arial"/>
          <w:color w:val="000000"/>
          <w:szCs w:val="20"/>
          <w:lang w:val="ru-RU"/>
        </w:rPr>
        <w:t xml:space="preserve"> </w:t>
      </w:r>
      <w:r w:rsidRPr="00970D99">
        <w:rPr>
          <w:rFonts w:eastAsia="Times New Roman" w:cs="Arial"/>
          <w:color w:val="000000"/>
          <w:szCs w:val="20"/>
          <w:lang w:eastAsia="bg-BG"/>
        </w:rPr>
        <w:t>веднъж дневно, която също така може да се окаже достатъчна при по-нататъшно лечение. Ако обаче няма адекватен клиничен отговор при тази доза, дозата може да бъде повишавана през интервали от две или повече седмици.</w:t>
      </w:r>
    </w:p>
    <w:p w14:paraId="5088E758" w14:textId="77777777" w:rsidR="00970D99" w:rsidRPr="00970D99" w:rsidRDefault="00970D99" w:rsidP="00970D99">
      <w:pPr>
        <w:spacing w:line="240" w:lineRule="auto"/>
        <w:rPr>
          <w:rFonts w:eastAsia="Times New Roman" w:cs="Arial"/>
          <w:b/>
          <w:bCs/>
          <w:color w:val="000000"/>
          <w:szCs w:val="20"/>
          <w:u w:val="single"/>
          <w:lang w:eastAsia="bg-BG"/>
        </w:rPr>
      </w:pPr>
    </w:p>
    <w:p w14:paraId="1AC33BB3" w14:textId="43272A27" w:rsidR="00970D99" w:rsidRPr="00970D99" w:rsidRDefault="00970D99" w:rsidP="00970D99">
      <w:pPr>
        <w:spacing w:line="240" w:lineRule="auto"/>
        <w:rPr>
          <w:rFonts w:eastAsia="Times New Roman" w:cs="Arial"/>
          <w:sz w:val="28"/>
          <w:szCs w:val="24"/>
        </w:rPr>
      </w:pPr>
      <w:r w:rsidRPr="00970D99">
        <w:rPr>
          <w:rFonts w:eastAsia="Times New Roman" w:cs="Arial"/>
          <w:b/>
          <w:bCs/>
          <w:color w:val="000000"/>
          <w:szCs w:val="20"/>
          <w:u w:val="single"/>
          <w:lang w:eastAsia="bg-BG"/>
        </w:rPr>
        <w:t>Хронична стабилна стенокардия</w:t>
      </w:r>
    </w:p>
    <w:p w14:paraId="4ED5FF05" w14:textId="77777777"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t>Препоръчва се режим на дозиране два пъти дневно.</w:t>
      </w:r>
    </w:p>
    <w:p w14:paraId="7883B4EB" w14:textId="77777777" w:rsidR="00970D99" w:rsidRPr="00970D99" w:rsidRDefault="00970D99" w:rsidP="00970D99">
      <w:pPr>
        <w:spacing w:line="240" w:lineRule="auto"/>
        <w:rPr>
          <w:rFonts w:eastAsia="Times New Roman" w:cs="Arial"/>
          <w:i/>
          <w:iCs/>
          <w:color w:val="000000"/>
          <w:szCs w:val="20"/>
          <w:lang w:eastAsia="bg-BG"/>
        </w:rPr>
      </w:pPr>
    </w:p>
    <w:p w14:paraId="02A5371D" w14:textId="2F1FF841" w:rsidR="00970D99" w:rsidRPr="00970D99" w:rsidRDefault="00970D99" w:rsidP="00970D99">
      <w:pPr>
        <w:spacing w:line="240" w:lineRule="auto"/>
        <w:rPr>
          <w:rFonts w:eastAsia="Times New Roman" w:cs="Arial"/>
          <w:sz w:val="28"/>
          <w:szCs w:val="24"/>
        </w:rPr>
      </w:pPr>
      <w:r w:rsidRPr="00970D99">
        <w:rPr>
          <w:rFonts w:eastAsia="Times New Roman" w:cs="Arial"/>
          <w:i/>
          <w:iCs/>
          <w:color w:val="000000"/>
          <w:szCs w:val="20"/>
          <w:lang w:eastAsia="bg-BG"/>
        </w:rPr>
        <w:t>Възрастни</w:t>
      </w:r>
    </w:p>
    <w:p w14:paraId="17401447" w14:textId="77777777"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t xml:space="preserve">Препоръчва се първоначална доза от 12,5 </w:t>
      </w:r>
      <w:r w:rsidRPr="00970D99">
        <w:rPr>
          <w:rFonts w:eastAsia="Times New Roman" w:cs="Arial"/>
          <w:color w:val="000000"/>
          <w:szCs w:val="20"/>
          <w:lang w:val="en-US"/>
        </w:rPr>
        <w:t>mg</w:t>
      </w:r>
      <w:r w:rsidRPr="00970D99">
        <w:rPr>
          <w:rFonts w:eastAsia="Times New Roman" w:cs="Arial"/>
          <w:color w:val="000000"/>
          <w:szCs w:val="20"/>
          <w:lang w:val="ru-RU"/>
        </w:rPr>
        <w:t xml:space="preserve"> </w:t>
      </w:r>
      <w:r w:rsidRPr="00970D99">
        <w:rPr>
          <w:rFonts w:eastAsia="Times New Roman" w:cs="Arial"/>
          <w:color w:val="000000"/>
          <w:szCs w:val="20"/>
          <w:lang w:eastAsia="bg-BG"/>
        </w:rPr>
        <w:t xml:space="preserve">два пъти дневно през първите два дни. След това дозата постепенно се повишава на 25 </w:t>
      </w:r>
      <w:r w:rsidRPr="00970D99">
        <w:rPr>
          <w:rFonts w:eastAsia="Times New Roman" w:cs="Arial"/>
          <w:color w:val="000000"/>
          <w:szCs w:val="20"/>
          <w:lang w:val="en-US"/>
        </w:rPr>
        <w:t>mg</w:t>
      </w:r>
      <w:r w:rsidRPr="00970D99">
        <w:rPr>
          <w:rFonts w:eastAsia="Times New Roman" w:cs="Arial"/>
          <w:color w:val="000000"/>
          <w:szCs w:val="20"/>
          <w:lang w:val="ru-RU"/>
        </w:rPr>
        <w:t xml:space="preserve"> </w:t>
      </w:r>
      <w:r w:rsidRPr="00970D99">
        <w:rPr>
          <w:rFonts w:eastAsia="Times New Roman" w:cs="Arial"/>
          <w:color w:val="000000"/>
          <w:szCs w:val="20"/>
          <w:lang w:eastAsia="bg-BG"/>
        </w:rPr>
        <w:t xml:space="preserve">два пъти дневно. Ако е необходимо, дозата може да бъде повишавана постепенно на интервали от две или повече седмици до достигане на препоръчваната максимална доза от 100 </w:t>
      </w:r>
      <w:r w:rsidRPr="00970D99">
        <w:rPr>
          <w:rFonts w:eastAsia="Times New Roman" w:cs="Arial"/>
          <w:color w:val="000000"/>
          <w:szCs w:val="20"/>
          <w:lang w:val="en-US"/>
        </w:rPr>
        <w:t>mg</w:t>
      </w:r>
      <w:r w:rsidRPr="00970D99">
        <w:rPr>
          <w:rFonts w:eastAsia="Times New Roman" w:cs="Arial"/>
          <w:color w:val="000000"/>
          <w:szCs w:val="20"/>
          <w:lang w:val="ru-RU"/>
        </w:rPr>
        <w:t xml:space="preserve"> </w:t>
      </w:r>
      <w:r w:rsidRPr="00970D99">
        <w:rPr>
          <w:rFonts w:eastAsia="Times New Roman" w:cs="Arial"/>
          <w:color w:val="000000"/>
          <w:szCs w:val="20"/>
          <w:lang w:eastAsia="bg-BG"/>
        </w:rPr>
        <w:t>дневно, разделена в два приема.</w:t>
      </w:r>
    </w:p>
    <w:p w14:paraId="4B62250C" w14:textId="77777777" w:rsidR="00970D99" w:rsidRPr="00970D99" w:rsidRDefault="00970D99" w:rsidP="00970D99">
      <w:pPr>
        <w:spacing w:line="240" w:lineRule="auto"/>
        <w:rPr>
          <w:rFonts w:eastAsia="Times New Roman" w:cs="Arial"/>
          <w:i/>
          <w:iCs/>
          <w:color w:val="000000"/>
          <w:szCs w:val="20"/>
          <w:lang w:eastAsia="bg-BG"/>
        </w:rPr>
      </w:pPr>
    </w:p>
    <w:p w14:paraId="105698E0" w14:textId="6FC09D5E" w:rsidR="00970D99" w:rsidRPr="00970D99" w:rsidRDefault="00970D99" w:rsidP="00970D99">
      <w:pPr>
        <w:spacing w:line="240" w:lineRule="auto"/>
        <w:rPr>
          <w:rFonts w:eastAsia="Times New Roman" w:cs="Arial"/>
          <w:sz w:val="28"/>
          <w:szCs w:val="24"/>
        </w:rPr>
      </w:pPr>
      <w:r w:rsidRPr="00970D99">
        <w:rPr>
          <w:rFonts w:eastAsia="Times New Roman" w:cs="Arial"/>
          <w:i/>
          <w:iCs/>
          <w:color w:val="000000"/>
          <w:szCs w:val="20"/>
          <w:lang w:eastAsia="bg-BG"/>
        </w:rPr>
        <w:t>Пациенти в старческа възраст</w:t>
      </w:r>
    </w:p>
    <w:p w14:paraId="653392E1" w14:textId="77777777"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t xml:space="preserve">Препоръчва се първоначалната доза през първите два дни да е 12,5 </w:t>
      </w:r>
      <w:r w:rsidRPr="00970D99">
        <w:rPr>
          <w:rFonts w:eastAsia="Times New Roman" w:cs="Arial"/>
          <w:color w:val="000000"/>
          <w:szCs w:val="20"/>
          <w:lang w:val="en-US"/>
        </w:rPr>
        <w:t>mg</w:t>
      </w:r>
      <w:r w:rsidRPr="00970D99">
        <w:rPr>
          <w:rFonts w:eastAsia="Times New Roman" w:cs="Arial"/>
          <w:color w:val="000000"/>
          <w:szCs w:val="20"/>
          <w:lang w:val="ru-RU"/>
        </w:rPr>
        <w:t xml:space="preserve"> </w:t>
      </w:r>
      <w:r w:rsidRPr="00970D99">
        <w:rPr>
          <w:rFonts w:eastAsia="Times New Roman" w:cs="Arial"/>
          <w:color w:val="000000"/>
          <w:szCs w:val="20"/>
          <w:lang w:eastAsia="bg-BG"/>
        </w:rPr>
        <w:t xml:space="preserve">два пъти дневно. След това терапията продължава с доза от 25 </w:t>
      </w:r>
      <w:r w:rsidRPr="00970D99">
        <w:rPr>
          <w:rFonts w:eastAsia="Times New Roman" w:cs="Arial"/>
          <w:color w:val="000000"/>
          <w:szCs w:val="20"/>
          <w:lang w:val="en-US"/>
        </w:rPr>
        <w:t>mg</w:t>
      </w:r>
      <w:r w:rsidRPr="00970D99">
        <w:rPr>
          <w:rFonts w:eastAsia="Times New Roman" w:cs="Arial"/>
          <w:color w:val="000000"/>
          <w:szCs w:val="20"/>
          <w:lang w:val="ru-RU"/>
        </w:rPr>
        <w:t xml:space="preserve"> </w:t>
      </w:r>
      <w:r w:rsidRPr="00970D99">
        <w:rPr>
          <w:rFonts w:eastAsia="Times New Roman" w:cs="Arial"/>
          <w:color w:val="000000"/>
          <w:szCs w:val="20"/>
          <w:lang w:eastAsia="bg-BG"/>
        </w:rPr>
        <w:t>два пъти дневно, която е максималната препоръчителна дневна доза.</w:t>
      </w:r>
    </w:p>
    <w:p w14:paraId="5A14EC19" w14:textId="77777777" w:rsidR="00970D99" w:rsidRPr="00970D99" w:rsidRDefault="00970D99" w:rsidP="00970D99">
      <w:pPr>
        <w:spacing w:line="240" w:lineRule="auto"/>
        <w:rPr>
          <w:rFonts w:eastAsia="Times New Roman" w:cs="Arial"/>
          <w:b/>
          <w:bCs/>
          <w:i/>
          <w:iCs/>
          <w:color w:val="000000"/>
          <w:szCs w:val="20"/>
          <w:lang w:eastAsia="bg-BG"/>
        </w:rPr>
      </w:pPr>
    </w:p>
    <w:p w14:paraId="0696A2D9" w14:textId="0F34079E" w:rsidR="00970D99" w:rsidRPr="00970D99" w:rsidRDefault="00970D99" w:rsidP="00970D99">
      <w:pPr>
        <w:spacing w:line="240" w:lineRule="auto"/>
        <w:rPr>
          <w:rFonts w:eastAsia="Times New Roman" w:cs="Arial"/>
          <w:sz w:val="28"/>
          <w:szCs w:val="24"/>
        </w:rPr>
      </w:pPr>
      <w:r w:rsidRPr="00970D99">
        <w:rPr>
          <w:rFonts w:eastAsia="Times New Roman" w:cs="Arial"/>
          <w:b/>
          <w:bCs/>
          <w:i/>
          <w:iCs/>
          <w:color w:val="000000"/>
          <w:szCs w:val="20"/>
          <w:lang w:eastAsia="bg-BG"/>
        </w:rPr>
        <w:t>Сърдечна недостатъчност</w:t>
      </w:r>
    </w:p>
    <w:p w14:paraId="5BF221E4" w14:textId="77777777"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t>Карведилол се прилага при умерено изразена до тежка сърдечна недостатъчност в допълнение към конвенционалната основна терапия с диуретици, АСЕ инхибитори/ангиотензин рецепторни антагонисти, дигиталис и/или вазодилататори.</w:t>
      </w:r>
    </w:p>
    <w:p w14:paraId="730B1778" w14:textId="77777777"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lastRenderedPageBreak/>
        <w:t xml:space="preserve">Пациентът трябва да бъде клинично стабилизиран (без промени в класификацията по </w:t>
      </w:r>
      <w:r w:rsidRPr="00970D99">
        <w:rPr>
          <w:rFonts w:eastAsia="Times New Roman" w:cs="Arial"/>
          <w:color w:val="000000"/>
          <w:szCs w:val="20"/>
          <w:lang w:val="en-US"/>
        </w:rPr>
        <w:t>NYHA</w:t>
      </w:r>
      <w:r w:rsidRPr="00970D99">
        <w:rPr>
          <w:rFonts w:eastAsia="Times New Roman" w:cs="Arial"/>
          <w:color w:val="000000"/>
          <w:szCs w:val="20"/>
          <w:lang w:val="ru-RU"/>
        </w:rPr>
        <w:t xml:space="preserve"> </w:t>
      </w:r>
      <w:r w:rsidRPr="00970D99">
        <w:rPr>
          <w:rFonts w:eastAsia="Times New Roman" w:cs="Arial"/>
          <w:color w:val="000000"/>
          <w:szCs w:val="20"/>
          <w:lang w:eastAsia="bg-BG"/>
        </w:rPr>
        <w:t xml:space="preserve">и да не е хоспитализиран поради сърдечна недостатъчност), като основната терапия трябва да бъде стабилизирана за поне четири седмици преди терапията. В допълнение, пациентът трябва да има намалена левокамерна фракция на изтласкване и сърдечната честота трябва да бъде &gt; 50 удара/мин. и систоличното кръвно налягане &gt; 85 </w:t>
      </w:r>
      <w:r w:rsidRPr="00970D99">
        <w:rPr>
          <w:rFonts w:eastAsia="Times New Roman" w:cs="Arial"/>
          <w:color w:val="000000"/>
          <w:szCs w:val="20"/>
          <w:lang w:val="en-US"/>
        </w:rPr>
        <w:t>mmHg</w:t>
      </w:r>
      <w:r w:rsidRPr="00970D99">
        <w:rPr>
          <w:rFonts w:eastAsia="Times New Roman" w:cs="Arial"/>
          <w:color w:val="000000"/>
          <w:szCs w:val="20"/>
          <w:lang w:val="ru-RU"/>
        </w:rPr>
        <w:t xml:space="preserve"> </w:t>
      </w:r>
      <w:r w:rsidRPr="00970D99">
        <w:rPr>
          <w:rFonts w:eastAsia="Times New Roman" w:cs="Arial"/>
          <w:color w:val="000000"/>
          <w:szCs w:val="20"/>
          <w:lang w:eastAsia="bg-BG"/>
        </w:rPr>
        <w:t>(виж точка 4.3).</w:t>
      </w:r>
    </w:p>
    <w:p w14:paraId="29595D6C" w14:textId="77777777" w:rsidR="00970D99" w:rsidRPr="00970D99" w:rsidRDefault="00970D99" w:rsidP="00970D99">
      <w:pPr>
        <w:spacing w:line="240" w:lineRule="auto"/>
        <w:rPr>
          <w:rFonts w:eastAsia="Times New Roman" w:cs="Arial"/>
          <w:color w:val="000000"/>
          <w:szCs w:val="20"/>
          <w:lang w:eastAsia="bg-BG"/>
        </w:rPr>
      </w:pPr>
    </w:p>
    <w:p w14:paraId="0B90492A" w14:textId="6FB261A8"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t xml:space="preserve">Първоначалната доза е 3,125 </w:t>
      </w:r>
      <w:r w:rsidRPr="00970D99">
        <w:rPr>
          <w:rFonts w:eastAsia="Times New Roman" w:cs="Arial"/>
          <w:color w:val="000000"/>
          <w:szCs w:val="20"/>
          <w:lang w:val="en-US"/>
        </w:rPr>
        <w:t>mg</w:t>
      </w:r>
      <w:r w:rsidRPr="00970D99">
        <w:rPr>
          <w:rFonts w:eastAsia="Times New Roman" w:cs="Arial"/>
          <w:color w:val="000000"/>
          <w:szCs w:val="20"/>
          <w:lang w:val="ru-RU"/>
        </w:rPr>
        <w:t xml:space="preserve"> </w:t>
      </w:r>
      <w:r w:rsidRPr="00970D99">
        <w:rPr>
          <w:rFonts w:eastAsia="Times New Roman" w:cs="Arial"/>
          <w:color w:val="000000"/>
          <w:szCs w:val="20"/>
          <w:lang w:eastAsia="bg-BG"/>
        </w:rPr>
        <w:t xml:space="preserve">два пъти дневно за две седмици. Ако тази доза се понася добре от пациента, тя може да бъде повишена бавно и постепенно през интервал не по-малък от 2 седмици до 6,25 </w:t>
      </w:r>
      <w:r w:rsidRPr="00970D99">
        <w:rPr>
          <w:rFonts w:eastAsia="Times New Roman" w:cs="Arial"/>
          <w:color w:val="000000"/>
          <w:szCs w:val="20"/>
          <w:lang w:val="en-US"/>
        </w:rPr>
        <w:t>mg</w:t>
      </w:r>
      <w:r w:rsidRPr="00970D99">
        <w:rPr>
          <w:rFonts w:eastAsia="Times New Roman" w:cs="Arial"/>
          <w:color w:val="000000"/>
          <w:szCs w:val="20"/>
          <w:lang w:val="ru-RU"/>
        </w:rPr>
        <w:t xml:space="preserve"> </w:t>
      </w:r>
      <w:r w:rsidRPr="00970D99">
        <w:rPr>
          <w:rFonts w:eastAsia="Times New Roman" w:cs="Arial"/>
          <w:color w:val="000000"/>
          <w:szCs w:val="20"/>
          <w:lang w:eastAsia="bg-BG"/>
        </w:rPr>
        <w:t xml:space="preserve">два пъти дневно, после до 12,5 </w:t>
      </w:r>
      <w:r w:rsidRPr="00970D99">
        <w:rPr>
          <w:rFonts w:eastAsia="Times New Roman" w:cs="Arial"/>
          <w:color w:val="000000"/>
          <w:szCs w:val="20"/>
          <w:lang w:val="en-US"/>
        </w:rPr>
        <w:t>mg</w:t>
      </w:r>
      <w:r w:rsidRPr="00970D99">
        <w:rPr>
          <w:rFonts w:eastAsia="Times New Roman" w:cs="Arial"/>
          <w:color w:val="000000"/>
          <w:szCs w:val="20"/>
          <w:lang w:val="ru-RU"/>
        </w:rPr>
        <w:t xml:space="preserve"> </w:t>
      </w:r>
      <w:r w:rsidRPr="00970D99">
        <w:rPr>
          <w:rFonts w:eastAsia="Times New Roman" w:cs="Arial"/>
          <w:color w:val="000000"/>
          <w:szCs w:val="20"/>
          <w:lang w:eastAsia="bg-BG"/>
        </w:rPr>
        <w:t xml:space="preserve">два пъти дневно и накрая до 25 </w:t>
      </w:r>
      <w:r w:rsidRPr="00970D99">
        <w:rPr>
          <w:rFonts w:eastAsia="Times New Roman" w:cs="Arial"/>
          <w:color w:val="000000"/>
          <w:szCs w:val="20"/>
          <w:lang w:val="en-US"/>
        </w:rPr>
        <w:t>mg</w:t>
      </w:r>
      <w:r w:rsidRPr="00970D99">
        <w:rPr>
          <w:rFonts w:eastAsia="Times New Roman" w:cs="Arial"/>
          <w:color w:val="000000"/>
          <w:szCs w:val="20"/>
          <w:lang w:val="ru-RU"/>
        </w:rPr>
        <w:t xml:space="preserve"> </w:t>
      </w:r>
      <w:r w:rsidRPr="00970D99">
        <w:rPr>
          <w:rFonts w:eastAsia="Times New Roman" w:cs="Arial"/>
          <w:color w:val="000000"/>
          <w:szCs w:val="20"/>
          <w:lang w:eastAsia="bg-BG"/>
        </w:rPr>
        <w:t>два пъти дневно.</w:t>
      </w:r>
      <w:r w:rsidRPr="00970D99">
        <w:rPr>
          <w:rFonts w:eastAsia="Times New Roman" w:cs="Arial"/>
          <w:smallCaps/>
          <w:color w:val="000000"/>
          <w:szCs w:val="20"/>
          <w:lang w:eastAsia="bg-BG"/>
        </w:rPr>
        <w:t xml:space="preserve"> </w:t>
      </w:r>
      <w:r w:rsidRPr="00970D99">
        <w:rPr>
          <w:rFonts w:eastAsia="Times New Roman" w:cs="Arial"/>
          <w:color w:val="000000"/>
          <w:szCs w:val="20"/>
          <w:lang w:eastAsia="bg-BG"/>
        </w:rPr>
        <w:t>Дозата се повишава до максимално поносима доза.</w:t>
      </w:r>
    </w:p>
    <w:p w14:paraId="76170B5B" w14:textId="6461C795" w:rsidR="00970D99" w:rsidRPr="00970D99" w:rsidRDefault="00970D99" w:rsidP="00970D99">
      <w:pPr>
        <w:rPr>
          <w:rFonts w:cs="Arial"/>
          <w:sz w:val="24"/>
        </w:rPr>
      </w:pPr>
    </w:p>
    <w:p w14:paraId="43EE30DD" w14:textId="77777777"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t xml:space="preserve">Препоръчваната максимална доза при пациенти с тегло под 85 кг е 25 </w:t>
      </w:r>
      <w:r w:rsidRPr="00970D99">
        <w:rPr>
          <w:rFonts w:eastAsia="Times New Roman" w:cs="Arial"/>
          <w:color w:val="000000"/>
          <w:szCs w:val="20"/>
          <w:lang w:val="en-US"/>
        </w:rPr>
        <w:t>mg</w:t>
      </w:r>
      <w:r w:rsidRPr="00970D99">
        <w:rPr>
          <w:rFonts w:eastAsia="Times New Roman" w:cs="Arial"/>
          <w:color w:val="000000"/>
          <w:szCs w:val="20"/>
          <w:lang w:val="ru-RU"/>
        </w:rPr>
        <w:t xml:space="preserve"> </w:t>
      </w:r>
      <w:r w:rsidRPr="00970D99">
        <w:rPr>
          <w:rFonts w:eastAsia="Times New Roman" w:cs="Arial"/>
          <w:color w:val="000000"/>
          <w:szCs w:val="20"/>
          <w:lang w:eastAsia="bg-BG"/>
        </w:rPr>
        <w:t xml:space="preserve">2 пъти дневно, а при пациенти над 85 кг - 50 </w:t>
      </w:r>
      <w:r w:rsidRPr="00970D99">
        <w:rPr>
          <w:rFonts w:eastAsia="Times New Roman" w:cs="Arial"/>
          <w:color w:val="000000"/>
          <w:szCs w:val="20"/>
          <w:lang w:val="en-US"/>
        </w:rPr>
        <w:t>mg</w:t>
      </w:r>
      <w:r w:rsidRPr="00970D99">
        <w:rPr>
          <w:rFonts w:eastAsia="Times New Roman" w:cs="Arial"/>
          <w:color w:val="000000"/>
          <w:szCs w:val="20"/>
          <w:lang w:val="ru-RU"/>
        </w:rPr>
        <w:t xml:space="preserve"> </w:t>
      </w:r>
      <w:r w:rsidRPr="00970D99">
        <w:rPr>
          <w:rFonts w:eastAsia="Times New Roman" w:cs="Arial"/>
          <w:color w:val="000000"/>
          <w:szCs w:val="20"/>
          <w:lang w:eastAsia="bg-BG"/>
        </w:rPr>
        <w:t xml:space="preserve">2 пъти дневно, при условие, че сърдечната недостатъчност не е тежка. Повишаването на дозата до 50 </w:t>
      </w:r>
      <w:r w:rsidRPr="00970D99">
        <w:rPr>
          <w:rFonts w:eastAsia="Times New Roman" w:cs="Arial"/>
          <w:color w:val="000000"/>
          <w:szCs w:val="20"/>
          <w:lang w:val="en-US"/>
        </w:rPr>
        <w:t>mg</w:t>
      </w:r>
      <w:r w:rsidRPr="00970D99">
        <w:rPr>
          <w:rFonts w:eastAsia="Times New Roman" w:cs="Arial"/>
          <w:color w:val="000000"/>
          <w:szCs w:val="20"/>
          <w:lang w:val="ru-RU"/>
        </w:rPr>
        <w:t xml:space="preserve"> </w:t>
      </w:r>
      <w:r w:rsidRPr="00970D99">
        <w:rPr>
          <w:rFonts w:eastAsia="Times New Roman" w:cs="Arial"/>
          <w:color w:val="000000"/>
          <w:szCs w:val="20"/>
          <w:lang w:eastAsia="bg-BG"/>
        </w:rPr>
        <w:t>2 пъти дневно трябва да е бавно и постепенно и да се извършва под строг лекарски контрол.</w:t>
      </w:r>
    </w:p>
    <w:p w14:paraId="23D579A9" w14:textId="77777777"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t xml:space="preserve">Временно влошаване на симптомите на сърдечната недостатъчност може да се наблюдава в началото на терапията или при повишаване на дозата, особено при пациенти с тежка сърдечна недостатъчност и/или терапия с високи дози диуретици. Обикновено, това не е причина за спиране на терапията, но дозата не трябва да се повишава повече. Пациентът трябва да бъде мониториран от лекар/кардиолог за 2 часа след началото на терапията или повишаването на дозата. Преди всяко повишаване на дозата, трябва да се извършва лекарски преглед за потенциални симптоми на влошена сърдечна недостатъчност или за симптоми на тежка вазодилатация (като ренална функция, телесно тегло, кръвно налягане, сърдечна честота и ритъм). Влошаването на сърдечната недостатъчност или задържането на течности се третира с повишаване на дозата на диуретика и дозата на карведилол не трябва да се повишава до стабилизирането на пациента. При поява на брадикардия или в случаите на удължаване на </w:t>
      </w:r>
      <w:r w:rsidRPr="00970D99">
        <w:rPr>
          <w:rFonts w:eastAsia="Times New Roman" w:cs="Arial"/>
          <w:color w:val="000000"/>
          <w:szCs w:val="20"/>
          <w:lang w:val="en-US"/>
        </w:rPr>
        <w:t>AV</w:t>
      </w:r>
      <w:r w:rsidRPr="00970D99">
        <w:rPr>
          <w:rFonts w:eastAsia="Times New Roman" w:cs="Arial"/>
          <w:color w:val="000000"/>
          <w:szCs w:val="20"/>
          <w:lang w:val="ru-RU"/>
        </w:rPr>
        <w:t xml:space="preserve"> </w:t>
      </w:r>
      <w:r w:rsidRPr="00970D99">
        <w:rPr>
          <w:rFonts w:eastAsia="Times New Roman" w:cs="Arial"/>
          <w:color w:val="000000"/>
          <w:szCs w:val="20"/>
          <w:lang w:eastAsia="bg-BG"/>
        </w:rPr>
        <w:t>проводимостта, на първо място трябва да се мониторират нивата на дигоксин. Рядко може да се наложи да се намали дозата на карведилол или временно да се спре терапията. Дори и при тези пациенти внимателното титриране на дозата на карведилол може успешно да продължи.</w:t>
      </w:r>
    </w:p>
    <w:p w14:paraId="4FA90709" w14:textId="77777777"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t>Бъбречната функция, тромбоцитите и глюкозата (в случай на захарен диабет тип I или тип И) трябва да се мониторират редовно по време на титриране на дозата. След окончателното титриране на дозата, честотата на мониториране може намалена.</w:t>
      </w:r>
    </w:p>
    <w:p w14:paraId="227FB86B" w14:textId="77777777"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t xml:space="preserve">Ако терапията с карведилол е била спряна за повече от две седмици, възстановянето на терапията трябва да започне отново с доза 3,125 </w:t>
      </w:r>
      <w:r w:rsidRPr="00970D99">
        <w:rPr>
          <w:rFonts w:eastAsia="Times New Roman" w:cs="Arial"/>
          <w:color w:val="000000"/>
          <w:szCs w:val="20"/>
          <w:lang w:val="en-US"/>
        </w:rPr>
        <w:t>mg</w:t>
      </w:r>
      <w:r w:rsidRPr="00970D99">
        <w:rPr>
          <w:rFonts w:eastAsia="Times New Roman" w:cs="Arial"/>
          <w:color w:val="000000"/>
          <w:szCs w:val="20"/>
          <w:lang w:val="ru-RU"/>
        </w:rPr>
        <w:t xml:space="preserve"> </w:t>
      </w:r>
      <w:r w:rsidRPr="00970D99">
        <w:rPr>
          <w:rFonts w:eastAsia="Times New Roman" w:cs="Arial"/>
          <w:color w:val="000000"/>
          <w:szCs w:val="20"/>
          <w:lang w:eastAsia="bg-BG"/>
        </w:rPr>
        <w:t>2 пъти дневно и постепенно да бъде повишавана според по-горе упоменатите препоръки.</w:t>
      </w:r>
    </w:p>
    <w:p w14:paraId="2E257644" w14:textId="77777777" w:rsidR="00970D99" w:rsidRPr="00970D99" w:rsidRDefault="00970D99" w:rsidP="00970D99">
      <w:pPr>
        <w:spacing w:line="240" w:lineRule="auto"/>
        <w:rPr>
          <w:rFonts w:eastAsia="Times New Roman" w:cs="Arial"/>
          <w:i/>
          <w:iCs/>
          <w:color w:val="000000"/>
          <w:szCs w:val="20"/>
          <w:lang w:eastAsia="bg-BG"/>
        </w:rPr>
      </w:pPr>
    </w:p>
    <w:p w14:paraId="18D293AD" w14:textId="477D54A7" w:rsidR="00970D99" w:rsidRPr="00970D99" w:rsidRDefault="00970D99" w:rsidP="00970D99">
      <w:pPr>
        <w:spacing w:line="240" w:lineRule="auto"/>
        <w:rPr>
          <w:rFonts w:eastAsia="Times New Roman" w:cs="Arial"/>
          <w:sz w:val="28"/>
          <w:szCs w:val="24"/>
        </w:rPr>
      </w:pPr>
      <w:r w:rsidRPr="00970D99">
        <w:rPr>
          <w:rFonts w:eastAsia="Times New Roman" w:cs="Arial"/>
          <w:i/>
          <w:iCs/>
          <w:color w:val="000000"/>
          <w:szCs w:val="20"/>
          <w:lang w:eastAsia="bg-BG"/>
        </w:rPr>
        <w:t>Бъбречна недостатъчност</w:t>
      </w:r>
    </w:p>
    <w:p w14:paraId="61780D2B" w14:textId="77777777"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t>Дозата трябва да се определи за всеки пациент индивидуално, но според фармакокинетичните параметри, не се налага промяна в дозата на карведилол при пациенти със сърдечна недостатъчност.</w:t>
      </w:r>
    </w:p>
    <w:p w14:paraId="4A927908" w14:textId="77777777" w:rsidR="00970D99" w:rsidRPr="00970D99" w:rsidRDefault="00970D99" w:rsidP="00970D99">
      <w:pPr>
        <w:spacing w:line="240" w:lineRule="auto"/>
        <w:rPr>
          <w:rFonts w:eastAsia="Times New Roman" w:cs="Arial"/>
          <w:i/>
          <w:iCs/>
          <w:color w:val="000000"/>
          <w:szCs w:val="20"/>
          <w:lang w:eastAsia="bg-BG"/>
        </w:rPr>
      </w:pPr>
    </w:p>
    <w:p w14:paraId="5781BDC5" w14:textId="77777777" w:rsidR="00970D99" w:rsidRPr="00970D99" w:rsidRDefault="00970D99" w:rsidP="00970D99">
      <w:pPr>
        <w:spacing w:line="240" w:lineRule="auto"/>
        <w:rPr>
          <w:rFonts w:eastAsia="Times New Roman" w:cs="Arial"/>
          <w:i/>
          <w:iCs/>
          <w:color w:val="000000"/>
          <w:szCs w:val="20"/>
          <w:lang w:eastAsia="bg-BG"/>
        </w:rPr>
      </w:pPr>
      <w:r w:rsidRPr="00970D99">
        <w:rPr>
          <w:rFonts w:eastAsia="Times New Roman" w:cs="Arial"/>
          <w:i/>
          <w:iCs/>
          <w:color w:val="000000"/>
          <w:szCs w:val="20"/>
          <w:lang w:eastAsia="bg-BG"/>
        </w:rPr>
        <w:t xml:space="preserve">Средно тежко нарушение на чернодробната функция </w:t>
      </w:r>
    </w:p>
    <w:p w14:paraId="559E02BC" w14:textId="415E3E1D"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t>Може да се наложи коригиране на дозата.</w:t>
      </w:r>
    </w:p>
    <w:p w14:paraId="7C78CD05" w14:textId="77777777" w:rsidR="00970D99" w:rsidRPr="00970D99" w:rsidRDefault="00970D99" w:rsidP="00970D99">
      <w:pPr>
        <w:spacing w:line="240" w:lineRule="auto"/>
        <w:rPr>
          <w:rFonts w:eastAsia="Times New Roman" w:cs="Arial"/>
          <w:i/>
          <w:iCs/>
          <w:color w:val="000000"/>
          <w:szCs w:val="20"/>
          <w:lang w:eastAsia="bg-BG"/>
        </w:rPr>
      </w:pPr>
    </w:p>
    <w:p w14:paraId="29DBD784" w14:textId="703A0258" w:rsidR="00970D99" w:rsidRPr="00970D99" w:rsidRDefault="00970D99" w:rsidP="00970D99">
      <w:pPr>
        <w:spacing w:line="240" w:lineRule="auto"/>
        <w:rPr>
          <w:rFonts w:eastAsia="Times New Roman" w:cs="Arial"/>
          <w:sz w:val="28"/>
          <w:szCs w:val="24"/>
        </w:rPr>
      </w:pPr>
      <w:r w:rsidRPr="00970D99">
        <w:rPr>
          <w:rFonts w:eastAsia="Times New Roman" w:cs="Arial"/>
          <w:i/>
          <w:iCs/>
          <w:color w:val="000000"/>
          <w:szCs w:val="20"/>
          <w:lang w:eastAsia="bg-BG"/>
        </w:rPr>
        <w:t>Деца и подрастващи (&lt; 18 години)</w:t>
      </w:r>
    </w:p>
    <w:p w14:paraId="71E7A809" w14:textId="77777777"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t>Няма достатъчно данни за ефикасността и безопасността на карведилол.</w:t>
      </w:r>
    </w:p>
    <w:p w14:paraId="433AF860" w14:textId="77777777" w:rsidR="00970D99" w:rsidRPr="00970D99" w:rsidRDefault="00970D99" w:rsidP="00970D99">
      <w:pPr>
        <w:spacing w:line="240" w:lineRule="auto"/>
        <w:rPr>
          <w:rFonts w:eastAsia="Times New Roman" w:cs="Arial"/>
          <w:i/>
          <w:iCs/>
          <w:color w:val="000000"/>
          <w:szCs w:val="20"/>
          <w:lang w:eastAsia="bg-BG"/>
        </w:rPr>
      </w:pPr>
    </w:p>
    <w:p w14:paraId="5F264D3D" w14:textId="275A033D" w:rsidR="00970D99" w:rsidRPr="00970D99" w:rsidRDefault="00970D99" w:rsidP="00970D99">
      <w:pPr>
        <w:spacing w:line="240" w:lineRule="auto"/>
        <w:rPr>
          <w:rFonts w:eastAsia="Times New Roman" w:cs="Arial"/>
          <w:sz w:val="28"/>
          <w:szCs w:val="24"/>
        </w:rPr>
      </w:pPr>
      <w:r w:rsidRPr="00970D99">
        <w:rPr>
          <w:rFonts w:eastAsia="Times New Roman" w:cs="Arial"/>
          <w:i/>
          <w:iCs/>
          <w:color w:val="000000"/>
          <w:szCs w:val="20"/>
          <w:lang w:eastAsia="bg-BG"/>
        </w:rPr>
        <w:t>Пациенти в старческа възраст</w:t>
      </w:r>
    </w:p>
    <w:p w14:paraId="5B6E139F" w14:textId="77777777"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lastRenderedPageBreak/>
        <w:t>Пациентите в старческа възраст може да са по-чувствителни към ефектите на карведилол и трябва да бъдат проследявани внимателно.</w:t>
      </w:r>
    </w:p>
    <w:p w14:paraId="050214BF" w14:textId="77777777" w:rsidR="00970D99" w:rsidRPr="00970D99" w:rsidRDefault="00970D99" w:rsidP="00970D99">
      <w:pPr>
        <w:spacing w:line="240" w:lineRule="auto"/>
        <w:rPr>
          <w:rFonts w:eastAsia="Times New Roman" w:cs="Arial"/>
          <w:color w:val="000000"/>
          <w:szCs w:val="20"/>
          <w:lang w:eastAsia="bg-BG"/>
        </w:rPr>
      </w:pPr>
    </w:p>
    <w:p w14:paraId="28F39B45" w14:textId="31DCF725"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t>Както и при другите бета-блокери и особено при пациенти с коронарни заболя вания, спирането на карведилол трябва да стане постепенно (виж точка 4.4).</w:t>
      </w:r>
    </w:p>
    <w:p w14:paraId="5BA707A4" w14:textId="77777777" w:rsidR="00970D99" w:rsidRPr="00970D99" w:rsidRDefault="00970D99" w:rsidP="00970D99">
      <w:pPr>
        <w:spacing w:line="240" w:lineRule="auto"/>
        <w:rPr>
          <w:rFonts w:eastAsia="Times New Roman" w:cs="Arial"/>
          <w:b/>
          <w:bCs/>
          <w:color w:val="000000"/>
          <w:szCs w:val="20"/>
          <w:lang w:eastAsia="bg-BG"/>
        </w:rPr>
      </w:pPr>
    </w:p>
    <w:p w14:paraId="24987E1C" w14:textId="48576413" w:rsidR="00970D99" w:rsidRPr="00970D99" w:rsidRDefault="00970D99" w:rsidP="00970D99">
      <w:pPr>
        <w:pStyle w:val="Heading3"/>
        <w:rPr>
          <w:rFonts w:eastAsia="Times New Roman"/>
          <w:b/>
          <w:sz w:val="28"/>
        </w:rPr>
      </w:pPr>
      <w:r w:rsidRPr="00970D99">
        <w:rPr>
          <w:rFonts w:eastAsia="Times New Roman"/>
          <w:b/>
          <w:lang w:eastAsia="bg-BG"/>
        </w:rPr>
        <w:t>Начин на приложение</w:t>
      </w:r>
    </w:p>
    <w:p w14:paraId="163286AF" w14:textId="3B7A37D0" w:rsidR="00970D99" w:rsidRDefault="00970D99" w:rsidP="00970D99">
      <w:pPr>
        <w:rPr>
          <w:rFonts w:eastAsia="Times New Roman" w:cs="Arial"/>
          <w:color w:val="000000"/>
          <w:szCs w:val="20"/>
          <w:lang w:eastAsia="bg-BG"/>
        </w:rPr>
      </w:pPr>
      <w:r w:rsidRPr="00970D99">
        <w:rPr>
          <w:rFonts w:eastAsia="Times New Roman" w:cs="Arial"/>
          <w:color w:val="000000"/>
          <w:szCs w:val="20"/>
          <w:lang w:eastAsia="bg-BG"/>
        </w:rPr>
        <w:t>Таблетките трябва да се приемат с достатъчно количество вода. Не е задължително таблетките да се приемат с храна. Но на пациентите със сърдечна недостатъчност, се препоръчва да приемат карведилол с храната, за да се забави абсорбцията и да се намали риска от ортостатична хипотония.</w:t>
      </w:r>
    </w:p>
    <w:p w14:paraId="5ABBEB46" w14:textId="77777777" w:rsidR="00970D99" w:rsidRPr="00970D99" w:rsidRDefault="00970D99" w:rsidP="00970D99">
      <w:pPr>
        <w:rPr>
          <w:rFonts w:cs="Arial"/>
          <w:sz w:val="24"/>
        </w:rPr>
      </w:pPr>
    </w:p>
    <w:p w14:paraId="0F253247" w14:textId="763DBC8F" w:rsidR="007122AD" w:rsidRDefault="002C50EE" w:rsidP="00936AD0">
      <w:pPr>
        <w:pStyle w:val="Heading2"/>
      </w:pPr>
      <w:r>
        <w:t>4.3. Противопоказания</w:t>
      </w:r>
    </w:p>
    <w:p w14:paraId="3977BBE0" w14:textId="416F5904" w:rsidR="00970D99" w:rsidRDefault="00970D99" w:rsidP="00970D99"/>
    <w:p w14:paraId="52981E51" w14:textId="77777777" w:rsidR="00970D99" w:rsidRPr="00970D99" w:rsidRDefault="00970D99" w:rsidP="00970D99">
      <w:pPr>
        <w:pStyle w:val="ListParagraph"/>
        <w:numPr>
          <w:ilvl w:val="0"/>
          <w:numId w:val="38"/>
        </w:numPr>
        <w:rPr>
          <w:sz w:val="24"/>
          <w:szCs w:val="24"/>
        </w:rPr>
      </w:pPr>
      <w:r w:rsidRPr="00970D99">
        <w:rPr>
          <w:lang w:eastAsia="bg-BG"/>
        </w:rPr>
        <w:t>Свръхчувствителност към карведилол или към някое от помощните вещества, изброени в точка 6.1.</w:t>
      </w:r>
    </w:p>
    <w:p w14:paraId="1141320C" w14:textId="77777777" w:rsidR="00970D99" w:rsidRPr="00970D99" w:rsidRDefault="00970D99" w:rsidP="00970D99">
      <w:pPr>
        <w:pStyle w:val="ListParagraph"/>
        <w:numPr>
          <w:ilvl w:val="0"/>
          <w:numId w:val="38"/>
        </w:numPr>
        <w:rPr>
          <w:sz w:val="24"/>
          <w:szCs w:val="24"/>
        </w:rPr>
      </w:pPr>
      <w:r w:rsidRPr="00970D99">
        <w:rPr>
          <w:lang w:eastAsia="bg-BG"/>
        </w:rPr>
        <w:t xml:space="preserve">Нестабилна/декомпенсирана сърдечна недостатъчност, сърдечна недостатъчност IV функционален клас по </w:t>
      </w:r>
      <w:r w:rsidRPr="00970D99">
        <w:rPr>
          <w:lang w:val="en-US"/>
        </w:rPr>
        <w:t>NYHA</w:t>
      </w:r>
      <w:r w:rsidRPr="00970D99">
        <w:rPr>
          <w:lang w:eastAsia="bg-BG"/>
        </w:rPr>
        <w:t>, изискваща интравенозно инотропно лечение</w:t>
      </w:r>
    </w:p>
    <w:p w14:paraId="5BB8190F" w14:textId="77777777" w:rsidR="00970D99" w:rsidRPr="00970D99" w:rsidRDefault="00970D99" w:rsidP="00970D99">
      <w:pPr>
        <w:pStyle w:val="ListParagraph"/>
        <w:numPr>
          <w:ilvl w:val="0"/>
          <w:numId w:val="38"/>
        </w:numPr>
        <w:rPr>
          <w:sz w:val="24"/>
          <w:szCs w:val="24"/>
        </w:rPr>
      </w:pPr>
      <w:r w:rsidRPr="00970D99">
        <w:rPr>
          <w:lang w:eastAsia="bg-BG"/>
        </w:rPr>
        <w:t>Хронично обструктивно белодробно заболяване (виж точка 4.4).</w:t>
      </w:r>
    </w:p>
    <w:p w14:paraId="44229D52" w14:textId="77777777" w:rsidR="00970D99" w:rsidRPr="00970D99" w:rsidRDefault="00970D99" w:rsidP="00970D99">
      <w:pPr>
        <w:pStyle w:val="ListParagraph"/>
        <w:numPr>
          <w:ilvl w:val="0"/>
          <w:numId w:val="38"/>
        </w:numPr>
        <w:rPr>
          <w:sz w:val="24"/>
          <w:szCs w:val="24"/>
        </w:rPr>
      </w:pPr>
      <w:r w:rsidRPr="00970D99">
        <w:rPr>
          <w:lang w:eastAsia="bg-BG"/>
        </w:rPr>
        <w:t>Тежка чернодробна недостатъчност</w:t>
      </w:r>
    </w:p>
    <w:p w14:paraId="1DE41EC5" w14:textId="77777777" w:rsidR="00970D99" w:rsidRPr="00970D99" w:rsidRDefault="00970D99" w:rsidP="00970D99">
      <w:pPr>
        <w:pStyle w:val="ListParagraph"/>
        <w:numPr>
          <w:ilvl w:val="0"/>
          <w:numId w:val="38"/>
        </w:numPr>
        <w:rPr>
          <w:sz w:val="24"/>
          <w:szCs w:val="24"/>
        </w:rPr>
      </w:pPr>
      <w:r w:rsidRPr="00970D99">
        <w:rPr>
          <w:lang w:eastAsia="bg-BG"/>
        </w:rPr>
        <w:t>Анамнеза за бронхоспазъм или бронхиална астма</w:t>
      </w:r>
    </w:p>
    <w:p w14:paraId="6597C0EE" w14:textId="77777777" w:rsidR="00970D99" w:rsidRPr="00970D99" w:rsidRDefault="00970D99" w:rsidP="00970D99">
      <w:pPr>
        <w:pStyle w:val="ListParagraph"/>
        <w:numPr>
          <w:ilvl w:val="0"/>
          <w:numId w:val="38"/>
        </w:numPr>
        <w:rPr>
          <w:sz w:val="24"/>
          <w:szCs w:val="24"/>
        </w:rPr>
      </w:pPr>
      <w:r w:rsidRPr="00970D99">
        <w:rPr>
          <w:lang w:val="en-US"/>
        </w:rPr>
        <w:t>AV</w:t>
      </w:r>
      <w:r w:rsidRPr="00970D99">
        <w:rPr>
          <w:lang w:val="ru-RU"/>
        </w:rPr>
        <w:t xml:space="preserve"> </w:t>
      </w:r>
      <w:r w:rsidRPr="00970D99">
        <w:rPr>
          <w:lang w:eastAsia="bg-BG"/>
        </w:rPr>
        <w:t>блок степен II или III (освен ако не е поставен пейсмейкър).</w:t>
      </w:r>
    </w:p>
    <w:p w14:paraId="3CF57FF2" w14:textId="77777777" w:rsidR="00970D99" w:rsidRPr="00970D99" w:rsidRDefault="00970D99" w:rsidP="00970D99">
      <w:pPr>
        <w:pStyle w:val="ListParagraph"/>
        <w:numPr>
          <w:ilvl w:val="0"/>
          <w:numId w:val="38"/>
        </w:numPr>
        <w:rPr>
          <w:sz w:val="24"/>
          <w:szCs w:val="24"/>
        </w:rPr>
      </w:pPr>
      <w:r w:rsidRPr="00970D99">
        <w:rPr>
          <w:lang w:eastAsia="bg-BG"/>
        </w:rPr>
        <w:t>Тежка брадикардия (&lt; 50 удара/минута)</w:t>
      </w:r>
    </w:p>
    <w:p w14:paraId="66A7A16A" w14:textId="77777777" w:rsidR="00970D99" w:rsidRPr="00970D99" w:rsidRDefault="00970D99" w:rsidP="00970D99">
      <w:pPr>
        <w:pStyle w:val="ListParagraph"/>
        <w:numPr>
          <w:ilvl w:val="0"/>
          <w:numId w:val="38"/>
        </w:numPr>
        <w:rPr>
          <w:sz w:val="24"/>
          <w:szCs w:val="24"/>
        </w:rPr>
      </w:pPr>
      <w:r w:rsidRPr="00970D99">
        <w:rPr>
          <w:lang w:eastAsia="bg-BG"/>
        </w:rPr>
        <w:t>Синдром на болния синусов възел (включително сино-атриален блок)</w:t>
      </w:r>
    </w:p>
    <w:p w14:paraId="231DC9BD" w14:textId="77777777" w:rsidR="00970D99" w:rsidRPr="00970D99" w:rsidRDefault="00970D99" w:rsidP="00970D99">
      <w:pPr>
        <w:pStyle w:val="ListParagraph"/>
        <w:numPr>
          <w:ilvl w:val="0"/>
          <w:numId w:val="38"/>
        </w:numPr>
        <w:rPr>
          <w:sz w:val="24"/>
          <w:szCs w:val="24"/>
        </w:rPr>
      </w:pPr>
      <w:r w:rsidRPr="00970D99">
        <w:rPr>
          <w:lang w:eastAsia="bg-BG"/>
        </w:rPr>
        <w:t>Кардиогенен шок</w:t>
      </w:r>
    </w:p>
    <w:p w14:paraId="395B5067" w14:textId="77777777" w:rsidR="00970D99" w:rsidRPr="00970D99" w:rsidRDefault="00970D99" w:rsidP="00970D99">
      <w:pPr>
        <w:pStyle w:val="ListParagraph"/>
        <w:numPr>
          <w:ilvl w:val="0"/>
          <w:numId w:val="38"/>
        </w:numPr>
        <w:rPr>
          <w:sz w:val="24"/>
          <w:szCs w:val="24"/>
        </w:rPr>
      </w:pPr>
      <w:r w:rsidRPr="00970D99">
        <w:rPr>
          <w:lang w:eastAsia="bg-BG"/>
        </w:rPr>
        <w:t xml:space="preserve">Тежка хипотония (систолично кръвно налягане под 85 </w:t>
      </w:r>
      <w:r w:rsidRPr="00970D99">
        <w:rPr>
          <w:lang w:val="en-US"/>
        </w:rPr>
        <w:t>mmHg</w:t>
      </w:r>
      <w:r w:rsidRPr="00970D99">
        <w:rPr>
          <w:lang w:val="ru-RU"/>
        </w:rPr>
        <w:t>)</w:t>
      </w:r>
    </w:p>
    <w:p w14:paraId="2950CDA9" w14:textId="77777777" w:rsidR="00970D99" w:rsidRPr="00970D99" w:rsidRDefault="00970D99" w:rsidP="00970D99">
      <w:pPr>
        <w:pStyle w:val="ListParagraph"/>
        <w:numPr>
          <w:ilvl w:val="0"/>
          <w:numId w:val="38"/>
        </w:numPr>
        <w:rPr>
          <w:sz w:val="24"/>
          <w:szCs w:val="24"/>
        </w:rPr>
      </w:pPr>
      <w:r w:rsidRPr="00970D99">
        <w:rPr>
          <w:lang w:eastAsia="bg-BG"/>
        </w:rPr>
        <w:t>Ангина на Принцметал</w:t>
      </w:r>
    </w:p>
    <w:p w14:paraId="399A5BBC" w14:textId="77777777" w:rsidR="00970D99" w:rsidRPr="00970D99" w:rsidRDefault="00970D99" w:rsidP="00970D99">
      <w:pPr>
        <w:pStyle w:val="ListParagraph"/>
        <w:numPr>
          <w:ilvl w:val="0"/>
          <w:numId w:val="38"/>
        </w:numPr>
        <w:rPr>
          <w:sz w:val="24"/>
          <w:szCs w:val="24"/>
        </w:rPr>
      </w:pPr>
      <w:r w:rsidRPr="00970D99">
        <w:rPr>
          <w:lang w:eastAsia="bg-BG"/>
        </w:rPr>
        <w:t>Нелекуван феохромоцитом</w:t>
      </w:r>
    </w:p>
    <w:p w14:paraId="29ED5E5F" w14:textId="77777777" w:rsidR="00970D99" w:rsidRPr="00970D99" w:rsidRDefault="00970D99" w:rsidP="00970D99">
      <w:pPr>
        <w:pStyle w:val="ListParagraph"/>
        <w:numPr>
          <w:ilvl w:val="0"/>
          <w:numId w:val="38"/>
        </w:numPr>
        <w:rPr>
          <w:sz w:val="24"/>
          <w:szCs w:val="24"/>
        </w:rPr>
      </w:pPr>
      <w:r w:rsidRPr="00970D99">
        <w:rPr>
          <w:lang w:eastAsia="bg-BG"/>
        </w:rPr>
        <w:t>Метаболитна ацидоза</w:t>
      </w:r>
    </w:p>
    <w:p w14:paraId="372DBB97" w14:textId="77777777" w:rsidR="00970D99" w:rsidRPr="00970D99" w:rsidRDefault="00970D99" w:rsidP="00970D99">
      <w:pPr>
        <w:pStyle w:val="ListParagraph"/>
        <w:numPr>
          <w:ilvl w:val="0"/>
          <w:numId w:val="38"/>
        </w:numPr>
        <w:rPr>
          <w:sz w:val="24"/>
          <w:szCs w:val="24"/>
        </w:rPr>
      </w:pPr>
      <w:r w:rsidRPr="00970D99">
        <w:rPr>
          <w:lang w:eastAsia="bg-BG"/>
        </w:rPr>
        <w:t>Тежки периферни артериални циркулаторни нарушения</w:t>
      </w:r>
    </w:p>
    <w:p w14:paraId="67B6C3B8" w14:textId="13EFD1B8" w:rsidR="00970D99" w:rsidRPr="00970D99" w:rsidRDefault="00970D99" w:rsidP="00970D99">
      <w:pPr>
        <w:pStyle w:val="ListParagraph"/>
        <w:numPr>
          <w:ilvl w:val="0"/>
          <w:numId w:val="38"/>
        </w:numPr>
        <w:rPr>
          <w:sz w:val="24"/>
          <w:szCs w:val="24"/>
        </w:rPr>
      </w:pPr>
      <w:r w:rsidRPr="00970D99">
        <w:rPr>
          <w:lang w:eastAsia="bg-BG"/>
        </w:rPr>
        <w:t>Едновремено интравенозно лечение с верапамил или дилтиазем (виж точка 4.5).</w:t>
      </w:r>
    </w:p>
    <w:p w14:paraId="724D295A" w14:textId="77777777" w:rsidR="00970D99" w:rsidRPr="00970D99" w:rsidRDefault="00970D99" w:rsidP="00970D99">
      <w:pPr>
        <w:rPr>
          <w:sz w:val="24"/>
          <w:szCs w:val="24"/>
        </w:rPr>
      </w:pPr>
    </w:p>
    <w:p w14:paraId="0E0BDCC7" w14:textId="70826C3D" w:rsidR="007122AD" w:rsidRDefault="002C50EE" w:rsidP="00936AD0">
      <w:pPr>
        <w:pStyle w:val="Heading2"/>
      </w:pPr>
      <w:r>
        <w:t>4.4. Специални предупреждения и предпазни мерки при употреба</w:t>
      </w:r>
    </w:p>
    <w:p w14:paraId="567F5EF0" w14:textId="6F6A03E9" w:rsidR="00970D99" w:rsidRDefault="00970D99" w:rsidP="00970D99"/>
    <w:p w14:paraId="6D50B1E0" w14:textId="77777777" w:rsidR="00970D99" w:rsidRPr="00970D99" w:rsidRDefault="00970D99" w:rsidP="00970D99">
      <w:pPr>
        <w:spacing w:line="240" w:lineRule="auto"/>
        <w:rPr>
          <w:rFonts w:eastAsia="Times New Roman" w:cs="Arial"/>
        </w:rPr>
      </w:pPr>
      <w:r w:rsidRPr="00970D99">
        <w:rPr>
          <w:rFonts w:eastAsia="Times New Roman" w:cs="Arial"/>
          <w:i/>
          <w:iCs/>
          <w:color w:val="000000"/>
          <w:u w:val="single"/>
          <w:lang w:eastAsia="bg-BG"/>
        </w:rPr>
        <w:t>Специално предупреждение при пациенти със сърдечна недостатъчност</w:t>
      </w:r>
    </w:p>
    <w:p w14:paraId="4BC4D1D7" w14:textId="77777777" w:rsidR="00970D99" w:rsidRPr="00970D99" w:rsidRDefault="00970D99" w:rsidP="00970D99">
      <w:pPr>
        <w:spacing w:line="240" w:lineRule="auto"/>
        <w:rPr>
          <w:rFonts w:eastAsia="Times New Roman" w:cs="Arial"/>
        </w:rPr>
      </w:pPr>
      <w:r w:rsidRPr="00970D99">
        <w:rPr>
          <w:rFonts w:eastAsia="Times New Roman" w:cs="Arial"/>
          <w:color w:val="000000"/>
          <w:lang w:eastAsia="bg-BG"/>
        </w:rPr>
        <w:t xml:space="preserve">При пациенти с хронична сърдечна недостатъчност, карведилол трябва да се приема като допълнение към терапията с диуретици, АСЕ инхибитори, дигиталис и/или вазодилататори. Въвеждането на терапията трябва да става под наблюдението на болничен лекар. Терапията започва само ако пациентът е стабилизиран с конвенционалната терапия за поне 4 седмици. Пациенти с тежка сърдечна недостатъчност, солеви дефицит и хиповолемия, пациенти в старческа възраст или пациенти с ниско кръвно налягане трябва да бъдат мониторирани в продължение на два часа след първата доза или след повишаване на дозата, тъй като при тях може да се появи хипотония. Хипотония, вследствие на изразена вазодилатация първоначално се лекува чрез намаляване на дозата на диуретика. Ако симптомите продължават, дозата на АСЕ инхибитора може да бъде намалена. В началото на терапията или по време на титриране на дозата на карведилол може да се наблюдава влошаване на симптомите на </w:t>
      </w:r>
      <w:r w:rsidRPr="00970D99">
        <w:rPr>
          <w:rFonts w:eastAsia="Times New Roman" w:cs="Arial"/>
          <w:color w:val="000000"/>
          <w:lang w:eastAsia="bg-BG"/>
        </w:rPr>
        <w:lastRenderedPageBreak/>
        <w:t>сърдечна недостатъчност или задръжка на течности. При тези случаи, трябва да се повиши дозата на диуретика. Въпреки това, понякога е необходимо да се намали или спре лечението с карведилол. Дозата на карведилол не трябва да се повишава преди симптомите на влошена сърдечна недостатъчност или хипотония вследствие на вазодилатация да са контролирани.</w:t>
      </w:r>
    </w:p>
    <w:p w14:paraId="58B2FB7F" w14:textId="77777777" w:rsidR="00970D99" w:rsidRPr="00970D99" w:rsidRDefault="00970D99" w:rsidP="00970D99">
      <w:pPr>
        <w:spacing w:line="240" w:lineRule="auto"/>
        <w:rPr>
          <w:rFonts w:eastAsia="Times New Roman" w:cs="Arial"/>
        </w:rPr>
      </w:pPr>
      <w:r w:rsidRPr="00970D99">
        <w:rPr>
          <w:rFonts w:eastAsia="Times New Roman" w:cs="Arial"/>
          <w:color w:val="000000"/>
          <w:lang w:eastAsia="bg-BG"/>
        </w:rPr>
        <w:t xml:space="preserve">При пациенти с хронична сърдечна недостатъчност, лекувани с дигиталис, карведилол трябва да се дава с внимание, тъй като дигиталис и карведилол удължават </w:t>
      </w:r>
      <w:r w:rsidRPr="00970D99">
        <w:rPr>
          <w:rFonts w:eastAsia="Times New Roman" w:cs="Arial"/>
          <w:color w:val="000000"/>
          <w:lang w:val="en-US"/>
        </w:rPr>
        <w:t>AV</w:t>
      </w:r>
      <w:r w:rsidRPr="00970D99">
        <w:rPr>
          <w:rFonts w:eastAsia="Times New Roman" w:cs="Arial"/>
          <w:color w:val="000000"/>
          <w:lang w:val="ru-RU"/>
        </w:rPr>
        <w:t xml:space="preserve"> </w:t>
      </w:r>
      <w:r w:rsidRPr="00970D99">
        <w:rPr>
          <w:rFonts w:eastAsia="Times New Roman" w:cs="Arial"/>
          <w:color w:val="000000"/>
          <w:lang w:eastAsia="bg-BG"/>
        </w:rPr>
        <w:t>проводното време (виж точка 4.5).</w:t>
      </w:r>
    </w:p>
    <w:p w14:paraId="65631D4B" w14:textId="77777777" w:rsidR="00970D99" w:rsidRPr="00970D99" w:rsidRDefault="00970D99" w:rsidP="00970D99">
      <w:pPr>
        <w:spacing w:line="240" w:lineRule="auto"/>
        <w:rPr>
          <w:rFonts w:eastAsia="Times New Roman" w:cs="Arial"/>
          <w:i/>
          <w:iCs/>
          <w:color w:val="000000"/>
          <w:lang w:eastAsia="bg-BG"/>
        </w:rPr>
      </w:pPr>
    </w:p>
    <w:p w14:paraId="65672188" w14:textId="4A98DD00" w:rsidR="00970D99" w:rsidRPr="00970D99" w:rsidRDefault="00970D99" w:rsidP="00970D99">
      <w:pPr>
        <w:spacing w:line="240" w:lineRule="auto"/>
        <w:rPr>
          <w:rFonts w:eastAsia="Times New Roman" w:cs="Arial"/>
        </w:rPr>
      </w:pPr>
      <w:r w:rsidRPr="00970D99">
        <w:rPr>
          <w:rFonts w:eastAsia="Times New Roman" w:cs="Arial"/>
          <w:i/>
          <w:iCs/>
          <w:color w:val="000000"/>
          <w:lang w:eastAsia="bg-BG"/>
        </w:rPr>
        <w:t>Бъбречна функция при сърдечна недостатъчност</w:t>
      </w:r>
    </w:p>
    <w:p w14:paraId="407E5BE9" w14:textId="77777777" w:rsidR="00970D99" w:rsidRPr="00970D99" w:rsidRDefault="00970D99" w:rsidP="00970D99">
      <w:pPr>
        <w:spacing w:line="240" w:lineRule="auto"/>
        <w:rPr>
          <w:rFonts w:eastAsia="Times New Roman" w:cs="Arial"/>
        </w:rPr>
      </w:pPr>
      <w:r w:rsidRPr="00970D99">
        <w:rPr>
          <w:rFonts w:eastAsia="Times New Roman" w:cs="Arial"/>
          <w:color w:val="000000"/>
          <w:lang w:eastAsia="bg-BG"/>
        </w:rPr>
        <w:t xml:space="preserve">Обратимо влошаване на бъбречната функция е наблюдавано по време на терапия с карведилол при пациенти със сърдечна недостатъчност с ниско кръвно налягане (систолично &lt;100 </w:t>
      </w:r>
      <w:r w:rsidRPr="00970D99">
        <w:rPr>
          <w:rFonts w:eastAsia="Times New Roman" w:cs="Arial"/>
          <w:color w:val="000000"/>
          <w:lang w:val="en-US"/>
        </w:rPr>
        <w:t>mmHg</w:t>
      </w:r>
      <w:r w:rsidRPr="00970D99">
        <w:rPr>
          <w:rFonts w:eastAsia="Times New Roman" w:cs="Arial"/>
          <w:color w:val="000000"/>
          <w:lang w:val="ru-RU"/>
        </w:rPr>
        <w:t xml:space="preserve">), </w:t>
      </w:r>
      <w:r w:rsidRPr="00970D99">
        <w:rPr>
          <w:rFonts w:eastAsia="Times New Roman" w:cs="Arial"/>
          <w:color w:val="000000"/>
          <w:lang w:eastAsia="bg-BG"/>
        </w:rPr>
        <w:t>исхемична болест на сърцето и генерализирана атеросклероза и/или подлежаща бъбречна недостатъчност. При пациенти със сърдечна недостатъчност и тези рискови фактори, трябва да се мониторира бъбречната функция по време на титриране на дозата на карведилол. При значително влошаване на бъбречната функция, дозата на карведилол трябва да се намали или терапията да се прекрати.</w:t>
      </w:r>
    </w:p>
    <w:p w14:paraId="512502F8" w14:textId="2667AD59" w:rsidR="00970D99" w:rsidRPr="00970D99" w:rsidRDefault="00970D99" w:rsidP="00970D99">
      <w:pPr>
        <w:rPr>
          <w:rFonts w:cs="Arial"/>
        </w:rPr>
      </w:pPr>
    </w:p>
    <w:p w14:paraId="396910E3" w14:textId="77777777" w:rsidR="00970D99" w:rsidRPr="00970D99" w:rsidRDefault="00970D99" w:rsidP="00970D99">
      <w:pPr>
        <w:spacing w:line="240" w:lineRule="auto"/>
        <w:rPr>
          <w:rFonts w:eastAsia="Times New Roman" w:cs="Arial"/>
        </w:rPr>
      </w:pPr>
      <w:r w:rsidRPr="00970D99">
        <w:rPr>
          <w:rFonts w:eastAsia="Times New Roman" w:cs="Arial"/>
          <w:i/>
          <w:iCs/>
          <w:color w:val="000000"/>
          <w:lang w:eastAsia="bg-BG"/>
        </w:rPr>
        <w:t>Други предупреждения относно карведилол и бета - блокерите</w:t>
      </w:r>
    </w:p>
    <w:p w14:paraId="0EB99B93" w14:textId="77777777" w:rsidR="00970D99" w:rsidRPr="00970D99" w:rsidRDefault="00970D99" w:rsidP="00970D99">
      <w:pPr>
        <w:spacing w:line="240" w:lineRule="auto"/>
        <w:rPr>
          <w:rFonts w:eastAsia="Times New Roman" w:cs="Arial"/>
        </w:rPr>
      </w:pPr>
      <w:r w:rsidRPr="00970D99">
        <w:rPr>
          <w:rFonts w:eastAsia="Times New Roman" w:cs="Arial"/>
          <w:color w:val="000000"/>
          <w:lang w:eastAsia="bg-BG"/>
        </w:rPr>
        <w:t>Хронична обструктивна белодробна болест</w:t>
      </w:r>
    </w:p>
    <w:p w14:paraId="01921858" w14:textId="77777777" w:rsidR="00970D99" w:rsidRPr="00970D99" w:rsidRDefault="00970D99" w:rsidP="00970D99">
      <w:pPr>
        <w:spacing w:line="240" w:lineRule="auto"/>
        <w:rPr>
          <w:rFonts w:eastAsia="Times New Roman" w:cs="Arial"/>
        </w:rPr>
      </w:pPr>
      <w:r w:rsidRPr="00970D99">
        <w:rPr>
          <w:rFonts w:eastAsia="Times New Roman" w:cs="Arial"/>
          <w:color w:val="000000"/>
          <w:lang w:eastAsia="bg-BG"/>
        </w:rPr>
        <w:t>Пациенти с хронична обструктивна белодробна болест с тенденция към бронхоспазъм, които не са лекувани с перорални или инхалационни лекарствени продукти трябва да се лекуват с карведилол само ако очакваните ползи надхвърлят възможния риск. Пациентите трябва да бъдат внимателно проследявани в началната фаза и по време на титруването на карведилол, като дозата на карведилол трябва да бъде намалена при появата на бронхоспазъм.</w:t>
      </w:r>
    </w:p>
    <w:p w14:paraId="1F621EA3" w14:textId="77777777" w:rsidR="00970D99" w:rsidRPr="00970D99" w:rsidRDefault="00970D99" w:rsidP="00970D99">
      <w:pPr>
        <w:spacing w:line="240" w:lineRule="auto"/>
        <w:rPr>
          <w:rFonts w:eastAsia="Times New Roman" w:cs="Arial"/>
          <w:i/>
          <w:iCs/>
          <w:color w:val="000000"/>
          <w:lang w:eastAsia="bg-BG"/>
        </w:rPr>
      </w:pPr>
    </w:p>
    <w:p w14:paraId="5CBC9573" w14:textId="44417CEB" w:rsidR="00970D99" w:rsidRPr="00970D99" w:rsidRDefault="00970D99" w:rsidP="00970D99">
      <w:pPr>
        <w:spacing w:line="240" w:lineRule="auto"/>
        <w:rPr>
          <w:rFonts w:eastAsia="Times New Roman" w:cs="Arial"/>
        </w:rPr>
      </w:pPr>
      <w:r w:rsidRPr="00970D99">
        <w:rPr>
          <w:rFonts w:eastAsia="Times New Roman" w:cs="Arial"/>
          <w:i/>
          <w:iCs/>
          <w:color w:val="000000"/>
          <w:lang w:eastAsia="bg-BG"/>
        </w:rPr>
        <w:t>Диабет</w:t>
      </w:r>
    </w:p>
    <w:p w14:paraId="49BE406F" w14:textId="77777777" w:rsidR="00970D99" w:rsidRPr="00970D99" w:rsidRDefault="00970D99" w:rsidP="00970D99">
      <w:pPr>
        <w:spacing w:line="240" w:lineRule="auto"/>
        <w:rPr>
          <w:rFonts w:eastAsia="Times New Roman" w:cs="Arial"/>
        </w:rPr>
      </w:pPr>
      <w:r w:rsidRPr="00970D99">
        <w:rPr>
          <w:rFonts w:eastAsia="Times New Roman" w:cs="Arial"/>
          <w:color w:val="000000"/>
          <w:lang w:eastAsia="bg-BG"/>
        </w:rPr>
        <w:t>Карведилол може да маскира симптомите и признаците на остра хипогликемия.Нарушен глюкозен контрол може понякога да се наблюдава при пациенти със захарен диабет и сърдечна недостатъчност във връзка с използването на карведилол. Следователно, пациентите с диабет, които приемат карведилол трябва внимателно да бъдат наблюдавани чрез редовно изследване на кръвната глюкоза, особено по време на титриране на дозата и адаптиране на антидиабетното лечение (виж точка 4.5). Нивата на кръвната глюкоза трябва да бъдат внимателно проследявани, особено след продължително гладуване.</w:t>
      </w:r>
    </w:p>
    <w:p w14:paraId="71F23631" w14:textId="77777777" w:rsidR="00970D99" w:rsidRPr="00970D99" w:rsidRDefault="00970D99" w:rsidP="00970D99">
      <w:pPr>
        <w:spacing w:line="240" w:lineRule="auto"/>
        <w:rPr>
          <w:rFonts w:eastAsia="Times New Roman" w:cs="Arial"/>
          <w:i/>
          <w:iCs/>
          <w:color w:val="000000"/>
          <w:lang w:eastAsia="bg-BG"/>
        </w:rPr>
      </w:pPr>
    </w:p>
    <w:p w14:paraId="22BAB798" w14:textId="123E0FD6" w:rsidR="00970D99" w:rsidRPr="00970D99" w:rsidRDefault="00970D99" w:rsidP="00970D99">
      <w:pPr>
        <w:spacing w:line="240" w:lineRule="auto"/>
        <w:rPr>
          <w:rFonts w:eastAsia="Times New Roman" w:cs="Arial"/>
        </w:rPr>
      </w:pPr>
      <w:r w:rsidRPr="00970D99">
        <w:rPr>
          <w:rFonts w:eastAsia="Times New Roman" w:cs="Arial"/>
          <w:i/>
          <w:iCs/>
          <w:color w:val="000000"/>
          <w:lang w:eastAsia="bg-BG"/>
        </w:rPr>
        <w:t>Тиреотоксикоза</w:t>
      </w:r>
    </w:p>
    <w:p w14:paraId="702210D1" w14:textId="77777777" w:rsidR="00970D99" w:rsidRPr="00970D99" w:rsidRDefault="00970D99" w:rsidP="00970D99">
      <w:pPr>
        <w:spacing w:line="240" w:lineRule="auto"/>
        <w:rPr>
          <w:rFonts w:eastAsia="Times New Roman" w:cs="Arial"/>
        </w:rPr>
      </w:pPr>
      <w:r w:rsidRPr="00970D99">
        <w:rPr>
          <w:rFonts w:eastAsia="Times New Roman" w:cs="Arial"/>
          <w:color w:val="000000"/>
          <w:lang w:eastAsia="bg-BG"/>
        </w:rPr>
        <w:t>Карведилол може да маскира симптомите на тиреотоксикоза.</w:t>
      </w:r>
    </w:p>
    <w:p w14:paraId="08DEDDE0" w14:textId="77777777" w:rsidR="00970D99" w:rsidRPr="00970D99" w:rsidRDefault="00970D99" w:rsidP="00970D99">
      <w:pPr>
        <w:spacing w:line="240" w:lineRule="auto"/>
        <w:rPr>
          <w:rFonts w:eastAsia="Times New Roman" w:cs="Arial"/>
          <w:i/>
          <w:iCs/>
          <w:color w:val="000000"/>
          <w:lang w:eastAsia="bg-BG"/>
        </w:rPr>
      </w:pPr>
    </w:p>
    <w:p w14:paraId="65EC1085" w14:textId="7415F181" w:rsidR="00970D99" w:rsidRPr="00970D99" w:rsidRDefault="00970D99" w:rsidP="00970D99">
      <w:pPr>
        <w:spacing w:line="240" w:lineRule="auto"/>
        <w:rPr>
          <w:rFonts w:eastAsia="Times New Roman" w:cs="Arial"/>
        </w:rPr>
      </w:pPr>
      <w:r w:rsidRPr="00970D99">
        <w:rPr>
          <w:rFonts w:eastAsia="Times New Roman" w:cs="Arial"/>
          <w:i/>
          <w:iCs/>
          <w:color w:val="000000"/>
          <w:lang w:eastAsia="bg-BG"/>
        </w:rPr>
        <w:t>Брадикардия</w:t>
      </w:r>
    </w:p>
    <w:p w14:paraId="2C429C0E" w14:textId="77777777" w:rsidR="00970D99" w:rsidRPr="00970D99" w:rsidRDefault="00970D99" w:rsidP="00970D99">
      <w:pPr>
        <w:spacing w:line="240" w:lineRule="auto"/>
        <w:rPr>
          <w:rFonts w:eastAsia="Times New Roman" w:cs="Arial"/>
        </w:rPr>
      </w:pPr>
      <w:r w:rsidRPr="00970D99">
        <w:rPr>
          <w:rFonts w:eastAsia="Times New Roman" w:cs="Arial"/>
          <w:color w:val="000000"/>
          <w:lang w:eastAsia="bg-BG"/>
        </w:rPr>
        <w:t>Карведилол може да причини брадикардия. Ако пулсът намалее до 55 удара в минута и се появят симптоми на брадикардия, дозата на карведилол трябва да се намали.</w:t>
      </w:r>
    </w:p>
    <w:p w14:paraId="3A054F37" w14:textId="77777777" w:rsidR="00970D99" w:rsidRPr="00970D99" w:rsidRDefault="00970D99" w:rsidP="00970D99">
      <w:pPr>
        <w:spacing w:line="240" w:lineRule="auto"/>
        <w:rPr>
          <w:rFonts w:eastAsia="Times New Roman" w:cs="Arial"/>
          <w:i/>
          <w:iCs/>
          <w:color w:val="000000"/>
          <w:lang w:eastAsia="bg-BG"/>
        </w:rPr>
      </w:pPr>
    </w:p>
    <w:p w14:paraId="1269817B" w14:textId="68F27F2A" w:rsidR="00970D99" w:rsidRPr="00970D99" w:rsidRDefault="00970D99" w:rsidP="00970D99">
      <w:pPr>
        <w:spacing w:line="240" w:lineRule="auto"/>
        <w:rPr>
          <w:rFonts w:eastAsia="Times New Roman" w:cs="Arial"/>
        </w:rPr>
      </w:pPr>
      <w:r w:rsidRPr="00970D99">
        <w:rPr>
          <w:rFonts w:eastAsia="Times New Roman" w:cs="Arial"/>
          <w:i/>
          <w:iCs/>
          <w:color w:val="000000"/>
          <w:lang w:eastAsia="bg-BG"/>
        </w:rPr>
        <w:t>Едновременна употреба с калциеви антагонисти</w:t>
      </w:r>
    </w:p>
    <w:p w14:paraId="74990E97" w14:textId="77777777" w:rsidR="00970D99" w:rsidRPr="00970D99" w:rsidRDefault="00970D99" w:rsidP="00970D99">
      <w:pPr>
        <w:spacing w:line="240" w:lineRule="auto"/>
        <w:rPr>
          <w:rFonts w:eastAsia="Times New Roman" w:cs="Arial"/>
        </w:rPr>
      </w:pPr>
      <w:r w:rsidRPr="00970D99">
        <w:rPr>
          <w:rFonts w:eastAsia="Times New Roman" w:cs="Arial"/>
          <w:color w:val="000000"/>
          <w:lang w:eastAsia="bg-BG"/>
        </w:rPr>
        <w:t>Когато карведилол се използва едновременно с калциеви антагонисти като верапамил и дилтиазем или други антиаритмични средства, особено амиодарон, кръвното налягане и ЕКГ на пациента трябва да се проследяват. Едновременното интравенозно приложение трябва да се избягва.</w:t>
      </w:r>
    </w:p>
    <w:p w14:paraId="7DFCE91D" w14:textId="77777777" w:rsidR="00970D99" w:rsidRPr="00970D99" w:rsidRDefault="00970D99" w:rsidP="00970D99">
      <w:pPr>
        <w:spacing w:line="240" w:lineRule="auto"/>
        <w:rPr>
          <w:rFonts w:eastAsia="Times New Roman" w:cs="Arial"/>
          <w:i/>
          <w:iCs/>
          <w:color w:val="000000"/>
          <w:lang w:eastAsia="bg-BG"/>
        </w:rPr>
      </w:pPr>
    </w:p>
    <w:p w14:paraId="2ED1BEED" w14:textId="78BCCC77" w:rsidR="00970D99" w:rsidRPr="00970D99" w:rsidRDefault="00970D99" w:rsidP="00970D99">
      <w:pPr>
        <w:spacing w:line="240" w:lineRule="auto"/>
        <w:rPr>
          <w:rFonts w:eastAsia="Times New Roman" w:cs="Arial"/>
        </w:rPr>
      </w:pPr>
      <w:r w:rsidRPr="00970D99">
        <w:rPr>
          <w:rFonts w:eastAsia="Times New Roman" w:cs="Arial"/>
          <w:i/>
          <w:iCs/>
          <w:color w:val="000000"/>
          <w:lang w:eastAsia="bg-BG"/>
        </w:rPr>
        <w:t>Циметидин</w:t>
      </w:r>
    </w:p>
    <w:p w14:paraId="3F965E8B" w14:textId="77777777" w:rsidR="00970D99" w:rsidRPr="00970D99" w:rsidRDefault="00970D99" w:rsidP="00970D99">
      <w:pPr>
        <w:spacing w:line="240" w:lineRule="auto"/>
        <w:rPr>
          <w:rFonts w:eastAsia="Times New Roman" w:cs="Arial"/>
        </w:rPr>
      </w:pPr>
      <w:r w:rsidRPr="00970D99">
        <w:rPr>
          <w:rFonts w:eastAsia="Times New Roman" w:cs="Arial"/>
          <w:color w:val="000000"/>
          <w:lang w:eastAsia="bg-BG"/>
        </w:rPr>
        <w:lastRenderedPageBreak/>
        <w:t>Циметидин трябва да се използва едновременно с карведилол при особено внимание, тъй като ефектите на карведилол могат да се засилят (виж точка 4.5).</w:t>
      </w:r>
    </w:p>
    <w:p w14:paraId="7BF6263C" w14:textId="77777777" w:rsidR="00970D99" w:rsidRPr="00970D99" w:rsidRDefault="00970D99" w:rsidP="00970D99">
      <w:pPr>
        <w:spacing w:line="240" w:lineRule="auto"/>
        <w:rPr>
          <w:rFonts w:eastAsia="Times New Roman" w:cs="Arial"/>
          <w:i/>
          <w:iCs/>
          <w:color w:val="000000"/>
          <w:lang w:eastAsia="bg-BG"/>
        </w:rPr>
      </w:pPr>
    </w:p>
    <w:p w14:paraId="06B5C92D" w14:textId="6A87EF59" w:rsidR="00970D99" w:rsidRPr="00970D99" w:rsidRDefault="00970D99" w:rsidP="00970D99">
      <w:pPr>
        <w:spacing w:line="240" w:lineRule="auto"/>
        <w:rPr>
          <w:rFonts w:eastAsia="Times New Roman" w:cs="Arial"/>
        </w:rPr>
      </w:pPr>
      <w:r w:rsidRPr="00970D99">
        <w:rPr>
          <w:rFonts w:eastAsia="Times New Roman" w:cs="Arial"/>
          <w:i/>
          <w:iCs/>
          <w:color w:val="000000"/>
          <w:lang w:eastAsia="bg-BG"/>
        </w:rPr>
        <w:t>Контактни лещи</w:t>
      </w:r>
    </w:p>
    <w:p w14:paraId="06F36C30" w14:textId="77777777" w:rsidR="00970D99" w:rsidRPr="00970D99" w:rsidRDefault="00970D99" w:rsidP="00970D99">
      <w:pPr>
        <w:spacing w:line="240" w:lineRule="auto"/>
        <w:rPr>
          <w:rFonts w:eastAsia="Times New Roman" w:cs="Arial"/>
        </w:rPr>
      </w:pPr>
      <w:r w:rsidRPr="00970D99">
        <w:rPr>
          <w:rFonts w:eastAsia="Times New Roman" w:cs="Arial"/>
          <w:color w:val="000000"/>
          <w:lang w:eastAsia="bg-BG"/>
        </w:rPr>
        <w:t>Пациентите, носещи контактни лещи трябва да бъдат предупреждавани за възможна редукция на секрецията на лакрималната течност.</w:t>
      </w:r>
    </w:p>
    <w:p w14:paraId="6E7A0E90" w14:textId="77777777" w:rsidR="00970D99" w:rsidRPr="00970D99" w:rsidRDefault="00970D99" w:rsidP="00970D99">
      <w:pPr>
        <w:spacing w:line="240" w:lineRule="auto"/>
        <w:rPr>
          <w:rFonts w:eastAsia="Times New Roman" w:cs="Arial"/>
          <w:i/>
          <w:iCs/>
          <w:color w:val="000000"/>
          <w:lang w:eastAsia="bg-BG"/>
        </w:rPr>
      </w:pPr>
    </w:p>
    <w:p w14:paraId="438A20B0" w14:textId="7FE4255B" w:rsidR="00970D99" w:rsidRPr="00970D99" w:rsidRDefault="00970D99" w:rsidP="00970D99">
      <w:pPr>
        <w:spacing w:line="240" w:lineRule="auto"/>
        <w:rPr>
          <w:rFonts w:eastAsia="Times New Roman" w:cs="Arial"/>
          <w:i/>
          <w:iCs/>
          <w:color w:val="000000"/>
          <w:lang w:eastAsia="bg-BG"/>
        </w:rPr>
      </w:pPr>
      <w:r w:rsidRPr="00970D99">
        <w:rPr>
          <w:rFonts w:eastAsia="Times New Roman" w:cs="Arial"/>
          <w:i/>
          <w:iCs/>
          <w:color w:val="000000"/>
          <w:lang w:eastAsia="bg-BG"/>
        </w:rPr>
        <w:t>Свръхчувствителност</w:t>
      </w:r>
    </w:p>
    <w:p w14:paraId="2514E312" w14:textId="77777777" w:rsidR="00970D99" w:rsidRPr="00970D99" w:rsidRDefault="00970D99" w:rsidP="00970D99">
      <w:pPr>
        <w:spacing w:line="240" w:lineRule="auto"/>
        <w:rPr>
          <w:rFonts w:eastAsia="Times New Roman" w:cs="Arial"/>
        </w:rPr>
      </w:pPr>
      <w:r w:rsidRPr="00970D99">
        <w:rPr>
          <w:rFonts w:eastAsia="Times New Roman" w:cs="Arial"/>
          <w:color w:val="000000"/>
          <w:lang w:eastAsia="bg-BG"/>
        </w:rPr>
        <w:t>С особено внимание трябва да се предписват бета блокери на пациенти с анамнеза за тежки реакции на свръхчувствителност, както и пациенти, подложени на десенсибилизиращо лечение, тъй като бета блокерите могат да повишат както чувствителността към алергени, така и тежестта на анафилактичните реакции.</w:t>
      </w:r>
    </w:p>
    <w:p w14:paraId="64BC5CBC" w14:textId="77777777" w:rsidR="00970D99" w:rsidRPr="00970D99" w:rsidRDefault="00970D99" w:rsidP="00970D99">
      <w:pPr>
        <w:spacing w:line="240" w:lineRule="auto"/>
        <w:rPr>
          <w:rFonts w:eastAsia="Times New Roman" w:cs="Arial"/>
          <w:i/>
          <w:iCs/>
          <w:color w:val="000000"/>
          <w:lang w:eastAsia="bg-BG"/>
        </w:rPr>
      </w:pPr>
    </w:p>
    <w:p w14:paraId="2D57E8EE" w14:textId="5B8DA9EA" w:rsidR="00970D99" w:rsidRPr="00970D99" w:rsidRDefault="00970D99" w:rsidP="00970D99">
      <w:pPr>
        <w:spacing w:line="240" w:lineRule="auto"/>
        <w:rPr>
          <w:rFonts w:eastAsia="Times New Roman" w:cs="Arial"/>
        </w:rPr>
      </w:pPr>
      <w:r w:rsidRPr="00970D99">
        <w:rPr>
          <w:rFonts w:eastAsia="Times New Roman" w:cs="Arial"/>
          <w:i/>
          <w:iCs/>
          <w:color w:val="000000"/>
          <w:lang w:eastAsia="bg-BG"/>
        </w:rPr>
        <w:t>Псориазис</w:t>
      </w:r>
    </w:p>
    <w:p w14:paraId="208FBF90" w14:textId="77777777" w:rsidR="00970D99" w:rsidRPr="00970D99" w:rsidRDefault="00970D99" w:rsidP="00970D99">
      <w:pPr>
        <w:spacing w:line="240" w:lineRule="auto"/>
        <w:rPr>
          <w:rFonts w:eastAsia="Times New Roman" w:cs="Arial"/>
        </w:rPr>
      </w:pPr>
      <w:r w:rsidRPr="00970D99">
        <w:rPr>
          <w:rFonts w:eastAsia="Times New Roman" w:cs="Arial"/>
          <w:color w:val="000000"/>
          <w:lang w:eastAsia="bg-BG"/>
        </w:rPr>
        <w:t>С особено внимание трябва да се предписват бета блокери на пациенти с псориазис, тъй като кожните прояви могат да се влошат.</w:t>
      </w:r>
    </w:p>
    <w:p w14:paraId="5BD89872" w14:textId="77777777" w:rsidR="00970D99" w:rsidRPr="00970D99" w:rsidRDefault="00970D99" w:rsidP="00970D99">
      <w:pPr>
        <w:rPr>
          <w:rFonts w:eastAsia="Times New Roman" w:cs="Arial"/>
          <w:i/>
          <w:iCs/>
          <w:color w:val="000000"/>
          <w:lang w:eastAsia="bg-BG"/>
        </w:rPr>
      </w:pPr>
    </w:p>
    <w:p w14:paraId="727206C5" w14:textId="1F5D35B7" w:rsidR="00970D99" w:rsidRPr="00970D99" w:rsidRDefault="00970D99" w:rsidP="00970D99">
      <w:pPr>
        <w:rPr>
          <w:rFonts w:eastAsia="Times New Roman" w:cs="Arial"/>
          <w:i/>
          <w:iCs/>
          <w:color w:val="000000"/>
          <w:lang w:eastAsia="bg-BG"/>
        </w:rPr>
      </w:pPr>
      <w:r w:rsidRPr="00970D99">
        <w:rPr>
          <w:rFonts w:eastAsia="Times New Roman" w:cs="Arial"/>
          <w:i/>
          <w:iCs/>
          <w:color w:val="000000"/>
          <w:lang w:eastAsia="bg-BG"/>
        </w:rPr>
        <w:t>Периферно съдово заболяване и синдром на Рейно</w:t>
      </w:r>
    </w:p>
    <w:p w14:paraId="75A10141" w14:textId="77777777" w:rsidR="00970D99" w:rsidRPr="00970D99" w:rsidRDefault="00970D99" w:rsidP="00970D99">
      <w:pPr>
        <w:spacing w:line="240" w:lineRule="auto"/>
        <w:rPr>
          <w:rFonts w:eastAsia="Times New Roman" w:cs="Arial"/>
        </w:rPr>
      </w:pPr>
      <w:r w:rsidRPr="00970D99">
        <w:rPr>
          <w:rFonts w:eastAsia="Times New Roman" w:cs="Arial"/>
          <w:color w:val="000000"/>
          <w:lang w:eastAsia="bg-BG"/>
        </w:rPr>
        <w:t>Тъй като карведилол е вазодилататорен бета-блокер, по-малко вероятно е да влоши симптомите на заболяване на периферните кръвоносни съдове в сравнение с конвенционалните бета-блокери.</w:t>
      </w:r>
    </w:p>
    <w:p w14:paraId="3CBA0E14" w14:textId="77777777" w:rsidR="00970D99" w:rsidRPr="00970D99" w:rsidRDefault="00970D99" w:rsidP="00970D99">
      <w:pPr>
        <w:spacing w:line="240" w:lineRule="auto"/>
        <w:rPr>
          <w:rFonts w:eastAsia="Times New Roman" w:cs="Arial"/>
        </w:rPr>
      </w:pPr>
      <w:r w:rsidRPr="00970D99">
        <w:rPr>
          <w:rFonts w:eastAsia="Times New Roman" w:cs="Arial"/>
          <w:color w:val="000000"/>
          <w:lang w:eastAsia="bg-BG"/>
        </w:rPr>
        <w:t>Има оскъдни клинични данни за тази група пациенти. Същото се отнася и за пациенти със синдром на Рейно, но също е възможно влошаване на симптомите.</w:t>
      </w:r>
    </w:p>
    <w:p w14:paraId="4A9B9785" w14:textId="77777777" w:rsidR="00970D99" w:rsidRPr="00970D99" w:rsidRDefault="00970D99" w:rsidP="00970D99">
      <w:pPr>
        <w:spacing w:line="240" w:lineRule="auto"/>
        <w:rPr>
          <w:rFonts w:eastAsia="Times New Roman" w:cs="Arial"/>
          <w:i/>
          <w:iCs/>
          <w:color w:val="000000"/>
          <w:lang w:eastAsia="bg-BG"/>
        </w:rPr>
      </w:pPr>
    </w:p>
    <w:p w14:paraId="48BAEBA8" w14:textId="2C1C0940" w:rsidR="00970D99" w:rsidRPr="00970D99" w:rsidRDefault="00970D99" w:rsidP="00970D99">
      <w:pPr>
        <w:spacing w:line="240" w:lineRule="auto"/>
        <w:rPr>
          <w:rFonts w:eastAsia="Times New Roman" w:cs="Arial"/>
        </w:rPr>
      </w:pPr>
      <w:r w:rsidRPr="00970D99">
        <w:rPr>
          <w:rFonts w:eastAsia="Times New Roman" w:cs="Arial"/>
          <w:i/>
          <w:iCs/>
          <w:color w:val="000000"/>
          <w:lang w:eastAsia="bg-BG"/>
        </w:rPr>
        <w:t>Феохромоцитом</w:t>
      </w:r>
    </w:p>
    <w:p w14:paraId="45EF766E" w14:textId="77777777" w:rsidR="00970D99" w:rsidRPr="00970D99" w:rsidRDefault="00970D99" w:rsidP="00970D99">
      <w:pPr>
        <w:spacing w:line="240" w:lineRule="auto"/>
        <w:rPr>
          <w:rFonts w:eastAsia="Times New Roman" w:cs="Arial"/>
        </w:rPr>
      </w:pPr>
      <w:r w:rsidRPr="00970D99">
        <w:rPr>
          <w:rFonts w:eastAsia="Times New Roman" w:cs="Arial"/>
          <w:color w:val="000000"/>
          <w:lang w:eastAsia="bg-BG"/>
        </w:rPr>
        <w:t>При пациенти с феохромоцитом, първоначално трябва да започне терапия с алфа блокери, преди започването на терапията с който и да е бета блокер.</w:t>
      </w:r>
    </w:p>
    <w:p w14:paraId="0E9F311B" w14:textId="77777777" w:rsidR="00970D99" w:rsidRPr="00970D99" w:rsidRDefault="00970D99" w:rsidP="00970D99">
      <w:pPr>
        <w:spacing w:line="240" w:lineRule="auto"/>
        <w:rPr>
          <w:rFonts w:eastAsia="Times New Roman" w:cs="Arial"/>
        </w:rPr>
      </w:pPr>
      <w:r w:rsidRPr="00970D99">
        <w:rPr>
          <w:rFonts w:eastAsia="Times New Roman" w:cs="Arial"/>
          <w:color w:val="000000"/>
          <w:lang w:eastAsia="bg-BG"/>
        </w:rPr>
        <w:t>Въпреки, че карведилол проявява алфа и бета блокерна активност, няма достатъчно опит в лечението на това заболяване и съответно трябва да се прилага с особено внимание при тези пациенти.</w:t>
      </w:r>
    </w:p>
    <w:p w14:paraId="6D75BC8A" w14:textId="77777777" w:rsidR="00970D99" w:rsidRPr="00970D99" w:rsidRDefault="00970D99" w:rsidP="00970D99">
      <w:pPr>
        <w:spacing w:line="240" w:lineRule="auto"/>
        <w:rPr>
          <w:rFonts w:eastAsia="Times New Roman" w:cs="Arial"/>
          <w:i/>
          <w:iCs/>
          <w:color w:val="000000"/>
          <w:lang w:eastAsia="bg-BG"/>
        </w:rPr>
      </w:pPr>
    </w:p>
    <w:p w14:paraId="0C2B95CE" w14:textId="4E1096CB" w:rsidR="00970D99" w:rsidRPr="00970D99" w:rsidRDefault="00970D99" w:rsidP="00970D99">
      <w:pPr>
        <w:spacing w:line="240" w:lineRule="auto"/>
        <w:rPr>
          <w:rFonts w:eastAsia="Times New Roman" w:cs="Arial"/>
        </w:rPr>
      </w:pPr>
      <w:r w:rsidRPr="00970D99">
        <w:rPr>
          <w:rFonts w:eastAsia="Times New Roman" w:cs="Arial"/>
          <w:i/>
          <w:iCs/>
          <w:color w:val="000000"/>
          <w:lang w:eastAsia="bg-BG"/>
        </w:rPr>
        <w:t>Вариантна ангина на Принцментал</w:t>
      </w:r>
    </w:p>
    <w:p w14:paraId="7F1EADC3" w14:textId="77777777" w:rsidR="00970D99" w:rsidRPr="00970D99" w:rsidRDefault="00970D99" w:rsidP="00970D99">
      <w:pPr>
        <w:spacing w:line="240" w:lineRule="auto"/>
        <w:rPr>
          <w:rFonts w:eastAsia="Times New Roman" w:cs="Arial"/>
        </w:rPr>
      </w:pPr>
      <w:r w:rsidRPr="00970D99">
        <w:rPr>
          <w:rFonts w:eastAsia="Times New Roman" w:cs="Arial"/>
          <w:color w:val="000000"/>
          <w:lang w:eastAsia="bg-BG"/>
        </w:rPr>
        <w:t>Лекарства, притежаващи неселективна бета-блокираща активност, може да предизвикат болка в гърдите при пациенти с вариантна ангина на Принцментал. Няма клиничен опит с карведилол при такива пациенти, въпреки че алфа-блокиращата активност на карведилол може да преотврати такива симптоми. Трябва да се внимава при пациенти с подозрение за вариантна ангина на Принцментал.</w:t>
      </w:r>
    </w:p>
    <w:p w14:paraId="15BFF9EE" w14:textId="77777777" w:rsidR="00970D99" w:rsidRPr="00970D99" w:rsidRDefault="00970D99" w:rsidP="00970D99">
      <w:pPr>
        <w:spacing w:line="240" w:lineRule="auto"/>
        <w:rPr>
          <w:rFonts w:eastAsia="Times New Roman" w:cs="Arial"/>
          <w:i/>
          <w:iCs/>
          <w:color w:val="000000"/>
          <w:lang w:eastAsia="bg-BG"/>
        </w:rPr>
      </w:pPr>
    </w:p>
    <w:p w14:paraId="56FD1F4E" w14:textId="58CEEF52" w:rsidR="00970D99" w:rsidRPr="00970D99" w:rsidRDefault="00970D99" w:rsidP="00970D99">
      <w:pPr>
        <w:spacing w:line="240" w:lineRule="auto"/>
        <w:rPr>
          <w:rFonts w:eastAsia="Times New Roman" w:cs="Arial"/>
        </w:rPr>
      </w:pPr>
      <w:r w:rsidRPr="00970D99">
        <w:rPr>
          <w:rFonts w:eastAsia="Times New Roman" w:cs="Arial"/>
          <w:i/>
          <w:iCs/>
          <w:color w:val="000000"/>
          <w:lang w:eastAsia="bg-BG"/>
        </w:rPr>
        <w:t>Анестезия и големи операции</w:t>
      </w:r>
    </w:p>
    <w:p w14:paraId="47A6CAC7" w14:textId="77777777" w:rsidR="00970D99" w:rsidRPr="00970D99" w:rsidRDefault="00970D99" w:rsidP="00970D99">
      <w:pPr>
        <w:spacing w:line="240" w:lineRule="auto"/>
        <w:rPr>
          <w:rFonts w:eastAsia="Times New Roman" w:cs="Arial"/>
        </w:rPr>
      </w:pPr>
      <w:r w:rsidRPr="00970D99">
        <w:rPr>
          <w:rFonts w:eastAsia="Times New Roman" w:cs="Arial"/>
          <w:color w:val="000000"/>
          <w:lang w:eastAsia="bg-BG"/>
        </w:rPr>
        <w:t>Бета блокерите намаляват риска от аритмия по време на анестезия, но трябва да се има предвид и риска от хипотония. Следователно особено внимание трябва да се обръща при използването на някои анестетици. По-нови изследвания показват ползата от бета блокерите в предотвратяването на периоперативната сърдечна заболеваемост и намаляване на случаите на сърдечно-съдови усложнения.</w:t>
      </w:r>
    </w:p>
    <w:p w14:paraId="3DDB4179" w14:textId="77777777" w:rsidR="00970D99" w:rsidRPr="00970D99" w:rsidRDefault="00970D99" w:rsidP="00970D99">
      <w:pPr>
        <w:spacing w:line="240" w:lineRule="auto"/>
        <w:rPr>
          <w:rFonts w:eastAsia="Times New Roman" w:cs="Arial"/>
          <w:i/>
          <w:iCs/>
          <w:color w:val="000000"/>
          <w:lang w:eastAsia="bg-BG"/>
        </w:rPr>
      </w:pPr>
    </w:p>
    <w:p w14:paraId="64BE0D28" w14:textId="00E3CA79" w:rsidR="00970D99" w:rsidRPr="00970D99" w:rsidRDefault="00970D99" w:rsidP="00970D99">
      <w:pPr>
        <w:spacing w:line="240" w:lineRule="auto"/>
        <w:rPr>
          <w:rFonts w:eastAsia="Times New Roman" w:cs="Arial"/>
        </w:rPr>
      </w:pPr>
      <w:r w:rsidRPr="00970D99">
        <w:rPr>
          <w:rFonts w:eastAsia="Times New Roman" w:cs="Arial"/>
          <w:i/>
          <w:iCs/>
          <w:color w:val="000000"/>
          <w:lang w:eastAsia="bg-BG"/>
        </w:rPr>
        <w:t>Синдром на отнемане</w:t>
      </w:r>
    </w:p>
    <w:p w14:paraId="6A0BA1B4" w14:textId="77777777" w:rsidR="00970D99" w:rsidRPr="00970D99" w:rsidRDefault="00970D99" w:rsidP="00970D99">
      <w:pPr>
        <w:spacing w:line="240" w:lineRule="auto"/>
        <w:rPr>
          <w:rFonts w:eastAsia="Times New Roman" w:cs="Arial"/>
        </w:rPr>
      </w:pPr>
      <w:r w:rsidRPr="00970D99">
        <w:rPr>
          <w:rFonts w:eastAsia="Times New Roman" w:cs="Arial"/>
          <w:color w:val="000000"/>
          <w:lang w:eastAsia="bg-BG"/>
        </w:rPr>
        <w:t>Както и останалите бета-блокери, така и карведилол не бива да се спира рязко. Това се отнася за пациенти с исхемична болест на сърцето. Лечението с карведилол трябва да се спира постепенно, в рамките на две седмици, т.е. чрез намаляване на дневната доза наполовина на всеки три дни. Ако е необходимо, може едновременно да се въведе заместител на терапия с цел предотвратяване влошаването на стенокардията.</w:t>
      </w:r>
    </w:p>
    <w:p w14:paraId="7E8C7ED6" w14:textId="77777777" w:rsidR="00970D99" w:rsidRPr="00970D99" w:rsidRDefault="00970D99" w:rsidP="00970D99">
      <w:pPr>
        <w:spacing w:line="240" w:lineRule="auto"/>
        <w:rPr>
          <w:rFonts w:eastAsia="Times New Roman" w:cs="Arial"/>
          <w:i/>
          <w:iCs/>
          <w:color w:val="000000"/>
          <w:lang w:eastAsia="bg-BG"/>
        </w:rPr>
      </w:pPr>
    </w:p>
    <w:p w14:paraId="5B475EFD" w14:textId="1F6B9DAB" w:rsidR="00970D99" w:rsidRPr="00970D99" w:rsidRDefault="00970D99" w:rsidP="00970D99">
      <w:pPr>
        <w:spacing w:line="240" w:lineRule="auto"/>
        <w:rPr>
          <w:rFonts w:eastAsia="Times New Roman" w:cs="Arial"/>
        </w:rPr>
      </w:pPr>
      <w:r w:rsidRPr="00970D99">
        <w:rPr>
          <w:rFonts w:eastAsia="Times New Roman" w:cs="Arial"/>
          <w:i/>
          <w:iCs/>
          <w:color w:val="000000"/>
          <w:lang w:eastAsia="bg-BG"/>
        </w:rPr>
        <w:t>Други предупреждения</w:t>
      </w:r>
    </w:p>
    <w:p w14:paraId="5C13FFA0" w14:textId="77777777" w:rsidR="00970D99" w:rsidRPr="00970D99" w:rsidRDefault="00970D99" w:rsidP="00970D99">
      <w:pPr>
        <w:spacing w:line="240" w:lineRule="auto"/>
        <w:rPr>
          <w:rFonts w:eastAsia="Times New Roman" w:cs="Arial"/>
        </w:rPr>
      </w:pPr>
      <w:r w:rsidRPr="00970D99">
        <w:rPr>
          <w:rFonts w:eastAsia="Times New Roman" w:cs="Arial"/>
          <w:color w:val="000000"/>
          <w:lang w:eastAsia="bg-BG"/>
        </w:rPr>
        <w:t>Пациенти, за които се знае, че бавно метаболизират дебризоквин, трябва да бъдат внимателно проследявани в началото на терапията (виж точка 5.2),</w:t>
      </w:r>
    </w:p>
    <w:p w14:paraId="41403E1C" w14:textId="77777777" w:rsidR="00970D99" w:rsidRPr="00970D99" w:rsidRDefault="00970D99" w:rsidP="00970D99">
      <w:pPr>
        <w:spacing w:line="240" w:lineRule="auto"/>
        <w:rPr>
          <w:rFonts w:eastAsia="Times New Roman" w:cs="Arial"/>
          <w:color w:val="000000"/>
          <w:lang w:eastAsia="bg-BG"/>
        </w:rPr>
      </w:pPr>
    </w:p>
    <w:p w14:paraId="064296AA" w14:textId="6EEAD026" w:rsidR="00970D99" w:rsidRPr="00970D99" w:rsidRDefault="00970D99" w:rsidP="00970D99">
      <w:pPr>
        <w:spacing w:line="240" w:lineRule="auto"/>
        <w:rPr>
          <w:rFonts w:eastAsia="Times New Roman" w:cs="Arial"/>
        </w:rPr>
      </w:pPr>
      <w:r w:rsidRPr="00970D99">
        <w:rPr>
          <w:rFonts w:eastAsia="Times New Roman" w:cs="Arial"/>
          <w:color w:val="000000"/>
          <w:lang w:eastAsia="bg-BG"/>
        </w:rPr>
        <w:t xml:space="preserve">Поради недостатъчен клиничен опит, каведилол не трябва да се прилага при пациенти с лабилна или вторична хипертония, ортостатична хипотония, остро възпалително сърдечно заболяване, хемодинамично свързано запушване на сърдечните клапи или на изходния тракт на камерите, краен стадий на периферно артериално заболяване, съпътстващо лечение с алфа </w:t>
      </w:r>
      <w:r w:rsidRPr="00970D99">
        <w:rPr>
          <w:rFonts w:eastAsia="Times New Roman" w:cs="Arial"/>
          <w:color w:val="000000"/>
          <w:lang w:val="en-US"/>
        </w:rPr>
        <w:t>t</w:t>
      </w:r>
      <w:r w:rsidRPr="00970D99">
        <w:rPr>
          <w:rFonts w:eastAsia="Times New Roman" w:cs="Arial"/>
          <w:color w:val="000000"/>
          <w:lang w:eastAsia="bg-BG"/>
        </w:rPr>
        <w:t>-рецепторен антагонист или алфа 2-рецепторен агонист.</w:t>
      </w:r>
    </w:p>
    <w:p w14:paraId="65373800" w14:textId="77777777" w:rsidR="00970D99" w:rsidRPr="00970D99" w:rsidRDefault="00970D99" w:rsidP="00970D99">
      <w:pPr>
        <w:spacing w:line="240" w:lineRule="auto"/>
        <w:rPr>
          <w:rFonts w:eastAsia="Times New Roman" w:cs="Arial"/>
          <w:i/>
          <w:iCs/>
          <w:color w:val="000000"/>
          <w:lang w:eastAsia="bg-BG"/>
        </w:rPr>
      </w:pPr>
    </w:p>
    <w:p w14:paraId="439A9CB3" w14:textId="589B9F32" w:rsidR="00970D99" w:rsidRPr="00970D99" w:rsidRDefault="00970D99" w:rsidP="00970D99">
      <w:pPr>
        <w:spacing w:line="240" w:lineRule="auto"/>
        <w:rPr>
          <w:rFonts w:eastAsia="Times New Roman" w:cs="Arial"/>
        </w:rPr>
      </w:pPr>
      <w:r w:rsidRPr="00970D99">
        <w:rPr>
          <w:rFonts w:eastAsia="Times New Roman" w:cs="Arial"/>
          <w:i/>
          <w:iCs/>
          <w:color w:val="000000"/>
          <w:lang w:eastAsia="bg-BG"/>
        </w:rPr>
        <w:t>Първа степен сърдечен блок</w:t>
      </w:r>
    </w:p>
    <w:p w14:paraId="1D7A478F" w14:textId="77777777" w:rsidR="00970D99" w:rsidRPr="00970D99" w:rsidRDefault="00970D99" w:rsidP="00970D99">
      <w:pPr>
        <w:spacing w:line="240" w:lineRule="auto"/>
        <w:rPr>
          <w:rFonts w:eastAsia="Times New Roman" w:cs="Arial"/>
        </w:rPr>
      </w:pPr>
      <w:r w:rsidRPr="00970D99">
        <w:rPr>
          <w:rFonts w:eastAsia="Times New Roman" w:cs="Arial"/>
          <w:color w:val="000000"/>
          <w:lang w:eastAsia="bg-BG"/>
        </w:rPr>
        <w:t>Поради отрицателния дромотропен ефект, карведилол трябва да се прилага с особено внимание при пациенти с първа степен сърдечен блок.</w:t>
      </w:r>
    </w:p>
    <w:p w14:paraId="1779D5BA" w14:textId="77777777" w:rsidR="00970D99" w:rsidRPr="00970D99" w:rsidRDefault="00970D99" w:rsidP="00970D99">
      <w:pPr>
        <w:spacing w:line="240" w:lineRule="auto"/>
        <w:rPr>
          <w:rFonts w:eastAsia="Times New Roman" w:cs="Arial"/>
          <w:color w:val="000000"/>
          <w:lang w:eastAsia="bg-BG"/>
        </w:rPr>
      </w:pPr>
    </w:p>
    <w:p w14:paraId="77180C31" w14:textId="6BF45550" w:rsidR="00970D99" w:rsidRPr="00970D99" w:rsidRDefault="00970D99" w:rsidP="00970D99">
      <w:pPr>
        <w:spacing w:line="240" w:lineRule="auto"/>
        <w:rPr>
          <w:rFonts w:eastAsia="Times New Roman" w:cs="Arial"/>
        </w:rPr>
      </w:pPr>
      <w:r w:rsidRPr="00970D99">
        <w:rPr>
          <w:rFonts w:eastAsia="Times New Roman" w:cs="Arial"/>
          <w:color w:val="000000"/>
          <w:lang w:eastAsia="bg-BG"/>
        </w:rPr>
        <w:t>Помощни вещества</w:t>
      </w:r>
    </w:p>
    <w:p w14:paraId="7098AC6F" w14:textId="3808F732" w:rsidR="00970D99" w:rsidRPr="00970D99" w:rsidRDefault="00970D99" w:rsidP="00970D99">
      <w:pPr>
        <w:spacing w:line="240" w:lineRule="auto"/>
        <w:rPr>
          <w:rFonts w:eastAsia="Times New Roman" w:cs="Arial"/>
          <w:i/>
          <w:iCs/>
          <w:color w:val="000000"/>
          <w:lang w:eastAsia="bg-BG"/>
        </w:rPr>
      </w:pPr>
      <w:r w:rsidRPr="00970D99">
        <w:rPr>
          <w:rFonts w:eastAsia="Times New Roman" w:cs="Arial"/>
          <w:i/>
          <w:iCs/>
          <w:color w:val="000000"/>
          <w:lang w:eastAsia="bg-BG"/>
        </w:rPr>
        <w:t>Лактоза</w:t>
      </w:r>
    </w:p>
    <w:p w14:paraId="4AFFFC99" w14:textId="598A65B4" w:rsidR="00970D99" w:rsidRPr="00970D99" w:rsidRDefault="00970D99" w:rsidP="00970D99">
      <w:pPr>
        <w:spacing w:line="240" w:lineRule="auto"/>
        <w:rPr>
          <w:rFonts w:eastAsia="Times New Roman" w:cs="Arial"/>
          <w:i/>
          <w:iCs/>
          <w:color w:val="000000"/>
          <w:lang w:eastAsia="bg-BG"/>
        </w:rPr>
      </w:pPr>
    </w:p>
    <w:p w14:paraId="1B6CF148" w14:textId="77777777" w:rsidR="00970D99" w:rsidRPr="00970D99" w:rsidRDefault="00970D99" w:rsidP="00970D99">
      <w:pPr>
        <w:spacing w:line="240" w:lineRule="auto"/>
        <w:rPr>
          <w:rFonts w:eastAsia="Times New Roman" w:cs="Arial"/>
        </w:rPr>
      </w:pPr>
      <w:r w:rsidRPr="00970D99">
        <w:rPr>
          <w:rFonts w:eastAsia="Times New Roman" w:cs="Arial"/>
          <w:color w:val="000000"/>
          <w:lang w:eastAsia="bg-BG"/>
        </w:rPr>
        <w:t>Този лекарствен продукт съдържа лактоза.</w:t>
      </w:r>
    </w:p>
    <w:p w14:paraId="3D710DA1" w14:textId="77777777" w:rsidR="00970D99" w:rsidRPr="00970D99" w:rsidRDefault="00970D99" w:rsidP="00970D99">
      <w:pPr>
        <w:spacing w:line="240" w:lineRule="auto"/>
        <w:rPr>
          <w:rFonts w:eastAsia="Times New Roman" w:cs="Arial"/>
        </w:rPr>
      </w:pPr>
      <w:r w:rsidRPr="00970D99">
        <w:rPr>
          <w:rFonts w:eastAsia="Times New Roman" w:cs="Arial"/>
          <w:color w:val="000000"/>
          <w:lang w:eastAsia="bg-BG"/>
        </w:rPr>
        <w:t>Пациенти с редки наследствени проблеми на непоносимост към галактоза, пълен лактазен дефицит или глюкозо-галактозна малабсорбция не трябва да приемат това лекарство.</w:t>
      </w:r>
    </w:p>
    <w:p w14:paraId="6EE8393C" w14:textId="77777777" w:rsidR="00970D99" w:rsidRPr="00970D99" w:rsidRDefault="00970D99" w:rsidP="00970D99">
      <w:pPr>
        <w:spacing w:line="240" w:lineRule="auto"/>
        <w:rPr>
          <w:rFonts w:eastAsia="Times New Roman" w:cs="Arial"/>
          <w:i/>
          <w:iCs/>
          <w:color w:val="000000"/>
          <w:lang w:eastAsia="bg-BG"/>
        </w:rPr>
      </w:pPr>
    </w:p>
    <w:p w14:paraId="3524B55A" w14:textId="2346D1B8" w:rsidR="00970D99" w:rsidRPr="00970D99" w:rsidRDefault="00970D99" w:rsidP="00970D99">
      <w:pPr>
        <w:spacing w:line="240" w:lineRule="auto"/>
        <w:rPr>
          <w:rFonts w:eastAsia="Times New Roman" w:cs="Arial"/>
        </w:rPr>
      </w:pPr>
      <w:r w:rsidRPr="00970D99">
        <w:rPr>
          <w:rFonts w:eastAsia="Times New Roman" w:cs="Arial"/>
          <w:i/>
          <w:iCs/>
          <w:color w:val="000000"/>
          <w:lang w:eastAsia="bg-BG"/>
        </w:rPr>
        <w:t>Захароза</w:t>
      </w:r>
    </w:p>
    <w:p w14:paraId="5C4E0BB2" w14:textId="77777777" w:rsidR="00970D99" w:rsidRPr="00970D99" w:rsidRDefault="00970D99" w:rsidP="00970D99">
      <w:pPr>
        <w:spacing w:line="240" w:lineRule="auto"/>
        <w:rPr>
          <w:rFonts w:eastAsia="Times New Roman" w:cs="Arial"/>
        </w:rPr>
      </w:pPr>
      <w:r w:rsidRPr="00970D99">
        <w:rPr>
          <w:rFonts w:eastAsia="Times New Roman" w:cs="Arial"/>
          <w:color w:val="000000"/>
          <w:lang w:eastAsia="bg-BG"/>
        </w:rPr>
        <w:t>Този лекарствен продукт съдържа захароза.</w:t>
      </w:r>
    </w:p>
    <w:p w14:paraId="392388E0" w14:textId="77777777" w:rsidR="00970D99" w:rsidRPr="00970D99" w:rsidRDefault="00970D99" w:rsidP="00970D99">
      <w:pPr>
        <w:spacing w:line="240" w:lineRule="auto"/>
        <w:rPr>
          <w:rFonts w:eastAsia="Times New Roman" w:cs="Arial"/>
        </w:rPr>
      </w:pPr>
      <w:r w:rsidRPr="00970D99">
        <w:rPr>
          <w:rFonts w:eastAsia="Times New Roman" w:cs="Arial"/>
          <w:color w:val="000000"/>
          <w:lang w:eastAsia="bg-BG"/>
        </w:rPr>
        <w:t>Пациенти с редки наследствени проблеми на непоносимост към фруктоза, глюкозо-галактозна малабсорбция или захарозо-изомалтазен дефицит не трябвада приемат това лекарство.</w:t>
      </w:r>
    </w:p>
    <w:p w14:paraId="0A7C8AC2" w14:textId="4DFEC791" w:rsidR="00970D99" w:rsidRPr="00970D99" w:rsidRDefault="00970D99" w:rsidP="00970D99"/>
    <w:p w14:paraId="0734264C" w14:textId="580F50F6"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5EA1E52D" w14:textId="423AD7A6" w:rsidR="00970D99" w:rsidRDefault="00970D99" w:rsidP="00970D99"/>
    <w:p w14:paraId="1C69BE11" w14:textId="77777777" w:rsidR="00970D99" w:rsidRPr="00970D99" w:rsidRDefault="00970D99" w:rsidP="00970D99">
      <w:pPr>
        <w:spacing w:line="240" w:lineRule="auto"/>
        <w:rPr>
          <w:rFonts w:eastAsia="Times New Roman" w:cs="Arial"/>
        </w:rPr>
      </w:pPr>
      <w:r w:rsidRPr="00970D99">
        <w:rPr>
          <w:rFonts w:eastAsia="Times New Roman" w:cs="Arial"/>
          <w:i/>
          <w:iCs/>
          <w:color w:val="000000"/>
          <w:lang w:eastAsia="bg-BG"/>
        </w:rPr>
        <w:t>Фармакокинетични взаимодействия</w:t>
      </w:r>
    </w:p>
    <w:p w14:paraId="1FAD4A99" w14:textId="77777777" w:rsidR="00970D99" w:rsidRPr="00970D99" w:rsidRDefault="00970D99" w:rsidP="00970D99">
      <w:pPr>
        <w:spacing w:line="240" w:lineRule="auto"/>
        <w:rPr>
          <w:rFonts w:eastAsia="Times New Roman" w:cs="Arial"/>
        </w:rPr>
      </w:pPr>
      <w:r w:rsidRPr="00970D99">
        <w:rPr>
          <w:rFonts w:eastAsia="Times New Roman" w:cs="Arial"/>
          <w:color w:val="000000"/>
          <w:lang w:eastAsia="bg-BG"/>
        </w:rPr>
        <w:t>Карведиолол е субстрат и инхибитор на Р-гликопротеина. Поради това наличността на лекарствата, пренасяни от Р-гликопротеина, може да е увеличена при едновременно приложение с карведилол. Освен това бионаличността на карведилол може да се модифицира от индуктори или инхибитори на Р-гликопротеина.</w:t>
      </w:r>
    </w:p>
    <w:p w14:paraId="2B3753BD" w14:textId="77777777" w:rsidR="00970D99" w:rsidRPr="00970D99" w:rsidRDefault="00970D99" w:rsidP="00970D99">
      <w:pPr>
        <w:spacing w:line="240" w:lineRule="auto"/>
        <w:rPr>
          <w:rFonts w:eastAsia="Times New Roman" w:cs="Arial"/>
          <w:color w:val="000000"/>
          <w:lang w:eastAsia="bg-BG"/>
        </w:rPr>
      </w:pPr>
    </w:p>
    <w:p w14:paraId="5613A0CE" w14:textId="302C3699" w:rsidR="00970D99" w:rsidRPr="00970D99" w:rsidRDefault="00970D99" w:rsidP="00970D99">
      <w:pPr>
        <w:spacing w:line="240" w:lineRule="auto"/>
        <w:rPr>
          <w:rFonts w:eastAsia="Times New Roman" w:cs="Arial"/>
        </w:rPr>
      </w:pPr>
      <w:r w:rsidRPr="00970D99">
        <w:rPr>
          <w:rFonts w:eastAsia="Times New Roman" w:cs="Arial"/>
          <w:color w:val="000000"/>
          <w:lang w:eastAsia="bg-BG"/>
        </w:rPr>
        <w:t>Инхибиторите, както и индукторите на С</w:t>
      </w:r>
      <w:r w:rsidRPr="00970D99">
        <w:rPr>
          <w:rFonts w:eastAsia="Times New Roman" w:cs="Arial"/>
          <w:color w:val="000000"/>
          <w:lang w:val="en-US"/>
        </w:rPr>
        <w:t>YP</w:t>
      </w:r>
      <w:r w:rsidRPr="00970D99">
        <w:rPr>
          <w:rFonts w:eastAsia="Times New Roman" w:cs="Arial"/>
          <w:color w:val="000000"/>
          <w:lang w:val="ru-RU"/>
        </w:rPr>
        <w:t>2</w:t>
      </w:r>
      <w:r w:rsidRPr="00970D99">
        <w:rPr>
          <w:rFonts w:eastAsia="Times New Roman" w:cs="Arial"/>
          <w:color w:val="000000"/>
          <w:lang w:val="en-US"/>
        </w:rPr>
        <w:t>D</w:t>
      </w:r>
      <w:r w:rsidRPr="00970D99">
        <w:rPr>
          <w:rFonts w:eastAsia="Times New Roman" w:cs="Arial"/>
          <w:color w:val="000000"/>
          <w:lang w:val="ru-RU"/>
        </w:rPr>
        <w:t xml:space="preserve">6 </w:t>
      </w:r>
      <w:r w:rsidRPr="00970D99">
        <w:rPr>
          <w:rFonts w:eastAsia="Times New Roman" w:cs="Arial"/>
          <w:color w:val="000000"/>
          <w:lang w:eastAsia="bg-BG"/>
        </w:rPr>
        <w:t xml:space="preserve">и </w:t>
      </w:r>
      <w:r w:rsidRPr="00970D99">
        <w:rPr>
          <w:rFonts w:eastAsia="Times New Roman" w:cs="Arial"/>
          <w:color w:val="000000"/>
          <w:lang w:val="en-US"/>
        </w:rPr>
        <w:t>CYP</w:t>
      </w:r>
      <w:r w:rsidRPr="00970D99">
        <w:rPr>
          <w:rFonts w:eastAsia="Times New Roman" w:cs="Arial"/>
          <w:color w:val="000000"/>
          <w:lang w:val="ru-RU"/>
        </w:rPr>
        <w:t>2</w:t>
      </w:r>
      <w:r w:rsidRPr="00970D99">
        <w:rPr>
          <w:rFonts w:eastAsia="Times New Roman" w:cs="Arial"/>
          <w:color w:val="000000"/>
          <w:lang w:val="en-US"/>
        </w:rPr>
        <w:t>C</w:t>
      </w:r>
      <w:r w:rsidRPr="00970D99">
        <w:rPr>
          <w:rFonts w:eastAsia="Times New Roman" w:cs="Arial"/>
          <w:color w:val="000000"/>
          <w:lang w:val="ru-RU"/>
        </w:rPr>
        <w:t xml:space="preserve">9, </w:t>
      </w:r>
      <w:r w:rsidRPr="00970D99">
        <w:rPr>
          <w:rFonts w:eastAsia="Times New Roman" w:cs="Arial"/>
          <w:color w:val="000000"/>
          <w:lang w:eastAsia="bg-BG"/>
        </w:rPr>
        <w:t xml:space="preserve">може да променят системния и/или предсистемния метаболизъм на карведилол стереоселективно, което води до повишени или намалени плазмени концентрации на </w:t>
      </w:r>
      <w:r w:rsidRPr="00970D99">
        <w:rPr>
          <w:rFonts w:eastAsia="Times New Roman" w:cs="Arial"/>
          <w:color w:val="000000"/>
          <w:lang w:val="en-US"/>
        </w:rPr>
        <w:t>R</w:t>
      </w:r>
      <w:r w:rsidRPr="00970D99">
        <w:rPr>
          <w:rFonts w:eastAsia="Times New Roman" w:cs="Arial"/>
          <w:color w:val="000000"/>
          <w:lang w:val="ru-RU"/>
        </w:rPr>
        <w:t xml:space="preserve"> </w:t>
      </w:r>
      <w:r w:rsidRPr="00970D99">
        <w:rPr>
          <w:rFonts w:eastAsia="Times New Roman" w:cs="Arial"/>
          <w:color w:val="000000"/>
          <w:lang w:eastAsia="bg-BG"/>
        </w:rPr>
        <w:t xml:space="preserve">и </w:t>
      </w:r>
      <w:r w:rsidRPr="00970D99">
        <w:rPr>
          <w:rFonts w:eastAsia="Times New Roman" w:cs="Arial"/>
          <w:color w:val="000000"/>
          <w:lang w:val="en-US"/>
        </w:rPr>
        <w:t>S</w:t>
      </w:r>
      <w:r w:rsidRPr="00970D99">
        <w:rPr>
          <w:rFonts w:eastAsia="Times New Roman" w:cs="Arial"/>
          <w:color w:val="000000"/>
          <w:lang w:val="ru-RU"/>
        </w:rPr>
        <w:t xml:space="preserve">- </w:t>
      </w:r>
      <w:r w:rsidRPr="00970D99">
        <w:rPr>
          <w:rFonts w:eastAsia="Times New Roman" w:cs="Arial"/>
          <w:color w:val="000000"/>
          <w:lang w:eastAsia="bg-BG"/>
        </w:rPr>
        <w:t>карведилол (виж точка 5.2). Някои примери, наблюдавани при пациенти или при здрави лица, са дадени по-долу, но списъкът не не изчерпателен.</w:t>
      </w:r>
    </w:p>
    <w:p w14:paraId="48DE4C79" w14:textId="77777777" w:rsidR="00970D99" w:rsidRPr="00970D99" w:rsidRDefault="00970D99" w:rsidP="00970D99">
      <w:pPr>
        <w:spacing w:line="240" w:lineRule="auto"/>
        <w:rPr>
          <w:rFonts w:eastAsia="Times New Roman" w:cs="Arial"/>
          <w:i/>
          <w:iCs/>
          <w:color w:val="000000"/>
          <w:lang w:eastAsia="bg-BG"/>
        </w:rPr>
      </w:pPr>
    </w:p>
    <w:p w14:paraId="4A0CD4C7" w14:textId="0494506E" w:rsidR="00970D99" w:rsidRPr="00970D99" w:rsidRDefault="00970D99" w:rsidP="00970D99">
      <w:pPr>
        <w:spacing w:line="240" w:lineRule="auto"/>
        <w:rPr>
          <w:rFonts w:eastAsia="Times New Roman" w:cs="Arial"/>
        </w:rPr>
      </w:pPr>
      <w:r w:rsidRPr="00970D99">
        <w:rPr>
          <w:rFonts w:eastAsia="Times New Roman" w:cs="Arial"/>
          <w:i/>
          <w:iCs/>
          <w:color w:val="000000"/>
          <w:lang w:eastAsia="bg-BG"/>
        </w:rPr>
        <w:t>Дигоксин:</w:t>
      </w:r>
      <w:r w:rsidRPr="00970D99">
        <w:rPr>
          <w:rFonts w:eastAsia="Times New Roman" w:cs="Arial"/>
          <w:color w:val="000000"/>
          <w:lang w:eastAsia="bg-BG"/>
        </w:rPr>
        <w:t xml:space="preserve"> концентрациите на дикоксин се повишават с около 1</w:t>
      </w:r>
      <w:r w:rsidRPr="00970D99">
        <w:rPr>
          <w:rFonts w:eastAsia="Times New Roman" w:cs="Arial"/>
          <w:i/>
          <w:iCs/>
          <w:color w:val="000000"/>
          <w:lang w:eastAsia="bg-BG"/>
        </w:rPr>
        <w:t>5%,</w:t>
      </w:r>
      <w:r w:rsidRPr="00970D99">
        <w:rPr>
          <w:rFonts w:eastAsia="Times New Roman" w:cs="Arial"/>
          <w:color w:val="000000"/>
          <w:lang w:eastAsia="bg-BG"/>
        </w:rPr>
        <w:t xml:space="preserve"> когато дигоксин и карведилол се прилагат едновременно. Както дигоксин, така и карведилол могат да забавят </w:t>
      </w:r>
      <w:r w:rsidRPr="00970D99">
        <w:rPr>
          <w:rFonts w:eastAsia="Times New Roman" w:cs="Arial"/>
          <w:color w:val="000000"/>
          <w:lang w:val="en-US"/>
        </w:rPr>
        <w:t>AV</w:t>
      </w:r>
      <w:r w:rsidRPr="00970D99">
        <w:rPr>
          <w:rFonts w:eastAsia="Times New Roman" w:cs="Arial"/>
          <w:color w:val="000000"/>
          <w:lang w:eastAsia="bg-BG"/>
        </w:rPr>
        <w:t>- проводимостта. Препоръчва се засилено проследяване на нивата на дигоксин при започване на лечение, коригиране на дозата или преустановяване на лечението с карведилол (вижте точка 4.4).</w:t>
      </w:r>
    </w:p>
    <w:p w14:paraId="199604CA" w14:textId="77777777" w:rsidR="00970D99" w:rsidRPr="00970D99" w:rsidRDefault="00970D99" w:rsidP="00970D99">
      <w:pPr>
        <w:spacing w:line="240" w:lineRule="auto"/>
        <w:rPr>
          <w:rFonts w:eastAsia="Times New Roman" w:cs="Arial"/>
          <w:i/>
          <w:iCs/>
          <w:color w:val="000000"/>
          <w:lang w:eastAsia="bg-BG"/>
        </w:rPr>
      </w:pPr>
    </w:p>
    <w:p w14:paraId="694BBD3E" w14:textId="1328A6DC" w:rsidR="00970D99" w:rsidRPr="00970D99" w:rsidRDefault="00970D99" w:rsidP="00970D99">
      <w:pPr>
        <w:spacing w:line="240" w:lineRule="auto"/>
        <w:rPr>
          <w:rFonts w:eastAsia="Times New Roman" w:cs="Arial"/>
        </w:rPr>
      </w:pPr>
      <w:r w:rsidRPr="00970D99">
        <w:rPr>
          <w:rFonts w:eastAsia="Times New Roman" w:cs="Arial"/>
          <w:i/>
          <w:iCs/>
          <w:color w:val="000000"/>
          <w:lang w:eastAsia="bg-BG"/>
        </w:rPr>
        <w:lastRenderedPageBreak/>
        <w:t>Рифампицин</w:t>
      </w:r>
    </w:p>
    <w:p w14:paraId="19A7E365" w14:textId="77777777" w:rsidR="00970D99" w:rsidRPr="00970D99" w:rsidRDefault="00970D99" w:rsidP="00970D99">
      <w:pPr>
        <w:spacing w:line="240" w:lineRule="auto"/>
        <w:rPr>
          <w:rFonts w:eastAsia="Times New Roman" w:cs="Arial"/>
        </w:rPr>
      </w:pPr>
      <w:r w:rsidRPr="00970D99">
        <w:rPr>
          <w:rFonts w:eastAsia="Times New Roman" w:cs="Arial"/>
          <w:color w:val="000000"/>
          <w:lang w:eastAsia="bg-BG"/>
        </w:rPr>
        <w:t>В едно проучване на 12 здрави лица приложението на рифампицин е намалило плазмените нива на карведилол с около 70%, най-вероятно чрез индукция на Р-гликопротеин, довела до намаление на чревната абсорбция на карведилол.</w:t>
      </w:r>
    </w:p>
    <w:p w14:paraId="309E8B58" w14:textId="77777777" w:rsidR="00970D99" w:rsidRPr="00970D99" w:rsidRDefault="00970D99" w:rsidP="00970D99">
      <w:pPr>
        <w:spacing w:line="240" w:lineRule="auto"/>
        <w:rPr>
          <w:rFonts w:eastAsia="Times New Roman" w:cs="Arial"/>
          <w:i/>
          <w:iCs/>
          <w:color w:val="000000"/>
          <w:lang w:eastAsia="bg-BG"/>
        </w:rPr>
      </w:pPr>
    </w:p>
    <w:p w14:paraId="58CB546F" w14:textId="2B427C12" w:rsidR="00970D99" w:rsidRPr="00970D99" w:rsidRDefault="00970D99" w:rsidP="00970D99">
      <w:pPr>
        <w:spacing w:line="240" w:lineRule="auto"/>
        <w:rPr>
          <w:rFonts w:eastAsia="Times New Roman" w:cs="Arial"/>
        </w:rPr>
      </w:pPr>
      <w:r w:rsidRPr="00970D99">
        <w:rPr>
          <w:rFonts w:eastAsia="Times New Roman" w:cs="Arial"/>
          <w:i/>
          <w:iCs/>
          <w:color w:val="000000"/>
          <w:lang w:eastAsia="bg-BG"/>
        </w:rPr>
        <w:t>Циклоспорин</w:t>
      </w:r>
    </w:p>
    <w:p w14:paraId="0B730FC0" w14:textId="77777777" w:rsidR="00970D99" w:rsidRPr="00970D99" w:rsidRDefault="00970D99" w:rsidP="00970D99">
      <w:pPr>
        <w:spacing w:line="240" w:lineRule="auto"/>
        <w:rPr>
          <w:rFonts w:eastAsia="Times New Roman" w:cs="Arial"/>
        </w:rPr>
      </w:pPr>
      <w:r w:rsidRPr="00970D99">
        <w:rPr>
          <w:rFonts w:eastAsia="Times New Roman" w:cs="Arial"/>
          <w:color w:val="000000"/>
          <w:lang w:eastAsia="bg-BG"/>
        </w:rPr>
        <w:t>Наблюдавани са увеличения на плазмените концентрации на циклоспорин след започване на лечение с карведилол в две проучвания при пациенти с бъбречна и сърдечна трансплантация, които са получавали циклоспорин перорално. При около 30% от пациентите се е наложило намаление на дозата на циклоспорин, за да се поддържат концентрациите на циклоспорин в терапевтични граници, докато при останалите пациенти не е било необходимо коригиране на дозата. При тези пациенти дозата на циклоспорин е намалена средно с около 20%. Поради широката интериндивидуална вариабилност в необходимото коригиране на дозата се препоръчва концентрациите на циклоспорин да се наблюдават внимателно след започване на терапия с карведилол, като дозата на циклоспорин се коригира съответно.</w:t>
      </w:r>
    </w:p>
    <w:p w14:paraId="3A5CD50F" w14:textId="77777777" w:rsidR="00970D99" w:rsidRPr="00970D99" w:rsidRDefault="00970D99" w:rsidP="00970D99">
      <w:pPr>
        <w:spacing w:line="240" w:lineRule="auto"/>
        <w:rPr>
          <w:rFonts w:eastAsia="Times New Roman" w:cs="Arial"/>
          <w:i/>
          <w:iCs/>
          <w:color w:val="000000"/>
          <w:lang w:eastAsia="bg-BG"/>
        </w:rPr>
      </w:pPr>
    </w:p>
    <w:p w14:paraId="58300207" w14:textId="4D54696A" w:rsidR="00970D99" w:rsidRPr="00970D99" w:rsidRDefault="00970D99" w:rsidP="00970D99">
      <w:pPr>
        <w:spacing w:line="240" w:lineRule="auto"/>
        <w:rPr>
          <w:rFonts w:eastAsia="Times New Roman" w:cs="Arial"/>
        </w:rPr>
      </w:pPr>
      <w:r w:rsidRPr="00970D99">
        <w:rPr>
          <w:rFonts w:eastAsia="Times New Roman" w:cs="Arial"/>
          <w:i/>
          <w:iCs/>
          <w:color w:val="000000"/>
          <w:lang w:eastAsia="bg-BG"/>
        </w:rPr>
        <w:t>Индуктори и инхибитори на чернодробния метаболизъм</w:t>
      </w:r>
    </w:p>
    <w:p w14:paraId="666FCA34" w14:textId="16667A37" w:rsidR="00970D99" w:rsidRPr="00970D99" w:rsidRDefault="00970D99" w:rsidP="00970D99">
      <w:pPr>
        <w:rPr>
          <w:rFonts w:eastAsia="Times New Roman" w:cs="Arial"/>
          <w:color w:val="000000"/>
          <w:lang w:eastAsia="bg-BG"/>
        </w:rPr>
      </w:pPr>
      <w:r w:rsidRPr="00970D99">
        <w:rPr>
          <w:rFonts w:eastAsia="Times New Roman" w:cs="Arial"/>
          <w:color w:val="000000"/>
          <w:lang w:eastAsia="bg-BG"/>
        </w:rPr>
        <w:t xml:space="preserve">Рифампицин намалява плазмените концентрации на карведилол с около 70%. Циметидин увеличава </w:t>
      </w:r>
      <w:r w:rsidRPr="00970D99">
        <w:rPr>
          <w:rFonts w:eastAsia="Times New Roman" w:cs="Arial"/>
          <w:color w:val="000000"/>
          <w:lang w:val="en-US"/>
        </w:rPr>
        <w:t>AUC</w:t>
      </w:r>
      <w:r w:rsidRPr="00970D99">
        <w:rPr>
          <w:rFonts w:eastAsia="Times New Roman" w:cs="Arial"/>
          <w:color w:val="000000"/>
          <w:lang w:val="ru-RU"/>
        </w:rPr>
        <w:t xml:space="preserve"> </w:t>
      </w:r>
      <w:r w:rsidRPr="00970D99">
        <w:rPr>
          <w:rFonts w:eastAsia="Times New Roman" w:cs="Arial"/>
          <w:color w:val="000000"/>
          <w:lang w:eastAsia="bg-BG"/>
        </w:rPr>
        <w:t>с около 30%, но не предизвиква промяна на С шах. Въз основа на относително слабия ефект на циметидин върху лекарствените нива на карведилол вероятността от клинично значимо взаимодействие е минимална.</w:t>
      </w:r>
    </w:p>
    <w:p w14:paraId="746B5AAE" w14:textId="5582C915" w:rsidR="00970D99" w:rsidRPr="00970D99" w:rsidRDefault="00970D99" w:rsidP="00970D99">
      <w:pPr>
        <w:rPr>
          <w:rFonts w:eastAsia="Times New Roman" w:cs="Arial"/>
          <w:color w:val="000000"/>
          <w:lang w:eastAsia="bg-BG"/>
        </w:rPr>
      </w:pPr>
    </w:p>
    <w:p w14:paraId="7B7E557D" w14:textId="77777777" w:rsidR="00970D99" w:rsidRPr="00970D99" w:rsidRDefault="00970D99" w:rsidP="00970D99">
      <w:pPr>
        <w:spacing w:line="240" w:lineRule="auto"/>
        <w:rPr>
          <w:rFonts w:eastAsia="Times New Roman" w:cs="Arial"/>
        </w:rPr>
      </w:pPr>
      <w:r w:rsidRPr="00970D99">
        <w:rPr>
          <w:rFonts w:eastAsia="Times New Roman" w:cs="Arial"/>
          <w:color w:val="000000"/>
          <w:lang w:eastAsia="bg-BG"/>
        </w:rPr>
        <w:t>Пациенти, приемащи лекарствени продукти, които индуцират ензимната система цитохром Р450 (напр.рифампицин и барбитурати), или я потискат (напр. циметидин, кетоконазол, флуоксетин, халоперидол, верапамил, еритромицин) трябва да бъдат под строго наблюдение, ако същевременно приемат и карведилол, тъй като серумните концентрации на карведилол се намаляват от ензимните индуктори и се увеличават от ензимните инхибитори.</w:t>
      </w:r>
    </w:p>
    <w:p w14:paraId="17C61483" w14:textId="77777777" w:rsidR="00970D99" w:rsidRPr="00970D99" w:rsidRDefault="00970D99" w:rsidP="00970D99">
      <w:pPr>
        <w:spacing w:line="240" w:lineRule="auto"/>
        <w:rPr>
          <w:rFonts w:eastAsia="Times New Roman" w:cs="Arial"/>
          <w:i/>
          <w:iCs/>
          <w:color w:val="000000"/>
          <w:lang w:eastAsia="bg-BG"/>
        </w:rPr>
      </w:pPr>
    </w:p>
    <w:p w14:paraId="38A28F80" w14:textId="6AA35A24" w:rsidR="00970D99" w:rsidRPr="00970D99" w:rsidRDefault="00970D99" w:rsidP="00970D99">
      <w:pPr>
        <w:spacing w:line="240" w:lineRule="auto"/>
        <w:rPr>
          <w:rFonts w:eastAsia="Times New Roman" w:cs="Arial"/>
        </w:rPr>
      </w:pPr>
      <w:r w:rsidRPr="00970D99">
        <w:rPr>
          <w:rFonts w:eastAsia="Times New Roman" w:cs="Arial"/>
          <w:i/>
          <w:iCs/>
          <w:color w:val="000000"/>
          <w:lang w:eastAsia="bg-BG"/>
        </w:rPr>
        <w:t>Антиаритмични лекарствени продукти</w:t>
      </w:r>
    </w:p>
    <w:p w14:paraId="4F67FB57" w14:textId="77777777" w:rsidR="00970D99" w:rsidRPr="00970D99" w:rsidRDefault="00970D99" w:rsidP="00970D99">
      <w:pPr>
        <w:spacing w:line="240" w:lineRule="auto"/>
        <w:rPr>
          <w:rFonts w:eastAsia="Times New Roman" w:cs="Arial"/>
        </w:rPr>
      </w:pPr>
      <w:r w:rsidRPr="00970D99">
        <w:rPr>
          <w:rFonts w:eastAsia="Times New Roman" w:cs="Arial"/>
          <w:color w:val="000000"/>
          <w:lang w:eastAsia="bg-BG"/>
        </w:rPr>
        <w:t>Приедновременно прилагане на карведилол и на антиаритмични препарати от клас 1 или амиодарон</w:t>
      </w:r>
    </w:p>
    <w:p w14:paraId="63220A47" w14:textId="77777777" w:rsidR="00970D99" w:rsidRPr="00970D99" w:rsidRDefault="00970D99" w:rsidP="00970D99">
      <w:pPr>
        <w:spacing w:line="240" w:lineRule="auto"/>
        <w:rPr>
          <w:rFonts w:eastAsia="Times New Roman" w:cs="Arial"/>
        </w:rPr>
      </w:pPr>
      <w:r w:rsidRPr="00970D99">
        <w:rPr>
          <w:rFonts w:eastAsia="Times New Roman" w:cs="Arial"/>
          <w:color w:val="000000"/>
          <w:lang w:eastAsia="bg-BG"/>
        </w:rPr>
        <w:t xml:space="preserve">(орално), пациентът трябва да бъде внимателно наблюдаван. Има съобщения за брадикардия, спиране на сърцето и камерно мъждене, малко след въвеждащо лечение с бета-блокери при пациенти, които са приемали амиодарон. При едновременна интравенозна терапия с антиаритмици от клас </w:t>
      </w:r>
      <w:r w:rsidRPr="00970D99">
        <w:rPr>
          <w:rFonts w:eastAsia="Times New Roman" w:cs="Arial"/>
          <w:color w:val="000000"/>
          <w:lang w:val="en-US"/>
        </w:rPr>
        <w:t>I</w:t>
      </w:r>
      <w:r w:rsidRPr="00970D99">
        <w:rPr>
          <w:rFonts w:eastAsia="Times New Roman" w:cs="Arial"/>
          <w:color w:val="000000"/>
          <w:lang w:eastAsia="bg-BG"/>
        </w:rPr>
        <w:t xml:space="preserve">а или </w:t>
      </w:r>
      <w:r w:rsidRPr="00970D99">
        <w:rPr>
          <w:rFonts w:eastAsia="Times New Roman" w:cs="Arial"/>
          <w:color w:val="000000"/>
          <w:lang w:val="en-US"/>
        </w:rPr>
        <w:t>I</w:t>
      </w:r>
      <w:r w:rsidRPr="00970D99">
        <w:rPr>
          <w:rFonts w:eastAsia="Times New Roman" w:cs="Arial"/>
          <w:color w:val="000000"/>
          <w:lang w:eastAsia="bg-BG"/>
        </w:rPr>
        <w:t>с има риск от сърдечна недостатъчност.</w:t>
      </w:r>
    </w:p>
    <w:p w14:paraId="1617AE74" w14:textId="77777777" w:rsidR="00970D99" w:rsidRPr="00970D99" w:rsidRDefault="00970D99" w:rsidP="00970D99">
      <w:pPr>
        <w:spacing w:line="240" w:lineRule="auto"/>
        <w:rPr>
          <w:rFonts w:eastAsia="Times New Roman" w:cs="Arial"/>
          <w:i/>
          <w:iCs/>
          <w:color w:val="000000"/>
          <w:lang w:eastAsia="bg-BG"/>
        </w:rPr>
      </w:pPr>
    </w:p>
    <w:p w14:paraId="2BF11F2F" w14:textId="250D9B9D" w:rsidR="00970D99" w:rsidRPr="00970D99" w:rsidRDefault="00970D99" w:rsidP="00970D99">
      <w:pPr>
        <w:spacing w:line="240" w:lineRule="auto"/>
        <w:rPr>
          <w:rFonts w:eastAsia="Times New Roman" w:cs="Arial"/>
        </w:rPr>
      </w:pPr>
      <w:r w:rsidRPr="00970D99">
        <w:rPr>
          <w:rFonts w:eastAsia="Times New Roman" w:cs="Arial"/>
          <w:i/>
          <w:iCs/>
          <w:color w:val="000000"/>
          <w:lang w:eastAsia="bg-BG"/>
        </w:rPr>
        <w:t>Амиодарон</w:t>
      </w:r>
    </w:p>
    <w:p w14:paraId="5C461C4C" w14:textId="77777777" w:rsidR="00970D99" w:rsidRPr="00970D99" w:rsidRDefault="00970D99" w:rsidP="00970D99">
      <w:pPr>
        <w:spacing w:line="240" w:lineRule="auto"/>
        <w:rPr>
          <w:rFonts w:eastAsia="Times New Roman" w:cs="Arial"/>
        </w:rPr>
      </w:pPr>
      <w:r w:rsidRPr="00970D99">
        <w:rPr>
          <w:rFonts w:eastAsia="Times New Roman" w:cs="Arial"/>
          <w:color w:val="000000"/>
          <w:lang w:eastAsia="bg-BG"/>
        </w:rPr>
        <w:t xml:space="preserve">При пациенти със сърдечна недостатъчност амиодарон намалява клирънса на </w:t>
      </w:r>
      <w:r w:rsidRPr="00970D99">
        <w:rPr>
          <w:rFonts w:eastAsia="Times New Roman" w:cs="Arial"/>
          <w:color w:val="000000"/>
          <w:lang w:val="en-US"/>
        </w:rPr>
        <w:t>S</w:t>
      </w:r>
      <w:r w:rsidRPr="00970D99">
        <w:rPr>
          <w:rFonts w:eastAsia="Times New Roman" w:cs="Arial"/>
          <w:color w:val="000000"/>
          <w:lang w:val="ru-RU"/>
        </w:rPr>
        <w:t xml:space="preserve">- </w:t>
      </w:r>
      <w:r w:rsidRPr="00970D99">
        <w:rPr>
          <w:rFonts w:eastAsia="Times New Roman" w:cs="Arial"/>
          <w:color w:val="000000"/>
          <w:lang w:eastAsia="bg-BG"/>
        </w:rPr>
        <w:t xml:space="preserve">карведилол вероятно чрез инхибиране на </w:t>
      </w:r>
      <w:r w:rsidRPr="00970D99">
        <w:rPr>
          <w:rFonts w:eastAsia="Times New Roman" w:cs="Arial"/>
          <w:color w:val="000000"/>
          <w:lang w:val="en-US"/>
        </w:rPr>
        <w:t>CYP</w:t>
      </w:r>
      <w:r w:rsidRPr="00970D99">
        <w:rPr>
          <w:rFonts w:eastAsia="Times New Roman" w:cs="Arial"/>
          <w:color w:val="000000"/>
          <w:lang w:val="ru-RU"/>
        </w:rPr>
        <w:t>2</w:t>
      </w:r>
      <w:r w:rsidRPr="00970D99">
        <w:rPr>
          <w:rFonts w:eastAsia="Times New Roman" w:cs="Arial"/>
          <w:color w:val="000000"/>
          <w:lang w:val="en-US"/>
        </w:rPr>
        <w:t>C</w:t>
      </w:r>
      <w:r w:rsidRPr="00970D99">
        <w:rPr>
          <w:rFonts w:eastAsia="Times New Roman" w:cs="Arial"/>
          <w:color w:val="000000"/>
          <w:lang w:val="ru-RU"/>
        </w:rPr>
        <w:t xml:space="preserve">9. </w:t>
      </w:r>
      <w:r w:rsidRPr="00970D99">
        <w:rPr>
          <w:rFonts w:eastAsia="Times New Roman" w:cs="Arial"/>
          <w:color w:val="000000"/>
          <w:lang w:eastAsia="bg-BG"/>
        </w:rPr>
        <w:t xml:space="preserve">Средната плазмена концентрация на </w:t>
      </w:r>
      <w:r w:rsidRPr="00970D99">
        <w:rPr>
          <w:rFonts w:eastAsia="Times New Roman" w:cs="Arial"/>
          <w:color w:val="000000"/>
          <w:lang w:val="en-US"/>
        </w:rPr>
        <w:t>R</w:t>
      </w:r>
      <w:r w:rsidRPr="00970D99">
        <w:rPr>
          <w:rFonts w:eastAsia="Times New Roman" w:cs="Arial"/>
          <w:color w:val="000000"/>
          <w:lang w:eastAsia="bg-BG"/>
        </w:rPr>
        <w:t xml:space="preserve">-карведилол не се променя. Следователно съществува потенциален риск от засилена бета-блокада, предизвикана от повишение на плазмената концентрация на </w:t>
      </w:r>
      <w:r w:rsidRPr="00970D99">
        <w:rPr>
          <w:rFonts w:eastAsia="Times New Roman" w:cs="Arial"/>
          <w:color w:val="000000"/>
          <w:lang w:val="en-US"/>
        </w:rPr>
        <w:t>S</w:t>
      </w:r>
      <w:r w:rsidRPr="00970D99">
        <w:rPr>
          <w:rFonts w:eastAsia="Times New Roman" w:cs="Arial"/>
          <w:color w:val="000000"/>
          <w:lang w:eastAsia="bg-BG"/>
        </w:rPr>
        <w:t>-карведилол.</w:t>
      </w:r>
    </w:p>
    <w:p w14:paraId="142C27D4" w14:textId="77777777" w:rsidR="00970D99" w:rsidRPr="00970D99" w:rsidRDefault="00970D99" w:rsidP="00970D99">
      <w:pPr>
        <w:spacing w:line="240" w:lineRule="auto"/>
        <w:rPr>
          <w:rFonts w:eastAsia="Times New Roman" w:cs="Arial"/>
          <w:i/>
          <w:iCs/>
          <w:color w:val="000000"/>
          <w:lang w:eastAsia="bg-BG"/>
        </w:rPr>
      </w:pPr>
    </w:p>
    <w:p w14:paraId="08B881BB" w14:textId="258C5882" w:rsidR="00970D99" w:rsidRPr="00970D99" w:rsidRDefault="00970D99" w:rsidP="00970D99">
      <w:pPr>
        <w:spacing w:line="240" w:lineRule="auto"/>
        <w:rPr>
          <w:rFonts w:eastAsia="Times New Roman" w:cs="Arial"/>
        </w:rPr>
      </w:pPr>
      <w:r w:rsidRPr="00970D99">
        <w:rPr>
          <w:rFonts w:eastAsia="Times New Roman" w:cs="Arial"/>
          <w:i/>
          <w:iCs/>
          <w:color w:val="000000"/>
          <w:lang w:eastAsia="bg-BG"/>
        </w:rPr>
        <w:t>Флуоксетин</w:t>
      </w:r>
    </w:p>
    <w:p w14:paraId="2955888D" w14:textId="77777777" w:rsidR="00970D99" w:rsidRPr="00970D99" w:rsidRDefault="00970D99" w:rsidP="00970D99">
      <w:pPr>
        <w:spacing w:line="240" w:lineRule="auto"/>
        <w:rPr>
          <w:rFonts w:eastAsia="Times New Roman" w:cs="Arial"/>
        </w:rPr>
      </w:pPr>
      <w:r w:rsidRPr="00970D99">
        <w:rPr>
          <w:rFonts w:eastAsia="Times New Roman" w:cs="Arial"/>
          <w:color w:val="000000"/>
          <w:lang w:eastAsia="bg-BG"/>
        </w:rPr>
        <w:t xml:space="preserve">В едно рандомизирано кръстосано проучване при 10 пациенти със сърдечна недостатъчност едновременното приложение на флуоксетин, мощен инхибитор на </w:t>
      </w:r>
      <w:r w:rsidRPr="00970D99">
        <w:rPr>
          <w:rFonts w:eastAsia="Times New Roman" w:cs="Arial"/>
          <w:color w:val="000000"/>
          <w:lang w:val="en-US"/>
        </w:rPr>
        <w:t>CYP</w:t>
      </w:r>
      <w:r w:rsidRPr="00970D99">
        <w:rPr>
          <w:rFonts w:eastAsia="Times New Roman" w:cs="Arial"/>
          <w:color w:val="000000"/>
          <w:lang w:val="ru-RU"/>
        </w:rPr>
        <w:t>2</w:t>
      </w:r>
      <w:r w:rsidRPr="00970D99">
        <w:rPr>
          <w:rFonts w:eastAsia="Times New Roman" w:cs="Arial"/>
          <w:color w:val="000000"/>
          <w:lang w:val="en-US"/>
        </w:rPr>
        <w:t>D</w:t>
      </w:r>
      <w:r w:rsidRPr="00970D99">
        <w:rPr>
          <w:rFonts w:eastAsia="Times New Roman" w:cs="Arial"/>
          <w:color w:val="000000"/>
          <w:lang w:val="ru-RU"/>
        </w:rPr>
        <w:t xml:space="preserve">6, </w:t>
      </w:r>
      <w:r w:rsidRPr="00970D99">
        <w:rPr>
          <w:rFonts w:eastAsia="Times New Roman" w:cs="Arial"/>
          <w:color w:val="000000"/>
          <w:lang w:eastAsia="bg-BG"/>
        </w:rPr>
        <w:t xml:space="preserve">е довело до стереоселективно инхибиране на метаболизма на карведилол с 77% -увеличение на средната </w:t>
      </w:r>
      <w:r w:rsidRPr="00970D99">
        <w:rPr>
          <w:rFonts w:eastAsia="Times New Roman" w:cs="Arial"/>
          <w:color w:val="000000"/>
          <w:lang w:val="en-US"/>
        </w:rPr>
        <w:t>AUC</w:t>
      </w:r>
      <w:r w:rsidRPr="00970D99">
        <w:rPr>
          <w:rFonts w:eastAsia="Times New Roman" w:cs="Arial"/>
          <w:color w:val="000000"/>
          <w:lang w:val="ru-RU"/>
        </w:rPr>
        <w:t xml:space="preserve"> </w:t>
      </w:r>
      <w:r w:rsidRPr="00970D99">
        <w:rPr>
          <w:rFonts w:eastAsia="Times New Roman" w:cs="Arial"/>
          <w:color w:val="000000"/>
          <w:lang w:eastAsia="bg-BG"/>
        </w:rPr>
        <w:t xml:space="preserve">на </w:t>
      </w:r>
      <w:r w:rsidRPr="00970D99">
        <w:rPr>
          <w:rFonts w:eastAsia="Times New Roman" w:cs="Arial"/>
          <w:color w:val="000000"/>
          <w:lang w:val="en-US"/>
        </w:rPr>
        <w:t>R</w:t>
      </w:r>
      <w:r w:rsidRPr="00970D99">
        <w:rPr>
          <w:rFonts w:eastAsia="Times New Roman" w:cs="Arial"/>
          <w:color w:val="000000"/>
          <w:lang w:val="ru-RU"/>
        </w:rPr>
        <w:t xml:space="preserve">(+) </w:t>
      </w:r>
      <w:r w:rsidRPr="00970D99">
        <w:rPr>
          <w:rFonts w:eastAsia="Times New Roman" w:cs="Arial"/>
          <w:color w:val="000000"/>
          <w:lang w:eastAsia="bg-BG"/>
        </w:rPr>
        <w:t xml:space="preserve">енантиомера. Не се отбелязва обаче разлика </w:t>
      </w:r>
      <w:r w:rsidRPr="00970D99">
        <w:rPr>
          <w:rFonts w:eastAsia="Times New Roman" w:cs="Arial"/>
          <w:color w:val="000000"/>
          <w:lang w:eastAsia="bg-BG"/>
        </w:rPr>
        <w:lastRenderedPageBreak/>
        <w:t>в нежеланите събития, артериалното налягане или сърдечната честота между терапевтичните групи.</w:t>
      </w:r>
    </w:p>
    <w:p w14:paraId="1F7E0890" w14:textId="77777777" w:rsidR="00970D99" w:rsidRPr="00970D99" w:rsidRDefault="00970D99" w:rsidP="00970D99">
      <w:pPr>
        <w:spacing w:line="240" w:lineRule="auto"/>
        <w:rPr>
          <w:rFonts w:eastAsia="Times New Roman" w:cs="Arial"/>
          <w:b/>
          <w:bCs/>
          <w:i/>
          <w:iCs/>
          <w:color w:val="000000"/>
          <w:lang w:eastAsia="bg-BG"/>
        </w:rPr>
      </w:pPr>
    </w:p>
    <w:p w14:paraId="516443BE" w14:textId="7D00B71F" w:rsidR="00970D99" w:rsidRPr="00970D99" w:rsidRDefault="00970D99" w:rsidP="00970D99">
      <w:pPr>
        <w:spacing w:line="240" w:lineRule="auto"/>
        <w:rPr>
          <w:rFonts w:eastAsia="Times New Roman" w:cs="Arial"/>
        </w:rPr>
      </w:pPr>
      <w:r w:rsidRPr="00970D99">
        <w:rPr>
          <w:rFonts w:eastAsia="Times New Roman" w:cs="Arial"/>
          <w:b/>
          <w:bCs/>
          <w:i/>
          <w:iCs/>
          <w:color w:val="000000"/>
          <w:lang w:eastAsia="bg-BG"/>
        </w:rPr>
        <w:t>Фармакодинамични взаимодействия</w:t>
      </w:r>
    </w:p>
    <w:p w14:paraId="0E87A48C" w14:textId="77777777" w:rsidR="00970D99" w:rsidRPr="00970D99" w:rsidRDefault="00970D99" w:rsidP="00970D99">
      <w:pPr>
        <w:spacing w:line="240" w:lineRule="auto"/>
        <w:rPr>
          <w:rFonts w:eastAsia="Times New Roman" w:cs="Arial"/>
        </w:rPr>
      </w:pPr>
      <w:r w:rsidRPr="00970D99">
        <w:rPr>
          <w:rFonts w:eastAsia="Times New Roman" w:cs="Arial"/>
          <w:i/>
          <w:iCs/>
          <w:color w:val="000000"/>
          <w:lang w:eastAsia="bg-BG"/>
        </w:rPr>
        <w:t>Инсулин или перорални хипогликемични средства</w:t>
      </w:r>
    </w:p>
    <w:p w14:paraId="04C03E25" w14:textId="77777777" w:rsidR="00970D99" w:rsidRPr="00970D99" w:rsidRDefault="00970D99" w:rsidP="00970D99">
      <w:pPr>
        <w:spacing w:line="240" w:lineRule="auto"/>
        <w:rPr>
          <w:rFonts w:eastAsia="Times New Roman" w:cs="Arial"/>
        </w:rPr>
      </w:pPr>
      <w:r w:rsidRPr="00970D99">
        <w:rPr>
          <w:rFonts w:eastAsia="Times New Roman" w:cs="Arial"/>
          <w:color w:val="000000"/>
          <w:lang w:eastAsia="bg-BG"/>
        </w:rPr>
        <w:t>Лекарствените продукти с бета-блокиращи свойства може да засилеят глюкозопонижаващия ефект на инсулина и пероралните антидиабетни продукти. Симптомите на хипогликемия могат да бъдат маскирани или смекчени (особено тахикардия). Поради това при пациентите, приемащи инсулин или перорални хипогликемични средства, се препоръчва редовнопроследяване на нивото на кръвната захар (вижте точка 4.4).</w:t>
      </w:r>
    </w:p>
    <w:p w14:paraId="4FDEF22F" w14:textId="77777777" w:rsidR="00970D99" w:rsidRPr="00970D99" w:rsidRDefault="00970D99" w:rsidP="00970D99">
      <w:pPr>
        <w:spacing w:line="240" w:lineRule="auto"/>
        <w:rPr>
          <w:rFonts w:eastAsia="Times New Roman" w:cs="Arial"/>
          <w:b/>
          <w:bCs/>
          <w:i/>
          <w:iCs/>
          <w:color w:val="000000"/>
          <w:lang w:eastAsia="bg-BG"/>
        </w:rPr>
      </w:pPr>
    </w:p>
    <w:p w14:paraId="5E1CB628" w14:textId="411B5028" w:rsidR="00970D99" w:rsidRPr="00970D99" w:rsidRDefault="00970D99" w:rsidP="00970D99">
      <w:pPr>
        <w:spacing w:line="240" w:lineRule="auto"/>
        <w:rPr>
          <w:rFonts w:eastAsia="Times New Roman" w:cs="Arial"/>
        </w:rPr>
      </w:pPr>
      <w:r w:rsidRPr="00970D99">
        <w:rPr>
          <w:rFonts w:eastAsia="Times New Roman" w:cs="Arial"/>
          <w:b/>
          <w:bCs/>
          <w:i/>
          <w:iCs/>
          <w:color w:val="000000"/>
          <w:lang w:eastAsia="bg-BG"/>
        </w:rPr>
        <w:t>Верапамил, дилтиазем, амиодарон и други антиаритмични средства</w:t>
      </w:r>
    </w:p>
    <w:p w14:paraId="0E84F686" w14:textId="77777777" w:rsidR="00970D99" w:rsidRPr="00970D99" w:rsidRDefault="00970D99" w:rsidP="00970D99">
      <w:pPr>
        <w:spacing w:line="240" w:lineRule="auto"/>
        <w:rPr>
          <w:rFonts w:eastAsia="Times New Roman" w:cs="Arial"/>
        </w:rPr>
      </w:pPr>
      <w:r w:rsidRPr="00970D99">
        <w:rPr>
          <w:rFonts w:eastAsia="Times New Roman" w:cs="Arial"/>
          <w:color w:val="000000"/>
          <w:lang w:eastAsia="bg-BG"/>
        </w:rPr>
        <w:t xml:space="preserve">В комбинация с карведилол е повишен рискът от нарушения на </w:t>
      </w:r>
      <w:r w:rsidRPr="00970D99">
        <w:rPr>
          <w:rFonts w:eastAsia="Times New Roman" w:cs="Arial"/>
          <w:color w:val="000000"/>
          <w:lang w:val="en-US"/>
        </w:rPr>
        <w:t>AV</w:t>
      </w:r>
      <w:r w:rsidRPr="00970D99">
        <w:rPr>
          <w:rFonts w:eastAsia="Times New Roman" w:cs="Arial"/>
          <w:color w:val="000000"/>
          <w:lang w:eastAsia="bg-BG"/>
        </w:rPr>
        <w:t>-проводимостта (вижте точка 4.4).</w:t>
      </w:r>
    </w:p>
    <w:p w14:paraId="45505224" w14:textId="77777777" w:rsidR="00970D99" w:rsidRPr="00970D99" w:rsidRDefault="00970D99" w:rsidP="00970D99">
      <w:pPr>
        <w:spacing w:line="240" w:lineRule="auto"/>
        <w:rPr>
          <w:rFonts w:eastAsia="Times New Roman" w:cs="Arial"/>
          <w:i/>
          <w:iCs/>
          <w:color w:val="000000"/>
          <w:lang w:eastAsia="bg-BG"/>
        </w:rPr>
      </w:pPr>
    </w:p>
    <w:p w14:paraId="1DF22BED" w14:textId="36FDE53E" w:rsidR="00970D99" w:rsidRPr="00970D99" w:rsidRDefault="00970D99" w:rsidP="00970D99">
      <w:pPr>
        <w:spacing w:line="240" w:lineRule="auto"/>
        <w:rPr>
          <w:rFonts w:eastAsia="Times New Roman" w:cs="Arial"/>
        </w:rPr>
      </w:pPr>
      <w:r w:rsidRPr="00970D99">
        <w:rPr>
          <w:rFonts w:eastAsia="Times New Roman" w:cs="Arial"/>
          <w:i/>
          <w:iCs/>
          <w:color w:val="000000"/>
          <w:lang w:eastAsia="bg-BG"/>
        </w:rPr>
        <w:t xml:space="preserve">Антихипертензивни лекарствени продукти с централно действие и МАО-инхибитори </w:t>
      </w:r>
      <w:r w:rsidRPr="00970D99">
        <w:rPr>
          <w:rFonts w:eastAsia="Times New Roman" w:cs="Arial"/>
          <w:color w:val="000000"/>
          <w:lang w:eastAsia="bg-BG"/>
        </w:rPr>
        <w:t xml:space="preserve">Едновременно лечение и резерпин, гуанетидин, метилдопа, гуанфацин и </w:t>
      </w:r>
      <w:r w:rsidRPr="00970D99">
        <w:rPr>
          <w:rFonts w:eastAsia="Times New Roman" w:cs="Arial"/>
          <w:color w:val="000000"/>
          <w:lang w:val="en-US"/>
        </w:rPr>
        <w:t>MAO</w:t>
      </w:r>
      <w:r w:rsidRPr="00970D99">
        <w:rPr>
          <w:rFonts w:eastAsia="Times New Roman" w:cs="Arial"/>
          <w:color w:val="000000"/>
          <w:lang w:eastAsia="bg-BG"/>
        </w:rPr>
        <w:t>-инхибитори /с изключение на МАО-В -инхибитори/, може да доведе допълнително до спад на сърдечната честота.</w:t>
      </w:r>
    </w:p>
    <w:p w14:paraId="6E8BF43E" w14:textId="77777777" w:rsidR="00970D99" w:rsidRPr="00970D99" w:rsidRDefault="00970D99" w:rsidP="00970D99">
      <w:pPr>
        <w:spacing w:line="240" w:lineRule="auto"/>
        <w:rPr>
          <w:rFonts w:eastAsia="Times New Roman" w:cs="Arial"/>
        </w:rPr>
      </w:pPr>
      <w:r w:rsidRPr="00970D99">
        <w:rPr>
          <w:rFonts w:eastAsia="Times New Roman" w:cs="Arial"/>
          <w:color w:val="000000"/>
          <w:lang w:eastAsia="bg-BG"/>
        </w:rPr>
        <w:t>Препоръчва се проследяване на жизненоважните функции.</w:t>
      </w:r>
    </w:p>
    <w:p w14:paraId="0C7C7299" w14:textId="77777777" w:rsidR="00970D99" w:rsidRPr="00970D99" w:rsidRDefault="00970D99" w:rsidP="00970D99">
      <w:pPr>
        <w:spacing w:line="240" w:lineRule="auto"/>
        <w:rPr>
          <w:rFonts w:eastAsia="Times New Roman" w:cs="Arial"/>
          <w:i/>
          <w:iCs/>
          <w:color w:val="000000"/>
          <w:lang w:eastAsia="bg-BG"/>
        </w:rPr>
      </w:pPr>
    </w:p>
    <w:p w14:paraId="0A25E3DD" w14:textId="356C0805" w:rsidR="00970D99" w:rsidRPr="00970D99" w:rsidRDefault="00970D99" w:rsidP="00970D99">
      <w:pPr>
        <w:spacing w:line="240" w:lineRule="auto"/>
        <w:rPr>
          <w:rFonts w:eastAsia="Times New Roman" w:cs="Arial"/>
        </w:rPr>
      </w:pPr>
      <w:r w:rsidRPr="00970D99">
        <w:rPr>
          <w:rFonts w:eastAsia="Times New Roman" w:cs="Arial"/>
          <w:i/>
          <w:iCs/>
          <w:color w:val="000000"/>
          <w:lang w:eastAsia="bg-BG"/>
        </w:rPr>
        <w:t>Дигоксин:</w:t>
      </w:r>
      <w:r w:rsidRPr="00970D99">
        <w:rPr>
          <w:rFonts w:eastAsia="Times New Roman" w:cs="Arial"/>
          <w:color w:val="000000"/>
          <w:lang w:eastAsia="bg-BG"/>
        </w:rPr>
        <w:t xml:space="preserve"> При едновременно прилагане на карведилол и дигоксин на хипертоници,</w:t>
      </w:r>
      <w:r w:rsidRPr="00970D99">
        <w:rPr>
          <w:rFonts w:eastAsia="Times New Roman" w:cs="Arial"/>
          <w:color w:val="000000"/>
          <w:lang w:val="ru-RU"/>
        </w:rPr>
        <w:t xml:space="preserve"> </w:t>
      </w:r>
      <w:r w:rsidRPr="00970D99">
        <w:rPr>
          <w:rFonts w:eastAsia="Times New Roman" w:cs="Arial"/>
          <w:color w:val="000000"/>
          <w:lang w:eastAsia="bg-BG"/>
        </w:rPr>
        <w:t xml:space="preserve">се наблюдава адитивно удължаване на времето на атриовентрикуларната </w:t>
      </w:r>
      <w:r w:rsidRPr="00970D99">
        <w:rPr>
          <w:rFonts w:eastAsia="Times New Roman" w:cs="Arial"/>
          <w:color w:val="000000"/>
          <w:lang w:val="ru-RU"/>
        </w:rPr>
        <w:t>(</w:t>
      </w:r>
      <w:r w:rsidRPr="00970D99">
        <w:rPr>
          <w:rFonts w:eastAsia="Times New Roman" w:cs="Arial"/>
          <w:color w:val="000000"/>
          <w:lang w:val="en-US"/>
        </w:rPr>
        <w:t>AV</w:t>
      </w:r>
      <w:r w:rsidRPr="00970D99">
        <w:rPr>
          <w:rFonts w:eastAsia="Times New Roman" w:cs="Arial"/>
          <w:color w:val="000000"/>
          <w:lang w:val="ru-RU"/>
        </w:rPr>
        <w:t xml:space="preserve">) </w:t>
      </w:r>
      <w:r w:rsidRPr="00970D99">
        <w:rPr>
          <w:rFonts w:eastAsia="Times New Roman" w:cs="Arial"/>
          <w:color w:val="000000"/>
          <w:lang w:eastAsia="bg-BG"/>
        </w:rPr>
        <w:t>проводимост</w:t>
      </w:r>
    </w:p>
    <w:p w14:paraId="15691ED8" w14:textId="1D4515B3" w:rsidR="00970D99" w:rsidRPr="00970D99" w:rsidRDefault="00970D99" w:rsidP="00970D99">
      <w:pPr>
        <w:rPr>
          <w:rFonts w:cs="Arial"/>
        </w:rPr>
      </w:pPr>
    </w:p>
    <w:p w14:paraId="624C3C9A" w14:textId="77777777" w:rsidR="00970D99" w:rsidRPr="00970D99" w:rsidRDefault="00970D99" w:rsidP="00970D99">
      <w:pPr>
        <w:spacing w:line="240" w:lineRule="auto"/>
        <w:rPr>
          <w:rFonts w:eastAsia="Times New Roman" w:cs="Arial"/>
        </w:rPr>
      </w:pPr>
      <w:r w:rsidRPr="00970D99">
        <w:rPr>
          <w:rFonts w:eastAsia="Times New Roman" w:cs="Arial"/>
          <w:i/>
          <w:iCs/>
          <w:color w:val="000000"/>
          <w:lang w:eastAsia="bg-BG"/>
        </w:rPr>
        <w:t>Клонидин.</w:t>
      </w:r>
      <w:r w:rsidRPr="00970D99">
        <w:rPr>
          <w:rFonts w:eastAsia="Times New Roman" w:cs="Arial"/>
          <w:color w:val="000000"/>
          <w:lang w:eastAsia="bg-BG"/>
        </w:rPr>
        <w:t xml:space="preserve"> Едновременното приложение на клонидин с лекарства с бета-блокиращи свойства може да потенциира ефектите на понижаване на артериалното налягане и сърдечната честота. Когато едновременното лечение с лекарства с бета-блокиращи свойства и клонидин трябва да се преустанови, първо трябва да се спре бета-блокиращото лекарство. След това, няколко дни по- късно терапията с клонидин може да се преустанови чрез постепенното намаляване на дозата, клонидин.</w:t>
      </w:r>
    </w:p>
    <w:p w14:paraId="1D9124EE" w14:textId="77777777" w:rsidR="00970D99" w:rsidRPr="00970D99" w:rsidRDefault="00970D99" w:rsidP="00970D99">
      <w:pPr>
        <w:spacing w:line="240" w:lineRule="auto"/>
        <w:rPr>
          <w:rFonts w:eastAsia="Times New Roman" w:cs="Arial"/>
          <w:i/>
          <w:iCs/>
          <w:color w:val="000000"/>
          <w:lang w:eastAsia="bg-BG"/>
        </w:rPr>
      </w:pPr>
    </w:p>
    <w:p w14:paraId="21BDB956" w14:textId="6A3C1226" w:rsidR="00970D99" w:rsidRPr="00970D99" w:rsidRDefault="00970D99" w:rsidP="00970D99">
      <w:pPr>
        <w:spacing w:line="240" w:lineRule="auto"/>
        <w:rPr>
          <w:rFonts w:eastAsia="Times New Roman" w:cs="Arial"/>
        </w:rPr>
      </w:pPr>
      <w:r w:rsidRPr="00970D99">
        <w:rPr>
          <w:rFonts w:eastAsia="Times New Roman" w:cs="Arial"/>
          <w:i/>
          <w:iCs/>
          <w:color w:val="000000"/>
          <w:lang w:eastAsia="bg-BG"/>
        </w:rPr>
        <w:t>Калциеви антагонисти (вижте точка 4.4)</w:t>
      </w:r>
    </w:p>
    <w:p w14:paraId="067BE679" w14:textId="77777777" w:rsidR="00970D99" w:rsidRPr="00970D99" w:rsidRDefault="00970D99" w:rsidP="00970D99">
      <w:pPr>
        <w:spacing w:line="240" w:lineRule="auto"/>
        <w:rPr>
          <w:rFonts w:eastAsia="Times New Roman" w:cs="Arial"/>
        </w:rPr>
      </w:pPr>
      <w:r w:rsidRPr="00970D99">
        <w:rPr>
          <w:rFonts w:eastAsia="Times New Roman" w:cs="Arial"/>
          <w:color w:val="000000"/>
          <w:lang w:eastAsia="bg-BG"/>
        </w:rPr>
        <w:t>Наблюдавани са отделни случаи на нарушения на проводимостта (рядко с компрометиране на хемодинамичната функция), когато карведилол и дилтиазем се прилагат едновременно. Както и при другите лекарства с бета-блокираща активност се препоръчва да се проследяват ЕКГ и артериалното налягане, ако карведилол трябва да се прилага перорално с калциеви антагонисти от типа на верапамил и дилтиазем.</w:t>
      </w:r>
    </w:p>
    <w:p w14:paraId="4373DB3F" w14:textId="77777777" w:rsidR="00970D99" w:rsidRPr="00970D99" w:rsidRDefault="00970D99" w:rsidP="00970D99">
      <w:pPr>
        <w:spacing w:line="240" w:lineRule="auto"/>
        <w:rPr>
          <w:rFonts w:eastAsia="Times New Roman" w:cs="Arial"/>
          <w:i/>
          <w:iCs/>
          <w:color w:val="000000"/>
          <w:lang w:eastAsia="bg-BG"/>
        </w:rPr>
      </w:pPr>
    </w:p>
    <w:p w14:paraId="5A455558" w14:textId="3C772FDC" w:rsidR="00970D99" w:rsidRPr="00970D99" w:rsidRDefault="00970D99" w:rsidP="00970D99">
      <w:pPr>
        <w:spacing w:line="240" w:lineRule="auto"/>
        <w:rPr>
          <w:rFonts w:eastAsia="Times New Roman" w:cs="Arial"/>
        </w:rPr>
      </w:pPr>
      <w:r w:rsidRPr="00970D99">
        <w:rPr>
          <w:rFonts w:eastAsia="Times New Roman" w:cs="Arial"/>
          <w:i/>
          <w:iCs/>
          <w:color w:val="000000"/>
          <w:lang w:eastAsia="bg-BG"/>
        </w:rPr>
        <w:t>Нитрати.</w:t>
      </w:r>
      <w:r w:rsidRPr="00970D99">
        <w:rPr>
          <w:rFonts w:eastAsia="Times New Roman" w:cs="Arial"/>
          <w:color w:val="000000"/>
          <w:lang w:eastAsia="bg-BG"/>
        </w:rPr>
        <w:t xml:space="preserve"> Засилено хипотензивно действие.</w:t>
      </w:r>
    </w:p>
    <w:p w14:paraId="0778B2FC" w14:textId="77777777" w:rsidR="00970D99" w:rsidRPr="00970D99" w:rsidRDefault="00970D99" w:rsidP="00970D99">
      <w:pPr>
        <w:spacing w:line="240" w:lineRule="auto"/>
        <w:rPr>
          <w:rFonts w:eastAsia="Times New Roman" w:cs="Arial"/>
          <w:i/>
          <w:iCs/>
          <w:color w:val="000000"/>
          <w:lang w:eastAsia="bg-BG"/>
        </w:rPr>
      </w:pPr>
    </w:p>
    <w:p w14:paraId="30E80350" w14:textId="0D9AD20B" w:rsidR="00970D99" w:rsidRPr="00970D99" w:rsidRDefault="00970D99" w:rsidP="00970D99">
      <w:pPr>
        <w:spacing w:line="240" w:lineRule="auto"/>
        <w:rPr>
          <w:rFonts w:eastAsia="Times New Roman" w:cs="Arial"/>
        </w:rPr>
      </w:pPr>
      <w:r w:rsidRPr="00970D99">
        <w:rPr>
          <w:rFonts w:eastAsia="Times New Roman" w:cs="Arial"/>
          <w:i/>
          <w:iCs/>
          <w:color w:val="000000"/>
          <w:lang w:eastAsia="bg-BG"/>
        </w:rPr>
        <w:t>Други антихипертензивни продукти</w:t>
      </w:r>
    </w:p>
    <w:p w14:paraId="4FD3CE95" w14:textId="77777777" w:rsidR="00970D99" w:rsidRPr="00970D99" w:rsidRDefault="00970D99" w:rsidP="00970D99">
      <w:pPr>
        <w:spacing w:line="240" w:lineRule="auto"/>
        <w:rPr>
          <w:rFonts w:eastAsia="Times New Roman" w:cs="Arial"/>
        </w:rPr>
      </w:pPr>
      <w:r w:rsidRPr="00970D99">
        <w:rPr>
          <w:rFonts w:eastAsia="Times New Roman" w:cs="Arial"/>
          <w:color w:val="000000"/>
          <w:lang w:eastAsia="bg-BG"/>
        </w:rPr>
        <w:t>Карведилол може да засили въздействието на други, едновременно прилагани антихипертензивни продукти (напр. алфа1-рецепторни антагонисти)..</w:t>
      </w:r>
    </w:p>
    <w:p w14:paraId="234598DE" w14:textId="77777777" w:rsidR="00970D99" w:rsidRPr="00970D99" w:rsidRDefault="00970D99" w:rsidP="00970D99">
      <w:pPr>
        <w:spacing w:line="240" w:lineRule="auto"/>
        <w:rPr>
          <w:rFonts w:eastAsia="Times New Roman" w:cs="Arial"/>
          <w:i/>
          <w:iCs/>
          <w:color w:val="000000"/>
          <w:lang w:eastAsia="bg-BG"/>
        </w:rPr>
      </w:pPr>
    </w:p>
    <w:p w14:paraId="0BA8FEA7" w14:textId="4EAECEEF" w:rsidR="00970D99" w:rsidRPr="00970D99" w:rsidRDefault="00970D99" w:rsidP="00970D99">
      <w:pPr>
        <w:spacing w:line="240" w:lineRule="auto"/>
        <w:rPr>
          <w:rFonts w:eastAsia="Times New Roman" w:cs="Arial"/>
        </w:rPr>
      </w:pPr>
      <w:r w:rsidRPr="00970D99">
        <w:rPr>
          <w:rFonts w:eastAsia="Times New Roman" w:cs="Arial"/>
          <w:i/>
          <w:iCs/>
          <w:color w:val="000000"/>
          <w:lang w:eastAsia="bg-BG"/>
        </w:rPr>
        <w:t>Анестетици.</w:t>
      </w:r>
      <w:r w:rsidRPr="00970D99">
        <w:rPr>
          <w:rFonts w:eastAsia="Times New Roman" w:cs="Arial"/>
          <w:color w:val="000000"/>
          <w:lang w:eastAsia="bg-BG"/>
        </w:rPr>
        <w:t xml:space="preserve"> При анестезия трябва да се внимава за потенциални негативни интропни и хипотензивни взаимодействия между карведилол и анестетика.Препоръчва се внимателно проследяване на жизнените признаци по време на анестезия поради синергичните, негативни, инотропни и хипотензивни ефекти на карведилол и анестетиците (вижте точка 4.4).</w:t>
      </w:r>
    </w:p>
    <w:p w14:paraId="4B11AF09" w14:textId="77777777" w:rsidR="00970D99" w:rsidRPr="00970D99" w:rsidRDefault="00970D99" w:rsidP="00970D99">
      <w:pPr>
        <w:spacing w:line="240" w:lineRule="auto"/>
        <w:rPr>
          <w:rFonts w:eastAsia="Times New Roman" w:cs="Arial"/>
          <w:i/>
          <w:iCs/>
          <w:color w:val="000000"/>
          <w:lang w:eastAsia="bg-BG"/>
        </w:rPr>
      </w:pPr>
    </w:p>
    <w:p w14:paraId="6D3DFBF2" w14:textId="400641A8" w:rsidR="00970D99" w:rsidRPr="00970D99" w:rsidRDefault="00970D99" w:rsidP="00970D99">
      <w:pPr>
        <w:spacing w:line="240" w:lineRule="auto"/>
        <w:rPr>
          <w:rFonts w:eastAsia="Times New Roman" w:cs="Arial"/>
        </w:rPr>
      </w:pPr>
      <w:r w:rsidRPr="00970D99">
        <w:rPr>
          <w:rFonts w:eastAsia="Times New Roman" w:cs="Arial"/>
          <w:i/>
          <w:iCs/>
          <w:color w:val="000000"/>
          <w:lang w:eastAsia="bg-BG"/>
        </w:rPr>
        <w:lastRenderedPageBreak/>
        <w:t>Нестероидни противовъзпалителни средства, естрогени и кортикостероиди.</w:t>
      </w:r>
    </w:p>
    <w:p w14:paraId="7DF7645A" w14:textId="77777777" w:rsidR="00970D99" w:rsidRPr="00970D99" w:rsidRDefault="00970D99" w:rsidP="00970D99">
      <w:pPr>
        <w:spacing w:line="240" w:lineRule="auto"/>
        <w:rPr>
          <w:rFonts w:eastAsia="Times New Roman" w:cs="Arial"/>
        </w:rPr>
      </w:pPr>
      <w:r w:rsidRPr="00970D99">
        <w:rPr>
          <w:rFonts w:eastAsia="Times New Roman" w:cs="Arial"/>
          <w:color w:val="000000"/>
          <w:lang w:eastAsia="bg-BG"/>
        </w:rPr>
        <w:t>Антихипертензивното действие на карведилол се намалява поради задръжка на вода и натрий.</w:t>
      </w:r>
    </w:p>
    <w:p w14:paraId="1A067BAD" w14:textId="77777777" w:rsidR="00970D99" w:rsidRPr="00970D99" w:rsidRDefault="00970D99" w:rsidP="00970D99">
      <w:pPr>
        <w:spacing w:line="240" w:lineRule="auto"/>
        <w:rPr>
          <w:rFonts w:eastAsia="Times New Roman" w:cs="Arial"/>
          <w:i/>
          <w:iCs/>
          <w:color w:val="000000"/>
          <w:lang w:eastAsia="bg-BG"/>
        </w:rPr>
      </w:pPr>
    </w:p>
    <w:p w14:paraId="16D1D133" w14:textId="0074C06B" w:rsidR="00970D99" w:rsidRPr="00970D99" w:rsidRDefault="00970D99" w:rsidP="00970D99">
      <w:pPr>
        <w:spacing w:line="240" w:lineRule="auto"/>
        <w:rPr>
          <w:rFonts w:eastAsia="Times New Roman" w:cs="Arial"/>
        </w:rPr>
      </w:pPr>
      <w:r w:rsidRPr="00970D99">
        <w:rPr>
          <w:rFonts w:eastAsia="Times New Roman" w:cs="Arial"/>
          <w:i/>
          <w:iCs/>
          <w:color w:val="000000"/>
          <w:lang w:eastAsia="bg-BG"/>
        </w:rPr>
        <w:t>Симпатикомиметици с алфа-миметично и бета-миметично действие.</w:t>
      </w:r>
    </w:p>
    <w:p w14:paraId="0A5358CA" w14:textId="77777777" w:rsidR="00970D99" w:rsidRPr="00970D99" w:rsidRDefault="00970D99" w:rsidP="00970D99">
      <w:pPr>
        <w:spacing w:line="240" w:lineRule="auto"/>
        <w:rPr>
          <w:rFonts w:eastAsia="Times New Roman" w:cs="Arial"/>
        </w:rPr>
      </w:pPr>
      <w:r w:rsidRPr="00970D99">
        <w:rPr>
          <w:rFonts w:eastAsia="Times New Roman" w:cs="Arial"/>
          <w:color w:val="000000"/>
          <w:lang w:eastAsia="bg-BG"/>
        </w:rPr>
        <w:t>Риск от хипертония и тежка брадикардия.</w:t>
      </w:r>
    </w:p>
    <w:p w14:paraId="6741F65A" w14:textId="77777777" w:rsidR="00970D99" w:rsidRPr="00970D99" w:rsidRDefault="00970D99" w:rsidP="00970D99">
      <w:pPr>
        <w:spacing w:line="240" w:lineRule="auto"/>
        <w:rPr>
          <w:rFonts w:eastAsia="Times New Roman" w:cs="Arial"/>
          <w:i/>
          <w:iCs/>
          <w:color w:val="000000"/>
          <w:lang w:eastAsia="bg-BG"/>
        </w:rPr>
      </w:pPr>
    </w:p>
    <w:p w14:paraId="3A81E6E5" w14:textId="27724EB3" w:rsidR="00970D99" w:rsidRPr="00970D99" w:rsidRDefault="00970D99" w:rsidP="00970D99">
      <w:pPr>
        <w:spacing w:line="240" w:lineRule="auto"/>
        <w:rPr>
          <w:rFonts w:eastAsia="Times New Roman" w:cs="Arial"/>
        </w:rPr>
      </w:pPr>
      <w:r w:rsidRPr="00970D99">
        <w:rPr>
          <w:rFonts w:eastAsia="Times New Roman" w:cs="Arial"/>
          <w:i/>
          <w:iCs/>
          <w:color w:val="000000"/>
          <w:lang w:eastAsia="bg-BG"/>
        </w:rPr>
        <w:t>Ерготамин.</w:t>
      </w:r>
      <w:r w:rsidRPr="00970D99">
        <w:rPr>
          <w:rFonts w:eastAsia="Times New Roman" w:cs="Arial"/>
          <w:color w:val="000000"/>
          <w:lang w:eastAsia="bg-BG"/>
        </w:rPr>
        <w:t xml:space="preserve"> Засилва вазоконстрикцията.</w:t>
      </w:r>
    </w:p>
    <w:p w14:paraId="04D62C68" w14:textId="77777777" w:rsidR="00970D99" w:rsidRPr="00970D99" w:rsidRDefault="00970D99" w:rsidP="00970D99">
      <w:pPr>
        <w:rPr>
          <w:rFonts w:eastAsia="Times New Roman" w:cs="Arial"/>
          <w:i/>
          <w:iCs/>
          <w:color w:val="000000"/>
          <w:lang w:eastAsia="bg-BG"/>
        </w:rPr>
      </w:pPr>
    </w:p>
    <w:p w14:paraId="7E5E3DC1" w14:textId="1AB8078E" w:rsidR="00970D99" w:rsidRDefault="00970D99" w:rsidP="00970D99">
      <w:pPr>
        <w:rPr>
          <w:rFonts w:eastAsia="Times New Roman" w:cs="Arial"/>
          <w:color w:val="000000"/>
          <w:lang w:eastAsia="bg-BG"/>
        </w:rPr>
      </w:pPr>
      <w:r w:rsidRPr="00970D99">
        <w:rPr>
          <w:rFonts w:eastAsia="Times New Roman" w:cs="Arial"/>
          <w:i/>
          <w:iCs/>
          <w:color w:val="000000"/>
          <w:lang w:eastAsia="bg-BG"/>
        </w:rPr>
        <w:t>Мускулни релаксанти</w:t>
      </w:r>
      <w:r w:rsidRPr="00970D99">
        <w:rPr>
          <w:rFonts w:eastAsia="Times New Roman" w:cs="Arial"/>
          <w:color w:val="000000"/>
          <w:lang w:eastAsia="bg-BG"/>
        </w:rPr>
        <w:t xml:space="preserve"> Задълбочава на нервно-мускулния блок.</w:t>
      </w:r>
    </w:p>
    <w:p w14:paraId="21068BC2" w14:textId="77777777" w:rsidR="00970D99" w:rsidRPr="00970D99" w:rsidRDefault="00970D99" w:rsidP="00970D99">
      <w:pPr>
        <w:rPr>
          <w:rFonts w:cs="Arial"/>
        </w:rPr>
      </w:pPr>
    </w:p>
    <w:p w14:paraId="5D9F40EA" w14:textId="132C5BA9" w:rsidR="007122AD" w:rsidRDefault="002C50EE" w:rsidP="00936AD0">
      <w:pPr>
        <w:pStyle w:val="Heading2"/>
      </w:pPr>
      <w:r>
        <w:t>4.6. Фертилитет, бременност и кърмене</w:t>
      </w:r>
    </w:p>
    <w:p w14:paraId="27C50F21" w14:textId="4DE22953" w:rsidR="00970D99" w:rsidRDefault="00970D99" w:rsidP="00970D99"/>
    <w:p w14:paraId="75EF1B30" w14:textId="77777777" w:rsidR="00970D99" w:rsidRPr="00970D99" w:rsidRDefault="00970D99" w:rsidP="00970D99">
      <w:pPr>
        <w:pStyle w:val="Heading3"/>
        <w:rPr>
          <w:rFonts w:eastAsia="Times New Roman"/>
          <w:i/>
          <w:sz w:val="28"/>
        </w:rPr>
      </w:pPr>
      <w:r w:rsidRPr="00970D99">
        <w:rPr>
          <w:rFonts w:eastAsia="Times New Roman"/>
          <w:i/>
          <w:lang w:eastAsia="bg-BG"/>
        </w:rPr>
        <w:t>Бременност</w:t>
      </w:r>
    </w:p>
    <w:p w14:paraId="70F2F2ED" w14:textId="77777777"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t>Карведилол се предписва на бременни жени, само ако потенциалната полза за майката надвишавапотенциалния риск за плода/новороденото.</w:t>
      </w:r>
    </w:p>
    <w:p w14:paraId="335E5CEB" w14:textId="77777777"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t>Карведилол не проявява тератогенни ефекти при репродуктивни проучвания върху животни, но няма достатъчно клинични данни за безопасността му при бременни жени (виж точка 5.3).</w:t>
      </w:r>
    </w:p>
    <w:p w14:paraId="38767928" w14:textId="77777777" w:rsidR="00970D99" w:rsidRPr="00970D99" w:rsidRDefault="00970D99" w:rsidP="00970D99">
      <w:pPr>
        <w:spacing w:line="240" w:lineRule="auto"/>
        <w:rPr>
          <w:rFonts w:eastAsia="Times New Roman" w:cs="Arial"/>
          <w:color w:val="000000"/>
          <w:szCs w:val="20"/>
          <w:lang w:eastAsia="bg-BG"/>
        </w:rPr>
      </w:pPr>
    </w:p>
    <w:p w14:paraId="461F6FB9" w14:textId="13C645F5"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t>Бета-блокерите намаляват плацентната перфузия вследствие на което може да настъпи интраутеринна смърт на плода, или да се предизвика преждевременно раждане. Освен това на плода, както и на новороденото може да се окажат вредни въздействия (хипогликемия, брадикардия, дихателна депресия и хипотермия). За новороденото съществува в постнаталния период повишен риск от кардиологични и пулмонални усложнения. Лечението трябва да се прекрати 2-3 дена преди очакваната дата на раждане.</w:t>
      </w:r>
    </w:p>
    <w:p w14:paraId="3F0DE991" w14:textId="5A076FD0" w:rsidR="00970D99" w:rsidRPr="00970D99" w:rsidRDefault="00970D99" w:rsidP="00970D99">
      <w:pPr>
        <w:spacing w:line="240" w:lineRule="auto"/>
        <w:rPr>
          <w:rFonts w:eastAsia="Times New Roman" w:cs="Arial"/>
          <w:sz w:val="28"/>
          <w:szCs w:val="24"/>
          <w:lang w:val="ru-RU"/>
        </w:rPr>
      </w:pPr>
      <w:r w:rsidRPr="00970D99">
        <w:rPr>
          <w:rFonts w:eastAsia="Times New Roman" w:cs="Arial"/>
          <w:color w:val="000000"/>
          <w:szCs w:val="20"/>
          <w:lang w:eastAsia="bg-BG"/>
        </w:rPr>
        <w:t>Ако това не е възможно, то новороденото се наблюдава през първите 2-3 дена след раждането му</w:t>
      </w:r>
      <w:r w:rsidRPr="00970D99">
        <w:rPr>
          <w:rFonts w:eastAsia="Times New Roman" w:cs="Arial"/>
          <w:color w:val="000000"/>
          <w:szCs w:val="20"/>
          <w:lang w:val="ru-RU" w:eastAsia="bg-BG"/>
        </w:rPr>
        <w:t>.</w:t>
      </w:r>
    </w:p>
    <w:p w14:paraId="5ABB2F03" w14:textId="77777777" w:rsidR="00970D99" w:rsidRPr="00970D99" w:rsidRDefault="00970D99" w:rsidP="00970D99">
      <w:pPr>
        <w:spacing w:line="240" w:lineRule="auto"/>
        <w:rPr>
          <w:rFonts w:eastAsia="Times New Roman" w:cs="Arial"/>
          <w:i/>
          <w:iCs/>
          <w:color w:val="000000"/>
          <w:szCs w:val="20"/>
          <w:lang w:eastAsia="bg-BG"/>
        </w:rPr>
      </w:pPr>
    </w:p>
    <w:p w14:paraId="7E9ABFE5" w14:textId="28A19AC5" w:rsidR="00970D99" w:rsidRPr="00970D99" w:rsidRDefault="00970D99" w:rsidP="00970D99">
      <w:pPr>
        <w:pStyle w:val="Heading3"/>
        <w:rPr>
          <w:rFonts w:eastAsia="Times New Roman"/>
          <w:i/>
          <w:sz w:val="28"/>
        </w:rPr>
      </w:pPr>
      <w:r w:rsidRPr="00970D99">
        <w:rPr>
          <w:rFonts w:eastAsia="Times New Roman"/>
          <w:i/>
          <w:lang w:eastAsia="bg-BG"/>
        </w:rPr>
        <w:t>Кърмене</w:t>
      </w:r>
    </w:p>
    <w:p w14:paraId="11C0B30C" w14:textId="77777777"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t>Карведилол е липофилен. От изследвания на кърмещи животни става ясно,че карведилол и неговите метаболити се екскретират в майчиното мляко, следователно майките, приемащи лекарството карведилол не бива да кърмят.</w:t>
      </w:r>
    </w:p>
    <w:p w14:paraId="51437CD6" w14:textId="251906B8" w:rsidR="00970D99" w:rsidRPr="00970D99" w:rsidRDefault="00970D99" w:rsidP="00970D99"/>
    <w:p w14:paraId="5DD7A76D" w14:textId="4FA0763C" w:rsidR="007122AD" w:rsidRDefault="002C50EE" w:rsidP="00936AD0">
      <w:pPr>
        <w:pStyle w:val="Heading2"/>
      </w:pPr>
      <w:r>
        <w:t>4.7. Ефекти върху способността за шофиране и работа с машини</w:t>
      </w:r>
    </w:p>
    <w:p w14:paraId="59E4BC3B" w14:textId="37160B83" w:rsidR="00970D99" w:rsidRDefault="00970D99" w:rsidP="00970D99"/>
    <w:p w14:paraId="2B82F47B" w14:textId="77777777" w:rsidR="00970D99" w:rsidRPr="00970D99" w:rsidRDefault="00970D99" w:rsidP="00970D99">
      <w:pPr>
        <w:rPr>
          <w:sz w:val="24"/>
          <w:szCs w:val="24"/>
        </w:rPr>
      </w:pPr>
      <w:r w:rsidRPr="00970D99">
        <w:rPr>
          <w:lang w:eastAsia="bg-BG"/>
        </w:rPr>
        <w:t>При установен добър терапевтичен баланс, карведилол не повлиява способността за шофиране и работа с машини. При някои пациенти, вниманието може да е намалено, особено при началото на терапията или промяна в нея.</w:t>
      </w:r>
    </w:p>
    <w:p w14:paraId="10D4850F" w14:textId="440140DA" w:rsidR="00970D99" w:rsidRPr="00970D99" w:rsidRDefault="00970D99" w:rsidP="00970D99"/>
    <w:p w14:paraId="44CE30A3" w14:textId="59E9E46E" w:rsidR="007122AD" w:rsidRDefault="002C50EE" w:rsidP="00936AD0">
      <w:pPr>
        <w:pStyle w:val="Heading2"/>
      </w:pPr>
      <w:r>
        <w:t>4.8. Нежелани лекарствени реакции</w:t>
      </w:r>
    </w:p>
    <w:p w14:paraId="7CED3051" w14:textId="326383E5" w:rsidR="00970D99" w:rsidRDefault="00970D99" w:rsidP="00970D99"/>
    <w:p w14:paraId="69C02759" w14:textId="77777777"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t>Нежелани реакции се наблюдават предимно в началото на лечението.</w:t>
      </w:r>
    </w:p>
    <w:p w14:paraId="66CB7F12" w14:textId="77777777" w:rsidR="00970D99" w:rsidRPr="00970D99" w:rsidRDefault="00970D99" w:rsidP="00970D99">
      <w:pPr>
        <w:spacing w:line="240" w:lineRule="auto"/>
        <w:rPr>
          <w:rFonts w:eastAsia="Times New Roman" w:cs="Arial"/>
          <w:color w:val="000000"/>
          <w:szCs w:val="20"/>
          <w:u w:val="single"/>
          <w:lang w:eastAsia="bg-BG"/>
        </w:rPr>
      </w:pPr>
    </w:p>
    <w:p w14:paraId="0BB27134" w14:textId="38DF3A47"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u w:val="single"/>
          <w:lang w:eastAsia="bg-BG"/>
        </w:rPr>
        <w:t>Нежелани реакции при пациенти със сърдечна недостатъчност, наблюдавани при клинични проучвания:</w:t>
      </w:r>
    </w:p>
    <w:p w14:paraId="2EC7B465" w14:textId="02025CF5" w:rsidR="00970D99" w:rsidRDefault="00970D99" w:rsidP="00970D99">
      <w:pPr>
        <w:rPr>
          <w:rFonts w:eastAsia="Times New Roman" w:cs="Arial"/>
          <w:color w:val="000000"/>
          <w:szCs w:val="20"/>
          <w:lang w:eastAsia="bg-BG"/>
        </w:rPr>
      </w:pPr>
      <w:r w:rsidRPr="00970D99">
        <w:rPr>
          <w:rFonts w:eastAsia="Times New Roman" w:cs="Arial"/>
          <w:color w:val="000000"/>
          <w:szCs w:val="20"/>
          <w:lang w:eastAsia="bg-BG"/>
        </w:rPr>
        <w:lastRenderedPageBreak/>
        <w:t>Нежелани реакции при пациенти със сърдечна недостатъчност, наблюдавани при клинични проучвания, които не са наблюдавани при пациенти, приемали плацебо, са описани в таблицата:</w:t>
      </w:r>
    </w:p>
    <w:p w14:paraId="2FB4D37C" w14:textId="47220388" w:rsidR="00970D99" w:rsidRDefault="00970D99" w:rsidP="00970D99">
      <w:pPr>
        <w:rPr>
          <w:rFonts w:eastAsia="Times New Roman" w:cs="Arial"/>
          <w:color w:val="000000"/>
          <w:szCs w:val="20"/>
          <w:lang w:eastAsia="bg-BG"/>
        </w:rPr>
      </w:pPr>
    </w:p>
    <w:tbl>
      <w:tblPr>
        <w:tblStyle w:val="TableGrid"/>
        <w:tblW w:w="0" w:type="auto"/>
        <w:tblLook w:val="04A0" w:firstRow="1" w:lastRow="0" w:firstColumn="1" w:lastColumn="0" w:noHBand="0" w:noVBand="1"/>
      </w:tblPr>
      <w:tblGrid>
        <w:gridCol w:w="1573"/>
        <w:gridCol w:w="1700"/>
        <w:gridCol w:w="1507"/>
        <w:gridCol w:w="1471"/>
        <w:gridCol w:w="1522"/>
        <w:gridCol w:w="1577"/>
      </w:tblGrid>
      <w:tr w:rsidR="00970D99" w14:paraId="61AB35C8" w14:textId="77777777" w:rsidTr="00970D99">
        <w:tc>
          <w:tcPr>
            <w:tcW w:w="1612" w:type="dxa"/>
          </w:tcPr>
          <w:p w14:paraId="1380298C" w14:textId="77777777" w:rsidR="00970D99" w:rsidRPr="00970D99" w:rsidRDefault="00970D99" w:rsidP="00970D99">
            <w:pPr>
              <w:rPr>
                <w:rFonts w:cs="Arial"/>
              </w:rPr>
            </w:pPr>
          </w:p>
        </w:tc>
        <w:tc>
          <w:tcPr>
            <w:tcW w:w="1742" w:type="dxa"/>
          </w:tcPr>
          <w:p w14:paraId="36C69CA1" w14:textId="12D19091" w:rsidR="00970D99" w:rsidRPr="00970D99" w:rsidRDefault="00970D99" w:rsidP="00970D99">
            <w:pPr>
              <w:rPr>
                <w:rFonts w:cs="Arial"/>
              </w:rPr>
            </w:pPr>
            <w:r w:rsidRPr="00970D99">
              <w:rPr>
                <w:szCs w:val="20"/>
              </w:rPr>
              <w:t>Много чести (≥1/10)</w:t>
            </w:r>
          </w:p>
        </w:tc>
        <w:tc>
          <w:tcPr>
            <w:tcW w:w="1543" w:type="dxa"/>
          </w:tcPr>
          <w:p w14:paraId="7C738BE0" w14:textId="0CA3D4DC" w:rsidR="00970D99" w:rsidRPr="00970D99" w:rsidRDefault="00970D99" w:rsidP="00970D99">
            <w:pPr>
              <w:rPr>
                <w:rFonts w:cs="Arial"/>
              </w:rPr>
            </w:pPr>
            <w:r w:rsidRPr="00970D99">
              <w:rPr>
                <w:szCs w:val="20"/>
              </w:rPr>
              <w:t>Чести (≥1/100, &lt;1/10)</w:t>
            </w:r>
          </w:p>
        </w:tc>
        <w:tc>
          <w:tcPr>
            <w:tcW w:w="1506" w:type="dxa"/>
          </w:tcPr>
          <w:p w14:paraId="77CA03D6" w14:textId="0429A8A8" w:rsidR="00970D99" w:rsidRPr="00970D99" w:rsidRDefault="00970D99" w:rsidP="00970D99">
            <w:pPr>
              <w:rPr>
                <w:rFonts w:cs="Arial"/>
              </w:rPr>
            </w:pPr>
            <w:r w:rsidRPr="00970D99">
              <w:rPr>
                <w:szCs w:val="20"/>
              </w:rPr>
              <w:t>Нечести (≥1/1000, &lt;1/100)</w:t>
            </w:r>
          </w:p>
        </w:tc>
        <w:tc>
          <w:tcPr>
            <w:tcW w:w="1558" w:type="dxa"/>
          </w:tcPr>
          <w:p w14:paraId="1C022580" w14:textId="4D37F95E" w:rsidR="00970D99" w:rsidRPr="00970D99" w:rsidRDefault="00970D99" w:rsidP="00970D99">
            <w:pPr>
              <w:rPr>
                <w:rFonts w:cs="Arial"/>
              </w:rPr>
            </w:pPr>
            <w:r w:rsidRPr="00970D99">
              <w:rPr>
                <w:szCs w:val="20"/>
              </w:rPr>
              <w:t>Редки (≥1/10 000, &lt;1/1000)</w:t>
            </w:r>
          </w:p>
        </w:tc>
        <w:tc>
          <w:tcPr>
            <w:tcW w:w="1615" w:type="dxa"/>
          </w:tcPr>
          <w:p w14:paraId="1965639D" w14:textId="776657CC" w:rsidR="00970D99" w:rsidRPr="00970D99" w:rsidRDefault="00970D99" w:rsidP="00970D99">
            <w:pPr>
              <w:rPr>
                <w:rFonts w:cs="Arial"/>
              </w:rPr>
            </w:pPr>
            <w:r w:rsidRPr="00970D99">
              <w:rPr>
                <w:szCs w:val="20"/>
              </w:rPr>
              <w:t>Много редки (&lt;1/10 000)</w:t>
            </w:r>
          </w:p>
        </w:tc>
      </w:tr>
      <w:tr w:rsidR="00970D99" w14:paraId="20C8A1E8" w14:textId="77777777" w:rsidTr="00970D99">
        <w:tc>
          <w:tcPr>
            <w:tcW w:w="1612" w:type="dxa"/>
          </w:tcPr>
          <w:p w14:paraId="003B18E5" w14:textId="2C432658" w:rsidR="00970D99" w:rsidRPr="00970D99" w:rsidRDefault="00970D99" w:rsidP="00970D99">
            <w:pPr>
              <w:rPr>
                <w:rFonts w:cs="Arial"/>
              </w:rPr>
            </w:pPr>
            <w:r w:rsidRPr="00970D99">
              <w:rPr>
                <w:szCs w:val="20"/>
              </w:rPr>
              <w:t>Инфекции и инфестации</w:t>
            </w:r>
          </w:p>
        </w:tc>
        <w:tc>
          <w:tcPr>
            <w:tcW w:w="1742" w:type="dxa"/>
          </w:tcPr>
          <w:p w14:paraId="7636B77E" w14:textId="77777777" w:rsidR="00970D99" w:rsidRPr="00970D99" w:rsidRDefault="00970D99" w:rsidP="00970D99">
            <w:pPr>
              <w:rPr>
                <w:rFonts w:cs="Arial"/>
              </w:rPr>
            </w:pPr>
          </w:p>
        </w:tc>
        <w:tc>
          <w:tcPr>
            <w:tcW w:w="1543" w:type="dxa"/>
          </w:tcPr>
          <w:p w14:paraId="2C2A66B8" w14:textId="2722D3EA" w:rsidR="00970D99" w:rsidRPr="00970D99" w:rsidRDefault="00970D99" w:rsidP="00970D99">
            <w:pPr>
              <w:rPr>
                <w:rFonts w:cs="Arial"/>
              </w:rPr>
            </w:pPr>
            <w:r w:rsidRPr="00970D99">
              <w:rPr>
                <w:szCs w:val="20"/>
              </w:rPr>
              <w:t>Бронхит, пневмония, инфекции на горните дихателни пътища, инфекции на пикочните пътища</w:t>
            </w:r>
          </w:p>
        </w:tc>
        <w:tc>
          <w:tcPr>
            <w:tcW w:w="1506" w:type="dxa"/>
          </w:tcPr>
          <w:p w14:paraId="71B37223" w14:textId="77777777" w:rsidR="00970D99" w:rsidRPr="00970D99" w:rsidRDefault="00970D99" w:rsidP="00970D99">
            <w:pPr>
              <w:rPr>
                <w:rFonts w:cs="Arial"/>
              </w:rPr>
            </w:pPr>
          </w:p>
        </w:tc>
        <w:tc>
          <w:tcPr>
            <w:tcW w:w="1558" w:type="dxa"/>
          </w:tcPr>
          <w:p w14:paraId="0C2EABFE" w14:textId="77777777" w:rsidR="00970D99" w:rsidRPr="00970D99" w:rsidRDefault="00970D99" w:rsidP="00970D99">
            <w:pPr>
              <w:rPr>
                <w:rFonts w:cs="Arial"/>
              </w:rPr>
            </w:pPr>
          </w:p>
        </w:tc>
        <w:tc>
          <w:tcPr>
            <w:tcW w:w="1615" w:type="dxa"/>
          </w:tcPr>
          <w:p w14:paraId="7588EBBD" w14:textId="77777777" w:rsidR="00970D99" w:rsidRPr="00970D99" w:rsidRDefault="00970D99" w:rsidP="00970D99">
            <w:pPr>
              <w:rPr>
                <w:rFonts w:cs="Arial"/>
              </w:rPr>
            </w:pPr>
          </w:p>
        </w:tc>
      </w:tr>
      <w:tr w:rsidR="00970D99" w14:paraId="0D5993BC" w14:textId="77777777" w:rsidTr="00970D99">
        <w:tc>
          <w:tcPr>
            <w:tcW w:w="1612" w:type="dxa"/>
          </w:tcPr>
          <w:p w14:paraId="4BF7F8A7" w14:textId="7E287898" w:rsidR="00970D99" w:rsidRPr="00970D99" w:rsidRDefault="00970D99" w:rsidP="00970D99">
            <w:pPr>
              <w:rPr>
                <w:rFonts w:cs="Arial"/>
              </w:rPr>
            </w:pPr>
            <w:r w:rsidRPr="00970D99">
              <w:rPr>
                <w:szCs w:val="20"/>
              </w:rPr>
              <w:t>Нарушения на кръвта и лимфната система</w:t>
            </w:r>
          </w:p>
        </w:tc>
        <w:tc>
          <w:tcPr>
            <w:tcW w:w="1742" w:type="dxa"/>
          </w:tcPr>
          <w:p w14:paraId="030B016D" w14:textId="77777777" w:rsidR="00970D99" w:rsidRPr="00970D99" w:rsidRDefault="00970D99" w:rsidP="00970D99">
            <w:pPr>
              <w:rPr>
                <w:rFonts w:cs="Arial"/>
              </w:rPr>
            </w:pPr>
          </w:p>
        </w:tc>
        <w:tc>
          <w:tcPr>
            <w:tcW w:w="1543" w:type="dxa"/>
          </w:tcPr>
          <w:p w14:paraId="58427582" w14:textId="71A74F16" w:rsidR="00970D99" w:rsidRPr="00970D99" w:rsidRDefault="00970D99" w:rsidP="00970D99">
            <w:pPr>
              <w:rPr>
                <w:rFonts w:cs="Arial"/>
              </w:rPr>
            </w:pPr>
            <w:r w:rsidRPr="00970D99">
              <w:rPr>
                <w:szCs w:val="20"/>
              </w:rPr>
              <w:t>анемия</w:t>
            </w:r>
          </w:p>
        </w:tc>
        <w:tc>
          <w:tcPr>
            <w:tcW w:w="1506" w:type="dxa"/>
          </w:tcPr>
          <w:p w14:paraId="08A2DDF0" w14:textId="77777777" w:rsidR="00970D99" w:rsidRPr="00970D99" w:rsidRDefault="00970D99" w:rsidP="00970D99">
            <w:pPr>
              <w:rPr>
                <w:rFonts w:cs="Arial"/>
              </w:rPr>
            </w:pPr>
          </w:p>
        </w:tc>
        <w:tc>
          <w:tcPr>
            <w:tcW w:w="1558" w:type="dxa"/>
          </w:tcPr>
          <w:p w14:paraId="6B290545" w14:textId="3A91E02D" w:rsidR="00970D99" w:rsidRPr="00970D99" w:rsidRDefault="00970D99" w:rsidP="00970D99">
            <w:pPr>
              <w:rPr>
                <w:rFonts w:cs="Arial"/>
              </w:rPr>
            </w:pPr>
            <w:r w:rsidRPr="00970D99">
              <w:rPr>
                <w:szCs w:val="20"/>
              </w:rPr>
              <w:t>тромбоцитопе ния</w:t>
            </w:r>
          </w:p>
        </w:tc>
        <w:tc>
          <w:tcPr>
            <w:tcW w:w="1615" w:type="dxa"/>
          </w:tcPr>
          <w:p w14:paraId="1FBC140A" w14:textId="0951E875" w:rsidR="00970D99" w:rsidRPr="00970D99" w:rsidRDefault="00970D99" w:rsidP="00970D99">
            <w:pPr>
              <w:rPr>
                <w:rFonts w:cs="Arial"/>
              </w:rPr>
            </w:pPr>
            <w:r w:rsidRPr="00970D99">
              <w:rPr>
                <w:szCs w:val="20"/>
              </w:rPr>
              <w:t>левкопения</w:t>
            </w:r>
          </w:p>
        </w:tc>
      </w:tr>
      <w:tr w:rsidR="00970D99" w14:paraId="196C9F55" w14:textId="77777777" w:rsidTr="00970D99">
        <w:tc>
          <w:tcPr>
            <w:tcW w:w="1612" w:type="dxa"/>
          </w:tcPr>
          <w:p w14:paraId="40854D71" w14:textId="264F7645" w:rsidR="00970D99" w:rsidRPr="00970D99" w:rsidRDefault="00970D99" w:rsidP="00970D99">
            <w:pPr>
              <w:rPr>
                <w:rFonts w:cs="Arial"/>
              </w:rPr>
            </w:pPr>
            <w:r w:rsidRPr="00970D99">
              <w:rPr>
                <w:szCs w:val="20"/>
              </w:rPr>
              <w:t>Нарушения на имунната система</w:t>
            </w:r>
          </w:p>
        </w:tc>
        <w:tc>
          <w:tcPr>
            <w:tcW w:w="1742" w:type="dxa"/>
          </w:tcPr>
          <w:p w14:paraId="54F8C017" w14:textId="77777777" w:rsidR="00970D99" w:rsidRPr="00970D99" w:rsidRDefault="00970D99" w:rsidP="00970D99">
            <w:pPr>
              <w:rPr>
                <w:rFonts w:cs="Arial"/>
              </w:rPr>
            </w:pPr>
          </w:p>
        </w:tc>
        <w:tc>
          <w:tcPr>
            <w:tcW w:w="1543" w:type="dxa"/>
          </w:tcPr>
          <w:p w14:paraId="65EE1C9A" w14:textId="77777777" w:rsidR="00970D99" w:rsidRPr="00970D99" w:rsidRDefault="00970D99" w:rsidP="00970D99">
            <w:pPr>
              <w:rPr>
                <w:rFonts w:cs="Arial"/>
              </w:rPr>
            </w:pPr>
          </w:p>
        </w:tc>
        <w:tc>
          <w:tcPr>
            <w:tcW w:w="1506" w:type="dxa"/>
          </w:tcPr>
          <w:p w14:paraId="7ACC2F83" w14:textId="77777777" w:rsidR="00970D99" w:rsidRPr="00970D99" w:rsidRDefault="00970D99" w:rsidP="00970D99">
            <w:pPr>
              <w:rPr>
                <w:rFonts w:cs="Arial"/>
              </w:rPr>
            </w:pPr>
          </w:p>
        </w:tc>
        <w:tc>
          <w:tcPr>
            <w:tcW w:w="1558" w:type="dxa"/>
          </w:tcPr>
          <w:p w14:paraId="0647A031" w14:textId="77777777" w:rsidR="00970D99" w:rsidRPr="00970D99" w:rsidRDefault="00970D99" w:rsidP="00970D99">
            <w:pPr>
              <w:rPr>
                <w:rFonts w:cs="Arial"/>
              </w:rPr>
            </w:pPr>
          </w:p>
        </w:tc>
        <w:tc>
          <w:tcPr>
            <w:tcW w:w="1615" w:type="dxa"/>
          </w:tcPr>
          <w:p w14:paraId="04D924FD" w14:textId="5178FD85" w:rsidR="00970D99" w:rsidRPr="00970D99" w:rsidRDefault="00970D99" w:rsidP="00970D99">
            <w:pPr>
              <w:rPr>
                <w:rFonts w:cs="Arial"/>
              </w:rPr>
            </w:pPr>
            <w:r w:rsidRPr="00970D99">
              <w:rPr>
                <w:szCs w:val="20"/>
              </w:rPr>
              <w:t>Свръхчувстви телност (алергични реакции)</w:t>
            </w:r>
          </w:p>
        </w:tc>
      </w:tr>
      <w:tr w:rsidR="00970D99" w14:paraId="0A0DE363" w14:textId="77777777" w:rsidTr="00970D99">
        <w:tc>
          <w:tcPr>
            <w:tcW w:w="1612" w:type="dxa"/>
          </w:tcPr>
          <w:p w14:paraId="772933CD" w14:textId="29A2C9F5" w:rsidR="00970D99" w:rsidRPr="00970D99" w:rsidRDefault="00970D99" w:rsidP="00970D99">
            <w:pPr>
              <w:rPr>
                <w:rFonts w:cs="Arial"/>
              </w:rPr>
            </w:pPr>
            <w:r w:rsidRPr="00970D99">
              <w:rPr>
                <w:szCs w:val="20"/>
              </w:rPr>
              <w:t>Нарушения на метаболизма и храненето</w:t>
            </w:r>
          </w:p>
        </w:tc>
        <w:tc>
          <w:tcPr>
            <w:tcW w:w="1742" w:type="dxa"/>
          </w:tcPr>
          <w:p w14:paraId="02B53AF5" w14:textId="652A9265" w:rsidR="00970D99" w:rsidRPr="00970D99" w:rsidRDefault="00970D99" w:rsidP="00970D99">
            <w:pPr>
              <w:rPr>
                <w:rFonts w:cs="Arial"/>
              </w:rPr>
            </w:pPr>
            <w:r w:rsidRPr="00970D99">
              <w:rPr>
                <w:szCs w:val="20"/>
              </w:rPr>
              <w:t>Увеличаване на теглото, хиперхолестеро лемия, нарушен контрол на кръвната захар (хипергликемия хипогликемия) при пациенти с диаберт</w:t>
            </w:r>
          </w:p>
        </w:tc>
        <w:tc>
          <w:tcPr>
            <w:tcW w:w="1543" w:type="dxa"/>
          </w:tcPr>
          <w:p w14:paraId="7DA389AA" w14:textId="77777777" w:rsidR="00970D99" w:rsidRPr="00970D99" w:rsidRDefault="00970D99" w:rsidP="00970D99">
            <w:pPr>
              <w:rPr>
                <w:rFonts w:cs="Arial"/>
              </w:rPr>
            </w:pPr>
          </w:p>
        </w:tc>
        <w:tc>
          <w:tcPr>
            <w:tcW w:w="1506" w:type="dxa"/>
          </w:tcPr>
          <w:p w14:paraId="05E5359A" w14:textId="77777777" w:rsidR="00970D99" w:rsidRPr="00970D99" w:rsidRDefault="00970D99" w:rsidP="00970D99">
            <w:pPr>
              <w:rPr>
                <w:rFonts w:cs="Arial"/>
              </w:rPr>
            </w:pPr>
          </w:p>
        </w:tc>
        <w:tc>
          <w:tcPr>
            <w:tcW w:w="1558" w:type="dxa"/>
          </w:tcPr>
          <w:p w14:paraId="4545FC48" w14:textId="77777777" w:rsidR="00970D99" w:rsidRPr="00970D99" w:rsidRDefault="00970D99" w:rsidP="00970D99">
            <w:pPr>
              <w:rPr>
                <w:rFonts w:cs="Arial"/>
              </w:rPr>
            </w:pPr>
          </w:p>
        </w:tc>
        <w:tc>
          <w:tcPr>
            <w:tcW w:w="1615" w:type="dxa"/>
          </w:tcPr>
          <w:p w14:paraId="28EC3DDC" w14:textId="77777777" w:rsidR="00970D99" w:rsidRPr="00970D99" w:rsidRDefault="00970D99" w:rsidP="00970D99">
            <w:pPr>
              <w:rPr>
                <w:rFonts w:cs="Arial"/>
              </w:rPr>
            </w:pPr>
          </w:p>
        </w:tc>
      </w:tr>
      <w:tr w:rsidR="00970D99" w14:paraId="1EDD2C65" w14:textId="77777777" w:rsidTr="00970D99">
        <w:tc>
          <w:tcPr>
            <w:tcW w:w="1612" w:type="dxa"/>
          </w:tcPr>
          <w:p w14:paraId="51D904DC" w14:textId="7B0EB937" w:rsidR="00970D99" w:rsidRPr="00970D99" w:rsidRDefault="00970D99" w:rsidP="00970D99">
            <w:pPr>
              <w:rPr>
                <w:rFonts w:cs="Arial"/>
              </w:rPr>
            </w:pPr>
            <w:r w:rsidRPr="00970D99">
              <w:rPr>
                <w:szCs w:val="20"/>
              </w:rPr>
              <w:t>Психични нарушения</w:t>
            </w:r>
          </w:p>
        </w:tc>
        <w:tc>
          <w:tcPr>
            <w:tcW w:w="1742" w:type="dxa"/>
          </w:tcPr>
          <w:p w14:paraId="0D9C5919" w14:textId="77777777" w:rsidR="00970D99" w:rsidRPr="00970D99" w:rsidRDefault="00970D99" w:rsidP="00970D99">
            <w:pPr>
              <w:rPr>
                <w:rFonts w:cs="Arial"/>
              </w:rPr>
            </w:pPr>
          </w:p>
        </w:tc>
        <w:tc>
          <w:tcPr>
            <w:tcW w:w="1543" w:type="dxa"/>
            <w:vAlign w:val="bottom"/>
          </w:tcPr>
          <w:p w14:paraId="4212BA25" w14:textId="7EE474FA" w:rsidR="00970D99" w:rsidRPr="00970D99" w:rsidRDefault="00970D99" w:rsidP="00970D99">
            <w:pPr>
              <w:rPr>
                <w:rFonts w:cs="Arial"/>
              </w:rPr>
            </w:pPr>
            <w:r w:rsidRPr="00970D99">
              <w:rPr>
                <w:szCs w:val="20"/>
              </w:rPr>
              <w:t>Депресия, промени в настроението</w:t>
            </w:r>
          </w:p>
        </w:tc>
        <w:tc>
          <w:tcPr>
            <w:tcW w:w="1506" w:type="dxa"/>
          </w:tcPr>
          <w:p w14:paraId="637C01C5" w14:textId="1D68A0B8" w:rsidR="00970D99" w:rsidRPr="00970D99" w:rsidRDefault="00970D99" w:rsidP="00970D99">
            <w:pPr>
              <w:rPr>
                <w:rFonts w:cs="Arial"/>
              </w:rPr>
            </w:pPr>
            <w:r w:rsidRPr="00970D99">
              <w:rPr>
                <w:szCs w:val="20"/>
              </w:rPr>
              <w:t>Нарушения на съня</w:t>
            </w:r>
          </w:p>
        </w:tc>
        <w:tc>
          <w:tcPr>
            <w:tcW w:w="1558" w:type="dxa"/>
          </w:tcPr>
          <w:p w14:paraId="275CC4B9" w14:textId="77777777" w:rsidR="00970D99" w:rsidRPr="00970D99" w:rsidRDefault="00970D99" w:rsidP="00970D99">
            <w:pPr>
              <w:rPr>
                <w:rFonts w:cs="Arial"/>
              </w:rPr>
            </w:pPr>
          </w:p>
        </w:tc>
        <w:tc>
          <w:tcPr>
            <w:tcW w:w="1615" w:type="dxa"/>
          </w:tcPr>
          <w:p w14:paraId="2CF3C519" w14:textId="77777777" w:rsidR="00970D99" w:rsidRPr="00970D99" w:rsidRDefault="00970D99" w:rsidP="00970D99">
            <w:pPr>
              <w:rPr>
                <w:rFonts w:cs="Arial"/>
              </w:rPr>
            </w:pPr>
          </w:p>
        </w:tc>
      </w:tr>
      <w:tr w:rsidR="00970D99" w14:paraId="14560C6F" w14:textId="77777777" w:rsidTr="00970D99">
        <w:tc>
          <w:tcPr>
            <w:tcW w:w="1612" w:type="dxa"/>
          </w:tcPr>
          <w:p w14:paraId="25FCF024" w14:textId="51EA7D19" w:rsidR="00970D99" w:rsidRPr="00970D99" w:rsidRDefault="00970D99" w:rsidP="00970D99">
            <w:pPr>
              <w:rPr>
                <w:rFonts w:cs="Arial"/>
              </w:rPr>
            </w:pPr>
            <w:r w:rsidRPr="00970D99">
              <w:rPr>
                <w:szCs w:val="20"/>
              </w:rPr>
              <w:t>Нарушения на нервната система</w:t>
            </w:r>
          </w:p>
        </w:tc>
        <w:tc>
          <w:tcPr>
            <w:tcW w:w="1742" w:type="dxa"/>
          </w:tcPr>
          <w:p w14:paraId="7395598F" w14:textId="2BCE0226" w:rsidR="00970D99" w:rsidRPr="00970D99" w:rsidRDefault="00970D99" w:rsidP="00970D99">
            <w:pPr>
              <w:rPr>
                <w:rFonts w:cs="Arial"/>
              </w:rPr>
            </w:pPr>
            <w:r w:rsidRPr="00970D99">
              <w:rPr>
                <w:szCs w:val="20"/>
              </w:rPr>
              <w:t>Замаяност, главоболие</w:t>
            </w:r>
          </w:p>
        </w:tc>
        <w:tc>
          <w:tcPr>
            <w:tcW w:w="1543" w:type="dxa"/>
          </w:tcPr>
          <w:p w14:paraId="4399C3E7" w14:textId="77777777" w:rsidR="00970D99" w:rsidRPr="00970D99" w:rsidRDefault="00970D99" w:rsidP="00970D99">
            <w:pPr>
              <w:rPr>
                <w:rFonts w:cs="Arial"/>
              </w:rPr>
            </w:pPr>
          </w:p>
        </w:tc>
        <w:tc>
          <w:tcPr>
            <w:tcW w:w="1506" w:type="dxa"/>
          </w:tcPr>
          <w:p w14:paraId="7CFD3F9E" w14:textId="19352C05" w:rsidR="00970D99" w:rsidRPr="00970D99" w:rsidRDefault="00970D99" w:rsidP="00970D99">
            <w:pPr>
              <w:rPr>
                <w:rFonts w:cs="Arial"/>
              </w:rPr>
            </w:pPr>
            <w:r w:rsidRPr="00970D99">
              <w:rPr>
                <w:szCs w:val="20"/>
              </w:rPr>
              <w:t>Пресинкоп, синкоп, парестезия</w:t>
            </w:r>
          </w:p>
        </w:tc>
        <w:tc>
          <w:tcPr>
            <w:tcW w:w="1558" w:type="dxa"/>
          </w:tcPr>
          <w:p w14:paraId="1A7E9446" w14:textId="77777777" w:rsidR="00970D99" w:rsidRPr="00970D99" w:rsidRDefault="00970D99" w:rsidP="00970D99">
            <w:pPr>
              <w:rPr>
                <w:rFonts w:cs="Arial"/>
              </w:rPr>
            </w:pPr>
          </w:p>
        </w:tc>
        <w:tc>
          <w:tcPr>
            <w:tcW w:w="1615" w:type="dxa"/>
          </w:tcPr>
          <w:p w14:paraId="050B0F49" w14:textId="77777777" w:rsidR="00970D99" w:rsidRPr="00970D99" w:rsidRDefault="00970D99" w:rsidP="00970D99">
            <w:pPr>
              <w:rPr>
                <w:rFonts w:cs="Arial"/>
              </w:rPr>
            </w:pPr>
          </w:p>
        </w:tc>
      </w:tr>
      <w:tr w:rsidR="00970D99" w14:paraId="14F9630A" w14:textId="77777777" w:rsidTr="00970D99">
        <w:tc>
          <w:tcPr>
            <w:tcW w:w="1612" w:type="dxa"/>
          </w:tcPr>
          <w:p w14:paraId="4427B88B" w14:textId="27E688D8" w:rsidR="00970D99" w:rsidRPr="00970D99" w:rsidRDefault="00970D99" w:rsidP="00970D99">
            <w:pPr>
              <w:rPr>
                <w:rFonts w:cs="Arial"/>
              </w:rPr>
            </w:pPr>
            <w:r w:rsidRPr="00970D99">
              <w:rPr>
                <w:szCs w:val="20"/>
              </w:rPr>
              <w:lastRenderedPageBreak/>
              <w:t>Нарушения на очите</w:t>
            </w:r>
          </w:p>
        </w:tc>
        <w:tc>
          <w:tcPr>
            <w:tcW w:w="1742" w:type="dxa"/>
          </w:tcPr>
          <w:p w14:paraId="42DF8B81" w14:textId="77777777" w:rsidR="00970D99" w:rsidRPr="00970D99" w:rsidRDefault="00970D99" w:rsidP="00970D99">
            <w:pPr>
              <w:rPr>
                <w:rFonts w:cs="Arial"/>
              </w:rPr>
            </w:pPr>
          </w:p>
        </w:tc>
        <w:tc>
          <w:tcPr>
            <w:tcW w:w="1543" w:type="dxa"/>
            <w:vAlign w:val="bottom"/>
          </w:tcPr>
          <w:p w14:paraId="14F7B9FE" w14:textId="521C95D1" w:rsidR="00970D99" w:rsidRPr="00970D99" w:rsidRDefault="00970D99" w:rsidP="00970D99">
            <w:pPr>
              <w:rPr>
                <w:rFonts w:cs="Arial"/>
              </w:rPr>
            </w:pPr>
            <w:r w:rsidRPr="00970D99">
              <w:rPr>
                <w:szCs w:val="20"/>
              </w:rPr>
              <w:t>Нарушено виждане, Понижено сълзоотделян е (сухота в очите), очно дразнене</w:t>
            </w:r>
          </w:p>
        </w:tc>
        <w:tc>
          <w:tcPr>
            <w:tcW w:w="1506" w:type="dxa"/>
          </w:tcPr>
          <w:p w14:paraId="7EA70ED9" w14:textId="77777777" w:rsidR="00970D99" w:rsidRPr="00970D99" w:rsidRDefault="00970D99" w:rsidP="00970D99">
            <w:pPr>
              <w:rPr>
                <w:rFonts w:cs="Arial"/>
              </w:rPr>
            </w:pPr>
          </w:p>
        </w:tc>
        <w:tc>
          <w:tcPr>
            <w:tcW w:w="1558" w:type="dxa"/>
          </w:tcPr>
          <w:p w14:paraId="69F1A945" w14:textId="77777777" w:rsidR="00970D99" w:rsidRPr="00970D99" w:rsidRDefault="00970D99" w:rsidP="00970D99">
            <w:pPr>
              <w:rPr>
                <w:rFonts w:cs="Arial"/>
              </w:rPr>
            </w:pPr>
          </w:p>
        </w:tc>
        <w:tc>
          <w:tcPr>
            <w:tcW w:w="1615" w:type="dxa"/>
          </w:tcPr>
          <w:p w14:paraId="76F7A171" w14:textId="77777777" w:rsidR="00970D99" w:rsidRPr="00970D99" w:rsidRDefault="00970D99" w:rsidP="00970D99">
            <w:pPr>
              <w:rPr>
                <w:rFonts w:cs="Arial"/>
              </w:rPr>
            </w:pPr>
          </w:p>
        </w:tc>
      </w:tr>
      <w:tr w:rsidR="00970D99" w14:paraId="38957334" w14:textId="77777777" w:rsidTr="00970D99">
        <w:tc>
          <w:tcPr>
            <w:tcW w:w="1612" w:type="dxa"/>
          </w:tcPr>
          <w:p w14:paraId="3E593B31" w14:textId="2DAC5A7A" w:rsidR="00970D99" w:rsidRPr="00970D99" w:rsidRDefault="00970D99" w:rsidP="00970D99">
            <w:pPr>
              <w:rPr>
                <w:rFonts w:cs="Arial"/>
              </w:rPr>
            </w:pPr>
            <w:r w:rsidRPr="00970D99">
              <w:rPr>
                <w:szCs w:val="20"/>
              </w:rPr>
              <w:t>Сърдечни нарушения</w:t>
            </w:r>
          </w:p>
        </w:tc>
        <w:tc>
          <w:tcPr>
            <w:tcW w:w="1742" w:type="dxa"/>
          </w:tcPr>
          <w:p w14:paraId="0040A85D" w14:textId="4817D535" w:rsidR="00970D99" w:rsidRPr="00970D99" w:rsidRDefault="00970D99" w:rsidP="00970D99">
            <w:pPr>
              <w:rPr>
                <w:rFonts w:cs="Arial"/>
              </w:rPr>
            </w:pPr>
            <w:r w:rsidRPr="00970D99">
              <w:rPr>
                <w:szCs w:val="20"/>
              </w:rPr>
              <w:t>Сърдечна недостатъчност</w:t>
            </w:r>
          </w:p>
        </w:tc>
        <w:tc>
          <w:tcPr>
            <w:tcW w:w="1543" w:type="dxa"/>
            <w:vAlign w:val="bottom"/>
          </w:tcPr>
          <w:p w14:paraId="4B8797EE" w14:textId="555B38C1" w:rsidR="00970D99" w:rsidRPr="00970D99" w:rsidRDefault="00970D99" w:rsidP="00970D99">
            <w:pPr>
              <w:rPr>
                <w:rFonts w:cs="Arial"/>
              </w:rPr>
            </w:pPr>
            <w:r w:rsidRPr="00970D99">
              <w:rPr>
                <w:szCs w:val="20"/>
              </w:rPr>
              <w:t>Брадикардия, едема, хиперволеми я, задържане на течности</w:t>
            </w:r>
          </w:p>
        </w:tc>
        <w:tc>
          <w:tcPr>
            <w:tcW w:w="1506" w:type="dxa"/>
            <w:vAlign w:val="bottom"/>
          </w:tcPr>
          <w:p w14:paraId="279D3089" w14:textId="77777777" w:rsidR="00970D99" w:rsidRPr="00970D99" w:rsidRDefault="00970D99" w:rsidP="00970D99">
            <w:r w:rsidRPr="00970D99">
              <w:rPr>
                <w:szCs w:val="20"/>
              </w:rPr>
              <w:t>атриовентри куларен блок, ангина</w:t>
            </w:r>
          </w:p>
          <w:p w14:paraId="2BDC5C61" w14:textId="545BCB3D" w:rsidR="00970D99" w:rsidRPr="00970D99" w:rsidRDefault="00970D99" w:rsidP="00970D99">
            <w:pPr>
              <w:rPr>
                <w:rFonts w:cs="Arial"/>
              </w:rPr>
            </w:pPr>
            <w:r w:rsidRPr="00970D99">
              <w:rPr>
                <w:szCs w:val="20"/>
              </w:rPr>
              <w:t>пекторис</w:t>
            </w:r>
          </w:p>
        </w:tc>
        <w:tc>
          <w:tcPr>
            <w:tcW w:w="1558" w:type="dxa"/>
          </w:tcPr>
          <w:p w14:paraId="3FD0D213" w14:textId="77777777" w:rsidR="00970D99" w:rsidRPr="00970D99" w:rsidRDefault="00970D99" w:rsidP="00970D99">
            <w:pPr>
              <w:rPr>
                <w:rFonts w:cs="Arial"/>
              </w:rPr>
            </w:pPr>
          </w:p>
        </w:tc>
        <w:tc>
          <w:tcPr>
            <w:tcW w:w="1615" w:type="dxa"/>
          </w:tcPr>
          <w:p w14:paraId="4917FEC4" w14:textId="77777777" w:rsidR="00970D99" w:rsidRPr="00970D99" w:rsidRDefault="00970D99" w:rsidP="00970D99">
            <w:pPr>
              <w:rPr>
                <w:rFonts w:cs="Arial"/>
              </w:rPr>
            </w:pPr>
          </w:p>
        </w:tc>
      </w:tr>
      <w:tr w:rsidR="00970D99" w14:paraId="0381AE5A" w14:textId="77777777" w:rsidTr="00970D99">
        <w:tc>
          <w:tcPr>
            <w:tcW w:w="1612" w:type="dxa"/>
          </w:tcPr>
          <w:p w14:paraId="58716F1A" w14:textId="6090CA56" w:rsidR="00970D99" w:rsidRPr="00970D99" w:rsidRDefault="00970D99" w:rsidP="00970D99">
            <w:pPr>
              <w:rPr>
                <w:rFonts w:cs="Arial"/>
              </w:rPr>
            </w:pPr>
            <w:r w:rsidRPr="00970D99">
              <w:rPr>
                <w:szCs w:val="20"/>
              </w:rPr>
              <w:t>Съдови нарушения</w:t>
            </w:r>
          </w:p>
        </w:tc>
        <w:tc>
          <w:tcPr>
            <w:tcW w:w="1742" w:type="dxa"/>
          </w:tcPr>
          <w:p w14:paraId="12C010CA" w14:textId="2DAF23A7" w:rsidR="00970D99" w:rsidRPr="00970D99" w:rsidRDefault="00970D99" w:rsidP="00970D99">
            <w:pPr>
              <w:rPr>
                <w:rFonts w:cs="Arial"/>
              </w:rPr>
            </w:pPr>
            <w:r w:rsidRPr="00970D99">
              <w:rPr>
                <w:szCs w:val="20"/>
              </w:rPr>
              <w:t>хипотония</w:t>
            </w:r>
          </w:p>
        </w:tc>
        <w:tc>
          <w:tcPr>
            <w:tcW w:w="1543" w:type="dxa"/>
            <w:vAlign w:val="bottom"/>
          </w:tcPr>
          <w:p w14:paraId="6D50CEC7" w14:textId="32F7926A" w:rsidR="00970D99" w:rsidRPr="00970D99" w:rsidRDefault="00970D99" w:rsidP="00970D99">
            <w:pPr>
              <w:rPr>
                <w:rFonts w:cs="Arial"/>
              </w:rPr>
            </w:pPr>
            <w:r w:rsidRPr="00970D99">
              <w:rPr>
                <w:szCs w:val="20"/>
              </w:rPr>
              <w:t>Ортостатична хипотония, нарушения на периферното кръвообраще ние (студени крайници, периферна съдова болест, влошаване на интермитент но клаудикацио и синдром на Рейно)</w:t>
            </w:r>
          </w:p>
        </w:tc>
        <w:tc>
          <w:tcPr>
            <w:tcW w:w="1506" w:type="dxa"/>
          </w:tcPr>
          <w:p w14:paraId="50198760" w14:textId="77777777" w:rsidR="00970D99" w:rsidRPr="00970D99" w:rsidRDefault="00970D99" w:rsidP="00970D99">
            <w:pPr>
              <w:rPr>
                <w:rFonts w:cs="Arial"/>
              </w:rPr>
            </w:pPr>
          </w:p>
        </w:tc>
        <w:tc>
          <w:tcPr>
            <w:tcW w:w="1558" w:type="dxa"/>
          </w:tcPr>
          <w:p w14:paraId="7E6B5B0B" w14:textId="77777777" w:rsidR="00970D99" w:rsidRPr="00970D99" w:rsidRDefault="00970D99" w:rsidP="00970D99">
            <w:pPr>
              <w:rPr>
                <w:rFonts w:cs="Arial"/>
              </w:rPr>
            </w:pPr>
          </w:p>
        </w:tc>
        <w:tc>
          <w:tcPr>
            <w:tcW w:w="1615" w:type="dxa"/>
          </w:tcPr>
          <w:p w14:paraId="7790A7C8" w14:textId="77777777" w:rsidR="00970D99" w:rsidRPr="00970D99" w:rsidRDefault="00970D99" w:rsidP="00970D99">
            <w:pPr>
              <w:rPr>
                <w:rFonts w:cs="Arial"/>
              </w:rPr>
            </w:pPr>
          </w:p>
        </w:tc>
      </w:tr>
      <w:tr w:rsidR="00970D99" w14:paraId="56CAD3D7" w14:textId="77777777" w:rsidTr="00970D99">
        <w:tc>
          <w:tcPr>
            <w:tcW w:w="1612" w:type="dxa"/>
          </w:tcPr>
          <w:p w14:paraId="210A6E91" w14:textId="5EB8B0B1" w:rsidR="00970D99" w:rsidRPr="00970D99" w:rsidRDefault="00970D99" w:rsidP="00970D99">
            <w:pPr>
              <w:rPr>
                <w:rFonts w:cs="Arial"/>
              </w:rPr>
            </w:pPr>
            <w:r w:rsidRPr="00970D99">
              <w:rPr>
                <w:szCs w:val="20"/>
              </w:rPr>
              <w:t>Респираторни, гръдни и медиастиналн и нарушения</w:t>
            </w:r>
          </w:p>
        </w:tc>
        <w:tc>
          <w:tcPr>
            <w:tcW w:w="1742" w:type="dxa"/>
          </w:tcPr>
          <w:p w14:paraId="2840692C" w14:textId="77777777" w:rsidR="00970D99" w:rsidRPr="00970D99" w:rsidRDefault="00970D99" w:rsidP="00970D99">
            <w:pPr>
              <w:rPr>
                <w:rFonts w:cs="Arial"/>
              </w:rPr>
            </w:pPr>
          </w:p>
        </w:tc>
        <w:tc>
          <w:tcPr>
            <w:tcW w:w="1543" w:type="dxa"/>
            <w:vAlign w:val="bottom"/>
          </w:tcPr>
          <w:p w14:paraId="4A0F952D" w14:textId="6E5F5B60" w:rsidR="00970D99" w:rsidRPr="00970D99" w:rsidRDefault="00970D99" w:rsidP="00970D99">
            <w:pPr>
              <w:rPr>
                <w:rFonts w:cs="Arial"/>
              </w:rPr>
            </w:pPr>
            <w:r w:rsidRPr="00970D99">
              <w:rPr>
                <w:szCs w:val="20"/>
              </w:rPr>
              <w:t>Диспнея, белодробен оток, астма при предразполо жени пациенти</w:t>
            </w:r>
          </w:p>
        </w:tc>
        <w:tc>
          <w:tcPr>
            <w:tcW w:w="1506" w:type="dxa"/>
          </w:tcPr>
          <w:p w14:paraId="52DAB12B" w14:textId="77777777" w:rsidR="00970D99" w:rsidRPr="00970D99" w:rsidRDefault="00970D99" w:rsidP="00970D99">
            <w:pPr>
              <w:rPr>
                <w:rFonts w:cs="Arial"/>
              </w:rPr>
            </w:pPr>
          </w:p>
        </w:tc>
        <w:tc>
          <w:tcPr>
            <w:tcW w:w="1558" w:type="dxa"/>
          </w:tcPr>
          <w:p w14:paraId="2ACBA5F3" w14:textId="5B41735A" w:rsidR="00970D99" w:rsidRPr="00970D99" w:rsidRDefault="00970D99" w:rsidP="00970D99">
            <w:pPr>
              <w:rPr>
                <w:rFonts w:cs="Arial"/>
              </w:rPr>
            </w:pPr>
            <w:r w:rsidRPr="00970D99">
              <w:rPr>
                <w:szCs w:val="20"/>
              </w:rPr>
              <w:t>Назална конгестия</w:t>
            </w:r>
          </w:p>
        </w:tc>
        <w:tc>
          <w:tcPr>
            <w:tcW w:w="1615" w:type="dxa"/>
          </w:tcPr>
          <w:p w14:paraId="61AA2142" w14:textId="77777777" w:rsidR="00970D99" w:rsidRPr="00970D99" w:rsidRDefault="00970D99" w:rsidP="00970D99">
            <w:pPr>
              <w:rPr>
                <w:rFonts w:cs="Arial"/>
              </w:rPr>
            </w:pPr>
          </w:p>
        </w:tc>
      </w:tr>
      <w:tr w:rsidR="00970D99" w14:paraId="4D0AA62A" w14:textId="77777777" w:rsidTr="00970D99">
        <w:tc>
          <w:tcPr>
            <w:tcW w:w="1612" w:type="dxa"/>
          </w:tcPr>
          <w:p w14:paraId="3E2DCA67" w14:textId="78F318BC" w:rsidR="00970D99" w:rsidRPr="00970D99" w:rsidRDefault="00970D99" w:rsidP="00970D99">
            <w:pPr>
              <w:rPr>
                <w:rFonts w:cs="Arial"/>
              </w:rPr>
            </w:pPr>
            <w:r w:rsidRPr="00970D99">
              <w:rPr>
                <w:szCs w:val="20"/>
              </w:rPr>
              <w:t>Стомашно- чревни нарушения</w:t>
            </w:r>
          </w:p>
        </w:tc>
        <w:tc>
          <w:tcPr>
            <w:tcW w:w="1742" w:type="dxa"/>
          </w:tcPr>
          <w:p w14:paraId="7DBAAF73" w14:textId="77777777" w:rsidR="00970D99" w:rsidRPr="00970D99" w:rsidRDefault="00970D99" w:rsidP="00970D99">
            <w:pPr>
              <w:rPr>
                <w:rFonts w:cs="Arial"/>
              </w:rPr>
            </w:pPr>
          </w:p>
        </w:tc>
        <w:tc>
          <w:tcPr>
            <w:tcW w:w="1543" w:type="dxa"/>
            <w:vAlign w:val="bottom"/>
          </w:tcPr>
          <w:p w14:paraId="2108EAB8" w14:textId="77777777" w:rsidR="00970D99" w:rsidRPr="00970D99" w:rsidRDefault="00970D99" w:rsidP="00970D99">
            <w:r w:rsidRPr="00970D99">
              <w:rPr>
                <w:szCs w:val="20"/>
              </w:rPr>
              <w:t>Гадене Диария Повръщане, диспепсия,</w:t>
            </w:r>
          </w:p>
          <w:p w14:paraId="7DE9CD67" w14:textId="6E216996" w:rsidR="00970D99" w:rsidRPr="00970D99" w:rsidRDefault="00970D99" w:rsidP="00970D99">
            <w:pPr>
              <w:rPr>
                <w:rFonts w:cs="Arial"/>
              </w:rPr>
            </w:pPr>
            <w:r w:rsidRPr="00970D99">
              <w:rPr>
                <w:szCs w:val="20"/>
              </w:rPr>
              <w:lastRenderedPageBreak/>
              <w:t>коремна болка</w:t>
            </w:r>
          </w:p>
        </w:tc>
        <w:tc>
          <w:tcPr>
            <w:tcW w:w="1506" w:type="dxa"/>
          </w:tcPr>
          <w:p w14:paraId="0D79E7B9" w14:textId="77777777" w:rsidR="00970D99" w:rsidRPr="00970D99" w:rsidRDefault="00970D99" w:rsidP="00970D99">
            <w:pPr>
              <w:rPr>
                <w:rFonts w:cs="Arial"/>
              </w:rPr>
            </w:pPr>
          </w:p>
        </w:tc>
        <w:tc>
          <w:tcPr>
            <w:tcW w:w="1558" w:type="dxa"/>
          </w:tcPr>
          <w:p w14:paraId="18BB6F10" w14:textId="77777777" w:rsidR="00970D99" w:rsidRPr="00970D99" w:rsidRDefault="00970D99" w:rsidP="00970D99">
            <w:pPr>
              <w:rPr>
                <w:rFonts w:cs="Arial"/>
              </w:rPr>
            </w:pPr>
          </w:p>
        </w:tc>
        <w:tc>
          <w:tcPr>
            <w:tcW w:w="1615" w:type="dxa"/>
          </w:tcPr>
          <w:p w14:paraId="69A07DE5" w14:textId="77777777" w:rsidR="00970D99" w:rsidRPr="00970D99" w:rsidRDefault="00970D99" w:rsidP="00970D99">
            <w:pPr>
              <w:rPr>
                <w:rFonts w:cs="Arial"/>
              </w:rPr>
            </w:pPr>
          </w:p>
        </w:tc>
      </w:tr>
      <w:tr w:rsidR="00970D99" w14:paraId="36E6E1DC" w14:textId="77777777" w:rsidTr="00970D99">
        <w:tc>
          <w:tcPr>
            <w:tcW w:w="1612" w:type="dxa"/>
          </w:tcPr>
          <w:p w14:paraId="2C956948" w14:textId="6DB5A8CD" w:rsidR="00970D99" w:rsidRPr="00970D99" w:rsidRDefault="00970D99" w:rsidP="00970D99">
            <w:pPr>
              <w:rPr>
                <w:rFonts w:cs="Arial"/>
              </w:rPr>
            </w:pPr>
            <w:r w:rsidRPr="00970D99">
              <w:rPr>
                <w:szCs w:val="20"/>
              </w:rPr>
              <w:t>Хепатобилиар ни нарушения</w:t>
            </w:r>
          </w:p>
        </w:tc>
        <w:tc>
          <w:tcPr>
            <w:tcW w:w="1742" w:type="dxa"/>
          </w:tcPr>
          <w:p w14:paraId="7AF4C8B1" w14:textId="77777777" w:rsidR="00970D99" w:rsidRPr="00970D99" w:rsidRDefault="00970D99" w:rsidP="00970D99">
            <w:pPr>
              <w:rPr>
                <w:rFonts w:cs="Arial"/>
              </w:rPr>
            </w:pPr>
          </w:p>
        </w:tc>
        <w:tc>
          <w:tcPr>
            <w:tcW w:w="1543" w:type="dxa"/>
          </w:tcPr>
          <w:p w14:paraId="1BC430D4" w14:textId="77777777" w:rsidR="00970D99" w:rsidRPr="00970D99" w:rsidRDefault="00970D99" w:rsidP="00970D99">
            <w:pPr>
              <w:rPr>
                <w:rFonts w:cs="Arial"/>
              </w:rPr>
            </w:pPr>
          </w:p>
        </w:tc>
        <w:tc>
          <w:tcPr>
            <w:tcW w:w="1506" w:type="dxa"/>
          </w:tcPr>
          <w:p w14:paraId="5091F8AD" w14:textId="77777777" w:rsidR="00970D99" w:rsidRPr="00970D99" w:rsidRDefault="00970D99" w:rsidP="00970D99">
            <w:pPr>
              <w:rPr>
                <w:rFonts w:cs="Arial"/>
              </w:rPr>
            </w:pPr>
          </w:p>
        </w:tc>
        <w:tc>
          <w:tcPr>
            <w:tcW w:w="1558" w:type="dxa"/>
          </w:tcPr>
          <w:p w14:paraId="0AFDDF84" w14:textId="77777777" w:rsidR="00970D99" w:rsidRPr="00970D99" w:rsidRDefault="00970D99" w:rsidP="00970D99">
            <w:pPr>
              <w:rPr>
                <w:rFonts w:cs="Arial"/>
              </w:rPr>
            </w:pPr>
          </w:p>
        </w:tc>
        <w:tc>
          <w:tcPr>
            <w:tcW w:w="1615" w:type="dxa"/>
            <w:vAlign w:val="bottom"/>
          </w:tcPr>
          <w:p w14:paraId="48747630" w14:textId="6D19A998" w:rsidR="00970D99" w:rsidRPr="00970D99" w:rsidRDefault="00970D99" w:rsidP="00970D99">
            <w:pPr>
              <w:rPr>
                <w:rFonts w:cs="Arial"/>
              </w:rPr>
            </w:pPr>
            <w:r w:rsidRPr="00970D99">
              <w:rPr>
                <w:szCs w:val="20"/>
              </w:rPr>
              <w:t xml:space="preserve">Повишени нива на аланин аминотрансфе раза </w:t>
            </w:r>
            <w:r w:rsidRPr="00970D99">
              <w:rPr>
                <w:szCs w:val="20"/>
                <w:lang w:val="ru-RU"/>
              </w:rPr>
              <w:t>(</w:t>
            </w:r>
            <w:r w:rsidRPr="00970D99">
              <w:rPr>
                <w:szCs w:val="20"/>
                <w:lang w:val="en-US"/>
              </w:rPr>
              <w:t>ALT</w:t>
            </w:r>
            <w:r w:rsidRPr="00970D99">
              <w:rPr>
                <w:szCs w:val="20"/>
                <w:lang w:val="ru-RU"/>
              </w:rPr>
              <w:t xml:space="preserve">), </w:t>
            </w:r>
            <w:r w:rsidRPr="00970D99">
              <w:rPr>
                <w:szCs w:val="20"/>
              </w:rPr>
              <w:t xml:space="preserve">аспартат аминотрансфе раза </w:t>
            </w:r>
            <w:r w:rsidRPr="00970D99">
              <w:rPr>
                <w:szCs w:val="20"/>
                <w:lang w:val="ru-RU"/>
              </w:rPr>
              <w:t>(</w:t>
            </w:r>
            <w:r w:rsidRPr="00970D99">
              <w:rPr>
                <w:szCs w:val="20"/>
                <w:lang w:val="en-US"/>
              </w:rPr>
              <w:t>AST</w:t>
            </w:r>
            <w:r w:rsidRPr="00970D99">
              <w:rPr>
                <w:szCs w:val="20"/>
                <w:lang w:val="ru-RU"/>
              </w:rPr>
              <w:t xml:space="preserve">) </w:t>
            </w:r>
            <w:r w:rsidRPr="00970D99">
              <w:rPr>
                <w:szCs w:val="20"/>
              </w:rPr>
              <w:t xml:space="preserve">и гамаглутамил трансфераза </w:t>
            </w:r>
            <w:r w:rsidRPr="00970D99">
              <w:rPr>
                <w:szCs w:val="20"/>
                <w:lang w:val="ru-RU"/>
              </w:rPr>
              <w:t>(</w:t>
            </w:r>
            <w:r w:rsidRPr="00970D99">
              <w:rPr>
                <w:szCs w:val="20"/>
                <w:lang w:val="en-US"/>
              </w:rPr>
              <w:t>GGT</w:t>
            </w:r>
            <w:r w:rsidRPr="00970D99">
              <w:rPr>
                <w:szCs w:val="20"/>
                <w:lang w:val="ru-RU"/>
              </w:rPr>
              <w:t>)</w:t>
            </w:r>
          </w:p>
        </w:tc>
      </w:tr>
      <w:tr w:rsidR="00970D99" w14:paraId="184E59D8" w14:textId="77777777" w:rsidTr="00970D99">
        <w:tc>
          <w:tcPr>
            <w:tcW w:w="1612" w:type="dxa"/>
          </w:tcPr>
          <w:p w14:paraId="52738744" w14:textId="0C8C266E" w:rsidR="00970D99" w:rsidRPr="00970D99" w:rsidRDefault="00970D99" w:rsidP="00970D99">
            <w:pPr>
              <w:rPr>
                <w:rFonts w:cs="Arial"/>
              </w:rPr>
            </w:pPr>
            <w:r w:rsidRPr="00970D99">
              <w:rPr>
                <w:szCs w:val="20"/>
              </w:rPr>
              <w:t>Нарушения на кожата и подкожната тъкан</w:t>
            </w:r>
          </w:p>
        </w:tc>
        <w:tc>
          <w:tcPr>
            <w:tcW w:w="1742" w:type="dxa"/>
          </w:tcPr>
          <w:p w14:paraId="35192D72" w14:textId="77777777" w:rsidR="00970D99" w:rsidRPr="00970D99" w:rsidRDefault="00970D99" w:rsidP="00970D99">
            <w:pPr>
              <w:rPr>
                <w:rFonts w:cs="Arial"/>
              </w:rPr>
            </w:pPr>
          </w:p>
        </w:tc>
        <w:tc>
          <w:tcPr>
            <w:tcW w:w="1543" w:type="dxa"/>
          </w:tcPr>
          <w:p w14:paraId="21F13DEA" w14:textId="77777777" w:rsidR="00970D99" w:rsidRPr="00970D99" w:rsidRDefault="00970D99" w:rsidP="00970D99">
            <w:pPr>
              <w:rPr>
                <w:rFonts w:cs="Arial"/>
              </w:rPr>
            </w:pPr>
          </w:p>
        </w:tc>
        <w:tc>
          <w:tcPr>
            <w:tcW w:w="1506" w:type="dxa"/>
            <w:vAlign w:val="bottom"/>
          </w:tcPr>
          <w:p w14:paraId="3EE10922" w14:textId="77AB0753" w:rsidR="00970D99" w:rsidRPr="00970D99" w:rsidRDefault="00970D99" w:rsidP="00970D99">
            <w:pPr>
              <w:rPr>
                <w:rFonts w:cs="Arial"/>
              </w:rPr>
            </w:pPr>
            <w:r w:rsidRPr="00970D99">
              <w:rPr>
                <w:szCs w:val="20"/>
              </w:rPr>
              <w:t xml:space="preserve">Кожни реакции (например алергична екзантема, дерматит, уртикария, сърбеж, псориатични кожни лезии и лезии наподобяващ и </w:t>
            </w:r>
            <w:r w:rsidRPr="00970D99">
              <w:rPr>
                <w:szCs w:val="20"/>
                <w:lang w:val="en-US"/>
              </w:rPr>
              <w:t>lichen</w:t>
            </w:r>
            <w:r w:rsidRPr="00970D99">
              <w:rPr>
                <w:szCs w:val="20"/>
                <w:lang w:val="ru-RU"/>
              </w:rPr>
              <w:t xml:space="preserve"> </w:t>
            </w:r>
            <w:r w:rsidRPr="00970D99">
              <w:rPr>
                <w:szCs w:val="20"/>
                <w:lang w:val="en-US"/>
              </w:rPr>
              <w:t>planus</w:t>
            </w:r>
            <w:r w:rsidRPr="00970D99">
              <w:rPr>
                <w:szCs w:val="20"/>
                <w:lang w:val="ru-RU"/>
              </w:rPr>
              <w:t xml:space="preserve">), </w:t>
            </w:r>
            <w:r w:rsidRPr="00970D99">
              <w:rPr>
                <w:szCs w:val="20"/>
              </w:rPr>
              <w:t>алопеция</w:t>
            </w:r>
          </w:p>
        </w:tc>
        <w:tc>
          <w:tcPr>
            <w:tcW w:w="1558" w:type="dxa"/>
          </w:tcPr>
          <w:p w14:paraId="5A282FFF" w14:textId="77777777" w:rsidR="00970D99" w:rsidRPr="00970D99" w:rsidRDefault="00970D99" w:rsidP="00970D99">
            <w:pPr>
              <w:rPr>
                <w:rFonts w:cs="Arial"/>
              </w:rPr>
            </w:pPr>
          </w:p>
        </w:tc>
        <w:tc>
          <w:tcPr>
            <w:tcW w:w="1615" w:type="dxa"/>
          </w:tcPr>
          <w:p w14:paraId="52C630E3" w14:textId="7744F249" w:rsidR="00970D99" w:rsidRPr="00970D99" w:rsidRDefault="00970D99" w:rsidP="00970D99">
            <w:pPr>
              <w:rPr>
                <w:rFonts w:cs="Arial"/>
              </w:rPr>
            </w:pPr>
            <w:r w:rsidRPr="00970D99">
              <w:rPr>
                <w:szCs w:val="20"/>
              </w:rPr>
              <w:t>Тежки кожни реакции (еритема мултиформе, синдром на Стивънс- Джонсън, токсична епидермална некролиза)</w:t>
            </w:r>
          </w:p>
        </w:tc>
      </w:tr>
      <w:tr w:rsidR="00970D99" w14:paraId="4EF4B209" w14:textId="77777777" w:rsidTr="00970D99">
        <w:tc>
          <w:tcPr>
            <w:tcW w:w="1612" w:type="dxa"/>
            <w:vAlign w:val="bottom"/>
          </w:tcPr>
          <w:p w14:paraId="10D98418" w14:textId="2B0FD388" w:rsidR="00970D99" w:rsidRPr="00970D99" w:rsidRDefault="00970D99" w:rsidP="00970D99">
            <w:pPr>
              <w:rPr>
                <w:rFonts w:cs="Arial"/>
              </w:rPr>
            </w:pPr>
            <w:r w:rsidRPr="00970D99">
              <w:rPr>
                <w:szCs w:val="20"/>
              </w:rPr>
              <w:t>Нарушения на мускулно- скелетната система и съединителна та тъкан</w:t>
            </w:r>
          </w:p>
        </w:tc>
        <w:tc>
          <w:tcPr>
            <w:tcW w:w="1742" w:type="dxa"/>
          </w:tcPr>
          <w:p w14:paraId="03AD5148" w14:textId="77777777" w:rsidR="00970D99" w:rsidRPr="00970D99" w:rsidRDefault="00970D99" w:rsidP="00970D99">
            <w:pPr>
              <w:rPr>
                <w:rFonts w:cs="Arial"/>
              </w:rPr>
            </w:pPr>
          </w:p>
        </w:tc>
        <w:tc>
          <w:tcPr>
            <w:tcW w:w="1543" w:type="dxa"/>
          </w:tcPr>
          <w:p w14:paraId="2B13F25A" w14:textId="1932C95F" w:rsidR="00970D99" w:rsidRPr="00970D99" w:rsidRDefault="00970D99" w:rsidP="00970D99">
            <w:pPr>
              <w:rPr>
                <w:rFonts w:cs="Arial"/>
              </w:rPr>
            </w:pPr>
            <w:r w:rsidRPr="00970D99">
              <w:rPr>
                <w:szCs w:val="20"/>
              </w:rPr>
              <w:t>Болка в краката</w:t>
            </w:r>
          </w:p>
        </w:tc>
        <w:tc>
          <w:tcPr>
            <w:tcW w:w="1506" w:type="dxa"/>
          </w:tcPr>
          <w:p w14:paraId="37452D34" w14:textId="77777777" w:rsidR="00970D99" w:rsidRPr="00970D99" w:rsidRDefault="00970D99" w:rsidP="00970D99">
            <w:pPr>
              <w:rPr>
                <w:rFonts w:cs="Arial"/>
              </w:rPr>
            </w:pPr>
          </w:p>
        </w:tc>
        <w:tc>
          <w:tcPr>
            <w:tcW w:w="1558" w:type="dxa"/>
          </w:tcPr>
          <w:p w14:paraId="73E3FACE" w14:textId="77777777" w:rsidR="00970D99" w:rsidRPr="00970D99" w:rsidRDefault="00970D99" w:rsidP="00970D99">
            <w:pPr>
              <w:rPr>
                <w:rFonts w:cs="Arial"/>
              </w:rPr>
            </w:pPr>
          </w:p>
        </w:tc>
        <w:tc>
          <w:tcPr>
            <w:tcW w:w="1615" w:type="dxa"/>
          </w:tcPr>
          <w:p w14:paraId="0C19A5A7" w14:textId="77777777" w:rsidR="00970D99" w:rsidRPr="00970D99" w:rsidRDefault="00970D99" w:rsidP="00970D99">
            <w:pPr>
              <w:rPr>
                <w:rFonts w:cs="Arial"/>
              </w:rPr>
            </w:pPr>
          </w:p>
        </w:tc>
      </w:tr>
      <w:tr w:rsidR="00970D99" w14:paraId="69BC3D38" w14:textId="77777777" w:rsidTr="00970D99">
        <w:tc>
          <w:tcPr>
            <w:tcW w:w="1612" w:type="dxa"/>
          </w:tcPr>
          <w:p w14:paraId="1C5EF038" w14:textId="4C64077F" w:rsidR="00970D99" w:rsidRPr="00970D99" w:rsidRDefault="00970D99" w:rsidP="00970D99">
            <w:pPr>
              <w:rPr>
                <w:rFonts w:cs="Arial"/>
              </w:rPr>
            </w:pPr>
            <w:r w:rsidRPr="00970D99">
              <w:rPr>
                <w:szCs w:val="20"/>
              </w:rPr>
              <w:t>Нарушения на бъбреците и пикочните пътища</w:t>
            </w:r>
          </w:p>
        </w:tc>
        <w:tc>
          <w:tcPr>
            <w:tcW w:w="1742" w:type="dxa"/>
          </w:tcPr>
          <w:p w14:paraId="01324BDF" w14:textId="77777777" w:rsidR="00970D99" w:rsidRPr="00970D99" w:rsidRDefault="00970D99" w:rsidP="00970D99">
            <w:pPr>
              <w:rPr>
                <w:rFonts w:cs="Arial"/>
              </w:rPr>
            </w:pPr>
          </w:p>
        </w:tc>
        <w:tc>
          <w:tcPr>
            <w:tcW w:w="1543" w:type="dxa"/>
            <w:vAlign w:val="bottom"/>
          </w:tcPr>
          <w:p w14:paraId="01954DFB" w14:textId="3998A745" w:rsidR="00970D99" w:rsidRPr="00970D99" w:rsidRDefault="00970D99" w:rsidP="00970D99">
            <w:pPr>
              <w:rPr>
                <w:rFonts w:cs="Arial"/>
                <w:lang w:val="ru-RU"/>
              </w:rPr>
            </w:pPr>
            <w:r w:rsidRPr="00970D99">
              <w:t xml:space="preserve">Бъбречна недостатъчно ст и влошаване на бъбречната функция при пациенти с </w:t>
            </w:r>
            <w:r w:rsidRPr="00970D99">
              <w:lastRenderedPageBreak/>
              <w:t>дифузна съдова болест и/или съпътстваща бъбречна недостатъчно ст, смущения в</w:t>
            </w:r>
            <w:r w:rsidRPr="00970D99">
              <w:rPr>
                <w:lang w:val="ru-RU"/>
              </w:rPr>
              <w:t xml:space="preserve"> </w:t>
            </w:r>
            <w:r w:rsidRPr="00970D99">
              <w:t>уринирането</w:t>
            </w:r>
          </w:p>
        </w:tc>
        <w:tc>
          <w:tcPr>
            <w:tcW w:w="1506" w:type="dxa"/>
          </w:tcPr>
          <w:p w14:paraId="57DD50DA" w14:textId="77777777" w:rsidR="00970D99" w:rsidRPr="00970D99" w:rsidRDefault="00970D99" w:rsidP="00970D99">
            <w:pPr>
              <w:rPr>
                <w:rFonts w:cs="Arial"/>
              </w:rPr>
            </w:pPr>
          </w:p>
        </w:tc>
        <w:tc>
          <w:tcPr>
            <w:tcW w:w="1558" w:type="dxa"/>
            <w:vAlign w:val="bottom"/>
          </w:tcPr>
          <w:p w14:paraId="6073A926" w14:textId="77777777" w:rsidR="00970D99" w:rsidRPr="00970D99" w:rsidRDefault="00970D99" w:rsidP="00970D99">
            <w:pPr>
              <w:rPr>
                <w:rFonts w:cs="Arial"/>
              </w:rPr>
            </w:pPr>
          </w:p>
        </w:tc>
        <w:tc>
          <w:tcPr>
            <w:tcW w:w="1615" w:type="dxa"/>
          </w:tcPr>
          <w:p w14:paraId="502D0240" w14:textId="3BE1DB83" w:rsidR="00970D99" w:rsidRPr="00970D99" w:rsidRDefault="00970D99" w:rsidP="00970D99">
            <w:pPr>
              <w:rPr>
                <w:rFonts w:cs="Arial"/>
              </w:rPr>
            </w:pPr>
            <w:r w:rsidRPr="00970D99">
              <w:rPr>
                <w:szCs w:val="20"/>
              </w:rPr>
              <w:t>(незадържане на урина, особено при жени</w:t>
            </w:r>
          </w:p>
        </w:tc>
      </w:tr>
      <w:tr w:rsidR="00970D99" w14:paraId="4D9E3521" w14:textId="77777777" w:rsidTr="00970D99">
        <w:tc>
          <w:tcPr>
            <w:tcW w:w="1612" w:type="dxa"/>
          </w:tcPr>
          <w:p w14:paraId="758583BA" w14:textId="5F296643" w:rsidR="00970D99" w:rsidRPr="00970D99" w:rsidRDefault="00970D99" w:rsidP="00970D99">
            <w:pPr>
              <w:rPr>
                <w:rFonts w:cs="Arial"/>
              </w:rPr>
            </w:pPr>
            <w:r w:rsidRPr="00970D99">
              <w:rPr>
                <w:szCs w:val="20"/>
              </w:rPr>
              <w:t>Нарушения на възпроизводи телната система и гърдата</w:t>
            </w:r>
          </w:p>
        </w:tc>
        <w:tc>
          <w:tcPr>
            <w:tcW w:w="1742" w:type="dxa"/>
          </w:tcPr>
          <w:p w14:paraId="1E1B767A" w14:textId="77777777" w:rsidR="00970D99" w:rsidRPr="00970D99" w:rsidRDefault="00970D99" w:rsidP="00970D99">
            <w:pPr>
              <w:rPr>
                <w:rFonts w:cs="Arial"/>
              </w:rPr>
            </w:pPr>
          </w:p>
        </w:tc>
        <w:tc>
          <w:tcPr>
            <w:tcW w:w="1543" w:type="dxa"/>
          </w:tcPr>
          <w:p w14:paraId="1E9CDC32" w14:textId="77777777" w:rsidR="00970D99" w:rsidRPr="00970D99" w:rsidRDefault="00970D99" w:rsidP="00970D99">
            <w:pPr>
              <w:rPr>
                <w:rFonts w:cs="Arial"/>
              </w:rPr>
            </w:pPr>
          </w:p>
        </w:tc>
        <w:tc>
          <w:tcPr>
            <w:tcW w:w="1506" w:type="dxa"/>
          </w:tcPr>
          <w:p w14:paraId="02B834A6" w14:textId="5245013D" w:rsidR="00970D99" w:rsidRPr="00970D99" w:rsidRDefault="00970D99" w:rsidP="00970D99">
            <w:pPr>
              <w:rPr>
                <w:rFonts w:cs="Arial"/>
              </w:rPr>
            </w:pPr>
            <w:r w:rsidRPr="00970D99">
              <w:rPr>
                <w:szCs w:val="20"/>
              </w:rPr>
              <w:t>Еректилна дисфункция</w:t>
            </w:r>
          </w:p>
        </w:tc>
        <w:tc>
          <w:tcPr>
            <w:tcW w:w="1558" w:type="dxa"/>
          </w:tcPr>
          <w:p w14:paraId="6FC8668B" w14:textId="77777777" w:rsidR="00970D99" w:rsidRPr="00970D99" w:rsidRDefault="00970D99" w:rsidP="00970D99">
            <w:pPr>
              <w:rPr>
                <w:rFonts w:cs="Arial"/>
              </w:rPr>
            </w:pPr>
          </w:p>
        </w:tc>
        <w:tc>
          <w:tcPr>
            <w:tcW w:w="1615" w:type="dxa"/>
          </w:tcPr>
          <w:p w14:paraId="7612E313" w14:textId="77777777" w:rsidR="00970D99" w:rsidRPr="00970D99" w:rsidRDefault="00970D99" w:rsidP="00970D99">
            <w:pPr>
              <w:rPr>
                <w:rFonts w:cs="Arial"/>
              </w:rPr>
            </w:pPr>
          </w:p>
        </w:tc>
      </w:tr>
      <w:tr w:rsidR="00970D99" w14:paraId="60318867" w14:textId="77777777" w:rsidTr="00970D99">
        <w:tc>
          <w:tcPr>
            <w:tcW w:w="1612" w:type="dxa"/>
          </w:tcPr>
          <w:p w14:paraId="49691C1D" w14:textId="3C4D6664" w:rsidR="00970D99" w:rsidRPr="00970D99" w:rsidRDefault="00970D99" w:rsidP="00970D99">
            <w:pPr>
              <w:rPr>
                <w:rFonts w:cs="Arial"/>
              </w:rPr>
            </w:pPr>
            <w:r w:rsidRPr="00970D99">
              <w:rPr>
                <w:szCs w:val="20"/>
              </w:rPr>
              <w:t>Общи нарушения и ефекти на мястото на приложение</w:t>
            </w:r>
          </w:p>
        </w:tc>
        <w:tc>
          <w:tcPr>
            <w:tcW w:w="1742" w:type="dxa"/>
          </w:tcPr>
          <w:p w14:paraId="6068584E" w14:textId="005DCD05" w:rsidR="00970D99" w:rsidRPr="00970D99" w:rsidRDefault="00970D99" w:rsidP="00970D99">
            <w:pPr>
              <w:rPr>
                <w:rFonts w:cs="Arial"/>
              </w:rPr>
            </w:pPr>
            <w:r w:rsidRPr="00970D99">
              <w:rPr>
                <w:szCs w:val="20"/>
              </w:rPr>
              <w:t>астения</w:t>
            </w:r>
          </w:p>
        </w:tc>
        <w:tc>
          <w:tcPr>
            <w:tcW w:w="1543" w:type="dxa"/>
          </w:tcPr>
          <w:p w14:paraId="1E108506" w14:textId="298EDF42" w:rsidR="00970D99" w:rsidRPr="00970D99" w:rsidRDefault="00970D99" w:rsidP="00970D99">
            <w:pPr>
              <w:rPr>
                <w:rFonts w:cs="Arial"/>
              </w:rPr>
            </w:pPr>
            <w:r w:rsidRPr="00970D99">
              <w:rPr>
                <w:szCs w:val="20"/>
              </w:rPr>
              <w:t>болка</w:t>
            </w:r>
          </w:p>
        </w:tc>
        <w:tc>
          <w:tcPr>
            <w:tcW w:w="1506" w:type="dxa"/>
          </w:tcPr>
          <w:p w14:paraId="7ACC051A" w14:textId="77777777" w:rsidR="00970D99" w:rsidRPr="00970D99" w:rsidRDefault="00970D99" w:rsidP="00970D99">
            <w:pPr>
              <w:rPr>
                <w:rFonts w:cs="Arial"/>
              </w:rPr>
            </w:pPr>
          </w:p>
        </w:tc>
        <w:tc>
          <w:tcPr>
            <w:tcW w:w="1558" w:type="dxa"/>
          </w:tcPr>
          <w:p w14:paraId="7FECB30C" w14:textId="77777777" w:rsidR="00970D99" w:rsidRPr="00970D99" w:rsidRDefault="00970D99" w:rsidP="00970D99">
            <w:pPr>
              <w:rPr>
                <w:rFonts w:cs="Arial"/>
              </w:rPr>
            </w:pPr>
          </w:p>
        </w:tc>
        <w:tc>
          <w:tcPr>
            <w:tcW w:w="1615" w:type="dxa"/>
          </w:tcPr>
          <w:p w14:paraId="369DD643" w14:textId="77777777" w:rsidR="00970D99" w:rsidRPr="00970D99" w:rsidRDefault="00970D99" w:rsidP="00970D99">
            <w:pPr>
              <w:rPr>
                <w:rFonts w:cs="Arial"/>
              </w:rPr>
            </w:pPr>
          </w:p>
        </w:tc>
      </w:tr>
    </w:tbl>
    <w:p w14:paraId="130E4E11" w14:textId="77777777" w:rsidR="00970D99" w:rsidRDefault="00970D99" w:rsidP="00970D99">
      <w:pPr>
        <w:spacing w:line="240" w:lineRule="auto"/>
        <w:rPr>
          <w:rFonts w:ascii="Times New Roman" w:eastAsia="Times New Roman" w:hAnsi="Times New Roman" w:cs="Times New Roman"/>
          <w:color w:val="000000"/>
          <w:sz w:val="20"/>
          <w:szCs w:val="20"/>
          <w:lang w:eastAsia="bg-BG"/>
        </w:rPr>
      </w:pPr>
    </w:p>
    <w:p w14:paraId="27F81996" w14:textId="1CA22265" w:rsidR="00970D99" w:rsidRPr="00970D99" w:rsidRDefault="00970D99" w:rsidP="00970D99">
      <w:pPr>
        <w:spacing w:line="240" w:lineRule="auto"/>
        <w:rPr>
          <w:rFonts w:eastAsia="Times New Roman" w:cs="Arial"/>
        </w:rPr>
      </w:pPr>
      <w:r w:rsidRPr="00970D99">
        <w:rPr>
          <w:rFonts w:eastAsia="Times New Roman" w:cs="Arial"/>
          <w:color w:val="000000"/>
          <w:lang w:eastAsia="bg-BG"/>
        </w:rPr>
        <w:t>Описание на избрани нежелани лекарствени реакции</w:t>
      </w:r>
    </w:p>
    <w:p w14:paraId="73FA5699" w14:textId="77777777" w:rsidR="00970D99" w:rsidRPr="00970D99" w:rsidRDefault="00970D99" w:rsidP="00970D99">
      <w:pPr>
        <w:spacing w:line="240" w:lineRule="auto"/>
        <w:rPr>
          <w:rFonts w:eastAsia="Times New Roman" w:cs="Arial"/>
        </w:rPr>
      </w:pPr>
      <w:r w:rsidRPr="00970D99">
        <w:rPr>
          <w:rFonts w:eastAsia="Times New Roman" w:cs="Arial"/>
          <w:color w:val="000000"/>
          <w:lang w:eastAsia="bg-BG"/>
        </w:rPr>
        <w:t>Замайване, синкоп, главоболие и астения обикновено са слабо изразени и е по-вероятно да възникнат в началото на лечението.</w:t>
      </w:r>
    </w:p>
    <w:p w14:paraId="5BDA9B1B" w14:textId="77777777" w:rsidR="00970D99" w:rsidRPr="00970D99" w:rsidRDefault="00970D99" w:rsidP="00970D99">
      <w:pPr>
        <w:spacing w:line="240" w:lineRule="auto"/>
        <w:rPr>
          <w:rFonts w:eastAsia="Times New Roman" w:cs="Arial"/>
          <w:color w:val="000000"/>
          <w:lang w:eastAsia="bg-BG"/>
        </w:rPr>
      </w:pPr>
    </w:p>
    <w:p w14:paraId="6C5C2802" w14:textId="2677C558" w:rsidR="00970D99" w:rsidRPr="00970D99" w:rsidRDefault="00970D99" w:rsidP="00970D99">
      <w:pPr>
        <w:spacing w:line="240" w:lineRule="auto"/>
        <w:rPr>
          <w:rFonts w:eastAsia="Times New Roman" w:cs="Arial"/>
          <w:color w:val="000000"/>
          <w:lang w:eastAsia="bg-BG"/>
        </w:rPr>
      </w:pPr>
      <w:r w:rsidRPr="00970D99">
        <w:rPr>
          <w:rFonts w:eastAsia="Times New Roman" w:cs="Arial"/>
          <w:color w:val="000000"/>
          <w:lang w:eastAsia="bg-BG"/>
        </w:rPr>
        <w:t xml:space="preserve">При пациенти със застойна сърдечна недостатъчност по време на повишаване на дозата на карведилол може </w:t>
      </w:r>
    </w:p>
    <w:p w14:paraId="65D913E1" w14:textId="26D59FB2" w:rsidR="00970D99" w:rsidRPr="00970D99" w:rsidRDefault="00970D99" w:rsidP="00970D99">
      <w:pPr>
        <w:spacing w:line="240" w:lineRule="auto"/>
        <w:rPr>
          <w:rFonts w:eastAsia="Times New Roman" w:cs="Arial"/>
        </w:rPr>
      </w:pPr>
      <w:r w:rsidRPr="00970D99">
        <w:rPr>
          <w:rFonts w:eastAsia="Times New Roman" w:cs="Arial"/>
          <w:color w:val="000000"/>
          <w:lang w:eastAsia="bg-BG"/>
        </w:rPr>
        <w:t>да възникне влошаване на сърдечната недостатъчност и задръжка на течности (вижте точка 4.4).</w:t>
      </w:r>
    </w:p>
    <w:p w14:paraId="1D4D93F7" w14:textId="77777777" w:rsidR="00970D99" w:rsidRPr="00970D99" w:rsidRDefault="00970D99" w:rsidP="00970D99">
      <w:pPr>
        <w:spacing w:line="240" w:lineRule="auto"/>
        <w:rPr>
          <w:rFonts w:eastAsia="Times New Roman" w:cs="Arial"/>
          <w:color w:val="000000"/>
          <w:lang w:eastAsia="bg-BG"/>
        </w:rPr>
      </w:pPr>
    </w:p>
    <w:p w14:paraId="53DC98F2" w14:textId="6C7D485A" w:rsidR="00970D99" w:rsidRPr="00970D99" w:rsidRDefault="00970D99" w:rsidP="00970D99">
      <w:pPr>
        <w:spacing w:line="240" w:lineRule="auto"/>
        <w:rPr>
          <w:rFonts w:eastAsia="Times New Roman" w:cs="Arial"/>
        </w:rPr>
      </w:pPr>
      <w:r w:rsidRPr="00970D99">
        <w:rPr>
          <w:rFonts w:eastAsia="Times New Roman" w:cs="Arial"/>
          <w:color w:val="000000"/>
          <w:lang w:eastAsia="bg-BG"/>
        </w:rPr>
        <w:t>Сърдечната недостатъчност е често съобщавано нежелано събитие, както при пациентите, лекувани с плацебо, така и при тези с карведилол (съответно 14,5% и 15,4 % )при пациенти с левокамерна дисфункция след остър миокарден инфаркт.</w:t>
      </w:r>
    </w:p>
    <w:p w14:paraId="55FC380A" w14:textId="77777777" w:rsidR="00970D99" w:rsidRPr="00970D99" w:rsidRDefault="00970D99" w:rsidP="00970D99">
      <w:pPr>
        <w:spacing w:line="240" w:lineRule="auto"/>
        <w:rPr>
          <w:rFonts w:eastAsia="Times New Roman" w:cs="Arial"/>
          <w:color w:val="000000"/>
          <w:lang w:eastAsia="bg-BG"/>
        </w:rPr>
      </w:pPr>
    </w:p>
    <w:p w14:paraId="50E45F91" w14:textId="44323A87" w:rsidR="00970D99" w:rsidRPr="00970D99" w:rsidRDefault="00970D99" w:rsidP="00970D99">
      <w:pPr>
        <w:spacing w:line="240" w:lineRule="auto"/>
        <w:rPr>
          <w:rFonts w:eastAsia="Times New Roman" w:cs="Arial"/>
        </w:rPr>
      </w:pPr>
      <w:r w:rsidRPr="00970D99">
        <w:rPr>
          <w:rFonts w:eastAsia="Times New Roman" w:cs="Arial"/>
          <w:color w:val="000000"/>
          <w:lang w:eastAsia="bg-BG"/>
        </w:rPr>
        <w:t>Наблюдавано е обратимо влошаване на бъбречната функция при лечение с карведилол при пациенти с хронична сърдечна недостатъчност с ниско артериално налягане, исхемична болест на сърцето и дифузно съдово заболяване и/или съпътстваща бъбречна недостатъчност (виж точка 4.4).</w:t>
      </w:r>
    </w:p>
    <w:p w14:paraId="131EA749" w14:textId="77777777" w:rsidR="00970D99" w:rsidRPr="00970D99" w:rsidRDefault="00970D99" w:rsidP="00970D99">
      <w:pPr>
        <w:spacing w:line="240" w:lineRule="auto"/>
        <w:rPr>
          <w:rFonts w:eastAsia="Times New Roman" w:cs="Arial"/>
          <w:color w:val="000000"/>
          <w:lang w:eastAsia="bg-BG"/>
        </w:rPr>
      </w:pPr>
    </w:p>
    <w:p w14:paraId="64332DD7" w14:textId="47FEC028" w:rsidR="00970D99" w:rsidRPr="00970D99" w:rsidRDefault="00970D99" w:rsidP="00970D99">
      <w:pPr>
        <w:spacing w:line="240" w:lineRule="auto"/>
        <w:rPr>
          <w:rFonts w:eastAsia="Times New Roman" w:cs="Arial"/>
        </w:rPr>
      </w:pPr>
      <w:r w:rsidRPr="00970D99">
        <w:rPr>
          <w:rFonts w:eastAsia="Times New Roman" w:cs="Arial"/>
          <w:color w:val="000000"/>
          <w:lang w:eastAsia="bg-BG"/>
        </w:rPr>
        <w:t>Като клас бета-адренергичните блокери, особено могат да предизвикат манифестиране на латентен диабет,</w:t>
      </w:r>
    </w:p>
    <w:p w14:paraId="1A728E17" w14:textId="77777777" w:rsidR="00970D99" w:rsidRPr="00970D99" w:rsidRDefault="00970D99" w:rsidP="00970D99">
      <w:pPr>
        <w:spacing w:line="240" w:lineRule="auto"/>
        <w:rPr>
          <w:rFonts w:eastAsia="Times New Roman" w:cs="Arial"/>
        </w:rPr>
      </w:pPr>
      <w:r w:rsidRPr="00970D99">
        <w:rPr>
          <w:rFonts w:eastAsia="Times New Roman" w:cs="Arial"/>
          <w:color w:val="000000"/>
          <w:lang w:eastAsia="bg-BG"/>
        </w:rPr>
        <w:t>а вече манифестиран диабет може да се влоши и контролът върху кръвната захар да бъде нарушен. По време на лечение с карведилол са възможни, но не често, леки нарушения в стойностите на глюкозата.</w:t>
      </w:r>
    </w:p>
    <w:p w14:paraId="31F5A2B5" w14:textId="77777777" w:rsidR="00970D99" w:rsidRPr="00970D99" w:rsidRDefault="00970D99" w:rsidP="00970D99">
      <w:pPr>
        <w:spacing w:line="240" w:lineRule="auto"/>
        <w:rPr>
          <w:rFonts w:eastAsia="Times New Roman" w:cs="Arial"/>
          <w:color w:val="000000"/>
          <w:lang w:eastAsia="bg-BG"/>
        </w:rPr>
      </w:pPr>
    </w:p>
    <w:p w14:paraId="37C1BAEF" w14:textId="1A044C73" w:rsidR="00970D99" w:rsidRPr="00970D99" w:rsidRDefault="00970D99" w:rsidP="00970D99">
      <w:pPr>
        <w:spacing w:line="240" w:lineRule="auto"/>
        <w:rPr>
          <w:rFonts w:eastAsia="Times New Roman" w:cs="Arial"/>
        </w:rPr>
      </w:pPr>
      <w:r w:rsidRPr="00970D99">
        <w:rPr>
          <w:rFonts w:eastAsia="Times New Roman" w:cs="Arial"/>
          <w:color w:val="000000"/>
          <w:lang w:eastAsia="bg-BG"/>
        </w:rPr>
        <w:t>Карведилол може да причини инконтиненция на урината при жени, която отзвучава при преустановяване на лечението.</w:t>
      </w:r>
    </w:p>
    <w:p w14:paraId="560457AF" w14:textId="77777777" w:rsidR="00970D99" w:rsidRPr="00970D99" w:rsidRDefault="00970D99" w:rsidP="00970D99">
      <w:pPr>
        <w:spacing w:line="240" w:lineRule="auto"/>
        <w:rPr>
          <w:rFonts w:eastAsia="Times New Roman" w:cs="Arial"/>
          <w:color w:val="000000"/>
          <w:u w:val="single"/>
          <w:lang w:eastAsia="bg-BG"/>
        </w:rPr>
      </w:pPr>
    </w:p>
    <w:p w14:paraId="1E2D2D9B" w14:textId="376FC5CF" w:rsidR="00970D99" w:rsidRPr="00970D99" w:rsidRDefault="00970D99" w:rsidP="00970D99">
      <w:pPr>
        <w:spacing w:line="240" w:lineRule="auto"/>
        <w:rPr>
          <w:rFonts w:eastAsia="Times New Roman" w:cs="Arial"/>
        </w:rPr>
      </w:pPr>
      <w:r w:rsidRPr="00970D99">
        <w:rPr>
          <w:rFonts w:eastAsia="Times New Roman" w:cs="Arial"/>
          <w:color w:val="000000"/>
          <w:u w:val="single"/>
          <w:lang w:eastAsia="bg-BG"/>
        </w:rPr>
        <w:t>Съобщаване на подозирани нежелани реакции</w:t>
      </w:r>
    </w:p>
    <w:p w14:paraId="463B516D" w14:textId="77777777" w:rsidR="00970D99" w:rsidRPr="00970D99" w:rsidRDefault="00970D99" w:rsidP="00970D99">
      <w:pPr>
        <w:spacing w:line="240" w:lineRule="auto"/>
        <w:rPr>
          <w:rFonts w:eastAsia="Times New Roman" w:cs="Arial"/>
        </w:rPr>
      </w:pPr>
      <w:r w:rsidRPr="00970D99">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w:t>
      </w:r>
    </w:p>
    <w:p w14:paraId="6CAF8C53" w14:textId="77777777" w:rsidR="00970D99" w:rsidRPr="00970D99" w:rsidRDefault="00970D99" w:rsidP="00970D99">
      <w:pPr>
        <w:spacing w:line="240" w:lineRule="auto"/>
        <w:rPr>
          <w:rFonts w:eastAsia="Times New Roman" w:cs="Arial"/>
        </w:rPr>
      </w:pPr>
      <w:r w:rsidRPr="00970D99">
        <w:rPr>
          <w:rFonts w:eastAsia="Times New Roman" w:cs="Arial"/>
          <w:color w:val="000000"/>
          <w:lang w:eastAsia="bg-BG"/>
        </w:rPr>
        <w:t>Тел.:+359 2 8903417</w:t>
      </w:r>
    </w:p>
    <w:p w14:paraId="25A7422B" w14:textId="77777777" w:rsidR="00970D99" w:rsidRPr="00970D99" w:rsidRDefault="00970D99" w:rsidP="00970D99">
      <w:pPr>
        <w:spacing w:line="240" w:lineRule="auto"/>
        <w:rPr>
          <w:rFonts w:eastAsia="Times New Roman" w:cs="Arial"/>
        </w:rPr>
      </w:pPr>
      <w:r w:rsidRPr="00970D99">
        <w:rPr>
          <w:rFonts w:eastAsia="Times New Roman" w:cs="Arial"/>
          <w:color w:val="000000"/>
          <w:lang w:eastAsia="bg-BG"/>
        </w:rPr>
        <w:t xml:space="preserve">уебсайт: </w:t>
      </w:r>
      <w:hyperlink r:id="rId5" w:history="1">
        <w:r w:rsidRPr="00970D99">
          <w:rPr>
            <w:rFonts w:eastAsia="Times New Roman" w:cs="Arial"/>
            <w:color w:val="000000"/>
            <w:u w:val="single"/>
            <w:lang w:val="en-US"/>
          </w:rPr>
          <w:t>www.bda.bg</w:t>
        </w:r>
      </w:hyperlink>
    </w:p>
    <w:p w14:paraId="7EEE4DD2" w14:textId="77777777" w:rsidR="00970D99" w:rsidRPr="00970D99" w:rsidRDefault="00970D99" w:rsidP="00970D99">
      <w:pPr>
        <w:rPr>
          <w:rFonts w:cs="Arial"/>
          <w:sz w:val="24"/>
        </w:rPr>
      </w:pPr>
    </w:p>
    <w:p w14:paraId="5A87DBA3" w14:textId="2518A5F5" w:rsidR="007122AD" w:rsidRDefault="002C50EE" w:rsidP="00936AD0">
      <w:pPr>
        <w:pStyle w:val="Heading2"/>
      </w:pPr>
      <w:r>
        <w:t>4.9. Предозиране</w:t>
      </w:r>
    </w:p>
    <w:p w14:paraId="3DA37E19" w14:textId="4429539B" w:rsidR="00970D99" w:rsidRDefault="00970D99" w:rsidP="00970D99"/>
    <w:p w14:paraId="26E06D31" w14:textId="77777777" w:rsidR="00970D99" w:rsidRPr="00970D99" w:rsidRDefault="00970D99" w:rsidP="00970D99">
      <w:pPr>
        <w:pStyle w:val="Heading3"/>
        <w:rPr>
          <w:rFonts w:eastAsia="Times New Roman" w:cs="Arial"/>
          <w:color w:val="000000"/>
          <w:szCs w:val="20"/>
          <w:lang w:eastAsia="bg-BG"/>
        </w:rPr>
      </w:pPr>
      <w:r w:rsidRPr="00970D99">
        <w:rPr>
          <w:rStyle w:val="Heading3Char"/>
          <w:lang w:eastAsia="bg-BG"/>
        </w:rPr>
        <w:t>Симптоми</w:t>
      </w:r>
      <w:r w:rsidRPr="00970D99">
        <w:rPr>
          <w:rFonts w:eastAsia="Times New Roman" w:cs="Arial"/>
          <w:iCs/>
          <w:color w:val="000000"/>
          <w:sz w:val="22"/>
          <w:szCs w:val="20"/>
          <w:lang w:eastAsia="bg-BG"/>
        </w:rPr>
        <w:t>.</w:t>
      </w:r>
      <w:r w:rsidRPr="00970D99">
        <w:rPr>
          <w:rFonts w:eastAsia="Times New Roman" w:cs="Arial"/>
          <w:color w:val="000000"/>
          <w:sz w:val="22"/>
          <w:szCs w:val="20"/>
          <w:lang w:eastAsia="bg-BG"/>
        </w:rPr>
        <w:t xml:space="preserve"> </w:t>
      </w:r>
    </w:p>
    <w:p w14:paraId="1A74AB66" w14:textId="01D36BEF"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t>При предозиране може да се предизвикат: тежка хипотония, брадикардия, сърдечна недостатъчност, кардиогенен шок и спиране на сърдечната дейност. Допълнително могат да се появят затруднения в дишането, бронхоспазъм, повръщане, загуба на съзнание и гърчове.</w:t>
      </w:r>
    </w:p>
    <w:p w14:paraId="47125261" w14:textId="77777777" w:rsidR="00970D99" w:rsidRPr="00970D99" w:rsidRDefault="00970D99" w:rsidP="00970D99">
      <w:pPr>
        <w:spacing w:line="240" w:lineRule="auto"/>
        <w:rPr>
          <w:rFonts w:eastAsia="Times New Roman" w:cs="Arial"/>
          <w:i/>
          <w:iCs/>
          <w:color w:val="000000"/>
          <w:szCs w:val="20"/>
          <w:lang w:eastAsia="bg-BG"/>
        </w:rPr>
      </w:pPr>
    </w:p>
    <w:p w14:paraId="10121E45" w14:textId="79140DE6" w:rsidR="00970D99" w:rsidRPr="00970D99" w:rsidRDefault="00970D99" w:rsidP="00970D99">
      <w:pPr>
        <w:pStyle w:val="Heading3"/>
        <w:rPr>
          <w:rFonts w:eastAsia="Times New Roman" w:cs="Arial"/>
          <w:color w:val="000000"/>
          <w:szCs w:val="20"/>
          <w:lang w:eastAsia="bg-BG"/>
        </w:rPr>
      </w:pPr>
      <w:r w:rsidRPr="00970D99">
        <w:rPr>
          <w:rStyle w:val="Heading3Char"/>
          <w:lang w:eastAsia="bg-BG"/>
        </w:rPr>
        <w:t>Лечение</w:t>
      </w:r>
    </w:p>
    <w:p w14:paraId="183EBE55" w14:textId="4F65D10F"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t>Освен класическите мерки, трябва да се предприеме проследяване и при необходимост корекция на жизнените параметри в звена за интензивни медицински грижи. Могат да се проведат следните поддържащи мерки:</w:t>
      </w:r>
    </w:p>
    <w:p w14:paraId="571137C6" w14:textId="77777777" w:rsidR="00970D99" w:rsidRPr="00970D99" w:rsidRDefault="00970D99" w:rsidP="00970D99">
      <w:pPr>
        <w:spacing w:line="240" w:lineRule="auto"/>
        <w:rPr>
          <w:rFonts w:eastAsia="Times New Roman" w:cs="Arial"/>
          <w:sz w:val="28"/>
          <w:szCs w:val="24"/>
        </w:rPr>
      </w:pPr>
    </w:p>
    <w:p w14:paraId="53806B7A" w14:textId="77777777" w:rsidR="00970D99" w:rsidRPr="00970D99" w:rsidRDefault="00970D99" w:rsidP="00970D99">
      <w:pPr>
        <w:pStyle w:val="ListParagraph"/>
        <w:numPr>
          <w:ilvl w:val="0"/>
          <w:numId w:val="38"/>
        </w:numPr>
        <w:spacing w:line="240" w:lineRule="auto"/>
        <w:rPr>
          <w:rFonts w:eastAsia="Times New Roman" w:cs="Arial"/>
          <w:sz w:val="28"/>
          <w:szCs w:val="24"/>
        </w:rPr>
      </w:pPr>
      <w:r w:rsidRPr="00970D99">
        <w:rPr>
          <w:rFonts w:eastAsia="Times New Roman" w:cs="Arial"/>
          <w:i/>
          <w:iCs/>
          <w:color w:val="000000"/>
          <w:szCs w:val="20"/>
          <w:lang w:eastAsia="bg-BG"/>
        </w:rPr>
        <w:t>Атропин:</w:t>
      </w:r>
      <w:r w:rsidRPr="00970D99">
        <w:rPr>
          <w:rFonts w:eastAsia="Times New Roman" w:cs="Arial"/>
          <w:color w:val="000000"/>
          <w:szCs w:val="20"/>
          <w:lang w:eastAsia="bg-BG"/>
        </w:rPr>
        <w:t xml:space="preserve"> 0,5 - 2 </w:t>
      </w:r>
      <w:r w:rsidRPr="00970D99">
        <w:rPr>
          <w:rFonts w:eastAsia="Times New Roman" w:cs="Arial"/>
          <w:color w:val="000000"/>
          <w:szCs w:val="20"/>
          <w:lang w:val="en-US"/>
        </w:rPr>
        <w:t>mg</w:t>
      </w:r>
      <w:r w:rsidRPr="00970D99">
        <w:rPr>
          <w:rFonts w:eastAsia="Times New Roman" w:cs="Arial"/>
          <w:color w:val="000000"/>
          <w:szCs w:val="20"/>
          <w:lang w:val="ru-RU"/>
        </w:rPr>
        <w:t xml:space="preserve"> </w:t>
      </w:r>
      <w:r w:rsidRPr="00970D99">
        <w:rPr>
          <w:rFonts w:eastAsia="Times New Roman" w:cs="Arial"/>
          <w:color w:val="000000"/>
          <w:szCs w:val="20"/>
          <w:lang w:eastAsia="bg-BG"/>
        </w:rPr>
        <w:t>интравенозно (за овладяване на тежка брадикардия).</w:t>
      </w:r>
    </w:p>
    <w:p w14:paraId="6FED3089" w14:textId="77777777" w:rsidR="00970D99" w:rsidRPr="00970D99" w:rsidRDefault="00970D99" w:rsidP="00970D99">
      <w:pPr>
        <w:pStyle w:val="ListParagraph"/>
        <w:numPr>
          <w:ilvl w:val="0"/>
          <w:numId w:val="38"/>
        </w:numPr>
        <w:spacing w:line="240" w:lineRule="auto"/>
        <w:rPr>
          <w:rFonts w:eastAsia="Times New Roman" w:cs="Arial"/>
          <w:sz w:val="28"/>
          <w:szCs w:val="24"/>
        </w:rPr>
      </w:pPr>
      <w:r w:rsidRPr="00970D99">
        <w:rPr>
          <w:rFonts w:eastAsia="Times New Roman" w:cs="Arial"/>
          <w:i/>
          <w:iCs/>
          <w:color w:val="000000"/>
          <w:szCs w:val="20"/>
          <w:lang w:eastAsia="bg-BG"/>
        </w:rPr>
        <w:t>Глюкагон:</w:t>
      </w:r>
      <w:r w:rsidRPr="00970D99">
        <w:rPr>
          <w:rFonts w:eastAsia="Times New Roman" w:cs="Arial"/>
          <w:color w:val="000000"/>
          <w:szCs w:val="20"/>
          <w:lang w:eastAsia="bg-BG"/>
        </w:rPr>
        <w:t xml:space="preserve"> първоначално 1-10 </w:t>
      </w:r>
      <w:r w:rsidRPr="00970D99">
        <w:rPr>
          <w:rFonts w:eastAsia="Times New Roman" w:cs="Arial"/>
          <w:color w:val="000000"/>
          <w:szCs w:val="20"/>
          <w:lang w:val="en-US"/>
        </w:rPr>
        <w:t>mg</w:t>
      </w:r>
      <w:r w:rsidRPr="00970D99">
        <w:rPr>
          <w:rFonts w:eastAsia="Times New Roman" w:cs="Arial"/>
          <w:color w:val="000000"/>
          <w:szCs w:val="20"/>
          <w:lang w:val="ru-RU"/>
        </w:rPr>
        <w:t xml:space="preserve"> </w:t>
      </w:r>
      <w:r w:rsidRPr="00970D99">
        <w:rPr>
          <w:rFonts w:eastAsia="Times New Roman" w:cs="Arial"/>
          <w:color w:val="000000"/>
          <w:szCs w:val="20"/>
          <w:lang w:eastAsia="bg-BG"/>
        </w:rPr>
        <w:t xml:space="preserve">интравенозно, след това, ако е необходимо, бавна инфузия от 2 - 5 </w:t>
      </w:r>
      <w:r w:rsidRPr="00970D99">
        <w:rPr>
          <w:rFonts w:eastAsia="Times New Roman" w:cs="Arial"/>
          <w:color w:val="000000"/>
          <w:szCs w:val="20"/>
          <w:lang w:val="en-US"/>
        </w:rPr>
        <w:t>mg</w:t>
      </w:r>
      <w:r w:rsidRPr="00970D99">
        <w:rPr>
          <w:rFonts w:eastAsia="Times New Roman" w:cs="Arial"/>
          <w:color w:val="000000"/>
          <w:szCs w:val="20"/>
          <w:lang w:eastAsia="bg-BG"/>
        </w:rPr>
        <w:t>/на час (за поддържане функциите на сърцето и кръвообръщението).</w:t>
      </w:r>
    </w:p>
    <w:p w14:paraId="01E7EFAF" w14:textId="77777777" w:rsidR="00970D99" w:rsidRPr="00970D99" w:rsidRDefault="00970D99" w:rsidP="00970D99">
      <w:pPr>
        <w:pStyle w:val="ListParagraph"/>
        <w:numPr>
          <w:ilvl w:val="0"/>
          <w:numId w:val="38"/>
        </w:numPr>
        <w:spacing w:line="240" w:lineRule="auto"/>
        <w:rPr>
          <w:rFonts w:eastAsia="Times New Roman" w:cs="Arial"/>
          <w:sz w:val="28"/>
          <w:szCs w:val="24"/>
        </w:rPr>
      </w:pPr>
      <w:r w:rsidRPr="00970D99">
        <w:rPr>
          <w:rFonts w:eastAsia="Times New Roman" w:cs="Arial"/>
          <w:i/>
          <w:iCs/>
          <w:color w:val="000000"/>
          <w:szCs w:val="20"/>
          <w:lang w:eastAsia="bg-BG"/>
        </w:rPr>
        <w:t>Симпатикомиметици</w:t>
      </w:r>
      <w:r w:rsidRPr="00970D99">
        <w:rPr>
          <w:rFonts w:eastAsia="Times New Roman" w:cs="Arial"/>
          <w:color w:val="000000"/>
          <w:szCs w:val="20"/>
          <w:lang w:eastAsia="bg-BG"/>
        </w:rPr>
        <w:t xml:space="preserve"> - в зависимост от тяхното действие и теглото на пациента: добутамин,изопреналин или адреналин.</w:t>
      </w:r>
    </w:p>
    <w:p w14:paraId="635FDFAF" w14:textId="00B6DA78" w:rsidR="00970D99" w:rsidRPr="00970D99" w:rsidRDefault="00970D99" w:rsidP="00970D99">
      <w:pPr>
        <w:pStyle w:val="ListParagraph"/>
        <w:numPr>
          <w:ilvl w:val="0"/>
          <w:numId w:val="38"/>
        </w:numPr>
        <w:spacing w:line="240" w:lineRule="auto"/>
        <w:rPr>
          <w:rFonts w:eastAsia="Times New Roman" w:cs="Arial"/>
          <w:sz w:val="28"/>
          <w:szCs w:val="24"/>
        </w:rPr>
      </w:pPr>
      <w:r w:rsidRPr="00970D99">
        <w:rPr>
          <w:rFonts w:eastAsia="Times New Roman" w:cs="Arial"/>
          <w:color w:val="000000"/>
          <w:szCs w:val="20"/>
          <w:lang w:eastAsia="bg-BG"/>
        </w:rPr>
        <w:t>Ако при свръхдозиране надделява периферната вазодилатация е нобходимо да се назначи норадреналин или етилефрин. Необходимо е непрекъснато да се мониторира кръвообръщението на пациента.</w:t>
      </w:r>
    </w:p>
    <w:p w14:paraId="701533AC" w14:textId="77777777"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t>Ако брадикардията не се контролира от лекарствената терапия, на пациента трябва да се постави пейсмейкър. За третиране на бронхоспазъм, на пациента трябва да се дадат бета- симпатикомиметици (инхалаторно или интравенозно, ако ефекта от инхалаторното приложение е недостатъчен) или интравенозно теофилин. Ако пациентът има гърчове, трябва да се приложи диазепам или клоназепам бавно интравенозно.</w:t>
      </w:r>
    </w:p>
    <w:p w14:paraId="4C1F422F" w14:textId="77777777" w:rsidR="00970D99" w:rsidRPr="00970D99" w:rsidRDefault="00970D99" w:rsidP="00970D99">
      <w:pPr>
        <w:spacing w:line="240" w:lineRule="auto"/>
        <w:rPr>
          <w:rFonts w:eastAsia="Times New Roman" w:cs="Arial"/>
          <w:color w:val="000000"/>
          <w:szCs w:val="20"/>
          <w:lang w:eastAsia="bg-BG"/>
        </w:rPr>
      </w:pPr>
    </w:p>
    <w:p w14:paraId="786C2FA3" w14:textId="39E2C7FF"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t>В случай на тежко предозиране, когато пациентът е в шок, поддържащото лечение трябва да бъде продължено достатъчно дълго, понеже в този случай елиминирането и преразпределението на карведилол е по-бавно от нормалното. Продължителността на антидотната терапия зависи от тежестта на предозирането. Поддържащите мерки трябва да продължат до стабилизиране статуса на пациента.</w:t>
      </w:r>
    </w:p>
    <w:p w14:paraId="696C7E9E" w14:textId="77777777"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t>Карведилол се свързва с плазмените протеини във висока степен. Поради това не може да бъде елиминиран чрез диализа.</w:t>
      </w:r>
    </w:p>
    <w:p w14:paraId="007948F0" w14:textId="77777777" w:rsidR="00970D99" w:rsidRPr="00970D99" w:rsidRDefault="00970D99" w:rsidP="00970D99"/>
    <w:p w14:paraId="02081B24" w14:textId="1F46E296" w:rsidR="00395555" w:rsidRPr="00395555" w:rsidRDefault="002C50EE" w:rsidP="008A6AF2">
      <w:pPr>
        <w:pStyle w:val="Heading1"/>
      </w:pPr>
      <w:r>
        <w:lastRenderedPageBreak/>
        <w:t>5. ФАРМАКОЛОГИЧНИ СВОЙСТВА</w:t>
      </w:r>
    </w:p>
    <w:p w14:paraId="7DE36AC8" w14:textId="1166272B" w:rsidR="00B6672E" w:rsidRDefault="002C50EE" w:rsidP="00936AD0">
      <w:pPr>
        <w:pStyle w:val="Heading2"/>
      </w:pPr>
      <w:r>
        <w:t>5.1. Фармакодинамични свойства</w:t>
      </w:r>
    </w:p>
    <w:p w14:paraId="16F964C8" w14:textId="789BFD0F" w:rsidR="00970D99" w:rsidRDefault="00970D99" w:rsidP="00970D99"/>
    <w:p w14:paraId="5E749460" w14:textId="77777777"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t>Фармакотерапевтична група: Бета и алфа блокиращи средства</w:t>
      </w:r>
    </w:p>
    <w:p w14:paraId="396D02D0" w14:textId="77777777"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t xml:space="preserve">АТС код: </w:t>
      </w:r>
      <w:r w:rsidRPr="00970D99">
        <w:rPr>
          <w:rFonts w:eastAsia="Times New Roman" w:cs="Arial"/>
          <w:color w:val="000000"/>
          <w:szCs w:val="20"/>
          <w:lang w:val="en-US"/>
        </w:rPr>
        <w:t>C</w:t>
      </w:r>
      <w:r w:rsidRPr="00970D99">
        <w:rPr>
          <w:rFonts w:eastAsia="Times New Roman" w:cs="Arial"/>
          <w:color w:val="000000"/>
          <w:szCs w:val="20"/>
          <w:lang w:val="ru-RU"/>
        </w:rPr>
        <w:t>07</w:t>
      </w:r>
      <w:r w:rsidRPr="00970D99">
        <w:rPr>
          <w:rFonts w:eastAsia="Times New Roman" w:cs="Arial"/>
          <w:color w:val="000000"/>
          <w:szCs w:val="20"/>
          <w:lang w:val="en-US"/>
        </w:rPr>
        <w:t>AG</w:t>
      </w:r>
      <w:r w:rsidRPr="00970D99">
        <w:rPr>
          <w:rFonts w:eastAsia="Times New Roman" w:cs="Arial"/>
          <w:color w:val="000000"/>
          <w:szCs w:val="20"/>
          <w:lang w:val="ru-RU"/>
        </w:rPr>
        <w:t>02</w:t>
      </w:r>
    </w:p>
    <w:p w14:paraId="725D53CD" w14:textId="77777777" w:rsidR="00970D99" w:rsidRPr="00970D99" w:rsidRDefault="00970D99" w:rsidP="00970D99">
      <w:pPr>
        <w:spacing w:line="240" w:lineRule="auto"/>
        <w:rPr>
          <w:rFonts w:eastAsia="Times New Roman" w:cs="Arial"/>
          <w:color w:val="000000"/>
          <w:szCs w:val="20"/>
          <w:lang w:eastAsia="bg-BG"/>
        </w:rPr>
      </w:pPr>
    </w:p>
    <w:p w14:paraId="2611BA88" w14:textId="3193136F"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t>Карведилол е вазодилататор, неселективен бета блокер с антиоксидантни свойства.</w:t>
      </w:r>
    </w:p>
    <w:p w14:paraId="112DCC80" w14:textId="77777777"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t>Вазодилатацията е медиирана главно от селективна алфа1-рецепторна блокада. Вазодилатацията, предизвикана от карведилол намалява периферната резистентност и бета блокадата контролира ренин-ангиотензиновата система. Рениновата активност в плазмата е намалена и натрупването на течности е рядкост.</w:t>
      </w:r>
    </w:p>
    <w:p w14:paraId="250AFCDB" w14:textId="49C89DCD" w:rsidR="00970D99" w:rsidRPr="00970D99" w:rsidRDefault="00970D99" w:rsidP="00970D99">
      <w:pPr>
        <w:spacing w:line="240" w:lineRule="auto"/>
        <w:rPr>
          <w:rFonts w:eastAsia="Times New Roman" w:cs="Arial"/>
          <w:color w:val="000000"/>
          <w:szCs w:val="20"/>
          <w:lang w:eastAsia="bg-BG"/>
        </w:rPr>
      </w:pPr>
      <w:r w:rsidRPr="00970D99">
        <w:rPr>
          <w:rFonts w:eastAsia="Times New Roman" w:cs="Arial"/>
          <w:color w:val="000000"/>
          <w:szCs w:val="20"/>
          <w:lang w:eastAsia="bg-BG"/>
        </w:rPr>
        <w:t xml:space="preserve">Карведилол няма вътрешна симпатикомиметична активност </w:t>
      </w:r>
      <w:r w:rsidRPr="00970D99">
        <w:rPr>
          <w:rFonts w:eastAsia="Times New Roman" w:cs="Arial"/>
          <w:color w:val="000000"/>
          <w:szCs w:val="20"/>
          <w:lang w:val="ru-RU"/>
        </w:rPr>
        <w:t>(</w:t>
      </w:r>
      <w:r w:rsidRPr="00970D99">
        <w:rPr>
          <w:rFonts w:eastAsia="Times New Roman" w:cs="Arial"/>
          <w:color w:val="000000"/>
          <w:szCs w:val="20"/>
          <w:lang w:val="en-US"/>
        </w:rPr>
        <w:t>ISA</w:t>
      </w:r>
      <w:r w:rsidRPr="00970D99">
        <w:rPr>
          <w:rFonts w:eastAsia="Times New Roman" w:cs="Arial"/>
          <w:color w:val="000000"/>
          <w:szCs w:val="20"/>
          <w:lang w:val="ru-RU"/>
        </w:rPr>
        <w:t xml:space="preserve">). </w:t>
      </w:r>
      <w:r w:rsidRPr="00970D99">
        <w:rPr>
          <w:rFonts w:eastAsia="Times New Roman" w:cs="Arial"/>
          <w:color w:val="000000"/>
          <w:szCs w:val="20"/>
          <w:lang w:eastAsia="bg-BG"/>
        </w:rPr>
        <w:t>Подобно на проп</w:t>
      </w:r>
      <w:r w:rsidRPr="00970D99">
        <w:rPr>
          <w:rFonts w:eastAsia="Times New Roman" w:cs="Arial"/>
          <w:color w:val="000000"/>
          <w:szCs w:val="20"/>
          <w:u w:val="single"/>
          <w:lang w:eastAsia="bg-BG"/>
        </w:rPr>
        <w:t>рано</w:t>
      </w:r>
      <w:r w:rsidRPr="00970D99">
        <w:rPr>
          <w:rFonts w:eastAsia="Times New Roman" w:cs="Arial"/>
          <w:color w:val="000000"/>
          <w:szCs w:val="20"/>
          <w:lang w:eastAsia="bg-BG"/>
        </w:rPr>
        <w:t>лол притежава мембрано-стабилизиращи свойства.</w:t>
      </w:r>
    </w:p>
    <w:p w14:paraId="305A93F8" w14:textId="1DEB6A69" w:rsidR="00970D99" w:rsidRPr="00970D99" w:rsidRDefault="00970D99" w:rsidP="00970D99">
      <w:pPr>
        <w:spacing w:line="240" w:lineRule="auto"/>
        <w:rPr>
          <w:rFonts w:eastAsia="Times New Roman" w:cs="Arial"/>
          <w:color w:val="000000"/>
          <w:szCs w:val="20"/>
          <w:lang w:eastAsia="bg-BG"/>
        </w:rPr>
      </w:pPr>
    </w:p>
    <w:p w14:paraId="6343C1CC" w14:textId="77777777"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t xml:space="preserve">Карведилол е рацемат от два стереоизомера. При експериментални модели върху животни, двата енантиомера проявяват блокерни ефекти върху алфа-адренергичните рецептори. Неселективната блокада на адренергичните бета </w:t>
      </w:r>
      <w:r w:rsidRPr="00970D99">
        <w:rPr>
          <w:rFonts w:eastAsia="Times New Roman" w:cs="Arial"/>
          <w:color w:val="000000"/>
          <w:szCs w:val="20"/>
          <w:vertAlign w:val="subscript"/>
          <w:lang w:eastAsia="bg-BG"/>
        </w:rPr>
        <w:t>1</w:t>
      </w:r>
      <w:r w:rsidRPr="00970D99">
        <w:rPr>
          <w:rFonts w:eastAsia="Times New Roman" w:cs="Arial"/>
          <w:color w:val="000000"/>
          <w:szCs w:val="20"/>
          <w:lang w:val="ru-RU"/>
        </w:rPr>
        <w:t xml:space="preserve"> </w:t>
      </w:r>
      <w:r w:rsidRPr="00970D99">
        <w:rPr>
          <w:rFonts w:eastAsia="Times New Roman" w:cs="Arial"/>
          <w:color w:val="000000"/>
          <w:szCs w:val="20"/>
          <w:lang w:eastAsia="bg-BG"/>
        </w:rPr>
        <w:t xml:space="preserve">и бета </w:t>
      </w:r>
      <w:r w:rsidRPr="00970D99">
        <w:rPr>
          <w:rFonts w:eastAsia="Times New Roman" w:cs="Arial"/>
          <w:color w:val="000000"/>
          <w:szCs w:val="20"/>
          <w:vertAlign w:val="subscript"/>
          <w:lang w:eastAsia="bg-BG"/>
        </w:rPr>
        <w:t>2</w:t>
      </w:r>
      <w:r w:rsidRPr="00970D99">
        <w:rPr>
          <w:rFonts w:eastAsia="Times New Roman" w:cs="Arial"/>
          <w:color w:val="000000"/>
          <w:szCs w:val="20"/>
          <w:lang w:eastAsia="bg-BG"/>
        </w:rPr>
        <w:t xml:space="preserve"> рецептори се дължи главно на </w:t>
      </w:r>
      <w:r w:rsidRPr="00970D99">
        <w:rPr>
          <w:rFonts w:eastAsia="Times New Roman" w:cs="Arial"/>
          <w:color w:val="000000"/>
          <w:szCs w:val="20"/>
          <w:lang w:val="en-US"/>
        </w:rPr>
        <w:t>S</w:t>
      </w:r>
      <w:r w:rsidRPr="00970D99">
        <w:rPr>
          <w:rFonts w:eastAsia="Times New Roman" w:cs="Arial"/>
          <w:color w:val="000000"/>
          <w:szCs w:val="20"/>
          <w:lang w:val="ru-RU"/>
        </w:rPr>
        <w:t xml:space="preserve"> </w:t>
      </w:r>
      <w:r w:rsidRPr="00970D99">
        <w:rPr>
          <w:rFonts w:eastAsia="Times New Roman" w:cs="Arial"/>
          <w:color w:val="000000"/>
          <w:szCs w:val="20"/>
          <w:lang w:eastAsia="bg-BG"/>
        </w:rPr>
        <w:t>(-) енантиомера. Карведилол е мощен антиоксидант и абсорбер на свободните кислородни радикали.</w:t>
      </w:r>
    </w:p>
    <w:p w14:paraId="396E9C0E" w14:textId="77777777"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t xml:space="preserve">Антиоксидантните ефекти на карведилол и неговите метаболити са доказани при експерименти с животни </w:t>
      </w:r>
      <w:r w:rsidRPr="00970D99">
        <w:rPr>
          <w:rFonts w:eastAsia="Times New Roman" w:cs="Arial"/>
          <w:color w:val="000000"/>
          <w:szCs w:val="20"/>
          <w:lang w:val="en-US"/>
        </w:rPr>
        <w:t>in</w:t>
      </w:r>
      <w:r w:rsidRPr="00970D99">
        <w:rPr>
          <w:rFonts w:eastAsia="Times New Roman" w:cs="Arial"/>
          <w:color w:val="000000"/>
          <w:szCs w:val="20"/>
          <w:lang w:val="ru-RU"/>
        </w:rPr>
        <w:t xml:space="preserve"> </w:t>
      </w:r>
      <w:r w:rsidRPr="00970D99">
        <w:rPr>
          <w:rFonts w:eastAsia="Times New Roman" w:cs="Arial"/>
          <w:color w:val="000000"/>
          <w:szCs w:val="20"/>
          <w:lang w:val="en-US"/>
        </w:rPr>
        <w:t>vitro</w:t>
      </w:r>
      <w:r w:rsidRPr="00970D99">
        <w:rPr>
          <w:rFonts w:eastAsia="Times New Roman" w:cs="Arial"/>
          <w:color w:val="000000"/>
          <w:szCs w:val="20"/>
          <w:lang w:val="ru-RU"/>
        </w:rPr>
        <w:t xml:space="preserve"> </w:t>
      </w:r>
      <w:r w:rsidRPr="00970D99">
        <w:rPr>
          <w:rFonts w:eastAsia="Times New Roman" w:cs="Arial"/>
          <w:color w:val="000000"/>
          <w:szCs w:val="20"/>
          <w:lang w:eastAsia="bg-BG"/>
        </w:rPr>
        <w:t xml:space="preserve">и </w:t>
      </w:r>
      <w:r w:rsidRPr="00970D99">
        <w:rPr>
          <w:rFonts w:eastAsia="Times New Roman" w:cs="Arial"/>
          <w:color w:val="000000"/>
          <w:szCs w:val="20"/>
          <w:lang w:val="en-US"/>
        </w:rPr>
        <w:t>in</w:t>
      </w:r>
      <w:r w:rsidRPr="00970D99">
        <w:rPr>
          <w:rFonts w:eastAsia="Times New Roman" w:cs="Arial"/>
          <w:color w:val="000000"/>
          <w:szCs w:val="20"/>
          <w:lang w:val="ru-RU"/>
        </w:rPr>
        <w:t xml:space="preserve"> </w:t>
      </w:r>
      <w:r w:rsidRPr="00970D99">
        <w:rPr>
          <w:rFonts w:eastAsia="Times New Roman" w:cs="Arial"/>
          <w:color w:val="000000"/>
          <w:szCs w:val="20"/>
          <w:lang w:val="en-US"/>
        </w:rPr>
        <w:t>vivo</w:t>
      </w:r>
      <w:r w:rsidRPr="00970D99">
        <w:rPr>
          <w:rFonts w:eastAsia="Times New Roman" w:cs="Arial"/>
          <w:color w:val="000000"/>
          <w:szCs w:val="20"/>
          <w:lang w:val="ru-RU"/>
        </w:rPr>
        <w:t xml:space="preserve">, </w:t>
      </w:r>
      <w:r w:rsidRPr="00970D99">
        <w:rPr>
          <w:rFonts w:eastAsia="Times New Roman" w:cs="Arial"/>
          <w:color w:val="000000"/>
          <w:szCs w:val="20"/>
          <w:lang w:eastAsia="bg-BG"/>
        </w:rPr>
        <w:t xml:space="preserve">както и при човешки клетъчни култури </w:t>
      </w:r>
      <w:r w:rsidRPr="00970D99">
        <w:rPr>
          <w:rFonts w:eastAsia="Times New Roman" w:cs="Arial"/>
          <w:color w:val="000000"/>
          <w:szCs w:val="20"/>
          <w:lang w:val="en-US"/>
        </w:rPr>
        <w:t>in</w:t>
      </w:r>
      <w:r w:rsidRPr="00970D99">
        <w:rPr>
          <w:rFonts w:eastAsia="Times New Roman" w:cs="Arial"/>
          <w:color w:val="000000"/>
          <w:szCs w:val="20"/>
          <w:lang w:val="ru-RU"/>
        </w:rPr>
        <w:t xml:space="preserve"> </w:t>
      </w:r>
      <w:r w:rsidRPr="00970D99">
        <w:rPr>
          <w:rFonts w:eastAsia="Times New Roman" w:cs="Arial"/>
          <w:color w:val="000000"/>
          <w:szCs w:val="20"/>
          <w:lang w:val="en-US"/>
        </w:rPr>
        <w:t>vitro</w:t>
      </w:r>
      <w:r w:rsidRPr="00970D99">
        <w:rPr>
          <w:rFonts w:eastAsia="Times New Roman" w:cs="Arial"/>
          <w:color w:val="000000"/>
          <w:szCs w:val="20"/>
          <w:lang w:val="ru-RU"/>
        </w:rPr>
        <w:t>.</w:t>
      </w:r>
    </w:p>
    <w:p w14:paraId="6365A2F8" w14:textId="77777777"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t>Клинични проучвания показват, че вазодилатацията и бета-блокадата, предизвикани от карведилол имат следните ефекти върху пациентите: Кръвното налягане при пациенти с хипертония намалява, но периферната резистентност не се повишава, за разлика от други лекарства с подобен бета- блокиращ ефект. Сърдечната честота намалява слабо. Бъбречната циркулация и функция не се променят и остават нормални, както и периферната циркулация, тъй че студените крайници, които са чест ефект при бета блокерите, тук се наблюдават рядко.</w:t>
      </w:r>
    </w:p>
    <w:p w14:paraId="4D29F4C9" w14:textId="77777777"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t>При продължително лечение на пациенти със стенокардия, карведилол намалява миокардната исхемия и намалява болката. Изследвания върху хемодинамиката показват, че карведилол намалява и пре- и пост натоварването на сърдечните камери. Карведилол подобрява хемодинамиката и левокамерната фракция на изтласкване при пациенти с левокамерна дисфункция или застойна сърдечна недостатъчност. Карведилол намалява смъртността и необходимостта от болнично лечение за сърдечно съдови събития при пациенти със сърдечна недостатъчност.</w:t>
      </w:r>
    </w:p>
    <w:p w14:paraId="5DA0A40D" w14:textId="77777777"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t xml:space="preserve">Карведилол не оказва неблагоприятен ефект върху профила на серумните липиди или електролитите. Съотношението </w:t>
      </w:r>
      <w:r w:rsidRPr="00970D99">
        <w:rPr>
          <w:rFonts w:eastAsia="Times New Roman" w:cs="Arial"/>
          <w:color w:val="000000"/>
          <w:szCs w:val="20"/>
          <w:lang w:val="en-US"/>
        </w:rPr>
        <w:t>HDL</w:t>
      </w:r>
      <w:r w:rsidRPr="00970D99">
        <w:rPr>
          <w:rFonts w:eastAsia="Times New Roman" w:cs="Arial"/>
          <w:color w:val="000000"/>
          <w:szCs w:val="20"/>
          <w:lang w:val="ru-RU"/>
        </w:rPr>
        <w:t xml:space="preserve"> </w:t>
      </w:r>
      <w:r w:rsidRPr="00970D99">
        <w:rPr>
          <w:rFonts w:eastAsia="Times New Roman" w:cs="Arial"/>
          <w:color w:val="000000"/>
          <w:szCs w:val="20"/>
          <w:lang w:eastAsia="bg-BG"/>
        </w:rPr>
        <w:t xml:space="preserve">(липопротеини с висока плътност) към </w:t>
      </w:r>
      <w:r w:rsidRPr="00970D99">
        <w:rPr>
          <w:rFonts w:eastAsia="Times New Roman" w:cs="Arial"/>
          <w:color w:val="000000"/>
          <w:szCs w:val="20"/>
          <w:lang w:val="en-US"/>
        </w:rPr>
        <w:t>LDL</w:t>
      </w:r>
      <w:r w:rsidRPr="00970D99">
        <w:rPr>
          <w:rFonts w:eastAsia="Times New Roman" w:cs="Arial"/>
          <w:color w:val="000000"/>
          <w:szCs w:val="20"/>
          <w:lang w:val="ru-RU"/>
        </w:rPr>
        <w:t xml:space="preserve"> </w:t>
      </w:r>
      <w:r w:rsidRPr="00970D99">
        <w:rPr>
          <w:rFonts w:eastAsia="Times New Roman" w:cs="Arial"/>
          <w:color w:val="000000"/>
          <w:szCs w:val="20"/>
          <w:lang w:eastAsia="bg-BG"/>
        </w:rPr>
        <w:t>(липопротеини с ниска плътност) се запазва нормално.</w:t>
      </w:r>
    </w:p>
    <w:p w14:paraId="13480F54" w14:textId="0C663D97" w:rsidR="00970D99" w:rsidRPr="00970D99" w:rsidRDefault="00970D99" w:rsidP="00970D99"/>
    <w:p w14:paraId="78DD93AA" w14:textId="495578C3" w:rsidR="00B6672E" w:rsidRDefault="002C50EE" w:rsidP="00936AD0">
      <w:pPr>
        <w:pStyle w:val="Heading2"/>
      </w:pPr>
      <w:r>
        <w:t>5.2. Фармакокинетични свойства</w:t>
      </w:r>
    </w:p>
    <w:p w14:paraId="6F069F70" w14:textId="6C1F7A47" w:rsidR="00970D99" w:rsidRDefault="00970D99" w:rsidP="00970D99"/>
    <w:p w14:paraId="449AD928" w14:textId="77777777"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u w:val="single"/>
          <w:lang w:eastAsia="bg-BG"/>
        </w:rPr>
        <w:t>Общо описание</w:t>
      </w:r>
    </w:p>
    <w:p w14:paraId="0389BC49" w14:textId="77777777"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t>Абсолютната бионаличност след орално поемане на карведилол е около 25%.</w:t>
      </w:r>
    </w:p>
    <w:p w14:paraId="5608ED72" w14:textId="77777777"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t>Максималната плазмена концентрация се достига около 1 час след приема. Съществува линеарна зависимост между дозата и плазмената концентрация. При пациенти, които показват бавно хидроксилиране на дебризоквин, плазмените концентрации на карведилол се увеличават 2-3 пъти в сравнение с пациентите с бърз метаболизъм на дебризоквин. Бионаличността не се променя при едновременно поемане на храна, по-бавно се достига само максималното плазмено ниво.</w:t>
      </w:r>
    </w:p>
    <w:p w14:paraId="2F8A1FB5" w14:textId="77777777"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lastRenderedPageBreak/>
        <w:t xml:space="preserve">Карведилол е изключително липофилно съединение. Той се свързва с около 98-99% от плазмените протеини. Обемът на разпределение е около 2 </w:t>
      </w:r>
      <w:r w:rsidRPr="00970D99">
        <w:rPr>
          <w:rFonts w:eastAsia="Times New Roman" w:cs="Arial"/>
          <w:color w:val="000000"/>
          <w:szCs w:val="20"/>
          <w:lang w:val="en-US"/>
        </w:rPr>
        <w:t>l</w:t>
      </w:r>
      <w:r w:rsidRPr="00970D99">
        <w:rPr>
          <w:rFonts w:eastAsia="Times New Roman" w:cs="Arial"/>
          <w:color w:val="000000"/>
          <w:szCs w:val="20"/>
          <w:lang w:val="ru-RU"/>
        </w:rPr>
        <w:t>/</w:t>
      </w:r>
      <w:r w:rsidRPr="00970D99">
        <w:rPr>
          <w:rFonts w:eastAsia="Times New Roman" w:cs="Arial"/>
          <w:color w:val="000000"/>
          <w:szCs w:val="20"/>
          <w:lang w:val="en-US"/>
        </w:rPr>
        <w:t>kg</w:t>
      </w:r>
      <w:r w:rsidRPr="00970D99">
        <w:rPr>
          <w:rFonts w:eastAsia="Times New Roman" w:cs="Arial"/>
          <w:color w:val="000000"/>
          <w:szCs w:val="20"/>
          <w:lang w:val="ru-RU"/>
        </w:rPr>
        <w:t xml:space="preserve">, </w:t>
      </w:r>
      <w:r w:rsidRPr="00970D99">
        <w:rPr>
          <w:rFonts w:eastAsia="Times New Roman" w:cs="Arial"/>
          <w:color w:val="000000"/>
          <w:szCs w:val="20"/>
          <w:lang w:eastAsia="bg-BG"/>
        </w:rPr>
        <w:t xml:space="preserve">като е по-висок при пациенти с цироза на черния дроб . </w:t>
      </w:r>
      <w:r w:rsidRPr="00970D99">
        <w:rPr>
          <w:rFonts w:eastAsia="Times New Roman" w:cs="Arial"/>
          <w:color w:val="000000"/>
          <w:szCs w:val="20"/>
          <w:lang w:val="en-US"/>
        </w:rPr>
        <w:t>First</w:t>
      </w:r>
      <w:r w:rsidRPr="00970D99">
        <w:rPr>
          <w:rFonts w:eastAsia="Times New Roman" w:cs="Arial"/>
          <w:color w:val="000000"/>
          <w:szCs w:val="20"/>
          <w:lang w:val="ru-RU"/>
        </w:rPr>
        <w:t>-</w:t>
      </w:r>
      <w:r w:rsidRPr="00970D99">
        <w:rPr>
          <w:rFonts w:eastAsia="Times New Roman" w:cs="Arial"/>
          <w:color w:val="000000"/>
          <w:szCs w:val="20"/>
          <w:lang w:val="en-US"/>
        </w:rPr>
        <w:t>pass</w:t>
      </w:r>
      <w:r w:rsidRPr="00970D99">
        <w:rPr>
          <w:rFonts w:eastAsia="Times New Roman" w:cs="Arial"/>
          <w:color w:val="000000"/>
          <w:szCs w:val="20"/>
          <w:lang w:eastAsia="bg-BG"/>
        </w:rPr>
        <w:t>-ефектът след орален прием е в стойности около 60 до 75%; изследвания върху животни показват ентерохепатална циркулация на неметаболизираното лекарство.</w:t>
      </w:r>
    </w:p>
    <w:p w14:paraId="60EF2ECE" w14:textId="77777777"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t>Елиминационият полуживот на карведилол е от 6 до 10 часа. Плазменият</w:t>
      </w:r>
    </w:p>
    <w:p w14:paraId="52E37CB0" w14:textId="77777777"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t xml:space="preserve">клирънс е със стойност около 590 </w:t>
      </w:r>
      <w:r w:rsidRPr="00970D99">
        <w:rPr>
          <w:rFonts w:eastAsia="Times New Roman" w:cs="Arial"/>
          <w:color w:val="000000"/>
          <w:szCs w:val="20"/>
          <w:lang w:val="en-US"/>
        </w:rPr>
        <w:t>ml</w:t>
      </w:r>
      <w:r w:rsidRPr="00970D99">
        <w:rPr>
          <w:rFonts w:eastAsia="Times New Roman" w:cs="Arial"/>
          <w:color w:val="000000"/>
          <w:szCs w:val="20"/>
          <w:lang w:val="ru-RU"/>
        </w:rPr>
        <w:t>/</w:t>
      </w:r>
      <w:r w:rsidRPr="00970D99">
        <w:rPr>
          <w:rFonts w:eastAsia="Times New Roman" w:cs="Arial"/>
          <w:color w:val="000000"/>
          <w:szCs w:val="20"/>
          <w:lang w:val="en-US"/>
        </w:rPr>
        <w:t>min</w:t>
      </w:r>
      <w:r w:rsidRPr="00970D99">
        <w:rPr>
          <w:rFonts w:eastAsia="Times New Roman" w:cs="Arial"/>
          <w:color w:val="000000"/>
          <w:szCs w:val="20"/>
          <w:lang w:val="ru-RU"/>
        </w:rPr>
        <w:t xml:space="preserve">. </w:t>
      </w:r>
      <w:r w:rsidRPr="00970D99">
        <w:rPr>
          <w:rFonts w:eastAsia="Times New Roman" w:cs="Arial"/>
          <w:color w:val="000000"/>
          <w:szCs w:val="20"/>
          <w:lang w:eastAsia="bg-BG"/>
        </w:rPr>
        <w:t>Елиминирането на карведилол се осъществява чрез жлъчката, а отделянето му от организма - основно чрез фекалиите. Малка част се изхвърля под формата на метаболити чрез бъбреците.</w:t>
      </w:r>
    </w:p>
    <w:p w14:paraId="7C333C55" w14:textId="77777777"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t>Карведилол се разгражда в голяма степен до различни метаболити, които се елиминират главно чрез жлъчката. Карведилол се метаболизира в черния дроб предимно чрез окисление на ароматния пръстен и глюкурониране. Посредством деметилиране и хидроксилиране на феноловия пръстен се получават три активни метаболита с бета-блокерно действие. В сравнение с карведилол тези три активни метаболита имат слабо вазодилатиращо действие. В предклинични изследвания е доказано, че 4'-хидроксифеноловият метаболит има 13 пъти по силен бетаблокиращ ефект от карведилол, но концентрациите на метаболити в човешкото тяло са 10 пъти по н</w:t>
      </w:r>
      <w:r w:rsidRPr="00970D99">
        <w:rPr>
          <w:rFonts w:eastAsia="Times New Roman" w:cs="Arial"/>
          <w:color w:val="000000"/>
          <w:szCs w:val="20"/>
          <w:u w:val="single"/>
          <w:lang w:eastAsia="bg-BG"/>
        </w:rPr>
        <w:t>иски от</w:t>
      </w:r>
      <w:r w:rsidRPr="00970D99">
        <w:rPr>
          <w:rFonts w:eastAsia="Times New Roman" w:cs="Arial"/>
          <w:color w:val="000000"/>
          <w:szCs w:val="20"/>
          <w:lang w:eastAsia="bg-BG"/>
        </w:rPr>
        <w:t xml:space="preserve"> тези на карведилола. Два от хидроксикарбазоловите метаболита са високоактивни антиоксиданти с 30 до 80 пъти по-силно действие от карведилол.</w:t>
      </w:r>
    </w:p>
    <w:p w14:paraId="0EA2F9E5" w14:textId="549E8542" w:rsidR="00970D99" w:rsidRPr="00970D99" w:rsidRDefault="00970D99" w:rsidP="00970D99">
      <w:pPr>
        <w:rPr>
          <w:rFonts w:cs="Arial"/>
          <w:sz w:val="24"/>
        </w:rPr>
      </w:pPr>
    </w:p>
    <w:p w14:paraId="3C49D4BB" w14:textId="77777777"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t>Специални популации</w:t>
      </w:r>
    </w:p>
    <w:p w14:paraId="7772DE86" w14:textId="77777777"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t>Фармакокинетиката на карведилол се повлиява от възрастта: плазмените</w:t>
      </w:r>
    </w:p>
    <w:p w14:paraId="0CCFBDA8" w14:textId="77777777" w:rsidR="00970D99" w:rsidRPr="00970D99" w:rsidRDefault="00970D99" w:rsidP="00970D99">
      <w:pPr>
        <w:spacing w:line="240" w:lineRule="auto"/>
        <w:rPr>
          <w:rFonts w:eastAsia="Times New Roman" w:cs="Arial"/>
          <w:sz w:val="28"/>
          <w:szCs w:val="24"/>
        </w:rPr>
      </w:pPr>
      <w:r w:rsidRPr="00970D99">
        <w:rPr>
          <w:rFonts w:eastAsia="Times New Roman" w:cs="Arial"/>
          <w:color w:val="000000"/>
          <w:szCs w:val="20"/>
          <w:lang w:eastAsia="bg-BG"/>
        </w:rPr>
        <w:t xml:space="preserve">нива на карведилол при пациенти в напреднала възраст са с 50 % по-високи отколкото при млади пациенти. В едно изследване на пациенти с чернодробна цироза, бионаличността на карведилол е била 4 пъти по-висока, и максималната плазмена концентрация 5 пъти по-висока, обема на разпределение 3 пъти по-висок, отколкото при здрави пациенти. При някои хипертоници с умерена бъбречна недостатъчност (креатининов клирънс 20-30 </w:t>
      </w:r>
      <w:r w:rsidRPr="00970D99">
        <w:rPr>
          <w:rFonts w:eastAsia="Times New Roman" w:cs="Arial"/>
          <w:color w:val="000000"/>
          <w:szCs w:val="20"/>
          <w:lang w:val="en-US"/>
        </w:rPr>
        <w:t>ml</w:t>
      </w:r>
      <w:r w:rsidRPr="00970D99">
        <w:rPr>
          <w:rFonts w:eastAsia="Times New Roman" w:cs="Arial"/>
          <w:color w:val="000000"/>
          <w:szCs w:val="20"/>
          <w:lang w:val="ru-RU"/>
        </w:rPr>
        <w:t>/</w:t>
      </w:r>
      <w:r w:rsidRPr="00970D99">
        <w:rPr>
          <w:rFonts w:eastAsia="Times New Roman" w:cs="Arial"/>
          <w:color w:val="000000"/>
          <w:szCs w:val="20"/>
          <w:lang w:val="en-US"/>
        </w:rPr>
        <w:t>min</w:t>
      </w:r>
      <w:r w:rsidRPr="00970D99">
        <w:rPr>
          <w:rFonts w:eastAsia="Times New Roman" w:cs="Arial"/>
          <w:color w:val="000000"/>
          <w:szCs w:val="20"/>
          <w:lang w:val="ru-RU"/>
        </w:rPr>
        <w:t xml:space="preserve">) </w:t>
      </w:r>
      <w:r w:rsidRPr="00970D99">
        <w:rPr>
          <w:rFonts w:eastAsia="Times New Roman" w:cs="Arial"/>
          <w:color w:val="000000"/>
          <w:szCs w:val="20"/>
          <w:lang w:eastAsia="bg-BG"/>
        </w:rPr>
        <w:t xml:space="preserve">или тежка бъбречна недостатъчност (креатининов клирънс &lt;20 </w:t>
      </w:r>
      <w:r w:rsidRPr="00970D99">
        <w:rPr>
          <w:rFonts w:eastAsia="Times New Roman" w:cs="Arial"/>
          <w:color w:val="000000"/>
          <w:szCs w:val="20"/>
          <w:lang w:val="en-US"/>
        </w:rPr>
        <w:t>ml</w:t>
      </w:r>
      <w:r w:rsidRPr="00970D99">
        <w:rPr>
          <w:rFonts w:eastAsia="Times New Roman" w:cs="Arial"/>
          <w:color w:val="000000"/>
          <w:szCs w:val="20"/>
          <w:lang w:val="ru-RU"/>
        </w:rPr>
        <w:t>/</w:t>
      </w:r>
      <w:r w:rsidRPr="00970D99">
        <w:rPr>
          <w:rFonts w:eastAsia="Times New Roman" w:cs="Arial"/>
          <w:color w:val="000000"/>
          <w:szCs w:val="20"/>
          <w:lang w:val="en-US"/>
        </w:rPr>
        <w:t>min</w:t>
      </w:r>
      <w:r w:rsidRPr="00970D99">
        <w:rPr>
          <w:rFonts w:eastAsia="Times New Roman" w:cs="Arial"/>
          <w:color w:val="000000"/>
          <w:szCs w:val="20"/>
          <w:lang w:val="ru-RU"/>
        </w:rPr>
        <w:t xml:space="preserve">) </w:t>
      </w:r>
      <w:r w:rsidRPr="00970D99">
        <w:rPr>
          <w:rFonts w:eastAsia="Times New Roman" w:cs="Arial"/>
          <w:color w:val="000000"/>
          <w:szCs w:val="20"/>
          <w:lang w:eastAsia="bg-BG"/>
        </w:rPr>
        <w:t>е било наблюдавано покачване на плазмената концентрация на карведилол с около 40-55% в сравнение с пациенти с нормална бъбречна функция. При това резултатите са били с висока вариабилност.</w:t>
      </w:r>
    </w:p>
    <w:p w14:paraId="606B22E5" w14:textId="77777777" w:rsidR="00970D99" w:rsidRPr="00970D99" w:rsidRDefault="00970D99" w:rsidP="00970D99"/>
    <w:p w14:paraId="4FB791BE" w14:textId="254D9BC5" w:rsidR="00B6672E" w:rsidRDefault="002C50EE" w:rsidP="00936AD0">
      <w:pPr>
        <w:pStyle w:val="Heading2"/>
      </w:pPr>
      <w:r>
        <w:t>5.3. Предклинични данни за безопасност</w:t>
      </w:r>
    </w:p>
    <w:p w14:paraId="2D5DAE08" w14:textId="7DEA3E19" w:rsidR="00970D99" w:rsidRDefault="00970D99" w:rsidP="00970D99"/>
    <w:p w14:paraId="0B36B35E" w14:textId="77777777" w:rsidR="00970D99" w:rsidRPr="00970D99" w:rsidRDefault="00970D99" w:rsidP="00970D99">
      <w:pPr>
        <w:rPr>
          <w:sz w:val="24"/>
          <w:szCs w:val="24"/>
        </w:rPr>
      </w:pPr>
      <w:r w:rsidRPr="00970D99">
        <w:rPr>
          <w:lang w:eastAsia="bg-BG"/>
        </w:rPr>
        <w:t xml:space="preserve">Изследвания върху плъхове и мишки, в дози от 75 </w:t>
      </w:r>
      <w:r w:rsidRPr="00970D99">
        <w:rPr>
          <w:lang w:val="en-US"/>
        </w:rPr>
        <w:t>mg</w:t>
      </w:r>
      <w:r w:rsidRPr="00970D99">
        <w:rPr>
          <w:lang w:val="ru-RU"/>
        </w:rPr>
        <w:t>/</w:t>
      </w:r>
      <w:r w:rsidRPr="00970D99">
        <w:rPr>
          <w:lang w:val="en-US"/>
        </w:rPr>
        <w:t>kg</w:t>
      </w:r>
      <w:r w:rsidRPr="00970D99">
        <w:rPr>
          <w:lang w:val="ru-RU"/>
        </w:rPr>
        <w:t xml:space="preserve"> </w:t>
      </w:r>
      <w:r w:rsidRPr="00970D99">
        <w:rPr>
          <w:lang w:eastAsia="bg-BG"/>
        </w:rPr>
        <w:t xml:space="preserve">и 200 </w:t>
      </w:r>
      <w:r w:rsidRPr="00970D99">
        <w:rPr>
          <w:lang w:val="en-US"/>
        </w:rPr>
        <w:t>mg</w:t>
      </w:r>
      <w:r w:rsidRPr="00970D99">
        <w:rPr>
          <w:lang w:val="ru-RU"/>
        </w:rPr>
        <w:t>/</w:t>
      </w:r>
      <w:r w:rsidRPr="00970D99">
        <w:rPr>
          <w:lang w:val="en-US"/>
        </w:rPr>
        <w:t>kg</w:t>
      </w:r>
      <w:r w:rsidRPr="00970D99">
        <w:rPr>
          <w:lang w:val="ru-RU"/>
        </w:rPr>
        <w:t xml:space="preserve"> </w:t>
      </w:r>
      <w:r w:rsidRPr="00970D99">
        <w:rPr>
          <w:lang w:eastAsia="bg-BG"/>
        </w:rPr>
        <w:t xml:space="preserve">(38-100 пъти повече от дневната максимална човешка доза) не са показали карциногенен потенциал на карведилол. </w:t>
      </w:r>
      <w:r w:rsidRPr="00970D99">
        <w:rPr>
          <w:lang w:val="en-US"/>
        </w:rPr>
        <w:t>In</w:t>
      </w:r>
      <w:r w:rsidRPr="00970D99">
        <w:rPr>
          <w:lang w:val="ru-RU"/>
        </w:rPr>
        <w:t xml:space="preserve"> </w:t>
      </w:r>
      <w:r w:rsidRPr="00970D99">
        <w:rPr>
          <w:lang w:val="en-US"/>
        </w:rPr>
        <w:t>vitro</w:t>
      </w:r>
      <w:r w:rsidRPr="00970D99">
        <w:rPr>
          <w:lang w:val="ru-RU"/>
        </w:rPr>
        <w:t xml:space="preserve">- </w:t>
      </w:r>
      <w:r w:rsidRPr="00970D99">
        <w:rPr>
          <w:lang w:eastAsia="bg-BG"/>
        </w:rPr>
        <w:t xml:space="preserve">или </w:t>
      </w:r>
      <w:r w:rsidRPr="00970D99">
        <w:rPr>
          <w:lang w:val="en-US"/>
        </w:rPr>
        <w:t>in</w:t>
      </w:r>
      <w:r w:rsidRPr="00970D99">
        <w:rPr>
          <w:lang w:val="ru-RU"/>
        </w:rPr>
        <w:t xml:space="preserve"> </w:t>
      </w:r>
      <w:r w:rsidRPr="00970D99">
        <w:rPr>
          <w:lang w:val="en-US"/>
        </w:rPr>
        <w:t>vivo</w:t>
      </w:r>
      <w:r w:rsidRPr="00970D99">
        <w:rPr>
          <w:lang w:val="ru-RU"/>
        </w:rPr>
        <w:t xml:space="preserve">- </w:t>
      </w:r>
      <w:r w:rsidRPr="00970D99">
        <w:rPr>
          <w:lang w:eastAsia="bg-BG"/>
        </w:rPr>
        <w:t>изследвания не са доказали мутагенен потенциал на карведилол.</w:t>
      </w:r>
    </w:p>
    <w:p w14:paraId="1E5D3314" w14:textId="4C8BC28A" w:rsidR="00970D99" w:rsidRPr="00970D99" w:rsidRDefault="00970D99" w:rsidP="00970D99">
      <w:r w:rsidRPr="00970D99">
        <w:rPr>
          <w:lang w:eastAsia="bg-BG"/>
        </w:rPr>
        <w:t xml:space="preserve">При прилагането на високи дози карведилол на бременни плъхове (≥ 200 </w:t>
      </w:r>
      <w:r w:rsidRPr="00970D99">
        <w:rPr>
          <w:lang w:val="en-US"/>
        </w:rPr>
        <w:t>mg</w:t>
      </w:r>
      <w:r w:rsidRPr="00970D99">
        <w:rPr>
          <w:lang w:val="ru-RU"/>
        </w:rPr>
        <w:t>/</w:t>
      </w:r>
      <w:r w:rsidRPr="00970D99">
        <w:rPr>
          <w:lang w:val="en-US"/>
        </w:rPr>
        <w:t>kg</w:t>
      </w:r>
      <w:r w:rsidRPr="00970D99">
        <w:rPr>
          <w:lang w:val="ru-RU"/>
        </w:rPr>
        <w:t xml:space="preserve">, </w:t>
      </w:r>
      <w:r w:rsidRPr="00970D99">
        <w:rPr>
          <w:lang w:eastAsia="bg-BG"/>
        </w:rPr>
        <w:t xml:space="preserve">което е равно на ≥ 100 пъти по-висока от максималната човешка доза), са наблюдавани нежелани ефекти върху бременността и фертилитета. Забавен растеж и развитие на зародиша се наблюдава при дози от ≥ 60 </w:t>
      </w:r>
      <w:r w:rsidRPr="00970D99">
        <w:rPr>
          <w:lang w:val="en-US"/>
        </w:rPr>
        <w:t>mg</w:t>
      </w:r>
      <w:r w:rsidRPr="00970D99">
        <w:rPr>
          <w:lang w:val="ru-RU"/>
        </w:rPr>
        <w:t>/</w:t>
      </w:r>
      <w:r w:rsidRPr="00970D99">
        <w:rPr>
          <w:lang w:val="en-US"/>
        </w:rPr>
        <w:t>kg</w:t>
      </w:r>
      <w:r w:rsidRPr="00970D99">
        <w:rPr>
          <w:lang w:val="ru-RU"/>
        </w:rPr>
        <w:t xml:space="preserve"> </w:t>
      </w:r>
      <w:r w:rsidRPr="00970D99">
        <w:rPr>
          <w:lang w:eastAsia="bg-BG"/>
        </w:rPr>
        <w:t xml:space="preserve">(≥ 30 пъти максимална човешка доза). Ембриотоксичност (повишена смъртност след ембрионалната имплантация) се наблюдава, но не се наблюдават деформации при плъхове или зайци при дози от 200 </w:t>
      </w:r>
      <w:r w:rsidRPr="00970D99">
        <w:rPr>
          <w:lang w:val="en-US"/>
        </w:rPr>
        <w:t>mg</w:t>
      </w:r>
      <w:r w:rsidRPr="00970D99">
        <w:rPr>
          <w:lang w:val="ru-RU"/>
        </w:rPr>
        <w:t>/</w:t>
      </w:r>
      <w:r w:rsidRPr="00970D99">
        <w:rPr>
          <w:lang w:val="en-US"/>
        </w:rPr>
        <w:t>kg</w:t>
      </w:r>
      <w:r w:rsidRPr="00970D99">
        <w:rPr>
          <w:lang w:val="ru-RU"/>
        </w:rPr>
        <w:t xml:space="preserve"> </w:t>
      </w:r>
      <w:r w:rsidRPr="00970D99">
        <w:rPr>
          <w:lang w:eastAsia="bg-BG"/>
        </w:rPr>
        <w:t xml:space="preserve">и 75 </w:t>
      </w:r>
      <w:r w:rsidRPr="00970D99">
        <w:rPr>
          <w:lang w:val="en-US"/>
        </w:rPr>
        <w:t>mg</w:t>
      </w:r>
      <w:r w:rsidRPr="00970D99">
        <w:rPr>
          <w:lang w:val="ru-RU"/>
        </w:rPr>
        <w:t>/</w:t>
      </w:r>
      <w:r w:rsidRPr="00970D99">
        <w:rPr>
          <w:lang w:val="en-US"/>
        </w:rPr>
        <w:t>kg</w:t>
      </w:r>
      <w:r w:rsidRPr="00970D99">
        <w:rPr>
          <w:lang w:val="ru-RU"/>
        </w:rPr>
        <w:t xml:space="preserve"> </w:t>
      </w:r>
      <w:r w:rsidRPr="00970D99">
        <w:rPr>
          <w:lang w:eastAsia="bg-BG"/>
        </w:rPr>
        <w:t>съответно (от 38 до 100 пъти максимална човешка доза).</w:t>
      </w:r>
    </w:p>
    <w:p w14:paraId="1BA6531D" w14:textId="17BA689C" w:rsidR="00B6672E" w:rsidRDefault="002C50EE" w:rsidP="00936AD0">
      <w:pPr>
        <w:pStyle w:val="Heading1"/>
      </w:pPr>
      <w:r>
        <w:t>7. ПРИТЕЖАТЕЛ НА РАЗРЕШЕНИЕТО ЗА УПОТРЕБА</w:t>
      </w:r>
    </w:p>
    <w:p w14:paraId="654BD7F3" w14:textId="29A876B8" w:rsidR="00970D99" w:rsidRDefault="00970D99" w:rsidP="00970D99"/>
    <w:p w14:paraId="5DF5A428" w14:textId="77777777" w:rsidR="00970D99" w:rsidRPr="00970D99" w:rsidRDefault="00970D99" w:rsidP="00970D99">
      <w:pPr>
        <w:rPr>
          <w:sz w:val="24"/>
          <w:szCs w:val="24"/>
          <w:lang w:val="en-US"/>
        </w:rPr>
      </w:pPr>
      <w:proofErr w:type="spellStart"/>
      <w:r w:rsidRPr="00970D99">
        <w:rPr>
          <w:lang w:val="en-US"/>
        </w:rPr>
        <w:t>Stada</w:t>
      </w:r>
      <w:proofErr w:type="spellEnd"/>
      <w:r w:rsidRPr="00970D99">
        <w:rPr>
          <w:lang w:val="en-US"/>
        </w:rPr>
        <w:t xml:space="preserve"> </w:t>
      </w:r>
      <w:proofErr w:type="spellStart"/>
      <w:r w:rsidRPr="00970D99">
        <w:rPr>
          <w:lang w:val="en-US"/>
        </w:rPr>
        <w:t>Arzneimittel</w:t>
      </w:r>
      <w:proofErr w:type="spellEnd"/>
      <w:r w:rsidRPr="00970D99">
        <w:rPr>
          <w:lang w:val="en-US"/>
        </w:rPr>
        <w:t xml:space="preserve"> AG</w:t>
      </w:r>
    </w:p>
    <w:p w14:paraId="33A77031" w14:textId="77777777" w:rsidR="00970D99" w:rsidRPr="00970D99" w:rsidRDefault="00970D99" w:rsidP="00970D99">
      <w:pPr>
        <w:rPr>
          <w:sz w:val="24"/>
          <w:szCs w:val="24"/>
          <w:lang w:val="en-US"/>
        </w:rPr>
      </w:pPr>
      <w:proofErr w:type="spellStart"/>
      <w:r w:rsidRPr="00970D99">
        <w:rPr>
          <w:lang w:val="en-US"/>
        </w:rPr>
        <w:lastRenderedPageBreak/>
        <w:t>StadastraBe</w:t>
      </w:r>
      <w:proofErr w:type="spellEnd"/>
      <w:r w:rsidRPr="00970D99">
        <w:rPr>
          <w:lang w:val="en-US"/>
        </w:rPr>
        <w:t xml:space="preserve"> 2-18, D-61118 Bad </w:t>
      </w:r>
      <w:proofErr w:type="spellStart"/>
      <w:r w:rsidRPr="00970D99">
        <w:rPr>
          <w:lang w:val="en-US"/>
        </w:rPr>
        <w:t>Vilbel</w:t>
      </w:r>
      <w:proofErr w:type="spellEnd"/>
      <w:r w:rsidRPr="00970D99">
        <w:rPr>
          <w:lang w:val="en-US"/>
        </w:rPr>
        <w:t xml:space="preserve">, </w:t>
      </w:r>
      <w:r w:rsidRPr="00970D99">
        <w:rPr>
          <w:lang w:eastAsia="bg-BG"/>
        </w:rPr>
        <w:t>Германия</w:t>
      </w:r>
    </w:p>
    <w:p w14:paraId="3987E397" w14:textId="77777777" w:rsidR="00970D99" w:rsidRPr="00970D99" w:rsidRDefault="00970D99" w:rsidP="00970D99">
      <w:pPr>
        <w:rPr>
          <w:sz w:val="24"/>
          <w:szCs w:val="24"/>
          <w:lang w:val="ru-RU"/>
        </w:rPr>
      </w:pPr>
      <w:r w:rsidRPr="00970D99">
        <w:rPr>
          <w:lang w:eastAsia="bg-BG"/>
        </w:rPr>
        <w:t xml:space="preserve">Тел: </w:t>
      </w:r>
      <w:r w:rsidRPr="00970D99">
        <w:rPr>
          <w:lang w:val="ru-RU"/>
        </w:rPr>
        <w:t>+49-6101 603-0</w:t>
      </w:r>
    </w:p>
    <w:p w14:paraId="2D32DEE4" w14:textId="77777777" w:rsidR="00970D99" w:rsidRPr="00970D99" w:rsidRDefault="00970D99" w:rsidP="00970D99">
      <w:pPr>
        <w:rPr>
          <w:sz w:val="24"/>
          <w:szCs w:val="24"/>
          <w:lang w:val="ru-RU"/>
        </w:rPr>
      </w:pPr>
      <w:r w:rsidRPr="00970D99">
        <w:rPr>
          <w:lang w:eastAsia="bg-BG"/>
        </w:rPr>
        <w:t xml:space="preserve">Факс:+49-6101 </w:t>
      </w:r>
      <w:r w:rsidRPr="00970D99">
        <w:rPr>
          <w:lang w:val="ru-RU"/>
        </w:rPr>
        <w:t>603-259</w:t>
      </w:r>
    </w:p>
    <w:p w14:paraId="3EDF4AD5" w14:textId="77777777" w:rsidR="00970D99" w:rsidRPr="00970D99" w:rsidRDefault="00970D99" w:rsidP="00970D99">
      <w:pPr>
        <w:rPr>
          <w:lang w:val="ru-RU"/>
        </w:rPr>
      </w:pPr>
    </w:p>
    <w:p w14:paraId="508F3A54" w14:textId="139D8BCD" w:rsidR="00B6672E" w:rsidRDefault="00936AD0" w:rsidP="00936AD0">
      <w:pPr>
        <w:pStyle w:val="Heading1"/>
      </w:pPr>
      <w:r>
        <w:t>8.</w:t>
      </w:r>
      <w:r w:rsidR="002C50EE">
        <w:t>НОМЕР НА РАЗРЕШЕНИЕТО ЗА УПОТРЕБА</w:t>
      </w:r>
    </w:p>
    <w:p w14:paraId="1E08E914" w14:textId="56E2612E" w:rsidR="00970D99" w:rsidRDefault="00970D99" w:rsidP="00970D99"/>
    <w:p w14:paraId="327FEA8A" w14:textId="77777777" w:rsidR="00970D99" w:rsidRPr="00970D99" w:rsidRDefault="00970D99" w:rsidP="00970D99">
      <w:pPr>
        <w:rPr>
          <w:sz w:val="24"/>
          <w:szCs w:val="24"/>
        </w:rPr>
      </w:pPr>
      <w:r w:rsidRPr="00970D99">
        <w:rPr>
          <w:lang w:eastAsia="bg-BG"/>
        </w:rPr>
        <w:t xml:space="preserve">Карведил 6,25 </w:t>
      </w:r>
      <w:r w:rsidRPr="00970D99">
        <w:rPr>
          <w:lang w:val="en-US"/>
        </w:rPr>
        <w:t>mg</w:t>
      </w:r>
      <w:r w:rsidRPr="00970D99">
        <w:rPr>
          <w:lang w:val="ru-RU"/>
        </w:rPr>
        <w:t xml:space="preserve"> </w:t>
      </w:r>
      <w:r w:rsidRPr="00970D99">
        <w:rPr>
          <w:lang w:eastAsia="bg-BG"/>
        </w:rPr>
        <w:t>таблетки: 20050261</w:t>
      </w:r>
    </w:p>
    <w:p w14:paraId="70558686" w14:textId="77777777" w:rsidR="00970D99" w:rsidRPr="00970D99" w:rsidRDefault="00970D99" w:rsidP="00970D99">
      <w:pPr>
        <w:rPr>
          <w:sz w:val="24"/>
          <w:szCs w:val="24"/>
        </w:rPr>
      </w:pPr>
      <w:r w:rsidRPr="00970D99">
        <w:rPr>
          <w:lang w:eastAsia="bg-BG"/>
        </w:rPr>
        <w:t xml:space="preserve">Карведил 12,5 </w:t>
      </w:r>
      <w:r w:rsidRPr="00970D99">
        <w:rPr>
          <w:lang w:val="en-US"/>
        </w:rPr>
        <w:t>mg</w:t>
      </w:r>
      <w:r w:rsidRPr="00970D99">
        <w:rPr>
          <w:lang w:val="ru-RU"/>
        </w:rPr>
        <w:t xml:space="preserve"> </w:t>
      </w:r>
      <w:r w:rsidRPr="00970D99">
        <w:rPr>
          <w:lang w:eastAsia="bg-BG"/>
        </w:rPr>
        <w:t>таблетки: 20050262</w:t>
      </w:r>
    </w:p>
    <w:p w14:paraId="45B71566" w14:textId="1C16AD15" w:rsidR="00970D99" w:rsidRPr="00970D99" w:rsidRDefault="00970D99" w:rsidP="00970D99">
      <w:r w:rsidRPr="00970D99">
        <w:rPr>
          <w:lang w:eastAsia="bg-BG"/>
        </w:rPr>
        <w:t xml:space="preserve">Карведил 25 </w:t>
      </w:r>
      <w:r w:rsidRPr="00970D99">
        <w:rPr>
          <w:lang w:val="en-US"/>
        </w:rPr>
        <w:t>mg</w:t>
      </w:r>
      <w:r w:rsidRPr="00970D99">
        <w:rPr>
          <w:lang w:val="ru-RU"/>
        </w:rPr>
        <w:t xml:space="preserve"> </w:t>
      </w:r>
      <w:r w:rsidRPr="00970D99">
        <w:rPr>
          <w:lang w:eastAsia="bg-BG"/>
        </w:rPr>
        <w:t>таблетки: 20050263</w:t>
      </w:r>
    </w:p>
    <w:p w14:paraId="2CCB5832" w14:textId="5737435E" w:rsidR="007C605B" w:rsidRDefault="002C50EE" w:rsidP="007C605B">
      <w:pPr>
        <w:pStyle w:val="Heading1"/>
      </w:pPr>
      <w:r>
        <w:t>9. ДАТА НА ПЪРВО РАЗРЕШАВАНЕ/ПОДНОВЯВАНЕ НА РАЗРЕШЕНИЕТО ЗА УПОТРЕБА</w:t>
      </w:r>
    </w:p>
    <w:p w14:paraId="7E205751" w14:textId="39C2CD64" w:rsidR="00970D99" w:rsidRDefault="00970D99" w:rsidP="00970D99"/>
    <w:p w14:paraId="014E3EB0" w14:textId="7BFDC899" w:rsidR="00970D99" w:rsidRPr="00970D99" w:rsidRDefault="00970D99" w:rsidP="00970D99">
      <w:r>
        <w:t>04.05.2005/07.06.2010</w:t>
      </w:r>
    </w:p>
    <w:p w14:paraId="0E9D0119" w14:textId="0245C6D7" w:rsidR="002C50EE" w:rsidRDefault="002C50EE" w:rsidP="002C50EE">
      <w:pPr>
        <w:pStyle w:val="Heading1"/>
      </w:pPr>
      <w:r>
        <w:t>10. ДАТА НА АКТУАЛИЗИРАНЕ НА ТЕКСТА</w:t>
      </w:r>
    </w:p>
    <w:bookmarkEnd w:id="0"/>
    <w:p w14:paraId="43FB38A2" w14:textId="341B7C2F" w:rsidR="007C605B" w:rsidRPr="003E3126" w:rsidRDefault="00970D99" w:rsidP="00970D99">
      <w:r>
        <w:t>10/2019</w:t>
      </w:r>
      <w:bookmarkStart w:id="1" w:name="_GoBack"/>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1F1182A"/>
    <w:multiLevelType w:val="hybridMultilevel"/>
    <w:tmpl w:val="55C001D4"/>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564C3"/>
    <w:multiLevelType w:val="hybridMultilevel"/>
    <w:tmpl w:val="C3343C0A"/>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9"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4"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0"/>
  </w:num>
  <w:num w:numId="2">
    <w:abstractNumId w:val="0"/>
  </w:num>
  <w:num w:numId="3">
    <w:abstractNumId w:val="16"/>
  </w:num>
  <w:num w:numId="4">
    <w:abstractNumId w:val="3"/>
  </w:num>
  <w:num w:numId="5">
    <w:abstractNumId w:val="1"/>
  </w:num>
  <w:num w:numId="6">
    <w:abstractNumId w:val="19"/>
  </w:num>
  <w:num w:numId="7">
    <w:abstractNumId w:val="14"/>
  </w:num>
  <w:num w:numId="8">
    <w:abstractNumId w:val="18"/>
  </w:num>
  <w:num w:numId="9">
    <w:abstractNumId w:val="2"/>
  </w:num>
  <w:num w:numId="10">
    <w:abstractNumId w:val="5"/>
  </w:num>
  <w:num w:numId="11">
    <w:abstractNumId w:val="33"/>
  </w:num>
  <w:num w:numId="12">
    <w:abstractNumId w:val="17"/>
  </w:num>
  <w:num w:numId="13">
    <w:abstractNumId w:val="22"/>
  </w:num>
  <w:num w:numId="14">
    <w:abstractNumId w:val="15"/>
  </w:num>
  <w:num w:numId="15">
    <w:abstractNumId w:val="32"/>
  </w:num>
  <w:num w:numId="16">
    <w:abstractNumId w:val="13"/>
  </w:num>
  <w:num w:numId="17">
    <w:abstractNumId w:val="27"/>
  </w:num>
  <w:num w:numId="18">
    <w:abstractNumId w:val="10"/>
  </w:num>
  <w:num w:numId="19">
    <w:abstractNumId w:val="29"/>
  </w:num>
  <w:num w:numId="20">
    <w:abstractNumId w:val="26"/>
  </w:num>
  <w:num w:numId="21">
    <w:abstractNumId w:val="20"/>
  </w:num>
  <w:num w:numId="22">
    <w:abstractNumId w:val="28"/>
  </w:num>
  <w:num w:numId="23">
    <w:abstractNumId w:val="21"/>
  </w:num>
  <w:num w:numId="24">
    <w:abstractNumId w:val="11"/>
  </w:num>
  <w:num w:numId="25">
    <w:abstractNumId w:val="25"/>
  </w:num>
  <w:num w:numId="26">
    <w:abstractNumId w:val="24"/>
  </w:num>
  <w:num w:numId="27">
    <w:abstractNumId w:val="34"/>
  </w:num>
  <w:num w:numId="28">
    <w:abstractNumId w:val="8"/>
  </w:num>
  <w:num w:numId="29">
    <w:abstractNumId w:val="23"/>
  </w:num>
  <w:num w:numId="30">
    <w:abstractNumId w:val="37"/>
  </w:num>
  <w:num w:numId="31">
    <w:abstractNumId w:val="6"/>
  </w:num>
  <w:num w:numId="32">
    <w:abstractNumId w:val="36"/>
  </w:num>
  <w:num w:numId="33">
    <w:abstractNumId w:val="31"/>
  </w:num>
  <w:num w:numId="34">
    <w:abstractNumId w:val="35"/>
  </w:num>
  <w:num w:numId="35">
    <w:abstractNumId w:val="9"/>
  </w:num>
  <w:num w:numId="36">
    <w:abstractNumId w:val="12"/>
  </w:num>
  <w:num w:numId="37">
    <w:abstractNumId w:val="7"/>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36AD0"/>
    <w:rsid w:val="00970D99"/>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D466D"/>
    <w:rsid w:val="00E2009C"/>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5514</Words>
  <Characters>31435</Characters>
  <Application>Microsoft Office Word</Application>
  <DocSecurity>0</DocSecurity>
  <Lines>261</Lines>
  <Paragraphs>73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2022-06-27T22:20:00Z</dcterms:created>
  <dcterms:modified xsi:type="dcterms:W3CDTF">2022-06-27T22:20:00Z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