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31653029" w:rsidR="007122AD" w:rsidRDefault="00DD466D" w:rsidP="00936AD0">
      <w:pPr>
        <w:pStyle w:val="Heading1"/>
      </w:pPr>
      <w:r>
        <w:t>1.ИМЕ НА ЛЕКАРСТВЕНИЯ ПРОДУКТ</w:t>
      </w:r>
    </w:p>
    <w:p w14:paraId="11F56A04" w14:textId="0EF0DC1F" w:rsidR="00305CA0" w:rsidRDefault="00305CA0" w:rsidP="00305CA0"/>
    <w:p w14:paraId="4DC690CB" w14:textId="77777777" w:rsidR="00305CA0" w:rsidRDefault="00305CA0" w:rsidP="00305CA0">
      <w:pPr>
        <w:rPr>
          <w:lang w:eastAsia="bg-BG"/>
        </w:rPr>
      </w:pPr>
      <w:r w:rsidRPr="00305CA0">
        <w:rPr>
          <w:lang w:eastAsia="bg-BG"/>
        </w:rPr>
        <w:t xml:space="preserve">Карвилекс 6,25 </w:t>
      </w:r>
      <w:r w:rsidRPr="00305CA0">
        <w:rPr>
          <w:lang w:val="en-US"/>
        </w:rPr>
        <w:t>mg</w:t>
      </w:r>
      <w:r w:rsidRPr="00305CA0">
        <w:t xml:space="preserve"> </w:t>
      </w:r>
      <w:r w:rsidRPr="00305CA0">
        <w:rPr>
          <w:lang w:eastAsia="bg-BG"/>
        </w:rPr>
        <w:t xml:space="preserve">таблетки </w:t>
      </w:r>
    </w:p>
    <w:p w14:paraId="62342077" w14:textId="72554F0D" w:rsidR="00305CA0" w:rsidRPr="00305CA0" w:rsidRDefault="00305CA0" w:rsidP="00305CA0">
      <w:pPr>
        <w:rPr>
          <w:sz w:val="24"/>
          <w:szCs w:val="24"/>
        </w:rPr>
      </w:pPr>
      <w:proofErr w:type="spellStart"/>
      <w:r w:rsidRPr="00305CA0">
        <w:rPr>
          <w:lang w:val="en-US"/>
        </w:rPr>
        <w:t>Carvilex</w:t>
      </w:r>
      <w:proofErr w:type="spellEnd"/>
      <w:r w:rsidRPr="00305CA0">
        <w:t xml:space="preserve"> </w:t>
      </w:r>
      <w:r w:rsidRPr="00305CA0">
        <w:rPr>
          <w:lang w:eastAsia="bg-BG"/>
        </w:rPr>
        <w:t>6</w:t>
      </w:r>
      <w:proofErr w:type="gramStart"/>
      <w:r w:rsidRPr="00305CA0">
        <w:rPr>
          <w:lang w:eastAsia="bg-BG"/>
        </w:rPr>
        <w:t>,25</w:t>
      </w:r>
      <w:proofErr w:type="gramEnd"/>
      <w:r w:rsidRPr="00305CA0">
        <w:rPr>
          <w:lang w:eastAsia="bg-BG"/>
        </w:rPr>
        <w:t xml:space="preserve"> </w:t>
      </w:r>
      <w:r w:rsidRPr="00305CA0">
        <w:rPr>
          <w:lang w:val="en-US"/>
        </w:rPr>
        <w:t>mg</w:t>
      </w:r>
      <w:r w:rsidRPr="00305CA0">
        <w:t xml:space="preserve"> </w:t>
      </w:r>
      <w:r w:rsidRPr="00305CA0">
        <w:rPr>
          <w:lang w:val="en-US"/>
        </w:rPr>
        <w:t>tablets</w:t>
      </w:r>
    </w:p>
    <w:p w14:paraId="7F551CFE" w14:textId="77777777" w:rsidR="00305CA0" w:rsidRDefault="00305CA0" w:rsidP="00305CA0">
      <w:pPr>
        <w:rPr>
          <w:lang w:eastAsia="bg-BG"/>
        </w:rPr>
      </w:pPr>
    </w:p>
    <w:p w14:paraId="04CE555E" w14:textId="04F32813" w:rsidR="00305CA0" w:rsidRPr="00305CA0" w:rsidRDefault="00305CA0" w:rsidP="00305CA0">
      <w:pPr>
        <w:rPr>
          <w:sz w:val="24"/>
          <w:szCs w:val="24"/>
        </w:rPr>
      </w:pPr>
      <w:r w:rsidRPr="00305CA0">
        <w:rPr>
          <w:lang w:eastAsia="bg-BG"/>
        </w:rPr>
        <w:t xml:space="preserve">Карвилекс </w:t>
      </w:r>
      <w:r w:rsidRPr="00305CA0">
        <w:t xml:space="preserve">12,5 </w:t>
      </w:r>
      <w:r w:rsidRPr="00305CA0">
        <w:rPr>
          <w:lang w:val="en-US"/>
        </w:rPr>
        <w:t>mg</w:t>
      </w:r>
      <w:r w:rsidRPr="00305CA0">
        <w:t xml:space="preserve"> </w:t>
      </w:r>
      <w:r w:rsidRPr="00305CA0">
        <w:rPr>
          <w:lang w:eastAsia="bg-BG"/>
        </w:rPr>
        <w:t>таблетки</w:t>
      </w:r>
    </w:p>
    <w:p w14:paraId="7AADAC58" w14:textId="77777777" w:rsidR="00305CA0" w:rsidRPr="00305CA0" w:rsidRDefault="00305CA0" w:rsidP="00305CA0">
      <w:pPr>
        <w:rPr>
          <w:sz w:val="24"/>
          <w:szCs w:val="24"/>
        </w:rPr>
      </w:pPr>
      <w:proofErr w:type="spellStart"/>
      <w:r w:rsidRPr="00305CA0">
        <w:rPr>
          <w:lang w:val="en-US"/>
        </w:rPr>
        <w:t>Carvilex</w:t>
      </w:r>
      <w:proofErr w:type="spellEnd"/>
      <w:r w:rsidRPr="00305CA0">
        <w:t xml:space="preserve"> 12</w:t>
      </w:r>
      <w:proofErr w:type="gramStart"/>
      <w:r w:rsidRPr="00305CA0">
        <w:t>,5</w:t>
      </w:r>
      <w:proofErr w:type="gramEnd"/>
      <w:r w:rsidRPr="00305CA0">
        <w:t xml:space="preserve"> </w:t>
      </w:r>
      <w:r w:rsidRPr="00305CA0">
        <w:rPr>
          <w:lang w:val="en-US"/>
        </w:rPr>
        <w:t>mg</w:t>
      </w:r>
      <w:r w:rsidRPr="00305CA0">
        <w:t xml:space="preserve"> </w:t>
      </w:r>
      <w:r w:rsidRPr="00305CA0">
        <w:rPr>
          <w:lang w:val="en-US"/>
        </w:rPr>
        <w:t>tablets</w:t>
      </w:r>
    </w:p>
    <w:p w14:paraId="527F9E92" w14:textId="77777777" w:rsidR="00305CA0" w:rsidRDefault="00305CA0" w:rsidP="00305CA0">
      <w:pPr>
        <w:rPr>
          <w:lang w:eastAsia="bg-BG"/>
        </w:rPr>
      </w:pPr>
    </w:p>
    <w:p w14:paraId="73B9AAD2" w14:textId="569CA555" w:rsidR="00305CA0" w:rsidRPr="00305CA0" w:rsidRDefault="00305CA0" w:rsidP="00305CA0">
      <w:pPr>
        <w:rPr>
          <w:sz w:val="24"/>
          <w:szCs w:val="24"/>
        </w:rPr>
      </w:pPr>
      <w:r w:rsidRPr="00305CA0">
        <w:rPr>
          <w:lang w:eastAsia="bg-BG"/>
        </w:rPr>
        <w:t xml:space="preserve">Карвилекс </w:t>
      </w:r>
      <w:r w:rsidRPr="00305CA0">
        <w:t xml:space="preserve">25 </w:t>
      </w:r>
      <w:r w:rsidRPr="00305CA0">
        <w:rPr>
          <w:lang w:val="en-US"/>
        </w:rPr>
        <w:t>mg</w:t>
      </w:r>
      <w:r w:rsidRPr="00305CA0">
        <w:t xml:space="preserve"> </w:t>
      </w:r>
      <w:r w:rsidRPr="00305CA0">
        <w:rPr>
          <w:lang w:eastAsia="bg-BG"/>
        </w:rPr>
        <w:t>таблетки</w:t>
      </w:r>
    </w:p>
    <w:p w14:paraId="34DB280F" w14:textId="77777777" w:rsidR="00305CA0" w:rsidRPr="00305CA0" w:rsidRDefault="00305CA0" w:rsidP="00305CA0">
      <w:pPr>
        <w:rPr>
          <w:sz w:val="24"/>
          <w:szCs w:val="24"/>
          <w:lang w:val="ru-RU"/>
        </w:rPr>
      </w:pPr>
      <w:proofErr w:type="spellStart"/>
      <w:r w:rsidRPr="00305CA0">
        <w:rPr>
          <w:lang w:val="en-US"/>
        </w:rPr>
        <w:t>Carvilex</w:t>
      </w:r>
      <w:proofErr w:type="spellEnd"/>
      <w:r w:rsidRPr="00305CA0">
        <w:rPr>
          <w:lang w:val="ru-RU"/>
        </w:rPr>
        <w:t xml:space="preserve"> 25 </w:t>
      </w:r>
      <w:r w:rsidRPr="00305CA0">
        <w:rPr>
          <w:lang w:val="en-US"/>
        </w:rPr>
        <w:t>mg</w:t>
      </w:r>
      <w:r w:rsidRPr="00305CA0">
        <w:rPr>
          <w:lang w:val="ru-RU"/>
        </w:rPr>
        <w:t xml:space="preserve"> </w:t>
      </w:r>
      <w:r w:rsidRPr="00305CA0">
        <w:rPr>
          <w:lang w:val="en-US"/>
        </w:rPr>
        <w:t>tablets</w:t>
      </w:r>
    </w:p>
    <w:p w14:paraId="49393B5F" w14:textId="77777777" w:rsidR="00305CA0" w:rsidRPr="00305CA0" w:rsidRDefault="00305CA0" w:rsidP="00305CA0"/>
    <w:p w14:paraId="6920A680" w14:textId="55ADAB50" w:rsidR="00C40420" w:rsidRDefault="00DD466D" w:rsidP="004A448E">
      <w:pPr>
        <w:pStyle w:val="Heading1"/>
      </w:pPr>
      <w:r>
        <w:t>2. КАЧЕСТВЕН И КОЛИЧЕСТВЕН СЪСТАВ</w:t>
      </w:r>
    </w:p>
    <w:p w14:paraId="029207AA" w14:textId="373CB1F1" w:rsidR="00305CA0" w:rsidRDefault="00305CA0" w:rsidP="00305CA0"/>
    <w:p w14:paraId="6F180C5F" w14:textId="77777777" w:rsidR="00305CA0" w:rsidRPr="00305CA0" w:rsidRDefault="00305CA0" w:rsidP="00305CA0">
      <w:pPr>
        <w:rPr>
          <w:sz w:val="24"/>
          <w:szCs w:val="24"/>
        </w:rPr>
      </w:pPr>
      <w:r w:rsidRPr="00305CA0">
        <w:rPr>
          <w:lang w:eastAsia="bg-BG"/>
        </w:rPr>
        <w:t xml:space="preserve">Всяка таблетка съдържа 6,25 </w:t>
      </w:r>
      <w:r w:rsidRPr="00305CA0">
        <w:rPr>
          <w:lang w:val="en-US"/>
        </w:rPr>
        <w:t>mg</w:t>
      </w:r>
      <w:r w:rsidRPr="00305CA0">
        <w:t xml:space="preserve">, </w:t>
      </w:r>
      <w:r w:rsidRPr="00305CA0">
        <w:rPr>
          <w:lang w:eastAsia="bg-BG"/>
        </w:rPr>
        <w:t xml:space="preserve">12,5 </w:t>
      </w:r>
      <w:r w:rsidRPr="00305CA0">
        <w:rPr>
          <w:lang w:val="en-US"/>
        </w:rPr>
        <w:t>mg</w:t>
      </w:r>
      <w:r w:rsidRPr="00305CA0">
        <w:t xml:space="preserve"> </w:t>
      </w:r>
      <w:r w:rsidRPr="00305CA0">
        <w:rPr>
          <w:lang w:eastAsia="bg-BG"/>
        </w:rPr>
        <w:t xml:space="preserve">или 25 </w:t>
      </w:r>
      <w:r w:rsidRPr="00305CA0">
        <w:rPr>
          <w:lang w:val="en-US"/>
        </w:rPr>
        <w:t>mg</w:t>
      </w:r>
      <w:r w:rsidRPr="00305CA0">
        <w:t xml:space="preserve"> </w:t>
      </w:r>
      <w:r w:rsidRPr="00305CA0">
        <w:rPr>
          <w:lang w:eastAsia="bg-BG"/>
        </w:rPr>
        <w:t xml:space="preserve">карведилол </w:t>
      </w:r>
      <w:r w:rsidRPr="00305CA0">
        <w:rPr>
          <w:i/>
          <w:iCs/>
        </w:rPr>
        <w:t>(</w:t>
      </w:r>
      <w:r w:rsidRPr="00305CA0">
        <w:rPr>
          <w:i/>
          <w:iCs/>
          <w:lang w:val="en-US"/>
        </w:rPr>
        <w:t>carvedilol</w:t>
      </w:r>
      <w:r w:rsidRPr="00305CA0">
        <w:rPr>
          <w:i/>
          <w:iCs/>
        </w:rPr>
        <w:t>).</w:t>
      </w:r>
    </w:p>
    <w:p w14:paraId="43AE2810" w14:textId="77777777" w:rsidR="00305CA0" w:rsidRDefault="00305CA0" w:rsidP="00305CA0">
      <w:pPr>
        <w:rPr>
          <w:u w:val="single"/>
          <w:lang w:eastAsia="bg-BG"/>
        </w:rPr>
      </w:pPr>
    </w:p>
    <w:p w14:paraId="089F83D0" w14:textId="6A907A3B" w:rsidR="00305CA0" w:rsidRPr="00305CA0" w:rsidRDefault="00305CA0" w:rsidP="00305CA0">
      <w:pPr>
        <w:rPr>
          <w:sz w:val="24"/>
          <w:szCs w:val="24"/>
        </w:rPr>
      </w:pPr>
      <w:r w:rsidRPr="00305CA0">
        <w:rPr>
          <w:u w:val="single"/>
          <w:lang w:eastAsia="bg-BG"/>
        </w:rPr>
        <w:t>Помощно вещество с известно действие</w:t>
      </w:r>
      <w:r w:rsidRPr="00305CA0">
        <w:rPr>
          <w:lang w:eastAsia="bg-BG"/>
        </w:rPr>
        <w:t>: лактоза монохидрат.</w:t>
      </w:r>
    </w:p>
    <w:p w14:paraId="2E833256" w14:textId="77777777" w:rsidR="00305CA0" w:rsidRPr="00305CA0" w:rsidRDefault="00305CA0" w:rsidP="00305CA0"/>
    <w:p w14:paraId="614984C4" w14:textId="0B43C69B" w:rsidR="008A6AF2" w:rsidRDefault="00DD466D" w:rsidP="002C50EE">
      <w:pPr>
        <w:pStyle w:val="Heading1"/>
      </w:pPr>
      <w:r>
        <w:t>3. ЛЕКАРСТВЕНА ФОРМА</w:t>
      </w:r>
    </w:p>
    <w:p w14:paraId="4226E527" w14:textId="6931CF86" w:rsidR="00305CA0" w:rsidRDefault="00305CA0" w:rsidP="00305CA0"/>
    <w:p w14:paraId="7A43A637"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Таблетка</w:t>
      </w:r>
    </w:p>
    <w:p w14:paraId="25D6018B" w14:textId="77777777" w:rsidR="00305CA0" w:rsidRPr="00305CA0" w:rsidRDefault="00305CA0" w:rsidP="00305CA0">
      <w:pPr>
        <w:spacing w:line="240" w:lineRule="auto"/>
        <w:rPr>
          <w:rFonts w:eastAsia="Times New Roman" w:cs="Arial"/>
          <w:color w:val="000000"/>
          <w:szCs w:val="20"/>
          <w:lang w:eastAsia="bg-BG"/>
        </w:rPr>
      </w:pPr>
    </w:p>
    <w:p w14:paraId="104C7C27" w14:textId="2D40B113"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Карвилекс 6,26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 бели или жълтеникаво бели, кръгли, плоски таблетки с делителна черта от едната страна с диаметър 8 </w:t>
      </w:r>
      <w:r w:rsidRPr="00305CA0">
        <w:rPr>
          <w:rFonts w:eastAsia="Times New Roman" w:cs="Arial"/>
          <w:color w:val="000000"/>
          <w:szCs w:val="20"/>
          <w:lang w:val="en-US"/>
        </w:rPr>
        <w:t>mm</w:t>
      </w:r>
      <w:r w:rsidRPr="00305CA0">
        <w:rPr>
          <w:rFonts w:eastAsia="Times New Roman" w:cs="Arial"/>
          <w:color w:val="000000"/>
          <w:szCs w:val="20"/>
          <w:lang w:val="ru-RU"/>
        </w:rPr>
        <w:t xml:space="preserve">. </w:t>
      </w:r>
      <w:r w:rsidRPr="00305CA0">
        <w:rPr>
          <w:rFonts w:eastAsia="Times New Roman" w:cs="Arial"/>
          <w:color w:val="000000"/>
          <w:szCs w:val="20"/>
          <w:lang w:eastAsia="bg-BG"/>
        </w:rPr>
        <w:t>Таблетката може да бъде разделена на равни дози</w:t>
      </w:r>
    </w:p>
    <w:p w14:paraId="10F1F495" w14:textId="77777777" w:rsidR="00305CA0" w:rsidRPr="00305CA0" w:rsidRDefault="00305CA0" w:rsidP="00305CA0">
      <w:pPr>
        <w:spacing w:line="240" w:lineRule="auto"/>
        <w:rPr>
          <w:rFonts w:eastAsia="Times New Roman" w:cs="Arial"/>
          <w:color w:val="000000"/>
          <w:szCs w:val="20"/>
          <w:lang w:eastAsia="bg-BG"/>
        </w:rPr>
      </w:pPr>
    </w:p>
    <w:p w14:paraId="6143947F" w14:textId="634609C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Карвилекс 12,5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 бели или жълтеникаво бели, кръгли, плоски таблетки с делителна черта от едната страна с диаметър 7 </w:t>
      </w:r>
      <w:r w:rsidRPr="00305CA0">
        <w:rPr>
          <w:rFonts w:eastAsia="Times New Roman" w:cs="Arial"/>
          <w:color w:val="000000"/>
          <w:szCs w:val="20"/>
          <w:lang w:val="en-US"/>
        </w:rPr>
        <w:t>mm</w:t>
      </w:r>
      <w:r w:rsidRPr="00305CA0">
        <w:rPr>
          <w:rFonts w:eastAsia="Times New Roman" w:cs="Arial"/>
          <w:color w:val="000000"/>
          <w:szCs w:val="20"/>
          <w:lang w:val="ru-RU"/>
        </w:rPr>
        <w:t xml:space="preserve">. </w:t>
      </w:r>
      <w:r w:rsidRPr="00305CA0">
        <w:rPr>
          <w:rFonts w:eastAsia="Times New Roman" w:cs="Arial"/>
          <w:color w:val="000000"/>
          <w:szCs w:val="20"/>
          <w:lang w:eastAsia="bg-BG"/>
        </w:rPr>
        <w:t>Таблетката може да бъде разделена на равни дози</w:t>
      </w:r>
    </w:p>
    <w:p w14:paraId="3971F162" w14:textId="77777777" w:rsidR="00305CA0" w:rsidRPr="00305CA0" w:rsidRDefault="00305CA0" w:rsidP="00305CA0">
      <w:pPr>
        <w:spacing w:line="240" w:lineRule="auto"/>
        <w:rPr>
          <w:rFonts w:eastAsia="Times New Roman" w:cs="Arial"/>
          <w:color w:val="000000"/>
          <w:szCs w:val="20"/>
          <w:lang w:eastAsia="bg-BG"/>
        </w:rPr>
      </w:pPr>
    </w:p>
    <w:p w14:paraId="78A4AC0B" w14:textId="60690F04"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Карвилекс 25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 бели или жълтеникаво бели, кръгли, плоски таблетки с делителна черта от едната страна с диаметър 9 </w:t>
      </w:r>
      <w:r w:rsidRPr="00305CA0">
        <w:rPr>
          <w:rFonts w:eastAsia="Times New Roman" w:cs="Arial"/>
          <w:color w:val="000000"/>
          <w:szCs w:val="20"/>
          <w:lang w:val="en-US"/>
        </w:rPr>
        <w:t>mm</w:t>
      </w:r>
      <w:r w:rsidRPr="00305CA0">
        <w:rPr>
          <w:rFonts w:eastAsia="Times New Roman" w:cs="Arial"/>
          <w:color w:val="000000"/>
          <w:szCs w:val="20"/>
          <w:lang w:val="ru-RU"/>
        </w:rPr>
        <w:t xml:space="preserve">. </w:t>
      </w:r>
      <w:r w:rsidRPr="00305CA0">
        <w:rPr>
          <w:rFonts w:eastAsia="Times New Roman" w:cs="Arial"/>
          <w:color w:val="000000"/>
          <w:szCs w:val="20"/>
          <w:lang w:eastAsia="bg-BG"/>
        </w:rPr>
        <w:t>Таблетката може да бъде разделена на равни дози</w:t>
      </w:r>
    </w:p>
    <w:p w14:paraId="36F33706" w14:textId="77777777" w:rsidR="00305CA0" w:rsidRPr="00305CA0" w:rsidRDefault="00305CA0" w:rsidP="00305CA0"/>
    <w:p w14:paraId="490FC2C4" w14:textId="0F4A4A75" w:rsidR="002C50EE" w:rsidRDefault="002C50EE" w:rsidP="002C50EE">
      <w:pPr>
        <w:pStyle w:val="Heading1"/>
      </w:pPr>
      <w:r>
        <w:t>4. КЛИНИЧНИ ДАННИ</w:t>
      </w:r>
    </w:p>
    <w:p w14:paraId="74330405" w14:textId="43E92F2D" w:rsidR="007122AD" w:rsidRDefault="002C50EE" w:rsidP="00936AD0">
      <w:pPr>
        <w:pStyle w:val="Heading2"/>
      </w:pPr>
      <w:r>
        <w:t>4.1. Терапевтични показания</w:t>
      </w:r>
    </w:p>
    <w:p w14:paraId="63C3BBAB" w14:textId="670385A8" w:rsidR="00305CA0" w:rsidRDefault="00305CA0" w:rsidP="00305CA0"/>
    <w:p w14:paraId="2B1A00D4" w14:textId="77777777" w:rsidR="00305CA0" w:rsidRPr="00305CA0" w:rsidRDefault="00305CA0" w:rsidP="00305CA0">
      <w:pPr>
        <w:pStyle w:val="ListParagraph"/>
        <w:numPr>
          <w:ilvl w:val="0"/>
          <w:numId w:val="37"/>
        </w:numPr>
        <w:rPr>
          <w:lang w:eastAsia="bg-BG"/>
        </w:rPr>
      </w:pPr>
      <w:r w:rsidRPr="00305CA0">
        <w:rPr>
          <w:lang w:eastAsia="bg-BG"/>
        </w:rPr>
        <w:t>Лечение на стабилна лека, умерена и тежка хронична сърдечна недостатъчност като допълнение към стандартната терапия (диуретици, дигоксин и АСЕ инхибитори) при пациенти с еуволемия;</w:t>
      </w:r>
    </w:p>
    <w:p w14:paraId="1F9E9A96" w14:textId="77777777" w:rsidR="00305CA0" w:rsidRPr="00305CA0" w:rsidRDefault="00305CA0" w:rsidP="00305CA0">
      <w:pPr>
        <w:pStyle w:val="ListParagraph"/>
        <w:numPr>
          <w:ilvl w:val="0"/>
          <w:numId w:val="37"/>
        </w:numPr>
        <w:rPr>
          <w:lang w:eastAsia="bg-BG"/>
        </w:rPr>
      </w:pPr>
      <w:r w:rsidRPr="00305CA0">
        <w:rPr>
          <w:lang w:eastAsia="bg-BG"/>
        </w:rPr>
        <w:t>Хипертония;</w:t>
      </w:r>
    </w:p>
    <w:p w14:paraId="0D2B6583" w14:textId="16B1843A" w:rsidR="00305CA0" w:rsidRDefault="00305CA0" w:rsidP="00305CA0">
      <w:pPr>
        <w:pStyle w:val="ListParagraph"/>
        <w:numPr>
          <w:ilvl w:val="0"/>
          <w:numId w:val="37"/>
        </w:numPr>
      </w:pPr>
      <w:r w:rsidRPr="00305CA0">
        <w:rPr>
          <w:lang w:eastAsia="bg-BG"/>
        </w:rPr>
        <w:lastRenderedPageBreak/>
        <w:t>Профилактично лечение на стабилна стенокардия.</w:t>
      </w:r>
    </w:p>
    <w:p w14:paraId="332A62F6" w14:textId="77777777" w:rsidR="00305CA0" w:rsidRPr="00305CA0" w:rsidRDefault="00305CA0" w:rsidP="00305CA0"/>
    <w:p w14:paraId="53F5B866" w14:textId="662E2D47" w:rsidR="007122AD" w:rsidRDefault="002C50EE" w:rsidP="00936AD0">
      <w:pPr>
        <w:pStyle w:val="Heading2"/>
      </w:pPr>
      <w:r>
        <w:t>4.2. Дозировка и начин на приложение</w:t>
      </w:r>
    </w:p>
    <w:p w14:paraId="148BE7CB" w14:textId="564818E8" w:rsidR="00305CA0" w:rsidRDefault="00305CA0" w:rsidP="00305CA0"/>
    <w:p w14:paraId="176CAD39"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Карвилекс е наличен в 3 концентрации: таблетки от 6,25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12,5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и 25 </w:t>
      </w:r>
      <w:r w:rsidRPr="00305CA0">
        <w:rPr>
          <w:rFonts w:eastAsia="Times New Roman" w:cs="Arial"/>
          <w:color w:val="000000"/>
          <w:szCs w:val="20"/>
          <w:lang w:val="en-US"/>
        </w:rPr>
        <w:t>mg</w:t>
      </w:r>
      <w:r w:rsidRPr="00305CA0">
        <w:rPr>
          <w:rFonts w:eastAsia="Times New Roman" w:cs="Arial"/>
          <w:color w:val="000000"/>
          <w:szCs w:val="20"/>
          <w:lang w:val="ru-RU"/>
        </w:rPr>
        <w:t>.</w:t>
      </w:r>
    </w:p>
    <w:p w14:paraId="486E2D4B" w14:textId="77777777" w:rsidR="00305CA0" w:rsidRPr="00305CA0" w:rsidRDefault="00305CA0" w:rsidP="00305CA0">
      <w:pPr>
        <w:spacing w:line="240" w:lineRule="auto"/>
        <w:rPr>
          <w:rFonts w:eastAsia="Times New Roman" w:cs="Arial"/>
          <w:color w:val="000000"/>
          <w:szCs w:val="20"/>
          <w:u w:val="single"/>
          <w:lang w:eastAsia="bg-BG"/>
        </w:rPr>
      </w:pPr>
    </w:p>
    <w:p w14:paraId="3F3E190E" w14:textId="36B13C9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u w:val="single"/>
          <w:lang w:eastAsia="bg-BG"/>
        </w:rPr>
        <w:t>Сърдечна недостатъчност</w:t>
      </w:r>
    </w:p>
    <w:p w14:paraId="4C541483"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Карведилол се прилага за лечение на лека, умерена и тежка сърдечна недостатъчност и</w:t>
      </w:r>
    </w:p>
    <w:p w14:paraId="34E3FECF" w14:textId="7A690592" w:rsidR="00305CA0" w:rsidRPr="00305CA0" w:rsidRDefault="00305CA0" w:rsidP="00305CA0">
      <w:pPr>
        <w:rPr>
          <w:rFonts w:eastAsia="Times New Roman" w:cs="Arial"/>
          <w:sz w:val="28"/>
          <w:szCs w:val="24"/>
        </w:rPr>
      </w:pPr>
      <w:r w:rsidRPr="00305CA0">
        <w:rPr>
          <w:rFonts w:eastAsia="Times New Roman" w:cs="Arial"/>
          <w:color w:val="000000"/>
          <w:szCs w:val="20"/>
          <w:lang w:eastAsia="bg-BG"/>
        </w:rPr>
        <w:t>допълнение към конвенционалната основна терапия с диуретици, АСЕ инхибитори, дигиталис и/или вазодилататори. Пациентът трябва да бъде клинично стабилизиран (без промени в класа п</w:t>
      </w:r>
      <w:r w:rsidRPr="00305CA0">
        <w:rPr>
          <w:rFonts w:eastAsia="Times New Roman" w:cs="Arial"/>
          <w:color w:val="000000"/>
          <w:szCs w:val="20"/>
          <w:lang w:val="en-US"/>
        </w:rPr>
        <w:t>o</w:t>
      </w:r>
      <w:r w:rsidRPr="00305CA0">
        <w:rPr>
          <w:rFonts w:eastAsia="Times New Roman" w:cs="Arial"/>
          <w:color w:val="000000"/>
          <w:szCs w:val="20"/>
          <w:lang w:val="ru-RU"/>
        </w:rPr>
        <w:t xml:space="preserve"> </w:t>
      </w:r>
      <w:r w:rsidRPr="00305CA0">
        <w:rPr>
          <w:rFonts w:eastAsia="Times New Roman" w:cs="Arial"/>
          <w:color w:val="000000"/>
          <w:szCs w:val="20"/>
          <w:lang w:val="en-US"/>
        </w:rPr>
        <w:t>NYHA</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и без да е хоспитализиран поради сърдечна недостатъчност), като основната терапия трябва да бъде провеждана в продължение на поне четири седмици преди започване на лечение с карведилол. В допълнение, пациентът трябва да има намалена левокамерна фракция на изтласкване, сърдечната честота трябва да бъде &gt; 50 удара/минута и систоличното кръвно налягане да е &gt; 85 </w:t>
      </w:r>
      <w:r w:rsidRPr="00305CA0">
        <w:rPr>
          <w:rFonts w:eastAsia="Times New Roman" w:cs="Arial"/>
          <w:color w:val="000000"/>
          <w:szCs w:val="20"/>
          <w:lang w:val="en-US"/>
        </w:rPr>
        <w:t>mmHg</w:t>
      </w:r>
      <w:r w:rsidRPr="00305CA0">
        <w:rPr>
          <w:rFonts w:eastAsia="Times New Roman" w:cs="Arial"/>
          <w:color w:val="000000"/>
          <w:szCs w:val="20"/>
          <w:lang w:val="ru-RU"/>
        </w:rPr>
        <w:t xml:space="preserve"> </w:t>
      </w:r>
      <w:r w:rsidRPr="00305CA0">
        <w:rPr>
          <w:rFonts w:eastAsia="Times New Roman" w:cs="Arial"/>
          <w:color w:val="000000"/>
          <w:szCs w:val="20"/>
          <w:lang w:eastAsia="bg-BG"/>
        </w:rPr>
        <w:t>(виж точка 4.3).</w:t>
      </w:r>
    </w:p>
    <w:p w14:paraId="013A29B6" w14:textId="77777777" w:rsidR="00305CA0" w:rsidRPr="00305CA0" w:rsidRDefault="00305CA0" w:rsidP="00305CA0">
      <w:pPr>
        <w:spacing w:line="240" w:lineRule="auto"/>
        <w:rPr>
          <w:rFonts w:eastAsia="Times New Roman" w:cs="Arial"/>
          <w:color w:val="000000"/>
          <w:szCs w:val="20"/>
          <w:lang w:eastAsia="bg-BG"/>
        </w:rPr>
      </w:pPr>
    </w:p>
    <w:p w14:paraId="29B31EAC" w14:textId="2A079DB6"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Първоначалната доза е 3,125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два пъти дневно за две седмици. Ако тази доза се понася добре от пациента, тя може да бъде повишена постепенно през интервал от две или повече седмици, първо до 6,25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два пъти дневно, после 12,5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два пъти дневно, последвано от 25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два пъти дневно. Препоръчва се дозата да се повишава до достигане на максимално поносимата доза за пациента.</w:t>
      </w:r>
    </w:p>
    <w:p w14:paraId="5C6BF784" w14:textId="77777777" w:rsidR="00305CA0" w:rsidRPr="00305CA0" w:rsidRDefault="00305CA0" w:rsidP="00305CA0">
      <w:pPr>
        <w:spacing w:line="240" w:lineRule="auto"/>
        <w:rPr>
          <w:rFonts w:eastAsia="Times New Roman" w:cs="Arial"/>
          <w:color w:val="000000"/>
          <w:szCs w:val="20"/>
          <w:lang w:eastAsia="bg-BG"/>
        </w:rPr>
      </w:pPr>
    </w:p>
    <w:p w14:paraId="6346B925" w14:textId="2B399DEB" w:rsidR="00305CA0" w:rsidRPr="00305CA0" w:rsidRDefault="00305CA0" w:rsidP="00305CA0">
      <w:pPr>
        <w:spacing w:line="240" w:lineRule="auto"/>
        <w:rPr>
          <w:rFonts w:eastAsia="Times New Roman" w:cs="Arial"/>
          <w:color w:val="000000"/>
          <w:szCs w:val="20"/>
          <w:u w:val="single"/>
          <w:lang w:eastAsia="bg-BG"/>
        </w:rPr>
      </w:pPr>
      <w:r w:rsidRPr="00305CA0">
        <w:rPr>
          <w:rFonts w:eastAsia="Times New Roman" w:cs="Arial"/>
          <w:color w:val="000000"/>
          <w:szCs w:val="20"/>
          <w:lang w:eastAsia="bg-BG"/>
        </w:rPr>
        <w:t xml:space="preserve">Препоръчваната максимална доза при пациенти с тегло под 85 </w:t>
      </w:r>
      <w:r w:rsidRPr="00305CA0">
        <w:rPr>
          <w:rFonts w:eastAsia="Times New Roman" w:cs="Arial"/>
          <w:color w:val="000000"/>
          <w:szCs w:val="20"/>
          <w:lang w:val="en-US"/>
        </w:rPr>
        <w:t>kg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е 25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2 пъти дневно, а при пациенти над 85 </w:t>
      </w:r>
      <w:r w:rsidRPr="00305CA0">
        <w:rPr>
          <w:rFonts w:eastAsia="Times New Roman" w:cs="Arial"/>
          <w:color w:val="000000"/>
          <w:szCs w:val="20"/>
          <w:lang w:val="en-US"/>
        </w:rPr>
        <w:t>kg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- 50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2 пъти дневно, при условие, че сърдечната недостатъчност не е тежка. </w:t>
      </w:r>
      <w:r w:rsidRPr="00305CA0">
        <w:rPr>
          <w:rFonts w:eastAsia="Times New Roman" w:cs="Arial"/>
          <w:color w:val="000000"/>
          <w:szCs w:val="20"/>
          <w:u w:val="single"/>
          <w:lang w:eastAsia="bg-BG"/>
        </w:rPr>
        <w:t xml:space="preserve">Повишаването на дозата </w:t>
      </w:r>
    </w:p>
    <w:p w14:paraId="57AC6D4C" w14:textId="2F5ECF62"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u w:val="single"/>
          <w:lang w:eastAsia="bg-BG"/>
        </w:rPr>
        <w:t xml:space="preserve">до 50 </w:t>
      </w:r>
      <w:r w:rsidRPr="00305CA0">
        <w:rPr>
          <w:rFonts w:eastAsia="Times New Roman" w:cs="Arial"/>
          <w:color w:val="000000"/>
          <w:szCs w:val="20"/>
          <w:u w:val="single"/>
          <w:lang w:val="en-US"/>
        </w:rPr>
        <w:t>mg</w:t>
      </w:r>
      <w:r w:rsidRPr="00305CA0">
        <w:rPr>
          <w:rFonts w:eastAsia="Times New Roman" w:cs="Arial"/>
          <w:color w:val="000000"/>
          <w:szCs w:val="20"/>
          <w:u w:val="single"/>
          <w:lang w:val="ru-RU"/>
        </w:rPr>
        <w:t xml:space="preserve"> </w:t>
      </w:r>
      <w:r w:rsidRPr="00305CA0">
        <w:rPr>
          <w:rFonts w:eastAsia="Times New Roman" w:cs="Arial"/>
          <w:color w:val="000000"/>
          <w:szCs w:val="20"/>
          <w:u w:val="single"/>
          <w:lang w:eastAsia="bg-BG"/>
        </w:rPr>
        <w:t>2 пъти дневно трябва да е бавно и постепенно и да се извършва под строг лекарски контрол</w:t>
      </w:r>
      <w:r w:rsidRPr="00305CA0">
        <w:rPr>
          <w:rFonts w:eastAsia="Times New Roman" w:cs="Arial"/>
          <w:color w:val="000000"/>
          <w:szCs w:val="20"/>
          <w:lang w:eastAsia="bg-BG"/>
        </w:rPr>
        <w:t>.</w:t>
      </w:r>
    </w:p>
    <w:p w14:paraId="60FF7BE5" w14:textId="77777777" w:rsidR="00305CA0" w:rsidRPr="00305CA0" w:rsidRDefault="00305CA0" w:rsidP="00305CA0">
      <w:pPr>
        <w:spacing w:line="240" w:lineRule="auto"/>
        <w:rPr>
          <w:rFonts w:eastAsia="Times New Roman" w:cs="Arial"/>
          <w:color w:val="000000"/>
          <w:szCs w:val="20"/>
          <w:lang w:eastAsia="bg-BG"/>
        </w:rPr>
      </w:pPr>
    </w:p>
    <w:p w14:paraId="0CE9DB06" w14:textId="3503772B"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Временно влошаване на симптомите на сърдечната недостатъчност може да се наблюдава в началото на терапията или при повишаване на дозата, особено при пациенти с тежка сърдечна недостатъчност и/или при терапия с високи дози диуретици. Обикновено, това </w:t>
      </w:r>
      <w:r w:rsidRPr="00305CA0">
        <w:rPr>
          <w:rFonts w:eastAsia="Times New Roman" w:cs="Arial"/>
          <w:i/>
          <w:iCs/>
          <w:color w:val="000000"/>
          <w:szCs w:val="20"/>
          <w:lang w:eastAsia="bg-BG"/>
        </w:rPr>
        <w:t>не</w:t>
      </w:r>
      <w:r w:rsidRPr="00305CA0">
        <w:rPr>
          <w:rFonts w:eastAsia="Times New Roman" w:cs="Arial"/>
          <w:color w:val="000000"/>
          <w:szCs w:val="20"/>
          <w:lang w:eastAsia="bg-BG"/>
        </w:rPr>
        <w:t xml:space="preserve"> е причина за спиране на терапията, но дозата не трябва да се повишава повече. Пациентът трябва да бъде мониториран от лекар/кардиолог за 2 часа след началото на терапията или след повишаване на дозата. Преди всяко повишаване на дозата, трябва да се извършва лекарски преглед за потенциални симптоми на влошена сърдечна недостатъчност или за симптоми на тежка вазодилатация (като ренална функция, телесно тегло, кръвно налягане, сърдечна честота и ритъм). Влошаването на сърдечната недостатъчност или задържането на течности се третира с повишаване на дозата на диуретика, като дозата на карведилол не трябва да се повишава до стабилизиране на пациента. При поява на брадикардия или в случаите на удължаване на </w:t>
      </w:r>
      <w:r w:rsidRPr="00305CA0">
        <w:rPr>
          <w:rFonts w:eastAsia="Times New Roman" w:cs="Arial"/>
          <w:color w:val="000000"/>
          <w:szCs w:val="20"/>
          <w:lang w:val="en-US"/>
        </w:rPr>
        <w:t>AV</w:t>
      </w:r>
      <w:r w:rsidRPr="00305CA0">
        <w:rPr>
          <w:rFonts w:eastAsia="Times New Roman" w:cs="Arial"/>
          <w:color w:val="000000"/>
          <w:szCs w:val="20"/>
          <w:lang w:val="ru-RU"/>
        </w:rPr>
        <w:t xml:space="preserve"> </w:t>
      </w:r>
      <w:r w:rsidRPr="00305CA0">
        <w:rPr>
          <w:rFonts w:eastAsia="Times New Roman" w:cs="Arial"/>
          <w:color w:val="000000"/>
          <w:szCs w:val="20"/>
          <w:lang w:eastAsia="bg-BG"/>
        </w:rPr>
        <w:t>проводимостта, на първо място трябва да се мониторират нивата на дигоксин. Рядко може да се наложи да се понижи дозата на карведилол или временно да се спре терапията. Дори и в тези случаи, внимателното титриране на дозата на карведилол може успешно да продължи.</w:t>
      </w:r>
    </w:p>
    <w:p w14:paraId="07FBEAF1" w14:textId="77777777" w:rsidR="00305CA0" w:rsidRPr="00305CA0" w:rsidRDefault="00305CA0" w:rsidP="00305CA0">
      <w:pPr>
        <w:spacing w:line="240" w:lineRule="auto"/>
        <w:rPr>
          <w:rFonts w:eastAsia="Times New Roman" w:cs="Arial"/>
          <w:color w:val="000000"/>
          <w:szCs w:val="20"/>
          <w:lang w:eastAsia="bg-BG"/>
        </w:rPr>
      </w:pPr>
    </w:p>
    <w:p w14:paraId="02842390" w14:textId="4440E0C6"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Ако терапията с карведилол е била спряна за повече от две седмици, възстановяването на терапията трябва да започне отново с доза 3,125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два пъти дневно и постепенно да бъде повишавана според по-горе упоменатите препоръки.</w:t>
      </w:r>
    </w:p>
    <w:p w14:paraId="1333F002" w14:textId="77777777" w:rsidR="00305CA0" w:rsidRPr="00305CA0" w:rsidRDefault="00305CA0" w:rsidP="00305CA0">
      <w:pPr>
        <w:spacing w:line="240" w:lineRule="auto"/>
        <w:rPr>
          <w:rFonts w:eastAsia="Times New Roman" w:cs="Arial"/>
          <w:i/>
          <w:iCs/>
          <w:color w:val="000000"/>
          <w:szCs w:val="20"/>
          <w:lang w:eastAsia="bg-BG"/>
        </w:rPr>
      </w:pPr>
    </w:p>
    <w:p w14:paraId="22550F80" w14:textId="6670DF50"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Бъбречна недостатъчност</w:t>
      </w:r>
    </w:p>
    <w:p w14:paraId="34406038"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lastRenderedPageBreak/>
        <w:t>Дозата трябва да се определи за всеки пациент индивидуално, но според фармакокинетичните параметри, не се налага промяна в дозата на карведилол при пациенти с бъбречна недостатъчност.</w:t>
      </w:r>
    </w:p>
    <w:p w14:paraId="5AE733FD" w14:textId="77777777" w:rsidR="00305CA0" w:rsidRPr="00305CA0" w:rsidRDefault="00305CA0" w:rsidP="00305CA0">
      <w:pPr>
        <w:spacing w:line="240" w:lineRule="auto"/>
        <w:rPr>
          <w:rFonts w:eastAsia="Times New Roman" w:cs="Arial"/>
          <w:i/>
          <w:iCs/>
          <w:color w:val="000000"/>
          <w:szCs w:val="20"/>
          <w:lang w:eastAsia="bg-BG"/>
        </w:rPr>
      </w:pPr>
    </w:p>
    <w:p w14:paraId="4AE12D1C" w14:textId="77777777" w:rsidR="00305CA0" w:rsidRPr="00305CA0" w:rsidRDefault="00305CA0" w:rsidP="00305CA0">
      <w:pPr>
        <w:spacing w:line="240" w:lineRule="auto"/>
        <w:rPr>
          <w:rFonts w:eastAsia="Times New Roman" w:cs="Arial"/>
          <w:i/>
          <w:iCs/>
          <w:color w:val="000000"/>
          <w:szCs w:val="20"/>
          <w:lang w:eastAsia="bg-BG"/>
        </w:rPr>
      </w:pPr>
      <w:r w:rsidRPr="00305CA0">
        <w:rPr>
          <w:rFonts w:eastAsia="Times New Roman" w:cs="Arial"/>
          <w:i/>
          <w:iCs/>
          <w:color w:val="000000"/>
          <w:szCs w:val="20"/>
          <w:lang w:eastAsia="bg-BG"/>
        </w:rPr>
        <w:t xml:space="preserve">Средно тежко нарушение на чернодробната функция </w:t>
      </w:r>
    </w:p>
    <w:p w14:paraId="24B81019" w14:textId="683B6D68"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Може да се наложи коригиране на дозата.</w:t>
      </w:r>
    </w:p>
    <w:p w14:paraId="260D5325" w14:textId="77777777" w:rsidR="00305CA0" w:rsidRPr="00305CA0" w:rsidRDefault="00305CA0" w:rsidP="00305CA0">
      <w:pPr>
        <w:spacing w:line="240" w:lineRule="auto"/>
        <w:rPr>
          <w:rFonts w:eastAsia="Times New Roman" w:cs="Arial"/>
          <w:i/>
          <w:iCs/>
          <w:color w:val="000000"/>
          <w:szCs w:val="20"/>
          <w:lang w:eastAsia="bg-BG"/>
        </w:rPr>
      </w:pPr>
    </w:p>
    <w:p w14:paraId="444E5B0F" w14:textId="72C260ED"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Деца и юноши (&lt; 18 години)</w:t>
      </w:r>
    </w:p>
    <w:p w14:paraId="0D082F56"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Няма достатъчно данни за ефикасността и безопасността на карведилол.</w:t>
      </w:r>
    </w:p>
    <w:p w14:paraId="15762578" w14:textId="77777777" w:rsidR="00305CA0" w:rsidRPr="00305CA0" w:rsidRDefault="00305CA0" w:rsidP="00305CA0">
      <w:pPr>
        <w:spacing w:line="240" w:lineRule="auto"/>
        <w:rPr>
          <w:rFonts w:eastAsia="Times New Roman" w:cs="Arial"/>
          <w:i/>
          <w:iCs/>
          <w:color w:val="000000"/>
          <w:szCs w:val="20"/>
          <w:lang w:eastAsia="bg-BG"/>
        </w:rPr>
      </w:pPr>
    </w:p>
    <w:p w14:paraId="0E0CA467" w14:textId="3B8C6E74"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Пациенти в старческа възраст</w:t>
      </w:r>
    </w:p>
    <w:p w14:paraId="160BB2B3"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Пациентите в старческа възраст може да са по-чувствителни към ефектите на карведилол и трябва да бъдат проследявани внимателно.</w:t>
      </w:r>
    </w:p>
    <w:p w14:paraId="33DE0635" w14:textId="77777777" w:rsidR="00305CA0" w:rsidRPr="00305CA0" w:rsidRDefault="00305CA0" w:rsidP="00305CA0">
      <w:pPr>
        <w:spacing w:line="240" w:lineRule="auto"/>
        <w:rPr>
          <w:rFonts w:eastAsia="Times New Roman" w:cs="Arial"/>
          <w:color w:val="000000"/>
          <w:szCs w:val="20"/>
          <w:lang w:eastAsia="bg-BG"/>
        </w:rPr>
      </w:pPr>
    </w:p>
    <w:p w14:paraId="59D3481B" w14:textId="70883173"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Както и при другите бета-блокери и особено при пациенти с коронарни заболяват, прилагането на карведилол трябва да стане постепенно (виж точка 4.4).</w:t>
      </w:r>
    </w:p>
    <w:p w14:paraId="26F06508" w14:textId="67A0FBCA" w:rsidR="00305CA0" w:rsidRPr="00305CA0" w:rsidRDefault="00305CA0" w:rsidP="00305CA0">
      <w:pPr>
        <w:rPr>
          <w:rFonts w:cs="Arial"/>
          <w:sz w:val="24"/>
        </w:rPr>
      </w:pPr>
    </w:p>
    <w:p w14:paraId="4B38ACD9"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u w:val="single"/>
          <w:lang w:eastAsia="bg-BG"/>
        </w:rPr>
        <w:t>Хипертония</w:t>
      </w:r>
    </w:p>
    <w:p w14:paraId="584BDDAB"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Карведилол може да бъде използван за лечение на хипертония самостоятелно или в комбинация с други антихипертензивни продукти, особено с тиазидни диуретици. Препоръчва се дозиране веднъж на ден, като препоръчителната максимална еднократна доза е 25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а препоръчителната максимална дневна доза е 50 </w:t>
      </w:r>
      <w:r w:rsidRPr="00305CA0">
        <w:rPr>
          <w:rFonts w:eastAsia="Times New Roman" w:cs="Arial"/>
          <w:color w:val="000000"/>
          <w:szCs w:val="20"/>
          <w:lang w:val="en-US"/>
        </w:rPr>
        <w:t>mg</w:t>
      </w:r>
      <w:r w:rsidRPr="00305CA0">
        <w:rPr>
          <w:rFonts w:eastAsia="Times New Roman" w:cs="Arial"/>
          <w:color w:val="000000"/>
          <w:szCs w:val="20"/>
          <w:lang w:val="ru-RU"/>
        </w:rPr>
        <w:t>.</w:t>
      </w:r>
    </w:p>
    <w:p w14:paraId="0FC421F6" w14:textId="77777777" w:rsidR="00305CA0" w:rsidRPr="00305CA0" w:rsidRDefault="00305CA0" w:rsidP="00305CA0">
      <w:pPr>
        <w:spacing w:line="240" w:lineRule="auto"/>
        <w:rPr>
          <w:rFonts w:eastAsia="Times New Roman" w:cs="Arial"/>
          <w:i/>
          <w:iCs/>
          <w:color w:val="000000"/>
          <w:szCs w:val="20"/>
          <w:lang w:eastAsia="bg-BG"/>
        </w:rPr>
      </w:pPr>
    </w:p>
    <w:p w14:paraId="7183D072" w14:textId="12CAF921"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Възрастни</w:t>
      </w:r>
    </w:p>
    <w:p w14:paraId="68E091C2"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Препоръчва се първоначална доза от 12,5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веднъж дневно през първите два дни. След това лечението се продължава с доза от 25 </w:t>
      </w:r>
      <w:r w:rsidRPr="00305CA0">
        <w:rPr>
          <w:rFonts w:eastAsia="Times New Roman" w:cs="Arial"/>
          <w:color w:val="000000"/>
          <w:szCs w:val="20"/>
          <w:lang w:val="en-US"/>
        </w:rPr>
        <w:t>mg</w:t>
      </w:r>
      <w:r w:rsidRPr="00305CA0">
        <w:rPr>
          <w:rFonts w:eastAsia="Times New Roman" w:cs="Arial"/>
          <w:color w:val="000000"/>
          <w:szCs w:val="20"/>
          <w:lang w:eastAsia="bg-BG"/>
        </w:rPr>
        <w:t>/дневно. При необходимост дозата може да бъде повишавана постепенно през интервал от две или повече седмици.</w:t>
      </w:r>
    </w:p>
    <w:p w14:paraId="23A18C60" w14:textId="77777777" w:rsidR="00305CA0" w:rsidRPr="00305CA0" w:rsidRDefault="00305CA0" w:rsidP="00305CA0">
      <w:pPr>
        <w:spacing w:line="240" w:lineRule="auto"/>
        <w:rPr>
          <w:rFonts w:eastAsia="Times New Roman" w:cs="Arial"/>
          <w:i/>
          <w:iCs/>
          <w:color w:val="000000"/>
          <w:szCs w:val="20"/>
          <w:lang w:eastAsia="bg-BG"/>
        </w:rPr>
      </w:pPr>
    </w:p>
    <w:p w14:paraId="0A44B27F" w14:textId="72578BF8"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Пациенти в старческа възраст</w:t>
      </w:r>
    </w:p>
    <w:p w14:paraId="08805EA6"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Препоръчителната първоначална доза при хипертония е 12,5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веднъж дневно, която също така може да се окаже достатъчна при по-нататъшно лечение. Ако обаче няма адекватен клиничен отговор, дозата може да бъде повишавана през интервали от две или повече седмици.</w:t>
      </w:r>
    </w:p>
    <w:p w14:paraId="2F4ACB9F" w14:textId="77777777" w:rsidR="00305CA0" w:rsidRPr="00305CA0" w:rsidRDefault="00305CA0" w:rsidP="00305CA0">
      <w:pPr>
        <w:spacing w:line="240" w:lineRule="auto"/>
        <w:rPr>
          <w:rFonts w:eastAsia="Times New Roman" w:cs="Arial"/>
          <w:color w:val="000000"/>
          <w:szCs w:val="20"/>
          <w:u w:val="single"/>
          <w:lang w:eastAsia="bg-BG"/>
        </w:rPr>
      </w:pPr>
    </w:p>
    <w:p w14:paraId="3FBBB5BC" w14:textId="07930C48"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u w:val="single"/>
          <w:lang w:eastAsia="bg-BG"/>
        </w:rPr>
        <w:t>Стабилна стенокардия</w:t>
      </w:r>
    </w:p>
    <w:p w14:paraId="5BF78C2E" w14:textId="77777777" w:rsidR="00305CA0" w:rsidRPr="00305CA0" w:rsidRDefault="00305CA0" w:rsidP="00305CA0">
      <w:pPr>
        <w:spacing w:line="240" w:lineRule="auto"/>
        <w:rPr>
          <w:rFonts w:eastAsia="Times New Roman" w:cs="Arial"/>
          <w:color w:val="000000"/>
          <w:szCs w:val="20"/>
          <w:lang w:eastAsia="bg-BG"/>
        </w:rPr>
      </w:pPr>
    </w:p>
    <w:p w14:paraId="1F37C650" w14:textId="48E3887A"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Препоръчва се режим на дозиране два пъти дневно.</w:t>
      </w:r>
    </w:p>
    <w:p w14:paraId="36B4AD84" w14:textId="77777777" w:rsidR="00305CA0" w:rsidRPr="00305CA0" w:rsidRDefault="00305CA0" w:rsidP="00305CA0">
      <w:pPr>
        <w:spacing w:line="240" w:lineRule="auto"/>
        <w:rPr>
          <w:rFonts w:eastAsia="Times New Roman" w:cs="Arial"/>
          <w:i/>
          <w:iCs/>
          <w:color w:val="000000"/>
          <w:szCs w:val="20"/>
          <w:lang w:eastAsia="bg-BG"/>
        </w:rPr>
      </w:pPr>
    </w:p>
    <w:p w14:paraId="39BFBCCF" w14:textId="637265B5"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Възрастни</w:t>
      </w:r>
    </w:p>
    <w:p w14:paraId="0BBB318F"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Препоръчва се първоначална доза от 12,5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два пъти дневно през първите два дни. След това дозата постепенно се повишава на 25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два пъти дневно. Ако е необходимо, дозата може да бъде повишавана постепенно на интервали от две или повече седмици до достигане на препоръчителната максимална доза от 100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дневно, разделена в два приема.</w:t>
      </w:r>
    </w:p>
    <w:p w14:paraId="37C2D7F4" w14:textId="77777777" w:rsidR="00305CA0" w:rsidRPr="00305CA0" w:rsidRDefault="00305CA0" w:rsidP="00305CA0">
      <w:pPr>
        <w:spacing w:line="240" w:lineRule="auto"/>
        <w:rPr>
          <w:rFonts w:eastAsia="Times New Roman" w:cs="Arial"/>
          <w:i/>
          <w:iCs/>
          <w:color w:val="000000"/>
          <w:szCs w:val="20"/>
          <w:lang w:eastAsia="bg-BG"/>
        </w:rPr>
      </w:pPr>
    </w:p>
    <w:p w14:paraId="2769050E" w14:textId="4C7175D9"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Пациенти в старческа възраст</w:t>
      </w:r>
    </w:p>
    <w:p w14:paraId="02F3B638"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Препоръчва се първоначалната доза през първите два дни да е 12,5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два пъти дневно. След това терапията продължава с доза от 25 </w:t>
      </w:r>
      <w:r w:rsidRPr="00305CA0">
        <w:rPr>
          <w:rFonts w:eastAsia="Times New Roman" w:cs="Arial"/>
          <w:color w:val="000000"/>
          <w:szCs w:val="20"/>
          <w:lang w:val="en-US"/>
        </w:rPr>
        <w:t>mg</w:t>
      </w:r>
      <w:r w:rsidRPr="00305CA0">
        <w:rPr>
          <w:rFonts w:eastAsia="Times New Roman" w:cs="Arial"/>
          <w:color w:val="000000"/>
          <w:szCs w:val="20"/>
          <w:lang w:val="ru-RU"/>
        </w:rPr>
        <w:t xml:space="preserve"> </w:t>
      </w:r>
      <w:r w:rsidRPr="00305CA0">
        <w:rPr>
          <w:rFonts w:eastAsia="Times New Roman" w:cs="Arial"/>
          <w:color w:val="000000"/>
          <w:szCs w:val="20"/>
          <w:lang w:eastAsia="bg-BG"/>
        </w:rPr>
        <w:t>два пъти дневно, която е максималната препоръчителна дневна доза.</w:t>
      </w:r>
    </w:p>
    <w:p w14:paraId="4F34771D" w14:textId="77777777" w:rsidR="00305CA0" w:rsidRPr="00305CA0" w:rsidRDefault="00305CA0" w:rsidP="00305CA0">
      <w:pPr>
        <w:spacing w:line="240" w:lineRule="auto"/>
        <w:rPr>
          <w:rFonts w:eastAsia="Times New Roman" w:cs="Arial"/>
          <w:color w:val="000000"/>
          <w:szCs w:val="20"/>
          <w:u w:val="single"/>
          <w:lang w:eastAsia="bg-BG"/>
        </w:rPr>
      </w:pPr>
    </w:p>
    <w:p w14:paraId="5AA2246F" w14:textId="42C9B513" w:rsidR="00305CA0" w:rsidRPr="00305CA0" w:rsidRDefault="00305CA0" w:rsidP="00305CA0">
      <w:pPr>
        <w:pStyle w:val="Heading3"/>
        <w:rPr>
          <w:rFonts w:eastAsia="Times New Roman"/>
          <w:sz w:val="28"/>
          <w:u w:val="single"/>
        </w:rPr>
      </w:pPr>
      <w:r w:rsidRPr="00305CA0">
        <w:rPr>
          <w:rFonts w:eastAsia="Times New Roman"/>
          <w:u w:val="single"/>
          <w:lang w:eastAsia="bg-BG"/>
        </w:rPr>
        <w:lastRenderedPageBreak/>
        <w:t>Начин на приложение</w:t>
      </w:r>
    </w:p>
    <w:p w14:paraId="195CA8F8"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Таблетките трябва да се приемат с достатъчно количество вода. Не е задължително таблетките да се приемат с храна. Въпреки това, на пациентите със сърдечна недостатъчност, се препоръчва да приемат карведилол с храната, за да се забави абсорбцията и да се намали риска от ортостатична хипотония.</w:t>
      </w:r>
    </w:p>
    <w:p w14:paraId="25E85ABD" w14:textId="77777777" w:rsidR="00305CA0" w:rsidRPr="00305CA0" w:rsidRDefault="00305CA0" w:rsidP="00305CA0"/>
    <w:p w14:paraId="0F253247" w14:textId="3EA40770" w:rsidR="007122AD" w:rsidRDefault="002C50EE" w:rsidP="00936AD0">
      <w:pPr>
        <w:pStyle w:val="Heading2"/>
      </w:pPr>
      <w:r>
        <w:t>4.3. Противопоказания</w:t>
      </w:r>
    </w:p>
    <w:p w14:paraId="35BE1A6C" w14:textId="590866B1" w:rsidR="00305CA0" w:rsidRDefault="00305CA0" w:rsidP="00305CA0"/>
    <w:p w14:paraId="528F1E16" w14:textId="77777777" w:rsidR="00305CA0" w:rsidRPr="00305CA0" w:rsidRDefault="00305CA0" w:rsidP="00305CA0">
      <w:pPr>
        <w:pStyle w:val="ListParagraph"/>
        <w:numPr>
          <w:ilvl w:val="0"/>
          <w:numId w:val="38"/>
        </w:numPr>
        <w:rPr>
          <w:lang w:eastAsia="bg-BG"/>
        </w:rPr>
      </w:pPr>
      <w:r w:rsidRPr="00305CA0">
        <w:rPr>
          <w:lang w:eastAsia="bg-BG"/>
        </w:rPr>
        <w:t>Свръхчувствителност към карведилол или към някое от помощните вещества, изброени в точка 6.1;</w:t>
      </w:r>
    </w:p>
    <w:p w14:paraId="5782090F" w14:textId="77777777" w:rsidR="00305CA0" w:rsidRPr="00305CA0" w:rsidRDefault="00305CA0" w:rsidP="00305CA0">
      <w:pPr>
        <w:pStyle w:val="ListParagraph"/>
        <w:numPr>
          <w:ilvl w:val="0"/>
          <w:numId w:val="38"/>
        </w:numPr>
        <w:rPr>
          <w:lang w:eastAsia="bg-BG"/>
        </w:rPr>
      </w:pPr>
      <w:r w:rsidRPr="00305CA0">
        <w:rPr>
          <w:lang w:eastAsia="bg-BG"/>
        </w:rPr>
        <w:t>Нестабилна/декомпенсирана сърдечна недостатъчност;</w:t>
      </w:r>
    </w:p>
    <w:p w14:paraId="32A260D6" w14:textId="77777777" w:rsidR="00305CA0" w:rsidRPr="00305CA0" w:rsidRDefault="00305CA0" w:rsidP="00305CA0">
      <w:pPr>
        <w:pStyle w:val="ListParagraph"/>
        <w:numPr>
          <w:ilvl w:val="0"/>
          <w:numId w:val="38"/>
        </w:numPr>
        <w:rPr>
          <w:lang w:eastAsia="bg-BG"/>
        </w:rPr>
      </w:pPr>
      <w:r w:rsidRPr="00305CA0">
        <w:rPr>
          <w:lang w:eastAsia="bg-BG"/>
        </w:rPr>
        <w:t>Клинично изявена чернодробна дисфункция;</w:t>
      </w:r>
    </w:p>
    <w:p w14:paraId="1A69CA29" w14:textId="77777777" w:rsidR="00305CA0" w:rsidRPr="00305CA0" w:rsidRDefault="00305CA0" w:rsidP="00305CA0">
      <w:pPr>
        <w:pStyle w:val="ListParagraph"/>
        <w:numPr>
          <w:ilvl w:val="0"/>
          <w:numId w:val="38"/>
        </w:numPr>
        <w:rPr>
          <w:lang w:val="ru-RU"/>
        </w:rPr>
      </w:pPr>
      <w:r w:rsidRPr="00305CA0">
        <w:rPr>
          <w:lang w:val="en-US"/>
        </w:rPr>
        <w:t>AV</w:t>
      </w:r>
      <w:r w:rsidRPr="00305CA0">
        <w:rPr>
          <w:lang w:val="ru-RU"/>
        </w:rPr>
        <w:t xml:space="preserve"> </w:t>
      </w:r>
      <w:r w:rsidRPr="00305CA0">
        <w:rPr>
          <w:lang w:eastAsia="bg-BG"/>
        </w:rPr>
        <w:t xml:space="preserve">блок </w:t>
      </w:r>
      <w:r w:rsidRPr="00305CA0">
        <w:rPr>
          <w:lang w:val="en-US"/>
        </w:rPr>
        <w:t>II</w:t>
      </w:r>
      <w:r w:rsidRPr="00305CA0">
        <w:rPr>
          <w:lang w:eastAsia="bg-BG"/>
        </w:rPr>
        <w:t xml:space="preserve">-ра или </w:t>
      </w:r>
      <w:r w:rsidRPr="00305CA0">
        <w:rPr>
          <w:lang w:val="en-US"/>
        </w:rPr>
        <w:t>III</w:t>
      </w:r>
      <w:r w:rsidRPr="00305CA0">
        <w:rPr>
          <w:lang w:eastAsia="bg-BG"/>
        </w:rPr>
        <w:t>-та степен (освен при поставен постоянен пейсмейкър);</w:t>
      </w:r>
    </w:p>
    <w:p w14:paraId="677D4741" w14:textId="77777777" w:rsidR="00305CA0" w:rsidRPr="00305CA0" w:rsidRDefault="00305CA0" w:rsidP="00305CA0">
      <w:pPr>
        <w:pStyle w:val="ListParagraph"/>
        <w:numPr>
          <w:ilvl w:val="0"/>
          <w:numId w:val="38"/>
        </w:numPr>
        <w:rPr>
          <w:lang w:eastAsia="bg-BG"/>
        </w:rPr>
      </w:pPr>
      <w:r w:rsidRPr="00305CA0">
        <w:rPr>
          <w:lang w:eastAsia="bg-BG"/>
        </w:rPr>
        <w:t>Тежка брадикардия (&lt; 50 удара/минута);</w:t>
      </w:r>
    </w:p>
    <w:p w14:paraId="4C2389F0" w14:textId="77777777" w:rsidR="00305CA0" w:rsidRPr="00305CA0" w:rsidRDefault="00305CA0" w:rsidP="00305CA0">
      <w:pPr>
        <w:pStyle w:val="ListParagraph"/>
        <w:numPr>
          <w:ilvl w:val="0"/>
          <w:numId w:val="38"/>
        </w:numPr>
        <w:rPr>
          <w:lang w:eastAsia="bg-BG"/>
        </w:rPr>
      </w:pPr>
      <w:r w:rsidRPr="00305CA0">
        <w:rPr>
          <w:lang w:eastAsia="bg-BG"/>
        </w:rPr>
        <w:t>Синдром на болния синусов възел (включително синоатриален блок);</w:t>
      </w:r>
    </w:p>
    <w:p w14:paraId="0A6FA9A9" w14:textId="77777777" w:rsidR="00305CA0" w:rsidRPr="00305CA0" w:rsidRDefault="00305CA0" w:rsidP="00305CA0">
      <w:pPr>
        <w:pStyle w:val="ListParagraph"/>
        <w:numPr>
          <w:ilvl w:val="0"/>
          <w:numId w:val="38"/>
        </w:numPr>
        <w:rPr>
          <w:lang w:eastAsia="bg-BG"/>
        </w:rPr>
      </w:pPr>
      <w:r w:rsidRPr="00305CA0">
        <w:rPr>
          <w:lang w:eastAsia="bg-BG"/>
        </w:rPr>
        <w:t xml:space="preserve">Тежка хипотония (систолично артериално налягане под 85 </w:t>
      </w:r>
      <w:r w:rsidRPr="00305CA0">
        <w:rPr>
          <w:lang w:val="en-US"/>
        </w:rPr>
        <w:t>mmHg</w:t>
      </w:r>
      <w:r w:rsidRPr="00305CA0">
        <w:rPr>
          <w:lang w:val="ru-RU"/>
        </w:rPr>
        <w:t>);</w:t>
      </w:r>
    </w:p>
    <w:p w14:paraId="78CC7A54" w14:textId="77777777" w:rsidR="00305CA0" w:rsidRPr="00305CA0" w:rsidRDefault="00305CA0" w:rsidP="00305CA0">
      <w:pPr>
        <w:pStyle w:val="ListParagraph"/>
        <w:numPr>
          <w:ilvl w:val="0"/>
          <w:numId w:val="38"/>
        </w:numPr>
        <w:rPr>
          <w:lang w:eastAsia="bg-BG"/>
        </w:rPr>
      </w:pPr>
      <w:r w:rsidRPr="00305CA0">
        <w:rPr>
          <w:lang w:eastAsia="bg-BG"/>
        </w:rPr>
        <w:t>Кардиогенен шок;</w:t>
      </w:r>
    </w:p>
    <w:p w14:paraId="32587CC1" w14:textId="136FB6F1" w:rsidR="00305CA0" w:rsidRDefault="00305CA0" w:rsidP="00305CA0">
      <w:pPr>
        <w:pStyle w:val="ListParagraph"/>
        <w:numPr>
          <w:ilvl w:val="0"/>
          <w:numId w:val="38"/>
        </w:numPr>
        <w:rPr>
          <w:lang w:eastAsia="bg-BG"/>
        </w:rPr>
      </w:pPr>
      <w:r w:rsidRPr="00305CA0">
        <w:rPr>
          <w:lang w:eastAsia="bg-BG"/>
        </w:rPr>
        <w:t>Анамнеза за бронхоспазъм или астма.</w:t>
      </w:r>
    </w:p>
    <w:p w14:paraId="3FC9E5F6" w14:textId="77777777" w:rsidR="00305CA0" w:rsidRPr="00305CA0" w:rsidRDefault="00305CA0" w:rsidP="00305CA0"/>
    <w:p w14:paraId="0E0BDCC7" w14:textId="65CB3333" w:rsidR="007122AD" w:rsidRDefault="002C50EE" w:rsidP="00936AD0">
      <w:pPr>
        <w:pStyle w:val="Heading2"/>
      </w:pPr>
      <w:r>
        <w:t>4.4. Специални предупреждения и предпазни мерки при употреба</w:t>
      </w:r>
    </w:p>
    <w:p w14:paraId="3F78133A" w14:textId="7C8680E4" w:rsidR="00305CA0" w:rsidRDefault="00305CA0" w:rsidP="00305CA0"/>
    <w:p w14:paraId="04FBFA4A" w14:textId="77777777" w:rsidR="00305CA0" w:rsidRPr="00305CA0" w:rsidRDefault="00305CA0" w:rsidP="00305CA0">
      <w:pPr>
        <w:spacing w:line="240" w:lineRule="auto"/>
        <w:rPr>
          <w:rFonts w:eastAsia="Times New Roman" w:cs="Arial"/>
        </w:rPr>
      </w:pPr>
      <w:bookmarkStart w:id="1" w:name="bookmark0"/>
      <w:r w:rsidRPr="00305CA0">
        <w:rPr>
          <w:rFonts w:eastAsia="Times New Roman" w:cs="Arial"/>
          <w:b/>
          <w:bCs/>
          <w:color w:val="000000"/>
          <w:lang w:eastAsia="bg-BG"/>
        </w:rPr>
        <w:t>Хронична застойна сърдечна недостатъчност</w:t>
      </w:r>
      <w:bookmarkEnd w:id="1"/>
    </w:p>
    <w:p w14:paraId="59FB94F3" w14:textId="77777777" w:rsidR="00305CA0" w:rsidRPr="00305CA0" w:rsidRDefault="00305CA0" w:rsidP="00305CA0">
      <w:pPr>
        <w:rPr>
          <w:rFonts w:eastAsia="Times New Roman" w:cs="Arial"/>
        </w:rPr>
      </w:pPr>
      <w:r w:rsidRPr="00305CA0">
        <w:rPr>
          <w:rFonts w:eastAsia="Times New Roman" w:cs="Arial"/>
          <w:color w:val="000000"/>
          <w:lang w:eastAsia="bg-BG"/>
        </w:rPr>
        <w:t>При повишаване на дозата чрез титриране при пациенти със застойна сърдечна недостатъчност, може да се влоши сърдечната недостатъчност или да се задържат течности. При поява на такива симптоми трябва да се повиши дозата на диуретиците, а дозата на карведилол не трябва да се повишава до възстановяване на клиничната стабилност. Понякога може да е необходимо дозата на карведилол да се понижи или в редки случаи лечението временно да се прекрати. Такива епизоди не изключват последващо успешно титриране на дозата карведилол.</w:t>
      </w:r>
    </w:p>
    <w:p w14:paraId="321C252C" w14:textId="77777777" w:rsidR="00305CA0" w:rsidRPr="00305CA0" w:rsidRDefault="00305CA0" w:rsidP="00305CA0">
      <w:pPr>
        <w:spacing w:line="240" w:lineRule="auto"/>
        <w:rPr>
          <w:rFonts w:eastAsia="Times New Roman" w:cs="Arial"/>
          <w:color w:val="000000"/>
          <w:lang w:eastAsia="bg-BG"/>
        </w:rPr>
      </w:pPr>
    </w:p>
    <w:p w14:paraId="0B087162" w14:textId="77777777" w:rsidR="00305CA0" w:rsidRPr="00305CA0" w:rsidRDefault="00305CA0" w:rsidP="00305CA0">
      <w:pPr>
        <w:spacing w:line="240" w:lineRule="auto"/>
        <w:rPr>
          <w:rFonts w:eastAsia="Times New Roman" w:cs="Arial"/>
          <w:color w:val="000000"/>
          <w:lang w:eastAsia="bg-BG"/>
        </w:rPr>
      </w:pPr>
      <w:r w:rsidRPr="00305CA0">
        <w:rPr>
          <w:rFonts w:eastAsia="Times New Roman" w:cs="Arial"/>
          <w:color w:val="000000"/>
          <w:lang w:eastAsia="bg-BG"/>
        </w:rPr>
        <w:t xml:space="preserve">Карведилол трябва да се използва с повишено внимание в комбинация с дигиталисови гликозиди, тъй като и </w:t>
      </w:r>
    </w:p>
    <w:p w14:paraId="238E171B" w14:textId="7CCACC31" w:rsidR="00305CA0" w:rsidRPr="00305CA0" w:rsidRDefault="00305CA0" w:rsidP="00305CA0">
      <w:pPr>
        <w:spacing w:line="240" w:lineRule="auto"/>
        <w:rPr>
          <w:rFonts w:eastAsia="Times New Roman" w:cs="Arial"/>
        </w:rPr>
      </w:pPr>
      <w:r w:rsidRPr="00305CA0">
        <w:rPr>
          <w:rFonts w:eastAsia="Times New Roman" w:cs="Arial"/>
          <w:color w:val="000000"/>
          <w:lang w:eastAsia="bg-BG"/>
        </w:rPr>
        <w:t xml:space="preserve">двете лекарствени вещества забавят </w:t>
      </w:r>
      <w:r w:rsidRPr="00305CA0">
        <w:rPr>
          <w:rFonts w:eastAsia="Times New Roman" w:cs="Arial"/>
          <w:color w:val="000000"/>
          <w:lang w:val="en-US"/>
        </w:rPr>
        <w:t>AV</w:t>
      </w:r>
      <w:r w:rsidRPr="00305CA0">
        <w:rPr>
          <w:rFonts w:eastAsia="Times New Roman" w:cs="Arial"/>
          <w:color w:val="000000"/>
          <w:lang w:val="ru-RU"/>
        </w:rPr>
        <w:t xml:space="preserve"> </w:t>
      </w:r>
      <w:r w:rsidRPr="00305CA0">
        <w:rPr>
          <w:rFonts w:eastAsia="Times New Roman" w:cs="Arial"/>
          <w:color w:val="000000"/>
          <w:lang w:eastAsia="bg-BG"/>
        </w:rPr>
        <w:t>проводимостта.</w:t>
      </w:r>
    </w:p>
    <w:p w14:paraId="3B3AE47D" w14:textId="77777777" w:rsidR="00305CA0" w:rsidRPr="00305CA0" w:rsidRDefault="00305CA0" w:rsidP="00305CA0">
      <w:pPr>
        <w:spacing w:line="240" w:lineRule="auto"/>
        <w:rPr>
          <w:rFonts w:eastAsia="Times New Roman" w:cs="Arial"/>
          <w:b/>
          <w:bCs/>
          <w:color w:val="000000"/>
          <w:lang w:eastAsia="bg-BG"/>
        </w:rPr>
      </w:pPr>
    </w:p>
    <w:p w14:paraId="1D191EB5" w14:textId="5DF2808F" w:rsidR="00305CA0" w:rsidRPr="00305CA0" w:rsidRDefault="00305CA0" w:rsidP="00305CA0">
      <w:pPr>
        <w:spacing w:line="240" w:lineRule="auto"/>
        <w:rPr>
          <w:rFonts w:eastAsia="Times New Roman" w:cs="Arial"/>
        </w:rPr>
      </w:pPr>
      <w:r w:rsidRPr="00305CA0">
        <w:rPr>
          <w:rFonts w:eastAsia="Times New Roman" w:cs="Arial"/>
          <w:b/>
          <w:bCs/>
          <w:color w:val="000000"/>
          <w:lang w:eastAsia="bg-BG"/>
        </w:rPr>
        <w:t>Бъбречна функция при застойна сърдечна недостатъчност</w:t>
      </w:r>
    </w:p>
    <w:p w14:paraId="67BBCC8F"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Обратимо влошаване на бъбречната функция е наблюдавано по време на терапия с карведилол при пациенти със сърдечна недостатъчност с ниско кръвно налягане (систолично</w:t>
      </w:r>
    </w:p>
    <w:p w14:paraId="2AA37CBE"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 xml:space="preserve">АН &lt;100 </w:t>
      </w:r>
      <w:r w:rsidRPr="00305CA0">
        <w:rPr>
          <w:rFonts w:eastAsia="Times New Roman" w:cs="Arial"/>
          <w:color w:val="000000"/>
          <w:lang w:val="en-US"/>
        </w:rPr>
        <w:t>mmHg</w:t>
      </w:r>
      <w:r w:rsidRPr="00305CA0">
        <w:rPr>
          <w:rFonts w:eastAsia="Times New Roman" w:cs="Arial"/>
          <w:color w:val="000000"/>
          <w:lang w:val="ru-RU"/>
        </w:rPr>
        <w:t xml:space="preserve">), </w:t>
      </w:r>
      <w:r w:rsidRPr="00305CA0">
        <w:rPr>
          <w:rFonts w:eastAsia="Times New Roman" w:cs="Arial"/>
          <w:color w:val="000000"/>
          <w:lang w:eastAsia="bg-BG"/>
        </w:rPr>
        <w:t>исхемична болест на сърцето и дифузно съдово заболяване и/или съпътстваща бъбречна недостатъчност.</w:t>
      </w:r>
    </w:p>
    <w:p w14:paraId="3989F89A" w14:textId="77777777" w:rsidR="00305CA0" w:rsidRPr="00305CA0" w:rsidRDefault="00305CA0" w:rsidP="00305CA0">
      <w:pPr>
        <w:spacing w:line="240" w:lineRule="auto"/>
        <w:rPr>
          <w:rFonts w:eastAsia="Times New Roman" w:cs="Arial"/>
          <w:b/>
          <w:bCs/>
          <w:color w:val="000000"/>
          <w:lang w:eastAsia="bg-BG"/>
        </w:rPr>
      </w:pPr>
      <w:bookmarkStart w:id="2" w:name="bookmark2"/>
    </w:p>
    <w:p w14:paraId="5CF542FD" w14:textId="5D5C5085" w:rsidR="00305CA0" w:rsidRPr="00305CA0" w:rsidRDefault="00305CA0" w:rsidP="00305CA0">
      <w:pPr>
        <w:spacing w:line="240" w:lineRule="auto"/>
        <w:rPr>
          <w:rFonts w:eastAsia="Times New Roman" w:cs="Arial"/>
        </w:rPr>
      </w:pPr>
      <w:r w:rsidRPr="00305CA0">
        <w:rPr>
          <w:rFonts w:eastAsia="Times New Roman" w:cs="Arial"/>
          <w:b/>
          <w:bCs/>
          <w:color w:val="000000"/>
          <w:lang w:eastAsia="bg-BG"/>
        </w:rPr>
        <w:t>Левокамерна дисфункция след остър миокарден инфаркт</w:t>
      </w:r>
      <w:bookmarkEnd w:id="2"/>
    </w:p>
    <w:p w14:paraId="4817C611"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Преди започване на лечението с карведилол пациентът трябва да бъде клинично стабилен и да е приемал АСЕ инхибитор поне 48 часа преди това, а дозата на АСЕ инхибитора трябва да е стабилна в продължение на най-малко 24 часа.</w:t>
      </w:r>
    </w:p>
    <w:p w14:paraId="5A95E6F0" w14:textId="77777777" w:rsidR="00305CA0" w:rsidRPr="00305CA0" w:rsidRDefault="00305CA0" w:rsidP="00305CA0">
      <w:pPr>
        <w:spacing w:line="240" w:lineRule="auto"/>
        <w:rPr>
          <w:rFonts w:eastAsia="Times New Roman" w:cs="Arial"/>
          <w:b/>
          <w:bCs/>
          <w:color w:val="000000"/>
          <w:lang w:eastAsia="bg-BG"/>
        </w:rPr>
      </w:pPr>
      <w:bookmarkStart w:id="3" w:name="bookmark4"/>
    </w:p>
    <w:p w14:paraId="53165211" w14:textId="7D12F034" w:rsidR="00305CA0" w:rsidRPr="00305CA0" w:rsidRDefault="00305CA0" w:rsidP="00305CA0">
      <w:pPr>
        <w:spacing w:line="240" w:lineRule="auto"/>
        <w:rPr>
          <w:rFonts w:eastAsia="Times New Roman" w:cs="Arial"/>
        </w:rPr>
      </w:pPr>
      <w:r w:rsidRPr="00305CA0">
        <w:rPr>
          <w:rFonts w:eastAsia="Times New Roman" w:cs="Arial"/>
          <w:b/>
          <w:bCs/>
          <w:color w:val="000000"/>
          <w:lang w:eastAsia="bg-BG"/>
        </w:rPr>
        <w:t>Хроничната обструктивна белодробна болест</w:t>
      </w:r>
      <w:bookmarkEnd w:id="3"/>
    </w:p>
    <w:p w14:paraId="1A57327D"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lastRenderedPageBreak/>
        <w:t>При пациенти с хронична обструктивна белодробна болест (ХОББ) с бронхоспастичен компонент, които не са получавали перорално или инхалаторно лечение карведилол трябва да се използва с повишено внимание и то само ако потенциалната полза надхвърля потенциалния риск.</w:t>
      </w:r>
    </w:p>
    <w:p w14:paraId="1E38B6DC"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При пациенти със склонност към бронхоспазъм, може да възникне респираторен дистрес вследствие на възможно увеличаване на резистентността на дихателните пътища. Пациентите трябва да бъдат внимателно наблюдавани в началото на терапията и при повишаване на дозата на карведилол и дозата на карведилол трябва да се понижи, ако по време на лечението има доказателства за бронхоспазъм.</w:t>
      </w:r>
    </w:p>
    <w:p w14:paraId="1EE7E5DF" w14:textId="77777777" w:rsidR="00305CA0" w:rsidRPr="00305CA0" w:rsidRDefault="00305CA0" w:rsidP="00305CA0">
      <w:pPr>
        <w:spacing w:line="240" w:lineRule="auto"/>
        <w:rPr>
          <w:rFonts w:eastAsia="Times New Roman" w:cs="Arial"/>
          <w:b/>
          <w:bCs/>
          <w:color w:val="000000"/>
          <w:lang w:eastAsia="bg-BG"/>
        </w:rPr>
      </w:pPr>
      <w:bookmarkStart w:id="4" w:name="bookmark6"/>
    </w:p>
    <w:p w14:paraId="00CBDA69" w14:textId="43C95C54" w:rsidR="00305CA0" w:rsidRPr="00305CA0" w:rsidRDefault="00305CA0" w:rsidP="00305CA0">
      <w:pPr>
        <w:spacing w:line="240" w:lineRule="auto"/>
        <w:rPr>
          <w:rFonts w:eastAsia="Times New Roman" w:cs="Arial"/>
        </w:rPr>
      </w:pPr>
      <w:r w:rsidRPr="00305CA0">
        <w:rPr>
          <w:rFonts w:eastAsia="Times New Roman" w:cs="Arial"/>
          <w:b/>
          <w:bCs/>
          <w:color w:val="000000"/>
          <w:lang w:eastAsia="bg-BG"/>
        </w:rPr>
        <w:t>Диабет</w:t>
      </w:r>
      <w:bookmarkEnd w:id="4"/>
    </w:p>
    <w:p w14:paraId="2786A25F"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Трябва да се внимава при приложение на карведилол на пациенти със захарен диабет, тъй като ранните признаци и симптоми на остра хипогликемия могат да бъдат маскирани или отслабени. При пациенти с хронична сърдечна недостатъчност и диабет, употребата на карведилол може да влоши контрола на кръвната захар.</w:t>
      </w:r>
    </w:p>
    <w:p w14:paraId="2B634770" w14:textId="77777777" w:rsidR="00305CA0" w:rsidRPr="00305CA0" w:rsidRDefault="00305CA0" w:rsidP="00305CA0">
      <w:pPr>
        <w:spacing w:line="240" w:lineRule="auto"/>
        <w:rPr>
          <w:rFonts w:eastAsia="Times New Roman" w:cs="Arial"/>
          <w:b/>
          <w:bCs/>
          <w:color w:val="000000"/>
          <w:lang w:eastAsia="bg-BG"/>
        </w:rPr>
      </w:pPr>
      <w:bookmarkStart w:id="5" w:name="bookmark8"/>
    </w:p>
    <w:p w14:paraId="730FE124" w14:textId="416A704E" w:rsidR="00305CA0" w:rsidRPr="00305CA0" w:rsidRDefault="00305CA0" w:rsidP="00305CA0">
      <w:pPr>
        <w:spacing w:line="240" w:lineRule="auto"/>
        <w:rPr>
          <w:rFonts w:eastAsia="Times New Roman" w:cs="Arial"/>
        </w:rPr>
      </w:pPr>
      <w:r w:rsidRPr="00305CA0">
        <w:rPr>
          <w:rFonts w:eastAsia="Times New Roman" w:cs="Arial"/>
          <w:b/>
          <w:bCs/>
          <w:color w:val="000000"/>
          <w:lang w:eastAsia="bg-BG"/>
        </w:rPr>
        <w:t>Периферна съдова болест</w:t>
      </w:r>
      <w:bookmarkEnd w:id="5"/>
    </w:p>
    <w:p w14:paraId="433D041F" w14:textId="395E65A3" w:rsidR="00305CA0" w:rsidRPr="00305CA0" w:rsidRDefault="00305CA0" w:rsidP="00305CA0">
      <w:pPr>
        <w:spacing w:line="240" w:lineRule="auto"/>
        <w:rPr>
          <w:rFonts w:eastAsia="Times New Roman" w:cs="Arial"/>
        </w:rPr>
      </w:pPr>
      <w:r w:rsidRPr="00305CA0">
        <w:rPr>
          <w:rFonts w:eastAsia="Times New Roman" w:cs="Arial"/>
          <w:color w:val="000000"/>
          <w:lang w:eastAsia="bg-BG"/>
        </w:rPr>
        <w:t>Карведилол трябва да се използва с повишено внимание при пациенти с периферна съдова болест, тъй като β-блокерите могат да отключат или да влошат симптомите на артериална недостатъчност.</w:t>
      </w:r>
    </w:p>
    <w:p w14:paraId="2FF2A9DB" w14:textId="77777777" w:rsidR="00305CA0" w:rsidRPr="00305CA0" w:rsidRDefault="00305CA0" w:rsidP="00305CA0">
      <w:pPr>
        <w:spacing w:line="240" w:lineRule="auto"/>
        <w:rPr>
          <w:rFonts w:eastAsia="Times New Roman" w:cs="Arial"/>
          <w:b/>
          <w:bCs/>
          <w:color w:val="000000"/>
          <w:lang w:eastAsia="bg-BG"/>
        </w:rPr>
      </w:pPr>
      <w:bookmarkStart w:id="6" w:name="bookmark10"/>
    </w:p>
    <w:p w14:paraId="16D3F9FF" w14:textId="1AB86B22" w:rsidR="00305CA0" w:rsidRPr="00305CA0" w:rsidRDefault="00305CA0" w:rsidP="00305CA0">
      <w:pPr>
        <w:spacing w:line="240" w:lineRule="auto"/>
        <w:rPr>
          <w:rFonts w:eastAsia="Times New Roman" w:cs="Arial"/>
        </w:rPr>
      </w:pPr>
      <w:r w:rsidRPr="00305CA0">
        <w:rPr>
          <w:rFonts w:eastAsia="Times New Roman" w:cs="Arial"/>
          <w:b/>
          <w:bCs/>
          <w:color w:val="000000"/>
          <w:lang w:eastAsia="bg-BG"/>
        </w:rPr>
        <w:t>Феномен на Рейно</w:t>
      </w:r>
      <w:bookmarkEnd w:id="6"/>
    </w:p>
    <w:p w14:paraId="5D2A7238"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Карведилол трябва да се използва с повишено внимание при пациенти, страдащи от периферни циркулаторни нарушения (напр. феномен на Рейно), тъй като симптомите могат да се обострят.</w:t>
      </w:r>
    </w:p>
    <w:p w14:paraId="1650A895" w14:textId="77777777" w:rsidR="00305CA0" w:rsidRPr="00305CA0" w:rsidRDefault="00305CA0" w:rsidP="00305CA0">
      <w:pPr>
        <w:spacing w:line="240" w:lineRule="auto"/>
        <w:rPr>
          <w:rFonts w:eastAsia="Times New Roman" w:cs="Arial"/>
          <w:b/>
          <w:bCs/>
          <w:color w:val="000000"/>
          <w:lang w:eastAsia="bg-BG"/>
        </w:rPr>
      </w:pPr>
      <w:bookmarkStart w:id="7" w:name="bookmark12"/>
    </w:p>
    <w:p w14:paraId="406CAC3B" w14:textId="756DF4AE" w:rsidR="00305CA0" w:rsidRPr="00305CA0" w:rsidRDefault="00305CA0" w:rsidP="00305CA0">
      <w:pPr>
        <w:spacing w:line="240" w:lineRule="auto"/>
        <w:rPr>
          <w:rFonts w:eastAsia="Times New Roman" w:cs="Arial"/>
        </w:rPr>
      </w:pPr>
      <w:r w:rsidRPr="00305CA0">
        <w:rPr>
          <w:rFonts w:eastAsia="Times New Roman" w:cs="Arial"/>
          <w:b/>
          <w:bCs/>
          <w:color w:val="000000"/>
          <w:lang w:eastAsia="bg-BG"/>
        </w:rPr>
        <w:t>Тиреотоксикоза</w:t>
      </w:r>
      <w:bookmarkEnd w:id="7"/>
    </w:p>
    <w:p w14:paraId="24181DC4"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Карведилол може за замаскира симптомите на тиреотоксикоза.</w:t>
      </w:r>
    </w:p>
    <w:p w14:paraId="1240CA9F" w14:textId="77777777" w:rsidR="00305CA0" w:rsidRPr="00305CA0" w:rsidRDefault="00305CA0" w:rsidP="00305CA0">
      <w:pPr>
        <w:spacing w:line="240" w:lineRule="auto"/>
        <w:rPr>
          <w:rFonts w:eastAsia="Times New Roman" w:cs="Arial"/>
          <w:b/>
          <w:bCs/>
          <w:color w:val="000000"/>
          <w:lang w:eastAsia="bg-BG"/>
        </w:rPr>
      </w:pPr>
      <w:bookmarkStart w:id="8" w:name="bookmark14"/>
    </w:p>
    <w:p w14:paraId="4C3AA2DF" w14:textId="2F6008DD" w:rsidR="00305CA0" w:rsidRPr="00305CA0" w:rsidRDefault="00305CA0" w:rsidP="00305CA0">
      <w:pPr>
        <w:spacing w:line="240" w:lineRule="auto"/>
        <w:rPr>
          <w:rFonts w:eastAsia="Times New Roman" w:cs="Arial"/>
        </w:rPr>
      </w:pPr>
      <w:r w:rsidRPr="00305CA0">
        <w:rPr>
          <w:rFonts w:eastAsia="Times New Roman" w:cs="Arial"/>
          <w:b/>
          <w:bCs/>
          <w:color w:val="000000"/>
          <w:lang w:eastAsia="bg-BG"/>
        </w:rPr>
        <w:t>Анестезия н големи операции</w:t>
      </w:r>
      <w:bookmarkEnd w:id="8"/>
    </w:p>
    <w:p w14:paraId="00872779"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При пациенти подлежащи на общи хирургични интервенции се изисква повишено внимание, поради синергични негативни инотропни ефекти на карведилол и анестетиците.</w:t>
      </w:r>
    </w:p>
    <w:p w14:paraId="472B6F61" w14:textId="77777777" w:rsidR="00305CA0" w:rsidRPr="00305CA0" w:rsidRDefault="00305CA0" w:rsidP="00305CA0">
      <w:pPr>
        <w:spacing w:line="240" w:lineRule="auto"/>
        <w:rPr>
          <w:rFonts w:eastAsia="Times New Roman" w:cs="Arial"/>
          <w:b/>
          <w:bCs/>
          <w:color w:val="000000"/>
          <w:lang w:eastAsia="bg-BG"/>
        </w:rPr>
      </w:pPr>
    </w:p>
    <w:p w14:paraId="5C01F3FE" w14:textId="5AAA0269" w:rsidR="00305CA0" w:rsidRPr="00305CA0" w:rsidRDefault="00305CA0" w:rsidP="00305CA0">
      <w:pPr>
        <w:spacing w:line="240" w:lineRule="auto"/>
        <w:rPr>
          <w:rFonts w:eastAsia="Times New Roman" w:cs="Arial"/>
        </w:rPr>
      </w:pPr>
      <w:r w:rsidRPr="00305CA0">
        <w:rPr>
          <w:rFonts w:eastAsia="Times New Roman" w:cs="Arial"/>
          <w:b/>
          <w:bCs/>
          <w:color w:val="000000"/>
          <w:lang w:eastAsia="bg-BG"/>
        </w:rPr>
        <w:t>Брадикардия</w:t>
      </w:r>
    </w:p>
    <w:p w14:paraId="51FA4977"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Карведилол може да предизвика брадикардия. При намаляване на сърдечната честота под</w:t>
      </w:r>
    </w:p>
    <w:p w14:paraId="51BD9610" w14:textId="09E138A5" w:rsidR="00305CA0" w:rsidRPr="00305CA0" w:rsidRDefault="00305CA0" w:rsidP="00305CA0">
      <w:pPr>
        <w:spacing w:line="240" w:lineRule="auto"/>
        <w:rPr>
          <w:rFonts w:eastAsia="Times New Roman" w:cs="Arial"/>
        </w:rPr>
      </w:pPr>
      <w:r w:rsidRPr="00305CA0">
        <w:rPr>
          <w:rFonts w:eastAsia="Times New Roman" w:cs="Arial"/>
          <w:color w:val="000000"/>
          <w:lang w:eastAsia="bg-BG"/>
        </w:rPr>
        <w:t>удара/мин, дозата на карведилол трябва да се понижи.</w:t>
      </w:r>
    </w:p>
    <w:p w14:paraId="4F0BAF73" w14:textId="685CB207" w:rsidR="00305CA0" w:rsidRPr="00305CA0" w:rsidRDefault="00305CA0" w:rsidP="00305CA0">
      <w:pPr>
        <w:rPr>
          <w:rFonts w:cs="Arial"/>
        </w:rPr>
      </w:pPr>
    </w:p>
    <w:p w14:paraId="255D1E62" w14:textId="77777777" w:rsidR="00305CA0" w:rsidRPr="00305CA0" w:rsidRDefault="00305CA0" w:rsidP="00305CA0">
      <w:pPr>
        <w:spacing w:line="240" w:lineRule="auto"/>
        <w:rPr>
          <w:rFonts w:eastAsia="Times New Roman" w:cs="Arial"/>
        </w:rPr>
      </w:pPr>
      <w:r w:rsidRPr="00305CA0">
        <w:rPr>
          <w:rFonts w:eastAsia="Times New Roman" w:cs="Arial"/>
          <w:b/>
          <w:bCs/>
          <w:color w:val="000000"/>
          <w:lang w:eastAsia="bg-BG"/>
        </w:rPr>
        <w:t>Свръхчувствителност</w:t>
      </w:r>
    </w:p>
    <w:p w14:paraId="00635153"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Необходимо е внимание при приложение на карведилол на пациенти с анамнеза за тежки реакции на свръхчувствителност и при такива, подложени на десензибилизиращо лечение, тъй като бета-блокерите могат да повишат както чувствителността към алергените, така и тежестта на анафилактичните реакции.</w:t>
      </w:r>
    </w:p>
    <w:p w14:paraId="3AEA44E6" w14:textId="77777777" w:rsidR="00305CA0" w:rsidRPr="00305CA0" w:rsidRDefault="00305CA0" w:rsidP="00305CA0">
      <w:pPr>
        <w:spacing w:line="240" w:lineRule="auto"/>
        <w:rPr>
          <w:rFonts w:eastAsia="Times New Roman" w:cs="Arial"/>
          <w:b/>
          <w:bCs/>
          <w:color w:val="000000"/>
          <w:lang w:eastAsia="bg-BG"/>
        </w:rPr>
      </w:pPr>
    </w:p>
    <w:p w14:paraId="7D3387B5" w14:textId="2658E231" w:rsidR="00305CA0" w:rsidRPr="00305CA0" w:rsidRDefault="00305CA0" w:rsidP="00305CA0">
      <w:pPr>
        <w:spacing w:line="240" w:lineRule="auto"/>
        <w:rPr>
          <w:rFonts w:eastAsia="Times New Roman" w:cs="Arial"/>
        </w:rPr>
      </w:pPr>
      <w:r w:rsidRPr="00305CA0">
        <w:rPr>
          <w:rFonts w:eastAsia="Times New Roman" w:cs="Arial"/>
          <w:b/>
          <w:bCs/>
          <w:color w:val="000000"/>
          <w:lang w:eastAsia="bg-BG"/>
        </w:rPr>
        <w:t>Псориазис</w:t>
      </w:r>
    </w:p>
    <w:p w14:paraId="3CEA318D"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Пациенти с анамнеза за псориазис, свързан с лечение с бета-блокери, трябва да приемат карведилол само след преценка на съотношението полза/риск.</w:t>
      </w:r>
    </w:p>
    <w:p w14:paraId="703CCA7A" w14:textId="77777777" w:rsidR="00305CA0" w:rsidRPr="00305CA0" w:rsidRDefault="00305CA0" w:rsidP="00305CA0">
      <w:pPr>
        <w:spacing w:line="240" w:lineRule="auto"/>
        <w:rPr>
          <w:rFonts w:eastAsia="Times New Roman" w:cs="Arial"/>
          <w:b/>
          <w:bCs/>
          <w:color w:val="000000"/>
          <w:lang w:eastAsia="bg-BG"/>
        </w:rPr>
      </w:pPr>
    </w:p>
    <w:p w14:paraId="7F7BCDC1" w14:textId="4861EFE4" w:rsidR="00305CA0" w:rsidRPr="00305CA0" w:rsidRDefault="00305CA0" w:rsidP="00305CA0">
      <w:pPr>
        <w:spacing w:line="240" w:lineRule="auto"/>
        <w:rPr>
          <w:rFonts w:eastAsia="Times New Roman" w:cs="Arial"/>
        </w:rPr>
      </w:pPr>
      <w:r w:rsidRPr="00305CA0">
        <w:rPr>
          <w:rFonts w:eastAsia="Times New Roman" w:cs="Arial"/>
          <w:b/>
          <w:bCs/>
          <w:color w:val="000000"/>
          <w:lang w:eastAsia="bg-BG"/>
        </w:rPr>
        <w:t>Едновременно приложение с калциеви антагонисти</w:t>
      </w:r>
    </w:p>
    <w:p w14:paraId="4B9155A8"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lastRenderedPageBreak/>
        <w:t>Когато карведилол се използва едновременно с калциеви антагонисти, от вида на верапамил и дилтиазем или с други антиаритмици е необходимо внимателно мониториране на ЕКГ и артериалното налягане.</w:t>
      </w:r>
    </w:p>
    <w:p w14:paraId="4FFF5487" w14:textId="77777777" w:rsidR="00305CA0" w:rsidRPr="00305CA0" w:rsidRDefault="00305CA0" w:rsidP="00305CA0">
      <w:pPr>
        <w:spacing w:line="240" w:lineRule="auto"/>
        <w:rPr>
          <w:rFonts w:eastAsia="Times New Roman" w:cs="Arial"/>
          <w:b/>
          <w:bCs/>
          <w:color w:val="000000"/>
          <w:lang w:eastAsia="bg-BG"/>
        </w:rPr>
      </w:pPr>
    </w:p>
    <w:p w14:paraId="218FE147" w14:textId="6730A38D" w:rsidR="00305CA0" w:rsidRPr="00305CA0" w:rsidRDefault="00305CA0" w:rsidP="00305CA0">
      <w:pPr>
        <w:spacing w:line="240" w:lineRule="auto"/>
        <w:rPr>
          <w:rFonts w:eastAsia="Times New Roman" w:cs="Arial"/>
        </w:rPr>
      </w:pPr>
      <w:r w:rsidRPr="00305CA0">
        <w:rPr>
          <w:rFonts w:eastAsia="Times New Roman" w:cs="Arial"/>
          <w:b/>
          <w:bCs/>
          <w:color w:val="000000"/>
          <w:lang w:eastAsia="bg-BG"/>
        </w:rPr>
        <w:t>Феохромоцитом</w:t>
      </w:r>
    </w:p>
    <w:p w14:paraId="27C23311"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При пациенти с феохромоцитом трябва да се започне с лечение с алфа-блокер преди приложението на бета-блокер. Въпреки, че карведилол притежава и алфа- и бета-блокиращо фармакологично действие, няма достатъчно опит в лечението на това заболяване и съответно той трябва да се прилага с особено внимание при пациенти, при които се подозира наличието на това заболяване.</w:t>
      </w:r>
    </w:p>
    <w:p w14:paraId="5D9EF124" w14:textId="77777777" w:rsidR="00305CA0" w:rsidRPr="00305CA0" w:rsidRDefault="00305CA0" w:rsidP="00305CA0">
      <w:pPr>
        <w:spacing w:line="240" w:lineRule="auto"/>
        <w:rPr>
          <w:rFonts w:eastAsia="Times New Roman" w:cs="Arial"/>
          <w:b/>
          <w:bCs/>
          <w:color w:val="000000"/>
          <w:lang w:eastAsia="bg-BG"/>
        </w:rPr>
      </w:pPr>
    </w:p>
    <w:p w14:paraId="602DD795" w14:textId="115AA5FF" w:rsidR="00305CA0" w:rsidRPr="00305CA0" w:rsidRDefault="00305CA0" w:rsidP="00305CA0">
      <w:pPr>
        <w:spacing w:line="240" w:lineRule="auto"/>
        <w:rPr>
          <w:rFonts w:eastAsia="Times New Roman" w:cs="Arial"/>
        </w:rPr>
      </w:pPr>
      <w:r w:rsidRPr="00305CA0">
        <w:rPr>
          <w:rFonts w:eastAsia="Times New Roman" w:cs="Arial"/>
          <w:b/>
          <w:bCs/>
          <w:color w:val="000000"/>
          <w:lang w:eastAsia="bg-BG"/>
        </w:rPr>
        <w:t xml:space="preserve">Стенокардия, вариант </w:t>
      </w:r>
      <w:proofErr w:type="spellStart"/>
      <w:r w:rsidRPr="00305CA0">
        <w:rPr>
          <w:rFonts w:eastAsia="Times New Roman" w:cs="Arial"/>
          <w:b/>
          <w:bCs/>
          <w:color w:val="000000"/>
          <w:lang w:val="en-US"/>
        </w:rPr>
        <w:t>Prinzmetal</w:t>
      </w:r>
      <w:proofErr w:type="spellEnd"/>
    </w:p>
    <w:p w14:paraId="59B4691C"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 xml:space="preserve">Средства с неселективно бета-блокиращо действие могат да провокират гръдна болка при пациенти със стенокардия, вариант Принцметал. Няма клиничен опит от приложението на карведилол при такива пациенти. Въпреки че карведилол има алфа-блокиращо действие и може да предотврати появата на такива симптоми, той трябва да се използва внимателно при пациенти, при които се подозира наличието на стенокардия, вариант </w:t>
      </w:r>
      <w:proofErr w:type="spellStart"/>
      <w:r w:rsidRPr="00305CA0">
        <w:rPr>
          <w:rFonts w:eastAsia="Times New Roman" w:cs="Arial"/>
          <w:color w:val="000000"/>
          <w:lang w:val="en-US"/>
        </w:rPr>
        <w:t>Prinzmetal</w:t>
      </w:r>
      <w:proofErr w:type="spellEnd"/>
      <w:r w:rsidRPr="00305CA0">
        <w:rPr>
          <w:rFonts w:eastAsia="Times New Roman" w:cs="Arial"/>
          <w:color w:val="000000"/>
          <w:lang w:val="ru-RU"/>
        </w:rPr>
        <w:t>.</w:t>
      </w:r>
    </w:p>
    <w:p w14:paraId="4FD39B7F" w14:textId="77777777" w:rsidR="00305CA0" w:rsidRPr="00305CA0" w:rsidRDefault="00305CA0" w:rsidP="00305CA0">
      <w:pPr>
        <w:spacing w:line="240" w:lineRule="auto"/>
        <w:rPr>
          <w:rFonts w:eastAsia="Times New Roman" w:cs="Arial"/>
          <w:b/>
          <w:bCs/>
          <w:color w:val="000000"/>
          <w:lang w:eastAsia="bg-BG"/>
        </w:rPr>
      </w:pPr>
    </w:p>
    <w:p w14:paraId="79314C48" w14:textId="3595D330" w:rsidR="00305CA0" w:rsidRPr="00305CA0" w:rsidRDefault="00305CA0" w:rsidP="00305CA0">
      <w:pPr>
        <w:spacing w:line="240" w:lineRule="auto"/>
        <w:rPr>
          <w:rFonts w:eastAsia="Times New Roman" w:cs="Arial"/>
        </w:rPr>
      </w:pPr>
      <w:r w:rsidRPr="00305CA0">
        <w:rPr>
          <w:rFonts w:eastAsia="Times New Roman" w:cs="Arial"/>
          <w:b/>
          <w:bCs/>
          <w:color w:val="000000"/>
          <w:lang w:eastAsia="bg-BG"/>
        </w:rPr>
        <w:t>Контактни лещи</w:t>
      </w:r>
    </w:p>
    <w:p w14:paraId="734862AF"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Пациентите, носещи контактни лещи трябва да бъдат предупреждавани за възможна редукция на слъзната секреция.</w:t>
      </w:r>
    </w:p>
    <w:p w14:paraId="2E43AB7D" w14:textId="77777777" w:rsidR="00305CA0" w:rsidRPr="00305CA0" w:rsidRDefault="00305CA0" w:rsidP="00305CA0">
      <w:pPr>
        <w:spacing w:line="240" w:lineRule="auto"/>
        <w:rPr>
          <w:rFonts w:eastAsia="Times New Roman" w:cs="Arial"/>
          <w:b/>
          <w:bCs/>
          <w:color w:val="000000"/>
          <w:lang w:eastAsia="bg-BG"/>
        </w:rPr>
      </w:pPr>
    </w:p>
    <w:p w14:paraId="3AFECF95" w14:textId="227CF159" w:rsidR="00305CA0" w:rsidRPr="00305CA0" w:rsidRDefault="00305CA0" w:rsidP="00305CA0">
      <w:pPr>
        <w:spacing w:line="240" w:lineRule="auto"/>
        <w:rPr>
          <w:rFonts w:eastAsia="Times New Roman" w:cs="Arial"/>
        </w:rPr>
      </w:pPr>
      <w:r w:rsidRPr="00305CA0">
        <w:rPr>
          <w:rFonts w:eastAsia="Times New Roman" w:cs="Arial"/>
          <w:b/>
          <w:bCs/>
          <w:color w:val="000000"/>
          <w:lang w:eastAsia="bg-BG"/>
        </w:rPr>
        <w:t>Синдром на отнемането</w:t>
      </w:r>
    </w:p>
    <w:p w14:paraId="5C6E5248"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Лечението с карведилол не трябва да се прекратява рязко, особено при пациенти с исхемична болест на сърцето. Терапията с карведилол трябва да се прекратява постепенно (в рамките на 1 - 2 седмици).</w:t>
      </w:r>
    </w:p>
    <w:p w14:paraId="400532DC" w14:textId="77777777" w:rsidR="00305CA0" w:rsidRPr="00305CA0" w:rsidRDefault="00305CA0" w:rsidP="00305CA0">
      <w:pPr>
        <w:spacing w:line="240" w:lineRule="auto"/>
        <w:rPr>
          <w:rFonts w:eastAsia="Times New Roman" w:cs="Arial"/>
          <w:b/>
          <w:bCs/>
          <w:color w:val="000000"/>
          <w:lang w:eastAsia="bg-BG"/>
        </w:rPr>
      </w:pPr>
    </w:p>
    <w:p w14:paraId="0F57751E" w14:textId="040146C9" w:rsidR="00305CA0" w:rsidRPr="00305CA0" w:rsidRDefault="00305CA0" w:rsidP="00305CA0">
      <w:pPr>
        <w:spacing w:line="240" w:lineRule="auto"/>
        <w:rPr>
          <w:rFonts w:eastAsia="Times New Roman" w:cs="Arial"/>
        </w:rPr>
      </w:pPr>
      <w:r w:rsidRPr="00305CA0">
        <w:rPr>
          <w:rFonts w:eastAsia="Times New Roman" w:cs="Arial"/>
          <w:b/>
          <w:bCs/>
          <w:color w:val="000000"/>
          <w:lang w:eastAsia="bg-BG"/>
        </w:rPr>
        <w:t>Помощни вещества</w:t>
      </w:r>
    </w:p>
    <w:p w14:paraId="2934B506" w14:textId="77777777" w:rsidR="00305CA0" w:rsidRPr="00305CA0" w:rsidRDefault="00305CA0" w:rsidP="00305CA0">
      <w:pPr>
        <w:spacing w:line="240" w:lineRule="auto"/>
        <w:rPr>
          <w:rFonts w:eastAsia="Times New Roman" w:cs="Arial"/>
        </w:rPr>
      </w:pPr>
      <w:r w:rsidRPr="00305CA0">
        <w:rPr>
          <w:rFonts w:eastAsia="Times New Roman" w:cs="Arial"/>
          <w:i/>
          <w:iCs/>
          <w:color w:val="000000"/>
          <w:lang w:eastAsia="bg-BG"/>
        </w:rPr>
        <w:t>Лактоза</w:t>
      </w:r>
    </w:p>
    <w:p w14:paraId="661178B3"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Този лекарствен продукт съдържа лактоза.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0297F23A" w14:textId="77777777" w:rsidR="00305CA0" w:rsidRPr="00305CA0" w:rsidRDefault="00305CA0" w:rsidP="00305CA0">
      <w:pPr>
        <w:spacing w:line="240" w:lineRule="auto"/>
        <w:rPr>
          <w:rFonts w:eastAsia="Times New Roman" w:cs="Arial"/>
          <w:i/>
          <w:iCs/>
          <w:color w:val="000000"/>
          <w:lang w:eastAsia="bg-BG"/>
        </w:rPr>
      </w:pPr>
    </w:p>
    <w:p w14:paraId="47505CD8" w14:textId="7516B12D" w:rsidR="00305CA0" w:rsidRPr="00305CA0" w:rsidRDefault="00305CA0" w:rsidP="00305CA0">
      <w:pPr>
        <w:spacing w:line="240" w:lineRule="auto"/>
        <w:rPr>
          <w:rFonts w:eastAsia="Times New Roman" w:cs="Arial"/>
        </w:rPr>
      </w:pPr>
      <w:r w:rsidRPr="00305CA0">
        <w:rPr>
          <w:rFonts w:eastAsia="Times New Roman" w:cs="Arial"/>
          <w:i/>
          <w:iCs/>
          <w:color w:val="000000"/>
          <w:lang w:eastAsia="bg-BG"/>
        </w:rPr>
        <w:t>Натрий</w:t>
      </w:r>
    </w:p>
    <w:p w14:paraId="7106A0EF"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 xml:space="preserve">Това лекарство съдържа по-малко от 1 </w:t>
      </w:r>
      <w:proofErr w:type="spellStart"/>
      <w:r w:rsidRPr="00305CA0">
        <w:rPr>
          <w:rFonts w:eastAsia="Times New Roman" w:cs="Arial"/>
          <w:color w:val="000000"/>
          <w:lang w:val="en-US"/>
        </w:rPr>
        <w:t>mmol</w:t>
      </w:r>
      <w:proofErr w:type="spellEnd"/>
      <w:r w:rsidRPr="00305CA0">
        <w:rPr>
          <w:rFonts w:eastAsia="Times New Roman" w:cs="Arial"/>
          <w:color w:val="000000"/>
          <w:lang w:val="ru-RU"/>
        </w:rPr>
        <w:t xml:space="preserve"> </w:t>
      </w:r>
      <w:r w:rsidRPr="00305CA0">
        <w:rPr>
          <w:rFonts w:eastAsia="Times New Roman" w:cs="Arial"/>
          <w:color w:val="000000"/>
          <w:lang w:eastAsia="bg-BG"/>
        </w:rPr>
        <w:t xml:space="preserve">натрий (23 </w:t>
      </w:r>
      <w:r w:rsidRPr="00305CA0">
        <w:rPr>
          <w:rFonts w:eastAsia="Times New Roman" w:cs="Arial"/>
          <w:color w:val="000000"/>
          <w:lang w:val="en-US"/>
        </w:rPr>
        <w:t>mg</w:t>
      </w:r>
      <w:r w:rsidRPr="00305CA0">
        <w:rPr>
          <w:rFonts w:eastAsia="Times New Roman" w:cs="Arial"/>
          <w:color w:val="000000"/>
          <w:lang w:val="ru-RU"/>
        </w:rPr>
        <w:t xml:space="preserve">) </w:t>
      </w:r>
      <w:r w:rsidRPr="00305CA0">
        <w:rPr>
          <w:rFonts w:eastAsia="Times New Roman" w:cs="Arial"/>
          <w:color w:val="000000"/>
          <w:lang w:eastAsia="bg-BG"/>
        </w:rPr>
        <w:t>на таблетка, т.е. може да се каже, че практически не съдържа натрий.</w:t>
      </w:r>
    </w:p>
    <w:p w14:paraId="0DD475F8" w14:textId="2ABE5967" w:rsidR="00305CA0" w:rsidRPr="00305CA0" w:rsidRDefault="00305CA0" w:rsidP="00305CA0"/>
    <w:p w14:paraId="0734264C" w14:textId="60E739B6"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19DE598" w14:textId="637881A2" w:rsidR="00305CA0" w:rsidRDefault="00305CA0" w:rsidP="00305CA0"/>
    <w:p w14:paraId="1E6FA7AB" w14:textId="77777777"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Фармакокинетични взаимодействия</w:t>
      </w:r>
    </w:p>
    <w:p w14:paraId="21120D0E" w14:textId="3A98B031" w:rsidR="00305CA0" w:rsidRPr="00305CA0" w:rsidRDefault="00305CA0" w:rsidP="00305CA0">
      <w:pPr>
        <w:rPr>
          <w:rFonts w:eastAsia="Times New Roman" w:cs="Arial"/>
          <w:color w:val="000000"/>
          <w:szCs w:val="20"/>
          <w:lang w:eastAsia="bg-BG"/>
        </w:rPr>
      </w:pPr>
      <w:r w:rsidRPr="00305CA0">
        <w:rPr>
          <w:rFonts w:eastAsia="Times New Roman" w:cs="Arial"/>
          <w:color w:val="000000"/>
          <w:szCs w:val="20"/>
          <w:lang w:eastAsia="bg-BG"/>
        </w:rPr>
        <w:t>Карведилол е субстрат и инхибитор на Р-гликопротеина, поради което бионаличността на</w:t>
      </w:r>
      <w:r w:rsidRPr="00305CA0">
        <w:rPr>
          <w:rFonts w:eastAsia="Times New Roman" w:cs="Arial"/>
          <w:color w:val="000000"/>
          <w:szCs w:val="20"/>
          <w:vertAlign w:val="superscript"/>
          <w:lang w:eastAsia="bg-BG"/>
        </w:rPr>
        <w:t xml:space="preserve"> </w:t>
      </w:r>
      <w:r w:rsidRPr="00305CA0">
        <w:rPr>
          <w:rFonts w:eastAsia="Times New Roman" w:cs="Arial"/>
          <w:color w:val="000000"/>
          <w:szCs w:val="20"/>
          <w:lang w:eastAsia="bg-BG"/>
        </w:rPr>
        <w:t>лекарства, транспортирани от Р-гликопротеин може да бъде увеличена при еднивременно приложение на карведилол. В допълнение, бионаличността на карведилол може да бъде модифицирана от индуктори или инхибитори на Р-гликопротеин.</w:t>
      </w:r>
    </w:p>
    <w:p w14:paraId="0EAC11E8" w14:textId="7A37BD68" w:rsidR="00305CA0" w:rsidRPr="00305CA0" w:rsidRDefault="00305CA0" w:rsidP="00305CA0">
      <w:pPr>
        <w:rPr>
          <w:rFonts w:eastAsia="Times New Roman" w:cs="Arial"/>
          <w:color w:val="000000"/>
          <w:szCs w:val="20"/>
          <w:lang w:eastAsia="bg-BG"/>
        </w:rPr>
      </w:pPr>
    </w:p>
    <w:p w14:paraId="244E7E4B"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Инхибитори, както и индуктори на </w:t>
      </w:r>
      <w:r w:rsidRPr="00305CA0">
        <w:rPr>
          <w:rFonts w:eastAsia="Times New Roman" w:cs="Arial"/>
          <w:color w:val="000000"/>
          <w:szCs w:val="20"/>
          <w:lang w:val="en-US"/>
        </w:rPr>
        <w:t>CYP</w:t>
      </w:r>
      <w:r w:rsidRPr="00305CA0">
        <w:rPr>
          <w:rFonts w:eastAsia="Times New Roman" w:cs="Arial"/>
          <w:color w:val="000000"/>
          <w:szCs w:val="20"/>
          <w:lang w:val="ru-RU"/>
        </w:rPr>
        <w:t>2</w:t>
      </w:r>
      <w:r w:rsidRPr="00305CA0">
        <w:rPr>
          <w:rFonts w:eastAsia="Times New Roman" w:cs="Arial"/>
          <w:color w:val="000000"/>
          <w:szCs w:val="20"/>
          <w:lang w:val="en-US"/>
        </w:rPr>
        <w:t>D</w:t>
      </w:r>
      <w:r w:rsidRPr="00305CA0">
        <w:rPr>
          <w:rFonts w:eastAsia="Times New Roman" w:cs="Arial"/>
          <w:color w:val="000000"/>
          <w:szCs w:val="20"/>
          <w:lang w:val="ru-RU"/>
        </w:rPr>
        <w:t xml:space="preserve">6 </w:t>
      </w:r>
      <w:r w:rsidRPr="00305CA0">
        <w:rPr>
          <w:rFonts w:eastAsia="Times New Roman" w:cs="Arial"/>
          <w:color w:val="000000"/>
          <w:szCs w:val="20"/>
          <w:lang w:eastAsia="bg-BG"/>
        </w:rPr>
        <w:t xml:space="preserve">и </w:t>
      </w:r>
      <w:r w:rsidRPr="00305CA0">
        <w:rPr>
          <w:rFonts w:eastAsia="Times New Roman" w:cs="Arial"/>
          <w:color w:val="000000"/>
          <w:szCs w:val="20"/>
          <w:lang w:val="en-US"/>
        </w:rPr>
        <w:t>CYP</w:t>
      </w:r>
      <w:r w:rsidRPr="00305CA0">
        <w:rPr>
          <w:rFonts w:eastAsia="Times New Roman" w:cs="Arial"/>
          <w:color w:val="000000"/>
          <w:szCs w:val="20"/>
          <w:lang w:val="ru-RU"/>
        </w:rPr>
        <w:t>2</w:t>
      </w:r>
      <w:r w:rsidRPr="00305CA0">
        <w:rPr>
          <w:rFonts w:eastAsia="Times New Roman" w:cs="Arial"/>
          <w:color w:val="000000"/>
          <w:szCs w:val="20"/>
          <w:lang w:val="en-US"/>
        </w:rPr>
        <w:t>C</w:t>
      </w:r>
      <w:r w:rsidRPr="00305CA0">
        <w:rPr>
          <w:rFonts w:eastAsia="Times New Roman" w:cs="Arial"/>
          <w:color w:val="000000"/>
          <w:szCs w:val="20"/>
          <w:lang w:val="ru-RU"/>
        </w:rPr>
        <w:t xml:space="preserve">9 </w:t>
      </w:r>
      <w:r w:rsidRPr="00305CA0">
        <w:rPr>
          <w:rFonts w:eastAsia="Times New Roman" w:cs="Arial"/>
          <w:color w:val="000000"/>
          <w:szCs w:val="20"/>
          <w:lang w:eastAsia="bg-BG"/>
        </w:rPr>
        <w:t xml:space="preserve">да променят стереоселективно системния и/или предсистемен метаболизъм на карведилол, което води до увеличаване или намаляване на плазмените концентрации на </w:t>
      </w:r>
      <w:r w:rsidRPr="00305CA0">
        <w:rPr>
          <w:rFonts w:eastAsia="Times New Roman" w:cs="Arial"/>
          <w:color w:val="000000"/>
          <w:szCs w:val="20"/>
          <w:lang w:val="en-US"/>
        </w:rPr>
        <w:t>R</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и </w:t>
      </w:r>
      <w:r w:rsidRPr="00305CA0">
        <w:rPr>
          <w:rFonts w:eastAsia="Times New Roman" w:cs="Arial"/>
          <w:color w:val="000000"/>
          <w:szCs w:val="20"/>
          <w:lang w:val="en-US"/>
        </w:rPr>
        <w:t>S</w:t>
      </w:r>
      <w:r w:rsidRPr="00305CA0">
        <w:rPr>
          <w:rFonts w:eastAsia="Times New Roman" w:cs="Arial"/>
          <w:color w:val="000000"/>
          <w:szCs w:val="20"/>
          <w:lang w:eastAsia="bg-BG"/>
        </w:rPr>
        <w:t xml:space="preserve">-карведилол. Някои примери, </w:t>
      </w:r>
      <w:r w:rsidRPr="00305CA0">
        <w:rPr>
          <w:rFonts w:eastAsia="Times New Roman" w:cs="Arial"/>
          <w:color w:val="000000"/>
          <w:szCs w:val="20"/>
          <w:lang w:eastAsia="bg-BG"/>
        </w:rPr>
        <w:lastRenderedPageBreak/>
        <w:t>наблюдавани при пациенти или при здрави индивиди са изброени по-долу, но списъкът не е изчерпателен.</w:t>
      </w:r>
    </w:p>
    <w:p w14:paraId="3D313BFA" w14:textId="77777777" w:rsidR="00305CA0" w:rsidRPr="00305CA0" w:rsidRDefault="00305CA0" w:rsidP="00305CA0">
      <w:pPr>
        <w:spacing w:line="240" w:lineRule="auto"/>
        <w:rPr>
          <w:rFonts w:eastAsia="Times New Roman" w:cs="Arial"/>
          <w:i/>
          <w:iCs/>
          <w:color w:val="000000"/>
          <w:szCs w:val="20"/>
          <w:lang w:eastAsia="bg-BG"/>
        </w:rPr>
      </w:pPr>
    </w:p>
    <w:p w14:paraId="724FBBD0" w14:textId="0105238B"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Дигоксин:</w:t>
      </w:r>
      <w:r w:rsidRPr="00305CA0">
        <w:rPr>
          <w:rFonts w:eastAsia="Times New Roman" w:cs="Arial"/>
          <w:color w:val="000000"/>
          <w:szCs w:val="20"/>
          <w:lang w:eastAsia="bg-BG"/>
        </w:rPr>
        <w:t xml:space="preserve"> Концентрациите на дигоксин се увеличават с около 15%, когато дигоксин и карведилол се прилага едновременно. И дигоксин и карведилол забавят </w:t>
      </w:r>
      <w:r w:rsidRPr="00305CA0">
        <w:rPr>
          <w:rFonts w:eastAsia="Times New Roman" w:cs="Arial"/>
          <w:color w:val="000000"/>
          <w:szCs w:val="20"/>
          <w:lang w:val="en-US"/>
        </w:rPr>
        <w:t>AV</w:t>
      </w:r>
      <w:r w:rsidRPr="00305CA0">
        <w:rPr>
          <w:rFonts w:eastAsia="Times New Roman" w:cs="Arial"/>
          <w:color w:val="000000"/>
          <w:szCs w:val="20"/>
          <w:lang w:val="ru-RU"/>
        </w:rPr>
        <w:t xml:space="preserve"> </w:t>
      </w:r>
      <w:r w:rsidRPr="00305CA0">
        <w:rPr>
          <w:rFonts w:eastAsia="Times New Roman" w:cs="Arial"/>
          <w:color w:val="000000"/>
          <w:szCs w:val="20"/>
          <w:lang w:eastAsia="bg-BG"/>
        </w:rPr>
        <w:t>проводимостта. Препоръчва се засилено мониториране на концентрациите на дигоксин при започване, адаптиране или преустановяване на лечението с карведилол. (виж точка 4.4 Специални предупреждения и предпазни мерки при употреба).</w:t>
      </w:r>
    </w:p>
    <w:p w14:paraId="5AC35337" w14:textId="77777777" w:rsidR="00305CA0" w:rsidRPr="00305CA0" w:rsidRDefault="00305CA0" w:rsidP="00305CA0">
      <w:pPr>
        <w:spacing w:line="240" w:lineRule="auto"/>
        <w:rPr>
          <w:rFonts w:eastAsia="Times New Roman" w:cs="Arial"/>
          <w:i/>
          <w:iCs/>
          <w:color w:val="000000"/>
          <w:szCs w:val="20"/>
          <w:lang w:eastAsia="bg-BG"/>
        </w:rPr>
      </w:pPr>
    </w:p>
    <w:p w14:paraId="77E52015" w14:textId="24D6AD4E"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Рифампицин:</w:t>
      </w:r>
      <w:r w:rsidRPr="00305CA0">
        <w:rPr>
          <w:rFonts w:eastAsia="Times New Roman" w:cs="Arial"/>
          <w:color w:val="000000"/>
          <w:szCs w:val="20"/>
          <w:lang w:eastAsia="bg-BG"/>
        </w:rPr>
        <w:t xml:space="preserve"> В проучване при 12 здрави доброволци, прилагането на рифампицин намалява плазмените концентрации на карведилол с около 70%, най-вероятно чрез индукция на Р-гликопротеина, което води до намаляване на чревната абсорбция на карведилол.</w:t>
      </w:r>
    </w:p>
    <w:p w14:paraId="7872897E" w14:textId="77777777" w:rsidR="00305CA0" w:rsidRPr="00305CA0" w:rsidRDefault="00305CA0" w:rsidP="00305CA0">
      <w:pPr>
        <w:spacing w:line="240" w:lineRule="auto"/>
        <w:rPr>
          <w:rFonts w:eastAsia="Times New Roman" w:cs="Arial"/>
          <w:i/>
          <w:iCs/>
          <w:color w:val="000000"/>
          <w:szCs w:val="20"/>
          <w:lang w:eastAsia="bg-BG"/>
        </w:rPr>
      </w:pPr>
    </w:p>
    <w:p w14:paraId="2C0CB9D8" w14:textId="125C4292"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Циклоспорин:</w:t>
      </w:r>
      <w:r w:rsidRPr="00305CA0">
        <w:rPr>
          <w:rFonts w:eastAsia="Times New Roman" w:cs="Arial"/>
          <w:color w:val="000000"/>
          <w:szCs w:val="20"/>
          <w:lang w:eastAsia="bg-BG"/>
        </w:rPr>
        <w:t xml:space="preserve"> В две проучвания при пациенти с бъбречна и сърдечна трансплантация на перорално лечение е наблюдавано увеличение на плазмените концентрации на циклоспорин след започване на лечението с карведилол. При около 30% от пациенти, дозата на циклоспорин трябва да се понижи, за да се поддържа концентрацията на циклоспорин в рамките на терапевтичния обхват, докато при останалата част не е необходима корекция. Като цяло, дозата на циклоспорин се понижава с около 20% при тези пациенти. Поради широката интериндивидуална вариабилност при необходимост от коригиране на дозата, се препоръчва концентрациите на циклоспорин да се проследяват внимателно след започване на терапия с карведилол и дозата на циклоспорин да се коригира в зависимост от случая.</w:t>
      </w:r>
    </w:p>
    <w:p w14:paraId="070C2FEB" w14:textId="77777777" w:rsidR="00305CA0" w:rsidRPr="00305CA0" w:rsidRDefault="00305CA0" w:rsidP="00305CA0">
      <w:pPr>
        <w:spacing w:line="240" w:lineRule="auto"/>
        <w:rPr>
          <w:rFonts w:eastAsia="Times New Roman" w:cs="Arial"/>
          <w:i/>
          <w:iCs/>
          <w:color w:val="000000"/>
          <w:szCs w:val="20"/>
          <w:lang w:eastAsia="bg-BG"/>
        </w:rPr>
      </w:pPr>
    </w:p>
    <w:p w14:paraId="7F4262D0" w14:textId="5D11984A"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Амиодарон:</w:t>
      </w:r>
      <w:r w:rsidRPr="00305CA0">
        <w:rPr>
          <w:rFonts w:eastAsia="Times New Roman" w:cs="Arial"/>
          <w:color w:val="000000"/>
          <w:szCs w:val="20"/>
          <w:lang w:eastAsia="bg-BG"/>
        </w:rPr>
        <w:t xml:space="preserve"> При пациенти със сърдечна недостатъчност, амиодарон намалява клирънса на </w:t>
      </w:r>
      <w:r w:rsidRPr="00305CA0">
        <w:rPr>
          <w:rFonts w:eastAsia="Times New Roman" w:cs="Arial"/>
          <w:color w:val="000000"/>
          <w:szCs w:val="20"/>
          <w:lang w:val="en-US"/>
        </w:rPr>
        <w:t>S</w:t>
      </w:r>
      <w:r w:rsidRPr="00305CA0">
        <w:rPr>
          <w:rFonts w:eastAsia="Times New Roman" w:cs="Arial"/>
          <w:color w:val="000000"/>
          <w:szCs w:val="20"/>
          <w:lang w:eastAsia="bg-BG"/>
        </w:rPr>
        <w:t xml:space="preserve">-карведилол вероятно чрез инхибиране на </w:t>
      </w:r>
      <w:r w:rsidRPr="00305CA0">
        <w:rPr>
          <w:rFonts w:eastAsia="Times New Roman" w:cs="Arial"/>
          <w:color w:val="000000"/>
          <w:szCs w:val="20"/>
          <w:lang w:val="en-US"/>
        </w:rPr>
        <w:t>CYP</w:t>
      </w:r>
      <w:r w:rsidRPr="00305CA0">
        <w:rPr>
          <w:rFonts w:eastAsia="Times New Roman" w:cs="Arial"/>
          <w:color w:val="000000"/>
          <w:szCs w:val="20"/>
          <w:lang w:val="ru-RU"/>
        </w:rPr>
        <w:t>2</w:t>
      </w:r>
      <w:r w:rsidRPr="00305CA0">
        <w:rPr>
          <w:rFonts w:eastAsia="Times New Roman" w:cs="Arial"/>
          <w:color w:val="000000"/>
          <w:szCs w:val="20"/>
          <w:lang w:val="en-US"/>
        </w:rPr>
        <w:t>C</w:t>
      </w:r>
      <w:r w:rsidRPr="00305CA0">
        <w:rPr>
          <w:rFonts w:eastAsia="Times New Roman" w:cs="Arial"/>
          <w:color w:val="000000"/>
          <w:szCs w:val="20"/>
          <w:lang w:val="ru-RU"/>
        </w:rPr>
        <w:t xml:space="preserve">9. </w:t>
      </w:r>
      <w:r w:rsidRPr="00305CA0">
        <w:rPr>
          <w:rFonts w:eastAsia="Times New Roman" w:cs="Arial"/>
          <w:color w:val="000000"/>
          <w:szCs w:val="20"/>
          <w:lang w:eastAsia="bg-BG"/>
        </w:rPr>
        <w:t xml:space="preserve">Средната плазмена концентрация на </w:t>
      </w:r>
      <w:r w:rsidRPr="00305CA0">
        <w:rPr>
          <w:rFonts w:eastAsia="Times New Roman" w:cs="Arial"/>
          <w:color w:val="000000"/>
          <w:szCs w:val="20"/>
          <w:lang w:val="en-US"/>
        </w:rPr>
        <w:t>R</w:t>
      </w:r>
      <w:r w:rsidRPr="00305CA0">
        <w:rPr>
          <w:rFonts w:eastAsia="Times New Roman" w:cs="Arial"/>
          <w:color w:val="000000"/>
          <w:szCs w:val="20"/>
          <w:lang w:eastAsia="bg-BG"/>
        </w:rPr>
        <w:t xml:space="preserve">-карведилол не се променя. Следователно, съществува потенциален риск от повишена Р-блокада вследствие на повишаване на плазмената концентрация на </w:t>
      </w:r>
      <w:r w:rsidRPr="00305CA0">
        <w:rPr>
          <w:rFonts w:eastAsia="Times New Roman" w:cs="Arial"/>
          <w:color w:val="000000"/>
          <w:szCs w:val="20"/>
          <w:lang w:val="en-US"/>
        </w:rPr>
        <w:t>S</w:t>
      </w:r>
      <w:r w:rsidRPr="00305CA0">
        <w:rPr>
          <w:rFonts w:eastAsia="Times New Roman" w:cs="Arial"/>
          <w:color w:val="000000"/>
          <w:szCs w:val="20"/>
          <w:lang w:eastAsia="bg-BG"/>
        </w:rPr>
        <w:t>-карведилол.</w:t>
      </w:r>
    </w:p>
    <w:p w14:paraId="31DFD0A2" w14:textId="77777777" w:rsidR="00305CA0" w:rsidRPr="00305CA0" w:rsidRDefault="00305CA0" w:rsidP="00305CA0">
      <w:pPr>
        <w:spacing w:line="240" w:lineRule="auto"/>
        <w:rPr>
          <w:rFonts w:eastAsia="Times New Roman" w:cs="Arial"/>
          <w:i/>
          <w:iCs/>
          <w:color w:val="000000"/>
          <w:szCs w:val="20"/>
          <w:lang w:eastAsia="bg-BG"/>
        </w:rPr>
      </w:pPr>
    </w:p>
    <w:p w14:paraId="30D5D37A" w14:textId="79970676"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Флуоксетин:</w:t>
      </w:r>
      <w:r w:rsidRPr="00305CA0">
        <w:rPr>
          <w:rFonts w:eastAsia="Times New Roman" w:cs="Arial"/>
          <w:color w:val="000000"/>
          <w:szCs w:val="20"/>
          <w:lang w:eastAsia="bg-BG"/>
        </w:rPr>
        <w:t xml:space="preserve"> В рандомизирано, кръстосано проучване при 10 пациенти със сърдечна недостатъчност, едновременното приложение на флуоксетин, мощен инхибитор на </w:t>
      </w:r>
      <w:r w:rsidRPr="00305CA0">
        <w:rPr>
          <w:rFonts w:eastAsia="Times New Roman" w:cs="Arial"/>
          <w:color w:val="000000"/>
          <w:szCs w:val="20"/>
          <w:lang w:val="en-US"/>
        </w:rPr>
        <w:t>CYP</w:t>
      </w:r>
      <w:r w:rsidRPr="00305CA0">
        <w:rPr>
          <w:rFonts w:eastAsia="Times New Roman" w:cs="Arial"/>
          <w:color w:val="000000"/>
          <w:szCs w:val="20"/>
          <w:lang w:val="ru-RU"/>
        </w:rPr>
        <w:t>2</w:t>
      </w:r>
      <w:r w:rsidRPr="00305CA0">
        <w:rPr>
          <w:rFonts w:eastAsia="Times New Roman" w:cs="Arial"/>
          <w:color w:val="000000"/>
          <w:szCs w:val="20"/>
          <w:lang w:val="en-US"/>
        </w:rPr>
        <w:t>D</w:t>
      </w:r>
      <w:r w:rsidRPr="00305CA0">
        <w:rPr>
          <w:rFonts w:eastAsia="Times New Roman" w:cs="Arial"/>
          <w:color w:val="000000"/>
          <w:szCs w:val="20"/>
          <w:lang w:val="ru-RU"/>
        </w:rPr>
        <w:t xml:space="preserve">6, </w:t>
      </w:r>
      <w:r w:rsidRPr="00305CA0">
        <w:rPr>
          <w:rFonts w:eastAsia="Times New Roman" w:cs="Arial"/>
          <w:color w:val="000000"/>
          <w:szCs w:val="20"/>
          <w:lang w:eastAsia="bg-BG"/>
        </w:rPr>
        <w:t xml:space="preserve">води до стереоселективно инхибиране на метаболизма на карведилол със 77% увеличение на средната </w:t>
      </w:r>
      <w:r w:rsidRPr="00305CA0">
        <w:rPr>
          <w:rFonts w:eastAsia="Times New Roman" w:cs="Arial"/>
          <w:color w:val="000000"/>
          <w:szCs w:val="20"/>
          <w:lang w:val="en-US"/>
        </w:rPr>
        <w:t>AUC</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на </w:t>
      </w:r>
      <w:r w:rsidRPr="00305CA0">
        <w:rPr>
          <w:rFonts w:eastAsia="Times New Roman" w:cs="Arial"/>
          <w:color w:val="000000"/>
          <w:szCs w:val="20"/>
          <w:lang w:val="en-US"/>
        </w:rPr>
        <w:t>R</w:t>
      </w:r>
      <w:r w:rsidRPr="00305CA0">
        <w:rPr>
          <w:rFonts w:eastAsia="Times New Roman" w:cs="Arial"/>
          <w:color w:val="000000"/>
          <w:szCs w:val="20"/>
          <w:lang w:val="ru-RU"/>
        </w:rPr>
        <w:t xml:space="preserve"> </w:t>
      </w:r>
      <w:r w:rsidRPr="00305CA0">
        <w:rPr>
          <w:rFonts w:eastAsia="Times New Roman" w:cs="Arial"/>
          <w:color w:val="000000"/>
          <w:szCs w:val="20"/>
          <w:lang w:eastAsia="bg-BG"/>
        </w:rPr>
        <w:t>(+) енантиомера. Въпреки това между терапевтичните групи не се наблюдава разлика по отношение на нежеланите събития, артериалното налягане или сърдечната честота.</w:t>
      </w:r>
    </w:p>
    <w:p w14:paraId="37DEFFB9" w14:textId="77777777" w:rsidR="00305CA0" w:rsidRPr="00305CA0" w:rsidRDefault="00305CA0" w:rsidP="00305CA0">
      <w:pPr>
        <w:spacing w:line="240" w:lineRule="auto"/>
        <w:rPr>
          <w:rFonts w:eastAsia="Times New Roman" w:cs="Arial"/>
          <w:b/>
          <w:bCs/>
          <w:color w:val="000000"/>
          <w:szCs w:val="20"/>
          <w:lang w:eastAsia="bg-BG"/>
        </w:rPr>
      </w:pPr>
    </w:p>
    <w:p w14:paraId="161ECA5C" w14:textId="1CD87A78" w:rsidR="00305CA0" w:rsidRPr="00305CA0" w:rsidRDefault="00305CA0" w:rsidP="00305CA0">
      <w:pPr>
        <w:spacing w:line="240" w:lineRule="auto"/>
        <w:rPr>
          <w:rFonts w:eastAsia="Times New Roman" w:cs="Arial"/>
          <w:sz w:val="28"/>
          <w:szCs w:val="24"/>
        </w:rPr>
      </w:pPr>
      <w:r w:rsidRPr="00305CA0">
        <w:rPr>
          <w:rFonts w:eastAsia="Times New Roman" w:cs="Arial"/>
          <w:b/>
          <w:bCs/>
          <w:color w:val="000000"/>
          <w:szCs w:val="20"/>
          <w:lang w:eastAsia="bg-BG"/>
        </w:rPr>
        <w:t>Фармакодинамични взаимодействия</w:t>
      </w:r>
    </w:p>
    <w:p w14:paraId="3645F980" w14:textId="77777777"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Инсулин или перорални хипогликемични средства:</w:t>
      </w:r>
      <w:r w:rsidRPr="00305CA0">
        <w:rPr>
          <w:rFonts w:eastAsia="Times New Roman" w:cs="Arial"/>
          <w:color w:val="000000"/>
          <w:szCs w:val="20"/>
          <w:lang w:eastAsia="bg-BG"/>
        </w:rPr>
        <w:t xml:space="preserve"> Средствата с β-блокиращи свойства могат да усилят хипогликемичния ефект на инсулин и на пероралните хипогликемични средства. Признаците на хипогликемия могат да бъдат маскирани или отслабени (особено тахикардия). Поради това при пациенти, приемащи инсулин или перорални хипогликемични средства се препоръчва редовно наблюдение на глюкозата в кръвта.</w:t>
      </w:r>
    </w:p>
    <w:p w14:paraId="35816151" w14:textId="77777777"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Средства, които изчерпват катехоламина:</w:t>
      </w:r>
      <w:r w:rsidRPr="00305CA0">
        <w:rPr>
          <w:rFonts w:eastAsia="Times New Roman" w:cs="Arial"/>
          <w:color w:val="000000"/>
          <w:szCs w:val="20"/>
          <w:lang w:eastAsia="bg-BG"/>
        </w:rPr>
        <w:t xml:space="preserve"> Пациентите, които приемат едновременно </w:t>
      </w:r>
      <w:r w:rsidRPr="00305CA0">
        <w:rPr>
          <w:rFonts w:eastAsia="Times New Roman" w:cs="Arial"/>
          <w:color w:val="000000"/>
          <w:szCs w:val="20"/>
          <w:lang w:val="en-US"/>
        </w:rPr>
        <w:t>p</w:t>
      </w:r>
      <w:r w:rsidRPr="00305CA0">
        <w:rPr>
          <w:rFonts w:eastAsia="Times New Roman" w:cs="Arial"/>
          <w:color w:val="000000"/>
          <w:szCs w:val="20"/>
          <w:lang w:eastAsia="bg-BG"/>
        </w:rPr>
        <w:t>-блокери и лекарство, което може да изчерпи катехоламините (напр. резерпин и инхибитори на моноаминооксидазата), трябва да бъдат наблюдавани внимателно за признаци на хипотония и/или тежка брадикардия.</w:t>
      </w:r>
    </w:p>
    <w:p w14:paraId="0D97A008" w14:textId="77777777" w:rsidR="00305CA0" w:rsidRPr="00305CA0" w:rsidRDefault="00305CA0" w:rsidP="00305CA0">
      <w:pPr>
        <w:spacing w:line="240" w:lineRule="auto"/>
        <w:rPr>
          <w:rFonts w:eastAsia="Times New Roman" w:cs="Arial"/>
          <w:i/>
          <w:iCs/>
          <w:color w:val="000000"/>
          <w:szCs w:val="20"/>
          <w:lang w:eastAsia="bg-BG"/>
        </w:rPr>
      </w:pPr>
    </w:p>
    <w:p w14:paraId="3F7F34A5" w14:textId="7253A2C0"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Дигоксин:</w:t>
      </w:r>
      <w:r w:rsidRPr="00305CA0">
        <w:rPr>
          <w:rFonts w:eastAsia="Times New Roman" w:cs="Arial"/>
          <w:color w:val="000000"/>
          <w:szCs w:val="20"/>
          <w:lang w:eastAsia="bg-BG"/>
        </w:rPr>
        <w:t xml:space="preserve"> Комбинираното използване на бета-блокери и дигоксин може да доведе до допълнително удължаване на времето на атриовентрикуларната </w:t>
      </w:r>
      <w:r w:rsidRPr="00305CA0">
        <w:rPr>
          <w:rFonts w:eastAsia="Times New Roman" w:cs="Arial"/>
          <w:color w:val="000000"/>
          <w:szCs w:val="20"/>
          <w:lang w:val="ru-RU"/>
        </w:rPr>
        <w:t>(</w:t>
      </w:r>
      <w:r w:rsidRPr="00305CA0">
        <w:rPr>
          <w:rFonts w:eastAsia="Times New Roman" w:cs="Arial"/>
          <w:color w:val="000000"/>
          <w:szCs w:val="20"/>
          <w:lang w:val="en-US"/>
        </w:rPr>
        <w:t>AV</w:t>
      </w:r>
      <w:r w:rsidRPr="00305CA0">
        <w:rPr>
          <w:rFonts w:eastAsia="Times New Roman" w:cs="Arial"/>
          <w:color w:val="000000"/>
          <w:szCs w:val="20"/>
          <w:lang w:val="ru-RU"/>
        </w:rPr>
        <w:t xml:space="preserve">) </w:t>
      </w:r>
      <w:r w:rsidRPr="00305CA0">
        <w:rPr>
          <w:rFonts w:eastAsia="Times New Roman" w:cs="Arial"/>
          <w:color w:val="000000"/>
          <w:szCs w:val="20"/>
          <w:lang w:eastAsia="bg-BG"/>
        </w:rPr>
        <w:t>проводимост.</w:t>
      </w:r>
    </w:p>
    <w:p w14:paraId="7C4AB157" w14:textId="77777777" w:rsidR="00305CA0" w:rsidRPr="00305CA0" w:rsidRDefault="00305CA0" w:rsidP="00305CA0">
      <w:pPr>
        <w:rPr>
          <w:rFonts w:eastAsia="Times New Roman" w:cs="Arial"/>
          <w:i/>
          <w:iCs/>
          <w:color w:val="000000"/>
          <w:szCs w:val="20"/>
          <w:lang w:eastAsia="bg-BG"/>
        </w:rPr>
      </w:pPr>
    </w:p>
    <w:p w14:paraId="476A2D9A" w14:textId="58824B91" w:rsidR="00305CA0" w:rsidRPr="00305CA0" w:rsidRDefault="00305CA0" w:rsidP="00305CA0">
      <w:pPr>
        <w:rPr>
          <w:rFonts w:eastAsia="Times New Roman" w:cs="Arial"/>
          <w:color w:val="000000"/>
          <w:szCs w:val="20"/>
          <w:lang w:eastAsia="bg-BG"/>
        </w:rPr>
      </w:pPr>
      <w:r w:rsidRPr="00305CA0">
        <w:rPr>
          <w:rFonts w:eastAsia="Times New Roman" w:cs="Arial"/>
          <w:i/>
          <w:iCs/>
          <w:color w:val="000000"/>
          <w:szCs w:val="20"/>
          <w:lang w:eastAsia="bg-BG"/>
        </w:rPr>
        <w:t>Верапамил, дилтиазем, амиодарон или други антиаритмични средства:</w:t>
      </w:r>
      <w:r w:rsidRPr="00305CA0">
        <w:rPr>
          <w:rFonts w:eastAsia="Times New Roman" w:cs="Arial"/>
          <w:color w:val="000000"/>
          <w:szCs w:val="20"/>
          <w:lang w:eastAsia="bg-BG"/>
        </w:rPr>
        <w:t xml:space="preserve"> в комбинация с карведилол могат да увеличат риска от </w:t>
      </w:r>
      <w:r w:rsidRPr="00305CA0">
        <w:rPr>
          <w:rFonts w:eastAsia="Times New Roman" w:cs="Arial"/>
          <w:color w:val="000000"/>
          <w:szCs w:val="20"/>
          <w:lang w:val="en-US"/>
        </w:rPr>
        <w:t>AV</w:t>
      </w:r>
      <w:r w:rsidRPr="00305CA0">
        <w:rPr>
          <w:rFonts w:eastAsia="Times New Roman" w:cs="Arial"/>
          <w:color w:val="000000"/>
          <w:szCs w:val="20"/>
          <w:lang w:val="ru-RU"/>
        </w:rPr>
        <w:t xml:space="preserve"> </w:t>
      </w:r>
      <w:r w:rsidRPr="00305CA0">
        <w:rPr>
          <w:rFonts w:eastAsia="Times New Roman" w:cs="Arial"/>
          <w:color w:val="000000"/>
          <w:szCs w:val="20"/>
          <w:lang w:eastAsia="bg-BG"/>
        </w:rPr>
        <w:t>проводни нарушения (виж точка 4.4 Специални предупреждения и предпазни мерки при употреба).</w:t>
      </w:r>
    </w:p>
    <w:p w14:paraId="1999E859" w14:textId="40735CAC" w:rsidR="00305CA0" w:rsidRPr="00305CA0" w:rsidRDefault="00305CA0" w:rsidP="00305CA0">
      <w:pPr>
        <w:rPr>
          <w:rFonts w:eastAsia="Times New Roman" w:cs="Arial"/>
          <w:color w:val="000000"/>
          <w:szCs w:val="20"/>
          <w:lang w:eastAsia="bg-BG"/>
        </w:rPr>
      </w:pPr>
    </w:p>
    <w:p w14:paraId="0F466180" w14:textId="77777777"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Клонидин:</w:t>
      </w:r>
      <w:r w:rsidRPr="00305CA0">
        <w:rPr>
          <w:rFonts w:eastAsia="Times New Roman" w:cs="Arial"/>
          <w:color w:val="000000"/>
          <w:szCs w:val="20"/>
          <w:lang w:eastAsia="bg-BG"/>
        </w:rPr>
        <w:t xml:space="preserve"> Едновременното приложение на клонидин с β-блокери може да засили хипотензивните и понижаващите сърдечната честота ефекти. Когато трябва да се прекрати едновременното лечение с β-блокери и клонидин, първо трябва да се преустанови β-блокера. Терапията с клонидин може да се преустанови няколко дни по-късно чрез постепенно понижаване на дозата.</w:t>
      </w:r>
    </w:p>
    <w:p w14:paraId="282B74AF" w14:textId="77777777" w:rsidR="00305CA0" w:rsidRPr="00305CA0" w:rsidRDefault="00305CA0" w:rsidP="00305CA0">
      <w:pPr>
        <w:spacing w:line="240" w:lineRule="auto"/>
        <w:rPr>
          <w:rFonts w:eastAsia="Times New Roman" w:cs="Arial"/>
          <w:i/>
          <w:iCs/>
          <w:color w:val="000000"/>
          <w:szCs w:val="20"/>
          <w:lang w:eastAsia="bg-BG"/>
        </w:rPr>
      </w:pPr>
    </w:p>
    <w:p w14:paraId="1A172127" w14:textId="427BF324"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Калциеви антагонисти</w:t>
      </w:r>
      <w:r w:rsidRPr="00305CA0">
        <w:rPr>
          <w:rFonts w:eastAsia="Times New Roman" w:cs="Arial"/>
          <w:color w:val="000000"/>
          <w:szCs w:val="20"/>
          <w:lang w:eastAsia="bg-BG"/>
        </w:rPr>
        <w:t xml:space="preserve"> (виж. точка 4.4 Специални предупреждения и предпазни мерки при употреба). Изолирани случаи на проводни нарушения (рядко компрометирани хемодинамично) са наблюдавани, когато карведилол се прилага едновременно с дилтиазем. Както и при други</w:t>
      </w:r>
    </w:p>
    <w:p w14:paraId="045F8ABF"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β-блокери, ако карведилол трябва да се прилага перорално с калциеви антагонисти, от вида на верапамил или дилтиазем, се препоръчва мониториране на ЕКГ и артериалното налягане.</w:t>
      </w:r>
    </w:p>
    <w:p w14:paraId="6FF10E88" w14:textId="77777777" w:rsidR="00305CA0" w:rsidRPr="00305CA0" w:rsidRDefault="00305CA0" w:rsidP="00305CA0">
      <w:pPr>
        <w:spacing w:line="240" w:lineRule="auto"/>
        <w:rPr>
          <w:rFonts w:eastAsia="Times New Roman" w:cs="Arial"/>
          <w:i/>
          <w:iCs/>
          <w:color w:val="000000"/>
          <w:szCs w:val="20"/>
          <w:lang w:eastAsia="bg-BG"/>
        </w:rPr>
      </w:pPr>
    </w:p>
    <w:p w14:paraId="605A6FFE" w14:textId="262837CA"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Антихипертензивни средства:</w:t>
      </w:r>
      <w:r w:rsidRPr="00305CA0">
        <w:rPr>
          <w:rFonts w:eastAsia="Times New Roman" w:cs="Arial"/>
          <w:color w:val="000000"/>
          <w:szCs w:val="20"/>
          <w:lang w:eastAsia="bg-BG"/>
        </w:rPr>
        <w:t xml:space="preserve"> Както и другите β-блокери, така и карведилол може да потенцира ефекта на други едновременно приемани антихипертензивни средства (напр. α1</w:t>
      </w:r>
      <w:r w:rsidRPr="00305CA0">
        <w:rPr>
          <w:rFonts w:eastAsia="Times New Roman" w:cs="Arial"/>
          <w:color w:val="000000"/>
          <w:szCs w:val="20"/>
          <w:lang w:val="ru-RU"/>
        </w:rPr>
        <w:t xml:space="preserve">- </w:t>
      </w:r>
      <w:r w:rsidRPr="00305CA0">
        <w:rPr>
          <w:rFonts w:eastAsia="Times New Roman" w:cs="Arial"/>
          <w:color w:val="000000"/>
          <w:szCs w:val="20"/>
          <w:lang w:eastAsia="bg-BG"/>
        </w:rPr>
        <w:t>рецепторни антагонисти), или при които хипотонията е част от профила на техните нежелани лекарствени реакции.</w:t>
      </w:r>
    </w:p>
    <w:p w14:paraId="351CB1D6" w14:textId="77777777" w:rsidR="00305CA0" w:rsidRPr="00305CA0" w:rsidRDefault="00305CA0" w:rsidP="00305CA0">
      <w:pPr>
        <w:spacing w:line="240" w:lineRule="auto"/>
        <w:rPr>
          <w:rFonts w:eastAsia="Times New Roman" w:cs="Arial"/>
          <w:i/>
          <w:iCs/>
          <w:color w:val="000000"/>
          <w:szCs w:val="20"/>
          <w:lang w:eastAsia="bg-BG"/>
        </w:rPr>
      </w:pPr>
    </w:p>
    <w:p w14:paraId="08873C5E" w14:textId="0DC7628F"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Анестетици:</w:t>
      </w:r>
      <w:r w:rsidRPr="00305CA0">
        <w:rPr>
          <w:rFonts w:eastAsia="Times New Roman" w:cs="Arial"/>
          <w:color w:val="000000"/>
          <w:szCs w:val="20"/>
          <w:lang w:eastAsia="bg-BG"/>
        </w:rPr>
        <w:t xml:space="preserve"> По време на анестезия се препоръчва внимателно проследяване на жизнените показатели поради синергичните негативни инотропни и хипотензивни ефекти на карведилол и анестетиците.</w:t>
      </w:r>
    </w:p>
    <w:p w14:paraId="17E67E75" w14:textId="77777777" w:rsidR="00305CA0" w:rsidRPr="00305CA0" w:rsidRDefault="00305CA0" w:rsidP="00305CA0">
      <w:pPr>
        <w:spacing w:line="240" w:lineRule="auto"/>
        <w:rPr>
          <w:rFonts w:eastAsia="Times New Roman" w:cs="Arial"/>
          <w:i/>
          <w:iCs/>
          <w:color w:val="000000"/>
          <w:szCs w:val="20"/>
          <w:lang w:eastAsia="bg-BG"/>
        </w:rPr>
      </w:pPr>
    </w:p>
    <w:p w14:paraId="47239480" w14:textId="42D8F2C6"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НСПВС:</w:t>
      </w:r>
      <w:r w:rsidRPr="00305CA0">
        <w:rPr>
          <w:rFonts w:eastAsia="Times New Roman" w:cs="Arial"/>
          <w:color w:val="000000"/>
          <w:szCs w:val="20"/>
          <w:lang w:eastAsia="bg-BG"/>
        </w:rPr>
        <w:t xml:space="preserve"> Едновременното приложение на нестероидни противовъзпалителни средства (НСПВС) и бета-адрено блокери може да доведе до повишаване на артериалното налягане и по- слаб контрол върху него.</w:t>
      </w:r>
    </w:p>
    <w:p w14:paraId="13E13C74" w14:textId="77777777" w:rsidR="00305CA0" w:rsidRPr="00305CA0" w:rsidRDefault="00305CA0" w:rsidP="00305CA0">
      <w:pPr>
        <w:spacing w:line="240" w:lineRule="auto"/>
        <w:rPr>
          <w:rFonts w:eastAsia="Times New Roman" w:cs="Arial"/>
          <w:i/>
          <w:iCs/>
          <w:color w:val="000000"/>
          <w:szCs w:val="20"/>
          <w:lang w:eastAsia="bg-BG"/>
        </w:rPr>
      </w:pPr>
    </w:p>
    <w:p w14:paraId="3B04CEBD" w14:textId="28DF26D3"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Бета-агонисти с бронходилатиращо действие:</w:t>
      </w:r>
      <w:r w:rsidRPr="00305CA0">
        <w:rPr>
          <w:rFonts w:eastAsia="Times New Roman" w:cs="Arial"/>
          <w:color w:val="000000"/>
          <w:szCs w:val="20"/>
          <w:lang w:eastAsia="bg-BG"/>
        </w:rPr>
        <w:t xml:space="preserve"> Некардиоселективните бета-блокери антагонизират бронходилатиращите ефекти на бета-агонистите с бронходилатиращо действие. Препоръчва се внимателно наблюдение на пациентите.</w:t>
      </w:r>
    </w:p>
    <w:p w14:paraId="24B7111F" w14:textId="77777777" w:rsidR="00305CA0" w:rsidRPr="00305CA0" w:rsidRDefault="00305CA0" w:rsidP="00305CA0">
      <w:pPr>
        <w:rPr>
          <w:rFonts w:ascii="Times New Roman" w:eastAsia="Times New Roman" w:hAnsi="Times New Roman" w:cs="Times New Roman"/>
          <w:color w:val="000000"/>
          <w:sz w:val="20"/>
          <w:szCs w:val="20"/>
          <w:lang w:eastAsia="bg-BG"/>
        </w:rPr>
      </w:pPr>
    </w:p>
    <w:p w14:paraId="5D9F40EA" w14:textId="36CBBA31" w:rsidR="007122AD" w:rsidRDefault="002C50EE" w:rsidP="00936AD0">
      <w:pPr>
        <w:pStyle w:val="Heading2"/>
      </w:pPr>
      <w:r>
        <w:t>4.6. Фертилитет, бременност и кърмене</w:t>
      </w:r>
    </w:p>
    <w:p w14:paraId="40B2C151" w14:textId="24AF2043" w:rsidR="00305CA0" w:rsidRDefault="00305CA0" w:rsidP="00305CA0"/>
    <w:p w14:paraId="630BC31E" w14:textId="77777777" w:rsidR="00305CA0" w:rsidRPr="00305CA0" w:rsidRDefault="00305CA0" w:rsidP="00305CA0">
      <w:pPr>
        <w:pStyle w:val="Heading3"/>
        <w:rPr>
          <w:rFonts w:eastAsia="Times New Roman"/>
          <w:i/>
          <w:sz w:val="28"/>
        </w:rPr>
      </w:pPr>
      <w:r w:rsidRPr="00305CA0">
        <w:rPr>
          <w:rFonts w:eastAsia="Times New Roman"/>
          <w:i/>
          <w:lang w:eastAsia="bg-BG"/>
        </w:rPr>
        <w:t>Бременност:</w:t>
      </w:r>
    </w:p>
    <w:p w14:paraId="554937FB"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Клиничният опит с карведилол при бременни жени е недостатъчен.</w:t>
      </w:r>
    </w:p>
    <w:p w14:paraId="74F5691A"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Проучванията върху животни са недостатъчни по отношение на влиянието върху бременността, ембрионалното/фетално развитие, раждането и постнаталното развитие (виж точка 5.3). Потенциалният риск при хора не е известен.</w:t>
      </w:r>
    </w:p>
    <w:p w14:paraId="05CE113F"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Карведилол не трябва да се използва по време на бременност, освен в случаите, когато очакваната полза надвишава потенциалния риск.</w:t>
      </w:r>
    </w:p>
    <w:p w14:paraId="0D5F42F5" w14:textId="77777777" w:rsidR="00305CA0" w:rsidRPr="00305CA0" w:rsidRDefault="00305CA0" w:rsidP="00305CA0">
      <w:pPr>
        <w:spacing w:line="240" w:lineRule="auto"/>
        <w:rPr>
          <w:rFonts w:eastAsia="Times New Roman" w:cs="Arial"/>
          <w:color w:val="000000"/>
          <w:szCs w:val="20"/>
          <w:lang w:eastAsia="bg-BG"/>
        </w:rPr>
      </w:pPr>
    </w:p>
    <w:p w14:paraId="4D7848AC" w14:textId="59898FD2"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Бета-блокерите намаляват перфузията на плацентата, което може да доведе до интраутеринна смърт на плода, незрелост на плода и преждевременно раждане. Освен това при плода и новороденото могат да се наблюдават нежелани лекарствени реакции </w:t>
      </w:r>
      <w:r w:rsidRPr="00305CA0">
        <w:rPr>
          <w:rFonts w:eastAsia="Times New Roman" w:cs="Arial"/>
          <w:color w:val="000000"/>
          <w:szCs w:val="20"/>
          <w:lang w:eastAsia="bg-BG"/>
        </w:rPr>
        <w:lastRenderedPageBreak/>
        <w:t>(особено хипогликемия и брадикардия). Възможно е при новородените в постнаталния период да се повиши рискът от сърдечни и белодробни усложнения.</w:t>
      </w:r>
    </w:p>
    <w:p w14:paraId="665031F4" w14:textId="77777777" w:rsidR="00305CA0" w:rsidRPr="00305CA0" w:rsidRDefault="00305CA0" w:rsidP="00305CA0">
      <w:pPr>
        <w:spacing w:line="240" w:lineRule="auto"/>
        <w:rPr>
          <w:rFonts w:eastAsia="Times New Roman" w:cs="Arial"/>
          <w:color w:val="000000"/>
          <w:szCs w:val="20"/>
          <w:lang w:eastAsia="bg-BG"/>
        </w:rPr>
      </w:pPr>
    </w:p>
    <w:p w14:paraId="1A88BD76" w14:textId="1A98786A"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От проучванията върху животни няма съществени доказателства за тератогенност при употребата на карведилол (виж също точка 5.3).</w:t>
      </w:r>
    </w:p>
    <w:p w14:paraId="6C539FF0" w14:textId="77777777" w:rsidR="00305CA0" w:rsidRPr="00305CA0" w:rsidRDefault="00305CA0" w:rsidP="00305CA0">
      <w:pPr>
        <w:spacing w:line="240" w:lineRule="auto"/>
        <w:rPr>
          <w:rFonts w:eastAsia="Times New Roman" w:cs="Arial"/>
          <w:i/>
          <w:iCs/>
          <w:color w:val="000000"/>
          <w:szCs w:val="20"/>
          <w:lang w:eastAsia="bg-BG"/>
        </w:rPr>
      </w:pPr>
    </w:p>
    <w:p w14:paraId="0AD91C94" w14:textId="2D99475E" w:rsidR="00305CA0" w:rsidRPr="00305CA0" w:rsidRDefault="00305CA0" w:rsidP="00305CA0">
      <w:pPr>
        <w:pStyle w:val="Heading3"/>
        <w:rPr>
          <w:rFonts w:eastAsia="Times New Roman"/>
          <w:i/>
          <w:sz w:val="28"/>
        </w:rPr>
      </w:pPr>
      <w:r w:rsidRPr="00305CA0">
        <w:rPr>
          <w:rFonts w:eastAsia="Times New Roman"/>
          <w:i/>
          <w:lang w:eastAsia="bg-BG"/>
        </w:rPr>
        <w:t>Кърмене</w:t>
      </w:r>
    </w:p>
    <w:p w14:paraId="6D756A07" w14:textId="5F2B9C44" w:rsidR="00305CA0" w:rsidRPr="00305CA0" w:rsidRDefault="00305CA0" w:rsidP="00305CA0">
      <w:pPr>
        <w:rPr>
          <w:rFonts w:eastAsia="Times New Roman" w:cs="Arial"/>
          <w:color w:val="000000"/>
          <w:szCs w:val="20"/>
          <w:lang w:eastAsia="bg-BG"/>
        </w:rPr>
      </w:pPr>
      <w:r w:rsidRPr="00305CA0">
        <w:rPr>
          <w:rFonts w:eastAsia="Times New Roman" w:cs="Arial"/>
          <w:color w:val="000000"/>
          <w:szCs w:val="20"/>
          <w:lang w:eastAsia="bg-BG"/>
        </w:rPr>
        <w:t>Проучванията върху животни показват, че карведилол или неговите метаболити се екскретират в кърмата. Не е известно дали карведилол се екскретира в кърмата при хора. Поради това по време на лечение с карведилол не се препоръчва кърмене.</w:t>
      </w:r>
    </w:p>
    <w:p w14:paraId="2716D411" w14:textId="77777777" w:rsidR="00305CA0" w:rsidRPr="00305CA0" w:rsidRDefault="00305CA0" w:rsidP="00305CA0"/>
    <w:p w14:paraId="5DD7A76D" w14:textId="4C7A5D1A" w:rsidR="007122AD" w:rsidRDefault="002C50EE" w:rsidP="00936AD0">
      <w:pPr>
        <w:pStyle w:val="Heading2"/>
      </w:pPr>
      <w:r>
        <w:t>4.7. Ефекти върху способността за шофиране и работа с машини</w:t>
      </w:r>
    </w:p>
    <w:p w14:paraId="0D5299D2" w14:textId="34E3CBEE" w:rsidR="00305CA0" w:rsidRDefault="00305CA0" w:rsidP="00305CA0"/>
    <w:p w14:paraId="05B96925" w14:textId="77777777" w:rsidR="00305CA0" w:rsidRPr="00305CA0" w:rsidRDefault="00305CA0" w:rsidP="00305CA0">
      <w:pPr>
        <w:rPr>
          <w:sz w:val="24"/>
          <w:szCs w:val="24"/>
        </w:rPr>
      </w:pPr>
      <w:r w:rsidRPr="00305CA0">
        <w:rPr>
          <w:lang w:eastAsia="bg-BG"/>
        </w:rPr>
        <w:t>Не са провеждани проучвания за ефектите на карведилол върху способността на пациентите да шофират и работят с машини.</w:t>
      </w:r>
    </w:p>
    <w:p w14:paraId="35035C5A" w14:textId="77777777" w:rsidR="00305CA0" w:rsidRPr="00305CA0" w:rsidRDefault="00305CA0" w:rsidP="00305CA0">
      <w:pPr>
        <w:rPr>
          <w:sz w:val="24"/>
          <w:szCs w:val="24"/>
        </w:rPr>
      </w:pPr>
      <w:r w:rsidRPr="00305CA0">
        <w:rPr>
          <w:lang w:eastAsia="bg-BG"/>
        </w:rPr>
        <w:t>Поради индивидуално променливи реакции (напр. замайване, умора), способността за шофиране и работата с инструменти и машини могат да бъдат нарушени. Това е валидно особено в началото на лечението, след повишаване на дозата, при замяна на продукта, както и при комбинация с алкохол.</w:t>
      </w:r>
    </w:p>
    <w:p w14:paraId="22133D9C" w14:textId="77777777" w:rsidR="00305CA0" w:rsidRPr="00305CA0" w:rsidRDefault="00305CA0" w:rsidP="00305CA0"/>
    <w:p w14:paraId="44CE30A3" w14:textId="5CFAAD1A" w:rsidR="007122AD" w:rsidRDefault="002C50EE" w:rsidP="00936AD0">
      <w:pPr>
        <w:pStyle w:val="Heading2"/>
      </w:pPr>
      <w:r>
        <w:t>4.8. Нежелани лекарствени реакции</w:t>
      </w:r>
    </w:p>
    <w:p w14:paraId="17CFB86E" w14:textId="16E322B7" w:rsidR="00305CA0" w:rsidRDefault="00305CA0" w:rsidP="00305CA0"/>
    <w:p w14:paraId="3CC2CA8C" w14:textId="7D6668CD" w:rsidR="00305CA0" w:rsidRPr="00305CA0" w:rsidRDefault="00305CA0" w:rsidP="00305CA0">
      <w:pPr>
        <w:spacing w:line="240" w:lineRule="auto"/>
        <w:rPr>
          <w:rFonts w:eastAsia="Times New Roman" w:cs="Arial"/>
          <w:i/>
          <w:iCs/>
          <w:color w:val="000000"/>
          <w:lang w:eastAsia="bg-BG"/>
        </w:rPr>
      </w:pPr>
      <w:r w:rsidRPr="00305CA0">
        <w:rPr>
          <w:rFonts w:eastAsia="Times New Roman" w:cs="Arial"/>
          <w:i/>
          <w:iCs/>
          <w:color w:val="000000"/>
          <w:lang w:eastAsia="bg-BG"/>
        </w:rPr>
        <w:t>(а) Резюме на профила на безопасност</w:t>
      </w:r>
    </w:p>
    <w:p w14:paraId="17E133A1"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Честотата на нежеланите лекарствени реакции не е дозозависима, с изключение на замаяността, нарушеното зрение и брадикардията.</w:t>
      </w:r>
    </w:p>
    <w:p w14:paraId="1EEFE587" w14:textId="77777777" w:rsidR="00305CA0" w:rsidRPr="00305CA0" w:rsidRDefault="00305CA0" w:rsidP="00305CA0">
      <w:pPr>
        <w:spacing w:line="240" w:lineRule="auto"/>
        <w:rPr>
          <w:rFonts w:eastAsia="Times New Roman" w:cs="Arial"/>
          <w:i/>
          <w:iCs/>
          <w:color w:val="000000"/>
          <w:lang w:eastAsia="bg-BG"/>
        </w:rPr>
      </w:pPr>
    </w:p>
    <w:p w14:paraId="35866801" w14:textId="7A62222E" w:rsidR="00305CA0" w:rsidRPr="00305CA0" w:rsidRDefault="00305CA0" w:rsidP="00305CA0">
      <w:pPr>
        <w:spacing w:line="240" w:lineRule="auto"/>
        <w:rPr>
          <w:rFonts w:eastAsia="Times New Roman" w:cs="Arial"/>
          <w:i/>
          <w:iCs/>
          <w:color w:val="000000"/>
          <w:lang w:eastAsia="bg-BG"/>
        </w:rPr>
      </w:pPr>
      <w:r w:rsidRPr="00305CA0">
        <w:rPr>
          <w:rFonts w:eastAsia="Times New Roman" w:cs="Arial"/>
          <w:i/>
          <w:iCs/>
          <w:color w:val="000000"/>
          <w:lang w:eastAsia="bg-BG"/>
        </w:rPr>
        <w:t>(б) Табличен списък на нежеланите реакции</w:t>
      </w:r>
    </w:p>
    <w:p w14:paraId="0050B0E7"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Рискът от повечето нежелани реакции, свързани с карведилол е подобен при всички показания. Изключенията са описани в подточка (с).</w:t>
      </w:r>
    </w:p>
    <w:p w14:paraId="4EA49A87" w14:textId="77777777" w:rsidR="00305CA0" w:rsidRPr="00305CA0" w:rsidRDefault="00305CA0" w:rsidP="00305CA0">
      <w:pPr>
        <w:spacing w:line="240" w:lineRule="auto"/>
        <w:rPr>
          <w:rFonts w:eastAsia="Times New Roman" w:cs="Arial"/>
          <w:color w:val="000000"/>
          <w:lang w:eastAsia="bg-BG"/>
        </w:rPr>
      </w:pPr>
    </w:p>
    <w:p w14:paraId="329F4CC9" w14:textId="21C64728" w:rsidR="00305CA0" w:rsidRPr="00305CA0" w:rsidRDefault="00305CA0" w:rsidP="00305CA0">
      <w:pPr>
        <w:spacing w:line="240" w:lineRule="auto"/>
        <w:rPr>
          <w:rFonts w:eastAsia="Times New Roman" w:cs="Arial"/>
        </w:rPr>
      </w:pPr>
      <w:r w:rsidRPr="00305CA0">
        <w:rPr>
          <w:rFonts w:eastAsia="Times New Roman" w:cs="Arial"/>
          <w:color w:val="000000"/>
          <w:lang w:eastAsia="bg-BG"/>
        </w:rPr>
        <w:t>Честотата е по категории, както следва:</w:t>
      </w:r>
    </w:p>
    <w:p w14:paraId="24517DB6"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Много чести (≥1/10),</w:t>
      </w:r>
    </w:p>
    <w:p w14:paraId="655063F1"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Чести (≥1/100 до &lt;1/10),</w:t>
      </w:r>
    </w:p>
    <w:p w14:paraId="5816F090"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Нечести (≥1/1 000 до &lt;1/100),</w:t>
      </w:r>
    </w:p>
    <w:p w14:paraId="0317A041"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Редки (≥1/10 000 до &lt;1/1 000),</w:t>
      </w:r>
    </w:p>
    <w:p w14:paraId="3C6B8C38"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Много редки (≤1/10 000),</w:t>
      </w:r>
    </w:p>
    <w:p w14:paraId="0C22265E" w14:textId="77777777" w:rsidR="00305CA0" w:rsidRPr="00305CA0" w:rsidRDefault="00305CA0" w:rsidP="00305CA0">
      <w:pPr>
        <w:spacing w:line="240" w:lineRule="auto"/>
        <w:rPr>
          <w:rFonts w:eastAsia="Times New Roman" w:cs="Arial"/>
          <w:i/>
          <w:iCs/>
          <w:color w:val="000000"/>
          <w:lang w:eastAsia="bg-BG"/>
        </w:rPr>
      </w:pPr>
    </w:p>
    <w:p w14:paraId="04EF1971" w14:textId="1BC91472" w:rsidR="00305CA0" w:rsidRPr="00305CA0" w:rsidRDefault="00305CA0" w:rsidP="00305CA0">
      <w:pPr>
        <w:spacing w:line="240" w:lineRule="auto"/>
        <w:rPr>
          <w:rFonts w:eastAsia="Times New Roman" w:cs="Arial"/>
        </w:rPr>
      </w:pPr>
      <w:r w:rsidRPr="00305CA0">
        <w:rPr>
          <w:rFonts w:eastAsia="Times New Roman" w:cs="Arial"/>
          <w:i/>
          <w:iCs/>
          <w:color w:val="000000"/>
          <w:lang w:eastAsia="bg-BG"/>
        </w:rPr>
        <w:t>Инфекции и инфестации</w:t>
      </w:r>
    </w:p>
    <w:p w14:paraId="63AFA70A" w14:textId="5E3020FE" w:rsidR="00305CA0" w:rsidRPr="00305CA0" w:rsidRDefault="00305CA0" w:rsidP="00305CA0">
      <w:pPr>
        <w:spacing w:line="240" w:lineRule="auto"/>
        <w:rPr>
          <w:rFonts w:eastAsia="Times New Roman" w:cs="Arial"/>
        </w:rPr>
      </w:pPr>
      <w:r w:rsidRPr="00305CA0">
        <w:rPr>
          <w:rFonts w:eastAsia="Times New Roman" w:cs="Arial"/>
          <w:color w:val="000000"/>
          <w:lang w:eastAsia="bg-BG"/>
        </w:rPr>
        <w:t>Чести: бронхит, пневмония, инфекции на горните дихателни пътища, инфекции на пикочните пътища.</w:t>
      </w:r>
    </w:p>
    <w:p w14:paraId="69223045" w14:textId="77777777" w:rsidR="00305CA0" w:rsidRPr="00305CA0" w:rsidRDefault="00305CA0" w:rsidP="00305CA0">
      <w:pPr>
        <w:spacing w:line="240" w:lineRule="auto"/>
        <w:rPr>
          <w:rFonts w:eastAsia="Times New Roman" w:cs="Arial"/>
          <w:i/>
          <w:iCs/>
          <w:color w:val="000000"/>
          <w:lang w:eastAsia="bg-BG"/>
        </w:rPr>
      </w:pPr>
    </w:p>
    <w:p w14:paraId="64A8242A" w14:textId="776E9A4B" w:rsidR="00305CA0" w:rsidRPr="00305CA0" w:rsidRDefault="00305CA0" w:rsidP="00305CA0">
      <w:pPr>
        <w:spacing w:line="240" w:lineRule="auto"/>
        <w:rPr>
          <w:rFonts w:eastAsia="Times New Roman" w:cs="Arial"/>
        </w:rPr>
      </w:pPr>
      <w:r w:rsidRPr="00305CA0">
        <w:rPr>
          <w:rFonts w:eastAsia="Times New Roman" w:cs="Arial"/>
          <w:i/>
          <w:iCs/>
          <w:color w:val="000000"/>
          <w:lang w:eastAsia="bg-BG"/>
        </w:rPr>
        <w:t>Нарушения на кръвта и лимфната система</w:t>
      </w:r>
    </w:p>
    <w:p w14:paraId="218050ED"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Чести: анемия.</w:t>
      </w:r>
    </w:p>
    <w:p w14:paraId="52AD5CA1"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Редки: тромбоцитопения.</w:t>
      </w:r>
    </w:p>
    <w:p w14:paraId="5FC75FBB" w14:textId="198746DC" w:rsidR="00305CA0" w:rsidRPr="00305CA0" w:rsidRDefault="00305CA0" w:rsidP="00305CA0">
      <w:pPr>
        <w:spacing w:line="240" w:lineRule="auto"/>
        <w:rPr>
          <w:rFonts w:eastAsia="Times New Roman" w:cs="Arial"/>
        </w:rPr>
      </w:pPr>
      <w:r w:rsidRPr="00305CA0">
        <w:rPr>
          <w:rFonts w:eastAsia="Times New Roman" w:cs="Arial"/>
          <w:color w:val="000000"/>
          <w:lang w:eastAsia="bg-BG"/>
        </w:rPr>
        <w:t>Много редки: левкопения.</w:t>
      </w:r>
    </w:p>
    <w:p w14:paraId="69AAF0AD" w14:textId="77777777" w:rsidR="00305CA0" w:rsidRPr="00305CA0" w:rsidRDefault="00305CA0" w:rsidP="00305CA0">
      <w:pPr>
        <w:spacing w:line="240" w:lineRule="auto"/>
        <w:rPr>
          <w:rFonts w:eastAsia="Times New Roman" w:cs="Arial"/>
          <w:i/>
          <w:iCs/>
          <w:color w:val="000000"/>
          <w:lang w:eastAsia="bg-BG"/>
        </w:rPr>
      </w:pPr>
    </w:p>
    <w:p w14:paraId="7EB08191" w14:textId="75B6320C" w:rsidR="00305CA0" w:rsidRPr="00305CA0" w:rsidRDefault="00305CA0" w:rsidP="00305CA0">
      <w:pPr>
        <w:spacing w:line="240" w:lineRule="auto"/>
        <w:rPr>
          <w:rFonts w:eastAsia="Times New Roman" w:cs="Arial"/>
        </w:rPr>
      </w:pPr>
      <w:r w:rsidRPr="00305CA0">
        <w:rPr>
          <w:rFonts w:eastAsia="Times New Roman" w:cs="Arial"/>
          <w:i/>
          <w:iCs/>
          <w:color w:val="000000"/>
          <w:lang w:eastAsia="bg-BG"/>
        </w:rPr>
        <w:t>Нарушения на имунната система</w:t>
      </w:r>
    </w:p>
    <w:p w14:paraId="54678273"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Много редки: свръхчувствителност (алергични реакции).</w:t>
      </w:r>
    </w:p>
    <w:p w14:paraId="79F54B52" w14:textId="77777777" w:rsidR="00305CA0" w:rsidRPr="00305CA0" w:rsidRDefault="00305CA0" w:rsidP="00305CA0">
      <w:pPr>
        <w:spacing w:line="240" w:lineRule="auto"/>
        <w:rPr>
          <w:rFonts w:eastAsia="Times New Roman" w:cs="Arial"/>
          <w:i/>
          <w:iCs/>
          <w:color w:val="000000"/>
          <w:lang w:eastAsia="bg-BG"/>
        </w:rPr>
      </w:pPr>
    </w:p>
    <w:p w14:paraId="22044979" w14:textId="5DE01E3F" w:rsidR="00305CA0" w:rsidRPr="00305CA0" w:rsidRDefault="00305CA0" w:rsidP="00305CA0">
      <w:pPr>
        <w:spacing w:line="240" w:lineRule="auto"/>
        <w:rPr>
          <w:rFonts w:eastAsia="Times New Roman" w:cs="Arial"/>
        </w:rPr>
      </w:pPr>
      <w:r w:rsidRPr="00305CA0">
        <w:rPr>
          <w:rFonts w:eastAsia="Times New Roman" w:cs="Arial"/>
          <w:i/>
          <w:iCs/>
          <w:color w:val="000000"/>
          <w:lang w:eastAsia="bg-BG"/>
        </w:rPr>
        <w:lastRenderedPageBreak/>
        <w:t>Нарушения на метаболизма и храненето</w:t>
      </w:r>
    </w:p>
    <w:p w14:paraId="19837CAD"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Чести: покачване на тегло, хиперхолестеролемия, нарушен контрол на кръвната захар (хипергликемия, хипогликемия) при пациенти с предшестващ диабет.</w:t>
      </w:r>
    </w:p>
    <w:p w14:paraId="04BBF82D" w14:textId="77777777" w:rsidR="00305CA0" w:rsidRPr="00305CA0" w:rsidRDefault="00305CA0" w:rsidP="00305CA0">
      <w:pPr>
        <w:spacing w:line="240" w:lineRule="auto"/>
        <w:rPr>
          <w:rFonts w:eastAsia="Times New Roman" w:cs="Arial"/>
          <w:i/>
          <w:iCs/>
          <w:color w:val="000000"/>
          <w:lang w:eastAsia="bg-BG"/>
        </w:rPr>
      </w:pPr>
    </w:p>
    <w:p w14:paraId="6452CAE4" w14:textId="52579355" w:rsidR="00305CA0" w:rsidRPr="00305CA0" w:rsidRDefault="00305CA0" w:rsidP="00305CA0">
      <w:pPr>
        <w:spacing w:line="240" w:lineRule="auto"/>
        <w:rPr>
          <w:rFonts w:eastAsia="Times New Roman" w:cs="Arial"/>
        </w:rPr>
      </w:pPr>
      <w:r w:rsidRPr="00305CA0">
        <w:rPr>
          <w:rFonts w:eastAsia="Times New Roman" w:cs="Arial"/>
          <w:i/>
          <w:iCs/>
          <w:color w:val="000000"/>
          <w:lang w:eastAsia="bg-BG"/>
        </w:rPr>
        <w:t>Психични нарушения</w:t>
      </w:r>
    </w:p>
    <w:p w14:paraId="573E890F"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Чести: депресия, потиснато настроение.</w:t>
      </w:r>
    </w:p>
    <w:p w14:paraId="151CE46F"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Нечести: нарушения на съня.</w:t>
      </w:r>
    </w:p>
    <w:p w14:paraId="5BACFE6F" w14:textId="77777777" w:rsidR="00305CA0" w:rsidRPr="00305CA0" w:rsidRDefault="00305CA0" w:rsidP="00305CA0">
      <w:pPr>
        <w:spacing w:line="240" w:lineRule="auto"/>
        <w:rPr>
          <w:rFonts w:eastAsia="Times New Roman" w:cs="Arial"/>
          <w:i/>
          <w:iCs/>
          <w:color w:val="000000"/>
          <w:lang w:eastAsia="bg-BG"/>
        </w:rPr>
      </w:pPr>
    </w:p>
    <w:p w14:paraId="107443F4" w14:textId="3A2C9716" w:rsidR="00305CA0" w:rsidRPr="00305CA0" w:rsidRDefault="00305CA0" w:rsidP="00305CA0">
      <w:pPr>
        <w:spacing w:line="240" w:lineRule="auto"/>
        <w:rPr>
          <w:rFonts w:eastAsia="Times New Roman" w:cs="Arial"/>
        </w:rPr>
      </w:pPr>
      <w:r w:rsidRPr="00305CA0">
        <w:rPr>
          <w:rFonts w:eastAsia="Times New Roman" w:cs="Arial"/>
          <w:i/>
          <w:iCs/>
          <w:color w:val="000000"/>
          <w:lang w:eastAsia="bg-BG"/>
        </w:rPr>
        <w:t>Нарушения на нервната система</w:t>
      </w:r>
    </w:p>
    <w:p w14:paraId="575FA202"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Много чести: замаяност, главоболие.</w:t>
      </w:r>
    </w:p>
    <w:p w14:paraId="0AD713AD"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Нечести: пресинкоп, синкоп, парестезии.</w:t>
      </w:r>
    </w:p>
    <w:p w14:paraId="0965389D" w14:textId="77777777" w:rsidR="00305CA0" w:rsidRPr="00305CA0" w:rsidRDefault="00305CA0" w:rsidP="00305CA0">
      <w:pPr>
        <w:spacing w:line="240" w:lineRule="auto"/>
        <w:rPr>
          <w:rFonts w:eastAsia="Times New Roman" w:cs="Arial"/>
          <w:i/>
          <w:iCs/>
          <w:color w:val="000000"/>
          <w:lang w:eastAsia="bg-BG"/>
        </w:rPr>
      </w:pPr>
    </w:p>
    <w:p w14:paraId="781A8B5E" w14:textId="16A9C131" w:rsidR="00305CA0" w:rsidRPr="00305CA0" w:rsidRDefault="00305CA0" w:rsidP="00305CA0">
      <w:pPr>
        <w:spacing w:line="240" w:lineRule="auto"/>
        <w:rPr>
          <w:rFonts w:eastAsia="Times New Roman" w:cs="Arial"/>
        </w:rPr>
      </w:pPr>
      <w:r w:rsidRPr="00305CA0">
        <w:rPr>
          <w:rFonts w:eastAsia="Times New Roman" w:cs="Arial"/>
          <w:i/>
          <w:iCs/>
          <w:color w:val="000000"/>
          <w:lang w:eastAsia="bg-BG"/>
        </w:rPr>
        <w:t>Нарушения на очите</w:t>
      </w:r>
    </w:p>
    <w:p w14:paraId="2D6185D8"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Чести: зрителни нарушения, намалена лакримация (сухота в очите), очно дразнене,</w:t>
      </w:r>
    </w:p>
    <w:p w14:paraId="3CECC3C9" w14:textId="77777777" w:rsidR="00305CA0" w:rsidRPr="00305CA0" w:rsidRDefault="00305CA0" w:rsidP="00305CA0">
      <w:pPr>
        <w:spacing w:line="240" w:lineRule="auto"/>
        <w:rPr>
          <w:rFonts w:eastAsia="Times New Roman" w:cs="Arial"/>
          <w:i/>
          <w:iCs/>
          <w:color w:val="000000"/>
          <w:lang w:eastAsia="bg-BG"/>
        </w:rPr>
      </w:pPr>
    </w:p>
    <w:p w14:paraId="11586A24" w14:textId="0B39A146" w:rsidR="00305CA0" w:rsidRPr="00305CA0" w:rsidRDefault="00305CA0" w:rsidP="00305CA0">
      <w:pPr>
        <w:spacing w:line="240" w:lineRule="auto"/>
        <w:rPr>
          <w:rFonts w:eastAsia="Times New Roman" w:cs="Arial"/>
        </w:rPr>
      </w:pPr>
      <w:r w:rsidRPr="00305CA0">
        <w:rPr>
          <w:rFonts w:eastAsia="Times New Roman" w:cs="Arial"/>
          <w:i/>
          <w:iCs/>
          <w:color w:val="000000"/>
          <w:lang w:eastAsia="bg-BG"/>
        </w:rPr>
        <w:t>Сърдечни нарушения</w:t>
      </w:r>
    </w:p>
    <w:p w14:paraId="07ECA32D"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Много чести: сърдечна недостатъчност.</w:t>
      </w:r>
    </w:p>
    <w:p w14:paraId="22B77649" w14:textId="621FC930" w:rsidR="00305CA0" w:rsidRPr="00305CA0" w:rsidRDefault="00305CA0" w:rsidP="00305CA0">
      <w:pPr>
        <w:rPr>
          <w:rFonts w:eastAsia="Times New Roman" w:cs="Arial"/>
          <w:color w:val="000000"/>
          <w:lang w:eastAsia="bg-BG"/>
        </w:rPr>
      </w:pPr>
      <w:r w:rsidRPr="00305CA0">
        <w:rPr>
          <w:rFonts w:eastAsia="Times New Roman" w:cs="Arial"/>
          <w:color w:val="000000"/>
          <w:lang w:eastAsia="bg-BG"/>
        </w:rPr>
        <w:t>Чести: брадикардия, едем, хиперволемия, задръжка на течности.</w:t>
      </w:r>
    </w:p>
    <w:p w14:paraId="5843EB56"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Нечести: атриовентрикуларен блок, стенокардия.</w:t>
      </w:r>
    </w:p>
    <w:p w14:paraId="52C68A05" w14:textId="77777777" w:rsidR="00305CA0" w:rsidRPr="00305CA0" w:rsidRDefault="00305CA0" w:rsidP="00305CA0">
      <w:pPr>
        <w:spacing w:line="240" w:lineRule="auto"/>
        <w:rPr>
          <w:rFonts w:eastAsia="Times New Roman" w:cs="Arial"/>
          <w:i/>
          <w:iCs/>
          <w:color w:val="000000"/>
          <w:lang w:eastAsia="bg-BG"/>
        </w:rPr>
      </w:pPr>
    </w:p>
    <w:p w14:paraId="40A815CA" w14:textId="0DFD8AE7" w:rsidR="00305CA0" w:rsidRPr="00305CA0" w:rsidRDefault="00305CA0" w:rsidP="00305CA0">
      <w:pPr>
        <w:spacing w:line="240" w:lineRule="auto"/>
        <w:rPr>
          <w:rFonts w:eastAsia="Times New Roman" w:cs="Arial"/>
        </w:rPr>
      </w:pPr>
      <w:r w:rsidRPr="00305CA0">
        <w:rPr>
          <w:rFonts w:eastAsia="Times New Roman" w:cs="Arial"/>
          <w:i/>
          <w:iCs/>
          <w:color w:val="000000"/>
          <w:lang w:eastAsia="bg-BG"/>
        </w:rPr>
        <w:t>Съдови нарушения</w:t>
      </w:r>
    </w:p>
    <w:p w14:paraId="0B58AE2B"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Много чести: хипотензия.</w:t>
      </w:r>
    </w:p>
    <w:p w14:paraId="641E5B8B"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 xml:space="preserve">Чести: ортостатична хипотензия, нарушения на периферното кръвообращение (студени крайници, периферно съдово увреждане, обостряне на симптоматиката при пациенти с </w:t>
      </w:r>
      <w:proofErr w:type="spellStart"/>
      <w:r w:rsidRPr="00305CA0">
        <w:rPr>
          <w:rFonts w:eastAsia="Times New Roman" w:cs="Arial"/>
          <w:color w:val="000000"/>
          <w:lang w:val="en-US"/>
        </w:rPr>
        <w:t>claudicatio</w:t>
      </w:r>
      <w:proofErr w:type="spellEnd"/>
      <w:r w:rsidRPr="00305CA0">
        <w:rPr>
          <w:rFonts w:eastAsia="Times New Roman" w:cs="Arial"/>
          <w:color w:val="000000"/>
          <w:lang w:val="ru-RU"/>
        </w:rPr>
        <w:t xml:space="preserve"> </w:t>
      </w:r>
      <w:proofErr w:type="spellStart"/>
      <w:r w:rsidRPr="00305CA0">
        <w:rPr>
          <w:rFonts w:eastAsia="Times New Roman" w:cs="Arial"/>
          <w:color w:val="000000"/>
          <w:lang w:val="en-US"/>
        </w:rPr>
        <w:t>intermittens</w:t>
      </w:r>
      <w:proofErr w:type="spellEnd"/>
      <w:r w:rsidRPr="00305CA0">
        <w:rPr>
          <w:rFonts w:eastAsia="Times New Roman" w:cs="Arial"/>
          <w:color w:val="000000"/>
          <w:lang w:val="ru-RU"/>
        </w:rPr>
        <w:t xml:space="preserve"> </w:t>
      </w:r>
      <w:r w:rsidRPr="00305CA0">
        <w:rPr>
          <w:rFonts w:eastAsia="Times New Roman" w:cs="Arial"/>
          <w:color w:val="000000"/>
          <w:lang w:eastAsia="bg-BG"/>
        </w:rPr>
        <w:t>и феномен на Рейно).</w:t>
      </w:r>
    </w:p>
    <w:p w14:paraId="7F42A327" w14:textId="77777777" w:rsidR="00305CA0" w:rsidRPr="00305CA0" w:rsidRDefault="00305CA0" w:rsidP="00305CA0">
      <w:pPr>
        <w:spacing w:line="240" w:lineRule="auto"/>
        <w:rPr>
          <w:rFonts w:eastAsia="Times New Roman" w:cs="Arial"/>
          <w:i/>
          <w:iCs/>
          <w:color w:val="000000"/>
          <w:lang w:eastAsia="bg-BG"/>
        </w:rPr>
      </w:pPr>
    </w:p>
    <w:p w14:paraId="7BAADEF9" w14:textId="25A9D44F" w:rsidR="00305CA0" w:rsidRPr="00305CA0" w:rsidRDefault="00305CA0" w:rsidP="00305CA0">
      <w:pPr>
        <w:spacing w:line="240" w:lineRule="auto"/>
        <w:rPr>
          <w:rFonts w:eastAsia="Times New Roman" w:cs="Arial"/>
        </w:rPr>
      </w:pPr>
      <w:r w:rsidRPr="00305CA0">
        <w:rPr>
          <w:rFonts w:eastAsia="Times New Roman" w:cs="Arial"/>
          <w:i/>
          <w:iCs/>
          <w:color w:val="000000"/>
          <w:lang w:eastAsia="bg-BG"/>
        </w:rPr>
        <w:t>Респираторни, гръдни и медиастинални нарушения</w:t>
      </w:r>
    </w:p>
    <w:p w14:paraId="653903D8"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Чести: диспнея, белодробен оток, астма при предразположени пациенти.</w:t>
      </w:r>
    </w:p>
    <w:p w14:paraId="57556C61"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Редки: назална конгестия.</w:t>
      </w:r>
    </w:p>
    <w:p w14:paraId="75A438BD" w14:textId="77777777" w:rsidR="00305CA0" w:rsidRPr="00305CA0" w:rsidRDefault="00305CA0" w:rsidP="00305CA0">
      <w:pPr>
        <w:spacing w:line="240" w:lineRule="auto"/>
        <w:rPr>
          <w:rFonts w:eastAsia="Times New Roman" w:cs="Arial"/>
          <w:i/>
          <w:iCs/>
          <w:color w:val="000000"/>
          <w:lang w:eastAsia="bg-BG"/>
        </w:rPr>
      </w:pPr>
    </w:p>
    <w:p w14:paraId="032BA932" w14:textId="3A7A01CF" w:rsidR="00305CA0" w:rsidRPr="00305CA0" w:rsidRDefault="00305CA0" w:rsidP="00305CA0">
      <w:pPr>
        <w:spacing w:line="240" w:lineRule="auto"/>
        <w:rPr>
          <w:rFonts w:eastAsia="Times New Roman" w:cs="Arial"/>
        </w:rPr>
      </w:pPr>
      <w:r w:rsidRPr="00305CA0">
        <w:rPr>
          <w:rFonts w:eastAsia="Times New Roman" w:cs="Arial"/>
          <w:i/>
          <w:iCs/>
          <w:color w:val="000000"/>
          <w:lang w:eastAsia="bg-BG"/>
        </w:rPr>
        <w:t>Стомашно-чревни нарушения</w:t>
      </w:r>
    </w:p>
    <w:p w14:paraId="3D06A27B"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Чести: гадене, диария, повръщане, диспепсия, болка в областта на корема.</w:t>
      </w:r>
    </w:p>
    <w:p w14:paraId="7D76DFAF" w14:textId="77777777" w:rsidR="00305CA0" w:rsidRPr="00305CA0" w:rsidRDefault="00305CA0" w:rsidP="00305CA0">
      <w:pPr>
        <w:spacing w:line="240" w:lineRule="auto"/>
        <w:rPr>
          <w:rFonts w:eastAsia="Times New Roman" w:cs="Arial"/>
          <w:i/>
          <w:iCs/>
          <w:color w:val="000000"/>
          <w:lang w:eastAsia="bg-BG"/>
        </w:rPr>
      </w:pPr>
    </w:p>
    <w:p w14:paraId="42940ED2" w14:textId="3821A2FF" w:rsidR="00305CA0" w:rsidRPr="00305CA0" w:rsidRDefault="00305CA0" w:rsidP="00305CA0">
      <w:pPr>
        <w:spacing w:line="240" w:lineRule="auto"/>
        <w:rPr>
          <w:rFonts w:eastAsia="Times New Roman" w:cs="Arial"/>
        </w:rPr>
      </w:pPr>
      <w:r w:rsidRPr="00305CA0">
        <w:rPr>
          <w:rFonts w:eastAsia="Times New Roman" w:cs="Arial"/>
          <w:i/>
          <w:iCs/>
          <w:color w:val="000000"/>
          <w:lang w:eastAsia="bg-BG"/>
        </w:rPr>
        <w:t>Хепатобилиарни нарушения</w:t>
      </w:r>
    </w:p>
    <w:p w14:paraId="4509595E"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 xml:space="preserve">Много редки: повишаване на аланинаминотранферазата </w:t>
      </w:r>
      <w:r w:rsidRPr="00305CA0">
        <w:rPr>
          <w:rFonts w:eastAsia="Times New Roman" w:cs="Arial"/>
          <w:color w:val="000000"/>
          <w:lang w:val="ru-RU"/>
        </w:rPr>
        <w:t>(</w:t>
      </w:r>
      <w:r w:rsidRPr="00305CA0">
        <w:rPr>
          <w:rFonts w:eastAsia="Times New Roman" w:cs="Arial"/>
          <w:color w:val="000000"/>
          <w:lang w:val="en-US"/>
        </w:rPr>
        <w:t>ALAT</w:t>
      </w:r>
      <w:r w:rsidRPr="00305CA0">
        <w:rPr>
          <w:rFonts w:eastAsia="Times New Roman" w:cs="Arial"/>
          <w:color w:val="000000"/>
          <w:lang w:val="ru-RU"/>
        </w:rPr>
        <w:t xml:space="preserve">), </w:t>
      </w:r>
      <w:r w:rsidRPr="00305CA0">
        <w:rPr>
          <w:rFonts w:eastAsia="Times New Roman" w:cs="Arial"/>
          <w:color w:val="000000"/>
          <w:lang w:eastAsia="bg-BG"/>
        </w:rPr>
        <w:t xml:space="preserve">аспартатаминотрансферазата </w:t>
      </w:r>
      <w:r w:rsidRPr="00305CA0">
        <w:rPr>
          <w:rFonts w:eastAsia="Times New Roman" w:cs="Arial"/>
          <w:color w:val="000000"/>
          <w:lang w:val="ru-RU"/>
        </w:rPr>
        <w:t>(</w:t>
      </w:r>
      <w:r w:rsidRPr="00305CA0">
        <w:rPr>
          <w:rFonts w:eastAsia="Times New Roman" w:cs="Arial"/>
          <w:color w:val="000000"/>
          <w:lang w:val="en-US"/>
        </w:rPr>
        <w:t>ASAT</w:t>
      </w:r>
      <w:r w:rsidRPr="00305CA0">
        <w:rPr>
          <w:rFonts w:eastAsia="Times New Roman" w:cs="Arial"/>
          <w:color w:val="000000"/>
          <w:lang w:val="ru-RU"/>
        </w:rPr>
        <w:t xml:space="preserve">) </w:t>
      </w:r>
      <w:r w:rsidRPr="00305CA0">
        <w:rPr>
          <w:rFonts w:eastAsia="Times New Roman" w:cs="Arial"/>
          <w:color w:val="000000"/>
          <w:lang w:eastAsia="bg-BG"/>
        </w:rPr>
        <w:t xml:space="preserve">и гамаглутамилтрансферазата </w:t>
      </w:r>
      <w:r w:rsidRPr="00305CA0">
        <w:rPr>
          <w:rFonts w:eastAsia="Times New Roman" w:cs="Arial"/>
          <w:color w:val="000000"/>
          <w:lang w:val="ru-RU"/>
        </w:rPr>
        <w:t>(</w:t>
      </w:r>
      <w:r w:rsidRPr="00305CA0">
        <w:rPr>
          <w:rFonts w:eastAsia="Times New Roman" w:cs="Arial"/>
          <w:color w:val="000000"/>
          <w:lang w:val="en-US"/>
        </w:rPr>
        <w:t>GGT</w:t>
      </w:r>
      <w:r w:rsidRPr="00305CA0">
        <w:rPr>
          <w:rFonts w:eastAsia="Times New Roman" w:cs="Arial"/>
          <w:color w:val="000000"/>
          <w:lang w:val="ru-RU"/>
        </w:rPr>
        <w:t>).</w:t>
      </w:r>
    </w:p>
    <w:p w14:paraId="6EB9288E" w14:textId="77777777" w:rsidR="00305CA0" w:rsidRPr="00305CA0" w:rsidRDefault="00305CA0" w:rsidP="00305CA0">
      <w:pPr>
        <w:spacing w:line="240" w:lineRule="auto"/>
        <w:rPr>
          <w:rFonts w:eastAsia="Times New Roman" w:cs="Arial"/>
          <w:i/>
          <w:iCs/>
          <w:color w:val="000000"/>
          <w:lang w:eastAsia="bg-BG"/>
        </w:rPr>
      </w:pPr>
    </w:p>
    <w:p w14:paraId="12B64524" w14:textId="54702E9D" w:rsidR="00305CA0" w:rsidRPr="00305CA0" w:rsidRDefault="00305CA0" w:rsidP="00305CA0">
      <w:pPr>
        <w:spacing w:line="240" w:lineRule="auto"/>
        <w:rPr>
          <w:rFonts w:eastAsia="Times New Roman" w:cs="Arial"/>
        </w:rPr>
      </w:pPr>
      <w:r w:rsidRPr="00305CA0">
        <w:rPr>
          <w:rFonts w:eastAsia="Times New Roman" w:cs="Arial"/>
          <w:i/>
          <w:iCs/>
          <w:color w:val="000000"/>
          <w:lang w:eastAsia="bg-BG"/>
        </w:rPr>
        <w:t>Нарушения на кожата и подкожната тъкан</w:t>
      </w:r>
    </w:p>
    <w:p w14:paraId="75872F52"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Нечести: кожни реакции (напр. алергичен екзантем, дерматит, уртикария, пруритус, псориатрични и лихен планус подобни лезии), алопеция.</w:t>
      </w:r>
    </w:p>
    <w:p w14:paraId="5E2F544C"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Много редки: тежки кожни нежелани реакции (напр. еритема мултиформе, синдром на Стивънс-Джонсън, токсична епидермална некролиза)</w:t>
      </w:r>
    </w:p>
    <w:p w14:paraId="05148119" w14:textId="77777777" w:rsidR="00305CA0" w:rsidRPr="00305CA0" w:rsidRDefault="00305CA0" w:rsidP="00305CA0">
      <w:pPr>
        <w:spacing w:line="240" w:lineRule="auto"/>
        <w:rPr>
          <w:rFonts w:eastAsia="Times New Roman" w:cs="Arial"/>
          <w:i/>
          <w:iCs/>
          <w:color w:val="000000"/>
          <w:lang w:eastAsia="bg-BG"/>
        </w:rPr>
      </w:pPr>
    </w:p>
    <w:p w14:paraId="58C1DD05" w14:textId="5055C286" w:rsidR="00305CA0" w:rsidRPr="00305CA0" w:rsidRDefault="00305CA0" w:rsidP="00305CA0">
      <w:pPr>
        <w:spacing w:line="240" w:lineRule="auto"/>
        <w:rPr>
          <w:rFonts w:eastAsia="Times New Roman" w:cs="Arial"/>
        </w:rPr>
      </w:pPr>
      <w:r w:rsidRPr="00305CA0">
        <w:rPr>
          <w:rFonts w:eastAsia="Times New Roman" w:cs="Arial"/>
          <w:i/>
          <w:iCs/>
          <w:color w:val="000000"/>
          <w:lang w:eastAsia="bg-BG"/>
        </w:rPr>
        <w:t>Нарушения на мускулно-скелетната система и съединителната тъкан</w:t>
      </w:r>
    </w:p>
    <w:p w14:paraId="2048FADC"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Чести: болки по крайниците.</w:t>
      </w:r>
    </w:p>
    <w:p w14:paraId="42777A70" w14:textId="77777777" w:rsidR="00305CA0" w:rsidRPr="00305CA0" w:rsidRDefault="00305CA0" w:rsidP="00305CA0">
      <w:pPr>
        <w:spacing w:line="240" w:lineRule="auto"/>
        <w:rPr>
          <w:rFonts w:eastAsia="Times New Roman" w:cs="Arial"/>
          <w:i/>
          <w:iCs/>
          <w:color w:val="000000"/>
          <w:lang w:eastAsia="bg-BG"/>
        </w:rPr>
      </w:pPr>
    </w:p>
    <w:p w14:paraId="2ACC8EEF" w14:textId="7EA95D91" w:rsidR="00305CA0" w:rsidRPr="00305CA0" w:rsidRDefault="00305CA0" w:rsidP="00305CA0">
      <w:pPr>
        <w:spacing w:line="240" w:lineRule="auto"/>
        <w:rPr>
          <w:rFonts w:eastAsia="Times New Roman" w:cs="Arial"/>
        </w:rPr>
      </w:pPr>
      <w:r w:rsidRPr="00305CA0">
        <w:rPr>
          <w:rFonts w:eastAsia="Times New Roman" w:cs="Arial"/>
          <w:i/>
          <w:iCs/>
          <w:color w:val="000000"/>
          <w:lang w:eastAsia="bg-BG"/>
        </w:rPr>
        <w:t>Нарушения на бъбреците и пикочните пътища</w:t>
      </w:r>
    </w:p>
    <w:p w14:paraId="04942578"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Чести: бъбречна недостатъчност и бъбречни функционални нарушения при пациенти с дифузни съдови заболявания и/или съпътстваща бъбречна недостатъчност, микционни смущения.</w:t>
      </w:r>
    </w:p>
    <w:p w14:paraId="426E1A60"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Много редки: инконтиненция на урината при жени.</w:t>
      </w:r>
    </w:p>
    <w:p w14:paraId="4541F72E" w14:textId="77777777" w:rsidR="00305CA0" w:rsidRPr="00305CA0" w:rsidRDefault="00305CA0" w:rsidP="00305CA0">
      <w:pPr>
        <w:spacing w:line="240" w:lineRule="auto"/>
        <w:rPr>
          <w:rFonts w:eastAsia="Times New Roman" w:cs="Arial"/>
          <w:i/>
          <w:iCs/>
          <w:color w:val="000000"/>
          <w:lang w:eastAsia="bg-BG"/>
        </w:rPr>
      </w:pPr>
    </w:p>
    <w:p w14:paraId="14F6AE0B" w14:textId="7CA0F0C7" w:rsidR="00305CA0" w:rsidRPr="00305CA0" w:rsidRDefault="00305CA0" w:rsidP="00305CA0">
      <w:pPr>
        <w:spacing w:line="240" w:lineRule="auto"/>
        <w:rPr>
          <w:rFonts w:eastAsia="Times New Roman" w:cs="Arial"/>
        </w:rPr>
      </w:pPr>
      <w:r w:rsidRPr="00305CA0">
        <w:rPr>
          <w:rFonts w:eastAsia="Times New Roman" w:cs="Arial"/>
          <w:i/>
          <w:iCs/>
          <w:color w:val="000000"/>
          <w:lang w:eastAsia="bg-BG"/>
        </w:rPr>
        <w:t>Нарушения на възпроизводителната система и гърдата</w:t>
      </w:r>
    </w:p>
    <w:p w14:paraId="567F9551"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Нечести: еректилна дисфункция.</w:t>
      </w:r>
    </w:p>
    <w:p w14:paraId="3EB8D019" w14:textId="77777777" w:rsidR="00305CA0" w:rsidRPr="00305CA0" w:rsidRDefault="00305CA0" w:rsidP="00305CA0">
      <w:pPr>
        <w:spacing w:line="240" w:lineRule="auto"/>
        <w:rPr>
          <w:rFonts w:eastAsia="Times New Roman" w:cs="Arial"/>
          <w:i/>
          <w:iCs/>
          <w:color w:val="000000"/>
          <w:lang w:eastAsia="bg-BG"/>
        </w:rPr>
      </w:pPr>
    </w:p>
    <w:p w14:paraId="77901C8A" w14:textId="0EB48757" w:rsidR="00305CA0" w:rsidRPr="00305CA0" w:rsidRDefault="00305CA0" w:rsidP="00305CA0">
      <w:pPr>
        <w:spacing w:line="240" w:lineRule="auto"/>
        <w:rPr>
          <w:rFonts w:eastAsia="Times New Roman" w:cs="Arial"/>
        </w:rPr>
      </w:pPr>
      <w:r w:rsidRPr="00305CA0">
        <w:rPr>
          <w:rFonts w:eastAsia="Times New Roman" w:cs="Arial"/>
          <w:i/>
          <w:iCs/>
          <w:color w:val="000000"/>
          <w:lang w:eastAsia="bg-BG"/>
        </w:rPr>
        <w:t>Общи нарушения и ефекти на мястото на приложение</w:t>
      </w:r>
    </w:p>
    <w:p w14:paraId="6EA3CB59"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Много чести: астения (умора).</w:t>
      </w:r>
    </w:p>
    <w:p w14:paraId="1CBD00DB"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Чести: болка.</w:t>
      </w:r>
    </w:p>
    <w:p w14:paraId="48BA68AA" w14:textId="77777777" w:rsidR="00305CA0" w:rsidRPr="00305CA0" w:rsidRDefault="00305CA0" w:rsidP="00305CA0">
      <w:pPr>
        <w:spacing w:line="240" w:lineRule="auto"/>
        <w:rPr>
          <w:rFonts w:eastAsia="Times New Roman" w:cs="Arial"/>
          <w:color w:val="000000"/>
          <w:u w:val="single"/>
          <w:lang w:eastAsia="bg-BG"/>
        </w:rPr>
      </w:pPr>
    </w:p>
    <w:p w14:paraId="19D69E37" w14:textId="53143176" w:rsidR="00305CA0" w:rsidRPr="00305CA0" w:rsidRDefault="00305CA0" w:rsidP="00305CA0">
      <w:pPr>
        <w:spacing w:line="240" w:lineRule="auto"/>
        <w:rPr>
          <w:rFonts w:eastAsia="Times New Roman" w:cs="Arial"/>
        </w:rPr>
      </w:pPr>
      <w:r w:rsidRPr="00305CA0">
        <w:rPr>
          <w:rFonts w:eastAsia="Times New Roman" w:cs="Arial"/>
          <w:color w:val="000000"/>
          <w:u w:val="single"/>
          <w:lang w:eastAsia="bg-BG"/>
        </w:rPr>
        <w:t>(с) описание на избрани нежелани реакции:</w:t>
      </w:r>
    </w:p>
    <w:p w14:paraId="5980507D"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Виене на свят, синкоп, главоболие и астения обикновено са слабо изразени и е по- вероятно да се наблюдават в началото на лечението.</w:t>
      </w:r>
    </w:p>
    <w:p w14:paraId="780A1F52" w14:textId="77777777" w:rsidR="00305CA0" w:rsidRPr="00305CA0" w:rsidRDefault="00305CA0" w:rsidP="00305CA0">
      <w:pPr>
        <w:spacing w:line="240" w:lineRule="auto"/>
        <w:rPr>
          <w:rFonts w:eastAsia="Times New Roman" w:cs="Arial"/>
          <w:color w:val="000000"/>
          <w:lang w:eastAsia="bg-BG"/>
        </w:rPr>
      </w:pPr>
    </w:p>
    <w:p w14:paraId="2A9CA134" w14:textId="324E11B5" w:rsidR="00305CA0" w:rsidRPr="00305CA0" w:rsidRDefault="00305CA0" w:rsidP="00305CA0">
      <w:pPr>
        <w:spacing w:line="240" w:lineRule="auto"/>
        <w:rPr>
          <w:rFonts w:eastAsia="Times New Roman" w:cs="Arial"/>
        </w:rPr>
      </w:pPr>
      <w:r w:rsidRPr="00305CA0">
        <w:rPr>
          <w:rFonts w:eastAsia="Times New Roman" w:cs="Arial"/>
          <w:color w:val="000000"/>
          <w:lang w:eastAsia="bg-BG"/>
        </w:rPr>
        <w:t>При повишаване на дозата на карведилол при пациенти със застойна сърдечна недостатъчност могат да се наблюдават влошаване на сърдечната недостатъчност и задържане на течности (виж точка 4.4).</w:t>
      </w:r>
    </w:p>
    <w:p w14:paraId="0F04F2E7" w14:textId="77777777" w:rsidR="00305CA0" w:rsidRPr="00305CA0" w:rsidRDefault="00305CA0" w:rsidP="00305CA0">
      <w:pPr>
        <w:spacing w:line="240" w:lineRule="auto"/>
        <w:rPr>
          <w:rFonts w:eastAsia="Times New Roman" w:cs="Arial"/>
          <w:color w:val="000000"/>
          <w:lang w:eastAsia="bg-BG"/>
        </w:rPr>
      </w:pPr>
    </w:p>
    <w:p w14:paraId="55E120E8" w14:textId="37609370" w:rsidR="00305CA0" w:rsidRPr="00305CA0" w:rsidRDefault="00305CA0" w:rsidP="00305CA0">
      <w:pPr>
        <w:spacing w:line="240" w:lineRule="auto"/>
        <w:rPr>
          <w:rFonts w:eastAsia="Times New Roman" w:cs="Arial"/>
        </w:rPr>
      </w:pPr>
      <w:r w:rsidRPr="00305CA0">
        <w:rPr>
          <w:rFonts w:eastAsia="Times New Roman" w:cs="Arial"/>
          <w:color w:val="000000"/>
          <w:lang w:eastAsia="bg-BG"/>
        </w:rPr>
        <w:t>Сърдечната недостатъчност е най-често съобщаваната нежелана реакция при плацебо и при карведилол лекуваните пациенти (14,5% и 15,4% съответно при пациенти с левокамерна дисфункция след остър инфаркт на миокарда).</w:t>
      </w:r>
    </w:p>
    <w:p w14:paraId="17FC48DB" w14:textId="4BE738C5" w:rsidR="00305CA0" w:rsidRPr="00305CA0" w:rsidRDefault="00305CA0" w:rsidP="00305CA0">
      <w:pPr>
        <w:rPr>
          <w:rFonts w:eastAsia="Times New Roman" w:cs="Arial"/>
          <w:color w:val="000000"/>
          <w:lang w:eastAsia="bg-BG"/>
        </w:rPr>
      </w:pPr>
      <w:r w:rsidRPr="00305CA0">
        <w:rPr>
          <w:rFonts w:eastAsia="Times New Roman" w:cs="Arial"/>
          <w:color w:val="000000"/>
          <w:lang w:eastAsia="bg-BG"/>
        </w:rPr>
        <w:t>Обратимо влошаване на бъбречната функция е наблюдавано при лечение с карведилол на пациенти с хронична сърдечна недостатъчност с ниско артериално налягане, исхемична болест на сърцето и дифузно съдово заболяване и/или съпътстваща бъбречна недостатъчност (виж точка 4.4).</w:t>
      </w:r>
    </w:p>
    <w:p w14:paraId="0079C7E5" w14:textId="5AF64600" w:rsidR="00305CA0" w:rsidRPr="00305CA0" w:rsidRDefault="00305CA0" w:rsidP="00305CA0">
      <w:pPr>
        <w:rPr>
          <w:rFonts w:eastAsia="Times New Roman" w:cs="Arial"/>
          <w:color w:val="000000"/>
          <w:lang w:eastAsia="bg-BG"/>
        </w:rPr>
      </w:pPr>
    </w:p>
    <w:p w14:paraId="36F5150F"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Като клас, бета-адрено рецепторните блокери могат да доведат до манифестни прояви на латентен диабет, влошаване на манифестния диабет и потискане на гликемичния контрол. Карведилол може да причини инконтиненция на урината при жените, което отзвучава след прекратяване на лекарството.</w:t>
      </w:r>
    </w:p>
    <w:p w14:paraId="7335AE26" w14:textId="77777777" w:rsidR="00305CA0" w:rsidRPr="00305CA0" w:rsidRDefault="00305CA0" w:rsidP="00305CA0">
      <w:pPr>
        <w:spacing w:line="240" w:lineRule="auto"/>
        <w:rPr>
          <w:rFonts w:eastAsia="Times New Roman" w:cs="Arial"/>
        </w:rPr>
      </w:pPr>
      <w:r w:rsidRPr="00305CA0">
        <w:rPr>
          <w:rFonts w:eastAsia="Times New Roman" w:cs="Arial"/>
          <w:color w:val="000000"/>
          <w:u w:val="single"/>
          <w:lang w:eastAsia="bg-BG"/>
        </w:rPr>
        <w:t>Съобщаване на подозирани нежелани реакции</w:t>
      </w:r>
    </w:p>
    <w:p w14:paraId="6D66CF81" w14:textId="77777777" w:rsidR="00305CA0" w:rsidRPr="00305CA0" w:rsidRDefault="00305CA0" w:rsidP="00305CA0">
      <w:pPr>
        <w:spacing w:line="240" w:lineRule="auto"/>
        <w:rPr>
          <w:rFonts w:eastAsia="Times New Roman" w:cs="Arial"/>
        </w:rPr>
      </w:pPr>
      <w:r w:rsidRPr="00305CA0">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8,1303 София, тел.: 02 8903417, уебсайт: </w:t>
      </w:r>
      <w:hyperlink r:id="rId5" w:history="1">
        <w:r w:rsidRPr="00305CA0">
          <w:rPr>
            <w:rFonts w:eastAsia="Times New Roman" w:cs="Arial"/>
            <w:color w:val="000000"/>
            <w:lang w:val="en-US"/>
          </w:rPr>
          <w:t>www.bda.bg</w:t>
        </w:r>
      </w:hyperlink>
      <w:r w:rsidRPr="00305CA0">
        <w:rPr>
          <w:rFonts w:eastAsia="Times New Roman" w:cs="Arial"/>
          <w:color w:val="000000"/>
          <w:lang w:val="en-US"/>
        </w:rPr>
        <w:t>.</w:t>
      </w:r>
    </w:p>
    <w:p w14:paraId="34E8557A" w14:textId="77777777" w:rsidR="00305CA0" w:rsidRPr="00305CA0" w:rsidRDefault="00305CA0" w:rsidP="00305CA0"/>
    <w:p w14:paraId="5A87DBA3" w14:textId="799FC134" w:rsidR="007122AD" w:rsidRDefault="002C50EE" w:rsidP="00936AD0">
      <w:pPr>
        <w:pStyle w:val="Heading2"/>
      </w:pPr>
      <w:r>
        <w:t>4.9. Предозиране</w:t>
      </w:r>
    </w:p>
    <w:p w14:paraId="00C3D6B7" w14:textId="7410D077" w:rsidR="00305CA0" w:rsidRDefault="00305CA0" w:rsidP="00305CA0"/>
    <w:p w14:paraId="7B912043" w14:textId="77777777"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Признаци и симптоми:</w:t>
      </w:r>
    </w:p>
    <w:p w14:paraId="098FAD8B"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При предозиране могат да се наблюдават: тежка хипотония, брадикардия, сърдечна недостатъчност, кардиогенен шок и сърдечен арест. Допълнително могат да се появят затруднения в дишането, бронхоспазъм, повръщане, нарушено съзнание и генерализирани гърчове.</w:t>
      </w:r>
    </w:p>
    <w:p w14:paraId="3661D4E3" w14:textId="77777777" w:rsidR="00305CA0" w:rsidRPr="00305CA0" w:rsidRDefault="00305CA0" w:rsidP="00305CA0">
      <w:pPr>
        <w:spacing w:line="240" w:lineRule="auto"/>
        <w:rPr>
          <w:rFonts w:eastAsia="Times New Roman" w:cs="Arial"/>
          <w:i/>
          <w:iCs/>
          <w:color w:val="000000"/>
          <w:szCs w:val="20"/>
          <w:lang w:eastAsia="bg-BG"/>
        </w:rPr>
      </w:pPr>
    </w:p>
    <w:p w14:paraId="68016311" w14:textId="3746E8E8"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Лечение:</w:t>
      </w:r>
    </w:p>
    <w:p w14:paraId="18427E83"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Освен класическите мерки е необходимо да се проследяват жизнените показатели и при нужда да се коригират в интензивно отделение. Могат да се проведат следните поддържащи мерки: За овладяване на силно изявена брадикардия се препоръчва да се използва атропин; за поддържане на камерната функция глюкагон интравенозно или симпатикомиметици (добутамин, изопреналин). Ако е необходимо да се постигне </w:t>
      </w:r>
      <w:r w:rsidRPr="00305CA0">
        <w:rPr>
          <w:rFonts w:eastAsia="Times New Roman" w:cs="Arial"/>
          <w:color w:val="000000"/>
          <w:szCs w:val="20"/>
          <w:lang w:eastAsia="bg-BG"/>
        </w:rPr>
        <w:lastRenderedPageBreak/>
        <w:t xml:space="preserve">положителен инотропен ефект трябва да се приложат фосфодиестеразни инхибитори </w:t>
      </w:r>
      <w:r w:rsidRPr="00305CA0">
        <w:rPr>
          <w:rFonts w:eastAsia="Times New Roman" w:cs="Arial"/>
          <w:color w:val="000000"/>
          <w:szCs w:val="20"/>
          <w:lang w:val="ru-RU"/>
        </w:rPr>
        <w:t>(</w:t>
      </w:r>
      <w:r w:rsidRPr="00305CA0">
        <w:rPr>
          <w:rFonts w:eastAsia="Times New Roman" w:cs="Arial"/>
          <w:color w:val="000000"/>
          <w:szCs w:val="20"/>
          <w:lang w:val="en-US"/>
        </w:rPr>
        <w:t>PDE</w:t>
      </w:r>
      <w:r w:rsidRPr="00305CA0">
        <w:rPr>
          <w:rFonts w:eastAsia="Times New Roman" w:cs="Arial"/>
          <w:color w:val="000000"/>
          <w:szCs w:val="20"/>
          <w:lang w:val="ru-RU"/>
        </w:rPr>
        <w:t xml:space="preserve">). </w:t>
      </w:r>
      <w:r w:rsidRPr="00305CA0">
        <w:rPr>
          <w:rFonts w:eastAsia="Times New Roman" w:cs="Arial"/>
          <w:color w:val="000000"/>
          <w:szCs w:val="20"/>
          <w:lang w:eastAsia="bg-BG"/>
        </w:rPr>
        <w:t>Ако при предозиране преобладава периферната вазодилатация е необходимо да се назначи норадреналин или норфенефрин. Необходимо е постоянно да се мониторира хемодинамиката на пациента. При резистентна брадикардия трябва да се постави пейсмейкър .</w:t>
      </w:r>
    </w:p>
    <w:p w14:paraId="0874FB5D" w14:textId="77777777" w:rsidR="00305CA0" w:rsidRPr="00305CA0" w:rsidRDefault="00305CA0" w:rsidP="00305CA0">
      <w:pPr>
        <w:spacing w:line="240" w:lineRule="auto"/>
        <w:rPr>
          <w:rFonts w:eastAsia="Times New Roman" w:cs="Arial"/>
          <w:color w:val="000000"/>
          <w:szCs w:val="20"/>
          <w:lang w:eastAsia="bg-BG"/>
        </w:rPr>
      </w:pPr>
    </w:p>
    <w:p w14:paraId="49FC1A51" w14:textId="6230E2AD"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При бронхоспазъм на пациента трябва да се приложат бета-симпатикомиметици (под формата на аерозол или интравенозно) или интравенозно бавно да се инжектира или инфузира теофилин/аминофилин.</w:t>
      </w:r>
    </w:p>
    <w:p w14:paraId="30B62823" w14:textId="77777777" w:rsidR="00305CA0" w:rsidRPr="00305CA0" w:rsidRDefault="00305CA0" w:rsidP="00305CA0">
      <w:pPr>
        <w:spacing w:line="240" w:lineRule="auto"/>
        <w:rPr>
          <w:rFonts w:eastAsia="Times New Roman" w:cs="Arial"/>
          <w:color w:val="000000"/>
          <w:szCs w:val="20"/>
          <w:lang w:eastAsia="bg-BG"/>
        </w:rPr>
      </w:pPr>
    </w:p>
    <w:p w14:paraId="678A6E24" w14:textId="0ADBE393"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При гърчове се препоръчва да се инжектират бавно интравенозно диазепам или клоназепам.</w:t>
      </w:r>
    </w:p>
    <w:p w14:paraId="33D20DC0" w14:textId="77777777" w:rsidR="00305CA0" w:rsidRPr="00305CA0" w:rsidRDefault="00305CA0" w:rsidP="00305CA0">
      <w:pPr>
        <w:spacing w:line="240" w:lineRule="auto"/>
        <w:rPr>
          <w:rFonts w:eastAsia="Times New Roman" w:cs="Arial"/>
          <w:color w:val="000000"/>
          <w:szCs w:val="20"/>
          <w:lang w:eastAsia="bg-BG"/>
        </w:rPr>
      </w:pPr>
    </w:p>
    <w:p w14:paraId="44B03751" w14:textId="572EA739" w:rsidR="00305CA0" w:rsidRPr="00305CA0" w:rsidRDefault="00305CA0" w:rsidP="00305CA0">
      <w:pPr>
        <w:spacing w:line="240" w:lineRule="auto"/>
        <w:rPr>
          <w:rFonts w:ascii="Times New Roman" w:eastAsia="Times New Roman" w:hAnsi="Times New Roman" w:cs="Times New Roman"/>
          <w:sz w:val="24"/>
          <w:szCs w:val="24"/>
        </w:rPr>
      </w:pPr>
      <w:r w:rsidRPr="00305CA0">
        <w:rPr>
          <w:rFonts w:eastAsia="Times New Roman" w:cs="Arial"/>
          <w:color w:val="000000"/>
          <w:szCs w:val="20"/>
          <w:lang w:eastAsia="bg-BG"/>
        </w:rPr>
        <w:t>При тежко предозиране със симптоми на шок, поддържащото лечение трябва да бъде продължено достатъчно дълго, до стабилизиране на пациента, тъй като се очаква удължаване на елиминационния полуживот и преразпределяне на карведилол от по-дълбоките компартименти.</w:t>
      </w:r>
    </w:p>
    <w:p w14:paraId="441A68F5" w14:textId="77777777" w:rsidR="00305CA0" w:rsidRPr="00305CA0" w:rsidRDefault="00305CA0" w:rsidP="00305CA0"/>
    <w:p w14:paraId="02081B24" w14:textId="1F46E296" w:rsidR="00395555" w:rsidRPr="00395555" w:rsidRDefault="002C50EE" w:rsidP="008A6AF2">
      <w:pPr>
        <w:pStyle w:val="Heading1"/>
      </w:pPr>
      <w:r>
        <w:t>5. ФАРМАКОЛОГИЧНИ СВОЙСТВА</w:t>
      </w:r>
    </w:p>
    <w:p w14:paraId="7DE36AC8" w14:textId="2B9BFF9D" w:rsidR="00B6672E" w:rsidRDefault="002C50EE" w:rsidP="00936AD0">
      <w:pPr>
        <w:pStyle w:val="Heading2"/>
      </w:pPr>
      <w:r>
        <w:t>5.1. Фармакодинамични свойства</w:t>
      </w:r>
    </w:p>
    <w:p w14:paraId="1AA9EAC7" w14:textId="03A08560" w:rsidR="00305CA0" w:rsidRDefault="00305CA0" w:rsidP="00305CA0"/>
    <w:p w14:paraId="760116BA"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Фармакотерапевтична група: Бета- и алфа-рецепторни блокери, АТС Код - </w:t>
      </w:r>
      <w:r w:rsidRPr="00305CA0">
        <w:rPr>
          <w:rFonts w:eastAsia="Times New Roman" w:cs="Arial"/>
          <w:color w:val="000000"/>
          <w:szCs w:val="20"/>
          <w:lang w:val="en-US"/>
        </w:rPr>
        <w:t>CO</w:t>
      </w:r>
      <w:r w:rsidRPr="00305CA0">
        <w:rPr>
          <w:rFonts w:eastAsia="Times New Roman" w:cs="Arial"/>
          <w:color w:val="000000"/>
          <w:szCs w:val="20"/>
          <w:lang w:val="ru-RU"/>
        </w:rPr>
        <w:t>7</w:t>
      </w:r>
      <w:r w:rsidRPr="00305CA0">
        <w:rPr>
          <w:rFonts w:eastAsia="Times New Roman" w:cs="Arial"/>
          <w:color w:val="000000"/>
          <w:szCs w:val="20"/>
          <w:lang w:val="en-US"/>
        </w:rPr>
        <w:t>AG</w:t>
      </w:r>
      <w:r w:rsidRPr="00305CA0">
        <w:rPr>
          <w:rFonts w:eastAsia="Times New Roman" w:cs="Arial"/>
          <w:color w:val="000000"/>
          <w:szCs w:val="20"/>
          <w:lang w:val="ru-RU"/>
        </w:rPr>
        <w:t>02</w:t>
      </w:r>
    </w:p>
    <w:p w14:paraId="33236A7A" w14:textId="77777777" w:rsidR="00305CA0" w:rsidRPr="00305CA0" w:rsidRDefault="00305CA0" w:rsidP="00305CA0">
      <w:pPr>
        <w:rPr>
          <w:rFonts w:eastAsia="Times New Roman" w:cs="Arial"/>
          <w:color w:val="000000"/>
          <w:szCs w:val="20"/>
          <w:lang w:eastAsia="bg-BG"/>
        </w:rPr>
      </w:pPr>
    </w:p>
    <w:p w14:paraId="721D7D00" w14:textId="77777777" w:rsidR="00305CA0" w:rsidRPr="00305CA0" w:rsidRDefault="00305CA0" w:rsidP="00305CA0">
      <w:pPr>
        <w:rPr>
          <w:rFonts w:eastAsia="Times New Roman" w:cs="Arial"/>
          <w:color w:val="000000"/>
          <w:szCs w:val="20"/>
          <w:lang w:eastAsia="bg-BG"/>
        </w:rPr>
      </w:pPr>
      <w:r w:rsidRPr="00305CA0">
        <w:rPr>
          <w:rFonts w:eastAsia="Times New Roman" w:cs="Arial"/>
          <w:color w:val="000000"/>
          <w:szCs w:val="20"/>
          <w:lang w:eastAsia="bg-BG"/>
        </w:rPr>
        <w:t>Карведилол е вазодилататорен неселективен бета-блокер, който редуцира периферната съдова резистентност чрез селективна алфа</w:t>
      </w:r>
      <w:r w:rsidRPr="00305CA0">
        <w:rPr>
          <w:rFonts w:eastAsia="Times New Roman" w:cs="Arial"/>
          <w:color w:val="000000"/>
          <w:szCs w:val="20"/>
          <w:vertAlign w:val="subscript"/>
          <w:lang w:eastAsia="bg-BG"/>
        </w:rPr>
        <w:t>1</w:t>
      </w:r>
      <w:r w:rsidRPr="00305CA0">
        <w:rPr>
          <w:rFonts w:eastAsia="Times New Roman" w:cs="Arial"/>
          <w:color w:val="000000"/>
          <w:szCs w:val="20"/>
          <w:lang w:eastAsia="bg-BG"/>
        </w:rPr>
        <w:t xml:space="preserve"> -рецепторна блокада и потискане на ренин- ангиотензиновата система чрез неселективна бета блокада. Плазмената ренинова активност е намалена и задръжката на течности е рядкост. </w:t>
      </w:r>
    </w:p>
    <w:p w14:paraId="7D914965" w14:textId="77777777" w:rsidR="00305CA0" w:rsidRPr="00305CA0" w:rsidRDefault="00305CA0" w:rsidP="00305CA0">
      <w:pPr>
        <w:rPr>
          <w:rFonts w:eastAsia="Times New Roman" w:cs="Arial"/>
          <w:color w:val="000000"/>
          <w:szCs w:val="20"/>
          <w:lang w:eastAsia="bg-BG"/>
        </w:rPr>
      </w:pPr>
    </w:p>
    <w:p w14:paraId="40296661" w14:textId="49B99935" w:rsidR="00305CA0" w:rsidRPr="00305CA0" w:rsidRDefault="00305CA0" w:rsidP="00305CA0">
      <w:pPr>
        <w:rPr>
          <w:rFonts w:eastAsia="Times New Roman" w:cs="Arial"/>
          <w:color w:val="000000"/>
          <w:szCs w:val="20"/>
          <w:lang w:eastAsia="bg-BG"/>
        </w:rPr>
      </w:pPr>
      <w:r w:rsidRPr="00305CA0">
        <w:rPr>
          <w:rFonts w:eastAsia="Times New Roman" w:cs="Arial"/>
          <w:color w:val="000000"/>
          <w:szCs w:val="20"/>
          <w:lang w:eastAsia="bg-BG"/>
        </w:rPr>
        <w:t xml:space="preserve">Карведилол няма вътрешна симпатикомиметична активност </w:t>
      </w:r>
      <w:r w:rsidRPr="00305CA0">
        <w:rPr>
          <w:rFonts w:eastAsia="Times New Roman" w:cs="Arial"/>
          <w:color w:val="000000"/>
          <w:szCs w:val="20"/>
          <w:lang w:val="ru-RU"/>
        </w:rPr>
        <w:t>(</w:t>
      </w:r>
      <w:r w:rsidRPr="00305CA0">
        <w:rPr>
          <w:rFonts w:eastAsia="Times New Roman" w:cs="Arial"/>
          <w:color w:val="000000"/>
          <w:szCs w:val="20"/>
          <w:lang w:val="en-US"/>
        </w:rPr>
        <w:t>ISA</w:t>
      </w:r>
      <w:r w:rsidRPr="00305CA0">
        <w:rPr>
          <w:rFonts w:eastAsia="Times New Roman" w:cs="Arial"/>
          <w:color w:val="000000"/>
          <w:szCs w:val="20"/>
          <w:lang w:val="ru-RU"/>
        </w:rPr>
        <w:t xml:space="preserve">). </w:t>
      </w:r>
      <w:r w:rsidRPr="00305CA0">
        <w:rPr>
          <w:rFonts w:eastAsia="Times New Roman" w:cs="Arial"/>
          <w:color w:val="000000"/>
          <w:szCs w:val="20"/>
          <w:lang w:eastAsia="bg-BG"/>
        </w:rPr>
        <w:t>Подобно на пропанол притежава мембрано-стабилизиращи свойства.</w:t>
      </w:r>
    </w:p>
    <w:p w14:paraId="70376749" w14:textId="18823DFA" w:rsidR="00305CA0" w:rsidRPr="00305CA0" w:rsidRDefault="00305CA0" w:rsidP="00305CA0">
      <w:pPr>
        <w:rPr>
          <w:rFonts w:eastAsia="Times New Roman" w:cs="Arial"/>
          <w:color w:val="000000"/>
          <w:szCs w:val="20"/>
          <w:lang w:eastAsia="bg-BG"/>
        </w:rPr>
      </w:pPr>
    </w:p>
    <w:p w14:paraId="068186D2"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Карведилол е рацемат от два стереоизомера. При експериментални модели върху животни, двата енантиомера проявяват блокерни ефекти върху алфа-адренергичните рецептори.</w:t>
      </w:r>
    </w:p>
    <w:p w14:paraId="321DD220"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Неселективната блокада на адренергичните бета</w:t>
      </w:r>
      <w:r w:rsidRPr="00305CA0">
        <w:rPr>
          <w:rFonts w:eastAsia="Times New Roman" w:cs="Arial"/>
          <w:color w:val="000000"/>
          <w:szCs w:val="20"/>
          <w:vertAlign w:val="subscript"/>
          <w:lang w:eastAsia="bg-BG"/>
        </w:rPr>
        <w:t>1</w:t>
      </w:r>
      <w:r w:rsidRPr="00305CA0">
        <w:rPr>
          <w:rFonts w:eastAsia="Times New Roman" w:cs="Arial"/>
          <w:color w:val="000000"/>
          <w:szCs w:val="20"/>
          <w:lang w:val="ru-RU"/>
        </w:rPr>
        <w:t xml:space="preserve"> </w:t>
      </w:r>
      <w:r w:rsidRPr="00305CA0">
        <w:rPr>
          <w:rFonts w:eastAsia="Times New Roman" w:cs="Arial"/>
          <w:color w:val="000000"/>
          <w:szCs w:val="20"/>
          <w:lang w:eastAsia="bg-BG"/>
        </w:rPr>
        <w:t>и бета</w:t>
      </w:r>
      <w:r w:rsidRPr="00305CA0">
        <w:rPr>
          <w:rFonts w:eastAsia="Times New Roman" w:cs="Arial"/>
          <w:color w:val="000000"/>
          <w:szCs w:val="20"/>
          <w:vertAlign w:val="subscript"/>
          <w:lang w:eastAsia="bg-BG"/>
        </w:rPr>
        <w:t>2</w:t>
      </w:r>
      <w:r w:rsidRPr="00305CA0">
        <w:rPr>
          <w:rFonts w:eastAsia="Times New Roman" w:cs="Arial"/>
          <w:color w:val="000000"/>
          <w:szCs w:val="20"/>
          <w:lang w:eastAsia="bg-BG"/>
        </w:rPr>
        <w:t xml:space="preserve"> рецептори се дължи главно на </w:t>
      </w:r>
      <w:r w:rsidRPr="00305CA0">
        <w:rPr>
          <w:rFonts w:eastAsia="Times New Roman" w:cs="Arial"/>
          <w:color w:val="000000"/>
          <w:szCs w:val="20"/>
          <w:lang w:val="en-US"/>
        </w:rPr>
        <w:t>S</w:t>
      </w:r>
      <w:r w:rsidRPr="00305CA0">
        <w:rPr>
          <w:rFonts w:eastAsia="Times New Roman" w:cs="Arial"/>
          <w:color w:val="000000"/>
          <w:szCs w:val="20"/>
          <w:lang w:val="ru-RU"/>
        </w:rPr>
        <w:t xml:space="preserve">(-) </w:t>
      </w:r>
      <w:r w:rsidRPr="00305CA0">
        <w:rPr>
          <w:rFonts w:eastAsia="Times New Roman" w:cs="Arial"/>
          <w:color w:val="000000"/>
          <w:szCs w:val="20"/>
          <w:lang w:eastAsia="bg-BG"/>
        </w:rPr>
        <w:t>енантиомера.</w:t>
      </w:r>
    </w:p>
    <w:p w14:paraId="1A3EDC81" w14:textId="77777777" w:rsidR="00305CA0" w:rsidRPr="00305CA0" w:rsidRDefault="00305CA0" w:rsidP="00305CA0">
      <w:pPr>
        <w:spacing w:line="240" w:lineRule="auto"/>
        <w:rPr>
          <w:rFonts w:eastAsia="Times New Roman" w:cs="Arial"/>
          <w:color w:val="000000"/>
          <w:szCs w:val="20"/>
          <w:lang w:eastAsia="bg-BG"/>
        </w:rPr>
      </w:pPr>
    </w:p>
    <w:p w14:paraId="3D12D311" w14:textId="1D63D714"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Антиоксидантните ефекти на карведилол и на неговите метаболити са доказани при експерименти с животни </w:t>
      </w:r>
      <w:r w:rsidRPr="00305CA0">
        <w:rPr>
          <w:rFonts w:eastAsia="Times New Roman" w:cs="Arial"/>
          <w:i/>
          <w:iCs/>
          <w:color w:val="000000"/>
          <w:szCs w:val="20"/>
          <w:lang w:val="en-US"/>
        </w:rPr>
        <w:t>in</w:t>
      </w:r>
      <w:r w:rsidRPr="00305CA0">
        <w:rPr>
          <w:rFonts w:eastAsia="Times New Roman" w:cs="Arial"/>
          <w:i/>
          <w:iCs/>
          <w:color w:val="000000"/>
          <w:szCs w:val="20"/>
          <w:lang w:val="ru-RU"/>
        </w:rPr>
        <w:t xml:space="preserve"> </w:t>
      </w:r>
      <w:r w:rsidRPr="00305CA0">
        <w:rPr>
          <w:rFonts w:eastAsia="Times New Roman" w:cs="Arial"/>
          <w:i/>
          <w:iCs/>
          <w:color w:val="000000"/>
          <w:szCs w:val="20"/>
          <w:lang w:val="en-US"/>
        </w:rPr>
        <w:t>vitro</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и </w:t>
      </w:r>
      <w:r w:rsidRPr="00305CA0">
        <w:rPr>
          <w:rFonts w:eastAsia="Times New Roman" w:cs="Arial"/>
          <w:i/>
          <w:iCs/>
          <w:color w:val="000000"/>
          <w:szCs w:val="20"/>
          <w:lang w:val="en-US"/>
        </w:rPr>
        <w:t>in</w:t>
      </w:r>
      <w:r w:rsidRPr="00305CA0">
        <w:rPr>
          <w:rFonts w:eastAsia="Times New Roman" w:cs="Arial"/>
          <w:i/>
          <w:iCs/>
          <w:color w:val="000000"/>
          <w:szCs w:val="20"/>
          <w:lang w:val="ru-RU"/>
        </w:rPr>
        <w:t xml:space="preserve"> </w:t>
      </w:r>
      <w:r w:rsidRPr="00305CA0">
        <w:rPr>
          <w:rFonts w:eastAsia="Times New Roman" w:cs="Arial"/>
          <w:i/>
          <w:iCs/>
          <w:color w:val="000000"/>
          <w:szCs w:val="20"/>
          <w:lang w:val="en-US"/>
        </w:rPr>
        <w:t>vivo</w:t>
      </w:r>
      <w:r w:rsidRPr="00305CA0">
        <w:rPr>
          <w:rFonts w:eastAsia="Times New Roman" w:cs="Arial"/>
          <w:i/>
          <w:iCs/>
          <w:color w:val="000000"/>
          <w:szCs w:val="20"/>
          <w:lang w:val="ru-RU"/>
        </w:rPr>
        <w:t>,</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както и при човешки клетъчни култури </w:t>
      </w:r>
      <w:r w:rsidRPr="00305CA0">
        <w:rPr>
          <w:rFonts w:eastAsia="Times New Roman" w:cs="Arial"/>
          <w:i/>
          <w:iCs/>
          <w:color w:val="000000"/>
          <w:szCs w:val="20"/>
          <w:lang w:val="en-US"/>
        </w:rPr>
        <w:t>in</w:t>
      </w:r>
      <w:r w:rsidRPr="00305CA0">
        <w:rPr>
          <w:rFonts w:eastAsia="Times New Roman" w:cs="Arial"/>
          <w:i/>
          <w:iCs/>
          <w:color w:val="000000"/>
          <w:szCs w:val="20"/>
          <w:lang w:val="ru-RU"/>
        </w:rPr>
        <w:t xml:space="preserve"> </w:t>
      </w:r>
      <w:r w:rsidRPr="00305CA0">
        <w:rPr>
          <w:rFonts w:eastAsia="Times New Roman" w:cs="Arial"/>
          <w:i/>
          <w:iCs/>
          <w:color w:val="000000"/>
          <w:szCs w:val="20"/>
          <w:lang w:val="en-US"/>
        </w:rPr>
        <w:t>vitro</w:t>
      </w:r>
      <w:r w:rsidRPr="00305CA0">
        <w:rPr>
          <w:rFonts w:eastAsia="Times New Roman" w:cs="Arial"/>
          <w:i/>
          <w:iCs/>
          <w:color w:val="000000"/>
          <w:szCs w:val="20"/>
          <w:lang w:val="ru-RU"/>
        </w:rPr>
        <w:t>.</w:t>
      </w:r>
    </w:p>
    <w:p w14:paraId="61FAD983" w14:textId="77777777" w:rsidR="00305CA0" w:rsidRPr="00305CA0" w:rsidRDefault="00305CA0" w:rsidP="00305CA0">
      <w:pPr>
        <w:spacing w:line="240" w:lineRule="auto"/>
        <w:rPr>
          <w:rFonts w:eastAsia="Times New Roman" w:cs="Arial"/>
          <w:color w:val="000000"/>
          <w:szCs w:val="20"/>
          <w:lang w:eastAsia="bg-BG"/>
        </w:rPr>
      </w:pPr>
    </w:p>
    <w:p w14:paraId="16380AEB" w14:textId="789E0A3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Кръвното налягане при пациенти с хипертония намалява без да се повишава периферната резистентност, за разлика от други лекарства с подобен бета-блокиращ ефект. Сърдечната честота намалява слабо. Ударният обем остава непроменен. Бъбречният кръвоток и бъбречната функция не се променят и остават нормални, както и периферната циркулация, така че студените крайници, които са чест ефект при бета-блокерите, тук се наблюдават рядко.</w:t>
      </w:r>
    </w:p>
    <w:p w14:paraId="52ED343F" w14:textId="77777777" w:rsidR="00305CA0" w:rsidRPr="00305CA0" w:rsidRDefault="00305CA0" w:rsidP="00305CA0">
      <w:pPr>
        <w:spacing w:line="240" w:lineRule="auto"/>
        <w:rPr>
          <w:rFonts w:eastAsia="Times New Roman" w:cs="Arial"/>
          <w:color w:val="000000"/>
          <w:szCs w:val="20"/>
          <w:lang w:eastAsia="bg-BG"/>
        </w:rPr>
      </w:pPr>
    </w:p>
    <w:p w14:paraId="7F07A7BE" w14:textId="6F77686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lastRenderedPageBreak/>
        <w:t>При продължително лечение на пациенти със стенокардия, карведилол намалява миокардната исхемия и намалява болката. Изследвания върху хемодинамиката показват, че карведилол намалява и камерното пред- и следнатоварване. Карведилол подобрява хемодинамиката и левокамерната фракция на изтласкване при пациенти с левокамерна дисфункция или застойна сърдечна недостатъчност.</w:t>
      </w:r>
    </w:p>
    <w:p w14:paraId="73B997F4" w14:textId="77777777" w:rsidR="00305CA0" w:rsidRPr="00305CA0" w:rsidRDefault="00305CA0" w:rsidP="00305CA0">
      <w:pPr>
        <w:spacing w:line="240" w:lineRule="auto"/>
        <w:rPr>
          <w:rFonts w:eastAsia="Times New Roman" w:cs="Arial"/>
          <w:color w:val="000000"/>
          <w:szCs w:val="20"/>
          <w:lang w:eastAsia="bg-BG"/>
        </w:rPr>
      </w:pPr>
    </w:p>
    <w:p w14:paraId="4C6BBE60" w14:textId="1089060B" w:rsidR="00305CA0" w:rsidRPr="00305CA0" w:rsidRDefault="00305CA0" w:rsidP="00305CA0">
      <w:pPr>
        <w:spacing w:line="240" w:lineRule="auto"/>
        <w:rPr>
          <w:rFonts w:eastAsia="Times New Roman" w:cs="Arial"/>
          <w:color w:val="000000"/>
          <w:szCs w:val="20"/>
          <w:lang w:eastAsia="bg-BG"/>
        </w:rPr>
      </w:pPr>
      <w:r w:rsidRPr="00305CA0">
        <w:rPr>
          <w:rFonts w:eastAsia="Times New Roman" w:cs="Arial"/>
          <w:color w:val="000000"/>
          <w:szCs w:val="20"/>
          <w:lang w:eastAsia="bg-BG"/>
        </w:rPr>
        <w:t xml:space="preserve">Карведилол не оказва неблагоприятен ефект върху профила на серумните липиди или електролитите. </w:t>
      </w:r>
    </w:p>
    <w:p w14:paraId="63BB2413" w14:textId="34B7F6EF"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Съотношението </w:t>
      </w:r>
      <w:r w:rsidRPr="00305CA0">
        <w:rPr>
          <w:rFonts w:eastAsia="Times New Roman" w:cs="Arial"/>
          <w:color w:val="000000"/>
          <w:szCs w:val="20"/>
          <w:lang w:val="en-US"/>
        </w:rPr>
        <w:t>HDL</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(липопротеини с висока плътност) към </w:t>
      </w:r>
      <w:r w:rsidRPr="00305CA0">
        <w:rPr>
          <w:rFonts w:eastAsia="Times New Roman" w:cs="Arial"/>
          <w:color w:val="000000"/>
          <w:szCs w:val="20"/>
          <w:lang w:val="en-US"/>
        </w:rPr>
        <w:t>LDL</w:t>
      </w:r>
      <w:r w:rsidRPr="00305CA0">
        <w:rPr>
          <w:rFonts w:eastAsia="Times New Roman" w:cs="Arial"/>
          <w:color w:val="000000"/>
          <w:szCs w:val="20"/>
          <w:lang w:val="ru-RU"/>
        </w:rPr>
        <w:t xml:space="preserve"> </w:t>
      </w:r>
      <w:r w:rsidRPr="00305CA0">
        <w:rPr>
          <w:rFonts w:eastAsia="Times New Roman" w:cs="Arial"/>
          <w:color w:val="000000"/>
          <w:szCs w:val="20"/>
          <w:lang w:eastAsia="bg-BG"/>
        </w:rPr>
        <w:t>(липопротеини с ниска плътност) се запазва нормално.</w:t>
      </w:r>
    </w:p>
    <w:p w14:paraId="57906D5F" w14:textId="77777777" w:rsidR="00305CA0" w:rsidRPr="00305CA0" w:rsidRDefault="00305CA0" w:rsidP="00305CA0"/>
    <w:p w14:paraId="78DD93AA" w14:textId="34F91550" w:rsidR="00B6672E" w:rsidRDefault="002C50EE" w:rsidP="00936AD0">
      <w:pPr>
        <w:pStyle w:val="Heading2"/>
      </w:pPr>
      <w:r>
        <w:t>5.2. Фармакокинетични свойства</w:t>
      </w:r>
    </w:p>
    <w:p w14:paraId="52B38071" w14:textId="4B535BD9" w:rsidR="00305CA0" w:rsidRDefault="00305CA0" w:rsidP="00305CA0"/>
    <w:p w14:paraId="1F90863E" w14:textId="77777777"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Общо описание</w:t>
      </w:r>
    </w:p>
    <w:p w14:paraId="067AC40E"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Абсолютната бионаличност след перорално приемане на карведилол е около 25%. Максималната плазмена концентрация се достига около 1 час след приема. Съществува линейна зависимост между дозата и плазмената концентрация. При пациенти, които показват бавно хидроксилиране на дебризоквин, плазмените концентрации на карведилол се увеличават 2-3 пъти в сравнение с пациентите с бърз метаболизъм на дебризоквин. Бионаличността не се променя при едновременно приемане на храна, по-бавно се достига само максималното плазмено ниво. Карведилолът е високо липофилно съединение. Той се свързва в около 98-99% с плазмените протеини. Обемът му на разпределение е около 2 </w:t>
      </w:r>
      <w:r w:rsidRPr="00305CA0">
        <w:rPr>
          <w:rFonts w:eastAsia="Times New Roman" w:cs="Arial"/>
          <w:color w:val="000000"/>
          <w:szCs w:val="20"/>
          <w:lang w:val="en-US"/>
        </w:rPr>
        <w:t>l</w:t>
      </w:r>
      <w:r w:rsidRPr="00305CA0">
        <w:rPr>
          <w:rFonts w:eastAsia="Times New Roman" w:cs="Arial"/>
          <w:color w:val="000000"/>
          <w:szCs w:val="20"/>
          <w:lang w:val="ru-RU"/>
        </w:rPr>
        <w:t>/</w:t>
      </w:r>
      <w:r w:rsidRPr="00305CA0">
        <w:rPr>
          <w:rFonts w:eastAsia="Times New Roman" w:cs="Arial"/>
          <w:color w:val="000000"/>
          <w:szCs w:val="20"/>
          <w:lang w:val="en-US"/>
        </w:rPr>
        <w:t>kg</w:t>
      </w:r>
      <w:r w:rsidRPr="00305CA0">
        <w:rPr>
          <w:rFonts w:eastAsia="Times New Roman" w:cs="Arial"/>
          <w:color w:val="000000"/>
          <w:szCs w:val="20"/>
          <w:lang w:val="ru-RU"/>
        </w:rPr>
        <w:t xml:space="preserve">. </w:t>
      </w:r>
      <w:r w:rsidRPr="00305CA0">
        <w:rPr>
          <w:rFonts w:eastAsia="Times New Roman" w:cs="Arial"/>
          <w:color w:val="000000"/>
          <w:szCs w:val="20"/>
          <w:lang w:val="en-US"/>
        </w:rPr>
        <w:t>First</w:t>
      </w:r>
      <w:r w:rsidRPr="00305CA0">
        <w:rPr>
          <w:rFonts w:eastAsia="Times New Roman" w:cs="Arial"/>
          <w:color w:val="000000"/>
          <w:szCs w:val="20"/>
          <w:lang w:val="ru-RU"/>
        </w:rPr>
        <w:t>-</w:t>
      </w:r>
      <w:r w:rsidRPr="00305CA0">
        <w:rPr>
          <w:rFonts w:eastAsia="Times New Roman" w:cs="Arial"/>
          <w:color w:val="000000"/>
          <w:szCs w:val="20"/>
          <w:lang w:val="en-US"/>
        </w:rPr>
        <w:t>pass</w:t>
      </w:r>
      <w:r w:rsidRPr="00305CA0">
        <w:rPr>
          <w:rFonts w:eastAsia="Times New Roman" w:cs="Arial"/>
          <w:color w:val="000000"/>
          <w:szCs w:val="20"/>
          <w:lang w:eastAsia="bg-BG"/>
        </w:rPr>
        <w:t>-ефектът след орален прием е в стойности около 60-75%.</w:t>
      </w:r>
    </w:p>
    <w:p w14:paraId="2A92C5D4" w14:textId="77777777" w:rsidR="00305CA0" w:rsidRPr="00305CA0" w:rsidRDefault="00305CA0" w:rsidP="00305CA0">
      <w:pPr>
        <w:spacing w:line="240" w:lineRule="auto"/>
        <w:rPr>
          <w:rFonts w:eastAsia="Times New Roman" w:cs="Arial"/>
          <w:color w:val="000000"/>
          <w:szCs w:val="20"/>
          <w:lang w:eastAsia="bg-BG"/>
        </w:rPr>
      </w:pPr>
    </w:p>
    <w:p w14:paraId="2EC00429" w14:textId="237715F9"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Средният елиминационен полуживот на карведилол е от 6 до 10 часа. Плазменият клирънс е около 590 </w:t>
      </w:r>
      <w:r w:rsidRPr="00305CA0">
        <w:rPr>
          <w:rFonts w:eastAsia="Times New Roman" w:cs="Arial"/>
          <w:color w:val="000000"/>
          <w:szCs w:val="20"/>
          <w:lang w:val="en-US"/>
        </w:rPr>
        <w:t>ml</w:t>
      </w:r>
      <w:r w:rsidRPr="00305CA0">
        <w:rPr>
          <w:rFonts w:eastAsia="Times New Roman" w:cs="Arial"/>
          <w:color w:val="000000"/>
          <w:szCs w:val="20"/>
          <w:lang w:val="ru-RU"/>
        </w:rPr>
        <w:t>/</w:t>
      </w:r>
      <w:r w:rsidRPr="00305CA0">
        <w:rPr>
          <w:rFonts w:eastAsia="Times New Roman" w:cs="Arial"/>
          <w:color w:val="000000"/>
          <w:szCs w:val="20"/>
          <w:lang w:val="en-US"/>
        </w:rPr>
        <w:t>min</w:t>
      </w:r>
      <w:r w:rsidRPr="00305CA0">
        <w:rPr>
          <w:rFonts w:eastAsia="Times New Roman" w:cs="Arial"/>
          <w:color w:val="000000"/>
          <w:szCs w:val="20"/>
          <w:lang w:val="ru-RU"/>
        </w:rPr>
        <w:t xml:space="preserve">. </w:t>
      </w:r>
      <w:r w:rsidRPr="00305CA0">
        <w:rPr>
          <w:rFonts w:eastAsia="Times New Roman" w:cs="Arial"/>
          <w:color w:val="000000"/>
          <w:szCs w:val="20"/>
          <w:lang w:eastAsia="bg-BG"/>
        </w:rPr>
        <w:t>Елиминирането е главно чрез жлъчката, а отделянето му от организма е основно чрез фекалиите. Малка част се елиминира под формата на метаболити чрез бъбреците.</w:t>
      </w:r>
    </w:p>
    <w:p w14:paraId="5ACD1587" w14:textId="77777777" w:rsidR="00305CA0" w:rsidRPr="00305CA0" w:rsidRDefault="00305CA0" w:rsidP="00305CA0">
      <w:pPr>
        <w:spacing w:line="240" w:lineRule="auto"/>
        <w:rPr>
          <w:rFonts w:eastAsia="Times New Roman" w:cs="Arial"/>
          <w:color w:val="000000"/>
          <w:szCs w:val="20"/>
          <w:lang w:eastAsia="bg-BG"/>
        </w:rPr>
      </w:pPr>
    </w:p>
    <w:p w14:paraId="176C5FC8" w14:textId="5BBC1DB8"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Карведилол се разгражда в голяма степен до различни метаболити, които се елиминират главно чрез жлъчката. Карведилолът се метаболизира в черния дроб предимно чрез окисление на ароматния пръстен и глюкурониране. Посредством деметилиране и хидроксилиране на феноловия пръстен се получават три активни метаболита с бета-блокерно действие. В сравнение с карведилол тези три активни метаболита имат слабо вазодилатиращо действие. В предклинични изследвания е доказано, че 4'-хидроксифеноловият метаболит има 13 пъти по силен бета-блокиращ ефект от карведилол, но концентрациите на метаболита в човешкото тяло са 10 пъти по ниски от тези на карведилола. Два от хидроксикарбазоловите метаболита са високо активни антиоксиданти с 30 до 80 пъти по-силно действие от карведилол.</w:t>
      </w:r>
    </w:p>
    <w:p w14:paraId="3D9A71CF" w14:textId="77777777" w:rsidR="00305CA0" w:rsidRPr="00305CA0" w:rsidRDefault="00305CA0" w:rsidP="00305CA0">
      <w:pPr>
        <w:spacing w:line="240" w:lineRule="auto"/>
        <w:rPr>
          <w:rFonts w:eastAsia="Times New Roman" w:cs="Arial"/>
          <w:i/>
          <w:iCs/>
          <w:color w:val="000000"/>
          <w:szCs w:val="20"/>
          <w:lang w:eastAsia="bg-BG"/>
        </w:rPr>
      </w:pPr>
    </w:p>
    <w:p w14:paraId="33A328B0" w14:textId="08BFB549"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eastAsia="bg-BG"/>
        </w:rPr>
        <w:t>Свойства при пациентите</w:t>
      </w:r>
    </w:p>
    <w:p w14:paraId="155CC826" w14:textId="053F503C"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Фармакокинетиката на карведилол се повлиява от възрастта; плазмените нива на карведилол при пациенти в напреднала възраст са с 50% по-високи, отколкото при млади пациенти. В едно изследване на пациенти с чернодробна цироза, бионаличността на карведилол е била 4 пъти по-</w:t>
      </w:r>
      <w:r w:rsidRPr="00305CA0">
        <w:rPr>
          <w:rFonts w:cs="Arial"/>
          <w:szCs w:val="20"/>
        </w:rPr>
        <w:t xml:space="preserve">висока, максималната плазмена концентрация 5 пъти по-висока и обемът на разпределение 3 пъти по-висок, отколкото при здрави пациенти. При някои пациенти с хипертония и с умерена бъбречна недостатъчност (креатининов клирънс 20-30 </w:t>
      </w:r>
      <w:r w:rsidRPr="00305CA0">
        <w:rPr>
          <w:rFonts w:cs="Arial"/>
          <w:szCs w:val="20"/>
          <w:lang w:val="en-US"/>
        </w:rPr>
        <w:t>ml</w:t>
      </w:r>
      <w:r w:rsidRPr="00305CA0">
        <w:rPr>
          <w:rFonts w:cs="Arial"/>
          <w:szCs w:val="20"/>
          <w:lang w:val="ru-RU"/>
        </w:rPr>
        <w:t>/</w:t>
      </w:r>
      <w:r w:rsidRPr="00305CA0">
        <w:rPr>
          <w:rFonts w:cs="Arial"/>
          <w:szCs w:val="20"/>
          <w:lang w:val="en-US"/>
        </w:rPr>
        <w:t>min</w:t>
      </w:r>
      <w:r w:rsidRPr="00305CA0">
        <w:rPr>
          <w:rFonts w:cs="Arial"/>
          <w:szCs w:val="20"/>
          <w:lang w:val="ru-RU"/>
        </w:rPr>
        <w:t xml:space="preserve">) </w:t>
      </w:r>
      <w:r w:rsidRPr="00305CA0">
        <w:rPr>
          <w:rFonts w:cs="Arial"/>
          <w:szCs w:val="20"/>
        </w:rPr>
        <w:t xml:space="preserve">или с тежка бъбречна недостатъчност (креатининов клирънс &lt;20 </w:t>
      </w:r>
      <w:r w:rsidRPr="00305CA0">
        <w:rPr>
          <w:rFonts w:cs="Arial"/>
          <w:szCs w:val="20"/>
          <w:lang w:val="en-US"/>
        </w:rPr>
        <w:t>ml</w:t>
      </w:r>
      <w:r w:rsidRPr="00305CA0">
        <w:rPr>
          <w:rFonts w:cs="Arial"/>
          <w:szCs w:val="20"/>
          <w:lang w:val="ru-RU"/>
        </w:rPr>
        <w:t>/</w:t>
      </w:r>
      <w:r w:rsidRPr="00305CA0">
        <w:rPr>
          <w:rFonts w:cs="Arial"/>
          <w:szCs w:val="20"/>
          <w:lang w:val="en-US"/>
        </w:rPr>
        <w:t>min</w:t>
      </w:r>
      <w:r w:rsidRPr="00305CA0">
        <w:rPr>
          <w:rFonts w:cs="Arial"/>
          <w:szCs w:val="20"/>
          <w:lang w:val="ru-RU"/>
        </w:rPr>
        <w:t xml:space="preserve">) </w:t>
      </w:r>
      <w:r w:rsidRPr="00305CA0">
        <w:rPr>
          <w:rFonts w:cs="Arial"/>
          <w:szCs w:val="20"/>
        </w:rPr>
        <w:t xml:space="preserve">е било наблюдавано покачване на плазмената концентрация на карведилол с </w:t>
      </w:r>
      <w:r w:rsidRPr="00305CA0">
        <w:rPr>
          <w:rFonts w:cs="Arial"/>
          <w:szCs w:val="20"/>
        </w:rPr>
        <w:lastRenderedPageBreak/>
        <w:t>около 40-55%, в сравнение с пациенти с нормална бъбречна функция. При това резултатите са били с висока вариабилност.</w:t>
      </w:r>
    </w:p>
    <w:p w14:paraId="57F763C8" w14:textId="77777777" w:rsidR="00305CA0" w:rsidRPr="00305CA0" w:rsidRDefault="00305CA0" w:rsidP="00305CA0"/>
    <w:p w14:paraId="4FB791BE" w14:textId="281D534A" w:rsidR="00B6672E" w:rsidRDefault="002C50EE" w:rsidP="00936AD0">
      <w:pPr>
        <w:pStyle w:val="Heading2"/>
      </w:pPr>
      <w:r>
        <w:t>5.3. Предклинични данни за безопасност</w:t>
      </w:r>
    </w:p>
    <w:p w14:paraId="081116D4" w14:textId="12A5676F" w:rsidR="00305CA0" w:rsidRDefault="00305CA0" w:rsidP="00305CA0"/>
    <w:p w14:paraId="13052F63" w14:textId="77777777"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Изследвания върху плъхове и мишки, в дози от 75 </w:t>
      </w:r>
      <w:r w:rsidRPr="00305CA0">
        <w:rPr>
          <w:rFonts w:eastAsia="Times New Roman" w:cs="Arial"/>
          <w:color w:val="000000"/>
          <w:szCs w:val="20"/>
          <w:lang w:val="en-US"/>
        </w:rPr>
        <w:t>mg</w:t>
      </w:r>
      <w:r w:rsidRPr="00305CA0">
        <w:rPr>
          <w:rFonts w:eastAsia="Times New Roman" w:cs="Arial"/>
          <w:color w:val="000000"/>
          <w:szCs w:val="20"/>
          <w:lang w:val="ru-RU"/>
        </w:rPr>
        <w:t>/</w:t>
      </w:r>
      <w:r w:rsidRPr="00305CA0">
        <w:rPr>
          <w:rFonts w:eastAsia="Times New Roman" w:cs="Arial"/>
          <w:color w:val="000000"/>
          <w:szCs w:val="20"/>
          <w:lang w:val="en-US"/>
        </w:rPr>
        <w:t>kg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и 200 </w:t>
      </w:r>
      <w:r w:rsidRPr="00305CA0">
        <w:rPr>
          <w:rFonts w:eastAsia="Times New Roman" w:cs="Arial"/>
          <w:color w:val="000000"/>
          <w:szCs w:val="20"/>
          <w:lang w:val="en-US"/>
        </w:rPr>
        <w:t>mg</w:t>
      </w:r>
      <w:r w:rsidRPr="00305CA0">
        <w:rPr>
          <w:rFonts w:eastAsia="Times New Roman" w:cs="Arial"/>
          <w:color w:val="000000"/>
          <w:szCs w:val="20"/>
          <w:lang w:val="ru-RU"/>
        </w:rPr>
        <w:t>/</w:t>
      </w:r>
      <w:r w:rsidRPr="00305CA0">
        <w:rPr>
          <w:rFonts w:eastAsia="Times New Roman" w:cs="Arial"/>
          <w:color w:val="000000"/>
          <w:szCs w:val="20"/>
          <w:lang w:val="en-US"/>
        </w:rPr>
        <w:t>kg</w:t>
      </w:r>
      <w:r w:rsidRPr="00305CA0">
        <w:rPr>
          <w:rFonts w:eastAsia="Times New Roman" w:cs="Arial"/>
          <w:color w:val="000000"/>
          <w:szCs w:val="20"/>
          <w:lang w:val="ru-RU"/>
        </w:rPr>
        <w:t xml:space="preserve"> </w:t>
      </w:r>
      <w:r w:rsidRPr="00305CA0">
        <w:rPr>
          <w:rFonts w:eastAsia="Times New Roman" w:cs="Arial"/>
          <w:color w:val="000000"/>
          <w:szCs w:val="20"/>
          <w:lang w:eastAsia="bg-BG"/>
        </w:rPr>
        <w:t>(38-100 пъти повече от дневната максимална човешка доза) не са показали карциногенен потенциал на карведилол.</w:t>
      </w:r>
    </w:p>
    <w:p w14:paraId="3B3C4B33" w14:textId="77777777" w:rsidR="00305CA0" w:rsidRPr="00305CA0" w:rsidRDefault="00305CA0" w:rsidP="00305CA0">
      <w:pPr>
        <w:spacing w:line="240" w:lineRule="auto"/>
        <w:rPr>
          <w:rFonts w:eastAsia="Times New Roman" w:cs="Arial"/>
          <w:i/>
          <w:iCs/>
          <w:color w:val="000000"/>
          <w:szCs w:val="20"/>
          <w:lang w:val="en-US"/>
        </w:rPr>
      </w:pPr>
    </w:p>
    <w:p w14:paraId="48F7A32F" w14:textId="0598352A" w:rsidR="00305CA0" w:rsidRPr="00305CA0" w:rsidRDefault="00305CA0" w:rsidP="00305CA0">
      <w:pPr>
        <w:spacing w:line="240" w:lineRule="auto"/>
        <w:rPr>
          <w:rFonts w:eastAsia="Times New Roman" w:cs="Arial"/>
          <w:sz w:val="28"/>
          <w:szCs w:val="24"/>
        </w:rPr>
      </w:pPr>
      <w:r w:rsidRPr="00305CA0">
        <w:rPr>
          <w:rFonts w:eastAsia="Times New Roman" w:cs="Arial"/>
          <w:i/>
          <w:iCs/>
          <w:color w:val="000000"/>
          <w:szCs w:val="20"/>
          <w:lang w:val="en-US"/>
        </w:rPr>
        <w:t>In</w:t>
      </w:r>
      <w:r w:rsidRPr="00305CA0">
        <w:rPr>
          <w:rFonts w:eastAsia="Times New Roman" w:cs="Arial"/>
          <w:i/>
          <w:iCs/>
          <w:color w:val="000000"/>
          <w:szCs w:val="20"/>
          <w:lang w:val="ru-RU"/>
        </w:rPr>
        <w:t xml:space="preserve"> </w:t>
      </w:r>
      <w:r w:rsidRPr="00305CA0">
        <w:rPr>
          <w:rFonts w:eastAsia="Times New Roman" w:cs="Arial"/>
          <w:i/>
          <w:iCs/>
          <w:color w:val="000000"/>
          <w:szCs w:val="20"/>
          <w:lang w:val="en-US"/>
        </w:rPr>
        <w:t>vitro</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или </w:t>
      </w:r>
      <w:r w:rsidRPr="00305CA0">
        <w:rPr>
          <w:rFonts w:eastAsia="Times New Roman" w:cs="Arial"/>
          <w:i/>
          <w:iCs/>
          <w:color w:val="000000"/>
          <w:szCs w:val="20"/>
          <w:lang w:val="en-US"/>
        </w:rPr>
        <w:t>in</w:t>
      </w:r>
      <w:r w:rsidRPr="00305CA0">
        <w:rPr>
          <w:rFonts w:eastAsia="Times New Roman" w:cs="Arial"/>
          <w:i/>
          <w:iCs/>
          <w:color w:val="000000"/>
          <w:szCs w:val="20"/>
          <w:lang w:val="ru-RU"/>
        </w:rPr>
        <w:t xml:space="preserve"> </w:t>
      </w:r>
      <w:r w:rsidRPr="00305CA0">
        <w:rPr>
          <w:rFonts w:eastAsia="Times New Roman" w:cs="Arial"/>
          <w:i/>
          <w:iCs/>
          <w:color w:val="000000"/>
          <w:szCs w:val="20"/>
          <w:lang w:val="en-US"/>
        </w:rPr>
        <w:t>vivo</w:t>
      </w:r>
      <w:r w:rsidRPr="00305CA0">
        <w:rPr>
          <w:rFonts w:eastAsia="Times New Roman" w:cs="Arial"/>
          <w:color w:val="000000"/>
          <w:szCs w:val="20"/>
          <w:lang w:val="ru-RU"/>
        </w:rPr>
        <w:t xml:space="preserve"> </w:t>
      </w:r>
      <w:r w:rsidRPr="00305CA0">
        <w:rPr>
          <w:rFonts w:eastAsia="Times New Roman" w:cs="Arial"/>
          <w:color w:val="000000"/>
          <w:szCs w:val="20"/>
          <w:lang w:eastAsia="bg-BG"/>
        </w:rPr>
        <w:t>изследвания върху бозайници не са показали мутагенен потенциал на карведилол.</w:t>
      </w:r>
    </w:p>
    <w:p w14:paraId="1B32C40F" w14:textId="77777777" w:rsidR="00305CA0" w:rsidRPr="00305CA0" w:rsidRDefault="00305CA0" w:rsidP="00305CA0">
      <w:pPr>
        <w:spacing w:line="240" w:lineRule="auto"/>
        <w:rPr>
          <w:rFonts w:eastAsia="Times New Roman" w:cs="Arial"/>
          <w:color w:val="000000"/>
          <w:szCs w:val="20"/>
          <w:lang w:eastAsia="bg-BG"/>
        </w:rPr>
      </w:pPr>
    </w:p>
    <w:p w14:paraId="5F3C2115" w14:textId="20CE08C2" w:rsidR="00305CA0" w:rsidRPr="00305CA0" w:rsidRDefault="00305CA0" w:rsidP="00305CA0">
      <w:pPr>
        <w:spacing w:line="240" w:lineRule="auto"/>
        <w:rPr>
          <w:rFonts w:eastAsia="Times New Roman" w:cs="Arial"/>
          <w:sz w:val="28"/>
          <w:szCs w:val="24"/>
        </w:rPr>
      </w:pPr>
      <w:r w:rsidRPr="00305CA0">
        <w:rPr>
          <w:rFonts w:eastAsia="Times New Roman" w:cs="Arial"/>
          <w:color w:val="000000"/>
          <w:szCs w:val="20"/>
          <w:lang w:eastAsia="bg-BG"/>
        </w:rPr>
        <w:t xml:space="preserve">При прилагането на високи дози карведилол на бременни плъхове (≥ 200 </w:t>
      </w:r>
      <w:r w:rsidRPr="00305CA0">
        <w:rPr>
          <w:rFonts w:eastAsia="Times New Roman" w:cs="Arial"/>
          <w:color w:val="000000"/>
          <w:szCs w:val="20"/>
          <w:lang w:val="en-US"/>
        </w:rPr>
        <w:t>mg</w:t>
      </w:r>
      <w:r w:rsidRPr="00305CA0">
        <w:rPr>
          <w:rFonts w:eastAsia="Times New Roman" w:cs="Arial"/>
          <w:color w:val="000000"/>
          <w:szCs w:val="20"/>
          <w:lang w:val="ru-RU"/>
        </w:rPr>
        <w:t>/</w:t>
      </w:r>
      <w:r w:rsidRPr="00305CA0">
        <w:rPr>
          <w:rFonts w:eastAsia="Times New Roman" w:cs="Arial"/>
          <w:color w:val="000000"/>
          <w:szCs w:val="20"/>
          <w:lang w:val="en-US"/>
        </w:rPr>
        <w:t>kg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което е равно на ≥ 100 пъти по-висока от максималната човешка доза), са наблюдавани нежелани ефекти върху бременността и фертилитета. Забавен растеж и развитие на зародиша се наблюдава при дози от ≥60 </w:t>
      </w:r>
      <w:r w:rsidRPr="00305CA0">
        <w:rPr>
          <w:rFonts w:eastAsia="Times New Roman" w:cs="Arial"/>
          <w:color w:val="000000"/>
          <w:szCs w:val="20"/>
          <w:lang w:val="en-US"/>
        </w:rPr>
        <w:t>mg</w:t>
      </w:r>
      <w:r w:rsidRPr="00305CA0">
        <w:rPr>
          <w:rFonts w:eastAsia="Times New Roman" w:cs="Arial"/>
          <w:color w:val="000000"/>
          <w:szCs w:val="20"/>
          <w:lang w:val="ru-RU"/>
        </w:rPr>
        <w:t>/</w:t>
      </w:r>
      <w:r w:rsidRPr="00305CA0">
        <w:rPr>
          <w:rFonts w:eastAsia="Times New Roman" w:cs="Arial"/>
          <w:color w:val="000000"/>
          <w:szCs w:val="20"/>
          <w:lang w:val="en-US"/>
        </w:rPr>
        <w:t>kg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 30 пъти максималната човешка доза). Ембриотоксичност (повишена смъртност след ембрионалната имплантация) се наблюдава, но не се наблюдават деформации при плъхове или зайци при дози от 200 </w:t>
      </w:r>
      <w:r w:rsidRPr="00305CA0">
        <w:rPr>
          <w:rFonts w:eastAsia="Times New Roman" w:cs="Arial"/>
          <w:color w:val="000000"/>
          <w:szCs w:val="20"/>
          <w:lang w:val="en-US"/>
        </w:rPr>
        <w:t>mg</w:t>
      </w:r>
      <w:r w:rsidRPr="00305CA0">
        <w:rPr>
          <w:rFonts w:eastAsia="Times New Roman" w:cs="Arial"/>
          <w:color w:val="000000"/>
          <w:szCs w:val="20"/>
          <w:lang w:val="ru-RU"/>
        </w:rPr>
        <w:t>/</w:t>
      </w:r>
      <w:r w:rsidRPr="00305CA0">
        <w:rPr>
          <w:rFonts w:eastAsia="Times New Roman" w:cs="Arial"/>
          <w:color w:val="000000"/>
          <w:szCs w:val="20"/>
          <w:lang w:val="en-US"/>
        </w:rPr>
        <w:t>kg</w:t>
      </w:r>
      <w:r w:rsidRPr="00305CA0">
        <w:rPr>
          <w:rFonts w:eastAsia="Times New Roman" w:cs="Arial"/>
          <w:color w:val="000000"/>
          <w:szCs w:val="20"/>
          <w:lang w:val="ru-RU"/>
        </w:rPr>
        <w:t xml:space="preserve"> </w:t>
      </w:r>
      <w:r w:rsidRPr="00305CA0">
        <w:rPr>
          <w:rFonts w:eastAsia="Times New Roman" w:cs="Arial"/>
          <w:color w:val="000000"/>
          <w:szCs w:val="20"/>
          <w:lang w:eastAsia="bg-BG"/>
        </w:rPr>
        <w:t xml:space="preserve">и 75 </w:t>
      </w:r>
      <w:r w:rsidRPr="00305CA0">
        <w:rPr>
          <w:rFonts w:eastAsia="Times New Roman" w:cs="Arial"/>
          <w:color w:val="000000"/>
          <w:szCs w:val="20"/>
          <w:lang w:val="en-US"/>
        </w:rPr>
        <w:t>mg</w:t>
      </w:r>
      <w:r w:rsidRPr="00305CA0">
        <w:rPr>
          <w:rFonts w:eastAsia="Times New Roman" w:cs="Arial"/>
          <w:color w:val="000000"/>
          <w:szCs w:val="20"/>
          <w:lang w:val="ru-RU"/>
        </w:rPr>
        <w:t>/</w:t>
      </w:r>
      <w:r w:rsidRPr="00305CA0">
        <w:rPr>
          <w:rFonts w:eastAsia="Times New Roman" w:cs="Arial"/>
          <w:color w:val="000000"/>
          <w:szCs w:val="20"/>
          <w:lang w:val="en-US"/>
        </w:rPr>
        <w:t>kg</w:t>
      </w:r>
      <w:r w:rsidRPr="00305CA0">
        <w:rPr>
          <w:rFonts w:eastAsia="Times New Roman" w:cs="Arial"/>
          <w:color w:val="000000"/>
          <w:szCs w:val="20"/>
          <w:lang w:val="ru-RU"/>
        </w:rPr>
        <w:t xml:space="preserve"> </w:t>
      </w:r>
      <w:r w:rsidRPr="00305CA0">
        <w:rPr>
          <w:rFonts w:eastAsia="Times New Roman" w:cs="Arial"/>
          <w:color w:val="000000"/>
          <w:szCs w:val="20"/>
          <w:lang w:eastAsia="bg-BG"/>
        </w:rPr>
        <w:t>съответно (от 38 до 100 пъти максималната човешка доза).</w:t>
      </w:r>
    </w:p>
    <w:p w14:paraId="6E7DCB70" w14:textId="77777777" w:rsidR="00305CA0" w:rsidRPr="00305CA0" w:rsidRDefault="00305CA0" w:rsidP="00305CA0"/>
    <w:p w14:paraId="1BA6531D" w14:textId="60B5494B" w:rsidR="00B6672E" w:rsidRDefault="002C50EE" w:rsidP="00936AD0">
      <w:pPr>
        <w:pStyle w:val="Heading1"/>
      </w:pPr>
      <w:r>
        <w:t>7. ПРИТЕЖАТЕЛ НА РАЗРЕШЕНИЕТО ЗА УПОТРЕБА</w:t>
      </w:r>
    </w:p>
    <w:p w14:paraId="25C9B2B7" w14:textId="45D9E29C" w:rsidR="00305CA0" w:rsidRDefault="00305CA0" w:rsidP="00305CA0"/>
    <w:p w14:paraId="665DEBBA" w14:textId="77777777" w:rsidR="00305CA0" w:rsidRPr="00305CA0" w:rsidRDefault="00305CA0" w:rsidP="00305CA0">
      <w:pPr>
        <w:rPr>
          <w:sz w:val="24"/>
          <w:szCs w:val="24"/>
        </w:rPr>
      </w:pPr>
      <w:r w:rsidRPr="00305CA0">
        <w:rPr>
          <w:lang w:eastAsia="bg-BG"/>
        </w:rPr>
        <w:t>Тева Фарма ЕАД</w:t>
      </w:r>
    </w:p>
    <w:p w14:paraId="3C291FE7" w14:textId="77777777" w:rsidR="00305CA0" w:rsidRPr="00305CA0" w:rsidRDefault="00305CA0" w:rsidP="00305CA0">
      <w:pPr>
        <w:rPr>
          <w:sz w:val="24"/>
          <w:szCs w:val="24"/>
        </w:rPr>
      </w:pPr>
      <w:r w:rsidRPr="00305CA0">
        <w:rPr>
          <w:lang w:eastAsia="bg-BG"/>
        </w:rPr>
        <w:t>ул. „Люба Величкова“ № 9,1407 София</w:t>
      </w:r>
    </w:p>
    <w:p w14:paraId="52D74320" w14:textId="10B9B8E3" w:rsidR="00305CA0" w:rsidRPr="00305CA0" w:rsidRDefault="00305CA0" w:rsidP="00305CA0">
      <w:r w:rsidRPr="00305CA0">
        <w:rPr>
          <w:lang w:eastAsia="bg-BG"/>
        </w:rPr>
        <w:t>България</w:t>
      </w:r>
    </w:p>
    <w:p w14:paraId="508F3A54" w14:textId="3FF69962" w:rsidR="00B6672E" w:rsidRDefault="00936AD0" w:rsidP="00936AD0">
      <w:pPr>
        <w:pStyle w:val="Heading1"/>
      </w:pPr>
      <w:r>
        <w:t>8.</w:t>
      </w:r>
      <w:r w:rsidR="002C50EE">
        <w:t>НОМЕР НА РАЗРЕШЕНИЕТО ЗА УПОТРЕБА</w:t>
      </w:r>
    </w:p>
    <w:p w14:paraId="726711ED" w14:textId="77279C51" w:rsidR="00305CA0" w:rsidRDefault="00305CA0" w:rsidP="00305CA0"/>
    <w:p w14:paraId="6D7C93CB" w14:textId="77777777" w:rsidR="00305CA0" w:rsidRPr="00305CA0" w:rsidRDefault="00305CA0" w:rsidP="00305CA0">
      <w:pPr>
        <w:rPr>
          <w:sz w:val="24"/>
          <w:szCs w:val="24"/>
        </w:rPr>
      </w:pPr>
      <w:r w:rsidRPr="00305CA0">
        <w:rPr>
          <w:lang w:eastAsia="bg-BG"/>
        </w:rPr>
        <w:t xml:space="preserve">Карвилекс 6,25 </w:t>
      </w:r>
      <w:r w:rsidRPr="00305CA0">
        <w:rPr>
          <w:lang w:val="en-US"/>
        </w:rPr>
        <w:t>mg</w:t>
      </w:r>
      <w:r w:rsidRPr="00305CA0">
        <w:t xml:space="preserve"> </w:t>
      </w:r>
      <w:r w:rsidRPr="00305CA0">
        <w:rPr>
          <w:lang w:eastAsia="bg-BG"/>
        </w:rPr>
        <w:t xml:space="preserve">таблетки: </w:t>
      </w:r>
      <w:r w:rsidRPr="00305CA0">
        <w:rPr>
          <w:lang w:val="en-US"/>
        </w:rPr>
        <w:t>per</w:t>
      </w:r>
      <w:r w:rsidRPr="00305CA0">
        <w:t xml:space="preserve">. </w:t>
      </w:r>
      <w:r w:rsidRPr="00305CA0">
        <w:rPr>
          <w:lang w:eastAsia="bg-BG"/>
        </w:rPr>
        <w:t>№ 20060029</w:t>
      </w:r>
    </w:p>
    <w:p w14:paraId="5F3ED798" w14:textId="77777777" w:rsidR="00305CA0" w:rsidRPr="00305CA0" w:rsidRDefault="00305CA0" w:rsidP="00305CA0">
      <w:pPr>
        <w:rPr>
          <w:sz w:val="24"/>
          <w:szCs w:val="24"/>
        </w:rPr>
      </w:pPr>
      <w:r w:rsidRPr="00305CA0">
        <w:rPr>
          <w:lang w:eastAsia="bg-BG"/>
        </w:rPr>
        <w:t xml:space="preserve">Карвилекс 12,5 </w:t>
      </w:r>
      <w:r w:rsidRPr="00305CA0">
        <w:rPr>
          <w:lang w:val="en-US"/>
        </w:rPr>
        <w:t>mg</w:t>
      </w:r>
      <w:r w:rsidRPr="00305CA0">
        <w:t xml:space="preserve"> </w:t>
      </w:r>
      <w:r w:rsidRPr="00305CA0">
        <w:rPr>
          <w:lang w:eastAsia="bg-BG"/>
        </w:rPr>
        <w:t xml:space="preserve">таблетки: </w:t>
      </w:r>
      <w:r w:rsidRPr="00305CA0">
        <w:rPr>
          <w:lang w:val="en-US"/>
        </w:rPr>
        <w:t>per</w:t>
      </w:r>
      <w:r w:rsidRPr="00305CA0">
        <w:t xml:space="preserve">. </w:t>
      </w:r>
      <w:r w:rsidRPr="00305CA0">
        <w:rPr>
          <w:lang w:eastAsia="bg-BG"/>
        </w:rPr>
        <w:t>№ 20060030</w:t>
      </w:r>
    </w:p>
    <w:p w14:paraId="08E1BE02" w14:textId="77777777" w:rsidR="00305CA0" w:rsidRPr="00305CA0" w:rsidRDefault="00305CA0" w:rsidP="00305CA0">
      <w:pPr>
        <w:rPr>
          <w:sz w:val="24"/>
          <w:szCs w:val="24"/>
        </w:rPr>
      </w:pPr>
      <w:r w:rsidRPr="00305CA0">
        <w:rPr>
          <w:lang w:eastAsia="bg-BG"/>
        </w:rPr>
        <w:t xml:space="preserve">Карвилекс 25 </w:t>
      </w:r>
      <w:r w:rsidRPr="00305CA0">
        <w:rPr>
          <w:lang w:val="en-US"/>
        </w:rPr>
        <w:t>mg</w:t>
      </w:r>
      <w:r w:rsidRPr="00305CA0">
        <w:rPr>
          <w:lang w:val="ru-RU"/>
        </w:rPr>
        <w:t xml:space="preserve"> </w:t>
      </w:r>
      <w:r w:rsidRPr="00305CA0">
        <w:rPr>
          <w:lang w:eastAsia="bg-BG"/>
        </w:rPr>
        <w:t xml:space="preserve">таблетки: </w:t>
      </w:r>
      <w:r w:rsidRPr="00305CA0">
        <w:rPr>
          <w:lang w:val="en-US"/>
        </w:rPr>
        <w:t>per</w:t>
      </w:r>
      <w:r w:rsidRPr="00305CA0">
        <w:rPr>
          <w:lang w:val="ru-RU"/>
        </w:rPr>
        <w:t xml:space="preserve">. </w:t>
      </w:r>
      <w:r w:rsidRPr="00305CA0">
        <w:rPr>
          <w:lang w:eastAsia="bg-BG"/>
        </w:rPr>
        <w:t>№ 20060031</w:t>
      </w:r>
    </w:p>
    <w:p w14:paraId="45A4CCEE" w14:textId="77777777" w:rsidR="00305CA0" w:rsidRPr="00305CA0" w:rsidRDefault="00305CA0" w:rsidP="00305CA0"/>
    <w:p w14:paraId="2CCB5832" w14:textId="574319C2" w:rsidR="007C605B" w:rsidRDefault="002C50EE" w:rsidP="007C605B">
      <w:pPr>
        <w:pStyle w:val="Heading1"/>
      </w:pPr>
      <w:r>
        <w:t>9. ДАТА НА ПЪРВО РАЗРЕШАВАНЕ/ПОДНОВЯВАНЕ НА РАЗРЕШЕНИЕТО ЗА УПОТРЕБА</w:t>
      </w:r>
    </w:p>
    <w:p w14:paraId="444008CF" w14:textId="679EC52A" w:rsidR="00305CA0" w:rsidRDefault="00305CA0" w:rsidP="00305CA0"/>
    <w:p w14:paraId="188AC4EB" w14:textId="77777777" w:rsidR="00305CA0" w:rsidRPr="00305CA0" w:rsidRDefault="00305CA0" w:rsidP="00305CA0">
      <w:pPr>
        <w:rPr>
          <w:sz w:val="24"/>
          <w:szCs w:val="24"/>
        </w:rPr>
      </w:pPr>
      <w:r w:rsidRPr="00305CA0">
        <w:rPr>
          <w:lang w:eastAsia="bg-BG"/>
        </w:rPr>
        <w:t>Дата на първо разрешаване: 30.01.2006 г.</w:t>
      </w:r>
    </w:p>
    <w:p w14:paraId="50FEBF89" w14:textId="1EB12345" w:rsidR="00305CA0" w:rsidRPr="00305CA0" w:rsidRDefault="00305CA0" w:rsidP="00305CA0">
      <w:r w:rsidRPr="00305CA0">
        <w:rPr>
          <w:lang w:eastAsia="bg-BG"/>
        </w:rPr>
        <w:t>Дата на последно подновяване: 07.03.2011 г.</w:t>
      </w:r>
    </w:p>
    <w:p w14:paraId="0E9D0119" w14:textId="0245C6D7" w:rsidR="002C50EE" w:rsidRDefault="002C50EE" w:rsidP="002C50EE">
      <w:pPr>
        <w:pStyle w:val="Heading1"/>
      </w:pPr>
      <w:r>
        <w:t>10. ДАТА НА АКТУАЛИЗИРАНЕ НА ТЕКСТА</w:t>
      </w:r>
    </w:p>
    <w:bookmarkEnd w:id="0"/>
    <w:p w14:paraId="43FB38A2" w14:textId="2A5E66A9" w:rsidR="007C605B" w:rsidRPr="003E3126" w:rsidRDefault="00305CA0" w:rsidP="00305CA0">
      <w:r>
        <w:t>05.01.2021</w:t>
      </w:r>
      <w:bookmarkStart w:id="9" w:name="_GoBack"/>
      <w:bookmarkEnd w:id="9"/>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5E56E3"/>
    <w:multiLevelType w:val="hybridMultilevel"/>
    <w:tmpl w:val="339A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3F875AC9"/>
    <w:multiLevelType w:val="hybridMultilevel"/>
    <w:tmpl w:val="3F1E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9"/>
  </w:num>
  <w:num w:numId="7">
    <w:abstractNumId w:val="13"/>
  </w:num>
  <w:num w:numId="8">
    <w:abstractNumId w:val="17"/>
  </w:num>
  <w:num w:numId="9">
    <w:abstractNumId w:val="2"/>
  </w:num>
  <w:num w:numId="10">
    <w:abstractNumId w:val="5"/>
  </w:num>
  <w:num w:numId="11">
    <w:abstractNumId w:val="33"/>
  </w:num>
  <w:num w:numId="12">
    <w:abstractNumId w:val="16"/>
  </w:num>
  <w:num w:numId="13">
    <w:abstractNumId w:val="22"/>
  </w:num>
  <w:num w:numId="14">
    <w:abstractNumId w:val="14"/>
  </w:num>
  <w:num w:numId="15">
    <w:abstractNumId w:val="32"/>
  </w:num>
  <w:num w:numId="16">
    <w:abstractNumId w:val="12"/>
  </w:num>
  <w:num w:numId="17">
    <w:abstractNumId w:val="27"/>
  </w:num>
  <w:num w:numId="18">
    <w:abstractNumId w:val="9"/>
  </w:num>
  <w:num w:numId="19">
    <w:abstractNumId w:val="29"/>
  </w:num>
  <w:num w:numId="20">
    <w:abstractNumId w:val="26"/>
  </w:num>
  <w:num w:numId="21">
    <w:abstractNumId w:val="20"/>
  </w:num>
  <w:num w:numId="22">
    <w:abstractNumId w:val="28"/>
  </w:num>
  <w:num w:numId="23">
    <w:abstractNumId w:val="21"/>
  </w:num>
  <w:num w:numId="24">
    <w:abstractNumId w:val="10"/>
  </w:num>
  <w:num w:numId="25">
    <w:abstractNumId w:val="25"/>
  </w:num>
  <w:num w:numId="26">
    <w:abstractNumId w:val="24"/>
  </w:num>
  <w:num w:numId="27">
    <w:abstractNumId w:val="34"/>
  </w:num>
  <w:num w:numId="28">
    <w:abstractNumId w:val="7"/>
  </w:num>
  <w:num w:numId="29">
    <w:abstractNumId w:val="23"/>
  </w:num>
  <w:num w:numId="30">
    <w:abstractNumId w:val="37"/>
  </w:num>
  <w:num w:numId="31">
    <w:abstractNumId w:val="6"/>
  </w:num>
  <w:num w:numId="32">
    <w:abstractNumId w:val="36"/>
  </w:num>
  <w:num w:numId="33">
    <w:abstractNumId w:val="31"/>
  </w:num>
  <w:num w:numId="34">
    <w:abstractNumId w:val="35"/>
  </w:num>
  <w:num w:numId="35">
    <w:abstractNumId w:val="8"/>
  </w:num>
  <w:num w:numId="36">
    <w:abstractNumId w:val="11"/>
  </w:num>
  <w:num w:numId="37">
    <w:abstractNumId w:val="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05CA0"/>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4795</Words>
  <Characters>27335</Characters>
  <Application>Microsoft Office Word</Application>
  <DocSecurity>0</DocSecurity>
  <Lines>227</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2022-06-28T11:45:00Z</dcterms:created>
  <dcterms:modified xsi:type="dcterms:W3CDTF">2022-06-28T11:45:00Z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