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6B520039" w:rsidR="007122AD" w:rsidRDefault="00DD466D" w:rsidP="00936AD0">
      <w:pPr>
        <w:pStyle w:val="Heading1"/>
      </w:pPr>
      <w:r>
        <w:t>1.ИМЕ НА ЛЕКАРСТВЕНИЯ ПРОДУКТ</w:t>
      </w:r>
    </w:p>
    <w:p w14:paraId="43DF8810" w14:textId="7173A34E" w:rsidR="006E4D34" w:rsidRDefault="006E4D34" w:rsidP="006E4D34"/>
    <w:p w14:paraId="61AF4554" w14:textId="77777777" w:rsidR="006E4D34" w:rsidRPr="006E4D34" w:rsidRDefault="006E4D34" w:rsidP="006E4D34">
      <w:pPr>
        <w:rPr>
          <w:sz w:val="24"/>
          <w:szCs w:val="24"/>
        </w:rPr>
      </w:pPr>
      <w:r w:rsidRPr="006E4D34">
        <w:rPr>
          <w:lang w:eastAsia="bg-BG"/>
        </w:rPr>
        <w:t xml:space="preserve">Карзап Н 16 </w:t>
      </w:r>
      <w:r w:rsidRPr="006E4D34">
        <w:rPr>
          <w:lang w:val="en-US"/>
        </w:rPr>
        <w:t>mg</w:t>
      </w:r>
      <w:r w:rsidRPr="006E4D34">
        <w:t>/</w:t>
      </w:r>
      <w:r w:rsidRPr="006E4D34">
        <w:rPr>
          <w:lang w:eastAsia="bg-BG"/>
        </w:rPr>
        <w:t xml:space="preserve">12,5 </w:t>
      </w:r>
      <w:r w:rsidRPr="006E4D34">
        <w:rPr>
          <w:lang w:val="en-US"/>
        </w:rPr>
        <w:t>mg</w:t>
      </w:r>
      <w:r w:rsidRPr="006E4D34">
        <w:t xml:space="preserve"> </w:t>
      </w:r>
      <w:r w:rsidRPr="006E4D34">
        <w:rPr>
          <w:lang w:eastAsia="bg-BG"/>
        </w:rPr>
        <w:t>таблетки</w:t>
      </w:r>
    </w:p>
    <w:p w14:paraId="7C4CCAD6" w14:textId="1C038A59" w:rsidR="006E4D34" w:rsidRPr="006E4D34" w:rsidRDefault="006E4D34" w:rsidP="006E4D34">
      <w:proofErr w:type="spellStart"/>
      <w:r w:rsidRPr="006E4D34">
        <w:rPr>
          <w:lang w:val="en-US"/>
        </w:rPr>
        <w:t>Carzap</w:t>
      </w:r>
      <w:proofErr w:type="spellEnd"/>
      <w:r w:rsidRPr="006E4D34">
        <w:t xml:space="preserve"> </w:t>
      </w:r>
      <w:r w:rsidRPr="006E4D34">
        <w:rPr>
          <w:lang w:eastAsia="bg-BG"/>
        </w:rPr>
        <w:t xml:space="preserve">Н 16 </w:t>
      </w:r>
      <w:r w:rsidRPr="006E4D34">
        <w:rPr>
          <w:lang w:val="en-US"/>
        </w:rPr>
        <w:t>mg</w:t>
      </w:r>
      <w:r w:rsidRPr="006E4D34">
        <w:t xml:space="preserve">/12.5 </w:t>
      </w:r>
      <w:r w:rsidRPr="006E4D34">
        <w:rPr>
          <w:lang w:val="en-US"/>
        </w:rPr>
        <w:t>mg</w:t>
      </w:r>
      <w:r w:rsidRPr="006E4D34">
        <w:t xml:space="preserve"> </w:t>
      </w:r>
      <w:r w:rsidRPr="006E4D34">
        <w:rPr>
          <w:lang w:val="en-US"/>
        </w:rPr>
        <w:t>tablets</w:t>
      </w:r>
    </w:p>
    <w:p w14:paraId="6920A680" w14:textId="4EDF4236" w:rsidR="00C40420" w:rsidRDefault="00DD466D" w:rsidP="004A448E">
      <w:pPr>
        <w:pStyle w:val="Heading1"/>
      </w:pPr>
      <w:r>
        <w:t>2. КАЧЕСТВЕН И КОЛИЧЕСТВЕН СЪСТАВ</w:t>
      </w:r>
    </w:p>
    <w:p w14:paraId="65FBEF33" w14:textId="0D1472B6" w:rsidR="006E4D34" w:rsidRDefault="006E4D34" w:rsidP="006E4D34"/>
    <w:p w14:paraId="4236DAD3"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Всяка таблетка съдържа 16 </w:t>
      </w:r>
      <w:r w:rsidRPr="006E4D34">
        <w:rPr>
          <w:rFonts w:eastAsia="Times New Roman" w:cs="Arial"/>
          <w:color w:val="000000"/>
          <w:lang w:val="en-US"/>
        </w:rPr>
        <w:t>mg</w:t>
      </w:r>
      <w:r w:rsidRPr="006E4D34">
        <w:rPr>
          <w:rFonts w:eastAsia="Times New Roman" w:cs="Arial"/>
          <w:color w:val="000000"/>
        </w:rPr>
        <w:t xml:space="preserve"> </w:t>
      </w:r>
      <w:r w:rsidRPr="006E4D34">
        <w:rPr>
          <w:rFonts w:eastAsia="Times New Roman" w:cs="Arial"/>
          <w:color w:val="000000"/>
          <w:lang w:eastAsia="bg-BG"/>
        </w:rPr>
        <w:t xml:space="preserve">кандесартан цилексетил </w:t>
      </w:r>
      <w:r w:rsidRPr="006E4D34">
        <w:rPr>
          <w:rFonts w:eastAsia="Times New Roman" w:cs="Arial"/>
          <w:i/>
          <w:iCs/>
          <w:color w:val="000000"/>
        </w:rPr>
        <w:t>(</w:t>
      </w:r>
      <w:r w:rsidRPr="006E4D34">
        <w:rPr>
          <w:rFonts w:eastAsia="Times New Roman" w:cs="Arial"/>
          <w:i/>
          <w:iCs/>
          <w:color w:val="000000"/>
          <w:lang w:val="en-US"/>
        </w:rPr>
        <w:t>candesartan</w:t>
      </w:r>
      <w:r w:rsidRPr="006E4D34">
        <w:rPr>
          <w:rFonts w:eastAsia="Times New Roman" w:cs="Arial"/>
          <w:i/>
          <w:iCs/>
          <w:color w:val="000000"/>
        </w:rPr>
        <w:t xml:space="preserve"> </w:t>
      </w:r>
      <w:proofErr w:type="spellStart"/>
      <w:r w:rsidRPr="006E4D34">
        <w:rPr>
          <w:rFonts w:eastAsia="Times New Roman" w:cs="Arial"/>
          <w:i/>
          <w:iCs/>
          <w:color w:val="000000"/>
          <w:lang w:val="en-US"/>
        </w:rPr>
        <w:t>cilexetil</w:t>
      </w:r>
      <w:proofErr w:type="spellEnd"/>
      <w:r w:rsidRPr="006E4D34">
        <w:rPr>
          <w:rFonts w:eastAsia="Times New Roman" w:cs="Arial"/>
          <w:i/>
          <w:iCs/>
          <w:color w:val="000000"/>
        </w:rPr>
        <w:t>)</w:t>
      </w:r>
      <w:r w:rsidRPr="006E4D34">
        <w:rPr>
          <w:rFonts w:eastAsia="Times New Roman" w:cs="Arial"/>
          <w:color w:val="000000"/>
        </w:rPr>
        <w:t xml:space="preserve"> </w:t>
      </w:r>
      <w:r w:rsidRPr="006E4D34">
        <w:rPr>
          <w:rFonts w:eastAsia="Times New Roman" w:cs="Arial"/>
          <w:color w:val="000000"/>
          <w:lang w:eastAsia="bg-BG"/>
        </w:rPr>
        <w:t xml:space="preserve">и 12,5 </w:t>
      </w:r>
      <w:r w:rsidRPr="006E4D34">
        <w:rPr>
          <w:rFonts w:eastAsia="Times New Roman" w:cs="Arial"/>
          <w:color w:val="000000"/>
          <w:lang w:val="en-US"/>
        </w:rPr>
        <w:t>mg</w:t>
      </w:r>
      <w:r w:rsidRPr="006E4D34">
        <w:rPr>
          <w:rFonts w:eastAsia="Times New Roman" w:cs="Arial"/>
          <w:color w:val="000000"/>
        </w:rPr>
        <w:t xml:space="preserve"> </w:t>
      </w:r>
      <w:r w:rsidRPr="006E4D34">
        <w:rPr>
          <w:rFonts w:eastAsia="Times New Roman" w:cs="Arial"/>
          <w:color w:val="000000"/>
          <w:lang w:eastAsia="bg-BG"/>
        </w:rPr>
        <w:t xml:space="preserve">хидрохлоротиазид </w:t>
      </w:r>
      <w:r w:rsidRPr="006E4D34">
        <w:rPr>
          <w:rFonts w:eastAsia="Times New Roman" w:cs="Arial"/>
          <w:i/>
          <w:iCs/>
          <w:color w:val="000000"/>
        </w:rPr>
        <w:t>(</w:t>
      </w:r>
      <w:r w:rsidRPr="006E4D34">
        <w:rPr>
          <w:rFonts w:eastAsia="Times New Roman" w:cs="Arial"/>
          <w:i/>
          <w:iCs/>
          <w:color w:val="000000"/>
          <w:lang w:val="en-US"/>
        </w:rPr>
        <w:t>hydrochlorothiazide</w:t>
      </w:r>
      <w:r w:rsidRPr="006E4D34">
        <w:rPr>
          <w:rFonts w:eastAsia="Times New Roman" w:cs="Arial"/>
          <w:i/>
          <w:iCs/>
          <w:color w:val="000000"/>
        </w:rPr>
        <w:t>).</w:t>
      </w:r>
    </w:p>
    <w:p w14:paraId="3E6AF0AB" w14:textId="77777777" w:rsidR="006E4D34" w:rsidRPr="006E4D34" w:rsidRDefault="006E4D34" w:rsidP="006E4D34">
      <w:pPr>
        <w:spacing w:line="240" w:lineRule="auto"/>
        <w:rPr>
          <w:rFonts w:eastAsia="Times New Roman" w:cs="Arial"/>
          <w:color w:val="000000"/>
          <w:lang w:eastAsia="bg-BG"/>
        </w:rPr>
      </w:pPr>
    </w:p>
    <w:p w14:paraId="4D75AAB7" w14:textId="7AEBAD79"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Помощни вещества с известно действие:</w:t>
      </w:r>
    </w:p>
    <w:p w14:paraId="3623150F"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Карзап Н 16 </w:t>
      </w:r>
      <w:r w:rsidRPr="006E4D34">
        <w:rPr>
          <w:rFonts w:eastAsia="Times New Roman" w:cs="Arial"/>
          <w:color w:val="000000"/>
          <w:lang w:val="en-US"/>
        </w:rPr>
        <w:t>mg</w:t>
      </w:r>
      <w:r w:rsidRPr="006E4D34">
        <w:rPr>
          <w:rFonts w:eastAsia="Times New Roman" w:cs="Arial"/>
          <w:color w:val="000000"/>
        </w:rPr>
        <w:t xml:space="preserve">/12,5 </w:t>
      </w:r>
      <w:r w:rsidRPr="006E4D34">
        <w:rPr>
          <w:rFonts w:eastAsia="Times New Roman" w:cs="Arial"/>
          <w:color w:val="000000"/>
          <w:lang w:val="en-US"/>
        </w:rPr>
        <w:t>mg</w:t>
      </w:r>
      <w:r w:rsidRPr="006E4D34">
        <w:rPr>
          <w:rFonts w:eastAsia="Times New Roman" w:cs="Arial"/>
          <w:color w:val="000000"/>
        </w:rPr>
        <w:t xml:space="preserve"> </w:t>
      </w:r>
      <w:r w:rsidRPr="006E4D34">
        <w:rPr>
          <w:rFonts w:eastAsia="Times New Roman" w:cs="Arial"/>
          <w:color w:val="000000"/>
          <w:lang w:eastAsia="bg-BG"/>
        </w:rPr>
        <w:t xml:space="preserve">съдържа 109,30 </w:t>
      </w:r>
      <w:r w:rsidRPr="006E4D34">
        <w:rPr>
          <w:rFonts w:eastAsia="Times New Roman" w:cs="Arial"/>
          <w:color w:val="000000"/>
          <w:lang w:val="en-US"/>
        </w:rPr>
        <w:t>mg</w:t>
      </w:r>
      <w:r w:rsidRPr="006E4D34">
        <w:rPr>
          <w:rFonts w:eastAsia="Times New Roman" w:cs="Arial"/>
          <w:color w:val="000000"/>
        </w:rPr>
        <w:t xml:space="preserve"> </w:t>
      </w:r>
      <w:r w:rsidRPr="006E4D34">
        <w:rPr>
          <w:rFonts w:eastAsia="Times New Roman" w:cs="Arial"/>
          <w:color w:val="000000"/>
          <w:lang w:eastAsia="bg-BG"/>
        </w:rPr>
        <w:t>лактоза монохидрат.</w:t>
      </w:r>
    </w:p>
    <w:p w14:paraId="64817B45" w14:textId="77777777" w:rsidR="006E4D34" w:rsidRPr="006E4D34" w:rsidRDefault="006E4D34" w:rsidP="006E4D34"/>
    <w:p w14:paraId="614984C4" w14:textId="31D1B8E8" w:rsidR="008A6AF2" w:rsidRDefault="00DD466D" w:rsidP="002C50EE">
      <w:pPr>
        <w:pStyle w:val="Heading1"/>
      </w:pPr>
      <w:r>
        <w:t>3. ЛЕКАРСТВЕНА ФОРМА</w:t>
      </w:r>
    </w:p>
    <w:p w14:paraId="55AF62B6" w14:textId="446AD66E" w:rsidR="006E4D34" w:rsidRDefault="006E4D34" w:rsidP="006E4D34"/>
    <w:p w14:paraId="26E09131" w14:textId="77777777" w:rsidR="006E4D34" w:rsidRPr="006E4D34" w:rsidRDefault="006E4D34" w:rsidP="006E4D34">
      <w:pPr>
        <w:rPr>
          <w:sz w:val="24"/>
          <w:szCs w:val="24"/>
        </w:rPr>
      </w:pPr>
      <w:r w:rsidRPr="006E4D34">
        <w:rPr>
          <w:lang w:eastAsia="bg-BG"/>
        </w:rPr>
        <w:t>Таблетка</w:t>
      </w:r>
    </w:p>
    <w:p w14:paraId="7DF0E8BF" w14:textId="77777777" w:rsidR="006E4D34" w:rsidRDefault="006E4D34" w:rsidP="006E4D34">
      <w:pPr>
        <w:rPr>
          <w:lang w:eastAsia="bg-BG"/>
        </w:rPr>
      </w:pPr>
    </w:p>
    <w:p w14:paraId="102EC278" w14:textId="6CE73BE0" w:rsidR="006E4D34" w:rsidRPr="006E4D34" w:rsidRDefault="006E4D34" w:rsidP="006E4D34">
      <w:pPr>
        <w:rPr>
          <w:sz w:val="24"/>
          <w:szCs w:val="24"/>
        </w:rPr>
      </w:pPr>
      <w:r w:rsidRPr="006E4D34">
        <w:rPr>
          <w:lang w:eastAsia="bg-BG"/>
        </w:rPr>
        <w:t xml:space="preserve">Кръгли, двойноизпъкнали, бели до почти бели таблетки; с делителна черта от едната страна и релефен надпис СН/16 от същата страна, с диаметър приблизително 8 </w:t>
      </w:r>
      <w:r w:rsidRPr="006E4D34">
        <w:rPr>
          <w:lang w:val="en-US"/>
        </w:rPr>
        <w:t>mm</w:t>
      </w:r>
      <w:r w:rsidRPr="006E4D34">
        <w:rPr>
          <w:lang w:val="ru-RU"/>
        </w:rPr>
        <w:t xml:space="preserve">. </w:t>
      </w:r>
      <w:r w:rsidRPr="006E4D34">
        <w:rPr>
          <w:lang w:eastAsia="bg-BG"/>
        </w:rPr>
        <w:t>Таблетката може да бъде разделяна на две равни дози.</w:t>
      </w:r>
    </w:p>
    <w:p w14:paraId="51B10C88" w14:textId="77777777" w:rsidR="006E4D34" w:rsidRPr="006E4D34" w:rsidRDefault="006E4D34" w:rsidP="006E4D34"/>
    <w:p w14:paraId="490FC2C4" w14:textId="0F4A4A75" w:rsidR="002C50EE" w:rsidRDefault="002C50EE" w:rsidP="002C50EE">
      <w:pPr>
        <w:pStyle w:val="Heading1"/>
      </w:pPr>
      <w:r>
        <w:t>4. КЛИНИЧНИ ДАННИ</w:t>
      </w:r>
    </w:p>
    <w:p w14:paraId="74330405" w14:textId="1E1DE8A4" w:rsidR="007122AD" w:rsidRDefault="002C50EE" w:rsidP="00936AD0">
      <w:pPr>
        <w:pStyle w:val="Heading2"/>
      </w:pPr>
      <w:r>
        <w:t>4.1. Терапевтични показания</w:t>
      </w:r>
    </w:p>
    <w:p w14:paraId="7C729BCA" w14:textId="53CF87C6" w:rsidR="006E4D34" w:rsidRDefault="006E4D34" w:rsidP="006E4D34"/>
    <w:p w14:paraId="3C79C91D"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Карзап Н е показан при:</w:t>
      </w:r>
    </w:p>
    <w:p w14:paraId="27252757" w14:textId="0F7F4516" w:rsidR="006E4D34" w:rsidRPr="006E4D34" w:rsidRDefault="006E4D34" w:rsidP="006E4D34">
      <w:pPr>
        <w:pStyle w:val="ListParagraph"/>
        <w:numPr>
          <w:ilvl w:val="0"/>
          <w:numId w:val="37"/>
        </w:numPr>
        <w:spacing w:line="240" w:lineRule="auto"/>
        <w:rPr>
          <w:rFonts w:eastAsia="Times New Roman" w:cs="Arial"/>
          <w:sz w:val="24"/>
          <w:szCs w:val="24"/>
        </w:rPr>
      </w:pPr>
      <w:r w:rsidRPr="006E4D34">
        <w:rPr>
          <w:rFonts w:eastAsia="Times New Roman" w:cs="Arial"/>
          <w:color w:val="000000"/>
          <w:lang w:eastAsia="bg-BG"/>
        </w:rPr>
        <w:t>Лечение на първична хипертония при възрастни пациенти, чието артериално налягане не се контролира адекватно от монотерапия с кандесартан цилексетил или хидрохлоротиазид.</w:t>
      </w:r>
    </w:p>
    <w:p w14:paraId="5B988647" w14:textId="77777777" w:rsidR="006E4D34" w:rsidRPr="006E4D34" w:rsidRDefault="006E4D34" w:rsidP="006E4D34"/>
    <w:p w14:paraId="53F5B866" w14:textId="71BB653E" w:rsidR="007122AD" w:rsidRDefault="002C50EE" w:rsidP="00936AD0">
      <w:pPr>
        <w:pStyle w:val="Heading2"/>
      </w:pPr>
      <w:r>
        <w:t>4.2. Дозировка и начин на приложение</w:t>
      </w:r>
    </w:p>
    <w:p w14:paraId="3D27F50F" w14:textId="40F10BE7" w:rsidR="006E4D34" w:rsidRDefault="006E4D34" w:rsidP="006E4D34"/>
    <w:p w14:paraId="5F4EDD7A" w14:textId="77777777" w:rsidR="006E4D34" w:rsidRPr="006E4D34" w:rsidRDefault="006E4D34" w:rsidP="006E4D34">
      <w:pPr>
        <w:pStyle w:val="Heading3"/>
        <w:rPr>
          <w:rFonts w:eastAsia="Times New Roman"/>
          <w:u w:val="single"/>
        </w:rPr>
      </w:pPr>
      <w:r w:rsidRPr="006E4D34">
        <w:rPr>
          <w:rFonts w:eastAsia="Times New Roman"/>
          <w:u w:val="single"/>
          <w:lang w:eastAsia="bg-BG"/>
        </w:rPr>
        <w:t>Дозировка</w:t>
      </w:r>
    </w:p>
    <w:p w14:paraId="6F9382C2"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Препоръчителната доза Карзап Н е една таблетка еднократно дневно.</w:t>
      </w:r>
    </w:p>
    <w:p w14:paraId="090C4CD5"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Препоръчва се титриране на дозите на отделните компоненти (кандесартан цилексетил и хидрохлоротиазид). Когато е уместно от клинична гледна точка, може да се обсъди директно преминаване от монотерапия към терапия с Карзап Н.</w:t>
      </w:r>
    </w:p>
    <w:p w14:paraId="37EC40B3"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Препоръчва се титриране на дозата на кандесартан цилексетил, когато се преминава от монотерапия с хидрохлоротиазид. Карзап Н може да се предписва при пациенти, чието кръвно налягане не се контролира адекватно от монотерапия с кандесартан цилексетил или хидрохлоротиазид, или Карзап Н в по-ниски дози.</w:t>
      </w:r>
    </w:p>
    <w:p w14:paraId="7D7AEB24"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lastRenderedPageBreak/>
        <w:t>По-голямата част от ангихипертензивния ефект се постига в рамките на 4 седмици</w:t>
      </w:r>
      <w:r w:rsidRPr="006E4D34">
        <w:rPr>
          <w:rFonts w:eastAsia="Times New Roman" w:cs="Arial"/>
          <w:color w:val="000000"/>
          <w:lang w:val="ru-RU"/>
        </w:rPr>
        <w:t xml:space="preserve"> </w:t>
      </w:r>
      <w:r w:rsidRPr="006E4D34">
        <w:rPr>
          <w:rFonts w:eastAsia="Times New Roman" w:cs="Arial"/>
          <w:color w:val="000000"/>
          <w:lang w:eastAsia="bg-BG"/>
        </w:rPr>
        <w:t>от началото на лечението (вж. точки 4.3,4.4,4.5 и 5.1).</w:t>
      </w:r>
    </w:p>
    <w:p w14:paraId="7A627362" w14:textId="6F9BB54B" w:rsidR="006E4D34" w:rsidRPr="006E4D34" w:rsidRDefault="006E4D34" w:rsidP="006E4D34">
      <w:pPr>
        <w:rPr>
          <w:rFonts w:cs="Arial"/>
        </w:rPr>
      </w:pPr>
    </w:p>
    <w:p w14:paraId="7D2FCBEC"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u w:val="single"/>
          <w:lang w:eastAsia="bg-BG"/>
        </w:rPr>
        <w:t>Специални популации</w:t>
      </w:r>
    </w:p>
    <w:p w14:paraId="30332DFA" w14:textId="77777777" w:rsidR="006E4D34" w:rsidRPr="006E4D34" w:rsidRDefault="006E4D34" w:rsidP="006E4D34">
      <w:pPr>
        <w:spacing w:line="240" w:lineRule="auto"/>
        <w:rPr>
          <w:rFonts w:eastAsia="Times New Roman" w:cs="Arial"/>
          <w:i/>
          <w:iCs/>
          <w:color w:val="000000"/>
          <w:lang w:eastAsia="bg-BG"/>
        </w:rPr>
      </w:pPr>
    </w:p>
    <w:p w14:paraId="2DAF2029" w14:textId="02CA9141"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lang w:eastAsia="bg-BG"/>
        </w:rPr>
        <w:t>Старческа възраст</w:t>
      </w:r>
    </w:p>
    <w:p w14:paraId="32718F73"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При пациенти в старческа възраст не е необходима корекция на началната доза.</w:t>
      </w:r>
    </w:p>
    <w:p w14:paraId="23A6EFC2" w14:textId="77777777" w:rsidR="006E4D34" w:rsidRPr="006E4D34" w:rsidRDefault="006E4D34" w:rsidP="006E4D34">
      <w:pPr>
        <w:spacing w:line="240" w:lineRule="auto"/>
        <w:rPr>
          <w:rFonts w:eastAsia="Times New Roman" w:cs="Arial"/>
          <w:i/>
          <w:iCs/>
          <w:color w:val="000000"/>
          <w:lang w:eastAsia="bg-BG"/>
        </w:rPr>
      </w:pPr>
    </w:p>
    <w:p w14:paraId="4998FE5A" w14:textId="36778E9D"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lang w:eastAsia="bg-BG"/>
        </w:rPr>
        <w:t>Намален вътресъдов обем</w:t>
      </w:r>
    </w:p>
    <w:p w14:paraId="0D6298CB"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Препоръчва се титриране на дозата на кандесартан цилексетил при пациенти с риск от хипотония, като такива с евентуално обемно изчерпване (при тези пациенти може да се предвиди начална доза на кандесартан цилексетил от 4 </w:t>
      </w:r>
      <w:r w:rsidRPr="006E4D34">
        <w:rPr>
          <w:rFonts w:eastAsia="Times New Roman" w:cs="Arial"/>
          <w:color w:val="000000"/>
          <w:lang w:val="en-US"/>
        </w:rPr>
        <w:t>mg</w:t>
      </w:r>
      <w:r w:rsidRPr="006E4D34">
        <w:rPr>
          <w:rFonts w:eastAsia="Times New Roman" w:cs="Arial"/>
          <w:color w:val="000000"/>
          <w:lang w:val="ru-RU"/>
        </w:rPr>
        <w:t>).</w:t>
      </w:r>
    </w:p>
    <w:p w14:paraId="3D2E7723" w14:textId="77777777" w:rsidR="006E4D34" w:rsidRPr="006E4D34" w:rsidRDefault="006E4D34" w:rsidP="006E4D34">
      <w:pPr>
        <w:spacing w:line="240" w:lineRule="auto"/>
        <w:rPr>
          <w:rFonts w:eastAsia="Times New Roman" w:cs="Arial"/>
          <w:i/>
          <w:iCs/>
          <w:color w:val="000000"/>
          <w:lang w:eastAsia="bg-BG"/>
        </w:rPr>
      </w:pPr>
    </w:p>
    <w:p w14:paraId="1A8C4BE9" w14:textId="5648AD55"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lang w:eastAsia="bg-BG"/>
        </w:rPr>
        <w:t>Бъбречно увреждане</w:t>
      </w:r>
    </w:p>
    <w:p w14:paraId="1348EAE9"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При пациенти с леко до умерено бъбречно увреждане (креатининов клирънс ≥ 30 -</w:t>
      </w:r>
    </w:p>
    <w:p w14:paraId="6F68A823"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80 </w:t>
      </w:r>
      <w:r w:rsidRPr="006E4D34">
        <w:rPr>
          <w:rFonts w:eastAsia="Times New Roman" w:cs="Arial"/>
          <w:color w:val="000000"/>
          <w:lang w:val="en-US"/>
        </w:rPr>
        <w:t>ml</w:t>
      </w:r>
      <w:r w:rsidRPr="006E4D34">
        <w:rPr>
          <w:rFonts w:eastAsia="Times New Roman" w:cs="Arial"/>
          <w:color w:val="000000"/>
          <w:lang w:val="ru-RU"/>
        </w:rPr>
        <w:t>/</w:t>
      </w:r>
      <w:r w:rsidRPr="006E4D34">
        <w:rPr>
          <w:rFonts w:eastAsia="Times New Roman" w:cs="Arial"/>
          <w:color w:val="000000"/>
          <w:lang w:val="en-US"/>
        </w:rPr>
        <w:t>min</w:t>
      </w:r>
      <w:r w:rsidRPr="006E4D34">
        <w:rPr>
          <w:rFonts w:eastAsia="Times New Roman" w:cs="Arial"/>
          <w:color w:val="000000"/>
          <w:lang w:val="ru-RU"/>
        </w:rPr>
        <w:t xml:space="preserve">/1,73 </w:t>
      </w:r>
      <w:r w:rsidRPr="006E4D34">
        <w:rPr>
          <w:rFonts w:eastAsia="Times New Roman" w:cs="Arial"/>
          <w:color w:val="000000"/>
          <w:lang w:val="en-US"/>
        </w:rPr>
        <w:t>m</w:t>
      </w:r>
      <w:r w:rsidRPr="006E4D34">
        <w:rPr>
          <w:rFonts w:eastAsia="Times New Roman" w:cs="Arial"/>
          <w:color w:val="000000"/>
          <w:vertAlign w:val="superscript"/>
          <w:lang w:val="ru-RU"/>
        </w:rPr>
        <w:t>2</w:t>
      </w:r>
      <w:r w:rsidRPr="006E4D34">
        <w:rPr>
          <w:rFonts w:eastAsia="Times New Roman" w:cs="Arial"/>
          <w:color w:val="000000"/>
          <w:lang w:val="ru-RU"/>
        </w:rPr>
        <w:t xml:space="preserve"> </w:t>
      </w:r>
      <w:r w:rsidRPr="006E4D34">
        <w:rPr>
          <w:rFonts w:eastAsia="Times New Roman" w:cs="Arial"/>
          <w:color w:val="000000"/>
          <w:lang w:eastAsia="bg-BG"/>
        </w:rPr>
        <w:t>телесна повърхност) е препоръчително титриране на дозата. Карзап Н е противопоказан при пациенти с тежко бъбречно увреждане (креатининов клирънс</w:t>
      </w:r>
    </w:p>
    <w:p w14:paraId="1D072919"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&lt;30 </w:t>
      </w:r>
      <w:r w:rsidRPr="006E4D34">
        <w:rPr>
          <w:rFonts w:eastAsia="Times New Roman" w:cs="Arial"/>
          <w:color w:val="000000"/>
          <w:lang w:val="en-US"/>
        </w:rPr>
        <w:t>ml</w:t>
      </w:r>
      <w:r w:rsidRPr="006E4D34">
        <w:rPr>
          <w:rFonts w:eastAsia="Times New Roman" w:cs="Arial"/>
          <w:color w:val="000000"/>
          <w:lang w:val="ru-RU"/>
        </w:rPr>
        <w:t>/</w:t>
      </w:r>
      <w:r w:rsidRPr="006E4D34">
        <w:rPr>
          <w:rFonts w:eastAsia="Times New Roman" w:cs="Arial"/>
          <w:color w:val="000000"/>
          <w:lang w:val="en-US"/>
        </w:rPr>
        <w:t>min</w:t>
      </w:r>
      <w:r w:rsidRPr="006E4D34">
        <w:rPr>
          <w:rFonts w:eastAsia="Times New Roman" w:cs="Arial"/>
          <w:color w:val="000000"/>
          <w:lang w:val="ru-RU"/>
        </w:rPr>
        <w:t xml:space="preserve">/1,73 </w:t>
      </w:r>
      <w:r w:rsidRPr="006E4D34">
        <w:rPr>
          <w:rFonts w:eastAsia="Times New Roman" w:cs="Arial"/>
          <w:color w:val="000000"/>
          <w:lang w:eastAsia="bg-BG"/>
        </w:rPr>
        <w:t>ш</w:t>
      </w:r>
      <w:r w:rsidRPr="006E4D34">
        <w:rPr>
          <w:rFonts w:eastAsia="Times New Roman" w:cs="Arial"/>
          <w:color w:val="000000"/>
          <w:vertAlign w:val="superscript"/>
          <w:lang w:eastAsia="bg-BG"/>
        </w:rPr>
        <w:t>2</w:t>
      </w:r>
      <w:r w:rsidRPr="006E4D34">
        <w:rPr>
          <w:rFonts w:eastAsia="Times New Roman" w:cs="Arial"/>
          <w:color w:val="000000"/>
          <w:lang w:eastAsia="bg-BG"/>
        </w:rPr>
        <w:t>) (вж. точка 4.3)</w:t>
      </w:r>
    </w:p>
    <w:p w14:paraId="3F480F85" w14:textId="77777777" w:rsidR="006E4D34" w:rsidRPr="006E4D34" w:rsidRDefault="006E4D34" w:rsidP="006E4D34">
      <w:pPr>
        <w:spacing w:line="240" w:lineRule="auto"/>
        <w:rPr>
          <w:rFonts w:eastAsia="Times New Roman" w:cs="Arial"/>
          <w:i/>
          <w:iCs/>
          <w:color w:val="000000"/>
          <w:lang w:eastAsia="bg-BG"/>
        </w:rPr>
      </w:pPr>
    </w:p>
    <w:p w14:paraId="36C06A97" w14:textId="3A9D4AB7"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lang w:eastAsia="bg-BG"/>
        </w:rPr>
        <w:t>Чернодробно увреждане</w:t>
      </w:r>
    </w:p>
    <w:p w14:paraId="0EC5F9C7"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Титриране на дозата на кандесартан цилексетил се препоръчва при пациенти с леко до умерено хронично чернодробно увреждане.</w:t>
      </w:r>
    </w:p>
    <w:p w14:paraId="5C0BEF61"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Карзап Н е противопоказан при пациенти с тежко чернодробно увреждане и/или холестаза (вж. точка 4.3).</w:t>
      </w:r>
    </w:p>
    <w:p w14:paraId="6563D572" w14:textId="77777777" w:rsidR="006E4D34" w:rsidRPr="006E4D34" w:rsidRDefault="006E4D34" w:rsidP="006E4D34">
      <w:pPr>
        <w:spacing w:line="240" w:lineRule="auto"/>
        <w:rPr>
          <w:rFonts w:eastAsia="Times New Roman" w:cs="Arial"/>
          <w:color w:val="000000"/>
          <w:u w:val="single"/>
          <w:lang w:eastAsia="bg-BG"/>
        </w:rPr>
      </w:pPr>
    </w:p>
    <w:p w14:paraId="50EB3CE5" w14:textId="4A882E44" w:rsidR="006E4D34" w:rsidRPr="006E4D34" w:rsidRDefault="006E4D34" w:rsidP="006E4D34">
      <w:pPr>
        <w:spacing w:line="240" w:lineRule="auto"/>
        <w:rPr>
          <w:rFonts w:eastAsia="Times New Roman" w:cs="Arial"/>
          <w:sz w:val="24"/>
          <w:szCs w:val="24"/>
        </w:rPr>
      </w:pPr>
      <w:r w:rsidRPr="006E4D34">
        <w:rPr>
          <w:rFonts w:eastAsia="Times New Roman" w:cs="Arial"/>
          <w:color w:val="000000"/>
          <w:u w:val="single"/>
          <w:lang w:eastAsia="bg-BG"/>
        </w:rPr>
        <w:t>Педиатрична популация</w:t>
      </w:r>
    </w:p>
    <w:p w14:paraId="6B8C032B"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Безопасността и ефикасността на Карзап Н при деца и юноши на възраст до 18 години все още не е установена. Липсват налични данни.</w:t>
      </w:r>
    </w:p>
    <w:p w14:paraId="23BFC082" w14:textId="77777777" w:rsidR="006E4D34" w:rsidRPr="006E4D34" w:rsidRDefault="006E4D34" w:rsidP="006E4D34">
      <w:pPr>
        <w:spacing w:line="240" w:lineRule="auto"/>
        <w:rPr>
          <w:rFonts w:eastAsia="Times New Roman" w:cs="Arial"/>
          <w:color w:val="000000"/>
          <w:u w:val="single"/>
          <w:lang w:eastAsia="bg-BG"/>
        </w:rPr>
      </w:pPr>
    </w:p>
    <w:p w14:paraId="75626AA0" w14:textId="42006216" w:rsidR="006E4D34" w:rsidRPr="006E4D34" w:rsidRDefault="006E4D34" w:rsidP="006E4D34">
      <w:pPr>
        <w:pStyle w:val="Heading3"/>
        <w:rPr>
          <w:rFonts w:eastAsia="Times New Roman"/>
          <w:u w:val="single"/>
        </w:rPr>
      </w:pPr>
      <w:r w:rsidRPr="006E4D34">
        <w:rPr>
          <w:rFonts w:eastAsia="Times New Roman"/>
          <w:u w:val="single"/>
          <w:lang w:eastAsia="bg-BG"/>
        </w:rPr>
        <w:t>Начин на приложение</w:t>
      </w:r>
    </w:p>
    <w:p w14:paraId="21672521" w14:textId="77777777" w:rsidR="006E4D34" w:rsidRPr="006E4D34" w:rsidRDefault="006E4D34" w:rsidP="006E4D34">
      <w:pPr>
        <w:spacing w:line="240" w:lineRule="auto"/>
        <w:rPr>
          <w:rFonts w:eastAsia="Times New Roman" w:cs="Arial"/>
          <w:color w:val="000000"/>
          <w:lang w:eastAsia="bg-BG"/>
        </w:rPr>
      </w:pPr>
    </w:p>
    <w:p w14:paraId="5BA16C71" w14:textId="0E48FEE4"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Перорално приложение</w:t>
      </w:r>
    </w:p>
    <w:p w14:paraId="5ACA0FAE"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Карзап Н може да се приема със или без храна.</w:t>
      </w:r>
    </w:p>
    <w:p w14:paraId="14C85DE1"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Бионаличността на кандесартан не се повлиява от храна.</w:t>
      </w:r>
    </w:p>
    <w:p w14:paraId="65C64825" w14:textId="77777777" w:rsidR="006E4D34" w:rsidRPr="006E4D34" w:rsidRDefault="006E4D34" w:rsidP="006E4D34">
      <w:pPr>
        <w:spacing w:line="240" w:lineRule="auto"/>
        <w:rPr>
          <w:rFonts w:ascii="Times New Roman" w:eastAsia="Times New Roman" w:hAnsi="Times New Roman" w:cs="Times New Roman"/>
          <w:sz w:val="24"/>
          <w:szCs w:val="24"/>
        </w:rPr>
      </w:pPr>
      <w:r w:rsidRPr="006E4D34">
        <w:rPr>
          <w:rFonts w:eastAsia="Times New Roman" w:cs="Arial"/>
          <w:color w:val="000000"/>
          <w:lang w:eastAsia="bg-BG"/>
        </w:rPr>
        <w:t>Няма доказана клинично значима връзка между хидрохлоротиазид и храна.</w:t>
      </w:r>
    </w:p>
    <w:p w14:paraId="4386E9C5" w14:textId="77777777" w:rsidR="006E4D34" w:rsidRPr="006E4D34" w:rsidRDefault="006E4D34" w:rsidP="006E4D34"/>
    <w:p w14:paraId="0F253247" w14:textId="58913B1D" w:rsidR="007122AD" w:rsidRDefault="002C50EE" w:rsidP="00936AD0">
      <w:pPr>
        <w:pStyle w:val="Heading2"/>
      </w:pPr>
      <w:r>
        <w:t>4.3. Противопоказания</w:t>
      </w:r>
    </w:p>
    <w:p w14:paraId="5695A92A" w14:textId="4687A419" w:rsidR="006E4D34" w:rsidRDefault="006E4D34" w:rsidP="006E4D34"/>
    <w:p w14:paraId="4AE459E8" w14:textId="77777777" w:rsidR="006E4D34" w:rsidRPr="006E4D34" w:rsidRDefault="006E4D34" w:rsidP="006E4D34">
      <w:pPr>
        <w:pStyle w:val="ListParagraph"/>
        <w:numPr>
          <w:ilvl w:val="0"/>
          <w:numId w:val="38"/>
        </w:numPr>
        <w:spacing w:line="240" w:lineRule="auto"/>
        <w:rPr>
          <w:rFonts w:eastAsia="Times New Roman" w:cs="Arial"/>
          <w:sz w:val="24"/>
          <w:szCs w:val="24"/>
        </w:rPr>
      </w:pPr>
      <w:r w:rsidRPr="006E4D34">
        <w:rPr>
          <w:rFonts w:eastAsia="Times New Roman" w:cs="Arial"/>
          <w:color w:val="000000"/>
          <w:lang w:eastAsia="bg-BG"/>
        </w:rPr>
        <w:t>Свръхчувствителност към активните вещества или към някое от помощните вещества изброени в точка 6.1 или други сулфонамидни производни. Хидрохлоротиазид е сулфонамидно производно.</w:t>
      </w:r>
    </w:p>
    <w:p w14:paraId="355A039B" w14:textId="77777777" w:rsidR="006E4D34" w:rsidRPr="006E4D34" w:rsidRDefault="006E4D34" w:rsidP="006E4D34">
      <w:pPr>
        <w:pStyle w:val="ListParagraph"/>
        <w:numPr>
          <w:ilvl w:val="0"/>
          <w:numId w:val="38"/>
        </w:numPr>
        <w:spacing w:line="240" w:lineRule="auto"/>
        <w:rPr>
          <w:rFonts w:eastAsia="Times New Roman" w:cs="Arial"/>
          <w:sz w:val="24"/>
          <w:szCs w:val="24"/>
        </w:rPr>
      </w:pPr>
      <w:r w:rsidRPr="006E4D34">
        <w:rPr>
          <w:rFonts w:eastAsia="Times New Roman" w:cs="Arial"/>
          <w:color w:val="000000"/>
          <w:lang w:eastAsia="bg-BG"/>
        </w:rPr>
        <w:t>Втори и трети триместър на бременността (вж. точки 4.4 и 4.6).</w:t>
      </w:r>
    </w:p>
    <w:p w14:paraId="5949217B" w14:textId="77777777" w:rsidR="006E4D34" w:rsidRPr="006E4D34" w:rsidRDefault="006E4D34" w:rsidP="006E4D34">
      <w:pPr>
        <w:pStyle w:val="ListParagraph"/>
        <w:numPr>
          <w:ilvl w:val="0"/>
          <w:numId w:val="38"/>
        </w:numPr>
        <w:spacing w:line="240" w:lineRule="auto"/>
        <w:rPr>
          <w:rFonts w:eastAsia="Times New Roman" w:cs="Arial"/>
          <w:sz w:val="24"/>
          <w:szCs w:val="24"/>
        </w:rPr>
      </w:pPr>
      <w:r w:rsidRPr="006E4D34">
        <w:rPr>
          <w:rFonts w:eastAsia="Times New Roman" w:cs="Arial"/>
          <w:color w:val="000000"/>
          <w:lang w:eastAsia="bg-BG"/>
        </w:rPr>
        <w:t xml:space="preserve">Тежко бъбречно увреждане (креатининов клирънс &lt; 30 </w:t>
      </w:r>
      <w:r w:rsidRPr="006E4D34">
        <w:rPr>
          <w:rFonts w:eastAsia="Times New Roman" w:cs="Arial"/>
          <w:color w:val="000000"/>
          <w:lang w:val="en-US"/>
        </w:rPr>
        <w:t>ml</w:t>
      </w:r>
      <w:r w:rsidRPr="006E4D34">
        <w:rPr>
          <w:rFonts w:eastAsia="Times New Roman" w:cs="Arial"/>
          <w:color w:val="000000"/>
          <w:lang w:val="ru-RU"/>
        </w:rPr>
        <w:t>/</w:t>
      </w:r>
      <w:r w:rsidRPr="006E4D34">
        <w:rPr>
          <w:rFonts w:eastAsia="Times New Roman" w:cs="Arial"/>
          <w:color w:val="000000"/>
          <w:lang w:val="en-US"/>
        </w:rPr>
        <w:t>min</w:t>
      </w:r>
      <w:r w:rsidRPr="006E4D34">
        <w:rPr>
          <w:rFonts w:eastAsia="Times New Roman" w:cs="Arial"/>
          <w:color w:val="000000"/>
          <w:lang w:val="ru-RU"/>
        </w:rPr>
        <w:t xml:space="preserve">/1,73 </w:t>
      </w:r>
      <w:r w:rsidRPr="006E4D34">
        <w:rPr>
          <w:rFonts w:eastAsia="Times New Roman" w:cs="Arial"/>
          <w:color w:val="000000"/>
          <w:lang w:val="en-US"/>
        </w:rPr>
        <w:t>m</w:t>
      </w:r>
      <w:r w:rsidRPr="006E4D34">
        <w:rPr>
          <w:rFonts w:eastAsia="Times New Roman" w:cs="Arial"/>
          <w:color w:val="000000"/>
          <w:vertAlign w:val="superscript"/>
          <w:lang w:val="ru-RU"/>
        </w:rPr>
        <w:t>2</w:t>
      </w:r>
      <w:r w:rsidRPr="006E4D34">
        <w:rPr>
          <w:rFonts w:eastAsia="Times New Roman" w:cs="Arial"/>
          <w:color w:val="000000"/>
          <w:lang w:val="ru-RU"/>
        </w:rPr>
        <w:t xml:space="preserve"> </w:t>
      </w:r>
      <w:r w:rsidRPr="006E4D34">
        <w:rPr>
          <w:rFonts w:eastAsia="Times New Roman" w:cs="Arial"/>
          <w:color w:val="000000"/>
          <w:lang w:eastAsia="bg-BG"/>
        </w:rPr>
        <w:t>телесна повърхност).</w:t>
      </w:r>
    </w:p>
    <w:p w14:paraId="65965328" w14:textId="77777777" w:rsidR="006E4D34" w:rsidRPr="006E4D34" w:rsidRDefault="006E4D34" w:rsidP="006E4D34">
      <w:pPr>
        <w:pStyle w:val="ListParagraph"/>
        <w:numPr>
          <w:ilvl w:val="0"/>
          <w:numId w:val="38"/>
        </w:numPr>
        <w:spacing w:line="240" w:lineRule="auto"/>
        <w:rPr>
          <w:rFonts w:eastAsia="Times New Roman" w:cs="Arial"/>
          <w:sz w:val="24"/>
          <w:szCs w:val="24"/>
        </w:rPr>
      </w:pPr>
      <w:r w:rsidRPr="006E4D34">
        <w:rPr>
          <w:rFonts w:eastAsia="Times New Roman" w:cs="Arial"/>
          <w:color w:val="000000"/>
          <w:lang w:eastAsia="bg-BG"/>
        </w:rPr>
        <w:t>Тежко чернодробно увреждане и/или холестаза.</w:t>
      </w:r>
    </w:p>
    <w:p w14:paraId="53011FD0" w14:textId="77777777" w:rsidR="006E4D34" w:rsidRPr="006E4D34" w:rsidRDefault="006E4D34" w:rsidP="006E4D34">
      <w:pPr>
        <w:pStyle w:val="ListParagraph"/>
        <w:numPr>
          <w:ilvl w:val="0"/>
          <w:numId w:val="38"/>
        </w:numPr>
        <w:spacing w:line="240" w:lineRule="auto"/>
        <w:rPr>
          <w:rFonts w:eastAsia="Times New Roman" w:cs="Arial"/>
          <w:sz w:val="24"/>
          <w:szCs w:val="24"/>
        </w:rPr>
      </w:pPr>
      <w:r w:rsidRPr="006E4D34">
        <w:rPr>
          <w:rFonts w:eastAsia="Times New Roman" w:cs="Arial"/>
          <w:color w:val="000000"/>
          <w:lang w:eastAsia="bg-BG"/>
        </w:rPr>
        <w:t>Трудно повлияващи се хипокалиемия и хиперкалиемия.</w:t>
      </w:r>
    </w:p>
    <w:p w14:paraId="6D2E592F" w14:textId="77777777" w:rsidR="006E4D34" w:rsidRPr="006E4D34" w:rsidRDefault="006E4D34" w:rsidP="006E4D34">
      <w:pPr>
        <w:pStyle w:val="ListParagraph"/>
        <w:numPr>
          <w:ilvl w:val="0"/>
          <w:numId w:val="38"/>
        </w:numPr>
        <w:spacing w:line="240" w:lineRule="auto"/>
        <w:rPr>
          <w:rFonts w:eastAsia="Times New Roman" w:cs="Arial"/>
          <w:sz w:val="24"/>
          <w:szCs w:val="24"/>
        </w:rPr>
      </w:pPr>
      <w:r w:rsidRPr="006E4D34">
        <w:rPr>
          <w:rFonts w:eastAsia="Times New Roman" w:cs="Arial"/>
          <w:color w:val="000000"/>
          <w:lang w:eastAsia="bg-BG"/>
        </w:rPr>
        <w:t>Подагра.</w:t>
      </w:r>
    </w:p>
    <w:p w14:paraId="26204C1F" w14:textId="77777777" w:rsidR="006E4D34" w:rsidRPr="006E4D34" w:rsidRDefault="006E4D34" w:rsidP="006E4D34">
      <w:pPr>
        <w:pStyle w:val="ListParagraph"/>
        <w:numPr>
          <w:ilvl w:val="0"/>
          <w:numId w:val="38"/>
        </w:numPr>
        <w:spacing w:line="240" w:lineRule="auto"/>
        <w:rPr>
          <w:rFonts w:eastAsia="Times New Roman" w:cs="Arial"/>
          <w:sz w:val="24"/>
          <w:szCs w:val="24"/>
        </w:rPr>
      </w:pPr>
      <w:r w:rsidRPr="006E4D34">
        <w:rPr>
          <w:rFonts w:eastAsia="Times New Roman" w:cs="Arial"/>
          <w:color w:val="000000"/>
          <w:lang w:eastAsia="bg-BG"/>
        </w:rPr>
        <w:t xml:space="preserve">Едновременната употреба на Карзап Н с алискирен-съдържащи продукти е противопоказана при пациенти със захарен диабет или бъбречно увреждане </w:t>
      </w:r>
      <w:r w:rsidRPr="006E4D34">
        <w:rPr>
          <w:rFonts w:eastAsia="Times New Roman" w:cs="Arial"/>
          <w:color w:val="000000"/>
          <w:lang w:val="ru-RU"/>
        </w:rPr>
        <w:t>(</w:t>
      </w:r>
      <w:r w:rsidRPr="006E4D34">
        <w:rPr>
          <w:rFonts w:eastAsia="Times New Roman" w:cs="Arial"/>
          <w:color w:val="000000"/>
          <w:lang w:val="en-US"/>
        </w:rPr>
        <w:t>GFR</w:t>
      </w:r>
      <w:r w:rsidRPr="006E4D34">
        <w:rPr>
          <w:rFonts w:eastAsia="Times New Roman" w:cs="Arial"/>
          <w:color w:val="000000"/>
          <w:lang w:val="ru-RU"/>
        </w:rPr>
        <w:t xml:space="preserve"> </w:t>
      </w:r>
      <w:r w:rsidRPr="006E4D34">
        <w:rPr>
          <w:rFonts w:eastAsia="Times New Roman" w:cs="Arial"/>
          <w:color w:val="000000"/>
          <w:lang w:eastAsia="bg-BG"/>
        </w:rPr>
        <w:t xml:space="preserve">&lt; 60 </w:t>
      </w:r>
      <w:r w:rsidRPr="006E4D34">
        <w:rPr>
          <w:rFonts w:eastAsia="Times New Roman" w:cs="Arial"/>
          <w:color w:val="000000"/>
          <w:lang w:val="en-US"/>
        </w:rPr>
        <w:t>ml</w:t>
      </w:r>
      <w:r w:rsidRPr="006E4D34">
        <w:rPr>
          <w:rFonts w:eastAsia="Times New Roman" w:cs="Arial"/>
          <w:color w:val="000000"/>
          <w:lang w:val="ru-RU"/>
        </w:rPr>
        <w:t>/</w:t>
      </w:r>
      <w:r w:rsidRPr="006E4D34">
        <w:rPr>
          <w:rFonts w:eastAsia="Times New Roman" w:cs="Arial"/>
          <w:color w:val="000000"/>
          <w:lang w:val="en-US"/>
        </w:rPr>
        <w:t>min</w:t>
      </w:r>
      <w:r w:rsidRPr="006E4D34">
        <w:rPr>
          <w:rFonts w:eastAsia="Times New Roman" w:cs="Arial"/>
          <w:color w:val="000000"/>
          <w:lang w:val="ru-RU"/>
        </w:rPr>
        <w:t xml:space="preserve">/1,73 </w:t>
      </w:r>
      <w:r w:rsidRPr="006E4D34">
        <w:rPr>
          <w:rFonts w:eastAsia="Times New Roman" w:cs="Arial"/>
          <w:color w:val="000000"/>
          <w:lang w:eastAsia="bg-BG"/>
        </w:rPr>
        <w:t>m2) (вж. точки 4.5 и 5.1).</w:t>
      </w:r>
    </w:p>
    <w:p w14:paraId="5CAF25E0" w14:textId="77777777" w:rsidR="006E4D34" w:rsidRPr="006E4D34" w:rsidRDefault="006E4D34" w:rsidP="006E4D34"/>
    <w:p w14:paraId="0E0BDCC7" w14:textId="582BE60C" w:rsidR="007122AD" w:rsidRDefault="002C50EE" w:rsidP="00936AD0">
      <w:pPr>
        <w:pStyle w:val="Heading2"/>
      </w:pPr>
      <w:r>
        <w:t>4.4. Специални предупреждения и предпазни мерки при употреба</w:t>
      </w:r>
    </w:p>
    <w:p w14:paraId="272535D9" w14:textId="598F975A" w:rsidR="006E4D34" w:rsidRDefault="006E4D34" w:rsidP="006E4D34"/>
    <w:p w14:paraId="7CD5A641" w14:textId="77777777" w:rsidR="006E4D34" w:rsidRPr="006E4D34" w:rsidRDefault="006E4D34" w:rsidP="006E4D34">
      <w:pPr>
        <w:spacing w:line="240" w:lineRule="auto"/>
        <w:rPr>
          <w:rFonts w:eastAsia="Times New Roman" w:cs="Arial"/>
        </w:rPr>
      </w:pPr>
      <w:r w:rsidRPr="006E4D34">
        <w:rPr>
          <w:rFonts w:eastAsia="Times New Roman" w:cs="Arial"/>
          <w:color w:val="000000"/>
          <w:u w:val="single"/>
          <w:lang w:eastAsia="bg-BG"/>
        </w:rPr>
        <w:t>Двойно блокиране на ренин-ангиотензин-алдостероновата система (РААС)</w:t>
      </w:r>
    </w:p>
    <w:p w14:paraId="2B58035A"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 xml:space="preserve">Има данни, че едновременната употреба на АСЕ инхибитори, ангиотензин </w:t>
      </w:r>
      <w:r w:rsidRPr="006E4D34">
        <w:rPr>
          <w:rFonts w:eastAsia="Times New Roman" w:cs="Arial"/>
          <w:color w:val="000000"/>
          <w:lang w:val="en-US"/>
        </w:rPr>
        <w:t>II</w:t>
      </w:r>
      <w:r w:rsidRPr="006E4D34">
        <w:rPr>
          <w:rFonts w:eastAsia="Times New Roman" w:cs="Arial"/>
          <w:color w:val="000000"/>
          <w:lang w:eastAsia="bg-BG"/>
        </w:rPr>
        <w:t xml:space="preserve">-рецепторни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w:t>
      </w:r>
      <w:r w:rsidRPr="006E4D34">
        <w:rPr>
          <w:rFonts w:eastAsia="Times New Roman" w:cs="Arial"/>
          <w:color w:val="000000"/>
          <w:lang w:val="en-US"/>
        </w:rPr>
        <w:t>ACE</w:t>
      </w:r>
      <w:r w:rsidRPr="006E4D34">
        <w:rPr>
          <w:rFonts w:eastAsia="Times New Roman" w:cs="Arial"/>
          <w:color w:val="000000"/>
          <w:lang w:eastAsia="bg-BG"/>
        </w:rPr>
        <w:t xml:space="preserve"> инхибитори, ангиотензин </w:t>
      </w:r>
      <w:r w:rsidRPr="006E4D34">
        <w:rPr>
          <w:rFonts w:eastAsia="Times New Roman" w:cs="Arial"/>
          <w:color w:val="000000"/>
          <w:lang w:val="en-US"/>
        </w:rPr>
        <w:t>II</w:t>
      </w:r>
      <w:r w:rsidRPr="006E4D34">
        <w:rPr>
          <w:rFonts w:eastAsia="Times New Roman" w:cs="Arial"/>
          <w:color w:val="000000"/>
          <w:lang w:eastAsia="bg-BG"/>
        </w:rPr>
        <w:t>-рецепторни блокери или алискирен (вж. точки 4.5 и 5.1).</w:t>
      </w:r>
    </w:p>
    <w:p w14:paraId="74AE4982" w14:textId="6A85515C" w:rsidR="006E4D34" w:rsidRPr="006E4D34" w:rsidRDefault="006E4D34" w:rsidP="006E4D34">
      <w:pPr>
        <w:rPr>
          <w:rFonts w:cs="Arial"/>
        </w:rPr>
      </w:pPr>
    </w:p>
    <w:p w14:paraId="69E31B3E"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4898FEAD"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 xml:space="preserve">АСЕ инхибитори и ангиотензин </w:t>
      </w:r>
      <w:r w:rsidRPr="006E4D34">
        <w:rPr>
          <w:rFonts w:eastAsia="Times New Roman" w:cs="Arial"/>
          <w:color w:val="000000"/>
          <w:lang w:val="en-US"/>
        </w:rPr>
        <w:t>II</w:t>
      </w:r>
      <w:r w:rsidRPr="006E4D34">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4061EFF8" w14:textId="77777777" w:rsidR="006E4D34" w:rsidRPr="006E4D34" w:rsidRDefault="006E4D34" w:rsidP="006E4D34">
      <w:pPr>
        <w:spacing w:line="240" w:lineRule="auto"/>
        <w:rPr>
          <w:rFonts w:eastAsia="Times New Roman" w:cs="Arial"/>
          <w:i/>
          <w:iCs/>
          <w:color w:val="000000"/>
          <w:lang w:eastAsia="bg-BG"/>
        </w:rPr>
      </w:pPr>
    </w:p>
    <w:p w14:paraId="306F2065" w14:textId="01A56009"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Бъбречно увреждане</w:t>
      </w:r>
    </w:p>
    <w:p w14:paraId="323A8B99"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Както при лечение с други средства, които инхибират ренин-ангиотензин-алдостероновата система, и при лечение с Карзап Н при чувствителни пациенти могат да се очакват промени в бъбречната функция (вж. точка 4.3).</w:t>
      </w:r>
    </w:p>
    <w:p w14:paraId="11D5469B" w14:textId="77777777" w:rsidR="006E4D34" w:rsidRPr="006E4D34" w:rsidRDefault="006E4D34" w:rsidP="006E4D34">
      <w:pPr>
        <w:spacing w:line="240" w:lineRule="auto"/>
        <w:rPr>
          <w:rFonts w:eastAsia="Times New Roman" w:cs="Arial"/>
          <w:i/>
          <w:iCs/>
          <w:color w:val="000000"/>
          <w:lang w:eastAsia="bg-BG"/>
        </w:rPr>
      </w:pPr>
    </w:p>
    <w:p w14:paraId="0B0A3C4F" w14:textId="083FC781"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Бъбречна трансплантация</w:t>
      </w:r>
    </w:p>
    <w:p w14:paraId="22B8605E"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Има ограничен клиничен опит по отношение на употребата на кандесартан цилексетил/хидрохлоротиазид при пациенти с бъбречна трансплантация.</w:t>
      </w:r>
    </w:p>
    <w:p w14:paraId="7B00E5C4" w14:textId="77777777" w:rsidR="006E4D34" w:rsidRPr="006E4D34" w:rsidRDefault="006E4D34" w:rsidP="006E4D34">
      <w:pPr>
        <w:spacing w:line="240" w:lineRule="auto"/>
        <w:rPr>
          <w:rFonts w:eastAsia="Times New Roman" w:cs="Arial"/>
          <w:i/>
          <w:iCs/>
          <w:color w:val="000000"/>
          <w:lang w:eastAsia="bg-BG"/>
        </w:rPr>
      </w:pPr>
    </w:p>
    <w:p w14:paraId="1655BC6F" w14:textId="3E025843"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Стеноза на бъбречната артерия</w:t>
      </w:r>
    </w:p>
    <w:p w14:paraId="722AB055"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 xml:space="preserve">Лекарствен продукт, който влияе на ренин-ангиотензин-алдостероновата система, включително и на ангиотензин II рецепторните антагонисти </w:t>
      </w:r>
      <w:r w:rsidRPr="006E4D34">
        <w:rPr>
          <w:rFonts w:eastAsia="Times New Roman" w:cs="Arial"/>
          <w:color w:val="000000"/>
          <w:lang w:val="ru-RU"/>
        </w:rPr>
        <w:t>(</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може да повиши стойностите на уреята и серумните нива на креатинин при пациенти с едностранна или двустранна стеноза на бъбречната артерия.</w:t>
      </w:r>
    </w:p>
    <w:p w14:paraId="5B965525" w14:textId="77777777" w:rsidR="006E4D34" w:rsidRPr="006E4D34" w:rsidRDefault="006E4D34" w:rsidP="006E4D34">
      <w:pPr>
        <w:spacing w:line="240" w:lineRule="auto"/>
        <w:rPr>
          <w:rFonts w:eastAsia="Times New Roman" w:cs="Arial"/>
          <w:i/>
          <w:iCs/>
          <w:color w:val="000000"/>
          <w:lang w:eastAsia="bg-BG"/>
        </w:rPr>
      </w:pPr>
    </w:p>
    <w:p w14:paraId="6ABBAE0E" w14:textId="6C7B91D4"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Намален вътресъдов обем</w:t>
      </w:r>
    </w:p>
    <w:p w14:paraId="3D112E9F"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При пациенти с намален вътресъдов обем и/или хипонатриемия, може да възникне симптоматична хипотония, както е описано и за други активни вещества, действащи върху ренин-ангиотензин-алдостероновата система. Ето защо, употребата на Карзап Н не се препоръчва, докато гореописаните състояния не бъдат овладени.</w:t>
      </w:r>
    </w:p>
    <w:p w14:paraId="7E59F522" w14:textId="77777777" w:rsidR="006E4D34" w:rsidRPr="006E4D34" w:rsidRDefault="006E4D34" w:rsidP="006E4D34">
      <w:pPr>
        <w:spacing w:line="240" w:lineRule="auto"/>
        <w:rPr>
          <w:rFonts w:eastAsia="Times New Roman" w:cs="Arial"/>
          <w:i/>
          <w:iCs/>
          <w:color w:val="000000"/>
          <w:lang w:eastAsia="bg-BG"/>
        </w:rPr>
      </w:pPr>
    </w:p>
    <w:p w14:paraId="573653F1" w14:textId="314D5245"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Анестезия и операция</w:t>
      </w:r>
    </w:p>
    <w:p w14:paraId="5A3F17A5"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 xml:space="preserve">По време на анестезия и операция може да възникне хипотония при пациенти, лекувани с </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поради блокада на ренин-ангиотензиновата система. Много рядко, хипотонията може да бъде тежка, което да наложи използването на интравенозни течности и/или вазопресори.</w:t>
      </w:r>
    </w:p>
    <w:p w14:paraId="08A1FB87" w14:textId="77777777" w:rsidR="006E4D34" w:rsidRPr="006E4D34" w:rsidRDefault="006E4D34" w:rsidP="006E4D34">
      <w:pPr>
        <w:spacing w:line="240" w:lineRule="auto"/>
        <w:rPr>
          <w:rFonts w:eastAsia="Times New Roman" w:cs="Arial"/>
          <w:i/>
          <w:iCs/>
          <w:color w:val="000000"/>
          <w:lang w:eastAsia="bg-BG"/>
        </w:rPr>
      </w:pPr>
    </w:p>
    <w:p w14:paraId="417AFFA4" w14:textId="5C1E11E9"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Чернодробно увреждане</w:t>
      </w:r>
    </w:p>
    <w:p w14:paraId="26AE033B"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Тиазидите трябва да се използват с повишено внимание при пациенти с увредена чернодробна функция или прогресиращо чернодробно заболяване, тъй като малки промени във водно- електролитния баланс могат да предизвикат чернодробна кома. Няма клиничен опит с кандесартан цилексетил/хидрохлоротиазид при пациенти с чернодробно увреждане.</w:t>
      </w:r>
    </w:p>
    <w:p w14:paraId="7CA32094" w14:textId="77777777" w:rsidR="006E4D34" w:rsidRPr="006E4D34" w:rsidRDefault="006E4D34" w:rsidP="006E4D34">
      <w:pPr>
        <w:spacing w:line="240" w:lineRule="auto"/>
        <w:rPr>
          <w:rFonts w:eastAsia="Times New Roman" w:cs="Arial"/>
          <w:i/>
          <w:iCs/>
          <w:color w:val="000000"/>
          <w:lang w:eastAsia="bg-BG"/>
        </w:rPr>
      </w:pPr>
    </w:p>
    <w:p w14:paraId="7CBEC14D" w14:textId="493B2264"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lastRenderedPageBreak/>
        <w:t xml:space="preserve">Стеноза на аортната имитралната клапа(обструктивна хипертрофична кардиомиопатия) </w:t>
      </w:r>
      <w:r w:rsidRPr="006E4D34">
        <w:rPr>
          <w:rFonts w:eastAsia="Times New Roman" w:cs="Arial"/>
          <w:color w:val="000000"/>
          <w:lang w:eastAsia="bg-BG"/>
        </w:rPr>
        <w:t>Както при други вазодилататори, специално внимание е необходимо при пациенти, страдащи от хемодинамично значима аортна или митрална клапна стеноза или обструктивна хипертрофична кардиомиопатия.</w:t>
      </w:r>
    </w:p>
    <w:p w14:paraId="5A641487" w14:textId="77777777" w:rsidR="006E4D34" w:rsidRPr="006E4D34" w:rsidRDefault="006E4D34" w:rsidP="006E4D34">
      <w:pPr>
        <w:spacing w:line="240" w:lineRule="auto"/>
        <w:rPr>
          <w:rFonts w:eastAsia="Times New Roman" w:cs="Arial"/>
          <w:i/>
          <w:iCs/>
          <w:color w:val="000000"/>
          <w:lang w:eastAsia="bg-BG"/>
        </w:rPr>
      </w:pPr>
    </w:p>
    <w:p w14:paraId="3D0AA321" w14:textId="1925CE32"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Първичен хипералдостеронизъм</w:t>
      </w:r>
    </w:p>
    <w:p w14:paraId="5C210214"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Пациентите с първичен хипералдостеронизъм обикновено не реагират на лечение с антихипертензивни лекарства, действащи чрез инхибиране на ренин-ангиотензин- алдостероновата система. Ето защо Карзап Н не се препоръчва при тази популация.</w:t>
      </w:r>
    </w:p>
    <w:p w14:paraId="26ADC5D6" w14:textId="77777777" w:rsidR="006E4D34" w:rsidRPr="006E4D34" w:rsidRDefault="006E4D34" w:rsidP="006E4D34">
      <w:pPr>
        <w:spacing w:line="240" w:lineRule="auto"/>
        <w:rPr>
          <w:rFonts w:eastAsia="Times New Roman" w:cs="Arial"/>
          <w:i/>
          <w:iCs/>
          <w:color w:val="000000"/>
          <w:lang w:eastAsia="bg-BG"/>
        </w:rPr>
      </w:pPr>
    </w:p>
    <w:p w14:paraId="795991FA" w14:textId="4C745A01"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Електролитен дисбаланс</w:t>
      </w:r>
    </w:p>
    <w:p w14:paraId="7C42266B"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Периодично определяне на нивата на серумните електролити трябва да се извършва през подходящи интервал и. Тиазидите, включително хидрохлоротиазид могат да причинят воден или електролитен дисбаланс (хиперкалциемия, хипокалиемия, хипонатриемия, хипомагнезиемия,</w:t>
      </w:r>
      <w:r w:rsidRPr="006E4D34">
        <w:rPr>
          <w:rFonts w:eastAsia="Times New Roman" w:cs="Arial"/>
          <w:color w:val="000000"/>
          <w:u w:val="single"/>
          <w:lang w:eastAsia="bg-BG"/>
        </w:rPr>
        <w:t xml:space="preserve"> </w:t>
      </w:r>
      <w:r w:rsidRPr="006E4D34">
        <w:rPr>
          <w:rFonts w:eastAsia="Times New Roman" w:cs="Arial"/>
          <w:color w:val="000000"/>
          <w:lang w:eastAsia="bg-BG"/>
        </w:rPr>
        <w:t>хипохлоремична алкалоза).</w:t>
      </w:r>
    </w:p>
    <w:p w14:paraId="45A23B0E" w14:textId="77777777" w:rsidR="006E4D34" w:rsidRPr="006E4D34" w:rsidRDefault="006E4D34" w:rsidP="006E4D34">
      <w:pPr>
        <w:spacing w:line="240" w:lineRule="auto"/>
        <w:rPr>
          <w:rFonts w:eastAsia="Times New Roman" w:cs="Arial"/>
          <w:color w:val="000000"/>
          <w:lang w:eastAsia="bg-BG"/>
        </w:rPr>
      </w:pPr>
    </w:p>
    <w:p w14:paraId="51D3103D" w14:textId="77777777" w:rsidR="006E4D34" w:rsidRPr="006E4D34" w:rsidRDefault="006E4D34" w:rsidP="006E4D34">
      <w:pPr>
        <w:rPr>
          <w:rFonts w:eastAsia="Times New Roman" w:cs="Arial"/>
        </w:rPr>
      </w:pPr>
      <w:r w:rsidRPr="006E4D34">
        <w:rPr>
          <w:rFonts w:eastAsia="Times New Roman" w:cs="Arial"/>
          <w:color w:val="000000"/>
          <w:lang w:eastAsia="bg-BG"/>
        </w:rPr>
        <w:t>Тиазидните диуретици могат да понижат екскрецията на калций с урината и могат да причинят интермитентни и леко повишени серумни нива на калций. Изразената хиперкалциемия може да е признак на прикрит хиперпаратиреоидизъм. Тиазидите трябва да бъдат спрени преди провеждане на тестове за паратиреоидната функция.</w:t>
      </w:r>
    </w:p>
    <w:p w14:paraId="46819939" w14:textId="77777777" w:rsidR="006E4D34" w:rsidRPr="006E4D34" w:rsidRDefault="006E4D34" w:rsidP="006E4D34">
      <w:pPr>
        <w:spacing w:line="240" w:lineRule="auto"/>
        <w:rPr>
          <w:rFonts w:eastAsia="Times New Roman" w:cs="Arial"/>
          <w:color w:val="000000"/>
          <w:lang w:eastAsia="bg-BG"/>
        </w:rPr>
      </w:pPr>
    </w:p>
    <w:p w14:paraId="2922DD23" w14:textId="1AA1A69D" w:rsidR="006E4D34" w:rsidRPr="006E4D34" w:rsidRDefault="006E4D34" w:rsidP="006E4D34">
      <w:pPr>
        <w:spacing w:line="240" w:lineRule="auto"/>
        <w:rPr>
          <w:rFonts w:eastAsia="Times New Roman" w:cs="Arial"/>
        </w:rPr>
      </w:pPr>
      <w:r w:rsidRPr="006E4D34">
        <w:rPr>
          <w:rFonts w:eastAsia="Times New Roman" w:cs="Arial"/>
          <w:color w:val="000000"/>
          <w:lang w:eastAsia="bg-BG"/>
        </w:rPr>
        <w:t>Хидрохлортизид дозозависимо повишава екскрецията на калий с урината, което може да доведе до хипокалиемия. Този ефект на хидрохлоротиазид изглежда е по-слабо изявен в комбинация с кандесартан цилексетил. Рискът от хипокалиемия може да се повиши при пациенти с цироза на черния дроб, при пациенти със засилена диуреза, при пациенти, конто не приемат достатъчно електролити перорално и при такива, които са на съпътстваща терапия с кортикостероиди или адренокортикотропен хормон (АСТН).</w:t>
      </w:r>
    </w:p>
    <w:p w14:paraId="4D1DEC88" w14:textId="77777777" w:rsidR="006E4D34" w:rsidRPr="006E4D34" w:rsidRDefault="006E4D34" w:rsidP="006E4D34">
      <w:pPr>
        <w:spacing w:line="240" w:lineRule="auto"/>
        <w:rPr>
          <w:rFonts w:eastAsia="Times New Roman" w:cs="Arial"/>
          <w:color w:val="000000"/>
          <w:lang w:eastAsia="bg-BG"/>
        </w:rPr>
      </w:pPr>
    </w:p>
    <w:p w14:paraId="398A4D8C" w14:textId="74DFE9EC" w:rsidR="006E4D34" w:rsidRPr="006E4D34" w:rsidRDefault="006E4D34" w:rsidP="006E4D34">
      <w:pPr>
        <w:spacing w:line="240" w:lineRule="auto"/>
        <w:rPr>
          <w:rFonts w:eastAsia="Times New Roman" w:cs="Arial"/>
        </w:rPr>
      </w:pPr>
      <w:r w:rsidRPr="006E4D34">
        <w:rPr>
          <w:rFonts w:eastAsia="Times New Roman" w:cs="Arial"/>
          <w:color w:val="000000"/>
          <w:lang w:eastAsia="bg-BG"/>
        </w:rPr>
        <w:t>Лечението с кандесартан цилексетил може да причини хиперкалиемия, особено при наличие на сърдечна недостатъчност/или бъбречно увреждане. Едновременната употреба на Карзап Н с АСЕ инхибитори, алискирен, калий-съхраняващи диуретици, калиеви добавки или заместители на готварската сол или други лекарства, които могат да повишат серумните нива на калия (напр. хепарин натрий, ко-тримоксазол, известен и като триметоприм/сулфаметоксазол), може да доведе до повишаване на серумния калии. Затова се налага подходящо мониториране на нивата на калия.</w:t>
      </w:r>
    </w:p>
    <w:p w14:paraId="09CDD8CB"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Тиазидите водят до повишаване на екскрецията на магнезий с урината, което води до хипомагнезиемия.</w:t>
      </w:r>
    </w:p>
    <w:p w14:paraId="1F625E01" w14:textId="77777777" w:rsidR="006E4D34" w:rsidRPr="006E4D34" w:rsidRDefault="006E4D34" w:rsidP="006E4D34">
      <w:pPr>
        <w:spacing w:line="240" w:lineRule="auto"/>
        <w:rPr>
          <w:rFonts w:eastAsia="Times New Roman" w:cs="Arial"/>
          <w:i/>
          <w:iCs/>
          <w:color w:val="000000"/>
          <w:lang w:eastAsia="bg-BG"/>
        </w:rPr>
      </w:pPr>
    </w:p>
    <w:p w14:paraId="39028A8F" w14:textId="10080988"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Метаболитни и ендокринни ефекти</w:t>
      </w:r>
    </w:p>
    <w:p w14:paraId="318A6D3C"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Лечението с тиазидни диуретици може да наруши глюкозния толеранс. Може да е необходимо адаптиране на дозата на антидиабетните лекарствени продукти, включително инсулин.</w:t>
      </w:r>
    </w:p>
    <w:p w14:paraId="268D761C"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Латентен захарен диабет може да се прояви по време на лечението с тиазиди. Повишаването на нивата на холестерол и триглицериди се свързва с терапията с тиазиден диуретик. В дозите, които се съдържат в Карзап Н, са били наблюдавани минимални ефекти. Тиазидните диуретици повишават концентрацията на пикочната киселина в серума, което може да доведе до появата на подагра при предразположени пациенти.</w:t>
      </w:r>
    </w:p>
    <w:p w14:paraId="4127B94E" w14:textId="77777777" w:rsidR="006E4D34" w:rsidRPr="006E4D34" w:rsidRDefault="006E4D34" w:rsidP="006E4D34">
      <w:pPr>
        <w:spacing w:line="240" w:lineRule="auto"/>
        <w:rPr>
          <w:rFonts w:eastAsia="Times New Roman" w:cs="Arial"/>
          <w:i/>
          <w:iCs/>
          <w:color w:val="000000"/>
          <w:lang w:eastAsia="bg-BG"/>
        </w:rPr>
      </w:pPr>
    </w:p>
    <w:p w14:paraId="1BF8C573" w14:textId="1BBD1DAA"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Фоточувствителност</w:t>
      </w:r>
    </w:p>
    <w:p w14:paraId="31BB85E0"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lastRenderedPageBreak/>
        <w:t xml:space="preserve">Съобщава се за случаи на фоточувствителност при прием на тиазидни диуретици (вж. точка 4.8). Ако настъпи реакция на фоточувствителност, се препоръчва спиране на лечението. Ако се счита за необходимо повторно прилагане на диуретика, се препоръчва защита на областите, изложени на слънце или изкуствена </w:t>
      </w:r>
      <w:r w:rsidRPr="006E4D34">
        <w:rPr>
          <w:rFonts w:eastAsia="Times New Roman" w:cs="Arial"/>
          <w:color w:val="000000"/>
          <w:lang w:val="en-US"/>
        </w:rPr>
        <w:t>UVA</w:t>
      </w:r>
      <w:r w:rsidRPr="006E4D34">
        <w:rPr>
          <w:rFonts w:eastAsia="Times New Roman" w:cs="Arial"/>
          <w:color w:val="000000"/>
          <w:lang w:val="ru-RU"/>
        </w:rPr>
        <w:t xml:space="preserve"> </w:t>
      </w:r>
      <w:r w:rsidRPr="006E4D34">
        <w:rPr>
          <w:rFonts w:eastAsia="Times New Roman" w:cs="Arial"/>
          <w:color w:val="000000"/>
          <w:lang w:eastAsia="bg-BG"/>
        </w:rPr>
        <w:t>светлина.</w:t>
      </w:r>
    </w:p>
    <w:p w14:paraId="1B97E381" w14:textId="77777777" w:rsidR="006E4D34" w:rsidRPr="006E4D34" w:rsidRDefault="006E4D34" w:rsidP="006E4D34">
      <w:pPr>
        <w:spacing w:line="240" w:lineRule="auto"/>
        <w:rPr>
          <w:rFonts w:eastAsia="Times New Roman" w:cs="Arial"/>
          <w:i/>
          <w:iCs/>
          <w:color w:val="000000"/>
          <w:lang w:eastAsia="bg-BG"/>
        </w:rPr>
      </w:pPr>
    </w:p>
    <w:p w14:paraId="020BA597" w14:textId="2BFCC82B"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Немеланомен рак на кожата</w:t>
      </w:r>
    </w:p>
    <w:p w14:paraId="13DC42B6"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сквамозноклетьчен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03F80415"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материали. Преразглеждане на употребата на ХХТЗ може да се наложи и при пациенти, които са имали предходен НМРК (вж. също точка 4.8).</w:t>
      </w:r>
    </w:p>
    <w:p w14:paraId="6154B7CF" w14:textId="77777777" w:rsidR="006E4D34" w:rsidRPr="006E4D34" w:rsidRDefault="006E4D34" w:rsidP="006E4D34">
      <w:pPr>
        <w:spacing w:line="240" w:lineRule="auto"/>
        <w:rPr>
          <w:rFonts w:eastAsia="Times New Roman" w:cs="Arial"/>
          <w:i/>
          <w:iCs/>
          <w:color w:val="000000"/>
          <w:lang w:eastAsia="bg-BG"/>
        </w:rPr>
      </w:pPr>
    </w:p>
    <w:p w14:paraId="5CC15A71" w14:textId="2CFF8316"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Хороидален излив, остра миопия и вторична закритоъгълна глаукома</w:t>
      </w:r>
    </w:p>
    <w:p w14:paraId="74DB64F5" w14:textId="77777777" w:rsidR="006E4D34" w:rsidRPr="006E4D34" w:rsidRDefault="006E4D34" w:rsidP="006E4D34">
      <w:pPr>
        <w:rPr>
          <w:rFonts w:eastAsia="Times New Roman" w:cs="Arial"/>
        </w:rPr>
      </w:pPr>
      <w:r w:rsidRPr="006E4D34">
        <w:rPr>
          <w:rFonts w:eastAsia="Times New Roman" w:cs="Arial"/>
          <w:color w:val="000000"/>
          <w:lang w:eastAsia="bg-BG"/>
        </w:rPr>
        <w:t>Сулфонамидите или лекарствата производни на сулфонамидите, могат да предизвикват идиосинкретична реакция, водеща до хороидален излив с дефект на зрителното поле преходна</w:t>
      </w:r>
      <w:r w:rsidRPr="006E4D34">
        <w:rPr>
          <w:rFonts w:eastAsia="Times New Roman" w:cs="Arial"/>
          <w:b/>
          <w:bCs/>
          <w:color w:val="000000"/>
          <w:lang w:eastAsia="bg-BG"/>
        </w:rPr>
        <w:t xml:space="preserve"> </w:t>
      </w:r>
      <w:r w:rsidRPr="006E4D34">
        <w:rPr>
          <w:rFonts w:eastAsia="Times New Roman" w:cs="Arial"/>
          <w:color w:val="000000"/>
          <w:lang w:eastAsia="bg-BG"/>
        </w:rPr>
        <w:t>миопия и остра закритоъгълна глаукома. Симптомите включват внезапно намаление на зрителната острота или болка в очите и обичайно възникват в рамките на часове до седмици от започване на лечението. Нелекувана закритоъгълна глаукома може да доведе до трайна загуба на зрението. Първоначалната мярка е преустановяване приема на лекарството възможно най- бързо. Ако вътреочното налягане остане извън контрол, може да е необходимо да се обмисли подходящо лекарствено или хирургично лечение. Рисковите фактори за развитие на остра закритоъгълна глаукома може да включват анамнеза за сулфонамидна или пеницилинова алергия (вижте точка 4.8).</w:t>
      </w:r>
    </w:p>
    <w:p w14:paraId="1D2F82FE" w14:textId="77777777" w:rsidR="006E4D34" w:rsidRPr="006E4D34" w:rsidRDefault="006E4D34" w:rsidP="006E4D34">
      <w:pPr>
        <w:spacing w:line="240" w:lineRule="auto"/>
        <w:rPr>
          <w:rFonts w:eastAsia="Times New Roman" w:cs="Arial"/>
          <w:i/>
          <w:iCs/>
          <w:color w:val="000000"/>
          <w:lang w:eastAsia="bg-BG"/>
        </w:rPr>
      </w:pPr>
    </w:p>
    <w:p w14:paraId="1FBD0AAF" w14:textId="2BBA17CB"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Общи</w:t>
      </w:r>
    </w:p>
    <w:p w14:paraId="324FA2D5"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 xml:space="preserve">Пациенти, при които съдовият тонус и бъбречната функция зависят предимно от дейността на ренин-ангиотензин-алдостероновата система (напр. пациенти с тежка застойна сърдечна недостатъчност или сериозно бъбречно заболяване, включително стеноза на бъбречната артерия), лечението с лекарствени продукти, които влияят на тази система, включително </w:t>
      </w:r>
      <w:r w:rsidRPr="006E4D34">
        <w:rPr>
          <w:rFonts w:eastAsia="Times New Roman" w:cs="Arial"/>
          <w:color w:val="000000"/>
          <w:lang w:val="en-US"/>
        </w:rPr>
        <w:t>AIIRAs</w:t>
      </w:r>
      <w:r w:rsidRPr="006E4D34">
        <w:rPr>
          <w:rFonts w:eastAsia="Times New Roman" w:cs="Arial"/>
          <w:color w:val="000000"/>
          <w:lang w:val="ru-RU"/>
        </w:rPr>
        <w:t xml:space="preserve"> </w:t>
      </w:r>
      <w:r w:rsidRPr="006E4D34">
        <w:rPr>
          <w:rFonts w:eastAsia="Times New Roman" w:cs="Arial"/>
          <w:color w:val="000000"/>
          <w:lang w:eastAsia="bg-BG"/>
        </w:rPr>
        <w:t>е било свързвано с остра хипотония, азотемия, олигурия или рядко - остра бъбречна недостатъчност.</w:t>
      </w:r>
    </w:p>
    <w:p w14:paraId="010CFDD7" w14:textId="77777777" w:rsidR="006E4D34" w:rsidRPr="006E4D34" w:rsidRDefault="006E4D34" w:rsidP="006E4D34">
      <w:pPr>
        <w:spacing w:line="240" w:lineRule="auto"/>
        <w:rPr>
          <w:rFonts w:eastAsia="Times New Roman" w:cs="Arial"/>
          <w:color w:val="000000"/>
          <w:lang w:eastAsia="bg-BG"/>
        </w:rPr>
      </w:pPr>
    </w:p>
    <w:p w14:paraId="34269541" w14:textId="42C0FF3F" w:rsidR="006E4D34" w:rsidRPr="006E4D34" w:rsidRDefault="006E4D34" w:rsidP="006E4D34">
      <w:pPr>
        <w:spacing w:line="240" w:lineRule="auto"/>
        <w:rPr>
          <w:rFonts w:eastAsia="Times New Roman" w:cs="Arial"/>
        </w:rPr>
      </w:pPr>
      <w:r w:rsidRPr="006E4D34">
        <w:rPr>
          <w:rFonts w:eastAsia="Times New Roman" w:cs="Arial"/>
          <w:color w:val="000000"/>
          <w:lang w:eastAsia="bg-BG"/>
        </w:rPr>
        <w:t>Както при всички антихипертензивни лекарства, прекомерното понижаване на кръвното налягане при пациенти с исхемична болест на сърцето или атеросклеротична мозъчно-съдова болест може да доведе до инфаркт на миокарда или инсулт.</w:t>
      </w:r>
    </w:p>
    <w:p w14:paraId="51667468" w14:textId="77777777" w:rsidR="006E4D34" w:rsidRPr="006E4D34" w:rsidRDefault="006E4D34" w:rsidP="006E4D34">
      <w:pPr>
        <w:spacing w:line="240" w:lineRule="auto"/>
        <w:rPr>
          <w:rFonts w:eastAsia="Times New Roman" w:cs="Arial"/>
          <w:color w:val="000000"/>
          <w:lang w:eastAsia="bg-BG"/>
        </w:rPr>
      </w:pPr>
    </w:p>
    <w:p w14:paraId="4738AA37" w14:textId="6A72CE6F" w:rsidR="006E4D34" w:rsidRPr="006E4D34" w:rsidRDefault="006E4D34" w:rsidP="006E4D34">
      <w:pPr>
        <w:spacing w:line="240" w:lineRule="auto"/>
        <w:rPr>
          <w:rFonts w:eastAsia="Times New Roman" w:cs="Arial"/>
        </w:rPr>
      </w:pPr>
      <w:r w:rsidRPr="006E4D34">
        <w:rPr>
          <w:rFonts w:eastAsia="Times New Roman" w:cs="Arial"/>
          <w:color w:val="000000"/>
          <w:lang w:eastAsia="bg-BG"/>
        </w:rPr>
        <w:t>Реакции на свръхчувствителност към хидрохлоротиазид могат да възникнат при пациенти с или без анамнеза за алергия или бронхиална астма. Тези реакции са по-вероятни при пациенти с такава анамнеза. Екзацербация или активиране на системен лупус еритематозус са наблюдавани при употребата на тиазидни диуретици.</w:t>
      </w:r>
    </w:p>
    <w:p w14:paraId="4694E619" w14:textId="77777777" w:rsidR="006E4D34" w:rsidRPr="006E4D34" w:rsidRDefault="006E4D34" w:rsidP="006E4D34">
      <w:pPr>
        <w:spacing w:line="240" w:lineRule="auto"/>
        <w:rPr>
          <w:rFonts w:eastAsia="Times New Roman" w:cs="Arial"/>
          <w:color w:val="000000"/>
          <w:lang w:eastAsia="bg-BG"/>
        </w:rPr>
      </w:pPr>
    </w:p>
    <w:p w14:paraId="63E6E462" w14:textId="628C974A" w:rsidR="006E4D34" w:rsidRPr="006E4D34" w:rsidRDefault="006E4D34" w:rsidP="006E4D34">
      <w:pPr>
        <w:spacing w:line="240" w:lineRule="auto"/>
        <w:rPr>
          <w:rFonts w:eastAsia="Times New Roman" w:cs="Arial"/>
        </w:rPr>
      </w:pPr>
      <w:r w:rsidRPr="006E4D34">
        <w:rPr>
          <w:rFonts w:eastAsia="Times New Roman" w:cs="Arial"/>
          <w:color w:val="000000"/>
          <w:lang w:eastAsia="bg-BG"/>
        </w:rPr>
        <w:lastRenderedPageBreak/>
        <w:t>Антихипергензивният ефект на Карзап Н може да бъде засилен при употребата на други антихипертензивни средства.</w:t>
      </w:r>
    </w:p>
    <w:p w14:paraId="758673AE" w14:textId="77777777" w:rsidR="006E4D34" w:rsidRPr="006E4D34" w:rsidRDefault="006E4D34" w:rsidP="006E4D34">
      <w:pPr>
        <w:spacing w:line="240" w:lineRule="auto"/>
        <w:rPr>
          <w:rFonts w:eastAsia="Times New Roman" w:cs="Arial"/>
          <w:i/>
          <w:iCs/>
          <w:color w:val="000000"/>
          <w:lang w:eastAsia="bg-BG"/>
        </w:rPr>
      </w:pPr>
    </w:p>
    <w:p w14:paraId="2BD46CBA" w14:textId="78126A57" w:rsidR="006E4D34" w:rsidRPr="006E4D34" w:rsidRDefault="006E4D34" w:rsidP="006E4D34">
      <w:pPr>
        <w:spacing w:line="240" w:lineRule="auto"/>
        <w:rPr>
          <w:rFonts w:eastAsia="Times New Roman" w:cs="Arial"/>
          <w:i/>
          <w:iCs/>
          <w:color w:val="000000"/>
          <w:lang w:eastAsia="bg-BG"/>
        </w:rPr>
      </w:pPr>
      <w:r w:rsidRPr="006E4D34">
        <w:rPr>
          <w:rFonts w:eastAsia="Times New Roman" w:cs="Arial"/>
          <w:i/>
          <w:iCs/>
          <w:color w:val="000000"/>
          <w:lang w:eastAsia="bg-BG"/>
        </w:rPr>
        <w:t>Бременност</w:t>
      </w:r>
    </w:p>
    <w:p w14:paraId="0F5BEF58" w14:textId="77777777"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 xml:space="preserve">Ангиотензин </w:t>
      </w:r>
      <w:r w:rsidRPr="006E4D34">
        <w:rPr>
          <w:rFonts w:eastAsia="Times New Roman" w:cs="Arial"/>
          <w:i/>
          <w:iCs/>
          <w:color w:val="000000"/>
          <w:lang w:val="en-US"/>
        </w:rPr>
        <w:t>II</w:t>
      </w:r>
      <w:r w:rsidRPr="006E4D34">
        <w:rPr>
          <w:rFonts w:eastAsia="Times New Roman" w:cs="Arial"/>
          <w:i/>
          <w:iCs/>
          <w:color w:val="000000"/>
          <w:lang w:val="ru-RU"/>
        </w:rPr>
        <w:t>-</w:t>
      </w:r>
      <w:r w:rsidRPr="006E4D34">
        <w:rPr>
          <w:rFonts w:eastAsia="Times New Roman" w:cs="Arial"/>
          <w:i/>
          <w:iCs/>
          <w:color w:val="000000"/>
          <w:lang w:eastAsia="bg-BG"/>
        </w:rPr>
        <w:t xml:space="preserve">рецепторни блокери </w:t>
      </w:r>
      <w:r w:rsidRPr="006E4D34">
        <w:rPr>
          <w:rFonts w:eastAsia="Times New Roman" w:cs="Arial"/>
          <w:i/>
          <w:iCs/>
          <w:color w:val="000000"/>
          <w:lang w:val="ru-RU"/>
        </w:rPr>
        <w:t>(</w:t>
      </w:r>
      <w:r w:rsidRPr="006E4D34">
        <w:rPr>
          <w:rFonts w:eastAsia="Times New Roman" w:cs="Arial"/>
          <w:i/>
          <w:iCs/>
          <w:color w:val="000000"/>
          <w:lang w:val="en-US"/>
        </w:rPr>
        <w:t>AIIRA</w:t>
      </w:r>
      <w:r w:rsidRPr="006E4D34">
        <w:rPr>
          <w:rFonts w:eastAsia="Times New Roman" w:cs="Arial"/>
          <w:i/>
          <w:iCs/>
          <w:color w:val="000000"/>
          <w:lang w:val="ru-RU"/>
        </w:rPr>
        <w:t>)</w:t>
      </w:r>
    </w:p>
    <w:p w14:paraId="54F9B94A"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 xml:space="preserve">Не трябва да се започва лечение с </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 xml:space="preserve">по време на бременност. Освен в случай че терапията с </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 xml:space="preserve">се прецени като крайно необходима, лечението на пациентки, които планират бременност, трябва да бъде заменено с алтернативно антихипергензивно лечение с установен профил на безопасност за употреба по време на бременност. При установяване на бременност, лечението с </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трябва да бъде преустановено незабавно и ако е подходящо, да бъде започнато алтернативно лечение, (вж. точки 4.3 и 4.6).</w:t>
      </w:r>
    </w:p>
    <w:p w14:paraId="1792D48E" w14:textId="77777777" w:rsidR="006E4D34" w:rsidRPr="006E4D34" w:rsidRDefault="006E4D34" w:rsidP="006E4D34">
      <w:pPr>
        <w:spacing w:line="240" w:lineRule="auto"/>
        <w:rPr>
          <w:rFonts w:eastAsia="Times New Roman" w:cs="Arial"/>
          <w:i/>
          <w:iCs/>
          <w:color w:val="000000"/>
          <w:lang w:eastAsia="bg-BG"/>
        </w:rPr>
      </w:pPr>
    </w:p>
    <w:p w14:paraId="0B46402D" w14:textId="4210BF97"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Предупреждения относно помощните вещества</w:t>
      </w:r>
    </w:p>
    <w:p w14:paraId="2118AE3B"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Този лекарствен продукт съдържа лактоза монохидрат като помощно вещество. Пациенти с редки наследствени заболявания като галактозна непоносимост, тотален лактазен дефицит или глюкозо-галактозна малабсорбция, не трябва да приемат това лекарство.</w:t>
      </w:r>
    </w:p>
    <w:p w14:paraId="4AE0C388"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 xml:space="preserve">Този лекарствен продукт съдържа по-малко от 1 </w:t>
      </w:r>
      <w:proofErr w:type="spellStart"/>
      <w:r w:rsidRPr="006E4D34">
        <w:rPr>
          <w:rFonts w:eastAsia="Times New Roman" w:cs="Arial"/>
          <w:color w:val="000000"/>
          <w:lang w:val="en-US"/>
        </w:rPr>
        <w:t>mmol</w:t>
      </w:r>
      <w:proofErr w:type="spellEnd"/>
      <w:r w:rsidRPr="006E4D34">
        <w:rPr>
          <w:rFonts w:eastAsia="Times New Roman" w:cs="Arial"/>
          <w:color w:val="000000"/>
          <w:lang w:val="ru-RU"/>
        </w:rPr>
        <w:t xml:space="preserve"> </w:t>
      </w:r>
      <w:r w:rsidRPr="006E4D34">
        <w:rPr>
          <w:rFonts w:eastAsia="Times New Roman" w:cs="Arial"/>
          <w:color w:val="000000"/>
          <w:lang w:eastAsia="bg-BG"/>
        </w:rPr>
        <w:t xml:space="preserve">натрий (23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на таблетка, така че на практика не съдържа натрий.</w:t>
      </w:r>
    </w:p>
    <w:p w14:paraId="178F2312" w14:textId="1A1090F9" w:rsidR="006E4D34" w:rsidRPr="006E4D34" w:rsidRDefault="006E4D34" w:rsidP="006E4D34"/>
    <w:p w14:paraId="0734264C" w14:textId="59A87219"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2E2E0BFD" w14:textId="378EB9C2" w:rsidR="006E4D34" w:rsidRDefault="006E4D34" w:rsidP="006E4D34"/>
    <w:p w14:paraId="7A37765F" w14:textId="017F7821"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Данни от клинични проучвания показват, че двойното блокиране на ренин ангиотензин алдостероновата система (РААС) чрез комбинираната употреба на АСЕ инхибитори, ангиотензин </w:t>
      </w:r>
      <w:r w:rsidRPr="006E4D34">
        <w:rPr>
          <w:rFonts w:eastAsia="Times New Roman" w:cs="Arial"/>
          <w:color w:val="000000"/>
          <w:lang w:val="en-US" w:eastAsia="bg-BG"/>
        </w:rPr>
        <w:t>II</w:t>
      </w:r>
      <w:r w:rsidRPr="006E4D34">
        <w:rPr>
          <w:rFonts w:eastAsia="Times New Roman" w:cs="Arial"/>
          <w:color w:val="000000"/>
          <w:lang w:eastAsia="bg-BG"/>
        </w:rPr>
        <w:t>-рецепторни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57B8F8D3" w14:textId="77777777" w:rsidR="006E4D34" w:rsidRPr="006E4D34" w:rsidRDefault="006E4D34" w:rsidP="006E4D34">
      <w:pPr>
        <w:rPr>
          <w:rFonts w:eastAsia="Times New Roman" w:cs="Arial"/>
          <w:color w:val="000000"/>
          <w:lang w:eastAsia="bg-BG"/>
        </w:rPr>
      </w:pPr>
    </w:p>
    <w:p w14:paraId="797920F0" w14:textId="12303D2B" w:rsidR="006E4D34" w:rsidRPr="006E4D34" w:rsidRDefault="006E4D34" w:rsidP="006E4D34">
      <w:pPr>
        <w:rPr>
          <w:rFonts w:eastAsia="Times New Roman" w:cs="Arial"/>
          <w:color w:val="000000"/>
          <w:lang w:eastAsia="bg-BG"/>
        </w:rPr>
      </w:pPr>
      <w:r w:rsidRPr="006E4D34">
        <w:rPr>
          <w:rFonts w:eastAsia="Times New Roman" w:cs="Arial"/>
          <w:color w:val="000000"/>
          <w:lang w:eastAsia="bg-BG"/>
        </w:rPr>
        <w:t>Съединенията, включени в клинични фармакокинетични проучвания, са варфарин,</w:t>
      </w:r>
      <w:r w:rsidRPr="006E4D34">
        <w:rPr>
          <w:rFonts w:eastAsia="Times New Roman" w:cs="Arial"/>
          <w:color w:val="000000"/>
          <w:lang w:val="ru-RU"/>
        </w:rPr>
        <w:t xml:space="preserve"> </w:t>
      </w:r>
      <w:r w:rsidRPr="006E4D34">
        <w:rPr>
          <w:rFonts w:eastAsia="Times New Roman" w:cs="Arial"/>
          <w:color w:val="000000"/>
          <w:lang w:eastAsia="bg-BG"/>
        </w:rPr>
        <w:t>дигоксин, орални контрацептиви (етинилестрадиол/левоноргестрел), глибенкламид и нифедипин. Не се установени клинично значими фармакокинетични взаимодействия по време на тези проучвания.</w:t>
      </w:r>
    </w:p>
    <w:p w14:paraId="5FA7506B" w14:textId="30C50E3F" w:rsidR="006E4D34" w:rsidRPr="006E4D34" w:rsidRDefault="006E4D34" w:rsidP="006E4D34">
      <w:pPr>
        <w:rPr>
          <w:rFonts w:eastAsia="Times New Roman" w:cs="Arial"/>
          <w:color w:val="000000"/>
          <w:lang w:eastAsia="bg-BG"/>
        </w:rPr>
      </w:pPr>
    </w:p>
    <w:p w14:paraId="3E388D7F"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Изчерпването на калий поради употребата на хидрохлоротиазид може да се очаква да бъде потенцирано и от други лекарства, водещи до загуба на калий и хипокалиемия (други диуретици, водещи до изчерпване на калия, лаксативни лекарствени продукти, амфотерицин, карбеноксолон, пеницилин </w:t>
      </w:r>
      <w:r w:rsidRPr="006E4D34">
        <w:rPr>
          <w:rFonts w:eastAsia="Times New Roman" w:cs="Arial"/>
          <w:color w:val="000000"/>
          <w:lang w:val="en-US"/>
        </w:rPr>
        <w:t>G</w:t>
      </w:r>
      <w:r w:rsidRPr="006E4D34">
        <w:rPr>
          <w:rFonts w:eastAsia="Times New Roman" w:cs="Arial"/>
          <w:color w:val="000000"/>
          <w:lang w:val="ru-RU"/>
        </w:rPr>
        <w:t xml:space="preserve"> </w:t>
      </w:r>
      <w:r w:rsidRPr="006E4D34">
        <w:rPr>
          <w:rFonts w:eastAsia="Times New Roman" w:cs="Arial"/>
          <w:color w:val="000000"/>
          <w:lang w:eastAsia="bg-BG"/>
        </w:rPr>
        <w:t>натрий, производни на салициловата киселина, стероиди, АСТН.</w:t>
      </w:r>
    </w:p>
    <w:p w14:paraId="1ACBB180" w14:textId="77777777" w:rsidR="006E4D34" w:rsidRPr="006E4D34" w:rsidRDefault="006E4D34" w:rsidP="006E4D34">
      <w:pPr>
        <w:spacing w:line="240" w:lineRule="auto"/>
        <w:rPr>
          <w:rFonts w:eastAsia="Times New Roman" w:cs="Arial"/>
          <w:color w:val="000000"/>
          <w:lang w:eastAsia="bg-BG"/>
        </w:rPr>
      </w:pPr>
    </w:p>
    <w:p w14:paraId="1A9903E7" w14:textId="5888FFD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Едновременната употреба на Карзап Н с калий-съхраняващи диуретици, калиеви добавки или заместители на солта или други лекарства, които могат да повишат серумните нива на калия (напр. хепарин натрий, ко-тримоксазол, известен и като триметоприм/сулфаметоксазол) може да доведе до повишаване на серумния калий. Затова се налага подходящо мониториране на нивата на калия.(вж. точка 4.4).</w:t>
      </w:r>
    </w:p>
    <w:p w14:paraId="2E4341EA" w14:textId="77777777" w:rsidR="006E4D34" w:rsidRPr="006E4D34" w:rsidRDefault="006E4D34" w:rsidP="006E4D34">
      <w:pPr>
        <w:spacing w:line="240" w:lineRule="auto"/>
        <w:rPr>
          <w:rFonts w:eastAsia="Times New Roman" w:cs="Arial"/>
          <w:color w:val="000000"/>
          <w:lang w:eastAsia="bg-BG"/>
        </w:rPr>
      </w:pPr>
    </w:p>
    <w:p w14:paraId="7B376252" w14:textId="13653F8A"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Хипокалиемия и хипомагнезиемия, предизвикани от диуретик предразполагат до евентуални кардиотоксични ефекти на дигиталисовите гликозиди и антиаритмични </w:t>
      </w:r>
      <w:r w:rsidRPr="006E4D34">
        <w:rPr>
          <w:rFonts w:eastAsia="Times New Roman" w:cs="Arial"/>
          <w:color w:val="000000"/>
          <w:lang w:eastAsia="bg-BG"/>
        </w:rPr>
        <w:lastRenderedPageBreak/>
        <w:t xml:space="preserve">лекарствени продукти. Препоръчва се периодично мониториране на серумните нива на калий, когато Карзап Н е прилаган с подобни лекарствени продукти и със следните лекарства, които причиняват </w:t>
      </w:r>
      <w:proofErr w:type="spellStart"/>
      <w:r w:rsidRPr="006E4D34">
        <w:rPr>
          <w:rFonts w:eastAsia="Times New Roman" w:cs="Arial"/>
          <w:color w:val="000000"/>
          <w:lang w:val="en-US"/>
        </w:rPr>
        <w:t>torsades</w:t>
      </w:r>
      <w:proofErr w:type="spellEnd"/>
      <w:r w:rsidRPr="006E4D34">
        <w:rPr>
          <w:rFonts w:eastAsia="Times New Roman" w:cs="Arial"/>
          <w:color w:val="000000"/>
          <w:lang w:val="ru-RU"/>
        </w:rPr>
        <w:t xml:space="preserve"> </w:t>
      </w:r>
      <w:r w:rsidRPr="006E4D34">
        <w:rPr>
          <w:rFonts w:eastAsia="Times New Roman" w:cs="Arial"/>
          <w:color w:val="000000"/>
          <w:lang w:val="en-US"/>
        </w:rPr>
        <w:t>de</w:t>
      </w:r>
      <w:r w:rsidRPr="006E4D34">
        <w:rPr>
          <w:rFonts w:eastAsia="Times New Roman" w:cs="Arial"/>
          <w:color w:val="000000"/>
          <w:lang w:val="ru-RU"/>
        </w:rPr>
        <w:t xml:space="preserve"> </w:t>
      </w:r>
      <w:r w:rsidRPr="006E4D34">
        <w:rPr>
          <w:rFonts w:eastAsia="Times New Roman" w:cs="Arial"/>
          <w:color w:val="000000"/>
          <w:lang w:val="en-US"/>
        </w:rPr>
        <w:t>pointes</w:t>
      </w:r>
      <w:r w:rsidRPr="006E4D34">
        <w:rPr>
          <w:rFonts w:eastAsia="Times New Roman" w:cs="Arial"/>
          <w:color w:val="000000"/>
          <w:lang w:val="ru-RU"/>
        </w:rPr>
        <w:t>.</w:t>
      </w:r>
    </w:p>
    <w:p w14:paraId="2463CEF0" w14:textId="77777777" w:rsidR="006E4D34" w:rsidRPr="006E4D34" w:rsidRDefault="006E4D34" w:rsidP="006E4D34">
      <w:pPr>
        <w:pStyle w:val="ListParagraph"/>
        <w:numPr>
          <w:ilvl w:val="0"/>
          <w:numId w:val="39"/>
        </w:numPr>
        <w:spacing w:line="240" w:lineRule="auto"/>
        <w:rPr>
          <w:rFonts w:eastAsia="Times New Roman" w:cs="Arial"/>
          <w:sz w:val="24"/>
          <w:szCs w:val="24"/>
        </w:rPr>
      </w:pPr>
      <w:r w:rsidRPr="006E4D34">
        <w:rPr>
          <w:rFonts w:eastAsia="Times New Roman" w:cs="Arial"/>
          <w:color w:val="000000"/>
          <w:lang w:eastAsia="bg-BG"/>
        </w:rPr>
        <w:t xml:space="preserve">Клас </w:t>
      </w:r>
      <w:proofErr w:type="spellStart"/>
      <w:r w:rsidRPr="006E4D34">
        <w:rPr>
          <w:rFonts w:eastAsia="Times New Roman" w:cs="Arial"/>
          <w:color w:val="000000"/>
          <w:lang w:val="en-US"/>
        </w:rPr>
        <w:t>Ia</w:t>
      </w:r>
      <w:proofErr w:type="spellEnd"/>
      <w:r w:rsidRPr="006E4D34">
        <w:rPr>
          <w:rFonts w:eastAsia="Times New Roman" w:cs="Arial"/>
          <w:color w:val="000000"/>
          <w:lang w:val="ru-RU"/>
        </w:rPr>
        <w:t xml:space="preserve"> </w:t>
      </w:r>
      <w:r w:rsidRPr="006E4D34">
        <w:rPr>
          <w:rFonts w:eastAsia="Times New Roman" w:cs="Arial"/>
          <w:color w:val="000000"/>
          <w:lang w:eastAsia="bg-BG"/>
        </w:rPr>
        <w:t>антиаритмици (напр. хинидин, хидрохинидин, дизопирамид)</w:t>
      </w:r>
    </w:p>
    <w:p w14:paraId="1B7CD700" w14:textId="77777777" w:rsidR="006E4D34" w:rsidRPr="006E4D34" w:rsidRDefault="006E4D34" w:rsidP="006E4D34">
      <w:pPr>
        <w:pStyle w:val="ListParagraph"/>
        <w:numPr>
          <w:ilvl w:val="0"/>
          <w:numId w:val="39"/>
        </w:numPr>
        <w:spacing w:line="240" w:lineRule="auto"/>
        <w:rPr>
          <w:rFonts w:eastAsia="Times New Roman" w:cs="Arial"/>
          <w:sz w:val="24"/>
          <w:szCs w:val="24"/>
        </w:rPr>
      </w:pPr>
      <w:r w:rsidRPr="006E4D34">
        <w:rPr>
          <w:rFonts w:eastAsia="Times New Roman" w:cs="Arial"/>
          <w:color w:val="000000"/>
          <w:lang w:eastAsia="bg-BG"/>
        </w:rPr>
        <w:t>Клас III антиаритмици (напр. амиодарон, соталол, дофетилид, ибутилид)</w:t>
      </w:r>
    </w:p>
    <w:p w14:paraId="153E63C7" w14:textId="77777777" w:rsidR="006E4D34" w:rsidRPr="006E4D34" w:rsidRDefault="006E4D34" w:rsidP="006E4D34">
      <w:pPr>
        <w:pStyle w:val="ListParagraph"/>
        <w:numPr>
          <w:ilvl w:val="0"/>
          <w:numId w:val="39"/>
        </w:numPr>
        <w:spacing w:line="240" w:lineRule="auto"/>
        <w:rPr>
          <w:rFonts w:eastAsia="Times New Roman" w:cs="Arial"/>
          <w:sz w:val="24"/>
          <w:szCs w:val="24"/>
        </w:rPr>
      </w:pPr>
      <w:r w:rsidRPr="006E4D34">
        <w:rPr>
          <w:rFonts w:eastAsia="Times New Roman" w:cs="Arial"/>
          <w:color w:val="000000"/>
          <w:lang w:eastAsia="bg-BG"/>
        </w:rPr>
        <w:t>Някои антипсихотици (напр. тиоридазин, хлорпромазин, левомепромазин, трифлуороперазин, циамемазин, сулпирцд, султоприд, амисулприд, тиаприд, пимозид, халоперидол, дроперидол)</w:t>
      </w:r>
    </w:p>
    <w:p w14:paraId="10137129" w14:textId="2B02608A" w:rsidR="006E4D34" w:rsidRPr="006E4D34" w:rsidRDefault="006E4D34" w:rsidP="006E4D34">
      <w:pPr>
        <w:pStyle w:val="ListParagraph"/>
        <w:numPr>
          <w:ilvl w:val="0"/>
          <w:numId w:val="39"/>
        </w:numPr>
        <w:spacing w:line="240" w:lineRule="auto"/>
        <w:rPr>
          <w:rFonts w:eastAsia="Times New Roman" w:cs="Arial"/>
          <w:sz w:val="24"/>
          <w:szCs w:val="24"/>
        </w:rPr>
      </w:pPr>
      <w:r w:rsidRPr="006E4D34">
        <w:rPr>
          <w:rFonts w:eastAsia="Times New Roman" w:cs="Arial"/>
          <w:color w:val="000000"/>
          <w:lang w:eastAsia="bg-BG"/>
        </w:rPr>
        <w:t xml:space="preserve">Други (напр. бепридил, цизаприд, дифеманил, еритромицин </w:t>
      </w:r>
      <w:proofErr w:type="spellStart"/>
      <w:r w:rsidRPr="006E4D34">
        <w:rPr>
          <w:rFonts w:eastAsia="Times New Roman" w:cs="Arial"/>
          <w:color w:val="000000"/>
          <w:lang w:val="en-US"/>
        </w:rPr>
        <w:t>i</w:t>
      </w:r>
      <w:proofErr w:type="spellEnd"/>
      <w:r w:rsidRPr="006E4D34">
        <w:rPr>
          <w:rFonts w:eastAsia="Times New Roman" w:cs="Arial"/>
          <w:color w:val="000000"/>
        </w:rPr>
        <w:t>.</w:t>
      </w:r>
      <w:r w:rsidRPr="006E4D34">
        <w:rPr>
          <w:rFonts w:eastAsia="Times New Roman" w:cs="Arial"/>
          <w:color w:val="000000"/>
          <w:lang w:val="en-US"/>
        </w:rPr>
        <w:t>v</w:t>
      </w:r>
      <w:r w:rsidRPr="006E4D34">
        <w:rPr>
          <w:rFonts w:eastAsia="Times New Roman" w:cs="Arial"/>
          <w:color w:val="000000"/>
        </w:rPr>
        <w:t xml:space="preserve">., </w:t>
      </w:r>
      <w:r w:rsidRPr="006E4D34">
        <w:rPr>
          <w:rFonts w:eastAsia="Times New Roman" w:cs="Arial"/>
          <w:color w:val="000000"/>
          <w:lang w:eastAsia="bg-BG"/>
        </w:rPr>
        <w:t xml:space="preserve">халофантрин, кетансерин, мизоластин, пентамидин, спарфлоксацин, терфенадин, винкамин </w:t>
      </w:r>
      <w:proofErr w:type="spellStart"/>
      <w:r w:rsidRPr="006E4D34">
        <w:rPr>
          <w:rFonts w:eastAsia="Times New Roman" w:cs="Arial"/>
          <w:color w:val="000000"/>
          <w:lang w:val="en-US"/>
        </w:rPr>
        <w:t>i</w:t>
      </w:r>
      <w:proofErr w:type="spellEnd"/>
      <w:r w:rsidRPr="006E4D34">
        <w:rPr>
          <w:rFonts w:eastAsia="Times New Roman" w:cs="Arial"/>
          <w:color w:val="000000"/>
        </w:rPr>
        <w:t>.</w:t>
      </w:r>
      <w:r w:rsidRPr="006E4D34">
        <w:rPr>
          <w:rFonts w:eastAsia="Times New Roman" w:cs="Arial"/>
          <w:color w:val="000000"/>
          <w:lang w:val="en-US"/>
        </w:rPr>
        <w:t>v</w:t>
      </w:r>
      <w:r w:rsidRPr="006E4D34">
        <w:rPr>
          <w:rFonts w:eastAsia="Times New Roman" w:cs="Arial"/>
          <w:color w:val="000000"/>
        </w:rPr>
        <w:t>).</w:t>
      </w:r>
    </w:p>
    <w:p w14:paraId="66F6DA80" w14:textId="77777777" w:rsidR="006E4D34" w:rsidRPr="006E4D34" w:rsidRDefault="006E4D34" w:rsidP="006E4D34">
      <w:pPr>
        <w:spacing w:line="240" w:lineRule="auto"/>
        <w:rPr>
          <w:rFonts w:eastAsia="Times New Roman" w:cs="Arial"/>
          <w:color w:val="000000"/>
          <w:lang w:eastAsia="bg-BG"/>
        </w:rPr>
      </w:pPr>
    </w:p>
    <w:p w14:paraId="54E8EB4A" w14:textId="15869460"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Обратимо повишаване на концентрациите на литий в серума и токсичност са докладвани по време на съвместната употреба на литий с инхибитори на ангиотензин-конвертиращия ензим (АСЕ) или хидрохлоротиазид. За подобен ефект е докладвано и при </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Употребата на кандесартан и хидрохлоротиазид с литий не е препоръчително. Ако комбинацията е наложителна, се препоръчва внимателно мониториране на серумните нива на литий.</w:t>
      </w:r>
    </w:p>
    <w:p w14:paraId="748D4351" w14:textId="77777777" w:rsidR="006E4D34" w:rsidRPr="006E4D34" w:rsidRDefault="006E4D34" w:rsidP="006E4D34">
      <w:pPr>
        <w:spacing w:line="240" w:lineRule="auto"/>
        <w:rPr>
          <w:rFonts w:eastAsia="Times New Roman" w:cs="Arial"/>
          <w:color w:val="000000"/>
          <w:lang w:eastAsia="bg-BG"/>
        </w:rPr>
      </w:pPr>
    </w:p>
    <w:p w14:paraId="069754F8" w14:textId="2729401C"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Когато </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 xml:space="preserve">се прилагат едновременно с нестероидни противовъзпалителни лекарствени продукти (НСПВС) (напр. селективни СОХ-2 инхибитори, ацетилсалицилова киселина (&gt; 3 </w:t>
      </w:r>
      <w:r w:rsidRPr="006E4D34">
        <w:rPr>
          <w:rFonts w:eastAsia="Times New Roman" w:cs="Arial"/>
          <w:color w:val="000000"/>
          <w:lang w:val="en-US"/>
        </w:rPr>
        <w:t>g</w:t>
      </w:r>
      <w:r w:rsidRPr="006E4D34">
        <w:rPr>
          <w:rFonts w:eastAsia="Times New Roman" w:cs="Arial"/>
          <w:color w:val="000000"/>
          <w:lang w:eastAsia="bg-BG"/>
        </w:rPr>
        <w:t>/дневно) и неселективни НСПВС), може да се наблюдава понижен антихипертензивен ефект.</w:t>
      </w:r>
    </w:p>
    <w:p w14:paraId="7738770F" w14:textId="77777777" w:rsidR="006E4D34" w:rsidRPr="006E4D34" w:rsidRDefault="006E4D34" w:rsidP="006E4D34">
      <w:pPr>
        <w:spacing w:line="240" w:lineRule="auto"/>
        <w:rPr>
          <w:rFonts w:eastAsia="Times New Roman" w:cs="Arial"/>
          <w:color w:val="000000"/>
          <w:lang w:eastAsia="bg-BG"/>
        </w:rPr>
      </w:pPr>
    </w:p>
    <w:p w14:paraId="76A374D3" w14:textId="6A5C6FC3"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Както и с АСЕ инхибитори, едновременната употреба на </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 xml:space="preserve">и НСПВС може да доведе до повишен риск от </w:t>
      </w:r>
      <w:r w:rsidRPr="006E4D34">
        <w:rPr>
          <w:rFonts w:eastAsia="Times New Roman" w:cs="Arial"/>
          <w:i/>
          <w:iCs/>
          <w:color w:val="000000"/>
          <w:lang w:eastAsia="bg-BG"/>
        </w:rPr>
        <w:t>влошаване на бъбречната</w:t>
      </w:r>
      <w:r w:rsidRPr="006E4D34">
        <w:rPr>
          <w:rFonts w:eastAsia="Times New Roman" w:cs="Arial"/>
          <w:color w:val="000000"/>
          <w:lang w:eastAsia="bg-BG"/>
        </w:rPr>
        <w:t xml:space="preserve"> функция, включително възможна остра бъбречна недостатъчност и повишаване на серумния калий, особено при пациенти с вече нарушена бъбречна функция. Комбинацията трябва да бъде предписвана с повишено внимание, особено при възрастни пациенти. Пациентите трябва да бъдат адекватно хидратирани и да се има предвид мониторирането на бъбречната функция след инициирането на съвместната терапия, както и последващо периодично мониториране.</w:t>
      </w:r>
    </w:p>
    <w:p w14:paraId="46CFCF46" w14:textId="77777777" w:rsidR="006E4D34" w:rsidRPr="006E4D34" w:rsidRDefault="006E4D34" w:rsidP="006E4D34">
      <w:pPr>
        <w:spacing w:line="240" w:lineRule="auto"/>
        <w:rPr>
          <w:rFonts w:eastAsia="Times New Roman" w:cs="Arial"/>
          <w:color w:val="000000"/>
          <w:lang w:eastAsia="bg-BG"/>
        </w:rPr>
      </w:pPr>
    </w:p>
    <w:p w14:paraId="77C5AE79" w14:textId="4C3C77E1"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Диуретичният, натриуретичният и антихипертензивният ефекти на хидрохлортиазид се понижават от НСПВС.</w:t>
      </w:r>
    </w:p>
    <w:p w14:paraId="61585524" w14:textId="77777777" w:rsidR="006E4D34" w:rsidRPr="006E4D34" w:rsidRDefault="006E4D34" w:rsidP="006E4D34">
      <w:pPr>
        <w:spacing w:line="240" w:lineRule="auto"/>
        <w:rPr>
          <w:rFonts w:eastAsia="Times New Roman" w:cs="Arial"/>
          <w:color w:val="000000"/>
          <w:lang w:eastAsia="bg-BG"/>
        </w:rPr>
      </w:pPr>
    </w:p>
    <w:p w14:paraId="75C3407B" w14:textId="2D4F96C8"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Абсорбцията на хидрохлоротиазид се намалява от колестипол или холестирамин.</w:t>
      </w:r>
    </w:p>
    <w:p w14:paraId="366828D0" w14:textId="77777777" w:rsidR="006E4D34" w:rsidRPr="006E4D34" w:rsidRDefault="006E4D34" w:rsidP="006E4D34">
      <w:pPr>
        <w:spacing w:line="240" w:lineRule="auto"/>
        <w:rPr>
          <w:rFonts w:eastAsia="Times New Roman" w:cs="Arial"/>
          <w:color w:val="000000"/>
          <w:lang w:eastAsia="bg-BG"/>
        </w:rPr>
      </w:pPr>
    </w:p>
    <w:p w14:paraId="5E8D9782" w14:textId="14C721CB"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Ефектът на недеполяризиращите скелетно-мускулни релаксанти (напр. тубокурарин) може да се потенцира от хидрохлоротиазид.</w:t>
      </w:r>
    </w:p>
    <w:p w14:paraId="6E2733C2" w14:textId="77777777" w:rsidR="006E4D34" w:rsidRPr="006E4D34" w:rsidRDefault="006E4D34" w:rsidP="006E4D34">
      <w:pPr>
        <w:spacing w:line="240" w:lineRule="auto"/>
        <w:rPr>
          <w:rFonts w:eastAsia="Times New Roman" w:cs="Arial"/>
          <w:color w:val="000000"/>
          <w:lang w:eastAsia="bg-BG"/>
        </w:rPr>
      </w:pPr>
    </w:p>
    <w:p w14:paraId="78FA348F" w14:textId="5B51DA0E" w:rsidR="006E4D34" w:rsidRPr="006E4D34" w:rsidRDefault="006E4D34" w:rsidP="006E4D34">
      <w:pPr>
        <w:spacing w:line="240" w:lineRule="auto"/>
        <w:rPr>
          <w:rFonts w:eastAsia="Times New Roman" w:cs="Arial"/>
          <w:color w:val="000000"/>
          <w:lang w:eastAsia="bg-BG"/>
        </w:rPr>
      </w:pPr>
      <w:r w:rsidRPr="006E4D34">
        <w:rPr>
          <w:rFonts w:eastAsia="Times New Roman" w:cs="Arial"/>
          <w:color w:val="000000"/>
          <w:lang w:eastAsia="bg-BG"/>
        </w:rPr>
        <w:t>Тиазидните диуретици могат да повишат серумните нива на калция поради намалената му</w:t>
      </w:r>
      <w:r w:rsidRPr="006E4D34">
        <w:rPr>
          <w:rFonts w:eastAsia="Times New Roman" w:cs="Arial"/>
          <w:color w:val="000000"/>
          <w:vertAlign w:val="subscript"/>
          <w:lang w:eastAsia="bg-BG"/>
        </w:rPr>
        <w:t xml:space="preserve"> </w:t>
      </w:r>
      <w:r w:rsidRPr="006E4D34">
        <w:rPr>
          <w:rFonts w:eastAsia="Times New Roman" w:cs="Arial"/>
          <w:color w:val="000000"/>
          <w:lang w:eastAsia="bg-BG"/>
        </w:rPr>
        <w:t xml:space="preserve">екскреция. Ако калциеви добавки или Витамин </w:t>
      </w:r>
      <w:r w:rsidRPr="006E4D34">
        <w:rPr>
          <w:rFonts w:eastAsia="Times New Roman" w:cs="Arial"/>
          <w:color w:val="000000"/>
          <w:lang w:val="en-US"/>
        </w:rPr>
        <w:t>D</w:t>
      </w:r>
      <w:r w:rsidRPr="006E4D34">
        <w:rPr>
          <w:rFonts w:eastAsia="Times New Roman" w:cs="Arial"/>
          <w:color w:val="000000"/>
          <w:lang w:val="ru-RU"/>
        </w:rPr>
        <w:t xml:space="preserve"> </w:t>
      </w:r>
      <w:r w:rsidRPr="006E4D34">
        <w:rPr>
          <w:rFonts w:eastAsia="Times New Roman" w:cs="Arial"/>
          <w:color w:val="000000"/>
          <w:lang w:eastAsia="bg-BG"/>
        </w:rPr>
        <w:t>трябва да бъдат предписани, серумните калциеви нива трябва да се мониторират и съответно да се коригира дозата.</w:t>
      </w:r>
      <w:bookmarkStart w:id="1" w:name="bookmark0"/>
      <w:bookmarkEnd w:id="1"/>
    </w:p>
    <w:p w14:paraId="31BF4617" w14:textId="77777777" w:rsidR="006E4D34" w:rsidRPr="006E4D34" w:rsidRDefault="006E4D34" w:rsidP="006E4D34">
      <w:pPr>
        <w:spacing w:line="240" w:lineRule="auto"/>
        <w:rPr>
          <w:rFonts w:eastAsia="Times New Roman" w:cs="Arial"/>
          <w:sz w:val="24"/>
          <w:szCs w:val="24"/>
        </w:rPr>
      </w:pPr>
    </w:p>
    <w:p w14:paraId="11F0A8D0" w14:textId="70F99029" w:rsidR="006E4D34" w:rsidRPr="006E4D34" w:rsidRDefault="006E4D34" w:rsidP="006E4D34">
      <w:pPr>
        <w:spacing w:line="240" w:lineRule="auto"/>
        <w:rPr>
          <w:rFonts w:eastAsia="Times New Roman" w:cs="Arial"/>
          <w:color w:val="000000"/>
          <w:lang w:eastAsia="bg-BG"/>
        </w:rPr>
      </w:pPr>
      <w:r w:rsidRPr="006E4D34">
        <w:rPr>
          <w:rFonts w:eastAsia="Times New Roman" w:cs="Arial"/>
          <w:color w:val="000000"/>
          <w:lang w:eastAsia="bg-BG"/>
        </w:rPr>
        <w:t>Хипергликимичният ефект на бета блокерите и диазоксид може да бъде увеличен от тиазидите</w:t>
      </w:r>
    </w:p>
    <w:p w14:paraId="311C6A4F" w14:textId="2A272474" w:rsidR="006E4D34" w:rsidRPr="006E4D34" w:rsidRDefault="006E4D34" w:rsidP="006E4D34">
      <w:pPr>
        <w:spacing w:line="240" w:lineRule="auto"/>
        <w:rPr>
          <w:rFonts w:eastAsia="Times New Roman" w:cs="Arial"/>
          <w:color w:val="000000"/>
          <w:lang w:eastAsia="bg-BG"/>
        </w:rPr>
      </w:pPr>
    </w:p>
    <w:p w14:paraId="4633C234"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Антихолинергичните лекарства (напр. атропин, бипериден) могат да повишат бионаличността на тиазидни диуретици чрез намаляване мотилитета на гастро-ингестиналния тракт и степента на стомашно изпразване.</w:t>
      </w:r>
    </w:p>
    <w:p w14:paraId="72E564C2" w14:textId="77777777" w:rsidR="006E4D34" w:rsidRPr="006E4D34" w:rsidRDefault="006E4D34" w:rsidP="006E4D34">
      <w:pPr>
        <w:spacing w:line="240" w:lineRule="auto"/>
        <w:rPr>
          <w:rFonts w:eastAsia="Times New Roman" w:cs="Arial"/>
          <w:color w:val="000000"/>
          <w:lang w:eastAsia="bg-BG"/>
        </w:rPr>
      </w:pPr>
    </w:p>
    <w:p w14:paraId="4AAE0C39" w14:textId="102191DC"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lastRenderedPageBreak/>
        <w:t>Тиазидите могат да повишат риска от нежелани ефекти, причинявани от амантадин.</w:t>
      </w:r>
    </w:p>
    <w:p w14:paraId="63A682FE" w14:textId="77777777" w:rsidR="006E4D34" w:rsidRPr="006E4D34" w:rsidRDefault="006E4D34" w:rsidP="006E4D34">
      <w:pPr>
        <w:spacing w:line="240" w:lineRule="auto"/>
        <w:rPr>
          <w:rFonts w:eastAsia="Times New Roman" w:cs="Arial"/>
          <w:color w:val="000000"/>
          <w:lang w:eastAsia="bg-BG"/>
        </w:rPr>
      </w:pPr>
    </w:p>
    <w:p w14:paraId="1217BD8D" w14:textId="65575D63"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Тиазидите могат да намалят бъбречната екскреция на цитотоксични лекарствени продукти (напр. циклофосфамид, метотрексат) и да потенцират техните миелосупресивни ефекти.</w:t>
      </w:r>
    </w:p>
    <w:p w14:paraId="37D3BDBF" w14:textId="77777777" w:rsidR="006E4D34" w:rsidRPr="006E4D34" w:rsidRDefault="006E4D34" w:rsidP="006E4D34">
      <w:pPr>
        <w:spacing w:line="240" w:lineRule="auto"/>
        <w:rPr>
          <w:rFonts w:eastAsia="Times New Roman" w:cs="Arial"/>
          <w:color w:val="000000"/>
          <w:lang w:eastAsia="bg-BG"/>
        </w:rPr>
      </w:pPr>
    </w:p>
    <w:p w14:paraId="33CF91B5" w14:textId="05FC36EC"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Постурална хипертония може да бъде влошена при едновременен прием на алкохол, барбитурати или анестетици.</w:t>
      </w:r>
    </w:p>
    <w:p w14:paraId="4C0A3B0F" w14:textId="77777777" w:rsidR="006E4D34" w:rsidRPr="006E4D34" w:rsidRDefault="006E4D34" w:rsidP="006E4D34">
      <w:pPr>
        <w:spacing w:line="240" w:lineRule="auto"/>
        <w:rPr>
          <w:rFonts w:eastAsia="Times New Roman" w:cs="Arial"/>
          <w:color w:val="000000"/>
          <w:lang w:eastAsia="bg-BG"/>
        </w:rPr>
      </w:pPr>
    </w:p>
    <w:p w14:paraId="3D158B2B" w14:textId="51232333"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Лечение с тиазиден диуретик може да наруши глюкозния толеранс. Може да се наложи промяна в дозата на антидиабетни лекарствени продукти, включително инсулин. Метформин трябва да се използва с повишено внимание поради риска от лактатна ацидоза, индуцирана от възможна бъбречна функционална недостатъчност, свързана с хидрохлоротиазид.</w:t>
      </w:r>
    </w:p>
    <w:p w14:paraId="7748495E" w14:textId="77777777" w:rsidR="006E4D34" w:rsidRPr="006E4D34" w:rsidRDefault="006E4D34" w:rsidP="006E4D34">
      <w:pPr>
        <w:spacing w:line="240" w:lineRule="auto"/>
        <w:rPr>
          <w:rFonts w:eastAsia="Times New Roman" w:cs="Arial"/>
          <w:color w:val="000000"/>
          <w:lang w:eastAsia="bg-BG"/>
        </w:rPr>
      </w:pPr>
    </w:p>
    <w:p w14:paraId="7E88D638" w14:textId="3F889EFE"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Хидрохлоротиазид може да доведе до понижен артериален отговор към вазопресорните амини (напр. адреналин), но не до степен, че да се изключи хипертензивен ефект.</w:t>
      </w:r>
    </w:p>
    <w:p w14:paraId="72A2A27B" w14:textId="77777777" w:rsidR="006E4D34" w:rsidRPr="006E4D34" w:rsidRDefault="006E4D34" w:rsidP="006E4D34">
      <w:pPr>
        <w:spacing w:line="240" w:lineRule="auto"/>
        <w:rPr>
          <w:rFonts w:eastAsia="Times New Roman" w:cs="Arial"/>
          <w:color w:val="000000"/>
          <w:lang w:eastAsia="bg-BG"/>
        </w:rPr>
      </w:pPr>
    </w:p>
    <w:p w14:paraId="628F2E3C" w14:textId="2B3385D9"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Хидрохлоротиазид може да повиши риска от остра бъбречна недостатъчност, особено при високи дози на йодни контрастни средства.</w:t>
      </w:r>
    </w:p>
    <w:p w14:paraId="102DAA51" w14:textId="77777777" w:rsidR="006E4D34" w:rsidRPr="006E4D34" w:rsidRDefault="006E4D34" w:rsidP="006E4D34">
      <w:pPr>
        <w:spacing w:line="240" w:lineRule="auto"/>
        <w:rPr>
          <w:rFonts w:eastAsia="Times New Roman" w:cs="Arial"/>
          <w:color w:val="000000"/>
          <w:lang w:eastAsia="bg-BG"/>
        </w:rPr>
      </w:pPr>
    </w:p>
    <w:p w14:paraId="29ED926F" w14:textId="644041EA"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Едновременната употреба с циклоспорин може да увеличи риска от хиперурикемия и усложнения на подаграта.</w:t>
      </w:r>
    </w:p>
    <w:p w14:paraId="654CB0F5" w14:textId="77777777" w:rsidR="006E4D34" w:rsidRPr="006E4D34" w:rsidRDefault="006E4D34" w:rsidP="006E4D34">
      <w:pPr>
        <w:spacing w:line="240" w:lineRule="auto"/>
        <w:rPr>
          <w:rFonts w:eastAsia="Times New Roman" w:cs="Arial"/>
          <w:color w:val="000000"/>
          <w:lang w:eastAsia="bg-BG"/>
        </w:rPr>
      </w:pPr>
    </w:p>
    <w:p w14:paraId="3AAE421E" w14:textId="4FCB8398"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Едновременната употреба с баклофен, амифостин, три циклични антидепресанти или невролептици може да доведе до увеличаване на антихипертензивния ефект и може да индуцира хипотония.</w:t>
      </w:r>
    </w:p>
    <w:p w14:paraId="6F5EECAA" w14:textId="27AA1EA9" w:rsidR="006E4D34" w:rsidRPr="006E4D34" w:rsidRDefault="006E4D34" w:rsidP="006E4D34"/>
    <w:p w14:paraId="5D9F40EA" w14:textId="484301D5" w:rsidR="007122AD" w:rsidRDefault="002C50EE" w:rsidP="00936AD0">
      <w:pPr>
        <w:pStyle w:val="Heading2"/>
      </w:pPr>
      <w:r>
        <w:t>4.6. Фертилитет, бременност и кърмене</w:t>
      </w:r>
    </w:p>
    <w:p w14:paraId="4DAA36E6" w14:textId="4466F842" w:rsidR="006E4D34" w:rsidRDefault="006E4D34" w:rsidP="006E4D34"/>
    <w:p w14:paraId="5BA035CB" w14:textId="77777777" w:rsidR="006E4D34" w:rsidRPr="006E4D34" w:rsidRDefault="006E4D34" w:rsidP="006E4D34">
      <w:pPr>
        <w:pStyle w:val="Heading3"/>
        <w:rPr>
          <w:rFonts w:eastAsia="Times New Roman"/>
          <w:u w:val="single"/>
        </w:rPr>
      </w:pPr>
      <w:r w:rsidRPr="006E4D34">
        <w:rPr>
          <w:rFonts w:eastAsia="Times New Roman"/>
          <w:u w:val="single"/>
          <w:lang w:eastAsia="bg-BG"/>
        </w:rPr>
        <w:t>Бременност</w:t>
      </w:r>
    </w:p>
    <w:p w14:paraId="1E55A2D7" w14:textId="77777777" w:rsidR="006E4D34" w:rsidRPr="006E4D34" w:rsidRDefault="006E4D34" w:rsidP="006E4D34">
      <w:pPr>
        <w:rPr>
          <w:rFonts w:eastAsia="Times New Roman" w:cs="Arial"/>
          <w:i/>
          <w:iCs/>
          <w:color w:val="000000"/>
          <w:u w:val="single"/>
          <w:lang w:eastAsia="bg-BG"/>
        </w:rPr>
      </w:pPr>
    </w:p>
    <w:p w14:paraId="3D4EE507" w14:textId="5654E26D" w:rsidR="006E4D34" w:rsidRPr="006E4D34" w:rsidRDefault="006E4D34" w:rsidP="006E4D34">
      <w:pPr>
        <w:rPr>
          <w:rFonts w:eastAsia="Times New Roman" w:cs="Arial"/>
          <w:i/>
          <w:iCs/>
          <w:color w:val="000000"/>
          <w:u w:val="single"/>
          <w:lang w:val="ru-RU"/>
        </w:rPr>
      </w:pPr>
      <w:r w:rsidRPr="006E4D34">
        <w:rPr>
          <w:rFonts w:eastAsia="Times New Roman" w:cs="Arial"/>
          <w:i/>
          <w:iCs/>
          <w:color w:val="000000"/>
          <w:u w:val="single"/>
          <w:lang w:eastAsia="bg-BG"/>
        </w:rPr>
        <w:t xml:space="preserve">Ангиотензин II рецепторни антагонисти </w:t>
      </w:r>
      <w:r w:rsidRPr="006E4D34">
        <w:rPr>
          <w:rFonts w:eastAsia="Times New Roman" w:cs="Arial"/>
          <w:i/>
          <w:iCs/>
          <w:color w:val="000000"/>
          <w:u w:val="single"/>
          <w:lang w:val="ru-RU"/>
        </w:rPr>
        <w:t>(</w:t>
      </w:r>
      <w:r w:rsidRPr="006E4D34">
        <w:rPr>
          <w:rFonts w:eastAsia="Times New Roman" w:cs="Arial"/>
          <w:i/>
          <w:iCs/>
          <w:color w:val="000000"/>
          <w:u w:val="single"/>
          <w:lang w:val="en-US"/>
        </w:rPr>
        <w:t>AIIRA</w:t>
      </w:r>
      <w:r w:rsidRPr="006E4D34">
        <w:rPr>
          <w:rFonts w:eastAsia="Times New Roman" w:cs="Arial"/>
          <w:i/>
          <w:iCs/>
          <w:color w:val="000000"/>
          <w:u w:val="single"/>
          <w:lang w:val="ru-RU"/>
        </w:rPr>
        <w:t>)</w:t>
      </w:r>
    </w:p>
    <w:tbl>
      <w:tblPr>
        <w:tblStyle w:val="TableGrid"/>
        <w:tblW w:w="0" w:type="auto"/>
        <w:tblLook w:val="04A0" w:firstRow="1" w:lastRow="0" w:firstColumn="1" w:lastColumn="0" w:noHBand="0" w:noVBand="1"/>
      </w:tblPr>
      <w:tblGrid>
        <w:gridCol w:w="9350"/>
      </w:tblGrid>
      <w:tr w:rsidR="006E4D34" w:rsidRPr="006E4D34" w14:paraId="1F93575F" w14:textId="77777777" w:rsidTr="006E4D34">
        <w:tc>
          <w:tcPr>
            <w:tcW w:w="9576" w:type="dxa"/>
          </w:tcPr>
          <w:p w14:paraId="21F06D07" w14:textId="2D235652" w:rsidR="006E4D34" w:rsidRPr="006E4D34" w:rsidRDefault="006E4D34" w:rsidP="006E4D34">
            <w:pPr>
              <w:rPr>
                <w:rFonts w:cs="Arial"/>
                <w:lang w:val="ru-RU"/>
              </w:rPr>
            </w:pPr>
            <w:r w:rsidRPr="006E4D34">
              <w:rPr>
                <w:rFonts w:cs="Arial"/>
              </w:rPr>
              <w:t xml:space="preserve">Употребата на </w:t>
            </w:r>
            <w:r w:rsidRPr="006E4D34">
              <w:rPr>
                <w:rFonts w:cs="Arial"/>
                <w:lang w:val="en-US"/>
              </w:rPr>
              <w:t>AIIRA</w:t>
            </w:r>
            <w:r w:rsidRPr="006E4D34">
              <w:rPr>
                <w:rFonts w:cs="Arial"/>
                <w:lang w:val="ru-RU"/>
              </w:rPr>
              <w:t xml:space="preserve"> </w:t>
            </w:r>
            <w:r w:rsidRPr="006E4D34">
              <w:rPr>
                <w:rFonts w:cs="Arial"/>
              </w:rPr>
              <w:t xml:space="preserve">не се препоръчва през първия триместьр на бременността (вж. точка 4.4). Употребата на </w:t>
            </w:r>
            <w:r w:rsidRPr="006E4D34">
              <w:rPr>
                <w:rFonts w:cs="Arial"/>
                <w:lang w:val="en-US"/>
              </w:rPr>
              <w:t>AIIRA</w:t>
            </w:r>
            <w:r w:rsidRPr="006E4D34">
              <w:rPr>
                <w:rFonts w:cs="Arial"/>
                <w:lang w:val="ru-RU"/>
              </w:rPr>
              <w:t xml:space="preserve"> </w:t>
            </w:r>
            <w:r w:rsidRPr="006E4D34">
              <w:rPr>
                <w:rFonts w:cs="Arial"/>
              </w:rPr>
              <w:t>е противопоказана през втория и третия триместьр на бременността (вижте точки 4.3 и 4.4).</w:t>
            </w:r>
          </w:p>
        </w:tc>
      </w:tr>
    </w:tbl>
    <w:p w14:paraId="117F6503" w14:textId="3FB35BB6" w:rsidR="006E4D34" w:rsidRPr="006E4D34" w:rsidRDefault="006E4D34" w:rsidP="006E4D34">
      <w:pPr>
        <w:rPr>
          <w:rFonts w:cs="Arial"/>
          <w:lang w:val="ru-RU"/>
        </w:rPr>
      </w:pPr>
    </w:p>
    <w:p w14:paraId="6ADA26EC"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Епидемиологичните данни за риска от тератогенност след експозиция на АСЕ инхибитори през първия триместьр на бременността не са убедителни. Независимо от това, не може да се изключи леко повишение на риска. Въпреки че няма контролирани епидемиологични данни за риска от ангиотензин </w:t>
      </w:r>
      <w:r w:rsidRPr="006E4D34">
        <w:rPr>
          <w:rFonts w:eastAsia="Times New Roman" w:cs="Arial"/>
          <w:color w:val="000000"/>
          <w:lang w:val="en-US"/>
        </w:rPr>
        <w:t>II</w:t>
      </w:r>
      <w:r w:rsidRPr="006E4D34">
        <w:rPr>
          <w:rFonts w:eastAsia="Times New Roman" w:cs="Arial"/>
          <w:color w:val="000000"/>
          <w:lang w:eastAsia="bg-BG"/>
        </w:rPr>
        <w:t xml:space="preserve"> рецепторни блокери, подобен риск може да съществува при този клас лекарства. Освен ако се сметне, че терапията с </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 xml:space="preserve">е много важна, пациентките, които плануват бременност, трябва да преминат на алтернативно антихипертензивно лечение с доказан профил на безопасност за употреба при бременност. При диагностициране на бременност, лечението с </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трябва да бъде преустановено незабавно и при необходимост, да се започне подходяща алтернативна терапия.</w:t>
      </w:r>
    </w:p>
    <w:p w14:paraId="5722A862" w14:textId="77777777" w:rsidR="006E4D34" w:rsidRPr="006E4D34" w:rsidRDefault="006E4D34" w:rsidP="006E4D34">
      <w:pPr>
        <w:spacing w:line="240" w:lineRule="auto"/>
        <w:rPr>
          <w:rFonts w:eastAsia="Times New Roman" w:cs="Arial"/>
          <w:color w:val="000000"/>
          <w:lang w:eastAsia="bg-BG"/>
        </w:rPr>
      </w:pPr>
    </w:p>
    <w:p w14:paraId="4E142E7C" w14:textId="741EA812"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lastRenderedPageBreak/>
        <w:t xml:space="preserve">Експозиция с </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по време на втория и третия триместьр на бременността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w:t>
      </w:r>
      <w:r w:rsidRPr="006E4D34">
        <w:rPr>
          <w:rFonts w:eastAsia="Times New Roman" w:cs="Arial"/>
          <w:color w:val="000000"/>
          <w:vertAlign w:val="subscript"/>
          <w:lang w:eastAsia="bg-BG"/>
        </w:rPr>
        <w:t xml:space="preserve"> </w:t>
      </w:r>
      <w:r w:rsidRPr="006E4D34">
        <w:rPr>
          <w:rFonts w:eastAsia="Times New Roman" w:cs="Arial"/>
          <w:color w:val="000000"/>
          <w:lang w:eastAsia="bg-BG"/>
        </w:rPr>
        <w:t>хиперкалиемия) (вж. точка 5.3).</w:t>
      </w:r>
    </w:p>
    <w:p w14:paraId="77482389"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В случай на експозиция с </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след втория триместьр от бременността се препоръчва ултразвуково изследване на бъбречната функция и черепа.</w:t>
      </w:r>
    </w:p>
    <w:p w14:paraId="5ED21960" w14:textId="67A29C87" w:rsidR="006E4D34" w:rsidRPr="006E4D34" w:rsidRDefault="006E4D34" w:rsidP="006E4D34">
      <w:pPr>
        <w:rPr>
          <w:rFonts w:eastAsia="Times New Roman" w:cs="Arial"/>
          <w:color w:val="000000"/>
          <w:lang w:eastAsia="bg-BG"/>
        </w:rPr>
      </w:pPr>
      <w:r w:rsidRPr="006E4D34">
        <w:rPr>
          <w:rFonts w:eastAsia="Times New Roman" w:cs="Arial"/>
          <w:color w:val="000000"/>
          <w:lang w:eastAsia="bg-BG"/>
        </w:rPr>
        <w:t xml:space="preserve">Новородени, чиито майки са приемали </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трябва да бъдат внимателно наблюдавани за</w:t>
      </w:r>
      <w:r w:rsidRPr="006E4D34">
        <w:rPr>
          <w:rFonts w:eastAsia="Times New Roman" w:cs="Arial"/>
          <w:b/>
          <w:bCs/>
          <w:color w:val="000000"/>
          <w:lang w:eastAsia="bg-BG"/>
        </w:rPr>
        <w:t xml:space="preserve"> </w:t>
      </w:r>
      <w:r w:rsidRPr="006E4D34">
        <w:rPr>
          <w:rFonts w:eastAsia="Times New Roman" w:cs="Arial"/>
          <w:color w:val="000000"/>
          <w:lang w:eastAsia="bg-BG"/>
        </w:rPr>
        <w:t>хипотония (вж. точки 4.3 и 4.4).</w:t>
      </w:r>
    </w:p>
    <w:p w14:paraId="645BDA95" w14:textId="32DD636A" w:rsidR="006E4D34" w:rsidRPr="006E4D34" w:rsidRDefault="006E4D34" w:rsidP="006E4D34">
      <w:pPr>
        <w:rPr>
          <w:rFonts w:eastAsia="Times New Roman" w:cs="Arial"/>
          <w:color w:val="000000"/>
          <w:lang w:eastAsia="bg-BG"/>
        </w:rPr>
      </w:pPr>
    </w:p>
    <w:p w14:paraId="2B632068" w14:textId="77777777"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lang w:eastAsia="bg-BG"/>
        </w:rPr>
        <w:t>Хидрохлоротиазид:</w:t>
      </w:r>
    </w:p>
    <w:p w14:paraId="14DF0668"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Налице е ограничен опит с хидрохлоротиазид по време на бременност, особено по време на първия триместьр. Проучванията при животни са недостатъчни.</w:t>
      </w:r>
    </w:p>
    <w:p w14:paraId="41B0DC4C" w14:textId="77777777" w:rsidR="006E4D34" w:rsidRPr="006E4D34" w:rsidRDefault="006E4D34" w:rsidP="006E4D34">
      <w:pPr>
        <w:spacing w:line="240" w:lineRule="auto"/>
        <w:rPr>
          <w:rFonts w:eastAsia="Times New Roman" w:cs="Arial"/>
          <w:color w:val="000000"/>
          <w:lang w:eastAsia="bg-BG"/>
        </w:rPr>
      </w:pPr>
    </w:p>
    <w:p w14:paraId="4B058857" w14:textId="5FC91ED6"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Хидрохлоротиазид преминава през плацентата. Базирайки се на фармакологичния механизъм на действие на хидрохлоротиазид, неговата употреба по време на втория и третия триместьр може да наруши фето-плацентарната перфузия, което може да доведе до фетални и неонатални ефекти като жълтеница, нарушение на електролитния баланс и тромбоцитопения.</w:t>
      </w:r>
    </w:p>
    <w:p w14:paraId="54E4423A" w14:textId="77777777" w:rsidR="006E4D34" w:rsidRPr="006E4D34" w:rsidRDefault="006E4D34" w:rsidP="006E4D34">
      <w:pPr>
        <w:spacing w:line="240" w:lineRule="auto"/>
        <w:rPr>
          <w:rFonts w:eastAsia="Times New Roman" w:cs="Arial"/>
          <w:color w:val="000000"/>
          <w:lang w:eastAsia="bg-BG"/>
        </w:rPr>
      </w:pPr>
    </w:p>
    <w:p w14:paraId="2E4C532A" w14:textId="3900204F"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Хидрохлоротиазид не трябва да се използва при гестационен едем, гестационна хипертония или прееклампсия поради риска от намаляване на плазмения обем и плацентарна хипоперфузия, без да се наблюдава благоприятен ефект върху хода на болестта.</w:t>
      </w:r>
    </w:p>
    <w:p w14:paraId="411F38C4"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Хидрохлоротиазид не трябва да се използва за лечение на есенциална хипертония при бременни жени, освен в редки случаи, когато не може се използва никакво друго лечение.</w:t>
      </w:r>
    </w:p>
    <w:p w14:paraId="0EFAAA1D" w14:textId="77777777" w:rsidR="006E4D34" w:rsidRPr="006E4D34" w:rsidRDefault="006E4D34" w:rsidP="006E4D34">
      <w:pPr>
        <w:spacing w:line="240" w:lineRule="auto"/>
        <w:rPr>
          <w:rFonts w:eastAsia="Times New Roman" w:cs="Arial"/>
          <w:i/>
          <w:iCs/>
          <w:color w:val="000000"/>
          <w:u w:val="single"/>
          <w:lang w:eastAsia="bg-BG"/>
        </w:rPr>
      </w:pPr>
    </w:p>
    <w:p w14:paraId="65D18E1E" w14:textId="53CD8881" w:rsidR="006E4D34" w:rsidRPr="006E4D34" w:rsidRDefault="006E4D34" w:rsidP="006E4D34">
      <w:pPr>
        <w:pStyle w:val="Heading3"/>
        <w:rPr>
          <w:rFonts w:eastAsia="Times New Roman"/>
          <w:u w:val="single"/>
        </w:rPr>
      </w:pPr>
      <w:r w:rsidRPr="006E4D34">
        <w:rPr>
          <w:rFonts w:eastAsia="Times New Roman"/>
          <w:u w:val="single"/>
          <w:lang w:eastAsia="bg-BG"/>
        </w:rPr>
        <w:t>Кърмене</w:t>
      </w:r>
    </w:p>
    <w:p w14:paraId="1F60E5E3" w14:textId="77777777" w:rsidR="006E4D34" w:rsidRPr="006E4D34" w:rsidRDefault="006E4D34" w:rsidP="006E4D34">
      <w:pPr>
        <w:spacing w:line="240" w:lineRule="auto"/>
        <w:rPr>
          <w:rFonts w:eastAsia="Times New Roman" w:cs="Arial"/>
          <w:i/>
          <w:iCs/>
          <w:color w:val="000000"/>
          <w:lang w:eastAsia="bg-BG"/>
        </w:rPr>
      </w:pPr>
    </w:p>
    <w:p w14:paraId="334609B6" w14:textId="415CC791"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lang w:eastAsia="bg-BG"/>
        </w:rPr>
        <w:t>Антагонисти на ангиотензин II</w:t>
      </w:r>
      <w:r w:rsidRPr="006E4D34">
        <w:rPr>
          <w:rFonts w:eastAsia="Times New Roman" w:cs="Arial"/>
          <w:i/>
          <w:iCs/>
          <w:color w:val="000000"/>
          <w:lang w:val="ru-RU"/>
        </w:rPr>
        <w:t xml:space="preserve"> </w:t>
      </w:r>
      <w:r w:rsidRPr="006E4D34">
        <w:rPr>
          <w:rFonts w:eastAsia="Times New Roman" w:cs="Arial"/>
          <w:i/>
          <w:iCs/>
          <w:color w:val="000000"/>
          <w:lang w:eastAsia="bg-BG"/>
        </w:rPr>
        <w:t xml:space="preserve">рецепторите </w:t>
      </w:r>
      <w:r w:rsidRPr="006E4D34">
        <w:rPr>
          <w:rFonts w:eastAsia="Times New Roman" w:cs="Arial"/>
          <w:i/>
          <w:iCs/>
          <w:color w:val="000000"/>
          <w:lang w:val="ru-RU"/>
        </w:rPr>
        <w:t>(</w:t>
      </w:r>
      <w:r w:rsidRPr="006E4D34">
        <w:rPr>
          <w:rFonts w:eastAsia="Times New Roman" w:cs="Arial"/>
          <w:i/>
          <w:iCs/>
          <w:color w:val="000000"/>
          <w:lang w:val="en-US"/>
        </w:rPr>
        <w:t>AIIRA</w:t>
      </w:r>
      <w:r w:rsidRPr="006E4D34">
        <w:rPr>
          <w:rFonts w:eastAsia="Times New Roman" w:cs="Arial"/>
          <w:i/>
          <w:iCs/>
          <w:color w:val="000000"/>
          <w:lang w:val="ru-RU"/>
        </w:rPr>
        <w:t>)</w:t>
      </w:r>
    </w:p>
    <w:p w14:paraId="20EF6BC7"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Тъй като липсват данни за Карзап Н по време на кърмене, употребата на кандесартан цилексетил/хидрохлоротиазид не се препоръчва. Препоръчва се алтернативно лечение с по- добре установен профил на безопасност по време на кърмене, особено кърмене на новородено или недоносено кърмаче.</w:t>
      </w:r>
    </w:p>
    <w:p w14:paraId="72C5A838" w14:textId="77777777" w:rsidR="006E4D34" w:rsidRPr="006E4D34" w:rsidRDefault="006E4D34" w:rsidP="006E4D34">
      <w:pPr>
        <w:spacing w:line="240" w:lineRule="auto"/>
        <w:rPr>
          <w:rFonts w:eastAsia="Times New Roman" w:cs="Arial"/>
          <w:i/>
          <w:iCs/>
          <w:color w:val="000000"/>
          <w:lang w:eastAsia="bg-BG"/>
        </w:rPr>
      </w:pPr>
    </w:p>
    <w:p w14:paraId="1C0670E9" w14:textId="635FF1A1"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lang w:eastAsia="bg-BG"/>
        </w:rPr>
        <w:t>Хидрохлоротиазид:</w:t>
      </w:r>
    </w:p>
    <w:p w14:paraId="3E26564A"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Хидрохлортизид се екскретира в кърмата в малки количества. Тиазиди във високи дози, водещи до интензивна диуреза, могат да потиснат лактацията. Употребата на Карзап Н по време на кърмене не се препоръчва.</w:t>
      </w:r>
    </w:p>
    <w:p w14:paraId="723BB8D0" w14:textId="77777777" w:rsidR="006E4D34" w:rsidRPr="006E4D34" w:rsidRDefault="006E4D34" w:rsidP="006E4D34"/>
    <w:p w14:paraId="5DD7A76D" w14:textId="275CF9E7" w:rsidR="007122AD" w:rsidRDefault="002C50EE" w:rsidP="00936AD0">
      <w:pPr>
        <w:pStyle w:val="Heading2"/>
      </w:pPr>
      <w:r>
        <w:t>4.7. Ефекти върху способността за шофиране и работа с машини</w:t>
      </w:r>
    </w:p>
    <w:p w14:paraId="34EBDAA0" w14:textId="572EFF72" w:rsidR="006E4D34" w:rsidRDefault="006E4D34" w:rsidP="006E4D34"/>
    <w:p w14:paraId="01F84090" w14:textId="77777777" w:rsidR="006E4D34" w:rsidRPr="006E4D34" w:rsidRDefault="006E4D34" w:rsidP="006E4D34">
      <w:pPr>
        <w:rPr>
          <w:sz w:val="24"/>
          <w:szCs w:val="24"/>
        </w:rPr>
      </w:pPr>
      <w:r w:rsidRPr="006E4D34">
        <w:rPr>
          <w:lang w:eastAsia="bg-BG"/>
        </w:rPr>
        <w:t>Не са провеждани проучвания за ефектите му върху способността за шофиране и работа с машини. Трябва да се има предвид, че при употреба на Карзап Н при шофиране и работа с машини е възможно понякога да настъпи замаяност или умора.</w:t>
      </w:r>
    </w:p>
    <w:p w14:paraId="410A91A7" w14:textId="77777777" w:rsidR="006E4D34" w:rsidRPr="006E4D34" w:rsidRDefault="006E4D34" w:rsidP="006E4D34"/>
    <w:p w14:paraId="44CE30A3" w14:textId="2BD18850" w:rsidR="007122AD" w:rsidRDefault="002C50EE" w:rsidP="00936AD0">
      <w:pPr>
        <w:pStyle w:val="Heading2"/>
      </w:pPr>
      <w:r>
        <w:t>4.8. Нежелани лекарствени реакции</w:t>
      </w:r>
    </w:p>
    <w:p w14:paraId="20674127" w14:textId="343B48B7" w:rsidR="006E4D34" w:rsidRDefault="006E4D34" w:rsidP="006E4D34"/>
    <w:p w14:paraId="3DCC5009"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В контролирани клинични проучвания с кандесартан цилексетил/хидрохлоротиазид проявените нежеланите реакции са били леки до умерени. Спирането на лечението </w:t>
      </w:r>
      <w:r w:rsidRPr="006E4D34">
        <w:rPr>
          <w:rFonts w:eastAsia="Times New Roman" w:cs="Arial"/>
          <w:color w:val="000000"/>
          <w:lang w:eastAsia="bg-BG"/>
        </w:rPr>
        <w:lastRenderedPageBreak/>
        <w:t>поради развитие на нежелани реакции е сходно за кандесартан цилексетил/хидрохлоротиазид (2,3 - 3,3%) и плацебо (2,7 - 4,3%).</w:t>
      </w:r>
    </w:p>
    <w:p w14:paraId="36B67D75" w14:textId="77777777" w:rsidR="006E4D34" w:rsidRPr="006E4D34" w:rsidRDefault="006E4D34" w:rsidP="006E4D34">
      <w:pPr>
        <w:spacing w:line="240" w:lineRule="auto"/>
        <w:rPr>
          <w:rFonts w:eastAsia="Times New Roman" w:cs="Arial"/>
          <w:color w:val="000000"/>
          <w:lang w:eastAsia="bg-BG"/>
        </w:rPr>
      </w:pPr>
    </w:p>
    <w:p w14:paraId="62274A9A" w14:textId="5742BF6C"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В клинични проучвания с кандесартан цилексетил/хидрохлоротиазид, нежеланите реакции са били ограничени до такива, които са били съобщавани по време на лечение с кандесартан цилексетил и/или хидрохлоротиазид.</w:t>
      </w:r>
    </w:p>
    <w:p w14:paraId="69D6656C" w14:textId="77777777" w:rsidR="006E4D34" w:rsidRPr="006E4D34" w:rsidRDefault="006E4D34" w:rsidP="006E4D34">
      <w:pPr>
        <w:spacing w:line="240" w:lineRule="auto"/>
        <w:rPr>
          <w:rFonts w:eastAsia="Times New Roman" w:cs="Arial"/>
          <w:color w:val="000000"/>
          <w:lang w:eastAsia="bg-BG"/>
        </w:rPr>
      </w:pPr>
    </w:p>
    <w:p w14:paraId="1865CDEA" w14:textId="11F7C893"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В дадената по-долу таблица са представени нежеланите лекарствени реакции на кандесартан цилексетил от клиничните проучвания и пост-маркетинговия опит. В сборния анализ на данните от клиничните проучвания при пациенти с артериална хипертония, нежеланите реакции при кандесартан цилексетил се дефинират въз основа на честота на нежелани събития при прием на кандесартан цилексетил, по-висока с поне 1% от наблюдаваната при прием на плацебо.</w:t>
      </w:r>
    </w:p>
    <w:p w14:paraId="06615CD2" w14:textId="77777777" w:rsidR="006E4D34" w:rsidRPr="006E4D34" w:rsidRDefault="006E4D34" w:rsidP="006E4D34">
      <w:pPr>
        <w:rPr>
          <w:rFonts w:eastAsia="Times New Roman" w:cs="Arial"/>
          <w:color w:val="000000"/>
          <w:lang w:eastAsia="bg-BG"/>
        </w:rPr>
      </w:pPr>
    </w:p>
    <w:p w14:paraId="61615C43" w14:textId="603298E3" w:rsidR="006E4D34" w:rsidRDefault="006E4D34" w:rsidP="006E4D34">
      <w:pPr>
        <w:rPr>
          <w:rFonts w:ascii="Times New Roman" w:eastAsia="Times New Roman" w:hAnsi="Times New Roman" w:cs="Times New Roman"/>
          <w:color w:val="000000"/>
          <w:lang w:eastAsia="bg-BG"/>
        </w:rPr>
      </w:pPr>
      <w:r w:rsidRPr="006E4D34">
        <w:rPr>
          <w:rFonts w:eastAsia="Times New Roman" w:cs="Arial"/>
          <w:color w:val="000000"/>
          <w:lang w:eastAsia="bg-BG"/>
        </w:rPr>
        <w:t>Използваните в таблиците в точка 4.8 честоти са както следва: много чести (≥ 1/10); чести (≥1/100 до &lt; 1/10), нечести (≥ 1/1 000 до &lt; 1/100), редки (≥ 1/10 000 до &lt; 1/1 000), много редки (&lt;1/10 000), с неизвестна честота ( не могат да бъдат оценени от наличните данни)</w:t>
      </w:r>
    </w:p>
    <w:p w14:paraId="102029F0" w14:textId="06D73E56" w:rsidR="006E4D34" w:rsidRDefault="006E4D34" w:rsidP="006E4D34">
      <w:pPr>
        <w:tabs>
          <w:tab w:val="left" w:pos="1304"/>
        </w:tabs>
      </w:pPr>
      <w:r>
        <w:tab/>
      </w:r>
    </w:p>
    <w:tbl>
      <w:tblPr>
        <w:tblStyle w:val="TableGrid"/>
        <w:tblW w:w="0" w:type="auto"/>
        <w:tblLook w:val="04A0" w:firstRow="1" w:lastRow="0" w:firstColumn="1" w:lastColumn="0" w:noHBand="0" w:noVBand="1"/>
      </w:tblPr>
      <w:tblGrid>
        <w:gridCol w:w="3122"/>
        <w:gridCol w:w="3090"/>
        <w:gridCol w:w="3138"/>
      </w:tblGrid>
      <w:tr w:rsidR="006E4D34" w14:paraId="6AE23A20" w14:textId="77777777" w:rsidTr="006E4D34">
        <w:tc>
          <w:tcPr>
            <w:tcW w:w="3192" w:type="dxa"/>
          </w:tcPr>
          <w:p w14:paraId="330FC4F6" w14:textId="6860CD56" w:rsidR="006E4D34" w:rsidRDefault="006E4D34" w:rsidP="006E4D34">
            <w:pPr>
              <w:tabs>
                <w:tab w:val="left" w:pos="1304"/>
              </w:tabs>
            </w:pPr>
            <w:r>
              <w:rPr>
                <w:b/>
                <w:bCs/>
              </w:rPr>
              <w:t>Системо-органен клас</w:t>
            </w:r>
          </w:p>
        </w:tc>
        <w:tc>
          <w:tcPr>
            <w:tcW w:w="3192" w:type="dxa"/>
          </w:tcPr>
          <w:p w14:paraId="7F03D5A0" w14:textId="64B2509B" w:rsidR="006E4D34" w:rsidRDefault="006E4D34" w:rsidP="006E4D34">
            <w:pPr>
              <w:tabs>
                <w:tab w:val="left" w:pos="1304"/>
              </w:tabs>
            </w:pPr>
            <w:r>
              <w:rPr>
                <w:b/>
                <w:bCs/>
              </w:rPr>
              <w:t>Честота</w:t>
            </w:r>
          </w:p>
        </w:tc>
        <w:tc>
          <w:tcPr>
            <w:tcW w:w="3192" w:type="dxa"/>
          </w:tcPr>
          <w:p w14:paraId="5127472C" w14:textId="27CB2785" w:rsidR="006E4D34" w:rsidRDefault="006E4D34" w:rsidP="006E4D34">
            <w:pPr>
              <w:tabs>
                <w:tab w:val="left" w:pos="1304"/>
              </w:tabs>
            </w:pPr>
            <w:r>
              <w:rPr>
                <w:b/>
                <w:bCs/>
              </w:rPr>
              <w:t>Нежелан ефект</w:t>
            </w:r>
          </w:p>
        </w:tc>
      </w:tr>
      <w:tr w:rsidR="006E4D34" w14:paraId="234F6676" w14:textId="77777777" w:rsidTr="006E4D34">
        <w:tc>
          <w:tcPr>
            <w:tcW w:w="3192" w:type="dxa"/>
          </w:tcPr>
          <w:p w14:paraId="03DCC0FC" w14:textId="37B7F1A8" w:rsidR="006E4D34" w:rsidRDefault="006E4D34" w:rsidP="006E4D34">
            <w:pPr>
              <w:tabs>
                <w:tab w:val="left" w:pos="1304"/>
              </w:tabs>
            </w:pPr>
            <w:r>
              <w:t>Инфекции и инфестации</w:t>
            </w:r>
          </w:p>
        </w:tc>
        <w:tc>
          <w:tcPr>
            <w:tcW w:w="3192" w:type="dxa"/>
          </w:tcPr>
          <w:p w14:paraId="46E431A1" w14:textId="26BE99CB" w:rsidR="006E4D34" w:rsidRDefault="006E4D34" w:rsidP="006E4D34">
            <w:pPr>
              <w:tabs>
                <w:tab w:val="left" w:pos="1304"/>
              </w:tabs>
            </w:pPr>
            <w:r>
              <w:t>Чести</w:t>
            </w:r>
          </w:p>
        </w:tc>
        <w:tc>
          <w:tcPr>
            <w:tcW w:w="3192" w:type="dxa"/>
          </w:tcPr>
          <w:p w14:paraId="3B50BC2A" w14:textId="791EB977" w:rsidR="006E4D34" w:rsidRDefault="006E4D34" w:rsidP="006E4D34">
            <w:pPr>
              <w:tabs>
                <w:tab w:val="left" w:pos="1304"/>
              </w:tabs>
            </w:pPr>
            <w:r>
              <w:t>Респираторна инфекция</w:t>
            </w:r>
          </w:p>
        </w:tc>
      </w:tr>
      <w:tr w:rsidR="006E4D34" w14:paraId="45193CB6" w14:textId="77777777" w:rsidTr="006E4D34">
        <w:tc>
          <w:tcPr>
            <w:tcW w:w="3192" w:type="dxa"/>
          </w:tcPr>
          <w:p w14:paraId="381A701E" w14:textId="2ABDF754" w:rsidR="006E4D34" w:rsidRDefault="006E4D34" w:rsidP="006E4D34">
            <w:pPr>
              <w:tabs>
                <w:tab w:val="left" w:pos="1304"/>
              </w:tabs>
            </w:pPr>
            <w:r>
              <w:t>Нарушения на кръвта и лимфната система</w:t>
            </w:r>
          </w:p>
        </w:tc>
        <w:tc>
          <w:tcPr>
            <w:tcW w:w="3192" w:type="dxa"/>
          </w:tcPr>
          <w:p w14:paraId="694C1207" w14:textId="54C616F9" w:rsidR="006E4D34" w:rsidRDefault="006E4D34" w:rsidP="006E4D34">
            <w:pPr>
              <w:tabs>
                <w:tab w:val="left" w:pos="1304"/>
              </w:tabs>
            </w:pPr>
            <w:r>
              <w:t>Много редки</w:t>
            </w:r>
          </w:p>
        </w:tc>
        <w:tc>
          <w:tcPr>
            <w:tcW w:w="3192" w:type="dxa"/>
          </w:tcPr>
          <w:p w14:paraId="265C7C4C" w14:textId="4E6C36E8" w:rsidR="006E4D34" w:rsidRDefault="006E4D34" w:rsidP="006E4D34">
            <w:pPr>
              <w:tabs>
                <w:tab w:val="left" w:pos="1304"/>
              </w:tabs>
            </w:pPr>
            <w:r>
              <w:t>Левкопения, неутропения и агранулоцитоза</w:t>
            </w:r>
          </w:p>
        </w:tc>
      </w:tr>
      <w:tr w:rsidR="006E4D34" w14:paraId="7F9A65B9" w14:textId="77777777" w:rsidTr="006E4D34">
        <w:tc>
          <w:tcPr>
            <w:tcW w:w="3192" w:type="dxa"/>
          </w:tcPr>
          <w:p w14:paraId="743AE86F" w14:textId="28834410" w:rsidR="006E4D34" w:rsidRDefault="006E4D34" w:rsidP="006E4D34">
            <w:pPr>
              <w:tabs>
                <w:tab w:val="left" w:pos="1304"/>
              </w:tabs>
            </w:pPr>
            <w:r>
              <w:t>Нарушения на метаболизма и храненето</w:t>
            </w:r>
          </w:p>
        </w:tc>
        <w:tc>
          <w:tcPr>
            <w:tcW w:w="3192" w:type="dxa"/>
          </w:tcPr>
          <w:p w14:paraId="12F3CDC2" w14:textId="4ED6F539" w:rsidR="006E4D34" w:rsidRDefault="006E4D34" w:rsidP="006E4D34">
            <w:pPr>
              <w:tabs>
                <w:tab w:val="left" w:pos="1304"/>
              </w:tabs>
            </w:pPr>
            <w:r>
              <w:t>Много редки</w:t>
            </w:r>
          </w:p>
        </w:tc>
        <w:tc>
          <w:tcPr>
            <w:tcW w:w="3192" w:type="dxa"/>
          </w:tcPr>
          <w:p w14:paraId="2E294074" w14:textId="278A7CA0" w:rsidR="006E4D34" w:rsidRDefault="006E4D34" w:rsidP="006E4D34">
            <w:pPr>
              <w:tabs>
                <w:tab w:val="left" w:pos="1304"/>
              </w:tabs>
            </w:pPr>
            <w:r>
              <w:t>Хиперкалиемия, хипонатриемия</w:t>
            </w:r>
          </w:p>
        </w:tc>
      </w:tr>
      <w:tr w:rsidR="006E4D34" w14:paraId="37E210EA" w14:textId="77777777" w:rsidTr="006E4D34">
        <w:tc>
          <w:tcPr>
            <w:tcW w:w="3192" w:type="dxa"/>
          </w:tcPr>
          <w:p w14:paraId="613D6443" w14:textId="06DBD5B4" w:rsidR="006E4D34" w:rsidRDefault="006E4D34" w:rsidP="006E4D34">
            <w:pPr>
              <w:tabs>
                <w:tab w:val="left" w:pos="1304"/>
              </w:tabs>
            </w:pPr>
            <w:r>
              <w:t>Нарушения на нервната система</w:t>
            </w:r>
          </w:p>
        </w:tc>
        <w:tc>
          <w:tcPr>
            <w:tcW w:w="3192" w:type="dxa"/>
          </w:tcPr>
          <w:p w14:paraId="0B3C5A80" w14:textId="3AA20A1F" w:rsidR="006E4D34" w:rsidRDefault="006E4D34" w:rsidP="006E4D34">
            <w:pPr>
              <w:tabs>
                <w:tab w:val="left" w:pos="1304"/>
              </w:tabs>
            </w:pPr>
            <w:r>
              <w:t>Чести</w:t>
            </w:r>
          </w:p>
        </w:tc>
        <w:tc>
          <w:tcPr>
            <w:tcW w:w="3192" w:type="dxa"/>
          </w:tcPr>
          <w:p w14:paraId="25689327" w14:textId="756B15C9" w:rsidR="006E4D34" w:rsidRDefault="006E4D34" w:rsidP="006E4D34">
            <w:pPr>
              <w:tabs>
                <w:tab w:val="left" w:pos="1304"/>
              </w:tabs>
            </w:pPr>
            <w:r>
              <w:t>Замаяност/вертиго, главоболие</w:t>
            </w:r>
          </w:p>
        </w:tc>
      </w:tr>
      <w:tr w:rsidR="006E4D34" w14:paraId="3D628B5A" w14:textId="77777777" w:rsidTr="006E4D34">
        <w:tc>
          <w:tcPr>
            <w:tcW w:w="3192" w:type="dxa"/>
          </w:tcPr>
          <w:p w14:paraId="76AFC15D" w14:textId="282FA7A6" w:rsidR="006E4D34" w:rsidRDefault="006E4D34" w:rsidP="006E4D34">
            <w:pPr>
              <w:tabs>
                <w:tab w:val="left" w:pos="1304"/>
              </w:tabs>
            </w:pPr>
            <w:r>
              <w:t>Респираторни, гръдни и медиастинални нарушения</w:t>
            </w:r>
          </w:p>
        </w:tc>
        <w:tc>
          <w:tcPr>
            <w:tcW w:w="3192" w:type="dxa"/>
          </w:tcPr>
          <w:p w14:paraId="4F99FD40" w14:textId="473F46DF" w:rsidR="006E4D34" w:rsidRDefault="006E4D34" w:rsidP="006E4D34">
            <w:pPr>
              <w:tabs>
                <w:tab w:val="left" w:pos="1304"/>
              </w:tabs>
            </w:pPr>
            <w:r>
              <w:t>Много редки</w:t>
            </w:r>
          </w:p>
        </w:tc>
        <w:tc>
          <w:tcPr>
            <w:tcW w:w="3192" w:type="dxa"/>
          </w:tcPr>
          <w:p w14:paraId="619572D0" w14:textId="618EC25C" w:rsidR="006E4D34" w:rsidRDefault="006E4D34" w:rsidP="006E4D34">
            <w:pPr>
              <w:tabs>
                <w:tab w:val="left" w:pos="1304"/>
              </w:tabs>
            </w:pPr>
            <w:r>
              <w:t>Кашлица</w:t>
            </w:r>
          </w:p>
        </w:tc>
      </w:tr>
      <w:tr w:rsidR="006E4D34" w14:paraId="493D7F6D" w14:textId="77777777" w:rsidTr="006E4D34">
        <w:tc>
          <w:tcPr>
            <w:tcW w:w="3192" w:type="dxa"/>
            <w:vMerge w:val="restart"/>
          </w:tcPr>
          <w:p w14:paraId="0888C3DB" w14:textId="3CC32C19" w:rsidR="006E4D34" w:rsidRDefault="006E4D34" w:rsidP="006E4D34">
            <w:pPr>
              <w:tabs>
                <w:tab w:val="left" w:pos="1304"/>
              </w:tabs>
            </w:pPr>
            <w:r>
              <w:t>Стомашно-чревни нарушения</w:t>
            </w:r>
          </w:p>
        </w:tc>
        <w:tc>
          <w:tcPr>
            <w:tcW w:w="3192" w:type="dxa"/>
          </w:tcPr>
          <w:p w14:paraId="01CE58F7" w14:textId="267F8B68" w:rsidR="006E4D34" w:rsidRDefault="006E4D34" w:rsidP="006E4D34">
            <w:pPr>
              <w:tabs>
                <w:tab w:val="left" w:pos="1304"/>
              </w:tabs>
            </w:pPr>
            <w:r>
              <w:t>Много редки</w:t>
            </w:r>
          </w:p>
        </w:tc>
        <w:tc>
          <w:tcPr>
            <w:tcW w:w="3192" w:type="dxa"/>
          </w:tcPr>
          <w:p w14:paraId="6437BC3E" w14:textId="0613E3D6" w:rsidR="006E4D34" w:rsidRDefault="006E4D34" w:rsidP="006E4D34">
            <w:pPr>
              <w:tabs>
                <w:tab w:val="left" w:pos="1304"/>
              </w:tabs>
            </w:pPr>
            <w:r>
              <w:t>Гадене</w:t>
            </w:r>
          </w:p>
        </w:tc>
      </w:tr>
      <w:tr w:rsidR="006E4D34" w14:paraId="3E9FBD0B" w14:textId="77777777" w:rsidTr="006E4D34">
        <w:tc>
          <w:tcPr>
            <w:tcW w:w="3192" w:type="dxa"/>
            <w:vMerge/>
          </w:tcPr>
          <w:p w14:paraId="574E4E77" w14:textId="77777777" w:rsidR="006E4D34" w:rsidRDefault="006E4D34" w:rsidP="006E4D34">
            <w:pPr>
              <w:tabs>
                <w:tab w:val="left" w:pos="1304"/>
              </w:tabs>
            </w:pPr>
          </w:p>
        </w:tc>
        <w:tc>
          <w:tcPr>
            <w:tcW w:w="3192" w:type="dxa"/>
          </w:tcPr>
          <w:p w14:paraId="72250B36" w14:textId="2DC94729" w:rsidR="006E4D34" w:rsidRDefault="006E4D34" w:rsidP="006E4D34">
            <w:pPr>
              <w:tabs>
                <w:tab w:val="left" w:pos="1304"/>
              </w:tabs>
            </w:pPr>
            <w:r>
              <w:t>С неизвестна честота</w:t>
            </w:r>
          </w:p>
        </w:tc>
        <w:tc>
          <w:tcPr>
            <w:tcW w:w="3192" w:type="dxa"/>
          </w:tcPr>
          <w:p w14:paraId="122C0A9C" w14:textId="6EABBA75" w:rsidR="006E4D34" w:rsidRDefault="006E4D34" w:rsidP="006E4D34">
            <w:pPr>
              <w:tabs>
                <w:tab w:val="left" w:pos="1304"/>
              </w:tabs>
            </w:pPr>
            <w:r>
              <w:t>Диария</w:t>
            </w:r>
          </w:p>
        </w:tc>
      </w:tr>
      <w:tr w:rsidR="006E4D34" w14:paraId="4C8EB3AB" w14:textId="77777777" w:rsidTr="006E4D34">
        <w:tc>
          <w:tcPr>
            <w:tcW w:w="3192" w:type="dxa"/>
          </w:tcPr>
          <w:p w14:paraId="11241595" w14:textId="4D1CFF82" w:rsidR="006E4D34" w:rsidRDefault="006E4D34" w:rsidP="006E4D34">
            <w:pPr>
              <w:tabs>
                <w:tab w:val="left" w:pos="1304"/>
              </w:tabs>
            </w:pPr>
            <w:r>
              <w:t>Хепатобилиарни нарушения</w:t>
            </w:r>
          </w:p>
        </w:tc>
        <w:tc>
          <w:tcPr>
            <w:tcW w:w="3192" w:type="dxa"/>
          </w:tcPr>
          <w:p w14:paraId="305CACA7" w14:textId="6C82F25E" w:rsidR="006E4D34" w:rsidRDefault="006E4D34" w:rsidP="006E4D34">
            <w:pPr>
              <w:tabs>
                <w:tab w:val="left" w:pos="1304"/>
              </w:tabs>
            </w:pPr>
            <w:r>
              <w:t>Много редки</w:t>
            </w:r>
          </w:p>
        </w:tc>
        <w:tc>
          <w:tcPr>
            <w:tcW w:w="3192" w:type="dxa"/>
          </w:tcPr>
          <w:p w14:paraId="6E584CFF" w14:textId="7698FFAC" w:rsidR="006E4D34" w:rsidRDefault="006E4D34" w:rsidP="006E4D34">
            <w:pPr>
              <w:tabs>
                <w:tab w:val="left" w:pos="1304"/>
              </w:tabs>
            </w:pPr>
            <w:r>
              <w:t>Повишено ниво на чернодробни ензими, нарушения във функцията на черния дроб или хепатит</w:t>
            </w:r>
          </w:p>
        </w:tc>
      </w:tr>
      <w:tr w:rsidR="006E4D34" w14:paraId="441147ED" w14:textId="77777777" w:rsidTr="006E4D34">
        <w:tc>
          <w:tcPr>
            <w:tcW w:w="3192" w:type="dxa"/>
          </w:tcPr>
          <w:p w14:paraId="198F89A8" w14:textId="66956FAE" w:rsidR="006E4D34" w:rsidRDefault="006E4D34" w:rsidP="006E4D34">
            <w:pPr>
              <w:tabs>
                <w:tab w:val="left" w:pos="1304"/>
              </w:tabs>
            </w:pPr>
            <w:r>
              <w:t>Нарушения на кожата или подкожната тъкан</w:t>
            </w:r>
          </w:p>
        </w:tc>
        <w:tc>
          <w:tcPr>
            <w:tcW w:w="3192" w:type="dxa"/>
          </w:tcPr>
          <w:p w14:paraId="32A0A00A" w14:textId="0DEA4C57" w:rsidR="006E4D34" w:rsidRDefault="006E4D34" w:rsidP="006E4D34">
            <w:pPr>
              <w:tabs>
                <w:tab w:val="left" w:pos="1304"/>
              </w:tabs>
            </w:pPr>
            <w:r>
              <w:t>Много редки</w:t>
            </w:r>
          </w:p>
        </w:tc>
        <w:tc>
          <w:tcPr>
            <w:tcW w:w="3192" w:type="dxa"/>
          </w:tcPr>
          <w:p w14:paraId="57286757" w14:textId="707F6F2F" w:rsidR="006E4D34" w:rsidRDefault="006E4D34" w:rsidP="006E4D34">
            <w:pPr>
              <w:tabs>
                <w:tab w:val="left" w:pos="1304"/>
              </w:tabs>
            </w:pPr>
            <w:r>
              <w:t>Ангиоедем, обрив, уртикария, пруритус</w:t>
            </w:r>
          </w:p>
        </w:tc>
      </w:tr>
      <w:tr w:rsidR="006E4D34" w14:paraId="1F9C06AB" w14:textId="77777777" w:rsidTr="006E4D34">
        <w:tc>
          <w:tcPr>
            <w:tcW w:w="3192" w:type="dxa"/>
          </w:tcPr>
          <w:p w14:paraId="66012856" w14:textId="63D94626" w:rsidR="006E4D34" w:rsidRDefault="006E4D34" w:rsidP="006E4D34">
            <w:pPr>
              <w:tabs>
                <w:tab w:val="left" w:pos="1304"/>
              </w:tabs>
            </w:pPr>
            <w:r>
              <w:t>Нарушения на мускулно- скелетната система и съединителната тъкан</w:t>
            </w:r>
          </w:p>
        </w:tc>
        <w:tc>
          <w:tcPr>
            <w:tcW w:w="3192" w:type="dxa"/>
          </w:tcPr>
          <w:p w14:paraId="557551E5" w14:textId="2165052F" w:rsidR="006E4D34" w:rsidRDefault="006E4D34" w:rsidP="006E4D34">
            <w:pPr>
              <w:tabs>
                <w:tab w:val="left" w:pos="1304"/>
              </w:tabs>
            </w:pPr>
            <w:r>
              <w:t>Много редки</w:t>
            </w:r>
          </w:p>
        </w:tc>
        <w:tc>
          <w:tcPr>
            <w:tcW w:w="3192" w:type="dxa"/>
          </w:tcPr>
          <w:p w14:paraId="10D39230" w14:textId="3B84ACB3" w:rsidR="006E4D34" w:rsidRDefault="006E4D34" w:rsidP="006E4D34">
            <w:pPr>
              <w:tabs>
                <w:tab w:val="left" w:pos="1304"/>
              </w:tabs>
            </w:pPr>
            <w:r>
              <w:t>Болки в гърба, артралгия, миалгия</w:t>
            </w:r>
          </w:p>
        </w:tc>
      </w:tr>
      <w:tr w:rsidR="006E4D34" w14:paraId="232D31B6" w14:textId="77777777" w:rsidTr="006E4D34">
        <w:tc>
          <w:tcPr>
            <w:tcW w:w="3192" w:type="dxa"/>
          </w:tcPr>
          <w:p w14:paraId="3FB88FAF" w14:textId="6BE21396" w:rsidR="006E4D34" w:rsidRDefault="006E4D34" w:rsidP="006E4D34">
            <w:pPr>
              <w:tabs>
                <w:tab w:val="left" w:pos="1304"/>
              </w:tabs>
            </w:pPr>
            <w:r>
              <w:t>Нарушения на бъбреците и пикочните пътища</w:t>
            </w:r>
          </w:p>
        </w:tc>
        <w:tc>
          <w:tcPr>
            <w:tcW w:w="3192" w:type="dxa"/>
          </w:tcPr>
          <w:p w14:paraId="266D03F1" w14:textId="5B16430C" w:rsidR="006E4D34" w:rsidRDefault="006E4D34" w:rsidP="006E4D34">
            <w:pPr>
              <w:tabs>
                <w:tab w:val="left" w:pos="1304"/>
              </w:tabs>
            </w:pPr>
            <w:r>
              <w:t>Много редки</w:t>
            </w:r>
          </w:p>
        </w:tc>
        <w:tc>
          <w:tcPr>
            <w:tcW w:w="3192" w:type="dxa"/>
          </w:tcPr>
          <w:p w14:paraId="3F3D0673" w14:textId="00171062" w:rsidR="006E4D34" w:rsidRDefault="006E4D34" w:rsidP="006E4D34">
            <w:pPr>
              <w:tabs>
                <w:tab w:val="left" w:pos="1304"/>
              </w:tabs>
            </w:pPr>
            <w:r>
              <w:t>Нарушена бъбречна функция, включваща бъбречна недостатъчност при чувствителни пациенти (вж. точка 4.4)</w:t>
            </w:r>
          </w:p>
        </w:tc>
      </w:tr>
    </w:tbl>
    <w:p w14:paraId="0A7F0DBC" w14:textId="1DBBC93B" w:rsidR="006E4D34" w:rsidRDefault="006E4D34" w:rsidP="006E4D34">
      <w:pPr>
        <w:tabs>
          <w:tab w:val="left" w:pos="1304"/>
        </w:tabs>
      </w:pPr>
    </w:p>
    <w:p w14:paraId="608046FD"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Таблицата по-долу представя нежеланите реакции при монотерапия с хидрохлоротиазид, обикновено при доза от 25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или по-висока.</w:t>
      </w:r>
    </w:p>
    <w:p w14:paraId="48239BD3" w14:textId="7395DED7" w:rsidR="006E4D34" w:rsidRDefault="006E4D34" w:rsidP="006E4D34">
      <w:pPr>
        <w:tabs>
          <w:tab w:val="left" w:pos="1304"/>
        </w:tabs>
      </w:pPr>
    </w:p>
    <w:tbl>
      <w:tblPr>
        <w:tblStyle w:val="TableGrid"/>
        <w:tblW w:w="0" w:type="auto"/>
        <w:tblLook w:val="04A0" w:firstRow="1" w:lastRow="0" w:firstColumn="1" w:lastColumn="0" w:noHBand="0" w:noVBand="1"/>
      </w:tblPr>
      <w:tblGrid>
        <w:gridCol w:w="3129"/>
        <w:gridCol w:w="3034"/>
        <w:gridCol w:w="3187"/>
      </w:tblGrid>
      <w:tr w:rsidR="006E4D34" w14:paraId="3DF6F98B" w14:textId="77777777" w:rsidTr="004040A9">
        <w:tc>
          <w:tcPr>
            <w:tcW w:w="3192" w:type="dxa"/>
            <w:vAlign w:val="bottom"/>
          </w:tcPr>
          <w:p w14:paraId="412B17F6" w14:textId="500BFE64" w:rsidR="006E4D34" w:rsidRDefault="006E4D34" w:rsidP="006E4D34">
            <w:pPr>
              <w:tabs>
                <w:tab w:val="left" w:pos="1304"/>
              </w:tabs>
            </w:pPr>
            <w:r>
              <w:rPr>
                <w:b/>
                <w:bCs/>
              </w:rPr>
              <w:lastRenderedPageBreak/>
              <w:t>Системо-органен клас</w:t>
            </w:r>
          </w:p>
        </w:tc>
        <w:tc>
          <w:tcPr>
            <w:tcW w:w="3192" w:type="dxa"/>
            <w:vAlign w:val="bottom"/>
          </w:tcPr>
          <w:p w14:paraId="2D4301B9" w14:textId="772B1CB0" w:rsidR="006E4D34" w:rsidRDefault="006E4D34" w:rsidP="006E4D34">
            <w:pPr>
              <w:tabs>
                <w:tab w:val="left" w:pos="1304"/>
              </w:tabs>
            </w:pPr>
            <w:r>
              <w:rPr>
                <w:b/>
                <w:bCs/>
              </w:rPr>
              <w:t>Честота</w:t>
            </w:r>
          </w:p>
        </w:tc>
        <w:tc>
          <w:tcPr>
            <w:tcW w:w="3192" w:type="dxa"/>
            <w:vAlign w:val="bottom"/>
          </w:tcPr>
          <w:p w14:paraId="7EA5E960" w14:textId="4BF88E63" w:rsidR="006E4D34" w:rsidRDefault="006E4D34" w:rsidP="006E4D34">
            <w:pPr>
              <w:tabs>
                <w:tab w:val="left" w:pos="1304"/>
              </w:tabs>
            </w:pPr>
            <w:r>
              <w:rPr>
                <w:b/>
                <w:bCs/>
              </w:rPr>
              <w:t>Нежелан ефект</w:t>
            </w:r>
          </w:p>
        </w:tc>
      </w:tr>
      <w:tr w:rsidR="006E4D34" w14:paraId="052B0DA6" w14:textId="77777777" w:rsidTr="006E4D34">
        <w:tc>
          <w:tcPr>
            <w:tcW w:w="3192" w:type="dxa"/>
          </w:tcPr>
          <w:p w14:paraId="46D0121A" w14:textId="197B4EF3" w:rsidR="006E4D34" w:rsidRDefault="006E4D34" w:rsidP="006E4D34">
            <w:pPr>
              <w:tabs>
                <w:tab w:val="left" w:pos="1304"/>
              </w:tabs>
            </w:pPr>
            <w:r>
              <w:t>Неоплазми - доброкачествени, злокачествени и неопределени (вкл. кисти и полипи)</w:t>
            </w:r>
          </w:p>
        </w:tc>
        <w:tc>
          <w:tcPr>
            <w:tcW w:w="3192" w:type="dxa"/>
          </w:tcPr>
          <w:p w14:paraId="375349A9" w14:textId="2A9071BB" w:rsidR="006E4D34" w:rsidRDefault="006E4D34" w:rsidP="006E4D34">
            <w:pPr>
              <w:tabs>
                <w:tab w:val="left" w:pos="1304"/>
              </w:tabs>
            </w:pPr>
            <w:r>
              <w:t>С неизвестна честота</w:t>
            </w:r>
          </w:p>
        </w:tc>
        <w:tc>
          <w:tcPr>
            <w:tcW w:w="3192" w:type="dxa"/>
          </w:tcPr>
          <w:p w14:paraId="113DA68C" w14:textId="0267E848" w:rsidR="006E4D34" w:rsidRDefault="006E4D34" w:rsidP="006E4D34">
            <w:pPr>
              <w:tabs>
                <w:tab w:val="left" w:pos="1304"/>
              </w:tabs>
            </w:pPr>
            <w:r>
              <w:t>Немеланомен рак на кожата (базалноклетъчен карцином и сквамозноклетьчен карцином)</w:t>
            </w:r>
          </w:p>
        </w:tc>
      </w:tr>
      <w:tr w:rsidR="006E4D34" w14:paraId="64D54125" w14:textId="77777777" w:rsidTr="004040A9">
        <w:tc>
          <w:tcPr>
            <w:tcW w:w="3192" w:type="dxa"/>
          </w:tcPr>
          <w:p w14:paraId="5FB7430A" w14:textId="6746C15C" w:rsidR="006E4D34" w:rsidRDefault="006E4D34" w:rsidP="006E4D34">
            <w:pPr>
              <w:tabs>
                <w:tab w:val="left" w:pos="1304"/>
              </w:tabs>
            </w:pPr>
            <w:r>
              <w:t>Нарушения на кръвта и лимфната система</w:t>
            </w:r>
          </w:p>
        </w:tc>
        <w:tc>
          <w:tcPr>
            <w:tcW w:w="3192" w:type="dxa"/>
          </w:tcPr>
          <w:p w14:paraId="1493B725" w14:textId="2074D0E6" w:rsidR="006E4D34" w:rsidRDefault="006E4D34" w:rsidP="006E4D34">
            <w:pPr>
              <w:tabs>
                <w:tab w:val="left" w:pos="1304"/>
              </w:tabs>
            </w:pPr>
            <w:r>
              <w:t>Редки</w:t>
            </w:r>
          </w:p>
        </w:tc>
        <w:tc>
          <w:tcPr>
            <w:tcW w:w="3192" w:type="dxa"/>
            <w:vAlign w:val="bottom"/>
          </w:tcPr>
          <w:p w14:paraId="01E5B81F" w14:textId="3C7ED64E" w:rsidR="006E4D34" w:rsidRDefault="006E4D34" w:rsidP="006E4D34">
            <w:pPr>
              <w:tabs>
                <w:tab w:val="left" w:pos="1304"/>
              </w:tabs>
            </w:pPr>
            <w:r>
              <w:t>Левкопения, неутропения/агранул оцитоза, тромбоцитопения, апластична анемия, костно-мозъчна депресия, хемолитична анемия</w:t>
            </w:r>
          </w:p>
        </w:tc>
      </w:tr>
      <w:tr w:rsidR="006E4D34" w14:paraId="51265E3E" w14:textId="77777777" w:rsidTr="004040A9">
        <w:tc>
          <w:tcPr>
            <w:tcW w:w="3192" w:type="dxa"/>
            <w:vAlign w:val="bottom"/>
          </w:tcPr>
          <w:p w14:paraId="64311803" w14:textId="68F04480" w:rsidR="006E4D34" w:rsidRDefault="006E4D34" w:rsidP="006E4D34">
            <w:pPr>
              <w:tabs>
                <w:tab w:val="left" w:pos="1304"/>
              </w:tabs>
            </w:pPr>
            <w:r>
              <w:t>Нарушения на имунната система</w:t>
            </w:r>
          </w:p>
        </w:tc>
        <w:tc>
          <w:tcPr>
            <w:tcW w:w="3192" w:type="dxa"/>
            <w:vAlign w:val="bottom"/>
          </w:tcPr>
          <w:p w14:paraId="4A730754" w14:textId="6480DE5B" w:rsidR="006E4D34" w:rsidRDefault="006E4D34" w:rsidP="006E4D34">
            <w:pPr>
              <w:tabs>
                <w:tab w:val="left" w:pos="1304"/>
              </w:tabs>
            </w:pPr>
            <w:r>
              <w:t>Редки</w:t>
            </w:r>
          </w:p>
        </w:tc>
        <w:tc>
          <w:tcPr>
            <w:tcW w:w="3192" w:type="dxa"/>
            <w:vAlign w:val="bottom"/>
          </w:tcPr>
          <w:p w14:paraId="39ECEBFF" w14:textId="3EDF2C90" w:rsidR="006E4D34" w:rsidRDefault="006E4D34" w:rsidP="006E4D34">
            <w:pPr>
              <w:tabs>
                <w:tab w:val="left" w:pos="1304"/>
              </w:tabs>
            </w:pPr>
            <w:r>
              <w:t>Анафилакгични реакции</w:t>
            </w:r>
          </w:p>
        </w:tc>
      </w:tr>
      <w:tr w:rsidR="006E4D34" w14:paraId="7F4DE86D" w14:textId="77777777" w:rsidTr="004040A9">
        <w:tc>
          <w:tcPr>
            <w:tcW w:w="3192" w:type="dxa"/>
          </w:tcPr>
          <w:p w14:paraId="47FA4ABD" w14:textId="12BD728C" w:rsidR="006E4D34" w:rsidRDefault="006E4D34" w:rsidP="006E4D34">
            <w:pPr>
              <w:tabs>
                <w:tab w:val="left" w:pos="1304"/>
              </w:tabs>
            </w:pPr>
            <w:r>
              <w:t>Нарушения на метаболизма и храненето</w:t>
            </w:r>
          </w:p>
        </w:tc>
        <w:tc>
          <w:tcPr>
            <w:tcW w:w="3192" w:type="dxa"/>
          </w:tcPr>
          <w:p w14:paraId="681202CF" w14:textId="08E01D5C" w:rsidR="006E4D34" w:rsidRDefault="006E4D34" w:rsidP="006E4D34">
            <w:pPr>
              <w:tabs>
                <w:tab w:val="left" w:pos="1304"/>
              </w:tabs>
            </w:pPr>
            <w:r>
              <w:t>Чести</w:t>
            </w:r>
          </w:p>
        </w:tc>
        <w:tc>
          <w:tcPr>
            <w:tcW w:w="3192" w:type="dxa"/>
            <w:vAlign w:val="bottom"/>
          </w:tcPr>
          <w:p w14:paraId="1602AA59" w14:textId="18D30440" w:rsidR="006E4D34" w:rsidRDefault="006E4D34" w:rsidP="006E4D34">
            <w:pPr>
              <w:tabs>
                <w:tab w:val="left" w:pos="1304"/>
              </w:tabs>
            </w:pPr>
            <w:r>
              <w:t>Хипергликемия, хиперурикемия, електролитен дисбаланс (включващ хипонатриемия и хипокалиемия)</w:t>
            </w:r>
          </w:p>
        </w:tc>
      </w:tr>
      <w:tr w:rsidR="006E4D34" w14:paraId="093C3A86" w14:textId="77777777" w:rsidTr="004040A9">
        <w:tc>
          <w:tcPr>
            <w:tcW w:w="3192" w:type="dxa"/>
          </w:tcPr>
          <w:p w14:paraId="6ADAA477" w14:textId="7256DD12" w:rsidR="006E4D34" w:rsidRDefault="006E4D34" w:rsidP="006E4D34">
            <w:pPr>
              <w:tabs>
                <w:tab w:val="left" w:pos="1304"/>
              </w:tabs>
            </w:pPr>
            <w:r>
              <w:t>Психични нарушения</w:t>
            </w:r>
          </w:p>
        </w:tc>
        <w:tc>
          <w:tcPr>
            <w:tcW w:w="3192" w:type="dxa"/>
          </w:tcPr>
          <w:p w14:paraId="60E467A2" w14:textId="096BE2DE" w:rsidR="006E4D34" w:rsidRDefault="006E4D34" w:rsidP="006E4D34">
            <w:pPr>
              <w:tabs>
                <w:tab w:val="left" w:pos="1304"/>
              </w:tabs>
            </w:pPr>
            <w:r>
              <w:t>Редки</w:t>
            </w:r>
          </w:p>
        </w:tc>
        <w:tc>
          <w:tcPr>
            <w:tcW w:w="3192" w:type="dxa"/>
            <w:vAlign w:val="bottom"/>
          </w:tcPr>
          <w:p w14:paraId="35689C2D" w14:textId="0AEB24B6" w:rsidR="006E4D34" w:rsidRDefault="006E4D34" w:rsidP="006E4D34">
            <w:pPr>
              <w:tabs>
                <w:tab w:val="left" w:pos="1304"/>
              </w:tabs>
            </w:pPr>
            <w:r>
              <w:t>Нарушения на съня, депресия, нервност</w:t>
            </w:r>
          </w:p>
        </w:tc>
      </w:tr>
      <w:tr w:rsidR="006E4D34" w14:paraId="30EAC349" w14:textId="77777777" w:rsidTr="004040A9">
        <w:tc>
          <w:tcPr>
            <w:tcW w:w="3192" w:type="dxa"/>
            <w:vMerge w:val="restart"/>
          </w:tcPr>
          <w:p w14:paraId="669DE7CA" w14:textId="79EC0739" w:rsidR="006E4D34" w:rsidRDefault="006E4D34" w:rsidP="006E4D34">
            <w:pPr>
              <w:tabs>
                <w:tab w:val="left" w:pos="1304"/>
              </w:tabs>
            </w:pPr>
            <w:r>
              <w:t>Нарушения на нервната система</w:t>
            </w:r>
          </w:p>
        </w:tc>
        <w:tc>
          <w:tcPr>
            <w:tcW w:w="3192" w:type="dxa"/>
            <w:vAlign w:val="bottom"/>
          </w:tcPr>
          <w:p w14:paraId="52D22AAA" w14:textId="6EDDFCE1" w:rsidR="006E4D34" w:rsidRDefault="006E4D34" w:rsidP="006E4D34">
            <w:pPr>
              <w:tabs>
                <w:tab w:val="left" w:pos="1304"/>
              </w:tabs>
            </w:pPr>
            <w:r>
              <w:t>Чести</w:t>
            </w:r>
          </w:p>
        </w:tc>
        <w:tc>
          <w:tcPr>
            <w:tcW w:w="3192" w:type="dxa"/>
            <w:vAlign w:val="bottom"/>
          </w:tcPr>
          <w:p w14:paraId="63BBA661" w14:textId="553B4896" w:rsidR="006E4D34" w:rsidRDefault="006E4D34" w:rsidP="006E4D34">
            <w:pPr>
              <w:tabs>
                <w:tab w:val="left" w:pos="1304"/>
              </w:tabs>
            </w:pPr>
            <w:r>
              <w:t>Замаяност, вертиго</w:t>
            </w:r>
          </w:p>
        </w:tc>
      </w:tr>
      <w:tr w:rsidR="006E4D34" w14:paraId="545A5AB1" w14:textId="77777777" w:rsidTr="004040A9">
        <w:tc>
          <w:tcPr>
            <w:tcW w:w="3192" w:type="dxa"/>
            <w:vMerge/>
          </w:tcPr>
          <w:p w14:paraId="39529E83" w14:textId="77777777" w:rsidR="006E4D34" w:rsidRDefault="006E4D34" w:rsidP="006E4D34">
            <w:pPr>
              <w:tabs>
                <w:tab w:val="left" w:pos="1304"/>
              </w:tabs>
            </w:pPr>
          </w:p>
        </w:tc>
        <w:tc>
          <w:tcPr>
            <w:tcW w:w="3192" w:type="dxa"/>
            <w:vAlign w:val="bottom"/>
          </w:tcPr>
          <w:p w14:paraId="3197DD02" w14:textId="5E5C7E47" w:rsidR="006E4D34" w:rsidRDefault="006E4D34" w:rsidP="006E4D34">
            <w:pPr>
              <w:tabs>
                <w:tab w:val="left" w:pos="1304"/>
              </w:tabs>
            </w:pPr>
            <w:r>
              <w:t>Редки</w:t>
            </w:r>
          </w:p>
        </w:tc>
        <w:tc>
          <w:tcPr>
            <w:tcW w:w="3192" w:type="dxa"/>
            <w:vAlign w:val="bottom"/>
          </w:tcPr>
          <w:p w14:paraId="2A067244" w14:textId="1D655731" w:rsidR="006E4D34" w:rsidRDefault="006E4D34" w:rsidP="006E4D34">
            <w:pPr>
              <w:tabs>
                <w:tab w:val="left" w:pos="1304"/>
              </w:tabs>
            </w:pPr>
            <w:r>
              <w:t>Парестезия</w:t>
            </w:r>
          </w:p>
        </w:tc>
      </w:tr>
      <w:tr w:rsidR="006E4D34" w14:paraId="532F22E0" w14:textId="77777777" w:rsidTr="00A7222C">
        <w:tc>
          <w:tcPr>
            <w:tcW w:w="3192" w:type="dxa"/>
            <w:vMerge w:val="restart"/>
          </w:tcPr>
          <w:p w14:paraId="295616C9" w14:textId="3866074A" w:rsidR="006E4D34" w:rsidRDefault="006E4D34" w:rsidP="006E4D34">
            <w:pPr>
              <w:tabs>
                <w:tab w:val="left" w:pos="1304"/>
              </w:tabs>
            </w:pPr>
            <w:r>
              <w:t>Нарушения на очите</w:t>
            </w:r>
          </w:p>
        </w:tc>
        <w:tc>
          <w:tcPr>
            <w:tcW w:w="3192" w:type="dxa"/>
            <w:vAlign w:val="bottom"/>
          </w:tcPr>
          <w:p w14:paraId="66B4F8BB" w14:textId="3D3275B1" w:rsidR="006E4D34" w:rsidRDefault="006E4D34" w:rsidP="006E4D34">
            <w:pPr>
              <w:tabs>
                <w:tab w:val="left" w:pos="1304"/>
              </w:tabs>
            </w:pPr>
            <w:r>
              <w:t>Редки</w:t>
            </w:r>
          </w:p>
        </w:tc>
        <w:tc>
          <w:tcPr>
            <w:tcW w:w="3192" w:type="dxa"/>
            <w:vAlign w:val="bottom"/>
          </w:tcPr>
          <w:p w14:paraId="47B7045C" w14:textId="53D9D454" w:rsidR="006E4D34" w:rsidRDefault="006E4D34" w:rsidP="006E4D34">
            <w:pPr>
              <w:tabs>
                <w:tab w:val="left" w:pos="1304"/>
              </w:tabs>
            </w:pPr>
            <w:r>
              <w:t>Замъглено зрение</w:t>
            </w:r>
          </w:p>
        </w:tc>
      </w:tr>
      <w:tr w:rsidR="006E4D34" w14:paraId="5164A797" w14:textId="77777777" w:rsidTr="00A7222C">
        <w:tc>
          <w:tcPr>
            <w:tcW w:w="3192" w:type="dxa"/>
            <w:vMerge/>
          </w:tcPr>
          <w:p w14:paraId="5259C2F7" w14:textId="77777777" w:rsidR="006E4D34" w:rsidRDefault="006E4D34" w:rsidP="006E4D34">
            <w:pPr>
              <w:tabs>
                <w:tab w:val="left" w:pos="1304"/>
              </w:tabs>
            </w:pPr>
          </w:p>
        </w:tc>
        <w:tc>
          <w:tcPr>
            <w:tcW w:w="3192" w:type="dxa"/>
            <w:vAlign w:val="bottom"/>
          </w:tcPr>
          <w:p w14:paraId="58996488" w14:textId="66B369DD" w:rsidR="006E4D34" w:rsidRDefault="006E4D34" w:rsidP="006E4D34">
            <w:pPr>
              <w:tabs>
                <w:tab w:val="left" w:pos="1304"/>
              </w:tabs>
            </w:pPr>
            <w:r>
              <w:t>С неизвестна честота</w:t>
            </w:r>
          </w:p>
        </w:tc>
        <w:tc>
          <w:tcPr>
            <w:tcW w:w="3192" w:type="dxa"/>
            <w:vAlign w:val="bottom"/>
          </w:tcPr>
          <w:p w14:paraId="0FB29757" w14:textId="0BF12AD7" w:rsidR="006E4D34" w:rsidRDefault="006E4D34" w:rsidP="006E4D34">
            <w:pPr>
              <w:tabs>
                <w:tab w:val="left" w:pos="1304"/>
              </w:tabs>
            </w:pPr>
            <w:r>
              <w:t>Остра миопия, остра закритоъгълна глаукома, хороидален излив</w:t>
            </w:r>
          </w:p>
        </w:tc>
      </w:tr>
      <w:tr w:rsidR="006E4D34" w14:paraId="6DD31039" w14:textId="77777777" w:rsidTr="00A7222C">
        <w:tc>
          <w:tcPr>
            <w:tcW w:w="3192" w:type="dxa"/>
            <w:vAlign w:val="bottom"/>
          </w:tcPr>
          <w:p w14:paraId="1D7E3488" w14:textId="3E052EA1" w:rsidR="006E4D34" w:rsidRDefault="006E4D34" w:rsidP="006E4D34">
            <w:pPr>
              <w:tabs>
                <w:tab w:val="left" w:pos="1304"/>
              </w:tabs>
            </w:pPr>
            <w:r>
              <w:t>Сърдечни нарушения</w:t>
            </w:r>
          </w:p>
        </w:tc>
        <w:tc>
          <w:tcPr>
            <w:tcW w:w="3192" w:type="dxa"/>
            <w:vAlign w:val="bottom"/>
          </w:tcPr>
          <w:p w14:paraId="0DB215BC" w14:textId="67DABCFD" w:rsidR="006E4D34" w:rsidRDefault="006E4D34" w:rsidP="006E4D34">
            <w:pPr>
              <w:tabs>
                <w:tab w:val="left" w:pos="1304"/>
              </w:tabs>
            </w:pPr>
            <w:r>
              <w:t>Редки</w:t>
            </w:r>
          </w:p>
        </w:tc>
        <w:tc>
          <w:tcPr>
            <w:tcW w:w="3192" w:type="dxa"/>
            <w:vAlign w:val="bottom"/>
          </w:tcPr>
          <w:p w14:paraId="03F875FD" w14:textId="4D912255" w:rsidR="006E4D34" w:rsidRDefault="006E4D34" w:rsidP="006E4D34">
            <w:pPr>
              <w:tabs>
                <w:tab w:val="left" w:pos="1304"/>
              </w:tabs>
            </w:pPr>
            <w:r>
              <w:t>Сърдечна аритмия</w:t>
            </w:r>
          </w:p>
        </w:tc>
      </w:tr>
      <w:tr w:rsidR="006E4D34" w14:paraId="0A515BAD" w14:textId="77777777" w:rsidTr="00A7222C">
        <w:tc>
          <w:tcPr>
            <w:tcW w:w="3192" w:type="dxa"/>
            <w:vMerge w:val="restart"/>
          </w:tcPr>
          <w:p w14:paraId="55224614" w14:textId="53DEEA59" w:rsidR="006E4D34" w:rsidRDefault="006E4D34" w:rsidP="006E4D34">
            <w:pPr>
              <w:tabs>
                <w:tab w:val="left" w:pos="1304"/>
              </w:tabs>
            </w:pPr>
            <w:r>
              <w:t>Съдови нарушения</w:t>
            </w:r>
          </w:p>
        </w:tc>
        <w:tc>
          <w:tcPr>
            <w:tcW w:w="3192" w:type="dxa"/>
            <w:vAlign w:val="bottom"/>
          </w:tcPr>
          <w:p w14:paraId="1EE75259" w14:textId="29D13F83" w:rsidR="006E4D34" w:rsidRDefault="006E4D34" w:rsidP="006E4D34">
            <w:pPr>
              <w:tabs>
                <w:tab w:val="left" w:pos="1304"/>
              </w:tabs>
            </w:pPr>
            <w:r>
              <w:t>Нечести</w:t>
            </w:r>
          </w:p>
        </w:tc>
        <w:tc>
          <w:tcPr>
            <w:tcW w:w="3192" w:type="dxa"/>
            <w:vAlign w:val="bottom"/>
          </w:tcPr>
          <w:p w14:paraId="2B4ED515" w14:textId="5B7E3CA3" w:rsidR="006E4D34" w:rsidRDefault="006E4D34" w:rsidP="006E4D34">
            <w:pPr>
              <w:tabs>
                <w:tab w:val="left" w:pos="1304"/>
              </w:tabs>
            </w:pPr>
            <w:r>
              <w:t>Постурална хипотония</w:t>
            </w:r>
          </w:p>
        </w:tc>
      </w:tr>
      <w:tr w:rsidR="006E4D34" w14:paraId="2D6160EC" w14:textId="77777777" w:rsidTr="00A7222C">
        <w:tc>
          <w:tcPr>
            <w:tcW w:w="3192" w:type="dxa"/>
            <w:vMerge/>
          </w:tcPr>
          <w:p w14:paraId="6E36B58A" w14:textId="77777777" w:rsidR="006E4D34" w:rsidRDefault="006E4D34" w:rsidP="006E4D34">
            <w:pPr>
              <w:tabs>
                <w:tab w:val="left" w:pos="1304"/>
              </w:tabs>
            </w:pPr>
          </w:p>
        </w:tc>
        <w:tc>
          <w:tcPr>
            <w:tcW w:w="3192" w:type="dxa"/>
          </w:tcPr>
          <w:p w14:paraId="43DF6A17" w14:textId="14E90DF6" w:rsidR="006E4D34" w:rsidRDefault="006E4D34" w:rsidP="006E4D34">
            <w:pPr>
              <w:tabs>
                <w:tab w:val="left" w:pos="1304"/>
              </w:tabs>
            </w:pPr>
            <w:r>
              <w:t>Редки</w:t>
            </w:r>
          </w:p>
        </w:tc>
        <w:tc>
          <w:tcPr>
            <w:tcW w:w="3192" w:type="dxa"/>
            <w:vAlign w:val="bottom"/>
          </w:tcPr>
          <w:p w14:paraId="6CF5D10A" w14:textId="4BC95A8D" w:rsidR="006E4D34" w:rsidRDefault="006E4D34" w:rsidP="006E4D34">
            <w:pPr>
              <w:tabs>
                <w:tab w:val="left" w:pos="1304"/>
              </w:tabs>
            </w:pPr>
            <w:r>
              <w:t>Некротизиращ ангиит(васкулит, кожен васкулит)</w:t>
            </w:r>
          </w:p>
        </w:tc>
      </w:tr>
      <w:tr w:rsidR="006E4D34" w14:paraId="57827FBD" w14:textId="77777777" w:rsidTr="00A7222C">
        <w:tc>
          <w:tcPr>
            <w:tcW w:w="3192" w:type="dxa"/>
            <w:vAlign w:val="bottom"/>
          </w:tcPr>
          <w:p w14:paraId="0BD013FB" w14:textId="7FCD43D4" w:rsidR="006E4D34" w:rsidRDefault="006E4D34" w:rsidP="006E4D34">
            <w:r>
              <w:t>Нарушения на възпроизводителната система и гърдата</w:t>
            </w:r>
          </w:p>
        </w:tc>
        <w:tc>
          <w:tcPr>
            <w:tcW w:w="3192" w:type="dxa"/>
          </w:tcPr>
          <w:p w14:paraId="489B3A48" w14:textId="6F4E4A09" w:rsidR="006E4D34" w:rsidRDefault="006E4D34" w:rsidP="006E4D34">
            <w:pPr>
              <w:tabs>
                <w:tab w:val="left" w:pos="1304"/>
              </w:tabs>
            </w:pPr>
            <w:r>
              <w:t>Редки</w:t>
            </w:r>
          </w:p>
        </w:tc>
        <w:tc>
          <w:tcPr>
            <w:tcW w:w="3192" w:type="dxa"/>
            <w:vAlign w:val="bottom"/>
          </w:tcPr>
          <w:p w14:paraId="297B1B54" w14:textId="77777777" w:rsidR="006E4D34" w:rsidRDefault="006E4D34" w:rsidP="006E4D34">
            <w:r>
              <w:t>Респираторен дистрес (включващ</w:t>
            </w:r>
          </w:p>
          <w:p w14:paraId="0617BB8B" w14:textId="72D43A42" w:rsidR="006E4D34" w:rsidRDefault="006E4D34" w:rsidP="006E4D34">
            <w:pPr>
              <w:tabs>
                <w:tab w:val="left" w:pos="1304"/>
              </w:tabs>
            </w:pPr>
            <w:r>
              <w:t>пневмонит и белодробен едем)</w:t>
            </w:r>
          </w:p>
        </w:tc>
      </w:tr>
      <w:tr w:rsidR="006E4D34" w14:paraId="4AD80D28" w14:textId="77777777" w:rsidTr="006E4D34">
        <w:tc>
          <w:tcPr>
            <w:tcW w:w="3192" w:type="dxa"/>
            <w:vMerge w:val="restart"/>
          </w:tcPr>
          <w:p w14:paraId="446B50FF" w14:textId="7250EC99" w:rsidR="006E4D34" w:rsidRDefault="006E4D34" w:rsidP="006E4D34">
            <w:pPr>
              <w:tabs>
                <w:tab w:val="left" w:pos="1304"/>
              </w:tabs>
            </w:pPr>
            <w:r>
              <w:t>Стомашно-чревни нарушения</w:t>
            </w:r>
          </w:p>
        </w:tc>
        <w:tc>
          <w:tcPr>
            <w:tcW w:w="3192" w:type="dxa"/>
          </w:tcPr>
          <w:p w14:paraId="640F3095" w14:textId="2591A597" w:rsidR="006E4D34" w:rsidRDefault="006E4D34" w:rsidP="006E4D34">
            <w:pPr>
              <w:tabs>
                <w:tab w:val="left" w:pos="1304"/>
              </w:tabs>
            </w:pPr>
            <w:r>
              <w:t>Нечести</w:t>
            </w:r>
          </w:p>
        </w:tc>
        <w:tc>
          <w:tcPr>
            <w:tcW w:w="3192" w:type="dxa"/>
          </w:tcPr>
          <w:p w14:paraId="35C7BE30" w14:textId="5F8A5D02" w:rsidR="006E4D34" w:rsidRDefault="006E4D34" w:rsidP="006E4D34">
            <w:pPr>
              <w:tabs>
                <w:tab w:val="left" w:pos="1304"/>
              </w:tabs>
            </w:pPr>
            <w:r>
              <w:t>Анорексия, загуба на апетит, стомашно раздразнение, диария, констипация</w:t>
            </w:r>
          </w:p>
        </w:tc>
      </w:tr>
      <w:tr w:rsidR="006E4D34" w14:paraId="317FB55E" w14:textId="77777777" w:rsidTr="006E4D34">
        <w:tc>
          <w:tcPr>
            <w:tcW w:w="3192" w:type="dxa"/>
            <w:vMerge/>
          </w:tcPr>
          <w:p w14:paraId="5D7D8994" w14:textId="77777777" w:rsidR="006E4D34" w:rsidRDefault="006E4D34" w:rsidP="006E4D34">
            <w:pPr>
              <w:tabs>
                <w:tab w:val="left" w:pos="1304"/>
              </w:tabs>
            </w:pPr>
          </w:p>
        </w:tc>
        <w:tc>
          <w:tcPr>
            <w:tcW w:w="3192" w:type="dxa"/>
          </w:tcPr>
          <w:p w14:paraId="3413C8A2" w14:textId="5A1EF6AF" w:rsidR="006E4D34" w:rsidRDefault="006E4D34" w:rsidP="006E4D34">
            <w:pPr>
              <w:tabs>
                <w:tab w:val="left" w:pos="1304"/>
              </w:tabs>
            </w:pPr>
            <w:r>
              <w:t>Редки</w:t>
            </w:r>
          </w:p>
        </w:tc>
        <w:tc>
          <w:tcPr>
            <w:tcW w:w="3192" w:type="dxa"/>
          </w:tcPr>
          <w:p w14:paraId="7604CED5" w14:textId="70EA730F" w:rsidR="006E4D34" w:rsidRDefault="006E4D34" w:rsidP="006E4D34">
            <w:pPr>
              <w:tabs>
                <w:tab w:val="left" w:pos="1304"/>
              </w:tabs>
            </w:pPr>
            <w:r>
              <w:t>Панкреатит</w:t>
            </w:r>
          </w:p>
        </w:tc>
      </w:tr>
      <w:tr w:rsidR="006E4D34" w14:paraId="2D3B2B33" w14:textId="77777777" w:rsidTr="006E4D34">
        <w:tc>
          <w:tcPr>
            <w:tcW w:w="3192" w:type="dxa"/>
          </w:tcPr>
          <w:p w14:paraId="0B5DB7E2" w14:textId="6D4CFE55" w:rsidR="006E4D34" w:rsidRDefault="006E4D34" w:rsidP="006E4D34">
            <w:pPr>
              <w:tabs>
                <w:tab w:val="left" w:pos="1304"/>
              </w:tabs>
            </w:pPr>
            <w:r>
              <w:t>Хепатобилиарни нарушения</w:t>
            </w:r>
          </w:p>
        </w:tc>
        <w:tc>
          <w:tcPr>
            <w:tcW w:w="3192" w:type="dxa"/>
          </w:tcPr>
          <w:p w14:paraId="25641FB0" w14:textId="3DC5F4B2" w:rsidR="006E4D34" w:rsidRDefault="006E4D34" w:rsidP="006E4D34">
            <w:pPr>
              <w:tabs>
                <w:tab w:val="left" w:pos="1304"/>
              </w:tabs>
            </w:pPr>
            <w:r>
              <w:t>Редки</w:t>
            </w:r>
          </w:p>
        </w:tc>
        <w:tc>
          <w:tcPr>
            <w:tcW w:w="3192" w:type="dxa"/>
          </w:tcPr>
          <w:p w14:paraId="0D205A76" w14:textId="6E492734" w:rsidR="006E4D34" w:rsidRDefault="006E4D34" w:rsidP="006E4D34">
            <w:pPr>
              <w:tabs>
                <w:tab w:val="left" w:pos="1304"/>
              </w:tabs>
            </w:pPr>
            <w:r>
              <w:t>Жълтеница(интрахепатална холестатична жълтеница)</w:t>
            </w:r>
          </w:p>
        </w:tc>
      </w:tr>
      <w:tr w:rsidR="006E4D34" w14:paraId="2F5FEA16" w14:textId="77777777" w:rsidTr="006E4D34">
        <w:tc>
          <w:tcPr>
            <w:tcW w:w="3192" w:type="dxa"/>
            <w:vMerge w:val="restart"/>
          </w:tcPr>
          <w:p w14:paraId="51F4FE32" w14:textId="0771EE3B" w:rsidR="006E4D34" w:rsidRDefault="006E4D34" w:rsidP="006E4D34">
            <w:pPr>
              <w:tabs>
                <w:tab w:val="left" w:pos="1304"/>
              </w:tabs>
            </w:pPr>
            <w:r>
              <w:t>Нарушения на кожата и подкожната тъкан</w:t>
            </w:r>
          </w:p>
        </w:tc>
        <w:tc>
          <w:tcPr>
            <w:tcW w:w="3192" w:type="dxa"/>
          </w:tcPr>
          <w:p w14:paraId="3EC8A69F" w14:textId="38CCF61F" w:rsidR="006E4D34" w:rsidRDefault="006E4D34" w:rsidP="006E4D34">
            <w:pPr>
              <w:tabs>
                <w:tab w:val="left" w:pos="1304"/>
              </w:tabs>
            </w:pPr>
            <w:r>
              <w:t>Нечести</w:t>
            </w:r>
          </w:p>
        </w:tc>
        <w:tc>
          <w:tcPr>
            <w:tcW w:w="3192" w:type="dxa"/>
          </w:tcPr>
          <w:p w14:paraId="32ACEF2A" w14:textId="2A0ACEF1" w:rsidR="006E4D34" w:rsidRDefault="006E4D34" w:rsidP="006E4D34">
            <w:pPr>
              <w:tabs>
                <w:tab w:val="left" w:pos="1304"/>
              </w:tabs>
            </w:pPr>
            <w:r>
              <w:t>Обрив, уртикария, реакции на фоточувствителност</w:t>
            </w:r>
          </w:p>
        </w:tc>
      </w:tr>
      <w:tr w:rsidR="006E4D34" w14:paraId="7AA2982D" w14:textId="77777777" w:rsidTr="006E4D34">
        <w:tc>
          <w:tcPr>
            <w:tcW w:w="3192" w:type="dxa"/>
            <w:vMerge/>
          </w:tcPr>
          <w:p w14:paraId="0DA420F1" w14:textId="77777777" w:rsidR="006E4D34" w:rsidRDefault="006E4D34" w:rsidP="006E4D34">
            <w:pPr>
              <w:tabs>
                <w:tab w:val="left" w:pos="1304"/>
              </w:tabs>
            </w:pPr>
          </w:p>
        </w:tc>
        <w:tc>
          <w:tcPr>
            <w:tcW w:w="3192" w:type="dxa"/>
          </w:tcPr>
          <w:p w14:paraId="6C9073F2" w14:textId="7BB1B88E" w:rsidR="006E4D34" w:rsidRDefault="006E4D34" w:rsidP="006E4D34">
            <w:pPr>
              <w:tabs>
                <w:tab w:val="left" w:pos="1304"/>
              </w:tabs>
            </w:pPr>
            <w:r>
              <w:t>Редки</w:t>
            </w:r>
          </w:p>
        </w:tc>
        <w:tc>
          <w:tcPr>
            <w:tcW w:w="3192" w:type="dxa"/>
          </w:tcPr>
          <w:p w14:paraId="7CBD062B" w14:textId="6C022AF3" w:rsidR="006E4D34" w:rsidRDefault="006E4D34" w:rsidP="006E4D34">
            <w:pPr>
              <w:tabs>
                <w:tab w:val="left" w:pos="1304"/>
              </w:tabs>
            </w:pPr>
            <w:r>
              <w:t>Токсична епидермална некролиза</w:t>
            </w:r>
          </w:p>
        </w:tc>
      </w:tr>
      <w:tr w:rsidR="006E4D34" w14:paraId="26C3996B" w14:textId="77777777" w:rsidTr="006E4D34">
        <w:tc>
          <w:tcPr>
            <w:tcW w:w="3192" w:type="dxa"/>
            <w:vMerge/>
          </w:tcPr>
          <w:p w14:paraId="4AB50097" w14:textId="77777777" w:rsidR="006E4D34" w:rsidRDefault="006E4D34" w:rsidP="006E4D34">
            <w:pPr>
              <w:tabs>
                <w:tab w:val="left" w:pos="1304"/>
              </w:tabs>
            </w:pPr>
          </w:p>
        </w:tc>
        <w:tc>
          <w:tcPr>
            <w:tcW w:w="3192" w:type="dxa"/>
          </w:tcPr>
          <w:p w14:paraId="1CE47FA4" w14:textId="2A36A6C9" w:rsidR="006E4D34" w:rsidRDefault="006E4D34" w:rsidP="006E4D34">
            <w:pPr>
              <w:tabs>
                <w:tab w:val="left" w:pos="1304"/>
              </w:tabs>
            </w:pPr>
            <w:r>
              <w:t>С неизвестна честота</w:t>
            </w:r>
          </w:p>
        </w:tc>
        <w:tc>
          <w:tcPr>
            <w:tcW w:w="3192" w:type="dxa"/>
          </w:tcPr>
          <w:p w14:paraId="050187CE" w14:textId="0DA94643" w:rsidR="006E4D34" w:rsidRDefault="006E4D34" w:rsidP="006E4D34">
            <w:pPr>
              <w:tabs>
                <w:tab w:val="left" w:pos="1304"/>
              </w:tabs>
            </w:pPr>
            <w:r>
              <w:t>Системен лупус еритематозус, кожен лупус еритематозус</w:t>
            </w:r>
          </w:p>
        </w:tc>
      </w:tr>
      <w:tr w:rsidR="006E4D34" w14:paraId="73A72DD2" w14:textId="77777777" w:rsidTr="006E4D34">
        <w:tc>
          <w:tcPr>
            <w:tcW w:w="3192" w:type="dxa"/>
          </w:tcPr>
          <w:p w14:paraId="38E15E76" w14:textId="444F11EB" w:rsidR="006E4D34" w:rsidRDefault="006E4D34" w:rsidP="006E4D34">
            <w:pPr>
              <w:tabs>
                <w:tab w:val="left" w:pos="1304"/>
              </w:tabs>
            </w:pPr>
            <w:r>
              <w:t>Нарушения на мускулно- скелетната система и съединителната тъкан</w:t>
            </w:r>
          </w:p>
        </w:tc>
        <w:tc>
          <w:tcPr>
            <w:tcW w:w="3192" w:type="dxa"/>
          </w:tcPr>
          <w:p w14:paraId="38F19E5F" w14:textId="286F4D59" w:rsidR="006E4D34" w:rsidRDefault="006E4D34" w:rsidP="006E4D34">
            <w:pPr>
              <w:tabs>
                <w:tab w:val="left" w:pos="1304"/>
              </w:tabs>
            </w:pPr>
            <w:r>
              <w:t>Редки</w:t>
            </w:r>
          </w:p>
        </w:tc>
        <w:tc>
          <w:tcPr>
            <w:tcW w:w="3192" w:type="dxa"/>
          </w:tcPr>
          <w:p w14:paraId="2855839F" w14:textId="50F7152A" w:rsidR="006E4D34" w:rsidRDefault="006E4D34" w:rsidP="006E4D34">
            <w:pPr>
              <w:tabs>
                <w:tab w:val="left" w:pos="1304"/>
              </w:tabs>
            </w:pPr>
            <w:r>
              <w:t>Мускулни спазми</w:t>
            </w:r>
          </w:p>
        </w:tc>
      </w:tr>
      <w:tr w:rsidR="006E4D34" w14:paraId="264D39E7" w14:textId="77777777" w:rsidTr="006E4D34">
        <w:tc>
          <w:tcPr>
            <w:tcW w:w="3192" w:type="dxa"/>
            <w:vMerge w:val="restart"/>
          </w:tcPr>
          <w:p w14:paraId="6F95C0EE" w14:textId="31F3D130" w:rsidR="006E4D34" w:rsidRDefault="006E4D34" w:rsidP="006E4D34">
            <w:pPr>
              <w:tabs>
                <w:tab w:val="left" w:pos="1304"/>
              </w:tabs>
            </w:pPr>
            <w:r>
              <w:t>Нарушения на бъбреците и пикочните пътища</w:t>
            </w:r>
          </w:p>
        </w:tc>
        <w:tc>
          <w:tcPr>
            <w:tcW w:w="3192" w:type="dxa"/>
          </w:tcPr>
          <w:p w14:paraId="5F175D2D" w14:textId="71ACEB9C" w:rsidR="006E4D34" w:rsidRDefault="006E4D34" w:rsidP="006E4D34">
            <w:pPr>
              <w:tabs>
                <w:tab w:val="left" w:pos="1304"/>
              </w:tabs>
            </w:pPr>
            <w:r>
              <w:t>Чести</w:t>
            </w:r>
          </w:p>
        </w:tc>
        <w:tc>
          <w:tcPr>
            <w:tcW w:w="3192" w:type="dxa"/>
          </w:tcPr>
          <w:p w14:paraId="1E5E64C9" w14:textId="11D7C353" w:rsidR="006E4D34" w:rsidRDefault="006E4D34" w:rsidP="006E4D34">
            <w:pPr>
              <w:tabs>
                <w:tab w:val="left" w:pos="1304"/>
              </w:tabs>
            </w:pPr>
            <w:r>
              <w:t>Глюкозурия</w:t>
            </w:r>
          </w:p>
        </w:tc>
      </w:tr>
      <w:tr w:rsidR="006E4D34" w14:paraId="1BE7B9F4" w14:textId="77777777" w:rsidTr="006E4D34">
        <w:tc>
          <w:tcPr>
            <w:tcW w:w="3192" w:type="dxa"/>
            <w:vMerge/>
          </w:tcPr>
          <w:p w14:paraId="7BB3264F" w14:textId="77777777" w:rsidR="006E4D34" w:rsidRDefault="006E4D34" w:rsidP="006E4D34">
            <w:pPr>
              <w:tabs>
                <w:tab w:val="left" w:pos="1304"/>
              </w:tabs>
            </w:pPr>
          </w:p>
        </w:tc>
        <w:tc>
          <w:tcPr>
            <w:tcW w:w="3192" w:type="dxa"/>
          </w:tcPr>
          <w:p w14:paraId="22D1AB46" w14:textId="1D6D002D" w:rsidR="006E4D34" w:rsidRDefault="006E4D34" w:rsidP="006E4D34">
            <w:pPr>
              <w:tabs>
                <w:tab w:val="left" w:pos="1304"/>
              </w:tabs>
            </w:pPr>
            <w:r>
              <w:t>Редки</w:t>
            </w:r>
          </w:p>
        </w:tc>
        <w:tc>
          <w:tcPr>
            <w:tcW w:w="3192" w:type="dxa"/>
          </w:tcPr>
          <w:p w14:paraId="60A45898" w14:textId="79AC7A96" w:rsidR="006E4D34" w:rsidRDefault="006E4D34" w:rsidP="006E4D34">
            <w:pPr>
              <w:tabs>
                <w:tab w:val="left" w:pos="1304"/>
              </w:tabs>
            </w:pPr>
            <w:r>
              <w:t>Бъбречна дисфункция, интерстициален нефрит</w:t>
            </w:r>
          </w:p>
        </w:tc>
      </w:tr>
      <w:tr w:rsidR="006E4D34" w14:paraId="062E9FF0" w14:textId="77777777" w:rsidTr="006E4D34">
        <w:tc>
          <w:tcPr>
            <w:tcW w:w="3192" w:type="dxa"/>
            <w:vMerge w:val="restart"/>
          </w:tcPr>
          <w:p w14:paraId="23D58D59" w14:textId="68E7CE31" w:rsidR="006E4D34" w:rsidRDefault="006E4D34" w:rsidP="006E4D34">
            <w:pPr>
              <w:tabs>
                <w:tab w:val="left" w:pos="1304"/>
              </w:tabs>
            </w:pPr>
            <w:r>
              <w:t>Общи нарушения и ефекти на мястото на приложение</w:t>
            </w:r>
          </w:p>
        </w:tc>
        <w:tc>
          <w:tcPr>
            <w:tcW w:w="3192" w:type="dxa"/>
          </w:tcPr>
          <w:p w14:paraId="529C62A7" w14:textId="1FDE17D4" w:rsidR="006E4D34" w:rsidRDefault="006E4D34" w:rsidP="006E4D34">
            <w:pPr>
              <w:tabs>
                <w:tab w:val="left" w:pos="1304"/>
              </w:tabs>
            </w:pPr>
            <w:r>
              <w:t>Чести</w:t>
            </w:r>
          </w:p>
        </w:tc>
        <w:tc>
          <w:tcPr>
            <w:tcW w:w="3192" w:type="dxa"/>
          </w:tcPr>
          <w:p w14:paraId="548179E8" w14:textId="2644D451" w:rsidR="006E4D34" w:rsidRDefault="006E4D34" w:rsidP="006E4D34">
            <w:pPr>
              <w:tabs>
                <w:tab w:val="left" w:pos="1304"/>
              </w:tabs>
            </w:pPr>
            <w:r>
              <w:t>Слабост</w:t>
            </w:r>
          </w:p>
        </w:tc>
      </w:tr>
      <w:tr w:rsidR="006E4D34" w14:paraId="325BC01B" w14:textId="77777777" w:rsidTr="006E4D34">
        <w:tc>
          <w:tcPr>
            <w:tcW w:w="3192" w:type="dxa"/>
            <w:vMerge/>
          </w:tcPr>
          <w:p w14:paraId="45BA67D2" w14:textId="77777777" w:rsidR="006E4D34" w:rsidRDefault="006E4D34" w:rsidP="006E4D34">
            <w:pPr>
              <w:tabs>
                <w:tab w:val="left" w:pos="1304"/>
              </w:tabs>
            </w:pPr>
          </w:p>
        </w:tc>
        <w:tc>
          <w:tcPr>
            <w:tcW w:w="3192" w:type="dxa"/>
          </w:tcPr>
          <w:p w14:paraId="1B2DAE85" w14:textId="3991F906" w:rsidR="006E4D34" w:rsidRDefault="006E4D34" w:rsidP="006E4D34">
            <w:pPr>
              <w:tabs>
                <w:tab w:val="left" w:pos="1304"/>
              </w:tabs>
            </w:pPr>
            <w:r>
              <w:t>Редки</w:t>
            </w:r>
          </w:p>
        </w:tc>
        <w:tc>
          <w:tcPr>
            <w:tcW w:w="3192" w:type="dxa"/>
          </w:tcPr>
          <w:p w14:paraId="428CE5E1" w14:textId="300B2D9A" w:rsidR="006E4D34" w:rsidRDefault="006E4D34" w:rsidP="006E4D34">
            <w:pPr>
              <w:tabs>
                <w:tab w:val="left" w:pos="1304"/>
              </w:tabs>
            </w:pPr>
            <w:r>
              <w:t>Треска</w:t>
            </w:r>
          </w:p>
        </w:tc>
      </w:tr>
      <w:tr w:rsidR="006E4D34" w14:paraId="4A4BF26C" w14:textId="77777777" w:rsidTr="006E4D34">
        <w:tc>
          <w:tcPr>
            <w:tcW w:w="3192" w:type="dxa"/>
            <w:vMerge w:val="restart"/>
          </w:tcPr>
          <w:p w14:paraId="04E59DB6" w14:textId="37E13F4B" w:rsidR="006E4D34" w:rsidRDefault="006E4D34" w:rsidP="006E4D34">
            <w:pPr>
              <w:tabs>
                <w:tab w:val="left" w:pos="1304"/>
              </w:tabs>
            </w:pPr>
            <w:r>
              <w:t>Изследвания</w:t>
            </w:r>
          </w:p>
        </w:tc>
        <w:tc>
          <w:tcPr>
            <w:tcW w:w="3192" w:type="dxa"/>
          </w:tcPr>
          <w:p w14:paraId="77DFF0AF" w14:textId="5745EB9F" w:rsidR="006E4D34" w:rsidRDefault="006E4D34" w:rsidP="006E4D34">
            <w:pPr>
              <w:tabs>
                <w:tab w:val="left" w:pos="1304"/>
              </w:tabs>
            </w:pPr>
            <w:r>
              <w:t>Чести</w:t>
            </w:r>
          </w:p>
        </w:tc>
        <w:tc>
          <w:tcPr>
            <w:tcW w:w="3192" w:type="dxa"/>
          </w:tcPr>
          <w:p w14:paraId="652151CC" w14:textId="306D28A0" w:rsidR="006E4D34" w:rsidRDefault="006E4D34" w:rsidP="006E4D34">
            <w:pPr>
              <w:tabs>
                <w:tab w:val="left" w:pos="1304"/>
              </w:tabs>
            </w:pPr>
            <w:r>
              <w:t>Повишения в холестерола и триглицеридите</w:t>
            </w:r>
          </w:p>
        </w:tc>
      </w:tr>
      <w:tr w:rsidR="006E4D34" w14:paraId="7A083B8A" w14:textId="77777777" w:rsidTr="006E4D34">
        <w:tc>
          <w:tcPr>
            <w:tcW w:w="3192" w:type="dxa"/>
            <w:vMerge/>
          </w:tcPr>
          <w:p w14:paraId="5EA007FA" w14:textId="77777777" w:rsidR="006E4D34" w:rsidRDefault="006E4D34" w:rsidP="006E4D34">
            <w:pPr>
              <w:tabs>
                <w:tab w:val="left" w:pos="1304"/>
              </w:tabs>
            </w:pPr>
          </w:p>
        </w:tc>
        <w:tc>
          <w:tcPr>
            <w:tcW w:w="3192" w:type="dxa"/>
          </w:tcPr>
          <w:p w14:paraId="3C5EED7E" w14:textId="66BC513F" w:rsidR="006E4D34" w:rsidRDefault="006E4D34" w:rsidP="006E4D34">
            <w:pPr>
              <w:tabs>
                <w:tab w:val="left" w:pos="1304"/>
              </w:tabs>
            </w:pPr>
            <w:r>
              <w:t>Редки</w:t>
            </w:r>
          </w:p>
        </w:tc>
        <w:tc>
          <w:tcPr>
            <w:tcW w:w="3192" w:type="dxa"/>
          </w:tcPr>
          <w:p w14:paraId="20C9D54A" w14:textId="6185D6E5" w:rsidR="006E4D34" w:rsidRDefault="006E4D34" w:rsidP="006E4D34">
            <w:pPr>
              <w:tabs>
                <w:tab w:val="left" w:pos="1304"/>
              </w:tabs>
            </w:pPr>
            <w:r>
              <w:t>Хиперурикемия и повишени стойности на серумния креатинин</w:t>
            </w:r>
          </w:p>
        </w:tc>
      </w:tr>
    </w:tbl>
    <w:p w14:paraId="091F5386" w14:textId="77777777" w:rsidR="006E4D34" w:rsidRDefault="006E4D34" w:rsidP="006E4D34">
      <w:pPr>
        <w:spacing w:line="240" w:lineRule="auto"/>
        <w:rPr>
          <w:rFonts w:ascii="Times New Roman" w:eastAsia="Times New Roman" w:hAnsi="Times New Roman" w:cs="Times New Roman"/>
          <w:i/>
          <w:iCs/>
          <w:color w:val="000000"/>
          <w:lang w:eastAsia="bg-BG"/>
        </w:rPr>
      </w:pPr>
    </w:p>
    <w:p w14:paraId="21622E43" w14:textId="7945E2EB" w:rsidR="006E4D34" w:rsidRPr="006E4D34" w:rsidRDefault="006E4D34" w:rsidP="006E4D34">
      <w:pPr>
        <w:spacing w:line="240" w:lineRule="auto"/>
        <w:rPr>
          <w:rFonts w:eastAsia="Times New Roman" w:cs="Arial"/>
        </w:rPr>
      </w:pPr>
      <w:r w:rsidRPr="006E4D34">
        <w:rPr>
          <w:rFonts w:eastAsia="Times New Roman" w:cs="Arial"/>
          <w:i/>
          <w:iCs/>
          <w:color w:val="000000"/>
          <w:lang w:eastAsia="bg-BG"/>
        </w:rPr>
        <w:t>Описание на избрани нежелани реакции</w:t>
      </w:r>
    </w:p>
    <w:p w14:paraId="4E958918"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3EFFE01F" w14:textId="77777777" w:rsidR="006E4D34" w:rsidRPr="006E4D34" w:rsidRDefault="006E4D34" w:rsidP="006E4D34">
      <w:pPr>
        <w:spacing w:line="240" w:lineRule="auto"/>
        <w:rPr>
          <w:rFonts w:eastAsia="Times New Roman" w:cs="Arial"/>
          <w:color w:val="000000"/>
          <w:u w:val="single"/>
          <w:lang w:eastAsia="bg-BG"/>
        </w:rPr>
      </w:pPr>
    </w:p>
    <w:p w14:paraId="59B945DE" w14:textId="0B7FC045" w:rsidR="006E4D34" w:rsidRPr="006E4D34" w:rsidRDefault="006E4D34" w:rsidP="006E4D34">
      <w:pPr>
        <w:spacing w:line="240" w:lineRule="auto"/>
        <w:rPr>
          <w:rFonts w:eastAsia="Times New Roman" w:cs="Arial"/>
        </w:rPr>
      </w:pPr>
      <w:r w:rsidRPr="006E4D34">
        <w:rPr>
          <w:rFonts w:eastAsia="Times New Roman" w:cs="Arial"/>
          <w:color w:val="000000"/>
          <w:u w:val="single"/>
          <w:lang w:eastAsia="bg-BG"/>
        </w:rPr>
        <w:t>Съобщаване на подозирани нежелани реакции</w:t>
      </w:r>
    </w:p>
    <w:p w14:paraId="33BA41EC" w14:textId="77777777" w:rsidR="006E4D34" w:rsidRPr="006E4D34" w:rsidRDefault="006E4D34" w:rsidP="006E4D34">
      <w:pPr>
        <w:spacing w:line="240" w:lineRule="auto"/>
        <w:rPr>
          <w:rFonts w:eastAsia="Times New Roman" w:cs="Arial"/>
        </w:rPr>
      </w:pPr>
      <w:r w:rsidRPr="006E4D34">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 8 , 1303 София, Тел.: +35 928903417, уебсайт: </w:t>
      </w:r>
      <w:r w:rsidRPr="006E4D34">
        <w:rPr>
          <w:rFonts w:eastAsia="Times New Roman" w:cs="Arial"/>
        </w:rPr>
        <w:fldChar w:fldCharType="begin"/>
      </w:r>
      <w:r w:rsidRPr="006E4D34">
        <w:rPr>
          <w:rFonts w:eastAsia="Times New Roman" w:cs="Arial"/>
        </w:rPr>
        <w:instrText xml:space="preserve"> HYPERLINK "http://www.bda.bg" </w:instrText>
      </w:r>
      <w:r w:rsidRPr="006E4D34">
        <w:rPr>
          <w:rFonts w:eastAsia="Times New Roman" w:cs="Arial"/>
        </w:rPr>
      </w:r>
      <w:r w:rsidRPr="006E4D34">
        <w:rPr>
          <w:rFonts w:eastAsia="Times New Roman" w:cs="Arial"/>
        </w:rPr>
        <w:fldChar w:fldCharType="separate"/>
      </w:r>
      <w:r w:rsidRPr="006E4D34">
        <w:rPr>
          <w:rFonts w:eastAsia="Times New Roman" w:cs="Arial"/>
          <w:color w:val="000000"/>
          <w:u w:val="single"/>
          <w:lang w:val="en-US"/>
        </w:rPr>
        <w:t>www</w:t>
      </w:r>
      <w:r w:rsidRPr="006E4D34">
        <w:rPr>
          <w:rFonts w:eastAsia="Times New Roman" w:cs="Arial"/>
          <w:color w:val="000000"/>
          <w:u w:val="single"/>
          <w:lang w:val="ru-RU"/>
        </w:rPr>
        <w:t>.</w:t>
      </w:r>
      <w:proofErr w:type="spellStart"/>
      <w:r w:rsidRPr="006E4D34">
        <w:rPr>
          <w:rFonts w:eastAsia="Times New Roman" w:cs="Arial"/>
          <w:color w:val="000000"/>
          <w:u w:val="single"/>
          <w:lang w:val="en-US"/>
        </w:rPr>
        <w:t>bda</w:t>
      </w:r>
      <w:proofErr w:type="spellEnd"/>
      <w:r w:rsidRPr="006E4D34">
        <w:rPr>
          <w:rFonts w:eastAsia="Times New Roman" w:cs="Arial"/>
          <w:color w:val="000000"/>
          <w:u w:val="single"/>
          <w:lang w:val="ru-RU"/>
        </w:rPr>
        <w:t>.</w:t>
      </w:r>
      <w:proofErr w:type="spellStart"/>
      <w:r w:rsidRPr="006E4D34">
        <w:rPr>
          <w:rFonts w:eastAsia="Times New Roman" w:cs="Arial"/>
          <w:color w:val="000000"/>
          <w:u w:val="single"/>
          <w:lang w:val="en-US"/>
        </w:rPr>
        <w:t>bg</w:t>
      </w:r>
      <w:proofErr w:type="spellEnd"/>
      <w:r w:rsidRPr="006E4D34">
        <w:rPr>
          <w:rFonts w:eastAsia="Times New Roman" w:cs="Arial"/>
        </w:rPr>
        <w:fldChar w:fldCharType="end"/>
      </w:r>
      <w:r w:rsidRPr="006E4D34">
        <w:rPr>
          <w:rFonts w:eastAsia="Times New Roman" w:cs="Arial"/>
          <w:color w:val="000000"/>
          <w:lang w:val="ru-RU"/>
        </w:rPr>
        <w:t>.</w:t>
      </w:r>
    </w:p>
    <w:p w14:paraId="5792DDDB" w14:textId="77777777" w:rsidR="006E4D34" w:rsidRPr="006E4D34" w:rsidRDefault="006E4D34" w:rsidP="006E4D34">
      <w:pPr>
        <w:tabs>
          <w:tab w:val="left" w:pos="1304"/>
        </w:tabs>
      </w:pPr>
    </w:p>
    <w:p w14:paraId="5A87DBA3" w14:textId="62191B9C" w:rsidR="007122AD" w:rsidRDefault="002C50EE" w:rsidP="00936AD0">
      <w:pPr>
        <w:pStyle w:val="Heading2"/>
      </w:pPr>
      <w:r>
        <w:t>4.9. Предозиране</w:t>
      </w:r>
    </w:p>
    <w:p w14:paraId="78451FC3" w14:textId="0EE071DB" w:rsidR="006E4D34" w:rsidRDefault="006E4D34" w:rsidP="006E4D34"/>
    <w:p w14:paraId="4EED286F" w14:textId="77777777" w:rsidR="006E4D34" w:rsidRPr="006E4D34" w:rsidRDefault="006E4D34" w:rsidP="006E4D34">
      <w:pPr>
        <w:pStyle w:val="Heading3"/>
        <w:rPr>
          <w:rFonts w:eastAsia="Times New Roman"/>
          <w:i/>
        </w:rPr>
      </w:pPr>
      <w:r w:rsidRPr="006E4D34">
        <w:rPr>
          <w:rFonts w:eastAsia="Times New Roman"/>
          <w:i/>
          <w:lang w:eastAsia="bg-BG"/>
        </w:rPr>
        <w:t>Симптоми</w:t>
      </w:r>
    </w:p>
    <w:p w14:paraId="7B3518B1"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На базата на фармакологични съображения, основната проява на предозиране на кандесартан цилексетил е вероятно да бъде симптоматична хипотония или замайване. В единичните съобщения за случаи на предозиране (до 672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кандесартан цилексетил) възстановяването на пациентите е било гладко.</w:t>
      </w:r>
    </w:p>
    <w:p w14:paraId="41EDC772" w14:textId="77777777" w:rsidR="006E4D34" w:rsidRPr="006E4D34" w:rsidRDefault="006E4D34" w:rsidP="006E4D34">
      <w:pPr>
        <w:spacing w:line="240" w:lineRule="auto"/>
        <w:rPr>
          <w:rFonts w:eastAsia="Times New Roman" w:cs="Arial"/>
          <w:color w:val="000000"/>
          <w:lang w:eastAsia="bg-BG"/>
        </w:rPr>
      </w:pPr>
    </w:p>
    <w:p w14:paraId="3F012D7F" w14:textId="77598FC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Основната проява на предозиране на хидрохлоротиазид е интензивна загуба на течности и електролити. Могат да се наблюдават и симптоми като виене на свят, хипотония, жажда, тахикардия, камерна аритмия, седация/загуба на съзнание и мускулни крампи.</w:t>
      </w:r>
    </w:p>
    <w:p w14:paraId="2C3E019E" w14:textId="77777777" w:rsidR="006E4D34" w:rsidRPr="006E4D34" w:rsidRDefault="006E4D34" w:rsidP="006E4D34">
      <w:pPr>
        <w:spacing w:line="240" w:lineRule="auto"/>
        <w:rPr>
          <w:rFonts w:eastAsia="Times New Roman" w:cs="Arial"/>
          <w:i/>
          <w:iCs/>
          <w:color w:val="000000"/>
          <w:lang w:eastAsia="bg-BG"/>
        </w:rPr>
      </w:pPr>
    </w:p>
    <w:p w14:paraId="2B3B29E5" w14:textId="5A092785" w:rsidR="006E4D34" w:rsidRPr="006E4D34" w:rsidRDefault="006E4D34" w:rsidP="006E4D34">
      <w:pPr>
        <w:pStyle w:val="Heading3"/>
        <w:rPr>
          <w:rFonts w:eastAsia="Times New Roman"/>
          <w:i/>
        </w:rPr>
      </w:pPr>
      <w:r w:rsidRPr="006E4D34">
        <w:rPr>
          <w:rFonts w:eastAsia="Times New Roman"/>
          <w:i/>
          <w:lang w:eastAsia="bg-BG"/>
        </w:rPr>
        <w:t>Поведение</w:t>
      </w:r>
    </w:p>
    <w:p w14:paraId="17C2F7FB"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Няма специфична информация относно лечението при предозиране кандесартан</w:t>
      </w:r>
    </w:p>
    <w:p w14:paraId="2DB01E18"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цилексетил/хидрохлоротиазид. Предлагат се следните мерки в случай на предозирано</w:t>
      </w:r>
    </w:p>
    <w:p w14:paraId="24EAD42E" w14:textId="77777777" w:rsidR="006E4D34" w:rsidRPr="006E4D34" w:rsidRDefault="006E4D34" w:rsidP="006E4D34">
      <w:pPr>
        <w:spacing w:line="240" w:lineRule="auto"/>
        <w:rPr>
          <w:rFonts w:eastAsia="Times New Roman" w:cs="Arial"/>
          <w:color w:val="000000"/>
          <w:lang w:eastAsia="bg-BG"/>
        </w:rPr>
      </w:pPr>
    </w:p>
    <w:p w14:paraId="587F4440" w14:textId="61D0DE3E"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Когато се налага, може да се обмисли предизвикване на повръщане или стомашна промивка</w:t>
      </w:r>
    </w:p>
    <w:p w14:paraId="606780BA" w14:textId="77777777" w:rsidR="006E4D34" w:rsidRPr="006E4D34" w:rsidRDefault="006E4D34" w:rsidP="006E4D34">
      <w:pPr>
        <w:rPr>
          <w:rFonts w:eastAsia="Times New Roman" w:cs="Arial"/>
          <w:sz w:val="24"/>
          <w:szCs w:val="24"/>
        </w:rPr>
      </w:pPr>
      <w:r w:rsidRPr="006E4D34">
        <w:rPr>
          <w:rFonts w:eastAsia="Times New Roman" w:cs="Arial"/>
          <w:color w:val="000000"/>
          <w:lang w:eastAsia="bg-BG"/>
        </w:rPr>
        <w:lastRenderedPageBreak/>
        <w:t>Ако се развие симптоматична хипотония, трябва да се започне симптоматично лечение и да се</w:t>
      </w:r>
      <w:r w:rsidRPr="006E4D34">
        <w:rPr>
          <w:rFonts w:eastAsia="Times New Roman" w:cs="Arial"/>
          <w:color w:val="000000"/>
          <w:lang w:val="ru-RU" w:eastAsia="bg-BG"/>
        </w:rPr>
        <w:t xml:space="preserve"> </w:t>
      </w:r>
      <w:r w:rsidRPr="006E4D34">
        <w:rPr>
          <w:rFonts w:eastAsia="Times New Roman" w:cs="Arial"/>
          <w:color w:val="000000"/>
          <w:lang w:eastAsia="bg-BG"/>
        </w:rPr>
        <w:t>проследяват жизнените показатели. Пациентът трябва да се постави в легнало положение с повдигнати крака. Ако това не е достатъчно, трябва да се увеличи плазмения обем чрез вливания - например на изотоничен физиологичен разтвор. Ако е необходимо, серумния електролитен и киселинен баланс трябва да бъдат проверени и коригирани. Може да се приложат симпатикомиметици, ако посочените по-горе мерки не са достатъчни.</w:t>
      </w:r>
    </w:p>
    <w:p w14:paraId="0EDC907A" w14:textId="77777777" w:rsidR="006E4D34" w:rsidRPr="006E4D34" w:rsidRDefault="006E4D34" w:rsidP="006E4D34">
      <w:pPr>
        <w:rPr>
          <w:rFonts w:eastAsia="Times New Roman" w:cs="Arial"/>
          <w:color w:val="000000"/>
          <w:lang w:eastAsia="bg-BG"/>
        </w:rPr>
      </w:pPr>
    </w:p>
    <w:p w14:paraId="537C9555" w14:textId="214929FD" w:rsidR="006E4D34" w:rsidRPr="006E4D34" w:rsidRDefault="006E4D34" w:rsidP="006E4D34">
      <w:pPr>
        <w:rPr>
          <w:rFonts w:cs="Arial"/>
          <w:lang w:val="ru-RU"/>
        </w:rPr>
      </w:pPr>
      <w:r w:rsidRPr="006E4D34">
        <w:rPr>
          <w:rFonts w:eastAsia="Times New Roman" w:cs="Arial"/>
          <w:color w:val="000000"/>
          <w:lang w:eastAsia="bg-BG"/>
        </w:rPr>
        <w:t>Кандесартан не може да бъде отстранен чрез хемодиализа. Не е известно до каква степен хидрохлоротиазид се отстранява чрез хемодиализа.</w:t>
      </w:r>
    </w:p>
    <w:p w14:paraId="02081B24" w14:textId="1F46E296" w:rsidR="00395555" w:rsidRPr="00395555" w:rsidRDefault="002C50EE" w:rsidP="008A6AF2">
      <w:pPr>
        <w:pStyle w:val="Heading1"/>
      </w:pPr>
      <w:r>
        <w:t>5. ФАРМАКОЛОГИЧНИ СВОЙСТВА</w:t>
      </w:r>
    </w:p>
    <w:p w14:paraId="7DE36AC8" w14:textId="6DFD05A7" w:rsidR="00B6672E" w:rsidRDefault="002C50EE" w:rsidP="00936AD0">
      <w:pPr>
        <w:pStyle w:val="Heading2"/>
      </w:pPr>
      <w:r>
        <w:t>5.1. Фармакодинамични свойства</w:t>
      </w:r>
    </w:p>
    <w:p w14:paraId="1ECEBFE5" w14:textId="7CA48124" w:rsidR="006E4D34" w:rsidRDefault="006E4D34" w:rsidP="006E4D34"/>
    <w:p w14:paraId="4CDA8013"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Фармакотерапевтична група: Средства, действащи върху ренин-ангиотензиновата система, Ангиотензин II антагонисти и диуретици, АТС код: </w:t>
      </w:r>
      <w:r w:rsidRPr="006E4D34">
        <w:rPr>
          <w:rFonts w:eastAsia="Times New Roman" w:cs="Arial"/>
          <w:i/>
          <w:iCs/>
          <w:color w:val="000000"/>
          <w:lang w:val="en-US"/>
        </w:rPr>
        <w:t>C</w:t>
      </w:r>
      <w:r w:rsidRPr="006E4D34">
        <w:rPr>
          <w:rFonts w:eastAsia="Times New Roman" w:cs="Arial"/>
          <w:i/>
          <w:iCs/>
          <w:color w:val="000000"/>
          <w:lang w:val="ru-RU"/>
        </w:rPr>
        <w:t>09</w:t>
      </w:r>
      <w:r w:rsidRPr="006E4D34">
        <w:rPr>
          <w:rFonts w:eastAsia="Times New Roman" w:cs="Arial"/>
          <w:i/>
          <w:iCs/>
          <w:color w:val="000000"/>
          <w:lang w:val="en-US"/>
        </w:rPr>
        <w:t>DA</w:t>
      </w:r>
      <w:r w:rsidRPr="006E4D34">
        <w:rPr>
          <w:rFonts w:eastAsia="Times New Roman" w:cs="Arial"/>
          <w:i/>
          <w:iCs/>
          <w:color w:val="000000"/>
          <w:lang w:val="ru-RU"/>
        </w:rPr>
        <w:t>06</w:t>
      </w:r>
    </w:p>
    <w:p w14:paraId="408759A2" w14:textId="77777777" w:rsidR="006E4D34" w:rsidRPr="006E4D34" w:rsidRDefault="006E4D34" w:rsidP="006E4D34">
      <w:pPr>
        <w:spacing w:line="240" w:lineRule="auto"/>
        <w:rPr>
          <w:rFonts w:eastAsia="Times New Roman" w:cs="Arial"/>
          <w:color w:val="000000"/>
          <w:u w:val="single"/>
          <w:lang w:eastAsia="bg-BG"/>
        </w:rPr>
      </w:pPr>
    </w:p>
    <w:p w14:paraId="757042C6" w14:textId="2E885DE8" w:rsidR="006E4D34" w:rsidRPr="006E4D34" w:rsidRDefault="006E4D34" w:rsidP="006E4D34">
      <w:pPr>
        <w:spacing w:line="240" w:lineRule="auto"/>
        <w:rPr>
          <w:rFonts w:eastAsia="Times New Roman" w:cs="Arial"/>
          <w:sz w:val="24"/>
          <w:szCs w:val="24"/>
        </w:rPr>
      </w:pPr>
      <w:r w:rsidRPr="006E4D34">
        <w:rPr>
          <w:rFonts w:eastAsia="Times New Roman" w:cs="Arial"/>
          <w:color w:val="000000"/>
          <w:u w:val="single"/>
          <w:lang w:eastAsia="bg-BG"/>
        </w:rPr>
        <w:t>Механизъм на действие</w:t>
      </w:r>
    </w:p>
    <w:p w14:paraId="6EBE9904"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Ангиотензин II е основният вазоактивен хормон от ренин-ангиотензин-алдостероновата система и участва в патофизиологията на хипертонията, сърдечната недостатъчност и други сърдечносъдови нарушения. Той също така играе роля и в патогенезата на органна хипертрофия и крайно органно увреждане. Основните физиологични ефекти на ангиотензин II като вазоконстрикция, стимулиране на алдостероновата секреция, регулация на водно-солевата хомеостаза и стимулация на клетъчния растеж, се медиират чрез тип 1 </w:t>
      </w:r>
      <w:r w:rsidRPr="006E4D34">
        <w:rPr>
          <w:rFonts w:eastAsia="Times New Roman" w:cs="Arial"/>
          <w:color w:val="000000"/>
          <w:lang w:val="ru-RU"/>
        </w:rPr>
        <w:t>(</w:t>
      </w:r>
      <w:r w:rsidRPr="006E4D34">
        <w:rPr>
          <w:rFonts w:eastAsia="Times New Roman" w:cs="Arial"/>
          <w:color w:val="000000"/>
          <w:lang w:val="en-US"/>
        </w:rPr>
        <w:t>AT</w:t>
      </w:r>
      <w:r w:rsidRPr="006E4D34">
        <w:rPr>
          <w:rFonts w:eastAsia="Times New Roman" w:cs="Arial"/>
          <w:color w:val="000000"/>
          <w:vertAlign w:val="subscript"/>
          <w:lang w:val="ru-RU"/>
        </w:rPr>
        <w:t>1</w:t>
      </w:r>
      <w:r w:rsidRPr="006E4D34">
        <w:rPr>
          <w:rFonts w:eastAsia="Times New Roman" w:cs="Arial"/>
          <w:color w:val="000000"/>
          <w:lang w:val="ru-RU"/>
        </w:rPr>
        <w:t xml:space="preserve">) </w:t>
      </w:r>
      <w:r w:rsidRPr="006E4D34">
        <w:rPr>
          <w:rFonts w:eastAsia="Times New Roman" w:cs="Arial"/>
          <w:color w:val="000000"/>
          <w:lang w:eastAsia="bg-BG"/>
        </w:rPr>
        <w:t>рецептора.</w:t>
      </w:r>
    </w:p>
    <w:p w14:paraId="78E4F2E4" w14:textId="77777777" w:rsidR="006E4D34" w:rsidRPr="006E4D34" w:rsidRDefault="006E4D34" w:rsidP="006E4D34">
      <w:pPr>
        <w:spacing w:line="240" w:lineRule="auto"/>
        <w:rPr>
          <w:rFonts w:eastAsia="Times New Roman" w:cs="Arial"/>
          <w:color w:val="000000"/>
          <w:u w:val="single"/>
          <w:lang w:eastAsia="bg-BG"/>
        </w:rPr>
      </w:pPr>
    </w:p>
    <w:p w14:paraId="21012EA8" w14:textId="23867937" w:rsidR="006E4D34" w:rsidRPr="006E4D34" w:rsidRDefault="006E4D34" w:rsidP="006E4D34">
      <w:pPr>
        <w:spacing w:line="240" w:lineRule="auto"/>
        <w:rPr>
          <w:rFonts w:eastAsia="Times New Roman" w:cs="Arial"/>
          <w:sz w:val="24"/>
          <w:szCs w:val="24"/>
        </w:rPr>
      </w:pPr>
      <w:r w:rsidRPr="006E4D34">
        <w:rPr>
          <w:rFonts w:eastAsia="Times New Roman" w:cs="Arial"/>
          <w:color w:val="000000"/>
          <w:u w:val="single"/>
          <w:lang w:eastAsia="bg-BG"/>
        </w:rPr>
        <w:t>Фармакодинамични ефекти</w:t>
      </w:r>
    </w:p>
    <w:p w14:paraId="4567B4C7"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Кандесартан цилексетил е предлекарство, което се превръща бързо в активното вещество кандесартан, чрез естерна хидролиза по време на резорбцията в гастроинтестиналния тракт. Кандесартан е </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 xml:space="preserve">селективен спрямо </w:t>
      </w:r>
      <w:r w:rsidRPr="006E4D34">
        <w:rPr>
          <w:rFonts w:eastAsia="Times New Roman" w:cs="Arial"/>
          <w:color w:val="000000"/>
          <w:lang w:val="en-US"/>
        </w:rPr>
        <w:t>AT</w:t>
      </w:r>
      <w:r w:rsidRPr="006E4D34">
        <w:rPr>
          <w:rFonts w:eastAsia="Times New Roman" w:cs="Arial"/>
          <w:color w:val="000000"/>
          <w:vertAlign w:val="subscript"/>
          <w:lang w:val="ru-RU"/>
        </w:rPr>
        <w:t>1</w:t>
      </w:r>
      <w:r w:rsidRPr="006E4D34">
        <w:rPr>
          <w:rFonts w:eastAsia="Times New Roman" w:cs="Arial"/>
          <w:color w:val="000000"/>
          <w:lang w:val="ru-RU"/>
        </w:rPr>
        <w:t xml:space="preserve"> </w:t>
      </w:r>
      <w:r w:rsidRPr="006E4D34">
        <w:rPr>
          <w:rFonts w:eastAsia="Times New Roman" w:cs="Arial"/>
          <w:color w:val="000000"/>
          <w:lang w:eastAsia="bg-BG"/>
        </w:rPr>
        <w:t>рецепторите, който се свързва здраво и бавно се освобождава от рецептора. Той няма агонистична активност.</w:t>
      </w:r>
    </w:p>
    <w:p w14:paraId="7BA58995" w14:textId="77777777" w:rsidR="006E4D34" w:rsidRPr="006E4D34" w:rsidRDefault="006E4D34" w:rsidP="006E4D34">
      <w:pPr>
        <w:spacing w:line="240" w:lineRule="auto"/>
        <w:rPr>
          <w:rFonts w:eastAsia="Times New Roman" w:cs="Arial"/>
          <w:color w:val="000000"/>
          <w:lang w:eastAsia="bg-BG"/>
        </w:rPr>
      </w:pPr>
    </w:p>
    <w:p w14:paraId="368F16A7" w14:textId="024712B6"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Кандесартан не повлиява АСЕ или други ензимни системи, свързани с употребата на АСЕ инхибитори, Тъй като няма ефект върху разграждането на кинините или върху метаболизма на други субстанции като субстанция Р, е малко вероятно </w:t>
      </w:r>
      <w:r w:rsidRPr="006E4D34">
        <w:rPr>
          <w:rFonts w:eastAsia="Times New Roman" w:cs="Arial"/>
          <w:color w:val="000000"/>
          <w:lang w:val="en-US"/>
        </w:rPr>
        <w:t>AIIRA</w:t>
      </w:r>
      <w:r w:rsidRPr="006E4D34">
        <w:rPr>
          <w:rFonts w:eastAsia="Times New Roman" w:cs="Arial"/>
          <w:color w:val="000000"/>
          <w:lang w:val="ru-RU"/>
        </w:rPr>
        <w:t xml:space="preserve"> </w:t>
      </w:r>
      <w:r w:rsidRPr="006E4D34">
        <w:rPr>
          <w:rFonts w:eastAsia="Times New Roman" w:cs="Arial"/>
          <w:color w:val="000000"/>
          <w:lang w:eastAsia="bg-BG"/>
        </w:rPr>
        <w:t xml:space="preserve">да се свързва с кашлица. В контролираните клинични проучвания, сравняващи кандесартан с АСЕ инхибитори, при получаващите кандесартан цилексетил пациенти честотата на развитие на кашлица е по-ниска. Кандесартан не се свързва с и не инхибира други хормонални рецептори или йонни канали, за които е известно, че са от значение за сърдечно-съдовата регулация. Антагонизмът спрямо рецепторите за ангиотензин II </w:t>
      </w:r>
      <w:r w:rsidRPr="006E4D34">
        <w:rPr>
          <w:rFonts w:eastAsia="Times New Roman" w:cs="Arial"/>
          <w:color w:val="000000"/>
          <w:lang w:val="ru-RU"/>
        </w:rPr>
        <w:t>(</w:t>
      </w:r>
      <w:r w:rsidRPr="006E4D34">
        <w:rPr>
          <w:rFonts w:eastAsia="Times New Roman" w:cs="Arial"/>
          <w:color w:val="000000"/>
          <w:lang w:val="en-US"/>
        </w:rPr>
        <w:t>AT</w:t>
      </w:r>
      <w:r w:rsidRPr="006E4D34">
        <w:rPr>
          <w:rFonts w:eastAsia="Times New Roman" w:cs="Arial"/>
          <w:color w:val="000000"/>
          <w:vertAlign w:val="subscript"/>
          <w:lang w:val="ru-RU"/>
        </w:rPr>
        <w:t>1</w:t>
      </w:r>
      <w:r w:rsidRPr="006E4D34">
        <w:rPr>
          <w:rFonts w:eastAsia="Times New Roman" w:cs="Arial"/>
          <w:color w:val="000000"/>
          <w:lang w:val="ru-RU"/>
        </w:rPr>
        <w:t xml:space="preserve">) </w:t>
      </w:r>
      <w:r w:rsidRPr="006E4D34">
        <w:rPr>
          <w:rFonts w:eastAsia="Times New Roman" w:cs="Arial"/>
          <w:color w:val="000000"/>
          <w:lang w:eastAsia="bg-BG"/>
        </w:rPr>
        <w:t>води до дозозависимо повишаване на плазмените нива на ренина, ангиотензин I и ангиотензин II и понижаване на плазмената концентрация на алдостерона.</w:t>
      </w:r>
    </w:p>
    <w:p w14:paraId="3959458D" w14:textId="77777777" w:rsidR="006E4D34" w:rsidRPr="006E4D34" w:rsidRDefault="006E4D34" w:rsidP="006E4D34">
      <w:pPr>
        <w:spacing w:line="240" w:lineRule="auto"/>
        <w:rPr>
          <w:rFonts w:eastAsia="Times New Roman" w:cs="Arial"/>
          <w:color w:val="000000"/>
          <w:u w:val="single"/>
          <w:lang w:eastAsia="bg-BG"/>
        </w:rPr>
      </w:pPr>
    </w:p>
    <w:p w14:paraId="2A64CEC6" w14:textId="189C258D" w:rsidR="006E4D34" w:rsidRPr="006E4D34" w:rsidRDefault="006E4D34" w:rsidP="006E4D34">
      <w:pPr>
        <w:spacing w:line="240" w:lineRule="auto"/>
        <w:rPr>
          <w:rFonts w:eastAsia="Times New Roman" w:cs="Arial"/>
          <w:sz w:val="24"/>
          <w:szCs w:val="24"/>
        </w:rPr>
      </w:pPr>
      <w:r w:rsidRPr="006E4D34">
        <w:rPr>
          <w:rFonts w:eastAsia="Times New Roman" w:cs="Arial"/>
          <w:color w:val="000000"/>
          <w:u w:val="single"/>
          <w:lang w:eastAsia="bg-BG"/>
        </w:rPr>
        <w:t>Клинична ефикасност и безопасност</w:t>
      </w:r>
    </w:p>
    <w:p w14:paraId="785D4E0E"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Ефектите на кандесартан цилексетил 8-16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 xml:space="preserve">(средна доза 12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 xml:space="preserve">еднократно дневно, върху сърдечно-съдовата заболеваемост и смъртност, са оценени в рандомизирано клинично проучване при 4 937 пациенти в старческа възраст (70 - 89 години; 21% на възраст 80 или повече години) с лека до умерено тежка артериална хипертония, </w:t>
      </w:r>
      <w:r w:rsidRPr="006E4D34">
        <w:rPr>
          <w:rFonts w:eastAsia="Times New Roman" w:cs="Arial"/>
          <w:color w:val="000000"/>
          <w:lang w:eastAsia="bg-BG"/>
        </w:rPr>
        <w:lastRenderedPageBreak/>
        <w:t xml:space="preserve">проследявани средно 3,7 години (Проучване върху когнитивните способности и прогноза при пациенти в старческа възраст </w:t>
      </w:r>
      <w:r w:rsidRPr="006E4D34">
        <w:rPr>
          <w:rFonts w:eastAsia="Times New Roman" w:cs="Arial"/>
          <w:color w:val="000000"/>
          <w:lang w:val="ru-RU"/>
        </w:rPr>
        <w:t>(</w:t>
      </w:r>
      <w:r w:rsidRPr="006E4D34">
        <w:rPr>
          <w:rFonts w:eastAsia="Times New Roman" w:cs="Arial"/>
          <w:color w:val="000000"/>
          <w:lang w:val="en-US"/>
        </w:rPr>
        <w:t>Study</w:t>
      </w:r>
      <w:r w:rsidRPr="006E4D34">
        <w:rPr>
          <w:rFonts w:eastAsia="Times New Roman" w:cs="Arial"/>
          <w:color w:val="000000"/>
          <w:lang w:val="ru-RU"/>
        </w:rPr>
        <w:t xml:space="preserve"> </w:t>
      </w:r>
      <w:r w:rsidRPr="006E4D34">
        <w:rPr>
          <w:rFonts w:eastAsia="Times New Roman" w:cs="Arial"/>
          <w:color w:val="000000"/>
          <w:lang w:val="en-US"/>
        </w:rPr>
        <w:t>on</w:t>
      </w:r>
      <w:r w:rsidRPr="006E4D34">
        <w:rPr>
          <w:rFonts w:eastAsia="Times New Roman" w:cs="Arial"/>
          <w:color w:val="000000"/>
          <w:lang w:val="ru-RU"/>
        </w:rPr>
        <w:t xml:space="preserve"> </w:t>
      </w:r>
      <w:proofErr w:type="spellStart"/>
      <w:r w:rsidRPr="006E4D34">
        <w:rPr>
          <w:rFonts w:eastAsia="Times New Roman" w:cs="Arial"/>
          <w:color w:val="000000"/>
          <w:lang w:val="en-US"/>
        </w:rPr>
        <w:t>COgnition</w:t>
      </w:r>
      <w:proofErr w:type="spellEnd"/>
      <w:r w:rsidRPr="006E4D34">
        <w:rPr>
          <w:rFonts w:eastAsia="Times New Roman" w:cs="Arial"/>
          <w:color w:val="000000"/>
          <w:lang w:val="ru-RU"/>
        </w:rPr>
        <w:t xml:space="preserve"> </w:t>
      </w:r>
      <w:r w:rsidRPr="006E4D34">
        <w:rPr>
          <w:rFonts w:eastAsia="Times New Roman" w:cs="Arial"/>
          <w:color w:val="000000"/>
          <w:lang w:val="en-US"/>
        </w:rPr>
        <w:t>and</w:t>
      </w:r>
      <w:r w:rsidRPr="006E4D34">
        <w:rPr>
          <w:rFonts w:eastAsia="Times New Roman" w:cs="Arial"/>
          <w:color w:val="000000"/>
          <w:lang w:val="ru-RU"/>
        </w:rPr>
        <w:t xml:space="preserve"> </w:t>
      </w:r>
      <w:r w:rsidRPr="006E4D34">
        <w:rPr>
          <w:rFonts w:eastAsia="Times New Roman" w:cs="Arial"/>
          <w:color w:val="000000"/>
          <w:lang w:val="en-US"/>
        </w:rPr>
        <w:t>Prognosis</w:t>
      </w:r>
      <w:r w:rsidRPr="006E4D34">
        <w:rPr>
          <w:rFonts w:eastAsia="Times New Roman" w:cs="Arial"/>
          <w:color w:val="000000"/>
          <w:lang w:val="ru-RU"/>
        </w:rPr>
        <w:t xml:space="preserve"> </w:t>
      </w:r>
      <w:r w:rsidRPr="006E4D34">
        <w:rPr>
          <w:rFonts w:eastAsia="Times New Roman" w:cs="Arial"/>
          <w:color w:val="000000"/>
          <w:lang w:val="en-US"/>
        </w:rPr>
        <w:t>in</w:t>
      </w:r>
      <w:r w:rsidRPr="006E4D34">
        <w:rPr>
          <w:rFonts w:eastAsia="Times New Roman" w:cs="Arial"/>
          <w:color w:val="000000"/>
          <w:lang w:val="ru-RU"/>
        </w:rPr>
        <w:t xml:space="preserve"> </w:t>
      </w:r>
      <w:r w:rsidRPr="006E4D34">
        <w:rPr>
          <w:rFonts w:eastAsia="Times New Roman" w:cs="Arial"/>
          <w:color w:val="000000"/>
          <w:lang w:val="en-US"/>
        </w:rPr>
        <w:t>the</w:t>
      </w:r>
      <w:r w:rsidRPr="006E4D34">
        <w:rPr>
          <w:rFonts w:eastAsia="Times New Roman" w:cs="Arial"/>
          <w:color w:val="000000"/>
          <w:lang w:val="ru-RU"/>
        </w:rPr>
        <w:t xml:space="preserve"> </w:t>
      </w:r>
      <w:r w:rsidRPr="006E4D34">
        <w:rPr>
          <w:rFonts w:eastAsia="Times New Roman" w:cs="Arial"/>
          <w:color w:val="000000"/>
          <w:lang w:val="en-US"/>
        </w:rPr>
        <w:t>Elderly</w:t>
      </w:r>
      <w:r w:rsidRPr="006E4D34">
        <w:rPr>
          <w:rFonts w:eastAsia="Times New Roman" w:cs="Arial"/>
          <w:color w:val="000000"/>
          <w:lang w:val="ru-RU"/>
        </w:rPr>
        <w:t xml:space="preserve">)). </w:t>
      </w:r>
      <w:r w:rsidRPr="006E4D34">
        <w:rPr>
          <w:rFonts w:eastAsia="Times New Roman" w:cs="Arial"/>
          <w:color w:val="000000"/>
          <w:lang w:eastAsia="bg-BG"/>
        </w:rPr>
        <w:t xml:space="preserve">Пациентите са приемали кандесартан цилексетил или плацебо с добавяне при нужда на друго антихипертензивно средство. Артериалното налягане показва понижаване от 166/90 до 145/80 </w:t>
      </w:r>
      <w:r w:rsidRPr="006E4D34">
        <w:rPr>
          <w:rFonts w:eastAsia="Times New Roman" w:cs="Arial"/>
          <w:color w:val="000000"/>
          <w:lang w:val="en-US"/>
        </w:rPr>
        <w:t>mmHg</w:t>
      </w:r>
      <w:r w:rsidRPr="006E4D34">
        <w:rPr>
          <w:rFonts w:eastAsia="Times New Roman" w:cs="Arial"/>
          <w:color w:val="000000"/>
          <w:lang w:val="ru-RU"/>
        </w:rPr>
        <w:t xml:space="preserve"> </w:t>
      </w:r>
      <w:r w:rsidRPr="006E4D34">
        <w:rPr>
          <w:rFonts w:eastAsia="Times New Roman" w:cs="Arial"/>
          <w:color w:val="000000"/>
          <w:lang w:eastAsia="bg-BG"/>
        </w:rPr>
        <w:t xml:space="preserve">в групата на кандесартан и от 167/90 до 149/82 </w:t>
      </w:r>
      <w:r w:rsidRPr="006E4D34">
        <w:rPr>
          <w:rFonts w:eastAsia="Times New Roman" w:cs="Arial"/>
          <w:color w:val="000000"/>
          <w:lang w:val="en-US"/>
        </w:rPr>
        <w:t>mmHg</w:t>
      </w:r>
      <w:r w:rsidRPr="006E4D34">
        <w:rPr>
          <w:rFonts w:eastAsia="Times New Roman" w:cs="Arial"/>
          <w:color w:val="000000"/>
          <w:lang w:val="ru-RU"/>
        </w:rPr>
        <w:t xml:space="preserve"> </w:t>
      </w:r>
      <w:r w:rsidRPr="006E4D34">
        <w:rPr>
          <w:rFonts w:eastAsia="Times New Roman" w:cs="Arial"/>
          <w:color w:val="000000"/>
          <w:lang w:eastAsia="bg-BG"/>
        </w:rPr>
        <w:t>в контролната група. По отношение на първичната крайна точка - значими сърдечно-съдови събития (сърдечно-съдова смъртност, не-фатален инсулт и не-фатален инфаркт на миокарда), няма статистически значима разлика. В групата на кандесартан събитията са 26,7 на 1 000 пациентогодини срещу 30,0 събития на 1 000 пациентогодини в контролната група (относителен риск 0,89,</w:t>
      </w:r>
      <w:r w:rsidRPr="006E4D34">
        <w:rPr>
          <w:rFonts w:eastAsia="Times New Roman" w:cs="Arial"/>
          <w:color w:val="000000"/>
          <w:lang w:val="ru-RU"/>
        </w:rPr>
        <w:t xml:space="preserve"> </w:t>
      </w:r>
      <w:r w:rsidRPr="006E4D34">
        <w:rPr>
          <w:rFonts w:eastAsia="Times New Roman" w:cs="Arial"/>
          <w:color w:val="000000"/>
          <w:lang w:eastAsia="bg-BG"/>
        </w:rPr>
        <w:t xml:space="preserve">95% </w:t>
      </w:r>
      <w:r w:rsidRPr="006E4D34">
        <w:rPr>
          <w:rFonts w:eastAsia="Times New Roman" w:cs="Arial"/>
          <w:color w:val="000000"/>
          <w:lang w:val="en-US"/>
        </w:rPr>
        <w:t>CI</w:t>
      </w:r>
      <w:r w:rsidRPr="006E4D34">
        <w:rPr>
          <w:rFonts w:eastAsia="Times New Roman" w:cs="Arial"/>
          <w:color w:val="000000"/>
          <w:lang w:val="ru-RU"/>
        </w:rPr>
        <w:t xml:space="preserve"> </w:t>
      </w:r>
      <w:r w:rsidRPr="006E4D34">
        <w:rPr>
          <w:rFonts w:eastAsia="Times New Roman" w:cs="Arial"/>
          <w:color w:val="000000"/>
          <w:lang w:eastAsia="bg-BG"/>
        </w:rPr>
        <w:t xml:space="preserve">0,75 до 1,06, </w:t>
      </w:r>
      <w:r w:rsidRPr="006E4D34">
        <w:rPr>
          <w:rFonts w:eastAsia="Times New Roman" w:cs="Arial"/>
          <w:color w:val="000000"/>
          <w:lang w:val="en-US"/>
        </w:rPr>
        <w:t>p</w:t>
      </w:r>
      <w:r w:rsidRPr="006E4D34">
        <w:rPr>
          <w:rFonts w:eastAsia="Times New Roman" w:cs="Arial"/>
          <w:color w:val="000000"/>
          <w:lang w:val="ru-RU"/>
        </w:rPr>
        <w:t>=0,19)</w:t>
      </w:r>
    </w:p>
    <w:p w14:paraId="4DFB30D2" w14:textId="30CDF5F6" w:rsidR="006E4D34" w:rsidRPr="006E4D34" w:rsidRDefault="006E4D34" w:rsidP="006E4D34">
      <w:pPr>
        <w:rPr>
          <w:rFonts w:cs="Arial"/>
        </w:rPr>
      </w:pPr>
    </w:p>
    <w:p w14:paraId="088AC5DB"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Хидрохлоротиазид инхибира активната реабсорбция на натрий в дисталните бъбречни тубули и подпомага екскрецията на натрий, хлорид и вода. Бъбречната екскреция на калий и магнезий се повишава дозо-зависимо, докато калцият се реабсорбира в по-голяма степен.</w:t>
      </w:r>
    </w:p>
    <w:p w14:paraId="4ED50699"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Хидрохлоротиазид води до намаляване на плазмения обем и екстрацелуларната течност и с това намалява сърдечния дебит и кръвно налягане. Дългосрочна терапия с хидрохлоротиазид намалява периферното съпротивление на кръвоносните съдове, което спомага за понижаването на кръвното налягане.</w:t>
      </w:r>
    </w:p>
    <w:p w14:paraId="7CA20EAA" w14:textId="77777777" w:rsidR="006E4D34" w:rsidRPr="006E4D34" w:rsidRDefault="006E4D34" w:rsidP="006E4D34">
      <w:pPr>
        <w:spacing w:line="240" w:lineRule="auto"/>
        <w:rPr>
          <w:rFonts w:eastAsia="Times New Roman" w:cs="Arial"/>
          <w:color w:val="000000"/>
          <w:lang w:eastAsia="bg-BG"/>
        </w:rPr>
      </w:pPr>
    </w:p>
    <w:p w14:paraId="5D6B0395" w14:textId="20411A7E"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Обширни клинични проучвания показват, че продължителното лечение с хидрохлортиазид понижава риска от сърдечно-съдова заболеваемост и смъртност.</w:t>
      </w:r>
    </w:p>
    <w:p w14:paraId="1E617160" w14:textId="77777777" w:rsidR="006E4D34" w:rsidRPr="006E4D34" w:rsidRDefault="006E4D34" w:rsidP="006E4D34">
      <w:pPr>
        <w:spacing w:line="240" w:lineRule="auto"/>
        <w:rPr>
          <w:rFonts w:eastAsia="Times New Roman" w:cs="Arial"/>
          <w:color w:val="000000"/>
          <w:lang w:eastAsia="bg-BG"/>
        </w:rPr>
      </w:pPr>
    </w:p>
    <w:p w14:paraId="6D754976" w14:textId="7019871E"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Кандесартан и хидрохлоротиазид имат адитивни антихипертензивни ефекти.</w:t>
      </w:r>
    </w:p>
    <w:p w14:paraId="18038D3E" w14:textId="77777777" w:rsidR="006E4D34" w:rsidRPr="006E4D34" w:rsidRDefault="006E4D34" w:rsidP="006E4D34">
      <w:pPr>
        <w:spacing w:line="240" w:lineRule="auto"/>
        <w:rPr>
          <w:rFonts w:eastAsia="Times New Roman" w:cs="Arial"/>
          <w:color w:val="000000"/>
          <w:lang w:eastAsia="bg-BG"/>
        </w:rPr>
      </w:pPr>
    </w:p>
    <w:p w14:paraId="47902802" w14:textId="1B4743DF"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При пациенти с хипертония, приложението на кандесартан цилексетил/хидрохлортиазид води до дозозависимо и дълготрайно понижаване на артериалното кръвно налягане, без рефлекторно увеличение на сърдечната честота. Няма данни за сериозна или тежка хипотония при пръв прием или </w:t>
      </w:r>
      <w:r w:rsidRPr="006E4D34">
        <w:rPr>
          <w:rFonts w:eastAsia="Times New Roman" w:cs="Arial"/>
          <w:color w:val="000000"/>
          <w:lang w:val="en-US"/>
        </w:rPr>
        <w:t>rebound</w:t>
      </w:r>
      <w:r w:rsidRPr="006E4D34">
        <w:rPr>
          <w:rFonts w:eastAsia="Times New Roman" w:cs="Arial"/>
          <w:color w:val="000000"/>
          <w:lang w:val="ru-RU"/>
        </w:rPr>
        <w:t xml:space="preserve"> </w:t>
      </w:r>
      <w:r w:rsidRPr="006E4D34">
        <w:rPr>
          <w:rFonts w:eastAsia="Times New Roman" w:cs="Arial"/>
          <w:color w:val="000000"/>
          <w:lang w:eastAsia="bg-BG"/>
        </w:rPr>
        <w:t>ефект след прекратяване на лечението. След прилагане на еднократна доза кандесартан цилексетил/хидрохлортиазид, началото на антихипертензивния ефект обикновено настъпва в рамките на 2 часа. При продължително лечение максималното понижаване на кръвното налягане настъпва в рамките на 4 седмици и се поддържа такова по време на дългосрочна терапия, кандесартан цилексетил/хидрохлортиазид еднократно дневно осигурява ефективно и плавно понижаване на кръвното налягане за 24 часа, с малка разлика между максималните и плато ефекти по време на дозовия интервал.</w:t>
      </w:r>
    </w:p>
    <w:p w14:paraId="005B9D30" w14:textId="498E7F51"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В двойно-сляпо рандомизирано проучване кандесартан цилексетил/хидрохлортиазид 16 </w:t>
      </w:r>
      <w:r w:rsidRPr="006E4D34">
        <w:rPr>
          <w:rFonts w:eastAsia="Times New Roman" w:cs="Arial"/>
          <w:color w:val="000000"/>
          <w:lang w:val="en-US"/>
        </w:rPr>
        <w:t>mg</w:t>
      </w:r>
      <w:r w:rsidRPr="006E4D34">
        <w:rPr>
          <w:rFonts w:eastAsia="Times New Roman" w:cs="Arial"/>
          <w:color w:val="000000"/>
        </w:rPr>
        <w:t>/</w:t>
      </w:r>
      <w:r w:rsidRPr="006E4D34">
        <w:rPr>
          <w:rFonts w:eastAsia="Times New Roman" w:cs="Arial"/>
          <w:color w:val="000000"/>
          <w:lang w:eastAsia="bg-BG"/>
        </w:rPr>
        <w:t xml:space="preserve">12,5 </w:t>
      </w:r>
      <w:r w:rsidRPr="006E4D34">
        <w:rPr>
          <w:rFonts w:eastAsia="Times New Roman" w:cs="Arial"/>
          <w:color w:val="000000"/>
          <w:lang w:val="en-US"/>
        </w:rPr>
        <w:t>mg</w:t>
      </w:r>
      <w:r w:rsidRPr="006E4D34">
        <w:rPr>
          <w:rFonts w:eastAsia="Times New Roman" w:cs="Arial"/>
          <w:color w:val="000000"/>
        </w:rPr>
        <w:t xml:space="preserve"> </w:t>
      </w:r>
      <w:r w:rsidRPr="006E4D34">
        <w:rPr>
          <w:rFonts w:eastAsia="Times New Roman" w:cs="Arial"/>
          <w:color w:val="000000"/>
          <w:lang w:eastAsia="bg-BG"/>
        </w:rPr>
        <w:t xml:space="preserve">веднъж дневно понижава кръвното налягане значително повече и овладява значително повече пациенти, отколкото комбинацията лосартан/хидрохлортиазид 50 </w:t>
      </w:r>
      <w:r w:rsidRPr="006E4D34">
        <w:rPr>
          <w:rFonts w:eastAsia="Times New Roman" w:cs="Arial"/>
          <w:color w:val="000000"/>
          <w:lang w:val="en-US"/>
        </w:rPr>
        <w:t>mg</w:t>
      </w:r>
      <w:r w:rsidRPr="006E4D34">
        <w:rPr>
          <w:rFonts w:eastAsia="Times New Roman" w:cs="Arial"/>
          <w:color w:val="000000"/>
        </w:rPr>
        <w:t xml:space="preserve">/12,5 </w:t>
      </w:r>
      <w:r w:rsidRPr="006E4D34">
        <w:rPr>
          <w:rFonts w:eastAsia="Times New Roman" w:cs="Arial"/>
          <w:color w:val="000000"/>
          <w:lang w:val="en-US"/>
        </w:rPr>
        <w:t>mg</w:t>
      </w:r>
      <w:r w:rsidRPr="006E4D34">
        <w:rPr>
          <w:rFonts w:eastAsia="Times New Roman" w:cs="Arial"/>
          <w:color w:val="000000"/>
        </w:rPr>
        <w:t xml:space="preserve"> </w:t>
      </w:r>
      <w:r w:rsidRPr="006E4D34">
        <w:rPr>
          <w:rFonts w:eastAsia="Times New Roman" w:cs="Arial"/>
          <w:color w:val="000000"/>
          <w:lang w:eastAsia="bg-BG"/>
        </w:rPr>
        <w:t>веднъж дневно.</w:t>
      </w:r>
    </w:p>
    <w:p w14:paraId="55A9E05A"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В двойно-слепи рандомизирани проучвания докладваните нежелани реакции, особено кашлица, са по-малко по време на лечението с кандесартан цилексетил/хидрохлортиазид, отколкото по време на лечението с комбинация от АСЕ инхибитор и хидрохлоротиазид.</w:t>
      </w:r>
    </w:p>
    <w:p w14:paraId="616E5F11" w14:textId="77777777" w:rsidR="006E4D34" w:rsidRPr="006E4D34" w:rsidRDefault="006E4D34" w:rsidP="006E4D34">
      <w:pPr>
        <w:spacing w:line="240" w:lineRule="auto"/>
        <w:rPr>
          <w:rFonts w:eastAsia="Times New Roman" w:cs="Arial"/>
          <w:color w:val="000000"/>
          <w:lang w:eastAsia="bg-BG"/>
        </w:rPr>
      </w:pPr>
    </w:p>
    <w:p w14:paraId="7110B316" w14:textId="7AB734B8"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В две клинични проучвания (рандомизирани, двойно-слепи, плацебо контролирани, с паралелни групи)съответно включили 275 и 1 524 рандомизирани пациенти, комбинацията кандесартан цилексетил/хидрохлоротиазид 32 </w:t>
      </w:r>
      <w:r w:rsidRPr="006E4D34">
        <w:rPr>
          <w:rFonts w:eastAsia="Times New Roman" w:cs="Arial"/>
          <w:color w:val="000000"/>
          <w:lang w:val="en-US"/>
        </w:rPr>
        <w:t>mg</w:t>
      </w:r>
      <w:r w:rsidRPr="006E4D34">
        <w:rPr>
          <w:rFonts w:eastAsia="Times New Roman" w:cs="Arial"/>
          <w:color w:val="000000"/>
          <w:lang w:val="ru-RU"/>
        </w:rPr>
        <w:t xml:space="preserve">/12,5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 xml:space="preserve">и 32 </w:t>
      </w:r>
      <w:r w:rsidRPr="006E4D34">
        <w:rPr>
          <w:rFonts w:eastAsia="Times New Roman" w:cs="Arial"/>
          <w:color w:val="000000"/>
          <w:lang w:val="en-US"/>
        </w:rPr>
        <w:t>mg</w:t>
      </w:r>
      <w:r w:rsidRPr="006E4D34">
        <w:rPr>
          <w:rFonts w:eastAsia="Times New Roman" w:cs="Arial"/>
          <w:color w:val="000000"/>
          <w:lang w:val="ru-RU"/>
        </w:rPr>
        <w:t xml:space="preserve">/25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 xml:space="preserve">довела до понижаване на кръвното налягане съответно с 22/15 </w:t>
      </w:r>
      <w:r w:rsidRPr="006E4D34">
        <w:rPr>
          <w:rFonts w:eastAsia="Times New Roman" w:cs="Arial"/>
          <w:color w:val="000000"/>
          <w:lang w:val="en-US"/>
        </w:rPr>
        <w:t>mmHg</w:t>
      </w:r>
      <w:r w:rsidRPr="006E4D34">
        <w:rPr>
          <w:rFonts w:eastAsia="Times New Roman" w:cs="Arial"/>
          <w:color w:val="000000"/>
          <w:lang w:val="ru-RU"/>
        </w:rPr>
        <w:t xml:space="preserve"> </w:t>
      </w:r>
      <w:r w:rsidRPr="006E4D34">
        <w:rPr>
          <w:rFonts w:eastAsia="Times New Roman" w:cs="Arial"/>
          <w:color w:val="000000"/>
          <w:lang w:val="en-US"/>
        </w:rPr>
        <w:t>and</w:t>
      </w:r>
      <w:r w:rsidRPr="006E4D34">
        <w:rPr>
          <w:rFonts w:eastAsia="Times New Roman" w:cs="Arial"/>
          <w:color w:val="000000"/>
          <w:lang w:val="ru-RU"/>
        </w:rPr>
        <w:t xml:space="preserve"> </w:t>
      </w:r>
      <w:r w:rsidRPr="006E4D34">
        <w:rPr>
          <w:rFonts w:eastAsia="Times New Roman" w:cs="Arial"/>
          <w:color w:val="000000"/>
          <w:lang w:eastAsia="bg-BG"/>
        </w:rPr>
        <w:t xml:space="preserve">21/14 </w:t>
      </w:r>
      <w:r w:rsidRPr="006E4D34">
        <w:rPr>
          <w:rFonts w:eastAsia="Times New Roman" w:cs="Arial"/>
          <w:color w:val="000000"/>
          <w:lang w:val="en-US"/>
        </w:rPr>
        <w:t>mmHg</w:t>
      </w:r>
      <w:r w:rsidRPr="006E4D34">
        <w:rPr>
          <w:rFonts w:eastAsia="Times New Roman" w:cs="Arial"/>
          <w:color w:val="000000"/>
          <w:lang w:val="ru-RU"/>
        </w:rPr>
        <w:t xml:space="preserve">. </w:t>
      </w:r>
      <w:r w:rsidRPr="006E4D34">
        <w:rPr>
          <w:rFonts w:eastAsia="Times New Roman" w:cs="Arial"/>
          <w:color w:val="000000"/>
          <w:lang w:eastAsia="bg-BG"/>
        </w:rPr>
        <w:t>Тези комбинации били значително по-ефективни от съответните монокомпоненти.</w:t>
      </w:r>
    </w:p>
    <w:p w14:paraId="19666428" w14:textId="77777777" w:rsidR="006E4D34" w:rsidRPr="006E4D34" w:rsidRDefault="006E4D34" w:rsidP="006E4D34">
      <w:pPr>
        <w:spacing w:line="240" w:lineRule="auto"/>
        <w:rPr>
          <w:rFonts w:eastAsia="Times New Roman" w:cs="Arial"/>
          <w:color w:val="000000"/>
          <w:lang w:eastAsia="bg-BG"/>
        </w:rPr>
      </w:pPr>
    </w:p>
    <w:p w14:paraId="28B34BC7" w14:textId="6242027D"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lastRenderedPageBreak/>
        <w:t xml:space="preserve">В рандомизирано, двойно сляпо, с паралелни групи проучване, включващ 1 975 рандомизирани пациенти, при които кръвното налягане не е било оптимално контролирано от 32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 xml:space="preserve">кандесартан цилексетил веднъж дневно, добавянето на 12,5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 xml:space="preserve">или 25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 xml:space="preserve">хидрохлоротиазид довело до допълнително понижаване на кръвното налягане. Комбинацията кандесартан/хидрохлоротиазид 32 </w:t>
      </w:r>
      <w:r w:rsidRPr="006E4D34">
        <w:rPr>
          <w:rFonts w:eastAsia="Times New Roman" w:cs="Arial"/>
          <w:color w:val="000000"/>
          <w:lang w:val="en-US"/>
        </w:rPr>
        <w:t>mg</w:t>
      </w:r>
      <w:r w:rsidRPr="006E4D34">
        <w:rPr>
          <w:rFonts w:eastAsia="Times New Roman" w:cs="Arial"/>
          <w:color w:val="000000"/>
          <w:lang w:val="ru-RU"/>
        </w:rPr>
        <w:t xml:space="preserve">/25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 xml:space="preserve">била значително по-ефективна от комбинацията 32 </w:t>
      </w:r>
      <w:r w:rsidRPr="006E4D34">
        <w:rPr>
          <w:rFonts w:eastAsia="Times New Roman" w:cs="Arial"/>
          <w:color w:val="000000"/>
          <w:lang w:val="en-US"/>
        </w:rPr>
        <w:t>mg</w:t>
      </w:r>
      <w:r w:rsidRPr="006E4D34">
        <w:rPr>
          <w:rFonts w:eastAsia="Times New Roman" w:cs="Arial"/>
          <w:color w:val="000000"/>
          <w:lang w:val="ru-RU"/>
        </w:rPr>
        <w:t xml:space="preserve">/12,5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 xml:space="preserve">и средните стойности, с които се понижило кръвното налягане били съответно 16/10 </w:t>
      </w:r>
      <w:r w:rsidRPr="006E4D34">
        <w:rPr>
          <w:rFonts w:eastAsia="Times New Roman" w:cs="Arial"/>
          <w:color w:val="000000"/>
          <w:lang w:val="en-US"/>
        </w:rPr>
        <w:t>mmHg</w:t>
      </w:r>
      <w:r w:rsidRPr="006E4D34">
        <w:rPr>
          <w:rFonts w:eastAsia="Times New Roman" w:cs="Arial"/>
          <w:color w:val="000000"/>
          <w:lang w:val="ru-RU"/>
        </w:rPr>
        <w:t xml:space="preserve"> </w:t>
      </w:r>
      <w:r w:rsidRPr="006E4D34">
        <w:rPr>
          <w:rFonts w:eastAsia="Times New Roman" w:cs="Arial"/>
          <w:color w:val="000000"/>
          <w:lang w:eastAsia="bg-BG"/>
        </w:rPr>
        <w:t xml:space="preserve">и 13/9 </w:t>
      </w:r>
      <w:r w:rsidRPr="006E4D34">
        <w:rPr>
          <w:rFonts w:eastAsia="Times New Roman" w:cs="Arial"/>
          <w:color w:val="000000"/>
          <w:lang w:val="en-US"/>
        </w:rPr>
        <w:t>mmHg</w:t>
      </w:r>
      <w:r w:rsidRPr="006E4D34">
        <w:rPr>
          <w:rFonts w:eastAsia="Times New Roman" w:cs="Arial"/>
          <w:color w:val="000000"/>
          <w:lang w:val="ru-RU"/>
        </w:rPr>
        <w:t>.</w:t>
      </w:r>
    </w:p>
    <w:p w14:paraId="016EE3A5"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Две големи рандомизирани контролирани проучвания - </w:t>
      </w:r>
      <w:r w:rsidRPr="006E4D34">
        <w:rPr>
          <w:rFonts w:eastAsia="Times New Roman" w:cs="Arial"/>
          <w:color w:val="000000"/>
          <w:lang w:val="en-US"/>
        </w:rPr>
        <w:t>ONTARGET</w:t>
      </w:r>
      <w:r w:rsidRPr="006E4D34">
        <w:rPr>
          <w:rFonts w:eastAsia="Times New Roman" w:cs="Arial"/>
          <w:color w:val="000000"/>
        </w:rPr>
        <w:t xml:space="preserve"> (</w:t>
      </w:r>
      <w:proofErr w:type="spellStart"/>
      <w:r w:rsidRPr="006E4D34">
        <w:rPr>
          <w:rFonts w:eastAsia="Times New Roman" w:cs="Arial"/>
          <w:color w:val="000000"/>
          <w:lang w:val="en-US"/>
        </w:rPr>
        <w:t>ONgoing</w:t>
      </w:r>
      <w:proofErr w:type="spellEnd"/>
      <w:r w:rsidRPr="006E4D34">
        <w:rPr>
          <w:rFonts w:eastAsia="Times New Roman" w:cs="Arial"/>
          <w:color w:val="000000"/>
        </w:rPr>
        <w:t xml:space="preserve"> </w:t>
      </w:r>
      <w:proofErr w:type="spellStart"/>
      <w:r w:rsidRPr="006E4D34">
        <w:rPr>
          <w:rFonts w:eastAsia="Times New Roman" w:cs="Arial"/>
          <w:color w:val="000000"/>
          <w:lang w:val="en-US"/>
        </w:rPr>
        <w:t>Telmisartan</w:t>
      </w:r>
      <w:proofErr w:type="spellEnd"/>
      <w:r w:rsidRPr="006E4D34">
        <w:rPr>
          <w:rFonts w:eastAsia="Times New Roman" w:cs="Arial"/>
          <w:color w:val="000000"/>
        </w:rPr>
        <w:t xml:space="preserve"> </w:t>
      </w:r>
      <w:r w:rsidRPr="006E4D34">
        <w:rPr>
          <w:rFonts w:eastAsia="Times New Roman" w:cs="Arial"/>
          <w:color w:val="000000"/>
          <w:lang w:val="en-US"/>
        </w:rPr>
        <w:t>Alone</w:t>
      </w:r>
      <w:r w:rsidRPr="006E4D34">
        <w:rPr>
          <w:rFonts w:eastAsia="Times New Roman" w:cs="Arial"/>
          <w:color w:val="000000"/>
        </w:rPr>
        <w:t xml:space="preserve"> </w:t>
      </w:r>
      <w:r w:rsidRPr="006E4D34">
        <w:rPr>
          <w:rFonts w:eastAsia="Times New Roman" w:cs="Arial"/>
          <w:color w:val="000000"/>
          <w:lang w:val="en-US"/>
        </w:rPr>
        <w:t>and</w:t>
      </w:r>
      <w:r w:rsidRPr="006E4D34">
        <w:rPr>
          <w:rFonts w:eastAsia="Times New Roman" w:cs="Arial"/>
          <w:color w:val="000000"/>
        </w:rPr>
        <w:t xml:space="preserve"> </w:t>
      </w:r>
      <w:r w:rsidRPr="006E4D34">
        <w:rPr>
          <w:rFonts w:eastAsia="Times New Roman" w:cs="Arial"/>
          <w:color w:val="000000"/>
          <w:lang w:val="en-US"/>
        </w:rPr>
        <w:t>in</w:t>
      </w:r>
      <w:r w:rsidRPr="006E4D34">
        <w:rPr>
          <w:rFonts w:eastAsia="Times New Roman" w:cs="Arial"/>
          <w:color w:val="000000"/>
        </w:rPr>
        <w:t xml:space="preserve"> </w:t>
      </w:r>
      <w:r w:rsidRPr="006E4D34">
        <w:rPr>
          <w:rFonts w:eastAsia="Times New Roman" w:cs="Arial"/>
          <w:color w:val="000000"/>
          <w:lang w:val="en-US"/>
        </w:rPr>
        <w:t>combination</w:t>
      </w:r>
      <w:r w:rsidRPr="006E4D34">
        <w:rPr>
          <w:rFonts w:eastAsia="Times New Roman" w:cs="Arial"/>
          <w:color w:val="000000"/>
        </w:rPr>
        <w:t xml:space="preserve"> </w:t>
      </w:r>
      <w:r w:rsidRPr="006E4D34">
        <w:rPr>
          <w:rFonts w:eastAsia="Times New Roman" w:cs="Arial"/>
          <w:color w:val="000000"/>
          <w:lang w:val="en-US"/>
        </w:rPr>
        <w:t>with</w:t>
      </w:r>
      <w:r w:rsidRPr="006E4D34">
        <w:rPr>
          <w:rFonts w:eastAsia="Times New Roman" w:cs="Arial"/>
          <w:color w:val="000000"/>
        </w:rPr>
        <w:t xml:space="preserve"> </w:t>
      </w:r>
      <w:r w:rsidRPr="006E4D34">
        <w:rPr>
          <w:rFonts w:eastAsia="Times New Roman" w:cs="Arial"/>
          <w:color w:val="000000"/>
          <w:lang w:val="en-US"/>
        </w:rPr>
        <w:t>Ramipril</w:t>
      </w:r>
      <w:r w:rsidRPr="006E4D34">
        <w:rPr>
          <w:rFonts w:eastAsia="Times New Roman" w:cs="Arial"/>
          <w:color w:val="000000"/>
        </w:rPr>
        <w:t xml:space="preserve"> </w:t>
      </w:r>
      <w:r w:rsidRPr="006E4D34">
        <w:rPr>
          <w:rFonts w:eastAsia="Times New Roman" w:cs="Arial"/>
          <w:color w:val="000000"/>
          <w:lang w:val="en-US"/>
        </w:rPr>
        <w:t>Global</w:t>
      </w:r>
      <w:r w:rsidRPr="006E4D34">
        <w:rPr>
          <w:rFonts w:eastAsia="Times New Roman" w:cs="Arial"/>
          <w:color w:val="000000"/>
        </w:rPr>
        <w:t xml:space="preserve"> </w:t>
      </w:r>
      <w:r w:rsidRPr="006E4D34">
        <w:rPr>
          <w:rFonts w:eastAsia="Times New Roman" w:cs="Arial"/>
          <w:color w:val="000000"/>
          <w:lang w:val="en-US"/>
        </w:rPr>
        <w:t>Endpoint</w:t>
      </w:r>
      <w:r w:rsidRPr="006E4D34">
        <w:rPr>
          <w:rFonts w:eastAsia="Times New Roman" w:cs="Arial"/>
          <w:color w:val="000000"/>
        </w:rPr>
        <w:t xml:space="preserve"> </w:t>
      </w:r>
      <w:r w:rsidRPr="006E4D34">
        <w:rPr>
          <w:rFonts w:eastAsia="Times New Roman" w:cs="Arial"/>
          <w:color w:val="000000"/>
          <w:lang w:val="en-US"/>
        </w:rPr>
        <w:t>Trial</w:t>
      </w:r>
      <w:r w:rsidRPr="006E4D34">
        <w:rPr>
          <w:rFonts w:eastAsia="Times New Roman" w:cs="Arial"/>
          <w:color w:val="000000"/>
        </w:rPr>
        <w:t xml:space="preserve">, </w:t>
      </w:r>
      <w:r w:rsidRPr="006E4D34">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6E4D34">
        <w:rPr>
          <w:rFonts w:eastAsia="Times New Roman" w:cs="Arial"/>
          <w:color w:val="000000"/>
          <w:lang w:val="en-US"/>
        </w:rPr>
        <w:t>VA</w:t>
      </w:r>
      <w:r w:rsidRPr="006E4D34">
        <w:rPr>
          <w:rFonts w:eastAsia="Times New Roman" w:cs="Arial"/>
          <w:color w:val="000000"/>
        </w:rPr>
        <w:t xml:space="preserve"> </w:t>
      </w:r>
      <w:r w:rsidRPr="006E4D34">
        <w:rPr>
          <w:rFonts w:eastAsia="Times New Roman" w:cs="Arial"/>
          <w:color w:val="000000"/>
          <w:lang w:val="en-US"/>
        </w:rPr>
        <w:t>NEPHRON</w:t>
      </w:r>
      <w:r w:rsidRPr="006E4D34">
        <w:rPr>
          <w:rFonts w:eastAsia="Times New Roman" w:cs="Arial"/>
          <w:color w:val="000000"/>
        </w:rPr>
        <w:t>-</w:t>
      </w:r>
      <w:r w:rsidRPr="006E4D34">
        <w:rPr>
          <w:rFonts w:eastAsia="Times New Roman" w:cs="Arial"/>
          <w:color w:val="000000"/>
          <w:lang w:val="en-US"/>
        </w:rPr>
        <w:t>D</w:t>
      </w:r>
      <w:r w:rsidRPr="006E4D34">
        <w:rPr>
          <w:rFonts w:eastAsia="Times New Roman" w:cs="Arial"/>
          <w:color w:val="000000"/>
        </w:rPr>
        <w:t xml:space="preserve"> (</w:t>
      </w:r>
      <w:r w:rsidRPr="006E4D34">
        <w:rPr>
          <w:rFonts w:eastAsia="Times New Roman" w:cs="Arial"/>
          <w:color w:val="000000"/>
          <w:lang w:val="en-US"/>
        </w:rPr>
        <w:t>The</w:t>
      </w:r>
      <w:r w:rsidRPr="006E4D34">
        <w:rPr>
          <w:rFonts w:eastAsia="Times New Roman" w:cs="Arial"/>
          <w:color w:val="000000"/>
        </w:rPr>
        <w:t xml:space="preserve"> </w:t>
      </w:r>
      <w:r w:rsidRPr="006E4D34">
        <w:rPr>
          <w:rFonts w:eastAsia="Times New Roman" w:cs="Arial"/>
          <w:color w:val="000000"/>
          <w:lang w:val="en-US"/>
        </w:rPr>
        <w:t>Veterans</w:t>
      </w:r>
      <w:r w:rsidRPr="006E4D34">
        <w:rPr>
          <w:rFonts w:eastAsia="Times New Roman" w:cs="Arial"/>
          <w:color w:val="000000"/>
        </w:rPr>
        <w:t xml:space="preserve"> </w:t>
      </w:r>
      <w:r w:rsidRPr="006E4D34">
        <w:rPr>
          <w:rFonts w:eastAsia="Times New Roman" w:cs="Arial"/>
          <w:color w:val="000000"/>
          <w:lang w:val="en-US"/>
        </w:rPr>
        <w:t>Affairs</w:t>
      </w:r>
      <w:r w:rsidRPr="006E4D34">
        <w:rPr>
          <w:rFonts w:eastAsia="Times New Roman" w:cs="Arial"/>
          <w:color w:val="000000"/>
        </w:rPr>
        <w:t xml:space="preserve"> </w:t>
      </w:r>
      <w:r w:rsidRPr="006E4D34">
        <w:rPr>
          <w:rFonts w:eastAsia="Times New Roman" w:cs="Arial"/>
          <w:color w:val="000000"/>
          <w:lang w:val="en-US"/>
        </w:rPr>
        <w:t>Nephropathy</w:t>
      </w:r>
      <w:r w:rsidRPr="006E4D34">
        <w:rPr>
          <w:rFonts w:eastAsia="Times New Roman" w:cs="Arial"/>
          <w:color w:val="000000"/>
        </w:rPr>
        <w:t xml:space="preserve"> </w:t>
      </w:r>
      <w:r w:rsidRPr="006E4D34">
        <w:rPr>
          <w:rFonts w:eastAsia="Times New Roman" w:cs="Arial"/>
          <w:color w:val="000000"/>
          <w:lang w:val="en-US"/>
        </w:rPr>
        <w:t>in</w:t>
      </w:r>
      <w:r w:rsidRPr="006E4D34">
        <w:rPr>
          <w:rFonts w:eastAsia="Times New Roman" w:cs="Arial"/>
          <w:color w:val="000000"/>
        </w:rPr>
        <w:t xml:space="preserve"> </w:t>
      </w:r>
      <w:r w:rsidRPr="006E4D34">
        <w:rPr>
          <w:rFonts w:eastAsia="Times New Roman" w:cs="Arial"/>
          <w:color w:val="000000"/>
          <w:lang w:val="en-US"/>
        </w:rPr>
        <w:t>Diabetes</w:t>
      </w:r>
      <w:r w:rsidRPr="006E4D34">
        <w:rPr>
          <w:rFonts w:eastAsia="Times New Roman" w:cs="Arial"/>
          <w:color w:val="000000"/>
        </w:rPr>
        <w:t xml:space="preserve">, </w:t>
      </w:r>
      <w:r w:rsidRPr="006E4D34">
        <w:rPr>
          <w:rFonts w:eastAsia="Times New Roman" w:cs="Arial"/>
          <w:color w:val="000000"/>
          <w:lang w:eastAsia="bg-BG"/>
        </w:rPr>
        <w:t>Клинично проучване за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П-рецепторен блокер.</w:t>
      </w:r>
    </w:p>
    <w:p w14:paraId="161FD5F5"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val="en-US"/>
        </w:rPr>
        <w:t>ONTARGET</w:t>
      </w:r>
      <w:r w:rsidRPr="006E4D34">
        <w:rPr>
          <w:rFonts w:eastAsia="Times New Roman" w:cs="Arial"/>
          <w:color w:val="000000"/>
          <w:lang w:val="ru-RU"/>
        </w:rPr>
        <w:t xml:space="preserve"> </w:t>
      </w:r>
      <w:r w:rsidRPr="006E4D34">
        <w:rPr>
          <w:rFonts w:eastAsia="Times New Roman" w:cs="Arial"/>
          <w:color w:val="000000"/>
          <w:lang w:eastAsia="bg-BG"/>
        </w:rPr>
        <w:t>е проучване, проведено при пациенти с анамнеза за сърдечно-съдова или</w:t>
      </w:r>
      <w:r w:rsidRPr="006E4D34">
        <w:rPr>
          <w:rFonts w:eastAsia="Times New Roman" w:cs="Arial"/>
          <w:color w:val="000000"/>
          <w:u w:val="single"/>
          <w:lang w:eastAsia="bg-BG"/>
        </w:rPr>
        <w:t xml:space="preserve"> </w:t>
      </w:r>
      <w:r w:rsidRPr="006E4D34">
        <w:rPr>
          <w:rFonts w:eastAsia="Times New Roman" w:cs="Arial"/>
          <w:color w:val="000000"/>
          <w:lang w:eastAsia="bg-BG"/>
        </w:rPr>
        <w:t xml:space="preserve">мозъчносъдова болест, или захарен диабет тип 2, придружени с данни за увреждане на ефекторни органи. </w:t>
      </w:r>
      <w:r w:rsidRPr="006E4D34">
        <w:rPr>
          <w:rFonts w:eastAsia="Times New Roman" w:cs="Arial"/>
          <w:color w:val="000000"/>
          <w:lang w:val="en-US"/>
        </w:rPr>
        <w:t>VA</w:t>
      </w:r>
      <w:r w:rsidRPr="006E4D34">
        <w:rPr>
          <w:rFonts w:eastAsia="Times New Roman" w:cs="Arial"/>
          <w:color w:val="000000"/>
          <w:lang w:val="ru-RU"/>
        </w:rPr>
        <w:t xml:space="preserve"> </w:t>
      </w:r>
      <w:r w:rsidRPr="006E4D34">
        <w:rPr>
          <w:rFonts w:eastAsia="Times New Roman" w:cs="Arial"/>
          <w:color w:val="000000"/>
          <w:lang w:val="en-US"/>
        </w:rPr>
        <w:t>NEPHRON</w:t>
      </w:r>
      <w:r w:rsidRPr="006E4D34">
        <w:rPr>
          <w:rFonts w:eastAsia="Times New Roman" w:cs="Arial"/>
          <w:color w:val="000000"/>
          <w:lang w:val="ru-RU"/>
        </w:rPr>
        <w:t>-</w:t>
      </w:r>
      <w:r w:rsidRPr="006E4D34">
        <w:rPr>
          <w:rFonts w:eastAsia="Times New Roman" w:cs="Arial"/>
          <w:color w:val="000000"/>
          <w:lang w:val="en-US"/>
        </w:rPr>
        <w:t>D</w:t>
      </w:r>
      <w:r w:rsidRPr="006E4D34">
        <w:rPr>
          <w:rFonts w:eastAsia="Times New Roman" w:cs="Arial"/>
          <w:color w:val="000000"/>
          <w:lang w:val="ru-RU"/>
        </w:rPr>
        <w:t xml:space="preserve"> </w:t>
      </w:r>
      <w:r w:rsidRPr="006E4D34">
        <w:rPr>
          <w:rFonts w:eastAsia="Times New Roman" w:cs="Arial"/>
          <w:color w:val="000000"/>
          <w:lang w:eastAsia="bg-BG"/>
        </w:rPr>
        <w:t>е проучване при пациенти със захарен диабет тип 2 и диабетна нефропатия.</w:t>
      </w:r>
    </w:p>
    <w:p w14:paraId="3B2A2262" w14:textId="77777777" w:rsidR="006E4D34" w:rsidRPr="006E4D34" w:rsidRDefault="006E4D34" w:rsidP="006E4D34">
      <w:pPr>
        <w:rPr>
          <w:rFonts w:eastAsia="Times New Roman" w:cs="Arial"/>
          <w:sz w:val="24"/>
          <w:szCs w:val="24"/>
        </w:rPr>
      </w:pPr>
      <w:r w:rsidRPr="006E4D34">
        <w:rPr>
          <w:rFonts w:eastAsia="Times New Roman" w:cs="Arial"/>
          <w:color w:val="000000"/>
          <w:lang w:eastAsia="bg-BG"/>
        </w:rPr>
        <w:t>Тези проучвания не показват значим благоприятен ефект върху бъбречните и/или сърдечно съдовите последици и смъртност, като същевременно са наблюдавани повишен риск от</w:t>
      </w:r>
      <w:r w:rsidRPr="006E4D34">
        <w:rPr>
          <w:rFonts w:eastAsia="Times New Roman" w:cs="Arial"/>
          <w:color w:val="000000"/>
          <w:lang w:val="ru-RU" w:eastAsia="bg-BG"/>
        </w:rPr>
        <w:t xml:space="preserve"> </w:t>
      </w:r>
      <w:r w:rsidRPr="006E4D34">
        <w:rPr>
          <w:rFonts w:eastAsia="Times New Roman" w:cs="Arial"/>
          <w:color w:val="000000"/>
          <w:lang w:eastAsia="bg-BG"/>
        </w:rPr>
        <w:t xml:space="preserve">хиперкалиемия,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w:t>
      </w:r>
      <w:r w:rsidRPr="006E4D34">
        <w:rPr>
          <w:rFonts w:eastAsia="Times New Roman" w:cs="Arial"/>
          <w:color w:val="000000"/>
          <w:lang w:val="en-US"/>
        </w:rPr>
        <w:t>II</w:t>
      </w:r>
      <w:r w:rsidRPr="006E4D34">
        <w:rPr>
          <w:rFonts w:eastAsia="Times New Roman" w:cs="Arial"/>
          <w:color w:val="000000"/>
          <w:lang w:eastAsia="bg-BG"/>
        </w:rPr>
        <w:t>-рецепторни блокери.</w:t>
      </w:r>
    </w:p>
    <w:p w14:paraId="5A75D8CD"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АСЕ инхибитори и ангиотензин </w:t>
      </w:r>
      <w:r w:rsidRPr="006E4D34">
        <w:rPr>
          <w:rFonts w:eastAsia="Times New Roman" w:cs="Arial"/>
          <w:color w:val="000000"/>
          <w:lang w:val="en-US"/>
        </w:rPr>
        <w:t>II</w:t>
      </w:r>
      <w:r w:rsidRPr="006E4D34">
        <w:rPr>
          <w:rFonts w:eastAsia="Times New Roman" w:cs="Arial"/>
          <w:color w:val="000000"/>
          <w:lang w:eastAsia="bg-BG"/>
        </w:rPr>
        <w:t>-рецепторни блокери следователно не трябва да се използват едновременно при пациенти с диабетна нефропатия.</w:t>
      </w:r>
    </w:p>
    <w:p w14:paraId="760B0A15"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val="en-US"/>
        </w:rPr>
        <w:t>ALTITUDE</w:t>
      </w:r>
      <w:r w:rsidRPr="006E4D34">
        <w:rPr>
          <w:rFonts w:eastAsia="Times New Roman" w:cs="Arial"/>
          <w:color w:val="000000"/>
          <w:lang w:val="ru-RU"/>
        </w:rPr>
        <w:t xml:space="preserve"> </w:t>
      </w:r>
      <w:r w:rsidRPr="006E4D34">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заболявалия като крайни точки) е проучване, предназначено да изследва ползата от добавянето на алискирен към стандартна терапия с АСЕ инхибитор или ангиотензин </w:t>
      </w:r>
      <w:r w:rsidRPr="006E4D34">
        <w:rPr>
          <w:rFonts w:eastAsia="Times New Roman" w:cs="Arial"/>
          <w:color w:val="000000"/>
          <w:lang w:val="en-US"/>
        </w:rPr>
        <w:t>II</w:t>
      </w:r>
      <w:r w:rsidRPr="006E4D34">
        <w:rPr>
          <w:rFonts w:eastAsia="Times New Roman" w:cs="Arial"/>
          <w:color w:val="000000"/>
          <w:lang w:eastAsia="bg-BG"/>
        </w:rPr>
        <w:t>-рецепторен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3E845BFF" w14:textId="77777777" w:rsidR="006E4D34" w:rsidRPr="006E4D34" w:rsidRDefault="006E4D34" w:rsidP="006E4D34">
      <w:pPr>
        <w:spacing w:line="240" w:lineRule="auto"/>
        <w:rPr>
          <w:rFonts w:eastAsia="Times New Roman" w:cs="Arial"/>
          <w:color w:val="000000"/>
          <w:lang w:eastAsia="bg-BG"/>
        </w:rPr>
      </w:pPr>
    </w:p>
    <w:p w14:paraId="208ED120" w14:textId="5C3D80D5"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Кандесартан цилексетил/хидрохлортиазид е еднакво ефективен при пациенти, независимо от пола и възрастта.</w:t>
      </w:r>
    </w:p>
    <w:p w14:paraId="3DA0C8A0" w14:textId="77777777" w:rsidR="006E4D34" w:rsidRPr="006E4D34" w:rsidRDefault="006E4D34" w:rsidP="006E4D34">
      <w:pPr>
        <w:spacing w:line="240" w:lineRule="auto"/>
        <w:rPr>
          <w:rFonts w:eastAsia="Times New Roman" w:cs="Arial"/>
          <w:color w:val="000000"/>
          <w:lang w:eastAsia="bg-BG"/>
        </w:rPr>
      </w:pPr>
    </w:p>
    <w:p w14:paraId="21F97817" w14:textId="3CE1CDCB"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В момента няма данни за използването на кандесартан цилексетил/хидрохлортиазд при пациенти с бъбречно заболяване/нефропатия, намалена левокамерна функция/ застойна сърдечна недостатъчност или след инфаркт на миокарда.</w:t>
      </w:r>
    </w:p>
    <w:p w14:paraId="432EFC9B" w14:textId="77777777" w:rsidR="006E4D34" w:rsidRPr="006E4D34" w:rsidRDefault="006E4D34" w:rsidP="006E4D34">
      <w:pPr>
        <w:spacing w:line="240" w:lineRule="auto"/>
        <w:rPr>
          <w:rFonts w:eastAsia="Times New Roman" w:cs="Arial"/>
          <w:color w:val="000000"/>
          <w:lang w:eastAsia="bg-BG"/>
        </w:rPr>
      </w:pPr>
    </w:p>
    <w:p w14:paraId="7A80DE6C" w14:textId="76CA1FB3"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≥50 000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 xml:space="preserve">е свързана с коригиран </w:t>
      </w:r>
      <w:r w:rsidRPr="006E4D34">
        <w:rPr>
          <w:rFonts w:eastAsia="Times New Roman" w:cs="Arial"/>
          <w:color w:val="000000"/>
          <w:lang w:val="en-US"/>
        </w:rPr>
        <w:t>OR</w:t>
      </w:r>
      <w:r w:rsidRPr="006E4D34">
        <w:rPr>
          <w:rFonts w:eastAsia="Times New Roman" w:cs="Arial"/>
          <w:color w:val="000000"/>
          <w:lang w:val="ru-RU"/>
        </w:rPr>
        <w:t xml:space="preserve"> </w:t>
      </w:r>
      <w:r w:rsidRPr="006E4D34">
        <w:rPr>
          <w:rFonts w:eastAsia="Times New Roman" w:cs="Arial"/>
          <w:color w:val="000000"/>
          <w:lang w:eastAsia="bg-BG"/>
        </w:rPr>
        <w:t xml:space="preserve">1,29 (95% ДИ: </w:t>
      </w:r>
      <w:r w:rsidRPr="006E4D34">
        <w:rPr>
          <w:rFonts w:eastAsia="Times New Roman" w:cs="Arial"/>
          <w:color w:val="000000"/>
          <w:lang w:eastAsia="bg-BG"/>
        </w:rPr>
        <w:lastRenderedPageBreak/>
        <w:t xml:space="preserve">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6E4D34">
        <w:rPr>
          <w:rFonts w:eastAsia="Times New Roman" w:cs="Arial"/>
          <w:color w:val="000000"/>
          <w:lang w:val="en-US"/>
        </w:rPr>
        <w:t>OR</w:t>
      </w:r>
      <w:r w:rsidRPr="006E4D34">
        <w:rPr>
          <w:rFonts w:eastAsia="Times New Roman" w:cs="Arial"/>
          <w:color w:val="000000"/>
          <w:lang w:val="ru-RU"/>
        </w:rPr>
        <w:t xml:space="preserve"> </w:t>
      </w:r>
      <w:r w:rsidRPr="006E4D34">
        <w:rPr>
          <w:rFonts w:eastAsia="Times New Roman" w:cs="Arial"/>
          <w:color w:val="000000"/>
          <w:lang w:eastAsia="bg-BG"/>
        </w:rPr>
        <w:t xml:space="preserve">2,1 (95% ДИ: 1,7-2,6), нарастващ до </w:t>
      </w:r>
      <w:r w:rsidRPr="006E4D34">
        <w:rPr>
          <w:rFonts w:eastAsia="Times New Roman" w:cs="Arial"/>
          <w:color w:val="000000"/>
          <w:lang w:val="en-US"/>
        </w:rPr>
        <w:t>OR</w:t>
      </w:r>
      <w:r w:rsidRPr="006E4D34">
        <w:rPr>
          <w:rFonts w:eastAsia="Times New Roman" w:cs="Arial"/>
          <w:color w:val="000000"/>
          <w:lang w:val="ru-RU"/>
        </w:rPr>
        <w:t xml:space="preserve"> </w:t>
      </w:r>
      <w:r w:rsidRPr="006E4D34">
        <w:rPr>
          <w:rFonts w:eastAsia="Times New Roman" w:cs="Arial"/>
          <w:color w:val="000000"/>
          <w:lang w:eastAsia="bg-BG"/>
        </w:rPr>
        <w:t xml:space="preserve">3,9 (3,0-4,9) за висока употреба (~ 25 000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 xml:space="preserve">и </w:t>
      </w:r>
      <w:r w:rsidRPr="006E4D34">
        <w:rPr>
          <w:rFonts w:eastAsia="Times New Roman" w:cs="Arial"/>
          <w:color w:val="000000"/>
          <w:lang w:val="en-US"/>
        </w:rPr>
        <w:t>OR</w:t>
      </w:r>
      <w:r w:rsidRPr="006E4D34">
        <w:rPr>
          <w:rFonts w:eastAsia="Times New Roman" w:cs="Arial"/>
          <w:color w:val="000000"/>
          <w:lang w:val="ru-RU"/>
        </w:rPr>
        <w:t xml:space="preserve"> </w:t>
      </w:r>
      <w:r w:rsidRPr="006E4D34">
        <w:rPr>
          <w:rFonts w:eastAsia="Times New Roman" w:cs="Arial"/>
          <w:color w:val="000000"/>
          <w:lang w:eastAsia="bg-BG"/>
        </w:rPr>
        <w:t xml:space="preserve">7,7 (5,7-10,5) за най- високата кумулативна доза (~ 100 000 </w:t>
      </w:r>
      <w:r w:rsidRPr="006E4D34">
        <w:rPr>
          <w:rFonts w:eastAsia="Times New Roman" w:cs="Arial"/>
          <w:color w:val="000000"/>
          <w:lang w:val="en-US"/>
        </w:rPr>
        <w:t>mg</w:t>
      </w:r>
      <w:r w:rsidRPr="006E4D34">
        <w:rPr>
          <w:rFonts w:eastAsia="Times New Roman" w:cs="Arial"/>
          <w:color w:val="000000"/>
          <w:lang w:val="ru-RU"/>
        </w:rPr>
        <w:t xml:space="preserve">) </w:t>
      </w:r>
      <w:r w:rsidRPr="006E4D34">
        <w:rPr>
          <w:rFonts w:eastAsia="Times New Roman" w:cs="Arial"/>
          <w:color w:val="000000"/>
          <w:lang w:eastAsia="bg-BG"/>
        </w:rPr>
        <w:t>(вж. също точка 4.4).</w:t>
      </w:r>
    </w:p>
    <w:p w14:paraId="686199A2" w14:textId="081D17D8" w:rsidR="006E4D34" w:rsidRPr="006E4D34" w:rsidRDefault="006E4D34" w:rsidP="006E4D34"/>
    <w:p w14:paraId="78DD93AA" w14:textId="096452FF" w:rsidR="00B6672E" w:rsidRDefault="002C50EE" w:rsidP="00936AD0">
      <w:pPr>
        <w:pStyle w:val="Heading2"/>
      </w:pPr>
      <w:r>
        <w:t>5.2. Фармакокинетични свойства</w:t>
      </w:r>
    </w:p>
    <w:p w14:paraId="68D0B217" w14:textId="294CFD34" w:rsidR="006E4D34" w:rsidRDefault="006E4D34" w:rsidP="006E4D34"/>
    <w:p w14:paraId="6E61452C"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Едновременната употреба на кандесартан цилексетил и хидрохлоротиазид няма клинично значим ефект върху фармакокинетиката на други лекарствени продукти.</w:t>
      </w:r>
    </w:p>
    <w:p w14:paraId="3D488AF0" w14:textId="77777777" w:rsidR="006E4D34" w:rsidRPr="006E4D34" w:rsidRDefault="006E4D34" w:rsidP="006E4D34">
      <w:pPr>
        <w:spacing w:line="240" w:lineRule="auto"/>
        <w:rPr>
          <w:rFonts w:eastAsia="Times New Roman" w:cs="Arial"/>
          <w:i/>
          <w:iCs/>
          <w:color w:val="000000"/>
          <w:u w:val="single"/>
          <w:lang w:eastAsia="bg-BG"/>
        </w:rPr>
      </w:pPr>
    </w:p>
    <w:p w14:paraId="24A7A84A" w14:textId="7409F6A8"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u w:val="single"/>
          <w:lang w:eastAsia="bg-BG"/>
        </w:rPr>
        <w:t>Абсорбиия и разпределение</w:t>
      </w:r>
    </w:p>
    <w:p w14:paraId="5AB1FBB7" w14:textId="77777777" w:rsidR="006E4D34" w:rsidRPr="006E4D34" w:rsidRDefault="006E4D34" w:rsidP="006E4D34">
      <w:pPr>
        <w:spacing w:line="240" w:lineRule="auto"/>
        <w:rPr>
          <w:rFonts w:eastAsia="Times New Roman" w:cs="Arial"/>
          <w:i/>
          <w:iCs/>
          <w:color w:val="000000"/>
          <w:lang w:eastAsia="bg-BG"/>
        </w:rPr>
      </w:pPr>
    </w:p>
    <w:p w14:paraId="4EEFE9BC" w14:textId="2306E5FE"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lang w:eastAsia="bg-BG"/>
        </w:rPr>
        <w:t>Кандесартан цилексетил</w:t>
      </w:r>
    </w:p>
    <w:p w14:paraId="64E6BCBE"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След перорален прием кандесартан цилексетил се превръща в активното вещество кандесартан. След прием на перорален разтвор на кандесартан цилексетил, абсолютната бионаличност на кандесартан е приблизително 40%. Относителната бионаличност на таблетките в сравнение със същия перорален разтвор бионаличност на е приблизително 34% с минимална вариабилност. Средната пикова плазмена концентрация (С</w:t>
      </w:r>
      <w:r w:rsidRPr="006E4D34">
        <w:rPr>
          <w:rFonts w:eastAsia="Times New Roman" w:cs="Arial"/>
          <w:color w:val="000000"/>
          <w:vertAlign w:val="subscript"/>
          <w:lang w:val="en-US"/>
        </w:rPr>
        <w:t>max</w:t>
      </w:r>
      <w:r w:rsidRPr="006E4D34">
        <w:rPr>
          <w:rFonts w:eastAsia="Times New Roman" w:cs="Arial"/>
          <w:color w:val="000000"/>
          <w:lang w:eastAsia="bg-BG"/>
        </w:rPr>
        <w:t>) се достига 3-4 часа след приема на таблетката. Плазмената концентрация на кандесартан нараства линейно с повишаване на дозата в рамките на терапевтичния интервал. Не са наблюдавани различия във фармакокинетиката на кандесартан в зависимост от пола. Площта под кривата плазмена концентрация- време (</w:t>
      </w:r>
      <w:r w:rsidRPr="006E4D34">
        <w:rPr>
          <w:rFonts w:eastAsia="Times New Roman" w:cs="Arial"/>
          <w:color w:val="000000"/>
          <w:lang w:val="en-US"/>
        </w:rPr>
        <w:t>AUC</w:t>
      </w:r>
      <w:r w:rsidRPr="006E4D34">
        <w:rPr>
          <w:rFonts w:eastAsia="Times New Roman" w:cs="Arial"/>
          <w:color w:val="000000"/>
          <w:lang w:val="ru-RU"/>
        </w:rPr>
        <w:t>)</w:t>
      </w:r>
      <w:r w:rsidRPr="006E4D34">
        <w:rPr>
          <w:rFonts w:eastAsia="Times New Roman" w:cs="Arial"/>
          <w:color w:val="000000"/>
          <w:lang w:eastAsia="bg-BG"/>
        </w:rPr>
        <w:t xml:space="preserve"> на кандесартан не се повлиява значимо от приема на храна.</w:t>
      </w:r>
    </w:p>
    <w:p w14:paraId="5813EF74" w14:textId="77777777" w:rsidR="006E4D34" w:rsidRPr="006E4D34" w:rsidRDefault="006E4D34" w:rsidP="006E4D34">
      <w:pPr>
        <w:spacing w:line="240" w:lineRule="auto"/>
        <w:rPr>
          <w:rFonts w:eastAsia="Times New Roman" w:cs="Arial"/>
          <w:color w:val="000000"/>
          <w:lang w:eastAsia="bg-BG"/>
        </w:rPr>
      </w:pPr>
    </w:p>
    <w:p w14:paraId="02E3B100" w14:textId="0FD6265C" w:rsidR="006E4D34" w:rsidRPr="006E4D34" w:rsidRDefault="006E4D34" w:rsidP="006E4D34">
      <w:pPr>
        <w:spacing w:line="240" w:lineRule="auto"/>
        <w:rPr>
          <w:rFonts w:eastAsia="Times New Roman" w:cs="Arial"/>
          <w:color w:val="000000"/>
          <w:lang w:val="ru-RU"/>
        </w:rPr>
      </w:pPr>
      <w:r w:rsidRPr="006E4D34">
        <w:rPr>
          <w:rFonts w:eastAsia="Times New Roman" w:cs="Arial"/>
          <w:color w:val="000000"/>
          <w:lang w:eastAsia="bg-BG"/>
        </w:rPr>
        <w:t>Кандесартан се свързва във висока степен с плазмените протеини (над 99%). Привидният обем на разпределение на кандесартан е 0,1</w:t>
      </w:r>
      <w:r w:rsidRPr="006E4D34">
        <w:rPr>
          <w:rFonts w:eastAsia="Times New Roman" w:cs="Arial"/>
          <w:color w:val="000000"/>
          <w:lang w:val="ru-RU"/>
        </w:rPr>
        <w:t>1/</w:t>
      </w:r>
      <w:r w:rsidRPr="006E4D34">
        <w:rPr>
          <w:rFonts w:eastAsia="Times New Roman" w:cs="Arial"/>
          <w:color w:val="000000"/>
          <w:lang w:val="en-US"/>
        </w:rPr>
        <w:t>kg</w:t>
      </w:r>
      <w:r w:rsidRPr="006E4D34">
        <w:rPr>
          <w:rFonts w:eastAsia="Times New Roman" w:cs="Arial"/>
          <w:color w:val="000000"/>
          <w:lang w:val="ru-RU"/>
        </w:rPr>
        <w:t>.</w:t>
      </w:r>
    </w:p>
    <w:p w14:paraId="258A5C82" w14:textId="480BACD6" w:rsidR="006E4D34" w:rsidRPr="006E4D34" w:rsidRDefault="006E4D34" w:rsidP="006E4D34">
      <w:pPr>
        <w:spacing w:line="240" w:lineRule="auto"/>
        <w:rPr>
          <w:rFonts w:eastAsia="Times New Roman" w:cs="Arial"/>
          <w:color w:val="000000"/>
          <w:lang w:val="ru-RU"/>
        </w:rPr>
      </w:pPr>
    </w:p>
    <w:p w14:paraId="18A7EB9C" w14:textId="77777777"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lang w:eastAsia="bg-BG"/>
        </w:rPr>
        <w:t>Хидрохлоротиазид</w:t>
      </w:r>
    </w:p>
    <w:p w14:paraId="7D067A90"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Хидрохлоротиазид се абсорбира бързо от гастроинтестиналния тракт и абсолютната му бионаличност е приблизително 70%. Едновременният прием с храна повишава абсорбцията на хидрохлоротиазид с около 15%. Бионаличността му може да се понижи при пациенти със сърдечна недостатъчност и изразен оток.</w:t>
      </w:r>
    </w:p>
    <w:p w14:paraId="2A2EE79E" w14:textId="77777777" w:rsidR="006E4D34" w:rsidRPr="006E4D34" w:rsidRDefault="006E4D34" w:rsidP="006E4D34">
      <w:pPr>
        <w:spacing w:line="240" w:lineRule="auto"/>
        <w:rPr>
          <w:rFonts w:eastAsia="Times New Roman" w:cs="Arial"/>
          <w:color w:val="000000"/>
          <w:lang w:eastAsia="bg-BG"/>
        </w:rPr>
      </w:pPr>
    </w:p>
    <w:p w14:paraId="7C98DDAB" w14:textId="4A6F4821"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Свързването на хидрохлоротиазид с плазмените протеини е около 60%. Привидният обемът на разпределение е около 0,8 </w:t>
      </w:r>
      <w:r w:rsidRPr="006E4D34">
        <w:rPr>
          <w:rFonts w:eastAsia="Times New Roman" w:cs="Arial"/>
          <w:color w:val="000000"/>
          <w:lang w:val="ru-RU"/>
        </w:rPr>
        <w:t>1/</w:t>
      </w:r>
      <w:r w:rsidRPr="006E4D34">
        <w:rPr>
          <w:rFonts w:eastAsia="Times New Roman" w:cs="Arial"/>
          <w:color w:val="000000"/>
          <w:lang w:val="en-US"/>
        </w:rPr>
        <w:t>kg</w:t>
      </w:r>
      <w:r w:rsidRPr="006E4D34">
        <w:rPr>
          <w:rFonts w:eastAsia="Times New Roman" w:cs="Arial"/>
          <w:color w:val="000000"/>
          <w:lang w:val="ru-RU"/>
        </w:rPr>
        <w:t>.</w:t>
      </w:r>
    </w:p>
    <w:p w14:paraId="770C1625" w14:textId="77777777" w:rsidR="006E4D34" w:rsidRPr="006E4D34" w:rsidRDefault="006E4D34" w:rsidP="006E4D34">
      <w:pPr>
        <w:spacing w:line="240" w:lineRule="auto"/>
        <w:rPr>
          <w:rFonts w:eastAsia="Times New Roman" w:cs="Arial"/>
          <w:i/>
          <w:iCs/>
          <w:color w:val="000000"/>
          <w:u w:val="single"/>
          <w:lang w:eastAsia="bg-BG"/>
        </w:rPr>
      </w:pPr>
    </w:p>
    <w:p w14:paraId="0F7CF6F7" w14:textId="647852C4"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u w:val="single"/>
          <w:lang w:eastAsia="bg-BG"/>
        </w:rPr>
        <w:t>Биотрансформация и елиминиране</w:t>
      </w:r>
    </w:p>
    <w:p w14:paraId="00DA89B5" w14:textId="77777777" w:rsidR="006E4D34" w:rsidRPr="006E4D34" w:rsidRDefault="006E4D34" w:rsidP="006E4D34">
      <w:pPr>
        <w:spacing w:line="240" w:lineRule="auto"/>
        <w:rPr>
          <w:rFonts w:eastAsia="Times New Roman" w:cs="Arial"/>
          <w:i/>
          <w:iCs/>
          <w:color w:val="000000"/>
          <w:lang w:eastAsia="bg-BG"/>
        </w:rPr>
      </w:pPr>
    </w:p>
    <w:p w14:paraId="481B0F5D" w14:textId="25BA8DB1"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lang w:eastAsia="bg-BG"/>
        </w:rPr>
        <w:t>Кандесартан цилексетил</w:t>
      </w:r>
    </w:p>
    <w:p w14:paraId="51292E03"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Кандесартан се елиминира предимно непроменен с урината и жлъчния сок, като само в малка степен се елиминира чрез чернодробна трансформация </w:t>
      </w:r>
      <w:r w:rsidRPr="006E4D34">
        <w:rPr>
          <w:rFonts w:eastAsia="Times New Roman" w:cs="Arial"/>
          <w:color w:val="000000"/>
          <w:lang w:val="ru-RU"/>
        </w:rPr>
        <w:t>(</w:t>
      </w:r>
      <w:r w:rsidRPr="006E4D34">
        <w:rPr>
          <w:rFonts w:eastAsia="Times New Roman" w:cs="Arial"/>
          <w:color w:val="000000"/>
          <w:lang w:val="en-US"/>
        </w:rPr>
        <w:t>CYP</w:t>
      </w:r>
      <w:r w:rsidRPr="006E4D34">
        <w:rPr>
          <w:rFonts w:eastAsia="Times New Roman" w:cs="Arial"/>
          <w:color w:val="000000"/>
          <w:lang w:val="ru-RU"/>
        </w:rPr>
        <w:t>2</w:t>
      </w:r>
      <w:r w:rsidRPr="006E4D34">
        <w:rPr>
          <w:rFonts w:eastAsia="Times New Roman" w:cs="Arial"/>
          <w:color w:val="000000"/>
          <w:lang w:val="en-US"/>
        </w:rPr>
        <w:t>C</w:t>
      </w:r>
      <w:r w:rsidRPr="006E4D34">
        <w:rPr>
          <w:rFonts w:eastAsia="Times New Roman" w:cs="Arial"/>
          <w:color w:val="000000"/>
          <w:lang w:val="ru-RU"/>
        </w:rPr>
        <w:t xml:space="preserve">9). </w:t>
      </w:r>
      <w:r w:rsidRPr="006E4D34">
        <w:rPr>
          <w:rFonts w:eastAsia="Times New Roman" w:cs="Arial"/>
          <w:color w:val="000000"/>
          <w:lang w:eastAsia="bg-BG"/>
        </w:rPr>
        <w:t xml:space="preserve">От наличните проучвания за взаимодействия няма данни за ефект върху </w:t>
      </w:r>
      <w:r w:rsidRPr="006E4D34">
        <w:rPr>
          <w:rFonts w:eastAsia="Times New Roman" w:cs="Arial"/>
          <w:color w:val="000000"/>
          <w:lang w:val="en-US"/>
        </w:rPr>
        <w:t>CYP</w:t>
      </w:r>
      <w:r w:rsidRPr="006E4D34">
        <w:rPr>
          <w:rFonts w:eastAsia="Times New Roman" w:cs="Arial"/>
          <w:color w:val="000000"/>
          <w:lang w:val="ru-RU"/>
        </w:rPr>
        <w:t>2</w:t>
      </w:r>
      <w:r w:rsidRPr="006E4D34">
        <w:rPr>
          <w:rFonts w:eastAsia="Times New Roman" w:cs="Arial"/>
          <w:color w:val="000000"/>
          <w:lang w:val="en-US"/>
        </w:rPr>
        <w:t>C</w:t>
      </w:r>
      <w:r w:rsidRPr="006E4D34">
        <w:rPr>
          <w:rFonts w:eastAsia="Times New Roman" w:cs="Arial"/>
          <w:color w:val="000000"/>
          <w:lang w:val="ru-RU"/>
        </w:rPr>
        <w:t xml:space="preserve">9 </w:t>
      </w:r>
      <w:r w:rsidRPr="006E4D34">
        <w:rPr>
          <w:rFonts w:eastAsia="Times New Roman" w:cs="Arial"/>
          <w:color w:val="000000"/>
          <w:lang w:eastAsia="bg-BG"/>
        </w:rPr>
        <w:t xml:space="preserve">и </w:t>
      </w:r>
      <w:r w:rsidRPr="006E4D34">
        <w:rPr>
          <w:rFonts w:eastAsia="Times New Roman" w:cs="Arial"/>
          <w:color w:val="000000"/>
          <w:lang w:val="en-US"/>
        </w:rPr>
        <w:t>CYP</w:t>
      </w:r>
      <w:r w:rsidRPr="006E4D34">
        <w:rPr>
          <w:rFonts w:eastAsia="Times New Roman" w:cs="Arial"/>
          <w:color w:val="000000"/>
          <w:lang w:val="ru-RU"/>
        </w:rPr>
        <w:t>3</w:t>
      </w:r>
      <w:r w:rsidRPr="006E4D34">
        <w:rPr>
          <w:rFonts w:eastAsia="Times New Roman" w:cs="Arial"/>
          <w:color w:val="000000"/>
          <w:lang w:val="en-US"/>
        </w:rPr>
        <w:t>A</w:t>
      </w:r>
      <w:r w:rsidRPr="006E4D34">
        <w:rPr>
          <w:rFonts w:eastAsia="Times New Roman" w:cs="Arial"/>
          <w:color w:val="000000"/>
          <w:lang w:val="ru-RU"/>
        </w:rPr>
        <w:t xml:space="preserve">4. </w:t>
      </w:r>
      <w:r w:rsidRPr="006E4D34">
        <w:rPr>
          <w:rFonts w:eastAsia="Times New Roman" w:cs="Arial"/>
          <w:color w:val="000000"/>
          <w:lang w:eastAsia="bg-BG"/>
        </w:rPr>
        <w:t xml:space="preserve">Въз основа на </w:t>
      </w:r>
      <w:r w:rsidRPr="006E4D34">
        <w:rPr>
          <w:rFonts w:eastAsia="Times New Roman" w:cs="Arial"/>
          <w:i/>
          <w:iCs/>
          <w:color w:val="000000"/>
          <w:lang w:val="en-US"/>
        </w:rPr>
        <w:t>in</w:t>
      </w:r>
      <w:r w:rsidRPr="006E4D34">
        <w:rPr>
          <w:rFonts w:eastAsia="Times New Roman" w:cs="Arial"/>
          <w:i/>
          <w:iCs/>
          <w:color w:val="000000"/>
          <w:lang w:val="ru-RU"/>
        </w:rPr>
        <w:t xml:space="preserve"> </w:t>
      </w:r>
      <w:r w:rsidRPr="006E4D34">
        <w:rPr>
          <w:rFonts w:eastAsia="Times New Roman" w:cs="Arial"/>
          <w:i/>
          <w:iCs/>
          <w:color w:val="000000"/>
          <w:lang w:val="en-US"/>
        </w:rPr>
        <w:t>vitro</w:t>
      </w:r>
      <w:r w:rsidRPr="006E4D34">
        <w:rPr>
          <w:rFonts w:eastAsia="Times New Roman" w:cs="Arial"/>
          <w:color w:val="000000"/>
          <w:lang w:val="ru-RU"/>
        </w:rPr>
        <w:t xml:space="preserve"> </w:t>
      </w:r>
      <w:r w:rsidRPr="006E4D34">
        <w:rPr>
          <w:rFonts w:eastAsia="Times New Roman" w:cs="Arial"/>
          <w:color w:val="000000"/>
          <w:lang w:eastAsia="bg-BG"/>
        </w:rPr>
        <w:t xml:space="preserve">данните не се очаква </w:t>
      </w:r>
      <w:r w:rsidRPr="006E4D34">
        <w:rPr>
          <w:rFonts w:eastAsia="Times New Roman" w:cs="Arial"/>
          <w:i/>
          <w:iCs/>
          <w:color w:val="000000"/>
          <w:lang w:val="en-US"/>
        </w:rPr>
        <w:t>in</w:t>
      </w:r>
      <w:r w:rsidRPr="006E4D34">
        <w:rPr>
          <w:rFonts w:eastAsia="Times New Roman" w:cs="Arial"/>
          <w:i/>
          <w:iCs/>
          <w:color w:val="000000"/>
          <w:lang w:val="ru-RU"/>
        </w:rPr>
        <w:t xml:space="preserve"> </w:t>
      </w:r>
      <w:r w:rsidRPr="006E4D34">
        <w:rPr>
          <w:rFonts w:eastAsia="Times New Roman" w:cs="Arial"/>
          <w:i/>
          <w:iCs/>
          <w:color w:val="000000"/>
          <w:lang w:val="en-US"/>
        </w:rPr>
        <w:t>vivo</w:t>
      </w:r>
      <w:r w:rsidRPr="006E4D34">
        <w:rPr>
          <w:rFonts w:eastAsia="Times New Roman" w:cs="Arial"/>
          <w:color w:val="000000"/>
          <w:lang w:val="ru-RU"/>
        </w:rPr>
        <w:t xml:space="preserve"> </w:t>
      </w:r>
      <w:r w:rsidRPr="006E4D34">
        <w:rPr>
          <w:rFonts w:eastAsia="Times New Roman" w:cs="Arial"/>
          <w:color w:val="000000"/>
          <w:lang w:eastAsia="bg-BG"/>
        </w:rPr>
        <w:t xml:space="preserve">да настъпи взаимодействие с лекарства, чието метаболизиране зависи от изоензимите на цитохром Р450 </w:t>
      </w:r>
      <w:r w:rsidRPr="006E4D34">
        <w:rPr>
          <w:rFonts w:eastAsia="Times New Roman" w:cs="Arial"/>
          <w:color w:val="000000"/>
          <w:lang w:val="en-US"/>
        </w:rPr>
        <w:t>CYP</w:t>
      </w:r>
      <w:r w:rsidRPr="006E4D34">
        <w:rPr>
          <w:rFonts w:eastAsia="Times New Roman" w:cs="Arial"/>
          <w:color w:val="000000"/>
          <w:lang w:val="ru-RU"/>
        </w:rPr>
        <w:t>1</w:t>
      </w:r>
      <w:r w:rsidRPr="006E4D34">
        <w:rPr>
          <w:rFonts w:eastAsia="Times New Roman" w:cs="Arial"/>
          <w:color w:val="000000"/>
          <w:lang w:val="en-US"/>
        </w:rPr>
        <w:t>A</w:t>
      </w:r>
      <w:r w:rsidRPr="006E4D34">
        <w:rPr>
          <w:rFonts w:eastAsia="Times New Roman" w:cs="Arial"/>
          <w:color w:val="000000"/>
          <w:lang w:val="ru-RU"/>
        </w:rPr>
        <w:t xml:space="preserve">2, </w:t>
      </w:r>
      <w:r w:rsidRPr="006E4D34">
        <w:rPr>
          <w:rFonts w:eastAsia="Times New Roman" w:cs="Arial"/>
          <w:color w:val="000000"/>
          <w:lang w:val="en-US"/>
        </w:rPr>
        <w:t>CYP</w:t>
      </w:r>
      <w:r w:rsidRPr="006E4D34">
        <w:rPr>
          <w:rFonts w:eastAsia="Times New Roman" w:cs="Arial"/>
          <w:color w:val="000000"/>
          <w:lang w:val="ru-RU"/>
        </w:rPr>
        <w:t>2</w:t>
      </w:r>
      <w:r w:rsidRPr="006E4D34">
        <w:rPr>
          <w:rFonts w:eastAsia="Times New Roman" w:cs="Arial"/>
          <w:color w:val="000000"/>
          <w:lang w:val="en-US"/>
        </w:rPr>
        <w:t>A</w:t>
      </w:r>
      <w:r w:rsidRPr="006E4D34">
        <w:rPr>
          <w:rFonts w:eastAsia="Times New Roman" w:cs="Arial"/>
          <w:color w:val="000000"/>
          <w:lang w:val="ru-RU"/>
        </w:rPr>
        <w:t xml:space="preserve">6, </w:t>
      </w:r>
      <w:r w:rsidRPr="006E4D34">
        <w:rPr>
          <w:rFonts w:eastAsia="Times New Roman" w:cs="Arial"/>
          <w:color w:val="000000"/>
          <w:lang w:val="en-US"/>
        </w:rPr>
        <w:t>CYP</w:t>
      </w:r>
      <w:r w:rsidRPr="006E4D34">
        <w:rPr>
          <w:rFonts w:eastAsia="Times New Roman" w:cs="Arial"/>
          <w:color w:val="000000"/>
          <w:lang w:val="ru-RU"/>
        </w:rPr>
        <w:t>2</w:t>
      </w:r>
      <w:r w:rsidRPr="006E4D34">
        <w:rPr>
          <w:rFonts w:eastAsia="Times New Roman" w:cs="Arial"/>
          <w:color w:val="000000"/>
          <w:lang w:val="en-US"/>
        </w:rPr>
        <w:t>C</w:t>
      </w:r>
      <w:r w:rsidRPr="006E4D34">
        <w:rPr>
          <w:rFonts w:eastAsia="Times New Roman" w:cs="Arial"/>
          <w:color w:val="000000"/>
          <w:lang w:val="ru-RU"/>
        </w:rPr>
        <w:t xml:space="preserve">9, </w:t>
      </w:r>
      <w:r w:rsidRPr="006E4D34">
        <w:rPr>
          <w:rFonts w:eastAsia="Times New Roman" w:cs="Arial"/>
          <w:color w:val="000000"/>
          <w:lang w:val="en-US"/>
        </w:rPr>
        <w:t>CYP</w:t>
      </w:r>
      <w:r w:rsidRPr="006E4D34">
        <w:rPr>
          <w:rFonts w:eastAsia="Times New Roman" w:cs="Arial"/>
          <w:color w:val="000000"/>
          <w:lang w:val="ru-RU"/>
        </w:rPr>
        <w:t>2</w:t>
      </w:r>
      <w:r w:rsidRPr="006E4D34">
        <w:rPr>
          <w:rFonts w:eastAsia="Times New Roman" w:cs="Arial"/>
          <w:color w:val="000000"/>
          <w:lang w:val="en-US"/>
        </w:rPr>
        <w:t>C</w:t>
      </w:r>
      <w:r w:rsidRPr="006E4D34">
        <w:rPr>
          <w:rFonts w:eastAsia="Times New Roman" w:cs="Arial"/>
          <w:color w:val="000000"/>
          <w:lang w:val="ru-RU"/>
        </w:rPr>
        <w:t xml:space="preserve">19, </w:t>
      </w:r>
      <w:r w:rsidRPr="006E4D34">
        <w:rPr>
          <w:rFonts w:eastAsia="Times New Roman" w:cs="Arial"/>
          <w:color w:val="000000"/>
          <w:lang w:val="en-US"/>
        </w:rPr>
        <w:t>CYP</w:t>
      </w:r>
      <w:r w:rsidRPr="006E4D34">
        <w:rPr>
          <w:rFonts w:eastAsia="Times New Roman" w:cs="Arial"/>
          <w:color w:val="000000"/>
          <w:lang w:val="ru-RU"/>
        </w:rPr>
        <w:t>2</w:t>
      </w:r>
      <w:r w:rsidRPr="006E4D34">
        <w:rPr>
          <w:rFonts w:eastAsia="Times New Roman" w:cs="Arial"/>
          <w:color w:val="000000"/>
          <w:lang w:val="en-US"/>
        </w:rPr>
        <w:t>D</w:t>
      </w:r>
      <w:r w:rsidRPr="006E4D34">
        <w:rPr>
          <w:rFonts w:eastAsia="Times New Roman" w:cs="Arial"/>
          <w:color w:val="000000"/>
          <w:lang w:val="ru-RU"/>
        </w:rPr>
        <w:t xml:space="preserve">6, </w:t>
      </w:r>
      <w:r w:rsidRPr="006E4D34">
        <w:rPr>
          <w:rFonts w:eastAsia="Times New Roman" w:cs="Arial"/>
          <w:color w:val="000000"/>
          <w:lang w:val="en-US"/>
        </w:rPr>
        <w:t>CYP</w:t>
      </w:r>
      <w:r w:rsidRPr="006E4D34">
        <w:rPr>
          <w:rFonts w:eastAsia="Times New Roman" w:cs="Arial"/>
          <w:color w:val="000000"/>
          <w:lang w:val="ru-RU"/>
        </w:rPr>
        <w:t>2</w:t>
      </w:r>
      <w:r w:rsidRPr="006E4D34">
        <w:rPr>
          <w:rFonts w:eastAsia="Times New Roman" w:cs="Arial"/>
          <w:color w:val="000000"/>
          <w:lang w:val="en-US"/>
        </w:rPr>
        <w:t>E</w:t>
      </w:r>
      <w:r w:rsidRPr="006E4D34">
        <w:rPr>
          <w:rFonts w:eastAsia="Times New Roman" w:cs="Arial"/>
          <w:color w:val="000000"/>
          <w:lang w:val="ru-RU"/>
        </w:rPr>
        <w:t xml:space="preserve">1 </w:t>
      </w:r>
      <w:r w:rsidRPr="006E4D34">
        <w:rPr>
          <w:rFonts w:eastAsia="Times New Roman" w:cs="Arial"/>
          <w:color w:val="000000"/>
          <w:lang w:eastAsia="bg-BG"/>
        </w:rPr>
        <w:t xml:space="preserve">или </w:t>
      </w:r>
      <w:r w:rsidRPr="006E4D34">
        <w:rPr>
          <w:rFonts w:eastAsia="Times New Roman" w:cs="Arial"/>
          <w:color w:val="000000"/>
          <w:lang w:val="en-US"/>
        </w:rPr>
        <w:t>CYP</w:t>
      </w:r>
      <w:r w:rsidRPr="006E4D34">
        <w:rPr>
          <w:rFonts w:eastAsia="Times New Roman" w:cs="Arial"/>
          <w:color w:val="000000"/>
          <w:lang w:val="ru-RU"/>
        </w:rPr>
        <w:t>3</w:t>
      </w:r>
      <w:r w:rsidRPr="006E4D34">
        <w:rPr>
          <w:rFonts w:eastAsia="Times New Roman" w:cs="Arial"/>
          <w:color w:val="000000"/>
          <w:lang w:eastAsia="bg-BG"/>
        </w:rPr>
        <w:t xml:space="preserve">А4. Терминалният полуживот на кандесартан е приблизително 9 часа. При многократен прием не кумулира. Полуживотът </w:t>
      </w:r>
      <w:r w:rsidRPr="006E4D34">
        <w:rPr>
          <w:rFonts w:eastAsia="Times New Roman" w:cs="Arial"/>
          <w:color w:val="000000"/>
          <w:lang w:eastAsia="bg-BG"/>
        </w:rPr>
        <w:lastRenderedPageBreak/>
        <w:t>на кандесартан остава непроменен (приблизително 9 часа) след прием на кандесартан цилексетил в комбинация с хидрохлоротиазид. Не настъпва допълнително акумулиране на кандесартан при продължителна употреба на комбинираните дози в сравнение с монотерапия.</w:t>
      </w:r>
    </w:p>
    <w:p w14:paraId="0B368BF8" w14:textId="77777777" w:rsidR="006E4D34" w:rsidRPr="006E4D34" w:rsidRDefault="006E4D34" w:rsidP="006E4D34">
      <w:pPr>
        <w:spacing w:line="240" w:lineRule="auto"/>
        <w:rPr>
          <w:rFonts w:eastAsia="Times New Roman" w:cs="Arial"/>
          <w:color w:val="000000"/>
          <w:lang w:eastAsia="bg-BG"/>
        </w:rPr>
      </w:pPr>
    </w:p>
    <w:p w14:paraId="18175330" w14:textId="287FD0ED" w:rsidR="006E4D34" w:rsidRPr="006E4D34" w:rsidRDefault="006E4D34" w:rsidP="006E4D34">
      <w:pPr>
        <w:spacing w:line="240" w:lineRule="auto"/>
        <w:rPr>
          <w:rFonts w:eastAsia="Times New Roman" w:cs="Arial"/>
          <w:color w:val="000000"/>
          <w:lang w:eastAsia="bg-BG"/>
        </w:rPr>
      </w:pPr>
      <w:r w:rsidRPr="006E4D34">
        <w:rPr>
          <w:rFonts w:eastAsia="Times New Roman" w:cs="Arial"/>
          <w:color w:val="000000"/>
          <w:lang w:eastAsia="bg-BG"/>
        </w:rPr>
        <w:t xml:space="preserve">Тоталният плазмен клирънс на кандесартан е около 0,37 </w:t>
      </w:r>
      <w:r w:rsidRPr="006E4D34">
        <w:rPr>
          <w:rFonts w:eastAsia="Times New Roman" w:cs="Arial"/>
          <w:color w:val="000000"/>
          <w:lang w:val="en-US"/>
        </w:rPr>
        <w:t>ml</w:t>
      </w:r>
      <w:r w:rsidRPr="006E4D34">
        <w:rPr>
          <w:rFonts w:eastAsia="Times New Roman" w:cs="Arial"/>
          <w:color w:val="000000"/>
          <w:lang w:val="ru-RU"/>
        </w:rPr>
        <w:t>/</w:t>
      </w:r>
      <w:r w:rsidRPr="006E4D34">
        <w:rPr>
          <w:rFonts w:eastAsia="Times New Roman" w:cs="Arial"/>
          <w:color w:val="000000"/>
          <w:lang w:val="en-US"/>
        </w:rPr>
        <w:t>min</w:t>
      </w:r>
      <w:r w:rsidRPr="006E4D34">
        <w:rPr>
          <w:rFonts w:eastAsia="Times New Roman" w:cs="Arial"/>
          <w:color w:val="000000"/>
          <w:lang w:val="ru-RU"/>
        </w:rPr>
        <w:t>/</w:t>
      </w:r>
      <w:r w:rsidRPr="006E4D34">
        <w:rPr>
          <w:rFonts w:eastAsia="Times New Roman" w:cs="Arial"/>
          <w:color w:val="000000"/>
          <w:lang w:val="en-US"/>
        </w:rPr>
        <w:t>kg</w:t>
      </w:r>
      <w:r w:rsidRPr="006E4D34">
        <w:rPr>
          <w:rFonts w:eastAsia="Times New Roman" w:cs="Arial"/>
          <w:color w:val="000000"/>
          <w:lang w:val="ru-RU"/>
        </w:rPr>
        <w:t xml:space="preserve">, </w:t>
      </w:r>
      <w:r w:rsidRPr="006E4D34">
        <w:rPr>
          <w:rFonts w:eastAsia="Times New Roman" w:cs="Arial"/>
          <w:color w:val="000000"/>
          <w:lang w:eastAsia="bg-BG"/>
        </w:rPr>
        <w:t xml:space="preserve">при бъбречен клирънс около 0,19 </w:t>
      </w:r>
      <w:r w:rsidRPr="006E4D34">
        <w:rPr>
          <w:rFonts w:eastAsia="Times New Roman" w:cs="Arial"/>
          <w:color w:val="000000"/>
          <w:lang w:val="en-US"/>
        </w:rPr>
        <w:t>ml</w:t>
      </w:r>
      <w:r w:rsidRPr="006E4D34">
        <w:rPr>
          <w:rFonts w:eastAsia="Times New Roman" w:cs="Arial"/>
          <w:color w:val="000000"/>
          <w:lang w:val="ru-RU"/>
        </w:rPr>
        <w:t>/</w:t>
      </w:r>
      <w:r w:rsidRPr="006E4D34">
        <w:rPr>
          <w:rFonts w:eastAsia="Times New Roman" w:cs="Arial"/>
          <w:color w:val="000000"/>
          <w:lang w:val="en-US"/>
        </w:rPr>
        <w:t>min</w:t>
      </w:r>
      <w:r w:rsidRPr="006E4D34">
        <w:rPr>
          <w:rFonts w:eastAsia="Times New Roman" w:cs="Arial"/>
          <w:color w:val="000000"/>
          <w:lang w:val="ru-RU"/>
        </w:rPr>
        <w:t>/</w:t>
      </w:r>
      <w:r w:rsidRPr="006E4D34">
        <w:rPr>
          <w:rFonts w:eastAsia="Times New Roman" w:cs="Arial"/>
          <w:color w:val="000000"/>
          <w:lang w:val="en-US"/>
        </w:rPr>
        <w:t>kg</w:t>
      </w:r>
      <w:r w:rsidRPr="006E4D34">
        <w:rPr>
          <w:rFonts w:eastAsia="Times New Roman" w:cs="Arial"/>
          <w:color w:val="000000"/>
          <w:lang w:val="ru-RU"/>
        </w:rPr>
        <w:t xml:space="preserve">. </w:t>
      </w:r>
      <w:r w:rsidRPr="006E4D34">
        <w:rPr>
          <w:rFonts w:eastAsia="Times New Roman" w:cs="Arial"/>
          <w:color w:val="000000"/>
          <w:lang w:eastAsia="bg-BG"/>
        </w:rPr>
        <w:t>Бъбречното елиминиране на кандесартан се осъществява както чрез гломерулна филтрация, така и чрез активна тубулна секреция. След перорален прием на</w:t>
      </w:r>
      <w:r w:rsidRPr="006E4D34">
        <w:rPr>
          <w:rFonts w:eastAsia="Times New Roman" w:cs="Arial"/>
          <w:color w:val="000000"/>
          <w:lang w:val="ru-RU" w:eastAsia="bg-BG"/>
        </w:rPr>
        <w:t xml:space="preserve"> </w:t>
      </w:r>
      <w:r w:rsidRPr="006E4D34">
        <w:rPr>
          <w:rFonts w:eastAsia="Times New Roman" w:cs="Arial"/>
          <w:color w:val="000000"/>
          <w:lang w:eastAsia="bg-BG"/>
        </w:rPr>
        <w:t xml:space="preserve">маркиран с </w:t>
      </w:r>
      <w:r w:rsidRPr="006E4D34">
        <w:rPr>
          <w:rFonts w:eastAsia="Times New Roman" w:cs="Arial"/>
          <w:color w:val="000000"/>
          <w:vertAlign w:val="superscript"/>
          <w:lang w:eastAsia="bg-BG"/>
        </w:rPr>
        <w:t>14</w:t>
      </w:r>
      <w:r w:rsidRPr="006E4D34">
        <w:rPr>
          <w:rFonts w:eastAsia="Times New Roman" w:cs="Arial"/>
          <w:color w:val="000000"/>
          <w:lang w:eastAsia="bg-BG"/>
        </w:rPr>
        <w:t>С кандесартан цилексетил, с урината се екскретира приблизително 26% от приетата доза като кандесартан и 7% като неактивен метаболит, докато във фецеса се откриват приблизително 56% от дозата като кандесартан и 10% като неактивен метаболит.</w:t>
      </w:r>
    </w:p>
    <w:p w14:paraId="2C9C8666" w14:textId="77777777" w:rsidR="006E4D34" w:rsidRPr="006E4D34" w:rsidRDefault="006E4D34" w:rsidP="006E4D34">
      <w:pPr>
        <w:spacing w:line="240" w:lineRule="auto"/>
        <w:rPr>
          <w:rFonts w:eastAsia="Times New Roman" w:cs="Arial"/>
          <w:i/>
          <w:iCs/>
          <w:color w:val="000000"/>
          <w:lang w:eastAsia="bg-BG"/>
        </w:rPr>
      </w:pPr>
    </w:p>
    <w:p w14:paraId="51DF205E" w14:textId="46A46AA8"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lang w:eastAsia="bg-BG"/>
        </w:rPr>
        <w:t>Хидрохлоротиазид</w:t>
      </w:r>
    </w:p>
    <w:p w14:paraId="77E99E5F"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Хидрохлоротиазид не се метаболизира и се екскретира почти изцяло като непроменено лекарство чрез гломерулна филтрация и активна тубулна секреция. Терминалният полуживот </w:t>
      </w:r>
      <w:r w:rsidRPr="006E4D34">
        <w:rPr>
          <w:rFonts w:eastAsia="Times New Roman" w:cs="Arial"/>
          <w:color w:val="000000"/>
          <w:lang w:val="ru-RU"/>
        </w:rPr>
        <w:t>(</w:t>
      </w:r>
      <w:r w:rsidRPr="006E4D34">
        <w:rPr>
          <w:rFonts w:eastAsia="Times New Roman" w:cs="Arial"/>
          <w:color w:val="000000"/>
          <w:lang w:val="en-US"/>
        </w:rPr>
        <w:t>t</w:t>
      </w:r>
      <w:r w:rsidRPr="006E4D34">
        <w:rPr>
          <w:rFonts w:eastAsia="Times New Roman" w:cs="Arial"/>
          <w:color w:val="000000"/>
          <w:lang w:val="ru-RU"/>
        </w:rPr>
        <w:t xml:space="preserve">1/2) </w:t>
      </w:r>
      <w:r w:rsidRPr="006E4D34">
        <w:rPr>
          <w:rFonts w:eastAsia="Times New Roman" w:cs="Arial"/>
          <w:color w:val="000000"/>
          <w:lang w:eastAsia="bg-BG"/>
        </w:rPr>
        <w:t>на хидрохлоротиазид е приблизително около 8 часа. Около 70% от пероралната доза се елиминира в урината до 48 часа. Полуживотът на хидрохлоротиазид остава непроменен (приблизително 8 часа) след прием на хидрохлоротиазид в комбинация с кандесартан цилексетил. Не настъпва допълнително акумулиране на хидрохлоротиазид при продължителна употреба на комбинираните дози в сравнение с монотерапия.</w:t>
      </w:r>
    </w:p>
    <w:p w14:paraId="30160093" w14:textId="77777777" w:rsidR="006E4D34" w:rsidRPr="006E4D34" w:rsidRDefault="006E4D34" w:rsidP="006E4D34">
      <w:pPr>
        <w:spacing w:line="240" w:lineRule="auto"/>
        <w:rPr>
          <w:rFonts w:eastAsia="Times New Roman" w:cs="Arial"/>
          <w:i/>
          <w:iCs/>
          <w:color w:val="000000"/>
          <w:u w:val="single"/>
          <w:lang w:eastAsia="bg-BG"/>
        </w:rPr>
      </w:pPr>
    </w:p>
    <w:p w14:paraId="586D95C0" w14:textId="0BDCC8F4"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u w:val="single"/>
          <w:lang w:eastAsia="bg-BG"/>
        </w:rPr>
        <w:t>Фармакокинетика при специални популации</w:t>
      </w:r>
    </w:p>
    <w:p w14:paraId="02866159" w14:textId="77777777" w:rsidR="006E4D34" w:rsidRPr="006E4D34" w:rsidRDefault="006E4D34" w:rsidP="006E4D34">
      <w:pPr>
        <w:spacing w:line="240" w:lineRule="auto"/>
        <w:rPr>
          <w:rFonts w:eastAsia="Times New Roman" w:cs="Arial"/>
          <w:i/>
          <w:iCs/>
          <w:color w:val="000000"/>
          <w:lang w:eastAsia="bg-BG"/>
        </w:rPr>
      </w:pPr>
    </w:p>
    <w:p w14:paraId="7F16CEAC" w14:textId="4A7EEE3C"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lang w:eastAsia="bg-BG"/>
        </w:rPr>
        <w:t>Кандесартан цилексетил</w:t>
      </w:r>
    </w:p>
    <w:p w14:paraId="29039A37"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В сравнение с млади хора, при пациенти в старческа възраст (над 65 години) С</w:t>
      </w:r>
      <w:r w:rsidRPr="006E4D34">
        <w:rPr>
          <w:rFonts w:eastAsia="Times New Roman" w:cs="Arial"/>
          <w:color w:val="000000"/>
          <w:lang w:val="en-US"/>
        </w:rPr>
        <w:t>max</w:t>
      </w:r>
      <w:r w:rsidRPr="006E4D34">
        <w:rPr>
          <w:rFonts w:eastAsia="Times New Roman" w:cs="Arial"/>
          <w:color w:val="000000"/>
          <w:lang w:eastAsia="bg-BG"/>
        </w:rPr>
        <w:t xml:space="preserve"> и </w:t>
      </w:r>
      <w:r w:rsidRPr="006E4D34">
        <w:rPr>
          <w:rFonts w:eastAsia="Times New Roman" w:cs="Arial"/>
          <w:color w:val="000000"/>
          <w:lang w:val="en-US"/>
        </w:rPr>
        <w:t>AUC</w:t>
      </w:r>
      <w:r w:rsidRPr="006E4D34">
        <w:rPr>
          <w:rFonts w:eastAsia="Times New Roman" w:cs="Arial"/>
          <w:color w:val="000000"/>
          <w:lang w:val="ru-RU"/>
        </w:rPr>
        <w:t xml:space="preserve"> </w:t>
      </w:r>
      <w:r w:rsidRPr="006E4D34">
        <w:rPr>
          <w:rFonts w:eastAsia="Times New Roman" w:cs="Arial"/>
          <w:color w:val="000000"/>
          <w:lang w:eastAsia="bg-BG"/>
        </w:rPr>
        <w:t>се повишават съответно с приблизително 50% и 80%. Обаче след приложена доза кандесартан цилексетил/хидрохлортиазид повлияването на артериалното налягане и развитието на нежелани реакции са сходни при млади пациенти и такива в старческа възраст (вж. точка 4.2).</w:t>
      </w:r>
    </w:p>
    <w:p w14:paraId="5E8CA219" w14:textId="77777777" w:rsidR="006E4D34" w:rsidRPr="006E4D34" w:rsidRDefault="006E4D34" w:rsidP="006E4D34">
      <w:pPr>
        <w:spacing w:line="240" w:lineRule="auto"/>
        <w:rPr>
          <w:rFonts w:eastAsia="Times New Roman" w:cs="Arial"/>
          <w:color w:val="000000"/>
          <w:lang w:eastAsia="bg-BG"/>
        </w:rPr>
      </w:pPr>
    </w:p>
    <w:p w14:paraId="0A400208" w14:textId="785135DF"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В сравнение с пациенти с нормална бъбречна функция, при многократен прием от пациенти с леко до умерено тежко бъбречно увреждане, С</w:t>
      </w:r>
      <w:r w:rsidRPr="006E4D34">
        <w:rPr>
          <w:rFonts w:eastAsia="Times New Roman" w:cs="Arial"/>
          <w:color w:val="000000"/>
          <w:lang w:val="en-US"/>
        </w:rPr>
        <w:t>max</w:t>
      </w:r>
      <w:r w:rsidRPr="006E4D34">
        <w:rPr>
          <w:rFonts w:eastAsia="Times New Roman" w:cs="Arial"/>
          <w:color w:val="000000"/>
          <w:lang w:val="ru-RU"/>
        </w:rPr>
        <w:t xml:space="preserve"> </w:t>
      </w:r>
      <w:r w:rsidRPr="006E4D34">
        <w:rPr>
          <w:rFonts w:eastAsia="Times New Roman" w:cs="Arial"/>
          <w:color w:val="000000"/>
          <w:lang w:eastAsia="bg-BG"/>
        </w:rPr>
        <w:t xml:space="preserve">и </w:t>
      </w:r>
      <w:r w:rsidRPr="006E4D34">
        <w:rPr>
          <w:rFonts w:eastAsia="Times New Roman" w:cs="Arial"/>
          <w:color w:val="000000"/>
          <w:lang w:val="en-US"/>
        </w:rPr>
        <w:t>AUC</w:t>
      </w:r>
      <w:r w:rsidRPr="006E4D34">
        <w:rPr>
          <w:rFonts w:eastAsia="Times New Roman" w:cs="Arial"/>
          <w:color w:val="000000"/>
          <w:lang w:val="ru-RU"/>
        </w:rPr>
        <w:t xml:space="preserve"> </w:t>
      </w:r>
      <w:r w:rsidRPr="006E4D34">
        <w:rPr>
          <w:rFonts w:eastAsia="Times New Roman" w:cs="Arial"/>
          <w:color w:val="000000"/>
          <w:lang w:eastAsia="bg-BG"/>
        </w:rPr>
        <w:t>на кандесартан се повишават съответно с приблизително 50% и 70%, но не се повлиява. Съответните промени при пациенти с тежко бъбречно увреждане са съответно приблизително 50% и 110%. При па</w:t>
      </w:r>
      <w:r w:rsidRPr="006E4D34">
        <w:rPr>
          <w:rFonts w:eastAsia="Times New Roman" w:cs="Arial"/>
          <w:color w:val="000000"/>
          <w:u w:val="single"/>
          <w:lang w:eastAsia="bg-BG"/>
        </w:rPr>
        <w:t xml:space="preserve">циенти </w:t>
      </w:r>
      <w:r w:rsidRPr="006E4D34">
        <w:rPr>
          <w:rFonts w:eastAsia="Times New Roman" w:cs="Arial"/>
          <w:color w:val="000000"/>
          <w:lang w:eastAsia="bg-BG"/>
        </w:rPr>
        <w:t xml:space="preserve">с тежко бъбречно увреждане терминалният </w:t>
      </w:r>
      <w:r w:rsidRPr="006E4D34">
        <w:rPr>
          <w:rFonts w:eastAsia="Times New Roman" w:cs="Arial"/>
          <w:color w:val="000000"/>
          <w:lang w:val="en-US"/>
        </w:rPr>
        <w:t>t</w:t>
      </w:r>
      <w:r w:rsidRPr="006E4D34">
        <w:rPr>
          <w:rFonts w:eastAsia="Times New Roman" w:cs="Arial"/>
          <w:color w:val="000000"/>
          <w:lang w:val="ru-RU"/>
        </w:rPr>
        <w:t xml:space="preserve">1/2 </w:t>
      </w:r>
      <w:r w:rsidRPr="006E4D34">
        <w:rPr>
          <w:rFonts w:eastAsia="Times New Roman" w:cs="Arial"/>
          <w:color w:val="000000"/>
          <w:lang w:eastAsia="bg-BG"/>
        </w:rPr>
        <w:t xml:space="preserve">приблизително се удвоява. </w:t>
      </w:r>
      <w:r w:rsidRPr="006E4D34">
        <w:rPr>
          <w:rFonts w:eastAsia="Times New Roman" w:cs="Arial"/>
          <w:color w:val="000000"/>
          <w:lang w:val="en-US"/>
        </w:rPr>
        <w:t>AUC</w:t>
      </w:r>
      <w:r w:rsidRPr="006E4D34">
        <w:rPr>
          <w:rFonts w:eastAsia="Times New Roman" w:cs="Arial"/>
          <w:color w:val="000000"/>
          <w:lang w:val="ru-RU"/>
        </w:rPr>
        <w:t xml:space="preserve"> </w:t>
      </w:r>
      <w:r w:rsidRPr="006E4D34">
        <w:rPr>
          <w:rFonts w:eastAsia="Times New Roman" w:cs="Arial"/>
          <w:color w:val="000000"/>
          <w:lang w:eastAsia="bg-BG"/>
        </w:rPr>
        <w:t>на кандесартан при пациенти на хемодиализа е сходна с тази при пациенти с тежко бъбречно увреждане.</w:t>
      </w:r>
    </w:p>
    <w:p w14:paraId="59C8DFFC" w14:textId="77777777" w:rsidR="006E4D34" w:rsidRPr="006E4D34" w:rsidRDefault="006E4D34" w:rsidP="006E4D34">
      <w:pPr>
        <w:spacing w:line="240" w:lineRule="auto"/>
        <w:rPr>
          <w:rFonts w:eastAsia="Times New Roman" w:cs="Arial"/>
          <w:color w:val="000000"/>
          <w:lang w:eastAsia="bg-BG"/>
        </w:rPr>
      </w:pPr>
    </w:p>
    <w:p w14:paraId="746DCB8A" w14:textId="77777777" w:rsidR="006E4D34" w:rsidRPr="006E4D34" w:rsidRDefault="006E4D34" w:rsidP="006E4D34">
      <w:pPr>
        <w:rPr>
          <w:rFonts w:eastAsia="Times New Roman" w:cs="Arial"/>
          <w:sz w:val="24"/>
          <w:szCs w:val="24"/>
        </w:rPr>
      </w:pPr>
      <w:r w:rsidRPr="006E4D34">
        <w:rPr>
          <w:rFonts w:eastAsia="Times New Roman" w:cs="Arial"/>
          <w:color w:val="000000"/>
          <w:lang w:eastAsia="bg-BG"/>
        </w:rPr>
        <w:t xml:space="preserve">В две клинични проучвания, като и в двете са включени пациенти с леко до умерено тежко чернодробно увреждане, се установява повишаване на средната </w:t>
      </w:r>
      <w:r w:rsidRPr="006E4D34">
        <w:rPr>
          <w:rFonts w:eastAsia="Times New Roman" w:cs="Arial"/>
          <w:color w:val="000000"/>
          <w:lang w:val="en-US"/>
        </w:rPr>
        <w:t>AUC</w:t>
      </w:r>
      <w:r w:rsidRPr="006E4D34">
        <w:rPr>
          <w:rFonts w:eastAsia="Times New Roman" w:cs="Arial"/>
          <w:color w:val="000000"/>
          <w:lang w:val="ru-RU"/>
        </w:rPr>
        <w:t xml:space="preserve"> </w:t>
      </w:r>
      <w:r w:rsidRPr="006E4D34">
        <w:rPr>
          <w:rFonts w:eastAsia="Times New Roman" w:cs="Arial"/>
          <w:color w:val="000000"/>
          <w:lang w:eastAsia="bg-BG"/>
        </w:rPr>
        <w:t>на кандесартан с</w:t>
      </w:r>
      <w:r w:rsidRPr="006E4D34">
        <w:rPr>
          <w:rFonts w:eastAsia="Times New Roman" w:cs="Arial"/>
          <w:color w:val="000000"/>
          <w:lang w:val="ru-RU" w:eastAsia="bg-BG"/>
        </w:rPr>
        <w:t xml:space="preserve"> </w:t>
      </w:r>
      <w:r w:rsidRPr="006E4D34">
        <w:rPr>
          <w:rFonts w:eastAsia="Times New Roman" w:cs="Arial"/>
          <w:color w:val="000000"/>
          <w:lang w:eastAsia="bg-BG"/>
        </w:rPr>
        <w:t>приблизително 20% в едното проучване и 80% в другото проучване (вж. точка 4.2). Липсва опит при пациенти с тежко чернодробно увреждане.</w:t>
      </w:r>
    </w:p>
    <w:p w14:paraId="31773C3A" w14:textId="77777777" w:rsidR="006E4D34" w:rsidRPr="006E4D34" w:rsidRDefault="006E4D34" w:rsidP="006E4D34">
      <w:pPr>
        <w:spacing w:line="240" w:lineRule="auto"/>
        <w:rPr>
          <w:rFonts w:eastAsia="Times New Roman" w:cs="Arial"/>
          <w:i/>
          <w:iCs/>
          <w:color w:val="000000"/>
          <w:lang w:eastAsia="bg-BG"/>
        </w:rPr>
      </w:pPr>
    </w:p>
    <w:p w14:paraId="33266ED6" w14:textId="3C660915" w:rsidR="006E4D34" w:rsidRPr="006E4D34" w:rsidRDefault="006E4D34" w:rsidP="006E4D34">
      <w:pPr>
        <w:spacing w:line="240" w:lineRule="auto"/>
        <w:rPr>
          <w:rFonts w:eastAsia="Times New Roman" w:cs="Arial"/>
          <w:sz w:val="24"/>
          <w:szCs w:val="24"/>
        </w:rPr>
      </w:pPr>
      <w:r w:rsidRPr="006E4D34">
        <w:rPr>
          <w:rFonts w:eastAsia="Times New Roman" w:cs="Arial"/>
          <w:i/>
          <w:iCs/>
          <w:color w:val="000000"/>
          <w:lang w:eastAsia="bg-BG"/>
        </w:rPr>
        <w:t>Хидрохлоротиазид</w:t>
      </w:r>
    </w:p>
    <w:p w14:paraId="6476CB67"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Терминалният полуживот (</w:t>
      </w:r>
      <w:r w:rsidRPr="006E4D34">
        <w:rPr>
          <w:rFonts w:eastAsia="Times New Roman" w:cs="Arial"/>
          <w:color w:val="000000"/>
          <w:lang w:val="en-US"/>
        </w:rPr>
        <w:t>t</w:t>
      </w:r>
      <w:r w:rsidRPr="006E4D34">
        <w:rPr>
          <w:rFonts w:eastAsia="Times New Roman" w:cs="Arial"/>
          <w:color w:val="000000"/>
          <w:lang w:val="ru-RU"/>
        </w:rPr>
        <w:t>1/2</w:t>
      </w:r>
      <w:r w:rsidRPr="006E4D34">
        <w:rPr>
          <w:rFonts w:eastAsia="Times New Roman" w:cs="Arial"/>
          <w:color w:val="000000"/>
          <w:lang w:eastAsia="bg-BG"/>
        </w:rPr>
        <w:t>) на хидрохлоротиазид е удължен при пациенти с бъбречно увреждане.</w:t>
      </w:r>
    </w:p>
    <w:p w14:paraId="02F25DC5" w14:textId="0A45ABA1" w:rsidR="006E4D34" w:rsidRPr="006E4D34" w:rsidRDefault="006E4D34" w:rsidP="006E4D34">
      <w:pPr>
        <w:spacing w:line="240" w:lineRule="auto"/>
        <w:rPr>
          <w:rFonts w:ascii="Times New Roman" w:eastAsia="Times New Roman" w:hAnsi="Times New Roman" w:cs="Times New Roman"/>
          <w:sz w:val="24"/>
          <w:szCs w:val="24"/>
        </w:rPr>
      </w:pPr>
    </w:p>
    <w:p w14:paraId="099A71C9" w14:textId="77777777" w:rsidR="006E4D34" w:rsidRPr="006E4D34" w:rsidRDefault="006E4D34" w:rsidP="006E4D34"/>
    <w:p w14:paraId="4FB791BE" w14:textId="0FC0AFCC" w:rsidR="00B6672E" w:rsidRDefault="002C50EE" w:rsidP="00936AD0">
      <w:pPr>
        <w:pStyle w:val="Heading2"/>
      </w:pPr>
      <w:r>
        <w:lastRenderedPageBreak/>
        <w:t>5.3. Предклинични данни за безопасност</w:t>
      </w:r>
    </w:p>
    <w:p w14:paraId="6E24EBC4" w14:textId="1975A30F" w:rsidR="006E4D34" w:rsidRDefault="006E4D34" w:rsidP="006E4D34"/>
    <w:p w14:paraId="781D299F"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Няма качествено нови заключения относно токсичността на комбинацията кандесарган цилексетил/хидрохлоротиазид в сравнение с тези, наблюдавани за всеки компонент поотделно. В предклиничните проучвания за безопасност, кандесарган във високи дози оказва влияние върху бъбреците и върху еритроцитните показатели при мишки, плъхове, кучета и маймуни. Кандесартан предизвиква понижаване на еритроцитните показатели (брой на еритроцитите, хемоглобин, хематокрит). Кандесарган индуцира ефекти върху бъбреците (като регенерация, дилатация и базофилия в тубулите, повишени плазмени концентрации на урея и креатинин) които може да са в следствие на хипотензивния му ефект, водещ до промяна на бъбречната перфузия. В допълнение, хидрохлоротиазид потенцира нефротоксичността на кандесартан. Освен това, кандесарган индуцира хиперплазия/хипертрофия на юкстагломеруларните клетки. Тези промени се считат за следствие от фармакологичното действие на кандесарган и имат минимално клинично значение.</w:t>
      </w:r>
    </w:p>
    <w:p w14:paraId="11D2B0BA" w14:textId="77777777"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Наблюдавана е фетотоксичност при употреба на кандесарган в късна бременност. Добавянето на хидрохлортиазид не оказало съществено влияние върху последиците за плода при проучвания при плъхове, мишки или зайци(вж. точка 4.6 Бременност и кърмене).</w:t>
      </w:r>
    </w:p>
    <w:p w14:paraId="625876F6" w14:textId="77777777" w:rsidR="006E4D34" w:rsidRPr="006E4D34" w:rsidRDefault="006E4D34" w:rsidP="006E4D34">
      <w:pPr>
        <w:spacing w:line="240" w:lineRule="auto"/>
        <w:rPr>
          <w:rFonts w:eastAsia="Times New Roman" w:cs="Arial"/>
          <w:color w:val="000000"/>
          <w:lang w:eastAsia="bg-BG"/>
        </w:rPr>
      </w:pPr>
    </w:p>
    <w:p w14:paraId="5AD27BB4" w14:textId="5ADCC402"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 xml:space="preserve">И кандесартан, и хидрохлоротиазид показват генотоксичност в много високи концентации/дози. Данни от </w:t>
      </w:r>
      <w:r w:rsidRPr="006E4D34">
        <w:rPr>
          <w:rFonts w:eastAsia="Times New Roman" w:cs="Arial"/>
          <w:i/>
          <w:iCs/>
          <w:color w:val="000000"/>
          <w:lang w:val="en-US"/>
        </w:rPr>
        <w:t>in</w:t>
      </w:r>
      <w:r w:rsidRPr="006E4D34">
        <w:rPr>
          <w:rFonts w:eastAsia="Times New Roman" w:cs="Arial"/>
          <w:i/>
          <w:iCs/>
          <w:color w:val="000000"/>
          <w:lang w:val="ru-RU"/>
        </w:rPr>
        <w:t xml:space="preserve"> </w:t>
      </w:r>
      <w:r w:rsidRPr="006E4D34">
        <w:rPr>
          <w:rFonts w:eastAsia="Times New Roman" w:cs="Arial"/>
          <w:i/>
          <w:iCs/>
          <w:color w:val="000000"/>
          <w:lang w:val="en-US"/>
        </w:rPr>
        <w:t>vitro</w:t>
      </w:r>
      <w:r w:rsidRPr="006E4D34">
        <w:rPr>
          <w:rFonts w:eastAsia="Times New Roman" w:cs="Arial"/>
          <w:color w:val="000000"/>
          <w:lang w:val="ru-RU"/>
        </w:rPr>
        <w:t xml:space="preserve"> </w:t>
      </w:r>
      <w:r w:rsidRPr="006E4D34">
        <w:rPr>
          <w:rFonts w:eastAsia="Times New Roman" w:cs="Arial"/>
          <w:color w:val="000000"/>
          <w:lang w:eastAsia="bg-BG"/>
        </w:rPr>
        <w:t xml:space="preserve">и </w:t>
      </w:r>
      <w:r w:rsidRPr="006E4D34">
        <w:rPr>
          <w:rFonts w:eastAsia="Times New Roman" w:cs="Arial"/>
          <w:i/>
          <w:iCs/>
          <w:color w:val="000000"/>
          <w:lang w:val="en-US"/>
        </w:rPr>
        <w:t>in</w:t>
      </w:r>
      <w:r w:rsidRPr="006E4D34">
        <w:rPr>
          <w:rFonts w:eastAsia="Times New Roman" w:cs="Arial"/>
          <w:i/>
          <w:iCs/>
          <w:color w:val="000000"/>
          <w:lang w:val="ru-RU"/>
        </w:rPr>
        <w:t xml:space="preserve"> </w:t>
      </w:r>
      <w:r w:rsidRPr="006E4D34">
        <w:rPr>
          <w:rFonts w:eastAsia="Times New Roman" w:cs="Arial"/>
          <w:i/>
          <w:iCs/>
          <w:color w:val="000000"/>
          <w:lang w:val="en-US"/>
        </w:rPr>
        <w:t>vivo</w:t>
      </w:r>
      <w:r w:rsidRPr="006E4D34">
        <w:rPr>
          <w:rFonts w:eastAsia="Times New Roman" w:cs="Arial"/>
          <w:color w:val="000000"/>
          <w:lang w:val="ru-RU"/>
        </w:rPr>
        <w:t xml:space="preserve"> </w:t>
      </w:r>
      <w:r w:rsidRPr="006E4D34">
        <w:rPr>
          <w:rFonts w:eastAsia="Times New Roman" w:cs="Arial"/>
          <w:color w:val="000000"/>
          <w:lang w:eastAsia="bg-BG"/>
        </w:rPr>
        <w:t>тестове за генотоксичност показват, че кандесартан и хидрохлоротиазид е малко вероятно да оказват някакъв мутагенен и кластогенен ефект при условия на клинична употреба.</w:t>
      </w:r>
    </w:p>
    <w:p w14:paraId="717E7A48" w14:textId="77777777" w:rsidR="006E4D34" w:rsidRPr="006E4D34" w:rsidRDefault="006E4D34" w:rsidP="006E4D34">
      <w:pPr>
        <w:spacing w:line="240" w:lineRule="auto"/>
        <w:rPr>
          <w:rFonts w:eastAsia="Times New Roman" w:cs="Arial"/>
          <w:color w:val="000000"/>
          <w:lang w:eastAsia="bg-BG"/>
        </w:rPr>
      </w:pPr>
    </w:p>
    <w:p w14:paraId="57E081B4" w14:textId="76D8AD55" w:rsidR="006E4D34" w:rsidRPr="006E4D34" w:rsidRDefault="006E4D34" w:rsidP="006E4D34">
      <w:pPr>
        <w:spacing w:line="240" w:lineRule="auto"/>
        <w:rPr>
          <w:rFonts w:eastAsia="Times New Roman" w:cs="Arial"/>
          <w:sz w:val="24"/>
          <w:szCs w:val="24"/>
        </w:rPr>
      </w:pPr>
      <w:r w:rsidRPr="006E4D34">
        <w:rPr>
          <w:rFonts w:eastAsia="Times New Roman" w:cs="Arial"/>
          <w:color w:val="000000"/>
          <w:lang w:eastAsia="bg-BG"/>
        </w:rPr>
        <w:t>Липсват доказателства, че което и да е от веществата е канцерогенно.</w:t>
      </w:r>
    </w:p>
    <w:p w14:paraId="50FD3CCE" w14:textId="77777777" w:rsidR="006E4D34" w:rsidRPr="006E4D34" w:rsidRDefault="006E4D34" w:rsidP="006E4D34"/>
    <w:p w14:paraId="1BA6531D" w14:textId="5AA036A7" w:rsidR="00B6672E" w:rsidRDefault="002C50EE" w:rsidP="00936AD0">
      <w:pPr>
        <w:pStyle w:val="Heading1"/>
      </w:pPr>
      <w:r>
        <w:t>7. ПРИТЕЖАТЕЛ НА РАЗРЕШЕНИЕТО ЗА УПОТРЕБА</w:t>
      </w:r>
    </w:p>
    <w:p w14:paraId="4F5D94FC" w14:textId="54296C1A" w:rsidR="006E4D34" w:rsidRDefault="006E4D34" w:rsidP="006E4D34"/>
    <w:p w14:paraId="7D835C5C" w14:textId="77777777" w:rsidR="006E4D34" w:rsidRPr="006E4D34" w:rsidRDefault="006E4D34" w:rsidP="006E4D34">
      <w:pPr>
        <w:rPr>
          <w:sz w:val="24"/>
          <w:szCs w:val="24"/>
        </w:rPr>
      </w:pPr>
      <w:proofErr w:type="spellStart"/>
      <w:r w:rsidRPr="006E4D34">
        <w:rPr>
          <w:lang w:val="en-US"/>
        </w:rPr>
        <w:t>Zentiva</w:t>
      </w:r>
      <w:proofErr w:type="spellEnd"/>
      <w:r w:rsidRPr="006E4D34">
        <w:t xml:space="preserve"> </w:t>
      </w:r>
      <w:r w:rsidRPr="006E4D34">
        <w:rPr>
          <w:lang w:val="en-US"/>
        </w:rPr>
        <w:t>k</w:t>
      </w:r>
      <w:r w:rsidRPr="006E4D34">
        <w:t>.</w:t>
      </w:r>
      <w:r w:rsidRPr="006E4D34">
        <w:rPr>
          <w:lang w:val="en-US"/>
        </w:rPr>
        <w:t>s</w:t>
      </w:r>
      <w:r w:rsidRPr="006E4D34">
        <w:t>.</w:t>
      </w:r>
    </w:p>
    <w:p w14:paraId="79F2D13E" w14:textId="77777777" w:rsidR="006E4D34" w:rsidRDefault="006E4D34" w:rsidP="006E4D34">
      <w:pPr>
        <w:rPr>
          <w:lang w:eastAsia="bg-BG"/>
        </w:rPr>
      </w:pPr>
      <w:r w:rsidRPr="006E4D34">
        <w:rPr>
          <w:lang w:val="en-US"/>
        </w:rPr>
        <w:t>U</w:t>
      </w:r>
      <w:r w:rsidRPr="006E4D34">
        <w:t xml:space="preserve"> </w:t>
      </w:r>
      <w:proofErr w:type="spellStart"/>
      <w:r w:rsidRPr="006E4D34">
        <w:rPr>
          <w:lang w:val="en-US"/>
        </w:rPr>
        <w:t>Kabelovny</w:t>
      </w:r>
      <w:proofErr w:type="spellEnd"/>
      <w:r w:rsidRPr="006E4D34">
        <w:t xml:space="preserve"> </w:t>
      </w:r>
      <w:r w:rsidRPr="006E4D34">
        <w:rPr>
          <w:lang w:eastAsia="bg-BG"/>
        </w:rPr>
        <w:t xml:space="preserve">130 </w:t>
      </w:r>
    </w:p>
    <w:p w14:paraId="34F9E344" w14:textId="77777777" w:rsidR="006E4D34" w:rsidRDefault="006E4D34" w:rsidP="006E4D34">
      <w:pPr>
        <w:rPr>
          <w:lang w:eastAsia="bg-BG"/>
        </w:rPr>
      </w:pPr>
      <w:r w:rsidRPr="006E4D34">
        <w:rPr>
          <w:lang w:eastAsia="bg-BG"/>
        </w:rPr>
        <w:t xml:space="preserve">102 37 </w:t>
      </w:r>
      <w:r w:rsidRPr="006E4D34">
        <w:rPr>
          <w:lang w:val="en-US"/>
        </w:rPr>
        <w:t>Prague</w:t>
      </w:r>
      <w:r w:rsidRPr="006E4D34">
        <w:t xml:space="preserve"> </w:t>
      </w:r>
      <w:r w:rsidRPr="006E4D34">
        <w:rPr>
          <w:lang w:eastAsia="bg-BG"/>
        </w:rPr>
        <w:t xml:space="preserve">10 </w:t>
      </w:r>
    </w:p>
    <w:p w14:paraId="337B39D2" w14:textId="73523CF8" w:rsidR="006E4D34" w:rsidRPr="006E4D34" w:rsidRDefault="006E4D34" w:rsidP="006E4D34">
      <w:pPr>
        <w:rPr>
          <w:sz w:val="24"/>
          <w:szCs w:val="24"/>
        </w:rPr>
      </w:pPr>
      <w:r w:rsidRPr="006E4D34">
        <w:rPr>
          <w:lang w:eastAsia="bg-BG"/>
        </w:rPr>
        <w:t>Чешка република</w:t>
      </w:r>
    </w:p>
    <w:p w14:paraId="5424F224" w14:textId="77777777" w:rsidR="006E4D34" w:rsidRPr="006E4D34" w:rsidRDefault="006E4D34" w:rsidP="006E4D34"/>
    <w:p w14:paraId="508F3A54" w14:textId="71907434" w:rsidR="00B6672E" w:rsidRDefault="00936AD0" w:rsidP="00936AD0">
      <w:pPr>
        <w:pStyle w:val="Heading1"/>
      </w:pPr>
      <w:r>
        <w:t>8.</w:t>
      </w:r>
      <w:r w:rsidR="002C50EE">
        <w:t>НОМЕР НА РАЗРЕШЕНИЕТО ЗА УПОТРЕБА</w:t>
      </w:r>
    </w:p>
    <w:p w14:paraId="4DC6DA30" w14:textId="60AD4179" w:rsidR="006E4D34" w:rsidRDefault="006E4D34" w:rsidP="006E4D34"/>
    <w:p w14:paraId="71B59738" w14:textId="2307CB76" w:rsidR="006E4D34" w:rsidRPr="006E4D34" w:rsidRDefault="006E4D34" w:rsidP="006E4D34">
      <w:proofErr w:type="spellStart"/>
      <w:r>
        <w:rPr>
          <w:lang w:val="en-US"/>
        </w:rPr>
        <w:t>Pe</w:t>
      </w:r>
      <w:proofErr w:type="spellEnd"/>
      <w:r>
        <w:t>г</w:t>
      </w:r>
      <w:r w:rsidRPr="006E4D34">
        <w:rPr>
          <w:lang w:val="ru-RU"/>
        </w:rPr>
        <w:t xml:space="preserve">. </w:t>
      </w:r>
      <w:r>
        <w:t>№</w:t>
      </w:r>
      <w:r>
        <w:rPr>
          <w:lang w:val="en-US"/>
        </w:rPr>
        <w:t>:</w:t>
      </w:r>
      <w:r>
        <w:t>20110651</w:t>
      </w:r>
    </w:p>
    <w:p w14:paraId="2CCB5832" w14:textId="7D153C3D" w:rsidR="007C605B" w:rsidRDefault="002C50EE" w:rsidP="007C605B">
      <w:pPr>
        <w:pStyle w:val="Heading1"/>
      </w:pPr>
      <w:r>
        <w:t>9. ДАТА НА ПЪРВО РАЗРЕШАВАНЕ/ПОДНОВЯВАНЕ НА РАЗРЕШЕНИЕТО ЗА УПОТРЕБА</w:t>
      </w:r>
    </w:p>
    <w:p w14:paraId="32B4F037" w14:textId="627031CA" w:rsidR="006E4D34" w:rsidRDefault="006E4D34" w:rsidP="006E4D34"/>
    <w:p w14:paraId="21F2439F" w14:textId="77777777" w:rsidR="006E4D34" w:rsidRPr="006E4D34" w:rsidRDefault="006E4D34" w:rsidP="006E4D34">
      <w:pPr>
        <w:rPr>
          <w:sz w:val="24"/>
          <w:szCs w:val="24"/>
        </w:rPr>
      </w:pPr>
      <w:r w:rsidRPr="006E4D34">
        <w:rPr>
          <w:lang w:eastAsia="bg-BG"/>
        </w:rPr>
        <w:t>Дата на първо разрешаване: 02.11.2011 г.</w:t>
      </w:r>
    </w:p>
    <w:p w14:paraId="6618EF8B" w14:textId="77777777" w:rsidR="006E4D34" w:rsidRPr="006E4D34" w:rsidRDefault="006E4D34" w:rsidP="006E4D34">
      <w:pPr>
        <w:rPr>
          <w:sz w:val="24"/>
          <w:szCs w:val="24"/>
        </w:rPr>
      </w:pPr>
      <w:r w:rsidRPr="006E4D34">
        <w:rPr>
          <w:lang w:eastAsia="bg-BG"/>
        </w:rPr>
        <w:t>Дата на подновяване на разрешението за употреба: 19.05.2017 г.</w:t>
      </w:r>
    </w:p>
    <w:p w14:paraId="0532FAFD" w14:textId="77777777" w:rsidR="006E4D34" w:rsidRPr="006E4D34" w:rsidRDefault="006E4D34" w:rsidP="006E4D34"/>
    <w:p w14:paraId="0E9D0119" w14:textId="0245C6D7" w:rsidR="002C50EE" w:rsidRDefault="002C50EE" w:rsidP="002C50EE">
      <w:pPr>
        <w:pStyle w:val="Heading1"/>
      </w:pPr>
      <w:r>
        <w:lastRenderedPageBreak/>
        <w:t>10. ДАТА НА АКТУАЛИЗИРАНЕ НА ТЕКСТА</w:t>
      </w:r>
    </w:p>
    <w:bookmarkEnd w:id="0"/>
    <w:p w14:paraId="43FB38A2" w14:textId="184138BA" w:rsidR="007C605B" w:rsidRPr="003E3126" w:rsidRDefault="006E4D34" w:rsidP="006E4D34">
      <w:r>
        <w:t>18.08.2020 г.</w:t>
      </w:r>
      <w:bookmarkStart w:id="2" w:name="_GoBack"/>
      <w:bookmarkEnd w:id="2"/>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2B87469"/>
    <w:multiLevelType w:val="hybridMultilevel"/>
    <w:tmpl w:val="81946896"/>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8BB27AB"/>
    <w:multiLevelType w:val="hybridMultilevel"/>
    <w:tmpl w:val="0F0E0FE4"/>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96D3D"/>
    <w:multiLevelType w:val="hybridMultilevel"/>
    <w:tmpl w:val="E7CE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1"/>
  </w:num>
  <w:num w:numId="2">
    <w:abstractNumId w:val="0"/>
  </w:num>
  <w:num w:numId="3">
    <w:abstractNumId w:val="17"/>
  </w:num>
  <w:num w:numId="4">
    <w:abstractNumId w:val="3"/>
  </w:num>
  <w:num w:numId="5">
    <w:abstractNumId w:val="1"/>
  </w:num>
  <w:num w:numId="6">
    <w:abstractNumId w:val="20"/>
  </w:num>
  <w:num w:numId="7">
    <w:abstractNumId w:val="15"/>
  </w:num>
  <w:num w:numId="8">
    <w:abstractNumId w:val="19"/>
  </w:num>
  <w:num w:numId="9">
    <w:abstractNumId w:val="2"/>
  </w:num>
  <w:num w:numId="10">
    <w:abstractNumId w:val="5"/>
  </w:num>
  <w:num w:numId="11">
    <w:abstractNumId w:val="34"/>
  </w:num>
  <w:num w:numId="12">
    <w:abstractNumId w:val="18"/>
  </w:num>
  <w:num w:numId="13">
    <w:abstractNumId w:val="23"/>
  </w:num>
  <w:num w:numId="14">
    <w:abstractNumId w:val="16"/>
  </w:num>
  <w:num w:numId="15">
    <w:abstractNumId w:val="33"/>
  </w:num>
  <w:num w:numId="16">
    <w:abstractNumId w:val="14"/>
  </w:num>
  <w:num w:numId="17">
    <w:abstractNumId w:val="28"/>
  </w:num>
  <w:num w:numId="18">
    <w:abstractNumId w:val="10"/>
  </w:num>
  <w:num w:numId="19">
    <w:abstractNumId w:val="30"/>
  </w:num>
  <w:num w:numId="20">
    <w:abstractNumId w:val="27"/>
  </w:num>
  <w:num w:numId="21">
    <w:abstractNumId w:val="21"/>
  </w:num>
  <w:num w:numId="22">
    <w:abstractNumId w:val="29"/>
  </w:num>
  <w:num w:numId="23">
    <w:abstractNumId w:val="22"/>
  </w:num>
  <w:num w:numId="24">
    <w:abstractNumId w:val="11"/>
  </w:num>
  <w:num w:numId="25">
    <w:abstractNumId w:val="26"/>
  </w:num>
  <w:num w:numId="26">
    <w:abstractNumId w:val="25"/>
  </w:num>
  <w:num w:numId="27">
    <w:abstractNumId w:val="35"/>
  </w:num>
  <w:num w:numId="28">
    <w:abstractNumId w:val="8"/>
  </w:num>
  <w:num w:numId="29">
    <w:abstractNumId w:val="24"/>
  </w:num>
  <w:num w:numId="30">
    <w:abstractNumId w:val="38"/>
  </w:num>
  <w:num w:numId="31">
    <w:abstractNumId w:val="7"/>
  </w:num>
  <w:num w:numId="32">
    <w:abstractNumId w:val="37"/>
  </w:num>
  <w:num w:numId="33">
    <w:abstractNumId w:val="32"/>
  </w:num>
  <w:num w:numId="34">
    <w:abstractNumId w:val="36"/>
  </w:num>
  <w:num w:numId="35">
    <w:abstractNumId w:val="9"/>
  </w:num>
  <w:num w:numId="36">
    <w:abstractNumId w:val="12"/>
  </w:num>
  <w:num w:numId="37">
    <w:abstractNumId w:val="13"/>
  </w:num>
  <w:num w:numId="38">
    <w:abstractNumId w:val="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6E4D34"/>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275A8"/>
    <w:rsid w:val="00B6672E"/>
    <w:rsid w:val="00BF2600"/>
    <w:rsid w:val="00C0049F"/>
    <w:rsid w:val="00C07B84"/>
    <w:rsid w:val="00C33464"/>
    <w:rsid w:val="00C4042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6763</Words>
  <Characters>38555</Characters>
  <Application>Microsoft Office Word</Application>
  <DocSecurity>0</DocSecurity>
  <Lines>321</Lines>
  <Paragraphs>90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2022-06-28T22:37:00Z</dcterms:created>
  <dcterms:modified xsi:type="dcterms:W3CDTF">2022-06-28T22:37:00Z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