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43BAA2FA" w:rsidR="00AA23EC" w:rsidRDefault="00DD466D" w:rsidP="00DD466D">
      <w:pPr>
        <w:pStyle w:val="Heading1"/>
      </w:pPr>
      <w:r>
        <w:t>1.ИМЕ НА ЛЕКАРСТВЕНИЯ ПРОДУКТ</w:t>
      </w:r>
    </w:p>
    <w:p w14:paraId="1605ACCF" w14:textId="77777777" w:rsidR="00CB311D" w:rsidRPr="00CB311D" w:rsidRDefault="00CB311D" w:rsidP="00CB311D">
      <w:pPr>
        <w:rPr>
          <w:sz w:val="24"/>
          <w:szCs w:val="24"/>
          <w:lang w:val="en-US"/>
        </w:rPr>
      </w:pPr>
      <w:r w:rsidRPr="00CB311D">
        <w:rPr>
          <w:lang w:eastAsia="bg-BG"/>
        </w:rPr>
        <w:t xml:space="preserve">КАВИНТОН 5 </w:t>
      </w:r>
      <w:r w:rsidRPr="00CB311D">
        <w:rPr>
          <w:lang w:val="en-US"/>
        </w:rPr>
        <w:t xml:space="preserve">mg </w:t>
      </w:r>
      <w:r w:rsidRPr="00CB311D">
        <w:rPr>
          <w:lang w:eastAsia="bg-BG"/>
        </w:rPr>
        <w:t>таблетки</w:t>
      </w:r>
    </w:p>
    <w:p w14:paraId="6A0B27F6" w14:textId="72C34276" w:rsidR="00CB311D" w:rsidRPr="00CB311D" w:rsidRDefault="00CB311D" w:rsidP="00CB311D">
      <w:r w:rsidRPr="00CB311D">
        <w:rPr>
          <w:lang w:val="en-US"/>
        </w:rPr>
        <w:t xml:space="preserve">CAVINTON </w:t>
      </w:r>
      <w:r w:rsidRPr="00CB311D">
        <w:rPr>
          <w:lang w:eastAsia="bg-BG"/>
        </w:rPr>
        <w:t xml:space="preserve">5 </w:t>
      </w:r>
      <w:r w:rsidRPr="00CB311D">
        <w:rPr>
          <w:lang w:val="en-US"/>
        </w:rPr>
        <w:t>mg tablets</w:t>
      </w:r>
    </w:p>
    <w:p w14:paraId="4D88B710" w14:textId="7A9AD007" w:rsidR="00D86297" w:rsidRDefault="00DD466D" w:rsidP="00AA23EC">
      <w:pPr>
        <w:pStyle w:val="Heading1"/>
      </w:pPr>
      <w:r>
        <w:t>2. КАЧЕСТВЕН И КОЛИЧЕСТВЕН СЪСТАВ</w:t>
      </w:r>
    </w:p>
    <w:p w14:paraId="5130F88D" w14:textId="77777777" w:rsidR="00CB311D" w:rsidRDefault="00CB311D" w:rsidP="00CB31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806FB0" w14:textId="66FE9F45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lang w:eastAsia="bg-BG"/>
        </w:rPr>
        <w:t xml:space="preserve">Всяка таблетка съдържа 5 </w:t>
      </w:r>
      <w:r w:rsidRPr="00CB311D">
        <w:rPr>
          <w:rFonts w:eastAsia="Times New Roman" w:cs="Arial"/>
          <w:color w:val="000000"/>
          <w:lang w:val="en-US"/>
        </w:rPr>
        <w:t xml:space="preserve">mg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</w:t>
      </w:r>
      <w:r w:rsidRPr="00CB311D">
        <w:rPr>
          <w:rFonts w:eastAsia="Times New Roman" w:cs="Arial"/>
          <w:i/>
          <w:iCs/>
          <w:color w:val="000000"/>
          <w:lang w:val="en-US"/>
        </w:rPr>
        <w:t>(Vinpocetine).</w:t>
      </w:r>
    </w:p>
    <w:p w14:paraId="6F59E6F8" w14:textId="77777777" w:rsidR="00CB311D" w:rsidRDefault="00CB311D" w:rsidP="00CB311D">
      <w:pPr>
        <w:rPr>
          <w:rFonts w:eastAsia="Times New Roman" w:cs="Arial"/>
          <w:color w:val="000000"/>
          <w:u w:val="single"/>
          <w:lang w:eastAsia="bg-BG"/>
        </w:rPr>
      </w:pPr>
    </w:p>
    <w:p w14:paraId="202B8AC4" w14:textId="5B19297F" w:rsidR="00CB311D" w:rsidRPr="00CB311D" w:rsidRDefault="00CB311D" w:rsidP="00CB311D">
      <w:pPr>
        <w:rPr>
          <w:rFonts w:cs="Arial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>Помощни вещества с известно действие:</w:t>
      </w:r>
      <w:r w:rsidRPr="00CB311D">
        <w:rPr>
          <w:rFonts w:eastAsia="Times New Roman" w:cs="Arial"/>
          <w:color w:val="000000"/>
          <w:lang w:eastAsia="bg-BG"/>
        </w:rPr>
        <w:t xml:space="preserve"> Всяка таблетка съдържа 140 </w:t>
      </w:r>
      <w:r w:rsidRPr="00CB311D">
        <w:rPr>
          <w:rFonts w:eastAsia="Times New Roman" w:cs="Arial"/>
          <w:color w:val="000000"/>
          <w:lang w:val="en-US"/>
        </w:rPr>
        <w:t xml:space="preserve">mg </w:t>
      </w:r>
      <w:r w:rsidRPr="00CB311D">
        <w:rPr>
          <w:rFonts w:eastAsia="Times New Roman" w:cs="Arial"/>
          <w:color w:val="000000"/>
          <w:lang w:eastAsia="bg-BG"/>
        </w:rPr>
        <w:t xml:space="preserve">лактоза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монохидрат</w:t>
      </w:r>
      <w:proofErr w:type="spellEnd"/>
      <w:r w:rsidRPr="00CB311D">
        <w:rPr>
          <w:rFonts w:eastAsia="Times New Roman" w:cs="Arial"/>
          <w:color w:val="000000"/>
          <w:lang w:eastAsia="bg-BG"/>
        </w:rPr>
        <w:t>.</w:t>
      </w:r>
    </w:p>
    <w:p w14:paraId="5E332777" w14:textId="5EBC14EF" w:rsidR="005A66D9" w:rsidRDefault="00DD466D" w:rsidP="00CA1B57">
      <w:pPr>
        <w:pStyle w:val="Heading1"/>
      </w:pPr>
      <w:r>
        <w:t>3. ЛЕКАРСТВЕНА ФОРМА</w:t>
      </w:r>
    </w:p>
    <w:p w14:paraId="7676F581" w14:textId="77777777" w:rsidR="00CB311D" w:rsidRPr="00CB311D" w:rsidRDefault="00CB311D" w:rsidP="00CB311D">
      <w:pPr>
        <w:rPr>
          <w:sz w:val="24"/>
          <w:szCs w:val="24"/>
        </w:rPr>
      </w:pPr>
      <w:r w:rsidRPr="00CB311D">
        <w:rPr>
          <w:lang w:eastAsia="bg-BG"/>
        </w:rPr>
        <w:t>Таблетка.</w:t>
      </w:r>
    </w:p>
    <w:p w14:paraId="279C86CE" w14:textId="77777777" w:rsidR="00CB311D" w:rsidRDefault="00CB311D" w:rsidP="00CB311D">
      <w:pPr>
        <w:rPr>
          <w:lang w:eastAsia="bg-BG"/>
        </w:rPr>
      </w:pPr>
    </w:p>
    <w:p w14:paraId="4CB55BD6" w14:textId="6490F1E3" w:rsidR="00CB311D" w:rsidRPr="00CB311D" w:rsidRDefault="00CB311D" w:rsidP="00CB311D">
      <w:pPr>
        <w:rPr>
          <w:sz w:val="24"/>
          <w:szCs w:val="24"/>
        </w:rPr>
      </w:pPr>
      <w:r w:rsidRPr="00CB311D">
        <w:rPr>
          <w:lang w:eastAsia="bg-BG"/>
        </w:rPr>
        <w:t xml:space="preserve">Бели или почти бели, плоски, кръгли таблетки, със скосени ръбове, без мирис, с надпис </w:t>
      </w:r>
      <w:r w:rsidRPr="00CB311D">
        <w:rPr>
          <w:lang w:val="en-US"/>
        </w:rPr>
        <w:t xml:space="preserve">“CAVINTO1 </w:t>
      </w:r>
      <w:r w:rsidRPr="00CB311D">
        <w:rPr>
          <w:lang w:eastAsia="bg-BG"/>
        </w:rPr>
        <w:t>от едната страна.</w:t>
      </w:r>
    </w:p>
    <w:p w14:paraId="707BFB40" w14:textId="77777777" w:rsidR="00CB311D" w:rsidRPr="00CB311D" w:rsidRDefault="00CB311D" w:rsidP="00CB311D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2888A462" w:rsidR="00FD69E8" w:rsidRDefault="002C50EE" w:rsidP="00AA23EC">
      <w:pPr>
        <w:pStyle w:val="Heading2"/>
      </w:pPr>
      <w:r>
        <w:t>4.1. Терапевтични показания</w:t>
      </w:r>
    </w:p>
    <w:p w14:paraId="525BE48C" w14:textId="77777777" w:rsidR="00CB311D" w:rsidRDefault="00CB311D" w:rsidP="00CB311D">
      <w:pPr>
        <w:rPr>
          <w:i/>
          <w:iCs/>
          <w:lang w:eastAsia="bg-BG"/>
        </w:rPr>
      </w:pPr>
    </w:p>
    <w:p w14:paraId="2C050405" w14:textId="0FFC0516" w:rsidR="00CB311D" w:rsidRPr="00CB311D" w:rsidRDefault="00CB311D" w:rsidP="00CB311D">
      <w:pPr>
        <w:rPr>
          <w:sz w:val="24"/>
          <w:szCs w:val="24"/>
        </w:rPr>
      </w:pPr>
      <w:r w:rsidRPr="00CB311D">
        <w:rPr>
          <w:i/>
          <w:iCs/>
          <w:lang w:eastAsia="bg-BG"/>
        </w:rPr>
        <w:t>Неврология:</w:t>
      </w:r>
      <w:r w:rsidRPr="00CB311D">
        <w:rPr>
          <w:lang w:eastAsia="bg-BG"/>
        </w:rPr>
        <w:t xml:space="preserve"> За лечение на различни форми на мозъчни </w:t>
      </w:r>
      <w:proofErr w:type="spellStart"/>
      <w:r w:rsidRPr="00CB311D">
        <w:rPr>
          <w:lang w:eastAsia="bg-BG"/>
        </w:rPr>
        <w:t>циркулаторни</w:t>
      </w:r>
      <w:proofErr w:type="spellEnd"/>
      <w:r w:rsidRPr="00CB311D">
        <w:rPr>
          <w:lang w:eastAsia="bg-BG"/>
        </w:rPr>
        <w:t xml:space="preserve"> нарушения, обусловени от атеросклероза, артериална хипертония, захарен диабет, </w:t>
      </w:r>
      <w:proofErr w:type="spellStart"/>
      <w:r w:rsidRPr="00CB311D">
        <w:rPr>
          <w:lang w:eastAsia="bg-BG"/>
        </w:rPr>
        <w:t>васкулити</w:t>
      </w:r>
      <w:proofErr w:type="spellEnd"/>
      <w:r w:rsidRPr="00CB311D">
        <w:rPr>
          <w:lang w:eastAsia="bg-BG"/>
        </w:rPr>
        <w:t xml:space="preserve"> и др.: </w:t>
      </w:r>
      <w:proofErr w:type="spellStart"/>
      <w:r w:rsidRPr="00CB311D">
        <w:rPr>
          <w:lang w:eastAsia="bg-BG"/>
        </w:rPr>
        <w:t>асимптомни</w:t>
      </w:r>
      <w:proofErr w:type="spellEnd"/>
      <w:r w:rsidRPr="00CB311D">
        <w:rPr>
          <w:lang w:eastAsia="bg-BG"/>
        </w:rPr>
        <w:t xml:space="preserve"> исхемични нарушения на мозъчното кръвообращение, преходни исхемични нарушения, мозъчни инфаркти, състояния след мозъчен инсулт, деменция от съдов произход, мозъчна артериосклероза, посттравматична и хипертонична енцефалопатия, </w:t>
      </w:r>
      <w:proofErr w:type="spellStart"/>
      <w:r w:rsidRPr="00CB311D">
        <w:rPr>
          <w:lang w:eastAsia="bg-BG"/>
        </w:rPr>
        <w:t>вертебробазиларна</w:t>
      </w:r>
      <w:proofErr w:type="spellEnd"/>
      <w:r w:rsidRPr="00CB311D">
        <w:rPr>
          <w:lang w:eastAsia="bg-BG"/>
        </w:rPr>
        <w:t xml:space="preserve"> недостатъчност. За намаляване на психичните или неврологичните симптоми на мозъчните </w:t>
      </w:r>
      <w:proofErr w:type="spellStart"/>
      <w:r w:rsidRPr="00CB311D">
        <w:rPr>
          <w:lang w:eastAsia="bg-BG"/>
        </w:rPr>
        <w:t>циркулаторни</w:t>
      </w:r>
      <w:proofErr w:type="spellEnd"/>
      <w:r w:rsidRPr="00CB311D">
        <w:rPr>
          <w:lang w:eastAsia="bg-BG"/>
        </w:rPr>
        <w:t xml:space="preserve"> нарушения.</w:t>
      </w:r>
    </w:p>
    <w:p w14:paraId="7F26D666" w14:textId="77777777" w:rsidR="00CB311D" w:rsidRDefault="00CB311D" w:rsidP="00CB311D">
      <w:pPr>
        <w:rPr>
          <w:i/>
          <w:iCs/>
          <w:lang w:eastAsia="bg-BG"/>
        </w:rPr>
      </w:pPr>
    </w:p>
    <w:p w14:paraId="57780975" w14:textId="6392507E" w:rsidR="00CB311D" w:rsidRPr="00CB311D" w:rsidRDefault="00CB311D" w:rsidP="00CB311D">
      <w:pPr>
        <w:rPr>
          <w:sz w:val="24"/>
          <w:szCs w:val="24"/>
        </w:rPr>
      </w:pPr>
      <w:proofErr w:type="spellStart"/>
      <w:r w:rsidRPr="00CB311D">
        <w:rPr>
          <w:i/>
          <w:iCs/>
          <w:lang w:eastAsia="bg-BG"/>
        </w:rPr>
        <w:t>Офт</w:t>
      </w:r>
      <w:proofErr w:type="spellEnd"/>
      <w:r w:rsidRPr="00CB311D">
        <w:rPr>
          <w:i/>
          <w:iCs/>
          <w:lang w:val="en-US"/>
        </w:rPr>
        <w:t>a</w:t>
      </w:r>
      <w:proofErr w:type="spellStart"/>
      <w:r w:rsidRPr="00CB311D">
        <w:rPr>
          <w:i/>
          <w:iCs/>
          <w:lang w:eastAsia="bg-BG"/>
        </w:rPr>
        <w:t>лмология</w:t>
      </w:r>
      <w:proofErr w:type="spellEnd"/>
      <w:r w:rsidRPr="00CB311D">
        <w:rPr>
          <w:i/>
          <w:iCs/>
          <w:lang w:eastAsia="bg-BG"/>
        </w:rPr>
        <w:t>:</w:t>
      </w:r>
      <w:r w:rsidRPr="00CB311D">
        <w:rPr>
          <w:lang w:eastAsia="bg-BG"/>
        </w:rPr>
        <w:t xml:space="preserve"> За лечение на хронични съдови нарушения в </w:t>
      </w:r>
      <w:proofErr w:type="spellStart"/>
      <w:r w:rsidRPr="00CB311D">
        <w:rPr>
          <w:lang w:eastAsia="bg-BG"/>
        </w:rPr>
        <w:t>хориоидеята</w:t>
      </w:r>
      <w:proofErr w:type="spellEnd"/>
      <w:r w:rsidRPr="00CB311D">
        <w:rPr>
          <w:lang w:eastAsia="bg-BG"/>
        </w:rPr>
        <w:t xml:space="preserve"> и ретината.</w:t>
      </w:r>
    </w:p>
    <w:p w14:paraId="2CA6F031" w14:textId="77777777" w:rsidR="00CB311D" w:rsidRDefault="00CB311D" w:rsidP="00CB311D">
      <w:pPr>
        <w:rPr>
          <w:i/>
          <w:iCs/>
          <w:lang w:eastAsia="bg-BG"/>
        </w:rPr>
      </w:pPr>
    </w:p>
    <w:p w14:paraId="330FBEF2" w14:textId="3EF73487" w:rsidR="00CB311D" w:rsidRPr="00CB311D" w:rsidRDefault="00CB311D" w:rsidP="00CB311D">
      <w:pPr>
        <w:rPr>
          <w:sz w:val="24"/>
          <w:szCs w:val="24"/>
        </w:rPr>
      </w:pPr>
      <w:proofErr w:type="spellStart"/>
      <w:r w:rsidRPr="00CB311D">
        <w:rPr>
          <w:i/>
          <w:iCs/>
          <w:lang w:eastAsia="bg-BG"/>
        </w:rPr>
        <w:t>Отология</w:t>
      </w:r>
      <w:proofErr w:type="spellEnd"/>
      <w:r w:rsidRPr="00CB311D">
        <w:rPr>
          <w:i/>
          <w:iCs/>
          <w:lang w:eastAsia="bg-BG"/>
        </w:rPr>
        <w:t>:</w:t>
      </w:r>
      <w:r w:rsidRPr="00CB311D">
        <w:rPr>
          <w:lang w:eastAsia="bg-BG"/>
        </w:rPr>
        <w:t xml:space="preserve"> За лечение на </w:t>
      </w:r>
      <w:proofErr w:type="spellStart"/>
      <w:r w:rsidRPr="00CB311D">
        <w:rPr>
          <w:lang w:eastAsia="bg-BG"/>
        </w:rPr>
        <w:t>пресбиакузис</w:t>
      </w:r>
      <w:proofErr w:type="spellEnd"/>
      <w:r w:rsidRPr="00CB311D">
        <w:rPr>
          <w:lang w:eastAsia="bg-BG"/>
        </w:rPr>
        <w:t xml:space="preserve"> от </w:t>
      </w:r>
      <w:proofErr w:type="spellStart"/>
      <w:r w:rsidRPr="00CB311D">
        <w:rPr>
          <w:lang w:eastAsia="bg-BG"/>
        </w:rPr>
        <w:t>перцептивен</w:t>
      </w:r>
      <w:proofErr w:type="spellEnd"/>
      <w:r w:rsidRPr="00CB311D">
        <w:rPr>
          <w:lang w:eastAsia="bg-BG"/>
        </w:rPr>
        <w:t xml:space="preserve"> тип, болест на </w:t>
      </w:r>
      <w:r w:rsidRPr="00CB311D">
        <w:rPr>
          <w:lang w:val="en-US"/>
        </w:rPr>
        <w:t xml:space="preserve">Meniere, </w:t>
      </w:r>
      <w:r w:rsidRPr="00CB311D">
        <w:rPr>
          <w:lang w:eastAsia="bg-BG"/>
        </w:rPr>
        <w:t>шум в ушите.</w:t>
      </w:r>
    </w:p>
    <w:p w14:paraId="4D62D500" w14:textId="77777777" w:rsidR="00CB311D" w:rsidRDefault="00CB311D" w:rsidP="00CB311D">
      <w:pPr>
        <w:rPr>
          <w:i/>
          <w:iCs/>
          <w:lang w:eastAsia="bg-BG"/>
        </w:rPr>
      </w:pPr>
    </w:p>
    <w:p w14:paraId="7E1D23E6" w14:textId="1B5956C7" w:rsidR="00CB311D" w:rsidRPr="00CB311D" w:rsidRDefault="00CB311D" w:rsidP="00CB311D">
      <w:pPr>
        <w:rPr>
          <w:sz w:val="24"/>
          <w:szCs w:val="24"/>
        </w:rPr>
      </w:pPr>
      <w:r w:rsidRPr="00CB311D">
        <w:rPr>
          <w:i/>
          <w:iCs/>
          <w:lang w:eastAsia="bg-BG"/>
        </w:rPr>
        <w:t>Гинекология:</w:t>
      </w:r>
      <w:r w:rsidRPr="00CB311D">
        <w:rPr>
          <w:lang w:eastAsia="bg-BG"/>
        </w:rPr>
        <w:t xml:space="preserve"> За намаляване на съдово-вегетативните симптоми при </w:t>
      </w:r>
      <w:proofErr w:type="spellStart"/>
      <w:r w:rsidRPr="00CB311D">
        <w:rPr>
          <w:lang w:eastAsia="bg-BG"/>
        </w:rPr>
        <w:t>климакгеричен</w:t>
      </w:r>
      <w:proofErr w:type="spellEnd"/>
      <w:r w:rsidRPr="00CB311D">
        <w:rPr>
          <w:lang w:eastAsia="bg-BG"/>
        </w:rPr>
        <w:t xml:space="preserve"> синдром.</w:t>
      </w:r>
    </w:p>
    <w:p w14:paraId="1D171A12" w14:textId="77777777" w:rsidR="003765DC" w:rsidRPr="003765DC" w:rsidRDefault="003765DC" w:rsidP="00CB311D"/>
    <w:p w14:paraId="66024DB0" w14:textId="2A5BBA9C" w:rsidR="003765DC" w:rsidRDefault="002C50EE" w:rsidP="002B3C38">
      <w:pPr>
        <w:pStyle w:val="Heading2"/>
      </w:pPr>
      <w:r>
        <w:t>4.2. Дозировка и начин на приложение</w:t>
      </w:r>
    </w:p>
    <w:p w14:paraId="293EA70B" w14:textId="77777777" w:rsidR="00CB311D" w:rsidRDefault="00CB311D" w:rsidP="00CB311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</w:pPr>
    </w:p>
    <w:p w14:paraId="00AA499B" w14:textId="19067EE4" w:rsidR="00CB311D" w:rsidRPr="00CB311D" w:rsidRDefault="00CB311D" w:rsidP="00CB311D">
      <w:pPr>
        <w:pStyle w:val="Heading3"/>
        <w:rPr>
          <w:rFonts w:eastAsia="Times New Roman"/>
          <w:sz w:val="28"/>
          <w:szCs w:val="28"/>
          <w:u w:val="single"/>
        </w:rPr>
      </w:pPr>
      <w:r w:rsidRPr="00CB311D">
        <w:rPr>
          <w:rFonts w:eastAsia="Times New Roman"/>
          <w:u w:val="single"/>
          <w:lang w:eastAsia="bg-BG"/>
        </w:rPr>
        <w:t>Дозировка</w:t>
      </w:r>
    </w:p>
    <w:p w14:paraId="1FD68212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 xml:space="preserve">Препоръчителната доза е 15-30 </w:t>
      </w:r>
      <w:r w:rsidRPr="00CB311D">
        <w:rPr>
          <w:rFonts w:eastAsia="Times New Roman" w:cs="Arial"/>
          <w:color w:val="000000"/>
          <w:lang w:val="en-US"/>
        </w:rPr>
        <w:t xml:space="preserve">mg </w:t>
      </w:r>
      <w:r w:rsidRPr="00CB311D">
        <w:rPr>
          <w:rFonts w:eastAsia="Times New Roman" w:cs="Arial"/>
          <w:color w:val="000000"/>
          <w:lang w:eastAsia="bg-BG"/>
        </w:rPr>
        <w:t xml:space="preserve">дневно (по 1 </w:t>
      </w:r>
      <w:r w:rsidRPr="00CB311D">
        <w:rPr>
          <w:rFonts w:eastAsia="Times New Roman" w:cs="Arial"/>
          <w:i/>
          <w:iCs/>
          <w:color w:val="000000"/>
          <w:lang w:eastAsia="bg-BG"/>
        </w:rPr>
        <w:t>-2</w:t>
      </w:r>
      <w:r w:rsidRPr="00CB311D">
        <w:rPr>
          <w:rFonts w:eastAsia="Times New Roman" w:cs="Arial"/>
          <w:color w:val="000000"/>
          <w:lang w:eastAsia="bg-BG"/>
        </w:rPr>
        <w:t xml:space="preserve"> таблетки 3 пъти дневно). По-високата дневна дозировка включва прием на 3 пъти дневно по 2 таблетки, т.е. 30 </w:t>
      </w:r>
      <w:r w:rsidRPr="00CB311D">
        <w:rPr>
          <w:rFonts w:eastAsia="Times New Roman" w:cs="Arial"/>
          <w:color w:val="000000"/>
          <w:lang w:val="en-US"/>
        </w:rPr>
        <w:t>mg.</w:t>
      </w:r>
    </w:p>
    <w:p w14:paraId="4FFFB56C" w14:textId="77777777" w:rsidR="00CB311D" w:rsidRPr="00CB311D" w:rsidRDefault="00CB311D" w:rsidP="00CB311D">
      <w:pPr>
        <w:rPr>
          <w:rFonts w:eastAsia="Times New Roman" w:cs="Arial"/>
          <w:color w:val="000000"/>
          <w:lang w:eastAsia="bg-BG"/>
        </w:rPr>
      </w:pPr>
    </w:p>
    <w:p w14:paraId="1C12ADCB" w14:textId="1FDFCCFF" w:rsidR="00CB311D" w:rsidRPr="00CB311D" w:rsidRDefault="00CB311D" w:rsidP="00CB311D">
      <w:pPr>
        <w:rPr>
          <w:rFonts w:eastAsia="Times New Roman" w:cs="Arial"/>
          <w:color w:val="000000"/>
          <w:lang w:eastAsia="bg-BG"/>
        </w:rPr>
      </w:pPr>
      <w:r w:rsidRPr="00CB311D">
        <w:rPr>
          <w:rFonts w:eastAsia="Times New Roman" w:cs="Arial"/>
          <w:color w:val="000000"/>
          <w:lang w:eastAsia="bg-BG"/>
        </w:rPr>
        <w:t xml:space="preserve">Терапевтичното действие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Кавинтон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се развива в течение на седмица,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максим</w:t>
      </w:r>
      <w:proofErr w:type="spellEnd"/>
      <w:r w:rsidRPr="00CB311D">
        <w:rPr>
          <w:rFonts w:eastAsia="Times New Roman" w:cs="Arial"/>
          <w:color w:val="000000"/>
          <w:lang w:val="en-US"/>
        </w:rPr>
        <w:t>a</w:t>
      </w:r>
      <w:proofErr w:type="spellStart"/>
      <w:r w:rsidRPr="00CB311D">
        <w:rPr>
          <w:rFonts w:eastAsia="Times New Roman" w:cs="Arial"/>
          <w:color w:val="000000"/>
          <w:lang w:eastAsia="bg-BG"/>
        </w:rPr>
        <w:t>лният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терапевтичен ефект се проявява за период от 3 месеца, но по-отчетливо подобрение се отбелязва след 6-12 месеца. В съответствие с дългосрочния клиничен опит с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не се установява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рибаунд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ефект и риск в случай на рязко преустановяване на лечението.</w:t>
      </w:r>
    </w:p>
    <w:p w14:paraId="67C82787" w14:textId="04A15E88" w:rsidR="00CB311D" w:rsidRPr="00CB311D" w:rsidRDefault="00CB311D" w:rsidP="00CB311D">
      <w:pPr>
        <w:rPr>
          <w:rFonts w:eastAsia="Times New Roman" w:cs="Arial"/>
          <w:color w:val="000000"/>
          <w:lang w:eastAsia="bg-BG"/>
        </w:rPr>
      </w:pPr>
    </w:p>
    <w:p w14:paraId="00E0AD20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i/>
          <w:iCs/>
          <w:color w:val="000000"/>
          <w:lang w:eastAsia="bg-BG"/>
        </w:rPr>
        <w:t>Старческа възраст</w:t>
      </w:r>
    </w:p>
    <w:p w14:paraId="465E5C4C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проучвания показват, че кинетиката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не се различава при лица в старческа и млада възраст, той се абсорбира добре и не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кумулира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и може да се прилага в обичайните дози дори ако е необходимо продължително лечение.</w:t>
      </w:r>
    </w:p>
    <w:p w14:paraId="7A525A23" w14:textId="77777777" w:rsidR="00CB311D" w:rsidRPr="00CB311D" w:rsidRDefault="00CB311D" w:rsidP="00CB31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D07A7E1" w14:textId="2311BB7C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i/>
          <w:iCs/>
          <w:color w:val="000000"/>
          <w:lang w:eastAsia="bg-BG"/>
        </w:rPr>
        <w:t>Чернодробно или бъбречно увреждане</w:t>
      </w:r>
    </w:p>
    <w:p w14:paraId="19C020A2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>Не се налага намаляване на дозата при болни с бъбречни или чернодробни заболявания.</w:t>
      </w:r>
    </w:p>
    <w:p w14:paraId="4F26EAFD" w14:textId="77777777" w:rsidR="00CB311D" w:rsidRPr="00CB311D" w:rsidRDefault="00CB311D" w:rsidP="00CB31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AB09BAC" w14:textId="698FDD3A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645117DC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color w:val="000000"/>
          <w:lang w:eastAsia="bg-BG"/>
        </w:rPr>
        <w:t>Кавинтон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таблетки е противопоказан при деца (вж. т. 4.3)</w:t>
      </w:r>
    </w:p>
    <w:p w14:paraId="74793915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60D2EDD" w14:textId="24693DEB" w:rsidR="00CB311D" w:rsidRPr="00CB311D" w:rsidRDefault="00CB311D" w:rsidP="00CB311D">
      <w:pPr>
        <w:pStyle w:val="Heading3"/>
        <w:rPr>
          <w:rFonts w:eastAsia="Times New Roman"/>
          <w:sz w:val="28"/>
          <w:szCs w:val="28"/>
          <w:u w:val="single"/>
        </w:rPr>
      </w:pPr>
      <w:r w:rsidRPr="00CB311D">
        <w:rPr>
          <w:rFonts w:eastAsia="Times New Roman"/>
          <w:u w:val="single"/>
          <w:lang w:eastAsia="bg-BG"/>
        </w:rPr>
        <w:t>Начин на приложение</w:t>
      </w:r>
    </w:p>
    <w:p w14:paraId="3DB43DE1" w14:textId="4458E59A" w:rsidR="00CB311D" w:rsidRPr="00CB311D" w:rsidRDefault="00CB311D" w:rsidP="00CB311D">
      <w:pPr>
        <w:rPr>
          <w:rFonts w:eastAsia="Times New Roman" w:cs="Arial"/>
          <w:color w:val="000000"/>
          <w:lang w:eastAsia="bg-BG"/>
        </w:rPr>
      </w:pPr>
      <w:r w:rsidRPr="00CB311D">
        <w:rPr>
          <w:rFonts w:eastAsia="Times New Roman" w:cs="Arial"/>
          <w:color w:val="000000"/>
          <w:lang w:eastAsia="bg-BG"/>
        </w:rPr>
        <w:t>Перорално приложение. Таблетките трябва да се приемат след хранене.</w:t>
      </w:r>
    </w:p>
    <w:p w14:paraId="216D2C93" w14:textId="77777777" w:rsidR="00CB311D" w:rsidRPr="00CB311D" w:rsidRDefault="00CB311D" w:rsidP="00CB311D"/>
    <w:p w14:paraId="1A261012" w14:textId="5F6191C3" w:rsidR="003765DC" w:rsidRDefault="002C50EE" w:rsidP="002B3C38">
      <w:pPr>
        <w:pStyle w:val="Heading2"/>
      </w:pPr>
      <w:r>
        <w:t>4.3. Противопоказания</w:t>
      </w:r>
    </w:p>
    <w:p w14:paraId="0A7303B6" w14:textId="77777777" w:rsidR="00CB311D" w:rsidRDefault="00CB311D" w:rsidP="00CB311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23D44A69" w14:textId="7E868A42" w:rsidR="00CB311D" w:rsidRPr="00CB311D" w:rsidRDefault="00CB311D" w:rsidP="00CB311D">
      <w:pPr>
        <w:rPr>
          <w:sz w:val="24"/>
          <w:szCs w:val="24"/>
        </w:rPr>
      </w:pPr>
      <w:r w:rsidRPr="00CB311D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22377224" w14:textId="77777777" w:rsidR="00CB311D" w:rsidRPr="00CB311D" w:rsidRDefault="00CB311D" w:rsidP="00CB311D">
      <w:pPr>
        <w:rPr>
          <w:sz w:val="24"/>
          <w:szCs w:val="24"/>
        </w:rPr>
      </w:pPr>
      <w:r w:rsidRPr="00CB311D">
        <w:rPr>
          <w:lang w:eastAsia="bg-BG"/>
        </w:rPr>
        <w:t>Бременност, кърмене и употреба при жени с детероден потенциал, които не използват надежден метод за контрацепция.</w:t>
      </w:r>
    </w:p>
    <w:p w14:paraId="44229A4E" w14:textId="77777777" w:rsidR="00CB311D" w:rsidRPr="00CB311D" w:rsidRDefault="00CB311D" w:rsidP="00CB311D">
      <w:pPr>
        <w:rPr>
          <w:sz w:val="24"/>
          <w:szCs w:val="24"/>
        </w:rPr>
      </w:pPr>
      <w:r w:rsidRPr="00CB311D">
        <w:rPr>
          <w:lang w:eastAsia="bg-BG"/>
        </w:rPr>
        <w:t xml:space="preserve">Приложението му </w:t>
      </w:r>
      <w:r w:rsidRPr="00CB311D">
        <w:rPr>
          <w:i/>
          <w:iCs/>
          <w:lang w:eastAsia="bg-BG"/>
        </w:rPr>
        <w:t>при деца</w:t>
      </w:r>
      <w:r w:rsidRPr="00CB311D">
        <w:rPr>
          <w:lang w:eastAsia="bg-BG"/>
        </w:rPr>
        <w:t xml:space="preserve"> е противопоказано (поради липса на данни от релевантни клинични проучвания).</w:t>
      </w:r>
    </w:p>
    <w:p w14:paraId="3D21C67F" w14:textId="77777777" w:rsidR="00CB311D" w:rsidRPr="00CB311D" w:rsidRDefault="00CB311D" w:rsidP="00CB311D"/>
    <w:p w14:paraId="5EF6E7D6" w14:textId="796208CC" w:rsidR="003765DC" w:rsidRDefault="002C50EE" w:rsidP="002B3C38">
      <w:pPr>
        <w:pStyle w:val="Heading2"/>
      </w:pPr>
      <w:r>
        <w:t>4.4. Специални предупреждения и предпазни мерки при употреба</w:t>
      </w:r>
    </w:p>
    <w:p w14:paraId="0AD53863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B2AC89" w14:textId="59A7863A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>ОТ удължаване</w:t>
      </w:r>
    </w:p>
    <w:p w14:paraId="6B91BE5C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 xml:space="preserve">Препоръчва се ЕКГ контрол в случаите с удължен </w:t>
      </w:r>
      <w:r w:rsidRPr="00CB311D">
        <w:rPr>
          <w:rFonts w:eastAsia="Times New Roman" w:cs="Arial"/>
          <w:color w:val="000000"/>
          <w:lang w:val="en-US"/>
        </w:rPr>
        <w:t>QT</w:t>
      </w:r>
      <w:r w:rsidRPr="00CB311D">
        <w:rPr>
          <w:rFonts w:eastAsia="Times New Roman" w:cs="Arial"/>
          <w:color w:val="000000"/>
          <w:lang w:eastAsia="bg-BG"/>
        </w:rPr>
        <w:t xml:space="preserve">-интервал или при едновременно лечение с лекарства, предизвикващи удължаване на </w:t>
      </w:r>
      <w:r w:rsidRPr="00CB311D">
        <w:rPr>
          <w:rFonts w:eastAsia="Times New Roman" w:cs="Arial"/>
          <w:color w:val="000000"/>
          <w:lang w:val="en-US"/>
        </w:rPr>
        <w:t>QT</w:t>
      </w:r>
      <w:r w:rsidRPr="00CB311D">
        <w:rPr>
          <w:rFonts w:eastAsia="Times New Roman" w:cs="Arial"/>
          <w:color w:val="000000"/>
          <w:lang w:eastAsia="bg-BG"/>
        </w:rPr>
        <w:t>-интервала.</w:t>
      </w:r>
    </w:p>
    <w:p w14:paraId="660D8232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140D146" w14:textId="2F489BE5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EA93C07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>Няма достатъчно данни относно употребата на лекарствения продукт при деца.</w:t>
      </w:r>
    </w:p>
    <w:p w14:paraId="2D032350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70AAF6" w14:textId="62E602B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>Помощно вещество</w:t>
      </w:r>
    </w:p>
    <w:p w14:paraId="40F87657" w14:textId="4212E4EE" w:rsidR="00CB311D" w:rsidRDefault="00CB311D" w:rsidP="00CB311D">
      <w:pPr>
        <w:rPr>
          <w:rFonts w:eastAsia="Times New Roman" w:cs="Arial"/>
          <w:color w:val="000000"/>
          <w:lang w:eastAsia="bg-BG"/>
        </w:rPr>
      </w:pPr>
      <w:r w:rsidRPr="00CB311D">
        <w:rPr>
          <w:rFonts w:eastAsia="Times New Roman" w:cs="Arial"/>
          <w:color w:val="000000"/>
          <w:lang w:eastAsia="bg-BG"/>
        </w:rPr>
        <w:t xml:space="preserve">Пациенти с редки наследствени проблеми на непоносимост към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галакгоза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, пълен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лактазен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дефицит или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глюкозо-галактозна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малабсорбция не трябва да приемат това лекарство.</w:t>
      </w:r>
    </w:p>
    <w:p w14:paraId="69E54843" w14:textId="77777777" w:rsidR="00CB311D" w:rsidRPr="00CB311D" w:rsidRDefault="00CB311D" w:rsidP="00CB311D">
      <w:pPr>
        <w:rPr>
          <w:rFonts w:cs="Arial"/>
          <w:sz w:val="24"/>
          <w:szCs w:val="24"/>
        </w:rPr>
      </w:pPr>
    </w:p>
    <w:p w14:paraId="297352C8" w14:textId="571EEC5E" w:rsidR="003765DC" w:rsidRDefault="002C50EE" w:rsidP="002B3C3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0495F904" w14:textId="77777777" w:rsidR="00CB311D" w:rsidRDefault="00CB311D" w:rsidP="00CB311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7CB946FF" w14:textId="6AE5951A" w:rsidR="00CB311D" w:rsidRDefault="00CB311D" w:rsidP="00CB311D">
      <w:pPr>
        <w:rPr>
          <w:lang w:eastAsia="bg-BG"/>
        </w:rPr>
      </w:pPr>
      <w:r w:rsidRPr="00CB311D">
        <w:rPr>
          <w:lang w:eastAsia="bg-BG"/>
        </w:rPr>
        <w:t xml:space="preserve">При клинични проучвания не са наблюдавани взаимодействия при приложение на </w:t>
      </w:r>
      <w:proofErr w:type="spellStart"/>
      <w:r w:rsidRPr="00CB311D">
        <w:rPr>
          <w:lang w:eastAsia="bg-BG"/>
        </w:rPr>
        <w:t>винпоцетин</w:t>
      </w:r>
      <w:proofErr w:type="spellEnd"/>
      <w:r w:rsidRPr="00CB311D">
        <w:rPr>
          <w:lang w:eastAsia="bg-BG"/>
        </w:rPr>
        <w:t xml:space="preserve"> </w:t>
      </w:r>
    </w:p>
    <w:p w14:paraId="3F3E3A46" w14:textId="30BDCEF4" w:rsidR="00CB311D" w:rsidRPr="00CB311D" w:rsidRDefault="00CB311D" w:rsidP="00CB311D">
      <w:pPr>
        <w:rPr>
          <w:sz w:val="24"/>
          <w:szCs w:val="24"/>
        </w:rPr>
      </w:pPr>
      <w:r w:rsidRPr="00CB311D">
        <w:rPr>
          <w:lang w:eastAsia="bg-BG"/>
        </w:rPr>
        <w:lastRenderedPageBreak/>
        <w:t xml:space="preserve">едновременно с бета </w:t>
      </w:r>
      <w:proofErr w:type="spellStart"/>
      <w:r w:rsidRPr="00CB311D">
        <w:rPr>
          <w:lang w:eastAsia="bg-BG"/>
        </w:rPr>
        <w:t>блокери</w:t>
      </w:r>
      <w:proofErr w:type="spellEnd"/>
      <w:r w:rsidRPr="00CB311D">
        <w:rPr>
          <w:lang w:eastAsia="bg-BG"/>
        </w:rPr>
        <w:t xml:space="preserve"> като </w:t>
      </w:r>
      <w:proofErr w:type="spellStart"/>
      <w:r w:rsidRPr="00CB311D">
        <w:rPr>
          <w:lang w:eastAsia="bg-BG"/>
        </w:rPr>
        <w:t>клоранолол</w:t>
      </w:r>
      <w:proofErr w:type="spellEnd"/>
      <w:r w:rsidRPr="00CB311D">
        <w:rPr>
          <w:lang w:eastAsia="bg-BG"/>
        </w:rPr>
        <w:t xml:space="preserve"> и </w:t>
      </w:r>
      <w:proofErr w:type="spellStart"/>
      <w:r w:rsidRPr="00CB311D">
        <w:rPr>
          <w:lang w:eastAsia="bg-BG"/>
        </w:rPr>
        <w:t>пиндолол</w:t>
      </w:r>
      <w:proofErr w:type="spellEnd"/>
      <w:r w:rsidRPr="00CB311D">
        <w:rPr>
          <w:lang w:eastAsia="bg-BG"/>
        </w:rPr>
        <w:t xml:space="preserve">, с </w:t>
      </w:r>
      <w:proofErr w:type="spellStart"/>
      <w:r w:rsidRPr="00CB311D">
        <w:rPr>
          <w:lang w:eastAsia="bg-BG"/>
        </w:rPr>
        <w:t>клопамид</w:t>
      </w:r>
      <w:proofErr w:type="spellEnd"/>
      <w:r w:rsidRPr="00CB311D">
        <w:rPr>
          <w:lang w:eastAsia="bg-BG"/>
        </w:rPr>
        <w:t xml:space="preserve">, </w:t>
      </w:r>
      <w:proofErr w:type="spellStart"/>
      <w:r w:rsidRPr="00CB311D">
        <w:rPr>
          <w:lang w:eastAsia="bg-BG"/>
        </w:rPr>
        <w:t>глибенкламид</w:t>
      </w:r>
      <w:proofErr w:type="spellEnd"/>
      <w:r w:rsidRPr="00CB311D">
        <w:rPr>
          <w:lang w:eastAsia="bg-BG"/>
        </w:rPr>
        <w:t xml:space="preserve">, </w:t>
      </w:r>
      <w:proofErr w:type="spellStart"/>
      <w:r w:rsidRPr="00CB311D">
        <w:rPr>
          <w:lang w:eastAsia="bg-BG"/>
        </w:rPr>
        <w:t>имипрамин</w:t>
      </w:r>
      <w:proofErr w:type="spellEnd"/>
      <w:r w:rsidRPr="00CB311D">
        <w:rPr>
          <w:lang w:eastAsia="bg-BG"/>
        </w:rPr>
        <w:t xml:space="preserve">, </w:t>
      </w:r>
      <w:proofErr w:type="spellStart"/>
      <w:r w:rsidRPr="00CB311D">
        <w:rPr>
          <w:lang w:eastAsia="bg-BG"/>
        </w:rPr>
        <w:t>дигоксин</w:t>
      </w:r>
      <w:proofErr w:type="spellEnd"/>
      <w:r w:rsidRPr="00CB311D">
        <w:rPr>
          <w:lang w:eastAsia="bg-BG"/>
        </w:rPr>
        <w:t xml:space="preserve">, </w:t>
      </w:r>
      <w:proofErr w:type="spellStart"/>
      <w:r w:rsidRPr="00CB311D">
        <w:rPr>
          <w:lang w:eastAsia="bg-BG"/>
        </w:rPr>
        <w:t>аценокумарол</w:t>
      </w:r>
      <w:proofErr w:type="spellEnd"/>
      <w:r w:rsidRPr="00CB311D">
        <w:rPr>
          <w:lang w:eastAsia="bg-BG"/>
        </w:rPr>
        <w:t xml:space="preserve"> или хидрохлоротиазид.</w:t>
      </w:r>
    </w:p>
    <w:p w14:paraId="402FB945" w14:textId="77777777" w:rsidR="00CB311D" w:rsidRDefault="00CB311D" w:rsidP="00CB311D">
      <w:pPr>
        <w:rPr>
          <w:lang w:eastAsia="bg-BG"/>
        </w:rPr>
      </w:pPr>
    </w:p>
    <w:p w14:paraId="514E6539" w14:textId="7B2471D4" w:rsidR="00CB311D" w:rsidRPr="00CB311D" w:rsidRDefault="00CB311D" w:rsidP="00CB311D">
      <w:pPr>
        <w:rPr>
          <w:sz w:val="24"/>
          <w:szCs w:val="24"/>
        </w:rPr>
      </w:pPr>
      <w:r w:rsidRPr="00CB311D">
        <w:rPr>
          <w:lang w:eastAsia="bg-BG"/>
        </w:rPr>
        <w:t xml:space="preserve">В редки случаи се съобщава за слаб </w:t>
      </w:r>
      <w:proofErr w:type="spellStart"/>
      <w:r w:rsidRPr="00CB311D">
        <w:rPr>
          <w:lang w:eastAsia="bg-BG"/>
        </w:rPr>
        <w:t>адювантен</w:t>
      </w:r>
      <w:proofErr w:type="spellEnd"/>
      <w:r w:rsidRPr="00CB311D">
        <w:rPr>
          <w:lang w:eastAsia="bg-BG"/>
        </w:rPr>
        <w:t xml:space="preserve"> ефект при съвместно приложение на алфа-метил-</w:t>
      </w:r>
      <w:proofErr w:type="spellStart"/>
      <w:r w:rsidRPr="00CB311D">
        <w:rPr>
          <w:lang w:eastAsia="bg-BG"/>
        </w:rPr>
        <w:t>допа</w:t>
      </w:r>
      <w:proofErr w:type="spellEnd"/>
      <w:r w:rsidRPr="00CB311D">
        <w:rPr>
          <w:lang w:eastAsia="bg-BG"/>
        </w:rPr>
        <w:t xml:space="preserve"> с </w:t>
      </w:r>
      <w:proofErr w:type="spellStart"/>
      <w:r w:rsidRPr="00CB311D">
        <w:rPr>
          <w:lang w:eastAsia="bg-BG"/>
        </w:rPr>
        <w:t>винпоцетин</w:t>
      </w:r>
      <w:proofErr w:type="spellEnd"/>
      <w:r w:rsidRPr="00CB311D">
        <w:rPr>
          <w:lang w:eastAsia="bg-BG"/>
        </w:rPr>
        <w:t>, следователно се препоръчва редовен контрол на кръвното налягане при тази комбинация.</w:t>
      </w:r>
    </w:p>
    <w:p w14:paraId="0055EAFC" w14:textId="77777777" w:rsidR="00CB311D" w:rsidRDefault="00CB311D" w:rsidP="00CB311D">
      <w:pPr>
        <w:rPr>
          <w:lang w:eastAsia="bg-BG"/>
        </w:rPr>
      </w:pPr>
    </w:p>
    <w:p w14:paraId="478E14B9" w14:textId="087EB798" w:rsidR="00CB311D" w:rsidRPr="00CB311D" w:rsidRDefault="00CB311D" w:rsidP="00CB311D">
      <w:pPr>
        <w:rPr>
          <w:sz w:val="24"/>
          <w:szCs w:val="24"/>
        </w:rPr>
      </w:pPr>
      <w:r w:rsidRPr="00CB311D">
        <w:rPr>
          <w:lang w:eastAsia="bg-BG"/>
        </w:rPr>
        <w:t xml:space="preserve">Въпреки че данните от клинични проучвания не го показват, като общо правило се препоръчва повишено внимание при съвместно приложение на </w:t>
      </w:r>
      <w:proofErr w:type="spellStart"/>
      <w:r w:rsidRPr="00CB311D">
        <w:rPr>
          <w:lang w:eastAsia="bg-BG"/>
        </w:rPr>
        <w:t>винпоцетин</w:t>
      </w:r>
      <w:proofErr w:type="spellEnd"/>
      <w:r w:rsidRPr="00CB311D">
        <w:rPr>
          <w:lang w:eastAsia="bg-BG"/>
        </w:rPr>
        <w:t xml:space="preserve"> с лекарства, действащи на централната нервна система, както и при едновременно </w:t>
      </w:r>
      <w:proofErr w:type="spellStart"/>
      <w:r w:rsidRPr="00CB311D">
        <w:rPr>
          <w:lang w:eastAsia="bg-BG"/>
        </w:rPr>
        <w:t>антиаритмично</w:t>
      </w:r>
      <w:proofErr w:type="spellEnd"/>
      <w:r w:rsidRPr="00CB311D">
        <w:rPr>
          <w:lang w:eastAsia="bg-BG"/>
        </w:rPr>
        <w:t xml:space="preserve"> и </w:t>
      </w:r>
      <w:proofErr w:type="spellStart"/>
      <w:r w:rsidRPr="00CB311D">
        <w:rPr>
          <w:lang w:eastAsia="bg-BG"/>
        </w:rPr>
        <w:t>антикоагулантно</w:t>
      </w:r>
      <w:proofErr w:type="spellEnd"/>
      <w:r w:rsidRPr="00CB311D">
        <w:rPr>
          <w:lang w:eastAsia="bg-BG"/>
        </w:rPr>
        <w:t xml:space="preserve"> лечение.</w:t>
      </w:r>
    </w:p>
    <w:p w14:paraId="585EA5FE" w14:textId="77777777" w:rsidR="00CB311D" w:rsidRPr="00CB311D" w:rsidRDefault="00CB311D" w:rsidP="00CB311D"/>
    <w:p w14:paraId="20B09708" w14:textId="01E35979" w:rsidR="003765DC" w:rsidRDefault="002C50EE" w:rsidP="002B3C38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1598C17A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8C6455" w14:textId="6F1F0F3E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 xml:space="preserve">По време на бременност и кърмене, и при жени с детероден потенциал, които не използват надежден метод за контрацепция приложението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е противопоказано.</w:t>
      </w:r>
    </w:p>
    <w:p w14:paraId="2CFC88F6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F1D6EF" w14:textId="42C57A95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>Бременност</w:t>
      </w:r>
    </w:p>
    <w:p w14:paraId="2CCF88A9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преминава през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плацентарната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бариера, но достига по-ниски концентрации в плацентата и в плода в сравнение с плазмената концентрация в кръвта на майката. Изследвания върху животни показват репродуктивна токсичност, включително малформации в развитието при плъхове (вижте точка 5.3).</w:t>
      </w:r>
    </w:p>
    <w:p w14:paraId="30BA7C35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 xml:space="preserve">При изследвания върху животни с прилагане на високи дози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в отделни случаи е настъпило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плацентарно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кръвотечение и аборт, вероятно в резултат на повишен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плацентарен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кръвоток.</w:t>
      </w:r>
    </w:p>
    <w:p w14:paraId="3BF8619C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3BDBA9" w14:textId="23562C90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>Кърмене</w:t>
      </w:r>
    </w:p>
    <w:p w14:paraId="7C66DD80" w14:textId="114C6220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в майчиното мляко при човек. При открити проучвания с маркиран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, радиоактивността в млякото е десетократно по-висока в сравнение с тази в кръвта на майката. Количеството,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екскретирано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в кърмата за 1 час, е 0,25% от приложената дозата. Поради екскрецията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в майчиното мляко и липсата на сигурни данни относно неговия ефект върху кърмачето, приложението му при кърмещи майки е противопоказано.</w:t>
      </w:r>
    </w:p>
    <w:p w14:paraId="09EC1C6D" w14:textId="77777777" w:rsidR="00CB311D" w:rsidRPr="00CB311D" w:rsidRDefault="00CB311D" w:rsidP="00CB311D"/>
    <w:p w14:paraId="13465597" w14:textId="41DE5443" w:rsidR="003765DC" w:rsidRDefault="002C50EE" w:rsidP="002B3C38">
      <w:pPr>
        <w:pStyle w:val="Heading2"/>
      </w:pPr>
      <w:r>
        <w:t>4.7. Ефекти върху способността за шофиране и работа с машини</w:t>
      </w:r>
    </w:p>
    <w:p w14:paraId="70D64CA2" w14:textId="77777777" w:rsidR="00CB311D" w:rsidRDefault="00CB311D" w:rsidP="00CB311D"/>
    <w:p w14:paraId="09536A35" w14:textId="67EC01C4" w:rsidR="00CB311D" w:rsidRDefault="00CB311D" w:rsidP="00CB311D">
      <w:r>
        <w:t xml:space="preserve">Няма налични данни за ефектите на </w:t>
      </w:r>
      <w:proofErr w:type="spellStart"/>
      <w:r>
        <w:t>винпоцетин</w:t>
      </w:r>
      <w:proofErr w:type="spellEnd"/>
      <w:r>
        <w:t xml:space="preserve"> върху способността за шофиране и работа с машини.</w:t>
      </w:r>
    </w:p>
    <w:p w14:paraId="640C9B70" w14:textId="77777777" w:rsidR="00CB311D" w:rsidRPr="00CB311D" w:rsidRDefault="00CB311D" w:rsidP="00CB311D"/>
    <w:p w14:paraId="5D66F04B" w14:textId="6846DF9B" w:rsidR="003765DC" w:rsidRDefault="002C50EE" w:rsidP="002B3C38">
      <w:pPr>
        <w:pStyle w:val="Heading2"/>
      </w:pPr>
      <w:r>
        <w:t>4.8. Нежелани лекарствени реакции</w:t>
      </w:r>
    </w:p>
    <w:p w14:paraId="040F75D0" w14:textId="77777777" w:rsidR="00CB311D" w:rsidRDefault="00CB311D" w:rsidP="00CB311D">
      <w:pPr>
        <w:rPr>
          <w:lang w:eastAsia="bg-BG"/>
        </w:rPr>
      </w:pPr>
    </w:p>
    <w:p w14:paraId="563E312C" w14:textId="718F0CBC" w:rsidR="00CB311D" w:rsidRDefault="00CB311D" w:rsidP="00CB311D">
      <w:pPr>
        <w:rPr>
          <w:lang w:eastAsia="bg-BG"/>
        </w:rPr>
      </w:pPr>
      <w:r w:rsidRPr="00CB311D">
        <w:rPr>
          <w:lang w:eastAsia="bg-BG"/>
        </w:rPr>
        <w:t xml:space="preserve">Съобщените нежелани лекарствени реакции са изброени по-долу според честотата и класирани по </w:t>
      </w:r>
      <w:proofErr w:type="spellStart"/>
      <w:r w:rsidRPr="00CB311D">
        <w:rPr>
          <w:lang w:eastAsia="bg-BG"/>
        </w:rPr>
        <w:t>системо</w:t>
      </w:r>
      <w:proofErr w:type="spellEnd"/>
      <w:r w:rsidRPr="00CB311D">
        <w:rPr>
          <w:lang w:eastAsia="bg-BG"/>
        </w:rPr>
        <w:t xml:space="preserve">-органен клас по </w:t>
      </w:r>
      <w:r w:rsidRPr="00CB311D">
        <w:rPr>
          <w:lang w:val="en-US"/>
        </w:rPr>
        <w:t xml:space="preserve">MedDRA </w:t>
      </w:r>
      <w:r w:rsidRPr="00CB311D">
        <w:rPr>
          <w:lang w:eastAsia="bg-BG"/>
        </w:rPr>
        <w:t>конвенцията.</w:t>
      </w:r>
    </w:p>
    <w:p w14:paraId="17E87759" w14:textId="77777777" w:rsidR="00CB311D" w:rsidRPr="00CB311D" w:rsidRDefault="00CB311D" w:rsidP="00CB311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2481"/>
        <w:gridCol w:w="2736"/>
        <w:gridCol w:w="2736"/>
      </w:tblGrid>
      <w:tr w:rsidR="00CB311D" w14:paraId="65B86715" w14:textId="77777777" w:rsidTr="00CB311D">
        <w:tc>
          <w:tcPr>
            <w:tcW w:w="1623" w:type="dxa"/>
          </w:tcPr>
          <w:p w14:paraId="25CB5739" w14:textId="0E791566" w:rsidR="00CB311D" w:rsidRPr="00CB311D" w:rsidRDefault="00CB311D" w:rsidP="00CB311D">
            <w:proofErr w:type="spellStart"/>
            <w:r w:rsidRPr="00CB311D">
              <w:t>Системо</w:t>
            </w:r>
            <w:proofErr w:type="spellEnd"/>
            <w:r w:rsidRPr="00CB311D">
              <w:t xml:space="preserve">-органен клас по </w:t>
            </w:r>
            <w:r w:rsidRPr="00CB311D">
              <w:rPr>
                <w:lang w:val="en-US"/>
              </w:rPr>
              <w:t>MedDRA</w:t>
            </w:r>
          </w:p>
        </w:tc>
        <w:tc>
          <w:tcPr>
            <w:tcW w:w="2481" w:type="dxa"/>
          </w:tcPr>
          <w:p w14:paraId="5636924A" w14:textId="77777777" w:rsidR="00CB311D" w:rsidRPr="00CB311D" w:rsidRDefault="00CB311D" w:rsidP="00CB311D">
            <w:r w:rsidRPr="00CB311D">
              <w:t>Нечести</w:t>
            </w:r>
          </w:p>
          <w:p w14:paraId="04DDF8CE" w14:textId="06970F7B" w:rsidR="00CB311D" w:rsidRPr="00CB311D" w:rsidRDefault="00CB311D" w:rsidP="00CB311D">
            <w:r w:rsidRPr="00CB311D">
              <w:rPr>
                <w:lang w:val="en-US"/>
              </w:rPr>
              <w:t>≥</w:t>
            </w:r>
            <w:r w:rsidRPr="00CB311D">
              <w:t>1/1000 до &lt;1/100</w:t>
            </w:r>
          </w:p>
        </w:tc>
        <w:tc>
          <w:tcPr>
            <w:tcW w:w="2736" w:type="dxa"/>
          </w:tcPr>
          <w:p w14:paraId="6C39990E" w14:textId="77777777" w:rsidR="00CB311D" w:rsidRPr="00CB311D" w:rsidRDefault="00CB311D" w:rsidP="00CB311D">
            <w:r w:rsidRPr="00CB311D">
              <w:t>Редки</w:t>
            </w:r>
          </w:p>
          <w:p w14:paraId="529EBB2B" w14:textId="78B190D7" w:rsidR="00CB311D" w:rsidRPr="00CB311D" w:rsidRDefault="00CB311D" w:rsidP="00CB311D">
            <w:r w:rsidRPr="00CB311D">
              <w:rPr>
                <w:lang w:val="en-US"/>
              </w:rPr>
              <w:t>≥</w:t>
            </w:r>
            <w:r w:rsidRPr="00CB311D">
              <w:t>1/10 000 до &lt;1/1 000</w:t>
            </w:r>
          </w:p>
        </w:tc>
        <w:tc>
          <w:tcPr>
            <w:tcW w:w="2736" w:type="dxa"/>
          </w:tcPr>
          <w:p w14:paraId="4F0E7187" w14:textId="77777777" w:rsidR="00CB311D" w:rsidRPr="00CB311D" w:rsidRDefault="00CB311D" w:rsidP="00CB311D">
            <w:r w:rsidRPr="00CB311D">
              <w:t>Много редки/изолирани случаи</w:t>
            </w:r>
          </w:p>
          <w:p w14:paraId="2E7F53A3" w14:textId="782637C2" w:rsidR="00CB311D" w:rsidRPr="00CB311D" w:rsidRDefault="00CB311D" w:rsidP="00CB311D">
            <w:r w:rsidRPr="00CB311D">
              <w:t>&lt;10 000</w:t>
            </w:r>
          </w:p>
        </w:tc>
      </w:tr>
      <w:tr w:rsidR="00CB311D" w14:paraId="0849D1AC" w14:textId="77777777" w:rsidTr="00CB311D">
        <w:tc>
          <w:tcPr>
            <w:tcW w:w="1623" w:type="dxa"/>
          </w:tcPr>
          <w:p w14:paraId="6E578CC8" w14:textId="6D360702" w:rsidR="00CB311D" w:rsidRPr="00CB311D" w:rsidRDefault="00CB311D" w:rsidP="00CB311D">
            <w:r w:rsidRPr="00CB311D">
              <w:lastRenderedPageBreak/>
              <w:t>Нарушения в кръвта и лимфната система</w:t>
            </w:r>
          </w:p>
        </w:tc>
        <w:tc>
          <w:tcPr>
            <w:tcW w:w="2481" w:type="dxa"/>
          </w:tcPr>
          <w:p w14:paraId="2FC0D409" w14:textId="77777777" w:rsidR="00CB311D" w:rsidRPr="00CB311D" w:rsidRDefault="00CB311D" w:rsidP="00CB311D"/>
        </w:tc>
        <w:tc>
          <w:tcPr>
            <w:tcW w:w="2736" w:type="dxa"/>
          </w:tcPr>
          <w:p w14:paraId="4CB7C98B" w14:textId="77777777" w:rsidR="00CB311D" w:rsidRPr="00CB311D" w:rsidRDefault="00CB311D" w:rsidP="00CB311D">
            <w:proofErr w:type="spellStart"/>
            <w:r w:rsidRPr="00CB311D">
              <w:t>Левкопения</w:t>
            </w:r>
            <w:proofErr w:type="spellEnd"/>
          </w:p>
          <w:p w14:paraId="13932F05" w14:textId="41BBB00A" w:rsidR="00CB311D" w:rsidRPr="00CB311D" w:rsidRDefault="00CB311D" w:rsidP="00CB311D">
            <w:proofErr w:type="spellStart"/>
            <w:r w:rsidRPr="00CB311D">
              <w:t>Тромбоцитопения</w:t>
            </w:r>
            <w:proofErr w:type="spellEnd"/>
          </w:p>
        </w:tc>
        <w:tc>
          <w:tcPr>
            <w:tcW w:w="2736" w:type="dxa"/>
          </w:tcPr>
          <w:p w14:paraId="585D419A" w14:textId="77777777" w:rsidR="00CB311D" w:rsidRPr="00CB311D" w:rsidRDefault="00CB311D" w:rsidP="00CB311D">
            <w:r w:rsidRPr="00CB311D">
              <w:t>Анемия</w:t>
            </w:r>
          </w:p>
          <w:p w14:paraId="107F8CD0" w14:textId="0CAAA636" w:rsidR="00CB311D" w:rsidRPr="00CB311D" w:rsidRDefault="00CB311D" w:rsidP="00CB311D">
            <w:r w:rsidRPr="00CB311D">
              <w:t>Аглутинация на червените кръвни клетки</w:t>
            </w:r>
          </w:p>
        </w:tc>
      </w:tr>
      <w:tr w:rsidR="00CB311D" w14:paraId="42686302" w14:textId="77777777" w:rsidTr="00CB311D">
        <w:tc>
          <w:tcPr>
            <w:tcW w:w="1623" w:type="dxa"/>
          </w:tcPr>
          <w:p w14:paraId="12FD5940" w14:textId="09B7235D" w:rsidR="00CB311D" w:rsidRPr="00CB311D" w:rsidRDefault="00CB311D" w:rsidP="00CB311D">
            <w:r w:rsidRPr="00CB311D">
              <w:t>Нарушения на имунната система</w:t>
            </w:r>
          </w:p>
        </w:tc>
        <w:tc>
          <w:tcPr>
            <w:tcW w:w="2481" w:type="dxa"/>
          </w:tcPr>
          <w:p w14:paraId="1C55B4B5" w14:textId="77777777" w:rsidR="00CB311D" w:rsidRPr="00CB311D" w:rsidRDefault="00CB311D" w:rsidP="00CB311D"/>
        </w:tc>
        <w:tc>
          <w:tcPr>
            <w:tcW w:w="2736" w:type="dxa"/>
          </w:tcPr>
          <w:p w14:paraId="1F025009" w14:textId="77777777" w:rsidR="00CB311D" w:rsidRPr="00CB311D" w:rsidRDefault="00CB311D" w:rsidP="00CB311D"/>
        </w:tc>
        <w:tc>
          <w:tcPr>
            <w:tcW w:w="2736" w:type="dxa"/>
          </w:tcPr>
          <w:p w14:paraId="36C5194D" w14:textId="51D44DAC" w:rsidR="00CB311D" w:rsidRPr="00CB311D" w:rsidRDefault="00CB311D" w:rsidP="00CB311D">
            <w:r w:rsidRPr="00CB311D">
              <w:t>Свръхчувствителност</w:t>
            </w:r>
          </w:p>
        </w:tc>
      </w:tr>
      <w:tr w:rsidR="00CB311D" w14:paraId="31F15FAA" w14:textId="77777777" w:rsidTr="00CB311D">
        <w:tc>
          <w:tcPr>
            <w:tcW w:w="1623" w:type="dxa"/>
          </w:tcPr>
          <w:p w14:paraId="58B4A3BD" w14:textId="77777777" w:rsidR="00CB311D" w:rsidRPr="00CB311D" w:rsidRDefault="00CB311D" w:rsidP="00CB311D">
            <w:r w:rsidRPr="00CB311D">
              <w:t>Нарушения на метаболизма и</w:t>
            </w:r>
          </w:p>
          <w:p w14:paraId="39AB1ADE" w14:textId="24FA64DA" w:rsidR="00CB311D" w:rsidRPr="00CB311D" w:rsidRDefault="00CB311D" w:rsidP="00CB311D">
            <w:r w:rsidRPr="00CB311D">
              <w:t>храненето</w:t>
            </w:r>
          </w:p>
        </w:tc>
        <w:tc>
          <w:tcPr>
            <w:tcW w:w="2481" w:type="dxa"/>
          </w:tcPr>
          <w:p w14:paraId="74329A00" w14:textId="34FBB4D8" w:rsidR="00CB311D" w:rsidRPr="00CB311D" w:rsidRDefault="00CB311D" w:rsidP="00CB311D">
            <w:proofErr w:type="spellStart"/>
            <w:r w:rsidRPr="00CB311D">
              <w:t>Хиперхолестеролемия</w:t>
            </w:r>
            <w:proofErr w:type="spellEnd"/>
          </w:p>
        </w:tc>
        <w:tc>
          <w:tcPr>
            <w:tcW w:w="2736" w:type="dxa"/>
          </w:tcPr>
          <w:p w14:paraId="544AECA8" w14:textId="37559E68" w:rsidR="00CB311D" w:rsidRPr="00CB311D" w:rsidRDefault="00CB311D" w:rsidP="00CB311D">
            <w:r w:rsidRPr="00CB311D">
              <w:t>Намален апетит Анорексия Захарен диабет</w:t>
            </w:r>
          </w:p>
        </w:tc>
        <w:tc>
          <w:tcPr>
            <w:tcW w:w="2736" w:type="dxa"/>
          </w:tcPr>
          <w:p w14:paraId="5965D035" w14:textId="77777777" w:rsidR="00CB311D" w:rsidRPr="00CB311D" w:rsidRDefault="00CB311D" w:rsidP="00CB311D"/>
        </w:tc>
      </w:tr>
      <w:tr w:rsidR="00CB311D" w14:paraId="1B63BB64" w14:textId="77777777" w:rsidTr="00CB311D">
        <w:tc>
          <w:tcPr>
            <w:tcW w:w="1623" w:type="dxa"/>
          </w:tcPr>
          <w:p w14:paraId="13EFD181" w14:textId="6AAAD0BF" w:rsidR="00CB311D" w:rsidRPr="00CB311D" w:rsidRDefault="00CB311D" w:rsidP="00CB311D">
            <w:r w:rsidRPr="00CB311D">
              <w:t>Психиатрични нарушения</w:t>
            </w:r>
          </w:p>
        </w:tc>
        <w:tc>
          <w:tcPr>
            <w:tcW w:w="2481" w:type="dxa"/>
          </w:tcPr>
          <w:p w14:paraId="7245060C" w14:textId="77777777" w:rsidR="00CB311D" w:rsidRPr="00CB311D" w:rsidRDefault="00CB311D" w:rsidP="00CB311D"/>
        </w:tc>
        <w:tc>
          <w:tcPr>
            <w:tcW w:w="2736" w:type="dxa"/>
          </w:tcPr>
          <w:p w14:paraId="5D05DF70" w14:textId="36172ED7" w:rsidR="00CB311D" w:rsidRPr="00CB311D" w:rsidRDefault="00CB311D" w:rsidP="00CB311D">
            <w:r w:rsidRPr="00CB311D">
              <w:t>Безсъние Нарушения на съня Възбуда Безпокойство</w:t>
            </w:r>
          </w:p>
        </w:tc>
        <w:tc>
          <w:tcPr>
            <w:tcW w:w="2736" w:type="dxa"/>
          </w:tcPr>
          <w:p w14:paraId="4559A6E0" w14:textId="326CC6D2" w:rsidR="00CB311D" w:rsidRPr="00CB311D" w:rsidRDefault="00CB311D" w:rsidP="00CB311D">
            <w:r w:rsidRPr="00CB311D">
              <w:t>Приповдигнато настроение Депресия</w:t>
            </w:r>
          </w:p>
        </w:tc>
      </w:tr>
      <w:tr w:rsidR="00CB311D" w14:paraId="02AA6537" w14:textId="77777777" w:rsidTr="00CB311D">
        <w:tc>
          <w:tcPr>
            <w:tcW w:w="1623" w:type="dxa"/>
          </w:tcPr>
          <w:p w14:paraId="5C18A0E7" w14:textId="12144287" w:rsidR="00CB311D" w:rsidRPr="00CB311D" w:rsidRDefault="00CB311D" w:rsidP="00CB311D">
            <w:r w:rsidRPr="00CB311D">
              <w:t>Нарушения на нервната система</w:t>
            </w:r>
          </w:p>
        </w:tc>
        <w:tc>
          <w:tcPr>
            <w:tcW w:w="2481" w:type="dxa"/>
          </w:tcPr>
          <w:p w14:paraId="37E192E3" w14:textId="2E48FF86" w:rsidR="00CB311D" w:rsidRPr="00CB311D" w:rsidRDefault="00CB311D" w:rsidP="00CB311D">
            <w:r w:rsidRPr="00CB311D">
              <w:t>Главоболие</w:t>
            </w:r>
          </w:p>
        </w:tc>
        <w:tc>
          <w:tcPr>
            <w:tcW w:w="2736" w:type="dxa"/>
            <w:vAlign w:val="bottom"/>
          </w:tcPr>
          <w:p w14:paraId="417F8049" w14:textId="77777777" w:rsidR="00CB311D" w:rsidRPr="00CB311D" w:rsidRDefault="00CB311D" w:rsidP="00CB311D">
            <w:r w:rsidRPr="00CB311D">
              <w:t>Замаяност</w:t>
            </w:r>
          </w:p>
          <w:p w14:paraId="53694ABB" w14:textId="77777777" w:rsidR="00CB311D" w:rsidRPr="00CB311D" w:rsidRDefault="00CB311D" w:rsidP="00CB311D">
            <w:r w:rsidRPr="00CB311D">
              <w:t>Нарушения на вкуса</w:t>
            </w:r>
          </w:p>
          <w:p w14:paraId="0964DC73" w14:textId="77777777" w:rsidR="00CB311D" w:rsidRPr="00CB311D" w:rsidRDefault="00CB311D" w:rsidP="00CB311D">
            <w:r w:rsidRPr="00CB311D">
              <w:t>Ступор</w:t>
            </w:r>
          </w:p>
          <w:p w14:paraId="7D69EC8F" w14:textId="77777777" w:rsidR="00CB311D" w:rsidRPr="00CB311D" w:rsidRDefault="00CB311D" w:rsidP="00CB311D">
            <w:proofErr w:type="spellStart"/>
            <w:r w:rsidRPr="00CB311D">
              <w:t>Хемипареза</w:t>
            </w:r>
            <w:proofErr w:type="spellEnd"/>
          </w:p>
          <w:p w14:paraId="63A52069" w14:textId="77777777" w:rsidR="00CB311D" w:rsidRPr="00CB311D" w:rsidRDefault="00CB311D" w:rsidP="00CB311D">
            <w:proofErr w:type="spellStart"/>
            <w:r w:rsidRPr="00CB311D">
              <w:t>Сомнолентност</w:t>
            </w:r>
            <w:proofErr w:type="spellEnd"/>
          </w:p>
          <w:p w14:paraId="63CCE78D" w14:textId="50D93CBA" w:rsidR="00CB311D" w:rsidRPr="00CB311D" w:rsidRDefault="00CB311D" w:rsidP="00CB311D">
            <w:r w:rsidRPr="00CB311D">
              <w:t>Амнезия</w:t>
            </w:r>
          </w:p>
        </w:tc>
        <w:tc>
          <w:tcPr>
            <w:tcW w:w="2736" w:type="dxa"/>
            <w:vAlign w:val="bottom"/>
          </w:tcPr>
          <w:p w14:paraId="38FB8A95" w14:textId="77777777" w:rsidR="00CB311D" w:rsidRPr="00CB311D" w:rsidRDefault="00CB311D" w:rsidP="00CB311D">
            <w:r w:rsidRPr="00CB311D">
              <w:t>Тремор</w:t>
            </w:r>
          </w:p>
          <w:p w14:paraId="46DC0B4D" w14:textId="250035E5" w:rsidR="00CB311D" w:rsidRPr="00CB311D" w:rsidRDefault="00CB311D" w:rsidP="00CB311D">
            <w:r w:rsidRPr="00CB311D">
              <w:t>Конвулсия</w:t>
            </w:r>
          </w:p>
        </w:tc>
      </w:tr>
      <w:tr w:rsidR="00CB311D" w14:paraId="3A438902" w14:textId="77777777" w:rsidTr="00CB311D">
        <w:tc>
          <w:tcPr>
            <w:tcW w:w="1623" w:type="dxa"/>
          </w:tcPr>
          <w:p w14:paraId="5DF99318" w14:textId="2A593670" w:rsidR="00CB311D" w:rsidRPr="00CB311D" w:rsidRDefault="00CB311D" w:rsidP="00CB311D">
            <w:r w:rsidRPr="00CB311D">
              <w:t>Очни нарушения</w:t>
            </w:r>
          </w:p>
        </w:tc>
        <w:tc>
          <w:tcPr>
            <w:tcW w:w="2481" w:type="dxa"/>
          </w:tcPr>
          <w:p w14:paraId="4A8CEEB1" w14:textId="77777777" w:rsidR="00CB311D" w:rsidRPr="00CB311D" w:rsidRDefault="00CB311D" w:rsidP="00CB311D"/>
        </w:tc>
        <w:tc>
          <w:tcPr>
            <w:tcW w:w="2736" w:type="dxa"/>
          </w:tcPr>
          <w:p w14:paraId="1BADC728" w14:textId="3B8A1F2F" w:rsidR="00CB311D" w:rsidRPr="00CB311D" w:rsidRDefault="00CB311D" w:rsidP="00CB311D">
            <w:r w:rsidRPr="00CB311D">
              <w:t>Оток на палилата</w:t>
            </w:r>
          </w:p>
        </w:tc>
        <w:tc>
          <w:tcPr>
            <w:tcW w:w="2736" w:type="dxa"/>
          </w:tcPr>
          <w:p w14:paraId="74BE0E9D" w14:textId="3CDB2644" w:rsidR="00CB311D" w:rsidRPr="00CB311D" w:rsidRDefault="00CB311D" w:rsidP="00CB311D">
            <w:proofErr w:type="spellStart"/>
            <w:r w:rsidRPr="00CB311D">
              <w:t>Конюнктивална</w:t>
            </w:r>
            <w:proofErr w:type="spellEnd"/>
            <w:r w:rsidRPr="00CB311D">
              <w:t xml:space="preserve"> </w:t>
            </w:r>
            <w:proofErr w:type="spellStart"/>
            <w:r w:rsidRPr="00CB311D">
              <w:t>хиперемия</w:t>
            </w:r>
            <w:proofErr w:type="spellEnd"/>
          </w:p>
        </w:tc>
      </w:tr>
      <w:tr w:rsidR="00CB311D" w14:paraId="7CA9991B" w14:textId="77777777" w:rsidTr="00CB311D">
        <w:tc>
          <w:tcPr>
            <w:tcW w:w="1623" w:type="dxa"/>
          </w:tcPr>
          <w:p w14:paraId="4BEBE1D3" w14:textId="3E57D086" w:rsidR="00CB311D" w:rsidRPr="00CB311D" w:rsidRDefault="00CB311D" w:rsidP="00CB311D">
            <w:r w:rsidRPr="00CB311D">
              <w:t>Нарушения на ухото и лабиринта</w:t>
            </w:r>
          </w:p>
        </w:tc>
        <w:tc>
          <w:tcPr>
            <w:tcW w:w="2481" w:type="dxa"/>
          </w:tcPr>
          <w:p w14:paraId="33433C29" w14:textId="49E78C01" w:rsidR="00CB311D" w:rsidRPr="00CB311D" w:rsidRDefault="00CB311D" w:rsidP="00CB311D">
            <w:proofErr w:type="spellStart"/>
            <w:r w:rsidRPr="00CB311D">
              <w:t>Вертиго</w:t>
            </w:r>
            <w:proofErr w:type="spellEnd"/>
          </w:p>
        </w:tc>
        <w:tc>
          <w:tcPr>
            <w:tcW w:w="2736" w:type="dxa"/>
          </w:tcPr>
          <w:p w14:paraId="3567C8F0" w14:textId="52F2EEB5" w:rsidR="00CB311D" w:rsidRPr="00CB311D" w:rsidRDefault="00CB311D" w:rsidP="00CB311D">
            <w:proofErr w:type="spellStart"/>
            <w:r w:rsidRPr="00CB311D">
              <w:t>Хиперакузис</w:t>
            </w:r>
            <w:proofErr w:type="spellEnd"/>
            <w:r w:rsidRPr="00CB311D">
              <w:t xml:space="preserve"> </w:t>
            </w:r>
            <w:proofErr w:type="spellStart"/>
            <w:r w:rsidRPr="00CB311D">
              <w:t>Хипоакузис</w:t>
            </w:r>
            <w:proofErr w:type="spellEnd"/>
            <w:r w:rsidRPr="00CB311D">
              <w:t xml:space="preserve"> </w:t>
            </w:r>
            <w:proofErr w:type="spellStart"/>
            <w:r w:rsidRPr="00CB311D">
              <w:t>Тинитус</w:t>
            </w:r>
            <w:proofErr w:type="spellEnd"/>
          </w:p>
        </w:tc>
        <w:tc>
          <w:tcPr>
            <w:tcW w:w="2736" w:type="dxa"/>
          </w:tcPr>
          <w:p w14:paraId="69946312" w14:textId="77777777" w:rsidR="00CB311D" w:rsidRPr="00CB311D" w:rsidRDefault="00CB311D" w:rsidP="00CB311D"/>
        </w:tc>
      </w:tr>
      <w:tr w:rsidR="00CB311D" w14:paraId="338B9CAD" w14:textId="77777777" w:rsidTr="00CB311D">
        <w:tc>
          <w:tcPr>
            <w:tcW w:w="1623" w:type="dxa"/>
          </w:tcPr>
          <w:p w14:paraId="11638C69" w14:textId="4CBC889E" w:rsidR="00CB311D" w:rsidRPr="00CB311D" w:rsidRDefault="00CB311D" w:rsidP="00CB311D">
            <w:r w:rsidRPr="00CB311D">
              <w:t>Сърдечни нарушения</w:t>
            </w:r>
          </w:p>
        </w:tc>
        <w:tc>
          <w:tcPr>
            <w:tcW w:w="2481" w:type="dxa"/>
          </w:tcPr>
          <w:p w14:paraId="330E4554" w14:textId="77777777" w:rsidR="00CB311D" w:rsidRPr="00CB311D" w:rsidRDefault="00CB311D" w:rsidP="00CB311D"/>
        </w:tc>
        <w:tc>
          <w:tcPr>
            <w:tcW w:w="2736" w:type="dxa"/>
            <w:vAlign w:val="bottom"/>
          </w:tcPr>
          <w:p w14:paraId="77D200B1" w14:textId="77777777" w:rsidR="00CB311D" w:rsidRPr="00CB311D" w:rsidRDefault="00CB311D" w:rsidP="00CB311D">
            <w:r w:rsidRPr="00CB311D">
              <w:t>Исхемия</w:t>
            </w:r>
          </w:p>
          <w:p w14:paraId="45866F4C" w14:textId="4E718AB3" w:rsidR="00CB311D" w:rsidRPr="00CB311D" w:rsidRDefault="00CB311D" w:rsidP="00CB311D">
            <w:r w:rsidRPr="00CB311D">
              <w:t xml:space="preserve">Миокарден инфаркт Ангина </w:t>
            </w:r>
            <w:proofErr w:type="spellStart"/>
            <w:r w:rsidRPr="00CB311D">
              <w:t>пекторис</w:t>
            </w:r>
            <w:proofErr w:type="spellEnd"/>
            <w:r w:rsidRPr="00CB311D">
              <w:t xml:space="preserve"> Брадикардия Тахикардия </w:t>
            </w:r>
            <w:proofErr w:type="spellStart"/>
            <w:r w:rsidRPr="00CB311D">
              <w:t>Екстрасистолия</w:t>
            </w:r>
            <w:proofErr w:type="spellEnd"/>
            <w:r w:rsidRPr="00CB311D">
              <w:t xml:space="preserve"> Сърцебиене</w:t>
            </w:r>
          </w:p>
        </w:tc>
        <w:tc>
          <w:tcPr>
            <w:tcW w:w="2736" w:type="dxa"/>
          </w:tcPr>
          <w:p w14:paraId="74E2CD5D" w14:textId="77777777" w:rsidR="00CB311D" w:rsidRPr="00CB311D" w:rsidRDefault="00CB311D" w:rsidP="00CB311D">
            <w:r w:rsidRPr="00CB311D">
              <w:t>Аритмия</w:t>
            </w:r>
          </w:p>
          <w:p w14:paraId="516890E6" w14:textId="3BED6EE8" w:rsidR="00CB311D" w:rsidRPr="00CB311D" w:rsidRDefault="00CB311D" w:rsidP="00CB311D">
            <w:proofErr w:type="spellStart"/>
            <w:r w:rsidRPr="00CB311D">
              <w:t>Предсърдно</w:t>
            </w:r>
            <w:proofErr w:type="spellEnd"/>
            <w:r w:rsidRPr="00CB311D">
              <w:t xml:space="preserve"> мъждене</w:t>
            </w:r>
          </w:p>
        </w:tc>
      </w:tr>
      <w:tr w:rsidR="00CB311D" w14:paraId="26A21468" w14:textId="77777777" w:rsidTr="00CB311D">
        <w:tc>
          <w:tcPr>
            <w:tcW w:w="1623" w:type="dxa"/>
          </w:tcPr>
          <w:p w14:paraId="0E065984" w14:textId="1EC49984" w:rsidR="00CB311D" w:rsidRPr="00CB311D" w:rsidRDefault="00CB311D" w:rsidP="00CB311D">
            <w:r w:rsidRPr="00CB311D">
              <w:t>Съдови нарушения</w:t>
            </w:r>
          </w:p>
        </w:tc>
        <w:tc>
          <w:tcPr>
            <w:tcW w:w="2481" w:type="dxa"/>
          </w:tcPr>
          <w:p w14:paraId="24A4C711" w14:textId="7742319E" w:rsidR="00CB311D" w:rsidRPr="00CB311D" w:rsidRDefault="00CB311D" w:rsidP="00CB311D">
            <w:r w:rsidRPr="00CB311D">
              <w:t>Хипотония</w:t>
            </w:r>
          </w:p>
        </w:tc>
        <w:tc>
          <w:tcPr>
            <w:tcW w:w="2736" w:type="dxa"/>
          </w:tcPr>
          <w:p w14:paraId="60758DCC" w14:textId="41768457" w:rsidR="00CB311D" w:rsidRPr="00CB311D" w:rsidRDefault="00CB311D" w:rsidP="00CB311D">
            <w:r w:rsidRPr="00CB311D">
              <w:t>Хипертония Зачервявания Тромбофлебит</w:t>
            </w:r>
          </w:p>
        </w:tc>
        <w:tc>
          <w:tcPr>
            <w:tcW w:w="2736" w:type="dxa"/>
          </w:tcPr>
          <w:p w14:paraId="18CDB4E9" w14:textId="7ABFE6E0" w:rsidR="00CB311D" w:rsidRPr="00CB311D" w:rsidRDefault="00CB311D" w:rsidP="00CB311D">
            <w:r w:rsidRPr="00CB311D">
              <w:t>Промени в кръвното налягане</w:t>
            </w:r>
          </w:p>
        </w:tc>
      </w:tr>
      <w:tr w:rsidR="00CB311D" w14:paraId="6C7074E0" w14:textId="77777777" w:rsidTr="00CB311D">
        <w:tc>
          <w:tcPr>
            <w:tcW w:w="1623" w:type="dxa"/>
          </w:tcPr>
          <w:p w14:paraId="32F59161" w14:textId="2F092772" w:rsidR="00CB311D" w:rsidRPr="00CB311D" w:rsidRDefault="00CB311D" w:rsidP="00CB311D">
            <w:r w:rsidRPr="00CB311D">
              <w:t>Стомашно-чревни нарушения</w:t>
            </w:r>
          </w:p>
        </w:tc>
        <w:tc>
          <w:tcPr>
            <w:tcW w:w="2481" w:type="dxa"/>
          </w:tcPr>
          <w:p w14:paraId="0D3B14DD" w14:textId="77777777" w:rsidR="00CB311D" w:rsidRPr="00CB311D" w:rsidRDefault="00CB311D" w:rsidP="00CB311D">
            <w:r w:rsidRPr="00CB311D">
              <w:t>Стомашен дискомфорт</w:t>
            </w:r>
          </w:p>
          <w:p w14:paraId="2E9C0A99" w14:textId="77777777" w:rsidR="00CB311D" w:rsidRPr="00CB311D" w:rsidRDefault="00CB311D" w:rsidP="00CB311D">
            <w:r w:rsidRPr="00CB311D">
              <w:t>Сухота в устата</w:t>
            </w:r>
          </w:p>
          <w:p w14:paraId="11D7078A" w14:textId="334F5EC8" w:rsidR="00CB311D" w:rsidRPr="00CB311D" w:rsidRDefault="00CB311D" w:rsidP="00CB311D">
            <w:r w:rsidRPr="00CB311D">
              <w:t>Гадене</w:t>
            </w:r>
          </w:p>
        </w:tc>
        <w:tc>
          <w:tcPr>
            <w:tcW w:w="2736" w:type="dxa"/>
          </w:tcPr>
          <w:p w14:paraId="06F3F846" w14:textId="77777777" w:rsidR="00CB311D" w:rsidRPr="00CB311D" w:rsidRDefault="00CB311D" w:rsidP="00CB311D">
            <w:r w:rsidRPr="00CB311D">
              <w:t>Стомашна болка</w:t>
            </w:r>
          </w:p>
          <w:p w14:paraId="58885232" w14:textId="77777777" w:rsidR="00CB311D" w:rsidRPr="00CB311D" w:rsidRDefault="00CB311D" w:rsidP="00CB311D">
            <w:r w:rsidRPr="00CB311D">
              <w:t>Запек</w:t>
            </w:r>
          </w:p>
          <w:p w14:paraId="0148EFAF" w14:textId="00C62DEC" w:rsidR="00CB311D" w:rsidRPr="00CB311D" w:rsidRDefault="00CB311D" w:rsidP="00CB311D">
            <w:r w:rsidRPr="00CB311D">
              <w:t>Диария Диспепсия Повръщане</w:t>
            </w:r>
          </w:p>
        </w:tc>
        <w:tc>
          <w:tcPr>
            <w:tcW w:w="2736" w:type="dxa"/>
          </w:tcPr>
          <w:p w14:paraId="4DDC5D79" w14:textId="77777777" w:rsidR="00CB311D" w:rsidRPr="00CB311D" w:rsidRDefault="00CB311D" w:rsidP="00CB311D">
            <w:proofErr w:type="spellStart"/>
            <w:r w:rsidRPr="00CB311D">
              <w:t>Дисфагия</w:t>
            </w:r>
            <w:proofErr w:type="spellEnd"/>
          </w:p>
          <w:p w14:paraId="661FC90A" w14:textId="19FAC147" w:rsidR="00CB311D" w:rsidRPr="00CB311D" w:rsidRDefault="00CB311D" w:rsidP="00CB311D">
            <w:r w:rsidRPr="00CB311D">
              <w:t>Стоматит</w:t>
            </w:r>
          </w:p>
        </w:tc>
      </w:tr>
      <w:tr w:rsidR="00CB311D" w14:paraId="422BC3E9" w14:textId="77777777" w:rsidTr="00CB311D">
        <w:tc>
          <w:tcPr>
            <w:tcW w:w="1623" w:type="dxa"/>
          </w:tcPr>
          <w:p w14:paraId="31409E6D" w14:textId="799D26DC" w:rsidR="00CB311D" w:rsidRPr="00CB311D" w:rsidRDefault="00CB311D" w:rsidP="00CB311D">
            <w:r w:rsidRPr="00CB311D">
              <w:t>Нарушения на кожата и подкожната тъкан</w:t>
            </w:r>
          </w:p>
        </w:tc>
        <w:tc>
          <w:tcPr>
            <w:tcW w:w="2481" w:type="dxa"/>
          </w:tcPr>
          <w:p w14:paraId="170A888D" w14:textId="77777777" w:rsidR="00CB311D" w:rsidRPr="00CB311D" w:rsidRDefault="00CB311D" w:rsidP="00CB311D"/>
        </w:tc>
        <w:tc>
          <w:tcPr>
            <w:tcW w:w="2736" w:type="dxa"/>
          </w:tcPr>
          <w:p w14:paraId="0A25519B" w14:textId="1CE8B887" w:rsidR="00CB311D" w:rsidRPr="00CB311D" w:rsidRDefault="00CB311D" w:rsidP="00CB311D">
            <w:r w:rsidRPr="00CB311D">
              <w:t xml:space="preserve">Еритема </w:t>
            </w:r>
            <w:proofErr w:type="spellStart"/>
            <w:r w:rsidRPr="00CB311D">
              <w:t>Хиперхидроза</w:t>
            </w:r>
            <w:proofErr w:type="spellEnd"/>
            <w:r w:rsidRPr="00CB311D">
              <w:t xml:space="preserve"> </w:t>
            </w:r>
            <w:proofErr w:type="spellStart"/>
            <w:r w:rsidRPr="00CB311D">
              <w:t>Пруритус</w:t>
            </w:r>
            <w:proofErr w:type="spellEnd"/>
            <w:r w:rsidRPr="00CB311D">
              <w:t xml:space="preserve"> Уртикария Обрив</w:t>
            </w:r>
          </w:p>
        </w:tc>
        <w:tc>
          <w:tcPr>
            <w:tcW w:w="2736" w:type="dxa"/>
          </w:tcPr>
          <w:p w14:paraId="54B86C9E" w14:textId="26FBD2CF" w:rsidR="00CB311D" w:rsidRPr="00CB311D" w:rsidRDefault="00CB311D" w:rsidP="00CB311D">
            <w:r w:rsidRPr="00CB311D">
              <w:t>Дерматит</w:t>
            </w:r>
          </w:p>
        </w:tc>
      </w:tr>
      <w:tr w:rsidR="00CB311D" w14:paraId="7F4EDAA2" w14:textId="77777777" w:rsidTr="00CB311D">
        <w:tc>
          <w:tcPr>
            <w:tcW w:w="1623" w:type="dxa"/>
          </w:tcPr>
          <w:p w14:paraId="2407ABAC" w14:textId="25D318C8" w:rsidR="00CB311D" w:rsidRPr="00CB311D" w:rsidRDefault="00CB311D" w:rsidP="00CB311D">
            <w:r w:rsidRPr="00CB311D">
              <w:t xml:space="preserve">Общи нарушения и ефекти на </w:t>
            </w:r>
            <w:r w:rsidRPr="00CB311D">
              <w:lastRenderedPageBreak/>
              <w:t>мястото на приложение</w:t>
            </w:r>
          </w:p>
        </w:tc>
        <w:tc>
          <w:tcPr>
            <w:tcW w:w="2481" w:type="dxa"/>
          </w:tcPr>
          <w:p w14:paraId="555199C9" w14:textId="77777777" w:rsidR="00CB311D" w:rsidRPr="00CB311D" w:rsidRDefault="00CB311D" w:rsidP="00CB311D"/>
        </w:tc>
        <w:tc>
          <w:tcPr>
            <w:tcW w:w="2736" w:type="dxa"/>
          </w:tcPr>
          <w:p w14:paraId="2E6A725F" w14:textId="77777777" w:rsidR="00CB311D" w:rsidRPr="00CB311D" w:rsidRDefault="00CB311D" w:rsidP="00CB311D">
            <w:proofErr w:type="spellStart"/>
            <w:r w:rsidRPr="00CB311D">
              <w:t>Астения</w:t>
            </w:r>
            <w:proofErr w:type="spellEnd"/>
          </w:p>
          <w:p w14:paraId="44B26574" w14:textId="77777777" w:rsidR="00CB311D" w:rsidRPr="00CB311D" w:rsidRDefault="00CB311D" w:rsidP="00CB311D">
            <w:r w:rsidRPr="00CB311D">
              <w:t>Умора</w:t>
            </w:r>
          </w:p>
          <w:p w14:paraId="3685859E" w14:textId="0AEADCCC" w:rsidR="00CB311D" w:rsidRPr="00CB311D" w:rsidRDefault="00CB311D" w:rsidP="00CB311D">
            <w:r w:rsidRPr="00CB311D">
              <w:t>Чувство на горещина</w:t>
            </w:r>
          </w:p>
        </w:tc>
        <w:tc>
          <w:tcPr>
            <w:tcW w:w="2736" w:type="dxa"/>
          </w:tcPr>
          <w:p w14:paraId="3B63D0D2" w14:textId="6F2546CA" w:rsidR="00CB311D" w:rsidRPr="00CB311D" w:rsidRDefault="00CB311D" w:rsidP="00CB311D">
            <w:r w:rsidRPr="00CB311D">
              <w:t>Дискомфорт в гърдите Хипотермия</w:t>
            </w:r>
          </w:p>
        </w:tc>
      </w:tr>
      <w:tr w:rsidR="00CB311D" w14:paraId="79880750" w14:textId="77777777" w:rsidTr="00CB311D">
        <w:tc>
          <w:tcPr>
            <w:tcW w:w="1623" w:type="dxa"/>
          </w:tcPr>
          <w:p w14:paraId="0F266A99" w14:textId="04199492" w:rsidR="00CB311D" w:rsidRPr="00CB311D" w:rsidRDefault="00CB311D" w:rsidP="00CB311D">
            <w:r w:rsidRPr="00CB311D">
              <w:t>Изследвания</w:t>
            </w:r>
          </w:p>
        </w:tc>
        <w:tc>
          <w:tcPr>
            <w:tcW w:w="2481" w:type="dxa"/>
          </w:tcPr>
          <w:p w14:paraId="4FD418DE" w14:textId="646548C7" w:rsidR="00CB311D" w:rsidRPr="00CB311D" w:rsidRDefault="00CB311D" w:rsidP="00CB311D">
            <w:r w:rsidRPr="00CB311D">
              <w:t>Понижаване на кръвното налягане</w:t>
            </w:r>
          </w:p>
        </w:tc>
        <w:tc>
          <w:tcPr>
            <w:tcW w:w="2736" w:type="dxa"/>
          </w:tcPr>
          <w:p w14:paraId="1CA5ECC9" w14:textId="77777777" w:rsidR="00CB311D" w:rsidRPr="00CB311D" w:rsidRDefault="00CB311D" w:rsidP="00CB311D">
            <w:r w:rsidRPr="00CB311D">
              <w:t xml:space="preserve">Повишаване на кръвното налягане Повишаване на кръвните </w:t>
            </w:r>
            <w:proofErr w:type="spellStart"/>
            <w:r w:rsidRPr="00CB311D">
              <w:t>триглицериди</w:t>
            </w:r>
            <w:proofErr w:type="spellEnd"/>
            <w:r w:rsidRPr="00CB311D">
              <w:t xml:space="preserve"> Депресия на </w:t>
            </w:r>
            <w:r w:rsidRPr="00CB311D">
              <w:rPr>
                <w:lang w:val="en-US"/>
              </w:rPr>
              <w:t xml:space="preserve">ST- </w:t>
            </w:r>
            <w:r w:rsidRPr="00CB311D">
              <w:t>сегмента на</w:t>
            </w:r>
          </w:p>
          <w:p w14:paraId="16CAD9B6" w14:textId="2479A37A" w:rsidR="00CB311D" w:rsidRPr="00CB311D" w:rsidRDefault="00CB311D" w:rsidP="00CB311D">
            <w:r w:rsidRPr="00CB311D">
              <w:t xml:space="preserve">електрокардиограмата Понижаване/повишаване броя на </w:t>
            </w:r>
            <w:proofErr w:type="spellStart"/>
            <w:r w:rsidRPr="00CB311D">
              <w:t>еозинофилите</w:t>
            </w:r>
            <w:proofErr w:type="spellEnd"/>
            <w:r w:rsidRPr="00CB311D">
              <w:t xml:space="preserve"> Промени в чернодробните ензими</w:t>
            </w:r>
          </w:p>
        </w:tc>
        <w:tc>
          <w:tcPr>
            <w:tcW w:w="2736" w:type="dxa"/>
          </w:tcPr>
          <w:p w14:paraId="69814B98" w14:textId="77777777" w:rsidR="00CB311D" w:rsidRPr="00CB311D" w:rsidRDefault="00CB311D" w:rsidP="00CB311D">
            <w:r w:rsidRPr="00CB311D">
              <w:t>Понижаване/повишаване броя на белите кръвни клетки</w:t>
            </w:r>
          </w:p>
          <w:p w14:paraId="7F0EE584" w14:textId="203E02FA" w:rsidR="00CB311D" w:rsidRPr="00CB311D" w:rsidRDefault="00CB311D" w:rsidP="00CB311D">
            <w:r w:rsidRPr="00CB311D">
              <w:t xml:space="preserve">Понижаване броя на червените кръвни клетки Намаляване на </w:t>
            </w:r>
            <w:proofErr w:type="spellStart"/>
            <w:r w:rsidRPr="00CB311D">
              <w:t>тромбиновото</w:t>
            </w:r>
            <w:proofErr w:type="spellEnd"/>
            <w:r w:rsidRPr="00CB311D">
              <w:t xml:space="preserve"> време Повишаване на теглото</w:t>
            </w:r>
          </w:p>
        </w:tc>
      </w:tr>
    </w:tbl>
    <w:p w14:paraId="2D58DF79" w14:textId="77777777" w:rsid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5B417D" w14:textId="26C34C75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54EC4940" w14:textId="77777777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лекарсвемоя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</w:t>
      </w:r>
    </w:p>
    <w:p w14:paraId="01FD27C9" w14:textId="4581FCEC" w:rsidR="00CB311D" w:rsidRDefault="00CB311D" w:rsidP="00CB311D">
      <w:pPr>
        <w:rPr>
          <w:rFonts w:eastAsia="Times New Roman" w:cs="Arial"/>
          <w:color w:val="000000"/>
          <w:lang w:val="en-US"/>
        </w:rPr>
      </w:pPr>
      <w:r w:rsidRPr="00CB311D">
        <w:rPr>
          <w:rFonts w:eastAsia="Times New Roman" w:cs="Arial"/>
          <w:color w:val="000000"/>
          <w:lang w:eastAsia="bg-BG"/>
        </w:rPr>
        <w:t xml:space="preserve">нежелана реакция чрез Изпълнителна агенция по лекарствата ул. „Дамян Груев” № 8,1303 София, Тел.: +35 928903417, уебсайт: </w:t>
      </w:r>
      <w:hyperlink r:id="rId5" w:history="1">
        <w:r w:rsidRPr="00CB311D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  <w:r w:rsidRPr="00CB311D">
        <w:rPr>
          <w:rFonts w:eastAsia="Times New Roman" w:cs="Arial"/>
          <w:color w:val="000000"/>
          <w:lang w:val="en-US"/>
        </w:rPr>
        <w:t>.</w:t>
      </w:r>
    </w:p>
    <w:p w14:paraId="26D0CD04" w14:textId="77777777" w:rsidR="00CB311D" w:rsidRPr="00CB311D" w:rsidRDefault="00CB311D" w:rsidP="00CB311D">
      <w:pPr>
        <w:rPr>
          <w:rFonts w:cs="Arial"/>
        </w:rPr>
      </w:pPr>
    </w:p>
    <w:p w14:paraId="42DF9851" w14:textId="3355DFC8" w:rsidR="003765DC" w:rsidRDefault="002C50EE" w:rsidP="002B3C38">
      <w:pPr>
        <w:pStyle w:val="Heading2"/>
      </w:pPr>
      <w:r>
        <w:t>4.9. Предозиране</w:t>
      </w:r>
    </w:p>
    <w:p w14:paraId="4028376A" w14:textId="77777777" w:rsidR="00CB311D" w:rsidRDefault="00CB311D" w:rsidP="00CB311D"/>
    <w:p w14:paraId="0076C085" w14:textId="39CE7340" w:rsidR="00CB311D" w:rsidRPr="00CB311D" w:rsidRDefault="00CB311D" w:rsidP="00CB311D">
      <w:r>
        <w:t xml:space="preserve">По литературни данни продължителното приложение на доза от 60 </w:t>
      </w:r>
      <w:r>
        <w:rPr>
          <w:lang w:val="en-US"/>
        </w:rPr>
        <w:t xml:space="preserve">mg </w:t>
      </w:r>
      <w:proofErr w:type="spellStart"/>
      <w:r>
        <w:t>винпоцетин</w:t>
      </w:r>
      <w:proofErr w:type="spellEnd"/>
      <w:r>
        <w:t xml:space="preserve"> дневно е също безопасно. Дори след перорално приложение на еднократна доза от 360 </w:t>
      </w:r>
      <w:r>
        <w:rPr>
          <w:lang w:val="en-US"/>
        </w:rPr>
        <w:t xml:space="preserve">mg, </w:t>
      </w:r>
      <w:proofErr w:type="spellStart"/>
      <w:r>
        <w:t>винпоцетин</w:t>
      </w:r>
      <w:proofErr w:type="spellEnd"/>
      <w:r>
        <w:t xml:space="preserve"> не предизвиква никакъв клинично забележим сърдечно-съдов или някакъв друг нежелан ефект.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7635AD51" w14:textId="61E2BD31" w:rsidR="003765DC" w:rsidRDefault="002C50EE" w:rsidP="002B3C38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7765D646" w14:textId="77777777" w:rsidR="00CB311D" w:rsidRDefault="00CB311D" w:rsidP="00CB311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1CF8ED0E" w14:textId="1B49C060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color w:val="000000"/>
          <w:lang w:eastAsia="bg-BG"/>
        </w:rPr>
        <w:t>Фармакотерапевтична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група: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Психоаналептици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, Други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психостимуланти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ноотропични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средства, АТС код: </w:t>
      </w:r>
      <w:r w:rsidRPr="00CB311D">
        <w:rPr>
          <w:rFonts w:eastAsia="Times New Roman" w:cs="Arial"/>
          <w:color w:val="000000"/>
          <w:lang w:val="en-US"/>
        </w:rPr>
        <w:t xml:space="preserve">N06B </w:t>
      </w:r>
      <w:r w:rsidRPr="00CB311D">
        <w:rPr>
          <w:rFonts w:eastAsia="Times New Roman" w:cs="Arial"/>
          <w:color w:val="000000"/>
          <w:lang w:eastAsia="bg-BG"/>
        </w:rPr>
        <w:t>X18</w:t>
      </w:r>
    </w:p>
    <w:p w14:paraId="04E9E1BA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4AAE27E" w14:textId="18DA2C80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7ABFBC49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е вещество с комплексен начин на въздействие, което притежава благоприятни ефекти върху мозъчния метаболизъм и кръвоток, както и върху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реологичните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свойства на кръвта,</w:t>
      </w:r>
    </w:p>
    <w:p w14:paraId="639C16B2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8A7256C" w14:textId="1B854B0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притежава </w:t>
      </w:r>
      <w:proofErr w:type="spellStart"/>
      <w:r w:rsidRPr="00CB311D">
        <w:rPr>
          <w:rFonts w:eastAsia="Times New Roman" w:cs="Arial"/>
          <w:i/>
          <w:iCs/>
          <w:color w:val="000000"/>
          <w:lang w:eastAsia="bg-BG"/>
        </w:rPr>
        <w:t>невропротективни</w:t>
      </w:r>
      <w:proofErr w:type="spellEnd"/>
      <w:r w:rsidRPr="00CB311D">
        <w:rPr>
          <w:rFonts w:eastAsia="Times New Roman" w:cs="Arial"/>
          <w:i/>
          <w:iCs/>
          <w:color w:val="000000"/>
          <w:lang w:eastAsia="bg-BG"/>
        </w:rPr>
        <w:t xml:space="preserve"> ефекти:</w:t>
      </w:r>
      <w:r w:rsidRPr="00CB311D">
        <w:rPr>
          <w:rFonts w:eastAsia="Times New Roman" w:cs="Arial"/>
          <w:color w:val="000000"/>
          <w:lang w:eastAsia="bg-BG"/>
        </w:rPr>
        <w:t xml:space="preserve"> намалява вредните ефекти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цитотоксичните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реакции, предизвикани от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възбудните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аминокиселини. Инхибира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волтажно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зависимите </w:t>
      </w:r>
      <w:r w:rsidRPr="00CB311D">
        <w:rPr>
          <w:rFonts w:eastAsia="Times New Roman" w:cs="Arial"/>
          <w:color w:val="000000"/>
          <w:lang w:val="en-US"/>
        </w:rPr>
        <w:t>Na</w:t>
      </w:r>
      <w:r w:rsidRPr="00CB311D">
        <w:rPr>
          <w:rFonts w:eastAsia="Times New Roman" w:cs="Arial"/>
          <w:color w:val="000000"/>
          <w:vertAlign w:val="superscript"/>
          <w:lang w:val="en-US"/>
        </w:rPr>
        <w:t>+</w:t>
      </w:r>
      <w:r w:rsidRPr="00CB311D">
        <w:rPr>
          <w:rFonts w:eastAsia="Times New Roman" w:cs="Arial"/>
          <w:color w:val="000000"/>
          <w:lang w:val="en-US"/>
        </w:rPr>
        <w:t xml:space="preserve">- </w:t>
      </w:r>
      <w:r w:rsidRPr="00CB311D">
        <w:rPr>
          <w:rFonts w:eastAsia="Times New Roman" w:cs="Arial"/>
          <w:color w:val="000000"/>
          <w:lang w:eastAsia="bg-BG"/>
        </w:rPr>
        <w:t>и Са</w:t>
      </w:r>
      <w:r w:rsidRPr="00CB311D">
        <w:rPr>
          <w:rFonts w:eastAsia="Times New Roman" w:cs="Arial"/>
          <w:color w:val="000000"/>
          <w:vertAlign w:val="superscript"/>
          <w:lang w:eastAsia="bg-BG"/>
        </w:rPr>
        <w:t>2+</w:t>
      </w:r>
      <w:r w:rsidRPr="00CB311D">
        <w:rPr>
          <w:rFonts w:eastAsia="Times New Roman" w:cs="Arial"/>
          <w:color w:val="000000"/>
          <w:lang w:eastAsia="bg-BG"/>
        </w:rPr>
        <w:t xml:space="preserve">- канали, както и рецепторите на </w:t>
      </w:r>
      <w:r w:rsidRPr="00CB311D">
        <w:rPr>
          <w:rFonts w:eastAsia="Times New Roman" w:cs="Arial"/>
          <w:color w:val="000000"/>
          <w:lang w:val="en-US"/>
        </w:rPr>
        <w:t xml:space="preserve">NMDA </w:t>
      </w:r>
      <w:r w:rsidRPr="00CB311D">
        <w:rPr>
          <w:rFonts w:eastAsia="Times New Roman" w:cs="Arial"/>
          <w:color w:val="000000"/>
          <w:lang w:eastAsia="bg-BG"/>
        </w:rPr>
        <w:t xml:space="preserve">и АМРА. Увеличава </w:t>
      </w:r>
      <w:proofErr w:type="spellStart"/>
      <w:r w:rsidRPr="00CB311D">
        <w:rPr>
          <w:rFonts w:eastAsia="Times New Roman" w:cs="Arial"/>
          <w:i/>
          <w:iCs/>
          <w:color w:val="000000"/>
          <w:lang w:eastAsia="bg-BG"/>
        </w:rPr>
        <w:t>невропротективния</w:t>
      </w:r>
      <w:proofErr w:type="spellEnd"/>
      <w:r w:rsidRPr="00CB311D">
        <w:rPr>
          <w:rFonts w:eastAsia="Times New Roman" w:cs="Arial"/>
          <w:i/>
          <w:iCs/>
          <w:color w:val="000000"/>
          <w:lang w:eastAsia="bg-BG"/>
        </w:rPr>
        <w:t xml:space="preserve"> ефект на </w:t>
      </w:r>
      <w:proofErr w:type="spellStart"/>
      <w:r w:rsidRPr="00CB311D">
        <w:rPr>
          <w:rFonts w:eastAsia="Times New Roman" w:cs="Arial"/>
          <w:i/>
          <w:iCs/>
          <w:color w:val="000000"/>
          <w:lang w:eastAsia="bg-BG"/>
        </w:rPr>
        <w:t>аденозина</w:t>
      </w:r>
      <w:proofErr w:type="spellEnd"/>
      <w:r w:rsidRPr="00CB311D">
        <w:rPr>
          <w:rFonts w:eastAsia="Times New Roman" w:cs="Arial"/>
          <w:i/>
          <w:iCs/>
          <w:color w:val="000000"/>
          <w:lang w:eastAsia="bg-BG"/>
        </w:rPr>
        <w:t>.</w:t>
      </w:r>
    </w:p>
    <w:p w14:paraId="333C2E40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535F1A" w14:textId="761F8B9E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</w:t>
      </w:r>
      <w:r w:rsidRPr="00CB311D">
        <w:rPr>
          <w:rFonts w:eastAsia="Times New Roman" w:cs="Arial"/>
          <w:i/>
          <w:iCs/>
          <w:color w:val="000000"/>
          <w:lang w:eastAsia="bg-BG"/>
        </w:rPr>
        <w:t>стимулира мозъчния метаболизъм:</w:t>
      </w:r>
      <w:r w:rsidRPr="00CB311D">
        <w:rPr>
          <w:rFonts w:eastAsia="Times New Roman" w:cs="Arial"/>
          <w:color w:val="000000"/>
          <w:lang w:eastAsia="bg-BG"/>
        </w:rPr>
        <w:t xml:space="preserve"> увеличава оползотворяването и консумацията на глюкоза и Оз от мозъчната тъкан. Подобрява поносимостта на мозъка </w:t>
      </w:r>
      <w:r w:rsidRPr="00CB311D">
        <w:rPr>
          <w:rFonts w:eastAsia="Times New Roman" w:cs="Arial"/>
          <w:color w:val="000000"/>
          <w:lang w:eastAsia="bg-BG"/>
        </w:rPr>
        <w:lastRenderedPageBreak/>
        <w:t>към хипоксия; повишава транспорта на глюкоза - единствения източник на енергия за мозъка - през кръвно-мозъчната бариера; променя глюкозния метаболизъм към енергетично по-изгодния аеробен път; селективно инхибира ензима Са</w:t>
      </w:r>
      <w:r w:rsidRPr="00CB311D">
        <w:rPr>
          <w:rFonts w:eastAsia="Times New Roman" w:cs="Arial"/>
          <w:color w:val="000000"/>
          <w:vertAlign w:val="superscript"/>
          <w:lang w:eastAsia="bg-BG"/>
        </w:rPr>
        <w:t>2+</w:t>
      </w:r>
      <w:r w:rsidRPr="00CB311D">
        <w:rPr>
          <w:rFonts w:eastAsia="Times New Roman" w:cs="Arial"/>
          <w:color w:val="000000"/>
          <w:lang w:eastAsia="bg-BG"/>
        </w:rPr>
        <w:t>-</w:t>
      </w:r>
      <w:proofErr w:type="spellStart"/>
      <w:r w:rsidRPr="00CB311D">
        <w:rPr>
          <w:rFonts w:eastAsia="Times New Roman" w:cs="Arial"/>
          <w:color w:val="000000"/>
          <w:lang w:eastAsia="bg-BG"/>
        </w:rPr>
        <w:t>калмодулин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зависима </w:t>
      </w:r>
      <w:r w:rsidRPr="00CB311D">
        <w:rPr>
          <w:rFonts w:eastAsia="Times New Roman" w:cs="Arial"/>
          <w:color w:val="000000"/>
          <w:lang w:val="en-US"/>
        </w:rPr>
        <w:t xml:space="preserve">cGMP-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фосфодиестераза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</w:t>
      </w:r>
      <w:r w:rsidRPr="00CB311D">
        <w:rPr>
          <w:rFonts w:eastAsia="Times New Roman" w:cs="Arial"/>
          <w:color w:val="000000"/>
          <w:lang w:val="en-US"/>
        </w:rPr>
        <w:t xml:space="preserve">(PDE); </w:t>
      </w:r>
      <w:r w:rsidRPr="00CB311D">
        <w:rPr>
          <w:rFonts w:eastAsia="Times New Roman" w:cs="Arial"/>
          <w:color w:val="000000"/>
          <w:lang w:eastAsia="bg-BG"/>
        </w:rPr>
        <w:t xml:space="preserve">повишава нивата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сАМР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и </w:t>
      </w:r>
      <w:r w:rsidRPr="00CB311D">
        <w:rPr>
          <w:rFonts w:eastAsia="Times New Roman" w:cs="Arial"/>
          <w:color w:val="000000"/>
          <w:lang w:val="en-US"/>
        </w:rPr>
        <w:t xml:space="preserve">cGMP </w:t>
      </w:r>
      <w:r w:rsidRPr="00CB311D">
        <w:rPr>
          <w:rFonts w:eastAsia="Times New Roman" w:cs="Arial"/>
          <w:color w:val="000000"/>
          <w:lang w:eastAsia="bg-BG"/>
        </w:rPr>
        <w:t>в мозъка.</w:t>
      </w:r>
    </w:p>
    <w:p w14:paraId="3FF73D41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C742B22" w14:textId="26C71ED9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 xml:space="preserve">Повишава концентрацията на АТР и съотношението АТР/АМР; увеличава мозъчния </w:t>
      </w:r>
      <w:r w:rsidRPr="00CB311D">
        <w:rPr>
          <w:rFonts w:eastAsia="Times New Roman" w:cs="Arial"/>
          <w:color w:val="000000"/>
          <w:lang w:val="en-US"/>
        </w:rPr>
        <w:t xml:space="preserve">turnover </w:t>
      </w:r>
      <w:r w:rsidRPr="00CB311D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норадреналин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серотонин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; стимулира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асцендентната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норадренергична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система; има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антиоксидантно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действие; в резултат на всички тези ефекти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притежава мозъчно-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протективно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действие.</w:t>
      </w:r>
    </w:p>
    <w:p w14:paraId="51214997" w14:textId="77777777" w:rsidR="00CB311D" w:rsidRPr="00CB311D" w:rsidRDefault="00CB311D" w:rsidP="00CB311D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FA78426" w14:textId="26E8EEE3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i/>
          <w:iCs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i/>
          <w:iCs/>
          <w:color w:val="000000"/>
          <w:lang w:eastAsia="bg-BG"/>
        </w:rPr>
        <w:t xml:space="preserve"> подобрява мозъчната микроциркулация:</w:t>
      </w:r>
      <w:r w:rsidRPr="00CB311D">
        <w:rPr>
          <w:rFonts w:eastAsia="Times New Roman" w:cs="Arial"/>
          <w:color w:val="000000"/>
          <w:lang w:eastAsia="bg-BG"/>
        </w:rPr>
        <w:t xml:space="preserve"> той инхибира агрегацията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тромбоцитите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, намалява патологично увеличения вискозитет на кръвта; увеличава пластичността на еритроцитите и потиска захващането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аденозина</w:t>
      </w:r>
      <w:proofErr w:type="spellEnd"/>
      <w:r w:rsidRPr="00CB311D">
        <w:rPr>
          <w:rFonts w:eastAsia="Times New Roman" w:cs="Arial"/>
          <w:color w:val="000000"/>
          <w:lang w:eastAsia="bg-BG"/>
        </w:rPr>
        <w:t>; подпомага кислородния транспорт към тъканите чрез намаляване кислородния афинитет на еритроцитите.</w:t>
      </w:r>
    </w:p>
    <w:p w14:paraId="0FC580C0" w14:textId="77777777" w:rsidR="00CB311D" w:rsidRPr="00CB311D" w:rsidRDefault="00CB311D" w:rsidP="00CB311D">
      <w:pPr>
        <w:rPr>
          <w:rFonts w:eastAsia="Times New Roman" w:cs="Arial"/>
          <w:i/>
          <w:iCs/>
          <w:color w:val="000000"/>
          <w:lang w:eastAsia="bg-BG"/>
        </w:rPr>
      </w:pPr>
    </w:p>
    <w:p w14:paraId="5280D8EA" w14:textId="1D07C978" w:rsidR="00CB311D" w:rsidRDefault="00CB311D" w:rsidP="00CB311D">
      <w:pPr>
        <w:rPr>
          <w:rFonts w:eastAsia="Times New Roman" w:cs="Arial"/>
          <w:color w:val="000000"/>
          <w:lang w:eastAsia="bg-BG"/>
        </w:rPr>
      </w:pPr>
      <w:proofErr w:type="spellStart"/>
      <w:r w:rsidRPr="00CB311D">
        <w:rPr>
          <w:rFonts w:eastAsia="Times New Roman" w:cs="Arial"/>
          <w:i/>
          <w:iCs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i/>
          <w:iCs/>
          <w:color w:val="000000"/>
          <w:lang w:eastAsia="bg-BG"/>
        </w:rPr>
        <w:t xml:space="preserve"> избирателно усилва мозъчния кръвоток:</w:t>
      </w:r>
      <w:r w:rsidRPr="00CB311D">
        <w:rPr>
          <w:rFonts w:eastAsia="Times New Roman" w:cs="Arial"/>
          <w:color w:val="000000"/>
          <w:lang w:eastAsia="bg-BG"/>
        </w:rPr>
        <w:t xml:space="preserve"> увеличава мозъчната фракция на сърдечния минутен обем; намалява мозъчното съдово съпротивление, без да повлиява параметрите на системното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кръвообръщение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(кръвно налягане, сърдечен минутен обем, сърдечна честота, общо периферно съпротивление); не провокира ефект на “открадване”. Нещо повече, в хода на приложението му, подобрява кръвоснабдяването в увредените (но все още без некроза) исхемични зони с ниска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перфузия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(ефект, противоположен на ефекта на “открадване”).</w:t>
      </w:r>
    </w:p>
    <w:p w14:paraId="4EC8B7AA" w14:textId="77777777" w:rsidR="00CB311D" w:rsidRPr="00CB311D" w:rsidRDefault="00CB311D" w:rsidP="00CB311D">
      <w:pPr>
        <w:rPr>
          <w:rFonts w:cs="Arial"/>
          <w:sz w:val="24"/>
          <w:szCs w:val="24"/>
        </w:rPr>
      </w:pPr>
    </w:p>
    <w:p w14:paraId="4D7DA0E3" w14:textId="053AE202" w:rsidR="004D4D6B" w:rsidRDefault="002C50EE" w:rsidP="002B3C38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65A0BD74" w14:textId="77777777" w:rsidR="00CB311D" w:rsidRDefault="00CB311D" w:rsidP="00CB311D">
      <w:pPr>
        <w:rPr>
          <w:sz w:val="20"/>
          <w:szCs w:val="20"/>
          <w:u w:val="single"/>
        </w:rPr>
      </w:pPr>
    </w:p>
    <w:p w14:paraId="3EFD13C2" w14:textId="39DCC5E5" w:rsidR="00CB311D" w:rsidRPr="00CB311D" w:rsidRDefault="00CB311D" w:rsidP="00CB311D">
      <w:pPr>
        <w:pStyle w:val="Heading3"/>
        <w:rPr>
          <w:u w:val="single"/>
        </w:rPr>
      </w:pPr>
      <w:r w:rsidRPr="00CB311D">
        <w:rPr>
          <w:u w:val="single"/>
        </w:rPr>
        <w:t>Абсорбция</w:t>
      </w:r>
    </w:p>
    <w:p w14:paraId="519514D0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се абсорбира бързо; пикова плазмена концентрация може да се наблюдава 1 час след перорално приложение. Абсорбцията основно се осъществява в проксималната част на стомашно- чревния тракт. Веществото не се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при преминаване през чревната стена.</w:t>
      </w:r>
    </w:p>
    <w:p w14:paraId="130B76E4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4C49C6" w14:textId="1D9FB5BB" w:rsidR="00CB311D" w:rsidRPr="00CB311D" w:rsidRDefault="00CB311D" w:rsidP="00CB311D">
      <w:pPr>
        <w:pStyle w:val="Heading3"/>
        <w:rPr>
          <w:rFonts w:eastAsia="Times New Roman"/>
          <w:sz w:val="28"/>
          <w:szCs w:val="28"/>
          <w:u w:val="single"/>
        </w:rPr>
      </w:pPr>
      <w:r w:rsidRPr="00CB311D">
        <w:rPr>
          <w:rFonts w:eastAsia="Times New Roman"/>
          <w:u w:val="single"/>
          <w:lang w:eastAsia="bg-BG"/>
        </w:rPr>
        <w:t>Разпределение</w:t>
      </w:r>
    </w:p>
    <w:p w14:paraId="0CB72572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 xml:space="preserve">В проучвания с перорален прием, проведени при плъхове с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радиомаркиран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, най-висока радиоактивност може да се установи в черния дроб и стомашно-чревния тракт. Максимални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тьканни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концентрации могат да се измерят 2-4 часа след приложението. Радиоактивната концентрация, измерена в мозъка, не надвишава концентрацията, измерена в кръвта.</w:t>
      </w:r>
    </w:p>
    <w:p w14:paraId="69244B32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 xml:space="preserve">При хора: свързването с плазмените протеини е 66%. Абсолютната бионаличност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след перорален прием е 7%. Обемът на разпределение е 246,7+88,5 </w:t>
      </w:r>
      <w:r w:rsidRPr="00CB311D">
        <w:rPr>
          <w:rFonts w:eastAsia="Times New Roman" w:cs="Arial"/>
          <w:color w:val="000000"/>
          <w:lang w:val="en-US"/>
        </w:rPr>
        <w:t xml:space="preserve">L, </w:t>
      </w:r>
      <w:r w:rsidRPr="00CB311D">
        <w:rPr>
          <w:rFonts w:eastAsia="Times New Roman" w:cs="Arial"/>
          <w:color w:val="000000"/>
          <w:lang w:eastAsia="bg-BG"/>
        </w:rPr>
        <w:t xml:space="preserve">което указва значимо тъкан но свързване.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Клирънсът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(66,7 </w:t>
      </w:r>
      <w:r w:rsidRPr="00CB311D">
        <w:rPr>
          <w:rFonts w:eastAsia="Times New Roman" w:cs="Arial"/>
          <w:color w:val="000000"/>
          <w:lang w:val="en-US"/>
        </w:rPr>
        <w:t xml:space="preserve">L/h) </w:t>
      </w:r>
      <w:r w:rsidRPr="00CB311D">
        <w:rPr>
          <w:rFonts w:eastAsia="Times New Roman" w:cs="Arial"/>
          <w:color w:val="000000"/>
          <w:lang w:eastAsia="bg-BG"/>
        </w:rPr>
        <w:t xml:space="preserve">надвишава плазмения клирънс на черния дроб (50 </w:t>
      </w:r>
      <w:r w:rsidRPr="00CB311D">
        <w:rPr>
          <w:rFonts w:eastAsia="Times New Roman" w:cs="Arial"/>
          <w:color w:val="000000"/>
          <w:lang w:val="en-US"/>
        </w:rPr>
        <w:t xml:space="preserve">L/h). </w:t>
      </w:r>
      <w:r w:rsidRPr="00CB311D">
        <w:rPr>
          <w:rFonts w:eastAsia="Times New Roman" w:cs="Arial"/>
          <w:color w:val="000000"/>
          <w:lang w:eastAsia="bg-BG"/>
        </w:rPr>
        <w:t>което указва извънчернодробен метаболизъм.</w:t>
      </w:r>
    </w:p>
    <w:p w14:paraId="1E0AC120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065B3A1" w14:textId="1ED2F4EC" w:rsidR="00CB311D" w:rsidRPr="00CB311D" w:rsidRDefault="00CB311D" w:rsidP="00CB311D">
      <w:pPr>
        <w:pStyle w:val="Heading3"/>
        <w:rPr>
          <w:rFonts w:eastAsia="Times New Roman"/>
          <w:sz w:val="28"/>
          <w:szCs w:val="28"/>
          <w:u w:val="single"/>
        </w:rPr>
      </w:pPr>
      <w:r w:rsidRPr="00CB311D">
        <w:rPr>
          <w:rFonts w:eastAsia="Times New Roman"/>
          <w:u w:val="single"/>
          <w:lang w:eastAsia="bg-BG"/>
        </w:rPr>
        <w:t>Биотрансформация</w:t>
      </w:r>
    </w:p>
    <w:p w14:paraId="48A8E1A2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 xml:space="preserve">Главният метаболит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е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аповинкаминова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киселина </w:t>
      </w:r>
      <w:r w:rsidRPr="00CB311D">
        <w:rPr>
          <w:rFonts w:eastAsia="Times New Roman" w:cs="Arial"/>
          <w:color w:val="000000"/>
          <w:lang w:val="en-US"/>
        </w:rPr>
        <w:t xml:space="preserve">(AVA), </w:t>
      </w:r>
      <w:r w:rsidRPr="00CB311D">
        <w:rPr>
          <w:rFonts w:eastAsia="Times New Roman" w:cs="Arial"/>
          <w:color w:val="000000"/>
          <w:lang w:eastAsia="bg-BG"/>
        </w:rPr>
        <w:t xml:space="preserve">която при хора се образува в 25-30%. След перорално приложение площта под кривата на </w:t>
      </w:r>
      <w:r w:rsidRPr="00CB311D">
        <w:rPr>
          <w:rFonts w:eastAsia="Times New Roman" w:cs="Arial"/>
          <w:color w:val="000000"/>
          <w:lang w:val="en-US"/>
        </w:rPr>
        <w:t xml:space="preserve">AVA </w:t>
      </w:r>
      <w:r w:rsidRPr="00CB311D">
        <w:rPr>
          <w:rFonts w:eastAsia="Times New Roman" w:cs="Arial"/>
          <w:color w:val="000000"/>
          <w:lang w:eastAsia="bg-BG"/>
        </w:rPr>
        <w:t xml:space="preserve">е два пъти по-голяма в сравнение с IV приложение, което показва, че </w:t>
      </w:r>
      <w:r w:rsidRPr="00CB311D">
        <w:rPr>
          <w:rFonts w:eastAsia="Times New Roman" w:cs="Arial"/>
          <w:color w:val="000000"/>
          <w:lang w:val="en-US"/>
        </w:rPr>
        <w:t xml:space="preserve">AVA </w:t>
      </w:r>
      <w:r w:rsidRPr="00CB311D">
        <w:rPr>
          <w:rFonts w:eastAsia="Times New Roman" w:cs="Arial"/>
          <w:color w:val="000000"/>
          <w:lang w:eastAsia="bg-BG"/>
        </w:rPr>
        <w:t xml:space="preserve">се образува по време на </w:t>
      </w:r>
      <w:r w:rsidRPr="00CB311D">
        <w:rPr>
          <w:rFonts w:eastAsia="Times New Roman" w:cs="Arial"/>
          <w:color w:val="000000"/>
          <w:lang w:val="en-US"/>
        </w:rPr>
        <w:t xml:space="preserve">first-pass </w:t>
      </w:r>
      <w:r w:rsidRPr="00CB311D">
        <w:rPr>
          <w:rFonts w:eastAsia="Times New Roman" w:cs="Arial"/>
          <w:color w:val="000000"/>
          <w:lang w:eastAsia="bg-BG"/>
        </w:rPr>
        <w:t xml:space="preserve">метаболизма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. Другите установени метаболити са </w:t>
      </w:r>
      <w:proofErr w:type="spellStart"/>
      <w:r w:rsidRPr="00CB311D">
        <w:rPr>
          <w:rFonts w:eastAsia="Times New Roman" w:cs="Arial"/>
          <w:color w:val="000000"/>
          <w:lang w:eastAsia="bg-BG"/>
        </w:rPr>
        <w:lastRenderedPageBreak/>
        <w:t>хидроксивинпоцетин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хидрокси</w:t>
      </w:r>
      <w:proofErr w:type="spellEnd"/>
      <w:r w:rsidRPr="00CB311D">
        <w:rPr>
          <w:rFonts w:eastAsia="Times New Roman" w:cs="Arial"/>
          <w:color w:val="000000"/>
          <w:lang w:val="en-US"/>
        </w:rPr>
        <w:t xml:space="preserve">-AVA,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дихидрокси</w:t>
      </w:r>
      <w:proofErr w:type="spellEnd"/>
      <w:r w:rsidRPr="00CB311D">
        <w:rPr>
          <w:rFonts w:eastAsia="Times New Roman" w:cs="Arial"/>
          <w:color w:val="000000"/>
          <w:lang w:eastAsia="bg-BG"/>
        </w:rPr>
        <w:t>-</w:t>
      </w:r>
      <w:r w:rsidRPr="00CB311D">
        <w:rPr>
          <w:rFonts w:eastAsia="Times New Roman" w:cs="Arial"/>
          <w:color w:val="000000"/>
          <w:lang w:val="en-US"/>
        </w:rPr>
        <w:t>AVA</w:t>
      </w:r>
      <w:r w:rsidRPr="00CB311D">
        <w:rPr>
          <w:rFonts w:eastAsia="Times New Roman" w:cs="Arial"/>
          <w:color w:val="000000"/>
          <w:lang w:eastAsia="bg-BG"/>
        </w:rPr>
        <w:t>-</w:t>
      </w:r>
      <w:proofErr w:type="spellStart"/>
      <w:r w:rsidRPr="00CB311D">
        <w:rPr>
          <w:rFonts w:eastAsia="Times New Roman" w:cs="Arial"/>
          <w:color w:val="000000"/>
          <w:lang w:eastAsia="bg-BG"/>
        </w:rPr>
        <w:t>глицинат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и техни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конюгати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глюкурониди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и/или сулфати. При всеки от изследваните животински видове количеството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екскретирания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в непроменена форма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представлява много малък процент от приложената доза. Важно и благоприятно свойство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е, че не е необходимо коригиране на дозата при заболявания на черния дроб и бъбреците, тъй като поради особеностите на метаболизма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не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кумулира</w:t>
      </w:r>
      <w:proofErr w:type="spellEnd"/>
      <w:r w:rsidRPr="00CB311D">
        <w:rPr>
          <w:rFonts w:eastAsia="Times New Roman" w:cs="Arial"/>
          <w:color w:val="000000"/>
          <w:lang w:eastAsia="bg-BG"/>
        </w:rPr>
        <w:t>.</w:t>
      </w:r>
    </w:p>
    <w:p w14:paraId="3A746852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E4DBE5" w14:textId="6D38E349" w:rsidR="00CB311D" w:rsidRPr="00CB311D" w:rsidRDefault="00CB311D" w:rsidP="00CB311D">
      <w:pPr>
        <w:pStyle w:val="Heading3"/>
        <w:rPr>
          <w:rFonts w:eastAsia="Times New Roman"/>
          <w:sz w:val="28"/>
          <w:szCs w:val="28"/>
          <w:u w:val="single"/>
        </w:rPr>
      </w:pPr>
      <w:r w:rsidRPr="00CB311D">
        <w:rPr>
          <w:rFonts w:eastAsia="Times New Roman"/>
          <w:u w:val="single"/>
          <w:lang w:eastAsia="bg-BG"/>
        </w:rPr>
        <w:t>Елиминиране</w:t>
      </w:r>
    </w:p>
    <w:p w14:paraId="13D4A414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proofErr w:type="spellStart"/>
      <w:r w:rsidRPr="00CB311D">
        <w:rPr>
          <w:rFonts w:eastAsia="Times New Roman" w:cs="Arial"/>
          <w:i/>
          <w:iCs/>
          <w:color w:val="000000"/>
          <w:lang w:eastAsia="bg-BG"/>
        </w:rPr>
        <w:t>Елгшинационният</w:t>
      </w:r>
      <w:proofErr w:type="spellEnd"/>
      <w:r w:rsidRPr="00CB311D">
        <w:rPr>
          <w:rFonts w:eastAsia="Times New Roman" w:cs="Arial"/>
          <w:i/>
          <w:iCs/>
          <w:color w:val="000000"/>
          <w:lang w:eastAsia="bg-BG"/>
        </w:rPr>
        <w:t xml:space="preserve"> полуживот</w:t>
      </w:r>
      <w:r w:rsidRPr="00CB311D">
        <w:rPr>
          <w:rFonts w:eastAsia="Times New Roman" w:cs="Arial"/>
          <w:color w:val="000000"/>
          <w:lang w:eastAsia="bg-BG"/>
        </w:rPr>
        <w:t xml:space="preserve"> при хора е 4,83+1,29 часа. В проучвания, проведени с радиоактивна съставка, е установено, че основният път на елиминиране е през урината 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фецеса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в съотношение 60- 40%. Установено е, че най-гол ямата част от радиоактивността при плъхове и кучета има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билиарен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произход, но значим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ентерохепатален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кръговрат не е потвърден.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Аповинкаминовата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киселина се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през бъбреците посредством проста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гломерулна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филтрация, елиминационният й полуживот варира в зависимост от дозата и начина на приложение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>.</w:t>
      </w:r>
    </w:p>
    <w:p w14:paraId="263F80B2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A75C78" w14:textId="02DAFD99" w:rsidR="00CB311D" w:rsidRPr="00CB311D" w:rsidRDefault="00CB311D" w:rsidP="00CB311D">
      <w:pPr>
        <w:pStyle w:val="Heading3"/>
        <w:rPr>
          <w:rFonts w:eastAsia="Times New Roman"/>
          <w:sz w:val="28"/>
          <w:szCs w:val="28"/>
          <w:u w:val="single"/>
        </w:rPr>
      </w:pPr>
      <w:r w:rsidRPr="00CB311D">
        <w:rPr>
          <w:rFonts w:eastAsia="Times New Roman"/>
          <w:u w:val="single"/>
          <w:lang w:eastAsia="bg-BG"/>
        </w:rPr>
        <w:t>Линейност/нелинейност</w:t>
      </w:r>
    </w:p>
    <w:p w14:paraId="32935331" w14:textId="77777777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lang w:eastAsia="bg-BG"/>
        </w:rPr>
        <w:t xml:space="preserve">При повтарящо се перорално приложение на доза от 5 </w:t>
      </w:r>
      <w:r w:rsidRPr="00CB311D">
        <w:rPr>
          <w:rFonts w:eastAsia="Times New Roman" w:cs="Arial"/>
          <w:color w:val="000000"/>
          <w:lang w:val="en-US"/>
        </w:rPr>
        <w:t xml:space="preserve">mg </w:t>
      </w:r>
      <w:r w:rsidRPr="00CB311D">
        <w:rPr>
          <w:rFonts w:eastAsia="Times New Roman" w:cs="Arial"/>
          <w:color w:val="000000"/>
          <w:lang w:eastAsia="bg-BG"/>
        </w:rPr>
        <w:t xml:space="preserve">и 10 </w:t>
      </w:r>
      <w:r w:rsidRPr="00CB311D">
        <w:rPr>
          <w:rFonts w:eastAsia="Times New Roman" w:cs="Arial"/>
          <w:color w:val="000000"/>
          <w:lang w:val="en-US"/>
        </w:rPr>
        <w:t xml:space="preserve">mg,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показва </w:t>
      </w:r>
      <w:r w:rsidRPr="00CB311D">
        <w:rPr>
          <w:rFonts w:eastAsia="Times New Roman" w:cs="Arial"/>
          <w:i/>
          <w:iCs/>
          <w:color w:val="000000"/>
          <w:lang w:eastAsia="bg-BG"/>
        </w:rPr>
        <w:t>линейна кинетика;</w:t>
      </w:r>
      <w:r w:rsidRPr="00CB311D">
        <w:rPr>
          <w:rFonts w:eastAsia="Times New Roman" w:cs="Arial"/>
          <w:color w:val="000000"/>
          <w:lang w:eastAsia="bg-BG"/>
        </w:rPr>
        <w:t xml:space="preserve"> равновесните плазмени концентрации са 1,2+0,27 </w:t>
      </w:r>
      <w:r w:rsidRPr="00CB311D">
        <w:rPr>
          <w:rFonts w:eastAsia="Times New Roman" w:cs="Arial"/>
          <w:color w:val="000000"/>
          <w:lang w:val="en-US"/>
        </w:rPr>
        <w:t xml:space="preserve">ng/mL </w:t>
      </w:r>
      <w:r w:rsidRPr="00CB311D">
        <w:rPr>
          <w:rFonts w:eastAsia="Times New Roman" w:cs="Arial"/>
          <w:color w:val="000000"/>
          <w:lang w:eastAsia="bg-BG"/>
        </w:rPr>
        <w:t xml:space="preserve">и съответно 2,1+0,33 </w:t>
      </w:r>
      <w:r w:rsidRPr="00CB311D">
        <w:rPr>
          <w:rFonts w:eastAsia="Times New Roman" w:cs="Arial"/>
          <w:color w:val="000000"/>
          <w:lang w:val="en-US"/>
        </w:rPr>
        <w:t>ng/</w:t>
      </w:r>
      <w:proofErr w:type="spellStart"/>
      <w:r w:rsidRPr="00CB311D">
        <w:rPr>
          <w:rFonts w:eastAsia="Times New Roman" w:cs="Arial"/>
          <w:color w:val="000000"/>
          <w:lang w:val="en-US"/>
        </w:rPr>
        <w:t>mL.</w:t>
      </w:r>
      <w:proofErr w:type="spellEnd"/>
    </w:p>
    <w:p w14:paraId="1A27C5C6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8EB5258" w14:textId="0E4F7AD4" w:rsidR="00CB311D" w:rsidRPr="00CB311D" w:rsidRDefault="00CB311D" w:rsidP="00CB311D">
      <w:pPr>
        <w:spacing w:line="240" w:lineRule="auto"/>
        <w:rPr>
          <w:rFonts w:eastAsia="Times New Roman" w:cs="Arial"/>
          <w:sz w:val="28"/>
          <w:szCs w:val="28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 xml:space="preserve">Изменение на </w:t>
      </w:r>
      <w:proofErr w:type="spellStart"/>
      <w:r w:rsidRPr="00CB311D">
        <w:rPr>
          <w:rFonts w:eastAsia="Times New Roman" w:cs="Arial"/>
          <w:color w:val="000000"/>
          <w:u w:val="single"/>
          <w:lang w:eastAsia="bg-BG"/>
        </w:rPr>
        <w:t>фармакокинетичните</w:t>
      </w:r>
      <w:proofErr w:type="spellEnd"/>
      <w:r w:rsidRPr="00CB311D">
        <w:rPr>
          <w:rFonts w:eastAsia="Times New Roman" w:cs="Arial"/>
          <w:color w:val="000000"/>
          <w:u w:val="single"/>
          <w:lang w:eastAsia="bg-BG"/>
        </w:rPr>
        <w:t xml:space="preserve"> свойства при специални обстоятелства (напр. възраст, съпътстващи заболявания):</w:t>
      </w:r>
    </w:p>
    <w:p w14:paraId="3C249DF4" w14:textId="3249BF94" w:rsidR="00CB311D" w:rsidRDefault="00CB311D" w:rsidP="00CB311D">
      <w:pPr>
        <w:rPr>
          <w:rFonts w:eastAsia="Times New Roman" w:cs="Arial"/>
          <w:color w:val="000000"/>
          <w:lang w:eastAsia="bg-BG"/>
        </w:rPr>
      </w:pPr>
      <w:r w:rsidRPr="00CB311D">
        <w:rPr>
          <w:rFonts w:eastAsia="Times New Roman" w:cs="Arial"/>
          <w:color w:val="000000"/>
          <w:lang w:eastAsia="bg-BG"/>
        </w:rPr>
        <w:t xml:space="preserve">Тъй като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е показан за лечение на пациенти предимно в напреднала възраст, при които измененията в кинетиката на лекарствата - намалена абсорбция, различно разпределение и метаболизъм, намалена екскреция - са добре познати, е важно да се проведат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проучвания в тази възрастова група, особено по отношение на дългосрочно приложение. Резултатите показват, че кинетиката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при пациентите в напреднала възраст не се различава значимо от кинетиката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при млади пациенти, нещо повече, няма акумулиране. В случаите на нарушения на чернодробната и бъбречната функция може да бъде прилагана обичайната доза, тъй като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не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кумулира</w:t>
      </w:r>
      <w:proofErr w:type="spellEnd"/>
      <w:r w:rsidRPr="00CB311D">
        <w:rPr>
          <w:rFonts w:eastAsia="Times New Roman" w:cs="Arial"/>
          <w:color w:val="000000"/>
          <w:lang w:eastAsia="bg-BG"/>
        </w:rPr>
        <w:t>, дори и при тези пациенти, което позволява дългосрочно лечение.</w:t>
      </w:r>
    </w:p>
    <w:p w14:paraId="524771B9" w14:textId="77777777" w:rsidR="00CB311D" w:rsidRPr="00CB311D" w:rsidRDefault="00CB311D" w:rsidP="00CB311D">
      <w:pPr>
        <w:rPr>
          <w:rFonts w:cs="Arial"/>
          <w:sz w:val="24"/>
          <w:szCs w:val="24"/>
        </w:rPr>
      </w:pPr>
    </w:p>
    <w:p w14:paraId="1BDBE06B" w14:textId="19E2A1B2" w:rsidR="004D4D6B" w:rsidRDefault="002C50EE" w:rsidP="002B3C38">
      <w:pPr>
        <w:pStyle w:val="Heading2"/>
      </w:pPr>
      <w:r>
        <w:t>5.3. Предклинични данни за безопасност</w:t>
      </w:r>
    </w:p>
    <w:p w14:paraId="58A26EB9" w14:textId="77777777" w:rsidR="00CB311D" w:rsidRDefault="00CB311D" w:rsidP="00CB311D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</w:pPr>
    </w:p>
    <w:p w14:paraId="356F7711" w14:textId="5C2A2A37" w:rsidR="00CB311D" w:rsidRPr="00CB311D" w:rsidRDefault="00CB311D" w:rsidP="00CB311D">
      <w:pPr>
        <w:pStyle w:val="Heading3"/>
        <w:rPr>
          <w:rFonts w:eastAsia="Times New Roman"/>
          <w:u w:val="single"/>
        </w:rPr>
      </w:pPr>
      <w:r w:rsidRPr="00CB311D">
        <w:rPr>
          <w:rFonts w:eastAsia="Times New Roman"/>
          <w:u w:val="single"/>
          <w:lang w:eastAsia="bg-BG"/>
        </w:rPr>
        <w:t>Токсикология</w:t>
      </w:r>
    </w:p>
    <w:p w14:paraId="2F61F614" w14:textId="77777777" w:rsidR="00CB311D" w:rsidRPr="00CB311D" w:rsidRDefault="00CB311D" w:rsidP="00CB311D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0379CBF" w14:textId="601F6491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i/>
          <w:iCs/>
          <w:color w:val="000000"/>
          <w:u w:val="single"/>
          <w:lang w:eastAsia="bg-BG"/>
        </w:rPr>
        <w:t>Остра токсичност</w:t>
      </w:r>
    </w:p>
    <w:p w14:paraId="40850F7F" w14:textId="77777777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lang w:eastAsia="bg-BG"/>
        </w:rPr>
        <w:t xml:space="preserve">Проучвания за остра токсичност са проведени при мишки, плъхове и кучета. При кучета не може да се достигне перорална </w:t>
      </w:r>
      <w:r w:rsidRPr="00CB311D">
        <w:rPr>
          <w:rFonts w:eastAsia="Times New Roman" w:cs="Arial"/>
          <w:color w:val="000000"/>
          <w:lang w:val="en-US"/>
        </w:rPr>
        <w:t>LD</w:t>
      </w:r>
      <w:r w:rsidRPr="00CB311D">
        <w:rPr>
          <w:rFonts w:eastAsia="Times New Roman" w:cs="Arial"/>
          <w:color w:val="000000"/>
          <w:vertAlign w:val="subscript"/>
          <w:lang w:val="en-US"/>
        </w:rPr>
        <w:t>50</w:t>
      </w:r>
      <w:r w:rsidRPr="00CB311D">
        <w:rPr>
          <w:rFonts w:eastAsia="Times New Roman" w:cs="Arial"/>
          <w:color w:val="000000"/>
          <w:lang w:val="en-US"/>
        </w:rPr>
        <w:t xml:space="preserve"> </w:t>
      </w:r>
      <w:r w:rsidRPr="00CB311D">
        <w:rPr>
          <w:rFonts w:eastAsia="Times New Roman" w:cs="Arial"/>
          <w:color w:val="000000"/>
          <w:lang w:eastAsia="bg-BG"/>
        </w:rPr>
        <w:t xml:space="preserve">доза, тъй като при тях настъпва повръщане при доза от 400 </w:t>
      </w:r>
      <w:r w:rsidRPr="00CB311D">
        <w:rPr>
          <w:rFonts w:eastAsia="Times New Roman" w:cs="Arial"/>
          <w:color w:val="000000"/>
          <w:lang w:val="en-US"/>
        </w:rPr>
        <w:t xml:space="preserve">mg/ kg </w:t>
      </w:r>
      <w:r w:rsidRPr="00CB311D">
        <w:rPr>
          <w:rFonts w:eastAsia="Times New Roman" w:cs="Arial"/>
          <w:color w:val="000000"/>
          <w:lang w:eastAsia="bg-BG"/>
        </w:rPr>
        <w:t>телесно тегло.</w:t>
      </w:r>
    </w:p>
    <w:p w14:paraId="16088441" w14:textId="77777777" w:rsidR="00CB311D" w:rsidRPr="00CB311D" w:rsidRDefault="00CB311D" w:rsidP="00CB311D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BB0593F" w14:textId="6A7E9AE0" w:rsidR="00CB311D" w:rsidRPr="00CB311D" w:rsidRDefault="00CB311D" w:rsidP="00CB311D">
      <w:pPr>
        <w:spacing w:line="240" w:lineRule="auto"/>
        <w:rPr>
          <w:rFonts w:eastAsia="Times New Roman" w:cs="Arial"/>
        </w:rPr>
      </w:pPr>
      <w:proofErr w:type="spellStart"/>
      <w:r w:rsidRPr="00CB311D">
        <w:rPr>
          <w:rFonts w:eastAsia="Times New Roman" w:cs="Arial"/>
          <w:i/>
          <w:iCs/>
          <w:color w:val="000000"/>
          <w:u w:val="single"/>
          <w:lang w:eastAsia="bg-BG"/>
        </w:rPr>
        <w:t>Подостра</w:t>
      </w:r>
      <w:proofErr w:type="spellEnd"/>
      <w:r w:rsidRPr="00CB311D">
        <w:rPr>
          <w:rFonts w:eastAsia="Times New Roman" w:cs="Arial"/>
          <w:i/>
          <w:iCs/>
          <w:color w:val="000000"/>
          <w:u w:val="single"/>
          <w:lang w:eastAsia="bg-BG"/>
        </w:rPr>
        <w:t xml:space="preserve"> токсичност</w:t>
      </w:r>
    </w:p>
    <w:p w14:paraId="475CA51F" w14:textId="77777777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lang w:eastAsia="bg-BG"/>
        </w:rPr>
        <w:t xml:space="preserve">Не се наблюдават токсични симптоми при плъхове при IV приложение за 14 дни на дози до 8 </w:t>
      </w:r>
      <w:r w:rsidRPr="00CB311D">
        <w:rPr>
          <w:rFonts w:eastAsia="Times New Roman" w:cs="Arial"/>
          <w:color w:val="000000"/>
          <w:lang w:val="en-US"/>
        </w:rPr>
        <w:t xml:space="preserve">mg/kg </w:t>
      </w:r>
      <w:r w:rsidRPr="00CB311D">
        <w:rPr>
          <w:rFonts w:eastAsia="Times New Roman" w:cs="Arial"/>
          <w:color w:val="000000"/>
          <w:lang w:eastAsia="bg-BG"/>
        </w:rPr>
        <w:t xml:space="preserve">телесно тегло, а при кучета при IV приложение за 28 дни на дози до 5 </w:t>
      </w:r>
      <w:r w:rsidRPr="00CB311D">
        <w:rPr>
          <w:rFonts w:eastAsia="Times New Roman" w:cs="Arial"/>
          <w:color w:val="000000"/>
          <w:lang w:val="en-US"/>
        </w:rPr>
        <w:t xml:space="preserve">mg/kg </w:t>
      </w:r>
      <w:r w:rsidRPr="00CB311D">
        <w:rPr>
          <w:rFonts w:eastAsia="Times New Roman" w:cs="Arial"/>
          <w:color w:val="000000"/>
          <w:lang w:eastAsia="bg-BG"/>
        </w:rPr>
        <w:t xml:space="preserve">телесно тегло. При дози, по-високи от тези, се наблюдават слюноотделяне, повишена сърдечна и дихателна честота. Плъхове, които са получавали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перорално за 28 дни, добре толерират дори доза от 25 </w:t>
      </w:r>
      <w:r w:rsidRPr="00CB311D">
        <w:rPr>
          <w:rFonts w:eastAsia="Times New Roman" w:cs="Arial"/>
          <w:color w:val="000000"/>
          <w:lang w:val="en-US"/>
        </w:rPr>
        <w:t xml:space="preserve">mg/kg </w:t>
      </w:r>
      <w:r w:rsidRPr="00CB311D">
        <w:rPr>
          <w:rFonts w:eastAsia="Times New Roman" w:cs="Arial"/>
          <w:color w:val="000000"/>
          <w:lang w:eastAsia="bg-BG"/>
        </w:rPr>
        <w:t>телесно тегло.</w:t>
      </w:r>
    </w:p>
    <w:p w14:paraId="5B8DD917" w14:textId="77777777" w:rsidR="00CB311D" w:rsidRPr="00CB311D" w:rsidRDefault="00CB311D" w:rsidP="00CB311D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8376AEE" w14:textId="5FC67546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i/>
          <w:iCs/>
          <w:color w:val="000000"/>
          <w:u w:val="single"/>
          <w:lang w:eastAsia="bg-BG"/>
        </w:rPr>
        <w:t>Хронична токсичност</w:t>
      </w:r>
    </w:p>
    <w:p w14:paraId="110E100B" w14:textId="77777777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lang w:eastAsia="bg-BG"/>
        </w:rPr>
        <w:t xml:space="preserve">В хода на проучвания за хронична токсичност с продължителност над една година не се установяват нито клинични, нито лабораторни или патологоанатомични данни, които да разкриват патологични отклонения; напр. при плъхове 6-месечно перорално лечение в доза от 100 </w:t>
      </w:r>
      <w:r w:rsidRPr="00CB311D">
        <w:rPr>
          <w:rFonts w:eastAsia="Times New Roman" w:cs="Arial"/>
          <w:color w:val="000000"/>
          <w:lang w:val="en-US"/>
        </w:rPr>
        <w:t xml:space="preserve">mg/kg </w:t>
      </w:r>
      <w:r w:rsidRPr="00CB311D">
        <w:rPr>
          <w:rFonts w:eastAsia="Times New Roman" w:cs="Arial"/>
          <w:color w:val="000000"/>
          <w:lang w:eastAsia="bg-BG"/>
        </w:rPr>
        <w:t xml:space="preserve">телесно тегло не причинява системен токсичен ефект. При кучета има само понижаване на апетита или повръщане при перорална доза от 45 </w:t>
      </w:r>
      <w:r w:rsidRPr="00CB311D">
        <w:rPr>
          <w:rFonts w:eastAsia="Times New Roman" w:cs="Arial"/>
          <w:color w:val="000000"/>
          <w:lang w:val="en-US"/>
        </w:rPr>
        <w:t xml:space="preserve">mg/kg </w:t>
      </w:r>
      <w:r w:rsidRPr="00CB311D">
        <w:rPr>
          <w:rFonts w:eastAsia="Times New Roman" w:cs="Arial"/>
          <w:color w:val="000000"/>
          <w:lang w:eastAsia="bg-BG"/>
        </w:rPr>
        <w:t xml:space="preserve">телесно тегло. При кучета по време на 90-дневно IV приложение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Кавинтон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нежелани клинични симптоми (понижен апетит, конвулсии, ускорени пулс и дихателна честота) настъпват само при дози, по-високи от 5 </w:t>
      </w:r>
      <w:r w:rsidRPr="00CB311D">
        <w:rPr>
          <w:rFonts w:eastAsia="Times New Roman" w:cs="Arial"/>
          <w:color w:val="000000"/>
          <w:lang w:val="en-US"/>
        </w:rPr>
        <w:t xml:space="preserve">mg/kg </w:t>
      </w:r>
      <w:r w:rsidRPr="00CB311D">
        <w:rPr>
          <w:rFonts w:eastAsia="Times New Roman" w:cs="Arial"/>
          <w:color w:val="000000"/>
          <w:lang w:eastAsia="bg-BG"/>
        </w:rPr>
        <w:t>телесно тегло, лабораторните параметри и хистологичните резултати обаче са негативни.</w:t>
      </w:r>
    </w:p>
    <w:p w14:paraId="7E2278AE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38A38D5" w14:textId="6ACAB8DA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u w:val="single"/>
          <w:lang w:eastAsia="bg-BG"/>
        </w:rPr>
        <w:t>Репродуктивни проучвания</w:t>
      </w:r>
    </w:p>
    <w:p w14:paraId="48B31E1E" w14:textId="77777777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lang w:eastAsia="bg-BG"/>
        </w:rPr>
        <w:t xml:space="preserve">Съгласно резултатите от тези проучвания,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не повлиява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на мъжки и женски животни. Пероралното приложение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по време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гестационния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период при плъхове причинява токсичност за развитието, включително малформации при клинично значима експозиция въз основа на </w:t>
      </w:r>
      <w:r w:rsidRPr="00CB311D">
        <w:rPr>
          <w:rFonts w:eastAsia="Times New Roman" w:cs="Arial"/>
          <w:color w:val="000000"/>
          <w:lang w:val="en-US"/>
        </w:rPr>
        <w:t>mg/m</w:t>
      </w:r>
      <w:r w:rsidRPr="00CB311D">
        <w:rPr>
          <w:rFonts w:eastAsia="Times New Roman" w:cs="Arial"/>
          <w:color w:val="000000"/>
          <w:vertAlign w:val="superscript"/>
          <w:lang w:val="en-US"/>
        </w:rPr>
        <w:t>2</w:t>
      </w:r>
      <w:r w:rsidRPr="00CB311D">
        <w:rPr>
          <w:rFonts w:eastAsia="Times New Roman" w:cs="Arial"/>
          <w:color w:val="000000"/>
          <w:lang w:val="en-US"/>
        </w:rPr>
        <w:t xml:space="preserve"> </w:t>
      </w:r>
      <w:r w:rsidRPr="00CB311D">
        <w:rPr>
          <w:rFonts w:eastAsia="Times New Roman" w:cs="Arial"/>
          <w:color w:val="000000"/>
          <w:lang w:eastAsia="bg-BG"/>
        </w:rPr>
        <w:t xml:space="preserve">телесна повърхност. При зайци, чиито метаболизъм е по-близък до човешкия,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ембриофетална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смърт се наблюдава при 15 пъти по-висока доза (300 </w:t>
      </w:r>
      <w:r w:rsidRPr="00CB311D">
        <w:rPr>
          <w:rFonts w:eastAsia="Times New Roman" w:cs="Arial"/>
          <w:color w:val="000000"/>
          <w:lang w:val="en-US"/>
        </w:rPr>
        <w:t>mg/kg</w:t>
      </w:r>
      <w:r w:rsidRPr="00CB311D">
        <w:rPr>
          <w:rFonts w:eastAsia="Times New Roman" w:cs="Arial"/>
          <w:color w:val="000000"/>
          <w:lang w:eastAsia="bg-BG"/>
        </w:rPr>
        <w:t xml:space="preserve">/ден) в сравнение с при плъхове (20 </w:t>
      </w:r>
      <w:r w:rsidRPr="00CB311D">
        <w:rPr>
          <w:rFonts w:eastAsia="Times New Roman" w:cs="Arial"/>
          <w:color w:val="000000"/>
          <w:lang w:val="en-US"/>
        </w:rPr>
        <w:t>mg/kg</w:t>
      </w:r>
      <w:r w:rsidRPr="00CB311D">
        <w:rPr>
          <w:rFonts w:eastAsia="Times New Roman" w:cs="Arial"/>
          <w:color w:val="000000"/>
          <w:lang w:eastAsia="bg-BG"/>
        </w:rPr>
        <w:t>/ден).</w:t>
      </w:r>
    </w:p>
    <w:p w14:paraId="1A973D77" w14:textId="77777777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lang w:eastAsia="bg-BG"/>
        </w:rPr>
        <w:t xml:space="preserve">В някои случаи по време на приложение на високи дози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се наблюдават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плацентарно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кървене и аборти, вероятно в резултат на повишения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плацентарен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кръвоток. При бременни животни токсичният ефект на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се увеличава при IV приложение. В пери- и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постнатални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проучвания за токсичност не се установяват токсични ефекти в следващото поколение.</w:t>
      </w:r>
    </w:p>
    <w:p w14:paraId="5D2EE316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71DCC88" w14:textId="120ECF2E" w:rsidR="00CB311D" w:rsidRPr="00CB311D" w:rsidRDefault="00CB311D" w:rsidP="00CB311D">
      <w:pPr>
        <w:spacing w:line="240" w:lineRule="auto"/>
        <w:rPr>
          <w:rFonts w:eastAsia="Times New Roman" w:cs="Arial"/>
        </w:rPr>
      </w:pPr>
      <w:proofErr w:type="spellStart"/>
      <w:r w:rsidRPr="00CB311D">
        <w:rPr>
          <w:rFonts w:eastAsia="Times New Roman" w:cs="Arial"/>
          <w:color w:val="000000"/>
          <w:u w:val="single"/>
          <w:lang w:eastAsia="bg-BG"/>
        </w:rPr>
        <w:t>Мутагенност</w:t>
      </w:r>
      <w:proofErr w:type="spellEnd"/>
    </w:p>
    <w:p w14:paraId="0D3C5021" w14:textId="77777777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lang w:eastAsia="bg-BG"/>
        </w:rPr>
        <w:t xml:space="preserve">С помощта на няколко метода е доказано, че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няма мутагенни ефекти.</w:t>
      </w:r>
    </w:p>
    <w:p w14:paraId="625FD8D8" w14:textId="77777777" w:rsidR="00CB311D" w:rsidRPr="00CB311D" w:rsidRDefault="00CB311D" w:rsidP="00CB311D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DDAC9D8" w14:textId="6BCE3F50" w:rsidR="00CB311D" w:rsidRPr="00CB311D" w:rsidRDefault="00CB311D" w:rsidP="00CB311D">
      <w:pPr>
        <w:spacing w:line="240" w:lineRule="auto"/>
        <w:rPr>
          <w:rFonts w:eastAsia="Times New Roman" w:cs="Arial"/>
        </w:rPr>
      </w:pPr>
      <w:proofErr w:type="spellStart"/>
      <w:r w:rsidRPr="00CB311D">
        <w:rPr>
          <w:rFonts w:eastAsia="Times New Roman" w:cs="Arial"/>
          <w:color w:val="000000"/>
          <w:u w:val="single"/>
          <w:lang w:eastAsia="bg-BG"/>
        </w:rPr>
        <w:t>Карциногенност</w:t>
      </w:r>
      <w:proofErr w:type="spellEnd"/>
    </w:p>
    <w:p w14:paraId="2D7E44BA" w14:textId="77777777" w:rsidR="00CB311D" w:rsidRPr="00CB311D" w:rsidRDefault="00CB311D" w:rsidP="00CB311D">
      <w:pPr>
        <w:spacing w:line="240" w:lineRule="auto"/>
        <w:rPr>
          <w:rFonts w:eastAsia="Times New Roman" w:cs="Arial"/>
        </w:rPr>
      </w:pPr>
      <w:r w:rsidRPr="00CB311D">
        <w:rPr>
          <w:rFonts w:eastAsia="Times New Roman" w:cs="Arial"/>
          <w:color w:val="000000"/>
          <w:lang w:eastAsia="bg-BG"/>
        </w:rPr>
        <w:t xml:space="preserve">В съответствие с резултатите от двугодишни проучвания може да се заключи, че </w:t>
      </w:r>
      <w:proofErr w:type="spellStart"/>
      <w:r w:rsidRPr="00CB311D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CB311D">
        <w:rPr>
          <w:rFonts w:eastAsia="Times New Roman" w:cs="Arial"/>
          <w:color w:val="000000"/>
          <w:lang w:eastAsia="bg-BG"/>
        </w:rPr>
        <w:t xml:space="preserve"> не води до карциногенен риск при хора.</w:t>
      </w:r>
    </w:p>
    <w:p w14:paraId="2661FB30" w14:textId="77777777" w:rsidR="00CB311D" w:rsidRPr="00CB311D" w:rsidRDefault="00CB311D" w:rsidP="00CB311D"/>
    <w:p w14:paraId="6940F72E" w14:textId="3EADE5E4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2E58CD38" w14:textId="77777777" w:rsidR="00CB311D" w:rsidRDefault="00CB311D" w:rsidP="00CB311D">
      <w:pPr>
        <w:rPr>
          <w:lang w:val="en-US"/>
        </w:rPr>
      </w:pPr>
    </w:p>
    <w:p w14:paraId="7A9C6B87" w14:textId="7A767AFA" w:rsidR="00CB311D" w:rsidRPr="00CB311D" w:rsidRDefault="00CB311D" w:rsidP="00CB311D">
      <w:pPr>
        <w:rPr>
          <w:sz w:val="24"/>
          <w:szCs w:val="24"/>
          <w:lang w:val="en-US"/>
        </w:rPr>
      </w:pPr>
      <w:r w:rsidRPr="00CB311D">
        <w:rPr>
          <w:lang w:val="en-US"/>
        </w:rPr>
        <w:t>Gedeon Richter Plc.</w:t>
      </w:r>
    </w:p>
    <w:p w14:paraId="5DD60736" w14:textId="77777777" w:rsidR="00CB311D" w:rsidRPr="00CB311D" w:rsidRDefault="00CB311D" w:rsidP="00CB311D">
      <w:pPr>
        <w:rPr>
          <w:sz w:val="24"/>
          <w:szCs w:val="24"/>
          <w:lang w:val="en-US"/>
        </w:rPr>
      </w:pPr>
      <w:proofErr w:type="spellStart"/>
      <w:r w:rsidRPr="00CB311D">
        <w:rPr>
          <w:lang w:val="en-US"/>
        </w:rPr>
        <w:t>Gyomroi</w:t>
      </w:r>
      <w:proofErr w:type="spellEnd"/>
      <w:r w:rsidRPr="00CB311D">
        <w:rPr>
          <w:lang w:val="en-US"/>
        </w:rPr>
        <w:t xml:space="preserve"> lit 19-21. 1103 Budapest X.</w:t>
      </w:r>
    </w:p>
    <w:p w14:paraId="305923E9" w14:textId="76DF957B" w:rsidR="00CB311D" w:rsidRPr="00CB311D" w:rsidRDefault="00CB311D" w:rsidP="00CB311D">
      <w:r w:rsidRPr="00CB311D">
        <w:rPr>
          <w:lang w:eastAsia="bg-BG"/>
        </w:rPr>
        <w:t>Унгария</w:t>
      </w:r>
    </w:p>
    <w:p w14:paraId="04840D59" w14:textId="1FC5B5B0" w:rsidR="002C50EE" w:rsidRDefault="002C50EE" w:rsidP="002C50EE">
      <w:pPr>
        <w:pStyle w:val="Heading1"/>
      </w:pPr>
      <w:r>
        <w:t>8. НОМЕР НА РАЗРЕШЕНИЕТО ЗА УПОТРЕБА</w:t>
      </w:r>
    </w:p>
    <w:p w14:paraId="7ED7DA54" w14:textId="76ACC70C" w:rsidR="00CB311D" w:rsidRPr="00CB311D" w:rsidRDefault="00CB311D" w:rsidP="00CB311D">
      <w:proofErr w:type="spellStart"/>
      <w:r>
        <w:t>Per</w:t>
      </w:r>
      <w:proofErr w:type="spellEnd"/>
      <w:r>
        <w:t>. № 9700342</w:t>
      </w:r>
    </w:p>
    <w:p w14:paraId="5900CBF3" w14:textId="5D5D0354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2C4CED51" w14:textId="77777777" w:rsidR="00CB311D" w:rsidRPr="00CB311D" w:rsidRDefault="00CB311D" w:rsidP="00CB311D">
      <w:pPr>
        <w:rPr>
          <w:sz w:val="24"/>
          <w:szCs w:val="24"/>
        </w:rPr>
      </w:pPr>
      <w:r w:rsidRPr="00CB311D">
        <w:rPr>
          <w:lang w:eastAsia="bg-BG"/>
        </w:rPr>
        <w:t>Дата на първо разрешаване: 14 май 1979</w:t>
      </w:r>
    </w:p>
    <w:p w14:paraId="5455A3FA" w14:textId="1E3910DF" w:rsidR="00CB311D" w:rsidRPr="00CB311D" w:rsidRDefault="00CB311D" w:rsidP="00CB311D">
      <w:r w:rsidRPr="00CB311D">
        <w:rPr>
          <w:lang w:eastAsia="bg-BG"/>
        </w:rPr>
        <w:t>Дата на последно подновяване: 11 юни 2003</w:t>
      </w:r>
    </w:p>
    <w:p w14:paraId="0E9D0119" w14:textId="0245C6D7" w:rsidR="002C50EE" w:rsidRDefault="002C50EE" w:rsidP="002C50EE">
      <w:pPr>
        <w:pStyle w:val="Heading1"/>
      </w:pPr>
      <w:r>
        <w:lastRenderedPageBreak/>
        <w:t>10. ДАТА НА АКТУАЛИЗИРАНЕ НА ТЕКСТА</w:t>
      </w:r>
    </w:p>
    <w:bookmarkEnd w:id="0"/>
    <w:p w14:paraId="423F4C2A" w14:textId="6016D10B" w:rsidR="00C87E90" w:rsidRPr="003E3126" w:rsidRDefault="00C87E90" w:rsidP="004D4D6B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24"/>
  </w:num>
  <w:num w:numId="12">
    <w:abstractNumId w:val="11"/>
  </w:num>
  <w:num w:numId="13">
    <w:abstractNumId w:val="16"/>
  </w:num>
  <w:num w:numId="14">
    <w:abstractNumId w:val="9"/>
  </w:num>
  <w:num w:numId="15">
    <w:abstractNumId w:val="23"/>
  </w:num>
  <w:num w:numId="16">
    <w:abstractNumId w:val="7"/>
  </w:num>
  <w:num w:numId="17">
    <w:abstractNumId w:val="19"/>
  </w:num>
  <w:num w:numId="18">
    <w:abstractNumId w:val="5"/>
  </w:num>
  <w:num w:numId="19">
    <w:abstractNumId w:val="21"/>
  </w:num>
  <w:num w:numId="20">
    <w:abstractNumId w:val="18"/>
  </w:num>
  <w:num w:numId="21">
    <w:abstractNumId w:val="14"/>
  </w:num>
  <w:num w:numId="22">
    <w:abstractNumId w:val="20"/>
  </w:num>
  <w:num w:numId="23">
    <w:abstractNumId w:val="15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CB311D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2021-09-13T17:14:00Z</dcterms:created>
  <dcterms:modified xsi:type="dcterms:W3CDTF">2021-09-13T17:14:00Z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