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79C58537" w14:textId="77777777" w:rsidR="006741F3" w:rsidRPr="006741F3" w:rsidRDefault="006741F3" w:rsidP="006741F3">
      <w:pPr>
        <w:spacing w:line="240" w:lineRule="auto"/>
        <w:rPr>
          <w:rFonts w:eastAsia="Times New Roman" w:cs="Arial"/>
          <w:sz w:val="24"/>
          <w:szCs w:val="24"/>
          <w:lang w:val="en-US" w:eastAsia="bg-BG"/>
        </w:rPr>
      </w:pPr>
      <w:r w:rsidRPr="006741F3">
        <w:rPr>
          <w:rFonts w:eastAsia="Times New Roman" w:cs="Arial"/>
          <w:color w:val="000000"/>
          <w:lang w:eastAsia="bg-BG"/>
        </w:rPr>
        <w:t>Цефазолин АБР 1</w:t>
      </w:r>
      <w:r w:rsidRPr="006741F3">
        <w:rPr>
          <w:rFonts w:eastAsia="Times New Roman" w:cs="Arial"/>
          <w:color w:val="000000"/>
          <w:lang w:val="en-US"/>
        </w:rPr>
        <w:t xml:space="preserve">g </w:t>
      </w:r>
      <w:r w:rsidRPr="006741F3">
        <w:rPr>
          <w:rFonts w:eastAsia="Times New Roman" w:cs="Arial"/>
          <w:color w:val="000000"/>
          <w:lang w:eastAsia="bg-BG"/>
        </w:rPr>
        <w:t>прах за инжекционен разтвор</w:t>
      </w:r>
    </w:p>
    <w:p w14:paraId="29947CFA" w14:textId="77777777" w:rsidR="006741F3" w:rsidRPr="006741F3" w:rsidRDefault="006741F3" w:rsidP="006741F3">
      <w:pPr>
        <w:spacing w:line="240" w:lineRule="auto"/>
        <w:rPr>
          <w:rFonts w:eastAsia="Times New Roman" w:cs="Arial"/>
          <w:sz w:val="24"/>
          <w:szCs w:val="24"/>
          <w:lang w:val="en-US" w:eastAsia="bg-BG"/>
        </w:rPr>
      </w:pPr>
      <w:r w:rsidRPr="006741F3">
        <w:rPr>
          <w:rFonts w:eastAsia="Times New Roman" w:cs="Arial"/>
          <w:color w:val="000000"/>
          <w:lang w:val="en-US"/>
        </w:rPr>
        <w:t>Cefazolin ABR 1g powder for solution for injection</w:t>
      </w:r>
    </w:p>
    <w:p w14:paraId="72ECAE66" w14:textId="77777777" w:rsidR="006741F3" w:rsidRPr="006741F3" w:rsidRDefault="006741F3" w:rsidP="006741F3">
      <w:pPr>
        <w:spacing w:line="240" w:lineRule="auto"/>
        <w:rPr>
          <w:rFonts w:eastAsia="Times New Roman" w:cs="Arial"/>
          <w:color w:val="000000"/>
          <w:lang w:eastAsia="bg-BG"/>
        </w:rPr>
      </w:pPr>
    </w:p>
    <w:p w14:paraId="408B4F2C" w14:textId="4C3D9E3F" w:rsidR="006741F3" w:rsidRPr="006741F3" w:rsidRDefault="006741F3" w:rsidP="006741F3">
      <w:pPr>
        <w:spacing w:line="240" w:lineRule="auto"/>
        <w:rPr>
          <w:rFonts w:eastAsia="Times New Roman" w:cs="Arial"/>
          <w:sz w:val="24"/>
          <w:szCs w:val="24"/>
          <w:lang w:val="en-US" w:eastAsia="bg-BG"/>
        </w:rPr>
      </w:pPr>
      <w:r w:rsidRPr="006741F3">
        <w:rPr>
          <w:rFonts w:eastAsia="Times New Roman" w:cs="Arial"/>
          <w:color w:val="000000"/>
          <w:lang w:eastAsia="bg-BG"/>
        </w:rPr>
        <w:t xml:space="preserve">Цефазолин АБР </w:t>
      </w:r>
      <w:r w:rsidRPr="006741F3">
        <w:rPr>
          <w:rFonts w:eastAsia="Times New Roman" w:cs="Arial"/>
          <w:color w:val="000000"/>
          <w:lang w:val="en-US"/>
        </w:rPr>
        <w:t xml:space="preserve">2g </w:t>
      </w:r>
      <w:r w:rsidRPr="006741F3">
        <w:rPr>
          <w:rFonts w:eastAsia="Times New Roman" w:cs="Arial"/>
          <w:color w:val="000000"/>
          <w:lang w:eastAsia="bg-BG"/>
        </w:rPr>
        <w:t>прах за инжекционен разтвор</w:t>
      </w:r>
    </w:p>
    <w:p w14:paraId="69AC8148" w14:textId="3B692858" w:rsidR="00EC41ED" w:rsidRPr="006741F3" w:rsidRDefault="006741F3" w:rsidP="006741F3">
      <w:pPr>
        <w:rPr>
          <w:rFonts w:cs="Arial"/>
        </w:rPr>
      </w:pPr>
      <w:r w:rsidRPr="006741F3">
        <w:rPr>
          <w:rFonts w:eastAsia="Times New Roman" w:cs="Arial"/>
          <w:color w:val="000000"/>
          <w:lang w:val="en-US"/>
        </w:rPr>
        <w:t>Cefazolin ABR 2g powder for solution for injection</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5733F664"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 xml:space="preserve">Цефазолин АБР 1 </w:t>
      </w:r>
      <w:r w:rsidRPr="006741F3">
        <w:rPr>
          <w:rFonts w:eastAsia="Times New Roman" w:cs="Arial"/>
          <w:color w:val="000000"/>
          <w:u w:val="single"/>
          <w:lang w:val="en-US"/>
        </w:rPr>
        <w:t xml:space="preserve">g </w:t>
      </w:r>
      <w:r w:rsidRPr="006741F3">
        <w:rPr>
          <w:rFonts w:eastAsia="Times New Roman" w:cs="Arial"/>
          <w:color w:val="000000"/>
          <w:u w:val="single"/>
          <w:lang w:eastAsia="bg-BG"/>
        </w:rPr>
        <w:t>прах за инжекционен разтвор</w:t>
      </w:r>
    </w:p>
    <w:p w14:paraId="7F804F4A"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 xml:space="preserve">Един флакон съдържа 1,048 </w:t>
      </w:r>
      <w:r w:rsidRPr="006741F3">
        <w:rPr>
          <w:rFonts w:eastAsia="Times New Roman" w:cs="Arial"/>
          <w:color w:val="000000"/>
          <w:lang w:val="en-US"/>
        </w:rPr>
        <w:t xml:space="preserve">g </w:t>
      </w:r>
      <w:r w:rsidRPr="006741F3">
        <w:rPr>
          <w:rFonts w:eastAsia="Times New Roman" w:cs="Arial"/>
          <w:color w:val="000000"/>
          <w:lang w:eastAsia="bg-BG"/>
        </w:rPr>
        <w:t xml:space="preserve">цефазолин натрий </w:t>
      </w:r>
      <w:r w:rsidRPr="006741F3">
        <w:rPr>
          <w:rFonts w:eastAsia="Times New Roman" w:cs="Arial"/>
          <w:i/>
          <w:iCs/>
          <w:color w:val="000000"/>
          <w:lang w:val="en-US"/>
        </w:rPr>
        <w:t>(</w:t>
      </w:r>
      <w:proofErr w:type="spellStart"/>
      <w:r w:rsidRPr="006741F3">
        <w:rPr>
          <w:rFonts w:eastAsia="Times New Roman" w:cs="Arial"/>
          <w:i/>
          <w:iCs/>
          <w:color w:val="000000"/>
          <w:lang w:val="en-US"/>
        </w:rPr>
        <w:t>cefazoline</w:t>
      </w:r>
      <w:proofErr w:type="spellEnd"/>
      <w:r w:rsidRPr="006741F3">
        <w:rPr>
          <w:rFonts w:eastAsia="Times New Roman" w:cs="Arial"/>
          <w:i/>
          <w:iCs/>
          <w:color w:val="000000"/>
          <w:lang w:val="en-US"/>
        </w:rPr>
        <w:t xml:space="preserve"> sodium),</w:t>
      </w:r>
      <w:r w:rsidRPr="006741F3">
        <w:rPr>
          <w:rFonts w:eastAsia="Times New Roman" w:cs="Arial"/>
          <w:color w:val="000000"/>
          <w:lang w:val="en-US"/>
        </w:rPr>
        <w:t xml:space="preserve"> </w:t>
      </w:r>
      <w:r w:rsidRPr="006741F3">
        <w:rPr>
          <w:rFonts w:eastAsia="Times New Roman" w:cs="Arial"/>
          <w:color w:val="000000"/>
          <w:lang w:eastAsia="bg-BG"/>
        </w:rPr>
        <w:t xml:space="preserve">еквивалентни на 1 </w:t>
      </w:r>
      <w:r w:rsidRPr="006741F3">
        <w:rPr>
          <w:rFonts w:eastAsia="Times New Roman" w:cs="Arial"/>
          <w:color w:val="000000"/>
          <w:lang w:val="en-US"/>
        </w:rPr>
        <w:t xml:space="preserve">g </w:t>
      </w:r>
      <w:r w:rsidRPr="006741F3">
        <w:rPr>
          <w:rFonts w:eastAsia="Times New Roman" w:cs="Arial"/>
          <w:color w:val="000000"/>
          <w:lang w:eastAsia="bg-BG"/>
        </w:rPr>
        <w:t>цефазолин.</w:t>
      </w:r>
    </w:p>
    <w:p w14:paraId="5D661130" w14:textId="77777777" w:rsidR="006741F3" w:rsidRPr="006741F3" w:rsidRDefault="006741F3" w:rsidP="006741F3">
      <w:pPr>
        <w:spacing w:line="240" w:lineRule="auto"/>
        <w:rPr>
          <w:rFonts w:eastAsia="Times New Roman" w:cs="Arial"/>
          <w:color w:val="000000"/>
          <w:lang w:eastAsia="bg-BG"/>
        </w:rPr>
      </w:pPr>
    </w:p>
    <w:p w14:paraId="786EB879" w14:textId="02D91778"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За пълния списък на помощните вещества вижте точка 6.1.</w:t>
      </w:r>
    </w:p>
    <w:p w14:paraId="49F1219F" w14:textId="77777777" w:rsidR="006741F3" w:rsidRPr="006741F3" w:rsidRDefault="006741F3" w:rsidP="006741F3">
      <w:pPr>
        <w:spacing w:line="240" w:lineRule="auto"/>
        <w:rPr>
          <w:rFonts w:eastAsia="Times New Roman" w:cs="Arial"/>
          <w:color w:val="000000"/>
          <w:u w:val="single"/>
          <w:lang w:eastAsia="bg-BG"/>
        </w:rPr>
      </w:pPr>
    </w:p>
    <w:p w14:paraId="4AA7FE0E" w14:textId="2FAE39EE"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 xml:space="preserve">Цефазолин АБР 2 </w:t>
      </w:r>
      <w:r w:rsidRPr="006741F3">
        <w:rPr>
          <w:rFonts w:eastAsia="Times New Roman" w:cs="Arial"/>
          <w:color w:val="000000"/>
          <w:u w:val="single"/>
          <w:lang w:val="en-US"/>
        </w:rPr>
        <w:t>g</w:t>
      </w:r>
      <w:r w:rsidRPr="006741F3">
        <w:rPr>
          <w:rFonts w:eastAsia="Times New Roman" w:cs="Arial"/>
          <w:color w:val="000000"/>
          <w:u w:val="single"/>
          <w:lang w:eastAsia="bg-BG"/>
        </w:rPr>
        <w:t xml:space="preserve"> прах за инжекционен разтвор</w:t>
      </w:r>
    </w:p>
    <w:p w14:paraId="29CA41EB"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 xml:space="preserve">Един флакон съдържа 2,096 </w:t>
      </w:r>
      <w:r w:rsidRPr="006741F3">
        <w:rPr>
          <w:rFonts w:eastAsia="Times New Roman" w:cs="Arial"/>
          <w:color w:val="000000"/>
          <w:lang w:val="en-US"/>
        </w:rPr>
        <w:t xml:space="preserve">g </w:t>
      </w:r>
      <w:r w:rsidRPr="006741F3">
        <w:rPr>
          <w:rFonts w:eastAsia="Times New Roman" w:cs="Arial"/>
          <w:color w:val="000000"/>
          <w:lang w:eastAsia="bg-BG"/>
        </w:rPr>
        <w:t xml:space="preserve">цефазолин натрий </w:t>
      </w:r>
      <w:r w:rsidRPr="006741F3">
        <w:rPr>
          <w:rFonts w:eastAsia="Times New Roman" w:cs="Arial"/>
          <w:i/>
          <w:iCs/>
          <w:color w:val="000000"/>
          <w:lang w:val="en-US"/>
        </w:rPr>
        <w:t>(</w:t>
      </w:r>
      <w:proofErr w:type="spellStart"/>
      <w:r w:rsidRPr="006741F3">
        <w:rPr>
          <w:rFonts w:eastAsia="Times New Roman" w:cs="Arial"/>
          <w:i/>
          <w:iCs/>
          <w:color w:val="000000"/>
          <w:lang w:val="en-US"/>
        </w:rPr>
        <w:t>cefazoline</w:t>
      </w:r>
      <w:proofErr w:type="spellEnd"/>
      <w:r w:rsidRPr="006741F3">
        <w:rPr>
          <w:rFonts w:eastAsia="Times New Roman" w:cs="Arial"/>
          <w:i/>
          <w:iCs/>
          <w:color w:val="000000"/>
          <w:lang w:val="en-US"/>
        </w:rPr>
        <w:t xml:space="preserve"> sodium),</w:t>
      </w:r>
      <w:r w:rsidRPr="006741F3">
        <w:rPr>
          <w:rFonts w:eastAsia="Times New Roman" w:cs="Arial"/>
          <w:color w:val="000000"/>
          <w:lang w:val="en-US"/>
        </w:rPr>
        <w:t xml:space="preserve"> </w:t>
      </w:r>
      <w:r w:rsidRPr="006741F3">
        <w:rPr>
          <w:rFonts w:eastAsia="Times New Roman" w:cs="Arial"/>
          <w:color w:val="000000"/>
          <w:lang w:eastAsia="bg-BG"/>
        </w:rPr>
        <w:t xml:space="preserve">еквивалентни на </w:t>
      </w:r>
      <w:r w:rsidRPr="006741F3">
        <w:rPr>
          <w:rFonts w:eastAsia="Times New Roman" w:cs="Arial"/>
          <w:color w:val="000000"/>
          <w:lang w:val="en-US"/>
        </w:rPr>
        <w:t xml:space="preserve">2g </w:t>
      </w:r>
      <w:r w:rsidRPr="006741F3">
        <w:rPr>
          <w:rFonts w:eastAsia="Times New Roman" w:cs="Arial"/>
          <w:color w:val="000000"/>
          <w:lang w:eastAsia="bg-BG"/>
        </w:rPr>
        <w:t>цефазолин.</w:t>
      </w:r>
    </w:p>
    <w:p w14:paraId="36B61890" w14:textId="77777777" w:rsidR="006741F3" w:rsidRPr="006741F3" w:rsidRDefault="006741F3" w:rsidP="006741F3">
      <w:pPr>
        <w:rPr>
          <w:rFonts w:eastAsia="Times New Roman" w:cs="Arial"/>
          <w:color w:val="000000"/>
          <w:lang w:eastAsia="bg-BG"/>
        </w:rPr>
      </w:pPr>
    </w:p>
    <w:p w14:paraId="54632B43" w14:textId="3C76DAD6" w:rsidR="00EC41ED" w:rsidRPr="006741F3" w:rsidRDefault="006741F3" w:rsidP="006741F3">
      <w:pPr>
        <w:rPr>
          <w:rFonts w:cs="Arial"/>
        </w:rPr>
      </w:pPr>
      <w:r w:rsidRPr="006741F3">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5AFDDE88"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Прах за инжекционен разтвор</w:t>
      </w:r>
    </w:p>
    <w:p w14:paraId="743244F0" w14:textId="584EEC09" w:rsidR="00EC41ED" w:rsidRPr="006741F3" w:rsidRDefault="006741F3" w:rsidP="006741F3">
      <w:pPr>
        <w:rPr>
          <w:rFonts w:cs="Arial"/>
        </w:rPr>
      </w:pPr>
      <w:r w:rsidRPr="006741F3">
        <w:rPr>
          <w:rFonts w:eastAsia="Times New Roman" w:cs="Arial"/>
          <w:color w:val="000000"/>
          <w:lang w:eastAsia="bg-BG"/>
        </w:rPr>
        <w:t>Бял или почти бял прах</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F7138F2"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Цефазолин АБР се прилага за лечение на остри и хронични инфекции, причинени от чувствителни към действието му бактерии, със следната локализация:</w:t>
      </w:r>
    </w:p>
    <w:p w14:paraId="65A28051" w14:textId="77777777" w:rsidR="006741F3" w:rsidRPr="006741F3" w:rsidRDefault="006741F3" w:rsidP="006741F3">
      <w:pPr>
        <w:pStyle w:val="ListParagraph"/>
        <w:numPr>
          <w:ilvl w:val="0"/>
          <w:numId w:val="36"/>
        </w:numPr>
        <w:spacing w:line="240" w:lineRule="auto"/>
        <w:rPr>
          <w:rFonts w:eastAsia="Times New Roman" w:cs="Arial"/>
          <w:color w:val="000000"/>
          <w:lang w:eastAsia="bg-BG"/>
        </w:rPr>
      </w:pPr>
      <w:r w:rsidRPr="006741F3">
        <w:rPr>
          <w:rFonts w:eastAsia="Times New Roman" w:cs="Arial"/>
          <w:color w:val="000000"/>
          <w:lang w:eastAsia="bg-BG"/>
        </w:rPr>
        <w:t xml:space="preserve">Инфекции на дихателните пътища, причинени от </w:t>
      </w:r>
      <w:r w:rsidRPr="006741F3">
        <w:rPr>
          <w:rFonts w:eastAsia="Times New Roman" w:cs="Arial"/>
          <w:color w:val="000000"/>
          <w:lang w:val="en-US"/>
        </w:rPr>
        <w:t xml:space="preserve">S. </w:t>
      </w:r>
      <w:proofErr w:type="spellStart"/>
      <w:r w:rsidRPr="006741F3">
        <w:rPr>
          <w:rFonts w:eastAsia="Times New Roman" w:cs="Arial"/>
          <w:color w:val="000000"/>
          <w:lang w:val="en-US"/>
        </w:rPr>
        <w:t>pneumoniae</w:t>
      </w:r>
      <w:proofErr w:type="spellEnd"/>
      <w:r w:rsidRPr="006741F3">
        <w:rPr>
          <w:rFonts w:eastAsia="Times New Roman" w:cs="Arial"/>
          <w:color w:val="000000"/>
          <w:lang w:val="en-US"/>
        </w:rPr>
        <w:t xml:space="preserve">, S. aureus, </w:t>
      </w:r>
      <w:proofErr w:type="spellStart"/>
      <w:r w:rsidRPr="006741F3">
        <w:rPr>
          <w:rFonts w:eastAsia="Times New Roman" w:cs="Arial"/>
          <w:color w:val="000000"/>
          <w:lang w:val="en-US"/>
        </w:rPr>
        <w:t>Klebsiella</w:t>
      </w:r>
      <w:proofErr w:type="spellEnd"/>
      <w:r w:rsidRPr="006741F3">
        <w:rPr>
          <w:rFonts w:eastAsia="Times New Roman" w:cs="Arial"/>
          <w:color w:val="000000"/>
          <w:lang w:val="en-US"/>
        </w:rPr>
        <w:t xml:space="preserve"> species,</w:t>
      </w:r>
    </w:p>
    <w:p w14:paraId="67228150"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β-хемолитични стрептококи група А;</w:t>
      </w:r>
    </w:p>
    <w:p w14:paraId="384109A8" w14:textId="77777777" w:rsidR="006741F3" w:rsidRPr="006741F3" w:rsidRDefault="006741F3" w:rsidP="006741F3">
      <w:pPr>
        <w:pStyle w:val="ListParagraph"/>
        <w:numPr>
          <w:ilvl w:val="0"/>
          <w:numId w:val="36"/>
        </w:numPr>
        <w:spacing w:line="240" w:lineRule="auto"/>
        <w:rPr>
          <w:rFonts w:eastAsia="Times New Roman" w:cs="Arial"/>
          <w:sz w:val="24"/>
          <w:szCs w:val="24"/>
          <w:lang w:eastAsia="bg-BG"/>
        </w:rPr>
      </w:pPr>
      <w:r w:rsidRPr="006741F3">
        <w:rPr>
          <w:rFonts w:eastAsia="Times New Roman" w:cs="Arial"/>
          <w:color w:val="000000"/>
          <w:lang w:eastAsia="bg-BG"/>
        </w:rPr>
        <w:t xml:space="preserve">Инфекции на бъбреците, пикочните пътища и половата система, предизвикани от Е. </w:t>
      </w:r>
      <w:r w:rsidRPr="006741F3">
        <w:rPr>
          <w:rFonts w:eastAsia="Times New Roman" w:cs="Arial"/>
          <w:color w:val="000000"/>
          <w:lang w:val="en-US"/>
        </w:rPr>
        <w:t xml:space="preserve">coli, </w:t>
      </w:r>
      <w:r w:rsidRPr="006741F3">
        <w:rPr>
          <w:rFonts w:eastAsia="Times New Roman" w:cs="Arial"/>
          <w:color w:val="000000"/>
          <w:lang w:eastAsia="bg-BG"/>
        </w:rPr>
        <w:t xml:space="preserve">Р. </w:t>
      </w:r>
      <w:r w:rsidRPr="006741F3">
        <w:rPr>
          <w:rFonts w:eastAsia="Times New Roman" w:cs="Arial"/>
          <w:color w:val="000000"/>
          <w:lang w:val="en-US"/>
        </w:rPr>
        <w:t xml:space="preserve">mirabilis, </w:t>
      </w:r>
      <w:proofErr w:type="spellStart"/>
      <w:r w:rsidRPr="006741F3">
        <w:rPr>
          <w:rFonts w:eastAsia="Times New Roman" w:cs="Arial"/>
          <w:color w:val="000000"/>
          <w:lang w:val="en-US"/>
        </w:rPr>
        <w:t>Klebsiella</w:t>
      </w:r>
      <w:proofErr w:type="spellEnd"/>
      <w:r w:rsidRPr="006741F3">
        <w:rPr>
          <w:rFonts w:eastAsia="Times New Roman" w:cs="Arial"/>
          <w:color w:val="000000"/>
          <w:lang w:val="en-US"/>
        </w:rPr>
        <w:t xml:space="preserve"> species, </w:t>
      </w:r>
      <w:r w:rsidRPr="006741F3">
        <w:rPr>
          <w:rFonts w:eastAsia="Times New Roman" w:cs="Arial"/>
          <w:color w:val="000000"/>
          <w:lang w:eastAsia="bg-BG"/>
        </w:rPr>
        <w:t xml:space="preserve">някои видове </w:t>
      </w:r>
      <w:proofErr w:type="spellStart"/>
      <w:r w:rsidRPr="006741F3">
        <w:rPr>
          <w:rFonts w:eastAsia="Times New Roman" w:cs="Arial"/>
          <w:color w:val="000000"/>
          <w:lang w:val="en-US"/>
        </w:rPr>
        <w:t>Enterobacter</w:t>
      </w:r>
      <w:proofErr w:type="spellEnd"/>
      <w:r w:rsidRPr="006741F3">
        <w:rPr>
          <w:rFonts w:eastAsia="Times New Roman" w:cs="Arial"/>
          <w:color w:val="000000"/>
          <w:lang w:val="en-US"/>
        </w:rPr>
        <w:t>;</w:t>
      </w:r>
    </w:p>
    <w:p w14:paraId="0E482A67" w14:textId="77777777" w:rsidR="006741F3" w:rsidRPr="006741F3" w:rsidRDefault="006741F3" w:rsidP="006741F3">
      <w:pPr>
        <w:pStyle w:val="ListParagraph"/>
        <w:numPr>
          <w:ilvl w:val="0"/>
          <w:numId w:val="36"/>
        </w:numPr>
        <w:spacing w:line="240" w:lineRule="auto"/>
        <w:rPr>
          <w:rFonts w:eastAsia="Times New Roman" w:cs="Arial"/>
          <w:sz w:val="24"/>
          <w:szCs w:val="24"/>
          <w:lang w:eastAsia="bg-BG"/>
        </w:rPr>
      </w:pPr>
      <w:r w:rsidRPr="006741F3">
        <w:rPr>
          <w:rFonts w:eastAsia="Times New Roman" w:cs="Arial"/>
          <w:color w:val="000000"/>
          <w:lang w:eastAsia="bg-BG"/>
        </w:rPr>
        <w:t>Инфекции на кожата и меките тъкани;</w:t>
      </w:r>
    </w:p>
    <w:p w14:paraId="2C339D8E" w14:textId="77777777" w:rsidR="006741F3" w:rsidRPr="006741F3" w:rsidRDefault="006741F3" w:rsidP="006741F3">
      <w:pPr>
        <w:pStyle w:val="ListParagraph"/>
        <w:numPr>
          <w:ilvl w:val="0"/>
          <w:numId w:val="36"/>
        </w:numPr>
        <w:spacing w:line="240" w:lineRule="auto"/>
        <w:rPr>
          <w:rFonts w:eastAsia="Times New Roman" w:cs="Arial"/>
          <w:sz w:val="24"/>
          <w:szCs w:val="24"/>
          <w:lang w:eastAsia="bg-BG"/>
        </w:rPr>
      </w:pPr>
      <w:r w:rsidRPr="006741F3">
        <w:rPr>
          <w:rFonts w:eastAsia="Times New Roman" w:cs="Arial"/>
          <w:color w:val="000000"/>
          <w:lang w:eastAsia="bg-BG"/>
        </w:rPr>
        <w:lastRenderedPageBreak/>
        <w:t>Инфекции на жлъчните пътища.</w:t>
      </w:r>
    </w:p>
    <w:p w14:paraId="31763250" w14:textId="77777777" w:rsidR="006741F3" w:rsidRPr="006741F3" w:rsidRDefault="006741F3" w:rsidP="006741F3">
      <w:pPr>
        <w:pStyle w:val="ListParagraph"/>
        <w:numPr>
          <w:ilvl w:val="0"/>
          <w:numId w:val="36"/>
        </w:numPr>
        <w:spacing w:line="240" w:lineRule="auto"/>
        <w:rPr>
          <w:rFonts w:eastAsia="Times New Roman" w:cs="Arial"/>
          <w:sz w:val="24"/>
          <w:szCs w:val="24"/>
          <w:lang w:eastAsia="bg-BG"/>
        </w:rPr>
      </w:pPr>
      <w:r w:rsidRPr="006741F3">
        <w:rPr>
          <w:rFonts w:eastAsia="Times New Roman" w:cs="Arial"/>
          <w:color w:val="000000"/>
          <w:lang w:eastAsia="bg-BG"/>
        </w:rPr>
        <w:t>Инфекции на костите и ставите;</w:t>
      </w:r>
    </w:p>
    <w:p w14:paraId="0A93CB10" w14:textId="77777777" w:rsidR="006741F3" w:rsidRPr="006741F3" w:rsidRDefault="006741F3" w:rsidP="006741F3">
      <w:pPr>
        <w:pStyle w:val="ListParagraph"/>
        <w:numPr>
          <w:ilvl w:val="0"/>
          <w:numId w:val="36"/>
        </w:numPr>
        <w:spacing w:line="240" w:lineRule="auto"/>
        <w:rPr>
          <w:rFonts w:eastAsia="Times New Roman" w:cs="Arial"/>
          <w:sz w:val="24"/>
          <w:szCs w:val="24"/>
          <w:lang w:eastAsia="bg-BG"/>
        </w:rPr>
      </w:pPr>
      <w:r w:rsidRPr="006741F3">
        <w:rPr>
          <w:rFonts w:eastAsia="Times New Roman" w:cs="Arial"/>
          <w:color w:val="000000"/>
          <w:lang w:eastAsia="bg-BG"/>
        </w:rPr>
        <w:t xml:space="preserve">Сепсис </w:t>
      </w:r>
      <w:r w:rsidRPr="006741F3">
        <w:rPr>
          <w:rFonts w:eastAsia="Times New Roman" w:cs="Arial"/>
          <w:color w:val="000000"/>
          <w:lang w:val="en-US"/>
        </w:rPr>
        <w:t xml:space="preserve">(St. </w:t>
      </w:r>
      <w:proofErr w:type="spellStart"/>
      <w:r w:rsidRPr="006741F3">
        <w:rPr>
          <w:rFonts w:eastAsia="Times New Roman" w:cs="Arial"/>
          <w:color w:val="000000"/>
          <w:lang w:val="en-US"/>
        </w:rPr>
        <w:t>pneumoniae</w:t>
      </w:r>
      <w:proofErr w:type="spellEnd"/>
      <w:r w:rsidRPr="006741F3">
        <w:rPr>
          <w:rFonts w:eastAsia="Times New Roman" w:cs="Arial"/>
          <w:color w:val="000000"/>
          <w:lang w:val="en-US"/>
        </w:rPr>
        <w:t xml:space="preserve">, </w:t>
      </w:r>
      <w:proofErr w:type="spellStart"/>
      <w:r w:rsidRPr="006741F3">
        <w:rPr>
          <w:rFonts w:eastAsia="Times New Roman" w:cs="Arial"/>
          <w:color w:val="000000"/>
          <w:lang w:val="en-US"/>
        </w:rPr>
        <w:t>Staureus</w:t>
      </w:r>
      <w:proofErr w:type="spellEnd"/>
      <w:r w:rsidRPr="006741F3">
        <w:rPr>
          <w:rFonts w:eastAsia="Times New Roman" w:cs="Arial"/>
          <w:color w:val="000000"/>
          <w:lang w:val="en-US"/>
        </w:rPr>
        <w:t xml:space="preserve">, Proteus mirabilis, E. coli, </w:t>
      </w:r>
      <w:proofErr w:type="spellStart"/>
      <w:r w:rsidRPr="006741F3">
        <w:rPr>
          <w:rFonts w:eastAsia="Times New Roman" w:cs="Arial"/>
          <w:color w:val="000000"/>
          <w:lang w:val="en-US"/>
        </w:rPr>
        <w:t>Klebsiells</w:t>
      </w:r>
      <w:proofErr w:type="spellEnd"/>
      <w:r w:rsidRPr="006741F3">
        <w:rPr>
          <w:rFonts w:eastAsia="Times New Roman" w:cs="Arial"/>
          <w:color w:val="000000"/>
          <w:lang w:val="en-US"/>
        </w:rPr>
        <w:t xml:space="preserve"> species);</w:t>
      </w:r>
    </w:p>
    <w:p w14:paraId="7708F398" w14:textId="267FA96F" w:rsidR="006741F3" w:rsidRPr="006741F3" w:rsidRDefault="006741F3" w:rsidP="006741F3">
      <w:pPr>
        <w:pStyle w:val="ListParagraph"/>
        <w:numPr>
          <w:ilvl w:val="0"/>
          <w:numId w:val="36"/>
        </w:numPr>
        <w:spacing w:line="240" w:lineRule="auto"/>
        <w:rPr>
          <w:rFonts w:eastAsia="Times New Roman" w:cs="Arial"/>
          <w:sz w:val="24"/>
          <w:szCs w:val="24"/>
          <w:lang w:eastAsia="bg-BG"/>
        </w:rPr>
      </w:pPr>
      <w:r w:rsidRPr="006741F3">
        <w:rPr>
          <w:rFonts w:eastAsia="Times New Roman" w:cs="Arial"/>
          <w:color w:val="000000"/>
          <w:lang w:eastAsia="bg-BG"/>
        </w:rPr>
        <w:t xml:space="preserve">Ендокардит, предизвикан от </w:t>
      </w:r>
      <w:r w:rsidRPr="006741F3">
        <w:rPr>
          <w:rFonts w:eastAsia="Times New Roman" w:cs="Arial"/>
          <w:color w:val="000000"/>
          <w:lang w:val="en-US"/>
        </w:rPr>
        <w:t xml:space="preserve">S. </w:t>
      </w:r>
      <w:proofErr w:type="gramStart"/>
      <w:r w:rsidRPr="006741F3">
        <w:rPr>
          <w:rFonts w:eastAsia="Times New Roman" w:cs="Arial"/>
          <w:color w:val="000000"/>
          <w:lang w:val="en-US"/>
        </w:rPr>
        <w:t>aureus</w:t>
      </w:r>
      <w:proofErr w:type="gramEnd"/>
      <w:r w:rsidRPr="006741F3">
        <w:rPr>
          <w:rFonts w:eastAsia="Times New Roman" w:cs="Arial"/>
          <w:color w:val="000000"/>
          <w:lang w:val="en-US"/>
        </w:rPr>
        <w:t xml:space="preserve">, </w:t>
      </w:r>
      <w:r w:rsidRPr="006741F3">
        <w:rPr>
          <w:rFonts w:eastAsia="Times New Roman" w:cs="Arial"/>
          <w:color w:val="000000"/>
          <w:lang w:eastAsia="bg-BG"/>
        </w:rPr>
        <w:t xml:space="preserve">β-хемолитични стрептококи група </w:t>
      </w:r>
      <w:r w:rsidRPr="006741F3">
        <w:rPr>
          <w:rFonts w:eastAsia="Times New Roman" w:cs="Arial"/>
          <w:color w:val="000000"/>
          <w:lang w:val="en-US"/>
        </w:rPr>
        <w:t>A;</w:t>
      </w:r>
    </w:p>
    <w:p w14:paraId="0670B90A" w14:textId="77777777" w:rsidR="006741F3" w:rsidRPr="006741F3" w:rsidRDefault="006741F3" w:rsidP="006741F3">
      <w:pPr>
        <w:spacing w:line="240" w:lineRule="auto"/>
        <w:rPr>
          <w:rFonts w:eastAsia="Times New Roman" w:cs="Arial"/>
          <w:color w:val="000000"/>
          <w:lang w:eastAsia="bg-BG"/>
        </w:rPr>
      </w:pPr>
    </w:p>
    <w:p w14:paraId="2D7613AB" w14:textId="0640FE84"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Други показания изискващи само интравенозно приложение:</w:t>
      </w:r>
    </w:p>
    <w:p w14:paraId="25DD4DEE"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Продуктът се прилага за периоперитавна профилактика на следоперативни инфекции при:</w:t>
      </w:r>
    </w:p>
    <w:p w14:paraId="5AFAED3A" w14:textId="77777777"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Неврохирургия (краниотомия, деривация на ликвора)</w:t>
      </w:r>
    </w:p>
    <w:p w14:paraId="1DC244A8" w14:textId="77777777"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Сърдечна хирургия;</w:t>
      </w:r>
    </w:p>
    <w:p w14:paraId="22AE8EEB" w14:textId="77777777"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Гръдна хирургия;</w:t>
      </w:r>
    </w:p>
    <w:p w14:paraId="4B01EF39" w14:textId="77777777"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Съдова хирургия;</w:t>
      </w:r>
    </w:p>
    <w:p w14:paraId="4D51FA0A" w14:textId="77777777"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Стомашно-чревна хирургия;</w:t>
      </w:r>
    </w:p>
    <w:p w14:paraId="1258C6AC" w14:textId="77777777"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Жлъчно-чернодробна хирургия;</w:t>
      </w:r>
    </w:p>
    <w:p w14:paraId="0336D638" w14:textId="77777777"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Цезарово сечение;</w:t>
      </w:r>
    </w:p>
    <w:p w14:paraId="19DCDF1F" w14:textId="77777777"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Абдоминална или вагинална хирургия;</w:t>
      </w:r>
    </w:p>
    <w:p w14:paraId="529664BC" w14:textId="77777777"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Хирургия на главата и шията с отваряне на орофаринкса;</w:t>
      </w:r>
    </w:p>
    <w:p w14:paraId="04B42A7C" w14:textId="39998BD6" w:rsidR="006741F3" w:rsidRPr="006741F3" w:rsidRDefault="006741F3" w:rsidP="006741F3">
      <w:pPr>
        <w:pStyle w:val="ListParagraph"/>
        <w:numPr>
          <w:ilvl w:val="0"/>
          <w:numId w:val="37"/>
        </w:numPr>
        <w:spacing w:line="240" w:lineRule="auto"/>
        <w:rPr>
          <w:rFonts w:eastAsia="Times New Roman" w:cs="Arial"/>
          <w:color w:val="000000"/>
          <w:lang w:eastAsia="bg-BG"/>
        </w:rPr>
      </w:pPr>
      <w:r w:rsidRPr="006741F3">
        <w:rPr>
          <w:rFonts w:eastAsia="Times New Roman" w:cs="Arial"/>
          <w:color w:val="000000"/>
          <w:lang w:eastAsia="bg-BG"/>
        </w:rPr>
        <w:t>Ортопедична хирургия.</w:t>
      </w:r>
    </w:p>
    <w:p w14:paraId="057A4884" w14:textId="77777777" w:rsidR="006741F3" w:rsidRPr="006741F3" w:rsidRDefault="006741F3" w:rsidP="006741F3">
      <w:pPr>
        <w:rPr>
          <w:rFonts w:eastAsia="Times New Roman" w:cs="Arial"/>
          <w:color w:val="000000"/>
          <w:lang w:eastAsia="bg-BG"/>
        </w:rPr>
      </w:pPr>
    </w:p>
    <w:p w14:paraId="642F56D9" w14:textId="26A79134" w:rsidR="00EC41ED" w:rsidRPr="006741F3" w:rsidRDefault="006741F3" w:rsidP="006741F3">
      <w:pPr>
        <w:rPr>
          <w:rFonts w:cs="Arial"/>
        </w:rPr>
      </w:pPr>
      <w:r w:rsidRPr="006741F3">
        <w:rPr>
          <w:rFonts w:eastAsia="Times New Roman" w:cs="Arial"/>
          <w:color w:val="000000"/>
          <w:lang w:eastAsia="bg-BG"/>
        </w:rPr>
        <w:t>Необходимо е да се спазват официалните препоръки за подходяща употреба на антибиотици.</w:t>
      </w:r>
    </w:p>
    <w:p w14:paraId="5B6E4E7C" w14:textId="77777777" w:rsidR="006741F3" w:rsidRPr="0091385D" w:rsidRDefault="006741F3"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3014994D" w14:textId="77777777" w:rsidR="006741F3" w:rsidRPr="006741F3" w:rsidRDefault="006741F3" w:rsidP="006741F3">
      <w:pPr>
        <w:pStyle w:val="Heading3"/>
        <w:rPr>
          <w:rFonts w:eastAsia="Times New Roman"/>
          <w:u w:val="single"/>
          <w:lang w:eastAsia="bg-BG"/>
        </w:rPr>
      </w:pPr>
      <w:r w:rsidRPr="006741F3">
        <w:rPr>
          <w:rFonts w:eastAsia="Times New Roman"/>
          <w:u w:val="single"/>
          <w:lang w:eastAsia="bg-BG"/>
        </w:rPr>
        <w:t>Дозировка</w:t>
      </w:r>
    </w:p>
    <w:p w14:paraId="7FBF1BCE" w14:textId="2DEF3455" w:rsidR="00EC41ED" w:rsidRPr="006741F3" w:rsidRDefault="006741F3" w:rsidP="006741F3">
      <w:pPr>
        <w:rPr>
          <w:rFonts w:eastAsia="Times New Roman" w:cs="Arial"/>
          <w:i/>
          <w:iCs/>
          <w:color w:val="000000"/>
          <w:lang w:eastAsia="bg-BG"/>
        </w:rPr>
      </w:pPr>
      <w:r w:rsidRPr="006741F3">
        <w:rPr>
          <w:rFonts w:eastAsia="Times New Roman" w:cs="Arial"/>
          <w:i/>
          <w:iCs/>
          <w:color w:val="000000"/>
          <w:lang w:eastAsia="bg-BG"/>
        </w:rPr>
        <w:t>Възрастни</w:t>
      </w:r>
    </w:p>
    <w:p w14:paraId="4CB75D6C" w14:textId="3187C915" w:rsidR="006741F3" w:rsidRPr="006741F3" w:rsidRDefault="006741F3" w:rsidP="006741F3">
      <w:pPr>
        <w:rPr>
          <w:rFonts w:eastAsia="Times New Roman" w:cs="Arial"/>
          <w:i/>
          <w:iCs/>
          <w:color w:val="000000"/>
          <w:lang w:eastAsia="bg-BG"/>
        </w:rPr>
      </w:pPr>
    </w:p>
    <w:tbl>
      <w:tblPr>
        <w:tblStyle w:val="TableGrid"/>
        <w:tblW w:w="0" w:type="auto"/>
        <w:tblLook w:val="04A0" w:firstRow="1" w:lastRow="0" w:firstColumn="1" w:lastColumn="0" w:noHBand="0" w:noVBand="1"/>
      </w:tblPr>
      <w:tblGrid>
        <w:gridCol w:w="3116"/>
        <w:gridCol w:w="3117"/>
        <w:gridCol w:w="3117"/>
      </w:tblGrid>
      <w:tr w:rsidR="006741F3" w:rsidRPr="006741F3" w14:paraId="7BB9FA41" w14:textId="77777777" w:rsidTr="006741F3">
        <w:tc>
          <w:tcPr>
            <w:tcW w:w="3116" w:type="dxa"/>
          </w:tcPr>
          <w:p w14:paraId="342FA66A" w14:textId="39982631" w:rsidR="006741F3" w:rsidRPr="006741F3" w:rsidRDefault="006741F3" w:rsidP="006741F3">
            <w:pPr>
              <w:rPr>
                <w:rFonts w:eastAsia="Times New Roman" w:cs="Arial"/>
                <w:i/>
                <w:iCs/>
                <w:color w:val="000000"/>
                <w:lang w:eastAsia="bg-BG"/>
              </w:rPr>
            </w:pPr>
            <w:r w:rsidRPr="006741F3">
              <w:rPr>
                <w:rFonts w:cs="Arial"/>
                <w:b/>
                <w:bCs/>
              </w:rPr>
              <w:t>Вид на инфекцията</w:t>
            </w:r>
          </w:p>
        </w:tc>
        <w:tc>
          <w:tcPr>
            <w:tcW w:w="3117" w:type="dxa"/>
          </w:tcPr>
          <w:p w14:paraId="230FF572" w14:textId="1CFDE81D" w:rsidR="006741F3" w:rsidRPr="006741F3" w:rsidRDefault="006741F3" w:rsidP="006741F3">
            <w:pPr>
              <w:rPr>
                <w:rFonts w:eastAsia="Times New Roman" w:cs="Arial"/>
                <w:i/>
                <w:iCs/>
                <w:color w:val="000000"/>
                <w:lang w:eastAsia="bg-BG"/>
              </w:rPr>
            </w:pPr>
            <w:r w:rsidRPr="006741F3">
              <w:rPr>
                <w:rFonts w:cs="Arial"/>
                <w:b/>
                <w:bCs/>
              </w:rPr>
              <w:t>Дозировка</w:t>
            </w:r>
          </w:p>
        </w:tc>
        <w:tc>
          <w:tcPr>
            <w:tcW w:w="3117" w:type="dxa"/>
          </w:tcPr>
          <w:p w14:paraId="3647CE16" w14:textId="53BE70DB" w:rsidR="006741F3" w:rsidRPr="006741F3" w:rsidRDefault="006741F3" w:rsidP="006741F3">
            <w:pPr>
              <w:rPr>
                <w:rFonts w:eastAsia="Times New Roman" w:cs="Arial"/>
                <w:i/>
                <w:iCs/>
                <w:color w:val="000000"/>
                <w:lang w:eastAsia="bg-BG"/>
              </w:rPr>
            </w:pPr>
            <w:r w:rsidRPr="006741F3">
              <w:rPr>
                <w:rFonts w:cs="Arial"/>
                <w:b/>
                <w:bCs/>
              </w:rPr>
              <w:t>Честота на приложение</w:t>
            </w:r>
          </w:p>
        </w:tc>
      </w:tr>
      <w:tr w:rsidR="006741F3" w:rsidRPr="006741F3" w14:paraId="37B259BC" w14:textId="77777777" w:rsidTr="006741F3">
        <w:tc>
          <w:tcPr>
            <w:tcW w:w="3116" w:type="dxa"/>
          </w:tcPr>
          <w:p w14:paraId="28C28EC5" w14:textId="4BFC76F9" w:rsidR="006741F3" w:rsidRPr="006741F3" w:rsidRDefault="006741F3" w:rsidP="006741F3">
            <w:pPr>
              <w:rPr>
                <w:rFonts w:eastAsia="Times New Roman" w:cs="Arial"/>
                <w:i/>
                <w:iCs/>
                <w:color w:val="000000"/>
                <w:lang w:eastAsia="bg-BG"/>
              </w:rPr>
            </w:pPr>
            <w:r w:rsidRPr="006741F3">
              <w:rPr>
                <w:rFonts w:cs="Arial"/>
              </w:rPr>
              <w:t>Пневмококова инфекция</w:t>
            </w:r>
          </w:p>
        </w:tc>
        <w:tc>
          <w:tcPr>
            <w:tcW w:w="3117" w:type="dxa"/>
          </w:tcPr>
          <w:p w14:paraId="4AEBD87C" w14:textId="2F6CFA23" w:rsidR="006741F3" w:rsidRPr="006741F3" w:rsidRDefault="006741F3" w:rsidP="006741F3">
            <w:pPr>
              <w:rPr>
                <w:rFonts w:eastAsia="Times New Roman" w:cs="Arial"/>
                <w:i/>
                <w:iCs/>
                <w:color w:val="000000"/>
                <w:lang w:eastAsia="bg-BG"/>
              </w:rPr>
            </w:pPr>
            <w:r w:rsidRPr="006741F3">
              <w:rPr>
                <w:rFonts w:cs="Arial"/>
              </w:rPr>
              <w:t xml:space="preserve">500 </w:t>
            </w:r>
            <w:r w:rsidRPr="006741F3">
              <w:rPr>
                <w:rFonts w:cs="Arial"/>
                <w:lang w:val="en-US"/>
              </w:rPr>
              <w:t>mg</w:t>
            </w:r>
          </w:p>
        </w:tc>
        <w:tc>
          <w:tcPr>
            <w:tcW w:w="3117" w:type="dxa"/>
          </w:tcPr>
          <w:p w14:paraId="54DCDA5F" w14:textId="02C4D5BA" w:rsidR="006741F3" w:rsidRPr="006741F3" w:rsidRDefault="006741F3" w:rsidP="006741F3">
            <w:pPr>
              <w:rPr>
                <w:rFonts w:eastAsia="Times New Roman" w:cs="Arial"/>
                <w:i/>
                <w:iCs/>
                <w:color w:val="000000"/>
                <w:lang w:eastAsia="bg-BG"/>
              </w:rPr>
            </w:pPr>
            <w:r w:rsidRPr="006741F3">
              <w:rPr>
                <w:rFonts w:cs="Arial"/>
              </w:rPr>
              <w:t>на всеки 12 часа</w:t>
            </w:r>
          </w:p>
        </w:tc>
      </w:tr>
      <w:tr w:rsidR="006741F3" w:rsidRPr="006741F3" w14:paraId="7E00C3C7" w14:textId="77777777" w:rsidTr="006741F3">
        <w:tc>
          <w:tcPr>
            <w:tcW w:w="3116" w:type="dxa"/>
          </w:tcPr>
          <w:p w14:paraId="5029585D" w14:textId="5447FF36" w:rsidR="006741F3" w:rsidRPr="006741F3" w:rsidRDefault="006741F3" w:rsidP="006741F3">
            <w:pPr>
              <w:rPr>
                <w:rFonts w:eastAsia="Times New Roman" w:cs="Arial"/>
                <w:i/>
                <w:iCs/>
                <w:color w:val="000000"/>
                <w:lang w:eastAsia="bg-BG"/>
              </w:rPr>
            </w:pPr>
            <w:r w:rsidRPr="006741F3">
              <w:rPr>
                <w:rFonts w:cs="Arial"/>
              </w:rPr>
              <w:t>Леки по степен инфекции, причинени от чувствителни Грам-положителни коки</w:t>
            </w:r>
          </w:p>
        </w:tc>
        <w:tc>
          <w:tcPr>
            <w:tcW w:w="3117" w:type="dxa"/>
          </w:tcPr>
          <w:p w14:paraId="5D2FC42C" w14:textId="69168EC3" w:rsidR="006741F3" w:rsidRPr="006741F3" w:rsidRDefault="006741F3" w:rsidP="006741F3">
            <w:pPr>
              <w:rPr>
                <w:rFonts w:eastAsia="Times New Roman" w:cs="Arial"/>
                <w:i/>
                <w:iCs/>
                <w:color w:val="000000"/>
                <w:lang w:eastAsia="bg-BG"/>
              </w:rPr>
            </w:pPr>
            <w:r w:rsidRPr="006741F3">
              <w:rPr>
                <w:rFonts w:cs="Arial"/>
              </w:rPr>
              <w:t xml:space="preserve">250 - 500 </w:t>
            </w:r>
            <w:r w:rsidRPr="006741F3">
              <w:rPr>
                <w:rFonts w:cs="Arial"/>
                <w:lang w:val="en-US"/>
              </w:rPr>
              <w:t>mg</w:t>
            </w:r>
          </w:p>
        </w:tc>
        <w:tc>
          <w:tcPr>
            <w:tcW w:w="3117" w:type="dxa"/>
          </w:tcPr>
          <w:p w14:paraId="0C85A467" w14:textId="216FBF02" w:rsidR="006741F3" w:rsidRPr="006741F3" w:rsidRDefault="006741F3" w:rsidP="006741F3">
            <w:pPr>
              <w:rPr>
                <w:rFonts w:eastAsia="Times New Roman" w:cs="Arial"/>
                <w:i/>
                <w:iCs/>
                <w:color w:val="000000"/>
                <w:lang w:eastAsia="bg-BG"/>
              </w:rPr>
            </w:pPr>
            <w:r w:rsidRPr="006741F3">
              <w:rPr>
                <w:rFonts w:cs="Arial"/>
              </w:rPr>
              <w:t>на всеки 8 часа</w:t>
            </w:r>
          </w:p>
        </w:tc>
      </w:tr>
      <w:tr w:rsidR="006741F3" w:rsidRPr="006741F3" w14:paraId="604029C6" w14:textId="77777777" w:rsidTr="006741F3">
        <w:tc>
          <w:tcPr>
            <w:tcW w:w="3116" w:type="dxa"/>
          </w:tcPr>
          <w:p w14:paraId="7E63AA9E" w14:textId="56FF8658" w:rsidR="006741F3" w:rsidRPr="006741F3" w:rsidRDefault="006741F3" w:rsidP="006741F3">
            <w:pPr>
              <w:rPr>
                <w:rFonts w:eastAsia="Times New Roman" w:cs="Arial"/>
                <w:i/>
                <w:iCs/>
                <w:color w:val="000000"/>
                <w:lang w:eastAsia="bg-BG"/>
              </w:rPr>
            </w:pPr>
            <w:r w:rsidRPr="006741F3">
              <w:rPr>
                <w:rFonts w:cs="Arial"/>
              </w:rPr>
              <w:t>Остри неусложнени инфекции на пикочните пътища</w:t>
            </w:r>
          </w:p>
        </w:tc>
        <w:tc>
          <w:tcPr>
            <w:tcW w:w="3117" w:type="dxa"/>
          </w:tcPr>
          <w:p w14:paraId="50955D05" w14:textId="23D1B6E9" w:rsidR="006741F3" w:rsidRPr="006741F3" w:rsidRDefault="006741F3" w:rsidP="006741F3">
            <w:pPr>
              <w:rPr>
                <w:rFonts w:eastAsia="Times New Roman" w:cs="Arial"/>
                <w:i/>
                <w:iCs/>
                <w:color w:val="000000"/>
                <w:lang w:eastAsia="bg-BG"/>
              </w:rPr>
            </w:pPr>
            <w:r w:rsidRPr="006741F3">
              <w:rPr>
                <w:rFonts w:cs="Arial"/>
              </w:rPr>
              <w:t xml:space="preserve">1 </w:t>
            </w:r>
            <w:r w:rsidRPr="006741F3">
              <w:rPr>
                <w:rFonts w:cs="Arial"/>
                <w:lang w:val="en-US"/>
              </w:rPr>
              <w:t>g</w:t>
            </w:r>
          </w:p>
        </w:tc>
        <w:tc>
          <w:tcPr>
            <w:tcW w:w="3117" w:type="dxa"/>
          </w:tcPr>
          <w:p w14:paraId="0D1E58C5" w14:textId="3F62D36C" w:rsidR="006741F3" w:rsidRPr="006741F3" w:rsidRDefault="006741F3" w:rsidP="006741F3">
            <w:pPr>
              <w:rPr>
                <w:rFonts w:eastAsia="Times New Roman" w:cs="Arial"/>
                <w:i/>
                <w:iCs/>
                <w:color w:val="000000"/>
                <w:lang w:eastAsia="bg-BG"/>
              </w:rPr>
            </w:pPr>
            <w:r w:rsidRPr="006741F3">
              <w:rPr>
                <w:rFonts w:cs="Arial"/>
              </w:rPr>
              <w:t>на всеки 12 часа</w:t>
            </w:r>
          </w:p>
        </w:tc>
      </w:tr>
      <w:tr w:rsidR="006741F3" w:rsidRPr="006741F3" w14:paraId="34662AE3" w14:textId="77777777" w:rsidTr="006741F3">
        <w:tc>
          <w:tcPr>
            <w:tcW w:w="3116" w:type="dxa"/>
          </w:tcPr>
          <w:p w14:paraId="188F7137" w14:textId="4D55BAB6" w:rsidR="006741F3" w:rsidRPr="006741F3" w:rsidRDefault="006741F3" w:rsidP="006741F3">
            <w:pPr>
              <w:rPr>
                <w:rFonts w:eastAsia="Times New Roman" w:cs="Arial"/>
                <w:i/>
                <w:iCs/>
                <w:color w:val="000000"/>
                <w:lang w:eastAsia="bg-BG"/>
              </w:rPr>
            </w:pPr>
            <w:r w:rsidRPr="006741F3">
              <w:rPr>
                <w:rFonts w:cs="Arial"/>
              </w:rPr>
              <w:t>Умерени до тежки инфекции</w:t>
            </w:r>
          </w:p>
        </w:tc>
        <w:tc>
          <w:tcPr>
            <w:tcW w:w="3117" w:type="dxa"/>
          </w:tcPr>
          <w:p w14:paraId="51F70E1E" w14:textId="6CE8C835" w:rsidR="006741F3" w:rsidRPr="006741F3" w:rsidRDefault="006741F3" w:rsidP="006741F3">
            <w:pPr>
              <w:rPr>
                <w:rFonts w:eastAsia="Times New Roman" w:cs="Arial"/>
                <w:i/>
                <w:iCs/>
                <w:color w:val="000000"/>
                <w:lang w:eastAsia="bg-BG"/>
              </w:rPr>
            </w:pPr>
            <w:r w:rsidRPr="006741F3">
              <w:rPr>
                <w:rFonts w:cs="Arial"/>
              </w:rPr>
              <w:t xml:space="preserve">500 </w:t>
            </w:r>
            <w:r w:rsidRPr="006741F3">
              <w:rPr>
                <w:rFonts w:cs="Arial"/>
                <w:lang w:val="en-US"/>
              </w:rPr>
              <w:t xml:space="preserve">mg </w:t>
            </w:r>
            <w:r w:rsidRPr="006741F3">
              <w:rPr>
                <w:rFonts w:cs="Arial"/>
              </w:rPr>
              <w:t xml:space="preserve">- 1 </w:t>
            </w:r>
            <w:r w:rsidRPr="006741F3">
              <w:rPr>
                <w:rFonts w:cs="Arial"/>
                <w:lang w:val="en-US"/>
              </w:rPr>
              <w:t>g</w:t>
            </w:r>
          </w:p>
        </w:tc>
        <w:tc>
          <w:tcPr>
            <w:tcW w:w="3117" w:type="dxa"/>
          </w:tcPr>
          <w:p w14:paraId="0DE56526" w14:textId="39558F44" w:rsidR="006741F3" w:rsidRPr="006741F3" w:rsidRDefault="006741F3" w:rsidP="006741F3">
            <w:pPr>
              <w:rPr>
                <w:rFonts w:eastAsia="Times New Roman" w:cs="Arial"/>
                <w:i/>
                <w:iCs/>
                <w:color w:val="000000"/>
                <w:lang w:eastAsia="bg-BG"/>
              </w:rPr>
            </w:pPr>
            <w:r w:rsidRPr="006741F3">
              <w:rPr>
                <w:rFonts w:cs="Arial"/>
              </w:rPr>
              <w:t>на всеки 6-8 часа</w:t>
            </w:r>
          </w:p>
        </w:tc>
      </w:tr>
      <w:tr w:rsidR="006741F3" w:rsidRPr="006741F3" w14:paraId="466AD1F4" w14:textId="77777777" w:rsidTr="006741F3">
        <w:tc>
          <w:tcPr>
            <w:tcW w:w="3116" w:type="dxa"/>
          </w:tcPr>
          <w:p w14:paraId="4E881643" w14:textId="226600D7" w:rsidR="006741F3" w:rsidRPr="006741F3" w:rsidRDefault="006741F3" w:rsidP="006741F3">
            <w:pPr>
              <w:rPr>
                <w:rFonts w:eastAsia="Times New Roman" w:cs="Arial"/>
                <w:i/>
                <w:iCs/>
                <w:color w:val="000000"/>
                <w:lang w:eastAsia="bg-BG"/>
              </w:rPr>
            </w:pPr>
            <w:r w:rsidRPr="006741F3">
              <w:rPr>
                <w:rFonts w:cs="Arial"/>
              </w:rPr>
              <w:t>Много тежки, животозастрашаващи инфекции (ендокардит и септицемия)</w:t>
            </w:r>
          </w:p>
        </w:tc>
        <w:tc>
          <w:tcPr>
            <w:tcW w:w="3117" w:type="dxa"/>
          </w:tcPr>
          <w:p w14:paraId="55CAF356" w14:textId="3E3B097A" w:rsidR="006741F3" w:rsidRPr="006741F3" w:rsidRDefault="006741F3" w:rsidP="006741F3">
            <w:pPr>
              <w:rPr>
                <w:rFonts w:eastAsia="Times New Roman" w:cs="Arial"/>
                <w:i/>
                <w:iCs/>
                <w:color w:val="000000"/>
                <w:lang w:eastAsia="bg-BG"/>
              </w:rPr>
            </w:pPr>
            <w:r w:rsidRPr="006741F3">
              <w:rPr>
                <w:rFonts w:cs="Arial"/>
                <w:lang w:val="en-US"/>
              </w:rPr>
              <w:t>1 g- 1.5 g</w:t>
            </w:r>
          </w:p>
        </w:tc>
        <w:tc>
          <w:tcPr>
            <w:tcW w:w="3117" w:type="dxa"/>
          </w:tcPr>
          <w:p w14:paraId="65E612C4" w14:textId="79E77132" w:rsidR="006741F3" w:rsidRPr="006741F3" w:rsidRDefault="006741F3" w:rsidP="006741F3">
            <w:pPr>
              <w:rPr>
                <w:rFonts w:eastAsia="Times New Roman" w:cs="Arial"/>
                <w:i/>
                <w:iCs/>
                <w:color w:val="000000"/>
                <w:lang w:eastAsia="bg-BG"/>
              </w:rPr>
            </w:pPr>
            <w:r w:rsidRPr="006741F3">
              <w:rPr>
                <w:rFonts w:cs="Arial"/>
              </w:rPr>
              <w:t>на всеки 6 часа</w:t>
            </w:r>
          </w:p>
        </w:tc>
      </w:tr>
    </w:tbl>
    <w:p w14:paraId="67D695A3" w14:textId="17923094" w:rsidR="006741F3" w:rsidRPr="006741F3" w:rsidRDefault="006741F3" w:rsidP="006741F3">
      <w:pPr>
        <w:rPr>
          <w:rFonts w:eastAsia="Times New Roman" w:cs="Arial"/>
          <w:i/>
          <w:iCs/>
          <w:color w:val="000000"/>
          <w:lang w:eastAsia="bg-BG"/>
        </w:rPr>
      </w:pPr>
    </w:p>
    <w:p w14:paraId="4E0309B5" w14:textId="77777777" w:rsidR="006741F3" w:rsidRPr="006741F3" w:rsidRDefault="006741F3" w:rsidP="006741F3">
      <w:pPr>
        <w:spacing w:line="240" w:lineRule="auto"/>
        <w:rPr>
          <w:rFonts w:eastAsia="Times New Roman" w:cs="Arial"/>
          <w:lang w:eastAsia="bg-BG"/>
        </w:rPr>
      </w:pPr>
      <w:r w:rsidRPr="006741F3">
        <w:rPr>
          <w:rFonts w:eastAsia="Times New Roman" w:cs="Arial"/>
          <w:color w:val="000000"/>
          <w:lang w:eastAsia="bg-BG"/>
        </w:rPr>
        <w:t xml:space="preserve">В изключителни случаи продуктът може да се прилага в доза до 12 </w:t>
      </w:r>
      <w:r w:rsidRPr="006741F3">
        <w:rPr>
          <w:rFonts w:eastAsia="Times New Roman" w:cs="Arial"/>
          <w:color w:val="000000"/>
          <w:lang w:val="en-US"/>
        </w:rPr>
        <w:t xml:space="preserve">g </w:t>
      </w:r>
      <w:r w:rsidRPr="006741F3">
        <w:rPr>
          <w:rFonts w:eastAsia="Times New Roman" w:cs="Arial"/>
          <w:color w:val="000000"/>
          <w:lang w:eastAsia="bg-BG"/>
        </w:rPr>
        <w:t>на ден.</w:t>
      </w:r>
    </w:p>
    <w:p w14:paraId="432BF24E" w14:textId="77777777" w:rsidR="006741F3" w:rsidRPr="006741F3" w:rsidRDefault="006741F3" w:rsidP="006741F3">
      <w:pPr>
        <w:rPr>
          <w:rFonts w:eastAsia="Times New Roman" w:cs="Arial"/>
          <w:i/>
          <w:iCs/>
          <w:color w:val="000000"/>
          <w:lang w:eastAsia="bg-BG"/>
        </w:rPr>
      </w:pPr>
    </w:p>
    <w:p w14:paraId="225A07D3" w14:textId="07FB74A1" w:rsidR="006741F3" w:rsidRPr="006741F3" w:rsidRDefault="006741F3" w:rsidP="006741F3">
      <w:pPr>
        <w:rPr>
          <w:rFonts w:eastAsia="Times New Roman" w:cs="Arial"/>
          <w:i/>
          <w:iCs/>
          <w:color w:val="000000"/>
          <w:lang w:eastAsia="bg-BG"/>
        </w:rPr>
      </w:pPr>
      <w:r w:rsidRPr="006741F3">
        <w:rPr>
          <w:rFonts w:eastAsia="Times New Roman" w:cs="Arial"/>
          <w:i/>
          <w:iCs/>
          <w:color w:val="000000"/>
          <w:lang w:eastAsia="bg-BG"/>
        </w:rPr>
        <w:t>Пациенти с бъбречна недостатъчност</w:t>
      </w:r>
    </w:p>
    <w:p w14:paraId="54B5F33E" w14:textId="6341788C" w:rsidR="006741F3" w:rsidRPr="006741F3" w:rsidRDefault="006741F3" w:rsidP="006741F3">
      <w:pPr>
        <w:rPr>
          <w:rFonts w:eastAsia="Times New Roman" w:cs="Arial"/>
          <w:i/>
          <w:iCs/>
          <w:color w:val="000000"/>
          <w:lang w:eastAsia="bg-BG"/>
        </w:rPr>
      </w:pPr>
    </w:p>
    <w:tbl>
      <w:tblPr>
        <w:tblStyle w:val="TableGrid"/>
        <w:tblW w:w="0" w:type="auto"/>
        <w:tblLook w:val="04A0" w:firstRow="1" w:lastRow="0" w:firstColumn="1" w:lastColumn="0" w:noHBand="0" w:noVBand="1"/>
      </w:tblPr>
      <w:tblGrid>
        <w:gridCol w:w="3116"/>
        <w:gridCol w:w="3117"/>
        <w:gridCol w:w="3117"/>
      </w:tblGrid>
      <w:tr w:rsidR="006741F3" w:rsidRPr="006741F3" w14:paraId="40BAB665" w14:textId="77777777" w:rsidTr="006741F3">
        <w:tc>
          <w:tcPr>
            <w:tcW w:w="3116" w:type="dxa"/>
          </w:tcPr>
          <w:p w14:paraId="369ED0CD" w14:textId="2C35B20F" w:rsidR="006741F3" w:rsidRPr="006741F3" w:rsidRDefault="006741F3" w:rsidP="006741F3">
            <w:pPr>
              <w:rPr>
                <w:rFonts w:eastAsia="Times New Roman" w:cs="Arial"/>
                <w:i/>
                <w:iCs/>
                <w:color w:val="000000"/>
                <w:lang w:eastAsia="bg-BG"/>
              </w:rPr>
            </w:pPr>
            <w:r w:rsidRPr="006741F3">
              <w:rPr>
                <w:rFonts w:cs="Arial"/>
                <w:b/>
                <w:bCs/>
              </w:rPr>
              <w:lastRenderedPageBreak/>
              <w:t xml:space="preserve">Креатининов клнрънс </w:t>
            </w:r>
            <w:r w:rsidRPr="006741F3">
              <w:rPr>
                <w:rFonts w:cs="Arial"/>
                <w:b/>
                <w:bCs/>
                <w:lang w:val="en-US"/>
              </w:rPr>
              <w:t>(ml/min)</w:t>
            </w:r>
          </w:p>
        </w:tc>
        <w:tc>
          <w:tcPr>
            <w:tcW w:w="3117" w:type="dxa"/>
          </w:tcPr>
          <w:p w14:paraId="05BD28AF" w14:textId="22FCB6C7" w:rsidR="006741F3" w:rsidRPr="006741F3" w:rsidRDefault="006741F3" w:rsidP="006741F3">
            <w:pPr>
              <w:rPr>
                <w:rFonts w:eastAsia="Times New Roman" w:cs="Arial"/>
                <w:i/>
                <w:iCs/>
                <w:color w:val="000000"/>
                <w:lang w:eastAsia="bg-BG"/>
              </w:rPr>
            </w:pPr>
            <w:r w:rsidRPr="006741F3">
              <w:rPr>
                <w:rFonts w:cs="Arial"/>
                <w:b/>
                <w:bCs/>
              </w:rPr>
              <w:t xml:space="preserve">Концентрация на креатиннн в кръвта </w:t>
            </w:r>
            <w:r w:rsidRPr="006741F3">
              <w:rPr>
                <w:rFonts w:cs="Arial"/>
                <w:b/>
                <w:bCs/>
                <w:lang w:val="en-US"/>
              </w:rPr>
              <w:t>(mg%)</w:t>
            </w:r>
          </w:p>
        </w:tc>
        <w:tc>
          <w:tcPr>
            <w:tcW w:w="3117" w:type="dxa"/>
          </w:tcPr>
          <w:p w14:paraId="44CE7DBE" w14:textId="53FCB527" w:rsidR="006741F3" w:rsidRPr="006741F3" w:rsidRDefault="006741F3" w:rsidP="006741F3">
            <w:pPr>
              <w:rPr>
                <w:rFonts w:eastAsia="Times New Roman" w:cs="Arial"/>
                <w:i/>
                <w:iCs/>
                <w:color w:val="000000"/>
                <w:lang w:eastAsia="bg-BG"/>
              </w:rPr>
            </w:pPr>
            <w:r w:rsidRPr="006741F3">
              <w:rPr>
                <w:rFonts w:cs="Arial"/>
                <w:b/>
                <w:bCs/>
              </w:rPr>
              <w:t>Намаляване на дозата</w:t>
            </w:r>
          </w:p>
        </w:tc>
      </w:tr>
      <w:tr w:rsidR="006741F3" w:rsidRPr="006741F3" w14:paraId="58A02F30" w14:textId="77777777" w:rsidTr="006741F3">
        <w:tc>
          <w:tcPr>
            <w:tcW w:w="3116" w:type="dxa"/>
          </w:tcPr>
          <w:p w14:paraId="55F40866" w14:textId="20BE703D" w:rsidR="006741F3" w:rsidRPr="006741F3" w:rsidRDefault="006741F3" w:rsidP="006741F3">
            <w:pPr>
              <w:rPr>
                <w:rFonts w:eastAsia="Times New Roman" w:cs="Arial"/>
                <w:i/>
                <w:iCs/>
                <w:color w:val="000000"/>
                <w:lang w:eastAsia="bg-BG"/>
              </w:rPr>
            </w:pPr>
            <w:r w:rsidRPr="006741F3">
              <w:rPr>
                <w:rFonts w:cs="Arial"/>
              </w:rPr>
              <w:t>≥55</w:t>
            </w:r>
          </w:p>
        </w:tc>
        <w:tc>
          <w:tcPr>
            <w:tcW w:w="3117" w:type="dxa"/>
          </w:tcPr>
          <w:p w14:paraId="0DF30461" w14:textId="44E48A2F" w:rsidR="006741F3" w:rsidRPr="006741F3" w:rsidRDefault="006741F3" w:rsidP="006741F3">
            <w:pPr>
              <w:rPr>
                <w:rFonts w:eastAsia="Times New Roman" w:cs="Arial"/>
                <w:i/>
                <w:iCs/>
                <w:color w:val="000000"/>
                <w:lang w:eastAsia="bg-BG"/>
              </w:rPr>
            </w:pPr>
            <w:r w:rsidRPr="006741F3">
              <w:rPr>
                <w:rFonts w:cs="Arial"/>
              </w:rPr>
              <w:t>≤1,5</w:t>
            </w:r>
          </w:p>
        </w:tc>
        <w:tc>
          <w:tcPr>
            <w:tcW w:w="3117" w:type="dxa"/>
          </w:tcPr>
          <w:p w14:paraId="3EFBB01D" w14:textId="0E96057E" w:rsidR="006741F3" w:rsidRPr="006741F3" w:rsidRDefault="006741F3" w:rsidP="006741F3">
            <w:pPr>
              <w:rPr>
                <w:rFonts w:eastAsia="Times New Roman" w:cs="Arial"/>
                <w:i/>
                <w:iCs/>
                <w:color w:val="000000"/>
                <w:lang w:eastAsia="bg-BG"/>
              </w:rPr>
            </w:pPr>
            <w:r w:rsidRPr="006741F3">
              <w:rPr>
                <w:rFonts w:cs="Arial"/>
              </w:rPr>
              <w:t>Обичайна доза</w:t>
            </w:r>
          </w:p>
        </w:tc>
      </w:tr>
      <w:tr w:rsidR="006741F3" w:rsidRPr="006741F3" w14:paraId="5254DB2C" w14:textId="77777777" w:rsidTr="006741F3">
        <w:tc>
          <w:tcPr>
            <w:tcW w:w="3116" w:type="dxa"/>
          </w:tcPr>
          <w:p w14:paraId="143F186F" w14:textId="2C5D7323" w:rsidR="006741F3" w:rsidRPr="006741F3" w:rsidRDefault="006741F3" w:rsidP="006741F3">
            <w:pPr>
              <w:rPr>
                <w:rFonts w:eastAsia="Times New Roman" w:cs="Arial"/>
                <w:i/>
                <w:iCs/>
                <w:color w:val="000000"/>
                <w:lang w:eastAsia="bg-BG"/>
              </w:rPr>
            </w:pPr>
            <w:r w:rsidRPr="006741F3">
              <w:rPr>
                <w:rFonts w:cs="Arial"/>
              </w:rPr>
              <w:t>35-54</w:t>
            </w:r>
          </w:p>
        </w:tc>
        <w:tc>
          <w:tcPr>
            <w:tcW w:w="3117" w:type="dxa"/>
          </w:tcPr>
          <w:p w14:paraId="5399258D" w14:textId="1816E0AE" w:rsidR="006741F3" w:rsidRPr="006741F3" w:rsidRDefault="006741F3" w:rsidP="006741F3">
            <w:pPr>
              <w:rPr>
                <w:rFonts w:eastAsia="Times New Roman" w:cs="Arial"/>
                <w:i/>
                <w:iCs/>
                <w:color w:val="000000"/>
                <w:lang w:eastAsia="bg-BG"/>
              </w:rPr>
            </w:pPr>
            <w:r w:rsidRPr="006741F3">
              <w:rPr>
                <w:rFonts w:cs="Arial"/>
              </w:rPr>
              <w:t>1,6-3,0</w:t>
            </w:r>
          </w:p>
        </w:tc>
        <w:tc>
          <w:tcPr>
            <w:tcW w:w="3117" w:type="dxa"/>
          </w:tcPr>
          <w:p w14:paraId="35427A26" w14:textId="40B63A51" w:rsidR="006741F3" w:rsidRPr="006741F3" w:rsidRDefault="006741F3" w:rsidP="006741F3">
            <w:pPr>
              <w:rPr>
                <w:rFonts w:eastAsia="Times New Roman" w:cs="Arial"/>
                <w:i/>
                <w:iCs/>
                <w:color w:val="000000"/>
                <w:lang w:eastAsia="bg-BG"/>
              </w:rPr>
            </w:pPr>
            <w:r w:rsidRPr="006741F3">
              <w:rPr>
                <w:rFonts w:cs="Arial"/>
              </w:rPr>
              <w:t>Обичайна доза, на всеки 8 часа</w:t>
            </w:r>
          </w:p>
        </w:tc>
      </w:tr>
      <w:tr w:rsidR="006741F3" w:rsidRPr="006741F3" w14:paraId="212EE23C" w14:textId="77777777" w:rsidTr="006741F3">
        <w:tc>
          <w:tcPr>
            <w:tcW w:w="3116" w:type="dxa"/>
          </w:tcPr>
          <w:p w14:paraId="1C68F8E2" w14:textId="29E81DBA" w:rsidR="006741F3" w:rsidRPr="006741F3" w:rsidRDefault="006741F3" w:rsidP="006741F3">
            <w:pPr>
              <w:rPr>
                <w:rFonts w:eastAsia="Times New Roman" w:cs="Arial"/>
                <w:i/>
                <w:iCs/>
                <w:color w:val="000000"/>
                <w:lang w:eastAsia="bg-BG"/>
              </w:rPr>
            </w:pPr>
            <w:r w:rsidRPr="006741F3">
              <w:rPr>
                <w:rFonts w:cs="Arial"/>
              </w:rPr>
              <w:t>11-34</w:t>
            </w:r>
          </w:p>
        </w:tc>
        <w:tc>
          <w:tcPr>
            <w:tcW w:w="3117" w:type="dxa"/>
          </w:tcPr>
          <w:p w14:paraId="0220BE09" w14:textId="48C93C6A" w:rsidR="006741F3" w:rsidRPr="006741F3" w:rsidRDefault="006741F3" w:rsidP="006741F3">
            <w:pPr>
              <w:rPr>
                <w:rFonts w:eastAsia="Times New Roman" w:cs="Arial"/>
                <w:i/>
                <w:iCs/>
                <w:color w:val="000000"/>
                <w:lang w:eastAsia="bg-BG"/>
              </w:rPr>
            </w:pPr>
            <w:r w:rsidRPr="006741F3">
              <w:rPr>
                <w:rFonts w:cs="Arial"/>
              </w:rPr>
              <w:t>3,1-4,5</w:t>
            </w:r>
          </w:p>
        </w:tc>
        <w:tc>
          <w:tcPr>
            <w:tcW w:w="3117" w:type="dxa"/>
          </w:tcPr>
          <w:p w14:paraId="3D272122" w14:textId="6B1F9229" w:rsidR="006741F3" w:rsidRPr="006741F3" w:rsidRDefault="006741F3" w:rsidP="006741F3">
            <w:pPr>
              <w:rPr>
                <w:rFonts w:eastAsia="Times New Roman" w:cs="Arial"/>
                <w:i/>
                <w:iCs/>
                <w:color w:val="000000"/>
                <w:lang w:eastAsia="bg-BG"/>
              </w:rPr>
            </w:pPr>
            <w:r w:rsidRPr="006741F3">
              <w:rPr>
                <w:rFonts w:cs="Arial"/>
              </w:rPr>
              <w:t>50% от обичайната доза, на всеки 12 часа</w:t>
            </w:r>
          </w:p>
        </w:tc>
      </w:tr>
      <w:tr w:rsidR="006741F3" w:rsidRPr="006741F3" w14:paraId="2A54F044" w14:textId="77777777" w:rsidTr="006741F3">
        <w:tc>
          <w:tcPr>
            <w:tcW w:w="3116" w:type="dxa"/>
          </w:tcPr>
          <w:p w14:paraId="1EA9C9DA" w14:textId="35371F10" w:rsidR="006741F3" w:rsidRPr="006741F3" w:rsidRDefault="006741F3" w:rsidP="006741F3">
            <w:pPr>
              <w:rPr>
                <w:rFonts w:eastAsia="Times New Roman" w:cs="Arial"/>
                <w:i/>
                <w:iCs/>
                <w:color w:val="000000"/>
                <w:lang w:eastAsia="bg-BG"/>
              </w:rPr>
            </w:pPr>
            <w:r w:rsidRPr="006741F3">
              <w:rPr>
                <w:rFonts w:cs="Arial"/>
              </w:rPr>
              <w:t>≤10</w:t>
            </w:r>
          </w:p>
        </w:tc>
        <w:tc>
          <w:tcPr>
            <w:tcW w:w="3117" w:type="dxa"/>
          </w:tcPr>
          <w:p w14:paraId="72B1708E" w14:textId="1EAF7F82" w:rsidR="006741F3" w:rsidRPr="006741F3" w:rsidRDefault="006741F3" w:rsidP="006741F3">
            <w:pPr>
              <w:rPr>
                <w:rFonts w:eastAsia="Times New Roman" w:cs="Arial"/>
                <w:i/>
                <w:iCs/>
                <w:color w:val="000000"/>
                <w:lang w:eastAsia="bg-BG"/>
              </w:rPr>
            </w:pPr>
            <w:r w:rsidRPr="006741F3">
              <w:rPr>
                <w:rFonts w:cs="Arial"/>
              </w:rPr>
              <w:t>≥4,6</w:t>
            </w:r>
          </w:p>
        </w:tc>
        <w:tc>
          <w:tcPr>
            <w:tcW w:w="3117" w:type="dxa"/>
          </w:tcPr>
          <w:p w14:paraId="1C37F8EA" w14:textId="4DBB57C5" w:rsidR="006741F3" w:rsidRPr="006741F3" w:rsidRDefault="006741F3" w:rsidP="006741F3">
            <w:pPr>
              <w:rPr>
                <w:rFonts w:eastAsia="Times New Roman" w:cs="Arial"/>
                <w:i/>
                <w:iCs/>
                <w:color w:val="000000"/>
                <w:lang w:eastAsia="bg-BG"/>
              </w:rPr>
            </w:pPr>
            <w:r w:rsidRPr="006741F3">
              <w:rPr>
                <w:rFonts w:cs="Arial"/>
              </w:rPr>
              <w:t>50% от обичайната доза, на всеки 18-24 часа</w:t>
            </w:r>
          </w:p>
        </w:tc>
      </w:tr>
    </w:tbl>
    <w:p w14:paraId="61BA89B2" w14:textId="4C414EA6" w:rsidR="006741F3" w:rsidRPr="006741F3" w:rsidRDefault="006741F3" w:rsidP="006741F3">
      <w:pPr>
        <w:rPr>
          <w:rFonts w:eastAsia="Times New Roman" w:cs="Arial"/>
          <w:i/>
          <w:iCs/>
          <w:color w:val="000000"/>
          <w:lang w:eastAsia="bg-BG"/>
        </w:rPr>
      </w:pPr>
    </w:p>
    <w:p w14:paraId="0073201C" w14:textId="5BA37191" w:rsidR="006741F3" w:rsidRPr="006741F3" w:rsidRDefault="006741F3" w:rsidP="006741F3">
      <w:pPr>
        <w:rPr>
          <w:rFonts w:eastAsia="Times New Roman" w:cs="Arial"/>
          <w:i/>
          <w:iCs/>
          <w:color w:val="000000"/>
          <w:lang w:eastAsia="bg-BG"/>
        </w:rPr>
      </w:pPr>
    </w:p>
    <w:p w14:paraId="30BF08AB" w14:textId="77777777" w:rsidR="006741F3" w:rsidRPr="006741F3" w:rsidRDefault="006741F3" w:rsidP="006741F3">
      <w:pPr>
        <w:spacing w:line="240" w:lineRule="auto"/>
        <w:rPr>
          <w:rFonts w:eastAsia="Times New Roman" w:cs="Arial"/>
          <w:lang w:eastAsia="bg-BG"/>
        </w:rPr>
      </w:pPr>
      <w:r w:rsidRPr="006741F3">
        <w:rPr>
          <w:rFonts w:eastAsia="Times New Roman" w:cs="Arial"/>
          <w:color w:val="000000"/>
          <w:lang w:eastAsia="bg-BG"/>
        </w:rPr>
        <w:t>Намаляването на дозата се препоръчва след прилагането на първоначална обичайна натоварваща доза в зависимост от вида на инфекцията.</w:t>
      </w:r>
    </w:p>
    <w:p w14:paraId="793664E3" w14:textId="77777777" w:rsidR="006741F3" w:rsidRPr="006741F3" w:rsidRDefault="006741F3" w:rsidP="006741F3">
      <w:pPr>
        <w:spacing w:line="240" w:lineRule="auto"/>
        <w:rPr>
          <w:rFonts w:eastAsia="Times New Roman" w:cs="Arial"/>
          <w:color w:val="000000"/>
          <w:lang w:eastAsia="bg-BG"/>
        </w:rPr>
      </w:pPr>
    </w:p>
    <w:p w14:paraId="2BBC58E5" w14:textId="40CFA694" w:rsidR="006741F3" w:rsidRPr="006741F3" w:rsidRDefault="006741F3" w:rsidP="006741F3">
      <w:pPr>
        <w:spacing w:line="240" w:lineRule="auto"/>
        <w:rPr>
          <w:rFonts w:eastAsia="Times New Roman" w:cs="Arial"/>
          <w:lang w:eastAsia="bg-BG"/>
        </w:rPr>
      </w:pPr>
      <w:r w:rsidRPr="006741F3">
        <w:rPr>
          <w:rFonts w:eastAsia="Times New Roman" w:cs="Arial"/>
          <w:color w:val="000000"/>
          <w:lang w:eastAsia="bg-BG"/>
        </w:rPr>
        <w:t>При пациенти на перитонеална диализа (2</w:t>
      </w:r>
      <w:r w:rsidRPr="006741F3">
        <w:rPr>
          <w:rFonts w:eastAsia="Times New Roman" w:cs="Arial"/>
          <w:color w:val="000000"/>
          <w:lang w:val="en-US"/>
        </w:rPr>
        <w:t xml:space="preserve">1/h), </w:t>
      </w:r>
      <w:r w:rsidRPr="006741F3">
        <w:rPr>
          <w:rFonts w:eastAsia="Times New Roman" w:cs="Arial"/>
          <w:color w:val="000000"/>
          <w:lang w:eastAsia="bg-BG"/>
        </w:rPr>
        <w:t>средните плазмени концентрации са приблизително 10 и 30 μ</w:t>
      </w:r>
      <w:r w:rsidRPr="006741F3">
        <w:rPr>
          <w:rFonts w:eastAsia="Times New Roman" w:cs="Arial"/>
          <w:color w:val="000000"/>
          <w:lang w:val="en-US"/>
        </w:rPr>
        <w:t xml:space="preserve">g/ml </w:t>
      </w:r>
      <w:r w:rsidRPr="006741F3">
        <w:rPr>
          <w:rFonts w:eastAsia="Times New Roman" w:cs="Arial"/>
          <w:color w:val="000000"/>
          <w:lang w:eastAsia="bg-BG"/>
        </w:rPr>
        <w:t xml:space="preserve">след 24 часово приложение на диализен разтвор, съдържащ 50 </w:t>
      </w:r>
      <w:r w:rsidRPr="006741F3">
        <w:rPr>
          <w:rFonts w:eastAsia="Times New Roman" w:cs="Arial"/>
          <w:color w:val="000000"/>
          <w:lang w:val="en-US"/>
        </w:rPr>
        <w:t xml:space="preserve">mg/ml </w:t>
      </w:r>
      <w:r w:rsidRPr="006741F3">
        <w:rPr>
          <w:rFonts w:eastAsia="Times New Roman" w:cs="Arial"/>
          <w:color w:val="000000"/>
          <w:lang w:eastAsia="bg-BG"/>
        </w:rPr>
        <w:t xml:space="preserve">и 150 </w:t>
      </w:r>
      <w:r w:rsidRPr="006741F3">
        <w:rPr>
          <w:rFonts w:eastAsia="Times New Roman" w:cs="Arial"/>
          <w:color w:val="000000"/>
          <w:lang w:val="en-US"/>
        </w:rPr>
        <w:t>mg/ml.</w:t>
      </w:r>
    </w:p>
    <w:p w14:paraId="0591AE12" w14:textId="77777777" w:rsidR="006741F3" w:rsidRPr="006741F3" w:rsidRDefault="006741F3" w:rsidP="006741F3">
      <w:pPr>
        <w:spacing w:line="240" w:lineRule="auto"/>
        <w:rPr>
          <w:rFonts w:eastAsia="Times New Roman" w:cs="Arial"/>
          <w:i/>
          <w:iCs/>
          <w:color w:val="000000"/>
          <w:lang w:eastAsia="bg-BG"/>
        </w:rPr>
      </w:pPr>
    </w:p>
    <w:p w14:paraId="73AB1BAF" w14:textId="484476E3" w:rsidR="006741F3" w:rsidRPr="006741F3" w:rsidRDefault="006741F3" w:rsidP="006741F3">
      <w:pPr>
        <w:spacing w:line="240" w:lineRule="auto"/>
        <w:rPr>
          <w:rFonts w:eastAsia="Times New Roman" w:cs="Arial"/>
          <w:lang w:eastAsia="bg-BG"/>
        </w:rPr>
      </w:pPr>
      <w:r w:rsidRPr="006741F3">
        <w:rPr>
          <w:rFonts w:eastAsia="Times New Roman" w:cs="Arial"/>
          <w:i/>
          <w:iCs/>
          <w:color w:val="000000"/>
          <w:lang w:eastAsia="bg-BG"/>
        </w:rPr>
        <w:t>Педиатрична популация</w:t>
      </w:r>
    </w:p>
    <w:p w14:paraId="2848A5A4" w14:textId="35082625" w:rsidR="006741F3" w:rsidRDefault="006741F3" w:rsidP="006741F3">
      <w:pPr>
        <w:spacing w:line="240" w:lineRule="auto"/>
        <w:rPr>
          <w:rFonts w:eastAsia="Times New Roman" w:cs="Arial"/>
          <w:color w:val="000000"/>
          <w:lang w:eastAsia="bg-BG"/>
        </w:rPr>
      </w:pPr>
      <w:r w:rsidRPr="006741F3">
        <w:rPr>
          <w:rFonts w:eastAsia="Times New Roman" w:cs="Arial"/>
          <w:color w:val="000000"/>
          <w:lang w:eastAsia="bg-BG"/>
        </w:rPr>
        <w:t xml:space="preserve">Препоръчва се обща дневна доза от 25-50 </w:t>
      </w:r>
      <w:r w:rsidRPr="006741F3">
        <w:rPr>
          <w:rFonts w:eastAsia="Times New Roman" w:cs="Arial"/>
          <w:color w:val="000000"/>
          <w:lang w:val="en-US"/>
        </w:rPr>
        <w:t xml:space="preserve">mg/kg </w:t>
      </w:r>
      <w:r w:rsidRPr="006741F3">
        <w:rPr>
          <w:rFonts w:eastAsia="Times New Roman" w:cs="Arial"/>
          <w:color w:val="000000"/>
          <w:lang w:eastAsia="bg-BG"/>
        </w:rPr>
        <w:t>т.т.</w:t>
      </w:r>
      <w:r w:rsidRPr="006741F3">
        <w:rPr>
          <w:rFonts w:eastAsia="Times New Roman" w:cs="Arial"/>
          <w:color w:val="000000"/>
          <w:lang w:val="en-US"/>
        </w:rPr>
        <w:t xml:space="preserve">, </w:t>
      </w:r>
      <w:r w:rsidRPr="006741F3">
        <w:rPr>
          <w:rFonts w:eastAsia="Times New Roman" w:cs="Arial"/>
          <w:color w:val="000000"/>
          <w:lang w:eastAsia="bg-BG"/>
        </w:rPr>
        <w:t>разпределена в 3-4 равни приема. Тази</w:t>
      </w:r>
      <w:r>
        <w:rPr>
          <w:rFonts w:eastAsia="Times New Roman" w:cs="Arial"/>
          <w:lang w:eastAsia="bg-BG"/>
        </w:rPr>
        <w:t xml:space="preserve"> </w:t>
      </w:r>
      <w:r w:rsidRPr="006741F3">
        <w:rPr>
          <w:rFonts w:eastAsia="Times New Roman" w:cs="Arial"/>
          <w:color w:val="000000"/>
          <w:lang w:eastAsia="bg-BG"/>
        </w:rPr>
        <w:t xml:space="preserve">дозировка е ефикасна при повечето леки до умерено тежки инфекции. Общата дневна доза може да бъде увеличена до 100 </w:t>
      </w:r>
      <w:r w:rsidRPr="006741F3">
        <w:rPr>
          <w:rFonts w:eastAsia="Times New Roman" w:cs="Arial"/>
          <w:color w:val="000000"/>
          <w:lang w:val="en-US"/>
        </w:rPr>
        <w:t>mg/kg</w:t>
      </w:r>
      <w:r w:rsidRPr="006741F3">
        <w:rPr>
          <w:rFonts w:eastAsia="Times New Roman" w:cs="Arial"/>
          <w:color w:val="000000"/>
          <w:lang w:eastAsia="bg-BG"/>
        </w:rPr>
        <w:t xml:space="preserve"> т.т. при тежки инфекции.</w:t>
      </w:r>
    </w:p>
    <w:p w14:paraId="14AC1C5B" w14:textId="29C88A67" w:rsidR="006741F3" w:rsidRDefault="006741F3" w:rsidP="006741F3">
      <w:pPr>
        <w:spacing w:line="240" w:lineRule="auto"/>
        <w:rPr>
          <w:rFonts w:eastAsia="Times New Roman" w:cs="Arial"/>
          <w:lang w:eastAsia="bg-BG"/>
        </w:rPr>
      </w:pPr>
    </w:p>
    <w:tbl>
      <w:tblPr>
        <w:tblStyle w:val="TableGrid"/>
        <w:tblW w:w="0" w:type="auto"/>
        <w:tblLook w:val="04A0" w:firstRow="1" w:lastRow="0" w:firstColumn="1" w:lastColumn="0" w:noHBand="0" w:noVBand="1"/>
      </w:tblPr>
      <w:tblGrid>
        <w:gridCol w:w="1870"/>
        <w:gridCol w:w="1870"/>
        <w:gridCol w:w="1870"/>
        <w:gridCol w:w="1870"/>
        <w:gridCol w:w="1870"/>
      </w:tblGrid>
      <w:tr w:rsidR="006741F3" w14:paraId="01D49CD6" w14:textId="77777777" w:rsidTr="00596BEE">
        <w:tc>
          <w:tcPr>
            <w:tcW w:w="1870" w:type="dxa"/>
          </w:tcPr>
          <w:p w14:paraId="05C83B42" w14:textId="04B52BC7" w:rsidR="006741F3" w:rsidRPr="006741F3" w:rsidRDefault="006741F3" w:rsidP="006741F3">
            <w:pPr>
              <w:spacing w:line="240" w:lineRule="auto"/>
              <w:rPr>
                <w:rFonts w:eastAsia="Times New Roman" w:cs="Arial"/>
                <w:lang w:eastAsia="bg-BG"/>
              </w:rPr>
            </w:pPr>
            <w:r w:rsidRPr="006741F3">
              <w:rPr>
                <w:b/>
                <w:bCs/>
              </w:rPr>
              <w:t>Тегло</w:t>
            </w:r>
          </w:p>
        </w:tc>
        <w:tc>
          <w:tcPr>
            <w:tcW w:w="3740" w:type="dxa"/>
            <w:gridSpan w:val="2"/>
          </w:tcPr>
          <w:p w14:paraId="2EBC0ABD" w14:textId="41D5A61E" w:rsidR="006741F3" w:rsidRPr="006741F3" w:rsidRDefault="006741F3" w:rsidP="006741F3">
            <w:pPr>
              <w:spacing w:line="240" w:lineRule="auto"/>
              <w:rPr>
                <w:rFonts w:eastAsia="Times New Roman" w:cs="Arial"/>
                <w:lang w:eastAsia="bg-BG"/>
              </w:rPr>
            </w:pPr>
            <w:r w:rsidRPr="006741F3">
              <w:rPr>
                <w:b/>
                <w:bCs/>
              </w:rPr>
              <w:t xml:space="preserve">25 </w:t>
            </w:r>
            <w:r w:rsidRPr="006741F3">
              <w:rPr>
                <w:b/>
                <w:bCs/>
                <w:lang w:val="en-US"/>
              </w:rPr>
              <w:t xml:space="preserve">mg/kg </w:t>
            </w:r>
            <w:r w:rsidRPr="006741F3">
              <w:rPr>
                <w:b/>
                <w:bCs/>
              </w:rPr>
              <w:t>дневно, в 3 равни приема</w:t>
            </w:r>
          </w:p>
        </w:tc>
        <w:tc>
          <w:tcPr>
            <w:tcW w:w="3740" w:type="dxa"/>
            <w:gridSpan w:val="2"/>
          </w:tcPr>
          <w:p w14:paraId="4B7E4C8F" w14:textId="77777777" w:rsidR="006741F3" w:rsidRPr="006741F3" w:rsidRDefault="006741F3" w:rsidP="006741F3">
            <w:pPr>
              <w:spacing w:line="240" w:lineRule="auto"/>
              <w:rPr>
                <w:rFonts w:eastAsia="Times New Roman" w:cs="Arial"/>
                <w:lang w:eastAsia="bg-BG"/>
              </w:rPr>
            </w:pPr>
            <w:r w:rsidRPr="006741F3">
              <w:rPr>
                <w:b/>
                <w:bCs/>
                <w:i/>
                <w:iCs/>
              </w:rPr>
              <w:t>25</w:t>
            </w:r>
            <w:r w:rsidRPr="006741F3">
              <w:rPr>
                <w:b/>
                <w:bCs/>
              </w:rPr>
              <w:t xml:space="preserve"> </w:t>
            </w:r>
            <w:r w:rsidRPr="006741F3">
              <w:rPr>
                <w:b/>
                <w:bCs/>
                <w:lang w:val="en-US"/>
              </w:rPr>
              <w:t xml:space="preserve">mg/kg </w:t>
            </w:r>
            <w:r w:rsidRPr="006741F3">
              <w:rPr>
                <w:b/>
                <w:bCs/>
              </w:rPr>
              <w:t>дневно, в 4</w:t>
            </w:r>
          </w:p>
          <w:p w14:paraId="0D333DC0" w14:textId="4DBFA087" w:rsidR="006741F3" w:rsidRPr="006741F3" w:rsidRDefault="006741F3" w:rsidP="006741F3">
            <w:pPr>
              <w:spacing w:line="240" w:lineRule="auto"/>
              <w:rPr>
                <w:rFonts w:eastAsia="Times New Roman" w:cs="Arial"/>
                <w:lang w:eastAsia="bg-BG"/>
              </w:rPr>
            </w:pPr>
            <w:r w:rsidRPr="006741F3">
              <w:rPr>
                <w:b/>
                <w:bCs/>
              </w:rPr>
              <w:t>равни приема</w:t>
            </w:r>
          </w:p>
        </w:tc>
      </w:tr>
      <w:tr w:rsidR="006741F3" w14:paraId="743BE2C7" w14:textId="77777777" w:rsidTr="006741F3">
        <w:tc>
          <w:tcPr>
            <w:tcW w:w="1870" w:type="dxa"/>
          </w:tcPr>
          <w:p w14:paraId="5491660D" w14:textId="355D21FF" w:rsidR="006741F3" w:rsidRPr="006741F3" w:rsidRDefault="006741F3" w:rsidP="006741F3">
            <w:pPr>
              <w:spacing w:line="240" w:lineRule="auto"/>
              <w:rPr>
                <w:rFonts w:eastAsia="Times New Roman" w:cs="Arial"/>
                <w:lang w:eastAsia="bg-BG"/>
              </w:rPr>
            </w:pPr>
            <w:r w:rsidRPr="006741F3">
              <w:rPr>
                <w:lang w:val="en-US"/>
              </w:rPr>
              <w:t>kg</w:t>
            </w:r>
          </w:p>
        </w:tc>
        <w:tc>
          <w:tcPr>
            <w:tcW w:w="1870" w:type="dxa"/>
          </w:tcPr>
          <w:p w14:paraId="6904F649" w14:textId="7DB52567" w:rsidR="006741F3" w:rsidRPr="006741F3" w:rsidRDefault="006741F3" w:rsidP="006741F3">
            <w:pPr>
              <w:spacing w:line="240" w:lineRule="auto"/>
              <w:rPr>
                <w:rFonts w:eastAsia="Times New Roman" w:cs="Arial"/>
                <w:lang w:eastAsia="bg-BG"/>
              </w:rPr>
            </w:pPr>
            <w:r w:rsidRPr="006741F3">
              <w:t xml:space="preserve">Единична доза в </w:t>
            </w:r>
            <w:r w:rsidRPr="006741F3">
              <w:rPr>
                <w:lang w:val="en-US"/>
              </w:rPr>
              <w:t xml:space="preserve">mg </w:t>
            </w:r>
            <w:r w:rsidRPr="006741F3">
              <w:t>(на 8 часа)</w:t>
            </w:r>
          </w:p>
        </w:tc>
        <w:tc>
          <w:tcPr>
            <w:tcW w:w="1870" w:type="dxa"/>
          </w:tcPr>
          <w:p w14:paraId="7E693F22" w14:textId="2968E006" w:rsidR="006741F3" w:rsidRPr="006741F3" w:rsidRDefault="006741F3" w:rsidP="006741F3">
            <w:pPr>
              <w:spacing w:line="240" w:lineRule="auto"/>
              <w:rPr>
                <w:rFonts w:eastAsia="Times New Roman" w:cs="Arial"/>
                <w:lang w:eastAsia="bg-BG"/>
              </w:rPr>
            </w:pPr>
            <w:r w:rsidRPr="006741F3">
              <w:t xml:space="preserve">Необходим обем на разреждане в </w:t>
            </w:r>
            <w:r w:rsidRPr="006741F3">
              <w:rPr>
                <w:lang w:val="en-US"/>
              </w:rPr>
              <w:t xml:space="preserve">ml </w:t>
            </w:r>
            <w:r w:rsidRPr="006741F3">
              <w:t xml:space="preserve">- до 125 </w:t>
            </w:r>
            <w:r w:rsidRPr="006741F3">
              <w:rPr>
                <w:lang w:val="en-US"/>
              </w:rPr>
              <w:t>mg/ml</w:t>
            </w:r>
          </w:p>
        </w:tc>
        <w:tc>
          <w:tcPr>
            <w:tcW w:w="1870" w:type="dxa"/>
          </w:tcPr>
          <w:p w14:paraId="26A7FBC8" w14:textId="37671215" w:rsidR="006741F3" w:rsidRPr="006741F3" w:rsidRDefault="006741F3" w:rsidP="006741F3">
            <w:pPr>
              <w:spacing w:line="240" w:lineRule="auto"/>
              <w:rPr>
                <w:rFonts w:eastAsia="Times New Roman" w:cs="Arial"/>
                <w:lang w:eastAsia="bg-BG"/>
              </w:rPr>
            </w:pPr>
            <w:r w:rsidRPr="006741F3">
              <w:t xml:space="preserve">Единична доза в </w:t>
            </w:r>
            <w:r w:rsidRPr="006741F3">
              <w:rPr>
                <w:lang w:val="en-US"/>
              </w:rPr>
              <w:t xml:space="preserve">mg </w:t>
            </w:r>
            <w:r w:rsidRPr="006741F3">
              <w:t>(на 6 часа)</w:t>
            </w:r>
          </w:p>
        </w:tc>
        <w:tc>
          <w:tcPr>
            <w:tcW w:w="1870" w:type="dxa"/>
          </w:tcPr>
          <w:p w14:paraId="1572E806" w14:textId="082D898C" w:rsidR="006741F3" w:rsidRPr="006741F3" w:rsidRDefault="006741F3" w:rsidP="006741F3">
            <w:pPr>
              <w:spacing w:line="240" w:lineRule="auto"/>
              <w:rPr>
                <w:rFonts w:eastAsia="Times New Roman" w:cs="Arial"/>
                <w:lang w:eastAsia="bg-BG"/>
              </w:rPr>
            </w:pPr>
            <w:r w:rsidRPr="006741F3">
              <w:t xml:space="preserve">Необходим обем на разреждане в </w:t>
            </w:r>
            <w:r w:rsidRPr="006741F3">
              <w:rPr>
                <w:lang w:val="en-US"/>
              </w:rPr>
              <w:t xml:space="preserve">ml </w:t>
            </w:r>
            <w:r w:rsidRPr="006741F3">
              <w:t xml:space="preserve">- до 125 </w:t>
            </w:r>
            <w:r w:rsidRPr="006741F3">
              <w:rPr>
                <w:lang w:val="en-US"/>
              </w:rPr>
              <w:t>mg/ml</w:t>
            </w:r>
          </w:p>
        </w:tc>
      </w:tr>
      <w:tr w:rsidR="006741F3" w14:paraId="06278B36" w14:textId="77777777" w:rsidTr="006741F3">
        <w:tc>
          <w:tcPr>
            <w:tcW w:w="1870" w:type="dxa"/>
          </w:tcPr>
          <w:p w14:paraId="3877D9C4" w14:textId="50EE1006" w:rsidR="006741F3" w:rsidRPr="006741F3" w:rsidRDefault="006741F3" w:rsidP="006741F3">
            <w:pPr>
              <w:spacing w:line="240" w:lineRule="auto"/>
              <w:rPr>
                <w:rFonts w:eastAsia="Times New Roman" w:cs="Arial"/>
                <w:lang w:eastAsia="bg-BG"/>
              </w:rPr>
            </w:pPr>
            <w:r w:rsidRPr="006741F3">
              <w:t>4,5</w:t>
            </w:r>
          </w:p>
        </w:tc>
        <w:tc>
          <w:tcPr>
            <w:tcW w:w="1870" w:type="dxa"/>
          </w:tcPr>
          <w:p w14:paraId="68E9F636" w14:textId="56027223" w:rsidR="006741F3" w:rsidRPr="006741F3" w:rsidRDefault="006741F3" w:rsidP="006741F3">
            <w:pPr>
              <w:spacing w:line="240" w:lineRule="auto"/>
              <w:rPr>
                <w:rFonts w:eastAsia="Times New Roman" w:cs="Arial"/>
                <w:lang w:eastAsia="bg-BG"/>
              </w:rPr>
            </w:pPr>
            <w:r w:rsidRPr="006741F3">
              <w:t>40</w:t>
            </w:r>
          </w:p>
        </w:tc>
        <w:tc>
          <w:tcPr>
            <w:tcW w:w="1870" w:type="dxa"/>
          </w:tcPr>
          <w:p w14:paraId="729776CA" w14:textId="36E17DFC" w:rsidR="006741F3" w:rsidRPr="006741F3" w:rsidRDefault="006741F3" w:rsidP="006741F3">
            <w:pPr>
              <w:spacing w:line="240" w:lineRule="auto"/>
              <w:rPr>
                <w:rFonts w:eastAsia="Times New Roman" w:cs="Arial"/>
                <w:lang w:eastAsia="bg-BG"/>
              </w:rPr>
            </w:pPr>
            <w:r w:rsidRPr="006741F3">
              <w:t>0,35</w:t>
            </w:r>
          </w:p>
        </w:tc>
        <w:tc>
          <w:tcPr>
            <w:tcW w:w="1870" w:type="dxa"/>
          </w:tcPr>
          <w:p w14:paraId="37B52948" w14:textId="03AAFB27" w:rsidR="006741F3" w:rsidRPr="006741F3" w:rsidRDefault="006741F3" w:rsidP="006741F3">
            <w:pPr>
              <w:spacing w:line="240" w:lineRule="auto"/>
              <w:rPr>
                <w:rFonts w:eastAsia="Times New Roman" w:cs="Arial"/>
                <w:lang w:eastAsia="bg-BG"/>
              </w:rPr>
            </w:pPr>
            <w:r w:rsidRPr="006741F3">
              <w:t>30</w:t>
            </w:r>
          </w:p>
        </w:tc>
        <w:tc>
          <w:tcPr>
            <w:tcW w:w="1870" w:type="dxa"/>
          </w:tcPr>
          <w:p w14:paraId="3BFD7969" w14:textId="5171A909" w:rsidR="006741F3" w:rsidRPr="006741F3" w:rsidRDefault="006741F3" w:rsidP="006741F3">
            <w:pPr>
              <w:spacing w:line="240" w:lineRule="auto"/>
              <w:rPr>
                <w:rFonts w:eastAsia="Times New Roman" w:cs="Arial"/>
                <w:lang w:eastAsia="bg-BG"/>
              </w:rPr>
            </w:pPr>
            <w:r w:rsidRPr="006741F3">
              <w:t>0,25</w:t>
            </w:r>
          </w:p>
        </w:tc>
      </w:tr>
      <w:tr w:rsidR="006741F3" w14:paraId="5CC69B51" w14:textId="77777777" w:rsidTr="006741F3">
        <w:tc>
          <w:tcPr>
            <w:tcW w:w="1870" w:type="dxa"/>
          </w:tcPr>
          <w:p w14:paraId="361456D5" w14:textId="57E98E98" w:rsidR="006741F3" w:rsidRPr="006741F3" w:rsidRDefault="006741F3" w:rsidP="006741F3">
            <w:pPr>
              <w:spacing w:line="240" w:lineRule="auto"/>
              <w:rPr>
                <w:rFonts w:eastAsia="Times New Roman" w:cs="Arial"/>
                <w:lang w:eastAsia="bg-BG"/>
              </w:rPr>
            </w:pPr>
            <w:r w:rsidRPr="006741F3">
              <w:t>9,0</w:t>
            </w:r>
          </w:p>
        </w:tc>
        <w:tc>
          <w:tcPr>
            <w:tcW w:w="1870" w:type="dxa"/>
          </w:tcPr>
          <w:p w14:paraId="4553F668" w14:textId="106E9C02" w:rsidR="006741F3" w:rsidRPr="006741F3" w:rsidRDefault="006741F3" w:rsidP="006741F3">
            <w:pPr>
              <w:spacing w:line="240" w:lineRule="auto"/>
              <w:rPr>
                <w:rFonts w:eastAsia="Times New Roman" w:cs="Arial"/>
                <w:lang w:eastAsia="bg-BG"/>
              </w:rPr>
            </w:pPr>
            <w:r w:rsidRPr="006741F3">
              <w:t>75</w:t>
            </w:r>
          </w:p>
        </w:tc>
        <w:tc>
          <w:tcPr>
            <w:tcW w:w="1870" w:type="dxa"/>
          </w:tcPr>
          <w:p w14:paraId="4120C321" w14:textId="7E63B51E" w:rsidR="006741F3" w:rsidRPr="006741F3" w:rsidRDefault="006741F3" w:rsidP="006741F3">
            <w:pPr>
              <w:spacing w:line="240" w:lineRule="auto"/>
              <w:rPr>
                <w:rFonts w:eastAsia="Times New Roman" w:cs="Arial"/>
                <w:lang w:eastAsia="bg-BG"/>
              </w:rPr>
            </w:pPr>
            <w:r w:rsidRPr="006741F3">
              <w:t>0,6</w:t>
            </w:r>
          </w:p>
        </w:tc>
        <w:tc>
          <w:tcPr>
            <w:tcW w:w="1870" w:type="dxa"/>
          </w:tcPr>
          <w:p w14:paraId="20EAB08B" w14:textId="5228292C" w:rsidR="006741F3" w:rsidRPr="006741F3" w:rsidRDefault="006741F3" w:rsidP="006741F3">
            <w:pPr>
              <w:spacing w:line="240" w:lineRule="auto"/>
              <w:rPr>
                <w:rFonts w:eastAsia="Times New Roman" w:cs="Arial"/>
                <w:lang w:eastAsia="bg-BG"/>
              </w:rPr>
            </w:pPr>
            <w:r w:rsidRPr="006741F3">
              <w:t>55</w:t>
            </w:r>
          </w:p>
        </w:tc>
        <w:tc>
          <w:tcPr>
            <w:tcW w:w="1870" w:type="dxa"/>
          </w:tcPr>
          <w:p w14:paraId="66837905" w14:textId="69C05EC3" w:rsidR="006741F3" w:rsidRPr="006741F3" w:rsidRDefault="006741F3" w:rsidP="006741F3">
            <w:pPr>
              <w:spacing w:line="240" w:lineRule="auto"/>
              <w:rPr>
                <w:rFonts w:eastAsia="Times New Roman" w:cs="Arial"/>
                <w:lang w:eastAsia="bg-BG"/>
              </w:rPr>
            </w:pPr>
            <w:r w:rsidRPr="006741F3">
              <w:t>0,45</w:t>
            </w:r>
          </w:p>
        </w:tc>
      </w:tr>
      <w:tr w:rsidR="006741F3" w14:paraId="4D1A50C1" w14:textId="77777777" w:rsidTr="006741F3">
        <w:tc>
          <w:tcPr>
            <w:tcW w:w="1870" w:type="dxa"/>
          </w:tcPr>
          <w:p w14:paraId="4A415ED9" w14:textId="361043F2" w:rsidR="006741F3" w:rsidRPr="006741F3" w:rsidRDefault="006741F3" w:rsidP="006741F3">
            <w:pPr>
              <w:spacing w:line="240" w:lineRule="auto"/>
              <w:rPr>
                <w:rFonts w:eastAsia="Times New Roman" w:cs="Arial"/>
                <w:lang w:eastAsia="bg-BG"/>
              </w:rPr>
            </w:pPr>
            <w:r w:rsidRPr="006741F3">
              <w:t>13,5</w:t>
            </w:r>
          </w:p>
        </w:tc>
        <w:tc>
          <w:tcPr>
            <w:tcW w:w="1870" w:type="dxa"/>
          </w:tcPr>
          <w:p w14:paraId="48E07E4D" w14:textId="1400609E" w:rsidR="006741F3" w:rsidRPr="006741F3" w:rsidRDefault="006741F3" w:rsidP="006741F3">
            <w:pPr>
              <w:spacing w:line="240" w:lineRule="auto"/>
              <w:rPr>
                <w:rFonts w:eastAsia="Times New Roman" w:cs="Arial"/>
                <w:lang w:eastAsia="bg-BG"/>
              </w:rPr>
            </w:pPr>
            <w:r w:rsidRPr="006741F3">
              <w:t>115</w:t>
            </w:r>
          </w:p>
        </w:tc>
        <w:tc>
          <w:tcPr>
            <w:tcW w:w="1870" w:type="dxa"/>
          </w:tcPr>
          <w:p w14:paraId="675A3726" w14:textId="6D8757F3" w:rsidR="006741F3" w:rsidRPr="006741F3" w:rsidRDefault="006741F3" w:rsidP="006741F3">
            <w:pPr>
              <w:spacing w:line="240" w:lineRule="auto"/>
              <w:rPr>
                <w:rFonts w:eastAsia="Times New Roman" w:cs="Arial"/>
                <w:lang w:eastAsia="bg-BG"/>
              </w:rPr>
            </w:pPr>
            <w:r w:rsidRPr="006741F3">
              <w:t>0,9</w:t>
            </w:r>
          </w:p>
        </w:tc>
        <w:tc>
          <w:tcPr>
            <w:tcW w:w="1870" w:type="dxa"/>
          </w:tcPr>
          <w:p w14:paraId="0B028B38" w14:textId="7C45FB36" w:rsidR="006741F3" w:rsidRPr="006741F3" w:rsidRDefault="006741F3" w:rsidP="006741F3">
            <w:pPr>
              <w:spacing w:line="240" w:lineRule="auto"/>
              <w:rPr>
                <w:rFonts w:eastAsia="Times New Roman" w:cs="Arial"/>
                <w:lang w:eastAsia="bg-BG"/>
              </w:rPr>
            </w:pPr>
            <w:r w:rsidRPr="006741F3">
              <w:t>85</w:t>
            </w:r>
          </w:p>
        </w:tc>
        <w:tc>
          <w:tcPr>
            <w:tcW w:w="1870" w:type="dxa"/>
          </w:tcPr>
          <w:p w14:paraId="7BA391B9" w14:textId="23C3433A" w:rsidR="006741F3" w:rsidRPr="006741F3" w:rsidRDefault="006741F3" w:rsidP="006741F3">
            <w:pPr>
              <w:spacing w:line="240" w:lineRule="auto"/>
              <w:rPr>
                <w:rFonts w:eastAsia="Times New Roman" w:cs="Arial"/>
                <w:lang w:eastAsia="bg-BG"/>
              </w:rPr>
            </w:pPr>
            <w:r w:rsidRPr="006741F3">
              <w:t>0,7</w:t>
            </w:r>
          </w:p>
        </w:tc>
      </w:tr>
      <w:tr w:rsidR="006741F3" w14:paraId="2588F1AD" w14:textId="77777777" w:rsidTr="006741F3">
        <w:tc>
          <w:tcPr>
            <w:tcW w:w="1870" w:type="dxa"/>
          </w:tcPr>
          <w:p w14:paraId="0598E158" w14:textId="290B75E1" w:rsidR="006741F3" w:rsidRPr="006741F3" w:rsidRDefault="006741F3" w:rsidP="006741F3">
            <w:pPr>
              <w:spacing w:line="240" w:lineRule="auto"/>
              <w:rPr>
                <w:rFonts w:eastAsia="Times New Roman" w:cs="Arial"/>
                <w:lang w:eastAsia="bg-BG"/>
              </w:rPr>
            </w:pPr>
            <w:r w:rsidRPr="006741F3">
              <w:t>18,0</w:t>
            </w:r>
          </w:p>
        </w:tc>
        <w:tc>
          <w:tcPr>
            <w:tcW w:w="1870" w:type="dxa"/>
          </w:tcPr>
          <w:p w14:paraId="5509AFA7" w14:textId="14F6BE3F" w:rsidR="006741F3" w:rsidRPr="006741F3" w:rsidRDefault="006741F3" w:rsidP="006741F3">
            <w:pPr>
              <w:spacing w:line="240" w:lineRule="auto"/>
              <w:rPr>
                <w:rFonts w:eastAsia="Times New Roman" w:cs="Arial"/>
                <w:lang w:eastAsia="bg-BG"/>
              </w:rPr>
            </w:pPr>
            <w:r w:rsidRPr="006741F3">
              <w:t>150</w:t>
            </w:r>
          </w:p>
        </w:tc>
        <w:tc>
          <w:tcPr>
            <w:tcW w:w="1870" w:type="dxa"/>
          </w:tcPr>
          <w:p w14:paraId="6FA48CD5" w14:textId="58ED36E0" w:rsidR="006741F3" w:rsidRPr="006741F3" w:rsidRDefault="006741F3" w:rsidP="006741F3">
            <w:pPr>
              <w:spacing w:line="240" w:lineRule="auto"/>
              <w:rPr>
                <w:rFonts w:eastAsia="Times New Roman" w:cs="Arial"/>
                <w:lang w:eastAsia="bg-BG"/>
              </w:rPr>
            </w:pPr>
            <w:r w:rsidRPr="006741F3">
              <w:t>1,2</w:t>
            </w:r>
          </w:p>
        </w:tc>
        <w:tc>
          <w:tcPr>
            <w:tcW w:w="1870" w:type="dxa"/>
          </w:tcPr>
          <w:p w14:paraId="16BBA830" w14:textId="1F5F0DDD" w:rsidR="006741F3" w:rsidRPr="006741F3" w:rsidRDefault="006741F3" w:rsidP="006741F3">
            <w:pPr>
              <w:spacing w:line="240" w:lineRule="auto"/>
              <w:rPr>
                <w:rFonts w:eastAsia="Times New Roman" w:cs="Arial"/>
                <w:lang w:eastAsia="bg-BG"/>
              </w:rPr>
            </w:pPr>
            <w:r w:rsidRPr="006741F3">
              <w:t>115</w:t>
            </w:r>
          </w:p>
        </w:tc>
        <w:tc>
          <w:tcPr>
            <w:tcW w:w="1870" w:type="dxa"/>
          </w:tcPr>
          <w:p w14:paraId="383006FD" w14:textId="1CA38CA3" w:rsidR="006741F3" w:rsidRPr="006741F3" w:rsidRDefault="006741F3" w:rsidP="006741F3">
            <w:pPr>
              <w:spacing w:line="240" w:lineRule="auto"/>
              <w:rPr>
                <w:rFonts w:eastAsia="Times New Roman" w:cs="Arial"/>
                <w:lang w:eastAsia="bg-BG"/>
              </w:rPr>
            </w:pPr>
            <w:r w:rsidRPr="006741F3">
              <w:t>0,9</w:t>
            </w:r>
          </w:p>
        </w:tc>
      </w:tr>
      <w:tr w:rsidR="006741F3" w14:paraId="3849E3EB" w14:textId="77777777" w:rsidTr="006741F3">
        <w:tc>
          <w:tcPr>
            <w:tcW w:w="1870" w:type="dxa"/>
          </w:tcPr>
          <w:p w14:paraId="11AC448E" w14:textId="37B5FFD9" w:rsidR="006741F3" w:rsidRPr="006741F3" w:rsidRDefault="006741F3" w:rsidP="006741F3">
            <w:pPr>
              <w:spacing w:line="240" w:lineRule="auto"/>
              <w:rPr>
                <w:rFonts w:eastAsia="Times New Roman" w:cs="Arial"/>
                <w:lang w:eastAsia="bg-BG"/>
              </w:rPr>
            </w:pPr>
            <w:r w:rsidRPr="006741F3">
              <w:t>22,5</w:t>
            </w:r>
          </w:p>
        </w:tc>
        <w:tc>
          <w:tcPr>
            <w:tcW w:w="1870" w:type="dxa"/>
          </w:tcPr>
          <w:p w14:paraId="18CEB2BC" w14:textId="49570947" w:rsidR="006741F3" w:rsidRPr="006741F3" w:rsidRDefault="006741F3" w:rsidP="006741F3">
            <w:pPr>
              <w:spacing w:line="240" w:lineRule="auto"/>
              <w:rPr>
                <w:rFonts w:eastAsia="Times New Roman" w:cs="Arial"/>
                <w:lang w:eastAsia="bg-BG"/>
              </w:rPr>
            </w:pPr>
            <w:r w:rsidRPr="006741F3">
              <w:t>190</w:t>
            </w:r>
          </w:p>
        </w:tc>
        <w:tc>
          <w:tcPr>
            <w:tcW w:w="1870" w:type="dxa"/>
          </w:tcPr>
          <w:p w14:paraId="4CABA426" w14:textId="2B0BCE3F" w:rsidR="006741F3" w:rsidRPr="006741F3" w:rsidRDefault="006741F3" w:rsidP="006741F3">
            <w:pPr>
              <w:spacing w:line="240" w:lineRule="auto"/>
              <w:rPr>
                <w:rFonts w:eastAsia="Times New Roman" w:cs="Arial"/>
                <w:lang w:eastAsia="bg-BG"/>
              </w:rPr>
            </w:pPr>
            <w:r w:rsidRPr="006741F3">
              <w:rPr>
                <w:u w:val="single"/>
              </w:rPr>
              <w:t>1,5</w:t>
            </w:r>
            <w:r w:rsidRPr="006741F3">
              <w:tab/>
            </w:r>
          </w:p>
        </w:tc>
        <w:tc>
          <w:tcPr>
            <w:tcW w:w="1870" w:type="dxa"/>
          </w:tcPr>
          <w:p w14:paraId="6FC51514" w14:textId="7EF41E79" w:rsidR="006741F3" w:rsidRPr="006741F3" w:rsidRDefault="006741F3" w:rsidP="006741F3">
            <w:pPr>
              <w:spacing w:line="240" w:lineRule="auto"/>
              <w:rPr>
                <w:rFonts w:eastAsia="Times New Roman" w:cs="Arial"/>
                <w:lang w:eastAsia="bg-BG"/>
              </w:rPr>
            </w:pPr>
            <w:r w:rsidRPr="006741F3">
              <w:t>140</w:t>
            </w:r>
          </w:p>
        </w:tc>
        <w:tc>
          <w:tcPr>
            <w:tcW w:w="1870" w:type="dxa"/>
          </w:tcPr>
          <w:p w14:paraId="76C680D8" w14:textId="7642151E" w:rsidR="006741F3" w:rsidRPr="006741F3" w:rsidRDefault="006741F3" w:rsidP="006741F3">
            <w:pPr>
              <w:spacing w:line="240" w:lineRule="auto"/>
              <w:rPr>
                <w:rFonts w:eastAsia="Times New Roman" w:cs="Arial"/>
                <w:lang w:eastAsia="bg-BG"/>
              </w:rPr>
            </w:pPr>
            <w:r w:rsidRPr="006741F3">
              <w:t>1,1</w:t>
            </w:r>
          </w:p>
        </w:tc>
      </w:tr>
    </w:tbl>
    <w:p w14:paraId="0D7265DE" w14:textId="05B9752F" w:rsidR="006741F3" w:rsidRDefault="006741F3" w:rsidP="006741F3">
      <w:pPr>
        <w:spacing w:line="240" w:lineRule="auto"/>
        <w:rPr>
          <w:rFonts w:eastAsia="Times New Roman" w:cs="Arial"/>
          <w:lang w:eastAsia="bg-BG"/>
        </w:rPr>
      </w:pPr>
    </w:p>
    <w:tbl>
      <w:tblPr>
        <w:tblStyle w:val="TableGrid"/>
        <w:tblW w:w="0" w:type="auto"/>
        <w:tblLook w:val="04A0" w:firstRow="1" w:lastRow="0" w:firstColumn="1" w:lastColumn="0" w:noHBand="0" w:noVBand="1"/>
      </w:tblPr>
      <w:tblGrid>
        <w:gridCol w:w="1870"/>
        <w:gridCol w:w="1870"/>
        <w:gridCol w:w="1870"/>
        <w:gridCol w:w="1870"/>
        <w:gridCol w:w="1870"/>
      </w:tblGrid>
      <w:tr w:rsidR="006741F3" w14:paraId="7C3FDAB7" w14:textId="77777777" w:rsidTr="00E63C92">
        <w:tc>
          <w:tcPr>
            <w:tcW w:w="1870" w:type="dxa"/>
          </w:tcPr>
          <w:p w14:paraId="7FA0123E" w14:textId="1889F18F" w:rsidR="006741F3" w:rsidRPr="006741F3" w:rsidRDefault="006741F3" w:rsidP="006741F3">
            <w:pPr>
              <w:spacing w:line="240" w:lineRule="auto"/>
              <w:rPr>
                <w:rFonts w:eastAsia="Times New Roman" w:cs="Arial"/>
                <w:szCs w:val="24"/>
                <w:lang w:eastAsia="bg-BG"/>
              </w:rPr>
            </w:pPr>
            <w:r w:rsidRPr="006741F3">
              <w:rPr>
                <w:b/>
                <w:bCs/>
                <w:szCs w:val="24"/>
              </w:rPr>
              <w:t>Тегло</w:t>
            </w:r>
          </w:p>
        </w:tc>
        <w:tc>
          <w:tcPr>
            <w:tcW w:w="3740" w:type="dxa"/>
            <w:gridSpan w:val="2"/>
          </w:tcPr>
          <w:p w14:paraId="0E7854E0" w14:textId="7757F1E0" w:rsidR="006741F3" w:rsidRPr="006741F3" w:rsidRDefault="006741F3" w:rsidP="006741F3">
            <w:pPr>
              <w:spacing w:line="240" w:lineRule="auto"/>
              <w:rPr>
                <w:rFonts w:eastAsia="Times New Roman" w:cs="Arial"/>
                <w:lang w:eastAsia="bg-BG"/>
              </w:rPr>
            </w:pPr>
            <w:r w:rsidRPr="006741F3">
              <w:rPr>
                <w:b/>
                <w:bCs/>
              </w:rPr>
              <w:t xml:space="preserve">50 </w:t>
            </w:r>
            <w:r w:rsidRPr="006741F3">
              <w:rPr>
                <w:b/>
                <w:bCs/>
                <w:lang w:val="en-US"/>
              </w:rPr>
              <w:t xml:space="preserve">mg/kg </w:t>
            </w:r>
            <w:r w:rsidRPr="006741F3">
              <w:rPr>
                <w:b/>
                <w:bCs/>
              </w:rPr>
              <w:t>дневно, в 3 равни приема</w:t>
            </w:r>
          </w:p>
        </w:tc>
        <w:tc>
          <w:tcPr>
            <w:tcW w:w="3740" w:type="dxa"/>
            <w:gridSpan w:val="2"/>
          </w:tcPr>
          <w:p w14:paraId="54D2A203" w14:textId="77777777" w:rsidR="006741F3" w:rsidRPr="006741F3" w:rsidRDefault="006741F3" w:rsidP="006741F3">
            <w:pPr>
              <w:spacing w:line="240" w:lineRule="auto"/>
              <w:rPr>
                <w:rFonts w:eastAsia="Times New Roman" w:cs="Arial"/>
                <w:lang w:eastAsia="bg-BG"/>
              </w:rPr>
            </w:pPr>
            <w:r w:rsidRPr="006741F3">
              <w:rPr>
                <w:b/>
                <w:bCs/>
              </w:rPr>
              <w:t xml:space="preserve">50 </w:t>
            </w:r>
            <w:r w:rsidRPr="006741F3">
              <w:rPr>
                <w:b/>
                <w:bCs/>
                <w:lang w:val="en-US"/>
              </w:rPr>
              <w:t xml:space="preserve">mg/kg </w:t>
            </w:r>
            <w:r w:rsidRPr="006741F3">
              <w:rPr>
                <w:b/>
                <w:bCs/>
              </w:rPr>
              <w:t>дневно, в 4</w:t>
            </w:r>
          </w:p>
          <w:p w14:paraId="39C2ABA6" w14:textId="79DAAAAD" w:rsidR="006741F3" w:rsidRPr="006741F3" w:rsidRDefault="006741F3" w:rsidP="006741F3">
            <w:pPr>
              <w:spacing w:line="240" w:lineRule="auto"/>
              <w:rPr>
                <w:rFonts w:eastAsia="Times New Roman" w:cs="Arial"/>
                <w:lang w:eastAsia="bg-BG"/>
              </w:rPr>
            </w:pPr>
            <w:r w:rsidRPr="006741F3">
              <w:rPr>
                <w:b/>
                <w:bCs/>
              </w:rPr>
              <w:t>равни приема</w:t>
            </w:r>
          </w:p>
        </w:tc>
      </w:tr>
      <w:tr w:rsidR="006741F3" w14:paraId="1A0AE779" w14:textId="77777777" w:rsidTr="006741F3">
        <w:tc>
          <w:tcPr>
            <w:tcW w:w="1870" w:type="dxa"/>
          </w:tcPr>
          <w:p w14:paraId="38B68F66" w14:textId="7F04BE88" w:rsidR="006741F3" w:rsidRPr="006741F3" w:rsidRDefault="006741F3" w:rsidP="006741F3">
            <w:pPr>
              <w:spacing w:line="240" w:lineRule="auto"/>
              <w:rPr>
                <w:rFonts w:eastAsia="Times New Roman" w:cs="Arial"/>
                <w:szCs w:val="24"/>
                <w:lang w:eastAsia="bg-BG"/>
              </w:rPr>
            </w:pPr>
            <w:r w:rsidRPr="006741F3">
              <w:rPr>
                <w:szCs w:val="24"/>
                <w:lang w:val="en-US"/>
              </w:rPr>
              <w:t>kg</w:t>
            </w:r>
          </w:p>
        </w:tc>
        <w:tc>
          <w:tcPr>
            <w:tcW w:w="1870" w:type="dxa"/>
          </w:tcPr>
          <w:p w14:paraId="4EA80BB4" w14:textId="6C7873DD" w:rsidR="006741F3" w:rsidRPr="006741F3" w:rsidRDefault="006741F3" w:rsidP="006741F3">
            <w:pPr>
              <w:spacing w:line="240" w:lineRule="auto"/>
              <w:rPr>
                <w:rFonts w:eastAsia="Times New Roman" w:cs="Arial"/>
                <w:lang w:eastAsia="bg-BG"/>
              </w:rPr>
            </w:pPr>
            <w:r w:rsidRPr="006741F3">
              <w:t xml:space="preserve">Единична доза в </w:t>
            </w:r>
            <w:r w:rsidRPr="006741F3">
              <w:rPr>
                <w:lang w:val="en-US"/>
              </w:rPr>
              <w:t xml:space="preserve">mg </w:t>
            </w:r>
            <w:r w:rsidRPr="006741F3">
              <w:t>(на 8 часа)</w:t>
            </w:r>
          </w:p>
        </w:tc>
        <w:tc>
          <w:tcPr>
            <w:tcW w:w="1870" w:type="dxa"/>
          </w:tcPr>
          <w:p w14:paraId="1FD5D574" w14:textId="6401E4BC" w:rsidR="006741F3" w:rsidRPr="006741F3" w:rsidRDefault="006741F3" w:rsidP="006741F3">
            <w:pPr>
              <w:spacing w:line="240" w:lineRule="auto"/>
              <w:rPr>
                <w:rFonts w:eastAsia="Times New Roman" w:cs="Arial"/>
                <w:lang w:eastAsia="bg-BG"/>
              </w:rPr>
            </w:pPr>
            <w:r w:rsidRPr="006741F3">
              <w:t xml:space="preserve">Необходим обем на разреждане в </w:t>
            </w:r>
            <w:r w:rsidRPr="006741F3">
              <w:rPr>
                <w:lang w:val="en-US"/>
              </w:rPr>
              <w:t xml:space="preserve">ml </w:t>
            </w:r>
            <w:r w:rsidRPr="006741F3">
              <w:t xml:space="preserve">- до 225 </w:t>
            </w:r>
            <w:r w:rsidRPr="006741F3">
              <w:rPr>
                <w:lang w:val="en-US"/>
              </w:rPr>
              <w:t>mg/ml</w:t>
            </w:r>
          </w:p>
        </w:tc>
        <w:tc>
          <w:tcPr>
            <w:tcW w:w="1870" w:type="dxa"/>
          </w:tcPr>
          <w:p w14:paraId="696A8D8B" w14:textId="37B0FF73" w:rsidR="006741F3" w:rsidRPr="006741F3" w:rsidRDefault="006741F3" w:rsidP="006741F3">
            <w:pPr>
              <w:spacing w:line="240" w:lineRule="auto"/>
              <w:rPr>
                <w:rFonts w:eastAsia="Times New Roman" w:cs="Arial"/>
                <w:lang w:eastAsia="bg-BG"/>
              </w:rPr>
            </w:pPr>
            <w:r w:rsidRPr="006741F3">
              <w:t xml:space="preserve">Единична доза в </w:t>
            </w:r>
            <w:r w:rsidRPr="006741F3">
              <w:rPr>
                <w:lang w:val="en-US"/>
              </w:rPr>
              <w:t xml:space="preserve">mg </w:t>
            </w:r>
            <w:r w:rsidRPr="006741F3">
              <w:t>(на 6 часа)</w:t>
            </w:r>
          </w:p>
        </w:tc>
        <w:tc>
          <w:tcPr>
            <w:tcW w:w="1870" w:type="dxa"/>
          </w:tcPr>
          <w:p w14:paraId="37C4F57F" w14:textId="1C44C1FC" w:rsidR="006741F3" w:rsidRPr="006741F3" w:rsidRDefault="006741F3" w:rsidP="006741F3">
            <w:pPr>
              <w:spacing w:line="240" w:lineRule="auto"/>
              <w:rPr>
                <w:rFonts w:eastAsia="Times New Roman" w:cs="Arial"/>
                <w:lang w:eastAsia="bg-BG"/>
              </w:rPr>
            </w:pPr>
            <w:r w:rsidRPr="006741F3">
              <w:t xml:space="preserve">Необходим обем на разреждане в </w:t>
            </w:r>
            <w:r w:rsidRPr="006741F3">
              <w:rPr>
                <w:lang w:val="en-US"/>
              </w:rPr>
              <w:t xml:space="preserve">ml </w:t>
            </w:r>
            <w:r w:rsidRPr="006741F3">
              <w:t xml:space="preserve">- до 225 </w:t>
            </w:r>
            <w:r w:rsidRPr="006741F3">
              <w:rPr>
                <w:lang w:val="en-US"/>
              </w:rPr>
              <w:t>mg/ml</w:t>
            </w:r>
          </w:p>
        </w:tc>
      </w:tr>
      <w:tr w:rsidR="006741F3" w14:paraId="0C103BCD" w14:textId="77777777" w:rsidTr="006741F3">
        <w:tc>
          <w:tcPr>
            <w:tcW w:w="1870" w:type="dxa"/>
          </w:tcPr>
          <w:p w14:paraId="2F5EDABC" w14:textId="740E6176" w:rsidR="006741F3" w:rsidRPr="006741F3" w:rsidRDefault="006741F3" w:rsidP="006741F3">
            <w:pPr>
              <w:spacing w:line="240" w:lineRule="auto"/>
              <w:rPr>
                <w:rFonts w:eastAsia="Times New Roman" w:cs="Arial"/>
                <w:szCs w:val="24"/>
                <w:lang w:eastAsia="bg-BG"/>
              </w:rPr>
            </w:pPr>
            <w:r w:rsidRPr="006741F3">
              <w:rPr>
                <w:szCs w:val="24"/>
              </w:rPr>
              <w:t>4,5</w:t>
            </w:r>
          </w:p>
        </w:tc>
        <w:tc>
          <w:tcPr>
            <w:tcW w:w="1870" w:type="dxa"/>
          </w:tcPr>
          <w:p w14:paraId="64FA269A" w14:textId="14D2A6E8" w:rsidR="006741F3" w:rsidRPr="006741F3" w:rsidRDefault="006741F3" w:rsidP="006741F3">
            <w:pPr>
              <w:spacing w:line="240" w:lineRule="auto"/>
              <w:rPr>
                <w:rFonts w:eastAsia="Times New Roman" w:cs="Arial"/>
                <w:lang w:eastAsia="bg-BG"/>
              </w:rPr>
            </w:pPr>
            <w:r w:rsidRPr="006741F3">
              <w:t>75</w:t>
            </w:r>
          </w:p>
        </w:tc>
        <w:tc>
          <w:tcPr>
            <w:tcW w:w="1870" w:type="dxa"/>
          </w:tcPr>
          <w:p w14:paraId="6BA7C6A6" w14:textId="7059DB42" w:rsidR="006741F3" w:rsidRPr="006741F3" w:rsidRDefault="006741F3" w:rsidP="006741F3">
            <w:pPr>
              <w:spacing w:line="240" w:lineRule="auto"/>
              <w:rPr>
                <w:rFonts w:eastAsia="Times New Roman" w:cs="Arial"/>
                <w:lang w:eastAsia="bg-BG"/>
              </w:rPr>
            </w:pPr>
            <w:r w:rsidRPr="006741F3">
              <w:t>0,35</w:t>
            </w:r>
          </w:p>
        </w:tc>
        <w:tc>
          <w:tcPr>
            <w:tcW w:w="1870" w:type="dxa"/>
          </w:tcPr>
          <w:p w14:paraId="1E7CACF1" w14:textId="423D7008" w:rsidR="006741F3" w:rsidRPr="006741F3" w:rsidRDefault="006741F3" w:rsidP="006741F3">
            <w:pPr>
              <w:spacing w:line="240" w:lineRule="auto"/>
              <w:rPr>
                <w:rFonts w:eastAsia="Times New Roman" w:cs="Arial"/>
                <w:lang w:eastAsia="bg-BG"/>
              </w:rPr>
            </w:pPr>
            <w:r w:rsidRPr="006741F3">
              <w:t>55</w:t>
            </w:r>
          </w:p>
        </w:tc>
        <w:tc>
          <w:tcPr>
            <w:tcW w:w="1870" w:type="dxa"/>
          </w:tcPr>
          <w:p w14:paraId="30035CEA" w14:textId="49FFC2E4" w:rsidR="006741F3" w:rsidRPr="006741F3" w:rsidRDefault="006741F3" w:rsidP="006741F3">
            <w:pPr>
              <w:spacing w:line="240" w:lineRule="auto"/>
              <w:rPr>
                <w:rFonts w:eastAsia="Times New Roman" w:cs="Arial"/>
                <w:lang w:eastAsia="bg-BG"/>
              </w:rPr>
            </w:pPr>
            <w:r w:rsidRPr="006741F3">
              <w:t>0,25</w:t>
            </w:r>
          </w:p>
        </w:tc>
      </w:tr>
      <w:tr w:rsidR="006741F3" w14:paraId="1A7B9B6C" w14:textId="77777777" w:rsidTr="006741F3">
        <w:tc>
          <w:tcPr>
            <w:tcW w:w="1870" w:type="dxa"/>
          </w:tcPr>
          <w:p w14:paraId="65D2E330" w14:textId="66BDE805" w:rsidR="006741F3" w:rsidRPr="006741F3" w:rsidRDefault="006741F3" w:rsidP="006741F3">
            <w:pPr>
              <w:spacing w:line="240" w:lineRule="auto"/>
              <w:rPr>
                <w:rFonts w:eastAsia="Times New Roman" w:cs="Arial"/>
                <w:szCs w:val="24"/>
                <w:lang w:eastAsia="bg-BG"/>
              </w:rPr>
            </w:pPr>
            <w:r w:rsidRPr="006741F3">
              <w:rPr>
                <w:szCs w:val="24"/>
              </w:rPr>
              <w:t>9,0</w:t>
            </w:r>
          </w:p>
        </w:tc>
        <w:tc>
          <w:tcPr>
            <w:tcW w:w="1870" w:type="dxa"/>
          </w:tcPr>
          <w:p w14:paraId="66629FB9" w14:textId="73E47273" w:rsidR="006741F3" w:rsidRPr="006741F3" w:rsidRDefault="006741F3" w:rsidP="006741F3">
            <w:pPr>
              <w:spacing w:line="240" w:lineRule="auto"/>
              <w:rPr>
                <w:rFonts w:eastAsia="Times New Roman" w:cs="Arial"/>
                <w:lang w:eastAsia="bg-BG"/>
              </w:rPr>
            </w:pPr>
            <w:r w:rsidRPr="006741F3">
              <w:t>150</w:t>
            </w:r>
          </w:p>
        </w:tc>
        <w:tc>
          <w:tcPr>
            <w:tcW w:w="1870" w:type="dxa"/>
          </w:tcPr>
          <w:p w14:paraId="70965CA3" w14:textId="1E07ACE0" w:rsidR="006741F3" w:rsidRPr="006741F3" w:rsidRDefault="006741F3" w:rsidP="006741F3">
            <w:pPr>
              <w:spacing w:line="240" w:lineRule="auto"/>
              <w:rPr>
                <w:rFonts w:eastAsia="Times New Roman" w:cs="Arial"/>
                <w:lang w:eastAsia="bg-BG"/>
              </w:rPr>
            </w:pPr>
            <w:r w:rsidRPr="006741F3">
              <w:t>0,7</w:t>
            </w:r>
          </w:p>
        </w:tc>
        <w:tc>
          <w:tcPr>
            <w:tcW w:w="1870" w:type="dxa"/>
          </w:tcPr>
          <w:p w14:paraId="536CD0A6" w14:textId="277FD409" w:rsidR="006741F3" w:rsidRPr="006741F3" w:rsidRDefault="006741F3" w:rsidP="006741F3">
            <w:pPr>
              <w:spacing w:line="240" w:lineRule="auto"/>
              <w:rPr>
                <w:rFonts w:eastAsia="Times New Roman" w:cs="Arial"/>
                <w:lang w:eastAsia="bg-BG"/>
              </w:rPr>
            </w:pPr>
            <w:r w:rsidRPr="006741F3">
              <w:t>110</w:t>
            </w:r>
          </w:p>
        </w:tc>
        <w:tc>
          <w:tcPr>
            <w:tcW w:w="1870" w:type="dxa"/>
          </w:tcPr>
          <w:p w14:paraId="108D5ED4" w14:textId="6DF61BC2" w:rsidR="006741F3" w:rsidRPr="006741F3" w:rsidRDefault="006741F3" w:rsidP="006741F3">
            <w:pPr>
              <w:spacing w:line="240" w:lineRule="auto"/>
              <w:rPr>
                <w:rFonts w:eastAsia="Times New Roman" w:cs="Arial"/>
                <w:lang w:eastAsia="bg-BG"/>
              </w:rPr>
            </w:pPr>
            <w:r w:rsidRPr="006741F3">
              <w:t>0,5</w:t>
            </w:r>
          </w:p>
        </w:tc>
      </w:tr>
      <w:tr w:rsidR="006741F3" w14:paraId="2A1865FB" w14:textId="77777777" w:rsidTr="006741F3">
        <w:tc>
          <w:tcPr>
            <w:tcW w:w="1870" w:type="dxa"/>
          </w:tcPr>
          <w:p w14:paraId="13063EC0" w14:textId="1E7B0746" w:rsidR="006741F3" w:rsidRPr="006741F3" w:rsidRDefault="006741F3" w:rsidP="006741F3">
            <w:pPr>
              <w:spacing w:line="240" w:lineRule="auto"/>
              <w:rPr>
                <w:rFonts w:eastAsia="Times New Roman" w:cs="Arial"/>
                <w:szCs w:val="24"/>
                <w:lang w:eastAsia="bg-BG"/>
              </w:rPr>
            </w:pPr>
            <w:r w:rsidRPr="006741F3">
              <w:rPr>
                <w:szCs w:val="24"/>
              </w:rPr>
              <w:t>13,5</w:t>
            </w:r>
          </w:p>
        </w:tc>
        <w:tc>
          <w:tcPr>
            <w:tcW w:w="1870" w:type="dxa"/>
          </w:tcPr>
          <w:p w14:paraId="71A20E49" w14:textId="1593CE0D" w:rsidR="006741F3" w:rsidRPr="006741F3" w:rsidRDefault="006741F3" w:rsidP="006741F3">
            <w:pPr>
              <w:spacing w:line="240" w:lineRule="auto"/>
              <w:rPr>
                <w:rFonts w:eastAsia="Times New Roman" w:cs="Arial"/>
                <w:lang w:eastAsia="bg-BG"/>
              </w:rPr>
            </w:pPr>
            <w:r w:rsidRPr="006741F3">
              <w:t>225</w:t>
            </w:r>
          </w:p>
        </w:tc>
        <w:tc>
          <w:tcPr>
            <w:tcW w:w="1870" w:type="dxa"/>
          </w:tcPr>
          <w:p w14:paraId="710AEBBF" w14:textId="625483D7" w:rsidR="006741F3" w:rsidRPr="006741F3" w:rsidRDefault="006741F3" w:rsidP="006741F3">
            <w:pPr>
              <w:spacing w:line="240" w:lineRule="auto"/>
              <w:rPr>
                <w:rFonts w:eastAsia="Times New Roman" w:cs="Arial"/>
                <w:lang w:eastAsia="bg-BG"/>
              </w:rPr>
            </w:pPr>
            <w:r w:rsidRPr="006741F3">
              <w:t>1,0</w:t>
            </w:r>
          </w:p>
        </w:tc>
        <w:tc>
          <w:tcPr>
            <w:tcW w:w="1870" w:type="dxa"/>
          </w:tcPr>
          <w:p w14:paraId="4B02E783" w14:textId="5F52B502" w:rsidR="006741F3" w:rsidRPr="006741F3" w:rsidRDefault="006741F3" w:rsidP="006741F3">
            <w:pPr>
              <w:spacing w:line="240" w:lineRule="auto"/>
              <w:rPr>
                <w:rFonts w:eastAsia="Times New Roman" w:cs="Arial"/>
                <w:lang w:eastAsia="bg-BG"/>
              </w:rPr>
            </w:pPr>
            <w:r w:rsidRPr="006741F3">
              <w:t>170</w:t>
            </w:r>
          </w:p>
        </w:tc>
        <w:tc>
          <w:tcPr>
            <w:tcW w:w="1870" w:type="dxa"/>
          </w:tcPr>
          <w:p w14:paraId="4978606F" w14:textId="02F6E8C5" w:rsidR="006741F3" w:rsidRPr="006741F3" w:rsidRDefault="006741F3" w:rsidP="006741F3">
            <w:pPr>
              <w:spacing w:line="240" w:lineRule="auto"/>
              <w:rPr>
                <w:rFonts w:eastAsia="Times New Roman" w:cs="Arial"/>
                <w:lang w:eastAsia="bg-BG"/>
              </w:rPr>
            </w:pPr>
            <w:r w:rsidRPr="006741F3">
              <w:t>0,75</w:t>
            </w:r>
          </w:p>
        </w:tc>
      </w:tr>
      <w:tr w:rsidR="006741F3" w14:paraId="68867C94" w14:textId="77777777" w:rsidTr="006741F3">
        <w:tc>
          <w:tcPr>
            <w:tcW w:w="1870" w:type="dxa"/>
          </w:tcPr>
          <w:p w14:paraId="050D17FE" w14:textId="70D2BAC7" w:rsidR="006741F3" w:rsidRPr="006741F3" w:rsidRDefault="006741F3" w:rsidP="006741F3">
            <w:pPr>
              <w:spacing w:line="240" w:lineRule="auto"/>
              <w:rPr>
                <w:rFonts w:eastAsia="Times New Roman" w:cs="Arial"/>
                <w:szCs w:val="24"/>
                <w:lang w:eastAsia="bg-BG"/>
              </w:rPr>
            </w:pPr>
            <w:r w:rsidRPr="006741F3">
              <w:rPr>
                <w:szCs w:val="24"/>
              </w:rPr>
              <w:t>18,0</w:t>
            </w:r>
          </w:p>
        </w:tc>
        <w:tc>
          <w:tcPr>
            <w:tcW w:w="1870" w:type="dxa"/>
          </w:tcPr>
          <w:p w14:paraId="625E1B87" w14:textId="554C7547" w:rsidR="006741F3" w:rsidRPr="006741F3" w:rsidRDefault="006741F3" w:rsidP="006741F3">
            <w:pPr>
              <w:spacing w:line="240" w:lineRule="auto"/>
              <w:rPr>
                <w:rFonts w:eastAsia="Times New Roman" w:cs="Arial"/>
                <w:lang w:eastAsia="bg-BG"/>
              </w:rPr>
            </w:pPr>
            <w:r w:rsidRPr="006741F3">
              <w:t>300</w:t>
            </w:r>
          </w:p>
        </w:tc>
        <w:tc>
          <w:tcPr>
            <w:tcW w:w="1870" w:type="dxa"/>
          </w:tcPr>
          <w:p w14:paraId="4F52E2FB" w14:textId="713C08F9" w:rsidR="006741F3" w:rsidRPr="006741F3" w:rsidRDefault="006741F3" w:rsidP="006741F3">
            <w:pPr>
              <w:spacing w:line="240" w:lineRule="auto"/>
              <w:rPr>
                <w:rFonts w:eastAsia="Times New Roman" w:cs="Arial"/>
                <w:lang w:eastAsia="bg-BG"/>
              </w:rPr>
            </w:pPr>
            <w:r w:rsidRPr="006741F3">
              <w:t>1,35</w:t>
            </w:r>
          </w:p>
        </w:tc>
        <w:tc>
          <w:tcPr>
            <w:tcW w:w="1870" w:type="dxa"/>
          </w:tcPr>
          <w:p w14:paraId="39DAA853" w14:textId="273123AE" w:rsidR="006741F3" w:rsidRPr="006741F3" w:rsidRDefault="006741F3" w:rsidP="006741F3">
            <w:pPr>
              <w:spacing w:line="240" w:lineRule="auto"/>
              <w:rPr>
                <w:rFonts w:eastAsia="Times New Roman" w:cs="Arial"/>
                <w:lang w:eastAsia="bg-BG"/>
              </w:rPr>
            </w:pPr>
            <w:r w:rsidRPr="006741F3">
              <w:t>225</w:t>
            </w:r>
          </w:p>
        </w:tc>
        <w:tc>
          <w:tcPr>
            <w:tcW w:w="1870" w:type="dxa"/>
          </w:tcPr>
          <w:p w14:paraId="14785CA2" w14:textId="2332A15B" w:rsidR="006741F3" w:rsidRPr="006741F3" w:rsidRDefault="006741F3" w:rsidP="006741F3">
            <w:pPr>
              <w:spacing w:line="240" w:lineRule="auto"/>
              <w:rPr>
                <w:rFonts w:eastAsia="Times New Roman" w:cs="Arial"/>
                <w:lang w:eastAsia="bg-BG"/>
              </w:rPr>
            </w:pPr>
            <w:r w:rsidRPr="006741F3">
              <w:t>1,0</w:t>
            </w:r>
          </w:p>
        </w:tc>
      </w:tr>
      <w:tr w:rsidR="006741F3" w14:paraId="78CE3452" w14:textId="77777777" w:rsidTr="006741F3">
        <w:tc>
          <w:tcPr>
            <w:tcW w:w="1870" w:type="dxa"/>
          </w:tcPr>
          <w:p w14:paraId="0A662FC8" w14:textId="5F5466E4" w:rsidR="006741F3" w:rsidRPr="006741F3" w:rsidRDefault="006741F3" w:rsidP="006741F3">
            <w:pPr>
              <w:spacing w:line="240" w:lineRule="auto"/>
              <w:rPr>
                <w:rFonts w:eastAsia="Times New Roman" w:cs="Arial"/>
                <w:szCs w:val="24"/>
                <w:lang w:eastAsia="bg-BG"/>
              </w:rPr>
            </w:pPr>
            <w:r w:rsidRPr="006741F3">
              <w:rPr>
                <w:szCs w:val="24"/>
              </w:rPr>
              <w:t>22,5</w:t>
            </w:r>
          </w:p>
        </w:tc>
        <w:tc>
          <w:tcPr>
            <w:tcW w:w="1870" w:type="dxa"/>
          </w:tcPr>
          <w:p w14:paraId="0D43C25B" w14:textId="6864DD0C" w:rsidR="006741F3" w:rsidRPr="006741F3" w:rsidRDefault="006741F3" w:rsidP="006741F3">
            <w:pPr>
              <w:spacing w:line="240" w:lineRule="auto"/>
              <w:rPr>
                <w:rFonts w:eastAsia="Times New Roman" w:cs="Arial"/>
                <w:lang w:eastAsia="bg-BG"/>
              </w:rPr>
            </w:pPr>
            <w:r w:rsidRPr="006741F3">
              <w:t>375</w:t>
            </w:r>
          </w:p>
        </w:tc>
        <w:tc>
          <w:tcPr>
            <w:tcW w:w="1870" w:type="dxa"/>
          </w:tcPr>
          <w:p w14:paraId="7B83E776" w14:textId="00811005" w:rsidR="006741F3" w:rsidRPr="006741F3" w:rsidRDefault="006741F3" w:rsidP="006741F3">
            <w:pPr>
              <w:spacing w:line="240" w:lineRule="auto"/>
              <w:rPr>
                <w:rFonts w:eastAsia="Times New Roman" w:cs="Arial"/>
                <w:lang w:eastAsia="bg-BG"/>
              </w:rPr>
            </w:pPr>
            <w:r w:rsidRPr="006741F3">
              <w:t>1,7</w:t>
            </w:r>
          </w:p>
        </w:tc>
        <w:tc>
          <w:tcPr>
            <w:tcW w:w="1870" w:type="dxa"/>
          </w:tcPr>
          <w:p w14:paraId="0E5381DF" w14:textId="7250508D" w:rsidR="006741F3" w:rsidRPr="006741F3" w:rsidRDefault="006741F3" w:rsidP="006741F3">
            <w:pPr>
              <w:spacing w:line="240" w:lineRule="auto"/>
              <w:rPr>
                <w:rFonts w:eastAsia="Times New Roman" w:cs="Arial"/>
                <w:lang w:eastAsia="bg-BG"/>
              </w:rPr>
            </w:pPr>
            <w:r w:rsidRPr="006741F3">
              <w:t>285</w:t>
            </w:r>
          </w:p>
        </w:tc>
        <w:tc>
          <w:tcPr>
            <w:tcW w:w="1870" w:type="dxa"/>
          </w:tcPr>
          <w:p w14:paraId="34A9FFFC" w14:textId="0E2F2F08" w:rsidR="006741F3" w:rsidRPr="006741F3" w:rsidRDefault="006741F3" w:rsidP="006741F3">
            <w:pPr>
              <w:spacing w:line="240" w:lineRule="auto"/>
              <w:rPr>
                <w:rFonts w:eastAsia="Times New Roman" w:cs="Arial"/>
                <w:lang w:eastAsia="bg-BG"/>
              </w:rPr>
            </w:pPr>
            <w:r w:rsidRPr="006741F3">
              <w:t>1,25</w:t>
            </w:r>
          </w:p>
        </w:tc>
      </w:tr>
    </w:tbl>
    <w:p w14:paraId="36D13224" w14:textId="77777777" w:rsidR="006741F3" w:rsidRPr="006741F3" w:rsidRDefault="006741F3" w:rsidP="006741F3">
      <w:pPr>
        <w:spacing w:line="240" w:lineRule="auto"/>
        <w:rPr>
          <w:rFonts w:eastAsia="Times New Roman" w:cs="Arial"/>
          <w:lang w:eastAsia="bg-BG"/>
        </w:rPr>
      </w:pPr>
    </w:p>
    <w:p w14:paraId="0FD2E143"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lastRenderedPageBreak/>
        <w:t xml:space="preserve">При деца с леко до умерено нарушена бъбречна функция (КК от 70-40 </w:t>
      </w:r>
      <w:r w:rsidRPr="006741F3">
        <w:rPr>
          <w:rFonts w:eastAsia="Times New Roman" w:cs="Arial"/>
          <w:color w:val="000000"/>
          <w:lang w:val="en-US"/>
        </w:rPr>
        <w:t xml:space="preserve">ml/min), </w:t>
      </w:r>
      <w:r w:rsidRPr="006741F3">
        <w:rPr>
          <w:rFonts w:eastAsia="Times New Roman" w:cs="Arial"/>
          <w:color w:val="000000"/>
          <w:lang w:eastAsia="bg-BG"/>
        </w:rPr>
        <w:t>60% от обичайната дневна доза, разделена на приеми през 12 часа би трябвало да бъде клинично релевантна.</w:t>
      </w:r>
    </w:p>
    <w:p w14:paraId="3E91EE2B" w14:textId="77777777" w:rsidR="006741F3" w:rsidRPr="006741F3" w:rsidRDefault="006741F3" w:rsidP="006741F3">
      <w:pPr>
        <w:spacing w:line="240" w:lineRule="auto"/>
        <w:rPr>
          <w:rFonts w:eastAsia="Times New Roman" w:cs="Arial"/>
          <w:color w:val="000000"/>
          <w:lang w:eastAsia="bg-BG"/>
        </w:rPr>
      </w:pPr>
    </w:p>
    <w:p w14:paraId="281878CB" w14:textId="46DA44E5"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 xml:space="preserve">При деца със средно тежка бъбречна недостатъчност (КК от 40-20 </w:t>
      </w:r>
      <w:r w:rsidRPr="006741F3">
        <w:rPr>
          <w:rFonts w:eastAsia="Times New Roman" w:cs="Arial"/>
          <w:color w:val="000000"/>
          <w:lang w:val="en-US"/>
        </w:rPr>
        <w:t xml:space="preserve">ml/min), </w:t>
      </w:r>
      <w:r w:rsidRPr="006741F3">
        <w:rPr>
          <w:rFonts w:eastAsia="Times New Roman" w:cs="Arial"/>
          <w:color w:val="000000"/>
          <w:lang w:eastAsia="bg-BG"/>
        </w:rPr>
        <w:t xml:space="preserve">25% от обичайната дневна доза, разделена на приеми през 12 часа би трябвало да бъде терапевтично адекватна, а при деца с тежка бъбречна недостатъчност (КК от 20-5 </w:t>
      </w:r>
      <w:r w:rsidRPr="006741F3">
        <w:rPr>
          <w:rFonts w:eastAsia="Times New Roman" w:cs="Arial"/>
          <w:color w:val="000000"/>
          <w:lang w:val="en-US"/>
        </w:rPr>
        <w:t xml:space="preserve">ml/min), </w:t>
      </w:r>
      <w:r w:rsidRPr="006741F3">
        <w:rPr>
          <w:rFonts w:eastAsia="Times New Roman" w:cs="Arial"/>
          <w:color w:val="000000"/>
          <w:lang w:eastAsia="bg-BG"/>
        </w:rPr>
        <w:t>такава доза представлява 10% от обичайната дневна доза, разделена на приеми през 24 часа.</w:t>
      </w:r>
    </w:p>
    <w:p w14:paraId="3A8D2012" w14:textId="77777777" w:rsidR="006741F3" w:rsidRPr="006741F3" w:rsidRDefault="006741F3" w:rsidP="006741F3">
      <w:pPr>
        <w:spacing w:line="240" w:lineRule="auto"/>
        <w:rPr>
          <w:rFonts w:eastAsia="Times New Roman" w:cs="Arial"/>
          <w:color w:val="000000"/>
          <w:u w:val="single"/>
          <w:lang w:eastAsia="bg-BG"/>
        </w:rPr>
      </w:pPr>
    </w:p>
    <w:p w14:paraId="41A113C5"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Профилактика пои възрастни</w:t>
      </w:r>
    </w:p>
    <w:p w14:paraId="793B1CEC" w14:textId="5F725E86"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 xml:space="preserve">Обичайната доза е 1 </w:t>
      </w:r>
      <w:r w:rsidRPr="006741F3">
        <w:rPr>
          <w:rFonts w:eastAsia="Times New Roman" w:cs="Arial"/>
          <w:color w:val="000000"/>
          <w:lang w:val="en-US"/>
        </w:rPr>
        <w:t xml:space="preserve">g </w:t>
      </w:r>
      <w:r w:rsidRPr="006741F3">
        <w:rPr>
          <w:rFonts w:eastAsia="Times New Roman" w:cs="Arial"/>
          <w:color w:val="000000"/>
          <w:lang w:eastAsia="bg-BG"/>
        </w:rPr>
        <w:t xml:space="preserve">интравенозно или интрамускулно, приложена или 1 час преди началото на операцията, последвана от интравенозно или интрамускулно приложение на доза 0,5-1 </w:t>
      </w:r>
      <w:r w:rsidRPr="006741F3">
        <w:rPr>
          <w:rFonts w:eastAsia="Times New Roman" w:cs="Arial"/>
          <w:color w:val="000000"/>
          <w:lang w:val="en-US"/>
        </w:rPr>
        <w:t xml:space="preserve">g </w:t>
      </w:r>
      <w:r w:rsidRPr="006741F3">
        <w:rPr>
          <w:rFonts w:eastAsia="Times New Roman" w:cs="Arial"/>
          <w:color w:val="000000"/>
          <w:lang w:eastAsia="bg-BG"/>
        </w:rPr>
        <w:t xml:space="preserve">всеки 6-8 часа в продължение на 24 часа след операцията. При оперативни интервенции с продължителност над 2 часа се прилагат 0,5-1 </w:t>
      </w:r>
      <w:r w:rsidRPr="006741F3">
        <w:rPr>
          <w:rFonts w:eastAsia="Times New Roman" w:cs="Arial"/>
          <w:color w:val="000000"/>
          <w:lang w:val="en-US"/>
        </w:rPr>
        <w:t xml:space="preserve">g </w:t>
      </w:r>
      <w:r w:rsidRPr="006741F3">
        <w:rPr>
          <w:rFonts w:eastAsia="Times New Roman" w:cs="Arial"/>
          <w:color w:val="000000"/>
          <w:lang w:eastAsia="bg-BG"/>
        </w:rPr>
        <w:t>интравенозно или интрамускулно по време на операцията.</w:t>
      </w:r>
    </w:p>
    <w:p w14:paraId="62EEB764" w14:textId="77777777" w:rsidR="006741F3" w:rsidRPr="006741F3" w:rsidRDefault="006741F3" w:rsidP="006741F3">
      <w:pPr>
        <w:spacing w:line="240" w:lineRule="auto"/>
        <w:rPr>
          <w:rFonts w:eastAsia="Times New Roman" w:cs="Arial"/>
          <w:color w:val="000000"/>
          <w:lang w:eastAsia="bg-BG"/>
        </w:rPr>
      </w:pPr>
    </w:p>
    <w:p w14:paraId="6BD17435" w14:textId="5B804548"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Обикновено профилактичното приложение на продукта се преустановява в рамките на 24 часа след оперативната интервенция, но в някои случаи (напр. открита сърдечна хирургия) постоперативното приложение може да продължи до 3-5 дни.</w:t>
      </w:r>
    </w:p>
    <w:p w14:paraId="1A443CB9" w14:textId="77777777" w:rsidR="006741F3" w:rsidRPr="006741F3" w:rsidRDefault="006741F3" w:rsidP="006741F3">
      <w:pPr>
        <w:spacing w:line="240" w:lineRule="auto"/>
        <w:rPr>
          <w:rFonts w:eastAsia="Times New Roman" w:cs="Arial"/>
          <w:color w:val="000000"/>
          <w:u w:val="single"/>
          <w:lang w:eastAsia="bg-BG"/>
        </w:rPr>
      </w:pPr>
    </w:p>
    <w:p w14:paraId="5D63F370" w14:textId="47AEDC3F" w:rsidR="006741F3" w:rsidRPr="006741F3" w:rsidRDefault="006741F3" w:rsidP="006741F3">
      <w:pPr>
        <w:pStyle w:val="Heading3"/>
        <w:rPr>
          <w:rFonts w:eastAsia="Times New Roman"/>
          <w:u w:val="single"/>
          <w:lang w:eastAsia="bg-BG"/>
        </w:rPr>
      </w:pPr>
      <w:r w:rsidRPr="006741F3">
        <w:rPr>
          <w:rFonts w:eastAsia="Times New Roman"/>
          <w:u w:val="single"/>
          <w:lang w:eastAsia="bg-BG"/>
        </w:rPr>
        <w:t>Начин на приложение</w:t>
      </w:r>
    </w:p>
    <w:p w14:paraId="132F3111" w14:textId="5E7EF5F7" w:rsidR="005B0F27" w:rsidRPr="006741F3" w:rsidRDefault="006741F3" w:rsidP="006741F3">
      <w:pPr>
        <w:rPr>
          <w:rFonts w:cs="Arial"/>
        </w:rPr>
      </w:pPr>
      <w:r w:rsidRPr="006741F3">
        <w:rPr>
          <w:rFonts w:eastAsia="Times New Roman" w:cs="Arial"/>
          <w:color w:val="000000"/>
          <w:lang w:eastAsia="bg-BG"/>
        </w:rPr>
        <w:t>Цефазолин АБР се прилага дълбоко интрамускулно или интравенозно като болус инжекция или под формата на инфузия.</w:t>
      </w:r>
    </w:p>
    <w:p w14:paraId="13E29949" w14:textId="77777777" w:rsidR="006741F3" w:rsidRPr="0091385D" w:rsidRDefault="006741F3"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46FC7DAE" w14:textId="5492A463"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 Свръхчувствителност към активното вещество, към други цефалоспорини или към някое от помощните ве</w:t>
      </w:r>
      <w:r w:rsidRPr="00CE1036">
        <w:rPr>
          <w:rFonts w:eastAsia="Times New Roman" w:cs="Arial"/>
          <w:color w:val="000000"/>
          <w:lang w:eastAsia="bg-BG"/>
        </w:rPr>
        <w:t xml:space="preserve">щества, изброени в точка 6.1. </w:t>
      </w:r>
    </w:p>
    <w:p w14:paraId="692DB622" w14:textId="77777777" w:rsidR="006741F3" w:rsidRPr="00CE1036" w:rsidRDefault="006741F3" w:rsidP="006741F3">
      <w:pPr>
        <w:rPr>
          <w:rFonts w:eastAsia="Times New Roman" w:cs="Arial"/>
          <w:color w:val="000000"/>
          <w:lang w:eastAsia="bg-BG"/>
        </w:rPr>
      </w:pPr>
    </w:p>
    <w:p w14:paraId="030B6A4D" w14:textId="18B95F15" w:rsidR="00EC41ED" w:rsidRPr="00CE1036" w:rsidRDefault="006741F3" w:rsidP="006741F3">
      <w:pPr>
        <w:rPr>
          <w:rFonts w:eastAsia="Times New Roman" w:cs="Arial"/>
          <w:color w:val="000000"/>
          <w:lang w:eastAsia="bg-BG"/>
        </w:rPr>
      </w:pPr>
      <w:r w:rsidRPr="00CE1036">
        <w:rPr>
          <w:rFonts w:eastAsia="Times New Roman" w:cs="Arial"/>
          <w:color w:val="000000"/>
          <w:lang w:eastAsia="bg-BG"/>
        </w:rPr>
        <w:t>Необходимо е да се вземе под внимание установената кръстосана свръхчувствителност с други бета-лактамни антибиотици, напр. пеницилини.</w:t>
      </w:r>
    </w:p>
    <w:p w14:paraId="31B39DC6" w14:textId="40F6077F"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58A827D0"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Продуктът трябва да бъде прилаган с особено внимание при алергична диатеза и атопии (напр. сенна хрема или бронхиална астма), поради повишен риск от сериозни реакции на свръхчувствителност.</w:t>
      </w:r>
    </w:p>
    <w:p w14:paraId="736BAD45" w14:textId="77777777" w:rsidR="006741F3" w:rsidRPr="00CE1036" w:rsidRDefault="006741F3" w:rsidP="006741F3">
      <w:pPr>
        <w:spacing w:line="240" w:lineRule="auto"/>
        <w:rPr>
          <w:rFonts w:eastAsia="Times New Roman" w:cs="Arial"/>
          <w:color w:val="000000"/>
          <w:lang w:eastAsia="bg-BG"/>
        </w:rPr>
      </w:pPr>
    </w:p>
    <w:p w14:paraId="460C4262" w14:textId="47E33B6D"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При пациенти, свръхчувствителни към пеницилин, пенициламин и гризеофулвин (кръстосана свръхчувствителност) и при такива с други форми на алергия, първата апликация изисква повишено внимание и медицинско наблюдение.</w:t>
      </w:r>
    </w:p>
    <w:p w14:paraId="1952892A" w14:textId="77777777" w:rsidR="006741F3" w:rsidRPr="00CE1036" w:rsidRDefault="006741F3" w:rsidP="006741F3">
      <w:pPr>
        <w:spacing w:line="240" w:lineRule="auto"/>
        <w:rPr>
          <w:rFonts w:eastAsia="Times New Roman" w:cs="Arial"/>
          <w:color w:val="000000"/>
          <w:lang w:eastAsia="bg-BG"/>
        </w:rPr>
      </w:pPr>
    </w:p>
    <w:p w14:paraId="5F5B920D" w14:textId="04E326C2"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Преди всеки нов курс на лечение с Цефазолин АБР пациентът трябва внимателно да бъде разпитан, за да се установят или изключат предишни реакции на свръхчувствителност към цефалоспорини, пеницилини или други лекарства. Известно е, че около 10% от пациентите с установена свръхчувствителност към пеницилин са алергични и към цефалоспорини.</w:t>
      </w:r>
    </w:p>
    <w:p w14:paraId="4E564B32" w14:textId="77777777" w:rsidR="006741F3" w:rsidRPr="00CE1036" w:rsidRDefault="006741F3" w:rsidP="006741F3">
      <w:pPr>
        <w:spacing w:line="240" w:lineRule="auto"/>
        <w:rPr>
          <w:rFonts w:eastAsia="Times New Roman" w:cs="Arial"/>
          <w:color w:val="000000"/>
          <w:lang w:eastAsia="bg-BG"/>
        </w:rPr>
      </w:pPr>
    </w:p>
    <w:p w14:paraId="56FEDE81" w14:textId="0E64DBF0"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lastRenderedPageBreak/>
        <w:t xml:space="preserve">При липса на анамнеза за алергии се правят проби за свръхчувствителност - скарификационна и епикутанна, а отговорът се отчита след 30 минути. В случай на развитие на тежка остра реакция на свръхчувствителност е необходимо подкожно прилагане на 0,1 - 0,5 </w:t>
      </w:r>
      <w:r w:rsidRPr="006741F3">
        <w:rPr>
          <w:rFonts w:eastAsia="Times New Roman" w:cs="Arial"/>
          <w:color w:val="000000"/>
          <w:lang w:val="en-US"/>
        </w:rPr>
        <w:t xml:space="preserve">mg </w:t>
      </w:r>
      <w:r w:rsidRPr="006741F3">
        <w:rPr>
          <w:rFonts w:eastAsia="Times New Roman" w:cs="Arial"/>
          <w:color w:val="000000"/>
          <w:lang w:eastAsia="bg-BG"/>
        </w:rPr>
        <w:t xml:space="preserve">адреналин, венозна инфузия на кортикостероиди, антихистаминов продукт (парентерално), аминофилин и селективни </w:t>
      </w:r>
      <w:r w:rsidRPr="006741F3">
        <w:rPr>
          <w:rFonts w:eastAsia="Times New Roman" w:cs="Arial"/>
          <w:color w:val="000000"/>
          <w:lang w:val="en-US"/>
        </w:rPr>
        <w:t>p</w:t>
      </w:r>
      <w:r w:rsidRPr="006741F3">
        <w:rPr>
          <w:rFonts w:eastAsia="Times New Roman" w:cs="Arial"/>
          <w:color w:val="000000"/>
          <w:lang w:eastAsia="bg-BG"/>
        </w:rPr>
        <w:t>-адреномиметици при бронхоспазъм, кислород, обдишване и при необходимост, интубация.</w:t>
      </w:r>
    </w:p>
    <w:p w14:paraId="244D1FC5" w14:textId="77777777" w:rsidR="006741F3" w:rsidRPr="00CE1036" w:rsidRDefault="006741F3" w:rsidP="006741F3">
      <w:pPr>
        <w:spacing w:line="240" w:lineRule="auto"/>
        <w:rPr>
          <w:rFonts w:eastAsia="Times New Roman" w:cs="Arial"/>
          <w:color w:val="000000"/>
          <w:lang w:eastAsia="bg-BG"/>
        </w:rPr>
      </w:pPr>
    </w:p>
    <w:p w14:paraId="0AAAD648" w14:textId="5F8FA22A"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 xml:space="preserve">При пациенти с бъбречна недостатъчност е необходимо дозировката и интервалът на дозиране да се променят съобразно креатининовия клирънс. Поради възможност от кумулация на цефазолин при нарушена бъбречна функция и скорост на гломерулна филтрация &lt; 55 </w:t>
      </w:r>
      <w:r w:rsidRPr="006741F3">
        <w:rPr>
          <w:rFonts w:eastAsia="Times New Roman" w:cs="Arial"/>
          <w:color w:val="000000"/>
          <w:lang w:val="en-US"/>
        </w:rPr>
        <w:t xml:space="preserve">ml/min., </w:t>
      </w:r>
      <w:r w:rsidRPr="006741F3">
        <w:rPr>
          <w:rFonts w:eastAsia="Times New Roman" w:cs="Arial"/>
          <w:color w:val="000000"/>
          <w:lang w:eastAsia="bg-BG"/>
        </w:rPr>
        <w:t>размерът на прилаганата доза трябва да бъде намален съответно или интервалът между отделните приложения да бъде удължен (вж. т.4.2.).</w:t>
      </w:r>
    </w:p>
    <w:p w14:paraId="4F31A4D5" w14:textId="77777777" w:rsidR="006741F3" w:rsidRPr="00CE1036" w:rsidRDefault="006741F3" w:rsidP="006741F3">
      <w:pPr>
        <w:spacing w:line="240" w:lineRule="auto"/>
        <w:rPr>
          <w:rFonts w:eastAsia="Times New Roman" w:cs="Arial"/>
          <w:color w:val="000000"/>
          <w:lang w:eastAsia="bg-BG"/>
        </w:rPr>
      </w:pPr>
    </w:p>
    <w:p w14:paraId="56EB2C58" w14:textId="3DC87B5E"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При пациенти с уремия може да се наблюдава коагулопатия.</w:t>
      </w:r>
    </w:p>
    <w:p w14:paraId="4F626DFD" w14:textId="77777777" w:rsidR="006741F3" w:rsidRPr="00CE1036" w:rsidRDefault="006741F3" w:rsidP="006741F3">
      <w:pPr>
        <w:spacing w:line="240" w:lineRule="auto"/>
        <w:rPr>
          <w:rFonts w:eastAsia="Times New Roman" w:cs="Arial"/>
          <w:color w:val="000000"/>
          <w:lang w:eastAsia="bg-BG"/>
        </w:rPr>
      </w:pPr>
    </w:p>
    <w:p w14:paraId="171121E9" w14:textId="3E8D577F"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Продължителната употреба на цефазолин, подобно на други антибактериални средства, може да доведе до свръхрастеж на нечувствителни микроорганизми. При наличие на суперинфекция трябва да се направи повторна оценка на състоянието на пациента по време на лечението и ако е необходимо да се предприемат допълнителни мерки.</w:t>
      </w:r>
    </w:p>
    <w:p w14:paraId="59F08507" w14:textId="77777777" w:rsidR="006741F3" w:rsidRPr="00CE1036" w:rsidRDefault="006741F3" w:rsidP="006741F3">
      <w:pPr>
        <w:spacing w:line="240" w:lineRule="auto"/>
        <w:rPr>
          <w:rFonts w:eastAsia="Times New Roman" w:cs="Arial"/>
          <w:color w:val="000000"/>
          <w:lang w:eastAsia="bg-BG"/>
        </w:rPr>
      </w:pPr>
    </w:p>
    <w:p w14:paraId="074E9761" w14:textId="0E226E5C"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Възможно е в хода на лечението и дори известно време след неговото прекратяване, подобно на други антибиотици, да се развие псевдомембранозен колит, поради което е необходимо повишено внимание при пациенти с диария по време или след лечение с продукта. При тежка диария се препоръчва ендоскопско изследване евентуалното установяване на псевдомембранозен колит. При леките случаи прекъсване приложението на лекарството може да бъде достатъчна мярка. Средно тежки или тежки случаи се третират чрез незабавна венозна инфузия на водно-солеви разтвори, електролити и протеини, а при необходимост и перорални антибактериални средства. Приложението на лекарства, потискащи чревната перисталтика е противопоказано.</w:t>
      </w:r>
    </w:p>
    <w:p w14:paraId="6D120C66"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Цефазолин АБР, подобно на другите широкоспектърни антибиотици, трябва да се прилага с повишено внимание при пациенти с анамнестични данни за гастро-интестинални заболявалия, особено колит.</w:t>
      </w:r>
    </w:p>
    <w:p w14:paraId="6E9CAAFF" w14:textId="77777777" w:rsidR="006741F3" w:rsidRPr="00CE1036" w:rsidRDefault="006741F3" w:rsidP="006741F3">
      <w:pPr>
        <w:spacing w:line="240" w:lineRule="auto"/>
        <w:rPr>
          <w:rFonts w:eastAsia="Times New Roman" w:cs="Arial"/>
          <w:color w:val="000000"/>
          <w:lang w:eastAsia="bg-BG"/>
        </w:rPr>
      </w:pPr>
    </w:p>
    <w:p w14:paraId="68728CAE" w14:textId="7B2C53ED"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Няма данни за безопасността при приложение на продукта при недоносени и новородени на възраст под 1 месец, поради което при тази група пациенти не се препоръчва прилагането на Цефазолин АБР.</w:t>
      </w:r>
    </w:p>
    <w:p w14:paraId="6FAB1DB6" w14:textId="77777777" w:rsidR="006741F3" w:rsidRPr="00CE1036" w:rsidRDefault="006741F3" w:rsidP="006741F3">
      <w:pPr>
        <w:rPr>
          <w:rFonts w:eastAsia="Times New Roman" w:cs="Arial"/>
          <w:color w:val="000000"/>
          <w:lang w:eastAsia="bg-BG"/>
        </w:rPr>
      </w:pPr>
    </w:p>
    <w:p w14:paraId="0E28BBDE" w14:textId="129FC50F" w:rsidR="007A2185" w:rsidRDefault="006741F3" w:rsidP="006741F3">
      <w:pPr>
        <w:rPr>
          <w:rFonts w:ascii="Times New Roman" w:eastAsia="Times New Roman" w:hAnsi="Times New Roman" w:cs="Times New Roman"/>
          <w:color w:val="000000"/>
          <w:lang w:eastAsia="bg-BG"/>
        </w:rPr>
      </w:pPr>
      <w:r w:rsidRPr="00CE1036">
        <w:rPr>
          <w:rFonts w:eastAsia="Times New Roman" w:cs="Arial"/>
          <w:color w:val="000000"/>
          <w:lang w:eastAsia="bg-BG"/>
        </w:rPr>
        <w:t>Не се препоръчва интратекално и интравентрикуларно приложение на цефазолин, поради опасност от токсични ефекти от страна на ЦНС, вкл. развитие на гърчове.</w:t>
      </w:r>
    </w:p>
    <w:p w14:paraId="16578055" w14:textId="35E2F2FA" w:rsidR="006741F3" w:rsidRDefault="006741F3" w:rsidP="006741F3"/>
    <w:p w14:paraId="5E904034" w14:textId="62F84F17" w:rsidR="006741F3" w:rsidRDefault="006741F3" w:rsidP="006741F3">
      <w:r>
        <w:t xml:space="preserve">При пациенти, при които се налага ограничаване на приема на натрий, е необходимо да се има предвид количественото му съдържание в продукта - ≈48,3 </w:t>
      </w:r>
      <w:r>
        <w:rPr>
          <w:lang w:val="en-US"/>
        </w:rPr>
        <w:t>mg/g.</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B315CC7"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Антикоагуланти</w:t>
      </w:r>
    </w:p>
    <w:p w14:paraId="1B083289" w14:textId="77777777" w:rsidR="006741F3" w:rsidRPr="00CE1036"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 xml:space="preserve">Цефазолин може в редки случаи да доведе до нарушения в коагулацията. Показателите на крьвосъсирване трябва да бъдат проследявани регулярно при едновременно </w:t>
      </w:r>
      <w:r w:rsidRPr="006741F3">
        <w:rPr>
          <w:rFonts w:eastAsia="Times New Roman" w:cs="Arial"/>
          <w:color w:val="000000"/>
          <w:lang w:eastAsia="bg-BG"/>
        </w:rPr>
        <w:lastRenderedPageBreak/>
        <w:t>приложение с лекарства, повлияващи хемокоагулацията, напр. високи дози хепарин, орални антикоагуланти (вж. точка 4.8).</w:t>
      </w:r>
    </w:p>
    <w:p w14:paraId="7E00FCFB" w14:textId="77777777" w:rsidR="006741F3" w:rsidRPr="00CE1036" w:rsidRDefault="006741F3" w:rsidP="006741F3">
      <w:pPr>
        <w:spacing w:line="240" w:lineRule="auto"/>
        <w:rPr>
          <w:rFonts w:eastAsia="Times New Roman" w:cs="Arial"/>
          <w:sz w:val="24"/>
          <w:szCs w:val="24"/>
          <w:lang w:eastAsia="bg-BG"/>
        </w:rPr>
      </w:pPr>
    </w:p>
    <w:p w14:paraId="7FECC052" w14:textId="248784DE"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Пробенецид</w:t>
      </w:r>
    </w:p>
    <w:p w14:paraId="389B12FC"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Пробенецид води до потискане на бъбречната екскреция на цефазолин, поради което при едновременното приложение на двата продукта, се установява персистиране на високи плазмени концентрации на цефазолин.</w:t>
      </w:r>
    </w:p>
    <w:p w14:paraId="49E3C1D4" w14:textId="77777777" w:rsidR="006741F3" w:rsidRPr="00CE1036" w:rsidRDefault="006741F3" w:rsidP="006741F3">
      <w:pPr>
        <w:spacing w:line="240" w:lineRule="auto"/>
        <w:rPr>
          <w:rFonts w:eastAsia="Times New Roman" w:cs="Arial"/>
          <w:color w:val="000000"/>
          <w:u w:val="single"/>
          <w:lang w:eastAsia="bg-BG"/>
        </w:rPr>
      </w:pPr>
    </w:p>
    <w:p w14:paraId="30341781" w14:textId="2E2B302C"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Аминогликозиди/диуретици</w:t>
      </w:r>
    </w:p>
    <w:p w14:paraId="59766E0D"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Не може да бъде изключено потенциране на нефротоксичните ефекти на аминогликозидите и бързодействащите диуретици, като фуроземид и етакринова киселина, при едновременно приложение с цефазолин. При комбинирано прилагане с потенциално нефротоксични продукти същестува риск от бъбречно увреждане, поради което е необходимо внимателно проследяване на бъбречната функция.</w:t>
      </w:r>
    </w:p>
    <w:p w14:paraId="4374033B" w14:textId="77777777" w:rsidR="006741F3" w:rsidRPr="00CE1036" w:rsidRDefault="006741F3" w:rsidP="006741F3">
      <w:pPr>
        <w:spacing w:line="240" w:lineRule="auto"/>
        <w:rPr>
          <w:rFonts w:eastAsia="Times New Roman" w:cs="Arial"/>
          <w:color w:val="000000"/>
          <w:u w:val="single"/>
          <w:lang w:eastAsia="bg-BG"/>
        </w:rPr>
      </w:pPr>
    </w:p>
    <w:p w14:paraId="2F68DFC9" w14:textId="418FC48C"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Салииилати и индометацин</w:t>
      </w:r>
    </w:p>
    <w:p w14:paraId="655DED8C"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Тези продукти забавят излъчването на цефазолин.</w:t>
      </w:r>
    </w:p>
    <w:p w14:paraId="00D45667" w14:textId="77777777" w:rsidR="006741F3" w:rsidRPr="00CE1036" w:rsidRDefault="006741F3" w:rsidP="006741F3">
      <w:pPr>
        <w:spacing w:line="240" w:lineRule="auto"/>
        <w:rPr>
          <w:rFonts w:eastAsia="Times New Roman" w:cs="Arial"/>
          <w:color w:val="000000"/>
          <w:u w:val="single"/>
          <w:lang w:eastAsia="bg-BG"/>
        </w:rPr>
      </w:pPr>
    </w:p>
    <w:p w14:paraId="5F6EF14B" w14:textId="54ACB624"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Лабораторни диагностични тестове</w:t>
      </w:r>
    </w:p>
    <w:p w14:paraId="5B2761C5" w14:textId="3E2BB77E" w:rsidR="0091385D" w:rsidRPr="00CE1036" w:rsidRDefault="006741F3" w:rsidP="006741F3">
      <w:pPr>
        <w:rPr>
          <w:rFonts w:cs="Arial"/>
        </w:rPr>
      </w:pPr>
      <w:r w:rsidRPr="00CE1036">
        <w:rPr>
          <w:rFonts w:eastAsia="Times New Roman" w:cs="Arial"/>
          <w:color w:val="000000"/>
          <w:lang w:eastAsia="bg-BG"/>
        </w:rPr>
        <w:t xml:space="preserve">Цефазолин може да повлияе резултатите от някои лабораторни тестове - фалшиво позитивиране на реакциите за захар в урината (при използване на редукционни методи), позитивен директен и индиректен тест на </w:t>
      </w:r>
      <w:r w:rsidRPr="00CE1036">
        <w:rPr>
          <w:rFonts w:eastAsia="Times New Roman" w:cs="Arial"/>
          <w:color w:val="000000"/>
          <w:lang w:val="en-US"/>
        </w:rPr>
        <w:t>Coombs.</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203EFACC" w14:textId="77777777" w:rsidR="006741F3" w:rsidRPr="00CE1036" w:rsidRDefault="006741F3" w:rsidP="00CE1036">
      <w:pPr>
        <w:pStyle w:val="Heading3"/>
        <w:rPr>
          <w:rFonts w:eastAsia="Times New Roman"/>
          <w:u w:val="single"/>
          <w:lang w:eastAsia="bg-BG"/>
        </w:rPr>
      </w:pPr>
      <w:r w:rsidRPr="00CE1036">
        <w:rPr>
          <w:rFonts w:eastAsia="Times New Roman"/>
          <w:u w:val="single"/>
          <w:lang w:eastAsia="bg-BG"/>
        </w:rPr>
        <w:t>Бременност</w:t>
      </w:r>
    </w:p>
    <w:p w14:paraId="2B281A36"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Безопасността на цефазолин при бременни не е установена, поради което приложението на продукта по време на бременността, особено в нейния първи триместър, трябва да се избягва. Прилагането на продукта трябва да става след строга преценка на съотношението полза за майката/риск за плода и новороденото, тъй като е известно, че цефазолин преминава през плацентата.</w:t>
      </w:r>
    </w:p>
    <w:p w14:paraId="334A5C26" w14:textId="77777777" w:rsidR="006741F3" w:rsidRPr="00CE1036" w:rsidRDefault="006741F3" w:rsidP="006741F3">
      <w:pPr>
        <w:spacing w:line="240" w:lineRule="auto"/>
        <w:rPr>
          <w:rFonts w:eastAsia="Times New Roman" w:cs="Arial"/>
          <w:color w:val="000000"/>
          <w:u w:val="single"/>
          <w:lang w:eastAsia="bg-BG"/>
        </w:rPr>
      </w:pPr>
    </w:p>
    <w:p w14:paraId="3C8242A3" w14:textId="6C73D8A0" w:rsidR="006741F3" w:rsidRPr="00CE1036" w:rsidRDefault="006741F3" w:rsidP="00CE1036">
      <w:pPr>
        <w:pStyle w:val="Heading3"/>
        <w:rPr>
          <w:rFonts w:eastAsia="Times New Roman"/>
          <w:u w:val="single"/>
          <w:lang w:eastAsia="bg-BG"/>
        </w:rPr>
      </w:pPr>
      <w:r w:rsidRPr="00CE1036">
        <w:rPr>
          <w:rFonts w:eastAsia="Times New Roman"/>
          <w:u w:val="single"/>
          <w:lang w:eastAsia="bg-BG"/>
        </w:rPr>
        <w:t>Кърмене</w:t>
      </w:r>
    </w:p>
    <w:p w14:paraId="102F0D07" w14:textId="6C4349D1" w:rsidR="007A2185" w:rsidRPr="00CE1036" w:rsidRDefault="006741F3" w:rsidP="006741F3">
      <w:pPr>
        <w:rPr>
          <w:rFonts w:cs="Arial"/>
        </w:rPr>
      </w:pPr>
      <w:r w:rsidRPr="00CE1036">
        <w:rPr>
          <w:rFonts w:eastAsia="Times New Roman" w:cs="Arial"/>
          <w:color w:val="000000"/>
          <w:lang w:eastAsia="bg-BG"/>
        </w:rPr>
        <w:t>Цефазолин се екскретира в малки количества в майчиното мляко и може да доведе до диария и гьбични инфекции при новороденото и кърмачето, поради което се препоръчва прекратяване на кърменето за времето на лечение с продукта.</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0931A792" w:rsidR="007A2185" w:rsidRDefault="006741F3" w:rsidP="0091385D">
      <w:r>
        <w:t>Приложението на Цефазолин АБР не повлиява или повлиява пренебрежимо способността за шофиране 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0254AACC" w14:textId="73827EB9" w:rsidR="007A2185" w:rsidRPr="00CE1036" w:rsidRDefault="006741F3" w:rsidP="0091385D">
      <w:pPr>
        <w:rPr>
          <w:rFonts w:cs="Arial"/>
        </w:rPr>
      </w:pPr>
      <w:r w:rsidRPr="00CE1036">
        <w:rPr>
          <w:rFonts w:cs="Arial"/>
        </w:rPr>
        <w:t>Честотата на нежеланите лекарствени реакции е класифицирана по следните критерии:</w:t>
      </w:r>
    </w:p>
    <w:p w14:paraId="70446D20" w14:textId="0C1B5073" w:rsidR="006741F3" w:rsidRPr="00CE1036" w:rsidRDefault="006741F3" w:rsidP="0091385D">
      <w:pPr>
        <w:rPr>
          <w:rFonts w:cs="Arial"/>
        </w:rPr>
      </w:pPr>
    </w:p>
    <w:p w14:paraId="718D980A"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Много чести:</w:t>
      </w:r>
      <w:r w:rsidRPr="006741F3">
        <w:rPr>
          <w:rFonts w:eastAsia="Times New Roman" w:cs="Arial"/>
          <w:color w:val="000000"/>
          <w:lang w:eastAsia="bg-BG"/>
        </w:rPr>
        <w:tab/>
        <w:t>≥ 1/10</w:t>
      </w:r>
    </w:p>
    <w:p w14:paraId="600EA0E8"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Чести:</w:t>
      </w:r>
      <w:r w:rsidRPr="006741F3">
        <w:rPr>
          <w:rFonts w:eastAsia="Times New Roman" w:cs="Arial"/>
          <w:color w:val="000000"/>
          <w:lang w:eastAsia="bg-BG"/>
        </w:rPr>
        <w:tab/>
        <w:t>≥</w:t>
      </w:r>
      <w:r w:rsidRPr="006741F3">
        <w:rPr>
          <w:rFonts w:eastAsia="Times New Roman" w:cs="Arial"/>
          <w:color w:val="000000"/>
          <w:lang w:val="en-US"/>
        </w:rPr>
        <w:t xml:space="preserve"> </w:t>
      </w:r>
      <w:r w:rsidRPr="006741F3">
        <w:rPr>
          <w:rFonts w:eastAsia="Times New Roman" w:cs="Arial"/>
          <w:color w:val="000000"/>
          <w:lang w:eastAsia="bg-BG"/>
        </w:rPr>
        <w:t>1/100 до &lt; 1/10</w:t>
      </w:r>
    </w:p>
    <w:p w14:paraId="2C3FC610" w14:textId="6915FA7B" w:rsidR="006741F3" w:rsidRPr="006741F3" w:rsidRDefault="00CE1036" w:rsidP="006741F3">
      <w:pPr>
        <w:spacing w:line="240" w:lineRule="auto"/>
        <w:rPr>
          <w:rFonts w:eastAsia="Times New Roman" w:cs="Arial"/>
          <w:sz w:val="24"/>
          <w:szCs w:val="24"/>
          <w:lang w:eastAsia="bg-BG"/>
        </w:rPr>
      </w:pPr>
      <w:r>
        <w:rPr>
          <w:rFonts w:eastAsia="Times New Roman" w:cs="Arial"/>
          <w:color w:val="000000"/>
          <w:lang w:eastAsia="bg-BG"/>
        </w:rPr>
        <w:lastRenderedPageBreak/>
        <w:t>Нечести</w:t>
      </w:r>
      <w:r>
        <w:rPr>
          <w:rFonts w:eastAsia="Times New Roman" w:cs="Arial"/>
          <w:color w:val="000000"/>
          <w:lang w:val="en-US" w:eastAsia="bg-BG"/>
        </w:rPr>
        <w:t>:</w:t>
      </w:r>
      <w:r>
        <w:rPr>
          <w:rFonts w:eastAsia="Times New Roman" w:cs="Arial"/>
          <w:color w:val="000000"/>
          <w:lang w:eastAsia="bg-BG"/>
        </w:rPr>
        <w:t xml:space="preserve"> </w:t>
      </w:r>
      <w:r w:rsidR="006741F3" w:rsidRPr="006741F3">
        <w:rPr>
          <w:rFonts w:eastAsia="Times New Roman" w:cs="Arial"/>
          <w:color w:val="000000"/>
          <w:lang w:eastAsia="bg-BG"/>
        </w:rPr>
        <w:t>≥</w:t>
      </w:r>
      <w:r w:rsidR="006741F3" w:rsidRPr="006741F3">
        <w:rPr>
          <w:rFonts w:eastAsia="Times New Roman" w:cs="Arial"/>
          <w:color w:val="000000"/>
          <w:lang w:val="en-US"/>
        </w:rPr>
        <w:t xml:space="preserve"> </w:t>
      </w:r>
      <w:r w:rsidR="006741F3" w:rsidRPr="006741F3">
        <w:rPr>
          <w:rFonts w:eastAsia="Times New Roman" w:cs="Arial"/>
          <w:color w:val="000000"/>
          <w:lang w:eastAsia="bg-BG"/>
        </w:rPr>
        <w:t>1/1000 до &lt; 1/100</w:t>
      </w:r>
    </w:p>
    <w:p w14:paraId="259E2F3A" w14:textId="0B3727DD"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Редки</w:t>
      </w:r>
      <w:r w:rsidR="00CE1036">
        <w:rPr>
          <w:rFonts w:eastAsia="Times New Roman" w:cs="Arial"/>
          <w:color w:val="000000"/>
          <w:lang w:val="en-US" w:eastAsia="bg-BG"/>
        </w:rPr>
        <w:t>:</w:t>
      </w:r>
      <w:r w:rsidRPr="006741F3">
        <w:rPr>
          <w:rFonts w:eastAsia="Times New Roman" w:cs="Arial"/>
          <w:color w:val="000000"/>
          <w:lang w:eastAsia="bg-BG"/>
        </w:rPr>
        <w:tab/>
        <w:t>≥ 1/10 000 до &lt; 1/1000</w:t>
      </w:r>
    </w:p>
    <w:p w14:paraId="40868EA0" w14:textId="5E010154"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Много редки</w:t>
      </w:r>
      <w:r w:rsidR="00CE1036">
        <w:rPr>
          <w:rFonts w:eastAsia="Times New Roman" w:cs="Arial"/>
          <w:color w:val="000000"/>
          <w:lang w:val="en-US" w:eastAsia="bg-BG"/>
        </w:rPr>
        <w:t>:</w:t>
      </w:r>
      <w:r w:rsidRPr="006741F3">
        <w:rPr>
          <w:rFonts w:eastAsia="Times New Roman" w:cs="Arial"/>
          <w:color w:val="000000"/>
          <w:lang w:eastAsia="bg-BG"/>
        </w:rPr>
        <w:t xml:space="preserve"> &lt; 1/10 000, с неизвестна честота (от наличните данни не може да бъде направена оценка)</w:t>
      </w:r>
    </w:p>
    <w:p w14:paraId="1920AAEF" w14:textId="77777777" w:rsidR="006741F3" w:rsidRPr="00CE1036" w:rsidRDefault="006741F3" w:rsidP="006741F3">
      <w:pPr>
        <w:spacing w:line="240" w:lineRule="auto"/>
        <w:rPr>
          <w:rFonts w:eastAsia="Times New Roman" w:cs="Arial"/>
          <w:i/>
          <w:iCs/>
          <w:color w:val="000000"/>
          <w:lang w:eastAsia="bg-BG"/>
        </w:rPr>
      </w:pPr>
    </w:p>
    <w:p w14:paraId="051A5FB4" w14:textId="164611AC" w:rsidR="006741F3" w:rsidRPr="006741F3" w:rsidRDefault="006741F3" w:rsidP="006741F3">
      <w:pPr>
        <w:spacing w:line="240" w:lineRule="auto"/>
        <w:rPr>
          <w:rFonts w:eastAsia="Times New Roman" w:cs="Arial"/>
          <w:sz w:val="24"/>
          <w:szCs w:val="24"/>
          <w:lang w:eastAsia="bg-BG"/>
        </w:rPr>
      </w:pPr>
      <w:r w:rsidRPr="006741F3">
        <w:rPr>
          <w:rFonts w:eastAsia="Times New Roman" w:cs="Arial"/>
          <w:i/>
          <w:iCs/>
          <w:color w:val="000000"/>
          <w:lang w:eastAsia="bg-BG"/>
        </w:rPr>
        <w:t>Нарушения на кръвта и лимфната система</w:t>
      </w:r>
    </w:p>
    <w:p w14:paraId="5FD62C1E"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Нарушенията на кръвта могат да бъдат резултат на токсичен ефект или да имат характер на реакция на свръхчувствителност.</w:t>
      </w:r>
    </w:p>
    <w:p w14:paraId="36676FCA"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Нечести</w:t>
      </w:r>
      <w:r w:rsidRPr="006741F3">
        <w:rPr>
          <w:rFonts w:eastAsia="Times New Roman" w:cs="Arial"/>
          <w:color w:val="000000"/>
          <w:lang w:eastAsia="bg-BG"/>
        </w:rPr>
        <w:t xml:space="preserve"> - тромбоцитопения, неутропения, левкопения или еозинофилия, които имат обратим характер. При лечение с цефалоспорини са наблюдавани агранулоцитоза и хемолитична анемия. </w:t>
      </w:r>
      <w:r w:rsidRPr="006741F3">
        <w:rPr>
          <w:rFonts w:eastAsia="Times New Roman" w:cs="Arial"/>
          <w:color w:val="000000"/>
          <w:u w:val="single"/>
          <w:lang w:eastAsia="bg-BG"/>
        </w:rPr>
        <w:t>Редки</w:t>
      </w:r>
      <w:r w:rsidRPr="006741F3">
        <w:rPr>
          <w:rFonts w:eastAsia="Times New Roman" w:cs="Arial"/>
          <w:color w:val="000000"/>
          <w:lang w:eastAsia="bg-BG"/>
        </w:rPr>
        <w:t xml:space="preserve"> - по време на лечение с цефазолин могат да се наблюдават нарушения на коагулацията, в резултат на което може да настъпи кървене. Пациентите с повишен риск от витамин К недостатъчност или такива със заболявалия или състояния, които могат да доведат до нарушения на коагулацията или да причинят или усилят кръвоизлив, представляват рискова група (вж. т. 4.1.).</w:t>
      </w:r>
    </w:p>
    <w:p w14:paraId="3693D804" w14:textId="60D2E91E" w:rsidR="006741F3" w:rsidRPr="00CE1036" w:rsidRDefault="006741F3" w:rsidP="006741F3">
      <w:pPr>
        <w:spacing w:line="240" w:lineRule="auto"/>
        <w:rPr>
          <w:rFonts w:eastAsia="Times New Roman" w:cs="Arial"/>
          <w:i/>
          <w:iCs/>
          <w:color w:val="000000"/>
          <w:lang w:eastAsia="bg-BG"/>
        </w:rPr>
      </w:pPr>
    </w:p>
    <w:p w14:paraId="393859A5" w14:textId="5B4664BF" w:rsidR="006741F3" w:rsidRPr="006741F3" w:rsidRDefault="006741F3" w:rsidP="006741F3">
      <w:pPr>
        <w:spacing w:line="240" w:lineRule="auto"/>
        <w:rPr>
          <w:rFonts w:eastAsia="Times New Roman" w:cs="Arial"/>
          <w:sz w:val="24"/>
          <w:szCs w:val="24"/>
          <w:lang w:eastAsia="bg-BG"/>
        </w:rPr>
      </w:pPr>
      <w:r w:rsidRPr="006741F3">
        <w:rPr>
          <w:rFonts w:eastAsia="Times New Roman" w:cs="Arial"/>
          <w:i/>
          <w:iCs/>
          <w:color w:val="000000"/>
          <w:lang w:eastAsia="bg-BG"/>
        </w:rPr>
        <w:t>Нарушения на нервната система</w:t>
      </w:r>
    </w:p>
    <w:p w14:paraId="41D3F0CC"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При пациентите с бъбречни нарушения, приложението на несъобразена с креатининовия клирънс доза или приложението на такава, която може да доведе до предозиране, са възможни главоболие, замайване, парестезия, възбуда, миоклония и гърчове.</w:t>
      </w:r>
    </w:p>
    <w:p w14:paraId="6C01AA78" w14:textId="77777777" w:rsidR="006741F3" w:rsidRPr="00CE1036" w:rsidRDefault="006741F3" w:rsidP="006741F3">
      <w:pPr>
        <w:spacing w:line="240" w:lineRule="auto"/>
        <w:rPr>
          <w:rFonts w:eastAsia="Times New Roman" w:cs="Arial"/>
          <w:i/>
          <w:iCs/>
          <w:color w:val="000000"/>
          <w:lang w:eastAsia="bg-BG"/>
        </w:rPr>
      </w:pPr>
    </w:p>
    <w:p w14:paraId="7AC9A47D" w14:textId="4799A2A7" w:rsidR="006741F3" w:rsidRPr="006741F3" w:rsidRDefault="006741F3" w:rsidP="006741F3">
      <w:pPr>
        <w:spacing w:line="240" w:lineRule="auto"/>
        <w:rPr>
          <w:rFonts w:eastAsia="Times New Roman" w:cs="Arial"/>
          <w:sz w:val="24"/>
          <w:szCs w:val="24"/>
          <w:lang w:eastAsia="bg-BG"/>
        </w:rPr>
      </w:pPr>
      <w:r w:rsidRPr="006741F3">
        <w:rPr>
          <w:rFonts w:eastAsia="Times New Roman" w:cs="Arial"/>
          <w:i/>
          <w:iCs/>
          <w:color w:val="000000"/>
          <w:lang w:eastAsia="bg-BG"/>
        </w:rPr>
        <w:t>Стомашно-чревни нарушения</w:t>
      </w:r>
    </w:p>
    <w:p w14:paraId="24B83C35"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Чести</w:t>
      </w:r>
      <w:r w:rsidRPr="006741F3">
        <w:rPr>
          <w:rFonts w:eastAsia="Times New Roman" w:cs="Arial"/>
          <w:color w:val="000000"/>
          <w:lang w:eastAsia="bg-BG"/>
        </w:rPr>
        <w:t xml:space="preserve"> - диария, гадене, повръщане, липса на апетит, метеоризъм и коремна болка, които обикновено са леки и отзвучават след прекратяване на лечението.</w:t>
      </w:r>
    </w:p>
    <w:p w14:paraId="4AEA8D34"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 xml:space="preserve">При поява на тежка и продължителна диария трябва да влезе в съображение развитие на псевдомембранозеи колит, което налага прекратяване на лечението с продукта и предприемане на незабвано лечение с подходящи средства (ванкомицин, перорално в дневна доза 1000 </w:t>
      </w:r>
      <w:r w:rsidRPr="006741F3">
        <w:rPr>
          <w:rFonts w:eastAsia="Times New Roman" w:cs="Arial"/>
          <w:color w:val="000000"/>
          <w:lang w:val="en-US"/>
        </w:rPr>
        <w:t xml:space="preserve">mg </w:t>
      </w:r>
      <w:r w:rsidRPr="006741F3">
        <w:rPr>
          <w:rFonts w:eastAsia="Times New Roman" w:cs="Arial"/>
          <w:color w:val="000000"/>
          <w:lang w:eastAsia="bg-BG"/>
        </w:rPr>
        <w:t>в четири равни приема). Приложението на средства потискащи чревната перисталтика е противопоказано.</w:t>
      </w:r>
    </w:p>
    <w:p w14:paraId="2EB3ED0C" w14:textId="77777777" w:rsidR="006741F3" w:rsidRPr="00CE1036" w:rsidRDefault="006741F3" w:rsidP="006741F3">
      <w:pPr>
        <w:spacing w:line="240" w:lineRule="auto"/>
        <w:rPr>
          <w:rFonts w:eastAsia="Times New Roman" w:cs="Arial"/>
          <w:i/>
          <w:iCs/>
          <w:color w:val="000000"/>
          <w:lang w:eastAsia="bg-BG"/>
        </w:rPr>
      </w:pPr>
    </w:p>
    <w:p w14:paraId="2337D677" w14:textId="3E7F24CF" w:rsidR="006741F3" w:rsidRPr="006741F3" w:rsidRDefault="006741F3" w:rsidP="006741F3">
      <w:pPr>
        <w:spacing w:line="240" w:lineRule="auto"/>
        <w:rPr>
          <w:rFonts w:eastAsia="Times New Roman" w:cs="Arial"/>
          <w:sz w:val="24"/>
          <w:szCs w:val="24"/>
          <w:lang w:eastAsia="bg-BG"/>
        </w:rPr>
      </w:pPr>
      <w:r w:rsidRPr="006741F3">
        <w:rPr>
          <w:rFonts w:eastAsia="Times New Roman" w:cs="Arial"/>
          <w:i/>
          <w:iCs/>
          <w:color w:val="000000"/>
          <w:lang w:eastAsia="bg-BG"/>
        </w:rPr>
        <w:t>Нарушения на бъбреците и пикочните пътища</w:t>
      </w:r>
    </w:p>
    <w:p w14:paraId="302B4D27"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Редки</w:t>
      </w:r>
      <w:r w:rsidRPr="006741F3">
        <w:rPr>
          <w:rFonts w:eastAsia="Times New Roman" w:cs="Arial"/>
          <w:color w:val="000000"/>
          <w:lang w:eastAsia="bg-BG"/>
        </w:rPr>
        <w:t xml:space="preserve"> - интерстициален нефрит, други бъбречни увреждания, по-чести при пациенти с други сериозни придружаващи заболявалия и приемащи други лекарства.</w:t>
      </w:r>
    </w:p>
    <w:p w14:paraId="5ED2226A" w14:textId="77777777" w:rsidR="006741F3" w:rsidRPr="00CE1036" w:rsidRDefault="006741F3" w:rsidP="006741F3">
      <w:pPr>
        <w:spacing w:line="240" w:lineRule="auto"/>
        <w:rPr>
          <w:rFonts w:eastAsia="Times New Roman" w:cs="Arial"/>
          <w:i/>
          <w:iCs/>
          <w:color w:val="000000"/>
          <w:lang w:eastAsia="bg-BG"/>
        </w:rPr>
      </w:pPr>
    </w:p>
    <w:p w14:paraId="083B944F" w14:textId="1922959B" w:rsidR="006741F3" w:rsidRPr="006741F3" w:rsidRDefault="006741F3" w:rsidP="006741F3">
      <w:pPr>
        <w:spacing w:line="240" w:lineRule="auto"/>
        <w:rPr>
          <w:rFonts w:eastAsia="Times New Roman" w:cs="Arial"/>
          <w:sz w:val="24"/>
          <w:szCs w:val="24"/>
          <w:lang w:eastAsia="bg-BG"/>
        </w:rPr>
      </w:pPr>
      <w:r w:rsidRPr="006741F3">
        <w:rPr>
          <w:rFonts w:eastAsia="Times New Roman" w:cs="Arial"/>
          <w:i/>
          <w:iCs/>
          <w:color w:val="000000"/>
          <w:lang w:eastAsia="bg-BG"/>
        </w:rPr>
        <w:t>Нарушения на имунната система</w:t>
      </w:r>
    </w:p>
    <w:p w14:paraId="70B54495"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Чести</w:t>
      </w:r>
      <w:r w:rsidRPr="006741F3">
        <w:rPr>
          <w:rFonts w:eastAsia="Times New Roman" w:cs="Arial"/>
          <w:color w:val="000000"/>
          <w:lang w:eastAsia="bg-BG"/>
        </w:rPr>
        <w:t xml:space="preserve"> - алергични кожни реакции като екзантем, уртикария, пруритус.</w:t>
      </w:r>
    </w:p>
    <w:p w14:paraId="7514F692"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Нечести</w:t>
      </w:r>
      <w:r w:rsidRPr="006741F3">
        <w:rPr>
          <w:rFonts w:eastAsia="Times New Roman" w:cs="Arial"/>
          <w:color w:val="000000"/>
          <w:lang w:eastAsia="bg-BG"/>
        </w:rPr>
        <w:t xml:space="preserve"> - тежки реакции на свръхчувствителност, вкл. ангионевротичен оток и лекарствена треска.</w:t>
      </w:r>
    </w:p>
    <w:p w14:paraId="7FE54204" w14:textId="77777777" w:rsidR="006741F3" w:rsidRPr="00CE1036" w:rsidRDefault="006741F3" w:rsidP="006741F3">
      <w:pPr>
        <w:spacing w:line="240" w:lineRule="auto"/>
        <w:rPr>
          <w:rFonts w:eastAsia="Times New Roman" w:cs="Arial"/>
          <w:i/>
          <w:iCs/>
          <w:color w:val="000000"/>
          <w:lang w:eastAsia="bg-BG"/>
        </w:rPr>
      </w:pPr>
    </w:p>
    <w:p w14:paraId="4044355A" w14:textId="5A97780C" w:rsidR="006741F3" w:rsidRPr="006741F3" w:rsidRDefault="006741F3" w:rsidP="006741F3">
      <w:pPr>
        <w:spacing w:line="240" w:lineRule="auto"/>
        <w:rPr>
          <w:rFonts w:eastAsia="Times New Roman" w:cs="Arial"/>
          <w:sz w:val="24"/>
          <w:szCs w:val="24"/>
          <w:lang w:eastAsia="bg-BG"/>
        </w:rPr>
      </w:pPr>
      <w:r w:rsidRPr="006741F3">
        <w:rPr>
          <w:rFonts w:eastAsia="Times New Roman" w:cs="Arial"/>
          <w:i/>
          <w:iCs/>
          <w:color w:val="000000"/>
          <w:lang w:eastAsia="bg-BG"/>
        </w:rPr>
        <w:t>Хепатобиларни нарушения</w:t>
      </w:r>
    </w:p>
    <w:p w14:paraId="13BF9058"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Нечести</w:t>
      </w:r>
      <w:r w:rsidRPr="006741F3">
        <w:rPr>
          <w:rFonts w:eastAsia="Times New Roman" w:cs="Arial"/>
          <w:color w:val="000000"/>
          <w:lang w:eastAsia="bg-BG"/>
        </w:rPr>
        <w:t xml:space="preserve"> - леко, временно повишение на </w:t>
      </w:r>
      <w:r w:rsidRPr="006741F3">
        <w:rPr>
          <w:rFonts w:eastAsia="Times New Roman" w:cs="Arial"/>
          <w:color w:val="000000"/>
          <w:lang w:val="en-US"/>
        </w:rPr>
        <w:t xml:space="preserve">SGOT, SGPT, </w:t>
      </w:r>
      <w:r w:rsidRPr="006741F3">
        <w:rPr>
          <w:rFonts w:eastAsia="Times New Roman" w:cs="Arial"/>
          <w:color w:val="000000"/>
          <w:lang w:eastAsia="bg-BG"/>
        </w:rPr>
        <w:t xml:space="preserve">АР </w:t>
      </w:r>
      <w:r w:rsidRPr="006741F3">
        <w:rPr>
          <w:rFonts w:eastAsia="Times New Roman" w:cs="Arial"/>
          <w:color w:val="000000"/>
          <w:u w:val="single"/>
          <w:lang w:eastAsia="bg-BG"/>
        </w:rPr>
        <w:t>Много редки</w:t>
      </w:r>
      <w:r w:rsidRPr="006741F3">
        <w:rPr>
          <w:rFonts w:eastAsia="Times New Roman" w:cs="Arial"/>
          <w:color w:val="000000"/>
          <w:lang w:eastAsia="bg-BG"/>
        </w:rPr>
        <w:t xml:space="preserve"> - обратим хепатит и холестатична жълтеница</w:t>
      </w:r>
    </w:p>
    <w:p w14:paraId="3008BF16" w14:textId="77777777" w:rsidR="006741F3" w:rsidRPr="00CE1036" w:rsidRDefault="006741F3" w:rsidP="006741F3">
      <w:pPr>
        <w:spacing w:line="240" w:lineRule="auto"/>
        <w:rPr>
          <w:rFonts w:eastAsia="Times New Roman" w:cs="Arial"/>
          <w:i/>
          <w:iCs/>
          <w:color w:val="000000"/>
          <w:lang w:eastAsia="bg-BG"/>
        </w:rPr>
      </w:pPr>
    </w:p>
    <w:p w14:paraId="371140DC" w14:textId="27818CF1" w:rsidR="006741F3" w:rsidRPr="006741F3" w:rsidRDefault="006741F3" w:rsidP="006741F3">
      <w:pPr>
        <w:spacing w:line="240" w:lineRule="auto"/>
        <w:rPr>
          <w:rFonts w:eastAsia="Times New Roman" w:cs="Arial"/>
          <w:sz w:val="24"/>
          <w:szCs w:val="24"/>
          <w:lang w:eastAsia="bg-BG"/>
        </w:rPr>
      </w:pPr>
      <w:r w:rsidRPr="006741F3">
        <w:rPr>
          <w:rFonts w:eastAsia="Times New Roman" w:cs="Arial"/>
          <w:i/>
          <w:iCs/>
          <w:color w:val="000000"/>
          <w:lang w:eastAsia="bg-BG"/>
        </w:rPr>
        <w:t>Общи нарушения и ефекти на мястото на приложение</w:t>
      </w:r>
    </w:p>
    <w:p w14:paraId="2BF1F6F0"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u w:val="single"/>
          <w:lang w:eastAsia="bg-BG"/>
        </w:rPr>
        <w:t>Нечести</w:t>
      </w:r>
      <w:r w:rsidRPr="006741F3">
        <w:rPr>
          <w:rFonts w:eastAsia="Times New Roman" w:cs="Arial"/>
          <w:color w:val="000000"/>
          <w:lang w:eastAsia="bg-BG"/>
        </w:rPr>
        <w:t xml:space="preserve"> - флебит или тромбофлебит при интравенозно приложение.</w:t>
      </w:r>
    </w:p>
    <w:p w14:paraId="7C9B25CF" w14:textId="77777777" w:rsidR="006741F3" w:rsidRPr="006741F3" w:rsidRDefault="006741F3" w:rsidP="006741F3">
      <w:pPr>
        <w:spacing w:line="240" w:lineRule="auto"/>
        <w:rPr>
          <w:rFonts w:eastAsia="Times New Roman" w:cs="Arial"/>
          <w:sz w:val="24"/>
          <w:szCs w:val="24"/>
          <w:lang w:eastAsia="bg-BG"/>
        </w:rPr>
      </w:pPr>
      <w:r w:rsidRPr="006741F3">
        <w:rPr>
          <w:rFonts w:eastAsia="Times New Roman" w:cs="Arial"/>
          <w:color w:val="000000"/>
          <w:lang w:eastAsia="bg-BG"/>
        </w:rPr>
        <w:t>Продължителното или повторно приложение може да доведе до развитие на суперинфекции или колонизация на резистентни бактерии или гъбички (орална или вагинлана кандидоза).</w:t>
      </w:r>
    </w:p>
    <w:p w14:paraId="16507412" w14:textId="77777777" w:rsidR="006741F3" w:rsidRPr="00CE1036" w:rsidRDefault="006741F3" w:rsidP="006741F3">
      <w:pPr>
        <w:spacing w:line="240" w:lineRule="auto"/>
        <w:rPr>
          <w:rFonts w:eastAsia="Times New Roman" w:cs="Arial"/>
          <w:i/>
          <w:iCs/>
          <w:color w:val="000000"/>
          <w:lang w:eastAsia="bg-BG"/>
        </w:rPr>
      </w:pPr>
    </w:p>
    <w:p w14:paraId="6706611F" w14:textId="030FF5AC" w:rsidR="006741F3" w:rsidRPr="006741F3" w:rsidRDefault="006741F3" w:rsidP="006741F3">
      <w:pPr>
        <w:spacing w:line="240" w:lineRule="auto"/>
        <w:rPr>
          <w:rFonts w:eastAsia="Times New Roman" w:cs="Arial"/>
          <w:sz w:val="24"/>
          <w:szCs w:val="24"/>
          <w:lang w:eastAsia="bg-BG"/>
        </w:rPr>
      </w:pPr>
      <w:r w:rsidRPr="006741F3">
        <w:rPr>
          <w:rFonts w:eastAsia="Times New Roman" w:cs="Arial"/>
          <w:i/>
          <w:iCs/>
          <w:color w:val="000000"/>
          <w:lang w:eastAsia="bg-BG"/>
        </w:rPr>
        <w:t>Инфекции и инфестации</w:t>
      </w:r>
    </w:p>
    <w:p w14:paraId="0EEA0DF1" w14:textId="7AC8C3E4" w:rsidR="006741F3" w:rsidRPr="00CE1036" w:rsidRDefault="006741F3" w:rsidP="006741F3">
      <w:pPr>
        <w:rPr>
          <w:rFonts w:cs="Arial"/>
        </w:rPr>
      </w:pPr>
      <w:r w:rsidRPr="00CE1036">
        <w:rPr>
          <w:rFonts w:eastAsia="Times New Roman" w:cs="Arial"/>
          <w:color w:val="000000"/>
          <w:lang w:eastAsia="bg-BG"/>
        </w:rPr>
        <w:lastRenderedPageBreak/>
        <w:t>Продължителното или повторно приложение може да доведе до развитие на вторични инфекции или прекомерен растеж на устойчиви към действието на цефазолин бактерии или гъбички в устната кухина или влагалището.</w:t>
      </w:r>
    </w:p>
    <w:p w14:paraId="443BC107" w14:textId="679CEE9F" w:rsidR="005B0F27" w:rsidRDefault="005B0F27" w:rsidP="0091385D"/>
    <w:p w14:paraId="3E6CF96E" w14:textId="77777777" w:rsidR="00CE1036" w:rsidRPr="00CE1036" w:rsidRDefault="00CE1036" w:rsidP="00CE1036">
      <w:pPr>
        <w:spacing w:line="240" w:lineRule="auto"/>
        <w:rPr>
          <w:rFonts w:eastAsia="Times New Roman" w:cs="Arial"/>
          <w:lang w:eastAsia="bg-BG"/>
        </w:rPr>
      </w:pPr>
      <w:bookmarkStart w:id="1" w:name="bookmark0"/>
      <w:r w:rsidRPr="00CE1036">
        <w:rPr>
          <w:rFonts w:eastAsia="Times New Roman" w:cs="Arial"/>
          <w:b/>
          <w:bCs/>
          <w:color w:val="000000"/>
          <w:lang w:eastAsia="bg-BG"/>
        </w:rPr>
        <w:t>Други указания за приложение</w:t>
      </w:r>
      <w:bookmarkEnd w:id="1"/>
    </w:p>
    <w:p w14:paraId="75A9B871" w14:textId="77777777" w:rsidR="00CE1036" w:rsidRPr="00CE1036" w:rsidRDefault="00CE1036" w:rsidP="00CE1036">
      <w:pPr>
        <w:spacing w:line="240" w:lineRule="auto"/>
        <w:rPr>
          <w:rFonts w:eastAsia="Times New Roman" w:cs="Arial"/>
          <w:lang w:eastAsia="bg-BG"/>
        </w:rPr>
      </w:pPr>
      <w:r w:rsidRPr="00CE1036">
        <w:rPr>
          <w:rFonts w:eastAsia="Times New Roman" w:cs="Arial"/>
          <w:color w:val="000000"/>
          <w:lang w:eastAsia="bg-BG"/>
        </w:rPr>
        <w:t xml:space="preserve">В редки случаи (≥10% - &lt;0,1%) цефазолин води до нарушения в коагулацията, поради което </w:t>
      </w:r>
      <w:r w:rsidRPr="00CE1036">
        <w:rPr>
          <w:rFonts w:eastAsia="Times New Roman" w:cs="Arial"/>
          <w:color w:val="000000"/>
          <w:lang w:val="en-US"/>
        </w:rPr>
        <w:t xml:space="preserve">Quick </w:t>
      </w:r>
      <w:r w:rsidRPr="00CE1036">
        <w:rPr>
          <w:rFonts w:eastAsia="Times New Roman" w:cs="Arial"/>
          <w:color w:val="000000"/>
          <w:lang w:eastAsia="bg-BG"/>
        </w:rPr>
        <w:t xml:space="preserve">стойностите следва да бъдат строго контролирани при пациенти със заболявалия или състояния, водещи до кръвозагуба (напр. стомашни или чревни язви) и особено при такива с нарушения в хе мо коагулация та (вродени: хемофилия; придобити: парентерално хранене, малнутриция, нарушена чернодробна и бъбречна функция или тромбоцитопения; лекарства-индуцирани: приложение на хепарин или прием на перорални антикоагуланти). При необходимост може да бъде приложен витамин К в доза 10 </w:t>
      </w:r>
      <w:r w:rsidRPr="00CE1036">
        <w:rPr>
          <w:rFonts w:eastAsia="Times New Roman" w:cs="Arial"/>
          <w:color w:val="000000"/>
          <w:lang w:val="en-US"/>
        </w:rPr>
        <w:t xml:space="preserve">mg </w:t>
      </w:r>
      <w:r w:rsidRPr="00CE1036">
        <w:rPr>
          <w:rFonts w:eastAsia="Times New Roman" w:cs="Arial"/>
          <w:color w:val="000000"/>
          <w:lang w:eastAsia="bg-BG"/>
        </w:rPr>
        <w:t>седмично.</w:t>
      </w:r>
    </w:p>
    <w:p w14:paraId="1458D7F9" w14:textId="77777777" w:rsidR="00CE1036" w:rsidRPr="00CE1036" w:rsidRDefault="00CE1036" w:rsidP="00CE1036">
      <w:pPr>
        <w:spacing w:line="240" w:lineRule="auto"/>
        <w:rPr>
          <w:rFonts w:eastAsia="Times New Roman" w:cs="Arial"/>
          <w:color w:val="000000"/>
          <w:lang w:eastAsia="bg-BG"/>
        </w:rPr>
      </w:pPr>
    </w:p>
    <w:p w14:paraId="0B15ABD5" w14:textId="127457CC" w:rsidR="00CE1036" w:rsidRPr="00CE1036" w:rsidRDefault="00CE1036" w:rsidP="00CE1036">
      <w:pPr>
        <w:spacing w:line="240" w:lineRule="auto"/>
        <w:rPr>
          <w:rFonts w:eastAsia="Times New Roman" w:cs="Arial"/>
          <w:lang w:eastAsia="bg-BG"/>
        </w:rPr>
      </w:pPr>
      <w:r w:rsidRPr="00CE1036">
        <w:rPr>
          <w:rFonts w:eastAsia="Times New Roman" w:cs="Arial"/>
          <w:color w:val="000000"/>
          <w:lang w:eastAsia="bg-BG"/>
        </w:rPr>
        <w:t>Цефазолин не е подходящ за лечение на менингит, поради неадекватен клирънс през церебро- спиналната течност.</w:t>
      </w:r>
    </w:p>
    <w:p w14:paraId="1A3F88EB" w14:textId="77777777" w:rsidR="00CE1036" w:rsidRPr="00CE1036" w:rsidRDefault="00CE1036" w:rsidP="00CE1036">
      <w:pPr>
        <w:spacing w:line="240" w:lineRule="auto"/>
        <w:rPr>
          <w:rFonts w:eastAsia="Times New Roman" w:cs="Arial"/>
          <w:color w:val="000000"/>
          <w:u w:val="single"/>
          <w:lang w:eastAsia="bg-BG"/>
        </w:rPr>
      </w:pPr>
    </w:p>
    <w:p w14:paraId="596DC9B1" w14:textId="0F03A78D" w:rsidR="00CE1036" w:rsidRPr="00CE1036" w:rsidRDefault="00CE1036" w:rsidP="00CE1036">
      <w:pPr>
        <w:spacing w:line="240" w:lineRule="auto"/>
        <w:rPr>
          <w:rFonts w:eastAsia="Times New Roman" w:cs="Arial"/>
          <w:lang w:eastAsia="bg-BG"/>
        </w:rPr>
      </w:pPr>
      <w:r w:rsidRPr="00CE1036">
        <w:rPr>
          <w:rFonts w:eastAsia="Times New Roman" w:cs="Arial"/>
          <w:color w:val="000000"/>
          <w:u w:val="single"/>
          <w:lang w:eastAsia="bg-BG"/>
        </w:rPr>
        <w:t>Съобщаване на подозирани нежелани реакции</w:t>
      </w:r>
    </w:p>
    <w:p w14:paraId="0A7B3450" w14:textId="63DF77CC" w:rsidR="00CE1036" w:rsidRPr="00CE1036" w:rsidRDefault="00CE1036" w:rsidP="00CE1036">
      <w:pPr>
        <w:rPr>
          <w:rFonts w:cs="Arial"/>
        </w:rPr>
      </w:pPr>
      <w:r w:rsidRPr="00CE103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8,1303 София, тел.: 02 8903417, уебсайт: </w:t>
      </w:r>
      <w:r w:rsidRPr="00CE1036">
        <w:rPr>
          <w:rFonts w:eastAsia="Times New Roman" w:cs="Arial"/>
          <w:lang w:eastAsia="bg-BG"/>
        </w:rPr>
        <w:fldChar w:fldCharType="begin"/>
      </w:r>
      <w:r w:rsidRPr="00CE1036">
        <w:rPr>
          <w:rFonts w:eastAsia="Times New Roman" w:cs="Arial"/>
          <w:lang w:eastAsia="bg-BG"/>
        </w:rPr>
        <w:instrText xml:space="preserve"> HYPERLINK "http://www.bda.bg" </w:instrText>
      </w:r>
      <w:r w:rsidRPr="00CE1036">
        <w:rPr>
          <w:rFonts w:eastAsia="Times New Roman" w:cs="Arial"/>
          <w:lang w:eastAsia="bg-BG"/>
        </w:rPr>
      </w:r>
      <w:r w:rsidRPr="00CE1036">
        <w:rPr>
          <w:rFonts w:eastAsia="Times New Roman" w:cs="Arial"/>
          <w:lang w:eastAsia="bg-BG"/>
        </w:rPr>
        <w:fldChar w:fldCharType="separate"/>
      </w:r>
      <w:r w:rsidRPr="00CE1036">
        <w:rPr>
          <w:rFonts w:eastAsia="Times New Roman" w:cs="Arial"/>
          <w:color w:val="000000"/>
          <w:lang w:val="en-US"/>
        </w:rPr>
        <w:t>www.bda.bg</w:t>
      </w:r>
      <w:r w:rsidRPr="00CE1036">
        <w:rPr>
          <w:rFonts w:eastAsia="Times New Roman" w:cs="Arial"/>
          <w:lang w:eastAsia="bg-BG"/>
        </w:rPr>
        <w:fldChar w:fldCharType="end"/>
      </w:r>
      <w:r w:rsidRPr="00CE1036">
        <w:rPr>
          <w:rFonts w:eastAsia="Times New Roman" w:cs="Arial"/>
          <w:color w:val="000000"/>
          <w:lang w:val="en-US"/>
        </w:rPr>
        <w:t>.</w:t>
      </w:r>
    </w:p>
    <w:p w14:paraId="1B087069" w14:textId="77777777" w:rsidR="00CE1036" w:rsidRPr="0091385D" w:rsidRDefault="00CE1036"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59964BAE" w14:textId="77777777" w:rsidR="00CE1036" w:rsidRPr="00CE1036" w:rsidRDefault="00CE1036" w:rsidP="00CE1036">
      <w:pPr>
        <w:pStyle w:val="Heading3"/>
        <w:rPr>
          <w:rFonts w:eastAsia="Times New Roman"/>
          <w:u w:val="single"/>
          <w:lang w:eastAsia="bg-BG"/>
        </w:rPr>
      </w:pPr>
      <w:r w:rsidRPr="00CE1036">
        <w:rPr>
          <w:rFonts w:eastAsia="Times New Roman"/>
          <w:u w:val="single"/>
          <w:lang w:eastAsia="bg-BG"/>
        </w:rPr>
        <w:t>Симптоми</w:t>
      </w:r>
    </w:p>
    <w:p w14:paraId="75E237F6" w14:textId="77777777" w:rsidR="00CE1036" w:rsidRPr="00CE1036" w:rsidRDefault="00CE1036" w:rsidP="00CE1036">
      <w:pPr>
        <w:spacing w:line="240" w:lineRule="auto"/>
        <w:rPr>
          <w:rFonts w:eastAsia="Times New Roman" w:cs="Arial"/>
          <w:lang w:eastAsia="bg-BG"/>
        </w:rPr>
      </w:pPr>
      <w:r w:rsidRPr="00CE1036">
        <w:rPr>
          <w:rFonts w:eastAsia="Times New Roman" w:cs="Arial"/>
          <w:color w:val="000000"/>
          <w:lang w:eastAsia="bg-BG"/>
        </w:rPr>
        <w:t>Симптомите на предозиране са главоболие, замайване, парестезия, възбуда на ЦНС, миоклоння, крампи.</w:t>
      </w:r>
    </w:p>
    <w:p w14:paraId="29FFC4F4" w14:textId="77777777" w:rsidR="00CE1036" w:rsidRPr="00CE1036" w:rsidRDefault="00CE1036" w:rsidP="00CE1036">
      <w:pPr>
        <w:spacing w:line="240" w:lineRule="auto"/>
        <w:rPr>
          <w:rFonts w:eastAsia="Times New Roman" w:cs="Arial"/>
          <w:color w:val="000000"/>
          <w:u w:val="single"/>
          <w:lang w:eastAsia="bg-BG"/>
        </w:rPr>
      </w:pPr>
    </w:p>
    <w:p w14:paraId="0289CBD6" w14:textId="4D21EFF7" w:rsidR="00CE1036" w:rsidRPr="00CE1036" w:rsidRDefault="00CE1036" w:rsidP="00CE1036">
      <w:pPr>
        <w:pStyle w:val="Heading3"/>
        <w:rPr>
          <w:rFonts w:eastAsia="Times New Roman"/>
          <w:u w:val="single"/>
          <w:lang w:eastAsia="bg-BG"/>
        </w:rPr>
      </w:pPr>
      <w:r w:rsidRPr="00CE1036">
        <w:rPr>
          <w:rFonts w:eastAsia="Times New Roman"/>
          <w:u w:val="single"/>
          <w:lang w:eastAsia="bg-BG"/>
        </w:rPr>
        <w:t>Лечение</w:t>
      </w:r>
    </w:p>
    <w:p w14:paraId="6A43B8F3" w14:textId="7B5D80C5" w:rsidR="007A2185" w:rsidRPr="00CE1036" w:rsidRDefault="00CE1036" w:rsidP="00CE1036">
      <w:pPr>
        <w:rPr>
          <w:rFonts w:cs="Arial"/>
        </w:rPr>
      </w:pPr>
      <w:r w:rsidRPr="00CE1036">
        <w:rPr>
          <w:rFonts w:eastAsia="Times New Roman" w:cs="Arial"/>
          <w:color w:val="000000"/>
          <w:lang w:eastAsia="bg-BG"/>
        </w:rPr>
        <w:t>Прилагат се средства и мерки целящи бързото елиминиране на цефазолин от организма. Не съществува специфичен антидот. Цефазолин се елиминира чрез хемодиализа.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2BB208CF" w14:textId="77777777" w:rsidR="00CE1036" w:rsidRPr="00CE1036" w:rsidRDefault="00CE1036" w:rsidP="00CE1036">
      <w:pPr>
        <w:spacing w:line="240" w:lineRule="auto"/>
        <w:rPr>
          <w:rFonts w:eastAsia="Times New Roman" w:cs="Arial"/>
          <w:lang w:eastAsia="bg-BG"/>
        </w:rPr>
      </w:pPr>
      <w:r w:rsidRPr="00CE1036">
        <w:rPr>
          <w:rFonts w:eastAsia="Times New Roman" w:cs="Arial"/>
          <w:color w:val="000000"/>
          <w:lang w:eastAsia="bg-BG"/>
        </w:rPr>
        <w:t xml:space="preserve">Фармакотерапевтична група: цефалоспорини първо поколение, АТС код: </w:t>
      </w:r>
      <w:r w:rsidRPr="00CE1036">
        <w:rPr>
          <w:rFonts w:eastAsia="Times New Roman" w:cs="Arial"/>
          <w:color w:val="000000"/>
          <w:lang w:val="en-US"/>
        </w:rPr>
        <w:t>J01DB04</w:t>
      </w:r>
    </w:p>
    <w:p w14:paraId="1AA3CFB0" w14:textId="77777777" w:rsidR="00CE1036" w:rsidRPr="00CE1036" w:rsidRDefault="00CE1036" w:rsidP="00CE1036">
      <w:pPr>
        <w:spacing w:line="240" w:lineRule="auto"/>
        <w:rPr>
          <w:rFonts w:eastAsia="Times New Roman" w:cs="Arial"/>
          <w:color w:val="000000"/>
          <w:lang w:eastAsia="bg-BG"/>
        </w:rPr>
      </w:pPr>
    </w:p>
    <w:p w14:paraId="6808B1C2" w14:textId="709837DB" w:rsidR="00CE1036" w:rsidRPr="00CE1036" w:rsidRDefault="00CE1036" w:rsidP="00CE1036">
      <w:pPr>
        <w:spacing w:line="240" w:lineRule="auto"/>
        <w:rPr>
          <w:rFonts w:eastAsia="Times New Roman" w:cs="Arial"/>
          <w:lang w:eastAsia="bg-BG"/>
        </w:rPr>
      </w:pPr>
      <w:r w:rsidRPr="00CE1036">
        <w:rPr>
          <w:rFonts w:eastAsia="Times New Roman" w:cs="Arial"/>
          <w:color w:val="000000"/>
          <w:lang w:eastAsia="bg-BG"/>
        </w:rPr>
        <w:t>Цефазолин е полусинтетичен широкоспектърен цефалоспоринов антибиотик от първо поколение. Действа бактерицидно инхибирайки синтеза на бактериалната клетъчна стена. Антибактериалната активност на цефазолин е сходна с тази на бензил пеницилин, но той е активен спрямо пеницилаза- продуциращи стафилококи.</w:t>
      </w:r>
    </w:p>
    <w:p w14:paraId="442F95F2" w14:textId="77777777" w:rsidR="00CE1036" w:rsidRPr="00CE1036" w:rsidRDefault="00CE1036" w:rsidP="00CE1036">
      <w:pPr>
        <w:spacing w:line="240" w:lineRule="auto"/>
        <w:rPr>
          <w:rFonts w:eastAsia="Times New Roman" w:cs="Arial"/>
          <w:color w:val="000000"/>
          <w:lang w:eastAsia="bg-BG"/>
        </w:rPr>
      </w:pPr>
    </w:p>
    <w:p w14:paraId="30984109" w14:textId="7ED172D7" w:rsidR="00CE1036" w:rsidRPr="00CE1036" w:rsidRDefault="00CE1036" w:rsidP="00CE1036">
      <w:pPr>
        <w:spacing w:line="240" w:lineRule="auto"/>
        <w:rPr>
          <w:rFonts w:eastAsia="Times New Roman" w:cs="Arial"/>
          <w:lang w:eastAsia="bg-BG"/>
        </w:rPr>
      </w:pPr>
      <w:r w:rsidRPr="00CE1036">
        <w:rPr>
          <w:rFonts w:eastAsia="Times New Roman" w:cs="Arial"/>
          <w:color w:val="000000"/>
          <w:lang w:eastAsia="bg-BG"/>
        </w:rPr>
        <w:t>Антибактериалният спектър на цефазолин включва:</w:t>
      </w:r>
    </w:p>
    <w:p w14:paraId="5C03BCC7" w14:textId="77777777" w:rsidR="00CE1036" w:rsidRPr="00CE1036" w:rsidRDefault="00CE1036" w:rsidP="00CE1036">
      <w:pPr>
        <w:spacing w:line="240" w:lineRule="auto"/>
        <w:rPr>
          <w:rFonts w:eastAsia="Times New Roman" w:cs="Arial"/>
          <w:lang w:eastAsia="bg-BG"/>
        </w:rPr>
      </w:pPr>
      <w:r w:rsidRPr="00CE1036">
        <w:rPr>
          <w:rFonts w:eastAsia="Times New Roman" w:cs="Arial"/>
          <w:b/>
          <w:bCs/>
          <w:color w:val="000000"/>
          <w:lang w:eastAsia="bg-BG"/>
        </w:rPr>
        <w:lastRenderedPageBreak/>
        <w:t>Микроорганизми с висока чувствителност</w:t>
      </w:r>
    </w:p>
    <w:p w14:paraId="166DF536" w14:textId="77777777" w:rsidR="00CE1036" w:rsidRPr="00CE1036" w:rsidRDefault="00CE1036" w:rsidP="00CE1036">
      <w:pPr>
        <w:numPr>
          <w:ilvl w:val="0"/>
          <w:numId w:val="2"/>
        </w:numPr>
        <w:spacing w:line="240" w:lineRule="auto"/>
        <w:rPr>
          <w:rFonts w:eastAsia="Times New Roman" w:cs="Arial"/>
          <w:i/>
          <w:iCs/>
          <w:color w:val="000000"/>
          <w:lang w:eastAsia="bg-BG"/>
        </w:rPr>
      </w:pPr>
      <w:r w:rsidRPr="00CE1036">
        <w:rPr>
          <w:rFonts w:eastAsia="Times New Roman" w:cs="Arial"/>
          <w:i/>
          <w:iCs/>
          <w:color w:val="000000"/>
          <w:lang w:eastAsia="bg-BG"/>
        </w:rPr>
        <w:t>грам-положителни микроорганизми -</w:t>
      </w:r>
      <w:r w:rsidRPr="00CE1036">
        <w:rPr>
          <w:rFonts w:eastAsia="Times New Roman" w:cs="Arial"/>
          <w:color w:val="000000"/>
          <w:lang w:eastAsia="bg-BG"/>
        </w:rPr>
        <w:t xml:space="preserve"> </w:t>
      </w:r>
      <w:r w:rsidRPr="00CE1036">
        <w:rPr>
          <w:rFonts w:eastAsia="Times New Roman" w:cs="Arial"/>
          <w:color w:val="000000"/>
          <w:lang w:val="en-US"/>
        </w:rPr>
        <w:t xml:space="preserve">Streptococci, Pneumococci, Staphylococci </w:t>
      </w:r>
      <w:r w:rsidRPr="00CE1036">
        <w:rPr>
          <w:rFonts w:eastAsia="Times New Roman" w:cs="Arial"/>
          <w:color w:val="000000"/>
          <w:lang w:eastAsia="bg-BG"/>
        </w:rPr>
        <w:t xml:space="preserve">(вкл. пеницилиназа-продуциращи щамове), </w:t>
      </w:r>
      <w:r w:rsidRPr="00CE1036">
        <w:rPr>
          <w:rFonts w:eastAsia="Times New Roman" w:cs="Arial"/>
          <w:color w:val="000000"/>
          <w:lang w:val="en-US"/>
        </w:rPr>
        <w:t xml:space="preserve">Diphtheria bacteria, Bacillus </w:t>
      </w:r>
      <w:proofErr w:type="spellStart"/>
      <w:r w:rsidRPr="00CE1036">
        <w:rPr>
          <w:rFonts w:eastAsia="Times New Roman" w:cs="Arial"/>
          <w:color w:val="000000"/>
          <w:lang w:val="en-US"/>
        </w:rPr>
        <w:t>anthracis</w:t>
      </w:r>
      <w:proofErr w:type="spellEnd"/>
      <w:r w:rsidRPr="00CE1036">
        <w:rPr>
          <w:rFonts w:eastAsia="Times New Roman" w:cs="Arial"/>
          <w:color w:val="000000"/>
          <w:lang w:val="en-US"/>
        </w:rPr>
        <w:t>;</w:t>
      </w:r>
    </w:p>
    <w:p w14:paraId="1364E712" w14:textId="77777777" w:rsidR="00CE1036" w:rsidRPr="00CE1036" w:rsidRDefault="00CE1036" w:rsidP="00CE1036">
      <w:pPr>
        <w:numPr>
          <w:ilvl w:val="0"/>
          <w:numId w:val="2"/>
        </w:numPr>
        <w:spacing w:line="240" w:lineRule="auto"/>
        <w:rPr>
          <w:rFonts w:eastAsia="Times New Roman" w:cs="Arial"/>
          <w:i/>
          <w:iCs/>
          <w:color w:val="000000"/>
          <w:lang w:eastAsia="bg-BG"/>
        </w:rPr>
      </w:pPr>
      <w:r w:rsidRPr="00CE1036">
        <w:rPr>
          <w:rFonts w:eastAsia="Times New Roman" w:cs="Arial"/>
          <w:i/>
          <w:iCs/>
          <w:color w:val="000000"/>
          <w:lang w:eastAsia="bg-BG"/>
        </w:rPr>
        <w:t>грам-отрицателни микроорганизми</w:t>
      </w:r>
      <w:r w:rsidRPr="00CE1036">
        <w:rPr>
          <w:rFonts w:eastAsia="Times New Roman" w:cs="Arial"/>
          <w:color w:val="000000"/>
          <w:lang w:eastAsia="bg-BG"/>
        </w:rPr>
        <w:t xml:space="preserve"> - Е. </w:t>
      </w:r>
      <w:r w:rsidRPr="00CE1036">
        <w:rPr>
          <w:rFonts w:eastAsia="Times New Roman" w:cs="Arial"/>
          <w:color w:val="000000"/>
          <w:lang w:val="en-US"/>
        </w:rPr>
        <w:t xml:space="preserve">coli, </w:t>
      </w:r>
      <w:proofErr w:type="spellStart"/>
      <w:r w:rsidRPr="00CE1036">
        <w:rPr>
          <w:rFonts w:eastAsia="Times New Roman" w:cs="Arial"/>
          <w:color w:val="000000"/>
          <w:lang w:val="en-US"/>
        </w:rPr>
        <w:t>Klebsiella</w:t>
      </w:r>
      <w:proofErr w:type="spellEnd"/>
      <w:r w:rsidRPr="00CE1036">
        <w:rPr>
          <w:rFonts w:eastAsia="Times New Roman" w:cs="Arial"/>
          <w:color w:val="000000"/>
          <w:lang w:val="en-US"/>
        </w:rPr>
        <w:t xml:space="preserve"> </w:t>
      </w:r>
      <w:proofErr w:type="spellStart"/>
      <w:r w:rsidRPr="00CE1036">
        <w:rPr>
          <w:rFonts w:eastAsia="Times New Roman" w:cs="Arial"/>
          <w:color w:val="000000"/>
          <w:lang w:val="en-US"/>
        </w:rPr>
        <w:t>pneumoniae</w:t>
      </w:r>
      <w:proofErr w:type="spellEnd"/>
      <w:r w:rsidRPr="00CE1036">
        <w:rPr>
          <w:rFonts w:eastAsia="Times New Roman" w:cs="Arial"/>
          <w:color w:val="000000"/>
          <w:lang w:val="en-US"/>
        </w:rPr>
        <w:t xml:space="preserve">, Proteus mirabilis, Gonococci, </w:t>
      </w:r>
      <w:proofErr w:type="spellStart"/>
      <w:r w:rsidRPr="00CE1036">
        <w:rPr>
          <w:rFonts w:eastAsia="Times New Roman" w:cs="Arial"/>
          <w:color w:val="000000"/>
          <w:lang w:val="en-US"/>
        </w:rPr>
        <w:t>Meningococci</w:t>
      </w:r>
      <w:proofErr w:type="spellEnd"/>
      <w:r w:rsidRPr="00CE1036">
        <w:rPr>
          <w:rFonts w:eastAsia="Times New Roman" w:cs="Arial"/>
          <w:color w:val="000000"/>
          <w:lang w:val="en-US"/>
        </w:rPr>
        <w:t>;</w:t>
      </w:r>
    </w:p>
    <w:p w14:paraId="4EF096AE" w14:textId="77777777" w:rsidR="00CE1036" w:rsidRPr="00CE1036" w:rsidRDefault="00CE1036" w:rsidP="00CE1036">
      <w:pPr>
        <w:spacing w:line="240" w:lineRule="auto"/>
        <w:rPr>
          <w:rFonts w:eastAsia="Times New Roman" w:cs="Arial"/>
          <w:b/>
          <w:bCs/>
          <w:color w:val="000000"/>
          <w:lang w:eastAsia="bg-BG"/>
        </w:rPr>
      </w:pPr>
      <w:bookmarkStart w:id="2" w:name="bookmark2"/>
    </w:p>
    <w:p w14:paraId="210157D6" w14:textId="6C81E9BB" w:rsidR="00CE1036" w:rsidRPr="00CE1036" w:rsidRDefault="00CE1036" w:rsidP="00CE1036">
      <w:pPr>
        <w:spacing w:line="240" w:lineRule="auto"/>
        <w:rPr>
          <w:rFonts w:eastAsia="Times New Roman" w:cs="Arial"/>
          <w:lang w:eastAsia="bg-BG"/>
        </w:rPr>
      </w:pPr>
      <w:r w:rsidRPr="00CE1036">
        <w:rPr>
          <w:rFonts w:eastAsia="Times New Roman" w:cs="Arial"/>
          <w:b/>
          <w:bCs/>
          <w:color w:val="000000"/>
          <w:lang w:eastAsia="bg-BG"/>
        </w:rPr>
        <w:t xml:space="preserve">Варираща </w:t>
      </w:r>
      <w:r w:rsidRPr="00CE1036">
        <w:rPr>
          <w:rFonts w:eastAsia="Times New Roman" w:cs="Arial"/>
          <w:b/>
          <w:bCs/>
          <w:color w:val="000000"/>
          <w:lang w:val="en-US"/>
        </w:rPr>
        <w:t xml:space="preserve">in vitro </w:t>
      </w:r>
      <w:r w:rsidRPr="00CE1036">
        <w:rPr>
          <w:rFonts w:eastAsia="Times New Roman" w:cs="Arial"/>
          <w:b/>
          <w:bCs/>
          <w:color w:val="000000"/>
          <w:lang w:eastAsia="bg-BG"/>
        </w:rPr>
        <w:t>чувствителност</w:t>
      </w:r>
      <w:bookmarkEnd w:id="2"/>
    </w:p>
    <w:p w14:paraId="038F692B" w14:textId="7CE46F18" w:rsidR="007A2185" w:rsidRDefault="00CE1036" w:rsidP="00CE1036">
      <w:pPr>
        <w:rPr>
          <w:rFonts w:eastAsia="Times New Roman" w:cs="Arial"/>
          <w:color w:val="000000"/>
          <w:lang w:val="en-US"/>
        </w:rPr>
      </w:pPr>
      <w:proofErr w:type="spellStart"/>
      <w:r w:rsidRPr="00CE1036">
        <w:rPr>
          <w:rFonts w:eastAsia="Times New Roman" w:cs="Arial"/>
          <w:color w:val="000000"/>
          <w:lang w:val="en-US"/>
        </w:rPr>
        <w:t>Enterobacter</w:t>
      </w:r>
      <w:proofErr w:type="spellEnd"/>
      <w:r w:rsidRPr="00CE1036">
        <w:rPr>
          <w:rFonts w:eastAsia="Times New Roman" w:cs="Arial"/>
          <w:color w:val="000000"/>
          <w:lang w:val="en-US"/>
        </w:rPr>
        <w:t xml:space="preserve"> spp., </w:t>
      </w:r>
      <w:proofErr w:type="spellStart"/>
      <w:r w:rsidRPr="00CE1036">
        <w:rPr>
          <w:rFonts w:eastAsia="Times New Roman" w:cs="Arial"/>
          <w:color w:val="000000"/>
          <w:lang w:val="en-US"/>
        </w:rPr>
        <w:t>Haemophilus</w:t>
      </w:r>
      <w:proofErr w:type="spellEnd"/>
      <w:r w:rsidRPr="00CE1036">
        <w:rPr>
          <w:rFonts w:eastAsia="Times New Roman" w:cs="Arial"/>
          <w:color w:val="000000"/>
          <w:lang w:val="en-US"/>
        </w:rPr>
        <w:t xml:space="preserve"> </w:t>
      </w:r>
      <w:r>
        <w:rPr>
          <w:rFonts w:eastAsia="Times New Roman" w:cs="Arial"/>
          <w:color w:val="000000"/>
          <w:lang w:val="en-US"/>
        </w:rPr>
        <w:t>influenza</w:t>
      </w:r>
    </w:p>
    <w:p w14:paraId="7275431F" w14:textId="0D907ABC" w:rsidR="00CE1036" w:rsidRDefault="00CE1036" w:rsidP="00CE1036">
      <w:pPr>
        <w:rPr>
          <w:rFonts w:cs="Arial"/>
        </w:rPr>
      </w:pPr>
    </w:p>
    <w:p w14:paraId="2D84CE07" w14:textId="77777777"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t xml:space="preserve">Терапевтичният антибактериален спектър на цефазолин не включва </w:t>
      </w:r>
      <w:r w:rsidRPr="00CE1036">
        <w:rPr>
          <w:rFonts w:eastAsia="Times New Roman" w:cs="Arial"/>
          <w:color w:val="000000"/>
          <w:lang w:val="en-US"/>
        </w:rPr>
        <w:t xml:space="preserve">Pseudomonas aeruginosa, </w:t>
      </w:r>
      <w:r w:rsidRPr="00CE1036">
        <w:rPr>
          <w:rFonts w:eastAsia="Times New Roman" w:cs="Arial"/>
          <w:color w:val="000000"/>
          <w:lang w:eastAsia="bg-BG"/>
        </w:rPr>
        <w:t xml:space="preserve">повечето щамове индол-позитивни </w:t>
      </w:r>
      <w:r w:rsidRPr="00CE1036">
        <w:rPr>
          <w:rFonts w:eastAsia="Times New Roman" w:cs="Arial"/>
          <w:color w:val="000000"/>
          <w:lang w:val="en-US"/>
        </w:rPr>
        <w:t xml:space="preserve">Proteus pathogens, </w:t>
      </w:r>
      <w:r w:rsidRPr="00CE1036">
        <w:rPr>
          <w:rFonts w:eastAsia="Times New Roman" w:cs="Arial"/>
          <w:color w:val="000000"/>
          <w:lang w:eastAsia="bg-BG"/>
        </w:rPr>
        <w:t xml:space="preserve">много щамове </w:t>
      </w:r>
      <w:r w:rsidRPr="00CE1036">
        <w:rPr>
          <w:rFonts w:eastAsia="Times New Roman" w:cs="Arial"/>
          <w:color w:val="000000"/>
          <w:lang w:val="en-US"/>
        </w:rPr>
        <w:t xml:space="preserve">Enterococcus, </w:t>
      </w:r>
      <w:r w:rsidRPr="00CE1036">
        <w:rPr>
          <w:rFonts w:eastAsia="Times New Roman" w:cs="Arial"/>
          <w:color w:val="000000"/>
          <w:lang w:eastAsia="bg-BG"/>
        </w:rPr>
        <w:t xml:space="preserve">както и </w:t>
      </w:r>
      <w:proofErr w:type="spellStart"/>
      <w:r w:rsidRPr="00CE1036">
        <w:rPr>
          <w:rFonts w:eastAsia="Times New Roman" w:cs="Arial"/>
          <w:color w:val="000000"/>
          <w:lang w:val="en-US"/>
        </w:rPr>
        <w:t>Serratia</w:t>
      </w:r>
      <w:proofErr w:type="spellEnd"/>
      <w:r w:rsidRPr="00CE1036">
        <w:rPr>
          <w:rFonts w:eastAsia="Times New Roman" w:cs="Arial"/>
          <w:color w:val="000000"/>
          <w:lang w:val="en-US"/>
        </w:rPr>
        <w:t xml:space="preserve"> species, </w:t>
      </w:r>
      <w:proofErr w:type="spellStart"/>
      <w:r w:rsidRPr="00CE1036">
        <w:rPr>
          <w:rFonts w:eastAsia="Times New Roman" w:cs="Arial"/>
          <w:color w:val="000000"/>
          <w:lang w:val="en-US"/>
        </w:rPr>
        <w:t>Citrobacter</w:t>
      </w:r>
      <w:proofErr w:type="spellEnd"/>
      <w:r w:rsidRPr="00CE1036">
        <w:rPr>
          <w:rFonts w:eastAsia="Times New Roman" w:cs="Arial"/>
          <w:color w:val="000000"/>
          <w:lang w:val="en-US"/>
        </w:rPr>
        <w:t xml:space="preserve">, </w:t>
      </w:r>
      <w:proofErr w:type="spellStart"/>
      <w:r w:rsidRPr="00CE1036">
        <w:rPr>
          <w:rFonts w:eastAsia="Times New Roman" w:cs="Arial"/>
          <w:color w:val="000000"/>
          <w:lang w:val="en-US"/>
        </w:rPr>
        <w:t>Providencia</w:t>
      </w:r>
      <w:proofErr w:type="spellEnd"/>
      <w:r w:rsidRPr="00CE1036">
        <w:rPr>
          <w:rFonts w:eastAsia="Times New Roman" w:cs="Arial"/>
          <w:color w:val="000000"/>
          <w:lang w:val="en-US"/>
        </w:rPr>
        <w:t xml:space="preserve">, </w:t>
      </w:r>
      <w:proofErr w:type="spellStart"/>
      <w:r w:rsidRPr="00CE1036">
        <w:rPr>
          <w:rFonts w:eastAsia="Times New Roman" w:cs="Arial"/>
          <w:color w:val="000000"/>
          <w:lang w:val="en-US"/>
        </w:rPr>
        <w:t>Edwardsiella</w:t>
      </w:r>
      <w:proofErr w:type="spellEnd"/>
      <w:r w:rsidRPr="00CE1036">
        <w:rPr>
          <w:rFonts w:eastAsia="Times New Roman" w:cs="Arial"/>
          <w:color w:val="000000"/>
          <w:lang w:val="en-US"/>
        </w:rPr>
        <w:t xml:space="preserve">, Arizona, </w:t>
      </w:r>
      <w:proofErr w:type="spellStart"/>
      <w:r w:rsidRPr="00CE1036">
        <w:rPr>
          <w:rFonts w:eastAsia="Times New Roman" w:cs="Arial"/>
          <w:color w:val="000000"/>
          <w:lang w:val="en-US"/>
        </w:rPr>
        <w:t>Acinetobacter</w:t>
      </w:r>
      <w:proofErr w:type="spellEnd"/>
      <w:r w:rsidRPr="00CE1036">
        <w:rPr>
          <w:rFonts w:eastAsia="Times New Roman" w:cs="Arial"/>
          <w:color w:val="000000"/>
          <w:lang w:val="en-US"/>
        </w:rPr>
        <w:t xml:space="preserve">, </w:t>
      </w:r>
      <w:proofErr w:type="spellStart"/>
      <w:r w:rsidRPr="00CE1036">
        <w:rPr>
          <w:rFonts w:eastAsia="Times New Roman" w:cs="Arial"/>
          <w:color w:val="000000"/>
          <w:lang w:val="en-US"/>
        </w:rPr>
        <w:t>Bacteroides</w:t>
      </w:r>
      <w:proofErr w:type="spellEnd"/>
      <w:r w:rsidRPr="00CE1036">
        <w:rPr>
          <w:rFonts w:eastAsia="Times New Roman" w:cs="Arial"/>
          <w:color w:val="000000"/>
          <w:lang w:val="en-US"/>
        </w:rPr>
        <w:t xml:space="preserve"> </w:t>
      </w:r>
      <w:proofErr w:type="spellStart"/>
      <w:r w:rsidRPr="00CE1036">
        <w:rPr>
          <w:rFonts w:eastAsia="Times New Roman" w:cs="Arial"/>
          <w:color w:val="000000"/>
          <w:lang w:val="en-US"/>
        </w:rPr>
        <w:t>fragilis</w:t>
      </w:r>
      <w:proofErr w:type="spellEnd"/>
      <w:r w:rsidRPr="00CE1036">
        <w:rPr>
          <w:rFonts w:eastAsia="Times New Roman" w:cs="Arial"/>
          <w:color w:val="000000"/>
          <w:lang w:val="en-US"/>
        </w:rPr>
        <w:t xml:space="preserve">, Helicobacter, </w:t>
      </w:r>
      <w:proofErr w:type="spellStart"/>
      <w:r w:rsidRPr="00CE1036">
        <w:rPr>
          <w:rFonts w:eastAsia="Times New Roman" w:cs="Arial"/>
          <w:color w:val="000000"/>
          <w:lang w:val="en-US"/>
        </w:rPr>
        <w:t>Nocardia</w:t>
      </w:r>
      <w:proofErr w:type="spellEnd"/>
      <w:r w:rsidRPr="00CE1036">
        <w:rPr>
          <w:rFonts w:eastAsia="Times New Roman" w:cs="Arial"/>
          <w:color w:val="000000"/>
          <w:lang w:val="en-US"/>
        </w:rPr>
        <w:t xml:space="preserve">, </w:t>
      </w:r>
      <w:proofErr w:type="spellStart"/>
      <w:r w:rsidRPr="00CE1036">
        <w:rPr>
          <w:rFonts w:eastAsia="Times New Roman" w:cs="Arial"/>
          <w:color w:val="000000"/>
          <w:lang w:val="en-US"/>
        </w:rPr>
        <w:t>Mycardia</w:t>
      </w:r>
      <w:proofErr w:type="spellEnd"/>
      <w:r w:rsidRPr="00CE1036">
        <w:rPr>
          <w:rFonts w:eastAsia="Times New Roman" w:cs="Arial"/>
          <w:color w:val="000000"/>
          <w:lang w:val="en-US"/>
        </w:rPr>
        <w:t xml:space="preserve">, Mycoplasmas, </w:t>
      </w:r>
      <w:proofErr w:type="spellStart"/>
      <w:r w:rsidRPr="00CE1036">
        <w:rPr>
          <w:rFonts w:eastAsia="Times New Roman" w:cs="Arial"/>
          <w:color w:val="000000"/>
          <w:lang w:val="en-US"/>
        </w:rPr>
        <w:t>Moraxellae</w:t>
      </w:r>
      <w:proofErr w:type="spellEnd"/>
      <w:r w:rsidRPr="00CE1036">
        <w:rPr>
          <w:rFonts w:eastAsia="Times New Roman" w:cs="Arial"/>
          <w:color w:val="000000"/>
          <w:lang w:val="en-US"/>
        </w:rPr>
        <w:t xml:space="preserve">, </w:t>
      </w:r>
      <w:proofErr w:type="spellStart"/>
      <w:r w:rsidRPr="00CE1036">
        <w:rPr>
          <w:rFonts w:eastAsia="Times New Roman" w:cs="Arial"/>
          <w:color w:val="000000"/>
          <w:lang w:val="en-US"/>
        </w:rPr>
        <w:t>Brucellae</w:t>
      </w:r>
      <w:proofErr w:type="spellEnd"/>
      <w:r w:rsidRPr="00CE1036">
        <w:rPr>
          <w:rFonts w:eastAsia="Times New Roman" w:cs="Arial"/>
          <w:color w:val="000000"/>
          <w:lang w:val="en-US"/>
        </w:rPr>
        <w:t xml:space="preserve"> </w:t>
      </w:r>
      <w:r w:rsidRPr="00CE1036">
        <w:rPr>
          <w:rFonts w:eastAsia="Times New Roman" w:cs="Arial"/>
          <w:color w:val="000000"/>
          <w:lang w:eastAsia="bg-BG"/>
        </w:rPr>
        <w:t xml:space="preserve">и </w:t>
      </w:r>
      <w:proofErr w:type="spellStart"/>
      <w:r w:rsidRPr="00CE1036">
        <w:rPr>
          <w:rFonts w:eastAsia="Times New Roman" w:cs="Arial"/>
          <w:color w:val="000000"/>
          <w:lang w:val="en-US"/>
        </w:rPr>
        <w:t>Enterobacter</w:t>
      </w:r>
      <w:proofErr w:type="spellEnd"/>
      <w:r w:rsidRPr="00CE1036">
        <w:rPr>
          <w:rFonts w:eastAsia="Times New Roman" w:cs="Arial"/>
          <w:color w:val="000000"/>
          <w:lang w:val="en-US"/>
        </w:rPr>
        <w:t xml:space="preserve"> cloacae.</w:t>
      </w:r>
    </w:p>
    <w:p w14:paraId="5F540EA9" w14:textId="77777777" w:rsidR="00CE1036" w:rsidRPr="00CE1036" w:rsidRDefault="00CE1036" w:rsidP="00CE1036">
      <w:pPr>
        <w:rPr>
          <w:rFonts w:eastAsia="Times New Roman" w:cs="Arial"/>
          <w:color w:val="000000"/>
          <w:lang w:eastAsia="bg-BG"/>
        </w:rPr>
      </w:pPr>
    </w:p>
    <w:p w14:paraId="7AC148FF" w14:textId="7A5D10A2" w:rsidR="00CE1036" w:rsidRPr="00CE1036" w:rsidRDefault="00CE1036" w:rsidP="00CE1036">
      <w:pPr>
        <w:rPr>
          <w:rFonts w:cs="Arial"/>
        </w:rPr>
      </w:pPr>
      <w:r w:rsidRPr="00CE1036">
        <w:rPr>
          <w:rFonts w:eastAsia="Times New Roman" w:cs="Arial"/>
          <w:color w:val="000000"/>
          <w:lang w:eastAsia="bg-BG"/>
        </w:rPr>
        <w:t xml:space="preserve">Вторично развитие на резистентност при грам-положителни бактерии в условия </w:t>
      </w:r>
      <w:r w:rsidRPr="00CE1036">
        <w:rPr>
          <w:rFonts w:eastAsia="Times New Roman" w:cs="Arial"/>
          <w:color w:val="000000"/>
          <w:lang w:val="en-US"/>
        </w:rPr>
        <w:t xml:space="preserve">in vitro </w:t>
      </w:r>
      <w:r w:rsidRPr="00CE1036">
        <w:rPr>
          <w:rFonts w:eastAsia="Times New Roman" w:cs="Arial"/>
          <w:color w:val="000000"/>
          <w:lang w:eastAsia="bg-BG"/>
        </w:rPr>
        <w:t xml:space="preserve">вероятно се дължи на поредица мутации. Паралелна резистентност съществува едновременно при </w:t>
      </w:r>
      <w:r w:rsidRPr="00CE1036">
        <w:rPr>
          <w:rFonts w:eastAsia="Times New Roman" w:cs="Arial"/>
          <w:color w:val="000000"/>
          <w:lang w:val="en-US"/>
        </w:rPr>
        <w:t xml:space="preserve">Staphylococcus aureus </w:t>
      </w:r>
      <w:r w:rsidRPr="00CE1036">
        <w:rPr>
          <w:rFonts w:eastAsia="Times New Roman" w:cs="Arial"/>
          <w:color w:val="000000"/>
          <w:lang w:eastAsia="bg-BG"/>
        </w:rPr>
        <w:t>и пеницилиназа-резистентни пеницилини. Не е установена паралелна резистентност с бензил-пеницилини.</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28922FC2" w14:textId="77777777"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t>Цефазолин се прилага парентерално. Времето за достигане на максимални плазмени концентрации след интрамускулно приложение е между 30-75 минути.</w:t>
      </w:r>
    </w:p>
    <w:p w14:paraId="0B3EE8B1" w14:textId="77777777"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t>Свързва се във висока степен (65 - 92%) с плазмените протеини.</w:t>
      </w:r>
    </w:p>
    <w:p w14:paraId="3B98E140" w14:textId="77777777" w:rsidR="00CE1036" w:rsidRPr="00CE1036" w:rsidRDefault="00CE1036" w:rsidP="00CE1036">
      <w:pPr>
        <w:spacing w:line="240" w:lineRule="auto"/>
        <w:rPr>
          <w:rFonts w:eastAsia="Times New Roman" w:cs="Arial"/>
          <w:color w:val="000000"/>
          <w:lang w:eastAsia="bg-BG"/>
        </w:rPr>
      </w:pPr>
    </w:p>
    <w:p w14:paraId="07717F28" w14:textId="005E4565"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t>Плазменият полуживот е 1,5-2 часа и се удължава при пациенти с нарушена бъбречна функция. При пациенти с чернодробна цироза този показател може да бъде намален.</w:t>
      </w:r>
    </w:p>
    <w:p w14:paraId="2827E57E" w14:textId="77777777"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t>Цефазолин прониква добре в телесните тъкани и течности (плеврална, перитонеална и синовиална), костите, ставите, простатата. При липса на обструкция на жлъчния мехур, в жлъчката се постигат концентрации, по-високи от плазмените. Проникването в цереброспиналната течност (както и в менингите) и вътреочната течност е слабо. Преминава трансплацентарно и се екскретира с майчиното мляко.</w:t>
      </w:r>
    </w:p>
    <w:p w14:paraId="4BE72DA9" w14:textId="77777777" w:rsidR="00CE1036" w:rsidRPr="00CE1036" w:rsidRDefault="00CE1036" w:rsidP="00CE1036">
      <w:pPr>
        <w:rPr>
          <w:rFonts w:eastAsia="Times New Roman" w:cs="Arial"/>
          <w:color w:val="000000"/>
          <w:lang w:eastAsia="bg-BG"/>
        </w:rPr>
      </w:pPr>
      <w:bookmarkStart w:id="3" w:name="_GoBack"/>
      <w:bookmarkEnd w:id="3"/>
    </w:p>
    <w:p w14:paraId="45551830" w14:textId="73061882" w:rsidR="007A2185" w:rsidRPr="00CE1036" w:rsidRDefault="00CE1036" w:rsidP="00CE1036">
      <w:pPr>
        <w:rPr>
          <w:rFonts w:cs="Arial"/>
        </w:rPr>
      </w:pPr>
      <w:r w:rsidRPr="00CE1036">
        <w:rPr>
          <w:rFonts w:eastAsia="Times New Roman" w:cs="Arial"/>
          <w:color w:val="000000"/>
          <w:lang w:eastAsia="bg-BG"/>
        </w:rPr>
        <w:t>Цефазолин не се метаболизира. Около 60% от приложената доза се излъчва непроменена през бъбреците чрез гломерулна филтрация и тубулна секреция през първите 6 часа. Пробенецид потиска бъбречното излъчване на цефазолин. Продуктът се екскретира в незначителни количества и с жлъчката. Плазменият полуживот е приблизително 2 часа и може да бъде удължен при пациенти с бъбречна недостатъчност. Сравнително добре се отстранява при хемодиализа и по- слабо при перитонеална диализа.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79E360B6" w14:textId="77777777"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t xml:space="preserve">Стойностите на </w:t>
      </w:r>
      <w:r w:rsidRPr="00CE1036">
        <w:rPr>
          <w:rFonts w:eastAsia="Times New Roman" w:cs="Arial"/>
          <w:color w:val="000000"/>
          <w:lang w:val="en-US"/>
        </w:rPr>
        <w:t>LD</w:t>
      </w:r>
      <w:r w:rsidRPr="00CE1036">
        <w:rPr>
          <w:rFonts w:eastAsia="Times New Roman" w:cs="Arial"/>
          <w:color w:val="000000"/>
          <w:vertAlign w:val="subscript"/>
          <w:lang w:val="en-US"/>
        </w:rPr>
        <w:t>50</w:t>
      </w:r>
      <w:r w:rsidRPr="00CE1036">
        <w:rPr>
          <w:rFonts w:eastAsia="Times New Roman" w:cs="Arial"/>
          <w:color w:val="000000"/>
          <w:lang w:val="en-US"/>
        </w:rPr>
        <w:t xml:space="preserve"> </w:t>
      </w:r>
      <w:r w:rsidRPr="00CE1036">
        <w:rPr>
          <w:rFonts w:eastAsia="Times New Roman" w:cs="Arial"/>
          <w:color w:val="000000"/>
          <w:lang w:eastAsia="bg-BG"/>
        </w:rPr>
        <w:t xml:space="preserve">за цефазолин са 4000 </w:t>
      </w:r>
      <w:r w:rsidRPr="00CE1036">
        <w:rPr>
          <w:rFonts w:eastAsia="Times New Roman" w:cs="Arial"/>
          <w:color w:val="000000"/>
          <w:lang w:val="en-US"/>
        </w:rPr>
        <w:t xml:space="preserve">mg/kg </w:t>
      </w:r>
      <w:r w:rsidRPr="00CE1036">
        <w:rPr>
          <w:rFonts w:eastAsia="Times New Roman" w:cs="Arial"/>
          <w:color w:val="000000"/>
          <w:lang w:eastAsia="bg-BG"/>
        </w:rPr>
        <w:t xml:space="preserve">при интрамускулно и интравенозно приложение на мишки и съответно &gt; 6000 и 700 </w:t>
      </w:r>
      <w:r w:rsidRPr="00CE1036">
        <w:rPr>
          <w:rFonts w:eastAsia="Times New Roman" w:cs="Arial"/>
          <w:color w:val="000000"/>
          <w:lang w:val="en-US"/>
        </w:rPr>
        <w:t xml:space="preserve">mg/kg </w:t>
      </w:r>
      <w:r w:rsidRPr="00CE1036">
        <w:rPr>
          <w:rFonts w:eastAsia="Times New Roman" w:cs="Arial"/>
          <w:color w:val="000000"/>
          <w:lang w:eastAsia="bg-BG"/>
        </w:rPr>
        <w:t>след интрамускулно и интравенозно приложение при плъхове.</w:t>
      </w:r>
    </w:p>
    <w:p w14:paraId="1FCDD673" w14:textId="77777777" w:rsidR="00CE1036" w:rsidRPr="00CE1036" w:rsidRDefault="00CE1036" w:rsidP="00CE1036">
      <w:pPr>
        <w:spacing w:line="240" w:lineRule="auto"/>
        <w:rPr>
          <w:rFonts w:eastAsia="Times New Roman" w:cs="Arial"/>
          <w:color w:val="000000"/>
          <w:lang w:eastAsia="bg-BG"/>
        </w:rPr>
      </w:pPr>
    </w:p>
    <w:p w14:paraId="2302117E" w14:textId="06630545"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lastRenderedPageBreak/>
        <w:t>След многократно приложение при експериментални животни (плъхове и кучета) няма данни за токсични ефекти.</w:t>
      </w:r>
    </w:p>
    <w:p w14:paraId="7A255CB8" w14:textId="77777777" w:rsidR="00CE1036" w:rsidRPr="00CE1036" w:rsidRDefault="00CE1036" w:rsidP="00CE1036">
      <w:pPr>
        <w:rPr>
          <w:rFonts w:eastAsia="Times New Roman" w:cs="Arial"/>
          <w:color w:val="000000"/>
          <w:lang w:eastAsia="bg-BG"/>
        </w:rPr>
      </w:pPr>
    </w:p>
    <w:p w14:paraId="13A7B62A" w14:textId="59890F86" w:rsidR="007A2185" w:rsidRPr="00CE1036" w:rsidRDefault="00CE1036" w:rsidP="00CE1036">
      <w:pPr>
        <w:rPr>
          <w:rFonts w:cs="Arial"/>
        </w:rPr>
      </w:pPr>
      <w:r w:rsidRPr="00CE1036">
        <w:rPr>
          <w:rFonts w:eastAsia="Times New Roman" w:cs="Arial"/>
          <w:color w:val="000000"/>
          <w:lang w:eastAsia="bg-BG"/>
        </w:rPr>
        <w:t>Няма експериментални данни за ембриотоксично и тератогенно действие.</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F02909F" w14:textId="305839A0" w:rsidR="007A2185" w:rsidRPr="00CE1036" w:rsidRDefault="00CE1036" w:rsidP="0091385D">
      <w:pPr>
        <w:rPr>
          <w:rFonts w:cs="Arial"/>
        </w:rPr>
      </w:pPr>
      <w:r w:rsidRPr="00CE1036">
        <w:rPr>
          <w:rFonts w:cs="Arial"/>
        </w:rPr>
        <w:t>Антибиотик-Разград АД</w:t>
      </w:r>
    </w:p>
    <w:p w14:paraId="28719577" w14:textId="77777777"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t>Бул. “Априлско въстание” 68, офис 201</w:t>
      </w:r>
    </w:p>
    <w:p w14:paraId="43A77F00" w14:textId="287FD0D2" w:rsidR="00CE1036" w:rsidRPr="00CE1036" w:rsidRDefault="00CE1036" w:rsidP="00CE1036">
      <w:pPr>
        <w:rPr>
          <w:rFonts w:cs="Arial"/>
        </w:rPr>
      </w:pPr>
      <w:r w:rsidRPr="00CE1036">
        <w:rPr>
          <w:rFonts w:eastAsia="Times New Roman" w:cs="Arial"/>
          <w:color w:val="000000"/>
          <w:lang w:eastAsia="bg-BG"/>
        </w:rPr>
        <w:t>7200 Разград, 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8E118C5" w14:textId="77777777"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t xml:space="preserve">Цефазолин АБР прах за инжекционен разтвор </w:t>
      </w:r>
      <w:r w:rsidRPr="00CE1036">
        <w:rPr>
          <w:rFonts w:eastAsia="Times New Roman" w:cs="Arial"/>
          <w:color w:val="000000"/>
          <w:lang w:val="en-US"/>
        </w:rPr>
        <w:t xml:space="preserve">1g </w:t>
      </w:r>
      <w:r w:rsidRPr="00CE1036">
        <w:rPr>
          <w:rFonts w:eastAsia="Times New Roman" w:cs="Arial"/>
          <w:color w:val="000000"/>
          <w:lang w:eastAsia="bg-BG"/>
        </w:rPr>
        <w:t xml:space="preserve">- </w:t>
      </w:r>
      <w:proofErr w:type="spellStart"/>
      <w:r w:rsidRPr="00CE1036">
        <w:rPr>
          <w:rFonts w:eastAsia="Times New Roman" w:cs="Arial"/>
          <w:color w:val="000000"/>
          <w:lang w:val="en-US"/>
        </w:rPr>
        <w:t>Pe</w:t>
      </w:r>
      <w:proofErr w:type="spellEnd"/>
      <w:r w:rsidRPr="00CE1036">
        <w:rPr>
          <w:rFonts w:eastAsia="Times New Roman" w:cs="Arial"/>
          <w:color w:val="000000"/>
          <w:lang w:eastAsia="bg-BG"/>
        </w:rPr>
        <w:t>г</w:t>
      </w:r>
      <w:r w:rsidRPr="00CE1036">
        <w:rPr>
          <w:rFonts w:eastAsia="Times New Roman" w:cs="Arial"/>
          <w:color w:val="000000"/>
          <w:lang w:val="en-US"/>
        </w:rPr>
        <w:t xml:space="preserve">. </w:t>
      </w:r>
      <w:r w:rsidRPr="00CE1036">
        <w:rPr>
          <w:rFonts w:eastAsia="Times New Roman" w:cs="Arial"/>
          <w:color w:val="000000"/>
          <w:lang w:eastAsia="bg-BG"/>
        </w:rPr>
        <w:t>№ 20010590</w:t>
      </w:r>
    </w:p>
    <w:p w14:paraId="46161304" w14:textId="7E801E38" w:rsidR="007A2185" w:rsidRPr="00CE1036" w:rsidRDefault="00CE1036" w:rsidP="00CE1036">
      <w:pPr>
        <w:rPr>
          <w:rFonts w:cs="Arial"/>
        </w:rPr>
      </w:pPr>
      <w:r w:rsidRPr="00CE1036">
        <w:rPr>
          <w:rFonts w:eastAsia="Times New Roman" w:cs="Arial"/>
          <w:color w:val="000000"/>
          <w:lang w:eastAsia="bg-BG"/>
        </w:rPr>
        <w:t xml:space="preserve">Цефазолин АБР прах за инжекционен разтвор </w:t>
      </w:r>
      <w:r w:rsidRPr="00CE1036">
        <w:rPr>
          <w:rFonts w:eastAsia="Times New Roman" w:cs="Arial"/>
          <w:color w:val="000000"/>
          <w:lang w:val="en-US"/>
        </w:rPr>
        <w:t xml:space="preserve">2g </w:t>
      </w:r>
      <w:r w:rsidRPr="00CE1036">
        <w:rPr>
          <w:rFonts w:eastAsia="Times New Roman" w:cs="Arial"/>
          <w:color w:val="000000"/>
          <w:lang w:eastAsia="bg-BG"/>
        </w:rPr>
        <w:t xml:space="preserve">- </w:t>
      </w:r>
      <w:proofErr w:type="spellStart"/>
      <w:r w:rsidRPr="00CE1036">
        <w:rPr>
          <w:rFonts w:eastAsia="Times New Roman" w:cs="Arial"/>
          <w:color w:val="000000"/>
          <w:lang w:val="en-US"/>
        </w:rPr>
        <w:t>Pe</w:t>
      </w:r>
      <w:proofErr w:type="spellEnd"/>
      <w:r w:rsidRPr="00CE1036">
        <w:rPr>
          <w:rFonts w:eastAsia="Times New Roman" w:cs="Arial"/>
          <w:color w:val="000000"/>
          <w:lang w:eastAsia="bg-BG"/>
        </w:rPr>
        <w:t>г.</w:t>
      </w:r>
      <w:r w:rsidRPr="00CE1036">
        <w:rPr>
          <w:rFonts w:eastAsia="Times New Roman" w:cs="Arial"/>
          <w:color w:val="000000"/>
          <w:lang w:val="en-US"/>
        </w:rPr>
        <w:t xml:space="preserve"> </w:t>
      </w:r>
      <w:r w:rsidRPr="00CE1036">
        <w:rPr>
          <w:rFonts w:eastAsia="Times New Roman" w:cs="Arial"/>
          <w:color w:val="000000"/>
          <w:lang w:eastAsia="bg-BG"/>
        </w:rPr>
        <w:t>№ 20010591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54C2480C" w14:textId="77777777" w:rsidR="00CE1036" w:rsidRPr="00CE1036" w:rsidRDefault="00CE1036" w:rsidP="00CE1036">
      <w:pPr>
        <w:spacing w:line="240" w:lineRule="auto"/>
        <w:rPr>
          <w:rFonts w:eastAsia="Times New Roman" w:cs="Arial"/>
          <w:sz w:val="24"/>
          <w:szCs w:val="24"/>
          <w:lang w:eastAsia="bg-BG"/>
        </w:rPr>
      </w:pPr>
      <w:r w:rsidRPr="00CE1036">
        <w:rPr>
          <w:rFonts w:eastAsia="Times New Roman" w:cs="Arial"/>
          <w:color w:val="000000"/>
          <w:lang w:eastAsia="bg-BG"/>
        </w:rPr>
        <w:t>Дата на първо разрешаване: 14.06.2001 г.</w:t>
      </w:r>
    </w:p>
    <w:p w14:paraId="6C57D8B6" w14:textId="3C52D218" w:rsidR="007A2185" w:rsidRPr="00CE1036" w:rsidRDefault="00CE1036" w:rsidP="00CE1036">
      <w:pPr>
        <w:rPr>
          <w:rFonts w:cs="Arial"/>
        </w:rPr>
      </w:pPr>
      <w:r w:rsidRPr="00CE1036">
        <w:rPr>
          <w:rFonts w:eastAsia="Times New Roman" w:cs="Arial"/>
          <w:color w:val="000000"/>
          <w:lang w:eastAsia="bg-BG"/>
        </w:rPr>
        <w:t>Дата на последно подновяване: 20.12.2011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11BE0CDA" w:rsidR="007A2185" w:rsidRPr="00CE1036" w:rsidRDefault="00CE1036" w:rsidP="0091385D">
      <w:pPr>
        <w:rPr>
          <w:rFonts w:cs="Arial"/>
        </w:rPr>
      </w:pPr>
      <w:r w:rsidRPr="00CE1036">
        <w:rPr>
          <w:rFonts w:cs="Arial"/>
        </w:rPr>
        <w:t>03.2018</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13DAB"/>
    <w:multiLevelType w:val="hybridMultilevel"/>
    <w:tmpl w:val="638EB1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10E5E"/>
    <w:multiLevelType w:val="hybridMultilevel"/>
    <w:tmpl w:val="A74C93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2"/>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7"/>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14"/>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741F3"/>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E1036"/>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2883</Words>
  <Characters>16436</Characters>
  <Application>Microsoft Office Word</Application>
  <DocSecurity>0</DocSecurity>
  <Lines>136</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2023-02-05T14:44:00Z</dcterms:created>
  <dcterms:modified xsi:type="dcterms:W3CDTF">2023-02-05T14:44:00Z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