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74E84414" w:rsidR="00AA23EC" w:rsidRDefault="00DD466D" w:rsidP="00DD466D">
      <w:pPr>
        <w:pStyle w:val="Heading1"/>
      </w:pPr>
      <w:r>
        <w:t>1.ИМЕ НА ЛЕКАРСТВЕНИЯ ПРОДУКТ</w:t>
      </w:r>
    </w:p>
    <w:p w14:paraId="0D88B75E" w14:textId="50EF5927" w:rsidR="001338BD" w:rsidRDefault="001338BD" w:rsidP="001338BD"/>
    <w:p w14:paraId="34710AE3" w14:textId="77777777" w:rsidR="001338BD" w:rsidRPr="001338BD" w:rsidRDefault="001338BD" w:rsidP="001338BD">
      <w:pPr>
        <w:rPr>
          <w:sz w:val="24"/>
          <w:szCs w:val="24"/>
          <w:lang w:val="ru-RU"/>
        </w:rPr>
      </w:pPr>
      <w:r w:rsidRPr="001338BD">
        <w:rPr>
          <w:lang w:eastAsia="bg-BG"/>
        </w:rPr>
        <w:t xml:space="preserve">Цефепим Каби </w:t>
      </w:r>
      <w:r w:rsidRPr="001338BD">
        <w:rPr>
          <w:lang w:val="ru-RU"/>
        </w:rPr>
        <w:t xml:space="preserve">1 </w:t>
      </w:r>
      <w:r w:rsidRPr="001338BD">
        <w:rPr>
          <w:lang w:val="en-US"/>
        </w:rPr>
        <w:t>g</w:t>
      </w:r>
      <w:r w:rsidRPr="001338BD">
        <w:rPr>
          <w:lang w:val="ru-RU"/>
        </w:rPr>
        <w:t xml:space="preserve"> </w:t>
      </w:r>
      <w:r w:rsidRPr="001338BD">
        <w:rPr>
          <w:lang w:eastAsia="bg-BG"/>
        </w:rPr>
        <w:t>прах за инжекционен или инфузионен разтвор</w:t>
      </w:r>
    </w:p>
    <w:p w14:paraId="6FBB6AA6" w14:textId="77777777" w:rsidR="001338BD" w:rsidRPr="001338BD" w:rsidRDefault="001338BD" w:rsidP="001338BD">
      <w:pPr>
        <w:rPr>
          <w:sz w:val="24"/>
          <w:szCs w:val="24"/>
          <w:lang w:val="en-US"/>
        </w:rPr>
      </w:pPr>
      <w:proofErr w:type="spellStart"/>
      <w:r w:rsidRPr="001338BD">
        <w:rPr>
          <w:lang w:val="en-US"/>
        </w:rPr>
        <w:t>Cefepime</w:t>
      </w:r>
      <w:proofErr w:type="spellEnd"/>
      <w:r w:rsidRPr="001338BD">
        <w:rPr>
          <w:lang w:val="en-US"/>
        </w:rPr>
        <w:t xml:space="preserve"> </w:t>
      </w:r>
      <w:proofErr w:type="spellStart"/>
      <w:r w:rsidRPr="001338BD">
        <w:rPr>
          <w:lang w:val="en-US"/>
        </w:rPr>
        <w:t>Kabi</w:t>
      </w:r>
      <w:proofErr w:type="spellEnd"/>
      <w:r w:rsidRPr="001338BD">
        <w:rPr>
          <w:lang w:val="en-US"/>
        </w:rPr>
        <w:t xml:space="preserve"> </w:t>
      </w:r>
      <w:r w:rsidRPr="001338BD">
        <w:rPr>
          <w:lang w:eastAsia="bg-BG"/>
        </w:rPr>
        <w:t xml:space="preserve">1 </w:t>
      </w:r>
      <w:r w:rsidRPr="001338BD">
        <w:rPr>
          <w:lang w:val="en-US"/>
        </w:rPr>
        <w:t>g powder for solution for injection or infusion</w:t>
      </w:r>
    </w:p>
    <w:p w14:paraId="3C7AB8A1" w14:textId="77777777" w:rsidR="001338BD" w:rsidRDefault="001338BD" w:rsidP="001338BD">
      <w:pPr>
        <w:rPr>
          <w:lang w:eastAsia="bg-BG"/>
        </w:rPr>
      </w:pPr>
    </w:p>
    <w:p w14:paraId="03F74763" w14:textId="303A0265" w:rsidR="001338BD" w:rsidRPr="001338BD" w:rsidRDefault="001338BD" w:rsidP="001338BD">
      <w:pPr>
        <w:rPr>
          <w:sz w:val="24"/>
          <w:szCs w:val="24"/>
          <w:lang w:val="ru-RU"/>
        </w:rPr>
      </w:pPr>
      <w:r w:rsidRPr="001338BD">
        <w:rPr>
          <w:lang w:eastAsia="bg-BG"/>
        </w:rPr>
        <w:t xml:space="preserve">Цефепим Каби </w:t>
      </w:r>
      <w:r w:rsidRPr="001338BD">
        <w:rPr>
          <w:lang w:val="ru-RU"/>
        </w:rPr>
        <w:t xml:space="preserve">2 </w:t>
      </w:r>
      <w:r w:rsidRPr="001338BD">
        <w:rPr>
          <w:lang w:val="en-US"/>
        </w:rPr>
        <w:t>g</w:t>
      </w:r>
      <w:r w:rsidRPr="001338BD">
        <w:rPr>
          <w:lang w:val="ru-RU"/>
        </w:rPr>
        <w:t xml:space="preserve"> </w:t>
      </w:r>
      <w:r w:rsidRPr="001338BD">
        <w:rPr>
          <w:lang w:eastAsia="bg-BG"/>
        </w:rPr>
        <w:t>прах за инжекционен или инфузионен разтвор</w:t>
      </w:r>
    </w:p>
    <w:p w14:paraId="093C1C5D" w14:textId="26468E6B" w:rsidR="001338BD" w:rsidRDefault="001338BD" w:rsidP="001338BD">
      <w:pPr>
        <w:rPr>
          <w:lang w:val="en-US"/>
        </w:rPr>
      </w:pPr>
      <w:proofErr w:type="spellStart"/>
      <w:r w:rsidRPr="001338BD">
        <w:rPr>
          <w:lang w:val="en-US"/>
        </w:rPr>
        <w:t>Cefepime</w:t>
      </w:r>
      <w:proofErr w:type="spellEnd"/>
      <w:r w:rsidRPr="001338BD">
        <w:rPr>
          <w:lang w:val="en-US"/>
        </w:rPr>
        <w:t xml:space="preserve"> </w:t>
      </w:r>
      <w:proofErr w:type="spellStart"/>
      <w:r w:rsidRPr="001338BD">
        <w:rPr>
          <w:lang w:val="en-US"/>
        </w:rPr>
        <w:t>Kabi</w:t>
      </w:r>
      <w:proofErr w:type="spellEnd"/>
      <w:r w:rsidRPr="001338BD">
        <w:rPr>
          <w:lang w:val="en-US"/>
        </w:rPr>
        <w:t xml:space="preserve"> </w:t>
      </w:r>
      <w:r w:rsidRPr="001338BD">
        <w:rPr>
          <w:lang w:eastAsia="bg-BG"/>
        </w:rPr>
        <w:t xml:space="preserve">2 </w:t>
      </w:r>
      <w:r w:rsidRPr="001338BD">
        <w:rPr>
          <w:lang w:val="en-US"/>
        </w:rPr>
        <w:t>g powder for solution for injection or infusion</w:t>
      </w:r>
    </w:p>
    <w:p w14:paraId="7BD26BE5" w14:textId="77777777" w:rsidR="001338BD" w:rsidRPr="001338BD" w:rsidRDefault="001338BD" w:rsidP="001338BD"/>
    <w:p w14:paraId="0A368469" w14:textId="4B09CD75" w:rsidR="00C0049F" w:rsidRDefault="00DD466D" w:rsidP="009F1313">
      <w:pPr>
        <w:pStyle w:val="Heading1"/>
      </w:pPr>
      <w:r>
        <w:t>2. КАЧЕСТВЕН И КОЛИЧЕСТВЕН СЪСТАВ</w:t>
      </w:r>
    </w:p>
    <w:p w14:paraId="521BDA98" w14:textId="119DD1F0" w:rsidR="001338BD" w:rsidRDefault="001338BD" w:rsidP="001338BD"/>
    <w:p w14:paraId="056EE9AD" w14:textId="77777777" w:rsidR="001338BD" w:rsidRPr="001338BD" w:rsidRDefault="001338BD" w:rsidP="001338BD">
      <w:pPr>
        <w:rPr>
          <w:sz w:val="24"/>
          <w:szCs w:val="24"/>
        </w:rPr>
      </w:pPr>
      <w:r w:rsidRPr="001338BD">
        <w:rPr>
          <w:lang w:eastAsia="bg-BG"/>
        </w:rPr>
        <w:t xml:space="preserve">Цефепим Каби 1 </w:t>
      </w:r>
      <w:r w:rsidRPr="001338BD">
        <w:rPr>
          <w:lang w:val="en-US"/>
        </w:rPr>
        <w:t>g</w:t>
      </w:r>
      <w:r w:rsidRPr="001338BD">
        <w:rPr>
          <w:lang w:val="ru-RU"/>
        </w:rPr>
        <w:t xml:space="preserve"> </w:t>
      </w:r>
      <w:r w:rsidRPr="001338BD">
        <w:rPr>
          <w:lang w:eastAsia="bg-BG"/>
        </w:rPr>
        <w:t>прах за инжекционен или инфузионен разтвор:</w:t>
      </w:r>
    </w:p>
    <w:p w14:paraId="0B073CDC" w14:textId="77777777" w:rsidR="001338BD" w:rsidRPr="001338BD" w:rsidRDefault="001338BD" w:rsidP="001338BD">
      <w:pPr>
        <w:rPr>
          <w:sz w:val="24"/>
          <w:szCs w:val="24"/>
        </w:rPr>
      </w:pPr>
      <w:r w:rsidRPr="001338BD">
        <w:rPr>
          <w:lang w:eastAsia="bg-BG"/>
        </w:rPr>
        <w:t xml:space="preserve">Всеки флакон съдържа 1 </w:t>
      </w:r>
      <w:r w:rsidRPr="001338BD">
        <w:rPr>
          <w:lang w:val="en-US"/>
        </w:rPr>
        <w:t>g</w:t>
      </w:r>
      <w:r w:rsidRPr="001338BD">
        <w:t xml:space="preserve"> </w:t>
      </w:r>
      <w:r w:rsidRPr="001338BD">
        <w:rPr>
          <w:lang w:eastAsia="bg-BG"/>
        </w:rPr>
        <w:t xml:space="preserve">цефепим </w:t>
      </w:r>
      <w:r w:rsidRPr="001338BD">
        <w:rPr>
          <w:i/>
          <w:iCs/>
        </w:rPr>
        <w:t>(</w:t>
      </w:r>
      <w:proofErr w:type="spellStart"/>
      <w:r w:rsidRPr="001338BD">
        <w:rPr>
          <w:i/>
          <w:iCs/>
          <w:lang w:val="en-US"/>
        </w:rPr>
        <w:t>cefepime</w:t>
      </w:r>
      <w:proofErr w:type="spellEnd"/>
      <w:r w:rsidRPr="001338BD">
        <w:rPr>
          <w:i/>
          <w:iCs/>
        </w:rPr>
        <w:t>)</w:t>
      </w:r>
      <w:r w:rsidRPr="001338BD">
        <w:t xml:space="preserve"> </w:t>
      </w:r>
      <w:r w:rsidRPr="001338BD">
        <w:rPr>
          <w:lang w:eastAsia="bg-BG"/>
        </w:rPr>
        <w:t xml:space="preserve">(като 1189,2 </w:t>
      </w:r>
      <w:r w:rsidRPr="001338BD">
        <w:rPr>
          <w:lang w:val="en-US"/>
        </w:rPr>
        <w:t>mg</w:t>
      </w:r>
      <w:r w:rsidRPr="001338BD">
        <w:t xml:space="preserve"> </w:t>
      </w:r>
      <w:r w:rsidRPr="001338BD">
        <w:rPr>
          <w:lang w:eastAsia="bg-BG"/>
        </w:rPr>
        <w:t xml:space="preserve">цефепимов дихидрохлорид монохидрат </w:t>
      </w:r>
      <w:r w:rsidRPr="001338BD">
        <w:rPr>
          <w:i/>
          <w:iCs/>
        </w:rPr>
        <w:t>/</w:t>
      </w:r>
      <w:proofErr w:type="spellStart"/>
      <w:r w:rsidRPr="001338BD">
        <w:rPr>
          <w:i/>
          <w:iCs/>
          <w:lang w:val="en-US"/>
        </w:rPr>
        <w:t>cefepime</w:t>
      </w:r>
      <w:proofErr w:type="spellEnd"/>
      <w:r w:rsidRPr="001338BD">
        <w:rPr>
          <w:i/>
          <w:iCs/>
        </w:rPr>
        <w:t xml:space="preserve"> </w:t>
      </w:r>
      <w:proofErr w:type="spellStart"/>
      <w:r w:rsidRPr="001338BD">
        <w:rPr>
          <w:i/>
          <w:iCs/>
          <w:lang w:val="en-US"/>
        </w:rPr>
        <w:t>dihydrochloride</w:t>
      </w:r>
      <w:proofErr w:type="spellEnd"/>
      <w:r w:rsidRPr="001338BD">
        <w:rPr>
          <w:i/>
          <w:iCs/>
        </w:rPr>
        <w:t xml:space="preserve"> </w:t>
      </w:r>
      <w:r w:rsidRPr="001338BD">
        <w:rPr>
          <w:i/>
          <w:iCs/>
          <w:lang w:val="en-US"/>
        </w:rPr>
        <w:t>monohydrate</w:t>
      </w:r>
      <w:r w:rsidRPr="001338BD">
        <w:rPr>
          <w:i/>
          <w:iCs/>
        </w:rPr>
        <w:t>/).</w:t>
      </w:r>
    </w:p>
    <w:p w14:paraId="2FB68170" w14:textId="77777777" w:rsidR="001338BD" w:rsidRPr="001338BD" w:rsidRDefault="001338BD" w:rsidP="001338BD">
      <w:pPr>
        <w:rPr>
          <w:sz w:val="24"/>
          <w:szCs w:val="24"/>
        </w:rPr>
      </w:pPr>
      <w:r w:rsidRPr="001338BD">
        <w:rPr>
          <w:lang w:eastAsia="bg-BG"/>
        </w:rPr>
        <w:t xml:space="preserve">Цефепим Каби 2 </w:t>
      </w:r>
      <w:r w:rsidRPr="001338BD">
        <w:rPr>
          <w:lang w:val="en-US"/>
        </w:rPr>
        <w:t>g</w:t>
      </w:r>
      <w:r w:rsidRPr="001338BD">
        <w:rPr>
          <w:lang w:val="ru-RU"/>
        </w:rPr>
        <w:t xml:space="preserve"> </w:t>
      </w:r>
      <w:r w:rsidRPr="001338BD">
        <w:rPr>
          <w:lang w:eastAsia="bg-BG"/>
        </w:rPr>
        <w:t>прах за инжекционен или инфузионен разтвор:</w:t>
      </w:r>
    </w:p>
    <w:p w14:paraId="07908467" w14:textId="77777777" w:rsidR="001338BD" w:rsidRPr="001338BD" w:rsidRDefault="001338BD" w:rsidP="001338BD">
      <w:pPr>
        <w:rPr>
          <w:sz w:val="24"/>
          <w:szCs w:val="24"/>
        </w:rPr>
      </w:pPr>
      <w:r w:rsidRPr="001338BD">
        <w:rPr>
          <w:lang w:eastAsia="bg-BG"/>
        </w:rPr>
        <w:t xml:space="preserve">Всеки флакон съдържа 2 </w:t>
      </w:r>
      <w:r w:rsidRPr="001338BD">
        <w:rPr>
          <w:lang w:val="en-US"/>
        </w:rPr>
        <w:t>g</w:t>
      </w:r>
      <w:r w:rsidRPr="001338BD">
        <w:t xml:space="preserve"> </w:t>
      </w:r>
      <w:r w:rsidRPr="001338BD">
        <w:rPr>
          <w:lang w:eastAsia="bg-BG"/>
        </w:rPr>
        <w:t xml:space="preserve">цефепим </w:t>
      </w:r>
      <w:r w:rsidRPr="001338BD">
        <w:rPr>
          <w:i/>
          <w:iCs/>
        </w:rPr>
        <w:t>(</w:t>
      </w:r>
      <w:proofErr w:type="spellStart"/>
      <w:r w:rsidRPr="001338BD">
        <w:rPr>
          <w:i/>
          <w:iCs/>
          <w:lang w:val="en-US"/>
        </w:rPr>
        <w:t>cefepime</w:t>
      </w:r>
      <w:proofErr w:type="spellEnd"/>
      <w:r w:rsidRPr="001338BD">
        <w:rPr>
          <w:i/>
          <w:iCs/>
        </w:rPr>
        <w:t>)</w:t>
      </w:r>
      <w:r w:rsidRPr="001338BD">
        <w:t xml:space="preserve"> </w:t>
      </w:r>
      <w:r w:rsidRPr="001338BD">
        <w:rPr>
          <w:lang w:eastAsia="bg-BG"/>
        </w:rPr>
        <w:t xml:space="preserve">(като 2378,5 </w:t>
      </w:r>
      <w:r w:rsidRPr="001338BD">
        <w:rPr>
          <w:lang w:val="en-US"/>
        </w:rPr>
        <w:t>mg</w:t>
      </w:r>
      <w:r w:rsidRPr="001338BD">
        <w:t xml:space="preserve"> </w:t>
      </w:r>
      <w:r w:rsidRPr="001338BD">
        <w:rPr>
          <w:lang w:eastAsia="bg-BG"/>
        </w:rPr>
        <w:t xml:space="preserve">цефепимов дихидрохлорид монохидрат </w:t>
      </w:r>
      <w:r w:rsidRPr="001338BD">
        <w:rPr>
          <w:i/>
          <w:iCs/>
        </w:rPr>
        <w:t>/</w:t>
      </w:r>
      <w:proofErr w:type="spellStart"/>
      <w:r w:rsidRPr="001338BD">
        <w:rPr>
          <w:i/>
          <w:iCs/>
          <w:lang w:val="en-US"/>
        </w:rPr>
        <w:t>cefepime</w:t>
      </w:r>
      <w:proofErr w:type="spellEnd"/>
      <w:r w:rsidRPr="001338BD">
        <w:rPr>
          <w:i/>
          <w:iCs/>
        </w:rPr>
        <w:t xml:space="preserve"> </w:t>
      </w:r>
      <w:proofErr w:type="spellStart"/>
      <w:r w:rsidRPr="001338BD">
        <w:rPr>
          <w:i/>
          <w:iCs/>
          <w:lang w:val="en-US"/>
        </w:rPr>
        <w:t>dihydrochloride</w:t>
      </w:r>
      <w:proofErr w:type="spellEnd"/>
      <w:r w:rsidRPr="001338BD">
        <w:rPr>
          <w:i/>
          <w:iCs/>
        </w:rPr>
        <w:t xml:space="preserve"> </w:t>
      </w:r>
      <w:proofErr w:type="spellStart"/>
      <w:r w:rsidRPr="001338BD">
        <w:rPr>
          <w:i/>
          <w:iCs/>
          <w:lang w:val="en-US"/>
        </w:rPr>
        <w:t>monohydratel</w:t>
      </w:r>
      <w:proofErr w:type="spellEnd"/>
      <w:r w:rsidRPr="001338BD">
        <w:rPr>
          <w:i/>
          <w:iCs/>
        </w:rPr>
        <w:t>).</w:t>
      </w:r>
    </w:p>
    <w:p w14:paraId="6E8B9A0F" w14:textId="77777777" w:rsidR="001338BD" w:rsidRPr="001338BD" w:rsidRDefault="001338BD" w:rsidP="001338BD"/>
    <w:p w14:paraId="614984C4" w14:textId="4E34074F" w:rsidR="008A6AF2" w:rsidRDefault="00DD466D" w:rsidP="002C50EE">
      <w:pPr>
        <w:pStyle w:val="Heading1"/>
      </w:pPr>
      <w:r>
        <w:t>3. ЛЕКАРСТВЕНА ФОРМА</w:t>
      </w:r>
    </w:p>
    <w:p w14:paraId="3D093BC3" w14:textId="528225E7" w:rsidR="001338BD" w:rsidRDefault="001338BD" w:rsidP="001338BD"/>
    <w:p w14:paraId="41B0F5FC" w14:textId="77777777" w:rsidR="001338BD" w:rsidRPr="001338BD" w:rsidRDefault="001338BD" w:rsidP="001338BD">
      <w:pPr>
        <w:rPr>
          <w:sz w:val="24"/>
          <w:szCs w:val="24"/>
        </w:rPr>
      </w:pPr>
      <w:r w:rsidRPr="001338BD">
        <w:rPr>
          <w:lang w:eastAsia="bg-BG"/>
        </w:rPr>
        <w:t>Прах за инжекционен или инфузионен разтвор</w:t>
      </w:r>
    </w:p>
    <w:p w14:paraId="74E03F90" w14:textId="77777777" w:rsidR="001338BD" w:rsidRDefault="001338BD" w:rsidP="001338BD">
      <w:pPr>
        <w:rPr>
          <w:lang w:eastAsia="bg-BG"/>
        </w:rPr>
      </w:pPr>
    </w:p>
    <w:p w14:paraId="3CD9AAC0" w14:textId="0578584D" w:rsidR="001338BD" w:rsidRPr="001338BD" w:rsidRDefault="001338BD" w:rsidP="001338BD">
      <w:pPr>
        <w:rPr>
          <w:sz w:val="24"/>
          <w:szCs w:val="24"/>
        </w:rPr>
      </w:pPr>
      <w:r w:rsidRPr="001338BD">
        <w:rPr>
          <w:lang w:eastAsia="bg-BG"/>
        </w:rPr>
        <w:t xml:space="preserve">Флакони с бял до бледожълт прах. </w:t>
      </w:r>
      <w:proofErr w:type="gramStart"/>
      <w:r w:rsidRPr="001338BD">
        <w:rPr>
          <w:lang w:val="en-US"/>
        </w:rPr>
        <w:t>pH</w:t>
      </w:r>
      <w:proofErr w:type="gramEnd"/>
      <w:r w:rsidRPr="001338BD">
        <w:rPr>
          <w:lang w:val="ru-RU"/>
        </w:rPr>
        <w:t xml:space="preserve"> </w:t>
      </w:r>
      <w:r w:rsidRPr="001338BD">
        <w:rPr>
          <w:lang w:eastAsia="bg-BG"/>
        </w:rPr>
        <w:t>на приготвения разтвор е 4,0 - 6,0.</w:t>
      </w:r>
    </w:p>
    <w:p w14:paraId="65F4F68B" w14:textId="77777777" w:rsidR="001338BD" w:rsidRPr="001338BD" w:rsidRDefault="001338BD" w:rsidP="001338BD"/>
    <w:p w14:paraId="490FC2C4" w14:textId="32682B15" w:rsidR="002C50EE" w:rsidRDefault="002C50EE" w:rsidP="002C50EE">
      <w:pPr>
        <w:pStyle w:val="Heading1"/>
      </w:pPr>
      <w:r>
        <w:t>4. КЛИНИЧНИ ДАННИ</w:t>
      </w:r>
    </w:p>
    <w:p w14:paraId="08CF5669" w14:textId="3CA557B7" w:rsidR="00426E5F" w:rsidRDefault="002C50EE" w:rsidP="00A65A81">
      <w:pPr>
        <w:pStyle w:val="Heading2"/>
      </w:pPr>
      <w:r>
        <w:t>4.1. Терапевтични показания</w:t>
      </w:r>
    </w:p>
    <w:p w14:paraId="2E22ED9C" w14:textId="0D024341" w:rsidR="001338BD" w:rsidRDefault="001338BD" w:rsidP="001338BD"/>
    <w:p w14:paraId="79CCF053" w14:textId="77777777" w:rsidR="001338BD" w:rsidRPr="001338BD" w:rsidRDefault="001338BD" w:rsidP="001338BD">
      <w:pPr>
        <w:spacing w:line="240" w:lineRule="auto"/>
        <w:rPr>
          <w:rFonts w:eastAsia="Times New Roman" w:cs="Arial"/>
        </w:rPr>
      </w:pPr>
      <w:r w:rsidRPr="001338BD">
        <w:rPr>
          <w:rFonts w:eastAsia="Times New Roman" w:cs="Arial"/>
          <w:bCs/>
          <w:color w:val="000000"/>
          <w:lang w:eastAsia="bg-BG"/>
        </w:rPr>
        <w:t>Цефепим е показан за лечение на тежки инфекции.</w:t>
      </w:r>
    </w:p>
    <w:p w14:paraId="462C9A10" w14:textId="77777777" w:rsidR="001338BD" w:rsidRPr="001338BD" w:rsidRDefault="001338BD" w:rsidP="001338BD">
      <w:pPr>
        <w:spacing w:line="240" w:lineRule="auto"/>
        <w:rPr>
          <w:rFonts w:eastAsia="Times New Roman" w:cs="Arial"/>
        </w:rPr>
      </w:pPr>
      <w:r w:rsidRPr="001338BD">
        <w:rPr>
          <w:rFonts w:eastAsia="Times New Roman" w:cs="Arial"/>
          <w:bCs/>
          <w:i/>
          <w:iCs/>
          <w:color w:val="000000"/>
          <w:lang w:eastAsia="bg-BG"/>
        </w:rPr>
        <w:t>При възрастни и деца над 12-годишна възраст (еж. точки 4.4 и 5.1):</w:t>
      </w:r>
    </w:p>
    <w:p w14:paraId="08A54ACC" w14:textId="77777777" w:rsidR="001338BD" w:rsidRDefault="001338BD" w:rsidP="001338BD">
      <w:pPr>
        <w:pStyle w:val="ListParagraph"/>
        <w:numPr>
          <w:ilvl w:val="0"/>
          <w:numId w:val="33"/>
        </w:numPr>
        <w:spacing w:line="240" w:lineRule="auto"/>
        <w:rPr>
          <w:rFonts w:eastAsia="Times New Roman" w:cs="Arial"/>
          <w:bCs/>
          <w:color w:val="000000"/>
          <w:lang w:eastAsia="bg-BG"/>
        </w:rPr>
      </w:pPr>
      <w:r w:rsidRPr="001338BD">
        <w:rPr>
          <w:rFonts w:eastAsia="Times New Roman" w:cs="Arial"/>
          <w:bCs/>
          <w:color w:val="000000"/>
          <w:lang w:eastAsia="bg-BG"/>
        </w:rPr>
        <w:t>Нозокомиална пневмония;</w:t>
      </w:r>
    </w:p>
    <w:p w14:paraId="647C5A7D" w14:textId="77777777" w:rsidR="001338BD" w:rsidRDefault="001338BD" w:rsidP="001338BD">
      <w:pPr>
        <w:pStyle w:val="ListParagraph"/>
        <w:numPr>
          <w:ilvl w:val="0"/>
          <w:numId w:val="33"/>
        </w:numPr>
        <w:spacing w:line="240" w:lineRule="auto"/>
        <w:rPr>
          <w:rFonts w:eastAsia="Times New Roman" w:cs="Arial"/>
          <w:bCs/>
          <w:color w:val="000000"/>
          <w:lang w:eastAsia="bg-BG"/>
        </w:rPr>
      </w:pPr>
      <w:r w:rsidRPr="001338BD">
        <w:rPr>
          <w:rFonts w:eastAsia="Times New Roman" w:cs="Arial"/>
          <w:bCs/>
          <w:color w:val="000000"/>
          <w:lang w:eastAsia="bg-BG"/>
        </w:rPr>
        <w:t>Усложнени инфекции на пикочните пътища;</w:t>
      </w:r>
    </w:p>
    <w:p w14:paraId="4F63B584" w14:textId="77777777" w:rsidR="001338BD" w:rsidRDefault="001338BD" w:rsidP="001338BD">
      <w:pPr>
        <w:pStyle w:val="ListParagraph"/>
        <w:numPr>
          <w:ilvl w:val="0"/>
          <w:numId w:val="33"/>
        </w:numPr>
        <w:spacing w:line="240" w:lineRule="auto"/>
        <w:rPr>
          <w:rFonts w:eastAsia="Times New Roman" w:cs="Arial"/>
          <w:bCs/>
          <w:color w:val="000000"/>
          <w:lang w:eastAsia="bg-BG"/>
        </w:rPr>
      </w:pPr>
      <w:r w:rsidRPr="001338BD">
        <w:rPr>
          <w:rFonts w:eastAsia="Times New Roman" w:cs="Arial"/>
          <w:bCs/>
          <w:color w:val="000000"/>
          <w:lang w:eastAsia="bg-BG"/>
        </w:rPr>
        <w:t>Усложнени интра-абдоминални инфекции;</w:t>
      </w:r>
    </w:p>
    <w:p w14:paraId="76AD7B32" w14:textId="6B484A9F" w:rsidR="001338BD" w:rsidRPr="001338BD" w:rsidRDefault="001338BD" w:rsidP="001338BD">
      <w:pPr>
        <w:pStyle w:val="ListParagraph"/>
        <w:numPr>
          <w:ilvl w:val="0"/>
          <w:numId w:val="33"/>
        </w:numPr>
        <w:spacing w:line="240" w:lineRule="auto"/>
        <w:rPr>
          <w:rFonts w:eastAsia="Times New Roman" w:cs="Arial"/>
          <w:bCs/>
          <w:color w:val="000000"/>
          <w:lang w:eastAsia="bg-BG"/>
        </w:rPr>
      </w:pPr>
      <w:r w:rsidRPr="001338BD">
        <w:rPr>
          <w:rFonts w:eastAsia="Times New Roman" w:cs="Arial"/>
          <w:bCs/>
          <w:color w:val="000000"/>
          <w:lang w:eastAsia="bg-BG"/>
        </w:rPr>
        <w:t>Перитонит, свързан с диализа, при пациенти на непрекъсната амбулаторна</w:t>
      </w:r>
      <w:r w:rsidRPr="001338BD">
        <w:rPr>
          <w:rFonts w:eastAsia="Times New Roman" w:cs="Arial"/>
          <w:bCs/>
          <w:color w:val="000000"/>
          <w:lang w:val="ru-RU"/>
        </w:rPr>
        <w:t xml:space="preserve"> </w:t>
      </w:r>
      <w:r w:rsidRPr="001338BD">
        <w:rPr>
          <w:rFonts w:eastAsia="Times New Roman" w:cs="Arial"/>
          <w:bCs/>
          <w:color w:val="000000"/>
          <w:lang w:eastAsia="bg-BG"/>
        </w:rPr>
        <w:t xml:space="preserve">перитонеална диализа </w:t>
      </w:r>
      <w:r w:rsidRPr="001338BD">
        <w:rPr>
          <w:rFonts w:eastAsia="Times New Roman" w:cs="Arial"/>
          <w:bCs/>
          <w:color w:val="000000"/>
          <w:lang w:val="ru-RU"/>
        </w:rPr>
        <w:t>(</w:t>
      </w:r>
      <w:r w:rsidRPr="001338BD">
        <w:rPr>
          <w:rFonts w:eastAsia="Times New Roman" w:cs="Arial"/>
          <w:bCs/>
          <w:color w:val="000000"/>
          <w:lang w:val="en-US"/>
        </w:rPr>
        <w:t>CAPD</w:t>
      </w:r>
      <w:r w:rsidRPr="001338BD">
        <w:rPr>
          <w:rFonts w:eastAsia="Times New Roman" w:cs="Arial"/>
          <w:bCs/>
          <w:color w:val="000000"/>
          <w:lang w:val="ru-RU"/>
        </w:rPr>
        <w:t>).</w:t>
      </w:r>
    </w:p>
    <w:p w14:paraId="2ADAD654" w14:textId="22183C9B" w:rsidR="001338BD" w:rsidRPr="001338BD" w:rsidRDefault="001338BD" w:rsidP="001338BD">
      <w:pPr>
        <w:rPr>
          <w:rFonts w:cs="Arial"/>
        </w:rPr>
      </w:pPr>
    </w:p>
    <w:p w14:paraId="5990F4F5" w14:textId="77777777" w:rsidR="001338BD" w:rsidRPr="001338BD" w:rsidRDefault="001338BD" w:rsidP="001338BD">
      <w:pPr>
        <w:spacing w:line="240" w:lineRule="auto"/>
        <w:rPr>
          <w:rFonts w:eastAsia="Times New Roman" w:cs="Arial"/>
        </w:rPr>
      </w:pPr>
      <w:r w:rsidRPr="001338BD">
        <w:rPr>
          <w:rFonts w:eastAsia="Times New Roman" w:cs="Arial"/>
          <w:bCs/>
          <w:color w:val="000000"/>
          <w:lang w:eastAsia="bg-BG"/>
        </w:rPr>
        <w:t>Цефепим може да се използва при лечението на неугропенични пациенти с повишена температура, за която се подозира, че се дължи на бактериална инфекция.</w:t>
      </w:r>
    </w:p>
    <w:p w14:paraId="2912403C" w14:textId="77777777" w:rsidR="001338BD" w:rsidRPr="001338BD" w:rsidRDefault="001338BD" w:rsidP="001338BD">
      <w:pPr>
        <w:spacing w:line="240" w:lineRule="auto"/>
        <w:rPr>
          <w:rFonts w:eastAsia="Times New Roman" w:cs="Arial"/>
        </w:rPr>
      </w:pPr>
    </w:p>
    <w:p w14:paraId="3C37007C" w14:textId="77777777" w:rsidR="001338BD" w:rsidRPr="001338BD" w:rsidRDefault="001338BD" w:rsidP="001338BD">
      <w:pPr>
        <w:spacing w:line="240" w:lineRule="auto"/>
        <w:rPr>
          <w:rFonts w:eastAsia="Times New Roman" w:cs="Arial"/>
        </w:rPr>
      </w:pPr>
      <w:r w:rsidRPr="001338BD">
        <w:rPr>
          <w:rFonts w:eastAsia="Times New Roman" w:cs="Arial"/>
          <w:bCs/>
          <w:i/>
          <w:iCs/>
          <w:color w:val="000000"/>
          <w:lang w:eastAsia="bg-BG"/>
        </w:rPr>
        <w:t xml:space="preserve">При деца па възраст от 2 месеца до 12 години и с телесно тегло ≤ 40 </w:t>
      </w:r>
      <w:r w:rsidRPr="001338BD">
        <w:rPr>
          <w:rFonts w:eastAsia="Times New Roman" w:cs="Arial"/>
          <w:bCs/>
          <w:i/>
          <w:iCs/>
          <w:color w:val="000000"/>
          <w:lang w:val="en-US"/>
        </w:rPr>
        <w:t>kg</w:t>
      </w:r>
      <w:r w:rsidRPr="001338BD">
        <w:rPr>
          <w:rFonts w:eastAsia="Times New Roman" w:cs="Arial"/>
          <w:bCs/>
          <w:i/>
          <w:iCs/>
          <w:color w:val="000000"/>
          <w:lang w:val="ru-RU"/>
        </w:rPr>
        <w:t>:</w:t>
      </w:r>
    </w:p>
    <w:p w14:paraId="1CFE5183" w14:textId="77777777" w:rsidR="001338BD" w:rsidRDefault="001338BD" w:rsidP="001338BD">
      <w:pPr>
        <w:pStyle w:val="ListParagraph"/>
        <w:numPr>
          <w:ilvl w:val="0"/>
          <w:numId w:val="34"/>
        </w:numPr>
        <w:spacing w:line="240" w:lineRule="auto"/>
        <w:rPr>
          <w:rFonts w:eastAsia="Times New Roman" w:cs="Arial"/>
          <w:bCs/>
          <w:color w:val="000000"/>
          <w:lang w:eastAsia="bg-BG"/>
        </w:rPr>
      </w:pPr>
      <w:r w:rsidRPr="001338BD">
        <w:rPr>
          <w:rFonts w:eastAsia="Times New Roman" w:cs="Arial"/>
          <w:bCs/>
          <w:color w:val="000000"/>
          <w:lang w:eastAsia="bg-BG"/>
        </w:rPr>
        <w:t>Нозокомиална пневмония;</w:t>
      </w:r>
    </w:p>
    <w:p w14:paraId="0028A2A5" w14:textId="45A66F08" w:rsidR="001338BD" w:rsidRPr="001338BD" w:rsidRDefault="001338BD" w:rsidP="001338BD">
      <w:pPr>
        <w:pStyle w:val="ListParagraph"/>
        <w:numPr>
          <w:ilvl w:val="0"/>
          <w:numId w:val="34"/>
        </w:numPr>
        <w:spacing w:line="240" w:lineRule="auto"/>
        <w:rPr>
          <w:rFonts w:eastAsia="Times New Roman" w:cs="Arial"/>
          <w:bCs/>
          <w:color w:val="000000"/>
          <w:lang w:eastAsia="bg-BG"/>
        </w:rPr>
      </w:pPr>
      <w:r w:rsidRPr="001338BD">
        <w:rPr>
          <w:rFonts w:eastAsia="Times New Roman" w:cs="Arial"/>
          <w:bCs/>
          <w:color w:val="000000"/>
          <w:lang w:eastAsia="bg-BG"/>
        </w:rPr>
        <w:t>Усложнени инфекции на пикочните пътища</w:t>
      </w:r>
    </w:p>
    <w:p w14:paraId="309178FA" w14:textId="77777777" w:rsidR="001338BD" w:rsidRPr="001338BD" w:rsidRDefault="001338BD" w:rsidP="001338BD">
      <w:pPr>
        <w:spacing w:line="240" w:lineRule="auto"/>
        <w:rPr>
          <w:rFonts w:eastAsia="Times New Roman" w:cs="Arial"/>
          <w:bCs/>
          <w:color w:val="000000"/>
          <w:lang w:eastAsia="bg-BG"/>
        </w:rPr>
      </w:pPr>
    </w:p>
    <w:p w14:paraId="31F43B21" w14:textId="43D72ACB" w:rsidR="001338BD" w:rsidRPr="001338BD" w:rsidRDefault="001338BD" w:rsidP="001338BD">
      <w:pPr>
        <w:spacing w:line="240" w:lineRule="auto"/>
        <w:rPr>
          <w:rFonts w:eastAsia="Times New Roman" w:cs="Arial"/>
        </w:rPr>
      </w:pPr>
      <w:r w:rsidRPr="001338BD">
        <w:rPr>
          <w:rFonts w:eastAsia="Times New Roman" w:cs="Arial"/>
          <w:bCs/>
          <w:color w:val="000000"/>
          <w:lang w:eastAsia="bg-BG"/>
        </w:rPr>
        <w:t>Цефепим може да се използва при лечението на неутропенични пациенти с повишена температура, за която се подозира, че се дължи на бактериална инфекция.</w:t>
      </w:r>
    </w:p>
    <w:p w14:paraId="23DF2D3C" w14:textId="77777777" w:rsidR="001338BD" w:rsidRPr="001338BD" w:rsidRDefault="001338BD" w:rsidP="001338BD">
      <w:pPr>
        <w:spacing w:line="240" w:lineRule="auto"/>
        <w:rPr>
          <w:rFonts w:eastAsia="Times New Roman" w:cs="Arial"/>
          <w:bCs/>
          <w:color w:val="000000"/>
          <w:lang w:eastAsia="bg-BG"/>
        </w:rPr>
      </w:pPr>
    </w:p>
    <w:p w14:paraId="018D3AC2" w14:textId="50212D99" w:rsidR="001338BD" w:rsidRPr="001338BD" w:rsidRDefault="001338BD" w:rsidP="001338BD">
      <w:pPr>
        <w:spacing w:line="240" w:lineRule="auto"/>
        <w:rPr>
          <w:rFonts w:eastAsia="Times New Roman" w:cs="Arial"/>
        </w:rPr>
      </w:pPr>
      <w:r w:rsidRPr="001338BD">
        <w:rPr>
          <w:rFonts w:eastAsia="Times New Roman" w:cs="Arial"/>
          <w:bCs/>
          <w:color w:val="000000"/>
          <w:lang w:eastAsia="bg-BG"/>
        </w:rPr>
        <w:t>Цефепим трябва да се прилага едновременно с други антибактериални средства, когато вероятните бактериални причинители не попадат в неговия спектър на действие.</w:t>
      </w:r>
    </w:p>
    <w:p w14:paraId="5224280C" w14:textId="77777777" w:rsidR="001338BD" w:rsidRPr="001338BD" w:rsidRDefault="001338BD" w:rsidP="001338BD">
      <w:pPr>
        <w:spacing w:line="240" w:lineRule="auto"/>
        <w:rPr>
          <w:rFonts w:eastAsia="Times New Roman" w:cs="Arial"/>
          <w:bCs/>
          <w:color w:val="000000"/>
          <w:lang w:eastAsia="bg-BG"/>
        </w:rPr>
      </w:pPr>
    </w:p>
    <w:p w14:paraId="2213D735" w14:textId="6E33BE9B" w:rsidR="001338BD" w:rsidRPr="001338BD" w:rsidRDefault="001338BD" w:rsidP="001338BD">
      <w:pPr>
        <w:spacing w:line="240" w:lineRule="auto"/>
        <w:rPr>
          <w:rFonts w:ascii="Times New Roman" w:eastAsia="Times New Roman" w:hAnsi="Times New Roman" w:cs="Times New Roman"/>
          <w:sz w:val="24"/>
          <w:szCs w:val="24"/>
        </w:rPr>
      </w:pPr>
      <w:r w:rsidRPr="001338BD">
        <w:rPr>
          <w:rFonts w:eastAsia="Times New Roman" w:cs="Arial"/>
          <w:bCs/>
          <w:color w:val="000000"/>
          <w:lang w:eastAsia="bg-BG"/>
        </w:rPr>
        <w:t>Трябва да се имат предвид официалните указания за правилна употреба на антибактериални средства.</w:t>
      </w:r>
    </w:p>
    <w:p w14:paraId="16D9DCC7" w14:textId="77777777" w:rsidR="001338BD" w:rsidRPr="001338BD" w:rsidRDefault="001338BD" w:rsidP="001338BD"/>
    <w:p w14:paraId="28E43CAE" w14:textId="5A17349B" w:rsidR="00426E5F" w:rsidRDefault="002C50EE" w:rsidP="00A65A81">
      <w:pPr>
        <w:pStyle w:val="Heading2"/>
      </w:pPr>
      <w:r>
        <w:t>4.2. Дозировка и начин на приложение</w:t>
      </w:r>
    </w:p>
    <w:p w14:paraId="4749F48D" w14:textId="7B37A1AE" w:rsidR="00BB7885" w:rsidRDefault="00BB7885" w:rsidP="00BB7885"/>
    <w:p w14:paraId="6547BC6D" w14:textId="77777777" w:rsidR="00BB7885" w:rsidRPr="00BB7885" w:rsidRDefault="00BB7885" w:rsidP="00BB7885">
      <w:pPr>
        <w:pStyle w:val="Heading3"/>
        <w:rPr>
          <w:rFonts w:eastAsia="Times New Roman"/>
          <w:u w:val="single"/>
        </w:rPr>
      </w:pPr>
      <w:r w:rsidRPr="00BB7885">
        <w:rPr>
          <w:rFonts w:eastAsia="Times New Roman"/>
          <w:u w:val="single"/>
          <w:lang w:eastAsia="bg-BG"/>
        </w:rPr>
        <w:t>Дозировка:</w:t>
      </w:r>
    </w:p>
    <w:p w14:paraId="0C14955E" w14:textId="77777777" w:rsidR="00BB7885" w:rsidRPr="00BB7885" w:rsidRDefault="00BB7885" w:rsidP="00BB7885">
      <w:pPr>
        <w:spacing w:line="240" w:lineRule="auto"/>
        <w:rPr>
          <w:rFonts w:eastAsia="Times New Roman" w:cs="Arial"/>
        </w:rPr>
      </w:pPr>
    </w:p>
    <w:p w14:paraId="0CB2DC9E" w14:textId="77777777"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Цефепим Каби трябва да се прилага чрез интравенозно въвеждане (вж. раздел 4.2 "Начин на</w:t>
      </w:r>
    </w:p>
    <w:p w14:paraId="44C645FB" w14:textId="77777777"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приложение") след разтваряне (вж. точка 6.6).</w:t>
      </w:r>
    </w:p>
    <w:p w14:paraId="064B76DC" w14:textId="77777777" w:rsidR="00BB7885" w:rsidRPr="00BB7885" w:rsidRDefault="00BB7885" w:rsidP="00BB7885">
      <w:pPr>
        <w:spacing w:line="240" w:lineRule="auto"/>
        <w:rPr>
          <w:rFonts w:eastAsia="Times New Roman" w:cs="Arial"/>
          <w:bCs/>
          <w:color w:val="000000"/>
          <w:lang w:eastAsia="bg-BG"/>
        </w:rPr>
      </w:pPr>
    </w:p>
    <w:p w14:paraId="05778AF3" w14:textId="36917BE9"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Дозировката зависи от тежестта, чувствителността, мястото и вида на инфекцията, както и от възрастта и бъбречната функция на пациента.</w:t>
      </w:r>
    </w:p>
    <w:p w14:paraId="44E594FD" w14:textId="77777777" w:rsidR="00BB7885" w:rsidRPr="00BB7885" w:rsidRDefault="00BB7885" w:rsidP="00BB7885">
      <w:pPr>
        <w:spacing w:line="240" w:lineRule="auto"/>
        <w:rPr>
          <w:rFonts w:eastAsia="Times New Roman" w:cs="Arial"/>
          <w:bCs/>
          <w:color w:val="000000"/>
          <w:lang w:eastAsia="bg-BG"/>
        </w:rPr>
      </w:pPr>
    </w:p>
    <w:p w14:paraId="561A3ACF" w14:textId="3959CBA0" w:rsidR="00BB7885" w:rsidRPr="00BB7885" w:rsidRDefault="00BB7885" w:rsidP="00BB7885">
      <w:pPr>
        <w:spacing w:line="240" w:lineRule="auto"/>
        <w:rPr>
          <w:rFonts w:eastAsia="Times New Roman" w:cs="Arial"/>
          <w:b/>
        </w:rPr>
      </w:pPr>
      <w:r w:rsidRPr="00BB7885">
        <w:rPr>
          <w:rFonts w:eastAsia="Times New Roman" w:cs="Arial"/>
          <w:b/>
          <w:bCs/>
          <w:color w:val="000000"/>
          <w:lang w:eastAsia="bg-BG"/>
        </w:rPr>
        <w:t xml:space="preserve">Възрастни и юноши (&gt; 12 години) с тегло &gt; 40 </w:t>
      </w:r>
      <w:r w:rsidRPr="00BB7885">
        <w:rPr>
          <w:rFonts w:eastAsia="Times New Roman" w:cs="Arial"/>
          <w:b/>
          <w:bCs/>
          <w:color w:val="000000"/>
          <w:lang w:val="en-US"/>
        </w:rPr>
        <w:t>kg</w:t>
      </w:r>
    </w:p>
    <w:p w14:paraId="474EE952" w14:textId="7B7D7625" w:rsidR="00BB7885" w:rsidRDefault="00BB7885" w:rsidP="00BB7885">
      <w:pPr>
        <w:spacing w:line="240" w:lineRule="auto"/>
        <w:rPr>
          <w:rFonts w:eastAsia="Times New Roman" w:cs="Arial"/>
          <w:bCs/>
          <w:color w:val="000000"/>
          <w:lang w:eastAsia="bg-BG"/>
        </w:rPr>
      </w:pPr>
      <w:r w:rsidRPr="00BB7885">
        <w:rPr>
          <w:rFonts w:eastAsia="Times New Roman" w:cs="Arial"/>
          <w:bCs/>
          <w:color w:val="000000"/>
          <w:lang w:eastAsia="bg-BG"/>
        </w:rPr>
        <w:t xml:space="preserve">Препоръчвана дозова схема за възрастни и юноши (&gt; 12 години) с тегло &gt; 40 </w:t>
      </w:r>
      <w:r w:rsidRPr="00BB7885">
        <w:rPr>
          <w:rFonts w:eastAsia="Times New Roman" w:cs="Arial"/>
          <w:bCs/>
          <w:color w:val="000000"/>
          <w:lang w:val="en-US"/>
        </w:rPr>
        <w:t>kg</w:t>
      </w:r>
      <w:r w:rsidRPr="00BB7885">
        <w:rPr>
          <w:rFonts w:eastAsia="Times New Roman" w:cs="Arial"/>
          <w:bCs/>
          <w:color w:val="000000"/>
          <w:lang w:val="ru-RU"/>
        </w:rPr>
        <w:t xml:space="preserve"> </w:t>
      </w:r>
      <w:r w:rsidRPr="00BB7885">
        <w:rPr>
          <w:rFonts w:eastAsia="Times New Roman" w:cs="Arial"/>
          <w:bCs/>
          <w:color w:val="000000"/>
          <w:lang w:eastAsia="bg-BG"/>
        </w:rPr>
        <w:t>и нормална бъбречна функция</w:t>
      </w:r>
    </w:p>
    <w:p w14:paraId="172A569D" w14:textId="4E499189" w:rsidR="00BB7885" w:rsidRDefault="00BB7885" w:rsidP="00BB7885">
      <w:pPr>
        <w:spacing w:line="240" w:lineRule="auto"/>
        <w:rPr>
          <w:rFonts w:eastAsia="Times New Roman" w:cs="Arial"/>
          <w:bCs/>
          <w:color w:val="000000"/>
          <w:lang w:eastAsia="bg-BG"/>
        </w:rPr>
      </w:pPr>
    </w:p>
    <w:tbl>
      <w:tblPr>
        <w:tblStyle w:val="TableGrid"/>
        <w:tblW w:w="0" w:type="auto"/>
        <w:tblLook w:val="04A0" w:firstRow="1" w:lastRow="0" w:firstColumn="1" w:lastColumn="0" w:noHBand="0" w:noVBand="1"/>
      </w:tblPr>
      <w:tblGrid>
        <w:gridCol w:w="3978"/>
        <w:gridCol w:w="2629"/>
        <w:gridCol w:w="2743"/>
      </w:tblGrid>
      <w:tr w:rsidR="00BB7885" w14:paraId="27F4DF28" w14:textId="77777777" w:rsidTr="00BB7885">
        <w:tc>
          <w:tcPr>
            <w:tcW w:w="4077" w:type="dxa"/>
          </w:tcPr>
          <w:p w14:paraId="6B0C24EB" w14:textId="24BCBD1F" w:rsidR="00BB7885" w:rsidRPr="00BB7885" w:rsidRDefault="00BB7885" w:rsidP="00BB7885">
            <w:pPr>
              <w:rPr>
                <w:rFonts w:eastAsia="Times New Roman" w:cs="Arial"/>
                <w:b/>
              </w:rPr>
            </w:pPr>
            <w:r w:rsidRPr="00BB7885">
              <w:rPr>
                <w:b/>
              </w:rPr>
              <w:t>Тежест на инфекцията</w:t>
            </w:r>
          </w:p>
        </w:tc>
        <w:tc>
          <w:tcPr>
            <w:tcW w:w="2694" w:type="dxa"/>
          </w:tcPr>
          <w:p w14:paraId="4BF13D30" w14:textId="77B01D4F" w:rsidR="00BB7885" w:rsidRPr="00BB7885" w:rsidRDefault="00BB7885" w:rsidP="00BB7885">
            <w:pPr>
              <w:rPr>
                <w:rFonts w:eastAsia="Times New Roman" w:cs="Arial"/>
                <w:b/>
              </w:rPr>
            </w:pPr>
            <w:r w:rsidRPr="00BB7885">
              <w:rPr>
                <w:b/>
              </w:rPr>
              <w:t>Дозировка и начин на приложение</w:t>
            </w:r>
          </w:p>
        </w:tc>
        <w:tc>
          <w:tcPr>
            <w:tcW w:w="2805" w:type="dxa"/>
          </w:tcPr>
          <w:p w14:paraId="00C530FC" w14:textId="3A6151BE" w:rsidR="00BB7885" w:rsidRPr="00BB7885" w:rsidRDefault="00BB7885" w:rsidP="00BB7885">
            <w:pPr>
              <w:rPr>
                <w:rFonts w:eastAsia="Times New Roman" w:cs="Arial"/>
                <w:b/>
              </w:rPr>
            </w:pPr>
            <w:r w:rsidRPr="00BB7885">
              <w:rPr>
                <w:b/>
              </w:rPr>
              <w:t>Интервал между приложенията</w:t>
            </w:r>
          </w:p>
        </w:tc>
      </w:tr>
      <w:tr w:rsidR="00BB7885" w14:paraId="2339ED02" w14:textId="77777777" w:rsidTr="00BB7885">
        <w:tc>
          <w:tcPr>
            <w:tcW w:w="4077" w:type="dxa"/>
            <w:vMerge w:val="restart"/>
          </w:tcPr>
          <w:p w14:paraId="7780383C" w14:textId="54C8ABD0" w:rsidR="00BB7885" w:rsidRDefault="00BB7885" w:rsidP="00BB7885">
            <w:pPr>
              <w:rPr>
                <w:rFonts w:eastAsia="Times New Roman" w:cs="Arial"/>
                <w:color w:val="000000"/>
                <w:lang w:eastAsia="bg-BG"/>
              </w:rPr>
            </w:pPr>
            <w:r>
              <w:t>Тежки инфекции, включващи:</w:t>
            </w:r>
          </w:p>
          <w:p w14:paraId="7E4F752B" w14:textId="69D6FBA1" w:rsidR="00BB7885" w:rsidRPr="00BB7885" w:rsidRDefault="00BB7885" w:rsidP="00BB7885">
            <w:pPr>
              <w:rPr>
                <w:lang w:eastAsia="bg-BG"/>
              </w:rPr>
            </w:pPr>
            <w:r>
              <w:rPr>
                <w:lang w:eastAsia="bg-BG"/>
              </w:rPr>
              <w:t>-</w:t>
            </w:r>
            <w:r w:rsidRPr="00BB7885">
              <w:rPr>
                <w:lang w:eastAsia="bg-BG"/>
              </w:rPr>
              <w:t>Нозокомиална пневмония</w:t>
            </w:r>
          </w:p>
          <w:p w14:paraId="494EE76F" w14:textId="7F5949F9" w:rsidR="00BB7885" w:rsidRPr="00BB7885" w:rsidRDefault="00BB7885" w:rsidP="00BB7885">
            <w:pPr>
              <w:rPr>
                <w:lang w:eastAsia="bg-BG"/>
              </w:rPr>
            </w:pPr>
            <w:r>
              <w:rPr>
                <w:lang w:eastAsia="bg-BG"/>
              </w:rPr>
              <w:t>-</w:t>
            </w:r>
            <w:r w:rsidRPr="00BB7885">
              <w:rPr>
                <w:lang w:eastAsia="bg-BG"/>
              </w:rPr>
              <w:t>Усложнени инфекции на пикочните пътища</w:t>
            </w:r>
          </w:p>
          <w:p w14:paraId="73116E0E" w14:textId="1F77CE78" w:rsidR="00BB7885" w:rsidRPr="00BB7885" w:rsidRDefault="00BB7885" w:rsidP="00BB7885">
            <w:pPr>
              <w:rPr>
                <w:lang w:eastAsia="bg-BG"/>
              </w:rPr>
            </w:pPr>
            <w:r>
              <w:rPr>
                <w:lang w:eastAsia="bg-BG"/>
              </w:rPr>
              <w:t>-</w:t>
            </w:r>
            <w:r w:rsidRPr="00BB7885">
              <w:rPr>
                <w:lang w:eastAsia="bg-BG"/>
              </w:rPr>
              <w:t>Усложнени интра-абдоминални инфекции</w:t>
            </w:r>
          </w:p>
          <w:p w14:paraId="7821D06E" w14:textId="5238928E" w:rsidR="00BB7885" w:rsidRPr="00BB7885" w:rsidRDefault="00BB7885" w:rsidP="00BB7885">
            <w:pPr>
              <w:rPr>
                <w:lang w:eastAsia="bg-BG"/>
              </w:rPr>
            </w:pPr>
            <w:r>
              <w:rPr>
                <w:lang w:eastAsia="bg-BG"/>
              </w:rPr>
              <w:t>-</w:t>
            </w:r>
            <w:r w:rsidRPr="00BB7885">
              <w:rPr>
                <w:lang w:eastAsia="bg-BG"/>
              </w:rPr>
              <w:t xml:space="preserve">Перитонит, свързан с диализа, при пациенти на </w:t>
            </w:r>
            <w:r w:rsidRPr="00BB7885">
              <w:rPr>
                <w:lang w:val="en-US"/>
              </w:rPr>
              <w:t>CAPD</w:t>
            </w:r>
          </w:p>
        </w:tc>
        <w:tc>
          <w:tcPr>
            <w:tcW w:w="2694" w:type="dxa"/>
          </w:tcPr>
          <w:p w14:paraId="4445FB91" w14:textId="549B2403" w:rsidR="00BB7885" w:rsidRDefault="00BB7885" w:rsidP="00BB7885">
            <w:pPr>
              <w:rPr>
                <w:rFonts w:eastAsia="Times New Roman" w:cs="Arial"/>
              </w:rPr>
            </w:pPr>
            <w:r>
              <w:t xml:space="preserve">2 </w:t>
            </w:r>
            <w:r>
              <w:rPr>
                <w:lang w:val="en-US"/>
              </w:rPr>
              <w:t xml:space="preserve">g </w:t>
            </w:r>
            <w:r>
              <w:t>интравенозно</w:t>
            </w:r>
          </w:p>
        </w:tc>
        <w:tc>
          <w:tcPr>
            <w:tcW w:w="2805" w:type="dxa"/>
          </w:tcPr>
          <w:p w14:paraId="4BD0C59D" w14:textId="5EC16E7D" w:rsidR="00BB7885" w:rsidRDefault="00BB7885" w:rsidP="00BB7885">
            <w:pPr>
              <w:rPr>
                <w:rFonts w:eastAsia="Times New Roman" w:cs="Arial"/>
              </w:rPr>
            </w:pPr>
            <w:r>
              <w:t>12 часа</w:t>
            </w:r>
          </w:p>
        </w:tc>
      </w:tr>
      <w:tr w:rsidR="00BB7885" w14:paraId="301D45FA" w14:textId="77777777" w:rsidTr="00BB7885">
        <w:tc>
          <w:tcPr>
            <w:tcW w:w="4077" w:type="dxa"/>
            <w:vMerge/>
          </w:tcPr>
          <w:p w14:paraId="00461875" w14:textId="77777777" w:rsidR="00BB7885" w:rsidRDefault="00BB7885" w:rsidP="00BB7885">
            <w:pPr>
              <w:spacing w:line="240" w:lineRule="auto"/>
              <w:rPr>
                <w:rFonts w:eastAsia="Times New Roman" w:cs="Arial"/>
              </w:rPr>
            </w:pPr>
          </w:p>
        </w:tc>
        <w:tc>
          <w:tcPr>
            <w:tcW w:w="5499" w:type="dxa"/>
            <w:gridSpan w:val="2"/>
          </w:tcPr>
          <w:p w14:paraId="59A217F2" w14:textId="77777777" w:rsidR="00BB7885" w:rsidRPr="00BB7885" w:rsidRDefault="00BB7885" w:rsidP="00BB7885">
            <w:pPr>
              <w:rPr>
                <w:sz w:val="24"/>
                <w:szCs w:val="24"/>
              </w:rPr>
            </w:pPr>
            <w:r w:rsidRPr="00BB7885">
              <w:rPr>
                <w:lang w:eastAsia="bg-BG"/>
              </w:rPr>
              <w:t>Вижте раздел "Възрастни с увредена бъбречна функция"</w:t>
            </w:r>
          </w:p>
          <w:p w14:paraId="508597CC" w14:textId="77777777" w:rsidR="00BB7885" w:rsidRDefault="00BB7885" w:rsidP="00BB7885">
            <w:pPr>
              <w:rPr>
                <w:rFonts w:cs="Arial"/>
              </w:rPr>
            </w:pPr>
          </w:p>
        </w:tc>
      </w:tr>
      <w:tr w:rsidR="00BB7885" w14:paraId="797C1049" w14:textId="77777777" w:rsidTr="00BB7885">
        <w:tc>
          <w:tcPr>
            <w:tcW w:w="4077" w:type="dxa"/>
          </w:tcPr>
          <w:p w14:paraId="5A766166" w14:textId="77777777" w:rsidR="00BB7885" w:rsidRDefault="00BB7885" w:rsidP="00BB7885">
            <w:r>
              <w:t>Много тежки или животозастрашаващи инфекции, включващи:</w:t>
            </w:r>
          </w:p>
          <w:p w14:paraId="6E124BA1" w14:textId="0A837E65" w:rsidR="00BB7885" w:rsidRDefault="00BB7885" w:rsidP="00BB7885">
            <w:pPr>
              <w:rPr>
                <w:rFonts w:eastAsia="Times New Roman" w:cs="Arial"/>
              </w:rPr>
            </w:pPr>
            <w:r>
              <w:t>Фебрилни епизоди, причинени от бактериални инфекции при неутопенични пациенти</w:t>
            </w:r>
          </w:p>
        </w:tc>
        <w:tc>
          <w:tcPr>
            <w:tcW w:w="2694" w:type="dxa"/>
          </w:tcPr>
          <w:p w14:paraId="4EEC4816" w14:textId="7194913A" w:rsidR="00BB7885" w:rsidRDefault="00BB7885" w:rsidP="00BB7885">
            <w:pPr>
              <w:rPr>
                <w:rFonts w:eastAsia="Times New Roman" w:cs="Arial"/>
              </w:rPr>
            </w:pPr>
            <w:r>
              <w:t xml:space="preserve">2 </w:t>
            </w:r>
            <w:r>
              <w:rPr>
                <w:lang w:val="en-US"/>
              </w:rPr>
              <w:t xml:space="preserve">g </w:t>
            </w:r>
            <w:r>
              <w:t>интравенозно</w:t>
            </w:r>
          </w:p>
        </w:tc>
        <w:tc>
          <w:tcPr>
            <w:tcW w:w="2805" w:type="dxa"/>
          </w:tcPr>
          <w:p w14:paraId="599663B6" w14:textId="6B94422C" w:rsidR="00BB7885" w:rsidRDefault="00BB7885" w:rsidP="00BB7885">
            <w:pPr>
              <w:rPr>
                <w:rFonts w:eastAsia="Times New Roman" w:cs="Arial"/>
              </w:rPr>
            </w:pPr>
            <w:r>
              <w:t>8 часа</w:t>
            </w:r>
          </w:p>
        </w:tc>
      </w:tr>
    </w:tbl>
    <w:p w14:paraId="77612010" w14:textId="77777777" w:rsidR="00BB7885" w:rsidRPr="00BB7885" w:rsidRDefault="00BB7885" w:rsidP="00BB7885">
      <w:pPr>
        <w:spacing w:line="240" w:lineRule="auto"/>
        <w:rPr>
          <w:rFonts w:eastAsia="Times New Roman" w:cs="Arial"/>
        </w:rPr>
      </w:pPr>
    </w:p>
    <w:p w14:paraId="72268763" w14:textId="77777777"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Обикновено продължителността на лечението е 7 до 10 дни; по-тежките инфекции може да изискват по-продължително лечение. За емпирично лечение на фебрилната неутропения, обикновено продължителността на лечението е 7 дни или до преодоляване на неутропенията.</w:t>
      </w:r>
    </w:p>
    <w:p w14:paraId="0AD4E297" w14:textId="77777777" w:rsidR="00BB7885" w:rsidRPr="00BB7885" w:rsidRDefault="00BB7885" w:rsidP="00BB7885">
      <w:pPr>
        <w:spacing w:line="240" w:lineRule="auto"/>
        <w:rPr>
          <w:rFonts w:eastAsia="Times New Roman" w:cs="Arial"/>
          <w:bCs/>
          <w:color w:val="000000"/>
          <w:lang w:eastAsia="bg-BG"/>
        </w:rPr>
      </w:pPr>
    </w:p>
    <w:p w14:paraId="4B24E357" w14:textId="65AF22BF" w:rsidR="00BB7885" w:rsidRPr="00BB7885" w:rsidRDefault="00BB7885" w:rsidP="00BB7885">
      <w:pPr>
        <w:spacing w:line="240" w:lineRule="auto"/>
        <w:rPr>
          <w:rFonts w:eastAsia="Times New Roman" w:cs="Arial"/>
          <w:b/>
        </w:rPr>
      </w:pPr>
      <w:r w:rsidRPr="00BB7885">
        <w:rPr>
          <w:rFonts w:eastAsia="Times New Roman" w:cs="Arial"/>
          <w:b/>
          <w:bCs/>
          <w:color w:val="000000"/>
          <w:lang w:eastAsia="bg-BG"/>
        </w:rPr>
        <w:t xml:space="preserve">Бебета и деца (на възраст от 2 месеца до 12 години и/или с телесно тегло &lt; 40 </w:t>
      </w:r>
      <w:r w:rsidRPr="00BB7885">
        <w:rPr>
          <w:rFonts w:eastAsia="Times New Roman" w:cs="Arial"/>
          <w:b/>
          <w:bCs/>
          <w:color w:val="000000"/>
          <w:lang w:val="en-US"/>
        </w:rPr>
        <w:t>kg</w:t>
      </w:r>
      <w:r w:rsidRPr="00BB7885">
        <w:rPr>
          <w:rFonts w:eastAsia="Times New Roman" w:cs="Arial"/>
          <w:b/>
          <w:bCs/>
          <w:color w:val="000000"/>
          <w:lang w:val="ru-RU"/>
        </w:rPr>
        <w:t xml:space="preserve">, </w:t>
      </w:r>
      <w:r w:rsidRPr="00BB7885">
        <w:rPr>
          <w:rFonts w:eastAsia="Times New Roman" w:cs="Arial"/>
          <w:b/>
          <w:bCs/>
          <w:color w:val="000000"/>
          <w:lang w:eastAsia="bg-BG"/>
        </w:rPr>
        <w:t>с нормална бъбречна функция)</w:t>
      </w:r>
    </w:p>
    <w:p w14:paraId="7F8902FF" w14:textId="77777777" w:rsidR="00BB7885" w:rsidRPr="00BB7885" w:rsidRDefault="00BB7885" w:rsidP="00BB7885">
      <w:pPr>
        <w:spacing w:line="240" w:lineRule="auto"/>
        <w:rPr>
          <w:rFonts w:eastAsia="Times New Roman" w:cs="Arial"/>
          <w:bCs/>
          <w:color w:val="000000"/>
          <w:lang w:eastAsia="bg-BG"/>
        </w:rPr>
      </w:pPr>
    </w:p>
    <w:p w14:paraId="61325C8A" w14:textId="24056F3B"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Нормално препоръчвана дозировка:</w:t>
      </w:r>
    </w:p>
    <w:p w14:paraId="5C1D8DC4" w14:textId="77777777" w:rsidR="00BB7885" w:rsidRPr="00BB7885" w:rsidRDefault="00BB7885" w:rsidP="00BB7885">
      <w:pPr>
        <w:spacing w:line="240" w:lineRule="auto"/>
        <w:rPr>
          <w:rFonts w:eastAsia="Times New Roman" w:cs="Arial"/>
          <w:bCs/>
          <w:i/>
          <w:iCs/>
          <w:color w:val="000000"/>
          <w:lang w:eastAsia="bg-BG"/>
        </w:rPr>
      </w:pPr>
    </w:p>
    <w:p w14:paraId="64151577" w14:textId="4644E54D" w:rsidR="00BB7885" w:rsidRPr="00BB7885" w:rsidRDefault="00BB7885" w:rsidP="00BB7885">
      <w:pPr>
        <w:spacing w:line="240" w:lineRule="auto"/>
        <w:rPr>
          <w:rFonts w:eastAsia="Times New Roman" w:cs="Arial"/>
          <w:b/>
        </w:rPr>
      </w:pPr>
      <w:r w:rsidRPr="00BB7885">
        <w:rPr>
          <w:rFonts w:eastAsia="Times New Roman" w:cs="Arial"/>
          <w:b/>
          <w:bCs/>
          <w:i/>
          <w:iCs/>
          <w:color w:val="000000"/>
          <w:lang w:eastAsia="bg-BG"/>
        </w:rPr>
        <w:t>Бебета на възраст под 2 месеца:</w:t>
      </w:r>
    </w:p>
    <w:p w14:paraId="17E54F53" w14:textId="77777777"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Няма достатъчно клинични данни в подкрепа на използването на цефепим при деца под 2-месечна възраст.</w:t>
      </w:r>
    </w:p>
    <w:p w14:paraId="19411277" w14:textId="77777777" w:rsidR="00BB7885" w:rsidRPr="00BB7885" w:rsidRDefault="00BB7885" w:rsidP="00BB7885">
      <w:pPr>
        <w:spacing w:line="240" w:lineRule="auto"/>
        <w:rPr>
          <w:rFonts w:eastAsia="Times New Roman" w:cs="Arial"/>
          <w:bCs/>
          <w:i/>
          <w:iCs/>
          <w:color w:val="000000"/>
          <w:lang w:eastAsia="bg-BG"/>
        </w:rPr>
      </w:pPr>
    </w:p>
    <w:p w14:paraId="5320D581" w14:textId="74D48D63" w:rsidR="00BB7885" w:rsidRPr="00BB7885" w:rsidRDefault="00BB7885" w:rsidP="00BB7885">
      <w:pPr>
        <w:spacing w:line="240" w:lineRule="auto"/>
        <w:rPr>
          <w:rFonts w:eastAsia="Times New Roman" w:cs="Arial"/>
          <w:b/>
        </w:rPr>
      </w:pPr>
      <w:r w:rsidRPr="00BB7885">
        <w:rPr>
          <w:rFonts w:eastAsia="Times New Roman" w:cs="Arial"/>
          <w:b/>
          <w:bCs/>
          <w:i/>
          <w:iCs/>
          <w:color w:val="000000"/>
          <w:lang w:eastAsia="bg-BG"/>
        </w:rPr>
        <w:t>Бебета и деца на възраст над 2 месеца до 12 години и с телесно тегло ≤ 40</w:t>
      </w:r>
      <w:r w:rsidRPr="00BB7885">
        <w:rPr>
          <w:rFonts w:eastAsia="Times New Roman" w:cs="Arial"/>
          <w:b/>
          <w:bCs/>
          <w:i/>
          <w:iCs/>
          <w:color w:val="000000"/>
          <w:lang w:val="en-US"/>
        </w:rPr>
        <w:t>kg</w:t>
      </w:r>
      <w:r w:rsidRPr="00BB7885">
        <w:rPr>
          <w:rFonts w:eastAsia="Times New Roman" w:cs="Arial"/>
          <w:b/>
          <w:bCs/>
          <w:i/>
          <w:iCs/>
          <w:color w:val="000000"/>
          <w:lang w:val="ru-RU"/>
        </w:rPr>
        <w:t>:</w:t>
      </w:r>
    </w:p>
    <w:p w14:paraId="2DAB921A" w14:textId="77777777" w:rsidR="00BB7885" w:rsidRPr="00BB7885" w:rsidRDefault="00BB7885" w:rsidP="00BB7885">
      <w:pPr>
        <w:spacing w:line="240" w:lineRule="auto"/>
        <w:rPr>
          <w:rFonts w:eastAsia="Times New Roman" w:cs="Arial"/>
        </w:rPr>
      </w:pPr>
      <w:r w:rsidRPr="00BB7885">
        <w:rPr>
          <w:rFonts w:eastAsia="Times New Roman" w:cs="Arial"/>
          <w:bCs/>
          <w:color w:val="000000"/>
          <w:u w:val="single"/>
          <w:lang w:eastAsia="bg-BG"/>
        </w:rPr>
        <w:t xml:space="preserve">Нозокомиална пневмония, усложнени инфекции на пикочната система: </w:t>
      </w:r>
      <w:r w:rsidRPr="00BB7885">
        <w:rPr>
          <w:rFonts w:eastAsia="Times New Roman" w:cs="Arial"/>
          <w:bCs/>
          <w:color w:val="000000"/>
          <w:lang w:eastAsia="bg-BG"/>
        </w:rPr>
        <w:t xml:space="preserve">50 </w:t>
      </w:r>
      <w:r w:rsidRPr="00BB7885">
        <w:rPr>
          <w:rFonts w:eastAsia="Times New Roman" w:cs="Arial"/>
          <w:bCs/>
          <w:color w:val="000000"/>
          <w:lang w:val="en-US"/>
        </w:rPr>
        <w:t>mg</w:t>
      </w:r>
      <w:r w:rsidRPr="00BB7885">
        <w:rPr>
          <w:rFonts w:eastAsia="Times New Roman" w:cs="Arial"/>
          <w:bCs/>
          <w:color w:val="000000"/>
          <w:lang w:val="ru-RU"/>
        </w:rPr>
        <w:t>/</w:t>
      </w:r>
      <w:r w:rsidRPr="00BB7885">
        <w:rPr>
          <w:rFonts w:eastAsia="Times New Roman" w:cs="Arial"/>
          <w:bCs/>
          <w:color w:val="000000"/>
          <w:lang w:val="en-US"/>
        </w:rPr>
        <w:t>kg</w:t>
      </w:r>
      <w:r w:rsidRPr="00BB7885">
        <w:rPr>
          <w:rFonts w:eastAsia="Times New Roman" w:cs="Arial"/>
          <w:bCs/>
          <w:color w:val="000000"/>
          <w:lang w:val="ru-RU"/>
        </w:rPr>
        <w:t xml:space="preserve"> </w:t>
      </w:r>
      <w:r w:rsidRPr="00BB7885">
        <w:rPr>
          <w:rFonts w:eastAsia="Times New Roman" w:cs="Arial"/>
          <w:bCs/>
          <w:color w:val="000000"/>
          <w:lang w:eastAsia="bg-BG"/>
        </w:rPr>
        <w:t>на 12 часа за 10 дни.</w:t>
      </w:r>
    </w:p>
    <w:p w14:paraId="2A10B9ED" w14:textId="77777777"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При по-тежки инфекции, дозата може да се прилага на 8 часа.</w:t>
      </w:r>
    </w:p>
    <w:p w14:paraId="4E4E47B2" w14:textId="77777777" w:rsidR="00BB7885" w:rsidRPr="00BB7885" w:rsidRDefault="00BB7885" w:rsidP="00BB7885">
      <w:pPr>
        <w:spacing w:line="240" w:lineRule="auto"/>
        <w:rPr>
          <w:rFonts w:eastAsia="Times New Roman" w:cs="Arial"/>
          <w:bCs/>
          <w:color w:val="000000"/>
          <w:u w:val="single"/>
          <w:lang w:eastAsia="bg-BG"/>
        </w:rPr>
      </w:pPr>
    </w:p>
    <w:p w14:paraId="5EB981B4" w14:textId="706E30AD" w:rsidR="00BB7885" w:rsidRPr="00BB7885" w:rsidRDefault="00BB7885" w:rsidP="00BB7885">
      <w:pPr>
        <w:spacing w:line="240" w:lineRule="auto"/>
        <w:rPr>
          <w:rFonts w:eastAsia="Times New Roman" w:cs="Arial"/>
        </w:rPr>
      </w:pPr>
      <w:r w:rsidRPr="00BB7885">
        <w:rPr>
          <w:rFonts w:eastAsia="Times New Roman" w:cs="Arial"/>
          <w:bCs/>
          <w:color w:val="000000"/>
          <w:u w:val="single"/>
          <w:lang w:eastAsia="bg-BG"/>
        </w:rPr>
        <w:t>Емпирично лечение на фебрилна неутропения:</w:t>
      </w:r>
    </w:p>
    <w:p w14:paraId="0DB1B09C" w14:textId="77777777"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 xml:space="preserve">50 </w:t>
      </w:r>
      <w:r w:rsidRPr="00BB7885">
        <w:rPr>
          <w:rFonts w:eastAsia="Times New Roman" w:cs="Arial"/>
          <w:bCs/>
          <w:color w:val="000000"/>
          <w:lang w:val="en-US"/>
        </w:rPr>
        <w:t>mg</w:t>
      </w:r>
      <w:r w:rsidRPr="00BB7885">
        <w:rPr>
          <w:rFonts w:eastAsia="Times New Roman" w:cs="Arial"/>
          <w:bCs/>
          <w:color w:val="000000"/>
          <w:lang w:val="ru-RU"/>
        </w:rPr>
        <w:t>/</w:t>
      </w:r>
      <w:r w:rsidRPr="00BB7885">
        <w:rPr>
          <w:rFonts w:eastAsia="Times New Roman" w:cs="Arial"/>
          <w:bCs/>
          <w:color w:val="000000"/>
          <w:lang w:val="en-US"/>
        </w:rPr>
        <w:t>kg</w:t>
      </w:r>
      <w:r w:rsidRPr="00BB7885">
        <w:rPr>
          <w:rFonts w:eastAsia="Times New Roman" w:cs="Arial"/>
          <w:bCs/>
          <w:color w:val="000000"/>
          <w:lang w:val="ru-RU"/>
        </w:rPr>
        <w:t xml:space="preserve"> </w:t>
      </w:r>
      <w:r w:rsidRPr="00BB7885">
        <w:rPr>
          <w:rFonts w:eastAsia="Times New Roman" w:cs="Arial"/>
          <w:bCs/>
          <w:color w:val="000000"/>
          <w:lang w:eastAsia="bg-BG"/>
        </w:rPr>
        <w:t>на 8 часа за 7-10 дни.</w:t>
      </w:r>
    </w:p>
    <w:p w14:paraId="156311FC" w14:textId="77777777" w:rsidR="00BB7885" w:rsidRPr="00BB7885" w:rsidRDefault="00BB7885" w:rsidP="00BB7885">
      <w:pPr>
        <w:spacing w:line="240" w:lineRule="auto"/>
        <w:rPr>
          <w:rFonts w:eastAsia="Times New Roman" w:cs="Arial"/>
          <w:bCs/>
          <w:i/>
          <w:iCs/>
          <w:color w:val="000000"/>
          <w:lang w:eastAsia="bg-BG"/>
        </w:rPr>
      </w:pPr>
    </w:p>
    <w:p w14:paraId="74D0F875" w14:textId="2C215267" w:rsidR="00BB7885" w:rsidRPr="00BB7885" w:rsidRDefault="00BB7885" w:rsidP="00BB7885">
      <w:pPr>
        <w:spacing w:line="240" w:lineRule="auto"/>
        <w:rPr>
          <w:rFonts w:eastAsia="Times New Roman" w:cs="Arial"/>
          <w:b/>
        </w:rPr>
      </w:pPr>
      <w:r w:rsidRPr="00BB7885">
        <w:rPr>
          <w:rFonts w:eastAsia="Times New Roman" w:cs="Arial"/>
          <w:b/>
          <w:bCs/>
          <w:i/>
          <w:iCs/>
          <w:color w:val="000000"/>
          <w:lang w:eastAsia="bg-BG"/>
        </w:rPr>
        <w:t xml:space="preserve">Деца с тегло &gt; 40 </w:t>
      </w:r>
      <w:r w:rsidRPr="00BB7885">
        <w:rPr>
          <w:rFonts w:eastAsia="Times New Roman" w:cs="Arial"/>
          <w:b/>
          <w:bCs/>
          <w:i/>
          <w:iCs/>
          <w:color w:val="000000"/>
          <w:lang w:val="en-US"/>
        </w:rPr>
        <w:t>kg</w:t>
      </w:r>
      <w:r w:rsidRPr="00BB7885">
        <w:rPr>
          <w:rFonts w:eastAsia="Times New Roman" w:cs="Arial"/>
          <w:b/>
          <w:bCs/>
          <w:i/>
          <w:iCs/>
          <w:color w:val="000000"/>
          <w:lang w:val="ru-RU"/>
        </w:rPr>
        <w:t>:</w:t>
      </w:r>
    </w:p>
    <w:p w14:paraId="0FD88BA8" w14:textId="77777777"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Приема се дозировката, препоръчвана за възрастни.</w:t>
      </w:r>
    </w:p>
    <w:p w14:paraId="017255EC" w14:textId="77777777"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 xml:space="preserve">При пациенти на възраст над 12 години с телесно тегло &lt; 40 </w:t>
      </w:r>
      <w:r w:rsidRPr="00BB7885">
        <w:rPr>
          <w:rFonts w:eastAsia="Times New Roman" w:cs="Arial"/>
          <w:bCs/>
          <w:color w:val="000000"/>
          <w:lang w:val="en-US"/>
        </w:rPr>
        <w:t>kg</w:t>
      </w:r>
      <w:r w:rsidRPr="00BB7885">
        <w:rPr>
          <w:rFonts w:eastAsia="Times New Roman" w:cs="Arial"/>
          <w:bCs/>
          <w:color w:val="000000"/>
          <w:lang w:val="ru-RU"/>
        </w:rPr>
        <w:t xml:space="preserve">, </w:t>
      </w:r>
      <w:r w:rsidRPr="00BB7885">
        <w:rPr>
          <w:rFonts w:eastAsia="Times New Roman" w:cs="Arial"/>
          <w:bCs/>
          <w:color w:val="000000"/>
          <w:lang w:eastAsia="bg-BG"/>
        </w:rPr>
        <w:t xml:space="preserve">препоръчваните дози са същите като тези за по-младите пациенти с телесно тегло &lt; 40 </w:t>
      </w:r>
      <w:r w:rsidRPr="00BB7885">
        <w:rPr>
          <w:rFonts w:eastAsia="Times New Roman" w:cs="Arial"/>
          <w:bCs/>
          <w:color w:val="000000"/>
          <w:lang w:val="en-US"/>
        </w:rPr>
        <w:t>kg</w:t>
      </w:r>
      <w:r w:rsidRPr="00BB7885">
        <w:rPr>
          <w:rFonts w:eastAsia="Times New Roman" w:cs="Arial"/>
          <w:bCs/>
          <w:color w:val="000000"/>
          <w:lang w:val="ru-RU"/>
        </w:rPr>
        <w:t xml:space="preserve">. </w:t>
      </w:r>
      <w:r w:rsidRPr="00BB7885">
        <w:rPr>
          <w:rFonts w:eastAsia="Times New Roman" w:cs="Arial"/>
          <w:bCs/>
          <w:color w:val="000000"/>
          <w:lang w:eastAsia="bg-BG"/>
        </w:rPr>
        <w:t xml:space="preserve">Дозировката при деца не трябва да надвишава максималната препоръчвана доза за възрастни (2 </w:t>
      </w:r>
      <w:r w:rsidRPr="00BB7885">
        <w:rPr>
          <w:rFonts w:eastAsia="Times New Roman" w:cs="Arial"/>
          <w:bCs/>
          <w:color w:val="000000"/>
          <w:lang w:val="en-US"/>
        </w:rPr>
        <w:t>g</w:t>
      </w:r>
      <w:r w:rsidRPr="00BB7885">
        <w:rPr>
          <w:rFonts w:eastAsia="Times New Roman" w:cs="Arial"/>
          <w:bCs/>
          <w:color w:val="000000"/>
          <w:lang w:val="ru-RU"/>
        </w:rPr>
        <w:t xml:space="preserve"> </w:t>
      </w:r>
      <w:r w:rsidRPr="00BB7885">
        <w:rPr>
          <w:rFonts w:eastAsia="Times New Roman" w:cs="Arial"/>
          <w:bCs/>
          <w:color w:val="000000"/>
          <w:lang w:eastAsia="bg-BG"/>
        </w:rPr>
        <w:t>на 8 часа).</w:t>
      </w:r>
    </w:p>
    <w:p w14:paraId="1B675D8E" w14:textId="77777777" w:rsidR="00BB7885" w:rsidRPr="00BB7885" w:rsidRDefault="00BB7885" w:rsidP="00BB7885">
      <w:pPr>
        <w:spacing w:line="240" w:lineRule="auto"/>
        <w:rPr>
          <w:rFonts w:eastAsia="Times New Roman" w:cs="Arial"/>
          <w:bCs/>
          <w:color w:val="000000"/>
          <w:lang w:eastAsia="bg-BG"/>
        </w:rPr>
      </w:pPr>
    </w:p>
    <w:p w14:paraId="1A56E074" w14:textId="14B5BEDA" w:rsidR="00BB7885" w:rsidRPr="00BB7885" w:rsidRDefault="00BB7885" w:rsidP="00BB7885">
      <w:pPr>
        <w:spacing w:line="240" w:lineRule="auto"/>
        <w:rPr>
          <w:rFonts w:eastAsia="Times New Roman" w:cs="Arial"/>
          <w:b/>
        </w:rPr>
      </w:pPr>
      <w:r w:rsidRPr="00BB7885">
        <w:rPr>
          <w:rFonts w:eastAsia="Times New Roman" w:cs="Arial"/>
          <w:b/>
          <w:bCs/>
          <w:color w:val="000000"/>
          <w:lang w:eastAsia="bg-BG"/>
        </w:rPr>
        <w:t>Възрастни с увредена бъбречна функция</w:t>
      </w:r>
    </w:p>
    <w:p w14:paraId="11ED91F2" w14:textId="77777777" w:rsidR="00BB7885" w:rsidRPr="00BB7885" w:rsidRDefault="00BB7885" w:rsidP="00BB7885">
      <w:pPr>
        <w:spacing w:line="240" w:lineRule="auto"/>
        <w:rPr>
          <w:rFonts w:eastAsia="Times New Roman" w:cs="Arial"/>
        </w:rPr>
      </w:pPr>
      <w:r w:rsidRPr="00BB7885">
        <w:rPr>
          <w:rFonts w:eastAsia="Times New Roman" w:cs="Arial"/>
          <w:bCs/>
          <w:color w:val="000000"/>
          <w:lang w:eastAsia="bg-BG"/>
        </w:rPr>
        <w:t>При пациенти с увредена бъбречна функция, дозировката на цефепим трябва да се коригира, за да компенсира по-бавното елиминиране през бъбреците. Препоръчваната начална доза цефепим при пациенти с леко до умерено по тежест бъбречно увреждане трябва да бъде същата като дозата, която се прилага при пациенти с нормална бъбречна функция. Препоръчваните поддържащи дози цефепим при възрастни и юноши (&gt; 12 години) с бъбречно увреждане са представени в таблицата по-долу.</w:t>
      </w:r>
    </w:p>
    <w:p w14:paraId="62049AAF" w14:textId="35106DDB" w:rsidR="00BB7885" w:rsidRDefault="00BB7885" w:rsidP="00BB7885">
      <w:pPr>
        <w:spacing w:line="240" w:lineRule="auto"/>
        <w:rPr>
          <w:rFonts w:eastAsia="Times New Roman" w:cs="Arial"/>
          <w:bCs/>
          <w:color w:val="000000"/>
          <w:lang w:eastAsia="bg-BG"/>
        </w:rPr>
      </w:pPr>
      <w:r w:rsidRPr="00BB7885">
        <w:rPr>
          <w:rFonts w:eastAsia="Times New Roman" w:cs="Arial"/>
          <w:bCs/>
          <w:color w:val="000000"/>
          <w:lang w:eastAsia="bg-BG"/>
        </w:rPr>
        <w:t xml:space="preserve">Ако са на разположение само данните за нивото на серумния креатинин, показаната по-долу формула (уравнение на </w:t>
      </w:r>
      <w:r w:rsidRPr="00BB7885">
        <w:rPr>
          <w:rFonts w:eastAsia="Times New Roman" w:cs="Arial"/>
          <w:bCs/>
          <w:color w:val="000000"/>
          <w:lang w:val="en-US"/>
        </w:rPr>
        <w:t>Cockcroft</w:t>
      </w:r>
      <w:r w:rsidRPr="00BB7885">
        <w:rPr>
          <w:rFonts w:eastAsia="Times New Roman" w:cs="Arial"/>
          <w:bCs/>
          <w:color w:val="000000"/>
          <w:lang w:val="ru-RU"/>
        </w:rPr>
        <w:t>-</w:t>
      </w:r>
      <w:r w:rsidRPr="00BB7885">
        <w:rPr>
          <w:rFonts w:eastAsia="Times New Roman" w:cs="Arial"/>
          <w:bCs/>
          <w:color w:val="000000"/>
          <w:lang w:val="en-US"/>
        </w:rPr>
        <w:t>Gault</w:t>
      </w:r>
      <w:r w:rsidRPr="00BB7885">
        <w:rPr>
          <w:rFonts w:eastAsia="Times New Roman" w:cs="Arial"/>
          <w:bCs/>
          <w:color w:val="000000"/>
          <w:lang w:val="ru-RU"/>
        </w:rPr>
        <w:t xml:space="preserve">) </w:t>
      </w:r>
      <w:r w:rsidRPr="00BB7885">
        <w:rPr>
          <w:rFonts w:eastAsia="Times New Roman" w:cs="Arial"/>
          <w:bCs/>
          <w:color w:val="000000"/>
          <w:lang w:eastAsia="bg-BG"/>
        </w:rPr>
        <w:t xml:space="preserve">може да се използва за изчисляване на креатининовия клирънс. Серумният креатинин трябва да представлява </w:t>
      </w:r>
      <w:r w:rsidRPr="00BB7885">
        <w:rPr>
          <w:rFonts w:eastAsia="Times New Roman" w:cs="Arial"/>
          <w:bCs/>
          <w:color w:val="000000"/>
          <w:lang w:val="en-US"/>
        </w:rPr>
        <w:t>steady</w:t>
      </w:r>
      <w:r w:rsidRPr="00BB7885">
        <w:rPr>
          <w:rFonts w:eastAsia="Times New Roman" w:cs="Arial"/>
          <w:bCs/>
          <w:color w:val="000000"/>
          <w:lang w:val="ru-RU"/>
        </w:rPr>
        <w:t xml:space="preserve"> </w:t>
      </w:r>
      <w:r w:rsidRPr="00BB7885">
        <w:rPr>
          <w:rFonts w:eastAsia="Times New Roman" w:cs="Arial"/>
          <w:bCs/>
          <w:color w:val="000000"/>
          <w:lang w:val="en-US"/>
        </w:rPr>
        <w:t>state</w:t>
      </w:r>
      <w:r w:rsidRPr="00BB7885">
        <w:rPr>
          <w:rFonts w:eastAsia="Times New Roman" w:cs="Arial"/>
          <w:bCs/>
          <w:color w:val="000000"/>
          <w:lang w:val="ru-RU"/>
        </w:rPr>
        <w:t xml:space="preserve"> </w:t>
      </w:r>
      <w:r w:rsidRPr="00BB7885">
        <w:rPr>
          <w:rFonts w:eastAsia="Times New Roman" w:cs="Arial"/>
          <w:bCs/>
          <w:color w:val="000000"/>
          <w:lang w:eastAsia="bg-BG"/>
        </w:rPr>
        <w:t>на бъбречната функция:</w:t>
      </w:r>
    </w:p>
    <w:p w14:paraId="52532B85" w14:textId="77777777" w:rsidR="001564F9" w:rsidRPr="00BB7885" w:rsidRDefault="001564F9" w:rsidP="00BB7885">
      <w:pPr>
        <w:spacing w:line="240" w:lineRule="auto"/>
        <w:rPr>
          <w:rFonts w:eastAsia="Times New Roman" w:cs="Arial"/>
        </w:rPr>
      </w:pPr>
    </w:p>
    <w:p w14:paraId="204295F6" w14:textId="5BB979A9" w:rsidR="00BB7885" w:rsidRPr="001564F9" w:rsidRDefault="00BB7885" w:rsidP="001564F9">
      <w:pPr>
        <w:rPr>
          <w:rFonts w:eastAsiaTheme="minorEastAsia"/>
          <w:lang w:val="en-US"/>
        </w:rPr>
      </w:pPr>
      <m:oMathPara>
        <m:oMath>
          <m:r>
            <m:rPr>
              <m:sty m:val="p"/>
            </m:rPr>
            <w:rPr>
              <w:rFonts w:ascii="Cambria Math" w:hAnsi="Cambria Math" w:cs="Arial"/>
            </w:rPr>
            <m:t xml:space="preserve">Мъже: Креатининов клирънс </m:t>
          </m:r>
          <m:d>
            <m:dPr>
              <m:ctrlPr>
                <w:rPr>
                  <w:rFonts w:ascii="Cambria Math" w:hAnsi="Cambria Math" w:cs="Arial"/>
                  <w:lang w:val="en-US"/>
                </w:rPr>
              </m:ctrlPr>
            </m:dPr>
            <m:e>
              <m:f>
                <m:fPr>
                  <m:ctrlPr>
                    <w:rPr>
                      <w:rFonts w:ascii="Cambria Math" w:hAnsi="Cambria Math" w:cs="Arial"/>
                      <w:lang w:val="en-US"/>
                    </w:rPr>
                  </m:ctrlPr>
                </m:fPr>
                <m:num>
                  <m:r>
                    <m:rPr>
                      <m:sty m:val="p"/>
                    </m:rPr>
                    <w:rPr>
                      <w:rFonts w:ascii="Cambria Math" w:hAnsi="Cambria Math" w:cs="Arial"/>
                      <w:lang w:val="en-US"/>
                    </w:rPr>
                    <m:t>ml</m:t>
                  </m:r>
                </m:num>
                <m:den>
                  <m:r>
                    <m:rPr>
                      <m:sty m:val="p"/>
                    </m:rPr>
                    <w:rPr>
                      <w:rFonts w:ascii="Cambria Math" w:hAnsi="Cambria Math" w:cs="Arial"/>
                      <w:lang w:val="en-US"/>
                    </w:rPr>
                    <m:t>min</m:t>
                  </m:r>
                </m:den>
              </m:f>
            </m:e>
          </m:d>
          <m:r>
            <m:rPr>
              <m:sty m:val="p"/>
            </m:rPr>
            <w:rPr>
              <w:rFonts w:ascii="Cambria Math" w:hAnsi="Cambria Math" w:cs="Arial"/>
              <w:lang w:val="en-US"/>
            </w:rPr>
            <m:t>=</m:t>
          </m:r>
          <m:f>
            <m:fPr>
              <m:ctrlPr>
                <w:rPr>
                  <w:rFonts w:ascii="Cambria Math" w:hAnsi="Cambria Math" w:cs="Arial"/>
                  <w:lang w:val="en-US"/>
                </w:rPr>
              </m:ctrlPr>
            </m:fPr>
            <m:num>
              <m:r>
                <m:rPr>
                  <m:sty m:val="p"/>
                </m:rPr>
                <w:rPr>
                  <w:rFonts w:ascii="Cambria Math" w:hAnsi="Cambria Math" w:cs="Arial"/>
                  <w:u w:val="single"/>
                </w:rPr>
                <m:t xml:space="preserve">телесно тегло </m:t>
              </m:r>
              <m:r>
                <m:rPr>
                  <m:sty m:val="p"/>
                </m:rPr>
                <w:rPr>
                  <w:rFonts w:ascii="Cambria Math" w:hAnsi="Cambria Math" w:cs="Arial"/>
                  <w:u w:val="single"/>
                  <w:lang w:val="en-US"/>
                </w:rPr>
                <m:t>(</m:t>
              </m:r>
              <m:r>
                <m:rPr>
                  <m:sty m:val="b"/>
                </m:rPr>
                <w:rPr>
                  <w:rFonts w:ascii="Cambria Math" w:hAnsi="Cambria Math" w:cs="Arial"/>
                  <w:u w:val="single"/>
                  <w:lang w:val="en-US"/>
                </w:rPr>
                <m:t>kg</m:t>
              </m:r>
              <m:r>
                <m:rPr>
                  <m:sty m:val="p"/>
                </m:rPr>
                <w:rPr>
                  <w:rFonts w:ascii="Cambria Math" w:hAnsi="Cambria Math" w:cs="Arial"/>
                  <w:u w:val="single"/>
                  <w:lang w:val="en-US"/>
                </w:rPr>
                <m:t xml:space="preserve">) </m:t>
              </m:r>
              <m:r>
                <m:rPr>
                  <m:sty m:val="p"/>
                </m:rPr>
                <w:rPr>
                  <w:rFonts w:ascii="Cambria Math" w:hAnsi="Cambria Math" w:cs="Arial"/>
                  <w:u w:val="single"/>
                </w:rPr>
                <m:t>х (</m:t>
              </m:r>
              <m:r>
                <m:rPr>
                  <m:sty m:val="b"/>
                </m:rPr>
                <w:rPr>
                  <w:rFonts w:ascii="Cambria Math" w:hAnsi="Cambria Math" w:cs="Arial"/>
                  <w:u w:val="single"/>
                </w:rPr>
                <m:t>140</m:t>
              </m:r>
              <m:r>
                <m:rPr>
                  <m:sty m:val="p"/>
                </m:rPr>
                <w:rPr>
                  <w:rFonts w:ascii="Cambria Math" w:hAnsi="Cambria Math" w:cs="Arial"/>
                  <w:u w:val="single"/>
                </w:rPr>
                <m:t xml:space="preserve"> - възраст)</m:t>
              </m:r>
            </m:num>
            <m:den>
              <m:r>
                <w:rPr>
                  <w:rFonts w:ascii="Cambria Math" w:hAnsi="Cambria Math" w:cs="Arial"/>
                  <w:lang w:val="en-US"/>
                </w:rPr>
                <m:t>72х</m:t>
              </m:r>
              <m:r>
                <m:rPr>
                  <m:sty m:val="b"/>
                </m:rPr>
                <w:rPr>
                  <w:rFonts w:ascii="Cambria Math" w:hAnsi="Cambria Math" w:cs="Arial"/>
                </w:rPr>
                <m:t xml:space="preserve">серумния креатинин </m:t>
              </m:r>
              <m:r>
                <m:rPr>
                  <m:sty m:val="b"/>
                </m:rPr>
                <w:rPr>
                  <w:rFonts w:ascii="Cambria Math" w:hAnsi="Cambria Math" w:cs="Arial"/>
                  <w:lang w:val="en-US"/>
                </w:rPr>
                <m:t>(mg/dl)</m:t>
              </m:r>
            </m:den>
          </m:f>
        </m:oMath>
      </m:oMathPara>
    </w:p>
    <w:p w14:paraId="757D3B42" w14:textId="60573E46" w:rsidR="001564F9" w:rsidRDefault="001564F9" w:rsidP="001564F9">
      <w:pPr>
        <w:rPr>
          <w:rFonts w:eastAsiaTheme="minorEastAsia"/>
          <w:lang w:val="en-US"/>
        </w:rPr>
      </w:pPr>
    </w:p>
    <w:p w14:paraId="0DFCE178" w14:textId="27258D38" w:rsidR="001564F9" w:rsidRDefault="001564F9" w:rsidP="001564F9">
      <w:r>
        <w:t>Жени: 0,85 х стойността, изчислена за мъже чрез формулата</w:t>
      </w:r>
    </w:p>
    <w:p w14:paraId="66A75790" w14:textId="3CD70E52" w:rsidR="001564F9" w:rsidRDefault="001564F9" w:rsidP="001564F9"/>
    <w:p w14:paraId="214D45EB" w14:textId="27914E5A" w:rsidR="001564F9" w:rsidRDefault="001564F9" w:rsidP="001564F9">
      <w:r>
        <w:t>Поддържащи дози при възрастни и юноши (&gt; 12 години) с бъбречно увреждане</w:t>
      </w:r>
    </w:p>
    <w:tbl>
      <w:tblPr>
        <w:tblStyle w:val="TableGrid"/>
        <w:tblW w:w="0" w:type="auto"/>
        <w:tblLook w:val="04A0" w:firstRow="1" w:lastRow="0" w:firstColumn="1" w:lastColumn="0" w:noHBand="0" w:noVBand="1"/>
      </w:tblPr>
      <w:tblGrid>
        <w:gridCol w:w="3101"/>
        <w:gridCol w:w="3148"/>
        <w:gridCol w:w="3101"/>
      </w:tblGrid>
      <w:tr w:rsidR="001564F9" w14:paraId="71A4ABBA" w14:textId="77777777" w:rsidTr="00B630CE">
        <w:tc>
          <w:tcPr>
            <w:tcW w:w="3192" w:type="dxa"/>
          </w:tcPr>
          <w:p w14:paraId="021A65D9" w14:textId="50801FB2" w:rsidR="001564F9" w:rsidRPr="001564F9" w:rsidRDefault="001564F9" w:rsidP="001564F9">
            <w:pPr>
              <w:rPr>
                <w:b/>
              </w:rPr>
            </w:pPr>
            <w:r w:rsidRPr="001564F9">
              <w:rPr>
                <w:b/>
              </w:rPr>
              <w:t xml:space="preserve">Креатининов клирънс </w:t>
            </w:r>
            <w:r w:rsidRPr="001564F9">
              <w:rPr>
                <w:b/>
                <w:lang w:val="en-US"/>
              </w:rPr>
              <w:t>(ml/min)</w:t>
            </w:r>
          </w:p>
        </w:tc>
        <w:tc>
          <w:tcPr>
            <w:tcW w:w="6384" w:type="dxa"/>
            <w:gridSpan w:val="2"/>
          </w:tcPr>
          <w:p w14:paraId="2EBBB1E7" w14:textId="5E4CC35C" w:rsidR="001564F9" w:rsidRPr="001564F9" w:rsidRDefault="001564F9" w:rsidP="001564F9">
            <w:pPr>
              <w:rPr>
                <w:b/>
              </w:rPr>
            </w:pPr>
            <w:r w:rsidRPr="001564F9">
              <w:rPr>
                <w:b/>
              </w:rPr>
              <w:t>Препоръчителна поддържаща доза въз основа на тежестта на инфекцията (+ интервал на приложение)</w:t>
            </w:r>
          </w:p>
        </w:tc>
      </w:tr>
      <w:tr w:rsidR="001564F9" w14:paraId="366A01FD" w14:textId="77777777" w:rsidTr="001564F9">
        <w:tc>
          <w:tcPr>
            <w:tcW w:w="3192" w:type="dxa"/>
          </w:tcPr>
          <w:p w14:paraId="555D0358" w14:textId="77777777" w:rsidR="001564F9" w:rsidRDefault="001564F9" w:rsidP="001564F9"/>
        </w:tc>
        <w:tc>
          <w:tcPr>
            <w:tcW w:w="3192" w:type="dxa"/>
          </w:tcPr>
          <w:p w14:paraId="41C720C4" w14:textId="77777777" w:rsidR="001564F9" w:rsidRDefault="001564F9" w:rsidP="001564F9">
            <w:r>
              <w:t xml:space="preserve">Много тежки или животозастрашаващи инфекции, включващи: </w:t>
            </w:r>
          </w:p>
          <w:p w14:paraId="6C561BB6" w14:textId="46B38295" w:rsidR="001564F9" w:rsidRDefault="001564F9" w:rsidP="001564F9">
            <w:r>
              <w:t>-Фебрилни епизоди, причинени от бактериални инфекции при неугропенични пациенти</w:t>
            </w:r>
          </w:p>
        </w:tc>
        <w:tc>
          <w:tcPr>
            <w:tcW w:w="3192" w:type="dxa"/>
          </w:tcPr>
          <w:p w14:paraId="6BD08C78" w14:textId="77777777" w:rsidR="001564F9" w:rsidRDefault="001564F9" w:rsidP="001564F9">
            <w:r>
              <w:t>Тежки инфекции, включващи:</w:t>
            </w:r>
          </w:p>
          <w:p w14:paraId="3AA9CA76" w14:textId="77777777" w:rsidR="001564F9" w:rsidRDefault="001564F9" w:rsidP="001564F9">
            <w:r>
              <w:t>Нозокомиална пневмония</w:t>
            </w:r>
          </w:p>
          <w:p w14:paraId="1EC8D5E1" w14:textId="5F7A8C9C" w:rsidR="001564F9" w:rsidRDefault="001564F9" w:rsidP="001564F9">
            <w:r>
              <w:t>-Усложнени инфекции на пикочните пътища</w:t>
            </w:r>
          </w:p>
          <w:p w14:paraId="3E71FFAA" w14:textId="355380A2" w:rsidR="001564F9" w:rsidRDefault="001564F9" w:rsidP="001564F9">
            <w:r>
              <w:t>-Усложнени интра-абдоминални инфекции</w:t>
            </w:r>
          </w:p>
        </w:tc>
      </w:tr>
      <w:tr w:rsidR="001564F9" w14:paraId="162E10B3" w14:textId="77777777" w:rsidTr="001B005A">
        <w:tc>
          <w:tcPr>
            <w:tcW w:w="3192" w:type="dxa"/>
          </w:tcPr>
          <w:p w14:paraId="1BDB0999" w14:textId="3A320091" w:rsidR="001564F9" w:rsidRDefault="001564F9" w:rsidP="001564F9">
            <w:r>
              <w:t>&gt;50</w:t>
            </w:r>
          </w:p>
        </w:tc>
        <w:tc>
          <w:tcPr>
            <w:tcW w:w="6384" w:type="dxa"/>
            <w:gridSpan w:val="2"/>
          </w:tcPr>
          <w:p w14:paraId="1051336A" w14:textId="2B4C9258" w:rsidR="001564F9" w:rsidRDefault="001564F9" w:rsidP="001564F9">
            <w:r>
              <w:t>(Обичайна доза, не се изисква корекция)</w:t>
            </w:r>
          </w:p>
        </w:tc>
      </w:tr>
      <w:tr w:rsidR="001564F9" w14:paraId="4819724E" w14:textId="77777777" w:rsidTr="001564F9">
        <w:tc>
          <w:tcPr>
            <w:tcW w:w="3192" w:type="dxa"/>
          </w:tcPr>
          <w:p w14:paraId="0043566F" w14:textId="77777777" w:rsidR="001564F9" w:rsidRPr="001564F9" w:rsidRDefault="001564F9" w:rsidP="001564F9"/>
        </w:tc>
        <w:tc>
          <w:tcPr>
            <w:tcW w:w="3192" w:type="dxa"/>
          </w:tcPr>
          <w:p w14:paraId="325784AA" w14:textId="4A3ED688" w:rsidR="001564F9" w:rsidRPr="001564F9" w:rsidRDefault="001564F9" w:rsidP="001564F9">
            <w:r w:rsidRPr="001564F9">
              <w:rPr>
                <w:bCs/>
              </w:rPr>
              <w:t xml:space="preserve">2 </w:t>
            </w:r>
            <w:r w:rsidRPr="001564F9">
              <w:rPr>
                <w:bCs/>
                <w:lang w:val="en-US"/>
              </w:rPr>
              <w:t xml:space="preserve">g </w:t>
            </w:r>
            <w:r w:rsidRPr="001564F9">
              <w:rPr>
                <w:bCs/>
              </w:rPr>
              <w:t>на всеки 8 часа</w:t>
            </w:r>
          </w:p>
        </w:tc>
        <w:tc>
          <w:tcPr>
            <w:tcW w:w="3192" w:type="dxa"/>
          </w:tcPr>
          <w:p w14:paraId="62894B45" w14:textId="67B8FF50" w:rsidR="001564F9" w:rsidRPr="001564F9" w:rsidRDefault="001564F9" w:rsidP="001564F9">
            <w:r w:rsidRPr="001564F9">
              <w:rPr>
                <w:bCs/>
              </w:rPr>
              <w:t xml:space="preserve">2 </w:t>
            </w:r>
            <w:r w:rsidRPr="001564F9">
              <w:rPr>
                <w:bCs/>
                <w:lang w:val="en-US"/>
              </w:rPr>
              <w:t xml:space="preserve">g </w:t>
            </w:r>
            <w:r w:rsidRPr="001564F9">
              <w:rPr>
                <w:bCs/>
              </w:rPr>
              <w:t>на всеки 12 часа</w:t>
            </w:r>
          </w:p>
        </w:tc>
      </w:tr>
      <w:tr w:rsidR="001564F9" w14:paraId="3E39EEEA" w14:textId="77777777" w:rsidTr="001564F9">
        <w:tc>
          <w:tcPr>
            <w:tcW w:w="3192" w:type="dxa"/>
          </w:tcPr>
          <w:p w14:paraId="1342E4D1" w14:textId="3F278D15" w:rsidR="001564F9" w:rsidRPr="001564F9" w:rsidRDefault="001564F9" w:rsidP="001564F9">
            <w:r w:rsidRPr="001564F9">
              <w:rPr>
                <w:bCs/>
              </w:rPr>
              <w:t>30-50</w:t>
            </w:r>
          </w:p>
        </w:tc>
        <w:tc>
          <w:tcPr>
            <w:tcW w:w="3192" w:type="dxa"/>
          </w:tcPr>
          <w:p w14:paraId="0850EE89" w14:textId="6B5C437B" w:rsidR="001564F9" w:rsidRPr="001564F9" w:rsidRDefault="001564F9" w:rsidP="001564F9">
            <w:r w:rsidRPr="001564F9">
              <w:rPr>
                <w:bCs/>
              </w:rPr>
              <w:t xml:space="preserve">2 </w:t>
            </w:r>
            <w:r w:rsidRPr="001564F9">
              <w:rPr>
                <w:bCs/>
                <w:lang w:val="en-US"/>
              </w:rPr>
              <w:t xml:space="preserve">g </w:t>
            </w:r>
            <w:r w:rsidRPr="001564F9">
              <w:rPr>
                <w:bCs/>
              </w:rPr>
              <w:t>на всеки 12 часа</w:t>
            </w:r>
          </w:p>
        </w:tc>
        <w:tc>
          <w:tcPr>
            <w:tcW w:w="3192" w:type="dxa"/>
          </w:tcPr>
          <w:p w14:paraId="23DBB19F" w14:textId="4D95B241" w:rsidR="001564F9" w:rsidRPr="001564F9" w:rsidRDefault="001564F9" w:rsidP="001564F9">
            <w:r w:rsidRPr="001564F9">
              <w:rPr>
                <w:bCs/>
              </w:rPr>
              <w:t xml:space="preserve">2 </w:t>
            </w:r>
            <w:r w:rsidRPr="001564F9">
              <w:rPr>
                <w:bCs/>
                <w:lang w:val="en-US"/>
              </w:rPr>
              <w:t xml:space="preserve">g </w:t>
            </w:r>
            <w:r w:rsidRPr="001564F9">
              <w:rPr>
                <w:bCs/>
              </w:rPr>
              <w:t>на всеки 24 часа</w:t>
            </w:r>
          </w:p>
        </w:tc>
      </w:tr>
      <w:tr w:rsidR="001564F9" w14:paraId="47BA9EDC" w14:textId="77777777" w:rsidTr="001564F9">
        <w:tc>
          <w:tcPr>
            <w:tcW w:w="3192" w:type="dxa"/>
          </w:tcPr>
          <w:p w14:paraId="4F8F4BCB" w14:textId="02E44919" w:rsidR="001564F9" w:rsidRPr="001564F9" w:rsidRDefault="001564F9" w:rsidP="001564F9">
            <w:r w:rsidRPr="001564F9">
              <w:rPr>
                <w:bCs/>
              </w:rPr>
              <w:t>11-29</w:t>
            </w:r>
          </w:p>
        </w:tc>
        <w:tc>
          <w:tcPr>
            <w:tcW w:w="3192" w:type="dxa"/>
          </w:tcPr>
          <w:p w14:paraId="475B7AD8" w14:textId="0AD503A0" w:rsidR="001564F9" w:rsidRPr="001564F9" w:rsidRDefault="001564F9" w:rsidP="001564F9">
            <w:r w:rsidRPr="001564F9">
              <w:rPr>
                <w:bCs/>
              </w:rPr>
              <w:t xml:space="preserve">2 </w:t>
            </w:r>
            <w:r w:rsidRPr="001564F9">
              <w:rPr>
                <w:bCs/>
                <w:lang w:val="en-US"/>
              </w:rPr>
              <w:t xml:space="preserve">g </w:t>
            </w:r>
            <w:r w:rsidRPr="001564F9">
              <w:rPr>
                <w:bCs/>
              </w:rPr>
              <w:t>на всеки 24 часа</w:t>
            </w:r>
          </w:p>
        </w:tc>
        <w:tc>
          <w:tcPr>
            <w:tcW w:w="3192" w:type="dxa"/>
          </w:tcPr>
          <w:p w14:paraId="1B8490FB" w14:textId="28F8C5CE" w:rsidR="001564F9" w:rsidRPr="001564F9" w:rsidRDefault="001564F9" w:rsidP="001564F9">
            <w:r w:rsidRPr="001564F9">
              <w:rPr>
                <w:bCs/>
              </w:rPr>
              <w:t xml:space="preserve">1 </w:t>
            </w:r>
            <w:r w:rsidRPr="001564F9">
              <w:rPr>
                <w:bCs/>
                <w:lang w:val="en-US"/>
              </w:rPr>
              <w:t xml:space="preserve">g </w:t>
            </w:r>
            <w:r w:rsidRPr="001564F9">
              <w:rPr>
                <w:bCs/>
              </w:rPr>
              <w:t>на всеки 24 часа</w:t>
            </w:r>
          </w:p>
        </w:tc>
      </w:tr>
      <w:tr w:rsidR="001564F9" w14:paraId="68E146D0" w14:textId="77777777" w:rsidTr="001564F9">
        <w:tc>
          <w:tcPr>
            <w:tcW w:w="3192" w:type="dxa"/>
          </w:tcPr>
          <w:p w14:paraId="5D6D482B" w14:textId="6AC92E8A" w:rsidR="001564F9" w:rsidRPr="001564F9" w:rsidRDefault="001564F9" w:rsidP="001564F9">
            <w:r w:rsidRPr="001564F9">
              <w:rPr>
                <w:bCs/>
              </w:rPr>
              <w:t>&lt;10</w:t>
            </w:r>
          </w:p>
        </w:tc>
        <w:tc>
          <w:tcPr>
            <w:tcW w:w="3192" w:type="dxa"/>
          </w:tcPr>
          <w:p w14:paraId="44768930" w14:textId="430B565C" w:rsidR="001564F9" w:rsidRPr="001564F9" w:rsidRDefault="001564F9" w:rsidP="001564F9">
            <w:r w:rsidRPr="001564F9">
              <w:rPr>
                <w:bCs/>
              </w:rPr>
              <w:t xml:space="preserve">1 </w:t>
            </w:r>
            <w:r w:rsidRPr="001564F9">
              <w:rPr>
                <w:bCs/>
                <w:lang w:val="en-US"/>
              </w:rPr>
              <w:t xml:space="preserve">g </w:t>
            </w:r>
            <w:r w:rsidRPr="001564F9">
              <w:rPr>
                <w:bCs/>
              </w:rPr>
              <w:t>на всеки 24 часа</w:t>
            </w:r>
          </w:p>
        </w:tc>
        <w:tc>
          <w:tcPr>
            <w:tcW w:w="3192" w:type="dxa"/>
          </w:tcPr>
          <w:p w14:paraId="1279E20A" w14:textId="24FCF126" w:rsidR="001564F9" w:rsidRPr="001564F9" w:rsidRDefault="001564F9" w:rsidP="001564F9">
            <w:r w:rsidRPr="001564F9">
              <w:rPr>
                <w:bCs/>
              </w:rPr>
              <w:t xml:space="preserve">500 </w:t>
            </w:r>
            <w:r w:rsidRPr="001564F9">
              <w:rPr>
                <w:bCs/>
                <w:lang w:val="en-US"/>
              </w:rPr>
              <w:t xml:space="preserve">mg </w:t>
            </w:r>
            <w:r w:rsidRPr="001564F9">
              <w:rPr>
                <w:bCs/>
              </w:rPr>
              <w:t>на всеки 24 часа</w:t>
            </w:r>
          </w:p>
        </w:tc>
      </w:tr>
      <w:tr w:rsidR="001564F9" w14:paraId="0B03DB91" w14:textId="77777777" w:rsidTr="001564F9">
        <w:tc>
          <w:tcPr>
            <w:tcW w:w="3192" w:type="dxa"/>
          </w:tcPr>
          <w:p w14:paraId="256687B6" w14:textId="16BBFD99" w:rsidR="001564F9" w:rsidRPr="001564F9" w:rsidRDefault="001564F9" w:rsidP="001564F9">
            <w:r w:rsidRPr="001564F9">
              <w:rPr>
                <w:bCs/>
              </w:rPr>
              <w:t>Хемодиализа*</w:t>
            </w:r>
          </w:p>
        </w:tc>
        <w:tc>
          <w:tcPr>
            <w:tcW w:w="3192" w:type="dxa"/>
          </w:tcPr>
          <w:p w14:paraId="6971050A" w14:textId="44FC924D" w:rsidR="001564F9" w:rsidRPr="001564F9" w:rsidRDefault="001564F9" w:rsidP="001564F9">
            <w:r w:rsidRPr="001564F9">
              <w:rPr>
                <w:bCs/>
              </w:rPr>
              <w:t xml:space="preserve">500 </w:t>
            </w:r>
            <w:r w:rsidRPr="001564F9">
              <w:rPr>
                <w:bCs/>
                <w:lang w:val="en-US"/>
              </w:rPr>
              <w:t xml:space="preserve">mg </w:t>
            </w:r>
            <w:r w:rsidRPr="001564F9">
              <w:rPr>
                <w:bCs/>
              </w:rPr>
              <w:t>на всеки 24 часа</w:t>
            </w:r>
          </w:p>
        </w:tc>
        <w:tc>
          <w:tcPr>
            <w:tcW w:w="3192" w:type="dxa"/>
          </w:tcPr>
          <w:p w14:paraId="2FDB4C1E" w14:textId="288564E6" w:rsidR="001564F9" w:rsidRPr="001564F9" w:rsidRDefault="001564F9" w:rsidP="001564F9">
            <w:r w:rsidRPr="001564F9">
              <w:rPr>
                <w:bCs/>
              </w:rPr>
              <w:t xml:space="preserve">500 </w:t>
            </w:r>
            <w:r w:rsidRPr="001564F9">
              <w:rPr>
                <w:bCs/>
                <w:lang w:val="en-US"/>
              </w:rPr>
              <w:t xml:space="preserve">mg </w:t>
            </w:r>
            <w:r w:rsidRPr="001564F9">
              <w:rPr>
                <w:bCs/>
              </w:rPr>
              <w:t>на всеки 24 часа</w:t>
            </w:r>
          </w:p>
        </w:tc>
      </w:tr>
      <w:tr w:rsidR="001564F9" w14:paraId="310C7C04" w14:textId="77777777" w:rsidTr="008971AC">
        <w:tc>
          <w:tcPr>
            <w:tcW w:w="9576" w:type="dxa"/>
            <w:gridSpan w:val="3"/>
          </w:tcPr>
          <w:p w14:paraId="64126729" w14:textId="31D242CF" w:rsidR="001564F9" w:rsidRPr="001564F9" w:rsidRDefault="001564F9" w:rsidP="001564F9">
            <w:pPr>
              <w:rPr>
                <w:sz w:val="24"/>
                <w:szCs w:val="24"/>
              </w:rPr>
            </w:pPr>
            <w:r w:rsidRPr="001564F9">
              <w:rPr>
                <w:lang w:eastAsia="bg-BG"/>
              </w:rPr>
              <w:t xml:space="preserve">* Фармакокинетичният модел показва, че при тези пациенти е необходимо намаляване на дозата. При пациенти на хемодиализа, които получават едновременно цефепим, дозата трябва да се определя, както следва: една натоварваща доза от 1 </w:t>
            </w:r>
            <w:r w:rsidRPr="001564F9">
              <w:rPr>
                <w:lang w:val="en-US"/>
              </w:rPr>
              <w:t>g</w:t>
            </w:r>
            <w:r w:rsidRPr="001564F9">
              <w:rPr>
                <w:lang w:val="ru-RU"/>
              </w:rPr>
              <w:t xml:space="preserve"> </w:t>
            </w:r>
            <w:r w:rsidRPr="001564F9">
              <w:rPr>
                <w:lang w:eastAsia="bg-BG"/>
              </w:rPr>
              <w:t xml:space="preserve">през първия ден от лечението с цефепим, след което 500 </w:t>
            </w:r>
            <w:r w:rsidRPr="001564F9">
              <w:rPr>
                <w:lang w:val="en-US"/>
              </w:rPr>
              <w:t>mg</w:t>
            </w:r>
            <w:r w:rsidRPr="001564F9">
              <w:rPr>
                <w:lang w:val="ru-RU"/>
              </w:rPr>
              <w:t xml:space="preserve"> </w:t>
            </w:r>
            <w:r w:rsidRPr="001564F9">
              <w:rPr>
                <w:lang w:eastAsia="bg-BG"/>
              </w:rPr>
              <w:t>дневно. В дните на диализа, цефепим трябва да се прилага след диализната процедура. Ако е възможно, цефепим трябва да се прилага по едно и също време всеки ден.</w:t>
            </w:r>
          </w:p>
        </w:tc>
      </w:tr>
    </w:tbl>
    <w:p w14:paraId="3557B169" w14:textId="77777777" w:rsidR="001564F9" w:rsidRDefault="001564F9" w:rsidP="001564F9">
      <w:pPr>
        <w:rPr>
          <w:lang w:eastAsia="bg-BG"/>
        </w:rPr>
      </w:pPr>
    </w:p>
    <w:p w14:paraId="76BF091B" w14:textId="0804A5C2" w:rsidR="001564F9" w:rsidRPr="001564F9" w:rsidRDefault="001564F9" w:rsidP="001564F9">
      <w:pPr>
        <w:rPr>
          <w:b/>
          <w:sz w:val="24"/>
          <w:szCs w:val="24"/>
        </w:rPr>
      </w:pPr>
      <w:r w:rsidRPr="001564F9">
        <w:rPr>
          <w:b/>
          <w:lang w:eastAsia="bg-BG"/>
        </w:rPr>
        <w:t>Пациенти на диализа</w:t>
      </w:r>
    </w:p>
    <w:p w14:paraId="19CD434D" w14:textId="77777777" w:rsidR="001564F9" w:rsidRPr="001564F9" w:rsidRDefault="001564F9" w:rsidP="001564F9">
      <w:pPr>
        <w:rPr>
          <w:sz w:val="24"/>
          <w:szCs w:val="24"/>
        </w:rPr>
      </w:pPr>
      <w:r w:rsidRPr="001564F9">
        <w:rPr>
          <w:lang w:eastAsia="bg-BG"/>
        </w:rPr>
        <w:t>За пациенти на диализа вижте таблицата по-горе.</w:t>
      </w:r>
    </w:p>
    <w:p w14:paraId="729BA96D" w14:textId="77777777" w:rsidR="001564F9" w:rsidRPr="001564F9" w:rsidRDefault="001564F9" w:rsidP="001564F9">
      <w:pPr>
        <w:rPr>
          <w:sz w:val="24"/>
          <w:szCs w:val="24"/>
        </w:rPr>
      </w:pPr>
      <w:r w:rsidRPr="001564F9">
        <w:rPr>
          <w:lang w:eastAsia="bg-BG"/>
        </w:rPr>
        <w:t>При пациенти, подложени на хемодиализа, около 68% от общото количество цефепим, намиращо се в организма в началото на диализата се отстранява по време на 3-часовия период на диализа.</w:t>
      </w:r>
    </w:p>
    <w:p w14:paraId="5D76BA8B" w14:textId="77777777" w:rsidR="001564F9" w:rsidRDefault="001564F9" w:rsidP="001564F9">
      <w:pPr>
        <w:rPr>
          <w:lang w:eastAsia="bg-BG"/>
        </w:rPr>
      </w:pPr>
    </w:p>
    <w:p w14:paraId="58BFAD3D" w14:textId="003DC9E3" w:rsidR="001564F9" w:rsidRPr="001564F9" w:rsidRDefault="001564F9" w:rsidP="001564F9">
      <w:pPr>
        <w:rPr>
          <w:sz w:val="24"/>
          <w:szCs w:val="24"/>
        </w:rPr>
      </w:pPr>
      <w:r w:rsidRPr="001564F9">
        <w:rPr>
          <w:lang w:eastAsia="bg-BG"/>
        </w:rPr>
        <w:t xml:space="preserve">При пациенти, подложени на непрекъсната амбулаторна перитонеална диализа </w:t>
      </w:r>
      <w:r w:rsidRPr="001564F9">
        <w:rPr>
          <w:lang w:val="ru-RU"/>
        </w:rPr>
        <w:t>(</w:t>
      </w:r>
      <w:r w:rsidRPr="001564F9">
        <w:rPr>
          <w:lang w:val="en-US"/>
        </w:rPr>
        <w:t>CAPD</w:t>
      </w:r>
      <w:r w:rsidRPr="001564F9">
        <w:rPr>
          <w:lang w:val="ru-RU"/>
        </w:rPr>
        <w:t xml:space="preserve">), </w:t>
      </w:r>
      <w:r w:rsidRPr="001564F9">
        <w:rPr>
          <w:lang w:eastAsia="bg-BG"/>
        </w:rPr>
        <w:t>цефепим може да се прилага в същите дози, препоръчвани за пациенти с нормална бъбречна функции през интервали от 48 часа.</w:t>
      </w:r>
    </w:p>
    <w:p w14:paraId="439E05A7" w14:textId="77777777" w:rsidR="001564F9" w:rsidRDefault="001564F9" w:rsidP="001564F9">
      <w:pPr>
        <w:rPr>
          <w:lang w:eastAsia="bg-BG"/>
        </w:rPr>
      </w:pPr>
    </w:p>
    <w:p w14:paraId="4C65D3B4" w14:textId="0C5C14FE" w:rsidR="001564F9" w:rsidRPr="001564F9" w:rsidRDefault="001564F9" w:rsidP="001564F9">
      <w:pPr>
        <w:rPr>
          <w:b/>
          <w:sz w:val="24"/>
          <w:szCs w:val="24"/>
        </w:rPr>
      </w:pPr>
      <w:r w:rsidRPr="001564F9">
        <w:rPr>
          <w:b/>
          <w:lang w:eastAsia="bg-BG"/>
        </w:rPr>
        <w:t xml:space="preserve">Бебета и деца до 12 години с телесно тегло ≤ 40 </w:t>
      </w:r>
      <w:r w:rsidRPr="001564F9">
        <w:rPr>
          <w:b/>
          <w:lang w:val="en-US"/>
        </w:rPr>
        <w:t>kg</w:t>
      </w:r>
      <w:r w:rsidRPr="001564F9">
        <w:rPr>
          <w:b/>
          <w:lang w:val="ru-RU"/>
        </w:rPr>
        <w:t xml:space="preserve"> </w:t>
      </w:r>
      <w:r w:rsidRPr="001564F9">
        <w:rPr>
          <w:b/>
          <w:lang w:eastAsia="bg-BG"/>
        </w:rPr>
        <w:t>и с променена бъбречна функция</w:t>
      </w:r>
    </w:p>
    <w:p w14:paraId="7977725C" w14:textId="77777777" w:rsidR="001564F9" w:rsidRPr="001564F9" w:rsidRDefault="001564F9" w:rsidP="001564F9">
      <w:pPr>
        <w:rPr>
          <w:sz w:val="24"/>
          <w:szCs w:val="24"/>
        </w:rPr>
      </w:pPr>
      <w:r w:rsidRPr="001564F9">
        <w:rPr>
          <w:lang w:eastAsia="bg-BG"/>
        </w:rPr>
        <w:t>Тъй като екскрецията с урината е основният път за елиминиране на цефепим при деца (вж. точка 5.2), трябва да се има предвид корекция на дозата на цефепим при пациенти под 12 години с променена бъбречна функция.</w:t>
      </w:r>
    </w:p>
    <w:p w14:paraId="458EA4FB" w14:textId="77777777" w:rsidR="001564F9" w:rsidRDefault="001564F9" w:rsidP="001564F9">
      <w:pPr>
        <w:rPr>
          <w:lang w:eastAsia="bg-BG"/>
        </w:rPr>
      </w:pPr>
    </w:p>
    <w:p w14:paraId="10CD7476" w14:textId="77777777" w:rsidR="001564F9" w:rsidRPr="001564F9" w:rsidRDefault="001564F9" w:rsidP="001564F9">
      <w:pPr>
        <w:rPr>
          <w:sz w:val="24"/>
          <w:szCs w:val="24"/>
        </w:rPr>
      </w:pPr>
      <w:r w:rsidRPr="001564F9">
        <w:rPr>
          <w:lang w:eastAsia="bg-BG"/>
        </w:rPr>
        <w:t xml:space="preserve">Клинични данни за тази група пациенти не са налични, но тъй като фармакокинетиката на цефепим е сравнима при педиатрични и възрастни пациенти (вж. точка 5.2), при педиатрични пациенти се препоръчват промени в схемите на дозиране, сходни с тези при възрастните Доза от 50 </w:t>
      </w:r>
      <w:r w:rsidRPr="001564F9">
        <w:rPr>
          <w:lang w:val="en-US"/>
        </w:rPr>
        <w:t>mg</w:t>
      </w:r>
      <w:r w:rsidRPr="001564F9">
        <w:rPr>
          <w:lang w:val="ru-RU"/>
        </w:rPr>
        <w:t>/</w:t>
      </w:r>
      <w:r w:rsidRPr="001564F9">
        <w:rPr>
          <w:lang w:val="en-US"/>
        </w:rPr>
        <w:t>kg</w:t>
      </w:r>
      <w:r w:rsidRPr="001564F9">
        <w:rPr>
          <w:lang w:val="ru-RU"/>
        </w:rPr>
        <w:t xml:space="preserve"> </w:t>
      </w:r>
      <w:r w:rsidRPr="001564F9">
        <w:rPr>
          <w:lang w:eastAsia="bg-BG"/>
        </w:rPr>
        <w:t>за пациенти на възраст между 2 месеца и 12 години и доза 30</w:t>
      </w:r>
      <w:r w:rsidRPr="001564F9">
        <w:rPr>
          <w:lang w:val="en-US"/>
        </w:rPr>
        <w:t>mg</w:t>
      </w:r>
      <w:r w:rsidRPr="001564F9">
        <w:rPr>
          <w:lang w:val="ru-RU"/>
        </w:rPr>
        <w:t>/</w:t>
      </w:r>
      <w:r w:rsidRPr="001564F9">
        <w:rPr>
          <w:lang w:val="en-US"/>
        </w:rPr>
        <w:t>kg</w:t>
      </w:r>
      <w:r w:rsidRPr="001564F9">
        <w:rPr>
          <w:lang w:val="ru-RU"/>
        </w:rPr>
        <w:t xml:space="preserve"> </w:t>
      </w:r>
      <w:r w:rsidRPr="001564F9">
        <w:rPr>
          <w:lang w:eastAsia="bg-BG"/>
        </w:rPr>
        <w:t xml:space="preserve">за бебета на възраст от 1 до 2 месеца са сравними на доза от 2 </w:t>
      </w:r>
      <w:r w:rsidRPr="001564F9">
        <w:rPr>
          <w:lang w:val="en-US"/>
        </w:rPr>
        <w:t>g</w:t>
      </w:r>
      <w:r w:rsidRPr="001564F9">
        <w:rPr>
          <w:lang w:val="ru-RU"/>
        </w:rPr>
        <w:t xml:space="preserve"> </w:t>
      </w:r>
      <w:r w:rsidRPr="001564F9">
        <w:rPr>
          <w:lang w:eastAsia="bg-BG"/>
        </w:rPr>
        <w:t>при възрастни. Прилага се същото</w:t>
      </w:r>
      <w:r>
        <w:rPr>
          <w:lang w:eastAsia="bg-BG"/>
        </w:rPr>
        <w:t xml:space="preserve"> </w:t>
      </w:r>
      <w:r w:rsidRPr="001564F9">
        <w:rPr>
          <w:lang w:eastAsia="bg-BG"/>
        </w:rPr>
        <w:t>удължаване на интервалите между дозите и/или същото намаляване на дозата, както е препоръчано в таблицата по-горе.</w:t>
      </w:r>
    </w:p>
    <w:p w14:paraId="766B28AF" w14:textId="34F982F9" w:rsidR="001564F9" w:rsidRPr="001564F9" w:rsidRDefault="001564F9" w:rsidP="001564F9">
      <w:pPr>
        <w:rPr>
          <w:sz w:val="24"/>
          <w:szCs w:val="24"/>
        </w:rPr>
      </w:pPr>
      <w:r w:rsidRPr="001564F9">
        <w:rPr>
          <w:lang w:eastAsia="bg-BG"/>
        </w:rPr>
        <w:t>Ако са на разположение само данните за нивото на серумния креатинин, креатининовият клирънс може да се изчисли с помощта на един от следните методи:</w:t>
      </w:r>
    </w:p>
    <w:p w14:paraId="0C7794EF" w14:textId="63225575" w:rsidR="001564F9" w:rsidRDefault="001564F9" w:rsidP="001564F9"/>
    <w:p w14:paraId="373562E3" w14:textId="4C005395" w:rsidR="001564F9" w:rsidRPr="00A14D41" w:rsidRDefault="00A14D41" w:rsidP="001564F9">
      <w:pPr>
        <w:rPr>
          <w:rFonts w:eastAsiaTheme="minorEastAsia" w:cs="Arial"/>
          <w:bCs/>
          <w:lang w:val="en-US"/>
        </w:rPr>
      </w:pPr>
      <m:oMathPara>
        <m:oMath>
          <m:r>
            <m:rPr>
              <m:sty m:val="p"/>
            </m:rPr>
            <w:rPr>
              <w:rFonts w:ascii="Cambria Math" w:hAnsi="Cambria Math" w:cs="Arial"/>
            </w:rPr>
            <m:t xml:space="preserve">Креатининов клирънс </m:t>
          </m:r>
          <m:r>
            <m:rPr>
              <m:sty m:val="p"/>
            </m:rPr>
            <w:rPr>
              <w:rFonts w:ascii="Cambria Math" w:hAnsi="Cambria Math" w:cs="Arial"/>
              <w:lang w:val="en-US"/>
            </w:rPr>
            <m:t>(ml/ min/1,73 m</m:t>
          </m:r>
          <m:r>
            <m:rPr>
              <m:sty m:val="p"/>
            </m:rPr>
            <w:rPr>
              <w:rFonts w:ascii="Cambria Math" w:hAnsi="Cambria Math" w:cs="Arial"/>
              <w:vertAlign w:val="superscript"/>
              <w:lang w:val="en-US"/>
            </w:rPr>
            <m:t>2</m:t>
          </m:r>
          <m:r>
            <m:rPr>
              <m:sty m:val="p"/>
            </m:rPr>
            <w:rPr>
              <w:rFonts w:ascii="Cambria Math" w:hAnsi="Cambria Math" w:cs="Arial"/>
              <w:lang w:val="en-US"/>
            </w:rPr>
            <m:t>)=</m:t>
          </m:r>
          <m:f>
            <m:fPr>
              <m:ctrlPr>
                <w:rPr>
                  <w:rFonts w:ascii="Cambria Math" w:hAnsi="Cambria Math" w:cs="Arial"/>
                  <w:bCs/>
                  <w:lang w:val="en-US"/>
                </w:rPr>
              </m:ctrlPr>
            </m:fPr>
            <m:num>
              <m:r>
                <m:rPr>
                  <m:sty m:val="p"/>
                </m:rPr>
                <w:rPr>
                  <w:rFonts w:ascii="Cambria Math" w:hAnsi="Cambria Math" w:cs="Arial"/>
                  <w:u w:val="single"/>
                </w:rPr>
                <m:t>0.55 х височината (см)</m:t>
              </m:r>
            </m:num>
            <m:den>
              <m:r>
                <m:rPr>
                  <m:sty m:val="p"/>
                </m:rPr>
                <w:rPr>
                  <w:rFonts w:ascii="Cambria Math" w:hAnsi="Cambria Math" w:cs="Arial"/>
                </w:rPr>
                <m:t xml:space="preserve">серумен креатинин </m:t>
              </m:r>
              <m:r>
                <m:rPr>
                  <m:sty m:val="p"/>
                </m:rPr>
                <w:rPr>
                  <w:rFonts w:ascii="Cambria Math" w:hAnsi="Cambria Math" w:cs="Arial"/>
                  <w:lang w:val="en-US"/>
                </w:rPr>
                <m:t>(mg/dl)</m:t>
              </m:r>
            </m:den>
          </m:f>
        </m:oMath>
      </m:oMathPara>
    </w:p>
    <w:p w14:paraId="43935F15" w14:textId="07B38E4F" w:rsidR="00A14D41" w:rsidRDefault="00A14D41" w:rsidP="001564F9">
      <w:pPr>
        <w:rPr>
          <w:rFonts w:eastAsiaTheme="minorEastAsia" w:cs="Arial"/>
          <w:bCs/>
          <w:lang w:val="en-US"/>
        </w:rPr>
      </w:pPr>
    </w:p>
    <w:p w14:paraId="0E6732D6" w14:textId="2C5F3627" w:rsidR="00A14D41" w:rsidRDefault="00A14D41" w:rsidP="001564F9">
      <w:pPr>
        <w:rPr>
          <w:rFonts w:eastAsiaTheme="minorEastAsia" w:cs="Arial"/>
          <w:bCs/>
        </w:rPr>
      </w:pPr>
      <w:r>
        <w:rPr>
          <w:rFonts w:eastAsiaTheme="minorEastAsia" w:cs="Arial"/>
          <w:bCs/>
        </w:rPr>
        <w:t>Или</w:t>
      </w:r>
    </w:p>
    <w:p w14:paraId="2585BE3E" w14:textId="5BAD53C1" w:rsidR="00A14D41" w:rsidRDefault="00A14D41" w:rsidP="001564F9">
      <w:pPr>
        <w:rPr>
          <w:rFonts w:eastAsiaTheme="minorEastAsia" w:cs="Arial"/>
          <w:bCs/>
        </w:rPr>
      </w:pPr>
    </w:p>
    <w:p w14:paraId="2372E7EF" w14:textId="4E0C5996" w:rsidR="00A14D41" w:rsidRPr="00A14D41" w:rsidRDefault="00A14D41" w:rsidP="001564F9">
      <w:pPr>
        <w:rPr>
          <w:rFonts w:eastAsiaTheme="minorEastAsia" w:cs="Arial"/>
          <w:bCs/>
          <w:lang w:val="en-US"/>
        </w:rPr>
      </w:pPr>
      <m:oMathPara>
        <m:oMath>
          <m:r>
            <m:rPr>
              <m:sty m:val="p"/>
            </m:rPr>
            <w:rPr>
              <w:rFonts w:ascii="Cambria Math" w:hAnsi="Cambria Math"/>
            </w:rPr>
            <m:t xml:space="preserve">Креатининов клирънс </m:t>
          </m:r>
          <m:r>
            <m:rPr>
              <m:sty m:val="p"/>
            </m:rPr>
            <w:rPr>
              <w:rFonts w:ascii="Cambria Math" w:hAnsi="Cambria Math"/>
              <w:lang w:val="en-US"/>
            </w:rPr>
            <m:t>(ml/min/1,73 m</m:t>
          </m:r>
          <m:r>
            <m:rPr>
              <m:sty m:val="p"/>
            </m:rPr>
            <w:rPr>
              <w:rFonts w:ascii="Cambria Math" w:hAnsi="Cambria Math"/>
              <w:vertAlign w:val="superscript"/>
              <w:lang w:val="en-US"/>
            </w:rPr>
            <m:t>2</m:t>
          </m:r>
          <m:r>
            <m:rPr>
              <m:sty m:val="p"/>
            </m:rPr>
            <w:rPr>
              <w:rFonts w:ascii="Cambria Math" w:hAnsi="Cambria Math"/>
              <w:lang w:val="en-US"/>
            </w:rPr>
            <m:t>)</m:t>
          </m:r>
          <m:r>
            <m:rPr>
              <m:sty m:val="p"/>
            </m:rPr>
            <w:rPr>
              <w:rFonts w:ascii="Cambria Math"/>
              <w:lang w:val="en-US"/>
            </w:rPr>
            <m:t>=</m:t>
          </m:r>
          <m:f>
            <m:fPr>
              <m:ctrlPr>
                <w:rPr>
                  <w:rFonts w:ascii="Cambria Math" w:hAnsi="Cambria Math"/>
                  <w:bCs/>
                  <w:lang w:val="en-US"/>
                </w:rPr>
              </m:ctrlPr>
            </m:fPr>
            <m:num>
              <m:r>
                <m:rPr>
                  <m:sty m:val="p"/>
                </m:rPr>
                <w:rPr>
                  <w:rFonts w:ascii="Cambria Math" w:hAnsi="Cambria Math"/>
                  <w:u w:val="single"/>
                </w:rPr>
                <m:t xml:space="preserve">0,52 х височината </m:t>
              </m:r>
              <m:d>
                <m:dPr>
                  <m:ctrlPr>
                    <w:rPr>
                      <w:rFonts w:ascii="Cambria Math" w:hAnsi="Cambria Math"/>
                      <w:bCs/>
                      <w:u w:val="single"/>
                    </w:rPr>
                  </m:ctrlPr>
                </m:dPr>
                <m:e>
                  <m:r>
                    <m:rPr>
                      <m:sty m:val="p"/>
                    </m:rPr>
                    <w:rPr>
                      <w:rFonts w:ascii="Cambria Math" w:hAnsi="Cambria Math"/>
                      <w:u w:val="single"/>
                    </w:rPr>
                    <m:t>см</m:t>
                  </m:r>
                </m:e>
              </m:d>
              <m:r>
                <m:rPr>
                  <m:sty m:val="p"/>
                </m:rPr>
                <w:rPr>
                  <w:rFonts w:ascii="Cambria Math" w:hAnsi="Cambria Math"/>
                  <w:u w:val="single"/>
                </w:rPr>
                <m:t>- З.6</m:t>
              </m:r>
            </m:num>
            <m:den>
              <m:r>
                <m:rPr>
                  <m:sty m:val="p"/>
                </m:rPr>
                <w:rPr>
                  <w:rFonts w:ascii="Cambria Math" w:hAnsi="Cambria Math"/>
                </w:rPr>
                <m:t xml:space="preserve">серумен креатинин </m:t>
              </m:r>
              <m:r>
                <m:rPr>
                  <m:sty m:val="p"/>
                </m:rPr>
                <w:rPr>
                  <w:rFonts w:ascii="Cambria Math" w:hAnsi="Cambria Math"/>
                  <w:lang w:val="en-US"/>
                </w:rPr>
                <m:t>(mg/dl)</m:t>
              </m:r>
            </m:den>
          </m:f>
        </m:oMath>
      </m:oMathPara>
    </w:p>
    <w:p w14:paraId="32665A1D" w14:textId="4AD59DDE" w:rsidR="00A14D41" w:rsidRDefault="00A14D41" w:rsidP="001564F9">
      <w:pPr>
        <w:rPr>
          <w:rFonts w:cs="Arial"/>
        </w:rPr>
      </w:pPr>
    </w:p>
    <w:p w14:paraId="77BE4A74" w14:textId="77777777" w:rsidR="00A14D41" w:rsidRPr="00A14D41" w:rsidRDefault="00A14D41" w:rsidP="00A14D41">
      <w:pPr>
        <w:spacing w:line="240" w:lineRule="auto"/>
        <w:rPr>
          <w:rFonts w:eastAsia="Times New Roman" w:cs="Arial"/>
          <w:b/>
        </w:rPr>
      </w:pPr>
      <w:r w:rsidRPr="00A14D41">
        <w:rPr>
          <w:rFonts w:eastAsia="Times New Roman" w:cs="Arial"/>
          <w:b/>
          <w:bCs/>
          <w:color w:val="000000"/>
          <w:lang w:eastAsia="bg-BG"/>
        </w:rPr>
        <w:t>Променена чернодробна функция</w:t>
      </w:r>
    </w:p>
    <w:p w14:paraId="5A3B3DF9"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lastRenderedPageBreak/>
        <w:t>Не е необходима корекция на дозата при пациенти с променена чернодробна функция.</w:t>
      </w:r>
    </w:p>
    <w:p w14:paraId="0203BFC7" w14:textId="77777777" w:rsidR="00A14D41" w:rsidRPr="00A14D41" w:rsidRDefault="00A14D41" w:rsidP="00A14D41">
      <w:pPr>
        <w:spacing w:line="240" w:lineRule="auto"/>
        <w:rPr>
          <w:rFonts w:eastAsia="Times New Roman" w:cs="Arial"/>
          <w:bCs/>
          <w:color w:val="000000"/>
          <w:lang w:eastAsia="bg-BG"/>
        </w:rPr>
      </w:pPr>
    </w:p>
    <w:p w14:paraId="2DC560C9" w14:textId="60218BF9" w:rsidR="00A14D41" w:rsidRPr="00A14D41" w:rsidRDefault="00A14D41" w:rsidP="00A14D41">
      <w:pPr>
        <w:spacing w:line="240" w:lineRule="auto"/>
        <w:rPr>
          <w:rFonts w:eastAsia="Times New Roman" w:cs="Arial"/>
          <w:b/>
        </w:rPr>
      </w:pPr>
      <w:r w:rsidRPr="00A14D41">
        <w:rPr>
          <w:rFonts w:eastAsia="Times New Roman" w:cs="Arial"/>
          <w:b/>
          <w:bCs/>
          <w:color w:val="000000"/>
          <w:lang w:eastAsia="bg-BG"/>
        </w:rPr>
        <w:t>Употреба при пациенти в напреднала възраст</w:t>
      </w:r>
    </w:p>
    <w:p w14:paraId="081EC502"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Тъй като пациентите в напреднала възраст са с повишен риск от намаляване на бъбречната функция, дозата трябва да се определя с повишено внимание и бъбречната функция на пациента трябва да се проследява (вж. точки 4.4 и 4.8). Препоръчва се корекция на дозата, ако бъбречната функция е намалена (вж. точка 4.2 „Възрастни с увредена бъбречна функция” и точка 5.2).</w:t>
      </w:r>
    </w:p>
    <w:p w14:paraId="3E79C258" w14:textId="77777777" w:rsidR="00A14D41" w:rsidRPr="00A14D41" w:rsidRDefault="00A14D41" w:rsidP="00A14D41">
      <w:pPr>
        <w:spacing w:line="240" w:lineRule="auto"/>
        <w:rPr>
          <w:rFonts w:eastAsia="Times New Roman" w:cs="Arial"/>
          <w:bCs/>
          <w:color w:val="000000"/>
          <w:lang w:eastAsia="bg-BG"/>
        </w:rPr>
      </w:pPr>
    </w:p>
    <w:p w14:paraId="1F7883DE" w14:textId="0A0A0BF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Тъй като пациентите на определена възраст са по-податливи на намаляване на бъбречната функция, дозата трябва да се определя с повишено внимание и бъбречната функция на пациента трябва да се проследява (вж. точки 4.4 и 4.8).</w:t>
      </w:r>
    </w:p>
    <w:p w14:paraId="203AC7A7" w14:textId="77777777" w:rsidR="00A14D41" w:rsidRPr="00A14D41" w:rsidRDefault="00A14D41" w:rsidP="00A14D41">
      <w:pPr>
        <w:spacing w:line="240" w:lineRule="auto"/>
        <w:rPr>
          <w:rFonts w:eastAsia="Times New Roman" w:cs="Arial"/>
          <w:bCs/>
          <w:color w:val="000000"/>
          <w:u w:val="single"/>
          <w:lang w:eastAsia="bg-BG"/>
        </w:rPr>
      </w:pPr>
    </w:p>
    <w:p w14:paraId="6D67A094" w14:textId="33F384CF" w:rsidR="00A14D41" w:rsidRPr="00A14D41" w:rsidRDefault="00A14D41" w:rsidP="00A14D41">
      <w:pPr>
        <w:spacing w:line="240" w:lineRule="auto"/>
        <w:rPr>
          <w:rFonts w:eastAsia="Times New Roman" w:cs="Arial"/>
          <w:b/>
        </w:rPr>
      </w:pPr>
      <w:r w:rsidRPr="00A14D41">
        <w:rPr>
          <w:rFonts w:eastAsia="Times New Roman" w:cs="Arial"/>
          <w:b/>
          <w:bCs/>
          <w:color w:val="000000"/>
          <w:u w:val="single"/>
          <w:lang w:eastAsia="bg-BG"/>
        </w:rPr>
        <w:t>Начин на приложение:</w:t>
      </w:r>
    </w:p>
    <w:p w14:paraId="3B88522A"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Път на приложение:</w:t>
      </w:r>
    </w:p>
    <w:p w14:paraId="072076D8" w14:textId="60BF4FB9" w:rsidR="00A14D41" w:rsidRDefault="00A14D41" w:rsidP="00A14D41">
      <w:pPr>
        <w:rPr>
          <w:rFonts w:eastAsia="Times New Roman" w:cs="Arial"/>
          <w:bCs/>
          <w:color w:val="000000"/>
          <w:lang w:eastAsia="bg-BG"/>
        </w:rPr>
      </w:pPr>
      <w:r w:rsidRPr="00A14D41">
        <w:rPr>
          <w:rFonts w:eastAsia="Times New Roman" w:cs="Arial"/>
          <w:bCs/>
          <w:color w:val="000000"/>
          <w:lang w:eastAsia="bg-BG"/>
        </w:rPr>
        <w:t>След подходящо разтваряне, Цефепим Каби може да се прилага чрез директно интравенозио инжектиране за период от 3 до 5 минути или се инжектира в тръбата на инфузионна система, докато пациентът получава съвместим интравенозен разтвор, или чрез интравенозиа инфузия в продължение на 30 минути. За указания относно разтварянето/разреждането на лекарствения продукт преди приложение вижте точка 6.6.</w:t>
      </w:r>
    </w:p>
    <w:p w14:paraId="26624EBD" w14:textId="77777777" w:rsidR="00A14D41" w:rsidRPr="00A14D41" w:rsidRDefault="00A14D41" w:rsidP="00A14D41">
      <w:pPr>
        <w:rPr>
          <w:rFonts w:eastAsia="Times New Roman" w:cs="Arial"/>
          <w:bCs/>
          <w:color w:val="000000"/>
          <w:lang w:eastAsia="bg-BG"/>
        </w:rPr>
      </w:pPr>
    </w:p>
    <w:p w14:paraId="45A3672A" w14:textId="64E0F37B" w:rsidR="00426E5F" w:rsidRDefault="002C50EE" w:rsidP="00A65A81">
      <w:pPr>
        <w:pStyle w:val="Heading2"/>
      </w:pPr>
      <w:r>
        <w:t>4.3. Противопоказания</w:t>
      </w:r>
    </w:p>
    <w:p w14:paraId="24E9ACC0" w14:textId="3394FDEB" w:rsidR="00A14D41" w:rsidRDefault="00A14D41" w:rsidP="00A14D41"/>
    <w:p w14:paraId="388FEC97" w14:textId="77777777" w:rsidR="00A14D41" w:rsidRPr="00A14D41" w:rsidRDefault="00A14D41" w:rsidP="00A14D41">
      <w:pPr>
        <w:rPr>
          <w:sz w:val="24"/>
          <w:szCs w:val="24"/>
        </w:rPr>
      </w:pPr>
      <w:r w:rsidRPr="00A14D41">
        <w:rPr>
          <w:lang w:eastAsia="bg-BG"/>
        </w:rPr>
        <w:t>Свръхчувствителност към цефепим, към други цефалоспорини или към някое от помощните вещества.</w:t>
      </w:r>
    </w:p>
    <w:p w14:paraId="75DDF4BD" w14:textId="6DA99CC3" w:rsidR="00A14D41" w:rsidRDefault="00A14D41" w:rsidP="00A14D41">
      <w:pPr>
        <w:rPr>
          <w:lang w:eastAsia="bg-BG"/>
        </w:rPr>
      </w:pPr>
      <w:r w:rsidRPr="00A14D41">
        <w:rPr>
          <w:lang w:eastAsia="bg-BG"/>
        </w:rPr>
        <w:t>Пациенти с анамнеза за тежки реакции на свръхчувствителност (напр. анафилаксия) към други бета-лактамни средства (напр. пеницилини, монобактами и карбапенеми).</w:t>
      </w:r>
    </w:p>
    <w:p w14:paraId="1EEFE113" w14:textId="77777777" w:rsidR="00A14D41" w:rsidRPr="00A14D41" w:rsidRDefault="00A14D41" w:rsidP="00A14D41"/>
    <w:p w14:paraId="13D1C252" w14:textId="78D92E01" w:rsidR="00426E5F" w:rsidRDefault="002C50EE" w:rsidP="00A65A81">
      <w:pPr>
        <w:pStyle w:val="Heading2"/>
      </w:pPr>
      <w:r>
        <w:t>4.4. Специални предупреждения и предпазни мерки при употреба</w:t>
      </w:r>
    </w:p>
    <w:p w14:paraId="3EC6DA18" w14:textId="739A4FAB" w:rsidR="00A14D41" w:rsidRDefault="00A14D41" w:rsidP="00A14D41"/>
    <w:p w14:paraId="261960D6" w14:textId="77777777" w:rsidR="00A14D41" w:rsidRPr="00A14D41" w:rsidRDefault="00A14D41" w:rsidP="00A14D41">
      <w:pPr>
        <w:rPr>
          <w:sz w:val="24"/>
          <w:szCs w:val="24"/>
        </w:rPr>
      </w:pPr>
      <w:r w:rsidRPr="00A14D41">
        <w:rPr>
          <w:lang w:eastAsia="bg-BG"/>
        </w:rPr>
        <w:t>Поради относително ограничения спектър на антибактериално действие на цефепим, той не е подходящ за лечение на някои видове инфекции, освен ако патогенът е вече установен и се знае</w:t>
      </w:r>
    </w:p>
    <w:p w14:paraId="01EF550D" w14:textId="670F73BE" w:rsidR="00A14D41" w:rsidRDefault="00A14D41" w:rsidP="00A14D41">
      <w:pPr>
        <w:rPr>
          <w:lang w:eastAsia="bg-BG"/>
        </w:rPr>
      </w:pPr>
      <w:r w:rsidRPr="00A14D41">
        <w:rPr>
          <w:lang w:eastAsia="bg-BG"/>
        </w:rPr>
        <w:t>че е чувствителен, или има сериозно подозрение, че най-вероятният патоген и е подходящ за лечение с цефепим.</w:t>
      </w:r>
    </w:p>
    <w:p w14:paraId="56D83F8D" w14:textId="410AE3E8" w:rsidR="00A14D41" w:rsidRDefault="00A14D41" w:rsidP="00A14D41">
      <w:pPr>
        <w:rPr>
          <w:lang w:eastAsia="bg-BG"/>
        </w:rPr>
      </w:pPr>
    </w:p>
    <w:p w14:paraId="6614176A"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Както при всички бета-лактамни антибактериални средства са съобщавани сериозни и понякога фатални реакции на свръхчувствителност.</w:t>
      </w:r>
    </w:p>
    <w:p w14:paraId="05557B3A" w14:textId="77777777" w:rsidR="00A14D41" w:rsidRDefault="00A14D41" w:rsidP="00A14D41">
      <w:pPr>
        <w:spacing w:line="240" w:lineRule="auto"/>
        <w:rPr>
          <w:rFonts w:eastAsia="Times New Roman" w:cs="Arial"/>
          <w:bCs/>
          <w:color w:val="000000"/>
          <w:lang w:eastAsia="bg-BG"/>
        </w:rPr>
      </w:pPr>
    </w:p>
    <w:p w14:paraId="2BD31AA5" w14:textId="36841CE6"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Преди започване на лечение с цефепим е необходима задълбочена проверка за определяне дали пациентът е имал предишни реакции на свръхчувствителност към цефепим, бета-лактамни средства или други лекарствени продукти. В 10 % от случаите има кръстосана реактивност между свръхчувствителност към пеницилин и към цефалоспорини.</w:t>
      </w:r>
    </w:p>
    <w:p w14:paraId="2CE89359" w14:textId="77777777" w:rsidR="00A14D41" w:rsidRDefault="00A14D41" w:rsidP="00A14D41">
      <w:pPr>
        <w:spacing w:line="240" w:lineRule="auto"/>
        <w:rPr>
          <w:rFonts w:eastAsia="Times New Roman" w:cs="Arial"/>
          <w:bCs/>
          <w:color w:val="000000"/>
          <w:lang w:eastAsia="bg-BG"/>
        </w:rPr>
      </w:pPr>
    </w:p>
    <w:p w14:paraId="5CB1FD50" w14:textId="3B65011D"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Цефепим трябва да се прилага с повишено внимание при пациенти с анамнеза за астма или алергична диатеза. Пациентът трябва да се наблюдава внимателно по време на първото приложение.</w:t>
      </w:r>
    </w:p>
    <w:p w14:paraId="777AEB73" w14:textId="77777777" w:rsidR="00A14D41" w:rsidRDefault="00A14D41" w:rsidP="00A14D41">
      <w:pPr>
        <w:spacing w:line="240" w:lineRule="auto"/>
        <w:rPr>
          <w:rFonts w:eastAsia="Times New Roman" w:cs="Arial"/>
          <w:bCs/>
          <w:color w:val="000000"/>
          <w:lang w:eastAsia="bg-BG"/>
        </w:rPr>
      </w:pPr>
    </w:p>
    <w:p w14:paraId="334FC9F1" w14:textId="716980B1"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lastRenderedPageBreak/>
        <w:t>Ако настъпи алергична реакция, лечението трябва незабавно да се прекрати. При сериозни реакции на свръхчувствителност трябва да се прилага терапия с епинефрин (адреналин), хидрокортизон, антихистамини и други спешни мерки. Тези реакции на свръхчувствителност могат да бъдат тежки и понякога с фатален край.</w:t>
      </w:r>
    </w:p>
    <w:p w14:paraId="57335272" w14:textId="77777777" w:rsidR="00A14D41" w:rsidRDefault="00A14D41" w:rsidP="00A14D41">
      <w:pPr>
        <w:spacing w:line="240" w:lineRule="auto"/>
        <w:rPr>
          <w:rFonts w:eastAsia="Times New Roman" w:cs="Arial"/>
          <w:bCs/>
          <w:color w:val="000000"/>
          <w:lang w:eastAsia="bg-BG"/>
        </w:rPr>
      </w:pPr>
    </w:p>
    <w:p w14:paraId="17030143" w14:textId="41A7A35F"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Псевдомембранозен колит е съобщаван като възможно усложнение при прием на всички антибиотици, включително цефепим. Поради тази причина е важно да се има предвид тази диагноза при пациенти, които развиват диария при употребата на антибиотици. Трябва да се обмисли прекъсване на лечението или започване на специфична терапия в зависимост от интензивността на оплакванията.</w:t>
      </w:r>
    </w:p>
    <w:p w14:paraId="7011DB1A" w14:textId="77777777" w:rsidR="00A14D41" w:rsidRDefault="00A14D41" w:rsidP="00A14D41">
      <w:pPr>
        <w:spacing w:line="240" w:lineRule="auto"/>
        <w:rPr>
          <w:rFonts w:eastAsia="Times New Roman" w:cs="Arial"/>
          <w:bCs/>
          <w:color w:val="000000"/>
          <w:lang w:eastAsia="bg-BG"/>
        </w:rPr>
      </w:pPr>
    </w:p>
    <w:p w14:paraId="69543197" w14:textId="66EEBE92"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Няма данни за нефротоксични ефекти по време на използването на цефепим. Въпреки това, намаляване на дозата е необходимо в случай на увредена бъбречна функция (вж. точка 4.2).</w:t>
      </w:r>
    </w:p>
    <w:p w14:paraId="004EE045" w14:textId="77777777" w:rsidR="00A14D41" w:rsidRDefault="00A14D41" w:rsidP="00A14D41">
      <w:pPr>
        <w:spacing w:line="240" w:lineRule="auto"/>
        <w:rPr>
          <w:rFonts w:eastAsia="Times New Roman" w:cs="Arial"/>
          <w:bCs/>
          <w:color w:val="000000"/>
          <w:lang w:eastAsia="bg-BG"/>
        </w:rPr>
      </w:pPr>
    </w:p>
    <w:p w14:paraId="5DFF6E48" w14:textId="780F5C25"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Цефепим се елиминира през бъбреците; поради това дозата трябва да се намали според степента на бъбречното увреждане. Неврологични усложнения са докладвани, когато при пациенти с бъбречно увреждане дозата не е била намалена (вж. точка 4.8). Като цяло, симптомите на невротоксичност изчезват след прекратяване на терапията с цефепим и/или след хемодиализа; в някои случаи обаче, изходът е бил фатален.</w:t>
      </w:r>
    </w:p>
    <w:p w14:paraId="77F6A068" w14:textId="77777777" w:rsidR="00A14D41" w:rsidRDefault="00A14D41" w:rsidP="00A14D41">
      <w:pPr>
        <w:spacing w:line="240" w:lineRule="auto"/>
        <w:rPr>
          <w:rFonts w:eastAsia="Times New Roman" w:cs="Arial"/>
          <w:bCs/>
          <w:color w:val="000000"/>
          <w:lang w:eastAsia="bg-BG"/>
        </w:rPr>
      </w:pPr>
    </w:p>
    <w:p w14:paraId="2B36A6BC" w14:textId="6CFE6F09"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Както и при други широкоспектърни антибактериални средства, продължителната употреба може да доведе до свръхрастеж на нечувствителни организми (напр. ентерококи, гъбички), което може да наложи прекъсване на лечението или предприемане на подходящи мерки. От съществено значение е редовното оценяване на състоянието на пациента.</w:t>
      </w:r>
    </w:p>
    <w:p w14:paraId="56FD9BB9" w14:textId="77777777" w:rsidR="00A14D41" w:rsidRDefault="00A14D41" w:rsidP="00A14D41">
      <w:pPr>
        <w:spacing w:line="240" w:lineRule="auto"/>
        <w:rPr>
          <w:rFonts w:eastAsia="Times New Roman" w:cs="Arial"/>
          <w:bCs/>
          <w:color w:val="000000"/>
          <w:u w:val="single"/>
          <w:lang w:eastAsia="bg-BG"/>
        </w:rPr>
      </w:pPr>
    </w:p>
    <w:p w14:paraId="6AA74752" w14:textId="4B74B2D6" w:rsidR="00A14D41" w:rsidRPr="00A14D41" w:rsidRDefault="00A14D41" w:rsidP="00A14D41">
      <w:pPr>
        <w:spacing w:line="240" w:lineRule="auto"/>
        <w:rPr>
          <w:rFonts w:eastAsia="Times New Roman" w:cs="Arial"/>
          <w:b/>
        </w:rPr>
      </w:pPr>
      <w:r w:rsidRPr="00A14D41">
        <w:rPr>
          <w:rFonts w:eastAsia="Times New Roman" w:cs="Arial"/>
          <w:b/>
          <w:bCs/>
          <w:color w:val="000000"/>
          <w:u w:val="single"/>
          <w:lang w:eastAsia="bg-BG"/>
        </w:rPr>
        <w:t>Взаимодействия с диагностични тестове:</w:t>
      </w:r>
    </w:p>
    <w:p w14:paraId="2E680A81"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 xml:space="preserve">Положителен тест на </w:t>
      </w:r>
      <w:r w:rsidRPr="00A14D41">
        <w:rPr>
          <w:rFonts w:eastAsia="Times New Roman" w:cs="Arial"/>
          <w:bCs/>
          <w:color w:val="000000"/>
          <w:lang w:val="en-US"/>
        </w:rPr>
        <w:t>Coombs</w:t>
      </w:r>
      <w:r w:rsidRPr="00A14D41">
        <w:rPr>
          <w:rFonts w:eastAsia="Times New Roman" w:cs="Arial"/>
          <w:bCs/>
          <w:color w:val="000000"/>
          <w:lang w:val="ru-RU"/>
        </w:rPr>
        <w:t xml:space="preserve">, </w:t>
      </w:r>
      <w:r w:rsidRPr="00A14D41">
        <w:rPr>
          <w:rFonts w:eastAsia="Times New Roman" w:cs="Arial"/>
          <w:bCs/>
          <w:color w:val="000000"/>
          <w:lang w:eastAsia="bg-BG"/>
        </w:rPr>
        <w:t>без данни за хемолиза е описан при пациенти, лекувани с цефепим два пъти дневно (12,3 % от пациентите).</w:t>
      </w:r>
    </w:p>
    <w:p w14:paraId="6867B80C"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Може да се наблюдава слабо взаимодействие с реактиви на медна основа.</w:t>
      </w:r>
    </w:p>
    <w:p w14:paraId="59D61365" w14:textId="5D740BB0" w:rsidR="00A14D41" w:rsidRPr="00A14D41" w:rsidRDefault="00A14D41" w:rsidP="00A14D41">
      <w:pPr>
        <w:spacing w:line="240" w:lineRule="auto"/>
        <w:rPr>
          <w:rFonts w:ascii="Times New Roman" w:eastAsia="Times New Roman" w:hAnsi="Times New Roman" w:cs="Times New Roman"/>
        </w:rPr>
      </w:pPr>
      <w:r w:rsidRPr="00A14D41">
        <w:rPr>
          <w:rFonts w:eastAsia="Times New Roman" w:cs="Arial"/>
          <w:bCs/>
          <w:color w:val="000000"/>
          <w:lang w:eastAsia="bg-BG"/>
        </w:rPr>
        <w:t>Ако е получена фалшиво положителна реакция от тест за глюкозурия, за предпочитане е да се</w:t>
      </w:r>
      <w:r w:rsidRPr="00A14D41">
        <w:rPr>
          <w:rFonts w:eastAsia="Times New Roman" w:cs="Arial"/>
        </w:rPr>
        <w:t xml:space="preserve"> </w:t>
      </w:r>
      <w:r w:rsidRPr="00A14D41">
        <w:rPr>
          <w:rFonts w:eastAsia="Times New Roman" w:cs="Arial"/>
          <w:bCs/>
          <w:color w:val="000000"/>
          <w:lang w:eastAsia="bg-BG"/>
        </w:rPr>
        <w:t>използва глюкозо-оксидазния метод за анализ.</w:t>
      </w:r>
    </w:p>
    <w:p w14:paraId="6DD95553" w14:textId="77777777" w:rsidR="00A14D41" w:rsidRPr="00A14D41" w:rsidRDefault="00A14D41" w:rsidP="00A14D41"/>
    <w:p w14:paraId="302A1C2B" w14:textId="5A4BFC32" w:rsidR="00426E5F" w:rsidRDefault="002C50EE" w:rsidP="00A65A81">
      <w:pPr>
        <w:pStyle w:val="Heading2"/>
      </w:pPr>
      <w:r>
        <w:t>4.5. Взаимодействие с други лекарствени продукти и други форми на взаимодействие</w:t>
      </w:r>
    </w:p>
    <w:p w14:paraId="3016EAE6" w14:textId="7A3E4022" w:rsidR="00A14D41" w:rsidRDefault="00A14D41" w:rsidP="00A14D41"/>
    <w:p w14:paraId="21E78B54" w14:textId="77777777" w:rsidR="00A14D41" w:rsidRDefault="00A14D41" w:rsidP="00A14D41">
      <w:pPr>
        <w:pStyle w:val="ListParagraph"/>
        <w:numPr>
          <w:ilvl w:val="0"/>
          <w:numId w:val="35"/>
        </w:numPr>
        <w:rPr>
          <w:lang w:eastAsia="bg-BG"/>
        </w:rPr>
      </w:pPr>
      <w:r w:rsidRPr="00A14D41">
        <w:rPr>
          <w:lang w:eastAsia="bg-BG"/>
        </w:rPr>
        <w:t>Бъбречната функция трябва да се мониторира, ако цефепим се използва в комбинация с потенциално нефротоксични лекарствени продукти, като аминогликозиди и мощни диуретици;</w:t>
      </w:r>
    </w:p>
    <w:p w14:paraId="0BB22CC4" w14:textId="77777777" w:rsidR="00A14D41" w:rsidRDefault="00A14D41" w:rsidP="00A14D41">
      <w:pPr>
        <w:pStyle w:val="ListParagraph"/>
        <w:numPr>
          <w:ilvl w:val="0"/>
          <w:numId w:val="35"/>
        </w:numPr>
        <w:rPr>
          <w:lang w:eastAsia="bg-BG"/>
        </w:rPr>
      </w:pPr>
      <w:r w:rsidRPr="00A14D41">
        <w:rPr>
          <w:lang w:eastAsia="bg-BG"/>
        </w:rPr>
        <w:t>Цефалоспорините могат да засилят действието на кумариновите антикоагуланти;</w:t>
      </w:r>
    </w:p>
    <w:p w14:paraId="13DDD443" w14:textId="43757264" w:rsidR="00A14D41" w:rsidRPr="00A14D41" w:rsidRDefault="00A14D41" w:rsidP="00A14D41">
      <w:pPr>
        <w:pStyle w:val="ListParagraph"/>
        <w:numPr>
          <w:ilvl w:val="0"/>
          <w:numId w:val="35"/>
        </w:numPr>
        <w:rPr>
          <w:lang w:eastAsia="bg-BG"/>
        </w:rPr>
      </w:pPr>
      <w:r w:rsidRPr="00A14D41">
        <w:rPr>
          <w:lang w:eastAsia="bg-BG"/>
        </w:rPr>
        <w:t>Едновременната употреба с бактериостатични антибиотици може да възпрепятства действието на бета-лактамните антибиотици.</w:t>
      </w:r>
    </w:p>
    <w:p w14:paraId="412F5C9A" w14:textId="77777777" w:rsidR="00A14D41" w:rsidRPr="00A14D41" w:rsidRDefault="00A14D41" w:rsidP="00A14D41"/>
    <w:p w14:paraId="73662265" w14:textId="4D6C04CA" w:rsidR="00426E5F" w:rsidRDefault="002C50EE" w:rsidP="00A65A81">
      <w:pPr>
        <w:pStyle w:val="Heading2"/>
      </w:pPr>
      <w:r>
        <w:t>4.6. Фертилитет, бременност и кърмене</w:t>
      </w:r>
    </w:p>
    <w:p w14:paraId="44008BF4" w14:textId="6405EFEC" w:rsidR="00A14D41" w:rsidRDefault="00A14D41" w:rsidP="00A14D41"/>
    <w:p w14:paraId="2EBDE033" w14:textId="77777777" w:rsidR="00A14D41" w:rsidRPr="00A14D41" w:rsidRDefault="00A14D41" w:rsidP="00A14D41">
      <w:pPr>
        <w:pStyle w:val="Heading3"/>
        <w:rPr>
          <w:rFonts w:eastAsia="Times New Roman"/>
          <w:u w:val="single"/>
        </w:rPr>
      </w:pPr>
      <w:r w:rsidRPr="00A14D41">
        <w:rPr>
          <w:rFonts w:eastAsia="Times New Roman"/>
          <w:u w:val="single"/>
          <w:lang w:eastAsia="bg-BG"/>
        </w:rPr>
        <w:t>Бременност:</w:t>
      </w:r>
    </w:p>
    <w:p w14:paraId="454ED5AD"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Няма достатъчно данни от употребата на цефепим при бременни жени.</w:t>
      </w:r>
    </w:p>
    <w:p w14:paraId="7C681CD2"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lastRenderedPageBreak/>
        <w:t>Проучванията при животни не показват директни или индиректни вредни ефекти по отношение на бременността, ембрионалното/феталното развитие, раждането или постнаталното развитие (вж. точка 5.3).</w:t>
      </w:r>
    </w:p>
    <w:p w14:paraId="41268F5D"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Като предпазна мярка е за предпочитане да се избягва използването на цефепим по време на бременност.</w:t>
      </w:r>
    </w:p>
    <w:p w14:paraId="31EE5DB6" w14:textId="77777777" w:rsidR="00A14D41" w:rsidRPr="00A14D41" w:rsidRDefault="00A14D41" w:rsidP="00A14D41">
      <w:pPr>
        <w:spacing w:line="240" w:lineRule="auto"/>
        <w:rPr>
          <w:rFonts w:eastAsia="Times New Roman" w:cs="Arial"/>
          <w:bCs/>
          <w:color w:val="000000"/>
          <w:u w:val="single"/>
          <w:lang w:eastAsia="bg-BG"/>
        </w:rPr>
      </w:pPr>
    </w:p>
    <w:p w14:paraId="7F56ABFD" w14:textId="1480F2C6" w:rsidR="00A14D41" w:rsidRPr="00A14D41" w:rsidRDefault="00A14D41" w:rsidP="00A14D41">
      <w:pPr>
        <w:pStyle w:val="Heading3"/>
        <w:rPr>
          <w:rFonts w:eastAsia="Times New Roman"/>
          <w:u w:val="single"/>
        </w:rPr>
      </w:pPr>
      <w:r w:rsidRPr="00A14D41">
        <w:rPr>
          <w:rFonts w:eastAsia="Times New Roman"/>
          <w:u w:val="single"/>
          <w:lang w:eastAsia="bg-BG"/>
        </w:rPr>
        <w:t>Кърмене:</w:t>
      </w:r>
    </w:p>
    <w:p w14:paraId="3B10F482"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Цефепим се отделя в майчиното мляко в много ниски концентрации. При терапевтични дози на цефепим, не се очакват ефекти върху кърмачето. Цефепим може да се прилага по време на кърмене, но новороденото трябва да се следи отблизо.</w:t>
      </w:r>
    </w:p>
    <w:p w14:paraId="52D21A3C" w14:textId="77777777" w:rsidR="00A14D41" w:rsidRPr="00A14D41" w:rsidRDefault="00A14D41" w:rsidP="00A14D41"/>
    <w:p w14:paraId="2B2E0E23" w14:textId="2699A434" w:rsidR="00426E5F" w:rsidRDefault="002C50EE" w:rsidP="00A65A81">
      <w:pPr>
        <w:pStyle w:val="Heading2"/>
      </w:pPr>
      <w:r>
        <w:t>4.7. Ефекти върху способността за шофиране и работа с машини</w:t>
      </w:r>
    </w:p>
    <w:p w14:paraId="6F3D174F" w14:textId="15B4294A" w:rsidR="00A14D41" w:rsidRDefault="00A14D41" w:rsidP="00A14D41"/>
    <w:p w14:paraId="3BA0AB76" w14:textId="4AE128CE" w:rsidR="00A14D41" w:rsidRPr="00A14D41" w:rsidRDefault="00A14D41" w:rsidP="00A14D41">
      <w:pPr>
        <w:rPr>
          <w:sz w:val="24"/>
          <w:szCs w:val="24"/>
        </w:rPr>
      </w:pPr>
      <w:r w:rsidRPr="00A14D41">
        <w:rPr>
          <w:lang w:eastAsia="bg-BG"/>
        </w:rPr>
        <w:t>Не са провеждани проучвания за ефектите от приложението на цефепим върху способността за шофиране и работа с машини.</w:t>
      </w:r>
    </w:p>
    <w:p w14:paraId="04B553B1" w14:textId="77777777" w:rsidR="00A14D41" w:rsidRPr="00A14D41" w:rsidRDefault="00A14D41" w:rsidP="00A14D41"/>
    <w:p w14:paraId="25EF1252" w14:textId="3AE75129" w:rsidR="00426E5F" w:rsidRDefault="002C50EE" w:rsidP="00A65A81">
      <w:pPr>
        <w:pStyle w:val="Heading2"/>
      </w:pPr>
      <w:r>
        <w:t>4.8. Нежелани лекарствени реакции</w:t>
      </w:r>
    </w:p>
    <w:p w14:paraId="57216211" w14:textId="36BC0DA7" w:rsidR="00A14D41" w:rsidRDefault="00A14D41" w:rsidP="00A14D41"/>
    <w:p w14:paraId="5A3DFCBB"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Следните нежелани реакции са докладвани по време на клинични проучвания със следната честота:</w:t>
      </w:r>
    </w:p>
    <w:p w14:paraId="17157A76"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Много чести ( ≥ 1/10)</w:t>
      </w:r>
    </w:p>
    <w:p w14:paraId="2E07C341"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Чести (≥ 1/100 до &lt; 1/10)</w:t>
      </w:r>
    </w:p>
    <w:p w14:paraId="7ADA6BE7"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Нечести ( ≥ 1/1 000 до &lt; 1/100)</w:t>
      </w:r>
    </w:p>
    <w:p w14:paraId="286A6E36"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Редки (≥ 1/10 000 до &lt; 1/1 000)</w:t>
      </w:r>
    </w:p>
    <w:p w14:paraId="1612D9AC"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Много редки (&lt; 1/10 000)</w:t>
      </w:r>
    </w:p>
    <w:p w14:paraId="67649396" w14:textId="27E2D174" w:rsidR="00A14D41" w:rsidRDefault="00A14D41" w:rsidP="00A14D41">
      <w:pPr>
        <w:rPr>
          <w:rFonts w:eastAsia="Times New Roman" w:cs="Arial"/>
          <w:bCs/>
          <w:color w:val="000000"/>
          <w:lang w:eastAsia="bg-BG"/>
        </w:rPr>
      </w:pPr>
      <w:r w:rsidRPr="00A14D41">
        <w:rPr>
          <w:rFonts w:eastAsia="Times New Roman" w:cs="Arial"/>
          <w:bCs/>
          <w:color w:val="000000"/>
          <w:lang w:eastAsia="bg-BG"/>
        </w:rPr>
        <w:t>С неизвестна честота (от наличните данни не може да бъде направена оценка)</w:t>
      </w:r>
    </w:p>
    <w:p w14:paraId="438A1726" w14:textId="23A6D5A3" w:rsidR="00A14D41" w:rsidRDefault="00A14D41" w:rsidP="00A14D41">
      <w:pPr>
        <w:rPr>
          <w:rFonts w:eastAsia="Times New Roman" w:cs="Arial"/>
          <w:bCs/>
          <w:color w:val="000000"/>
          <w:lang w:eastAsia="bg-BG"/>
        </w:rPr>
      </w:pPr>
    </w:p>
    <w:tbl>
      <w:tblPr>
        <w:tblStyle w:val="TableGrid"/>
        <w:tblW w:w="0" w:type="auto"/>
        <w:tblLook w:val="04A0" w:firstRow="1" w:lastRow="0" w:firstColumn="1" w:lastColumn="0" w:noHBand="0" w:noVBand="1"/>
      </w:tblPr>
      <w:tblGrid>
        <w:gridCol w:w="1701"/>
        <w:gridCol w:w="2151"/>
        <w:gridCol w:w="2070"/>
        <w:gridCol w:w="1648"/>
        <w:gridCol w:w="1780"/>
      </w:tblGrid>
      <w:tr w:rsidR="00A14D41" w14:paraId="392703FD" w14:textId="77777777" w:rsidTr="00442C9B">
        <w:tc>
          <w:tcPr>
            <w:tcW w:w="9576" w:type="dxa"/>
            <w:gridSpan w:val="5"/>
          </w:tcPr>
          <w:p w14:paraId="04FEAC5C" w14:textId="6A995958" w:rsidR="00A14D41" w:rsidRPr="00A14D41" w:rsidRDefault="00A14D41" w:rsidP="00A14D41">
            <w:pPr>
              <w:jc w:val="center"/>
              <w:rPr>
                <w:rFonts w:cs="Arial"/>
              </w:rPr>
            </w:pPr>
            <w:r w:rsidRPr="00A14D41">
              <w:t>Честота на нежеланите реакции</w:t>
            </w:r>
          </w:p>
        </w:tc>
      </w:tr>
      <w:tr w:rsidR="00A14D41" w14:paraId="2A594DB8" w14:textId="77777777" w:rsidTr="00A14D41">
        <w:tc>
          <w:tcPr>
            <w:tcW w:w="1741" w:type="dxa"/>
          </w:tcPr>
          <w:p w14:paraId="28D0CE17" w14:textId="27AA4DF7" w:rsidR="00A14D41" w:rsidRDefault="00A14D41" w:rsidP="00A14D41">
            <w:pPr>
              <w:rPr>
                <w:rFonts w:cs="Arial"/>
              </w:rPr>
            </w:pPr>
            <w:r>
              <w:t>Системо-органнн класове</w:t>
            </w:r>
          </w:p>
        </w:tc>
        <w:tc>
          <w:tcPr>
            <w:tcW w:w="2204" w:type="dxa"/>
          </w:tcPr>
          <w:p w14:paraId="6D7EFF47" w14:textId="4B7DC509" w:rsidR="00A14D41" w:rsidRDefault="00A14D41" w:rsidP="00A14D41">
            <w:pPr>
              <w:rPr>
                <w:rFonts w:cs="Arial"/>
              </w:rPr>
            </w:pPr>
            <w:r>
              <w:t>Чести</w:t>
            </w:r>
          </w:p>
        </w:tc>
        <w:tc>
          <w:tcPr>
            <w:tcW w:w="2121" w:type="dxa"/>
          </w:tcPr>
          <w:p w14:paraId="3C14261A" w14:textId="32FCCEF9" w:rsidR="00A14D41" w:rsidRDefault="00A14D41" w:rsidP="00A14D41">
            <w:pPr>
              <w:rPr>
                <w:rFonts w:cs="Arial"/>
              </w:rPr>
            </w:pPr>
            <w:r>
              <w:t>Нечести</w:t>
            </w:r>
          </w:p>
        </w:tc>
        <w:tc>
          <w:tcPr>
            <w:tcW w:w="1687" w:type="dxa"/>
          </w:tcPr>
          <w:p w14:paraId="6C068F15" w14:textId="279D0518" w:rsidR="00A14D41" w:rsidRDefault="00A14D41" w:rsidP="00A14D41">
            <w:pPr>
              <w:rPr>
                <w:rFonts w:cs="Arial"/>
              </w:rPr>
            </w:pPr>
            <w:r>
              <w:t>Редки</w:t>
            </w:r>
          </w:p>
        </w:tc>
        <w:tc>
          <w:tcPr>
            <w:tcW w:w="1823" w:type="dxa"/>
          </w:tcPr>
          <w:p w14:paraId="52ABF816" w14:textId="4DD92D01" w:rsidR="00A14D41" w:rsidRDefault="00A14D41" w:rsidP="00A14D41">
            <w:pPr>
              <w:rPr>
                <w:rFonts w:cs="Arial"/>
              </w:rPr>
            </w:pPr>
            <w:r>
              <w:t>С неизвестна честота</w:t>
            </w:r>
          </w:p>
        </w:tc>
      </w:tr>
      <w:tr w:rsidR="00A14D41" w14:paraId="199F42CB" w14:textId="77777777" w:rsidTr="00A14D41">
        <w:tc>
          <w:tcPr>
            <w:tcW w:w="1741" w:type="dxa"/>
          </w:tcPr>
          <w:p w14:paraId="3F074AA2" w14:textId="1FA05D8D" w:rsidR="00A14D41" w:rsidRDefault="00A14D41" w:rsidP="00A14D41">
            <w:pPr>
              <w:rPr>
                <w:rFonts w:cs="Arial"/>
              </w:rPr>
            </w:pPr>
            <w:r>
              <w:t>Инфекции и инфестации</w:t>
            </w:r>
          </w:p>
        </w:tc>
        <w:tc>
          <w:tcPr>
            <w:tcW w:w="2204" w:type="dxa"/>
          </w:tcPr>
          <w:p w14:paraId="15C70AF0" w14:textId="77777777" w:rsidR="00A14D41" w:rsidRDefault="00A14D41" w:rsidP="00A14D41">
            <w:pPr>
              <w:rPr>
                <w:rFonts w:cs="Arial"/>
              </w:rPr>
            </w:pPr>
          </w:p>
        </w:tc>
        <w:tc>
          <w:tcPr>
            <w:tcW w:w="2121" w:type="dxa"/>
          </w:tcPr>
          <w:p w14:paraId="0FFB43C0" w14:textId="6631AA0F" w:rsidR="00A14D41" w:rsidRDefault="00A14D41" w:rsidP="00A14D41">
            <w:pPr>
              <w:rPr>
                <w:rFonts w:cs="Arial"/>
              </w:rPr>
            </w:pPr>
            <w:r>
              <w:t>вагинит</w:t>
            </w:r>
          </w:p>
        </w:tc>
        <w:tc>
          <w:tcPr>
            <w:tcW w:w="1687" w:type="dxa"/>
          </w:tcPr>
          <w:p w14:paraId="3562D6D2" w14:textId="77777777" w:rsidR="00A14D41" w:rsidRDefault="00A14D41" w:rsidP="00A14D41">
            <w:pPr>
              <w:rPr>
                <w:rFonts w:cs="Arial"/>
              </w:rPr>
            </w:pPr>
          </w:p>
        </w:tc>
        <w:tc>
          <w:tcPr>
            <w:tcW w:w="1823" w:type="dxa"/>
          </w:tcPr>
          <w:p w14:paraId="2BD8075D" w14:textId="77777777" w:rsidR="00A14D41" w:rsidRDefault="00A14D41" w:rsidP="00A14D41">
            <w:pPr>
              <w:rPr>
                <w:rFonts w:cs="Arial"/>
              </w:rPr>
            </w:pPr>
          </w:p>
        </w:tc>
      </w:tr>
      <w:tr w:rsidR="00A14D41" w14:paraId="2AFC86FB" w14:textId="77777777" w:rsidTr="00A14D41">
        <w:tc>
          <w:tcPr>
            <w:tcW w:w="1741" w:type="dxa"/>
          </w:tcPr>
          <w:p w14:paraId="0DD22E94" w14:textId="3B03DAEF" w:rsidR="00A14D41" w:rsidRDefault="00A14D41" w:rsidP="00A14D41">
            <w:pPr>
              <w:rPr>
                <w:rFonts w:cs="Arial"/>
              </w:rPr>
            </w:pPr>
            <w:r>
              <w:t>Нарушения на кръвта и лимфната система</w:t>
            </w:r>
          </w:p>
        </w:tc>
        <w:tc>
          <w:tcPr>
            <w:tcW w:w="2204" w:type="dxa"/>
          </w:tcPr>
          <w:p w14:paraId="5351AC85" w14:textId="1DF2DB18" w:rsidR="00A14D41" w:rsidRDefault="00A14D41" w:rsidP="00A14D41">
            <w:pPr>
              <w:rPr>
                <w:rFonts w:cs="Arial"/>
              </w:rPr>
            </w:pPr>
            <w:r>
              <w:t>анемия, хипереозинофилия</w:t>
            </w:r>
          </w:p>
        </w:tc>
        <w:tc>
          <w:tcPr>
            <w:tcW w:w="2121" w:type="dxa"/>
          </w:tcPr>
          <w:p w14:paraId="7F545277" w14:textId="08CBDA26" w:rsidR="00A14D41" w:rsidRDefault="00A14D41" w:rsidP="00A14D41">
            <w:pPr>
              <w:rPr>
                <w:rFonts w:cs="Arial"/>
              </w:rPr>
            </w:pPr>
            <w:r>
              <w:t>тромбоцитопения, преходна левкопения или неутропения</w:t>
            </w:r>
          </w:p>
        </w:tc>
        <w:tc>
          <w:tcPr>
            <w:tcW w:w="1687" w:type="dxa"/>
          </w:tcPr>
          <w:p w14:paraId="60EC8B80" w14:textId="0F7CA0A6" w:rsidR="00A14D41" w:rsidRDefault="00A14D41" w:rsidP="00A14D41">
            <w:pPr>
              <w:rPr>
                <w:rFonts w:cs="Arial"/>
              </w:rPr>
            </w:pPr>
            <w:r>
              <w:t>агранулоцитоза</w:t>
            </w:r>
          </w:p>
        </w:tc>
        <w:tc>
          <w:tcPr>
            <w:tcW w:w="1823" w:type="dxa"/>
          </w:tcPr>
          <w:p w14:paraId="5A511768" w14:textId="77777777" w:rsidR="00A14D41" w:rsidRPr="00954024" w:rsidRDefault="00954024" w:rsidP="00A14D41">
            <w:pPr>
              <w:rPr>
                <w:rFonts w:cs="Arial"/>
                <w:lang w:val="ru-RU"/>
              </w:rPr>
            </w:pPr>
            <w:r w:rsidRPr="00954024">
              <w:rPr>
                <w:rFonts w:cs="Arial"/>
              </w:rPr>
              <w:t>Апластична или хемолитична анемия</w:t>
            </w:r>
            <w:r w:rsidRPr="00954024">
              <w:rPr>
                <w:rFonts w:cs="Arial"/>
                <w:lang w:val="ru-RU"/>
              </w:rPr>
              <w:t>,</w:t>
            </w:r>
          </w:p>
          <w:p w14:paraId="6DB09978" w14:textId="2F849DE3" w:rsidR="00954024" w:rsidRPr="00954024" w:rsidRDefault="00954024" w:rsidP="00A14D41">
            <w:pPr>
              <w:rPr>
                <w:rFonts w:cs="Arial"/>
                <w:lang w:val="ru-RU"/>
              </w:rPr>
            </w:pPr>
            <w:r w:rsidRPr="00954024">
              <w:rPr>
                <w:rFonts w:cs="Arial"/>
                <w:lang w:val="ru-RU"/>
              </w:rPr>
              <w:t>Кръвоизливи</w:t>
            </w:r>
            <w:bookmarkStart w:id="1" w:name="_GoBack"/>
            <w:bookmarkEnd w:id="1"/>
          </w:p>
        </w:tc>
      </w:tr>
      <w:tr w:rsidR="00A14D41" w14:paraId="628097EF" w14:textId="77777777" w:rsidTr="00A14D41">
        <w:tc>
          <w:tcPr>
            <w:tcW w:w="1741" w:type="dxa"/>
          </w:tcPr>
          <w:p w14:paraId="34D324B9" w14:textId="64311D41" w:rsidR="00A14D41" w:rsidRPr="00A14D41" w:rsidRDefault="00A14D41" w:rsidP="00A14D41">
            <w:pPr>
              <w:rPr>
                <w:rFonts w:cs="Arial"/>
              </w:rPr>
            </w:pPr>
            <w:r w:rsidRPr="00A14D41">
              <w:rPr>
                <w:bCs/>
              </w:rPr>
              <w:t>Нарушения на имунната система</w:t>
            </w:r>
          </w:p>
        </w:tc>
        <w:tc>
          <w:tcPr>
            <w:tcW w:w="2204" w:type="dxa"/>
          </w:tcPr>
          <w:p w14:paraId="2334A95F" w14:textId="4B3C2DB7" w:rsidR="00A14D41" w:rsidRPr="00A14D41" w:rsidRDefault="00A14D41" w:rsidP="00A14D41">
            <w:pPr>
              <w:rPr>
                <w:rFonts w:cs="Arial"/>
              </w:rPr>
            </w:pPr>
            <w:r w:rsidRPr="00A14D41">
              <w:rPr>
                <w:bCs/>
              </w:rPr>
              <w:t>реакции на свръхчувствителност (обрив)</w:t>
            </w:r>
          </w:p>
        </w:tc>
        <w:tc>
          <w:tcPr>
            <w:tcW w:w="2121" w:type="dxa"/>
          </w:tcPr>
          <w:p w14:paraId="36526506" w14:textId="5EB29CEC" w:rsidR="00A14D41" w:rsidRPr="00A14D41" w:rsidRDefault="00A14D41" w:rsidP="00A14D41">
            <w:pPr>
              <w:rPr>
                <w:rFonts w:cs="Arial"/>
              </w:rPr>
            </w:pPr>
            <w:r w:rsidRPr="00A14D41">
              <w:rPr>
                <w:bCs/>
              </w:rPr>
              <w:t>алергични реакции (сърбеж, уртикария)</w:t>
            </w:r>
          </w:p>
        </w:tc>
        <w:tc>
          <w:tcPr>
            <w:tcW w:w="1687" w:type="dxa"/>
          </w:tcPr>
          <w:p w14:paraId="11FA63E9" w14:textId="053AE29A" w:rsidR="00A14D41" w:rsidRPr="00A14D41" w:rsidRDefault="00A14D41" w:rsidP="00A14D41">
            <w:pPr>
              <w:rPr>
                <w:rFonts w:cs="Arial"/>
              </w:rPr>
            </w:pPr>
            <w:r w:rsidRPr="00A14D41">
              <w:rPr>
                <w:bCs/>
              </w:rPr>
              <w:t>анафилаксия</w:t>
            </w:r>
          </w:p>
        </w:tc>
        <w:tc>
          <w:tcPr>
            <w:tcW w:w="1823" w:type="dxa"/>
          </w:tcPr>
          <w:p w14:paraId="4DD7951F" w14:textId="77777777" w:rsidR="00A14D41" w:rsidRPr="00A14D41" w:rsidRDefault="00A14D41" w:rsidP="00A14D41">
            <w:pPr>
              <w:rPr>
                <w:rFonts w:cs="Arial"/>
              </w:rPr>
            </w:pPr>
          </w:p>
        </w:tc>
      </w:tr>
      <w:tr w:rsidR="00A14D41" w14:paraId="4A23FA06" w14:textId="77777777" w:rsidTr="00A14D41">
        <w:tc>
          <w:tcPr>
            <w:tcW w:w="1741" w:type="dxa"/>
          </w:tcPr>
          <w:p w14:paraId="7A518536" w14:textId="3F13F1C1" w:rsidR="00A14D41" w:rsidRPr="00A14D41" w:rsidRDefault="00A14D41" w:rsidP="00A14D41">
            <w:pPr>
              <w:rPr>
                <w:rFonts w:cs="Arial"/>
              </w:rPr>
            </w:pPr>
            <w:r w:rsidRPr="00A14D41">
              <w:rPr>
                <w:bCs/>
              </w:rPr>
              <w:t>Нарушения на нервната система</w:t>
            </w:r>
          </w:p>
        </w:tc>
        <w:tc>
          <w:tcPr>
            <w:tcW w:w="2204" w:type="dxa"/>
          </w:tcPr>
          <w:p w14:paraId="24705D35" w14:textId="77777777" w:rsidR="00A14D41" w:rsidRPr="00A14D41" w:rsidRDefault="00A14D41" w:rsidP="00A14D41">
            <w:pPr>
              <w:rPr>
                <w:rFonts w:cs="Arial"/>
              </w:rPr>
            </w:pPr>
          </w:p>
        </w:tc>
        <w:tc>
          <w:tcPr>
            <w:tcW w:w="2121" w:type="dxa"/>
          </w:tcPr>
          <w:p w14:paraId="05B48603" w14:textId="7B2E61B6" w:rsidR="00A14D41" w:rsidRPr="00A14D41" w:rsidRDefault="00A14D41" w:rsidP="00A14D41">
            <w:pPr>
              <w:rPr>
                <w:rFonts w:cs="Arial"/>
              </w:rPr>
            </w:pPr>
            <w:r w:rsidRPr="00A14D41">
              <w:rPr>
                <w:bCs/>
              </w:rPr>
              <w:t>главоболие</w:t>
            </w:r>
          </w:p>
        </w:tc>
        <w:tc>
          <w:tcPr>
            <w:tcW w:w="1687" w:type="dxa"/>
            <w:vAlign w:val="bottom"/>
          </w:tcPr>
          <w:p w14:paraId="7985C6B3" w14:textId="3D6772D6" w:rsidR="00A14D41" w:rsidRPr="00A14D41" w:rsidRDefault="00A14D41" w:rsidP="00A14D41">
            <w:pPr>
              <w:rPr>
                <w:rFonts w:cs="Arial"/>
              </w:rPr>
            </w:pPr>
            <w:r w:rsidRPr="00A14D41">
              <w:rPr>
                <w:bCs/>
              </w:rPr>
              <w:t>парестезия, обърканост, замаяност, гърчове, промяна в апетита</w:t>
            </w:r>
          </w:p>
        </w:tc>
        <w:tc>
          <w:tcPr>
            <w:tcW w:w="1823" w:type="dxa"/>
          </w:tcPr>
          <w:p w14:paraId="1C24C847" w14:textId="44AD4EFD" w:rsidR="00A14D41" w:rsidRPr="00A14D41" w:rsidRDefault="00A14D41" w:rsidP="00A14D41">
            <w:pPr>
              <w:rPr>
                <w:rFonts w:cs="Arial"/>
              </w:rPr>
            </w:pPr>
            <w:r w:rsidRPr="00A14D41">
              <w:rPr>
                <w:bCs/>
              </w:rPr>
              <w:t>енцефалопатия, гърчове и миоклонус</w:t>
            </w:r>
            <w:r w:rsidRPr="00A14D41">
              <w:rPr>
                <w:bCs/>
                <w:vertAlign w:val="superscript"/>
              </w:rPr>
              <w:t>1</w:t>
            </w:r>
          </w:p>
        </w:tc>
      </w:tr>
      <w:tr w:rsidR="00A14D41" w14:paraId="1BEB7B2D" w14:textId="77777777" w:rsidTr="00A14D41">
        <w:tc>
          <w:tcPr>
            <w:tcW w:w="1741" w:type="dxa"/>
            <w:vAlign w:val="bottom"/>
          </w:tcPr>
          <w:p w14:paraId="613B94CA" w14:textId="47BC122E" w:rsidR="00A14D41" w:rsidRPr="00A14D41" w:rsidRDefault="00A14D41" w:rsidP="00A14D41">
            <w:pPr>
              <w:rPr>
                <w:rFonts w:cs="Arial"/>
              </w:rPr>
            </w:pPr>
            <w:r w:rsidRPr="00A14D41">
              <w:rPr>
                <w:bCs/>
              </w:rPr>
              <w:lastRenderedPageBreak/>
              <w:t>Нарушения на очите</w:t>
            </w:r>
          </w:p>
        </w:tc>
        <w:tc>
          <w:tcPr>
            <w:tcW w:w="2204" w:type="dxa"/>
          </w:tcPr>
          <w:p w14:paraId="45C7F6B4" w14:textId="77777777" w:rsidR="00A14D41" w:rsidRPr="00A14D41" w:rsidRDefault="00A14D41" w:rsidP="00A14D41">
            <w:pPr>
              <w:rPr>
                <w:rFonts w:cs="Arial"/>
              </w:rPr>
            </w:pPr>
          </w:p>
        </w:tc>
        <w:tc>
          <w:tcPr>
            <w:tcW w:w="2121" w:type="dxa"/>
          </w:tcPr>
          <w:p w14:paraId="235031C2" w14:textId="77777777" w:rsidR="00A14D41" w:rsidRPr="00A14D41" w:rsidRDefault="00A14D41" w:rsidP="00A14D41">
            <w:pPr>
              <w:rPr>
                <w:rFonts w:cs="Arial"/>
              </w:rPr>
            </w:pPr>
          </w:p>
        </w:tc>
        <w:tc>
          <w:tcPr>
            <w:tcW w:w="1687" w:type="dxa"/>
            <w:vAlign w:val="bottom"/>
          </w:tcPr>
          <w:p w14:paraId="56919533" w14:textId="1512597D" w:rsidR="00A14D41" w:rsidRPr="00A14D41" w:rsidRDefault="00A14D41" w:rsidP="00A14D41">
            <w:pPr>
              <w:rPr>
                <w:rFonts w:cs="Arial"/>
              </w:rPr>
            </w:pPr>
            <w:r w:rsidRPr="00A14D41">
              <w:rPr>
                <w:bCs/>
              </w:rPr>
              <w:t>зрителни нарушения</w:t>
            </w:r>
          </w:p>
        </w:tc>
        <w:tc>
          <w:tcPr>
            <w:tcW w:w="1823" w:type="dxa"/>
          </w:tcPr>
          <w:p w14:paraId="2A15A86F" w14:textId="77777777" w:rsidR="00A14D41" w:rsidRPr="00A14D41" w:rsidRDefault="00A14D41" w:rsidP="00A14D41">
            <w:pPr>
              <w:rPr>
                <w:rFonts w:cs="Arial"/>
              </w:rPr>
            </w:pPr>
          </w:p>
        </w:tc>
      </w:tr>
      <w:tr w:rsidR="00A14D41" w14:paraId="314CFDD0" w14:textId="77777777" w:rsidTr="00A14D41">
        <w:tc>
          <w:tcPr>
            <w:tcW w:w="1741" w:type="dxa"/>
            <w:vAlign w:val="bottom"/>
          </w:tcPr>
          <w:p w14:paraId="33E12073" w14:textId="7BFFBDAA" w:rsidR="00A14D41" w:rsidRPr="00A14D41" w:rsidRDefault="00A14D41" w:rsidP="00A14D41">
            <w:pPr>
              <w:rPr>
                <w:rFonts w:cs="Arial"/>
              </w:rPr>
            </w:pPr>
            <w:r w:rsidRPr="00A14D41">
              <w:rPr>
                <w:bCs/>
              </w:rPr>
              <w:t>Нарушения на ухото и лабиринта</w:t>
            </w:r>
          </w:p>
        </w:tc>
        <w:tc>
          <w:tcPr>
            <w:tcW w:w="2204" w:type="dxa"/>
          </w:tcPr>
          <w:p w14:paraId="5EA6B0F8" w14:textId="77777777" w:rsidR="00A14D41" w:rsidRPr="00A14D41" w:rsidRDefault="00A14D41" w:rsidP="00A14D41">
            <w:pPr>
              <w:rPr>
                <w:rFonts w:cs="Arial"/>
              </w:rPr>
            </w:pPr>
          </w:p>
        </w:tc>
        <w:tc>
          <w:tcPr>
            <w:tcW w:w="2121" w:type="dxa"/>
          </w:tcPr>
          <w:p w14:paraId="3BE00817" w14:textId="77777777" w:rsidR="00A14D41" w:rsidRPr="00A14D41" w:rsidRDefault="00A14D41" w:rsidP="00A14D41">
            <w:pPr>
              <w:rPr>
                <w:rFonts w:cs="Arial"/>
              </w:rPr>
            </w:pPr>
          </w:p>
        </w:tc>
        <w:tc>
          <w:tcPr>
            <w:tcW w:w="1687" w:type="dxa"/>
          </w:tcPr>
          <w:p w14:paraId="1CA326B6" w14:textId="1D1C17E0" w:rsidR="00A14D41" w:rsidRPr="00A14D41" w:rsidRDefault="00A14D41" w:rsidP="00A14D41">
            <w:pPr>
              <w:rPr>
                <w:rFonts w:cs="Arial"/>
              </w:rPr>
            </w:pPr>
            <w:r w:rsidRPr="00A14D41">
              <w:rPr>
                <w:bCs/>
              </w:rPr>
              <w:t>шум в ушите</w:t>
            </w:r>
          </w:p>
        </w:tc>
        <w:tc>
          <w:tcPr>
            <w:tcW w:w="1823" w:type="dxa"/>
          </w:tcPr>
          <w:p w14:paraId="3A10CB1E" w14:textId="77777777" w:rsidR="00A14D41" w:rsidRPr="00A14D41" w:rsidRDefault="00A14D41" w:rsidP="00A14D41">
            <w:pPr>
              <w:rPr>
                <w:rFonts w:cs="Arial"/>
              </w:rPr>
            </w:pPr>
          </w:p>
        </w:tc>
      </w:tr>
      <w:tr w:rsidR="00A14D41" w14:paraId="3A1B4448" w14:textId="77777777" w:rsidTr="00A14D41">
        <w:tc>
          <w:tcPr>
            <w:tcW w:w="1741" w:type="dxa"/>
            <w:vAlign w:val="bottom"/>
          </w:tcPr>
          <w:p w14:paraId="71B1EC13" w14:textId="59CC9C41" w:rsidR="00A14D41" w:rsidRPr="00A14D41" w:rsidRDefault="00A14D41" w:rsidP="00A14D41">
            <w:pPr>
              <w:rPr>
                <w:rFonts w:cs="Arial"/>
              </w:rPr>
            </w:pPr>
            <w:r w:rsidRPr="00A14D41">
              <w:rPr>
                <w:bCs/>
              </w:rPr>
              <w:t>Съдови нарушения</w:t>
            </w:r>
          </w:p>
        </w:tc>
        <w:tc>
          <w:tcPr>
            <w:tcW w:w="2204" w:type="dxa"/>
          </w:tcPr>
          <w:p w14:paraId="51BA9B19" w14:textId="77777777" w:rsidR="00A14D41" w:rsidRPr="00A14D41" w:rsidRDefault="00A14D41" w:rsidP="00A14D41">
            <w:pPr>
              <w:rPr>
                <w:rFonts w:cs="Arial"/>
              </w:rPr>
            </w:pPr>
          </w:p>
        </w:tc>
        <w:tc>
          <w:tcPr>
            <w:tcW w:w="2121" w:type="dxa"/>
          </w:tcPr>
          <w:p w14:paraId="7EDCF435" w14:textId="77777777" w:rsidR="00A14D41" w:rsidRPr="00A14D41" w:rsidRDefault="00A14D41" w:rsidP="00A14D41">
            <w:pPr>
              <w:rPr>
                <w:rFonts w:cs="Arial"/>
              </w:rPr>
            </w:pPr>
          </w:p>
        </w:tc>
        <w:tc>
          <w:tcPr>
            <w:tcW w:w="1687" w:type="dxa"/>
            <w:vAlign w:val="bottom"/>
          </w:tcPr>
          <w:p w14:paraId="7D918531" w14:textId="19934614" w:rsidR="00A14D41" w:rsidRPr="00A14D41" w:rsidRDefault="00A14D41" w:rsidP="00A14D41">
            <w:pPr>
              <w:rPr>
                <w:rFonts w:cs="Arial"/>
              </w:rPr>
            </w:pPr>
            <w:r w:rsidRPr="00A14D41">
              <w:rPr>
                <w:bCs/>
              </w:rPr>
              <w:t>хипотония, вазодилатация</w:t>
            </w:r>
          </w:p>
        </w:tc>
        <w:tc>
          <w:tcPr>
            <w:tcW w:w="1823" w:type="dxa"/>
          </w:tcPr>
          <w:p w14:paraId="52AFB763" w14:textId="77777777" w:rsidR="00A14D41" w:rsidRPr="00A14D41" w:rsidRDefault="00A14D41" w:rsidP="00A14D41">
            <w:pPr>
              <w:rPr>
                <w:rFonts w:cs="Arial"/>
              </w:rPr>
            </w:pPr>
          </w:p>
        </w:tc>
      </w:tr>
      <w:tr w:rsidR="00A14D41" w14:paraId="47D6E1E2" w14:textId="77777777" w:rsidTr="00A14D41">
        <w:tc>
          <w:tcPr>
            <w:tcW w:w="1741" w:type="dxa"/>
            <w:vAlign w:val="bottom"/>
          </w:tcPr>
          <w:p w14:paraId="4317468A" w14:textId="635CB3DA" w:rsidR="00A14D41" w:rsidRPr="00A14D41" w:rsidRDefault="00A14D41" w:rsidP="00A14D41">
            <w:pPr>
              <w:rPr>
                <w:rFonts w:cs="Arial"/>
              </w:rPr>
            </w:pPr>
            <w:r w:rsidRPr="00A14D41">
              <w:rPr>
                <w:bCs/>
              </w:rPr>
              <w:t>Респираторни, гръдни и медиастинални нарушения</w:t>
            </w:r>
          </w:p>
        </w:tc>
        <w:tc>
          <w:tcPr>
            <w:tcW w:w="2204" w:type="dxa"/>
          </w:tcPr>
          <w:p w14:paraId="6EF9E170" w14:textId="766C9F23" w:rsidR="00A14D41" w:rsidRPr="00A14D41" w:rsidRDefault="00A14D41" w:rsidP="00A14D41">
            <w:pPr>
              <w:rPr>
                <w:rFonts w:cs="Arial"/>
              </w:rPr>
            </w:pPr>
            <w:r w:rsidRPr="00A14D41">
              <w:rPr>
                <w:bCs/>
              </w:rPr>
              <w:t>дисплея</w:t>
            </w:r>
          </w:p>
        </w:tc>
        <w:tc>
          <w:tcPr>
            <w:tcW w:w="2121" w:type="dxa"/>
          </w:tcPr>
          <w:p w14:paraId="034A8691" w14:textId="77777777" w:rsidR="00A14D41" w:rsidRPr="00A14D41" w:rsidRDefault="00A14D41" w:rsidP="00A14D41">
            <w:pPr>
              <w:rPr>
                <w:rFonts w:cs="Arial"/>
              </w:rPr>
            </w:pPr>
          </w:p>
        </w:tc>
        <w:tc>
          <w:tcPr>
            <w:tcW w:w="1687" w:type="dxa"/>
          </w:tcPr>
          <w:p w14:paraId="5D192C56" w14:textId="77777777" w:rsidR="00A14D41" w:rsidRPr="00A14D41" w:rsidRDefault="00A14D41" w:rsidP="00A14D41">
            <w:pPr>
              <w:rPr>
                <w:rFonts w:cs="Arial"/>
              </w:rPr>
            </w:pPr>
          </w:p>
        </w:tc>
        <w:tc>
          <w:tcPr>
            <w:tcW w:w="1823" w:type="dxa"/>
          </w:tcPr>
          <w:p w14:paraId="29C6B9E9" w14:textId="77777777" w:rsidR="00A14D41" w:rsidRPr="00A14D41" w:rsidRDefault="00A14D41" w:rsidP="00A14D41">
            <w:pPr>
              <w:rPr>
                <w:rFonts w:cs="Arial"/>
              </w:rPr>
            </w:pPr>
          </w:p>
        </w:tc>
      </w:tr>
      <w:tr w:rsidR="00A14D41" w14:paraId="5569B4B3" w14:textId="77777777" w:rsidTr="00A14D41">
        <w:tc>
          <w:tcPr>
            <w:tcW w:w="1741" w:type="dxa"/>
          </w:tcPr>
          <w:p w14:paraId="19A46476" w14:textId="402205F7" w:rsidR="00A14D41" w:rsidRPr="00A14D41" w:rsidRDefault="00A14D41" w:rsidP="00A14D41">
            <w:pPr>
              <w:rPr>
                <w:rFonts w:cs="Arial"/>
              </w:rPr>
            </w:pPr>
            <w:r w:rsidRPr="00A14D41">
              <w:rPr>
                <w:bCs/>
              </w:rPr>
              <w:t>Стомашно-чревни нарушения</w:t>
            </w:r>
          </w:p>
        </w:tc>
        <w:tc>
          <w:tcPr>
            <w:tcW w:w="2204" w:type="dxa"/>
          </w:tcPr>
          <w:p w14:paraId="52AEAFAC" w14:textId="744B9F22" w:rsidR="00A14D41" w:rsidRPr="00A14D41" w:rsidRDefault="00A14D41" w:rsidP="00A14D41">
            <w:pPr>
              <w:rPr>
                <w:rFonts w:cs="Arial"/>
              </w:rPr>
            </w:pPr>
            <w:r w:rsidRPr="00A14D41">
              <w:rPr>
                <w:bCs/>
              </w:rPr>
              <w:t>диария</w:t>
            </w:r>
          </w:p>
        </w:tc>
        <w:tc>
          <w:tcPr>
            <w:tcW w:w="2121" w:type="dxa"/>
            <w:vAlign w:val="bottom"/>
          </w:tcPr>
          <w:p w14:paraId="12964B27" w14:textId="1424C35B" w:rsidR="00A14D41" w:rsidRPr="00A14D41" w:rsidRDefault="00A14D41" w:rsidP="00A14D41">
            <w:pPr>
              <w:rPr>
                <w:rFonts w:cs="Arial"/>
              </w:rPr>
            </w:pPr>
            <w:r w:rsidRPr="00A14D41">
              <w:rPr>
                <w:bCs/>
              </w:rPr>
              <w:t>гадене, повръщане, кандидоза на устната кухина, колит, псевдомембранозен колит</w:t>
            </w:r>
          </w:p>
        </w:tc>
        <w:tc>
          <w:tcPr>
            <w:tcW w:w="1687" w:type="dxa"/>
          </w:tcPr>
          <w:p w14:paraId="2ACDDFB3" w14:textId="61673207" w:rsidR="00A14D41" w:rsidRPr="00A14D41" w:rsidRDefault="00A14D41" w:rsidP="00A14D41">
            <w:pPr>
              <w:rPr>
                <w:rFonts w:cs="Arial"/>
              </w:rPr>
            </w:pPr>
            <w:r w:rsidRPr="00A14D41">
              <w:rPr>
                <w:bCs/>
              </w:rPr>
              <w:t>коремна болка, запек, язви в устата</w:t>
            </w:r>
          </w:p>
        </w:tc>
        <w:tc>
          <w:tcPr>
            <w:tcW w:w="1823" w:type="dxa"/>
          </w:tcPr>
          <w:p w14:paraId="370BA946" w14:textId="77777777" w:rsidR="00A14D41" w:rsidRPr="00A14D41" w:rsidRDefault="00A14D41" w:rsidP="00A14D41">
            <w:pPr>
              <w:rPr>
                <w:rFonts w:cs="Arial"/>
              </w:rPr>
            </w:pPr>
          </w:p>
        </w:tc>
      </w:tr>
      <w:tr w:rsidR="00A14D41" w14:paraId="28C7AB76" w14:textId="77777777" w:rsidTr="00A14D41">
        <w:tc>
          <w:tcPr>
            <w:tcW w:w="1741" w:type="dxa"/>
          </w:tcPr>
          <w:p w14:paraId="534621CD" w14:textId="4EF72AAE" w:rsidR="00A14D41" w:rsidRPr="00A14D41" w:rsidRDefault="00A14D41" w:rsidP="00A14D41">
            <w:pPr>
              <w:rPr>
                <w:rFonts w:cs="Arial"/>
              </w:rPr>
            </w:pPr>
            <w:r w:rsidRPr="00A14D41">
              <w:rPr>
                <w:bCs/>
              </w:rPr>
              <w:t>Нарушения на кожата и подкожната тъкан</w:t>
            </w:r>
          </w:p>
        </w:tc>
        <w:tc>
          <w:tcPr>
            <w:tcW w:w="2204" w:type="dxa"/>
          </w:tcPr>
          <w:p w14:paraId="448B8918" w14:textId="77777777" w:rsidR="00A14D41" w:rsidRPr="00A14D41" w:rsidRDefault="00A14D41" w:rsidP="00A14D41">
            <w:pPr>
              <w:rPr>
                <w:rFonts w:cs="Arial"/>
              </w:rPr>
            </w:pPr>
          </w:p>
        </w:tc>
        <w:tc>
          <w:tcPr>
            <w:tcW w:w="2121" w:type="dxa"/>
          </w:tcPr>
          <w:p w14:paraId="38172C78" w14:textId="77777777" w:rsidR="00A14D41" w:rsidRPr="00A14D41" w:rsidRDefault="00A14D41" w:rsidP="00A14D41">
            <w:pPr>
              <w:rPr>
                <w:rFonts w:cs="Arial"/>
              </w:rPr>
            </w:pPr>
          </w:p>
        </w:tc>
        <w:tc>
          <w:tcPr>
            <w:tcW w:w="1687" w:type="dxa"/>
            <w:vAlign w:val="bottom"/>
          </w:tcPr>
          <w:p w14:paraId="6C11CDC2" w14:textId="7B2D43E0" w:rsidR="00A14D41" w:rsidRPr="00A14D41" w:rsidRDefault="00A14D41" w:rsidP="00A14D41">
            <w:pPr>
              <w:rPr>
                <w:rFonts w:cs="Arial"/>
              </w:rPr>
            </w:pPr>
            <w:r w:rsidRPr="00A14D41">
              <w:rPr>
                <w:bCs/>
              </w:rPr>
              <w:t>синдром на Стивънс- Джонсън, токсична епидермална некролиза, еритема мултиформе, оток</w:t>
            </w:r>
          </w:p>
        </w:tc>
        <w:tc>
          <w:tcPr>
            <w:tcW w:w="1823" w:type="dxa"/>
          </w:tcPr>
          <w:p w14:paraId="020F8756" w14:textId="77777777" w:rsidR="00A14D41" w:rsidRPr="00A14D41" w:rsidRDefault="00A14D41" w:rsidP="00A14D41">
            <w:pPr>
              <w:rPr>
                <w:rFonts w:cs="Arial"/>
              </w:rPr>
            </w:pPr>
          </w:p>
        </w:tc>
      </w:tr>
      <w:tr w:rsidR="00A14D41" w14:paraId="61019777" w14:textId="77777777" w:rsidTr="00A14D41">
        <w:tc>
          <w:tcPr>
            <w:tcW w:w="1741" w:type="dxa"/>
            <w:vAlign w:val="bottom"/>
          </w:tcPr>
          <w:p w14:paraId="0F0990B5" w14:textId="1291F372" w:rsidR="00A14D41" w:rsidRPr="00A14D41" w:rsidRDefault="00A14D41" w:rsidP="00A14D41">
            <w:pPr>
              <w:rPr>
                <w:rFonts w:cs="Arial"/>
              </w:rPr>
            </w:pPr>
            <w:r w:rsidRPr="00A14D41">
              <w:rPr>
                <w:bCs/>
              </w:rPr>
              <w:t>Нарушения на мускулно- скелетната система и съединителната тъкан</w:t>
            </w:r>
          </w:p>
        </w:tc>
        <w:tc>
          <w:tcPr>
            <w:tcW w:w="2204" w:type="dxa"/>
          </w:tcPr>
          <w:p w14:paraId="7D013B21" w14:textId="77777777" w:rsidR="00A14D41" w:rsidRPr="00A14D41" w:rsidRDefault="00A14D41" w:rsidP="00A14D41">
            <w:pPr>
              <w:rPr>
                <w:rFonts w:cs="Arial"/>
              </w:rPr>
            </w:pPr>
          </w:p>
        </w:tc>
        <w:tc>
          <w:tcPr>
            <w:tcW w:w="2121" w:type="dxa"/>
          </w:tcPr>
          <w:p w14:paraId="334656DA" w14:textId="77777777" w:rsidR="00A14D41" w:rsidRPr="00A14D41" w:rsidRDefault="00A14D41" w:rsidP="00A14D41">
            <w:pPr>
              <w:rPr>
                <w:rFonts w:cs="Arial"/>
              </w:rPr>
            </w:pPr>
          </w:p>
        </w:tc>
        <w:tc>
          <w:tcPr>
            <w:tcW w:w="1687" w:type="dxa"/>
          </w:tcPr>
          <w:p w14:paraId="2C7EB865" w14:textId="043514B0" w:rsidR="00A14D41" w:rsidRPr="00A14D41" w:rsidRDefault="00A14D41" w:rsidP="00A14D41">
            <w:pPr>
              <w:rPr>
                <w:rFonts w:cs="Arial"/>
              </w:rPr>
            </w:pPr>
            <w:r w:rsidRPr="00A14D41">
              <w:rPr>
                <w:bCs/>
              </w:rPr>
              <w:t>артралгия</w:t>
            </w:r>
          </w:p>
        </w:tc>
        <w:tc>
          <w:tcPr>
            <w:tcW w:w="1823" w:type="dxa"/>
          </w:tcPr>
          <w:p w14:paraId="1474D44F" w14:textId="77777777" w:rsidR="00A14D41" w:rsidRPr="00A14D41" w:rsidRDefault="00A14D41" w:rsidP="00A14D41">
            <w:pPr>
              <w:rPr>
                <w:rFonts w:cs="Arial"/>
              </w:rPr>
            </w:pPr>
          </w:p>
        </w:tc>
      </w:tr>
      <w:tr w:rsidR="00A14D41" w14:paraId="3FEC8DCB" w14:textId="77777777" w:rsidTr="00A14D41">
        <w:tc>
          <w:tcPr>
            <w:tcW w:w="1741" w:type="dxa"/>
            <w:vAlign w:val="bottom"/>
          </w:tcPr>
          <w:p w14:paraId="151C95FC" w14:textId="56B40A1B" w:rsidR="00A14D41" w:rsidRDefault="00A14D41" w:rsidP="00A14D41">
            <w:pPr>
              <w:rPr>
                <w:rFonts w:cs="Arial"/>
              </w:rPr>
            </w:pPr>
            <w:r>
              <w:t>Нарушения на бъбреците и пикочните пътища</w:t>
            </w:r>
          </w:p>
        </w:tc>
        <w:tc>
          <w:tcPr>
            <w:tcW w:w="2204" w:type="dxa"/>
          </w:tcPr>
          <w:p w14:paraId="04B2B1A7" w14:textId="77777777" w:rsidR="00A14D41" w:rsidRDefault="00A14D41" w:rsidP="00A14D41">
            <w:pPr>
              <w:rPr>
                <w:rFonts w:cs="Arial"/>
              </w:rPr>
            </w:pPr>
          </w:p>
        </w:tc>
        <w:tc>
          <w:tcPr>
            <w:tcW w:w="2121" w:type="dxa"/>
          </w:tcPr>
          <w:p w14:paraId="5656039F" w14:textId="77777777" w:rsidR="00A14D41" w:rsidRDefault="00A14D41" w:rsidP="00A14D41">
            <w:pPr>
              <w:rPr>
                <w:rFonts w:cs="Arial"/>
              </w:rPr>
            </w:pPr>
          </w:p>
        </w:tc>
        <w:tc>
          <w:tcPr>
            <w:tcW w:w="1687" w:type="dxa"/>
          </w:tcPr>
          <w:p w14:paraId="3CD5CE31" w14:textId="77777777" w:rsidR="00A14D41" w:rsidRDefault="00A14D41" w:rsidP="00A14D41">
            <w:pPr>
              <w:rPr>
                <w:rFonts w:cs="Arial"/>
              </w:rPr>
            </w:pPr>
          </w:p>
        </w:tc>
        <w:tc>
          <w:tcPr>
            <w:tcW w:w="1823" w:type="dxa"/>
            <w:vAlign w:val="bottom"/>
          </w:tcPr>
          <w:p w14:paraId="71540910" w14:textId="53F49BF4" w:rsidR="00A14D41" w:rsidRDefault="00A14D41" w:rsidP="00A14D41">
            <w:pPr>
              <w:rPr>
                <w:rFonts w:cs="Arial"/>
              </w:rPr>
            </w:pPr>
            <w:r>
              <w:t>токсична нефропатия, бъбречна недостатъчност</w:t>
            </w:r>
            <w:r>
              <w:rPr>
                <w:vertAlign w:val="superscript"/>
              </w:rPr>
              <w:t>1</w:t>
            </w:r>
            <w:r>
              <w:t>,</w:t>
            </w:r>
          </w:p>
        </w:tc>
      </w:tr>
      <w:tr w:rsidR="00A14D41" w14:paraId="7306EC31" w14:textId="77777777" w:rsidTr="00A14D41">
        <w:tc>
          <w:tcPr>
            <w:tcW w:w="1741" w:type="dxa"/>
            <w:vAlign w:val="bottom"/>
          </w:tcPr>
          <w:p w14:paraId="71087CA2" w14:textId="6A0FB9ED" w:rsidR="00A14D41" w:rsidRDefault="00A14D41" w:rsidP="00A14D41">
            <w:pPr>
              <w:rPr>
                <w:rFonts w:cs="Arial"/>
              </w:rPr>
            </w:pPr>
            <w:r>
              <w:t>Общи нарушения и ефекти на мястото на приложение</w:t>
            </w:r>
          </w:p>
        </w:tc>
        <w:tc>
          <w:tcPr>
            <w:tcW w:w="2204" w:type="dxa"/>
          </w:tcPr>
          <w:p w14:paraId="785CB494" w14:textId="77777777" w:rsidR="00A14D41" w:rsidRDefault="00A14D41" w:rsidP="00A14D41">
            <w:r>
              <w:t>флебит</w:t>
            </w:r>
            <w:r>
              <w:tab/>
              <w:t>и</w:t>
            </w:r>
          </w:p>
          <w:p w14:paraId="6DA25586" w14:textId="178878CB" w:rsidR="00A14D41" w:rsidRDefault="00A14D41" w:rsidP="00A14D41">
            <w:pPr>
              <w:rPr>
                <w:rFonts w:cs="Arial"/>
              </w:rPr>
            </w:pPr>
            <w:r>
              <w:t>тромбофлебит</w:t>
            </w:r>
            <w:r>
              <w:rPr>
                <w:vertAlign w:val="superscript"/>
              </w:rPr>
              <w:t>2</w:t>
            </w:r>
          </w:p>
        </w:tc>
        <w:tc>
          <w:tcPr>
            <w:tcW w:w="2121" w:type="dxa"/>
          </w:tcPr>
          <w:p w14:paraId="07B7ED7E" w14:textId="698ED44B" w:rsidR="00A14D41" w:rsidRDefault="00A14D41" w:rsidP="00A14D41">
            <w:pPr>
              <w:rPr>
                <w:rFonts w:cs="Arial"/>
              </w:rPr>
            </w:pPr>
            <w:r>
              <w:t>треска, възпаление</w:t>
            </w:r>
            <w:r>
              <w:rPr>
                <w:vertAlign w:val="superscript"/>
              </w:rPr>
              <w:t>2</w:t>
            </w:r>
          </w:p>
        </w:tc>
        <w:tc>
          <w:tcPr>
            <w:tcW w:w="1687" w:type="dxa"/>
          </w:tcPr>
          <w:p w14:paraId="361EBF55" w14:textId="77777777" w:rsidR="00A14D41" w:rsidRDefault="00A14D41" w:rsidP="00A14D41">
            <w:pPr>
              <w:rPr>
                <w:rFonts w:cs="Arial"/>
              </w:rPr>
            </w:pPr>
          </w:p>
        </w:tc>
        <w:tc>
          <w:tcPr>
            <w:tcW w:w="1823" w:type="dxa"/>
          </w:tcPr>
          <w:p w14:paraId="549F016F" w14:textId="77777777" w:rsidR="00A14D41" w:rsidRDefault="00A14D41" w:rsidP="00A14D41">
            <w:pPr>
              <w:rPr>
                <w:rFonts w:cs="Arial"/>
              </w:rPr>
            </w:pPr>
          </w:p>
        </w:tc>
      </w:tr>
      <w:tr w:rsidR="00A14D41" w14:paraId="52EBBEAC" w14:textId="77777777" w:rsidTr="00A14D41">
        <w:tc>
          <w:tcPr>
            <w:tcW w:w="1741" w:type="dxa"/>
          </w:tcPr>
          <w:p w14:paraId="6BA01114" w14:textId="27732534" w:rsidR="00A14D41" w:rsidRDefault="00A14D41" w:rsidP="00A14D41">
            <w:pPr>
              <w:rPr>
                <w:rFonts w:cs="Arial"/>
              </w:rPr>
            </w:pPr>
            <w:r>
              <w:t>Изследвания</w:t>
            </w:r>
          </w:p>
        </w:tc>
        <w:tc>
          <w:tcPr>
            <w:tcW w:w="2204" w:type="dxa"/>
            <w:vAlign w:val="bottom"/>
          </w:tcPr>
          <w:p w14:paraId="76BC2113" w14:textId="5A3BD952" w:rsidR="00A14D41" w:rsidRPr="00A14D41" w:rsidRDefault="00A14D41" w:rsidP="00A14D41">
            <w:pPr>
              <w:rPr>
                <w:rFonts w:ascii="Times New Roman" w:eastAsia="Times New Roman" w:hAnsi="Times New Roman" w:cs="Times New Roman"/>
                <w:sz w:val="24"/>
                <w:szCs w:val="24"/>
              </w:rPr>
            </w:pPr>
            <w:r>
              <w:t xml:space="preserve">удължено протромбиново време, удължено </w:t>
            </w:r>
            <w:r w:rsidRPr="00A14D41">
              <w:rPr>
                <w:rFonts w:eastAsia="Times New Roman" w:cs="Arial"/>
                <w:bCs/>
                <w:color w:val="000000"/>
                <w:lang w:eastAsia="bg-BG"/>
              </w:rPr>
              <w:lastRenderedPageBreak/>
              <w:t>парциално тромбопластиново време, увеличени трансаминази, повишена алкална фосфатаза, увеличен общ билирубин, понижен кръвен фосфор</w:t>
            </w:r>
          </w:p>
        </w:tc>
        <w:tc>
          <w:tcPr>
            <w:tcW w:w="2121" w:type="dxa"/>
            <w:vAlign w:val="bottom"/>
          </w:tcPr>
          <w:p w14:paraId="14BFE664" w14:textId="77777777" w:rsidR="00A14D41" w:rsidRDefault="00A14D41" w:rsidP="00A14D41">
            <w:r>
              <w:lastRenderedPageBreak/>
              <w:t>временно повишаване на</w:t>
            </w:r>
          </w:p>
          <w:p w14:paraId="2A4DDD00" w14:textId="02F24823" w:rsidR="00A14D41" w:rsidRPr="00A14D41" w:rsidRDefault="00A14D41" w:rsidP="00A14D41">
            <w:pPr>
              <w:rPr>
                <w:rFonts w:ascii="Times New Roman" w:eastAsia="Times New Roman" w:hAnsi="Times New Roman" w:cs="Times New Roman"/>
                <w:sz w:val="24"/>
                <w:szCs w:val="24"/>
              </w:rPr>
            </w:pPr>
            <w:r>
              <w:lastRenderedPageBreak/>
              <w:t xml:space="preserve">уреята и серумния </w:t>
            </w:r>
            <w:r w:rsidRPr="00A14D41">
              <w:rPr>
                <w:lang w:eastAsia="bg-BG"/>
              </w:rPr>
              <w:t>креатинин</w:t>
            </w:r>
          </w:p>
        </w:tc>
        <w:tc>
          <w:tcPr>
            <w:tcW w:w="1687" w:type="dxa"/>
            <w:vAlign w:val="bottom"/>
          </w:tcPr>
          <w:p w14:paraId="08240FA9" w14:textId="77777777" w:rsidR="00A14D41" w:rsidRDefault="00A14D41" w:rsidP="00A14D41">
            <w:pPr>
              <w:rPr>
                <w:rFonts w:cs="Arial"/>
              </w:rPr>
            </w:pPr>
          </w:p>
        </w:tc>
        <w:tc>
          <w:tcPr>
            <w:tcW w:w="1823" w:type="dxa"/>
          </w:tcPr>
          <w:p w14:paraId="6A7984E2" w14:textId="77777777" w:rsidR="00A14D41" w:rsidRDefault="00A14D41" w:rsidP="00A14D41">
            <w:pPr>
              <w:rPr>
                <w:rFonts w:cs="Arial"/>
              </w:rPr>
            </w:pPr>
          </w:p>
        </w:tc>
      </w:tr>
    </w:tbl>
    <w:p w14:paraId="0F360618" w14:textId="77777777" w:rsidR="00A14D41" w:rsidRPr="00A14D41" w:rsidRDefault="00A14D41" w:rsidP="00A14D41">
      <w:pPr>
        <w:rPr>
          <w:sz w:val="24"/>
          <w:szCs w:val="24"/>
        </w:rPr>
      </w:pPr>
      <w:r w:rsidRPr="00A14D41">
        <w:rPr>
          <w:lang w:eastAsia="bg-BG"/>
        </w:rPr>
        <w:t>1) При пациенти с бъбречно увреждане с неадекватна доза цефепим</w:t>
      </w:r>
    </w:p>
    <w:p w14:paraId="269473D4" w14:textId="77777777" w:rsidR="00A14D41" w:rsidRPr="00A14D41" w:rsidRDefault="00A14D41" w:rsidP="00A14D41">
      <w:pPr>
        <w:rPr>
          <w:sz w:val="24"/>
          <w:szCs w:val="24"/>
        </w:rPr>
      </w:pPr>
      <w:r w:rsidRPr="00A14D41">
        <w:rPr>
          <w:lang w:eastAsia="bg-BG"/>
        </w:rPr>
        <w:t>2) След интравенозна инжекция</w:t>
      </w:r>
    </w:p>
    <w:p w14:paraId="525E96F8" w14:textId="77777777" w:rsidR="00A14D41" w:rsidRPr="00A14D41" w:rsidRDefault="00A14D41" w:rsidP="00A14D41">
      <w:pPr>
        <w:rPr>
          <w:rFonts w:cs="Arial"/>
        </w:rPr>
      </w:pPr>
    </w:p>
    <w:p w14:paraId="5B0378B8" w14:textId="282C4CD5" w:rsidR="00426E5F" w:rsidRDefault="002C50EE" w:rsidP="00A65A81">
      <w:pPr>
        <w:pStyle w:val="Heading2"/>
      </w:pPr>
      <w:r>
        <w:t>4.9. Предозиране</w:t>
      </w:r>
    </w:p>
    <w:p w14:paraId="468C3F6D" w14:textId="0D6A0D58" w:rsidR="00A14D41" w:rsidRDefault="00A14D41" w:rsidP="00A14D41"/>
    <w:p w14:paraId="365AC80E" w14:textId="77777777" w:rsidR="00A14D41" w:rsidRPr="00A14D41" w:rsidRDefault="00A14D41" w:rsidP="00A14D41">
      <w:pPr>
        <w:spacing w:line="240" w:lineRule="auto"/>
        <w:rPr>
          <w:rFonts w:eastAsia="Times New Roman" w:cs="Arial"/>
        </w:rPr>
      </w:pPr>
      <w:r w:rsidRPr="00A14D41">
        <w:rPr>
          <w:rFonts w:eastAsia="Times New Roman" w:cs="Arial"/>
          <w:bCs/>
          <w:color w:val="000000"/>
          <w:lang w:eastAsia="bg-BG"/>
        </w:rPr>
        <w:t>Случайно предозиране може да настъпи, ако високи дози се прилагат на пациенти с бъбречна недостатъчност.</w:t>
      </w:r>
    </w:p>
    <w:p w14:paraId="53B98771" w14:textId="77777777" w:rsidR="00A14D41" w:rsidRPr="00A14D41" w:rsidRDefault="00A14D41" w:rsidP="00A14D41">
      <w:pPr>
        <w:spacing w:line="240" w:lineRule="auto"/>
        <w:rPr>
          <w:rFonts w:eastAsia="Times New Roman" w:cs="Arial"/>
        </w:rPr>
      </w:pPr>
      <w:r w:rsidRPr="00A14D41">
        <w:rPr>
          <w:rFonts w:eastAsia="Times New Roman" w:cs="Arial"/>
          <w:bCs/>
          <w:color w:val="000000"/>
          <w:u w:val="single"/>
          <w:lang w:eastAsia="bg-BG"/>
        </w:rPr>
        <w:t>Симптомите</w:t>
      </w:r>
      <w:r w:rsidRPr="00A14D41">
        <w:rPr>
          <w:rFonts w:eastAsia="Times New Roman" w:cs="Arial"/>
          <w:bCs/>
          <w:color w:val="000000"/>
          <w:lang w:eastAsia="bg-BG"/>
        </w:rPr>
        <w:t xml:space="preserve"> на предозиране включват енцефалопатия (нарушение на съзнанието, включително объркване, халюцинации, ступор и кома), миоклонус, гърчове и нервно-мускулна възбудимост.</w:t>
      </w:r>
    </w:p>
    <w:p w14:paraId="78F6693E" w14:textId="77777777" w:rsidR="00A14D41" w:rsidRPr="00A14D41" w:rsidRDefault="00A14D41" w:rsidP="00A14D41">
      <w:pPr>
        <w:spacing w:line="240" w:lineRule="auto"/>
        <w:rPr>
          <w:rFonts w:eastAsia="Times New Roman" w:cs="Arial"/>
          <w:bCs/>
          <w:color w:val="000000"/>
          <w:u w:val="single"/>
          <w:lang w:eastAsia="bg-BG"/>
        </w:rPr>
      </w:pPr>
    </w:p>
    <w:p w14:paraId="0F8DE966" w14:textId="6DABF582" w:rsidR="00A14D41" w:rsidRPr="00A14D41" w:rsidRDefault="00A14D41" w:rsidP="00A14D41">
      <w:pPr>
        <w:spacing w:line="240" w:lineRule="auto"/>
        <w:rPr>
          <w:rFonts w:eastAsia="Times New Roman" w:cs="Arial"/>
        </w:rPr>
      </w:pPr>
      <w:r w:rsidRPr="00A14D41">
        <w:rPr>
          <w:rFonts w:eastAsia="Times New Roman" w:cs="Arial"/>
          <w:bCs/>
          <w:color w:val="000000"/>
          <w:u w:val="single"/>
          <w:lang w:eastAsia="bg-BG"/>
        </w:rPr>
        <w:t>Процедура при спешни случаи</w:t>
      </w:r>
    </w:p>
    <w:p w14:paraId="388EAD27" w14:textId="523F9E62" w:rsidR="00A14D41" w:rsidRPr="00A14D41" w:rsidRDefault="00A14D41" w:rsidP="00A14D41">
      <w:pPr>
        <w:rPr>
          <w:rFonts w:cs="Arial"/>
        </w:rPr>
      </w:pPr>
      <w:r w:rsidRPr="00A14D41">
        <w:rPr>
          <w:rFonts w:eastAsia="Times New Roman" w:cs="Arial"/>
          <w:bCs/>
          <w:color w:val="000000"/>
          <w:lang w:eastAsia="bg-BG"/>
        </w:rPr>
        <w:t xml:space="preserve">В случай на тежко предозиране и особено при пациенти с бъбречна недостатъчност, цефепим може да се отстрани от организма чрез хемодиализа </w:t>
      </w:r>
      <w:r w:rsidRPr="00A14D41">
        <w:rPr>
          <w:rFonts w:eastAsia="Times New Roman" w:cs="Arial"/>
          <w:bCs/>
          <w:color w:val="000000"/>
          <w:u w:val="single"/>
          <w:lang w:eastAsia="bg-BG"/>
        </w:rPr>
        <w:t>(не с перитонеална диализа)</w:t>
      </w:r>
      <w:r w:rsidRPr="00A14D41">
        <w:rPr>
          <w:rFonts w:eastAsia="Times New Roman" w:cs="Arial"/>
          <w:bCs/>
          <w:color w:val="000000"/>
          <w:lang w:eastAsia="bg-BG"/>
        </w:rPr>
        <w:t>.</w:t>
      </w:r>
    </w:p>
    <w:p w14:paraId="02081B24" w14:textId="1F46E296" w:rsidR="00395555" w:rsidRPr="00395555" w:rsidRDefault="002C50EE" w:rsidP="008A6AF2">
      <w:pPr>
        <w:pStyle w:val="Heading1"/>
      </w:pPr>
      <w:r>
        <w:t>5. ФАРМАКОЛОГИЧНИ СВОЙСТВА</w:t>
      </w:r>
    </w:p>
    <w:p w14:paraId="5279C268" w14:textId="3CDB193D" w:rsidR="00426E5F" w:rsidRDefault="002C50EE" w:rsidP="00A65A81">
      <w:pPr>
        <w:pStyle w:val="Heading2"/>
      </w:pPr>
      <w:r>
        <w:t>5.1. Фармакодинамични свойства</w:t>
      </w:r>
    </w:p>
    <w:p w14:paraId="3C641A58" w14:textId="67536BFF" w:rsidR="005220AD" w:rsidRDefault="005220AD" w:rsidP="005220AD"/>
    <w:p w14:paraId="1A6B6369"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Фармакотерапевтична група: четвърто поколение цефалоспорини, АТС код: </w:t>
      </w:r>
      <w:r w:rsidRPr="005220AD">
        <w:rPr>
          <w:rFonts w:eastAsia="Times New Roman" w:cs="Arial"/>
          <w:bCs/>
          <w:color w:val="000000"/>
          <w:lang w:val="en-US"/>
        </w:rPr>
        <w:t>J</w:t>
      </w:r>
      <w:r w:rsidRPr="005220AD">
        <w:rPr>
          <w:rFonts w:eastAsia="Times New Roman" w:cs="Arial"/>
          <w:bCs/>
          <w:color w:val="000000"/>
          <w:lang w:val="ru-RU"/>
        </w:rPr>
        <w:t>01</w:t>
      </w:r>
      <w:r w:rsidRPr="005220AD">
        <w:rPr>
          <w:rFonts w:eastAsia="Times New Roman" w:cs="Arial"/>
          <w:bCs/>
          <w:color w:val="000000"/>
          <w:lang w:val="en-US"/>
        </w:rPr>
        <w:t>DE</w:t>
      </w:r>
      <w:r w:rsidRPr="005220AD">
        <w:rPr>
          <w:rFonts w:eastAsia="Times New Roman" w:cs="Arial"/>
          <w:bCs/>
          <w:color w:val="000000"/>
          <w:lang w:val="ru-RU"/>
        </w:rPr>
        <w:t>01</w:t>
      </w:r>
    </w:p>
    <w:p w14:paraId="475E1A1B" w14:textId="77777777" w:rsidR="005220AD" w:rsidRPr="005220AD" w:rsidRDefault="005220AD" w:rsidP="005220AD">
      <w:pPr>
        <w:spacing w:line="240" w:lineRule="auto"/>
        <w:rPr>
          <w:rFonts w:eastAsia="Times New Roman" w:cs="Arial"/>
          <w:bCs/>
          <w:color w:val="000000"/>
          <w:lang w:eastAsia="bg-BG"/>
        </w:rPr>
      </w:pPr>
    </w:p>
    <w:p w14:paraId="24D16679" w14:textId="607D70D2"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Цефепим хидрохлорид е бял до бледожълт прах; приготвените разтвори на цефепим могат да варират по цвят от безцветен до кехлибарено жълт.</w:t>
      </w:r>
    </w:p>
    <w:p w14:paraId="7CAEFF1A" w14:textId="77777777" w:rsidR="005220AD" w:rsidRPr="005220AD" w:rsidRDefault="005220AD" w:rsidP="005220AD">
      <w:pPr>
        <w:spacing w:line="240" w:lineRule="auto"/>
        <w:rPr>
          <w:rFonts w:eastAsia="Times New Roman" w:cs="Arial"/>
          <w:bCs/>
          <w:i/>
          <w:iCs/>
          <w:color w:val="000000"/>
          <w:u w:val="single"/>
          <w:lang w:eastAsia="bg-BG"/>
        </w:rPr>
      </w:pPr>
    </w:p>
    <w:p w14:paraId="1054F3B2" w14:textId="01DFAAFB" w:rsidR="005220AD" w:rsidRPr="005220AD" w:rsidRDefault="005220AD" w:rsidP="005220AD">
      <w:pPr>
        <w:spacing w:line="240" w:lineRule="auto"/>
        <w:rPr>
          <w:rFonts w:eastAsia="Times New Roman" w:cs="Arial"/>
        </w:rPr>
      </w:pPr>
      <w:r w:rsidRPr="005220AD">
        <w:rPr>
          <w:rFonts w:eastAsia="Times New Roman" w:cs="Arial"/>
          <w:bCs/>
          <w:i/>
          <w:iCs/>
          <w:color w:val="000000"/>
          <w:u w:val="single"/>
          <w:lang w:eastAsia="bg-BG"/>
        </w:rPr>
        <w:t>Механизъм на действие</w:t>
      </w:r>
    </w:p>
    <w:p w14:paraId="2615AEEF"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Цефепим е широкоспектърен антибиотик с </w:t>
      </w:r>
      <w:r w:rsidRPr="005220AD">
        <w:rPr>
          <w:rFonts w:eastAsia="Times New Roman" w:cs="Arial"/>
          <w:bCs/>
          <w:i/>
          <w:iCs/>
          <w:color w:val="000000"/>
          <w:lang w:val="en-US"/>
        </w:rPr>
        <w:t>in</w:t>
      </w:r>
      <w:r w:rsidRPr="005220AD">
        <w:rPr>
          <w:rFonts w:eastAsia="Times New Roman" w:cs="Arial"/>
          <w:bCs/>
          <w:i/>
          <w:iCs/>
          <w:color w:val="000000"/>
          <w:lang w:val="ru-RU"/>
        </w:rPr>
        <w:t xml:space="preserve"> </w:t>
      </w:r>
      <w:r w:rsidRPr="005220AD">
        <w:rPr>
          <w:rFonts w:eastAsia="Times New Roman" w:cs="Arial"/>
          <w:bCs/>
          <w:i/>
          <w:iCs/>
          <w:color w:val="000000"/>
          <w:lang w:val="en-US"/>
        </w:rPr>
        <w:t>vitro</w:t>
      </w:r>
      <w:r w:rsidRPr="005220AD">
        <w:rPr>
          <w:rFonts w:eastAsia="Times New Roman" w:cs="Arial"/>
          <w:bCs/>
          <w:color w:val="000000"/>
          <w:lang w:val="ru-RU"/>
        </w:rPr>
        <w:t xml:space="preserve"> </w:t>
      </w:r>
      <w:r w:rsidRPr="005220AD">
        <w:rPr>
          <w:rFonts w:eastAsia="Times New Roman" w:cs="Arial"/>
          <w:bCs/>
          <w:color w:val="000000"/>
          <w:lang w:eastAsia="bg-BG"/>
        </w:rPr>
        <w:t>бактерицидно действие срещу голям брой Грам-положителни и Грам-отрицателни бактерии. Цефепим упражнява своето бактерицидно действие чрез инхибиране на синтеза на бактериалната клетъчна стена.</w:t>
      </w:r>
    </w:p>
    <w:p w14:paraId="28E4D44D"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Цефепим има бърза пенетрация в Грам-отрицателните бактериални клетки. Той притежава висок афинитет към пеницилин-свързващите протеини (РВР), особено към РВРЗ на </w:t>
      </w:r>
      <w:r w:rsidRPr="005220AD">
        <w:rPr>
          <w:rFonts w:eastAsia="Times New Roman" w:cs="Arial"/>
          <w:bCs/>
          <w:i/>
          <w:iCs/>
          <w:color w:val="000000"/>
          <w:lang w:val="en-US"/>
        </w:rPr>
        <w:t>Escherichia</w:t>
      </w:r>
      <w:r w:rsidRPr="005220AD">
        <w:rPr>
          <w:rFonts w:eastAsia="Times New Roman" w:cs="Arial"/>
          <w:bCs/>
          <w:i/>
          <w:iCs/>
          <w:color w:val="000000"/>
        </w:rPr>
        <w:t xml:space="preserve"> </w:t>
      </w:r>
      <w:r w:rsidRPr="005220AD">
        <w:rPr>
          <w:rFonts w:eastAsia="Times New Roman" w:cs="Arial"/>
          <w:bCs/>
          <w:i/>
          <w:iCs/>
          <w:color w:val="000000"/>
          <w:lang w:val="en-US"/>
        </w:rPr>
        <w:t>coli</w:t>
      </w:r>
      <w:r w:rsidRPr="005220AD">
        <w:rPr>
          <w:rFonts w:eastAsia="Times New Roman" w:cs="Arial"/>
          <w:bCs/>
          <w:color w:val="000000"/>
        </w:rPr>
        <w:t xml:space="preserve"> </w:t>
      </w:r>
      <w:r w:rsidRPr="005220AD">
        <w:rPr>
          <w:rFonts w:eastAsia="Times New Roman" w:cs="Arial"/>
          <w:bCs/>
          <w:color w:val="000000"/>
          <w:lang w:eastAsia="bg-BG"/>
        </w:rPr>
        <w:t xml:space="preserve">и </w:t>
      </w:r>
      <w:proofErr w:type="spellStart"/>
      <w:r w:rsidRPr="005220AD">
        <w:rPr>
          <w:rFonts w:eastAsia="Times New Roman" w:cs="Arial"/>
          <w:bCs/>
          <w:i/>
          <w:iCs/>
          <w:color w:val="000000"/>
          <w:lang w:val="en-US"/>
        </w:rPr>
        <w:t>Enterobacter</w:t>
      </w:r>
      <w:proofErr w:type="spellEnd"/>
      <w:r w:rsidRPr="005220AD">
        <w:rPr>
          <w:rFonts w:eastAsia="Times New Roman" w:cs="Arial"/>
          <w:bCs/>
          <w:i/>
          <w:iCs/>
          <w:color w:val="000000"/>
        </w:rPr>
        <w:t xml:space="preserve"> </w:t>
      </w:r>
      <w:r w:rsidRPr="005220AD">
        <w:rPr>
          <w:rFonts w:eastAsia="Times New Roman" w:cs="Arial"/>
          <w:bCs/>
          <w:i/>
          <w:iCs/>
          <w:color w:val="000000"/>
          <w:lang w:val="en-US"/>
        </w:rPr>
        <w:t>cloacae</w:t>
      </w:r>
      <w:r w:rsidRPr="005220AD">
        <w:rPr>
          <w:rFonts w:eastAsia="Times New Roman" w:cs="Arial"/>
          <w:bCs/>
          <w:i/>
          <w:iCs/>
          <w:color w:val="000000"/>
        </w:rPr>
        <w:t>,</w:t>
      </w:r>
      <w:r w:rsidRPr="005220AD">
        <w:rPr>
          <w:rFonts w:eastAsia="Times New Roman" w:cs="Arial"/>
          <w:bCs/>
          <w:color w:val="000000"/>
        </w:rPr>
        <w:t xml:space="preserve"> </w:t>
      </w:r>
      <w:r w:rsidRPr="005220AD">
        <w:rPr>
          <w:rFonts w:eastAsia="Times New Roman" w:cs="Arial"/>
          <w:bCs/>
          <w:color w:val="000000"/>
          <w:lang w:eastAsia="bg-BG"/>
        </w:rPr>
        <w:t xml:space="preserve">но също и към РВР2. Умереният афинитет към </w:t>
      </w:r>
      <w:r w:rsidRPr="005220AD">
        <w:rPr>
          <w:rFonts w:eastAsia="Times New Roman" w:cs="Arial"/>
          <w:bCs/>
          <w:color w:val="000000"/>
          <w:lang w:val="en-US"/>
        </w:rPr>
        <w:t>PBP</w:t>
      </w:r>
      <w:r w:rsidRPr="005220AD">
        <w:rPr>
          <w:rFonts w:eastAsia="Times New Roman" w:cs="Arial"/>
          <w:bCs/>
          <w:color w:val="000000"/>
          <w:lang w:val="ru-RU"/>
        </w:rPr>
        <w:t>1</w:t>
      </w:r>
      <w:r w:rsidRPr="005220AD">
        <w:rPr>
          <w:rFonts w:eastAsia="Times New Roman" w:cs="Arial"/>
          <w:bCs/>
          <w:color w:val="000000"/>
          <w:lang w:val="en-US"/>
        </w:rPr>
        <w:t>a</w:t>
      </w:r>
      <w:r w:rsidRPr="005220AD">
        <w:rPr>
          <w:rFonts w:eastAsia="Times New Roman" w:cs="Arial"/>
          <w:bCs/>
          <w:color w:val="000000"/>
          <w:lang w:val="ru-RU"/>
        </w:rPr>
        <w:t xml:space="preserve"> </w:t>
      </w:r>
      <w:r w:rsidRPr="005220AD">
        <w:rPr>
          <w:rFonts w:eastAsia="Times New Roman" w:cs="Arial"/>
          <w:bCs/>
          <w:color w:val="000000"/>
          <w:lang w:eastAsia="bg-BG"/>
        </w:rPr>
        <w:t>и 1</w:t>
      </w:r>
      <w:r w:rsidRPr="005220AD">
        <w:rPr>
          <w:rFonts w:eastAsia="Times New Roman" w:cs="Arial"/>
          <w:bCs/>
          <w:color w:val="000000"/>
          <w:lang w:val="en-US"/>
        </w:rPr>
        <w:t>b</w:t>
      </w:r>
      <w:r w:rsidRPr="005220AD">
        <w:rPr>
          <w:rFonts w:eastAsia="Times New Roman" w:cs="Arial"/>
          <w:bCs/>
          <w:color w:val="000000"/>
          <w:lang w:eastAsia="bg-BG"/>
        </w:rPr>
        <w:t xml:space="preserve"> вероятно също допринася за цялостната бактерицидна активност на цефепим.</w:t>
      </w:r>
    </w:p>
    <w:p w14:paraId="2E294F9B" w14:textId="77777777" w:rsidR="005220AD" w:rsidRPr="005220AD" w:rsidRDefault="005220AD" w:rsidP="005220AD">
      <w:pPr>
        <w:spacing w:line="240" w:lineRule="auto"/>
        <w:rPr>
          <w:rFonts w:eastAsia="Times New Roman" w:cs="Arial"/>
          <w:bCs/>
          <w:i/>
          <w:iCs/>
          <w:color w:val="000000"/>
          <w:u w:val="single"/>
          <w:lang w:eastAsia="bg-BG"/>
        </w:rPr>
      </w:pPr>
    </w:p>
    <w:p w14:paraId="6DB160C4" w14:textId="7618BD76" w:rsidR="005220AD" w:rsidRPr="005220AD" w:rsidRDefault="005220AD" w:rsidP="005220AD">
      <w:pPr>
        <w:spacing w:line="240" w:lineRule="auto"/>
        <w:rPr>
          <w:rFonts w:eastAsia="Times New Roman" w:cs="Arial"/>
        </w:rPr>
      </w:pPr>
      <w:r w:rsidRPr="005220AD">
        <w:rPr>
          <w:rFonts w:eastAsia="Times New Roman" w:cs="Arial"/>
          <w:bCs/>
          <w:i/>
          <w:iCs/>
          <w:color w:val="000000"/>
          <w:u w:val="single"/>
          <w:lang w:eastAsia="bg-BG"/>
        </w:rPr>
        <w:t>Механизъм(и) на резистентност</w:t>
      </w:r>
    </w:p>
    <w:p w14:paraId="0663012A" w14:textId="001C5448" w:rsidR="005220AD" w:rsidRPr="005220AD" w:rsidRDefault="005220AD" w:rsidP="005220AD">
      <w:pPr>
        <w:rPr>
          <w:rFonts w:eastAsia="Times New Roman" w:cs="Arial"/>
          <w:bCs/>
          <w:color w:val="000000"/>
          <w:lang w:eastAsia="bg-BG"/>
        </w:rPr>
      </w:pPr>
      <w:r w:rsidRPr="005220AD">
        <w:rPr>
          <w:rFonts w:eastAsia="Times New Roman" w:cs="Arial"/>
          <w:bCs/>
          <w:color w:val="000000"/>
          <w:lang w:eastAsia="bg-BG"/>
        </w:rPr>
        <w:t>Цефепим има слаб афинитет към хромозомно кодираните бета-лактамази и</w:t>
      </w:r>
      <w:r w:rsidRPr="005220AD">
        <w:rPr>
          <w:rFonts w:eastAsia="Times New Roman" w:cs="Arial"/>
          <w:bCs/>
          <w:color w:val="000000"/>
          <w:lang w:val="ru-RU"/>
        </w:rPr>
        <w:t xml:space="preserve"> </w:t>
      </w:r>
      <w:r w:rsidRPr="005220AD">
        <w:rPr>
          <w:rFonts w:eastAsia="Times New Roman" w:cs="Arial"/>
          <w:bCs/>
          <w:color w:val="000000"/>
          <w:lang w:eastAsia="bg-BG"/>
        </w:rPr>
        <w:t>е изключително устойчив на хидролиза от повечето бета-лактамази.</w:t>
      </w:r>
    </w:p>
    <w:p w14:paraId="59D9F2CC" w14:textId="19444F22" w:rsidR="005220AD" w:rsidRPr="005220AD" w:rsidRDefault="005220AD" w:rsidP="005220AD">
      <w:pPr>
        <w:rPr>
          <w:rFonts w:eastAsia="Times New Roman" w:cs="Arial"/>
          <w:bCs/>
          <w:color w:val="000000"/>
          <w:lang w:eastAsia="bg-BG"/>
        </w:rPr>
      </w:pPr>
    </w:p>
    <w:p w14:paraId="51B06650"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lastRenderedPageBreak/>
        <w:t>Бактериалната резистентност към цефепим може да се дължи на един или повече от следните механизми:</w:t>
      </w:r>
    </w:p>
    <w:p w14:paraId="3D8B5E77" w14:textId="77777777" w:rsidR="005220AD" w:rsidRPr="005220AD" w:rsidRDefault="005220AD" w:rsidP="005220AD">
      <w:pPr>
        <w:pStyle w:val="ListParagraph"/>
        <w:numPr>
          <w:ilvl w:val="0"/>
          <w:numId w:val="36"/>
        </w:numPr>
        <w:spacing w:line="240" w:lineRule="auto"/>
        <w:rPr>
          <w:rFonts w:eastAsia="Times New Roman" w:cs="Arial"/>
          <w:bCs/>
          <w:color w:val="000000"/>
          <w:lang w:eastAsia="bg-BG"/>
        </w:rPr>
      </w:pPr>
      <w:r w:rsidRPr="005220AD">
        <w:rPr>
          <w:rFonts w:eastAsia="Times New Roman" w:cs="Arial"/>
          <w:bCs/>
          <w:color w:val="000000"/>
          <w:lang w:eastAsia="bg-BG"/>
        </w:rPr>
        <w:t>намалей афинитет на пеницилин-свързващите протеини към цефепим;</w:t>
      </w:r>
    </w:p>
    <w:p w14:paraId="4EF54ECB" w14:textId="77777777" w:rsidR="005220AD" w:rsidRPr="005220AD" w:rsidRDefault="005220AD" w:rsidP="005220AD">
      <w:pPr>
        <w:pStyle w:val="ListParagraph"/>
        <w:numPr>
          <w:ilvl w:val="0"/>
          <w:numId w:val="36"/>
        </w:numPr>
        <w:spacing w:line="240" w:lineRule="auto"/>
        <w:rPr>
          <w:rFonts w:eastAsia="Times New Roman" w:cs="Arial"/>
          <w:bCs/>
          <w:color w:val="000000"/>
          <w:lang w:eastAsia="bg-BG"/>
        </w:rPr>
      </w:pPr>
      <w:r w:rsidRPr="005220AD">
        <w:rPr>
          <w:rFonts w:eastAsia="Times New Roman" w:cs="Arial"/>
          <w:bCs/>
          <w:color w:val="000000"/>
          <w:lang w:eastAsia="bg-BG"/>
        </w:rPr>
        <w:t>производството на р-лактамази, които могат да хидролизират ефективно цефепим (например няколко от хромозомно медиираните р-лактамази с разширен спектър);</w:t>
      </w:r>
    </w:p>
    <w:p w14:paraId="59DB2645" w14:textId="77777777" w:rsidR="005220AD" w:rsidRPr="005220AD" w:rsidRDefault="005220AD" w:rsidP="005220AD">
      <w:pPr>
        <w:pStyle w:val="ListParagraph"/>
        <w:numPr>
          <w:ilvl w:val="0"/>
          <w:numId w:val="36"/>
        </w:numPr>
        <w:spacing w:line="240" w:lineRule="auto"/>
        <w:rPr>
          <w:rFonts w:eastAsia="Times New Roman" w:cs="Arial"/>
          <w:bCs/>
          <w:color w:val="000000"/>
          <w:lang w:eastAsia="bg-BG"/>
        </w:rPr>
      </w:pPr>
      <w:r w:rsidRPr="005220AD">
        <w:rPr>
          <w:rFonts w:eastAsia="Times New Roman" w:cs="Arial"/>
          <w:bCs/>
          <w:color w:val="000000"/>
          <w:lang w:eastAsia="bg-BG"/>
        </w:rPr>
        <w:t>неггроницаемост на външната мембрана, което ограничава достъпа на цефепим до пеницилин- свързващите протеини в Грам-отрицателните организми;</w:t>
      </w:r>
    </w:p>
    <w:p w14:paraId="1E0AA37D" w14:textId="78D33668" w:rsidR="005220AD" w:rsidRPr="005220AD" w:rsidRDefault="005220AD" w:rsidP="005220AD">
      <w:pPr>
        <w:pStyle w:val="ListParagraph"/>
        <w:numPr>
          <w:ilvl w:val="0"/>
          <w:numId w:val="36"/>
        </w:numPr>
        <w:spacing w:line="240" w:lineRule="auto"/>
        <w:rPr>
          <w:rFonts w:eastAsia="Times New Roman" w:cs="Arial"/>
          <w:bCs/>
          <w:color w:val="000000"/>
          <w:lang w:eastAsia="bg-BG"/>
        </w:rPr>
      </w:pPr>
      <w:r w:rsidRPr="005220AD">
        <w:rPr>
          <w:rFonts w:eastAsia="Times New Roman" w:cs="Arial"/>
          <w:bCs/>
          <w:color w:val="000000"/>
          <w:lang w:eastAsia="bg-BG"/>
        </w:rPr>
        <w:t>ефлукс помпи за активни вещества.</w:t>
      </w:r>
    </w:p>
    <w:p w14:paraId="7D757E6A" w14:textId="77777777" w:rsidR="005220AD" w:rsidRPr="005220AD" w:rsidRDefault="005220AD" w:rsidP="005220AD">
      <w:pPr>
        <w:spacing w:line="240" w:lineRule="auto"/>
        <w:rPr>
          <w:rFonts w:eastAsia="Times New Roman" w:cs="Arial"/>
          <w:bCs/>
          <w:i/>
          <w:iCs/>
          <w:color w:val="000000"/>
          <w:u w:val="single"/>
          <w:lang w:eastAsia="bg-BG"/>
        </w:rPr>
      </w:pPr>
    </w:p>
    <w:p w14:paraId="192EAAD5" w14:textId="2D71AFE4" w:rsidR="005220AD" w:rsidRPr="005220AD" w:rsidRDefault="005220AD" w:rsidP="005220AD">
      <w:pPr>
        <w:spacing w:line="240" w:lineRule="auto"/>
        <w:rPr>
          <w:rFonts w:eastAsia="Times New Roman" w:cs="Arial"/>
        </w:rPr>
      </w:pPr>
      <w:r w:rsidRPr="005220AD">
        <w:rPr>
          <w:rFonts w:eastAsia="Times New Roman" w:cs="Arial"/>
          <w:bCs/>
          <w:i/>
          <w:iCs/>
          <w:color w:val="000000"/>
          <w:u w:val="single"/>
          <w:lang w:eastAsia="bg-BG"/>
        </w:rPr>
        <w:t>Гранични стойности</w:t>
      </w:r>
    </w:p>
    <w:p w14:paraId="2E5C7E9A" w14:textId="77777777" w:rsidR="005220AD" w:rsidRPr="005220AD" w:rsidRDefault="005220AD" w:rsidP="005220AD">
      <w:pPr>
        <w:spacing w:line="240" w:lineRule="auto"/>
        <w:rPr>
          <w:rFonts w:ascii="Times New Roman" w:eastAsia="Times New Roman" w:hAnsi="Times New Roman" w:cs="Times New Roman"/>
        </w:rPr>
      </w:pPr>
      <w:r w:rsidRPr="005220AD">
        <w:rPr>
          <w:rFonts w:eastAsia="Times New Roman" w:cs="Arial"/>
          <w:bCs/>
          <w:color w:val="000000"/>
          <w:lang w:eastAsia="bg-BG"/>
        </w:rPr>
        <w:t xml:space="preserve">Граничните стойности, установени от </w:t>
      </w:r>
      <w:r w:rsidRPr="005220AD">
        <w:rPr>
          <w:rFonts w:eastAsia="Times New Roman" w:cs="Arial"/>
          <w:bCs/>
          <w:color w:val="000000"/>
          <w:lang w:val="en-US"/>
        </w:rPr>
        <w:t>EUCAST</w:t>
      </w:r>
      <w:r w:rsidRPr="005220AD">
        <w:rPr>
          <w:rFonts w:eastAsia="Times New Roman" w:cs="Arial"/>
          <w:bCs/>
          <w:color w:val="000000"/>
          <w:lang w:val="ru-RU"/>
        </w:rPr>
        <w:t xml:space="preserve"> </w:t>
      </w:r>
      <w:r w:rsidRPr="005220AD">
        <w:rPr>
          <w:rFonts w:eastAsia="Times New Roman" w:cs="Arial"/>
          <w:bCs/>
          <w:color w:val="000000"/>
          <w:lang w:eastAsia="bg-BG"/>
        </w:rPr>
        <w:t>(Европейски комитет за изследване на антимикробната чувствителност) са както следва:</w:t>
      </w:r>
    </w:p>
    <w:p w14:paraId="6C9C971A" w14:textId="67B92BB8" w:rsidR="005220AD" w:rsidRDefault="005220AD" w:rsidP="005220AD"/>
    <w:tbl>
      <w:tblPr>
        <w:tblStyle w:val="TableGrid"/>
        <w:tblW w:w="0" w:type="auto"/>
        <w:tblLook w:val="04A0" w:firstRow="1" w:lastRow="0" w:firstColumn="1" w:lastColumn="0" w:noHBand="0" w:noVBand="1"/>
      </w:tblPr>
      <w:tblGrid>
        <w:gridCol w:w="3869"/>
        <w:gridCol w:w="5481"/>
      </w:tblGrid>
      <w:tr w:rsidR="005220AD" w14:paraId="07FED367" w14:textId="77777777" w:rsidTr="005220AD">
        <w:tc>
          <w:tcPr>
            <w:tcW w:w="3936" w:type="dxa"/>
          </w:tcPr>
          <w:p w14:paraId="588C69E6" w14:textId="138E060F" w:rsidR="005220AD" w:rsidRDefault="005220AD" w:rsidP="005220AD">
            <w:r>
              <w:rPr>
                <w:lang w:eastAsia="bg-BG"/>
              </w:rPr>
              <w:t xml:space="preserve">- </w:t>
            </w:r>
            <w:r>
              <w:t xml:space="preserve">Enterobacteriaceae </w:t>
            </w:r>
            <w:r>
              <w:rPr>
                <w:lang w:eastAsia="bg-BG"/>
              </w:rPr>
              <w:t>:</w:t>
            </w:r>
          </w:p>
        </w:tc>
        <w:tc>
          <w:tcPr>
            <w:tcW w:w="5640" w:type="dxa"/>
          </w:tcPr>
          <w:p w14:paraId="1DC775CC" w14:textId="4A8B28DE" w:rsidR="005220AD" w:rsidRDefault="005220AD" w:rsidP="005220AD">
            <w:r>
              <w:t>S:</w:t>
            </w:r>
            <w:r>
              <w:rPr>
                <w:lang w:eastAsia="bg-BG"/>
              </w:rPr>
              <w:t xml:space="preserve">≤ 1 </w:t>
            </w:r>
            <w:r>
              <w:t xml:space="preserve">mg/1, R: </w:t>
            </w:r>
            <w:r>
              <w:rPr>
                <w:lang w:eastAsia="bg-BG"/>
              </w:rPr>
              <w:t xml:space="preserve">&gt; 8 </w:t>
            </w:r>
            <w:r>
              <w:t>mg/1</w:t>
            </w:r>
          </w:p>
        </w:tc>
      </w:tr>
      <w:tr w:rsidR="005220AD" w14:paraId="72E7DF33" w14:textId="77777777" w:rsidTr="005220AD">
        <w:tc>
          <w:tcPr>
            <w:tcW w:w="3936" w:type="dxa"/>
          </w:tcPr>
          <w:p w14:paraId="5600C40C" w14:textId="57ABA80F" w:rsidR="005220AD" w:rsidRDefault="005220AD" w:rsidP="005220AD">
            <w:r>
              <w:rPr>
                <w:lang w:eastAsia="bg-BG"/>
              </w:rPr>
              <w:t xml:space="preserve">- </w:t>
            </w:r>
            <w:r>
              <w:t>Pseudomonas spp.</w:t>
            </w:r>
            <w:r>
              <w:rPr>
                <w:vertAlign w:val="superscript"/>
              </w:rPr>
              <w:t>B</w:t>
            </w:r>
            <w:r>
              <w:t>:</w:t>
            </w:r>
          </w:p>
        </w:tc>
        <w:tc>
          <w:tcPr>
            <w:tcW w:w="5640" w:type="dxa"/>
          </w:tcPr>
          <w:p w14:paraId="766DF1F3" w14:textId="6F5B385D" w:rsidR="005220AD" w:rsidRDefault="005220AD" w:rsidP="005220AD">
            <w:r>
              <w:t xml:space="preserve">S: </w:t>
            </w:r>
            <w:r>
              <w:rPr>
                <w:lang w:eastAsia="bg-BG"/>
              </w:rPr>
              <w:t xml:space="preserve">≤ 8 </w:t>
            </w:r>
            <w:r>
              <w:t>mg/1, R: &gt; 8 mg/1</w:t>
            </w:r>
          </w:p>
        </w:tc>
      </w:tr>
      <w:tr w:rsidR="005220AD" w14:paraId="4E21F111" w14:textId="77777777" w:rsidTr="005220AD">
        <w:tc>
          <w:tcPr>
            <w:tcW w:w="3936" w:type="dxa"/>
          </w:tcPr>
          <w:p w14:paraId="198E3DBA" w14:textId="77777777" w:rsidR="005220AD" w:rsidRDefault="005220AD" w:rsidP="005220AD">
            <w:r>
              <w:rPr>
                <w:lang w:eastAsia="bg-BG"/>
              </w:rPr>
              <w:t xml:space="preserve">- </w:t>
            </w:r>
            <w:r>
              <w:t>Staphylococcus:</w:t>
            </w:r>
          </w:p>
          <w:p w14:paraId="446AA555" w14:textId="00E2B874" w:rsidR="005220AD" w:rsidRDefault="005220AD" w:rsidP="005220AD">
            <w:r>
              <w:t>- Streptococcus spp.:</w:t>
            </w:r>
          </w:p>
        </w:tc>
        <w:tc>
          <w:tcPr>
            <w:tcW w:w="5640" w:type="dxa"/>
          </w:tcPr>
          <w:p w14:paraId="14CAF03E" w14:textId="77777777" w:rsidR="005220AD" w:rsidRDefault="005220AD" w:rsidP="005220AD">
            <w:r>
              <w:rPr>
                <w:lang w:eastAsia="bg-BG"/>
              </w:rPr>
              <w:t xml:space="preserve">Забележка </w:t>
            </w:r>
            <w:r>
              <w:t>C</w:t>
            </w:r>
          </w:p>
          <w:p w14:paraId="4A5586D2" w14:textId="486F338B" w:rsidR="005220AD" w:rsidRDefault="005220AD" w:rsidP="005220AD">
            <w:r>
              <w:rPr>
                <w:lang w:eastAsia="bg-BG"/>
              </w:rPr>
              <w:t xml:space="preserve">Забележка </w:t>
            </w:r>
            <w:r>
              <w:t>D</w:t>
            </w:r>
          </w:p>
        </w:tc>
      </w:tr>
      <w:tr w:rsidR="005220AD" w14:paraId="7D390B7C" w14:textId="77777777" w:rsidTr="005220AD">
        <w:tc>
          <w:tcPr>
            <w:tcW w:w="3936" w:type="dxa"/>
          </w:tcPr>
          <w:p w14:paraId="0729FDA9" w14:textId="6D19499A" w:rsidR="005220AD" w:rsidRDefault="005220AD" w:rsidP="005220AD">
            <w:r>
              <w:t>- S. pneumoniae:</w:t>
            </w:r>
          </w:p>
        </w:tc>
        <w:tc>
          <w:tcPr>
            <w:tcW w:w="5640" w:type="dxa"/>
          </w:tcPr>
          <w:p w14:paraId="70F4DFC2" w14:textId="7E2982E4" w:rsidR="005220AD" w:rsidRDefault="005220AD" w:rsidP="005220AD">
            <w:r>
              <w:t xml:space="preserve">S: </w:t>
            </w:r>
            <w:r>
              <w:rPr>
                <w:lang w:eastAsia="bg-BG"/>
              </w:rPr>
              <w:t>≤</w:t>
            </w:r>
            <w:r>
              <w:t xml:space="preserve"> 1 mg/1, R: &gt; </w:t>
            </w:r>
            <w:r>
              <w:rPr>
                <w:i/>
                <w:iCs/>
              </w:rPr>
              <w:t>2</w:t>
            </w:r>
            <w:r>
              <w:t xml:space="preserve"> mg/1</w:t>
            </w:r>
          </w:p>
        </w:tc>
      </w:tr>
      <w:tr w:rsidR="005220AD" w14:paraId="15634630" w14:textId="77777777" w:rsidTr="005220AD">
        <w:tc>
          <w:tcPr>
            <w:tcW w:w="3936" w:type="dxa"/>
          </w:tcPr>
          <w:p w14:paraId="107A978D" w14:textId="198F5F0A" w:rsidR="005220AD" w:rsidRDefault="005220AD" w:rsidP="005220AD">
            <w:r>
              <w:t xml:space="preserve">- </w:t>
            </w:r>
            <w:r>
              <w:rPr>
                <w:lang w:eastAsia="bg-BG"/>
              </w:rPr>
              <w:t>Други стрептококи:</w:t>
            </w:r>
          </w:p>
        </w:tc>
        <w:tc>
          <w:tcPr>
            <w:tcW w:w="5640" w:type="dxa"/>
          </w:tcPr>
          <w:p w14:paraId="4A14A74E" w14:textId="2C3DC000" w:rsidR="005220AD" w:rsidRDefault="005220AD" w:rsidP="005220AD">
            <w:r>
              <w:t xml:space="preserve">S: </w:t>
            </w:r>
            <w:r>
              <w:rPr>
                <w:lang w:eastAsia="bg-BG"/>
              </w:rPr>
              <w:t>≤</w:t>
            </w:r>
            <w:r>
              <w:t xml:space="preserve"> 0,5 mg/1, R: &gt; 0,5 mg/1</w:t>
            </w:r>
          </w:p>
        </w:tc>
      </w:tr>
      <w:tr w:rsidR="005220AD" w14:paraId="1F6A8B82" w14:textId="77777777" w:rsidTr="005220AD">
        <w:tc>
          <w:tcPr>
            <w:tcW w:w="3936" w:type="dxa"/>
          </w:tcPr>
          <w:p w14:paraId="1C8853AA" w14:textId="57FB90C6" w:rsidR="005220AD" w:rsidRDefault="005220AD" w:rsidP="005220AD">
            <w:r>
              <w:t xml:space="preserve">- H. influenzae </w:t>
            </w:r>
            <w:r>
              <w:rPr>
                <w:lang w:eastAsia="bg-BG"/>
              </w:rPr>
              <w:t xml:space="preserve">и </w:t>
            </w:r>
            <w:r>
              <w:t>M. catarrhalis:</w:t>
            </w:r>
          </w:p>
        </w:tc>
        <w:tc>
          <w:tcPr>
            <w:tcW w:w="5640" w:type="dxa"/>
          </w:tcPr>
          <w:p w14:paraId="34FE6B63" w14:textId="68EDCE6C" w:rsidR="005220AD" w:rsidRDefault="005220AD" w:rsidP="005220AD">
            <w:r>
              <w:t xml:space="preserve">S: </w:t>
            </w:r>
            <w:r>
              <w:rPr>
                <w:lang w:eastAsia="bg-BG"/>
              </w:rPr>
              <w:t>≤</w:t>
            </w:r>
            <w:r>
              <w:t xml:space="preserve"> 0.25 mg/1, R: &gt; 0,25 mg/1</w:t>
            </w:r>
          </w:p>
        </w:tc>
      </w:tr>
      <w:tr w:rsidR="005220AD" w14:paraId="7D7F2CB3" w14:textId="77777777" w:rsidTr="005220AD">
        <w:tc>
          <w:tcPr>
            <w:tcW w:w="3936" w:type="dxa"/>
          </w:tcPr>
          <w:p w14:paraId="5576CC32" w14:textId="061504EB" w:rsidR="005220AD" w:rsidRDefault="005220AD" w:rsidP="005220AD">
            <w:r>
              <w:rPr>
                <w:lang w:eastAsia="bg-BG"/>
              </w:rPr>
              <w:t>- Несвързани с видовете</w:t>
            </w:r>
            <w:r>
              <w:rPr>
                <w:vertAlign w:val="superscript"/>
                <w:lang w:eastAsia="bg-BG"/>
              </w:rPr>
              <w:t>Е</w:t>
            </w:r>
            <w:r>
              <w:rPr>
                <w:lang w:eastAsia="bg-BG"/>
              </w:rPr>
              <w:t>:</w:t>
            </w:r>
          </w:p>
        </w:tc>
        <w:tc>
          <w:tcPr>
            <w:tcW w:w="5640" w:type="dxa"/>
          </w:tcPr>
          <w:p w14:paraId="49848F6D" w14:textId="6F6A4C43" w:rsidR="005220AD" w:rsidRDefault="005220AD" w:rsidP="005220AD">
            <w:r>
              <w:t xml:space="preserve">S: </w:t>
            </w:r>
            <w:r>
              <w:rPr>
                <w:lang w:eastAsia="bg-BG"/>
              </w:rPr>
              <w:t>≤</w:t>
            </w:r>
            <w:r>
              <w:t xml:space="preserve"> 4 mg/1, R: &gt; 8 mg/1</w:t>
            </w:r>
          </w:p>
        </w:tc>
      </w:tr>
    </w:tbl>
    <w:p w14:paraId="27CE8722" w14:textId="77777777" w:rsidR="005220AD" w:rsidRPr="005220AD" w:rsidRDefault="005220AD" w:rsidP="005220AD">
      <w:pPr>
        <w:spacing w:line="240" w:lineRule="auto"/>
        <w:rPr>
          <w:rFonts w:eastAsia="Times New Roman" w:cs="Arial"/>
        </w:rPr>
      </w:pPr>
      <w:r w:rsidRPr="005220AD">
        <w:rPr>
          <w:rFonts w:eastAsia="Times New Roman" w:cs="Arial"/>
          <w:bCs/>
          <w:i/>
          <w:iCs/>
          <w:color w:val="000000"/>
          <w:vertAlign w:val="superscript"/>
          <w:lang w:eastAsia="bg-BG"/>
        </w:rPr>
        <w:t>А</w:t>
      </w:r>
      <w:r w:rsidRPr="005220AD">
        <w:rPr>
          <w:rFonts w:eastAsia="Times New Roman" w:cs="Arial"/>
          <w:bCs/>
          <w:i/>
          <w:iCs/>
          <w:color w:val="000000"/>
          <w:lang w:eastAsia="bg-BG"/>
        </w:rPr>
        <w:t xml:space="preserve">Граничните стойности на цефалоспорин за </w:t>
      </w:r>
      <w:proofErr w:type="spellStart"/>
      <w:r w:rsidRPr="005220AD">
        <w:rPr>
          <w:rFonts w:eastAsia="Times New Roman" w:cs="Arial"/>
          <w:bCs/>
          <w:i/>
          <w:iCs/>
          <w:color w:val="000000"/>
          <w:lang w:val="en-US"/>
        </w:rPr>
        <w:t>Enterobacteriaceae</w:t>
      </w:r>
      <w:proofErr w:type="spellEnd"/>
      <w:r w:rsidRPr="005220AD">
        <w:rPr>
          <w:rFonts w:eastAsia="Times New Roman" w:cs="Arial"/>
          <w:bCs/>
          <w:i/>
          <w:iCs/>
          <w:color w:val="000000"/>
          <w:lang w:val="ru-RU"/>
        </w:rPr>
        <w:t xml:space="preserve"> </w:t>
      </w:r>
      <w:r w:rsidRPr="005220AD">
        <w:rPr>
          <w:rFonts w:eastAsia="Times New Roman" w:cs="Arial"/>
          <w:bCs/>
          <w:i/>
          <w:iCs/>
          <w:color w:val="000000"/>
          <w:lang w:eastAsia="bg-BG"/>
        </w:rPr>
        <w:t xml:space="preserve">ще покажат намалена чувствителност, медиирана от най-клинично значимите бета-лактамази от </w:t>
      </w:r>
      <w:proofErr w:type="spellStart"/>
      <w:r w:rsidRPr="005220AD">
        <w:rPr>
          <w:rFonts w:eastAsia="Times New Roman" w:cs="Arial"/>
          <w:bCs/>
          <w:i/>
          <w:iCs/>
          <w:color w:val="000000"/>
          <w:lang w:val="en-US"/>
        </w:rPr>
        <w:t>Enterobacteriaceae</w:t>
      </w:r>
      <w:proofErr w:type="spellEnd"/>
      <w:r w:rsidRPr="005220AD">
        <w:rPr>
          <w:rFonts w:eastAsia="Times New Roman" w:cs="Arial"/>
          <w:bCs/>
          <w:i/>
          <w:iCs/>
          <w:color w:val="000000"/>
          <w:lang w:val="ru-RU"/>
        </w:rPr>
        <w:t xml:space="preserve">. </w:t>
      </w:r>
      <w:r w:rsidRPr="005220AD">
        <w:rPr>
          <w:rFonts w:eastAsia="Times New Roman" w:cs="Arial"/>
          <w:bCs/>
          <w:i/>
          <w:iCs/>
          <w:color w:val="000000"/>
          <w:lang w:eastAsia="bg-BG"/>
        </w:rPr>
        <w:t xml:space="preserve">Случайни </w:t>
      </w:r>
      <w:r w:rsidRPr="005220AD">
        <w:rPr>
          <w:rFonts w:eastAsia="Times New Roman" w:cs="Arial"/>
          <w:bCs/>
          <w:i/>
          <w:iCs/>
          <w:color w:val="000000"/>
          <w:lang w:val="en-US"/>
        </w:rPr>
        <w:t>ESBL</w:t>
      </w:r>
      <w:r w:rsidRPr="005220AD">
        <w:rPr>
          <w:rFonts w:eastAsia="Times New Roman" w:cs="Arial"/>
          <w:bCs/>
          <w:i/>
          <w:iCs/>
          <w:color w:val="000000"/>
          <w:lang w:eastAsia="bg-BG"/>
        </w:rPr>
        <w:t xml:space="preserve">-продуциращи щамове ще бъдат докладвани като чувствителни. За целите на контрола върху инфекциите, епидемиологията и надзора, лабораториите могат да пожелаят да използват специфични тестове за скрининг и потвърждаване на </w:t>
      </w:r>
      <w:r w:rsidRPr="005220AD">
        <w:rPr>
          <w:rFonts w:eastAsia="Times New Roman" w:cs="Arial"/>
          <w:bCs/>
          <w:i/>
          <w:iCs/>
          <w:color w:val="000000"/>
          <w:lang w:val="en-US"/>
        </w:rPr>
        <w:t>ESBL</w:t>
      </w:r>
      <w:r w:rsidRPr="005220AD">
        <w:rPr>
          <w:rFonts w:eastAsia="Times New Roman" w:cs="Arial"/>
          <w:bCs/>
          <w:i/>
          <w:iCs/>
          <w:color w:val="000000"/>
          <w:lang w:val="ru-RU"/>
        </w:rPr>
        <w:t xml:space="preserve"> </w:t>
      </w:r>
      <w:r w:rsidRPr="005220AD">
        <w:rPr>
          <w:rFonts w:eastAsia="Times New Roman" w:cs="Arial"/>
          <w:bCs/>
          <w:i/>
          <w:iCs/>
          <w:color w:val="000000"/>
          <w:lang w:eastAsia="bg-BG"/>
        </w:rPr>
        <w:t>продукция.</w:t>
      </w:r>
    </w:p>
    <w:p w14:paraId="3922EFC7" w14:textId="77777777" w:rsidR="005220AD" w:rsidRPr="005220AD" w:rsidRDefault="005220AD" w:rsidP="005220AD">
      <w:pPr>
        <w:spacing w:line="240" w:lineRule="auto"/>
        <w:rPr>
          <w:rFonts w:eastAsia="Times New Roman" w:cs="Arial"/>
        </w:rPr>
      </w:pPr>
      <w:r w:rsidRPr="005220AD">
        <w:rPr>
          <w:rFonts w:eastAsia="Times New Roman" w:cs="Arial"/>
          <w:bCs/>
          <w:i/>
          <w:iCs/>
          <w:color w:val="000000"/>
          <w:vertAlign w:val="superscript"/>
          <w:lang w:val="en-US"/>
        </w:rPr>
        <w:t>B</w:t>
      </w:r>
      <w:r w:rsidRPr="005220AD">
        <w:rPr>
          <w:rFonts w:eastAsia="Times New Roman" w:cs="Arial"/>
          <w:bCs/>
          <w:i/>
          <w:iCs/>
          <w:color w:val="000000"/>
          <w:lang w:eastAsia="bg-BG"/>
        </w:rPr>
        <w:t xml:space="preserve">Граничната стойност на чувствителността за </w:t>
      </w:r>
      <w:r w:rsidRPr="005220AD">
        <w:rPr>
          <w:rFonts w:eastAsia="Times New Roman" w:cs="Arial"/>
          <w:bCs/>
          <w:i/>
          <w:iCs/>
          <w:color w:val="000000"/>
          <w:lang w:val="en-US"/>
        </w:rPr>
        <w:t>Pseudomonas</w:t>
      </w:r>
      <w:r w:rsidRPr="005220AD">
        <w:rPr>
          <w:rFonts w:eastAsia="Times New Roman" w:cs="Arial"/>
          <w:bCs/>
          <w:i/>
          <w:iCs/>
          <w:color w:val="000000"/>
          <w:lang w:val="ru-RU"/>
        </w:rPr>
        <w:t xml:space="preserve"> </w:t>
      </w:r>
      <w:r w:rsidRPr="005220AD">
        <w:rPr>
          <w:rFonts w:eastAsia="Times New Roman" w:cs="Arial"/>
          <w:bCs/>
          <w:i/>
          <w:iCs/>
          <w:color w:val="000000"/>
          <w:lang w:val="en-US"/>
        </w:rPr>
        <w:t>aeruginosa</w:t>
      </w:r>
      <w:r w:rsidRPr="005220AD">
        <w:rPr>
          <w:rFonts w:eastAsia="Times New Roman" w:cs="Arial"/>
          <w:bCs/>
          <w:i/>
          <w:iCs/>
          <w:color w:val="000000"/>
          <w:lang w:val="ru-RU"/>
        </w:rPr>
        <w:t xml:space="preserve"> </w:t>
      </w:r>
      <w:r w:rsidRPr="005220AD">
        <w:rPr>
          <w:rFonts w:eastAsia="Times New Roman" w:cs="Arial"/>
          <w:bCs/>
          <w:i/>
          <w:iCs/>
          <w:color w:val="000000"/>
          <w:lang w:eastAsia="bg-BG"/>
        </w:rPr>
        <w:t xml:space="preserve">е увеличена за да се избегне разделянето на минимална инхибиторна концентраця (МТС)-разпределението за див тип. Граничните стойности се отнасят до високи дози, т.е. 2 </w:t>
      </w:r>
      <w:r w:rsidRPr="005220AD">
        <w:rPr>
          <w:rFonts w:eastAsia="Times New Roman" w:cs="Arial"/>
          <w:bCs/>
          <w:i/>
          <w:iCs/>
          <w:color w:val="000000"/>
          <w:lang w:val="en-US"/>
        </w:rPr>
        <w:t>g</w:t>
      </w:r>
      <w:r w:rsidRPr="005220AD">
        <w:rPr>
          <w:rFonts w:eastAsia="Times New Roman" w:cs="Arial"/>
          <w:bCs/>
          <w:i/>
          <w:iCs/>
          <w:color w:val="000000"/>
          <w:lang w:val="ru-RU"/>
        </w:rPr>
        <w:t xml:space="preserve"> </w:t>
      </w:r>
      <w:r w:rsidRPr="005220AD">
        <w:rPr>
          <w:rFonts w:eastAsia="Times New Roman" w:cs="Arial"/>
          <w:bCs/>
          <w:i/>
          <w:iCs/>
          <w:color w:val="000000"/>
          <w:lang w:eastAsia="bg-BG"/>
        </w:rPr>
        <w:t>цефепим х 3.</w:t>
      </w:r>
    </w:p>
    <w:p w14:paraId="0C5589A0" w14:textId="19BC8116" w:rsidR="005220AD" w:rsidRPr="005220AD" w:rsidRDefault="005220AD" w:rsidP="005220AD">
      <w:pPr>
        <w:spacing w:line="240" w:lineRule="auto"/>
        <w:rPr>
          <w:rFonts w:eastAsia="Times New Roman" w:cs="Arial"/>
        </w:rPr>
      </w:pPr>
      <w:r w:rsidRPr="005220AD">
        <w:rPr>
          <w:rFonts w:eastAsia="Times New Roman" w:cs="Arial"/>
          <w:bCs/>
          <w:i/>
          <w:iCs/>
          <w:color w:val="000000"/>
          <w:vertAlign w:val="superscript"/>
          <w:lang w:eastAsia="bg-BG"/>
        </w:rPr>
        <w:t>с</w:t>
      </w:r>
      <w:r w:rsidRPr="005220AD">
        <w:rPr>
          <w:rFonts w:eastAsia="Times New Roman" w:cs="Arial"/>
          <w:bCs/>
          <w:i/>
          <w:iCs/>
          <w:color w:val="000000"/>
          <w:lang w:eastAsia="bg-BG"/>
        </w:rPr>
        <w:t>Чувствителността на стафилококи към цефалоспорини е изведена от чувствителността към метицили.</w:t>
      </w:r>
    </w:p>
    <w:p w14:paraId="488D7AEB" w14:textId="41321435" w:rsidR="005220AD" w:rsidRPr="005220AD" w:rsidRDefault="005220AD" w:rsidP="005220AD">
      <w:pPr>
        <w:spacing w:line="240" w:lineRule="auto"/>
        <w:rPr>
          <w:rFonts w:eastAsia="Times New Roman" w:cs="Arial"/>
        </w:rPr>
      </w:pPr>
      <w:r w:rsidRPr="005220AD">
        <w:rPr>
          <w:rFonts w:eastAsia="Times New Roman" w:cs="Arial"/>
          <w:bCs/>
          <w:i/>
          <w:iCs/>
          <w:color w:val="000000"/>
          <w:vertAlign w:val="superscript"/>
          <w:lang w:val="en-US"/>
        </w:rPr>
        <w:t>D</w:t>
      </w:r>
      <w:r w:rsidRPr="005220AD">
        <w:rPr>
          <w:rFonts w:eastAsia="Times New Roman" w:cs="Arial"/>
          <w:bCs/>
          <w:i/>
          <w:iCs/>
          <w:color w:val="000000"/>
          <w:lang w:eastAsia="bg-BG"/>
        </w:rPr>
        <w:t xml:space="preserve">За чувствителността на стрептококи групи А, В, С и </w:t>
      </w:r>
      <w:r w:rsidRPr="005220AD">
        <w:rPr>
          <w:rFonts w:eastAsia="Times New Roman" w:cs="Arial"/>
          <w:bCs/>
          <w:i/>
          <w:iCs/>
          <w:color w:val="000000"/>
          <w:lang w:val="en-US"/>
        </w:rPr>
        <w:t>G</w:t>
      </w:r>
      <w:r w:rsidRPr="005220AD">
        <w:rPr>
          <w:rFonts w:eastAsia="Times New Roman" w:cs="Arial"/>
          <w:bCs/>
          <w:i/>
          <w:iCs/>
          <w:color w:val="000000"/>
          <w:lang w:val="ru-RU"/>
        </w:rPr>
        <w:t xml:space="preserve"> </w:t>
      </w:r>
      <w:r w:rsidRPr="005220AD">
        <w:rPr>
          <w:rFonts w:eastAsia="Times New Roman" w:cs="Arial"/>
          <w:bCs/>
          <w:i/>
          <w:iCs/>
          <w:color w:val="000000"/>
          <w:lang w:eastAsia="bg-BG"/>
        </w:rPr>
        <w:t>може да се заключи от тяхната чувствителност към бензилпеницилин.</w:t>
      </w:r>
    </w:p>
    <w:p w14:paraId="76B16142" w14:textId="0328D181" w:rsidR="005220AD" w:rsidRPr="005220AD" w:rsidRDefault="005220AD" w:rsidP="005220AD">
      <w:pPr>
        <w:spacing w:line="240" w:lineRule="auto"/>
        <w:rPr>
          <w:rFonts w:eastAsia="Times New Roman" w:cs="Arial"/>
        </w:rPr>
      </w:pPr>
      <w:r w:rsidRPr="005220AD">
        <w:rPr>
          <w:rFonts w:eastAsia="Times New Roman" w:cs="Arial"/>
          <w:bCs/>
          <w:i/>
          <w:iCs/>
          <w:color w:val="000000"/>
          <w:vertAlign w:val="superscript"/>
          <w:lang w:eastAsia="bg-BG"/>
        </w:rPr>
        <w:t>Е</w:t>
      </w:r>
      <w:r w:rsidRPr="005220AD">
        <w:rPr>
          <w:rFonts w:eastAsia="Times New Roman" w:cs="Arial"/>
          <w:bCs/>
          <w:i/>
          <w:iCs/>
          <w:color w:val="000000"/>
          <w:lang w:eastAsia="bg-BG"/>
        </w:rPr>
        <w:t xml:space="preserve">Граничните стойности, несвързани с видовете са определени главно въз основа на РК </w:t>
      </w:r>
      <w:r w:rsidRPr="005220AD">
        <w:rPr>
          <w:rFonts w:eastAsia="Times New Roman" w:cs="Arial"/>
          <w:bCs/>
          <w:i/>
          <w:iCs/>
          <w:color w:val="000000"/>
          <w:lang w:val="ru-RU"/>
        </w:rPr>
        <w:t>/</w:t>
      </w:r>
      <w:r w:rsidRPr="005220AD">
        <w:rPr>
          <w:rFonts w:eastAsia="Times New Roman" w:cs="Arial"/>
          <w:bCs/>
          <w:i/>
          <w:iCs/>
          <w:color w:val="000000"/>
          <w:lang w:val="en-US"/>
        </w:rPr>
        <w:t>PD</w:t>
      </w:r>
      <w:r w:rsidRPr="005220AD">
        <w:rPr>
          <w:rFonts w:eastAsia="Times New Roman" w:cs="Arial"/>
          <w:bCs/>
          <w:i/>
          <w:iCs/>
          <w:color w:val="000000"/>
          <w:lang w:val="ru-RU"/>
        </w:rPr>
        <w:t xml:space="preserve"> </w:t>
      </w:r>
      <w:r w:rsidRPr="005220AD">
        <w:rPr>
          <w:rFonts w:eastAsia="Times New Roman" w:cs="Arial"/>
          <w:bCs/>
          <w:i/>
          <w:iCs/>
          <w:color w:val="000000"/>
          <w:lang w:eastAsia="bg-BG"/>
        </w:rPr>
        <w:t xml:space="preserve">данни и са независими от </w:t>
      </w:r>
      <w:r w:rsidRPr="005220AD">
        <w:rPr>
          <w:rFonts w:eastAsia="Times New Roman" w:cs="Arial"/>
          <w:bCs/>
          <w:i/>
          <w:iCs/>
          <w:color w:val="000000"/>
          <w:lang w:val="en-US"/>
        </w:rPr>
        <w:t>MIC</w:t>
      </w:r>
      <w:r w:rsidRPr="005220AD">
        <w:rPr>
          <w:rFonts w:eastAsia="Times New Roman" w:cs="Arial"/>
          <w:bCs/>
          <w:i/>
          <w:iCs/>
          <w:color w:val="000000"/>
          <w:lang w:eastAsia="bg-BG"/>
        </w:rPr>
        <w:t>-разпределението за специфичните видове. Те могат да се прилагат само за видове, които не са посочени в таблицата или в бележките към текста.</w:t>
      </w:r>
    </w:p>
    <w:p w14:paraId="75836AD5" w14:textId="77777777" w:rsidR="005220AD" w:rsidRPr="005220AD" w:rsidRDefault="005220AD" w:rsidP="005220AD">
      <w:pPr>
        <w:rPr>
          <w:rFonts w:eastAsia="Times New Roman" w:cs="Arial"/>
          <w:bCs/>
          <w:color w:val="000000"/>
          <w:lang w:eastAsia="bg-BG"/>
        </w:rPr>
      </w:pPr>
    </w:p>
    <w:p w14:paraId="45CF3112" w14:textId="7441B6D4" w:rsidR="005220AD" w:rsidRDefault="005220AD" w:rsidP="005220AD">
      <w:pPr>
        <w:rPr>
          <w:rFonts w:eastAsia="Times New Roman" w:cs="Arial"/>
          <w:bCs/>
          <w:color w:val="000000"/>
          <w:lang w:eastAsia="bg-BG"/>
        </w:rPr>
      </w:pPr>
      <w:r w:rsidRPr="005220AD">
        <w:rPr>
          <w:rFonts w:eastAsia="Times New Roman" w:cs="Arial"/>
          <w:bCs/>
          <w:color w:val="000000"/>
          <w:lang w:eastAsia="bg-BG"/>
        </w:rPr>
        <w:t>Разпространението на придобита резистентност може да варира по географски регион и във времето за избрани видове. Затова е необходима местна информация за статуса на резистентността, особено при лечение на тежки инфекции. При необходимост, тряба да се търси експертна консултация, когато местната информация за статуса на резистентността е такава че ползата от лекарството, при поне някои видове инфекции е под въпрос.</w:t>
      </w:r>
    </w:p>
    <w:p w14:paraId="180FCD7E" w14:textId="314B1299" w:rsidR="005220AD" w:rsidRDefault="005220AD" w:rsidP="005220AD">
      <w:pPr>
        <w:rPr>
          <w:rFonts w:eastAsia="Times New Roman" w:cs="Arial"/>
          <w:bCs/>
          <w:color w:val="000000"/>
          <w:lang w:eastAsia="bg-BG"/>
        </w:rPr>
      </w:pPr>
    </w:p>
    <w:tbl>
      <w:tblPr>
        <w:tblStyle w:val="TableGrid"/>
        <w:tblW w:w="0" w:type="auto"/>
        <w:tblLook w:val="04A0" w:firstRow="1" w:lastRow="0" w:firstColumn="1" w:lastColumn="0" w:noHBand="0" w:noVBand="1"/>
      </w:tblPr>
      <w:tblGrid>
        <w:gridCol w:w="9350"/>
      </w:tblGrid>
      <w:tr w:rsidR="005220AD" w14:paraId="27800D1E" w14:textId="77777777" w:rsidTr="005220AD">
        <w:tc>
          <w:tcPr>
            <w:tcW w:w="9576" w:type="dxa"/>
          </w:tcPr>
          <w:p w14:paraId="711E03AE" w14:textId="76F308D3" w:rsidR="005220AD" w:rsidRDefault="005220AD" w:rsidP="005220AD">
            <w:pPr>
              <w:rPr>
                <w:rFonts w:eastAsia="Times New Roman" w:cs="Arial"/>
                <w:color w:val="000000"/>
                <w:lang w:eastAsia="bg-BG"/>
              </w:rPr>
            </w:pPr>
            <w:r>
              <w:rPr>
                <w:lang w:eastAsia="bg-BG"/>
              </w:rPr>
              <w:t>Обичайно чувствителни видове</w:t>
            </w:r>
          </w:p>
        </w:tc>
      </w:tr>
      <w:tr w:rsidR="005220AD" w14:paraId="425060DA" w14:textId="77777777" w:rsidTr="005220AD">
        <w:tc>
          <w:tcPr>
            <w:tcW w:w="9576" w:type="dxa"/>
          </w:tcPr>
          <w:p w14:paraId="768408BE" w14:textId="64A673AC" w:rsidR="005220AD" w:rsidRDefault="005220AD" w:rsidP="005220AD">
            <w:pPr>
              <w:rPr>
                <w:rFonts w:eastAsia="Times New Roman" w:cs="Arial"/>
                <w:color w:val="000000"/>
                <w:lang w:eastAsia="bg-BG"/>
              </w:rPr>
            </w:pPr>
            <w:r>
              <w:rPr>
                <w:i/>
                <w:iCs/>
                <w:lang w:eastAsia="bg-BG"/>
              </w:rPr>
              <w:t>Грам-положителни аероби</w:t>
            </w:r>
          </w:p>
        </w:tc>
      </w:tr>
      <w:tr w:rsidR="005220AD" w14:paraId="43A463B3" w14:textId="77777777" w:rsidTr="005220AD">
        <w:tc>
          <w:tcPr>
            <w:tcW w:w="9576" w:type="dxa"/>
          </w:tcPr>
          <w:p w14:paraId="20A0608A" w14:textId="60B07269" w:rsidR="005220AD" w:rsidRDefault="005220AD" w:rsidP="005220AD">
            <w:pPr>
              <w:rPr>
                <w:rFonts w:eastAsia="Times New Roman" w:cs="Arial"/>
                <w:color w:val="000000"/>
                <w:lang w:eastAsia="bg-BG"/>
              </w:rPr>
            </w:pPr>
            <w:r>
              <w:rPr>
                <w:i/>
                <w:iCs/>
              </w:rPr>
              <w:lastRenderedPageBreak/>
              <w:t>Staphylococcus aureus</w:t>
            </w:r>
            <w:r>
              <w:t xml:space="preserve"> </w:t>
            </w:r>
            <w:r>
              <w:rPr>
                <w:lang w:eastAsia="bg-BG"/>
              </w:rPr>
              <w:t>(метицилин-чувствителен)</w:t>
            </w:r>
          </w:p>
        </w:tc>
      </w:tr>
      <w:tr w:rsidR="005220AD" w14:paraId="34C6709C" w14:textId="77777777" w:rsidTr="005220AD">
        <w:tc>
          <w:tcPr>
            <w:tcW w:w="9576" w:type="dxa"/>
          </w:tcPr>
          <w:p w14:paraId="1491B481" w14:textId="6C2219AE" w:rsidR="005220AD" w:rsidRDefault="005220AD" w:rsidP="005220AD">
            <w:pPr>
              <w:rPr>
                <w:rFonts w:eastAsia="Times New Roman" w:cs="Arial"/>
                <w:color w:val="000000"/>
                <w:lang w:eastAsia="bg-BG"/>
              </w:rPr>
            </w:pPr>
            <w:r>
              <w:rPr>
                <w:i/>
                <w:iCs/>
              </w:rPr>
              <w:t>Streptococcus agalactiae</w:t>
            </w:r>
          </w:p>
        </w:tc>
      </w:tr>
      <w:tr w:rsidR="005220AD" w14:paraId="59326BF3" w14:textId="77777777" w:rsidTr="005220AD">
        <w:tc>
          <w:tcPr>
            <w:tcW w:w="9576" w:type="dxa"/>
          </w:tcPr>
          <w:p w14:paraId="3BDAEFE8" w14:textId="73402BDB" w:rsidR="005220AD" w:rsidRDefault="005220AD" w:rsidP="005220AD">
            <w:pPr>
              <w:rPr>
                <w:rFonts w:eastAsia="Times New Roman" w:cs="Arial"/>
                <w:color w:val="000000"/>
                <w:lang w:eastAsia="bg-BG"/>
              </w:rPr>
            </w:pPr>
            <w:r>
              <w:rPr>
                <w:i/>
                <w:iCs/>
              </w:rPr>
              <w:t>Streptococcus pneumoniae</w:t>
            </w:r>
          </w:p>
        </w:tc>
      </w:tr>
      <w:tr w:rsidR="005220AD" w14:paraId="6419B6C2" w14:textId="77777777" w:rsidTr="005220AD">
        <w:tc>
          <w:tcPr>
            <w:tcW w:w="9576" w:type="dxa"/>
          </w:tcPr>
          <w:p w14:paraId="7E642CDB" w14:textId="7FDF764D" w:rsidR="005220AD" w:rsidRDefault="005220AD" w:rsidP="005220AD">
            <w:pPr>
              <w:rPr>
                <w:rFonts w:eastAsia="Times New Roman" w:cs="Arial"/>
                <w:color w:val="000000"/>
                <w:lang w:eastAsia="bg-BG"/>
              </w:rPr>
            </w:pPr>
            <w:r>
              <w:rPr>
                <w:lang w:eastAsia="bg-BG"/>
              </w:rPr>
              <w:t xml:space="preserve">Други стрептококи (Група С, </w:t>
            </w:r>
            <w:r>
              <w:t xml:space="preserve">F, G </w:t>
            </w:r>
            <w:r>
              <w:rPr>
                <w:lang w:eastAsia="bg-BG"/>
              </w:rPr>
              <w:t>стрептококи)</w:t>
            </w:r>
          </w:p>
        </w:tc>
      </w:tr>
      <w:tr w:rsidR="005220AD" w14:paraId="100C158D" w14:textId="77777777" w:rsidTr="005220AD">
        <w:tc>
          <w:tcPr>
            <w:tcW w:w="9576" w:type="dxa"/>
          </w:tcPr>
          <w:p w14:paraId="49850B37" w14:textId="3ACA7104" w:rsidR="005220AD" w:rsidRDefault="005220AD" w:rsidP="005220AD">
            <w:pPr>
              <w:rPr>
                <w:rFonts w:eastAsia="Times New Roman" w:cs="Arial"/>
                <w:color w:val="000000"/>
                <w:lang w:eastAsia="bg-BG"/>
              </w:rPr>
            </w:pPr>
            <w:r>
              <w:rPr>
                <w:i/>
                <w:iCs/>
                <w:lang w:eastAsia="bg-BG"/>
              </w:rPr>
              <w:t>Грам-отрицателни аероби</w:t>
            </w:r>
          </w:p>
        </w:tc>
      </w:tr>
      <w:tr w:rsidR="005220AD" w14:paraId="2A2C799E" w14:textId="77777777" w:rsidTr="005220AD">
        <w:tc>
          <w:tcPr>
            <w:tcW w:w="9576" w:type="dxa"/>
          </w:tcPr>
          <w:p w14:paraId="3AA36A29" w14:textId="035E88D7" w:rsidR="005220AD" w:rsidRDefault="005220AD" w:rsidP="005220AD">
            <w:pPr>
              <w:rPr>
                <w:rFonts w:eastAsia="Times New Roman" w:cs="Arial"/>
                <w:color w:val="000000"/>
                <w:lang w:eastAsia="bg-BG"/>
              </w:rPr>
            </w:pPr>
            <w:r>
              <w:rPr>
                <w:i/>
                <w:iCs/>
              </w:rPr>
              <w:t>Citrobacter spp.</w:t>
            </w:r>
          </w:p>
        </w:tc>
      </w:tr>
      <w:tr w:rsidR="005220AD" w14:paraId="19F320DF" w14:textId="77777777" w:rsidTr="005220AD">
        <w:tc>
          <w:tcPr>
            <w:tcW w:w="9576" w:type="dxa"/>
          </w:tcPr>
          <w:p w14:paraId="07426A42" w14:textId="5CB4402C" w:rsidR="005220AD" w:rsidRDefault="005220AD" w:rsidP="005220AD">
            <w:pPr>
              <w:rPr>
                <w:rFonts w:eastAsia="Times New Roman" w:cs="Arial"/>
                <w:color w:val="000000"/>
                <w:lang w:eastAsia="bg-BG"/>
              </w:rPr>
            </w:pPr>
            <w:r>
              <w:rPr>
                <w:i/>
                <w:iCs/>
              </w:rPr>
              <w:t>Citrobacterfreundii</w:t>
            </w:r>
          </w:p>
        </w:tc>
      </w:tr>
      <w:tr w:rsidR="005220AD" w14:paraId="16452021" w14:textId="77777777" w:rsidTr="005220AD">
        <w:tc>
          <w:tcPr>
            <w:tcW w:w="9576" w:type="dxa"/>
          </w:tcPr>
          <w:p w14:paraId="1F40DC03" w14:textId="0A0ECE4D" w:rsidR="005220AD" w:rsidRDefault="005220AD" w:rsidP="005220AD">
            <w:pPr>
              <w:rPr>
                <w:rFonts w:eastAsia="Times New Roman" w:cs="Arial"/>
                <w:color w:val="000000"/>
                <w:lang w:eastAsia="bg-BG"/>
              </w:rPr>
            </w:pPr>
            <w:r>
              <w:t>Enterobacter aerogenes</w:t>
            </w:r>
          </w:p>
        </w:tc>
      </w:tr>
      <w:tr w:rsidR="005220AD" w14:paraId="77BD0BEE" w14:textId="77777777" w:rsidTr="005220AD">
        <w:tc>
          <w:tcPr>
            <w:tcW w:w="9576" w:type="dxa"/>
          </w:tcPr>
          <w:p w14:paraId="74EE5EF0" w14:textId="750D0C2D" w:rsidR="005220AD" w:rsidRDefault="005220AD" w:rsidP="005220AD">
            <w:pPr>
              <w:rPr>
                <w:rFonts w:eastAsia="Times New Roman" w:cs="Arial"/>
                <w:color w:val="000000"/>
                <w:lang w:eastAsia="bg-BG"/>
              </w:rPr>
            </w:pPr>
            <w:r>
              <w:t>Enterobacter cloacae</w:t>
            </w:r>
          </w:p>
        </w:tc>
      </w:tr>
      <w:tr w:rsidR="005220AD" w14:paraId="7B8ED3AE" w14:textId="77777777" w:rsidTr="005220AD">
        <w:tc>
          <w:tcPr>
            <w:tcW w:w="9576" w:type="dxa"/>
          </w:tcPr>
          <w:p w14:paraId="2A7F9549" w14:textId="109920FF" w:rsidR="005220AD" w:rsidRDefault="005220AD" w:rsidP="005220AD">
            <w:pPr>
              <w:rPr>
                <w:rFonts w:eastAsia="Times New Roman" w:cs="Arial"/>
                <w:color w:val="000000"/>
                <w:lang w:eastAsia="bg-BG"/>
              </w:rPr>
            </w:pPr>
            <w:r>
              <w:rPr>
                <w:i/>
                <w:iCs/>
              </w:rPr>
              <w:t>Escherichia coli</w:t>
            </w:r>
          </w:p>
        </w:tc>
      </w:tr>
      <w:tr w:rsidR="005220AD" w14:paraId="23878ED0" w14:textId="77777777" w:rsidTr="005220AD">
        <w:tc>
          <w:tcPr>
            <w:tcW w:w="9576" w:type="dxa"/>
          </w:tcPr>
          <w:p w14:paraId="315BA2F6" w14:textId="5D9399D9" w:rsidR="005220AD" w:rsidRDefault="005220AD" w:rsidP="005220AD">
            <w:pPr>
              <w:rPr>
                <w:rFonts w:eastAsia="Times New Roman" w:cs="Arial"/>
                <w:color w:val="000000"/>
                <w:lang w:eastAsia="bg-BG"/>
              </w:rPr>
            </w:pPr>
            <w:r>
              <w:rPr>
                <w:i/>
                <w:iCs/>
              </w:rPr>
              <w:t>Haemophilus influenzae</w:t>
            </w:r>
          </w:p>
        </w:tc>
      </w:tr>
      <w:tr w:rsidR="005220AD" w14:paraId="683773FC" w14:textId="77777777" w:rsidTr="005220AD">
        <w:tc>
          <w:tcPr>
            <w:tcW w:w="9576" w:type="dxa"/>
          </w:tcPr>
          <w:p w14:paraId="227E7411" w14:textId="0281F10D" w:rsidR="005220AD" w:rsidRDefault="005220AD" w:rsidP="005220AD">
            <w:pPr>
              <w:rPr>
                <w:rFonts w:eastAsia="Times New Roman" w:cs="Arial"/>
                <w:color w:val="000000"/>
                <w:lang w:eastAsia="bg-BG"/>
              </w:rPr>
            </w:pPr>
            <w:r>
              <w:rPr>
                <w:i/>
                <w:iCs/>
              </w:rPr>
              <w:t>Klebsiella pneumoniae</w:t>
            </w:r>
          </w:p>
        </w:tc>
      </w:tr>
      <w:tr w:rsidR="005220AD" w14:paraId="1273422A" w14:textId="77777777" w:rsidTr="005220AD">
        <w:tc>
          <w:tcPr>
            <w:tcW w:w="9576" w:type="dxa"/>
          </w:tcPr>
          <w:p w14:paraId="32697326" w14:textId="4E0943AF" w:rsidR="005220AD" w:rsidRDefault="005220AD" w:rsidP="005220AD">
            <w:pPr>
              <w:rPr>
                <w:rFonts w:eastAsia="Times New Roman" w:cs="Arial"/>
                <w:color w:val="000000"/>
                <w:lang w:eastAsia="bg-BG"/>
              </w:rPr>
            </w:pPr>
            <w:r>
              <w:rPr>
                <w:i/>
                <w:iCs/>
              </w:rPr>
              <w:t>Klebsiella oxytoca</w:t>
            </w:r>
          </w:p>
        </w:tc>
      </w:tr>
      <w:tr w:rsidR="005220AD" w14:paraId="13FC417B" w14:textId="77777777" w:rsidTr="005220AD">
        <w:tc>
          <w:tcPr>
            <w:tcW w:w="9576" w:type="dxa"/>
          </w:tcPr>
          <w:p w14:paraId="6ABDF210" w14:textId="547660C0" w:rsidR="005220AD" w:rsidRDefault="005220AD" w:rsidP="005220AD">
            <w:pPr>
              <w:rPr>
                <w:rFonts w:eastAsia="Times New Roman" w:cs="Arial"/>
                <w:color w:val="000000"/>
                <w:lang w:eastAsia="bg-BG"/>
              </w:rPr>
            </w:pPr>
            <w:r>
              <w:rPr>
                <w:i/>
                <w:iCs/>
              </w:rPr>
              <w:t>Moraxella catarrhalis</w:t>
            </w:r>
          </w:p>
        </w:tc>
      </w:tr>
      <w:tr w:rsidR="005220AD" w14:paraId="03A2153B" w14:textId="77777777" w:rsidTr="005220AD">
        <w:tc>
          <w:tcPr>
            <w:tcW w:w="9576" w:type="dxa"/>
          </w:tcPr>
          <w:p w14:paraId="4F68D437" w14:textId="5C6A7DDD" w:rsidR="005220AD" w:rsidRDefault="005220AD" w:rsidP="005220AD">
            <w:pPr>
              <w:rPr>
                <w:rFonts w:eastAsia="Times New Roman" w:cs="Arial"/>
                <w:color w:val="000000"/>
                <w:lang w:eastAsia="bg-BG"/>
              </w:rPr>
            </w:pPr>
            <w:r>
              <w:rPr>
                <w:i/>
                <w:iCs/>
              </w:rPr>
              <w:t>Morganella morganii</w:t>
            </w:r>
          </w:p>
        </w:tc>
      </w:tr>
      <w:tr w:rsidR="005220AD" w14:paraId="52200861" w14:textId="77777777" w:rsidTr="005220AD">
        <w:tc>
          <w:tcPr>
            <w:tcW w:w="9576" w:type="dxa"/>
          </w:tcPr>
          <w:p w14:paraId="7C152457" w14:textId="7C6B7880" w:rsidR="005220AD" w:rsidRDefault="005220AD" w:rsidP="005220AD">
            <w:pPr>
              <w:rPr>
                <w:rFonts w:eastAsia="Times New Roman" w:cs="Arial"/>
                <w:color w:val="000000"/>
                <w:lang w:eastAsia="bg-BG"/>
              </w:rPr>
            </w:pPr>
            <w:r>
              <w:rPr>
                <w:i/>
                <w:iCs/>
              </w:rPr>
              <w:t>Proteus mirabilis</w:t>
            </w:r>
          </w:p>
        </w:tc>
      </w:tr>
      <w:tr w:rsidR="005220AD" w14:paraId="1CD75A8B" w14:textId="77777777" w:rsidTr="005220AD">
        <w:tc>
          <w:tcPr>
            <w:tcW w:w="9576" w:type="dxa"/>
          </w:tcPr>
          <w:p w14:paraId="31EE44EF" w14:textId="41FAB1F3" w:rsidR="005220AD" w:rsidRDefault="005220AD" w:rsidP="005220AD">
            <w:pPr>
              <w:rPr>
                <w:rFonts w:eastAsia="Times New Roman" w:cs="Arial"/>
                <w:color w:val="000000"/>
                <w:lang w:eastAsia="bg-BG"/>
              </w:rPr>
            </w:pPr>
            <w:r>
              <w:rPr>
                <w:i/>
                <w:iCs/>
              </w:rPr>
              <w:t>Proteus vulgaris</w:t>
            </w:r>
          </w:p>
        </w:tc>
      </w:tr>
      <w:tr w:rsidR="005220AD" w14:paraId="3D86A25D" w14:textId="77777777" w:rsidTr="005220AD">
        <w:tc>
          <w:tcPr>
            <w:tcW w:w="9576" w:type="dxa"/>
          </w:tcPr>
          <w:p w14:paraId="0CB9588C" w14:textId="49897D09" w:rsidR="005220AD" w:rsidRDefault="005220AD" w:rsidP="005220AD">
            <w:pPr>
              <w:rPr>
                <w:rFonts w:eastAsia="Times New Roman" w:cs="Arial"/>
                <w:color w:val="000000"/>
                <w:lang w:eastAsia="bg-BG"/>
              </w:rPr>
            </w:pPr>
            <w:r>
              <w:rPr>
                <w:i/>
                <w:iCs/>
              </w:rPr>
              <w:t>Serratia marcescens</w:t>
            </w:r>
          </w:p>
        </w:tc>
      </w:tr>
      <w:tr w:rsidR="005220AD" w14:paraId="00F0B832" w14:textId="77777777" w:rsidTr="005220AD">
        <w:tc>
          <w:tcPr>
            <w:tcW w:w="9576" w:type="dxa"/>
          </w:tcPr>
          <w:p w14:paraId="710FA9C4" w14:textId="3A8EA03B" w:rsidR="005220AD" w:rsidRDefault="005220AD" w:rsidP="005220AD">
            <w:pPr>
              <w:rPr>
                <w:rFonts w:eastAsia="Times New Roman" w:cs="Arial"/>
                <w:color w:val="000000"/>
                <w:lang w:eastAsia="bg-BG"/>
              </w:rPr>
            </w:pPr>
            <w:r>
              <w:rPr>
                <w:lang w:eastAsia="bg-BG"/>
              </w:rPr>
              <w:t>Видове, при които придобитата резистентиост може да е проблем</w:t>
            </w:r>
          </w:p>
        </w:tc>
      </w:tr>
      <w:tr w:rsidR="005220AD" w14:paraId="2EA21E5B" w14:textId="77777777" w:rsidTr="005220AD">
        <w:tc>
          <w:tcPr>
            <w:tcW w:w="9576" w:type="dxa"/>
          </w:tcPr>
          <w:p w14:paraId="2DD71089" w14:textId="0CA5C8BC" w:rsidR="005220AD" w:rsidRDefault="005220AD" w:rsidP="005220AD">
            <w:pPr>
              <w:rPr>
                <w:rFonts w:eastAsia="Times New Roman" w:cs="Arial"/>
                <w:color w:val="000000"/>
                <w:lang w:eastAsia="bg-BG"/>
              </w:rPr>
            </w:pPr>
            <w:r>
              <w:rPr>
                <w:i/>
                <w:iCs/>
                <w:lang w:eastAsia="bg-BG"/>
              </w:rPr>
              <w:t>Грам-отрицателни аероби</w:t>
            </w:r>
          </w:p>
        </w:tc>
      </w:tr>
      <w:tr w:rsidR="005220AD" w14:paraId="0E3A9A9C" w14:textId="77777777" w:rsidTr="005220AD">
        <w:tc>
          <w:tcPr>
            <w:tcW w:w="9576" w:type="dxa"/>
          </w:tcPr>
          <w:p w14:paraId="1C734C16" w14:textId="4F128AD8" w:rsidR="005220AD" w:rsidRDefault="005220AD" w:rsidP="005220AD">
            <w:pPr>
              <w:rPr>
                <w:rFonts w:eastAsia="Times New Roman" w:cs="Arial"/>
                <w:color w:val="000000"/>
                <w:lang w:eastAsia="bg-BG"/>
              </w:rPr>
            </w:pPr>
            <w:r>
              <w:rPr>
                <w:i/>
                <w:iCs/>
              </w:rPr>
              <w:t>Pseudomonas aeruginosa</w:t>
            </w:r>
          </w:p>
        </w:tc>
      </w:tr>
      <w:tr w:rsidR="005220AD" w14:paraId="28FE745A" w14:textId="77777777" w:rsidTr="005220AD">
        <w:tc>
          <w:tcPr>
            <w:tcW w:w="9576" w:type="dxa"/>
          </w:tcPr>
          <w:p w14:paraId="794A0DC0" w14:textId="1565634D" w:rsidR="005220AD" w:rsidRDefault="005220AD" w:rsidP="005220AD">
            <w:pPr>
              <w:rPr>
                <w:rFonts w:eastAsia="Times New Roman" w:cs="Arial"/>
                <w:color w:val="000000"/>
                <w:lang w:eastAsia="bg-BG"/>
              </w:rPr>
            </w:pPr>
            <w:r>
              <w:rPr>
                <w:lang w:eastAsia="bg-BG"/>
              </w:rPr>
              <w:t>Организми с вродена резистентиост</w:t>
            </w:r>
          </w:p>
        </w:tc>
      </w:tr>
      <w:tr w:rsidR="005220AD" w14:paraId="718246DB" w14:textId="77777777" w:rsidTr="005220AD">
        <w:tc>
          <w:tcPr>
            <w:tcW w:w="9576" w:type="dxa"/>
          </w:tcPr>
          <w:p w14:paraId="44C26AA6" w14:textId="6D9F4AD9" w:rsidR="005220AD" w:rsidRDefault="005220AD" w:rsidP="005220AD">
            <w:pPr>
              <w:rPr>
                <w:rFonts w:eastAsia="Times New Roman" w:cs="Arial"/>
                <w:color w:val="000000"/>
                <w:lang w:eastAsia="bg-BG"/>
              </w:rPr>
            </w:pPr>
            <w:r>
              <w:rPr>
                <w:i/>
                <w:iCs/>
                <w:lang w:eastAsia="bg-BG"/>
              </w:rPr>
              <w:t>Грам-положителни аероби</w:t>
            </w:r>
          </w:p>
        </w:tc>
      </w:tr>
      <w:tr w:rsidR="005220AD" w14:paraId="4D6D3D5D" w14:textId="77777777" w:rsidTr="005220AD">
        <w:tc>
          <w:tcPr>
            <w:tcW w:w="9576" w:type="dxa"/>
          </w:tcPr>
          <w:p w14:paraId="2DE5369F" w14:textId="13076AC9" w:rsidR="005220AD" w:rsidRDefault="005220AD" w:rsidP="005220AD">
            <w:pPr>
              <w:rPr>
                <w:rFonts w:eastAsia="Times New Roman" w:cs="Arial"/>
                <w:color w:val="000000"/>
                <w:lang w:eastAsia="bg-BG"/>
              </w:rPr>
            </w:pPr>
            <w:r>
              <w:rPr>
                <w:i/>
                <w:iCs/>
              </w:rPr>
              <w:t>Enterococcus spp.</w:t>
            </w:r>
          </w:p>
        </w:tc>
      </w:tr>
      <w:tr w:rsidR="005220AD" w14:paraId="6319038F" w14:textId="77777777" w:rsidTr="005220AD">
        <w:tc>
          <w:tcPr>
            <w:tcW w:w="9576" w:type="dxa"/>
          </w:tcPr>
          <w:p w14:paraId="72D7FD30" w14:textId="1E984F8D" w:rsidR="005220AD" w:rsidRDefault="005220AD" w:rsidP="005220AD">
            <w:pPr>
              <w:rPr>
                <w:rFonts w:eastAsia="Times New Roman" w:cs="Arial"/>
                <w:color w:val="000000"/>
                <w:lang w:eastAsia="bg-BG"/>
              </w:rPr>
            </w:pPr>
            <w:r>
              <w:rPr>
                <w:i/>
                <w:iCs/>
              </w:rPr>
              <w:t>Staphylococcus aureus</w:t>
            </w:r>
            <w:r>
              <w:t xml:space="preserve"> </w:t>
            </w:r>
            <w:r>
              <w:rPr>
                <w:lang w:eastAsia="bg-BG"/>
              </w:rPr>
              <w:t>(метицилин-чувствителен)</w:t>
            </w:r>
          </w:p>
        </w:tc>
      </w:tr>
      <w:tr w:rsidR="005220AD" w14:paraId="14DD0530" w14:textId="77777777" w:rsidTr="005220AD">
        <w:tc>
          <w:tcPr>
            <w:tcW w:w="9576" w:type="dxa"/>
          </w:tcPr>
          <w:p w14:paraId="51AA7F28" w14:textId="5430A658" w:rsidR="005220AD" w:rsidRDefault="005220AD" w:rsidP="005220AD">
            <w:pPr>
              <w:rPr>
                <w:rFonts w:eastAsia="Times New Roman" w:cs="Arial"/>
                <w:color w:val="000000"/>
                <w:lang w:eastAsia="bg-BG"/>
              </w:rPr>
            </w:pPr>
            <w:r>
              <w:rPr>
                <w:i/>
                <w:iCs/>
                <w:lang w:eastAsia="bg-BG"/>
              </w:rPr>
              <w:t>Грам-отрицателни аероби</w:t>
            </w:r>
          </w:p>
        </w:tc>
      </w:tr>
      <w:tr w:rsidR="005220AD" w14:paraId="31D43D24" w14:textId="77777777" w:rsidTr="005220AD">
        <w:tc>
          <w:tcPr>
            <w:tcW w:w="9576" w:type="dxa"/>
          </w:tcPr>
          <w:p w14:paraId="7E1CCC3D" w14:textId="696A5ACD" w:rsidR="005220AD" w:rsidRDefault="005220AD" w:rsidP="005220AD">
            <w:pPr>
              <w:rPr>
                <w:rFonts w:eastAsia="Times New Roman" w:cs="Arial"/>
                <w:color w:val="000000"/>
                <w:lang w:eastAsia="bg-BG"/>
              </w:rPr>
            </w:pPr>
            <w:r>
              <w:rPr>
                <w:i/>
                <w:iCs/>
              </w:rPr>
              <w:t>Stenotrophomonas maltophilia</w:t>
            </w:r>
          </w:p>
        </w:tc>
      </w:tr>
      <w:tr w:rsidR="005220AD" w14:paraId="798EF597" w14:textId="77777777" w:rsidTr="005220AD">
        <w:tc>
          <w:tcPr>
            <w:tcW w:w="9576" w:type="dxa"/>
          </w:tcPr>
          <w:p w14:paraId="363A6705" w14:textId="302A6CB3" w:rsidR="005220AD" w:rsidRDefault="005220AD" w:rsidP="005220AD">
            <w:pPr>
              <w:rPr>
                <w:rFonts w:eastAsia="Times New Roman" w:cs="Arial"/>
                <w:color w:val="000000"/>
                <w:lang w:eastAsia="bg-BG"/>
              </w:rPr>
            </w:pPr>
            <w:r>
              <w:rPr>
                <w:i/>
                <w:iCs/>
                <w:lang w:eastAsia="bg-BG"/>
              </w:rPr>
              <w:t>Анаероби</w:t>
            </w:r>
          </w:p>
        </w:tc>
      </w:tr>
      <w:tr w:rsidR="005220AD" w14:paraId="099E18D6" w14:textId="77777777" w:rsidTr="005220AD">
        <w:tc>
          <w:tcPr>
            <w:tcW w:w="9576" w:type="dxa"/>
          </w:tcPr>
          <w:p w14:paraId="7C70ACB2" w14:textId="6698DD07" w:rsidR="005220AD" w:rsidRDefault="005220AD" w:rsidP="005220AD">
            <w:pPr>
              <w:rPr>
                <w:rFonts w:eastAsia="Times New Roman" w:cs="Arial"/>
                <w:color w:val="000000"/>
                <w:lang w:eastAsia="bg-BG"/>
              </w:rPr>
            </w:pPr>
            <w:r>
              <w:rPr>
                <w:i/>
                <w:iCs/>
              </w:rPr>
              <w:t>Bacteroides spp.</w:t>
            </w:r>
          </w:p>
        </w:tc>
      </w:tr>
      <w:tr w:rsidR="005220AD" w14:paraId="4BF6E472" w14:textId="77777777" w:rsidTr="005220AD">
        <w:tc>
          <w:tcPr>
            <w:tcW w:w="9576" w:type="dxa"/>
          </w:tcPr>
          <w:p w14:paraId="112B7A13" w14:textId="116432C2" w:rsidR="005220AD" w:rsidRDefault="005220AD" w:rsidP="005220AD">
            <w:pPr>
              <w:rPr>
                <w:rFonts w:eastAsia="Times New Roman" w:cs="Arial"/>
                <w:color w:val="000000"/>
                <w:lang w:eastAsia="bg-BG"/>
              </w:rPr>
            </w:pPr>
            <w:r>
              <w:rPr>
                <w:i/>
                <w:iCs/>
              </w:rPr>
              <w:t>Clostridium difficile</w:t>
            </w:r>
          </w:p>
        </w:tc>
      </w:tr>
    </w:tbl>
    <w:p w14:paraId="2815376C" w14:textId="77777777" w:rsidR="005220AD" w:rsidRPr="005220AD" w:rsidRDefault="005220AD" w:rsidP="005220AD">
      <w:pPr>
        <w:rPr>
          <w:rFonts w:eastAsia="Times New Roman" w:cs="Arial"/>
          <w:bCs/>
          <w:color w:val="000000"/>
          <w:lang w:eastAsia="bg-BG"/>
        </w:rPr>
      </w:pPr>
    </w:p>
    <w:p w14:paraId="5C51B4CC" w14:textId="4BFBEE74" w:rsidR="00426E5F" w:rsidRDefault="002C50EE" w:rsidP="00A65A81">
      <w:pPr>
        <w:pStyle w:val="Heading2"/>
      </w:pPr>
      <w:r>
        <w:t>5.2. Фармакокинетични свойства</w:t>
      </w:r>
    </w:p>
    <w:p w14:paraId="1AF7B7E7" w14:textId="2C56D1A4" w:rsidR="005220AD" w:rsidRDefault="005220AD" w:rsidP="005220AD"/>
    <w:p w14:paraId="48D6FB28" w14:textId="77777777" w:rsidR="005220AD" w:rsidRPr="005220AD" w:rsidRDefault="005220AD" w:rsidP="005220AD">
      <w:pPr>
        <w:rPr>
          <w:sz w:val="24"/>
          <w:szCs w:val="24"/>
        </w:rPr>
      </w:pPr>
      <w:r w:rsidRPr="005220AD">
        <w:rPr>
          <w:lang w:eastAsia="bg-BG"/>
        </w:rPr>
        <w:t xml:space="preserve">Фармакокинетиката на цефепим е линейна при дози в интервала 250 </w:t>
      </w:r>
      <w:r w:rsidRPr="005220AD">
        <w:rPr>
          <w:lang w:val="en-US"/>
        </w:rPr>
        <w:t>mg</w:t>
      </w:r>
      <w:r w:rsidRPr="005220AD">
        <w:rPr>
          <w:lang w:val="ru-RU"/>
        </w:rPr>
        <w:t xml:space="preserve"> -2 </w:t>
      </w:r>
      <w:r w:rsidRPr="005220AD">
        <w:rPr>
          <w:lang w:val="en-US"/>
        </w:rPr>
        <w:t>g</w:t>
      </w:r>
      <w:r w:rsidRPr="005220AD">
        <w:rPr>
          <w:lang w:val="ru-RU"/>
        </w:rPr>
        <w:t xml:space="preserve">, </w:t>
      </w:r>
      <w:r w:rsidRPr="005220AD">
        <w:rPr>
          <w:lang w:eastAsia="bg-BG"/>
        </w:rPr>
        <w:t>прилагани интравенозно. Тя не се променя в хода на лечението.</w:t>
      </w:r>
    </w:p>
    <w:p w14:paraId="187636B0" w14:textId="77777777" w:rsidR="005220AD" w:rsidRDefault="005220AD" w:rsidP="005220AD">
      <w:pPr>
        <w:rPr>
          <w:u w:val="single"/>
          <w:lang w:eastAsia="bg-BG"/>
        </w:rPr>
      </w:pPr>
    </w:p>
    <w:p w14:paraId="7A6E00D9" w14:textId="129C7D0E" w:rsidR="005220AD" w:rsidRPr="005220AD" w:rsidRDefault="005220AD" w:rsidP="005220AD">
      <w:pPr>
        <w:rPr>
          <w:sz w:val="24"/>
          <w:szCs w:val="24"/>
        </w:rPr>
      </w:pPr>
      <w:r w:rsidRPr="005220AD">
        <w:rPr>
          <w:u w:val="single"/>
          <w:lang w:eastAsia="bg-BG"/>
        </w:rPr>
        <w:t>Разпределение:</w:t>
      </w:r>
      <w:r w:rsidRPr="005220AD">
        <w:rPr>
          <w:lang w:eastAsia="bg-BG"/>
        </w:rPr>
        <w:t xml:space="preserve"> Средните плазмени концентрации на цефепим наблюдавани при възрастни мъже след еднократна интравенозна инфузия на 500 </w:t>
      </w:r>
      <w:r w:rsidRPr="005220AD">
        <w:rPr>
          <w:lang w:val="en-US"/>
        </w:rPr>
        <w:t>mg</w:t>
      </w:r>
      <w:r w:rsidRPr="005220AD">
        <w:rPr>
          <w:lang w:val="ru-RU"/>
        </w:rPr>
        <w:t xml:space="preserve">, </w:t>
      </w:r>
      <w:r w:rsidRPr="005220AD">
        <w:rPr>
          <w:lang w:eastAsia="bg-BG"/>
        </w:rPr>
        <w:t xml:space="preserve">1 </w:t>
      </w:r>
      <w:r w:rsidRPr="005220AD">
        <w:rPr>
          <w:lang w:val="en-US"/>
        </w:rPr>
        <w:t>g</w:t>
      </w:r>
      <w:r w:rsidRPr="005220AD">
        <w:rPr>
          <w:lang w:val="ru-RU"/>
        </w:rPr>
        <w:t xml:space="preserve"> </w:t>
      </w:r>
      <w:r w:rsidRPr="005220AD">
        <w:rPr>
          <w:lang w:eastAsia="bg-BG"/>
        </w:rPr>
        <w:t xml:space="preserve">и 2 </w:t>
      </w:r>
      <w:r w:rsidRPr="005220AD">
        <w:rPr>
          <w:lang w:val="en-US"/>
        </w:rPr>
        <w:t>g</w:t>
      </w:r>
      <w:r w:rsidRPr="005220AD">
        <w:rPr>
          <w:lang w:val="ru-RU"/>
        </w:rPr>
        <w:t xml:space="preserve"> </w:t>
      </w:r>
      <w:r w:rsidRPr="005220AD">
        <w:rPr>
          <w:lang w:eastAsia="bg-BG"/>
        </w:rPr>
        <w:t>в продължение на 30 минути.</w:t>
      </w:r>
    </w:p>
    <w:p w14:paraId="0CC01F4D" w14:textId="77777777" w:rsidR="005220AD" w:rsidRDefault="005220AD" w:rsidP="005220AD">
      <w:pPr>
        <w:rPr>
          <w:lang w:eastAsia="bg-BG"/>
        </w:rPr>
      </w:pPr>
    </w:p>
    <w:p w14:paraId="6923846F" w14:textId="0A1CC50C" w:rsidR="005220AD" w:rsidRPr="005220AD" w:rsidRDefault="005220AD" w:rsidP="005220AD">
      <w:pPr>
        <w:rPr>
          <w:sz w:val="24"/>
          <w:szCs w:val="24"/>
        </w:rPr>
      </w:pPr>
      <w:r w:rsidRPr="005220AD">
        <w:rPr>
          <w:lang w:eastAsia="bg-BG"/>
        </w:rPr>
        <w:t xml:space="preserve">Средни плазмени концентрации </w:t>
      </w:r>
      <w:r w:rsidRPr="005220AD">
        <w:rPr>
          <w:i/>
          <w:iCs/>
          <w:lang w:eastAsia="bg-BG"/>
        </w:rPr>
        <w:t>на</w:t>
      </w:r>
      <w:r w:rsidRPr="005220AD">
        <w:rPr>
          <w:lang w:eastAsia="bg-BG"/>
        </w:rPr>
        <w:t xml:space="preserve"> цефепим </w:t>
      </w:r>
      <w:r w:rsidRPr="005220AD">
        <w:rPr>
          <w:lang w:val="ru-RU"/>
        </w:rPr>
        <w:t>(</w:t>
      </w:r>
      <w:r w:rsidRPr="005220AD">
        <w:rPr>
          <w:lang w:val="en-US"/>
        </w:rPr>
        <w:t>mcg</w:t>
      </w:r>
      <w:r w:rsidRPr="005220AD">
        <w:rPr>
          <w:lang w:val="ru-RU"/>
        </w:rPr>
        <w:t>/</w:t>
      </w:r>
      <w:r w:rsidRPr="005220AD">
        <w:rPr>
          <w:lang w:val="en-US"/>
        </w:rPr>
        <w:t>ml</w:t>
      </w:r>
      <w:r w:rsidRPr="005220AD">
        <w:rPr>
          <w:lang w:val="ru-RU"/>
        </w:rPr>
        <w:t>)</w:t>
      </w:r>
    </w:p>
    <w:tbl>
      <w:tblPr>
        <w:tblStyle w:val="TableGrid"/>
        <w:tblW w:w="0" w:type="auto"/>
        <w:tblLook w:val="04A0" w:firstRow="1" w:lastRow="0" w:firstColumn="1" w:lastColumn="0" w:noHBand="0" w:noVBand="1"/>
      </w:tblPr>
      <w:tblGrid>
        <w:gridCol w:w="1634"/>
        <w:gridCol w:w="1232"/>
        <w:gridCol w:w="1205"/>
        <w:gridCol w:w="1215"/>
        <w:gridCol w:w="1215"/>
        <w:gridCol w:w="1215"/>
        <w:gridCol w:w="1634"/>
      </w:tblGrid>
      <w:tr w:rsidR="005220AD" w14:paraId="79231C4C" w14:textId="77777777" w:rsidTr="005220AD">
        <w:tc>
          <w:tcPr>
            <w:tcW w:w="1368" w:type="dxa"/>
          </w:tcPr>
          <w:p w14:paraId="0BD0F78F" w14:textId="39C2DD46" w:rsidR="005220AD" w:rsidRDefault="005220AD" w:rsidP="005220AD">
            <w:r>
              <w:t>Доза на цефепим</w:t>
            </w:r>
          </w:p>
        </w:tc>
        <w:tc>
          <w:tcPr>
            <w:tcW w:w="1368" w:type="dxa"/>
          </w:tcPr>
          <w:p w14:paraId="6AB5E736" w14:textId="03AF8DD7" w:rsidR="005220AD" w:rsidRDefault="005220AD" w:rsidP="005220AD">
            <w:r>
              <w:t>0,5 час</w:t>
            </w:r>
          </w:p>
        </w:tc>
        <w:tc>
          <w:tcPr>
            <w:tcW w:w="1368" w:type="dxa"/>
          </w:tcPr>
          <w:p w14:paraId="5F7400A5" w14:textId="00E1288E" w:rsidR="005220AD" w:rsidRDefault="005220AD" w:rsidP="005220AD">
            <w:r>
              <w:t>1 час</w:t>
            </w:r>
          </w:p>
        </w:tc>
        <w:tc>
          <w:tcPr>
            <w:tcW w:w="1368" w:type="dxa"/>
          </w:tcPr>
          <w:p w14:paraId="0049A7B7" w14:textId="58DD92F2" w:rsidR="005220AD" w:rsidRDefault="005220AD" w:rsidP="005220AD">
            <w:r>
              <w:t>2 часа</w:t>
            </w:r>
          </w:p>
        </w:tc>
        <w:tc>
          <w:tcPr>
            <w:tcW w:w="1368" w:type="dxa"/>
          </w:tcPr>
          <w:p w14:paraId="24B3CEEE" w14:textId="475B3311" w:rsidR="005220AD" w:rsidRDefault="005220AD" w:rsidP="005220AD">
            <w:r>
              <w:t>4 часа</w:t>
            </w:r>
          </w:p>
        </w:tc>
        <w:tc>
          <w:tcPr>
            <w:tcW w:w="1368" w:type="dxa"/>
          </w:tcPr>
          <w:p w14:paraId="211643D3" w14:textId="10C300B9" w:rsidR="005220AD" w:rsidRDefault="005220AD" w:rsidP="005220AD">
            <w:r>
              <w:t>8 часа</w:t>
            </w:r>
          </w:p>
        </w:tc>
        <w:tc>
          <w:tcPr>
            <w:tcW w:w="1368" w:type="dxa"/>
          </w:tcPr>
          <w:p w14:paraId="6E34C2D3" w14:textId="0AE93E4E" w:rsidR="005220AD" w:rsidRDefault="005220AD" w:rsidP="005220AD">
            <w:r>
              <w:t>Доза на цефепим</w:t>
            </w:r>
          </w:p>
        </w:tc>
      </w:tr>
      <w:tr w:rsidR="005220AD" w14:paraId="0A0EE5F0" w14:textId="77777777" w:rsidTr="005220AD">
        <w:tc>
          <w:tcPr>
            <w:tcW w:w="1368" w:type="dxa"/>
          </w:tcPr>
          <w:p w14:paraId="5301955B" w14:textId="23FF821D" w:rsidR="005220AD" w:rsidRDefault="005220AD" w:rsidP="005220AD">
            <w:r>
              <w:t xml:space="preserve">1 </w:t>
            </w:r>
            <w:r>
              <w:rPr>
                <w:lang w:val="en-US"/>
              </w:rPr>
              <w:t xml:space="preserve">g </w:t>
            </w:r>
            <w:r>
              <w:t>интравенозно</w:t>
            </w:r>
          </w:p>
        </w:tc>
        <w:tc>
          <w:tcPr>
            <w:tcW w:w="1368" w:type="dxa"/>
          </w:tcPr>
          <w:p w14:paraId="7ECBA6BC" w14:textId="1C2F6243" w:rsidR="005220AD" w:rsidRDefault="005220AD" w:rsidP="005220AD">
            <w:r>
              <w:t>78,7</w:t>
            </w:r>
          </w:p>
        </w:tc>
        <w:tc>
          <w:tcPr>
            <w:tcW w:w="1368" w:type="dxa"/>
          </w:tcPr>
          <w:p w14:paraId="65C882F7" w14:textId="60D96201" w:rsidR="005220AD" w:rsidRDefault="005220AD" w:rsidP="005220AD">
            <w:r>
              <w:t>44,5</w:t>
            </w:r>
          </w:p>
        </w:tc>
        <w:tc>
          <w:tcPr>
            <w:tcW w:w="1368" w:type="dxa"/>
          </w:tcPr>
          <w:p w14:paraId="5855238F" w14:textId="0E91AD03" w:rsidR="005220AD" w:rsidRDefault="005220AD" w:rsidP="005220AD">
            <w:r>
              <w:t>24,3</w:t>
            </w:r>
          </w:p>
        </w:tc>
        <w:tc>
          <w:tcPr>
            <w:tcW w:w="1368" w:type="dxa"/>
          </w:tcPr>
          <w:p w14:paraId="5541F905" w14:textId="05A70E1B" w:rsidR="005220AD" w:rsidRDefault="005220AD" w:rsidP="005220AD">
            <w:r>
              <w:t>10,5</w:t>
            </w:r>
          </w:p>
        </w:tc>
        <w:tc>
          <w:tcPr>
            <w:tcW w:w="1368" w:type="dxa"/>
          </w:tcPr>
          <w:p w14:paraId="5EFB0703" w14:textId="74D4D641" w:rsidR="005220AD" w:rsidRDefault="005220AD" w:rsidP="005220AD">
            <w:r>
              <w:t>0,6</w:t>
            </w:r>
          </w:p>
        </w:tc>
        <w:tc>
          <w:tcPr>
            <w:tcW w:w="1368" w:type="dxa"/>
          </w:tcPr>
          <w:p w14:paraId="5F48E1E5" w14:textId="3107EADD" w:rsidR="005220AD" w:rsidRDefault="005220AD" w:rsidP="005220AD">
            <w:r>
              <w:t xml:space="preserve">1 </w:t>
            </w:r>
            <w:r>
              <w:rPr>
                <w:lang w:val="en-US"/>
              </w:rPr>
              <w:t xml:space="preserve">g </w:t>
            </w:r>
            <w:r>
              <w:t>интравенозно</w:t>
            </w:r>
          </w:p>
        </w:tc>
      </w:tr>
      <w:tr w:rsidR="005220AD" w14:paraId="2023B999" w14:textId="77777777" w:rsidTr="005220AD">
        <w:tc>
          <w:tcPr>
            <w:tcW w:w="1368" w:type="dxa"/>
          </w:tcPr>
          <w:p w14:paraId="7897D032" w14:textId="242C8183" w:rsidR="005220AD" w:rsidRDefault="005220AD" w:rsidP="005220AD">
            <w:r>
              <w:lastRenderedPageBreak/>
              <w:t xml:space="preserve">2 </w:t>
            </w:r>
            <w:r>
              <w:rPr>
                <w:lang w:val="en-US"/>
              </w:rPr>
              <w:t xml:space="preserve">g </w:t>
            </w:r>
            <w:r>
              <w:t>интравенозно</w:t>
            </w:r>
          </w:p>
        </w:tc>
        <w:tc>
          <w:tcPr>
            <w:tcW w:w="1368" w:type="dxa"/>
          </w:tcPr>
          <w:p w14:paraId="731B0E37" w14:textId="5A7148D8" w:rsidR="005220AD" w:rsidRDefault="005220AD" w:rsidP="005220AD">
            <w:r>
              <w:t>163,1</w:t>
            </w:r>
          </w:p>
        </w:tc>
        <w:tc>
          <w:tcPr>
            <w:tcW w:w="1368" w:type="dxa"/>
          </w:tcPr>
          <w:p w14:paraId="6FFD3E27" w14:textId="47046088" w:rsidR="005220AD" w:rsidRDefault="005220AD" w:rsidP="005220AD">
            <w:r>
              <w:t>85,8</w:t>
            </w:r>
          </w:p>
        </w:tc>
        <w:tc>
          <w:tcPr>
            <w:tcW w:w="1368" w:type="dxa"/>
          </w:tcPr>
          <w:p w14:paraId="614646D7" w14:textId="0DF827FD" w:rsidR="005220AD" w:rsidRDefault="005220AD" w:rsidP="005220AD">
            <w:r>
              <w:t>44,8</w:t>
            </w:r>
          </w:p>
        </w:tc>
        <w:tc>
          <w:tcPr>
            <w:tcW w:w="1368" w:type="dxa"/>
          </w:tcPr>
          <w:p w14:paraId="60189CDD" w14:textId="0422BB94" w:rsidR="005220AD" w:rsidRDefault="005220AD" w:rsidP="005220AD">
            <w:r>
              <w:t>19,2</w:t>
            </w:r>
          </w:p>
        </w:tc>
        <w:tc>
          <w:tcPr>
            <w:tcW w:w="1368" w:type="dxa"/>
          </w:tcPr>
          <w:p w14:paraId="2B46C6AB" w14:textId="4382C5C0" w:rsidR="005220AD" w:rsidRDefault="005220AD" w:rsidP="005220AD">
            <w:r>
              <w:t>1,1</w:t>
            </w:r>
          </w:p>
        </w:tc>
        <w:tc>
          <w:tcPr>
            <w:tcW w:w="1368" w:type="dxa"/>
          </w:tcPr>
          <w:p w14:paraId="554055AD" w14:textId="17C9E06D" w:rsidR="005220AD" w:rsidRDefault="005220AD" w:rsidP="005220AD">
            <w:r>
              <w:t xml:space="preserve">2 </w:t>
            </w:r>
            <w:r>
              <w:rPr>
                <w:lang w:val="en-US"/>
              </w:rPr>
              <w:t xml:space="preserve">g </w:t>
            </w:r>
            <w:r>
              <w:t>интравенозно</w:t>
            </w:r>
          </w:p>
        </w:tc>
      </w:tr>
    </w:tbl>
    <w:p w14:paraId="19B54750" w14:textId="23990065" w:rsidR="005220AD" w:rsidRDefault="005220AD" w:rsidP="005220AD"/>
    <w:p w14:paraId="444A5C0C" w14:textId="77777777" w:rsidR="005220AD" w:rsidRPr="005220AD" w:rsidRDefault="005220AD" w:rsidP="005220AD">
      <w:pPr>
        <w:rPr>
          <w:sz w:val="24"/>
          <w:szCs w:val="24"/>
        </w:rPr>
      </w:pPr>
      <w:r w:rsidRPr="005220AD">
        <w:rPr>
          <w:lang w:eastAsia="bg-BG"/>
        </w:rPr>
        <w:t>В сравнение с честите микроби, достатъчна терапевтична концентрация е намерена в следните тъкани и биологични течности: урина, жлъчка, ингерстициална течност, перитонеалната течност, бронхиална лигавица, апендикс и жлъчен мехур. Тези концентрации са описани в таблицата по- долу.</w:t>
      </w:r>
    </w:p>
    <w:p w14:paraId="2DBFBCD1" w14:textId="77777777" w:rsidR="005220AD" w:rsidRDefault="005220AD" w:rsidP="005220AD">
      <w:pPr>
        <w:rPr>
          <w:lang w:eastAsia="bg-BG"/>
        </w:rPr>
      </w:pPr>
    </w:p>
    <w:p w14:paraId="73B9FFC3" w14:textId="4195E003" w:rsidR="005220AD" w:rsidRPr="005220AD" w:rsidRDefault="005220AD" w:rsidP="005220AD">
      <w:pPr>
        <w:rPr>
          <w:sz w:val="24"/>
          <w:szCs w:val="24"/>
        </w:rPr>
      </w:pPr>
      <w:r w:rsidRPr="005220AD">
        <w:rPr>
          <w:lang w:eastAsia="bg-BG"/>
        </w:rPr>
        <w:t xml:space="preserve">Средни концентрации на цефепим в тъканите </w:t>
      </w:r>
      <w:r w:rsidRPr="005220AD">
        <w:rPr>
          <w:lang w:val="ru-RU"/>
        </w:rPr>
        <w:t>(</w:t>
      </w:r>
      <w:r w:rsidRPr="005220AD">
        <w:rPr>
          <w:lang w:val="en-US"/>
        </w:rPr>
        <w:t>mcg</w:t>
      </w:r>
      <w:r w:rsidRPr="005220AD">
        <w:rPr>
          <w:lang w:val="ru-RU"/>
        </w:rPr>
        <w:t>/</w:t>
      </w:r>
      <w:r w:rsidRPr="005220AD">
        <w:rPr>
          <w:lang w:val="en-US"/>
        </w:rPr>
        <w:t>g</w:t>
      </w:r>
      <w:r w:rsidRPr="005220AD">
        <w:rPr>
          <w:lang w:val="ru-RU"/>
        </w:rPr>
        <w:t xml:space="preserve">) </w:t>
      </w:r>
      <w:r w:rsidRPr="005220AD">
        <w:rPr>
          <w:lang w:eastAsia="bg-BG"/>
        </w:rPr>
        <w:t xml:space="preserve">и биологичните течности </w:t>
      </w:r>
      <w:r w:rsidRPr="005220AD">
        <w:rPr>
          <w:lang w:val="ru-RU"/>
        </w:rPr>
        <w:t>(</w:t>
      </w:r>
      <w:r w:rsidRPr="005220AD">
        <w:rPr>
          <w:lang w:val="en-US"/>
        </w:rPr>
        <w:t>mcg</w:t>
      </w:r>
      <w:r w:rsidRPr="005220AD">
        <w:rPr>
          <w:lang w:val="ru-RU"/>
        </w:rPr>
        <w:t>/</w:t>
      </w:r>
      <w:r w:rsidRPr="005220AD">
        <w:rPr>
          <w:lang w:val="en-US"/>
        </w:rPr>
        <w:t>ml</w:t>
      </w:r>
      <w:r w:rsidRPr="005220AD">
        <w:rPr>
          <w:lang w:val="ru-RU"/>
        </w:rPr>
        <w:t>)</w:t>
      </w:r>
    </w:p>
    <w:tbl>
      <w:tblPr>
        <w:tblStyle w:val="TableGrid"/>
        <w:tblW w:w="0" w:type="auto"/>
        <w:tblLook w:val="04A0" w:firstRow="1" w:lastRow="0" w:firstColumn="1" w:lastColumn="0" w:noHBand="0" w:noVBand="1"/>
      </w:tblPr>
      <w:tblGrid>
        <w:gridCol w:w="2085"/>
        <w:gridCol w:w="1844"/>
        <w:gridCol w:w="1729"/>
        <w:gridCol w:w="1846"/>
        <w:gridCol w:w="1846"/>
      </w:tblGrid>
      <w:tr w:rsidR="005220AD" w14:paraId="4BF817AD" w14:textId="77777777" w:rsidTr="005220AD">
        <w:tc>
          <w:tcPr>
            <w:tcW w:w="2085" w:type="dxa"/>
          </w:tcPr>
          <w:p w14:paraId="5C4E66AB" w14:textId="606B5498" w:rsidR="005220AD" w:rsidRPr="005220AD" w:rsidRDefault="005220AD" w:rsidP="005220AD">
            <w:r w:rsidRPr="005220AD">
              <w:rPr>
                <w:bCs/>
              </w:rPr>
              <w:t>Тъкани или течности</w:t>
            </w:r>
          </w:p>
        </w:tc>
        <w:tc>
          <w:tcPr>
            <w:tcW w:w="1885" w:type="dxa"/>
          </w:tcPr>
          <w:p w14:paraId="46C58629" w14:textId="1099426F" w:rsidR="005220AD" w:rsidRPr="005220AD" w:rsidRDefault="005220AD" w:rsidP="005220AD">
            <w:r w:rsidRPr="005220AD">
              <w:rPr>
                <w:bCs/>
              </w:rPr>
              <w:t>Доза/ път на приложение</w:t>
            </w:r>
          </w:p>
        </w:tc>
        <w:tc>
          <w:tcPr>
            <w:tcW w:w="1835" w:type="dxa"/>
          </w:tcPr>
          <w:p w14:paraId="22B8BD25" w14:textId="62964F6C" w:rsidR="005220AD" w:rsidRPr="005220AD" w:rsidRDefault="005220AD" w:rsidP="005220AD">
            <w:r w:rsidRPr="005220AD">
              <w:rPr>
                <w:bCs/>
              </w:rPr>
              <w:t>Проба: среден интервал от време (ч)</w:t>
            </w:r>
          </w:p>
        </w:tc>
        <w:tc>
          <w:tcPr>
            <w:tcW w:w="1885" w:type="dxa"/>
          </w:tcPr>
          <w:p w14:paraId="243CFDA6" w14:textId="3B71DDCB" w:rsidR="005220AD" w:rsidRPr="005220AD" w:rsidRDefault="005220AD" w:rsidP="005220AD">
            <w:r w:rsidRPr="005220AD">
              <w:rPr>
                <w:bCs/>
              </w:rPr>
              <w:t xml:space="preserve">Средна концентрация тъкан </w:t>
            </w:r>
            <w:r w:rsidRPr="005220AD">
              <w:rPr>
                <w:bCs/>
                <w:lang w:val="ru-RU"/>
              </w:rPr>
              <w:t>(</w:t>
            </w:r>
            <w:r w:rsidRPr="005220AD">
              <w:rPr>
                <w:bCs/>
                <w:lang w:val="en-US"/>
              </w:rPr>
              <w:t>mcg</w:t>
            </w:r>
            <w:r w:rsidRPr="005220AD">
              <w:rPr>
                <w:bCs/>
                <w:lang w:val="ru-RU"/>
              </w:rPr>
              <w:t>/</w:t>
            </w:r>
            <w:r w:rsidRPr="005220AD">
              <w:rPr>
                <w:bCs/>
                <w:lang w:val="en-US"/>
              </w:rPr>
              <w:t>g</w:t>
            </w:r>
            <w:r w:rsidRPr="005220AD">
              <w:rPr>
                <w:bCs/>
                <w:lang w:val="ru-RU"/>
              </w:rPr>
              <w:t xml:space="preserve">) </w:t>
            </w:r>
            <w:r w:rsidRPr="005220AD">
              <w:rPr>
                <w:bCs/>
              </w:rPr>
              <w:t xml:space="preserve">биологична течност </w:t>
            </w:r>
            <w:r w:rsidRPr="005220AD">
              <w:rPr>
                <w:bCs/>
                <w:lang w:val="ru-RU"/>
              </w:rPr>
              <w:t>(</w:t>
            </w:r>
            <w:r w:rsidRPr="005220AD">
              <w:rPr>
                <w:bCs/>
                <w:lang w:val="en-US"/>
              </w:rPr>
              <w:t>mcg</w:t>
            </w:r>
            <w:r w:rsidRPr="005220AD">
              <w:rPr>
                <w:bCs/>
                <w:lang w:val="ru-RU"/>
              </w:rPr>
              <w:t>/</w:t>
            </w:r>
            <w:r w:rsidRPr="005220AD">
              <w:rPr>
                <w:bCs/>
                <w:lang w:val="en-US"/>
              </w:rPr>
              <w:t>ml</w:t>
            </w:r>
            <w:r w:rsidRPr="005220AD">
              <w:rPr>
                <w:bCs/>
                <w:lang w:val="ru-RU"/>
              </w:rPr>
              <w:t>)</w:t>
            </w:r>
          </w:p>
        </w:tc>
        <w:tc>
          <w:tcPr>
            <w:tcW w:w="1886" w:type="dxa"/>
          </w:tcPr>
          <w:p w14:paraId="52DB8E8A" w14:textId="1A567C61" w:rsidR="005220AD" w:rsidRPr="005220AD" w:rsidRDefault="005220AD" w:rsidP="005220AD">
            <w:r w:rsidRPr="005220AD">
              <w:rPr>
                <w:bCs/>
              </w:rPr>
              <w:t xml:space="preserve">Средна плазмена концентрация </w:t>
            </w:r>
            <w:r w:rsidRPr="005220AD">
              <w:rPr>
                <w:bCs/>
                <w:lang w:val="ru-RU"/>
              </w:rPr>
              <w:t>(</w:t>
            </w:r>
            <w:r w:rsidRPr="005220AD">
              <w:rPr>
                <w:bCs/>
                <w:lang w:val="en-US"/>
              </w:rPr>
              <w:t>mcg</w:t>
            </w:r>
            <w:r w:rsidRPr="005220AD">
              <w:rPr>
                <w:bCs/>
                <w:lang w:val="ru-RU"/>
              </w:rPr>
              <w:t>/</w:t>
            </w:r>
            <w:r w:rsidRPr="005220AD">
              <w:rPr>
                <w:bCs/>
                <w:lang w:val="en-US"/>
              </w:rPr>
              <w:t>ml</w:t>
            </w:r>
            <w:r w:rsidRPr="005220AD">
              <w:rPr>
                <w:bCs/>
                <w:lang w:val="ru-RU"/>
              </w:rPr>
              <w:t>)</w:t>
            </w:r>
          </w:p>
        </w:tc>
      </w:tr>
      <w:tr w:rsidR="005220AD" w14:paraId="4AF91875" w14:textId="77777777" w:rsidTr="005220AD">
        <w:tc>
          <w:tcPr>
            <w:tcW w:w="2085" w:type="dxa"/>
            <w:vMerge w:val="restart"/>
          </w:tcPr>
          <w:p w14:paraId="07B135FF" w14:textId="02EE6198" w:rsidR="005220AD" w:rsidRPr="005220AD" w:rsidRDefault="005220AD" w:rsidP="005220AD">
            <w:r w:rsidRPr="005220AD">
              <w:rPr>
                <w:bCs/>
              </w:rPr>
              <w:t>Урина</w:t>
            </w:r>
          </w:p>
        </w:tc>
        <w:tc>
          <w:tcPr>
            <w:tcW w:w="1885" w:type="dxa"/>
          </w:tcPr>
          <w:p w14:paraId="34712B90" w14:textId="0E22BB38" w:rsidR="005220AD" w:rsidRPr="005220AD" w:rsidRDefault="005220AD" w:rsidP="005220AD">
            <w:r w:rsidRPr="005220AD">
              <w:rPr>
                <w:bCs/>
              </w:rPr>
              <w:t xml:space="preserve">500 </w:t>
            </w:r>
            <w:r w:rsidRPr="005220AD">
              <w:rPr>
                <w:bCs/>
                <w:lang w:val="en-US"/>
              </w:rPr>
              <w:t xml:space="preserve">mg </w:t>
            </w:r>
            <w:r w:rsidRPr="005220AD">
              <w:rPr>
                <w:bCs/>
              </w:rPr>
              <w:t>интравенозно</w:t>
            </w:r>
          </w:p>
        </w:tc>
        <w:tc>
          <w:tcPr>
            <w:tcW w:w="1835" w:type="dxa"/>
          </w:tcPr>
          <w:p w14:paraId="74A1086E" w14:textId="65751342" w:rsidR="005220AD" w:rsidRPr="005220AD" w:rsidRDefault="005220AD" w:rsidP="005220AD">
            <w:r w:rsidRPr="005220AD">
              <w:rPr>
                <w:bCs/>
              </w:rPr>
              <w:t>0-4*</w:t>
            </w:r>
          </w:p>
        </w:tc>
        <w:tc>
          <w:tcPr>
            <w:tcW w:w="1885" w:type="dxa"/>
          </w:tcPr>
          <w:p w14:paraId="60CD4AFC" w14:textId="5770B97F" w:rsidR="005220AD" w:rsidRPr="005220AD" w:rsidRDefault="005220AD" w:rsidP="005220AD">
            <w:r w:rsidRPr="005220AD">
              <w:rPr>
                <w:bCs/>
              </w:rPr>
              <w:t>292</w:t>
            </w:r>
          </w:p>
        </w:tc>
        <w:tc>
          <w:tcPr>
            <w:tcW w:w="1886" w:type="dxa"/>
          </w:tcPr>
          <w:p w14:paraId="3EC29C75" w14:textId="1A8913E8" w:rsidR="005220AD" w:rsidRPr="005220AD" w:rsidRDefault="005220AD" w:rsidP="005220AD">
            <w:r w:rsidRPr="005220AD">
              <w:rPr>
                <w:bCs/>
              </w:rPr>
              <w:t>4,9 **</w:t>
            </w:r>
          </w:p>
        </w:tc>
      </w:tr>
      <w:tr w:rsidR="005220AD" w14:paraId="557643B1" w14:textId="77777777" w:rsidTr="005220AD">
        <w:tc>
          <w:tcPr>
            <w:tcW w:w="2085" w:type="dxa"/>
            <w:vMerge/>
          </w:tcPr>
          <w:p w14:paraId="512C262E" w14:textId="77777777" w:rsidR="005220AD" w:rsidRPr="005220AD" w:rsidRDefault="005220AD" w:rsidP="005220AD"/>
        </w:tc>
        <w:tc>
          <w:tcPr>
            <w:tcW w:w="1885" w:type="dxa"/>
          </w:tcPr>
          <w:p w14:paraId="25C19F36" w14:textId="17CD6BCC" w:rsidR="005220AD" w:rsidRPr="005220AD" w:rsidRDefault="005220AD" w:rsidP="005220AD">
            <w:r w:rsidRPr="005220AD">
              <w:rPr>
                <w:bCs/>
              </w:rPr>
              <w:t xml:space="preserve">1 </w:t>
            </w:r>
            <w:r w:rsidRPr="005220AD">
              <w:rPr>
                <w:bCs/>
                <w:lang w:val="en-US"/>
              </w:rPr>
              <w:t xml:space="preserve">g </w:t>
            </w:r>
            <w:r w:rsidRPr="005220AD">
              <w:rPr>
                <w:bCs/>
              </w:rPr>
              <w:t>интравенозно</w:t>
            </w:r>
          </w:p>
        </w:tc>
        <w:tc>
          <w:tcPr>
            <w:tcW w:w="1835" w:type="dxa"/>
          </w:tcPr>
          <w:p w14:paraId="10058EB2" w14:textId="3EAD33A5" w:rsidR="005220AD" w:rsidRPr="005220AD" w:rsidRDefault="005220AD" w:rsidP="005220AD">
            <w:r w:rsidRPr="005220AD">
              <w:rPr>
                <w:bCs/>
              </w:rPr>
              <w:t>04*</w:t>
            </w:r>
          </w:p>
        </w:tc>
        <w:tc>
          <w:tcPr>
            <w:tcW w:w="1885" w:type="dxa"/>
          </w:tcPr>
          <w:p w14:paraId="403FFF5B" w14:textId="15A3262C" w:rsidR="005220AD" w:rsidRPr="005220AD" w:rsidRDefault="005220AD" w:rsidP="005220AD">
            <w:r w:rsidRPr="005220AD">
              <w:rPr>
                <w:bCs/>
              </w:rPr>
              <w:t>926</w:t>
            </w:r>
          </w:p>
        </w:tc>
        <w:tc>
          <w:tcPr>
            <w:tcW w:w="1886" w:type="dxa"/>
          </w:tcPr>
          <w:p w14:paraId="723424D7" w14:textId="2EFC28AC" w:rsidR="005220AD" w:rsidRPr="005220AD" w:rsidRDefault="005220AD" w:rsidP="005220AD">
            <w:r w:rsidRPr="005220AD">
              <w:rPr>
                <w:bCs/>
              </w:rPr>
              <w:t>10,5 **</w:t>
            </w:r>
          </w:p>
        </w:tc>
      </w:tr>
      <w:tr w:rsidR="005220AD" w14:paraId="71195A32" w14:textId="77777777" w:rsidTr="005220AD">
        <w:tc>
          <w:tcPr>
            <w:tcW w:w="2085" w:type="dxa"/>
            <w:vMerge/>
          </w:tcPr>
          <w:p w14:paraId="350FB33F" w14:textId="77777777" w:rsidR="005220AD" w:rsidRPr="005220AD" w:rsidRDefault="005220AD" w:rsidP="005220AD"/>
        </w:tc>
        <w:tc>
          <w:tcPr>
            <w:tcW w:w="1885" w:type="dxa"/>
          </w:tcPr>
          <w:p w14:paraId="365C387A" w14:textId="1AB11B4A" w:rsidR="005220AD" w:rsidRPr="005220AD" w:rsidRDefault="005220AD" w:rsidP="005220AD">
            <w:r w:rsidRPr="005220AD">
              <w:rPr>
                <w:bCs/>
                <w:lang w:val="en-US"/>
              </w:rPr>
              <w:t xml:space="preserve">2 g </w:t>
            </w:r>
            <w:r w:rsidRPr="005220AD">
              <w:rPr>
                <w:bCs/>
              </w:rPr>
              <w:t>интравенозно</w:t>
            </w:r>
          </w:p>
        </w:tc>
        <w:tc>
          <w:tcPr>
            <w:tcW w:w="1835" w:type="dxa"/>
          </w:tcPr>
          <w:p w14:paraId="0AEF69D4" w14:textId="1770A054" w:rsidR="005220AD" w:rsidRPr="005220AD" w:rsidRDefault="005220AD" w:rsidP="005220AD">
            <w:r w:rsidRPr="005220AD">
              <w:rPr>
                <w:bCs/>
              </w:rPr>
              <w:t>0-4*</w:t>
            </w:r>
          </w:p>
        </w:tc>
        <w:tc>
          <w:tcPr>
            <w:tcW w:w="1885" w:type="dxa"/>
          </w:tcPr>
          <w:p w14:paraId="1DBBA4C3" w14:textId="56C38411" w:rsidR="005220AD" w:rsidRPr="005220AD" w:rsidRDefault="005220AD" w:rsidP="005220AD">
            <w:r w:rsidRPr="005220AD">
              <w:rPr>
                <w:bCs/>
              </w:rPr>
              <w:t>3120</w:t>
            </w:r>
          </w:p>
        </w:tc>
        <w:tc>
          <w:tcPr>
            <w:tcW w:w="1886" w:type="dxa"/>
          </w:tcPr>
          <w:p w14:paraId="42AC8FE7" w14:textId="25AE59F1" w:rsidR="005220AD" w:rsidRPr="005220AD" w:rsidRDefault="005220AD" w:rsidP="005220AD">
            <w:r w:rsidRPr="005220AD">
              <w:rPr>
                <w:bCs/>
              </w:rPr>
              <w:t>20,1 **</w:t>
            </w:r>
          </w:p>
        </w:tc>
      </w:tr>
      <w:tr w:rsidR="005220AD" w14:paraId="35D95AA1" w14:textId="77777777" w:rsidTr="005220AD">
        <w:tc>
          <w:tcPr>
            <w:tcW w:w="2085" w:type="dxa"/>
          </w:tcPr>
          <w:p w14:paraId="74A622BA" w14:textId="2CBD3D41" w:rsidR="005220AD" w:rsidRPr="005220AD" w:rsidRDefault="005220AD" w:rsidP="005220AD">
            <w:r w:rsidRPr="005220AD">
              <w:rPr>
                <w:bCs/>
              </w:rPr>
              <w:t>Жлъчка</w:t>
            </w:r>
          </w:p>
        </w:tc>
        <w:tc>
          <w:tcPr>
            <w:tcW w:w="1885" w:type="dxa"/>
          </w:tcPr>
          <w:p w14:paraId="248F2F6F" w14:textId="72E3C41F" w:rsidR="005220AD" w:rsidRPr="005220AD" w:rsidRDefault="005220AD" w:rsidP="005220AD">
            <w:r w:rsidRPr="005220AD">
              <w:rPr>
                <w:bCs/>
                <w:lang w:val="en-US"/>
              </w:rPr>
              <w:t xml:space="preserve">2 g </w:t>
            </w:r>
            <w:r w:rsidRPr="005220AD">
              <w:rPr>
                <w:bCs/>
              </w:rPr>
              <w:t>интравенозно</w:t>
            </w:r>
          </w:p>
        </w:tc>
        <w:tc>
          <w:tcPr>
            <w:tcW w:w="1835" w:type="dxa"/>
          </w:tcPr>
          <w:p w14:paraId="241B8487" w14:textId="26E7CD7A" w:rsidR="005220AD" w:rsidRPr="005220AD" w:rsidRDefault="005220AD" w:rsidP="005220AD">
            <w:r w:rsidRPr="005220AD">
              <w:rPr>
                <w:bCs/>
              </w:rPr>
              <w:t>9,4</w:t>
            </w:r>
          </w:p>
        </w:tc>
        <w:tc>
          <w:tcPr>
            <w:tcW w:w="1885" w:type="dxa"/>
          </w:tcPr>
          <w:p w14:paraId="4EB7E24B" w14:textId="25C290AC" w:rsidR="005220AD" w:rsidRPr="005220AD" w:rsidRDefault="005220AD" w:rsidP="005220AD">
            <w:r w:rsidRPr="005220AD">
              <w:rPr>
                <w:bCs/>
              </w:rPr>
              <w:t>17,8</w:t>
            </w:r>
          </w:p>
        </w:tc>
        <w:tc>
          <w:tcPr>
            <w:tcW w:w="1886" w:type="dxa"/>
          </w:tcPr>
          <w:p w14:paraId="7F713A5F" w14:textId="3434D7AC" w:rsidR="005220AD" w:rsidRPr="005220AD" w:rsidRDefault="005220AD" w:rsidP="005220AD">
            <w:r w:rsidRPr="005220AD">
              <w:rPr>
                <w:bCs/>
              </w:rPr>
              <w:t>9,2</w:t>
            </w:r>
          </w:p>
        </w:tc>
      </w:tr>
      <w:tr w:rsidR="005220AD" w14:paraId="405BE6E5" w14:textId="77777777" w:rsidTr="005220AD">
        <w:tc>
          <w:tcPr>
            <w:tcW w:w="2085" w:type="dxa"/>
          </w:tcPr>
          <w:p w14:paraId="6E769FBD" w14:textId="6A42BC5F" w:rsidR="005220AD" w:rsidRPr="005220AD" w:rsidRDefault="005220AD" w:rsidP="005220AD">
            <w:r w:rsidRPr="005220AD">
              <w:rPr>
                <w:bCs/>
              </w:rPr>
              <w:t>Перитонеална течност</w:t>
            </w:r>
          </w:p>
        </w:tc>
        <w:tc>
          <w:tcPr>
            <w:tcW w:w="1885" w:type="dxa"/>
          </w:tcPr>
          <w:p w14:paraId="57DAF9EA" w14:textId="1D416F04" w:rsidR="005220AD" w:rsidRPr="005220AD" w:rsidRDefault="005220AD" w:rsidP="005220AD">
            <w:r w:rsidRPr="005220AD">
              <w:rPr>
                <w:bCs/>
                <w:lang w:val="en-US"/>
              </w:rPr>
              <w:t xml:space="preserve">2 g </w:t>
            </w:r>
            <w:r w:rsidRPr="005220AD">
              <w:rPr>
                <w:bCs/>
              </w:rPr>
              <w:t>интравенозно</w:t>
            </w:r>
          </w:p>
        </w:tc>
        <w:tc>
          <w:tcPr>
            <w:tcW w:w="1835" w:type="dxa"/>
          </w:tcPr>
          <w:p w14:paraId="06B26159" w14:textId="724CB282" w:rsidR="005220AD" w:rsidRPr="005220AD" w:rsidRDefault="005220AD" w:rsidP="005220AD">
            <w:r w:rsidRPr="005220AD">
              <w:rPr>
                <w:bCs/>
              </w:rPr>
              <w:t>4,4</w:t>
            </w:r>
          </w:p>
        </w:tc>
        <w:tc>
          <w:tcPr>
            <w:tcW w:w="1885" w:type="dxa"/>
          </w:tcPr>
          <w:p w14:paraId="044D56EC" w14:textId="03691F10" w:rsidR="005220AD" w:rsidRPr="005220AD" w:rsidRDefault="005220AD" w:rsidP="005220AD">
            <w:r w:rsidRPr="005220AD">
              <w:rPr>
                <w:bCs/>
              </w:rPr>
              <w:t>18,3</w:t>
            </w:r>
          </w:p>
        </w:tc>
        <w:tc>
          <w:tcPr>
            <w:tcW w:w="1886" w:type="dxa"/>
          </w:tcPr>
          <w:p w14:paraId="260C4911" w14:textId="72D969C6" w:rsidR="005220AD" w:rsidRPr="005220AD" w:rsidRDefault="005220AD" w:rsidP="005220AD">
            <w:r w:rsidRPr="005220AD">
              <w:rPr>
                <w:bCs/>
              </w:rPr>
              <w:t>24,8</w:t>
            </w:r>
          </w:p>
        </w:tc>
      </w:tr>
      <w:tr w:rsidR="005220AD" w14:paraId="69A55D08" w14:textId="77777777" w:rsidTr="005220AD">
        <w:tc>
          <w:tcPr>
            <w:tcW w:w="2085" w:type="dxa"/>
          </w:tcPr>
          <w:p w14:paraId="20B5B13D" w14:textId="4AEA91F9" w:rsidR="005220AD" w:rsidRPr="005220AD" w:rsidRDefault="005220AD" w:rsidP="005220AD">
            <w:r w:rsidRPr="005220AD">
              <w:rPr>
                <w:bCs/>
              </w:rPr>
              <w:t>Ингерстициална течност</w:t>
            </w:r>
          </w:p>
        </w:tc>
        <w:tc>
          <w:tcPr>
            <w:tcW w:w="1885" w:type="dxa"/>
          </w:tcPr>
          <w:p w14:paraId="755D4706" w14:textId="23EECB76" w:rsidR="005220AD" w:rsidRPr="005220AD" w:rsidRDefault="005220AD" w:rsidP="005220AD">
            <w:r w:rsidRPr="005220AD">
              <w:rPr>
                <w:bCs/>
                <w:lang w:val="en-US"/>
              </w:rPr>
              <w:t xml:space="preserve">2 g </w:t>
            </w:r>
            <w:r w:rsidRPr="005220AD">
              <w:rPr>
                <w:bCs/>
              </w:rPr>
              <w:t>интравенозно</w:t>
            </w:r>
          </w:p>
        </w:tc>
        <w:tc>
          <w:tcPr>
            <w:tcW w:w="1835" w:type="dxa"/>
          </w:tcPr>
          <w:p w14:paraId="167AB787" w14:textId="1B0024B8" w:rsidR="005220AD" w:rsidRPr="005220AD" w:rsidRDefault="005220AD" w:rsidP="005220AD">
            <w:r w:rsidRPr="005220AD">
              <w:rPr>
                <w:bCs/>
              </w:rPr>
              <w:t>1,5</w:t>
            </w:r>
          </w:p>
        </w:tc>
        <w:tc>
          <w:tcPr>
            <w:tcW w:w="1885" w:type="dxa"/>
          </w:tcPr>
          <w:p w14:paraId="7CDF83BD" w14:textId="6F8D58D1" w:rsidR="005220AD" w:rsidRPr="005220AD" w:rsidRDefault="005220AD" w:rsidP="005220AD">
            <w:r w:rsidRPr="005220AD">
              <w:rPr>
                <w:bCs/>
              </w:rPr>
              <w:t>81,4</w:t>
            </w:r>
          </w:p>
        </w:tc>
        <w:tc>
          <w:tcPr>
            <w:tcW w:w="1886" w:type="dxa"/>
          </w:tcPr>
          <w:p w14:paraId="25CDF7BA" w14:textId="1C95500D" w:rsidR="005220AD" w:rsidRPr="005220AD" w:rsidRDefault="005220AD" w:rsidP="005220AD">
            <w:r w:rsidRPr="005220AD">
              <w:rPr>
                <w:bCs/>
              </w:rPr>
              <w:t>72,5</w:t>
            </w:r>
          </w:p>
        </w:tc>
      </w:tr>
      <w:tr w:rsidR="005220AD" w14:paraId="10D39D64" w14:textId="77777777" w:rsidTr="005220AD">
        <w:tc>
          <w:tcPr>
            <w:tcW w:w="2085" w:type="dxa"/>
          </w:tcPr>
          <w:p w14:paraId="07EEDA2B" w14:textId="272CBB98" w:rsidR="005220AD" w:rsidRPr="005220AD" w:rsidRDefault="005220AD" w:rsidP="005220AD">
            <w:r w:rsidRPr="005220AD">
              <w:rPr>
                <w:bCs/>
              </w:rPr>
              <w:t>Бронхиална лигавица</w:t>
            </w:r>
          </w:p>
        </w:tc>
        <w:tc>
          <w:tcPr>
            <w:tcW w:w="1885" w:type="dxa"/>
          </w:tcPr>
          <w:p w14:paraId="71346A6D" w14:textId="7A258AE2" w:rsidR="005220AD" w:rsidRPr="005220AD" w:rsidRDefault="005220AD" w:rsidP="005220AD">
            <w:r w:rsidRPr="005220AD">
              <w:rPr>
                <w:bCs/>
              </w:rPr>
              <w:t xml:space="preserve">2 </w:t>
            </w:r>
            <w:r w:rsidRPr="005220AD">
              <w:rPr>
                <w:bCs/>
                <w:lang w:val="en-US"/>
              </w:rPr>
              <w:t xml:space="preserve">g </w:t>
            </w:r>
            <w:r w:rsidRPr="005220AD">
              <w:rPr>
                <w:bCs/>
              </w:rPr>
              <w:t>интравенозно</w:t>
            </w:r>
          </w:p>
        </w:tc>
        <w:tc>
          <w:tcPr>
            <w:tcW w:w="1835" w:type="dxa"/>
          </w:tcPr>
          <w:p w14:paraId="02E3CA64" w14:textId="0D4E0A0C" w:rsidR="005220AD" w:rsidRPr="005220AD" w:rsidRDefault="005220AD" w:rsidP="005220AD">
            <w:r w:rsidRPr="005220AD">
              <w:rPr>
                <w:bCs/>
              </w:rPr>
              <w:t>4,8</w:t>
            </w:r>
          </w:p>
        </w:tc>
        <w:tc>
          <w:tcPr>
            <w:tcW w:w="1885" w:type="dxa"/>
          </w:tcPr>
          <w:p w14:paraId="77D81C4A" w14:textId="05E43146" w:rsidR="005220AD" w:rsidRPr="005220AD" w:rsidRDefault="005220AD" w:rsidP="005220AD">
            <w:r w:rsidRPr="005220AD">
              <w:rPr>
                <w:bCs/>
              </w:rPr>
              <w:t>24,1</w:t>
            </w:r>
          </w:p>
        </w:tc>
        <w:tc>
          <w:tcPr>
            <w:tcW w:w="1886" w:type="dxa"/>
          </w:tcPr>
          <w:p w14:paraId="38C24B68" w14:textId="1E4305C6" w:rsidR="005220AD" w:rsidRPr="005220AD" w:rsidRDefault="005220AD" w:rsidP="005220AD">
            <w:r w:rsidRPr="005220AD">
              <w:rPr>
                <w:bCs/>
              </w:rPr>
              <w:t>40,4</w:t>
            </w:r>
          </w:p>
        </w:tc>
      </w:tr>
      <w:tr w:rsidR="005220AD" w14:paraId="2659821F" w14:textId="77777777" w:rsidTr="005220AD">
        <w:tc>
          <w:tcPr>
            <w:tcW w:w="2085" w:type="dxa"/>
          </w:tcPr>
          <w:p w14:paraId="2149B92E" w14:textId="0C415161" w:rsidR="005220AD" w:rsidRPr="005220AD" w:rsidRDefault="005220AD" w:rsidP="005220AD">
            <w:r w:rsidRPr="005220AD">
              <w:rPr>
                <w:bCs/>
              </w:rPr>
              <w:t>Апендикс</w:t>
            </w:r>
          </w:p>
        </w:tc>
        <w:tc>
          <w:tcPr>
            <w:tcW w:w="1885" w:type="dxa"/>
          </w:tcPr>
          <w:p w14:paraId="2451E7DD" w14:textId="40DB9E8D" w:rsidR="005220AD" w:rsidRPr="005220AD" w:rsidRDefault="005220AD" w:rsidP="005220AD">
            <w:r w:rsidRPr="005220AD">
              <w:rPr>
                <w:bCs/>
                <w:lang w:val="en-US"/>
              </w:rPr>
              <w:t xml:space="preserve">2 g </w:t>
            </w:r>
            <w:r w:rsidRPr="005220AD">
              <w:rPr>
                <w:bCs/>
              </w:rPr>
              <w:t>интравенозно</w:t>
            </w:r>
          </w:p>
        </w:tc>
        <w:tc>
          <w:tcPr>
            <w:tcW w:w="1835" w:type="dxa"/>
          </w:tcPr>
          <w:p w14:paraId="7538CE11" w14:textId="445E566C" w:rsidR="005220AD" w:rsidRPr="005220AD" w:rsidRDefault="005220AD" w:rsidP="005220AD">
            <w:r w:rsidRPr="005220AD">
              <w:rPr>
                <w:bCs/>
              </w:rPr>
              <w:t>5,7</w:t>
            </w:r>
          </w:p>
        </w:tc>
        <w:tc>
          <w:tcPr>
            <w:tcW w:w="1885" w:type="dxa"/>
          </w:tcPr>
          <w:p w14:paraId="1F4658A4" w14:textId="722646D9" w:rsidR="005220AD" w:rsidRPr="005220AD" w:rsidRDefault="005220AD" w:rsidP="005220AD">
            <w:r w:rsidRPr="005220AD">
              <w:rPr>
                <w:bCs/>
              </w:rPr>
              <w:t>5,2</w:t>
            </w:r>
          </w:p>
        </w:tc>
        <w:tc>
          <w:tcPr>
            <w:tcW w:w="1886" w:type="dxa"/>
          </w:tcPr>
          <w:p w14:paraId="68C345CC" w14:textId="4178D5F6" w:rsidR="005220AD" w:rsidRPr="005220AD" w:rsidRDefault="005220AD" w:rsidP="005220AD">
            <w:r w:rsidRPr="005220AD">
              <w:rPr>
                <w:bCs/>
              </w:rPr>
              <w:t>17,8</w:t>
            </w:r>
          </w:p>
        </w:tc>
      </w:tr>
      <w:tr w:rsidR="005220AD" w14:paraId="5AEC76A2" w14:textId="77777777" w:rsidTr="005220AD">
        <w:tc>
          <w:tcPr>
            <w:tcW w:w="2085" w:type="dxa"/>
          </w:tcPr>
          <w:p w14:paraId="52E19F06" w14:textId="53B52432" w:rsidR="005220AD" w:rsidRPr="005220AD" w:rsidRDefault="005220AD" w:rsidP="005220AD">
            <w:r w:rsidRPr="005220AD">
              <w:rPr>
                <w:bCs/>
              </w:rPr>
              <w:t>Жлъчен мехур</w:t>
            </w:r>
          </w:p>
        </w:tc>
        <w:tc>
          <w:tcPr>
            <w:tcW w:w="1885" w:type="dxa"/>
          </w:tcPr>
          <w:p w14:paraId="349E9920" w14:textId="673A663B" w:rsidR="005220AD" w:rsidRPr="005220AD" w:rsidRDefault="005220AD" w:rsidP="005220AD">
            <w:r w:rsidRPr="005220AD">
              <w:rPr>
                <w:bCs/>
              </w:rPr>
              <w:t xml:space="preserve">2 </w:t>
            </w:r>
            <w:r w:rsidRPr="005220AD">
              <w:rPr>
                <w:bCs/>
                <w:lang w:val="en-US"/>
              </w:rPr>
              <w:t xml:space="preserve">g </w:t>
            </w:r>
            <w:r w:rsidRPr="005220AD">
              <w:rPr>
                <w:bCs/>
              </w:rPr>
              <w:t>интравенозно</w:t>
            </w:r>
          </w:p>
        </w:tc>
        <w:tc>
          <w:tcPr>
            <w:tcW w:w="1835" w:type="dxa"/>
          </w:tcPr>
          <w:p w14:paraId="43652256" w14:textId="4670DDFE" w:rsidR="005220AD" w:rsidRPr="005220AD" w:rsidRDefault="005220AD" w:rsidP="005220AD">
            <w:r w:rsidRPr="005220AD">
              <w:rPr>
                <w:bCs/>
              </w:rPr>
              <w:t>8,9</w:t>
            </w:r>
          </w:p>
        </w:tc>
        <w:tc>
          <w:tcPr>
            <w:tcW w:w="1885" w:type="dxa"/>
          </w:tcPr>
          <w:p w14:paraId="19E3228C" w14:textId="73013D13" w:rsidR="005220AD" w:rsidRPr="005220AD" w:rsidRDefault="005220AD" w:rsidP="005220AD">
            <w:r w:rsidRPr="005220AD">
              <w:rPr>
                <w:bCs/>
              </w:rPr>
              <w:t>11,9</w:t>
            </w:r>
          </w:p>
        </w:tc>
        <w:tc>
          <w:tcPr>
            <w:tcW w:w="1886" w:type="dxa"/>
          </w:tcPr>
          <w:p w14:paraId="39B11E84" w14:textId="11910003" w:rsidR="005220AD" w:rsidRPr="005220AD" w:rsidRDefault="005220AD" w:rsidP="005220AD">
            <w:r w:rsidRPr="005220AD">
              <w:rPr>
                <w:bCs/>
              </w:rPr>
              <w:t>8,5</w:t>
            </w:r>
          </w:p>
        </w:tc>
      </w:tr>
      <w:tr w:rsidR="005220AD" w14:paraId="606EC1BD" w14:textId="77777777" w:rsidTr="005220AD">
        <w:tc>
          <w:tcPr>
            <w:tcW w:w="2085" w:type="dxa"/>
          </w:tcPr>
          <w:p w14:paraId="3C900609" w14:textId="02BA1B2E" w:rsidR="005220AD" w:rsidRPr="005220AD" w:rsidRDefault="005220AD" w:rsidP="005220AD">
            <w:r w:rsidRPr="005220AD">
              <w:rPr>
                <w:bCs/>
              </w:rPr>
              <w:t>Цереброспинална течност</w:t>
            </w:r>
          </w:p>
        </w:tc>
        <w:tc>
          <w:tcPr>
            <w:tcW w:w="1885" w:type="dxa"/>
          </w:tcPr>
          <w:p w14:paraId="7C44514C" w14:textId="38B16E02" w:rsidR="005220AD" w:rsidRPr="005220AD" w:rsidRDefault="005220AD" w:rsidP="005220AD">
            <w:r w:rsidRPr="005220AD">
              <w:rPr>
                <w:bCs/>
              </w:rPr>
              <w:t xml:space="preserve">50 </w:t>
            </w:r>
            <w:r w:rsidRPr="005220AD">
              <w:rPr>
                <w:bCs/>
                <w:lang w:val="en-US"/>
              </w:rPr>
              <w:t xml:space="preserve">mg/kg/ </w:t>
            </w:r>
            <w:r w:rsidRPr="005220AD">
              <w:rPr>
                <w:bCs/>
              </w:rPr>
              <w:t>интравенозно</w:t>
            </w:r>
          </w:p>
        </w:tc>
        <w:tc>
          <w:tcPr>
            <w:tcW w:w="1835" w:type="dxa"/>
          </w:tcPr>
          <w:p w14:paraId="63EFBC21" w14:textId="09D60259" w:rsidR="005220AD" w:rsidRPr="005220AD" w:rsidRDefault="005220AD" w:rsidP="005220AD">
            <w:r w:rsidRPr="005220AD">
              <w:rPr>
                <w:bCs/>
              </w:rPr>
              <w:t>4,0</w:t>
            </w:r>
          </w:p>
        </w:tc>
        <w:tc>
          <w:tcPr>
            <w:tcW w:w="1885" w:type="dxa"/>
          </w:tcPr>
          <w:p w14:paraId="7F113100" w14:textId="7224BC9D" w:rsidR="005220AD" w:rsidRPr="005220AD" w:rsidRDefault="005220AD" w:rsidP="005220AD">
            <w:r w:rsidRPr="005220AD">
              <w:rPr>
                <w:bCs/>
              </w:rPr>
              <w:t>4,2</w:t>
            </w:r>
          </w:p>
        </w:tc>
        <w:tc>
          <w:tcPr>
            <w:tcW w:w="1886" w:type="dxa"/>
          </w:tcPr>
          <w:p w14:paraId="5191C63C" w14:textId="0664BA4A" w:rsidR="005220AD" w:rsidRPr="005220AD" w:rsidRDefault="005220AD" w:rsidP="005220AD">
            <w:r w:rsidRPr="005220AD">
              <w:rPr>
                <w:bCs/>
              </w:rPr>
              <w:t>16,7</w:t>
            </w:r>
          </w:p>
        </w:tc>
      </w:tr>
      <w:tr w:rsidR="005220AD" w14:paraId="28B0BD22" w14:textId="77777777" w:rsidTr="005220AD">
        <w:tc>
          <w:tcPr>
            <w:tcW w:w="2085" w:type="dxa"/>
          </w:tcPr>
          <w:p w14:paraId="140B569D" w14:textId="614B680C" w:rsidR="005220AD" w:rsidRPr="005220AD" w:rsidRDefault="005220AD" w:rsidP="005220AD">
            <w:r w:rsidRPr="005220AD">
              <w:rPr>
                <w:bCs/>
              </w:rPr>
              <w:t>Храчка</w:t>
            </w:r>
          </w:p>
        </w:tc>
        <w:tc>
          <w:tcPr>
            <w:tcW w:w="1885" w:type="dxa"/>
          </w:tcPr>
          <w:p w14:paraId="12068E8B" w14:textId="24E372EC" w:rsidR="005220AD" w:rsidRPr="005220AD" w:rsidRDefault="005220AD" w:rsidP="005220AD">
            <w:r w:rsidRPr="005220AD">
              <w:rPr>
                <w:bCs/>
                <w:lang w:val="en-US"/>
              </w:rPr>
              <w:t xml:space="preserve">2 g </w:t>
            </w:r>
            <w:r w:rsidRPr="005220AD">
              <w:rPr>
                <w:bCs/>
              </w:rPr>
              <w:t>интравенозно</w:t>
            </w:r>
          </w:p>
        </w:tc>
        <w:tc>
          <w:tcPr>
            <w:tcW w:w="1835" w:type="dxa"/>
          </w:tcPr>
          <w:p w14:paraId="2097253E" w14:textId="44BC840D" w:rsidR="005220AD" w:rsidRPr="005220AD" w:rsidRDefault="005220AD" w:rsidP="005220AD">
            <w:r w:rsidRPr="005220AD">
              <w:rPr>
                <w:bCs/>
              </w:rPr>
              <w:t>4,0</w:t>
            </w:r>
          </w:p>
        </w:tc>
        <w:tc>
          <w:tcPr>
            <w:tcW w:w="1885" w:type="dxa"/>
          </w:tcPr>
          <w:p w14:paraId="617C7E95" w14:textId="0F22C908" w:rsidR="005220AD" w:rsidRPr="005220AD" w:rsidRDefault="005220AD" w:rsidP="005220AD">
            <w:r w:rsidRPr="005220AD">
              <w:rPr>
                <w:bCs/>
              </w:rPr>
              <w:t>7,4</w:t>
            </w:r>
          </w:p>
        </w:tc>
        <w:tc>
          <w:tcPr>
            <w:tcW w:w="1886" w:type="dxa"/>
          </w:tcPr>
          <w:p w14:paraId="001109C7" w14:textId="4486F75F" w:rsidR="005220AD" w:rsidRPr="005220AD" w:rsidRDefault="005220AD" w:rsidP="005220AD">
            <w:r w:rsidRPr="005220AD">
              <w:rPr>
                <w:bCs/>
              </w:rPr>
              <w:t>—</w:t>
            </w:r>
          </w:p>
        </w:tc>
      </w:tr>
      <w:tr w:rsidR="005220AD" w14:paraId="53C86687" w14:textId="77777777" w:rsidTr="005220AD">
        <w:tc>
          <w:tcPr>
            <w:tcW w:w="2085" w:type="dxa"/>
          </w:tcPr>
          <w:p w14:paraId="1F5490C7" w14:textId="08CCCB96" w:rsidR="005220AD" w:rsidRPr="005220AD" w:rsidRDefault="005220AD" w:rsidP="005220AD">
            <w:r w:rsidRPr="005220AD">
              <w:rPr>
                <w:bCs/>
              </w:rPr>
              <w:t>Простата</w:t>
            </w:r>
          </w:p>
        </w:tc>
        <w:tc>
          <w:tcPr>
            <w:tcW w:w="1885" w:type="dxa"/>
          </w:tcPr>
          <w:p w14:paraId="0A42F817" w14:textId="33AAE554" w:rsidR="005220AD" w:rsidRPr="005220AD" w:rsidRDefault="005220AD" w:rsidP="005220AD">
            <w:r w:rsidRPr="005220AD">
              <w:rPr>
                <w:bCs/>
                <w:lang w:val="en-US"/>
              </w:rPr>
              <w:t xml:space="preserve">2 g </w:t>
            </w:r>
            <w:r w:rsidRPr="005220AD">
              <w:rPr>
                <w:bCs/>
              </w:rPr>
              <w:t>интравенозно</w:t>
            </w:r>
          </w:p>
        </w:tc>
        <w:tc>
          <w:tcPr>
            <w:tcW w:w="1835" w:type="dxa"/>
          </w:tcPr>
          <w:p w14:paraId="46343D02" w14:textId="3E2C84F5" w:rsidR="005220AD" w:rsidRPr="005220AD" w:rsidRDefault="005220AD" w:rsidP="005220AD">
            <w:r w:rsidRPr="005220AD">
              <w:rPr>
                <w:bCs/>
              </w:rPr>
              <w:t>1,0</w:t>
            </w:r>
          </w:p>
        </w:tc>
        <w:tc>
          <w:tcPr>
            <w:tcW w:w="1885" w:type="dxa"/>
          </w:tcPr>
          <w:p w14:paraId="5D154779" w14:textId="4CF582BF" w:rsidR="005220AD" w:rsidRPr="005220AD" w:rsidRDefault="005220AD" w:rsidP="005220AD">
            <w:r w:rsidRPr="005220AD">
              <w:rPr>
                <w:bCs/>
              </w:rPr>
              <w:t>31,5</w:t>
            </w:r>
          </w:p>
        </w:tc>
        <w:tc>
          <w:tcPr>
            <w:tcW w:w="1886" w:type="dxa"/>
          </w:tcPr>
          <w:p w14:paraId="1463CD51" w14:textId="77777777" w:rsidR="005220AD" w:rsidRPr="005220AD" w:rsidRDefault="005220AD" w:rsidP="005220AD"/>
        </w:tc>
      </w:tr>
    </w:tbl>
    <w:p w14:paraId="1B3401D9" w14:textId="77777777" w:rsidR="005220AD" w:rsidRPr="005220AD" w:rsidRDefault="005220AD" w:rsidP="005220AD">
      <w:pPr>
        <w:rPr>
          <w:sz w:val="24"/>
          <w:szCs w:val="24"/>
        </w:rPr>
      </w:pPr>
      <w:r w:rsidRPr="005220AD">
        <w:rPr>
          <w:lang w:eastAsia="bg-BG"/>
        </w:rPr>
        <w:t>* Проба от урина, взета в интервал от 0-4 часа след приложението</w:t>
      </w:r>
    </w:p>
    <w:p w14:paraId="3537A2CC" w14:textId="77777777" w:rsidR="005220AD" w:rsidRPr="005220AD" w:rsidRDefault="005220AD" w:rsidP="005220AD">
      <w:pPr>
        <w:rPr>
          <w:sz w:val="24"/>
          <w:szCs w:val="24"/>
        </w:rPr>
      </w:pPr>
      <w:r w:rsidRPr="005220AD">
        <w:rPr>
          <w:lang w:eastAsia="bg-BG"/>
        </w:rPr>
        <w:t>** Плазмена проба, взета 4 часа след инжектиране.</w:t>
      </w:r>
    </w:p>
    <w:p w14:paraId="7418640B" w14:textId="77777777" w:rsidR="005220AD" w:rsidRDefault="005220AD" w:rsidP="005220AD">
      <w:pPr>
        <w:rPr>
          <w:lang w:eastAsia="bg-BG"/>
        </w:rPr>
      </w:pPr>
    </w:p>
    <w:p w14:paraId="326D3218" w14:textId="1832E8C4" w:rsidR="005220AD" w:rsidRPr="005220AD" w:rsidRDefault="005220AD" w:rsidP="005220AD">
      <w:pPr>
        <w:rPr>
          <w:sz w:val="24"/>
          <w:szCs w:val="24"/>
        </w:rPr>
      </w:pPr>
      <w:r w:rsidRPr="005220AD">
        <w:rPr>
          <w:lang w:eastAsia="bg-BG"/>
        </w:rPr>
        <w:t xml:space="preserve">Средни плазмени концентрации </w:t>
      </w:r>
      <w:r w:rsidRPr="005220AD">
        <w:rPr>
          <w:lang w:val="ru-RU"/>
        </w:rPr>
        <w:t>(</w:t>
      </w:r>
      <w:r w:rsidRPr="005220AD">
        <w:rPr>
          <w:lang w:val="en-US"/>
        </w:rPr>
        <w:t>PL</w:t>
      </w:r>
      <w:r w:rsidRPr="005220AD">
        <w:rPr>
          <w:lang w:val="ru-RU"/>
        </w:rPr>
        <w:t xml:space="preserve">), </w:t>
      </w:r>
      <w:r w:rsidRPr="005220AD">
        <w:rPr>
          <w:lang w:eastAsia="bg-BG"/>
        </w:rPr>
        <w:t xml:space="preserve">концентрации в цереброспиналната течност </w:t>
      </w:r>
      <w:r w:rsidRPr="005220AD">
        <w:rPr>
          <w:lang w:val="ru-RU"/>
        </w:rPr>
        <w:t>(</w:t>
      </w:r>
      <w:r w:rsidRPr="005220AD">
        <w:rPr>
          <w:lang w:val="en-US"/>
        </w:rPr>
        <w:t>CSF</w:t>
      </w:r>
      <w:r w:rsidRPr="005220AD">
        <w:rPr>
          <w:lang w:val="ru-RU"/>
        </w:rPr>
        <w:t xml:space="preserve">) </w:t>
      </w:r>
      <w:r w:rsidRPr="005220AD">
        <w:rPr>
          <w:lang w:eastAsia="bg-BG"/>
        </w:rPr>
        <w:t>и</w:t>
      </w:r>
    </w:p>
    <w:p w14:paraId="22278F39" w14:textId="66103E4C" w:rsidR="005220AD" w:rsidRPr="005220AD" w:rsidRDefault="005220AD" w:rsidP="005220AD">
      <w:pPr>
        <w:rPr>
          <w:sz w:val="24"/>
          <w:szCs w:val="24"/>
        </w:rPr>
      </w:pPr>
      <w:r w:rsidRPr="005220AD">
        <w:rPr>
          <w:lang w:val="en-US"/>
        </w:rPr>
        <w:t>CSF</w:t>
      </w:r>
      <w:r w:rsidRPr="005220AD">
        <w:rPr>
          <w:lang w:val="ru-RU"/>
        </w:rPr>
        <w:t>/</w:t>
      </w:r>
      <w:r w:rsidRPr="005220AD">
        <w:rPr>
          <w:lang w:val="en-US"/>
        </w:rPr>
        <w:t>PL</w:t>
      </w:r>
      <w:r w:rsidRPr="005220AD">
        <w:rPr>
          <w:lang w:val="ru-RU"/>
        </w:rPr>
        <w:t xml:space="preserve"> </w:t>
      </w:r>
      <w:r w:rsidRPr="005220AD">
        <w:rPr>
          <w:lang w:eastAsia="bg-BG"/>
        </w:rPr>
        <w:t>съотношение на цефепим *</w:t>
      </w:r>
    </w:p>
    <w:p w14:paraId="3FB0E168" w14:textId="66C2E6B7" w:rsidR="005220AD" w:rsidRDefault="005220AD" w:rsidP="005220AD"/>
    <w:tbl>
      <w:tblPr>
        <w:tblStyle w:val="TableGrid"/>
        <w:tblW w:w="0" w:type="auto"/>
        <w:tblLook w:val="04A0" w:firstRow="1" w:lastRow="0" w:firstColumn="1" w:lastColumn="0" w:noHBand="0" w:noVBand="1"/>
      </w:tblPr>
      <w:tblGrid>
        <w:gridCol w:w="1677"/>
        <w:gridCol w:w="1724"/>
        <w:gridCol w:w="1844"/>
        <w:gridCol w:w="2271"/>
        <w:gridCol w:w="1834"/>
      </w:tblGrid>
      <w:tr w:rsidR="005220AD" w14:paraId="5FF9AC83" w14:textId="77777777" w:rsidTr="005220AD">
        <w:tc>
          <w:tcPr>
            <w:tcW w:w="1769" w:type="dxa"/>
          </w:tcPr>
          <w:p w14:paraId="217BA1A0" w14:textId="4ACF05DD" w:rsidR="005220AD" w:rsidRDefault="005220AD" w:rsidP="005220AD">
            <w:r>
              <w:lastRenderedPageBreak/>
              <w:t>Проба след време (в часове)</w:t>
            </w:r>
          </w:p>
        </w:tc>
        <w:tc>
          <w:tcPr>
            <w:tcW w:w="1798" w:type="dxa"/>
          </w:tcPr>
          <w:p w14:paraId="1EF4480D" w14:textId="0320BE43" w:rsidR="005220AD" w:rsidRDefault="005220AD" w:rsidP="005220AD">
            <w:r>
              <w:t>Брой на пациенти</w:t>
            </w:r>
          </w:p>
        </w:tc>
        <w:tc>
          <w:tcPr>
            <w:tcW w:w="1872" w:type="dxa"/>
          </w:tcPr>
          <w:p w14:paraId="1C7CD4CB" w14:textId="1A2FD50D" w:rsidR="005220AD" w:rsidRDefault="005220AD" w:rsidP="005220AD">
            <w:r>
              <w:t xml:space="preserve">Плазмена концентрация </w:t>
            </w:r>
            <w:r>
              <w:rPr>
                <w:lang w:val="en-US"/>
              </w:rPr>
              <w:t>(mcg/ml)</w:t>
            </w:r>
          </w:p>
        </w:tc>
        <w:tc>
          <w:tcPr>
            <w:tcW w:w="2271" w:type="dxa"/>
          </w:tcPr>
          <w:p w14:paraId="7BFC40D1" w14:textId="32BFBDE7" w:rsidR="005220AD" w:rsidRDefault="005220AD" w:rsidP="005220AD">
            <w:r>
              <w:t xml:space="preserve">Концентрация в цереброспиналната течност </w:t>
            </w:r>
            <w:r w:rsidRPr="005220AD">
              <w:rPr>
                <w:lang w:val="ru-RU"/>
              </w:rPr>
              <w:t>(</w:t>
            </w:r>
            <w:r>
              <w:rPr>
                <w:lang w:val="en-US"/>
              </w:rPr>
              <w:t>mcg</w:t>
            </w:r>
            <w:r w:rsidRPr="005220AD">
              <w:rPr>
                <w:lang w:val="ru-RU"/>
              </w:rPr>
              <w:t>/</w:t>
            </w:r>
            <w:r>
              <w:rPr>
                <w:lang w:val="en-US"/>
              </w:rPr>
              <w:t>ml</w:t>
            </w:r>
            <w:r w:rsidRPr="005220AD">
              <w:rPr>
                <w:lang w:val="ru-RU"/>
              </w:rPr>
              <w:t>)</w:t>
            </w:r>
          </w:p>
        </w:tc>
        <w:tc>
          <w:tcPr>
            <w:tcW w:w="1866" w:type="dxa"/>
          </w:tcPr>
          <w:p w14:paraId="174F804C" w14:textId="00E50710" w:rsidR="005220AD" w:rsidRDefault="005220AD" w:rsidP="005220AD">
            <w:r>
              <w:rPr>
                <w:lang w:val="en-US"/>
              </w:rPr>
              <w:t xml:space="preserve">CSF/PL </w:t>
            </w:r>
            <w:r>
              <w:t>съотношение</w:t>
            </w:r>
          </w:p>
        </w:tc>
      </w:tr>
      <w:tr w:rsidR="005220AD" w14:paraId="5D943570" w14:textId="77777777" w:rsidTr="005220AD">
        <w:tc>
          <w:tcPr>
            <w:tcW w:w="1769" w:type="dxa"/>
          </w:tcPr>
          <w:p w14:paraId="085C13AE" w14:textId="380D1CDB" w:rsidR="005220AD" w:rsidRDefault="005220AD" w:rsidP="005220AD">
            <w:r>
              <w:t>0,5</w:t>
            </w:r>
          </w:p>
        </w:tc>
        <w:tc>
          <w:tcPr>
            <w:tcW w:w="1798" w:type="dxa"/>
          </w:tcPr>
          <w:p w14:paraId="4F6BB7E0" w14:textId="6A18D2D3" w:rsidR="005220AD" w:rsidRDefault="005220AD" w:rsidP="005220AD">
            <w:r>
              <w:t>7</w:t>
            </w:r>
          </w:p>
        </w:tc>
        <w:tc>
          <w:tcPr>
            <w:tcW w:w="1872" w:type="dxa"/>
          </w:tcPr>
          <w:p w14:paraId="7279F905" w14:textId="555CDD9D" w:rsidR="005220AD" w:rsidRDefault="005220AD" w:rsidP="005220AD">
            <w:r>
              <w:t>67,1 (51,2)</w:t>
            </w:r>
          </w:p>
        </w:tc>
        <w:tc>
          <w:tcPr>
            <w:tcW w:w="2271" w:type="dxa"/>
          </w:tcPr>
          <w:p w14:paraId="4C531D31" w14:textId="6D4C9081" w:rsidR="005220AD" w:rsidRDefault="005220AD" w:rsidP="005220AD">
            <w:r>
              <w:t>5,7 (7,3)</w:t>
            </w:r>
          </w:p>
        </w:tc>
        <w:tc>
          <w:tcPr>
            <w:tcW w:w="1866" w:type="dxa"/>
          </w:tcPr>
          <w:p w14:paraId="2B93BBB1" w14:textId="2D509EB3" w:rsidR="005220AD" w:rsidRDefault="005220AD" w:rsidP="005220AD">
            <w:r>
              <w:t>0,12 (0,14)</w:t>
            </w:r>
          </w:p>
        </w:tc>
      </w:tr>
      <w:tr w:rsidR="005220AD" w14:paraId="34828DC9" w14:textId="77777777" w:rsidTr="005220AD">
        <w:tc>
          <w:tcPr>
            <w:tcW w:w="1769" w:type="dxa"/>
          </w:tcPr>
          <w:p w14:paraId="19D2F61D" w14:textId="66AEBEA1" w:rsidR="005220AD" w:rsidRDefault="005220AD" w:rsidP="005220AD">
            <w:r>
              <w:t>1</w:t>
            </w:r>
          </w:p>
        </w:tc>
        <w:tc>
          <w:tcPr>
            <w:tcW w:w="1798" w:type="dxa"/>
          </w:tcPr>
          <w:p w14:paraId="4D3863A4" w14:textId="58D40439" w:rsidR="005220AD" w:rsidRDefault="005220AD" w:rsidP="005220AD">
            <w:r>
              <w:t>4</w:t>
            </w:r>
          </w:p>
        </w:tc>
        <w:tc>
          <w:tcPr>
            <w:tcW w:w="1872" w:type="dxa"/>
          </w:tcPr>
          <w:p w14:paraId="075371C2" w14:textId="58B2E176" w:rsidR="005220AD" w:rsidRDefault="005220AD" w:rsidP="005220AD">
            <w:r>
              <w:t>44,1 (7,8)</w:t>
            </w:r>
          </w:p>
        </w:tc>
        <w:tc>
          <w:tcPr>
            <w:tcW w:w="2271" w:type="dxa"/>
          </w:tcPr>
          <w:p w14:paraId="273FD786" w14:textId="08E50562" w:rsidR="005220AD" w:rsidRDefault="005220AD" w:rsidP="005220AD">
            <w:r>
              <w:t>4,3 (1,5)</w:t>
            </w:r>
          </w:p>
        </w:tc>
        <w:tc>
          <w:tcPr>
            <w:tcW w:w="1866" w:type="dxa"/>
          </w:tcPr>
          <w:p w14:paraId="573C046C" w14:textId="550C3799" w:rsidR="005220AD" w:rsidRDefault="005220AD" w:rsidP="005220AD">
            <w:r>
              <w:t>0,10 (0,04)</w:t>
            </w:r>
          </w:p>
        </w:tc>
      </w:tr>
      <w:tr w:rsidR="005220AD" w14:paraId="2823118C" w14:textId="77777777" w:rsidTr="005220AD">
        <w:tc>
          <w:tcPr>
            <w:tcW w:w="1769" w:type="dxa"/>
          </w:tcPr>
          <w:p w14:paraId="0F8616BD" w14:textId="61805524" w:rsidR="005220AD" w:rsidRDefault="005220AD" w:rsidP="005220AD">
            <w:r>
              <w:t>2</w:t>
            </w:r>
          </w:p>
        </w:tc>
        <w:tc>
          <w:tcPr>
            <w:tcW w:w="1798" w:type="dxa"/>
          </w:tcPr>
          <w:p w14:paraId="26230569" w14:textId="134F27CA" w:rsidR="005220AD" w:rsidRDefault="005220AD" w:rsidP="005220AD">
            <w:r>
              <w:t>5</w:t>
            </w:r>
          </w:p>
        </w:tc>
        <w:tc>
          <w:tcPr>
            <w:tcW w:w="1872" w:type="dxa"/>
          </w:tcPr>
          <w:p w14:paraId="28936231" w14:textId="5EB61E76" w:rsidR="005220AD" w:rsidRDefault="005220AD" w:rsidP="005220AD">
            <w:r>
              <w:t>23,9 (12,9)</w:t>
            </w:r>
          </w:p>
        </w:tc>
        <w:tc>
          <w:tcPr>
            <w:tcW w:w="2271" w:type="dxa"/>
          </w:tcPr>
          <w:p w14:paraId="392AAB7F" w14:textId="50BDCEDC" w:rsidR="005220AD" w:rsidRDefault="005220AD" w:rsidP="005220AD">
            <w:r>
              <w:t>3,6 (2,0)</w:t>
            </w:r>
          </w:p>
        </w:tc>
        <w:tc>
          <w:tcPr>
            <w:tcW w:w="1866" w:type="dxa"/>
          </w:tcPr>
          <w:p w14:paraId="3501FBBB" w14:textId="1CB5A571" w:rsidR="005220AD" w:rsidRDefault="005220AD" w:rsidP="005220AD">
            <w:r>
              <w:t>0,17 (0,09)</w:t>
            </w:r>
          </w:p>
        </w:tc>
      </w:tr>
      <w:tr w:rsidR="005220AD" w14:paraId="521E1F4C" w14:textId="77777777" w:rsidTr="005220AD">
        <w:tc>
          <w:tcPr>
            <w:tcW w:w="1769" w:type="dxa"/>
          </w:tcPr>
          <w:p w14:paraId="6464EED1" w14:textId="0BBB89E9" w:rsidR="005220AD" w:rsidRDefault="005220AD" w:rsidP="005220AD">
            <w:r>
              <w:t>4</w:t>
            </w:r>
          </w:p>
        </w:tc>
        <w:tc>
          <w:tcPr>
            <w:tcW w:w="1798" w:type="dxa"/>
          </w:tcPr>
          <w:p w14:paraId="0F2AA24B" w14:textId="34A6587B" w:rsidR="005220AD" w:rsidRDefault="005220AD" w:rsidP="005220AD">
            <w:r>
              <w:t>5</w:t>
            </w:r>
          </w:p>
        </w:tc>
        <w:tc>
          <w:tcPr>
            <w:tcW w:w="1872" w:type="dxa"/>
          </w:tcPr>
          <w:p w14:paraId="71A0CCF8" w14:textId="6C9D404C" w:rsidR="005220AD" w:rsidRDefault="005220AD" w:rsidP="005220AD">
            <w:r>
              <w:t>11,7 (15,7)</w:t>
            </w:r>
          </w:p>
        </w:tc>
        <w:tc>
          <w:tcPr>
            <w:tcW w:w="2271" w:type="dxa"/>
          </w:tcPr>
          <w:p w14:paraId="40E42900" w14:textId="7F989984" w:rsidR="005220AD" w:rsidRDefault="005220AD" w:rsidP="005220AD">
            <w:r>
              <w:t>4,2 (1,1)</w:t>
            </w:r>
          </w:p>
        </w:tc>
        <w:tc>
          <w:tcPr>
            <w:tcW w:w="1866" w:type="dxa"/>
          </w:tcPr>
          <w:p w14:paraId="0C05B5DA" w14:textId="1C46695F" w:rsidR="005220AD" w:rsidRDefault="005220AD" w:rsidP="005220AD">
            <w:r>
              <w:t>0,87 (0,56)</w:t>
            </w:r>
          </w:p>
        </w:tc>
      </w:tr>
      <w:tr w:rsidR="005220AD" w14:paraId="47741F45" w14:textId="77777777" w:rsidTr="005220AD">
        <w:tc>
          <w:tcPr>
            <w:tcW w:w="1769" w:type="dxa"/>
          </w:tcPr>
          <w:p w14:paraId="68A37BCD" w14:textId="67B886BD" w:rsidR="005220AD" w:rsidRDefault="005220AD" w:rsidP="005220AD">
            <w:r>
              <w:t>8</w:t>
            </w:r>
          </w:p>
        </w:tc>
        <w:tc>
          <w:tcPr>
            <w:tcW w:w="1798" w:type="dxa"/>
          </w:tcPr>
          <w:p w14:paraId="62D15577" w14:textId="2D15E67D" w:rsidR="005220AD" w:rsidRDefault="005220AD" w:rsidP="005220AD">
            <w:r>
              <w:t>5</w:t>
            </w:r>
          </w:p>
        </w:tc>
        <w:tc>
          <w:tcPr>
            <w:tcW w:w="1872" w:type="dxa"/>
          </w:tcPr>
          <w:p w14:paraId="13C8A8F3" w14:textId="3C381D7B" w:rsidR="005220AD" w:rsidRDefault="005220AD" w:rsidP="005220AD">
            <w:r>
              <w:t>4,9 (5,9)</w:t>
            </w:r>
          </w:p>
        </w:tc>
        <w:tc>
          <w:tcPr>
            <w:tcW w:w="2271" w:type="dxa"/>
          </w:tcPr>
          <w:p w14:paraId="14062947" w14:textId="54452446" w:rsidR="005220AD" w:rsidRDefault="005220AD" w:rsidP="005220AD">
            <w:r>
              <w:t>3,3 (2,8)</w:t>
            </w:r>
          </w:p>
        </w:tc>
        <w:tc>
          <w:tcPr>
            <w:tcW w:w="1866" w:type="dxa"/>
          </w:tcPr>
          <w:p w14:paraId="4B6A48B5" w14:textId="7B8D6532" w:rsidR="005220AD" w:rsidRDefault="005220AD" w:rsidP="005220AD">
            <w:r>
              <w:t>1,02(0,64)</w:t>
            </w:r>
          </w:p>
        </w:tc>
      </w:tr>
    </w:tbl>
    <w:p w14:paraId="5E19E9E6" w14:textId="3C12281D" w:rsidR="005220AD" w:rsidRPr="005220AD" w:rsidRDefault="005220AD" w:rsidP="005220AD">
      <w:pPr>
        <w:rPr>
          <w:rFonts w:cs="Arial"/>
        </w:rPr>
      </w:pPr>
      <w:r w:rsidRPr="005220AD">
        <w:rPr>
          <w:rFonts w:cs="Arial"/>
        </w:rPr>
        <w:t>* Пациенти на възраст от 3,1 месеца до 12 години (средно 2,6 години)</w:t>
      </w:r>
    </w:p>
    <w:p w14:paraId="1F99B6DB" w14:textId="6708ACA0" w:rsidR="005220AD" w:rsidRPr="005220AD" w:rsidRDefault="005220AD" w:rsidP="005220AD">
      <w:pPr>
        <w:rPr>
          <w:rFonts w:cs="Arial"/>
        </w:rPr>
      </w:pPr>
    </w:p>
    <w:p w14:paraId="475DBAE5"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Пациенти със съмнение за инфекция на централната нервна система са лекувани с 50 </w:t>
      </w:r>
      <w:r w:rsidRPr="005220AD">
        <w:rPr>
          <w:rFonts w:eastAsia="Times New Roman" w:cs="Arial"/>
          <w:bCs/>
          <w:color w:val="000000"/>
          <w:lang w:val="en-US"/>
        </w:rPr>
        <w:t>mg</w:t>
      </w:r>
      <w:r w:rsidRPr="005220AD">
        <w:rPr>
          <w:rFonts w:eastAsia="Times New Roman" w:cs="Arial"/>
          <w:bCs/>
          <w:color w:val="000000"/>
          <w:lang w:val="ru-RU"/>
        </w:rPr>
        <w:t>/</w:t>
      </w:r>
      <w:r w:rsidRPr="005220AD">
        <w:rPr>
          <w:rFonts w:eastAsia="Times New Roman" w:cs="Arial"/>
          <w:bCs/>
          <w:color w:val="000000"/>
          <w:lang w:val="en-US"/>
        </w:rPr>
        <w:t>kg</w:t>
      </w:r>
      <w:r w:rsidRPr="005220AD">
        <w:rPr>
          <w:rFonts w:eastAsia="Times New Roman" w:cs="Arial"/>
          <w:bCs/>
          <w:color w:val="000000"/>
          <w:lang w:val="ru-RU"/>
        </w:rPr>
        <w:t xml:space="preserve"> </w:t>
      </w:r>
      <w:r w:rsidRPr="005220AD">
        <w:rPr>
          <w:rFonts w:eastAsia="Times New Roman" w:cs="Arial"/>
          <w:bCs/>
          <w:color w:val="000000"/>
          <w:lang w:eastAsia="bg-BG"/>
        </w:rPr>
        <w:t>цефепим, приложен чрез интравенозна инфузия за 5 до 20 минути на всеки 8 часа. При някои от пациентите, проби от плазмата и цереброспиналната течност са взети след около 1/2, 1, 2, 4 и 8 часа след прекратяване на инфузията на втория и третия ден от лечението.</w:t>
      </w:r>
    </w:p>
    <w:p w14:paraId="1C83E0AC" w14:textId="77777777" w:rsidR="005220AD" w:rsidRPr="005220AD" w:rsidRDefault="005220AD" w:rsidP="005220AD">
      <w:pPr>
        <w:spacing w:line="240" w:lineRule="auto"/>
        <w:rPr>
          <w:rFonts w:eastAsia="Times New Roman" w:cs="Arial"/>
          <w:bCs/>
          <w:color w:val="000000"/>
          <w:lang w:eastAsia="bg-BG"/>
        </w:rPr>
      </w:pPr>
    </w:p>
    <w:p w14:paraId="71D7B9A8" w14:textId="24AD041F"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Тъканното разпределение на цефепим не се променя при дозов интервал от 250 </w:t>
      </w:r>
      <w:r w:rsidRPr="005220AD">
        <w:rPr>
          <w:rFonts w:eastAsia="Times New Roman" w:cs="Arial"/>
          <w:bCs/>
          <w:color w:val="000000"/>
          <w:lang w:val="en-US"/>
        </w:rPr>
        <w:t>mg</w:t>
      </w:r>
      <w:r w:rsidRPr="005220AD">
        <w:rPr>
          <w:rFonts w:eastAsia="Times New Roman" w:cs="Arial"/>
          <w:bCs/>
          <w:color w:val="000000"/>
          <w:lang w:val="ru-RU"/>
        </w:rPr>
        <w:t xml:space="preserve"> -2 </w:t>
      </w:r>
      <w:r w:rsidRPr="005220AD">
        <w:rPr>
          <w:rFonts w:eastAsia="Times New Roman" w:cs="Arial"/>
          <w:bCs/>
          <w:color w:val="000000"/>
          <w:lang w:val="en-US"/>
        </w:rPr>
        <w:t>g</w:t>
      </w:r>
      <w:r w:rsidRPr="005220AD">
        <w:rPr>
          <w:rFonts w:eastAsia="Times New Roman" w:cs="Arial"/>
          <w:bCs/>
          <w:color w:val="000000"/>
          <w:lang w:val="ru-RU"/>
        </w:rPr>
        <w:t xml:space="preserve">. </w:t>
      </w:r>
      <w:r w:rsidRPr="005220AD">
        <w:rPr>
          <w:rFonts w:eastAsia="Times New Roman" w:cs="Arial"/>
          <w:bCs/>
          <w:color w:val="000000"/>
          <w:lang w:eastAsia="bg-BG"/>
        </w:rPr>
        <w:t>Средният обем разпределение в равновесно състояние е 18 1. Свързването на цефепим със серумните протеини е &lt; 16,4 % и е независимо от серумната концентрация на цефепим.</w:t>
      </w:r>
    </w:p>
    <w:p w14:paraId="2A9EAF04" w14:textId="77777777" w:rsidR="005220AD" w:rsidRPr="005220AD" w:rsidRDefault="005220AD" w:rsidP="005220AD">
      <w:pPr>
        <w:spacing w:line="240" w:lineRule="auto"/>
        <w:rPr>
          <w:rFonts w:eastAsia="Times New Roman" w:cs="Arial"/>
          <w:bCs/>
          <w:color w:val="000000"/>
          <w:u w:val="single"/>
          <w:lang w:eastAsia="bg-BG"/>
        </w:rPr>
      </w:pPr>
    </w:p>
    <w:p w14:paraId="7BFA5365" w14:textId="3C4127BF" w:rsidR="005220AD" w:rsidRPr="005220AD" w:rsidRDefault="005220AD" w:rsidP="005220AD">
      <w:pPr>
        <w:spacing w:line="240" w:lineRule="auto"/>
        <w:rPr>
          <w:rFonts w:eastAsia="Times New Roman" w:cs="Arial"/>
        </w:rPr>
      </w:pPr>
      <w:r w:rsidRPr="005220AD">
        <w:rPr>
          <w:rFonts w:eastAsia="Times New Roman" w:cs="Arial"/>
          <w:bCs/>
          <w:color w:val="000000"/>
          <w:u w:val="single"/>
          <w:lang w:eastAsia="bg-BG"/>
        </w:rPr>
        <w:t>Метаболизъм:</w:t>
      </w:r>
      <w:r w:rsidRPr="005220AD">
        <w:rPr>
          <w:rFonts w:eastAsia="Times New Roman" w:cs="Arial"/>
          <w:bCs/>
          <w:color w:val="000000"/>
          <w:lang w:eastAsia="bg-BG"/>
        </w:rPr>
        <w:t xml:space="preserve"> Цефепим се метаболизира до </w:t>
      </w:r>
      <w:r w:rsidRPr="005220AD">
        <w:rPr>
          <w:rFonts w:eastAsia="Times New Roman" w:cs="Arial"/>
          <w:bCs/>
          <w:color w:val="000000"/>
          <w:lang w:val="en-US"/>
        </w:rPr>
        <w:t>N</w:t>
      </w:r>
      <w:r w:rsidRPr="005220AD">
        <w:rPr>
          <w:rFonts w:eastAsia="Times New Roman" w:cs="Arial"/>
          <w:bCs/>
          <w:color w:val="000000"/>
          <w:lang w:eastAsia="bg-BG"/>
        </w:rPr>
        <w:t xml:space="preserve">-метилпиролидин, който бързо се превръща в </w:t>
      </w:r>
      <w:r w:rsidRPr="005220AD">
        <w:rPr>
          <w:rFonts w:eastAsia="Times New Roman" w:cs="Arial"/>
          <w:bCs/>
          <w:color w:val="000000"/>
          <w:lang w:val="en-US"/>
        </w:rPr>
        <w:t>N</w:t>
      </w:r>
      <w:r w:rsidRPr="005220AD">
        <w:rPr>
          <w:rFonts w:eastAsia="Times New Roman" w:cs="Arial"/>
          <w:bCs/>
          <w:color w:val="000000"/>
          <w:lang w:val="ru-RU"/>
        </w:rPr>
        <w:t xml:space="preserve">- </w:t>
      </w:r>
      <w:r w:rsidRPr="005220AD">
        <w:rPr>
          <w:rFonts w:eastAsia="Times New Roman" w:cs="Arial"/>
          <w:bCs/>
          <w:color w:val="000000"/>
          <w:lang w:eastAsia="bg-BG"/>
        </w:rPr>
        <w:t xml:space="preserve">оксид. Възстановяването в урината на непроменения цефепим съответства на приблизително 85 % от приложената доза; по-малко от 1 % се отделя под формата на </w:t>
      </w:r>
      <w:r w:rsidRPr="005220AD">
        <w:rPr>
          <w:rFonts w:eastAsia="Times New Roman" w:cs="Arial"/>
          <w:bCs/>
          <w:color w:val="000000"/>
          <w:lang w:val="en-US"/>
        </w:rPr>
        <w:t>N</w:t>
      </w:r>
      <w:r w:rsidRPr="005220AD">
        <w:rPr>
          <w:rFonts w:eastAsia="Times New Roman" w:cs="Arial"/>
          <w:bCs/>
          <w:color w:val="000000"/>
          <w:lang w:eastAsia="bg-BG"/>
        </w:rPr>
        <w:t xml:space="preserve">-метилпиролидин, 6,8 % като </w:t>
      </w:r>
      <w:r w:rsidRPr="005220AD">
        <w:rPr>
          <w:rFonts w:eastAsia="Times New Roman" w:cs="Arial"/>
          <w:bCs/>
          <w:color w:val="000000"/>
          <w:lang w:val="en-US"/>
        </w:rPr>
        <w:t>N</w:t>
      </w:r>
      <w:r w:rsidRPr="005220AD">
        <w:rPr>
          <w:rFonts w:eastAsia="Times New Roman" w:cs="Arial"/>
          <w:bCs/>
          <w:color w:val="000000"/>
          <w:lang w:val="ru-RU"/>
        </w:rPr>
        <w:t xml:space="preserve">- </w:t>
      </w:r>
      <w:r w:rsidRPr="005220AD">
        <w:rPr>
          <w:rFonts w:eastAsia="Times New Roman" w:cs="Arial"/>
          <w:bCs/>
          <w:color w:val="000000"/>
          <w:lang w:eastAsia="bg-BG"/>
        </w:rPr>
        <w:t>оксид и 2,5 % като епимер на цефепим.</w:t>
      </w:r>
    </w:p>
    <w:p w14:paraId="0EA4DD30" w14:textId="77777777" w:rsidR="005220AD" w:rsidRPr="005220AD" w:rsidRDefault="005220AD" w:rsidP="005220AD">
      <w:pPr>
        <w:spacing w:line="240" w:lineRule="auto"/>
        <w:rPr>
          <w:rFonts w:eastAsia="Times New Roman" w:cs="Arial"/>
          <w:bCs/>
          <w:color w:val="000000"/>
          <w:u w:val="single"/>
          <w:lang w:eastAsia="bg-BG"/>
        </w:rPr>
      </w:pPr>
    </w:p>
    <w:p w14:paraId="4D5E4326" w14:textId="0A4EDDEF" w:rsidR="005220AD" w:rsidRPr="005220AD" w:rsidRDefault="005220AD" w:rsidP="005220AD">
      <w:pPr>
        <w:spacing w:line="240" w:lineRule="auto"/>
        <w:rPr>
          <w:rFonts w:eastAsia="Times New Roman" w:cs="Arial"/>
        </w:rPr>
      </w:pPr>
      <w:r w:rsidRPr="005220AD">
        <w:rPr>
          <w:rFonts w:eastAsia="Times New Roman" w:cs="Arial"/>
          <w:bCs/>
          <w:color w:val="000000"/>
          <w:u w:val="single"/>
          <w:lang w:eastAsia="bg-BG"/>
        </w:rPr>
        <w:t>Елиминиране:</w:t>
      </w:r>
      <w:r w:rsidRPr="005220AD">
        <w:rPr>
          <w:rFonts w:eastAsia="Times New Roman" w:cs="Arial"/>
          <w:bCs/>
          <w:color w:val="000000"/>
          <w:lang w:eastAsia="bg-BG"/>
        </w:rPr>
        <w:t xml:space="preserve"> Средният елиминационен полуживот на цефепим е около 2 часа и не варира в зависимост от приложената доза (250 </w:t>
      </w:r>
      <w:r w:rsidRPr="005220AD">
        <w:rPr>
          <w:rFonts w:eastAsia="Times New Roman" w:cs="Arial"/>
          <w:bCs/>
          <w:color w:val="000000"/>
          <w:lang w:val="en-US"/>
        </w:rPr>
        <w:t>mg</w:t>
      </w:r>
      <w:r w:rsidRPr="005220AD">
        <w:rPr>
          <w:rFonts w:eastAsia="Times New Roman" w:cs="Arial"/>
          <w:bCs/>
          <w:color w:val="000000"/>
          <w:lang w:val="ru-RU"/>
        </w:rPr>
        <w:t xml:space="preserve"> </w:t>
      </w:r>
      <w:r w:rsidRPr="005220AD">
        <w:rPr>
          <w:rFonts w:eastAsia="Times New Roman" w:cs="Arial"/>
          <w:bCs/>
          <w:color w:val="000000"/>
          <w:lang w:eastAsia="bg-BG"/>
        </w:rPr>
        <w:t xml:space="preserve">до 2 </w:t>
      </w:r>
      <w:r w:rsidRPr="005220AD">
        <w:rPr>
          <w:rFonts w:eastAsia="Times New Roman" w:cs="Arial"/>
          <w:bCs/>
          <w:color w:val="000000"/>
          <w:lang w:val="en-US"/>
        </w:rPr>
        <w:t>g</w:t>
      </w:r>
      <w:r w:rsidRPr="005220AD">
        <w:rPr>
          <w:rFonts w:eastAsia="Times New Roman" w:cs="Arial"/>
          <w:bCs/>
          <w:color w:val="000000"/>
          <w:lang w:val="ru-RU"/>
        </w:rPr>
        <w:t xml:space="preserve">). </w:t>
      </w:r>
      <w:r w:rsidRPr="005220AD">
        <w:rPr>
          <w:rFonts w:eastAsia="Times New Roman" w:cs="Arial"/>
          <w:bCs/>
          <w:color w:val="000000"/>
          <w:lang w:eastAsia="bg-BG"/>
        </w:rPr>
        <w:t xml:space="preserve">Не е наблюдавано натрупване при здрави индивиди, получаващи дози до 2 </w:t>
      </w:r>
      <w:r w:rsidRPr="005220AD">
        <w:rPr>
          <w:rFonts w:eastAsia="Times New Roman" w:cs="Arial"/>
          <w:bCs/>
          <w:color w:val="000000"/>
          <w:lang w:val="en-US"/>
        </w:rPr>
        <w:t>g</w:t>
      </w:r>
      <w:r w:rsidRPr="005220AD">
        <w:rPr>
          <w:rFonts w:eastAsia="Times New Roman" w:cs="Arial"/>
          <w:bCs/>
          <w:color w:val="000000"/>
          <w:lang w:val="ru-RU"/>
        </w:rPr>
        <w:t xml:space="preserve"> </w:t>
      </w:r>
      <w:r w:rsidRPr="005220AD">
        <w:rPr>
          <w:rFonts w:eastAsia="Times New Roman" w:cs="Arial"/>
          <w:bCs/>
          <w:color w:val="000000"/>
          <w:lang w:eastAsia="bg-BG"/>
        </w:rPr>
        <w:t>ингравенозно на всеки 8 часа в продължение на 9 дни.</w:t>
      </w:r>
    </w:p>
    <w:p w14:paraId="3442F394"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Тоталният телесен клирънс е средно около 120 </w:t>
      </w:r>
      <w:r w:rsidRPr="005220AD">
        <w:rPr>
          <w:rFonts w:eastAsia="Times New Roman" w:cs="Arial"/>
          <w:bCs/>
          <w:color w:val="000000"/>
          <w:lang w:val="en-US"/>
        </w:rPr>
        <w:t>ml</w:t>
      </w:r>
      <w:r w:rsidRPr="005220AD">
        <w:rPr>
          <w:rFonts w:eastAsia="Times New Roman" w:cs="Arial"/>
          <w:bCs/>
          <w:color w:val="000000"/>
          <w:lang w:val="ru-RU"/>
        </w:rPr>
        <w:t>/</w:t>
      </w:r>
      <w:r w:rsidRPr="005220AD">
        <w:rPr>
          <w:rFonts w:eastAsia="Times New Roman" w:cs="Arial"/>
          <w:bCs/>
          <w:color w:val="000000"/>
          <w:lang w:val="en-US"/>
        </w:rPr>
        <w:t>min</w:t>
      </w:r>
      <w:r w:rsidRPr="005220AD">
        <w:rPr>
          <w:rFonts w:eastAsia="Times New Roman" w:cs="Arial"/>
          <w:bCs/>
          <w:color w:val="000000"/>
          <w:lang w:val="ru-RU"/>
        </w:rPr>
        <w:t>.</w:t>
      </w:r>
    </w:p>
    <w:p w14:paraId="07874864"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Средният бъбречен клирънс е 110 </w:t>
      </w:r>
      <w:r w:rsidRPr="005220AD">
        <w:rPr>
          <w:rFonts w:eastAsia="Times New Roman" w:cs="Arial"/>
          <w:bCs/>
          <w:color w:val="000000"/>
          <w:lang w:val="en-US"/>
        </w:rPr>
        <w:t>ml</w:t>
      </w:r>
      <w:r w:rsidRPr="005220AD">
        <w:rPr>
          <w:rFonts w:eastAsia="Times New Roman" w:cs="Arial"/>
          <w:bCs/>
          <w:color w:val="000000"/>
          <w:lang w:val="ru-RU"/>
        </w:rPr>
        <w:t>/</w:t>
      </w:r>
      <w:r w:rsidRPr="005220AD">
        <w:rPr>
          <w:rFonts w:eastAsia="Times New Roman" w:cs="Arial"/>
          <w:bCs/>
          <w:color w:val="000000"/>
          <w:lang w:val="en-US"/>
        </w:rPr>
        <w:t>min</w:t>
      </w:r>
      <w:r w:rsidRPr="005220AD">
        <w:rPr>
          <w:rFonts w:eastAsia="Times New Roman" w:cs="Arial"/>
          <w:bCs/>
          <w:color w:val="000000"/>
          <w:lang w:val="ru-RU"/>
        </w:rPr>
        <w:t xml:space="preserve">; </w:t>
      </w:r>
      <w:r w:rsidRPr="005220AD">
        <w:rPr>
          <w:rFonts w:eastAsia="Times New Roman" w:cs="Arial"/>
          <w:bCs/>
          <w:color w:val="000000"/>
          <w:lang w:eastAsia="bg-BG"/>
        </w:rPr>
        <w:t>елиминирането се осъществява почти изключително чрез бъбречни механизми, главно чрез гломерулна филтрация.</w:t>
      </w:r>
    </w:p>
    <w:p w14:paraId="008E4828" w14:textId="77777777" w:rsidR="005220AD" w:rsidRPr="005220AD" w:rsidRDefault="005220AD" w:rsidP="005220AD">
      <w:pPr>
        <w:spacing w:line="240" w:lineRule="auto"/>
        <w:rPr>
          <w:rFonts w:eastAsia="Times New Roman" w:cs="Arial"/>
          <w:bCs/>
          <w:color w:val="000000"/>
          <w:lang w:eastAsia="bg-BG"/>
        </w:rPr>
      </w:pPr>
    </w:p>
    <w:p w14:paraId="6BF0CCB6" w14:textId="65C6393A" w:rsidR="005220AD" w:rsidRPr="005220AD" w:rsidRDefault="005220AD" w:rsidP="005220AD">
      <w:pPr>
        <w:spacing w:line="240" w:lineRule="auto"/>
        <w:rPr>
          <w:rFonts w:eastAsia="Times New Roman" w:cs="Arial"/>
          <w:b/>
        </w:rPr>
      </w:pPr>
      <w:r w:rsidRPr="005220AD">
        <w:rPr>
          <w:rFonts w:eastAsia="Times New Roman" w:cs="Arial"/>
          <w:b/>
          <w:bCs/>
          <w:color w:val="000000"/>
          <w:lang w:eastAsia="bg-BG"/>
        </w:rPr>
        <w:t>Пациенти в напреднала възраст:</w:t>
      </w:r>
    </w:p>
    <w:p w14:paraId="0FEA5EA7"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От повече от 6 400 възрастни, лекувани с цефепим в клинични проучвания, 35 % са на възраст 65 години и повече, докато 16 % са на възраст 75 години и повече. По време на клиничните проучвания, в които възрастни пациенти са получавали обичайната препоръчвана за възрастни доза, клиничната ефективност и безопасната употреба са сравними с тези, наблюдавани при по- млади пациенти, с изключение на такива страдащи от бъбречно увреждане. Здрави доброволци на възраст 65 години и повече, които са получили интравенозно единична доза от 1 </w:t>
      </w:r>
      <w:r w:rsidRPr="005220AD">
        <w:rPr>
          <w:rFonts w:eastAsia="Times New Roman" w:cs="Arial"/>
          <w:bCs/>
          <w:color w:val="000000"/>
          <w:lang w:val="en-US"/>
        </w:rPr>
        <w:t>g</w:t>
      </w:r>
      <w:r w:rsidRPr="005220AD">
        <w:rPr>
          <w:rFonts w:eastAsia="Times New Roman" w:cs="Arial"/>
          <w:bCs/>
          <w:color w:val="000000"/>
          <w:lang w:val="ru-RU"/>
        </w:rPr>
        <w:t xml:space="preserve"> </w:t>
      </w:r>
      <w:r w:rsidRPr="005220AD">
        <w:rPr>
          <w:rFonts w:eastAsia="Times New Roman" w:cs="Arial"/>
          <w:bCs/>
          <w:color w:val="000000"/>
          <w:lang w:eastAsia="bg-BG"/>
        </w:rPr>
        <w:t xml:space="preserve">цефепим са имали по-високи стойности на </w:t>
      </w:r>
      <w:r w:rsidRPr="005220AD">
        <w:rPr>
          <w:rFonts w:eastAsia="Times New Roman" w:cs="Arial"/>
          <w:bCs/>
          <w:color w:val="000000"/>
          <w:lang w:val="en-US"/>
        </w:rPr>
        <w:t>AUC</w:t>
      </w:r>
      <w:r w:rsidRPr="005220AD">
        <w:rPr>
          <w:rFonts w:eastAsia="Times New Roman" w:cs="Arial"/>
          <w:bCs/>
          <w:color w:val="000000"/>
          <w:lang w:val="ru-RU"/>
        </w:rPr>
        <w:t xml:space="preserve"> </w:t>
      </w:r>
      <w:r w:rsidRPr="005220AD">
        <w:rPr>
          <w:rFonts w:eastAsia="Times New Roman" w:cs="Arial"/>
          <w:bCs/>
          <w:color w:val="000000"/>
          <w:lang w:eastAsia="bg-BG"/>
        </w:rPr>
        <w:t>и по-ниски стойности на бъбречния клирънс в сравнение с по- млади здрави доброволци. Корекция на дозата се препоръчва при пациенти с бъбречно увреждане (вж. точка 4.2).</w:t>
      </w:r>
    </w:p>
    <w:p w14:paraId="68CC3FCA" w14:textId="77777777" w:rsidR="005220AD" w:rsidRPr="005220AD" w:rsidRDefault="005220AD" w:rsidP="005220AD">
      <w:pPr>
        <w:spacing w:line="240" w:lineRule="auto"/>
        <w:rPr>
          <w:rFonts w:eastAsia="Times New Roman" w:cs="Arial"/>
          <w:bCs/>
          <w:color w:val="000000"/>
          <w:lang w:eastAsia="bg-BG"/>
        </w:rPr>
      </w:pPr>
    </w:p>
    <w:p w14:paraId="2D3DDBF3" w14:textId="6D72D117" w:rsidR="005220AD" w:rsidRPr="005220AD" w:rsidRDefault="005220AD" w:rsidP="005220AD">
      <w:pPr>
        <w:spacing w:line="240" w:lineRule="auto"/>
        <w:rPr>
          <w:rFonts w:eastAsia="Times New Roman" w:cs="Arial"/>
          <w:b/>
        </w:rPr>
      </w:pPr>
      <w:r w:rsidRPr="005220AD">
        <w:rPr>
          <w:rFonts w:eastAsia="Times New Roman" w:cs="Arial"/>
          <w:b/>
          <w:bCs/>
          <w:color w:val="000000"/>
          <w:lang w:eastAsia="bg-BG"/>
        </w:rPr>
        <w:t>Увредена чернодробна функция:</w:t>
      </w:r>
    </w:p>
    <w:p w14:paraId="392BC45B"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Фармакокинетиката на цефепим не е променена при пациенти с увредена чернодробна функция, които получават единична доза от 1 </w:t>
      </w:r>
      <w:r w:rsidRPr="005220AD">
        <w:rPr>
          <w:rFonts w:eastAsia="Times New Roman" w:cs="Arial"/>
          <w:bCs/>
          <w:color w:val="000000"/>
          <w:lang w:val="en-US"/>
        </w:rPr>
        <w:t>g</w:t>
      </w:r>
      <w:r w:rsidRPr="005220AD">
        <w:rPr>
          <w:rFonts w:eastAsia="Times New Roman" w:cs="Arial"/>
          <w:bCs/>
          <w:color w:val="000000"/>
          <w:lang w:val="ru-RU"/>
        </w:rPr>
        <w:t xml:space="preserve">. </w:t>
      </w:r>
      <w:r w:rsidRPr="005220AD">
        <w:rPr>
          <w:rFonts w:eastAsia="Times New Roman" w:cs="Arial"/>
          <w:bCs/>
          <w:color w:val="000000"/>
          <w:lang w:eastAsia="bg-BG"/>
        </w:rPr>
        <w:t xml:space="preserve">Ето защо не е необходимо да се променя </w:t>
      </w:r>
      <w:r w:rsidRPr="005220AD">
        <w:rPr>
          <w:rFonts w:eastAsia="Times New Roman" w:cs="Arial"/>
          <w:bCs/>
          <w:color w:val="000000"/>
          <w:lang w:eastAsia="bg-BG"/>
        </w:rPr>
        <w:lastRenderedPageBreak/>
        <w:t>дозата на цефепим, освен ако пациентът не страда едновременно и от бъбречна недостатъчност.</w:t>
      </w:r>
    </w:p>
    <w:p w14:paraId="5F18B10C"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Фармакокинетиката на цефепим не се променя до клинично значима степен при пациенти с муковисцидоза.</w:t>
      </w:r>
    </w:p>
    <w:p w14:paraId="74A75176" w14:textId="77777777" w:rsidR="005220AD" w:rsidRPr="005220AD" w:rsidRDefault="005220AD" w:rsidP="005220AD">
      <w:pPr>
        <w:spacing w:line="240" w:lineRule="auto"/>
        <w:rPr>
          <w:rFonts w:eastAsia="Times New Roman" w:cs="Arial"/>
          <w:bCs/>
          <w:color w:val="000000"/>
          <w:lang w:eastAsia="bg-BG"/>
        </w:rPr>
      </w:pPr>
    </w:p>
    <w:p w14:paraId="514CF8F8" w14:textId="7EB80511" w:rsidR="005220AD" w:rsidRPr="005220AD" w:rsidRDefault="005220AD" w:rsidP="005220AD">
      <w:pPr>
        <w:spacing w:line="240" w:lineRule="auto"/>
        <w:rPr>
          <w:rFonts w:eastAsia="Times New Roman" w:cs="Arial"/>
          <w:b/>
        </w:rPr>
      </w:pPr>
      <w:r w:rsidRPr="005220AD">
        <w:rPr>
          <w:rFonts w:eastAsia="Times New Roman" w:cs="Arial"/>
          <w:b/>
          <w:bCs/>
          <w:color w:val="000000"/>
          <w:lang w:eastAsia="bg-BG"/>
        </w:rPr>
        <w:t>Увредена бъбречна функция:</w:t>
      </w:r>
    </w:p>
    <w:p w14:paraId="52D35163" w14:textId="18070080" w:rsidR="005220AD" w:rsidRPr="005220AD" w:rsidRDefault="005220AD" w:rsidP="005220AD">
      <w:pPr>
        <w:rPr>
          <w:rFonts w:eastAsia="Times New Roman" w:cs="Arial"/>
          <w:bCs/>
          <w:color w:val="000000"/>
          <w:lang w:eastAsia="bg-BG"/>
        </w:rPr>
      </w:pPr>
      <w:r w:rsidRPr="005220AD">
        <w:rPr>
          <w:rFonts w:eastAsia="Times New Roman" w:cs="Arial"/>
          <w:bCs/>
          <w:color w:val="000000"/>
          <w:lang w:eastAsia="bg-BG"/>
        </w:rPr>
        <w:t>Проучванията при пациенти с различна степен на бъбречна недостатъчност показват значително удължаване на елиминационния полуживот. Съществува линейна зависимост между тоталния телесен клирънс и креатининовия клирънс при пациенти с бъбречно увреждане. Средният елиминационен полуживот при пациенти на хемодиализа е 13 часа (за хемодиализа) и 19 часа при непрекъсната амбулаторна перитонеална диализа.</w:t>
      </w:r>
    </w:p>
    <w:p w14:paraId="5FAAF335" w14:textId="51ED1879" w:rsidR="005220AD" w:rsidRPr="005220AD" w:rsidRDefault="005220AD" w:rsidP="005220AD">
      <w:pPr>
        <w:rPr>
          <w:rFonts w:cs="Arial"/>
        </w:rPr>
      </w:pPr>
    </w:p>
    <w:p w14:paraId="342CF266" w14:textId="77777777" w:rsidR="005220AD" w:rsidRPr="005220AD" w:rsidRDefault="005220AD" w:rsidP="005220AD">
      <w:pPr>
        <w:spacing w:line="240" w:lineRule="auto"/>
        <w:rPr>
          <w:rFonts w:eastAsia="Times New Roman" w:cs="Arial"/>
          <w:b/>
        </w:rPr>
      </w:pPr>
      <w:r w:rsidRPr="005220AD">
        <w:rPr>
          <w:rFonts w:eastAsia="Times New Roman" w:cs="Arial"/>
          <w:b/>
          <w:bCs/>
          <w:color w:val="000000"/>
          <w:lang w:eastAsia="bg-BG"/>
        </w:rPr>
        <w:t>Педиатрия:</w:t>
      </w:r>
    </w:p>
    <w:p w14:paraId="3B5BF285"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Фармакокинетичните параметри на цефепим по отношение на единични и многократни дози са изследвани при пациенти на възраст между 2 месеца и 16 години, които са получавали дози от 50 </w:t>
      </w:r>
      <w:r w:rsidRPr="005220AD">
        <w:rPr>
          <w:rFonts w:eastAsia="Times New Roman" w:cs="Arial"/>
          <w:bCs/>
          <w:color w:val="000000"/>
          <w:lang w:val="en-US"/>
        </w:rPr>
        <w:t>mg</w:t>
      </w:r>
      <w:r w:rsidRPr="005220AD">
        <w:rPr>
          <w:rFonts w:eastAsia="Times New Roman" w:cs="Arial"/>
          <w:bCs/>
          <w:color w:val="000000"/>
          <w:lang w:val="ru-RU"/>
        </w:rPr>
        <w:t>/</w:t>
      </w:r>
      <w:r w:rsidRPr="005220AD">
        <w:rPr>
          <w:rFonts w:eastAsia="Times New Roman" w:cs="Arial"/>
          <w:bCs/>
          <w:color w:val="000000"/>
          <w:lang w:val="en-US"/>
        </w:rPr>
        <w:t>kg</w:t>
      </w:r>
      <w:r w:rsidRPr="005220AD">
        <w:rPr>
          <w:rFonts w:eastAsia="Times New Roman" w:cs="Arial"/>
          <w:bCs/>
          <w:color w:val="000000"/>
          <w:lang w:val="ru-RU"/>
        </w:rPr>
        <w:t xml:space="preserve">, </w:t>
      </w:r>
      <w:r w:rsidRPr="005220AD">
        <w:rPr>
          <w:rFonts w:eastAsia="Times New Roman" w:cs="Arial"/>
          <w:bCs/>
          <w:color w:val="000000"/>
          <w:lang w:eastAsia="bg-BG"/>
        </w:rPr>
        <w:t>прилагани чрез интравенозна инфузия; многократни дози са прилагани на всеки 8 или 12 часа за период от най-малко 48 часа.</w:t>
      </w:r>
    </w:p>
    <w:p w14:paraId="5173AC63" w14:textId="77777777"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Средните плазмени концентрации на цефепим след първата доза са подобни на тези при равновесно състояние, като леко натрупване е наблюдавано с прилагането на допълнителни дози.</w:t>
      </w:r>
    </w:p>
    <w:p w14:paraId="34BB243E" w14:textId="77777777" w:rsidR="005220AD" w:rsidRPr="005220AD" w:rsidRDefault="005220AD" w:rsidP="005220AD">
      <w:pPr>
        <w:spacing w:line="240" w:lineRule="auto"/>
        <w:rPr>
          <w:rFonts w:eastAsia="Times New Roman" w:cs="Arial"/>
          <w:bCs/>
          <w:color w:val="000000"/>
          <w:lang w:eastAsia="bg-BG"/>
        </w:rPr>
      </w:pPr>
    </w:p>
    <w:p w14:paraId="5DA92429" w14:textId="471611F1"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Стойностите на другите фармакокинетични параметри при бебета и деца, определени както след първата доза, така и в равновесно състояние не се различават, независимо от схемата на дозиране (на всеки 12 часа или на 8 часа). Не са установени разлики във фармакокинетичните стойности, нито между пациенти от различни възрасти, нито между мъже и жени.</w:t>
      </w:r>
    </w:p>
    <w:p w14:paraId="24B11F9C" w14:textId="77777777" w:rsidR="005220AD" w:rsidRPr="005220AD" w:rsidRDefault="005220AD" w:rsidP="005220AD">
      <w:pPr>
        <w:spacing w:line="240" w:lineRule="auto"/>
        <w:rPr>
          <w:rFonts w:eastAsia="Times New Roman" w:cs="Arial"/>
          <w:bCs/>
          <w:color w:val="000000"/>
          <w:lang w:eastAsia="bg-BG"/>
        </w:rPr>
      </w:pPr>
    </w:p>
    <w:p w14:paraId="3CDD1CB3" w14:textId="0A6A2243"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След прилагането на единична доза ингравенозно, тоталният телесен клирънс е средно 3,3 </w:t>
      </w:r>
      <w:r w:rsidRPr="005220AD">
        <w:rPr>
          <w:rFonts w:eastAsia="Times New Roman" w:cs="Arial"/>
          <w:bCs/>
          <w:color w:val="000000"/>
          <w:lang w:val="en-US"/>
        </w:rPr>
        <w:t>ml</w:t>
      </w:r>
      <w:r w:rsidRPr="005220AD">
        <w:rPr>
          <w:rFonts w:eastAsia="Times New Roman" w:cs="Arial"/>
          <w:bCs/>
          <w:color w:val="000000"/>
          <w:lang w:val="ru-RU"/>
        </w:rPr>
        <w:t>/</w:t>
      </w:r>
      <w:r w:rsidRPr="005220AD">
        <w:rPr>
          <w:rFonts w:eastAsia="Times New Roman" w:cs="Arial"/>
          <w:bCs/>
          <w:color w:val="000000"/>
          <w:lang w:val="en-US"/>
        </w:rPr>
        <w:t>min</w:t>
      </w:r>
      <w:r w:rsidRPr="005220AD">
        <w:rPr>
          <w:rFonts w:eastAsia="Times New Roman" w:cs="Arial"/>
          <w:bCs/>
          <w:color w:val="000000"/>
          <w:lang w:val="ru-RU"/>
        </w:rPr>
        <w:t>/</w:t>
      </w:r>
      <w:r w:rsidRPr="005220AD">
        <w:rPr>
          <w:rFonts w:eastAsia="Times New Roman" w:cs="Arial"/>
          <w:bCs/>
          <w:color w:val="000000"/>
          <w:lang w:val="en-US"/>
        </w:rPr>
        <w:t>kg</w:t>
      </w:r>
      <w:r w:rsidRPr="005220AD">
        <w:rPr>
          <w:rFonts w:eastAsia="Times New Roman" w:cs="Arial"/>
          <w:bCs/>
          <w:color w:val="000000"/>
          <w:lang w:val="ru-RU"/>
        </w:rPr>
        <w:t xml:space="preserve">, </w:t>
      </w:r>
      <w:r w:rsidRPr="005220AD">
        <w:rPr>
          <w:rFonts w:eastAsia="Times New Roman" w:cs="Arial"/>
          <w:bCs/>
          <w:color w:val="000000"/>
          <w:lang w:eastAsia="bg-BG"/>
        </w:rPr>
        <w:t xml:space="preserve">а обемът на разпределение е 0,3 </w:t>
      </w:r>
      <w:r w:rsidRPr="005220AD">
        <w:rPr>
          <w:rFonts w:eastAsia="Times New Roman" w:cs="Arial"/>
          <w:bCs/>
          <w:color w:val="000000"/>
          <w:lang w:val="ru-RU"/>
        </w:rPr>
        <w:t>1/</w:t>
      </w:r>
      <w:r w:rsidRPr="005220AD">
        <w:rPr>
          <w:rFonts w:eastAsia="Times New Roman" w:cs="Arial"/>
          <w:bCs/>
          <w:color w:val="000000"/>
          <w:lang w:val="en-US"/>
        </w:rPr>
        <w:t>kg</w:t>
      </w:r>
      <w:r w:rsidRPr="005220AD">
        <w:rPr>
          <w:rFonts w:eastAsia="Times New Roman" w:cs="Arial"/>
          <w:bCs/>
          <w:color w:val="000000"/>
          <w:lang w:val="ru-RU"/>
        </w:rPr>
        <w:t xml:space="preserve">. </w:t>
      </w:r>
      <w:r w:rsidRPr="005220AD">
        <w:rPr>
          <w:rFonts w:eastAsia="Times New Roman" w:cs="Arial"/>
          <w:bCs/>
          <w:color w:val="000000"/>
          <w:lang w:eastAsia="bg-BG"/>
        </w:rPr>
        <w:t xml:space="preserve">Средният елиминационен полуживот е 1,7 часа. Делът на цефепим, отделен непроменен в урината е 60,4 % от приложената доза, като бъбречният клирънс е основният път за елиминиране, със средна стойност 2,0 </w:t>
      </w:r>
      <w:r w:rsidRPr="005220AD">
        <w:rPr>
          <w:rFonts w:eastAsia="Times New Roman" w:cs="Arial"/>
          <w:bCs/>
          <w:color w:val="000000"/>
          <w:lang w:val="en-US"/>
        </w:rPr>
        <w:t>ml</w:t>
      </w:r>
      <w:r w:rsidRPr="005220AD">
        <w:rPr>
          <w:rFonts w:eastAsia="Times New Roman" w:cs="Arial"/>
          <w:bCs/>
          <w:color w:val="000000"/>
          <w:lang w:val="ru-RU"/>
        </w:rPr>
        <w:t>/</w:t>
      </w:r>
      <w:r w:rsidRPr="005220AD">
        <w:rPr>
          <w:rFonts w:eastAsia="Times New Roman" w:cs="Arial"/>
          <w:bCs/>
          <w:color w:val="000000"/>
          <w:lang w:val="en-US"/>
        </w:rPr>
        <w:t>min</w:t>
      </w:r>
      <w:r w:rsidRPr="005220AD">
        <w:rPr>
          <w:rFonts w:eastAsia="Times New Roman" w:cs="Arial"/>
          <w:bCs/>
          <w:color w:val="000000"/>
          <w:lang w:val="ru-RU"/>
        </w:rPr>
        <w:t>/</w:t>
      </w:r>
      <w:r w:rsidRPr="005220AD">
        <w:rPr>
          <w:rFonts w:eastAsia="Times New Roman" w:cs="Arial"/>
          <w:bCs/>
          <w:color w:val="000000"/>
          <w:lang w:val="en-US"/>
        </w:rPr>
        <w:t>kg</w:t>
      </w:r>
      <w:r w:rsidRPr="005220AD">
        <w:rPr>
          <w:rFonts w:eastAsia="Times New Roman" w:cs="Arial"/>
          <w:bCs/>
          <w:color w:val="000000"/>
          <w:lang w:val="ru-RU"/>
        </w:rPr>
        <w:t>.</w:t>
      </w:r>
    </w:p>
    <w:p w14:paraId="09FF919B" w14:textId="77777777" w:rsidR="005220AD" w:rsidRPr="005220AD" w:rsidRDefault="005220AD" w:rsidP="005220AD">
      <w:pPr>
        <w:spacing w:line="240" w:lineRule="auto"/>
        <w:rPr>
          <w:rFonts w:eastAsia="Times New Roman" w:cs="Arial"/>
          <w:bCs/>
          <w:color w:val="000000"/>
          <w:lang w:eastAsia="bg-BG"/>
        </w:rPr>
      </w:pPr>
    </w:p>
    <w:p w14:paraId="09A2D6C6" w14:textId="3A167126" w:rsidR="005220AD" w:rsidRPr="005220AD" w:rsidRDefault="005220AD" w:rsidP="005220AD">
      <w:pPr>
        <w:spacing w:line="240" w:lineRule="auto"/>
        <w:rPr>
          <w:rFonts w:eastAsia="Times New Roman" w:cs="Arial"/>
        </w:rPr>
      </w:pPr>
      <w:r w:rsidRPr="005220AD">
        <w:rPr>
          <w:rFonts w:eastAsia="Times New Roman" w:cs="Arial"/>
          <w:bCs/>
          <w:color w:val="000000"/>
          <w:lang w:eastAsia="bg-BG"/>
        </w:rPr>
        <w:t xml:space="preserve">Концентрациите на цефепим в цереброспиналната течност в сравнение с тези в плазмата са показани в таблицата по-горе „Средни плазмени концентрации </w:t>
      </w:r>
      <w:r w:rsidRPr="005220AD">
        <w:rPr>
          <w:rFonts w:eastAsia="Times New Roman" w:cs="Arial"/>
          <w:bCs/>
          <w:color w:val="000000"/>
          <w:lang w:val="ru-RU"/>
        </w:rPr>
        <w:t>(</w:t>
      </w:r>
      <w:r w:rsidRPr="005220AD">
        <w:rPr>
          <w:rFonts w:eastAsia="Times New Roman" w:cs="Arial"/>
          <w:bCs/>
          <w:color w:val="000000"/>
          <w:lang w:val="en-US"/>
        </w:rPr>
        <w:t>PL</w:t>
      </w:r>
      <w:r w:rsidRPr="005220AD">
        <w:rPr>
          <w:rFonts w:eastAsia="Times New Roman" w:cs="Arial"/>
          <w:bCs/>
          <w:color w:val="000000"/>
          <w:lang w:val="ru-RU"/>
        </w:rPr>
        <w:t xml:space="preserve">), </w:t>
      </w:r>
      <w:r w:rsidRPr="005220AD">
        <w:rPr>
          <w:rFonts w:eastAsia="Times New Roman" w:cs="Arial"/>
          <w:bCs/>
          <w:color w:val="000000"/>
          <w:lang w:eastAsia="bg-BG"/>
        </w:rPr>
        <w:t xml:space="preserve">концентрации в цереброспиналната течност </w:t>
      </w:r>
      <w:r w:rsidRPr="005220AD">
        <w:rPr>
          <w:rFonts w:eastAsia="Times New Roman" w:cs="Arial"/>
          <w:bCs/>
          <w:color w:val="000000"/>
          <w:lang w:val="ru-RU"/>
        </w:rPr>
        <w:t>(</w:t>
      </w:r>
      <w:r w:rsidRPr="005220AD">
        <w:rPr>
          <w:rFonts w:eastAsia="Times New Roman" w:cs="Arial"/>
          <w:bCs/>
          <w:color w:val="000000"/>
          <w:lang w:val="en-US"/>
        </w:rPr>
        <w:t>CSF</w:t>
      </w:r>
      <w:r w:rsidRPr="005220AD">
        <w:rPr>
          <w:rFonts w:eastAsia="Times New Roman" w:cs="Arial"/>
          <w:bCs/>
          <w:color w:val="000000"/>
          <w:lang w:val="ru-RU"/>
        </w:rPr>
        <w:t xml:space="preserve">) </w:t>
      </w:r>
      <w:r w:rsidRPr="005220AD">
        <w:rPr>
          <w:rFonts w:eastAsia="Times New Roman" w:cs="Arial"/>
          <w:bCs/>
          <w:color w:val="000000"/>
          <w:lang w:eastAsia="bg-BG"/>
        </w:rPr>
        <w:t xml:space="preserve">и </w:t>
      </w:r>
      <w:r w:rsidRPr="005220AD">
        <w:rPr>
          <w:rFonts w:eastAsia="Times New Roman" w:cs="Arial"/>
          <w:bCs/>
          <w:color w:val="000000"/>
          <w:lang w:val="en-US"/>
        </w:rPr>
        <w:t>CSF</w:t>
      </w:r>
      <w:r w:rsidRPr="005220AD">
        <w:rPr>
          <w:rFonts w:eastAsia="Times New Roman" w:cs="Arial"/>
          <w:bCs/>
          <w:color w:val="000000"/>
          <w:lang w:val="ru-RU"/>
        </w:rPr>
        <w:t>/</w:t>
      </w:r>
      <w:r w:rsidRPr="005220AD">
        <w:rPr>
          <w:rFonts w:eastAsia="Times New Roman" w:cs="Arial"/>
          <w:bCs/>
          <w:color w:val="000000"/>
          <w:lang w:val="en-US"/>
        </w:rPr>
        <w:t>PL</w:t>
      </w:r>
      <w:r w:rsidRPr="005220AD">
        <w:rPr>
          <w:rFonts w:eastAsia="Times New Roman" w:cs="Arial"/>
          <w:bCs/>
          <w:color w:val="000000"/>
          <w:lang w:val="ru-RU"/>
        </w:rPr>
        <w:t xml:space="preserve"> </w:t>
      </w:r>
      <w:r w:rsidRPr="005220AD">
        <w:rPr>
          <w:rFonts w:eastAsia="Times New Roman" w:cs="Arial"/>
          <w:bCs/>
          <w:color w:val="000000"/>
          <w:lang w:eastAsia="bg-BG"/>
        </w:rPr>
        <w:t>съотношение на цефепим”.</w:t>
      </w:r>
    </w:p>
    <w:p w14:paraId="0FD0B67F" w14:textId="77777777" w:rsidR="005220AD" w:rsidRPr="005220AD" w:rsidRDefault="005220AD" w:rsidP="005220AD"/>
    <w:p w14:paraId="028E658A" w14:textId="204418A4" w:rsidR="00395555" w:rsidRDefault="002C50EE" w:rsidP="008A6AF2">
      <w:pPr>
        <w:pStyle w:val="Heading2"/>
      </w:pPr>
      <w:r>
        <w:t>5.3. Предклинични данни за безопасност</w:t>
      </w:r>
    </w:p>
    <w:p w14:paraId="37D9F20C" w14:textId="77777777" w:rsidR="005220AD" w:rsidRDefault="005220AD" w:rsidP="005220AD"/>
    <w:p w14:paraId="3BA76CEA" w14:textId="2B71626E" w:rsidR="005220AD" w:rsidRPr="005220AD" w:rsidRDefault="005220AD" w:rsidP="005220AD">
      <w:r>
        <w:t>Неклиничните данни не показват особен риск за хора на базата на конвенционалните фармакологични изпитвания за безопасност, токсичност при многократно прилагане, генотоксичност, карциногенен потенциал, репродуктивна токсичност. Не са провеждани дългосрочни изпитвания за канцерогенност.</w:t>
      </w:r>
    </w:p>
    <w:p w14:paraId="6A7820AB" w14:textId="3F279944" w:rsidR="008A6AF2" w:rsidRDefault="002C50EE" w:rsidP="00395555">
      <w:pPr>
        <w:pStyle w:val="Heading1"/>
      </w:pPr>
      <w:r>
        <w:t>7. ПРИТЕЖАТЕЛ НА РАЗРЕШЕНИЕТО ЗА УПОТРЕБА</w:t>
      </w:r>
    </w:p>
    <w:p w14:paraId="6D2F968C" w14:textId="55AF78B0" w:rsidR="005220AD" w:rsidRDefault="005220AD" w:rsidP="005220AD"/>
    <w:p w14:paraId="74B56FE8" w14:textId="77777777" w:rsidR="005220AD" w:rsidRPr="005220AD" w:rsidRDefault="005220AD" w:rsidP="005220AD">
      <w:pPr>
        <w:rPr>
          <w:sz w:val="24"/>
          <w:szCs w:val="24"/>
        </w:rPr>
      </w:pPr>
      <w:r w:rsidRPr="005220AD">
        <w:rPr>
          <w:lang w:eastAsia="bg-BG"/>
        </w:rPr>
        <w:t>Фрезениус Каби България ЕООД</w:t>
      </w:r>
    </w:p>
    <w:p w14:paraId="6F930AE5" w14:textId="77777777" w:rsidR="005220AD" w:rsidRPr="005220AD" w:rsidRDefault="005220AD" w:rsidP="005220AD">
      <w:pPr>
        <w:rPr>
          <w:sz w:val="24"/>
          <w:szCs w:val="24"/>
        </w:rPr>
      </w:pPr>
      <w:r w:rsidRPr="005220AD">
        <w:rPr>
          <w:lang w:eastAsia="bg-BG"/>
        </w:rPr>
        <w:t>ул. Ал. Жендов 1, ет. 6, ап. 37,</w:t>
      </w:r>
    </w:p>
    <w:p w14:paraId="47B5CD48" w14:textId="7715D784" w:rsidR="005220AD" w:rsidRPr="005220AD" w:rsidRDefault="005220AD" w:rsidP="005220AD">
      <w:r w:rsidRPr="005220AD">
        <w:rPr>
          <w:lang w:eastAsia="bg-BG"/>
        </w:rPr>
        <w:t>1113 София, България</w:t>
      </w:r>
    </w:p>
    <w:p w14:paraId="15276BFC" w14:textId="10798F3B" w:rsidR="005220AD" w:rsidRDefault="002C50EE" w:rsidP="005220AD">
      <w:pPr>
        <w:pStyle w:val="Heading1"/>
      </w:pPr>
      <w:r>
        <w:lastRenderedPageBreak/>
        <w:t>8. НОМЕР НА РАЗРЕШЕНИЕТО ЗА УПОТРЕБА</w:t>
      </w:r>
    </w:p>
    <w:p w14:paraId="5369113D" w14:textId="77777777" w:rsidR="005220AD" w:rsidRPr="005220AD" w:rsidRDefault="005220AD" w:rsidP="005220AD">
      <w:pPr>
        <w:rPr>
          <w:sz w:val="24"/>
          <w:szCs w:val="24"/>
        </w:rPr>
      </w:pPr>
      <w:r w:rsidRPr="005220AD">
        <w:rPr>
          <w:lang w:eastAsia="bg-BG"/>
        </w:rPr>
        <w:t>20120366</w:t>
      </w:r>
    </w:p>
    <w:p w14:paraId="227896F0" w14:textId="00C72B31" w:rsidR="005220AD" w:rsidRPr="005220AD" w:rsidRDefault="005220AD" w:rsidP="005220AD">
      <w:r w:rsidRPr="005220AD">
        <w:rPr>
          <w:lang w:eastAsia="bg-BG"/>
        </w:rPr>
        <w:t>20120367</w:t>
      </w:r>
    </w:p>
    <w:p w14:paraId="2CCB5832" w14:textId="73D0A04F" w:rsidR="007C605B" w:rsidRDefault="002C50EE" w:rsidP="007C605B">
      <w:pPr>
        <w:pStyle w:val="Heading1"/>
      </w:pPr>
      <w:r>
        <w:t>9. ДАТА НА ПЪРВО РАЗРЕШАВАНЕ/ПОДНОВЯВАНЕ НА РАЗРЕШЕНИЕТО ЗА УПОТРЕБА</w:t>
      </w:r>
    </w:p>
    <w:p w14:paraId="25A2E8AB" w14:textId="75C4B1C6" w:rsidR="005220AD" w:rsidRDefault="005220AD" w:rsidP="005220AD"/>
    <w:p w14:paraId="15E4E7FA" w14:textId="787DE220" w:rsidR="005220AD" w:rsidRPr="005220AD" w:rsidRDefault="005220AD" w:rsidP="005220AD">
      <w:r>
        <w:t>10 юли 2012 г.</w:t>
      </w:r>
    </w:p>
    <w:p w14:paraId="0E9D0119" w14:textId="0245C6D7" w:rsidR="002C50EE" w:rsidRDefault="002C50EE" w:rsidP="002C50EE">
      <w:pPr>
        <w:pStyle w:val="Heading1"/>
      </w:pPr>
      <w:r>
        <w:t>10. ДАТА НА АКТУАЛИЗИРАНЕ НА ТЕКСТА</w:t>
      </w:r>
    </w:p>
    <w:bookmarkEnd w:id="0"/>
    <w:p w14:paraId="43FB38A2" w14:textId="0F442264" w:rsidR="007C605B" w:rsidRPr="003E3126" w:rsidRDefault="005220AD" w:rsidP="005220AD">
      <w:r>
        <w:t>07/2012</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F7D04"/>
    <w:multiLevelType w:val="hybridMultilevel"/>
    <w:tmpl w:val="ACE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3F36491A"/>
    <w:multiLevelType w:val="hybridMultilevel"/>
    <w:tmpl w:val="64B2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45EAF"/>
    <w:multiLevelType w:val="hybridMultilevel"/>
    <w:tmpl w:val="59B0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07215ED"/>
    <w:multiLevelType w:val="hybridMultilevel"/>
    <w:tmpl w:val="976E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3"/>
  </w:num>
  <w:num w:numId="4">
    <w:abstractNumId w:val="3"/>
  </w:num>
  <w:num w:numId="5">
    <w:abstractNumId w:val="1"/>
  </w:num>
  <w:num w:numId="6">
    <w:abstractNumId w:val="18"/>
  </w:num>
  <w:num w:numId="7">
    <w:abstractNumId w:val="11"/>
  </w:num>
  <w:num w:numId="8">
    <w:abstractNumId w:val="15"/>
  </w:num>
  <w:num w:numId="9">
    <w:abstractNumId w:val="2"/>
  </w:num>
  <w:num w:numId="10">
    <w:abstractNumId w:val="4"/>
  </w:num>
  <w:num w:numId="11">
    <w:abstractNumId w:val="32"/>
  </w:num>
  <w:num w:numId="12">
    <w:abstractNumId w:val="14"/>
  </w:num>
  <w:num w:numId="13">
    <w:abstractNumId w:val="22"/>
  </w:num>
  <w:num w:numId="14">
    <w:abstractNumId w:val="12"/>
  </w:num>
  <w:num w:numId="15">
    <w:abstractNumId w:val="31"/>
  </w:num>
  <w:num w:numId="16">
    <w:abstractNumId w:val="10"/>
  </w:num>
  <w:num w:numId="17">
    <w:abstractNumId w:val="27"/>
  </w:num>
  <w:num w:numId="18">
    <w:abstractNumId w:val="7"/>
  </w:num>
  <w:num w:numId="19">
    <w:abstractNumId w:val="29"/>
  </w:num>
  <w:num w:numId="20">
    <w:abstractNumId w:val="26"/>
  </w:num>
  <w:num w:numId="21">
    <w:abstractNumId w:val="20"/>
  </w:num>
  <w:num w:numId="22">
    <w:abstractNumId w:val="28"/>
  </w:num>
  <w:num w:numId="23">
    <w:abstractNumId w:val="21"/>
  </w:num>
  <w:num w:numId="24">
    <w:abstractNumId w:val="8"/>
  </w:num>
  <w:num w:numId="25">
    <w:abstractNumId w:val="25"/>
  </w:num>
  <w:num w:numId="26">
    <w:abstractNumId w:val="24"/>
  </w:num>
  <w:num w:numId="27">
    <w:abstractNumId w:val="33"/>
  </w:num>
  <w:num w:numId="28">
    <w:abstractNumId w:val="6"/>
  </w:num>
  <w:num w:numId="29">
    <w:abstractNumId w:val="23"/>
  </w:num>
  <w:num w:numId="30">
    <w:abstractNumId w:val="35"/>
  </w:num>
  <w:num w:numId="31">
    <w:abstractNumId w:val="5"/>
  </w:num>
  <w:num w:numId="32">
    <w:abstractNumId w:val="34"/>
  </w:num>
  <w:num w:numId="33">
    <w:abstractNumId w:val="19"/>
  </w:num>
  <w:num w:numId="34">
    <w:abstractNumId w:val="16"/>
  </w:num>
  <w:num w:numId="35">
    <w:abstractNumId w:val="1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338BD"/>
    <w:rsid w:val="001564F9"/>
    <w:rsid w:val="00185A46"/>
    <w:rsid w:val="001915B6"/>
    <w:rsid w:val="001D1B23"/>
    <w:rsid w:val="002B3C38"/>
    <w:rsid w:val="002B4DBB"/>
    <w:rsid w:val="002C50EE"/>
    <w:rsid w:val="00340A0A"/>
    <w:rsid w:val="003765DC"/>
    <w:rsid w:val="00395555"/>
    <w:rsid w:val="003E3126"/>
    <w:rsid w:val="00426E5F"/>
    <w:rsid w:val="004D4D6B"/>
    <w:rsid w:val="00517A5B"/>
    <w:rsid w:val="005220AD"/>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54024"/>
    <w:rsid w:val="009773E4"/>
    <w:rsid w:val="009B171C"/>
    <w:rsid w:val="009F1313"/>
    <w:rsid w:val="00A14D41"/>
    <w:rsid w:val="00A20351"/>
    <w:rsid w:val="00A65A81"/>
    <w:rsid w:val="00AA23EC"/>
    <w:rsid w:val="00AC63CE"/>
    <w:rsid w:val="00AE2107"/>
    <w:rsid w:val="00B275A8"/>
    <w:rsid w:val="00BB7885"/>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8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4159</Words>
  <Characters>23708</Characters>
  <Application>Microsoft Office Word</Application>
  <DocSecurity>0</DocSecurity>
  <Lines>197</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2022-02-22T19:59:00Z</dcterms:created>
  <dcterms:modified xsi:type="dcterms:W3CDTF">2022-02-23T09:35:00Z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