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5B53A997" w:rsidR="00C40420" w:rsidRDefault="00DD466D" w:rsidP="004A448E">
      <w:pPr>
        <w:pStyle w:val="Heading1"/>
      </w:pPr>
      <w:r>
        <w:t>1.ИМЕ НА ЛЕКАРСТВЕНИЯ ПРОДУКТ</w:t>
      </w:r>
    </w:p>
    <w:p w14:paraId="339DECBC" w14:textId="4C8FAAD5" w:rsidR="0022055A" w:rsidRDefault="0022055A" w:rsidP="0022055A"/>
    <w:p w14:paraId="394E5331" w14:textId="77777777" w:rsidR="0022055A" w:rsidRDefault="0022055A" w:rsidP="0022055A">
      <w:pPr>
        <w:rPr>
          <w:lang w:eastAsia="bg-BG"/>
        </w:rPr>
      </w:pPr>
      <w:r w:rsidRPr="0022055A">
        <w:rPr>
          <w:lang w:eastAsia="bg-BG"/>
        </w:rPr>
        <w:t>Цефтриаксон-</w:t>
      </w:r>
      <w:r w:rsidRPr="0022055A">
        <w:rPr>
          <w:lang w:val="en-US"/>
        </w:rPr>
        <w:t>MIP</w:t>
      </w:r>
      <w:r w:rsidRPr="0022055A">
        <w:rPr>
          <w:lang w:eastAsia="bg-BG"/>
        </w:rPr>
        <w:t xml:space="preserve"> 1 </w:t>
      </w:r>
      <w:r w:rsidRPr="0022055A">
        <w:rPr>
          <w:lang w:val="en-US"/>
        </w:rPr>
        <w:t>g</w:t>
      </w:r>
      <w:r w:rsidRPr="0022055A">
        <w:t xml:space="preserve"> </w:t>
      </w:r>
      <w:r w:rsidRPr="0022055A">
        <w:rPr>
          <w:lang w:eastAsia="bg-BG"/>
        </w:rPr>
        <w:t>прах за инжекционен разтвор</w:t>
      </w:r>
    </w:p>
    <w:p w14:paraId="1970BFE7" w14:textId="157EB765" w:rsidR="0022055A" w:rsidRPr="0022055A" w:rsidRDefault="0022055A" w:rsidP="0022055A">
      <w:pPr>
        <w:rPr>
          <w:sz w:val="24"/>
          <w:szCs w:val="24"/>
        </w:rPr>
      </w:pPr>
      <w:r w:rsidRPr="0022055A">
        <w:rPr>
          <w:lang w:eastAsia="bg-BG"/>
        </w:rPr>
        <w:t xml:space="preserve"> </w:t>
      </w:r>
      <w:proofErr w:type="spellStart"/>
      <w:r w:rsidRPr="0022055A">
        <w:rPr>
          <w:lang w:val="en-US"/>
        </w:rPr>
        <w:t>Ceftriaxon</w:t>
      </w:r>
      <w:proofErr w:type="spellEnd"/>
      <w:r w:rsidRPr="0022055A">
        <w:t>-</w:t>
      </w:r>
      <w:r w:rsidRPr="0022055A">
        <w:rPr>
          <w:lang w:val="en-US"/>
        </w:rPr>
        <w:t>MIP</w:t>
      </w:r>
      <w:r w:rsidRPr="0022055A">
        <w:t xml:space="preserve"> </w:t>
      </w:r>
      <w:r w:rsidRPr="0022055A">
        <w:rPr>
          <w:lang w:eastAsia="bg-BG"/>
        </w:rPr>
        <w:t xml:space="preserve">1 </w:t>
      </w:r>
      <w:r w:rsidRPr="0022055A">
        <w:rPr>
          <w:lang w:val="en-US"/>
        </w:rPr>
        <w:t>g</w:t>
      </w:r>
      <w:r w:rsidRPr="0022055A">
        <w:t xml:space="preserve"> </w:t>
      </w:r>
      <w:r w:rsidRPr="0022055A">
        <w:rPr>
          <w:lang w:val="en-US"/>
        </w:rPr>
        <w:t>powder</w:t>
      </w:r>
      <w:r w:rsidRPr="0022055A">
        <w:t xml:space="preserve"> </w:t>
      </w:r>
      <w:r w:rsidRPr="0022055A">
        <w:rPr>
          <w:lang w:val="en-US"/>
        </w:rPr>
        <w:t>for</w:t>
      </w:r>
      <w:r w:rsidRPr="0022055A">
        <w:t xml:space="preserve"> </w:t>
      </w:r>
      <w:r w:rsidRPr="0022055A">
        <w:rPr>
          <w:lang w:val="en-US"/>
        </w:rPr>
        <w:t>solution</w:t>
      </w:r>
      <w:r w:rsidRPr="0022055A">
        <w:t xml:space="preserve"> </w:t>
      </w:r>
      <w:r w:rsidRPr="0022055A">
        <w:rPr>
          <w:lang w:val="en-US"/>
        </w:rPr>
        <w:t>for</w:t>
      </w:r>
      <w:r w:rsidRPr="0022055A">
        <w:t xml:space="preserve"> </w:t>
      </w:r>
      <w:r w:rsidRPr="0022055A">
        <w:rPr>
          <w:lang w:val="en-US"/>
        </w:rPr>
        <w:t>injection</w:t>
      </w:r>
    </w:p>
    <w:p w14:paraId="3E99929C" w14:textId="77777777" w:rsidR="0022055A" w:rsidRPr="0022055A" w:rsidRDefault="0022055A" w:rsidP="0022055A"/>
    <w:p w14:paraId="6920A680" w14:textId="0CDA4CCE" w:rsidR="00C40420" w:rsidRDefault="00DD466D" w:rsidP="004A448E">
      <w:pPr>
        <w:pStyle w:val="Heading1"/>
      </w:pPr>
      <w:r>
        <w:t>2. КАЧЕСТВЕН И КОЛИЧЕСТВЕН СЪСТАВ</w:t>
      </w:r>
    </w:p>
    <w:p w14:paraId="2DC131AF" w14:textId="679BDEEA" w:rsidR="0022055A" w:rsidRDefault="0022055A" w:rsidP="0022055A"/>
    <w:p w14:paraId="325E6642" w14:textId="77777777" w:rsidR="0022055A" w:rsidRPr="0022055A" w:rsidRDefault="0022055A" w:rsidP="0022055A">
      <w:pPr>
        <w:rPr>
          <w:sz w:val="24"/>
          <w:szCs w:val="24"/>
        </w:rPr>
      </w:pPr>
      <w:r w:rsidRPr="0022055A">
        <w:rPr>
          <w:lang w:eastAsia="bg-BG"/>
        </w:rPr>
        <w:t xml:space="preserve">1 флакон съдържа 1 </w:t>
      </w:r>
      <w:r w:rsidRPr="0022055A">
        <w:rPr>
          <w:lang w:val="en-US"/>
        </w:rPr>
        <w:t>g</w:t>
      </w:r>
      <w:r w:rsidRPr="0022055A">
        <w:t xml:space="preserve"> </w:t>
      </w:r>
      <w:r w:rsidRPr="0022055A">
        <w:rPr>
          <w:lang w:eastAsia="bg-BG"/>
        </w:rPr>
        <w:t xml:space="preserve">цефтриаксон </w:t>
      </w:r>
      <w:r w:rsidRPr="0022055A">
        <w:rPr>
          <w:i/>
          <w:iCs/>
        </w:rPr>
        <w:t>(</w:t>
      </w:r>
      <w:r w:rsidRPr="0022055A">
        <w:rPr>
          <w:i/>
          <w:iCs/>
          <w:lang w:val="en-US"/>
        </w:rPr>
        <w:t>ceftriaxone</w:t>
      </w:r>
      <w:r w:rsidRPr="0022055A">
        <w:rPr>
          <w:i/>
          <w:iCs/>
        </w:rPr>
        <w:t>)</w:t>
      </w:r>
      <w:r w:rsidRPr="0022055A">
        <w:t xml:space="preserve"> </w:t>
      </w:r>
      <w:r w:rsidRPr="0022055A">
        <w:rPr>
          <w:lang w:eastAsia="bg-BG"/>
        </w:rPr>
        <w:t>като цефтриаксон натрий.</w:t>
      </w:r>
    </w:p>
    <w:p w14:paraId="6A85C9A4" w14:textId="77777777" w:rsidR="0022055A" w:rsidRPr="0022055A" w:rsidRDefault="0022055A" w:rsidP="0022055A">
      <w:pPr>
        <w:rPr>
          <w:sz w:val="24"/>
          <w:szCs w:val="24"/>
        </w:rPr>
      </w:pPr>
      <w:r w:rsidRPr="0022055A">
        <w:rPr>
          <w:lang w:eastAsia="bg-BG"/>
        </w:rPr>
        <w:t xml:space="preserve">1 флакон съдържа 83 </w:t>
      </w:r>
      <w:r w:rsidRPr="0022055A">
        <w:rPr>
          <w:lang w:val="en-US"/>
        </w:rPr>
        <w:t>mg</w:t>
      </w:r>
      <w:r w:rsidRPr="0022055A">
        <w:t xml:space="preserve"> </w:t>
      </w:r>
      <w:r w:rsidRPr="0022055A">
        <w:rPr>
          <w:lang w:eastAsia="bg-BG"/>
        </w:rPr>
        <w:t xml:space="preserve">(3,6 </w:t>
      </w:r>
      <w:proofErr w:type="spellStart"/>
      <w:r w:rsidRPr="0022055A">
        <w:rPr>
          <w:lang w:val="en-US"/>
        </w:rPr>
        <w:t>mmol</w:t>
      </w:r>
      <w:proofErr w:type="spellEnd"/>
      <w:r w:rsidRPr="0022055A">
        <w:t xml:space="preserve">) </w:t>
      </w:r>
      <w:r w:rsidRPr="0022055A">
        <w:rPr>
          <w:lang w:eastAsia="bg-BG"/>
        </w:rPr>
        <w:t>натрий.</w:t>
      </w:r>
    </w:p>
    <w:p w14:paraId="61C396C4" w14:textId="77777777" w:rsidR="0022055A" w:rsidRPr="0022055A" w:rsidRDefault="0022055A" w:rsidP="0022055A"/>
    <w:p w14:paraId="614984C4" w14:textId="2995865A" w:rsidR="008A6AF2" w:rsidRDefault="00DD466D" w:rsidP="002C50EE">
      <w:pPr>
        <w:pStyle w:val="Heading1"/>
      </w:pPr>
      <w:r>
        <w:t>3. ЛЕКАРСТВЕНА ФОРМА</w:t>
      </w:r>
    </w:p>
    <w:p w14:paraId="684FE224" w14:textId="5BA368CD" w:rsidR="0022055A" w:rsidRDefault="0022055A" w:rsidP="0022055A"/>
    <w:p w14:paraId="2F37A214" w14:textId="77777777" w:rsidR="0022055A" w:rsidRDefault="0022055A" w:rsidP="0022055A">
      <w:pPr>
        <w:rPr>
          <w:lang w:eastAsia="bg-BG"/>
        </w:rPr>
      </w:pPr>
      <w:r w:rsidRPr="0022055A">
        <w:rPr>
          <w:lang w:eastAsia="bg-BG"/>
        </w:rPr>
        <w:t xml:space="preserve">Прах за инжекционен разтвор </w:t>
      </w:r>
    </w:p>
    <w:p w14:paraId="248778A2" w14:textId="7C2B9673" w:rsidR="0022055A" w:rsidRPr="0022055A" w:rsidRDefault="0022055A" w:rsidP="0022055A">
      <w:pPr>
        <w:rPr>
          <w:sz w:val="24"/>
          <w:szCs w:val="24"/>
        </w:rPr>
      </w:pPr>
      <w:r w:rsidRPr="0022055A">
        <w:rPr>
          <w:lang w:eastAsia="bg-BG"/>
        </w:rPr>
        <w:t>Фин, бял до бледожълт прах.</w:t>
      </w:r>
    </w:p>
    <w:p w14:paraId="26F865A1" w14:textId="77777777" w:rsidR="0022055A" w:rsidRPr="0022055A" w:rsidRDefault="0022055A" w:rsidP="0022055A"/>
    <w:p w14:paraId="490FC2C4" w14:textId="32682B15" w:rsidR="002C50EE" w:rsidRDefault="002C50EE" w:rsidP="002C50EE">
      <w:pPr>
        <w:pStyle w:val="Heading1"/>
      </w:pPr>
      <w:r>
        <w:t>4. КЛИНИЧНИ ДАННИ</w:t>
      </w:r>
    </w:p>
    <w:p w14:paraId="0C8E6903" w14:textId="0451AD1D" w:rsidR="008134C8" w:rsidRDefault="002C50EE" w:rsidP="004A448E">
      <w:pPr>
        <w:pStyle w:val="Heading2"/>
      </w:pPr>
      <w:r>
        <w:t>4.1. Терапевтични показания</w:t>
      </w:r>
    </w:p>
    <w:p w14:paraId="4C6AEED3" w14:textId="3D5904D2" w:rsidR="0022055A" w:rsidRDefault="0022055A" w:rsidP="0022055A"/>
    <w:p w14:paraId="31E57B13" w14:textId="77777777" w:rsidR="0022055A" w:rsidRPr="0022055A" w:rsidRDefault="0022055A" w:rsidP="0022055A">
      <w:pPr>
        <w:rPr>
          <w:sz w:val="24"/>
          <w:szCs w:val="24"/>
        </w:rPr>
      </w:pPr>
      <w:r w:rsidRPr="0022055A">
        <w:rPr>
          <w:lang w:eastAsia="bg-BG"/>
        </w:rPr>
        <w:t>Цефтриаксон</w:t>
      </w:r>
      <w:r w:rsidRPr="0022055A">
        <w:rPr>
          <w:lang w:val="ru-RU"/>
        </w:rPr>
        <w:t>-</w:t>
      </w:r>
      <w:r w:rsidRPr="0022055A">
        <w:rPr>
          <w:lang w:val="en-US"/>
        </w:rPr>
        <w:t>MIP</w:t>
      </w:r>
      <w:r w:rsidRPr="0022055A">
        <w:rPr>
          <w:lang w:val="ru-RU"/>
        </w:rPr>
        <w:t xml:space="preserve"> </w:t>
      </w:r>
      <w:r w:rsidRPr="0022055A">
        <w:rPr>
          <w:lang w:eastAsia="bg-BG"/>
        </w:rPr>
        <w:t>е показан за лечение на следните инфекции при възрастни и деца, включително доносени новородени (от момента на раждането):</w:t>
      </w:r>
    </w:p>
    <w:p w14:paraId="4BAF5FF1" w14:textId="77777777" w:rsidR="0022055A" w:rsidRPr="0022055A" w:rsidRDefault="0022055A" w:rsidP="0022055A">
      <w:pPr>
        <w:pStyle w:val="ListParagraph"/>
        <w:numPr>
          <w:ilvl w:val="0"/>
          <w:numId w:val="36"/>
        </w:numPr>
        <w:rPr>
          <w:lang w:eastAsia="bg-BG"/>
        </w:rPr>
      </w:pPr>
      <w:r w:rsidRPr="0022055A">
        <w:rPr>
          <w:lang w:eastAsia="bg-BG"/>
        </w:rPr>
        <w:t>Бактериален менингит</w:t>
      </w:r>
    </w:p>
    <w:p w14:paraId="22008ACD" w14:textId="77777777" w:rsidR="0022055A" w:rsidRPr="0022055A" w:rsidRDefault="0022055A" w:rsidP="0022055A">
      <w:pPr>
        <w:pStyle w:val="ListParagraph"/>
        <w:numPr>
          <w:ilvl w:val="0"/>
          <w:numId w:val="36"/>
        </w:numPr>
        <w:rPr>
          <w:lang w:eastAsia="bg-BG"/>
        </w:rPr>
      </w:pPr>
      <w:r w:rsidRPr="0022055A">
        <w:rPr>
          <w:lang w:eastAsia="bg-BG"/>
        </w:rPr>
        <w:t>Пневмония, придобита в обществото</w:t>
      </w:r>
    </w:p>
    <w:p w14:paraId="09D9A3AE" w14:textId="77777777" w:rsidR="0022055A" w:rsidRPr="0022055A" w:rsidRDefault="0022055A" w:rsidP="0022055A">
      <w:pPr>
        <w:pStyle w:val="ListParagraph"/>
        <w:numPr>
          <w:ilvl w:val="0"/>
          <w:numId w:val="36"/>
        </w:numPr>
        <w:rPr>
          <w:lang w:eastAsia="bg-BG"/>
        </w:rPr>
      </w:pPr>
      <w:r w:rsidRPr="0022055A">
        <w:rPr>
          <w:lang w:eastAsia="bg-BG"/>
        </w:rPr>
        <w:t>Нозокомиална пневмония</w:t>
      </w:r>
    </w:p>
    <w:p w14:paraId="7D690F71" w14:textId="77777777" w:rsidR="0022055A" w:rsidRPr="0022055A" w:rsidRDefault="0022055A" w:rsidP="0022055A">
      <w:pPr>
        <w:pStyle w:val="ListParagraph"/>
        <w:numPr>
          <w:ilvl w:val="0"/>
          <w:numId w:val="36"/>
        </w:numPr>
        <w:rPr>
          <w:lang w:eastAsia="bg-BG"/>
        </w:rPr>
      </w:pPr>
      <w:r w:rsidRPr="0022055A">
        <w:rPr>
          <w:lang w:eastAsia="bg-BG"/>
        </w:rPr>
        <w:t>Остър среден отит</w:t>
      </w:r>
    </w:p>
    <w:p w14:paraId="42825BF6" w14:textId="77777777" w:rsidR="0022055A" w:rsidRPr="0022055A" w:rsidRDefault="0022055A" w:rsidP="0022055A">
      <w:pPr>
        <w:pStyle w:val="ListParagraph"/>
        <w:numPr>
          <w:ilvl w:val="0"/>
          <w:numId w:val="36"/>
        </w:numPr>
        <w:rPr>
          <w:lang w:eastAsia="bg-BG"/>
        </w:rPr>
      </w:pPr>
      <w:r w:rsidRPr="0022055A">
        <w:rPr>
          <w:lang w:eastAsia="bg-BG"/>
        </w:rPr>
        <w:t>Интраабдоминални инфекции</w:t>
      </w:r>
    </w:p>
    <w:p w14:paraId="1E0EB43A" w14:textId="77777777" w:rsidR="0022055A" w:rsidRPr="0022055A" w:rsidRDefault="0022055A" w:rsidP="0022055A">
      <w:pPr>
        <w:pStyle w:val="ListParagraph"/>
        <w:numPr>
          <w:ilvl w:val="0"/>
          <w:numId w:val="36"/>
        </w:numPr>
        <w:rPr>
          <w:lang w:eastAsia="bg-BG"/>
        </w:rPr>
      </w:pPr>
      <w:r w:rsidRPr="0022055A">
        <w:rPr>
          <w:lang w:eastAsia="bg-BG"/>
        </w:rPr>
        <w:t>Усложнени инфекции на пикочните пътища (включително пиелонефрит)</w:t>
      </w:r>
    </w:p>
    <w:p w14:paraId="3524CFF7" w14:textId="77777777" w:rsidR="0022055A" w:rsidRPr="0022055A" w:rsidRDefault="0022055A" w:rsidP="0022055A">
      <w:pPr>
        <w:pStyle w:val="ListParagraph"/>
        <w:numPr>
          <w:ilvl w:val="0"/>
          <w:numId w:val="36"/>
        </w:numPr>
        <w:rPr>
          <w:lang w:eastAsia="bg-BG"/>
        </w:rPr>
      </w:pPr>
      <w:r w:rsidRPr="0022055A">
        <w:rPr>
          <w:lang w:eastAsia="bg-BG"/>
        </w:rPr>
        <w:t>Инфекции на костите и ставите</w:t>
      </w:r>
    </w:p>
    <w:p w14:paraId="604B07BA" w14:textId="77777777" w:rsidR="0022055A" w:rsidRPr="0022055A" w:rsidRDefault="0022055A" w:rsidP="0022055A">
      <w:pPr>
        <w:pStyle w:val="ListParagraph"/>
        <w:numPr>
          <w:ilvl w:val="0"/>
          <w:numId w:val="36"/>
        </w:numPr>
        <w:rPr>
          <w:lang w:eastAsia="bg-BG"/>
        </w:rPr>
      </w:pPr>
      <w:r w:rsidRPr="0022055A">
        <w:rPr>
          <w:lang w:eastAsia="bg-BG"/>
        </w:rPr>
        <w:t>Усложнени инфекции на кожата и меките тъкани</w:t>
      </w:r>
    </w:p>
    <w:p w14:paraId="397451F9" w14:textId="77777777" w:rsidR="0022055A" w:rsidRPr="0022055A" w:rsidRDefault="0022055A" w:rsidP="0022055A">
      <w:pPr>
        <w:pStyle w:val="ListParagraph"/>
        <w:numPr>
          <w:ilvl w:val="0"/>
          <w:numId w:val="36"/>
        </w:numPr>
        <w:rPr>
          <w:lang w:eastAsia="bg-BG"/>
        </w:rPr>
      </w:pPr>
      <w:r w:rsidRPr="0022055A">
        <w:rPr>
          <w:lang w:eastAsia="bg-BG"/>
        </w:rPr>
        <w:t>Гонорея</w:t>
      </w:r>
    </w:p>
    <w:p w14:paraId="3E798A69" w14:textId="77777777" w:rsidR="0022055A" w:rsidRPr="0022055A" w:rsidRDefault="0022055A" w:rsidP="0022055A">
      <w:pPr>
        <w:pStyle w:val="ListParagraph"/>
        <w:numPr>
          <w:ilvl w:val="0"/>
          <w:numId w:val="36"/>
        </w:numPr>
        <w:rPr>
          <w:lang w:eastAsia="bg-BG"/>
        </w:rPr>
      </w:pPr>
      <w:r w:rsidRPr="0022055A">
        <w:rPr>
          <w:lang w:eastAsia="bg-BG"/>
        </w:rPr>
        <w:t>Сифилис</w:t>
      </w:r>
    </w:p>
    <w:p w14:paraId="57BFA686" w14:textId="77777777" w:rsidR="0022055A" w:rsidRPr="0022055A" w:rsidRDefault="0022055A" w:rsidP="0022055A">
      <w:pPr>
        <w:pStyle w:val="ListParagraph"/>
        <w:numPr>
          <w:ilvl w:val="0"/>
          <w:numId w:val="36"/>
        </w:numPr>
        <w:rPr>
          <w:lang w:eastAsia="bg-BG"/>
        </w:rPr>
      </w:pPr>
      <w:r w:rsidRPr="0022055A">
        <w:rPr>
          <w:lang w:eastAsia="bg-BG"/>
        </w:rPr>
        <w:t>Бактериален ендокардит</w:t>
      </w:r>
    </w:p>
    <w:p w14:paraId="106ECA23" w14:textId="77777777" w:rsidR="0022055A" w:rsidRDefault="0022055A" w:rsidP="0022055A">
      <w:pPr>
        <w:spacing w:line="240" w:lineRule="auto"/>
        <w:rPr>
          <w:rFonts w:ascii="Times New Roman" w:eastAsia="Times New Roman" w:hAnsi="Times New Roman" w:cs="Times New Roman"/>
          <w:color w:val="000000"/>
          <w:sz w:val="20"/>
          <w:szCs w:val="20"/>
          <w:lang w:eastAsia="bg-BG"/>
        </w:rPr>
      </w:pPr>
    </w:p>
    <w:p w14:paraId="6E644E59" w14:textId="3D0C0028" w:rsidR="0022055A" w:rsidRPr="0022055A" w:rsidRDefault="0022055A" w:rsidP="0022055A">
      <w:pPr>
        <w:rPr>
          <w:sz w:val="24"/>
          <w:szCs w:val="24"/>
        </w:rPr>
      </w:pPr>
      <w:r w:rsidRPr="0022055A">
        <w:rPr>
          <w:lang w:eastAsia="bg-BG"/>
        </w:rPr>
        <w:t>Цефтриаксон</w:t>
      </w:r>
      <w:r w:rsidRPr="0022055A">
        <w:rPr>
          <w:lang w:val="ru-RU"/>
        </w:rPr>
        <w:t>-</w:t>
      </w:r>
      <w:r w:rsidRPr="0022055A">
        <w:rPr>
          <w:lang w:val="en-US"/>
        </w:rPr>
        <w:t>MIP</w:t>
      </w:r>
      <w:r w:rsidRPr="0022055A">
        <w:rPr>
          <w:lang w:val="ru-RU"/>
        </w:rPr>
        <w:t xml:space="preserve"> </w:t>
      </w:r>
      <w:r w:rsidRPr="0022055A">
        <w:rPr>
          <w:lang w:eastAsia="bg-BG"/>
        </w:rPr>
        <w:t>може да се използва:</w:t>
      </w:r>
    </w:p>
    <w:p w14:paraId="191EAD36" w14:textId="77777777" w:rsidR="0022055A" w:rsidRPr="0022055A" w:rsidRDefault="0022055A" w:rsidP="0022055A">
      <w:pPr>
        <w:pStyle w:val="ListParagraph"/>
        <w:numPr>
          <w:ilvl w:val="0"/>
          <w:numId w:val="37"/>
        </w:numPr>
        <w:rPr>
          <w:lang w:eastAsia="bg-BG"/>
        </w:rPr>
      </w:pPr>
      <w:r w:rsidRPr="0022055A">
        <w:rPr>
          <w:lang w:eastAsia="bg-BG"/>
        </w:rPr>
        <w:t>За лечение на обостряния на хронична обструктивна белодробна болест при възрастни</w:t>
      </w:r>
    </w:p>
    <w:p w14:paraId="48E7B447" w14:textId="77777777" w:rsidR="0022055A" w:rsidRPr="0022055A" w:rsidRDefault="0022055A" w:rsidP="0022055A">
      <w:pPr>
        <w:pStyle w:val="ListParagraph"/>
        <w:numPr>
          <w:ilvl w:val="0"/>
          <w:numId w:val="37"/>
        </w:numPr>
        <w:rPr>
          <w:lang w:eastAsia="bg-BG"/>
        </w:rPr>
      </w:pPr>
      <w:r w:rsidRPr="0022055A">
        <w:rPr>
          <w:lang w:eastAsia="bg-BG"/>
        </w:rPr>
        <w:t xml:space="preserve">За лечение на дисеминирана лаймска борелиоза (ранна (стадий II) и късна (стадий </w:t>
      </w:r>
      <w:r w:rsidRPr="0022055A">
        <w:rPr>
          <w:lang w:val="en-US"/>
        </w:rPr>
        <w:t>III</w:t>
      </w:r>
      <w:r w:rsidRPr="0022055A">
        <w:rPr>
          <w:lang w:eastAsia="bg-BG"/>
        </w:rPr>
        <w:t>)) при възрастни и деца, включително новородени на възраст от 15 дни нагоре</w:t>
      </w:r>
    </w:p>
    <w:p w14:paraId="7BFBE274" w14:textId="77777777" w:rsidR="0022055A" w:rsidRPr="0022055A" w:rsidRDefault="0022055A" w:rsidP="0022055A">
      <w:pPr>
        <w:pStyle w:val="ListParagraph"/>
        <w:numPr>
          <w:ilvl w:val="0"/>
          <w:numId w:val="37"/>
        </w:numPr>
        <w:rPr>
          <w:lang w:eastAsia="bg-BG"/>
        </w:rPr>
      </w:pPr>
      <w:r w:rsidRPr="0022055A">
        <w:rPr>
          <w:lang w:eastAsia="bg-BG"/>
        </w:rPr>
        <w:t>За предоперативна профилактика на инфекции на оперативното място</w:t>
      </w:r>
    </w:p>
    <w:p w14:paraId="092B741B" w14:textId="77777777" w:rsidR="0022055A" w:rsidRPr="0022055A" w:rsidRDefault="0022055A" w:rsidP="0022055A">
      <w:pPr>
        <w:pStyle w:val="ListParagraph"/>
        <w:numPr>
          <w:ilvl w:val="0"/>
          <w:numId w:val="37"/>
        </w:numPr>
        <w:rPr>
          <w:lang w:eastAsia="bg-BG"/>
        </w:rPr>
      </w:pPr>
      <w:r w:rsidRPr="0022055A">
        <w:rPr>
          <w:lang w:eastAsia="bg-BG"/>
        </w:rPr>
        <w:lastRenderedPageBreak/>
        <w:t>При лечението на пациенти с фебрилна неутропения, за която се подозира, че се дължи на бактериална инфекция</w:t>
      </w:r>
    </w:p>
    <w:p w14:paraId="6311DBF1" w14:textId="77777777" w:rsidR="0022055A" w:rsidRPr="0022055A" w:rsidRDefault="0022055A" w:rsidP="0022055A">
      <w:pPr>
        <w:pStyle w:val="ListParagraph"/>
        <w:numPr>
          <w:ilvl w:val="0"/>
          <w:numId w:val="37"/>
        </w:numPr>
        <w:rPr>
          <w:lang w:eastAsia="bg-BG"/>
        </w:rPr>
      </w:pPr>
      <w:r w:rsidRPr="0022055A">
        <w:rPr>
          <w:lang w:eastAsia="bg-BG"/>
        </w:rPr>
        <w:t>При лечението на пациенти с бактериемия, която възниква във връзка с някоя от инфекциите, изброени по-горе, или се подозира, че е свързана с някоя от тях</w:t>
      </w:r>
    </w:p>
    <w:p w14:paraId="0438FB3E" w14:textId="77777777" w:rsidR="0022055A" w:rsidRDefault="0022055A" w:rsidP="0022055A">
      <w:pPr>
        <w:rPr>
          <w:lang w:eastAsia="bg-BG"/>
        </w:rPr>
      </w:pPr>
    </w:p>
    <w:p w14:paraId="3F2F85DE" w14:textId="054D5EC2" w:rsidR="0022055A" w:rsidRPr="0022055A" w:rsidRDefault="0022055A" w:rsidP="0022055A">
      <w:pPr>
        <w:rPr>
          <w:sz w:val="24"/>
          <w:szCs w:val="24"/>
        </w:rPr>
      </w:pPr>
      <w:r w:rsidRPr="0022055A">
        <w:rPr>
          <w:lang w:eastAsia="bg-BG"/>
        </w:rPr>
        <w:t>Цефтриаксон</w:t>
      </w:r>
      <w:r w:rsidRPr="0022055A">
        <w:rPr>
          <w:lang w:val="ru-RU"/>
        </w:rPr>
        <w:t>-</w:t>
      </w:r>
      <w:r w:rsidRPr="0022055A">
        <w:rPr>
          <w:lang w:val="en-US"/>
        </w:rPr>
        <w:t>MIP</w:t>
      </w:r>
      <w:r w:rsidRPr="0022055A">
        <w:rPr>
          <w:lang w:val="ru-RU"/>
        </w:rPr>
        <w:t xml:space="preserve"> </w:t>
      </w:r>
      <w:r w:rsidRPr="0022055A">
        <w:rPr>
          <w:lang w:eastAsia="bg-BG"/>
        </w:rPr>
        <w:t>трябва да се прилага едновременно с други антибактериални средства винаги, когато възможният спектър на бактериалните причинители не попада в неговия спектър (вж. точка 4.4).</w:t>
      </w:r>
    </w:p>
    <w:p w14:paraId="5BE15525" w14:textId="77777777" w:rsidR="0022055A" w:rsidRDefault="0022055A" w:rsidP="0022055A">
      <w:pPr>
        <w:rPr>
          <w:lang w:eastAsia="bg-BG"/>
        </w:rPr>
      </w:pPr>
    </w:p>
    <w:p w14:paraId="1B1AC2E9" w14:textId="6E8C60BA" w:rsidR="0022055A" w:rsidRDefault="0022055A" w:rsidP="0022055A">
      <w:pPr>
        <w:rPr>
          <w:lang w:eastAsia="bg-BG"/>
        </w:rPr>
      </w:pPr>
      <w:r w:rsidRPr="0022055A">
        <w:rPr>
          <w:lang w:eastAsia="bg-BG"/>
        </w:rPr>
        <w:t>Трябва да се имат предвид официалните насоки за правилна употреба на антибактериални средства.</w:t>
      </w:r>
    </w:p>
    <w:p w14:paraId="1A67BC2E" w14:textId="77777777" w:rsidR="0022055A" w:rsidRPr="0022055A" w:rsidRDefault="0022055A" w:rsidP="0022055A"/>
    <w:p w14:paraId="30BE2C7B" w14:textId="7A7CC45E" w:rsidR="008134C8" w:rsidRDefault="002C50EE" w:rsidP="004A448E">
      <w:pPr>
        <w:pStyle w:val="Heading2"/>
      </w:pPr>
      <w:r>
        <w:t>4.2. Дозировка и начин на приложение</w:t>
      </w:r>
    </w:p>
    <w:p w14:paraId="1F865598" w14:textId="7F8E5D0A" w:rsidR="0022055A" w:rsidRDefault="0022055A" w:rsidP="0022055A"/>
    <w:p w14:paraId="25870B85" w14:textId="77777777" w:rsidR="0022055A" w:rsidRPr="0022055A" w:rsidRDefault="0022055A" w:rsidP="0022055A">
      <w:pPr>
        <w:pStyle w:val="Heading3"/>
        <w:rPr>
          <w:rFonts w:eastAsia="Times New Roman"/>
          <w:sz w:val="28"/>
          <w:u w:val="single"/>
        </w:rPr>
      </w:pPr>
      <w:r w:rsidRPr="0022055A">
        <w:rPr>
          <w:rFonts w:eastAsia="Times New Roman"/>
          <w:u w:val="single"/>
          <w:lang w:eastAsia="bg-BG"/>
        </w:rPr>
        <w:t>Дозировка</w:t>
      </w:r>
    </w:p>
    <w:p w14:paraId="48D1C475"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Дозата зависи от тежестта, чувствителността, мястото и вида на инфекцията, както и от възрастта и чернодробната и бъбречна функция на пациента.</w:t>
      </w:r>
    </w:p>
    <w:p w14:paraId="42FCF597" w14:textId="77777777" w:rsidR="0022055A" w:rsidRPr="0022055A" w:rsidRDefault="0022055A" w:rsidP="0022055A">
      <w:pPr>
        <w:spacing w:line="240" w:lineRule="auto"/>
        <w:rPr>
          <w:rFonts w:eastAsia="Times New Roman" w:cs="Arial"/>
          <w:color w:val="000000"/>
          <w:szCs w:val="20"/>
          <w:lang w:eastAsia="bg-BG"/>
        </w:rPr>
      </w:pPr>
    </w:p>
    <w:p w14:paraId="326A9FDC" w14:textId="2CA14C68"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Дозите, препоръчани в таблиците по-долу, са обичайните препоръчителни дози при тези показания. При особено тежки случаи трябва да се обмисли прилагане на дози на горната граница на препоръчителния диапазон.</w:t>
      </w:r>
    </w:p>
    <w:p w14:paraId="451AB512" w14:textId="77777777" w:rsidR="0022055A" w:rsidRPr="0022055A" w:rsidRDefault="0022055A" w:rsidP="0022055A">
      <w:pPr>
        <w:spacing w:line="240" w:lineRule="auto"/>
        <w:rPr>
          <w:rFonts w:eastAsia="Times New Roman" w:cs="Arial"/>
          <w:i/>
          <w:iCs/>
          <w:color w:val="000000"/>
          <w:szCs w:val="20"/>
          <w:u w:val="single"/>
          <w:lang w:eastAsia="bg-BG"/>
        </w:rPr>
      </w:pPr>
    </w:p>
    <w:p w14:paraId="3F838F37" w14:textId="351A1815" w:rsidR="0022055A" w:rsidRPr="0022055A" w:rsidRDefault="0022055A" w:rsidP="0022055A">
      <w:pPr>
        <w:spacing w:line="240" w:lineRule="auto"/>
        <w:rPr>
          <w:rFonts w:eastAsia="Times New Roman" w:cs="Arial"/>
          <w:sz w:val="28"/>
          <w:szCs w:val="24"/>
        </w:rPr>
      </w:pPr>
      <w:r w:rsidRPr="0022055A">
        <w:rPr>
          <w:rFonts w:eastAsia="Times New Roman" w:cs="Arial"/>
          <w:i/>
          <w:iCs/>
          <w:color w:val="000000"/>
          <w:szCs w:val="20"/>
          <w:u w:val="single"/>
          <w:lang w:eastAsia="bg-BG"/>
        </w:rPr>
        <w:t xml:space="preserve">Възрастни и деиа на възраст над 12 години (≥ 50 </w:t>
      </w:r>
      <w:r w:rsidRPr="0022055A">
        <w:rPr>
          <w:rFonts w:eastAsia="Times New Roman" w:cs="Arial"/>
          <w:i/>
          <w:iCs/>
          <w:color w:val="000000"/>
          <w:szCs w:val="20"/>
          <w:u w:val="single"/>
          <w:lang w:val="en-US"/>
        </w:rPr>
        <w:t>kg</w:t>
      </w:r>
      <w:r w:rsidRPr="0022055A">
        <w:rPr>
          <w:rFonts w:eastAsia="Times New Roman" w:cs="Arial"/>
          <w:i/>
          <w:iCs/>
          <w:color w:val="000000"/>
          <w:szCs w:val="20"/>
          <w:u w:val="single"/>
          <w:lang w:val="ru-RU"/>
        </w:rPr>
        <w:t>)</w:t>
      </w:r>
    </w:p>
    <w:tbl>
      <w:tblPr>
        <w:tblStyle w:val="TableGrid"/>
        <w:tblW w:w="0" w:type="auto"/>
        <w:tblLook w:val="04A0" w:firstRow="1" w:lastRow="0" w:firstColumn="1" w:lastColumn="0" w:noHBand="0" w:noVBand="1"/>
      </w:tblPr>
      <w:tblGrid>
        <w:gridCol w:w="1752"/>
        <w:gridCol w:w="1522"/>
        <w:gridCol w:w="6076"/>
      </w:tblGrid>
      <w:tr w:rsidR="0022055A" w14:paraId="05A660DB" w14:textId="77777777" w:rsidTr="0022055A">
        <w:tc>
          <w:tcPr>
            <w:tcW w:w="1752" w:type="dxa"/>
          </w:tcPr>
          <w:p w14:paraId="29FA95C4" w14:textId="233A9E8C" w:rsidR="0022055A" w:rsidRPr="0022055A" w:rsidRDefault="0022055A" w:rsidP="0022055A">
            <w:r w:rsidRPr="0022055A">
              <w:rPr>
                <w:b/>
                <w:bCs/>
                <w:szCs w:val="20"/>
              </w:rPr>
              <w:t>Дозировка на цефтриаксон*</w:t>
            </w:r>
          </w:p>
        </w:tc>
        <w:tc>
          <w:tcPr>
            <w:tcW w:w="1522" w:type="dxa"/>
          </w:tcPr>
          <w:p w14:paraId="0D5055B3" w14:textId="1AE1250C" w:rsidR="0022055A" w:rsidRPr="0022055A" w:rsidRDefault="0022055A" w:rsidP="0022055A">
            <w:r w:rsidRPr="0022055A">
              <w:rPr>
                <w:b/>
                <w:bCs/>
                <w:szCs w:val="20"/>
              </w:rPr>
              <w:t>Честота на прилагане**</w:t>
            </w:r>
          </w:p>
        </w:tc>
        <w:tc>
          <w:tcPr>
            <w:tcW w:w="6302" w:type="dxa"/>
          </w:tcPr>
          <w:p w14:paraId="5DF4712B" w14:textId="4A56FC13" w:rsidR="0022055A" w:rsidRPr="0022055A" w:rsidRDefault="0022055A" w:rsidP="0022055A">
            <w:r w:rsidRPr="0022055A">
              <w:rPr>
                <w:b/>
                <w:bCs/>
                <w:szCs w:val="20"/>
              </w:rPr>
              <w:t>Показания</w:t>
            </w:r>
          </w:p>
        </w:tc>
      </w:tr>
      <w:tr w:rsidR="0022055A" w14:paraId="6AD83A5C" w14:textId="77777777" w:rsidTr="0022055A">
        <w:tc>
          <w:tcPr>
            <w:tcW w:w="1752" w:type="dxa"/>
            <w:vMerge w:val="restart"/>
          </w:tcPr>
          <w:p w14:paraId="5ADE6A0E" w14:textId="06114005" w:rsidR="0022055A" w:rsidRPr="0022055A" w:rsidRDefault="0022055A" w:rsidP="0022055A">
            <w:r w:rsidRPr="0022055A">
              <w:rPr>
                <w:szCs w:val="20"/>
              </w:rPr>
              <w:t xml:space="preserve">1-2 </w:t>
            </w:r>
            <w:r w:rsidRPr="0022055A">
              <w:rPr>
                <w:szCs w:val="20"/>
                <w:lang w:val="en-US"/>
              </w:rPr>
              <w:t>g</w:t>
            </w:r>
          </w:p>
        </w:tc>
        <w:tc>
          <w:tcPr>
            <w:tcW w:w="1522" w:type="dxa"/>
            <w:vMerge w:val="restart"/>
          </w:tcPr>
          <w:p w14:paraId="21977347" w14:textId="5ED1AE7F" w:rsidR="0022055A" w:rsidRPr="0022055A" w:rsidRDefault="0022055A" w:rsidP="0022055A">
            <w:r w:rsidRPr="0022055A">
              <w:rPr>
                <w:szCs w:val="20"/>
              </w:rPr>
              <w:t>Веднъж дневно</w:t>
            </w:r>
          </w:p>
        </w:tc>
        <w:tc>
          <w:tcPr>
            <w:tcW w:w="6302" w:type="dxa"/>
          </w:tcPr>
          <w:p w14:paraId="4A2E3C9D" w14:textId="2D201E32" w:rsidR="0022055A" w:rsidRPr="0022055A" w:rsidRDefault="0022055A" w:rsidP="0022055A">
            <w:r w:rsidRPr="0022055A">
              <w:rPr>
                <w:szCs w:val="20"/>
              </w:rPr>
              <w:t>Пневмония, придобита в обществото</w:t>
            </w:r>
          </w:p>
        </w:tc>
      </w:tr>
      <w:tr w:rsidR="0022055A" w14:paraId="668353C5" w14:textId="77777777" w:rsidTr="0022055A">
        <w:tc>
          <w:tcPr>
            <w:tcW w:w="1752" w:type="dxa"/>
            <w:vMerge/>
          </w:tcPr>
          <w:p w14:paraId="0443C7C6" w14:textId="77777777" w:rsidR="0022055A" w:rsidRPr="0022055A" w:rsidRDefault="0022055A" w:rsidP="0022055A"/>
        </w:tc>
        <w:tc>
          <w:tcPr>
            <w:tcW w:w="1522" w:type="dxa"/>
            <w:vMerge/>
          </w:tcPr>
          <w:p w14:paraId="37539D38" w14:textId="77777777" w:rsidR="0022055A" w:rsidRPr="0022055A" w:rsidRDefault="0022055A" w:rsidP="0022055A"/>
        </w:tc>
        <w:tc>
          <w:tcPr>
            <w:tcW w:w="6302" w:type="dxa"/>
          </w:tcPr>
          <w:p w14:paraId="1DC34038" w14:textId="443338C2" w:rsidR="0022055A" w:rsidRPr="0022055A" w:rsidRDefault="0022055A" w:rsidP="0022055A">
            <w:r w:rsidRPr="0022055A">
              <w:rPr>
                <w:szCs w:val="20"/>
              </w:rPr>
              <w:t>Обостряния на хронична обструктивна белодробна болест</w:t>
            </w:r>
          </w:p>
        </w:tc>
      </w:tr>
      <w:tr w:rsidR="0022055A" w14:paraId="57371137" w14:textId="77777777" w:rsidTr="0022055A">
        <w:tc>
          <w:tcPr>
            <w:tcW w:w="1752" w:type="dxa"/>
            <w:vMerge/>
          </w:tcPr>
          <w:p w14:paraId="5731ABF2" w14:textId="77777777" w:rsidR="0022055A" w:rsidRPr="0022055A" w:rsidRDefault="0022055A" w:rsidP="0022055A"/>
        </w:tc>
        <w:tc>
          <w:tcPr>
            <w:tcW w:w="1522" w:type="dxa"/>
            <w:vMerge/>
          </w:tcPr>
          <w:p w14:paraId="279E34AA" w14:textId="77777777" w:rsidR="0022055A" w:rsidRPr="0022055A" w:rsidRDefault="0022055A" w:rsidP="0022055A"/>
        </w:tc>
        <w:tc>
          <w:tcPr>
            <w:tcW w:w="6302" w:type="dxa"/>
          </w:tcPr>
          <w:p w14:paraId="7B5717C0" w14:textId="7C154716" w:rsidR="0022055A" w:rsidRPr="0022055A" w:rsidRDefault="0022055A" w:rsidP="0022055A">
            <w:r w:rsidRPr="0022055A">
              <w:rPr>
                <w:szCs w:val="20"/>
              </w:rPr>
              <w:t>Интраабдоминални инфекции</w:t>
            </w:r>
          </w:p>
        </w:tc>
      </w:tr>
      <w:tr w:rsidR="0022055A" w14:paraId="0E74069E" w14:textId="77777777" w:rsidTr="0022055A">
        <w:tc>
          <w:tcPr>
            <w:tcW w:w="1752" w:type="dxa"/>
            <w:vMerge/>
          </w:tcPr>
          <w:p w14:paraId="769C5D8B" w14:textId="77777777" w:rsidR="0022055A" w:rsidRPr="0022055A" w:rsidRDefault="0022055A" w:rsidP="0022055A"/>
        </w:tc>
        <w:tc>
          <w:tcPr>
            <w:tcW w:w="1522" w:type="dxa"/>
            <w:vMerge/>
          </w:tcPr>
          <w:p w14:paraId="67BD9348" w14:textId="77777777" w:rsidR="0022055A" w:rsidRPr="0022055A" w:rsidRDefault="0022055A" w:rsidP="0022055A"/>
        </w:tc>
        <w:tc>
          <w:tcPr>
            <w:tcW w:w="6302" w:type="dxa"/>
          </w:tcPr>
          <w:p w14:paraId="6EC81FAC" w14:textId="57550450" w:rsidR="0022055A" w:rsidRPr="0022055A" w:rsidRDefault="0022055A" w:rsidP="0022055A">
            <w:r w:rsidRPr="0022055A">
              <w:rPr>
                <w:szCs w:val="20"/>
              </w:rPr>
              <w:t>Усложнени инфекции на пикочните пътища (включително пиелонефрит)</w:t>
            </w:r>
          </w:p>
        </w:tc>
      </w:tr>
      <w:tr w:rsidR="0022055A" w14:paraId="21CC29AA" w14:textId="77777777" w:rsidTr="0022055A">
        <w:tc>
          <w:tcPr>
            <w:tcW w:w="1752" w:type="dxa"/>
            <w:vMerge w:val="restart"/>
          </w:tcPr>
          <w:p w14:paraId="142E9C11" w14:textId="76B47056" w:rsidR="0022055A" w:rsidRPr="0022055A" w:rsidRDefault="0022055A" w:rsidP="0022055A">
            <w:r w:rsidRPr="0022055A">
              <w:rPr>
                <w:szCs w:val="20"/>
                <w:lang w:val="en-US"/>
              </w:rPr>
              <w:t>2g</w:t>
            </w:r>
          </w:p>
        </w:tc>
        <w:tc>
          <w:tcPr>
            <w:tcW w:w="1522" w:type="dxa"/>
            <w:vMerge w:val="restart"/>
          </w:tcPr>
          <w:p w14:paraId="5B25E249" w14:textId="03467E65" w:rsidR="0022055A" w:rsidRPr="0022055A" w:rsidRDefault="0022055A" w:rsidP="0022055A">
            <w:r w:rsidRPr="0022055A">
              <w:rPr>
                <w:szCs w:val="20"/>
              </w:rPr>
              <w:t>Веднъж дневно</w:t>
            </w:r>
          </w:p>
        </w:tc>
        <w:tc>
          <w:tcPr>
            <w:tcW w:w="6302" w:type="dxa"/>
          </w:tcPr>
          <w:p w14:paraId="5766E781" w14:textId="426B9294" w:rsidR="0022055A" w:rsidRPr="0022055A" w:rsidRDefault="0022055A" w:rsidP="0022055A">
            <w:r w:rsidRPr="0022055A">
              <w:rPr>
                <w:szCs w:val="20"/>
              </w:rPr>
              <w:t>Нозокомиална пневмония</w:t>
            </w:r>
          </w:p>
        </w:tc>
      </w:tr>
      <w:tr w:rsidR="0022055A" w14:paraId="4A9FE852" w14:textId="77777777" w:rsidTr="0022055A">
        <w:tc>
          <w:tcPr>
            <w:tcW w:w="1752" w:type="dxa"/>
            <w:vMerge/>
          </w:tcPr>
          <w:p w14:paraId="30672484" w14:textId="77777777" w:rsidR="0022055A" w:rsidRPr="0022055A" w:rsidRDefault="0022055A" w:rsidP="0022055A"/>
        </w:tc>
        <w:tc>
          <w:tcPr>
            <w:tcW w:w="1522" w:type="dxa"/>
            <w:vMerge/>
          </w:tcPr>
          <w:p w14:paraId="7FF0B9E9" w14:textId="77777777" w:rsidR="0022055A" w:rsidRPr="0022055A" w:rsidRDefault="0022055A" w:rsidP="0022055A"/>
        </w:tc>
        <w:tc>
          <w:tcPr>
            <w:tcW w:w="6302" w:type="dxa"/>
          </w:tcPr>
          <w:p w14:paraId="5119174E" w14:textId="33E2FFDA" w:rsidR="0022055A" w:rsidRPr="0022055A" w:rsidRDefault="0022055A" w:rsidP="0022055A">
            <w:r w:rsidRPr="0022055A">
              <w:rPr>
                <w:szCs w:val="20"/>
              </w:rPr>
              <w:t>Усложнени инфекции на кожата и меките тъкани</w:t>
            </w:r>
          </w:p>
        </w:tc>
      </w:tr>
      <w:tr w:rsidR="0022055A" w14:paraId="6C99B8E1" w14:textId="77777777" w:rsidTr="0022055A">
        <w:tc>
          <w:tcPr>
            <w:tcW w:w="1752" w:type="dxa"/>
            <w:vMerge/>
          </w:tcPr>
          <w:p w14:paraId="73A07B96" w14:textId="77777777" w:rsidR="0022055A" w:rsidRPr="0022055A" w:rsidRDefault="0022055A" w:rsidP="0022055A"/>
        </w:tc>
        <w:tc>
          <w:tcPr>
            <w:tcW w:w="1522" w:type="dxa"/>
            <w:vMerge/>
          </w:tcPr>
          <w:p w14:paraId="6EB2159C" w14:textId="77777777" w:rsidR="0022055A" w:rsidRPr="0022055A" w:rsidRDefault="0022055A" w:rsidP="0022055A"/>
        </w:tc>
        <w:tc>
          <w:tcPr>
            <w:tcW w:w="6302" w:type="dxa"/>
          </w:tcPr>
          <w:p w14:paraId="40F40612" w14:textId="267E0EA3" w:rsidR="0022055A" w:rsidRPr="0022055A" w:rsidRDefault="0022055A" w:rsidP="0022055A">
            <w:r w:rsidRPr="0022055A">
              <w:rPr>
                <w:szCs w:val="20"/>
              </w:rPr>
              <w:t>Инфекции на костите и ставите</w:t>
            </w:r>
          </w:p>
        </w:tc>
      </w:tr>
      <w:tr w:rsidR="0022055A" w14:paraId="106E7F72" w14:textId="77777777" w:rsidTr="0022055A">
        <w:tc>
          <w:tcPr>
            <w:tcW w:w="1752" w:type="dxa"/>
            <w:vMerge w:val="restart"/>
          </w:tcPr>
          <w:p w14:paraId="60566F7F" w14:textId="4D043EC8" w:rsidR="0022055A" w:rsidRPr="0022055A" w:rsidRDefault="0022055A" w:rsidP="0022055A">
            <w:r w:rsidRPr="0022055A">
              <w:rPr>
                <w:szCs w:val="20"/>
              </w:rPr>
              <w:t xml:space="preserve">2-4 </w:t>
            </w:r>
            <w:r w:rsidRPr="0022055A">
              <w:rPr>
                <w:szCs w:val="20"/>
                <w:lang w:val="en-US"/>
              </w:rPr>
              <w:t>g</w:t>
            </w:r>
          </w:p>
        </w:tc>
        <w:tc>
          <w:tcPr>
            <w:tcW w:w="1522" w:type="dxa"/>
            <w:vMerge w:val="restart"/>
          </w:tcPr>
          <w:p w14:paraId="6F003A5E" w14:textId="36E96802" w:rsidR="0022055A" w:rsidRPr="0022055A" w:rsidRDefault="0022055A" w:rsidP="0022055A">
            <w:r w:rsidRPr="0022055A">
              <w:rPr>
                <w:szCs w:val="20"/>
              </w:rPr>
              <w:t>Веднъж дневно</w:t>
            </w:r>
          </w:p>
        </w:tc>
        <w:tc>
          <w:tcPr>
            <w:tcW w:w="6302" w:type="dxa"/>
          </w:tcPr>
          <w:p w14:paraId="76CC232D" w14:textId="3347D70A" w:rsidR="0022055A" w:rsidRPr="0022055A" w:rsidRDefault="0022055A" w:rsidP="0022055A">
            <w:r w:rsidRPr="0022055A">
              <w:rPr>
                <w:szCs w:val="20"/>
              </w:rPr>
              <w:t>Лечение на пациенти с фебрилна неутропения, за която се подозира, че се дължи на бактериална инфекция</w:t>
            </w:r>
          </w:p>
        </w:tc>
      </w:tr>
      <w:tr w:rsidR="0022055A" w14:paraId="1A2F1E77" w14:textId="77777777" w:rsidTr="0022055A">
        <w:tc>
          <w:tcPr>
            <w:tcW w:w="1752" w:type="dxa"/>
            <w:vMerge/>
          </w:tcPr>
          <w:p w14:paraId="7A1BE2E5" w14:textId="77777777" w:rsidR="0022055A" w:rsidRPr="0022055A" w:rsidRDefault="0022055A" w:rsidP="0022055A"/>
        </w:tc>
        <w:tc>
          <w:tcPr>
            <w:tcW w:w="1522" w:type="dxa"/>
            <w:vMerge/>
          </w:tcPr>
          <w:p w14:paraId="1ADC6B06" w14:textId="77777777" w:rsidR="0022055A" w:rsidRPr="0022055A" w:rsidRDefault="0022055A" w:rsidP="0022055A"/>
        </w:tc>
        <w:tc>
          <w:tcPr>
            <w:tcW w:w="6302" w:type="dxa"/>
          </w:tcPr>
          <w:p w14:paraId="1502742A" w14:textId="66116AF4" w:rsidR="0022055A" w:rsidRPr="0022055A" w:rsidRDefault="0022055A" w:rsidP="0022055A">
            <w:r w:rsidRPr="0022055A">
              <w:rPr>
                <w:szCs w:val="20"/>
              </w:rPr>
              <w:t>Бактериален ендокардит</w:t>
            </w:r>
          </w:p>
        </w:tc>
      </w:tr>
      <w:tr w:rsidR="0022055A" w14:paraId="53795A26" w14:textId="77777777" w:rsidTr="0022055A">
        <w:tc>
          <w:tcPr>
            <w:tcW w:w="1752" w:type="dxa"/>
            <w:vMerge/>
          </w:tcPr>
          <w:p w14:paraId="1CB07F58" w14:textId="77777777" w:rsidR="0022055A" w:rsidRPr="0022055A" w:rsidRDefault="0022055A" w:rsidP="0022055A"/>
        </w:tc>
        <w:tc>
          <w:tcPr>
            <w:tcW w:w="1522" w:type="dxa"/>
            <w:vMerge/>
          </w:tcPr>
          <w:p w14:paraId="3A120AB7" w14:textId="77777777" w:rsidR="0022055A" w:rsidRPr="0022055A" w:rsidRDefault="0022055A" w:rsidP="0022055A"/>
        </w:tc>
        <w:tc>
          <w:tcPr>
            <w:tcW w:w="6302" w:type="dxa"/>
          </w:tcPr>
          <w:p w14:paraId="6131EDB6" w14:textId="4541080E" w:rsidR="0022055A" w:rsidRPr="0022055A" w:rsidRDefault="0022055A" w:rsidP="0022055A">
            <w:r w:rsidRPr="0022055A">
              <w:rPr>
                <w:szCs w:val="20"/>
              </w:rPr>
              <w:t>Бактериален менингит</w:t>
            </w:r>
          </w:p>
        </w:tc>
      </w:tr>
    </w:tbl>
    <w:p w14:paraId="4561B607" w14:textId="386B0EE9" w:rsidR="0022055A" w:rsidRPr="0022055A" w:rsidRDefault="0022055A" w:rsidP="0022055A">
      <w:pPr>
        <w:spacing w:line="240" w:lineRule="auto"/>
        <w:rPr>
          <w:rFonts w:eastAsia="Times New Roman" w:cs="Arial"/>
        </w:rPr>
      </w:pPr>
      <w:r w:rsidRPr="0022055A">
        <w:rPr>
          <w:rFonts w:eastAsia="Times New Roman" w:cs="Arial"/>
          <w:color w:val="000000"/>
          <w:lang w:eastAsia="bg-BG"/>
        </w:rPr>
        <w:t>*При документирана бактериемия трябва да се обмисли прилагане на дози на горната граница на препоръчителния диапазон.</w:t>
      </w:r>
    </w:p>
    <w:p w14:paraId="5090FDDD" w14:textId="132699A5" w:rsidR="0022055A" w:rsidRPr="0022055A" w:rsidRDefault="0022055A" w:rsidP="0022055A">
      <w:pPr>
        <w:spacing w:line="240" w:lineRule="auto"/>
        <w:rPr>
          <w:rFonts w:eastAsia="Times New Roman" w:cs="Arial"/>
        </w:rPr>
      </w:pPr>
      <w:r w:rsidRPr="0022055A">
        <w:rPr>
          <w:rFonts w:eastAsia="Times New Roman" w:cs="Arial"/>
          <w:color w:val="000000"/>
          <w:lang w:eastAsia="bg-BG"/>
        </w:rPr>
        <w:t xml:space="preserve">** Може да се обмисли приложение два пъти дневно (през 12 часа), когато се прилагат дози по-високи от 2 </w:t>
      </w:r>
      <w:r w:rsidRPr="0022055A">
        <w:rPr>
          <w:rFonts w:eastAsia="Times New Roman" w:cs="Arial"/>
          <w:color w:val="000000"/>
          <w:lang w:val="en-US"/>
        </w:rPr>
        <w:t>g</w:t>
      </w:r>
      <w:r w:rsidRPr="0022055A">
        <w:rPr>
          <w:rFonts w:eastAsia="Times New Roman" w:cs="Arial"/>
          <w:color w:val="000000"/>
          <w:lang w:val="ru-RU"/>
        </w:rPr>
        <w:t xml:space="preserve"> </w:t>
      </w:r>
      <w:r w:rsidRPr="0022055A">
        <w:rPr>
          <w:rFonts w:eastAsia="Times New Roman" w:cs="Arial"/>
          <w:color w:val="000000"/>
          <w:lang w:eastAsia="bg-BG"/>
        </w:rPr>
        <w:t>дневно.</w:t>
      </w:r>
    </w:p>
    <w:p w14:paraId="44E52CA1" w14:textId="77777777" w:rsidR="0022055A" w:rsidRPr="0022055A" w:rsidRDefault="0022055A" w:rsidP="0022055A">
      <w:pPr>
        <w:spacing w:line="240" w:lineRule="auto"/>
        <w:rPr>
          <w:rFonts w:eastAsia="Times New Roman" w:cs="Arial"/>
          <w:color w:val="000000"/>
          <w:u w:val="single"/>
          <w:lang w:eastAsia="bg-BG"/>
        </w:rPr>
      </w:pPr>
    </w:p>
    <w:p w14:paraId="6567E086" w14:textId="54B87ECC" w:rsidR="0022055A" w:rsidRPr="0022055A" w:rsidRDefault="0022055A" w:rsidP="0022055A">
      <w:pPr>
        <w:spacing w:line="240" w:lineRule="auto"/>
        <w:rPr>
          <w:rFonts w:eastAsia="Times New Roman" w:cs="Arial"/>
        </w:rPr>
      </w:pPr>
      <w:r w:rsidRPr="0022055A">
        <w:rPr>
          <w:rFonts w:eastAsia="Times New Roman" w:cs="Arial"/>
          <w:color w:val="000000"/>
          <w:u w:val="single"/>
          <w:lang w:eastAsia="bg-BG"/>
        </w:rPr>
        <w:t xml:space="preserve">Показания за възрастни и деца на възраст над 12 години (≥ 50 </w:t>
      </w:r>
      <w:r w:rsidRPr="0022055A">
        <w:rPr>
          <w:rFonts w:eastAsia="Times New Roman" w:cs="Arial"/>
          <w:color w:val="000000"/>
          <w:u w:val="single"/>
          <w:lang w:val="en-US"/>
        </w:rPr>
        <w:t>kg</w:t>
      </w:r>
      <w:r w:rsidRPr="0022055A">
        <w:rPr>
          <w:rFonts w:eastAsia="Times New Roman" w:cs="Arial"/>
          <w:color w:val="000000"/>
          <w:u w:val="single"/>
          <w:lang w:val="ru-RU"/>
        </w:rPr>
        <w:t xml:space="preserve">), </w:t>
      </w:r>
      <w:r w:rsidRPr="0022055A">
        <w:rPr>
          <w:rFonts w:eastAsia="Times New Roman" w:cs="Arial"/>
          <w:color w:val="000000"/>
          <w:u w:val="single"/>
          <w:lang w:eastAsia="bg-BG"/>
        </w:rPr>
        <w:t>при които има нужда от специални схеми на прилагане:</w:t>
      </w:r>
    </w:p>
    <w:p w14:paraId="013B22F3" w14:textId="77777777" w:rsidR="0022055A" w:rsidRPr="0022055A" w:rsidRDefault="0022055A" w:rsidP="0022055A">
      <w:pPr>
        <w:spacing w:line="240" w:lineRule="auto"/>
        <w:rPr>
          <w:rFonts w:eastAsia="Times New Roman" w:cs="Arial"/>
          <w:color w:val="000000"/>
          <w:lang w:eastAsia="bg-BG"/>
        </w:rPr>
      </w:pPr>
    </w:p>
    <w:p w14:paraId="5D1D5B54" w14:textId="23655358" w:rsidR="0022055A" w:rsidRPr="0022055A" w:rsidRDefault="0022055A" w:rsidP="0022055A">
      <w:pPr>
        <w:spacing w:line="240" w:lineRule="auto"/>
        <w:rPr>
          <w:rFonts w:eastAsia="Times New Roman" w:cs="Arial"/>
        </w:rPr>
      </w:pPr>
      <w:r w:rsidRPr="0022055A">
        <w:rPr>
          <w:rFonts w:eastAsia="Times New Roman" w:cs="Arial"/>
          <w:color w:val="000000"/>
          <w:lang w:eastAsia="bg-BG"/>
        </w:rPr>
        <w:t>Остър среден отит</w:t>
      </w:r>
    </w:p>
    <w:p w14:paraId="4A459FE0" w14:textId="77777777" w:rsidR="0022055A" w:rsidRPr="0022055A" w:rsidRDefault="0022055A" w:rsidP="0022055A">
      <w:pPr>
        <w:spacing w:line="240" w:lineRule="auto"/>
        <w:rPr>
          <w:rFonts w:eastAsia="Times New Roman" w:cs="Arial"/>
        </w:rPr>
      </w:pPr>
      <w:r w:rsidRPr="0022055A">
        <w:rPr>
          <w:rFonts w:eastAsia="Times New Roman" w:cs="Arial"/>
          <w:color w:val="000000"/>
          <w:lang w:eastAsia="bg-BG"/>
        </w:rPr>
        <w:lastRenderedPageBreak/>
        <w:t>Може да се приложи единична доза Цефтриаксон</w:t>
      </w:r>
      <w:r w:rsidRPr="0022055A">
        <w:rPr>
          <w:rFonts w:eastAsia="Times New Roman" w:cs="Arial"/>
          <w:color w:val="000000"/>
          <w:lang w:val="ru-RU"/>
        </w:rPr>
        <w:t>-</w:t>
      </w:r>
      <w:r w:rsidRPr="0022055A">
        <w:rPr>
          <w:rFonts w:eastAsia="Times New Roman" w:cs="Arial"/>
          <w:color w:val="000000"/>
          <w:lang w:val="en-US"/>
        </w:rPr>
        <w:t>MIP</w:t>
      </w:r>
      <w:r w:rsidRPr="0022055A">
        <w:rPr>
          <w:rFonts w:eastAsia="Times New Roman" w:cs="Arial"/>
          <w:color w:val="000000"/>
          <w:lang w:val="ru-RU"/>
        </w:rPr>
        <w:t xml:space="preserve"> </w:t>
      </w:r>
      <w:r w:rsidRPr="0022055A">
        <w:rPr>
          <w:rFonts w:eastAsia="Times New Roman" w:cs="Arial"/>
          <w:color w:val="000000"/>
          <w:lang w:eastAsia="bg-BG"/>
        </w:rPr>
        <w:t xml:space="preserve">1-2 </w:t>
      </w:r>
      <w:r w:rsidRPr="0022055A">
        <w:rPr>
          <w:rFonts w:eastAsia="Times New Roman" w:cs="Arial"/>
          <w:color w:val="000000"/>
          <w:lang w:val="en-US"/>
        </w:rPr>
        <w:t>g</w:t>
      </w:r>
      <w:r w:rsidRPr="0022055A">
        <w:rPr>
          <w:rFonts w:eastAsia="Times New Roman" w:cs="Arial"/>
          <w:color w:val="000000"/>
          <w:lang w:val="ru-RU"/>
        </w:rPr>
        <w:t xml:space="preserve"> </w:t>
      </w:r>
      <w:r w:rsidRPr="0022055A">
        <w:rPr>
          <w:rFonts w:eastAsia="Times New Roman" w:cs="Arial"/>
          <w:color w:val="000000"/>
          <w:lang w:eastAsia="bg-BG"/>
        </w:rPr>
        <w:t>интрамускулно. Ограничени данни показват, че в случаи, когато пациентът е с тежко заболяване или предходното лечение не е било успешно, Цефтриаксон</w:t>
      </w:r>
      <w:r w:rsidRPr="0022055A">
        <w:rPr>
          <w:rFonts w:eastAsia="Times New Roman" w:cs="Arial"/>
          <w:color w:val="000000"/>
          <w:lang w:val="ru-RU"/>
        </w:rPr>
        <w:t>-</w:t>
      </w:r>
      <w:r w:rsidRPr="0022055A">
        <w:rPr>
          <w:rFonts w:eastAsia="Times New Roman" w:cs="Arial"/>
          <w:color w:val="000000"/>
          <w:lang w:val="en-US"/>
        </w:rPr>
        <w:t>MIP</w:t>
      </w:r>
      <w:r w:rsidRPr="0022055A">
        <w:rPr>
          <w:rFonts w:eastAsia="Times New Roman" w:cs="Arial"/>
          <w:color w:val="000000"/>
          <w:lang w:val="ru-RU"/>
        </w:rPr>
        <w:t xml:space="preserve"> </w:t>
      </w:r>
      <w:r w:rsidRPr="0022055A">
        <w:rPr>
          <w:rFonts w:eastAsia="Times New Roman" w:cs="Arial"/>
          <w:color w:val="000000"/>
          <w:lang w:eastAsia="bg-BG"/>
        </w:rPr>
        <w:t xml:space="preserve">може да е ефективен при прилагане на доза 1-2 </w:t>
      </w:r>
      <w:r w:rsidRPr="0022055A">
        <w:rPr>
          <w:rFonts w:eastAsia="Times New Roman" w:cs="Arial"/>
          <w:color w:val="000000"/>
          <w:lang w:val="en-US"/>
        </w:rPr>
        <w:t>g</w:t>
      </w:r>
      <w:r w:rsidRPr="0022055A">
        <w:rPr>
          <w:rFonts w:eastAsia="Times New Roman" w:cs="Arial"/>
          <w:color w:val="000000"/>
          <w:lang w:val="ru-RU"/>
        </w:rPr>
        <w:t xml:space="preserve"> </w:t>
      </w:r>
      <w:r w:rsidRPr="0022055A">
        <w:rPr>
          <w:rFonts w:eastAsia="Times New Roman" w:cs="Arial"/>
          <w:color w:val="000000"/>
          <w:lang w:eastAsia="bg-BG"/>
        </w:rPr>
        <w:t>дневно интрамускулно в продължение на 3</w:t>
      </w:r>
      <w:r w:rsidRPr="0022055A">
        <w:rPr>
          <w:rFonts w:eastAsia="Times New Roman" w:cs="Arial"/>
          <w:i/>
          <w:iCs/>
          <w:color w:val="000000"/>
          <w:lang w:eastAsia="bg-BG"/>
        </w:rPr>
        <w:t xml:space="preserve"> дни.</w:t>
      </w:r>
    </w:p>
    <w:p w14:paraId="0A7E1E84" w14:textId="77777777" w:rsidR="0022055A" w:rsidRPr="0022055A" w:rsidRDefault="0022055A" w:rsidP="0022055A">
      <w:pPr>
        <w:spacing w:line="240" w:lineRule="auto"/>
        <w:rPr>
          <w:rFonts w:eastAsia="Times New Roman" w:cs="Arial"/>
          <w:color w:val="000000"/>
          <w:lang w:eastAsia="bg-BG"/>
        </w:rPr>
      </w:pPr>
    </w:p>
    <w:p w14:paraId="6C131F9A" w14:textId="6E95F8FE" w:rsidR="0022055A" w:rsidRPr="0022055A" w:rsidRDefault="0022055A" w:rsidP="0022055A">
      <w:pPr>
        <w:spacing w:line="240" w:lineRule="auto"/>
        <w:rPr>
          <w:rFonts w:eastAsia="Times New Roman" w:cs="Arial"/>
        </w:rPr>
      </w:pPr>
      <w:r w:rsidRPr="0022055A">
        <w:rPr>
          <w:rFonts w:eastAsia="Times New Roman" w:cs="Arial"/>
          <w:color w:val="000000"/>
          <w:lang w:eastAsia="bg-BG"/>
        </w:rPr>
        <w:t>Предоперативна профилактика на инфекции на оперативното място</w:t>
      </w:r>
    </w:p>
    <w:p w14:paraId="34B03EDF" w14:textId="77777777" w:rsidR="0022055A" w:rsidRPr="0022055A" w:rsidRDefault="0022055A" w:rsidP="0022055A">
      <w:pPr>
        <w:spacing w:line="240" w:lineRule="auto"/>
        <w:rPr>
          <w:rFonts w:eastAsia="Times New Roman" w:cs="Arial"/>
        </w:rPr>
      </w:pPr>
      <w:r w:rsidRPr="0022055A">
        <w:rPr>
          <w:rFonts w:eastAsia="Times New Roman" w:cs="Arial"/>
          <w:color w:val="000000"/>
          <w:lang w:eastAsia="bg-BG"/>
        </w:rPr>
        <w:t xml:space="preserve">2 </w:t>
      </w:r>
      <w:r w:rsidRPr="0022055A">
        <w:rPr>
          <w:rFonts w:eastAsia="Times New Roman" w:cs="Arial"/>
          <w:color w:val="000000"/>
          <w:lang w:val="en-US"/>
        </w:rPr>
        <w:t>g</w:t>
      </w:r>
      <w:r w:rsidRPr="0022055A">
        <w:rPr>
          <w:rFonts w:eastAsia="Times New Roman" w:cs="Arial"/>
          <w:color w:val="000000"/>
          <w:lang w:val="ru-RU"/>
        </w:rPr>
        <w:t xml:space="preserve"> </w:t>
      </w:r>
      <w:r w:rsidRPr="0022055A">
        <w:rPr>
          <w:rFonts w:eastAsia="Times New Roman" w:cs="Arial"/>
          <w:color w:val="000000"/>
          <w:lang w:eastAsia="bg-BG"/>
        </w:rPr>
        <w:t>като единична предоперативна доза.</w:t>
      </w:r>
    </w:p>
    <w:p w14:paraId="6059C2E0" w14:textId="77777777" w:rsidR="0022055A" w:rsidRPr="0022055A" w:rsidRDefault="0022055A" w:rsidP="0022055A">
      <w:pPr>
        <w:spacing w:line="240" w:lineRule="auto"/>
        <w:rPr>
          <w:rFonts w:eastAsia="Times New Roman" w:cs="Arial"/>
          <w:color w:val="000000"/>
          <w:lang w:eastAsia="bg-BG"/>
        </w:rPr>
      </w:pPr>
    </w:p>
    <w:p w14:paraId="6868C873" w14:textId="2FCCD6D0" w:rsidR="0022055A" w:rsidRPr="0022055A" w:rsidRDefault="0022055A" w:rsidP="0022055A">
      <w:pPr>
        <w:spacing w:line="240" w:lineRule="auto"/>
        <w:rPr>
          <w:rFonts w:eastAsia="Times New Roman" w:cs="Arial"/>
        </w:rPr>
      </w:pPr>
      <w:r w:rsidRPr="0022055A">
        <w:rPr>
          <w:rFonts w:eastAsia="Times New Roman" w:cs="Arial"/>
          <w:color w:val="000000"/>
          <w:lang w:eastAsia="bg-BG"/>
        </w:rPr>
        <w:t>Гонорея</w:t>
      </w:r>
    </w:p>
    <w:p w14:paraId="16DEE302" w14:textId="77777777" w:rsidR="0022055A" w:rsidRPr="0022055A" w:rsidRDefault="0022055A" w:rsidP="0022055A">
      <w:pPr>
        <w:spacing w:line="240" w:lineRule="auto"/>
        <w:rPr>
          <w:rFonts w:eastAsia="Times New Roman" w:cs="Arial"/>
        </w:rPr>
      </w:pPr>
      <w:r w:rsidRPr="0022055A">
        <w:rPr>
          <w:rFonts w:eastAsia="Times New Roman" w:cs="Arial"/>
          <w:color w:val="000000"/>
          <w:lang w:eastAsia="bg-BG"/>
        </w:rPr>
        <w:t xml:space="preserve">500 </w:t>
      </w:r>
      <w:r w:rsidRPr="0022055A">
        <w:rPr>
          <w:rFonts w:eastAsia="Times New Roman" w:cs="Arial"/>
          <w:color w:val="000000"/>
          <w:lang w:val="en-US"/>
        </w:rPr>
        <w:t>mg</w:t>
      </w:r>
      <w:r w:rsidRPr="0022055A">
        <w:rPr>
          <w:rFonts w:eastAsia="Times New Roman" w:cs="Arial"/>
          <w:color w:val="000000"/>
          <w:lang w:val="ru-RU"/>
        </w:rPr>
        <w:t xml:space="preserve"> </w:t>
      </w:r>
      <w:r w:rsidRPr="0022055A">
        <w:rPr>
          <w:rFonts w:eastAsia="Times New Roman" w:cs="Arial"/>
          <w:color w:val="000000"/>
          <w:lang w:eastAsia="bg-BG"/>
        </w:rPr>
        <w:t>като единична доза интрамускулно.</w:t>
      </w:r>
    </w:p>
    <w:p w14:paraId="2DAF0E85" w14:textId="77777777" w:rsidR="0022055A" w:rsidRPr="0022055A" w:rsidRDefault="0022055A" w:rsidP="0022055A">
      <w:pPr>
        <w:spacing w:line="240" w:lineRule="auto"/>
        <w:rPr>
          <w:rFonts w:eastAsia="Times New Roman" w:cs="Arial"/>
          <w:color w:val="000000"/>
          <w:lang w:eastAsia="bg-BG"/>
        </w:rPr>
      </w:pPr>
    </w:p>
    <w:p w14:paraId="7FB78788" w14:textId="1671FACB" w:rsidR="0022055A" w:rsidRPr="0022055A" w:rsidRDefault="0022055A" w:rsidP="0022055A">
      <w:pPr>
        <w:spacing w:line="240" w:lineRule="auto"/>
        <w:rPr>
          <w:rFonts w:eastAsia="Times New Roman" w:cs="Arial"/>
        </w:rPr>
      </w:pPr>
      <w:r w:rsidRPr="0022055A">
        <w:rPr>
          <w:rFonts w:eastAsia="Times New Roman" w:cs="Arial"/>
          <w:color w:val="000000"/>
          <w:lang w:eastAsia="bg-BG"/>
        </w:rPr>
        <w:t>Сифилис</w:t>
      </w:r>
    </w:p>
    <w:p w14:paraId="3ED77B5F" w14:textId="3632397E" w:rsidR="0022055A" w:rsidRPr="0022055A" w:rsidRDefault="0022055A" w:rsidP="0022055A">
      <w:pPr>
        <w:spacing w:line="240" w:lineRule="auto"/>
        <w:rPr>
          <w:rFonts w:eastAsia="Times New Roman" w:cs="Arial"/>
        </w:rPr>
      </w:pPr>
      <w:r w:rsidRPr="0022055A">
        <w:rPr>
          <w:rFonts w:eastAsia="Times New Roman" w:cs="Arial"/>
          <w:color w:val="000000"/>
          <w:lang w:eastAsia="bg-BG"/>
        </w:rPr>
        <w:t xml:space="preserve">Принципно препоръчителните дози са 500 </w:t>
      </w:r>
      <w:r w:rsidRPr="0022055A">
        <w:rPr>
          <w:rFonts w:eastAsia="Times New Roman" w:cs="Arial"/>
          <w:color w:val="000000"/>
          <w:lang w:val="en-US"/>
        </w:rPr>
        <w:t>mg</w:t>
      </w:r>
      <w:r w:rsidRPr="0022055A">
        <w:rPr>
          <w:rFonts w:eastAsia="Times New Roman" w:cs="Arial"/>
          <w:color w:val="000000"/>
          <w:lang w:val="ru-RU"/>
        </w:rPr>
        <w:t xml:space="preserve">-1 </w:t>
      </w:r>
      <w:r w:rsidRPr="0022055A">
        <w:rPr>
          <w:rFonts w:eastAsia="Times New Roman" w:cs="Arial"/>
          <w:color w:val="000000"/>
          <w:lang w:val="en-US"/>
        </w:rPr>
        <w:t>g</w:t>
      </w:r>
      <w:r w:rsidRPr="0022055A">
        <w:rPr>
          <w:rFonts w:eastAsia="Times New Roman" w:cs="Arial"/>
          <w:color w:val="000000"/>
          <w:lang w:val="ru-RU"/>
        </w:rPr>
        <w:t xml:space="preserve"> </w:t>
      </w:r>
      <w:r w:rsidRPr="0022055A">
        <w:rPr>
          <w:rFonts w:eastAsia="Times New Roman" w:cs="Arial"/>
          <w:color w:val="000000"/>
          <w:lang w:eastAsia="bg-BG"/>
        </w:rPr>
        <w:t xml:space="preserve">веднъж дневио, с повишаване до 2 </w:t>
      </w:r>
      <w:r w:rsidRPr="0022055A">
        <w:rPr>
          <w:rFonts w:eastAsia="Times New Roman" w:cs="Arial"/>
          <w:color w:val="000000"/>
          <w:lang w:val="en-US"/>
        </w:rPr>
        <w:t>g</w:t>
      </w:r>
      <w:r w:rsidRPr="0022055A">
        <w:rPr>
          <w:rFonts w:eastAsia="Times New Roman" w:cs="Arial"/>
          <w:color w:val="000000"/>
          <w:lang w:val="ru-RU"/>
        </w:rPr>
        <w:t xml:space="preserve"> </w:t>
      </w:r>
      <w:r w:rsidRPr="0022055A">
        <w:rPr>
          <w:rFonts w:eastAsia="Times New Roman" w:cs="Arial"/>
          <w:color w:val="000000"/>
          <w:lang w:eastAsia="bg-BG"/>
        </w:rPr>
        <w:t>веднъж дневно при невросифилис за 10-14 дни. Препоръките за дозата при сифилис, включително невросифилис, се базират на ограничени данни. Трябва да се имат предвид националните или местни указания</w:t>
      </w:r>
    </w:p>
    <w:p w14:paraId="51B7E250" w14:textId="77777777" w:rsidR="0022055A" w:rsidRPr="0022055A" w:rsidRDefault="0022055A" w:rsidP="0022055A">
      <w:pPr>
        <w:rPr>
          <w:rFonts w:eastAsia="Times New Roman" w:cs="Arial"/>
          <w:color w:val="000000"/>
          <w:lang w:eastAsia="bg-BG"/>
        </w:rPr>
      </w:pPr>
    </w:p>
    <w:p w14:paraId="39FBCFF2" w14:textId="77777777" w:rsidR="0022055A" w:rsidRPr="0022055A" w:rsidRDefault="0022055A" w:rsidP="0022055A">
      <w:pPr>
        <w:rPr>
          <w:rFonts w:eastAsia="Times New Roman" w:cs="Arial"/>
        </w:rPr>
      </w:pPr>
      <w:r w:rsidRPr="0022055A">
        <w:rPr>
          <w:rFonts w:eastAsia="Times New Roman" w:cs="Arial"/>
          <w:color w:val="000000"/>
          <w:lang w:eastAsia="bg-BG"/>
        </w:rPr>
        <w:t xml:space="preserve">Дисеминирана лаймска борелиоза (ранна [стадий </w:t>
      </w:r>
      <w:r w:rsidRPr="0022055A">
        <w:rPr>
          <w:rFonts w:eastAsia="Times New Roman" w:cs="Arial"/>
          <w:color w:val="000000"/>
          <w:lang w:val="en-US"/>
        </w:rPr>
        <w:t>II</w:t>
      </w:r>
      <w:r w:rsidRPr="0022055A">
        <w:rPr>
          <w:rFonts w:eastAsia="Times New Roman" w:cs="Arial"/>
          <w:color w:val="000000"/>
          <w:lang w:eastAsia="bg-BG"/>
        </w:rPr>
        <w:t xml:space="preserve">] и късна [стадий </w:t>
      </w:r>
      <w:r w:rsidRPr="0022055A">
        <w:rPr>
          <w:rFonts w:eastAsia="Times New Roman" w:cs="Arial"/>
          <w:color w:val="000000"/>
          <w:lang w:val="en-US"/>
        </w:rPr>
        <w:t>III</w:t>
      </w:r>
      <w:r w:rsidRPr="0022055A">
        <w:rPr>
          <w:rFonts w:eastAsia="Times New Roman" w:cs="Arial"/>
          <w:color w:val="000000"/>
          <w:lang w:val="ru-RU"/>
        </w:rPr>
        <w:t xml:space="preserve">]) </w:t>
      </w:r>
      <w:r w:rsidRPr="0022055A">
        <w:rPr>
          <w:rFonts w:eastAsia="Times New Roman" w:cs="Arial"/>
          <w:color w:val="000000"/>
          <w:lang w:eastAsia="bg-BG"/>
        </w:rPr>
        <w:t xml:space="preserve">2 </w:t>
      </w:r>
      <w:r w:rsidRPr="0022055A">
        <w:rPr>
          <w:rFonts w:eastAsia="Times New Roman" w:cs="Arial"/>
          <w:color w:val="000000"/>
          <w:lang w:val="en-US"/>
        </w:rPr>
        <w:t>g</w:t>
      </w:r>
      <w:r w:rsidRPr="0022055A">
        <w:rPr>
          <w:rFonts w:eastAsia="Times New Roman" w:cs="Arial"/>
          <w:color w:val="000000"/>
          <w:lang w:val="ru-RU"/>
        </w:rPr>
        <w:t xml:space="preserve"> </w:t>
      </w:r>
      <w:r w:rsidRPr="0022055A">
        <w:rPr>
          <w:rFonts w:eastAsia="Times New Roman" w:cs="Arial"/>
          <w:color w:val="000000"/>
          <w:lang w:eastAsia="bg-BG"/>
        </w:rPr>
        <w:t>веднъж дневно за 14-21 дни. Препоръчителната продължителност на лечение е различна и трябва да се имат предвид националните или местни указания.</w:t>
      </w:r>
    </w:p>
    <w:p w14:paraId="25145695" w14:textId="77777777" w:rsidR="0022055A" w:rsidRPr="0022055A" w:rsidRDefault="0022055A" w:rsidP="0022055A">
      <w:pPr>
        <w:rPr>
          <w:rFonts w:eastAsia="Times New Roman" w:cs="Arial"/>
        </w:rPr>
      </w:pPr>
    </w:p>
    <w:p w14:paraId="78204F48" w14:textId="0C654BA9" w:rsidR="0022055A" w:rsidRPr="0022055A" w:rsidRDefault="0022055A" w:rsidP="0022055A">
      <w:pPr>
        <w:rPr>
          <w:rFonts w:eastAsia="Times New Roman" w:cs="Arial"/>
        </w:rPr>
      </w:pPr>
      <w:r w:rsidRPr="0022055A">
        <w:rPr>
          <w:rFonts w:eastAsia="Times New Roman" w:cs="Arial"/>
          <w:i/>
          <w:iCs/>
          <w:color w:val="000000"/>
          <w:u w:val="single"/>
          <w:lang w:eastAsia="bg-BG"/>
        </w:rPr>
        <w:t>Педиатрична популация</w:t>
      </w:r>
    </w:p>
    <w:p w14:paraId="0A8E83A8" w14:textId="184A50D9" w:rsidR="0022055A" w:rsidRPr="0022055A" w:rsidRDefault="0022055A" w:rsidP="0022055A">
      <w:pPr>
        <w:spacing w:line="240" w:lineRule="auto"/>
        <w:rPr>
          <w:rFonts w:eastAsia="Times New Roman" w:cs="Arial"/>
        </w:rPr>
      </w:pPr>
      <w:r w:rsidRPr="0022055A">
        <w:rPr>
          <w:rFonts w:eastAsia="Times New Roman" w:cs="Arial"/>
          <w:i/>
          <w:iCs/>
          <w:color w:val="000000"/>
          <w:lang w:eastAsia="bg-BG"/>
        </w:rPr>
        <w:t xml:space="preserve">Новородени, кърмачета и деца на възраст от 15 дни до 12 години (&lt; </w:t>
      </w:r>
      <w:r w:rsidRPr="0022055A">
        <w:rPr>
          <w:rFonts w:eastAsia="Times New Roman" w:cs="Arial"/>
          <w:i/>
          <w:iCs/>
          <w:color w:val="000000"/>
          <w:lang w:val="ru-RU"/>
        </w:rPr>
        <w:t xml:space="preserve">50 </w:t>
      </w:r>
      <w:r w:rsidRPr="0022055A">
        <w:rPr>
          <w:rFonts w:eastAsia="Times New Roman" w:cs="Arial"/>
          <w:i/>
          <w:iCs/>
          <w:color w:val="000000"/>
          <w:lang w:val="en-US"/>
        </w:rPr>
        <w:t>kg</w:t>
      </w:r>
      <w:r w:rsidRPr="0022055A">
        <w:rPr>
          <w:rFonts w:eastAsia="Times New Roman" w:cs="Arial"/>
          <w:i/>
          <w:iCs/>
          <w:color w:val="000000"/>
          <w:lang w:val="ru-RU"/>
        </w:rPr>
        <w:t>)</w:t>
      </w:r>
    </w:p>
    <w:p w14:paraId="185D794F" w14:textId="69C7D75B" w:rsidR="0022055A" w:rsidRDefault="0022055A" w:rsidP="0022055A">
      <w:pPr>
        <w:spacing w:line="240" w:lineRule="auto"/>
        <w:rPr>
          <w:rFonts w:eastAsia="Times New Roman" w:cs="Arial"/>
          <w:color w:val="000000"/>
          <w:lang w:eastAsia="bg-BG"/>
        </w:rPr>
      </w:pPr>
      <w:r w:rsidRPr="0022055A">
        <w:rPr>
          <w:rFonts w:eastAsia="Times New Roman" w:cs="Arial"/>
          <w:color w:val="000000"/>
          <w:lang w:eastAsia="bg-BG"/>
        </w:rPr>
        <w:t xml:space="preserve">За деца с телесно тегло 50 </w:t>
      </w:r>
      <w:r w:rsidRPr="0022055A">
        <w:rPr>
          <w:rFonts w:eastAsia="Times New Roman" w:cs="Arial"/>
          <w:color w:val="000000"/>
          <w:lang w:val="en-US"/>
        </w:rPr>
        <w:t>kg</w:t>
      </w:r>
      <w:r w:rsidRPr="0022055A">
        <w:rPr>
          <w:rFonts w:eastAsia="Times New Roman" w:cs="Arial"/>
          <w:color w:val="000000"/>
          <w:lang w:val="ru-RU"/>
        </w:rPr>
        <w:t xml:space="preserve"> </w:t>
      </w:r>
      <w:r w:rsidRPr="0022055A">
        <w:rPr>
          <w:rFonts w:eastAsia="Times New Roman" w:cs="Arial"/>
          <w:color w:val="000000"/>
          <w:lang w:eastAsia="bg-BG"/>
        </w:rPr>
        <w:t>или повече трябва да се дава обичайната доза за възрастни.</w:t>
      </w:r>
    </w:p>
    <w:p w14:paraId="329DABC1" w14:textId="65D2E1F4" w:rsidR="0022055A" w:rsidRDefault="0022055A" w:rsidP="0022055A">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3112"/>
        <w:gridCol w:w="3099"/>
        <w:gridCol w:w="3139"/>
      </w:tblGrid>
      <w:tr w:rsidR="0022055A" w14:paraId="3F2AB9F7" w14:textId="77777777" w:rsidTr="0022055A">
        <w:tc>
          <w:tcPr>
            <w:tcW w:w="3192" w:type="dxa"/>
          </w:tcPr>
          <w:p w14:paraId="439AA6A3" w14:textId="52966683" w:rsidR="0022055A" w:rsidRPr="0022055A" w:rsidRDefault="0022055A" w:rsidP="0022055A">
            <w:pPr>
              <w:spacing w:line="240" w:lineRule="auto"/>
              <w:rPr>
                <w:rFonts w:eastAsia="Times New Roman" w:cs="Arial"/>
              </w:rPr>
            </w:pPr>
            <w:r w:rsidRPr="0022055A">
              <w:rPr>
                <w:b/>
                <w:bCs/>
                <w:szCs w:val="20"/>
              </w:rPr>
              <w:t>Дозировка на цефтрнаксон*</w:t>
            </w:r>
          </w:p>
        </w:tc>
        <w:tc>
          <w:tcPr>
            <w:tcW w:w="3192" w:type="dxa"/>
          </w:tcPr>
          <w:p w14:paraId="1EF79DE6" w14:textId="6EE79929" w:rsidR="0022055A" w:rsidRPr="0022055A" w:rsidRDefault="0022055A" w:rsidP="0022055A">
            <w:pPr>
              <w:spacing w:line="240" w:lineRule="auto"/>
              <w:rPr>
                <w:rFonts w:eastAsia="Times New Roman" w:cs="Arial"/>
              </w:rPr>
            </w:pPr>
            <w:r w:rsidRPr="0022055A">
              <w:rPr>
                <w:b/>
                <w:bCs/>
                <w:szCs w:val="20"/>
              </w:rPr>
              <w:t>Честота на прилагане**</w:t>
            </w:r>
          </w:p>
        </w:tc>
        <w:tc>
          <w:tcPr>
            <w:tcW w:w="3192" w:type="dxa"/>
          </w:tcPr>
          <w:p w14:paraId="1C713C80" w14:textId="45EBB779" w:rsidR="0022055A" w:rsidRPr="0022055A" w:rsidRDefault="0022055A" w:rsidP="0022055A">
            <w:pPr>
              <w:spacing w:line="240" w:lineRule="auto"/>
              <w:rPr>
                <w:rFonts w:eastAsia="Times New Roman" w:cs="Arial"/>
              </w:rPr>
            </w:pPr>
            <w:r w:rsidRPr="0022055A">
              <w:rPr>
                <w:b/>
                <w:bCs/>
                <w:szCs w:val="20"/>
              </w:rPr>
              <w:t>Показания</w:t>
            </w:r>
          </w:p>
        </w:tc>
      </w:tr>
      <w:tr w:rsidR="0022055A" w14:paraId="2EF288D7" w14:textId="77777777" w:rsidTr="0022055A">
        <w:tc>
          <w:tcPr>
            <w:tcW w:w="3192" w:type="dxa"/>
            <w:vMerge w:val="restart"/>
          </w:tcPr>
          <w:p w14:paraId="652D0CCC" w14:textId="7EEA8747" w:rsidR="0022055A" w:rsidRPr="0022055A" w:rsidRDefault="0022055A" w:rsidP="0022055A">
            <w:pPr>
              <w:spacing w:line="240" w:lineRule="auto"/>
              <w:rPr>
                <w:rFonts w:eastAsia="Times New Roman" w:cs="Arial"/>
              </w:rPr>
            </w:pPr>
            <w:r w:rsidRPr="0022055A">
              <w:rPr>
                <w:szCs w:val="20"/>
              </w:rPr>
              <w:t xml:space="preserve">50-80 </w:t>
            </w:r>
            <w:r w:rsidRPr="0022055A">
              <w:rPr>
                <w:szCs w:val="20"/>
                <w:lang w:val="en-US"/>
              </w:rPr>
              <w:t>mg/kg</w:t>
            </w:r>
          </w:p>
        </w:tc>
        <w:tc>
          <w:tcPr>
            <w:tcW w:w="3192" w:type="dxa"/>
            <w:vMerge w:val="restart"/>
          </w:tcPr>
          <w:p w14:paraId="0C50E6AC" w14:textId="0654A555" w:rsidR="0022055A" w:rsidRPr="0022055A" w:rsidRDefault="0022055A" w:rsidP="0022055A">
            <w:pPr>
              <w:spacing w:line="240" w:lineRule="auto"/>
              <w:rPr>
                <w:rFonts w:eastAsia="Times New Roman" w:cs="Arial"/>
              </w:rPr>
            </w:pPr>
            <w:r w:rsidRPr="0022055A">
              <w:rPr>
                <w:szCs w:val="20"/>
              </w:rPr>
              <w:t>Веднъж дневно</w:t>
            </w:r>
          </w:p>
        </w:tc>
        <w:tc>
          <w:tcPr>
            <w:tcW w:w="3192" w:type="dxa"/>
          </w:tcPr>
          <w:p w14:paraId="16AE11EE" w14:textId="78576F23" w:rsidR="0022055A" w:rsidRPr="0022055A" w:rsidRDefault="0022055A" w:rsidP="0022055A">
            <w:pPr>
              <w:spacing w:line="240" w:lineRule="auto"/>
              <w:rPr>
                <w:rFonts w:eastAsia="Times New Roman" w:cs="Arial"/>
              </w:rPr>
            </w:pPr>
            <w:r w:rsidRPr="0022055A">
              <w:rPr>
                <w:szCs w:val="20"/>
              </w:rPr>
              <w:t>Интраабдоминални инфекции</w:t>
            </w:r>
          </w:p>
        </w:tc>
      </w:tr>
      <w:tr w:rsidR="0022055A" w14:paraId="26A6BE4E" w14:textId="77777777" w:rsidTr="0022055A">
        <w:tc>
          <w:tcPr>
            <w:tcW w:w="3192" w:type="dxa"/>
            <w:vMerge/>
          </w:tcPr>
          <w:p w14:paraId="29786E7B" w14:textId="77777777" w:rsidR="0022055A" w:rsidRPr="0022055A" w:rsidRDefault="0022055A" w:rsidP="0022055A">
            <w:pPr>
              <w:spacing w:line="240" w:lineRule="auto"/>
              <w:rPr>
                <w:rFonts w:eastAsia="Times New Roman" w:cs="Arial"/>
              </w:rPr>
            </w:pPr>
          </w:p>
        </w:tc>
        <w:tc>
          <w:tcPr>
            <w:tcW w:w="3192" w:type="dxa"/>
            <w:vMerge/>
          </w:tcPr>
          <w:p w14:paraId="0C333E60" w14:textId="77777777" w:rsidR="0022055A" w:rsidRPr="0022055A" w:rsidRDefault="0022055A" w:rsidP="0022055A">
            <w:pPr>
              <w:spacing w:line="240" w:lineRule="auto"/>
              <w:rPr>
                <w:rFonts w:eastAsia="Times New Roman" w:cs="Arial"/>
              </w:rPr>
            </w:pPr>
          </w:p>
        </w:tc>
        <w:tc>
          <w:tcPr>
            <w:tcW w:w="3192" w:type="dxa"/>
          </w:tcPr>
          <w:p w14:paraId="24ECAC9D" w14:textId="4D4F99EF" w:rsidR="0022055A" w:rsidRPr="0022055A" w:rsidRDefault="0022055A" w:rsidP="0022055A">
            <w:pPr>
              <w:spacing w:line="240" w:lineRule="auto"/>
              <w:rPr>
                <w:rFonts w:eastAsia="Times New Roman" w:cs="Arial"/>
              </w:rPr>
            </w:pPr>
            <w:r w:rsidRPr="0022055A">
              <w:rPr>
                <w:szCs w:val="20"/>
              </w:rPr>
              <w:t>Усложнени инфекции на пикочните пътища (включително пиелонефриг)</w:t>
            </w:r>
          </w:p>
        </w:tc>
      </w:tr>
      <w:tr w:rsidR="0022055A" w14:paraId="4D158306" w14:textId="77777777" w:rsidTr="0022055A">
        <w:tc>
          <w:tcPr>
            <w:tcW w:w="3192" w:type="dxa"/>
            <w:vMerge/>
          </w:tcPr>
          <w:p w14:paraId="65DF83CF" w14:textId="77777777" w:rsidR="0022055A" w:rsidRPr="0022055A" w:rsidRDefault="0022055A" w:rsidP="0022055A">
            <w:pPr>
              <w:spacing w:line="240" w:lineRule="auto"/>
              <w:rPr>
                <w:rFonts w:eastAsia="Times New Roman" w:cs="Arial"/>
              </w:rPr>
            </w:pPr>
          </w:p>
        </w:tc>
        <w:tc>
          <w:tcPr>
            <w:tcW w:w="3192" w:type="dxa"/>
            <w:vMerge/>
          </w:tcPr>
          <w:p w14:paraId="4AD0955C" w14:textId="77777777" w:rsidR="0022055A" w:rsidRPr="0022055A" w:rsidRDefault="0022055A" w:rsidP="0022055A">
            <w:pPr>
              <w:spacing w:line="240" w:lineRule="auto"/>
              <w:rPr>
                <w:rFonts w:eastAsia="Times New Roman" w:cs="Arial"/>
              </w:rPr>
            </w:pPr>
          </w:p>
        </w:tc>
        <w:tc>
          <w:tcPr>
            <w:tcW w:w="3192" w:type="dxa"/>
          </w:tcPr>
          <w:p w14:paraId="3EFEB93F" w14:textId="01D1485C" w:rsidR="0022055A" w:rsidRPr="0022055A" w:rsidRDefault="0022055A" w:rsidP="0022055A">
            <w:pPr>
              <w:spacing w:line="240" w:lineRule="auto"/>
              <w:rPr>
                <w:rFonts w:eastAsia="Times New Roman" w:cs="Arial"/>
              </w:rPr>
            </w:pPr>
            <w:r w:rsidRPr="0022055A">
              <w:rPr>
                <w:szCs w:val="20"/>
              </w:rPr>
              <w:t>Пневмония, придобита в обществото</w:t>
            </w:r>
          </w:p>
        </w:tc>
      </w:tr>
      <w:tr w:rsidR="0022055A" w14:paraId="1D2A6FCA" w14:textId="77777777" w:rsidTr="0022055A">
        <w:tc>
          <w:tcPr>
            <w:tcW w:w="3192" w:type="dxa"/>
            <w:vMerge/>
          </w:tcPr>
          <w:p w14:paraId="4D504E8D" w14:textId="77777777" w:rsidR="0022055A" w:rsidRPr="0022055A" w:rsidRDefault="0022055A" w:rsidP="0022055A">
            <w:pPr>
              <w:spacing w:line="240" w:lineRule="auto"/>
              <w:rPr>
                <w:rFonts w:eastAsia="Times New Roman" w:cs="Arial"/>
              </w:rPr>
            </w:pPr>
          </w:p>
        </w:tc>
        <w:tc>
          <w:tcPr>
            <w:tcW w:w="3192" w:type="dxa"/>
            <w:vMerge/>
          </w:tcPr>
          <w:p w14:paraId="1CE25B1B" w14:textId="77777777" w:rsidR="0022055A" w:rsidRPr="0022055A" w:rsidRDefault="0022055A" w:rsidP="0022055A">
            <w:pPr>
              <w:spacing w:line="240" w:lineRule="auto"/>
              <w:rPr>
                <w:rFonts w:eastAsia="Times New Roman" w:cs="Arial"/>
              </w:rPr>
            </w:pPr>
          </w:p>
        </w:tc>
        <w:tc>
          <w:tcPr>
            <w:tcW w:w="3192" w:type="dxa"/>
          </w:tcPr>
          <w:p w14:paraId="32CDD328" w14:textId="54D19F6D" w:rsidR="0022055A" w:rsidRPr="0022055A" w:rsidRDefault="0022055A" w:rsidP="0022055A">
            <w:pPr>
              <w:spacing w:line="240" w:lineRule="auto"/>
              <w:rPr>
                <w:rFonts w:eastAsia="Times New Roman" w:cs="Arial"/>
              </w:rPr>
            </w:pPr>
            <w:r w:rsidRPr="0022055A">
              <w:rPr>
                <w:szCs w:val="20"/>
              </w:rPr>
              <w:t>Нозокомиална пневмония</w:t>
            </w:r>
          </w:p>
        </w:tc>
      </w:tr>
      <w:tr w:rsidR="0022055A" w14:paraId="29F69525" w14:textId="77777777" w:rsidTr="0022055A">
        <w:tc>
          <w:tcPr>
            <w:tcW w:w="3192" w:type="dxa"/>
            <w:vMerge w:val="restart"/>
          </w:tcPr>
          <w:p w14:paraId="000F4C16" w14:textId="1D323D35" w:rsidR="0022055A" w:rsidRPr="0022055A" w:rsidRDefault="0022055A" w:rsidP="0022055A">
            <w:pPr>
              <w:spacing w:line="240" w:lineRule="auto"/>
              <w:rPr>
                <w:rFonts w:eastAsia="Times New Roman" w:cs="Arial"/>
              </w:rPr>
            </w:pPr>
            <w:r w:rsidRPr="0022055A">
              <w:rPr>
                <w:szCs w:val="20"/>
              </w:rPr>
              <w:t xml:space="preserve">50-100 </w:t>
            </w:r>
            <w:r w:rsidRPr="0022055A">
              <w:rPr>
                <w:szCs w:val="20"/>
                <w:lang w:val="en-US"/>
              </w:rPr>
              <w:t xml:space="preserve">mg/kg </w:t>
            </w:r>
            <w:r w:rsidRPr="0022055A">
              <w:rPr>
                <w:szCs w:val="20"/>
              </w:rPr>
              <w:t xml:space="preserve">(макс. 4 </w:t>
            </w:r>
            <w:r w:rsidRPr="0022055A">
              <w:rPr>
                <w:szCs w:val="20"/>
                <w:lang w:val="en-US"/>
              </w:rPr>
              <w:t>g)</w:t>
            </w:r>
          </w:p>
        </w:tc>
        <w:tc>
          <w:tcPr>
            <w:tcW w:w="3192" w:type="dxa"/>
            <w:vMerge w:val="restart"/>
          </w:tcPr>
          <w:p w14:paraId="65E6A834" w14:textId="2B62DBE5" w:rsidR="0022055A" w:rsidRPr="0022055A" w:rsidRDefault="0022055A" w:rsidP="0022055A">
            <w:pPr>
              <w:spacing w:line="240" w:lineRule="auto"/>
              <w:rPr>
                <w:rFonts w:eastAsia="Times New Roman" w:cs="Arial"/>
              </w:rPr>
            </w:pPr>
            <w:r w:rsidRPr="0022055A">
              <w:rPr>
                <w:szCs w:val="20"/>
              </w:rPr>
              <w:t>Веднъж дневно</w:t>
            </w:r>
          </w:p>
        </w:tc>
        <w:tc>
          <w:tcPr>
            <w:tcW w:w="3192" w:type="dxa"/>
          </w:tcPr>
          <w:p w14:paraId="5CCFC648" w14:textId="0A9A982B" w:rsidR="0022055A" w:rsidRPr="0022055A" w:rsidRDefault="0022055A" w:rsidP="0022055A">
            <w:pPr>
              <w:spacing w:line="240" w:lineRule="auto"/>
              <w:rPr>
                <w:rFonts w:eastAsia="Times New Roman" w:cs="Arial"/>
              </w:rPr>
            </w:pPr>
            <w:r w:rsidRPr="0022055A">
              <w:rPr>
                <w:szCs w:val="20"/>
              </w:rPr>
              <w:t>Усложнени инфекции на кожата и меките тъкани</w:t>
            </w:r>
          </w:p>
        </w:tc>
      </w:tr>
      <w:tr w:rsidR="0022055A" w14:paraId="55254E40" w14:textId="77777777" w:rsidTr="0022055A">
        <w:tc>
          <w:tcPr>
            <w:tcW w:w="3192" w:type="dxa"/>
            <w:vMerge/>
          </w:tcPr>
          <w:p w14:paraId="73C46FE0" w14:textId="77777777" w:rsidR="0022055A" w:rsidRPr="0022055A" w:rsidRDefault="0022055A" w:rsidP="0022055A">
            <w:pPr>
              <w:spacing w:line="240" w:lineRule="auto"/>
              <w:rPr>
                <w:rFonts w:eastAsia="Times New Roman" w:cs="Arial"/>
              </w:rPr>
            </w:pPr>
          </w:p>
        </w:tc>
        <w:tc>
          <w:tcPr>
            <w:tcW w:w="3192" w:type="dxa"/>
            <w:vMerge/>
          </w:tcPr>
          <w:p w14:paraId="5204D07F" w14:textId="77777777" w:rsidR="0022055A" w:rsidRPr="0022055A" w:rsidRDefault="0022055A" w:rsidP="0022055A">
            <w:pPr>
              <w:spacing w:line="240" w:lineRule="auto"/>
              <w:rPr>
                <w:rFonts w:eastAsia="Times New Roman" w:cs="Arial"/>
              </w:rPr>
            </w:pPr>
          </w:p>
        </w:tc>
        <w:tc>
          <w:tcPr>
            <w:tcW w:w="3192" w:type="dxa"/>
          </w:tcPr>
          <w:p w14:paraId="1DBF762D" w14:textId="67CC5108" w:rsidR="0022055A" w:rsidRPr="0022055A" w:rsidRDefault="0022055A" w:rsidP="0022055A">
            <w:pPr>
              <w:spacing w:line="240" w:lineRule="auto"/>
              <w:rPr>
                <w:rFonts w:eastAsia="Times New Roman" w:cs="Arial"/>
              </w:rPr>
            </w:pPr>
            <w:r w:rsidRPr="0022055A">
              <w:rPr>
                <w:szCs w:val="20"/>
              </w:rPr>
              <w:t>Инфекции на костите и ставите</w:t>
            </w:r>
          </w:p>
        </w:tc>
      </w:tr>
      <w:tr w:rsidR="0022055A" w14:paraId="4796B436" w14:textId="77777777" w:rsidTr="0022055A">
        <w:tc>
          <w:tcPr>
            <w:tcW w:w="3192" w:type="dxa"/>
            <w:vMerge/>
          </w:tcPr>
          <w:p w14:paraId="1337C60B" w14:textId="77777777" w:rsidR="0022055A" w:rsidRPr="0022055A" w:rsidRDefault="0022055A" w:rsidP="0022055A">
            <w:pPr>
              <w:spacing w:line="240" w:lineRule="auto"/>
              <w:rPr>
                <w:rFonts w:eastAsia="Times New Roman" w:cs="Arial"/>
              </w:rPr>
            </w:pPr>
          </w:p>
        </w:tc>
        <w:tc>
          <w:tcPr>
            <w:tcW w:w="3192" w:type="dxa"/>
            <w:vMerge/>
          </w:tcPr>
          <w:p w14:paraId="5DB550D6" w14:textId="77777777" w:rsidR="0022055A" w:rsidRPr="0022055A" w:rsidRDefault="0022055A" w:rsidP="0022055A">
            <w:pPr>
              <w:spacing w:line="240" w:lineRule="auto"/>
              <w:rPr>
                <w:rFonts w:eastAsia="Times New Roman" w:cs="Arial"/>
              </w:rPr>
            </w:pPr>
          </w:p>
        </w:tc>
        <w:tc>
          <w:tcPr>
            <w:tcW w:w="3192" w:type="dxa"/>
          </w:tcPr>
          <w:p w14:paraId="0FEB0E77" w14:textId="244D8E94" w:rsidR="0022055A" w:rsidRPr="0022055A" w:rsidRDefault="0022055A" w:rsidP="0022055A">
            <w:pPr>
              <w:spacing w:line="240" w:lineRule="auto"/>
              <w:rPr>
                <w:rFonts w:eastAsia="Times New Roman" w:cs="Arial"/>
              </w:rPr>
            </w:pPr>
            <w:r w:rsidRPr="0022055A">
              <w:rPr>
                <w:szCs w:val="20"/>
              </w:rPr>
              <w:t>Лечение на пациенти с фебрилна неутропения, за която се подозира, че се дължи на бактериална инфекция</w:t>
            </w:r>
          </w:p>
        </w:tc>
      </w:tr>
      <w:tr w:rsidR="0022055A" w14:paraId="4398265F" w14:textId="77777777" w:rsidTr="0022055A">
        <w:tc>
          <w:tcPr>
            <w:tcW w:w="3192" w:type="dxa"/>
          </w:tcPr>
          <w:p w14:paraId="7B8C524E" w14:textId="4E63821B" w:rsidR="0022055A" w:rsidRPr="0022055A" w:rsidRDefault="0022055A" w:rsidP="0022055A">
            <w:pPr>
              <w:spacing w:line="240" w:lineRule="auto"/>
              <w:rPr>
                <w:rFonts w:eastAsia="Times New Roman" w:cs="Arial"/>
              </w:rPr>
            </w:pPr>
            <w:r w:rsidRPr="0022055A">
              <w:rPr>
                <w:szCs w:val="20"/>
              </w:rPr>
              <w:t xml:space="preserve">80-100 </w:t>
            </w:r>
            <w:r w:rsidRPr="0022055A">
              <w:rPr>
                <w:szCs w:val="20"/>
                <w:lang w:val="en-US"/>
              </w:rPr>
              <w:t xml:space="preserve">mg/kg </w:t>
            </w:r>
            <w:r w:rsidRPr="0022055A">
              <w:rPr>
                <w:szCs w:val="20"/>
              </w:rPr>
              <w:t xml:space="preserve">(макс. 4 </w:t>
            </w:r>
            <w:r w:rsidRPr="0022055A">
              <w:rPr>
                <w:szCs w:val="20"/>
                <w:lang w:val="en-US"/>
              </w:rPr>
              <w:t>g)</w:t>
            </w:r>
          </w:p>
        </w:tc>
        <w:tc>
          <w:tcPr>
            <w:tcW w:w="3192" w:type="dxa"/>
          </w:tcPr>
          <w:p w14:paraId="513E809B" w14:textId="5A832471" w:rsidR="0022055A" w:rsidRPr="0022055A" w:rsidRDefault="0022055A" w:rsidP="0022055A">
            <w:pPr>
              <w:spacing w:line="240" w:lineRule="auto"/>
              <w:rPr>
                <w:rFonts w:eastAsia="Times New Roman" w:cs="Arial"/>
              </w:rPr>
            </w:pPr>
            <w:r w:rsidRPr="0022055A">
              <w:rPr>
                <w:szCs w:val="20"/>
              </w:rPr>
              <w:t>Веднъж дневно</w:t>
            </w:r>
          </w:p>
        </w:tc>
        <w:tc>
          <w:tcPr>
            <w:tcW w:w="3192" w:type="dxa"/>
          </w:tcPr>
          <w:p w14:paraId="65D8A754" w14:textId="7419ECB2" w:rsidR="0022055A" w:rsidRPr="0022055A" w:rsidRDefault="0022055A" w:rsidP="0022055A">
            <w:pPr>
              <w:spacing w:line="240" w:lineRule="auto"/>
              <w:rPr>
                <w:rFonts w:eastAsia="Times New Roman" w:cs="Arial"/>
              </w:rPr>
            </w:pPr>
            <w:r w:rsidRPr="0022055A">
              <w:rPr>
                <w:szCs w:val="20"/>
              </w:rPr>
              <w:t>Бактериален менингит</w:t>
            </w:r>
          </w:p>
        </w:tc>
      </w:tr>
      <w:tr w:rsidR="0022055A" w14:paraId="71BFEC3B" w14:textId="77777777" w:rsidTr="0022055A">
        <w:tc>
          <w:tcPr>
            <w:tcW w:w="3192" w:type="dxa"/>
          </w:tcPr>
          <w:p w14:paraId="3F04D0B8" w14:textId="219A6D37" w:rsidR="0022055A" w:rsidRPr="0022055A" w:rsidRDefault="0022055A" w:rsidP="0022055A">
            <w:pPr>
              <w:spacing w:line="240" w:lineRule="auto"/>
              <w:rPr>
                <w:rFonts w:eastAsia="Times New Roman" w:cs="Arial"/>
              </w:rPr>
            </w:pPr>
            <w:r w:rsidRPr="0022055A">
              <w:rPr>
                <w:szCs w:val="20"/>
              </w:rPr>
              <w:t xml:space="preserve">100 </w:t>
            </w:r>
            <w:r w:rsidRPr="0022055A">
              <w:rPr>
                <w:szCs w:val="20"/>
                <w:lang w:val="en-US"/>
              </w:rPr>
              <w:t xml:space="preserve">mg/kg </w:t>
            </w:r>
            <w:r w:rsidRPr="0022055A">
              <w:rPr>
                <w:szCs w:val="20"/>
              </w:rPr>
              <w:t xml:space="preserve">(макс. </w:t>
            </w:r>
            <w:r w:rsidRPr="0022055A">
              <w:rPr>
                <w:szCs w:val="20"/>
                <w:lang w:val="en-US"/>
              </w:rPr>
              <w:t>4 g)</w:t>
            </w:r>
          </w:p>
        </w:tc>
        <w:tc>
          <w:tcPr>
            <w:tcW w:w="3192" w:type="dxa"/>
          </w:tcPr>
          <w:p w14:paraId="36C80440" w14:textId="3C5C96E5" w:rsidR="0022055A" w:rsidRPr="0022055A" w:rsidRDefault="0022055A" w:rsidP="0022055A">
            <w:pPr>
              <w:spacing w:line="240" w:lineRule="auto"/>
              <w:rPr>
                <w:rFonts w:eastAsia="Times New Roman" w:cs="Arial"/>
              </w:rPr>
            </w:pPr>
            <w:r w:rsidRPr="0022055A">
              <w:rPr>
                <w:szCs w:val="20"/>
              </w:rPr>
              <w:t>Веднъж дневно</w:t>
            </w:r>
          </w:p>
        </w:tc>
        <w:tc>
          <w:tcPr>
            <w:tcW w:w="3192" w:type="dxa"/>
          </w:tcPr>
          <w:p w14:paraId="3257EA2F" w14:textId="4715A6B5" w:rsidR="0022055A" w:rsidRPr="0022055A" w:rsidRDefault="0022055A" w:rsidP="0022055A">
            <w:pPr>
              <w:spacing w:line="240" w:lineRule="auto"/>
              <w:rPr>
                <w:rFonts w:eastAsia="Times New Roman" w:cs="Arial"/>
              </w:rPr>
            </w:pPr>
            <w:r w:rsidRPr="0022055A">
              <w:rPr>
                <w:szCs w:val="20"/>
              </w:rPr>
              <w:t>Бактериален ендокардит</w:t>
            </w:r>
          </w:p>
        </w:tc>
      </w:tr>
    </w:tbl>
    <w:p w14:paraId="57D95F3B" w14:textId="66D8D5DC" w:rsidR="0022055A" w:rsidRPr="0022055A" w:rsidRDefault="0022055A" w:rsidP="0022055A">
      <w:pPr>
        <w:spacing w:line="240" w:lineRule="auto"/>
        <w:rPr>
          <w:rFonts w:eastAsia="Times New Roman" w:cs="Arial"/>
          <w:color w:val="000000"/>
          <w:szCs w:val="20"/>
          <w:lang w:eastAsia="bg-BG"/>
        </w:rPr>
      </w:pPr>
      <w:r w:rsidRPr="0022055A">
        <w:rPr>
          <w:rFonts w:eastAsia="Times New Roman" w:cs="Arial"/>
          <w:color w:val="000000"/>
          <w:szCs w:val="20"/>
          <w:lang w:eastAsia="bg-BG"/>
        </w:rPr>
        <w:t>*При документирана бактериемия трябва да се обмисли прилагане на дози на горната граница на препоръчителния диапазон.</w:t>
      </w:r>
    </w:p>
    <w:p w14:paraId="49274BBA" w14:textId="1761EFD1" w:rsidR="0022055A" w:rsidRPr="0022055A" w:rsidRDefault="0022055A" w:rsidP="0022055A">
      <w:pPr>
        <w:spacing w:line="240" w:lineRule="auto"/>
        <w:rPr>
          <w:rFonts w:eastAsia="Times New Roman" w:cs="Arial"/>
          <w:color w:val="000000"/>
          <w:szCs w:val="20"/>
          <w:lang w:eastAsia="bg-BG"/>
        </w:rPr>
      </w:pPr>
      <w:r w:rsidRPr="0022055A">
        <w:rPr>
          <w:rFonts w:eastAsia="Times New Roman" w:cs="Arial"/>
          <w:color w:val="000000"/>
          <w:szCs w:val="20"/>
          <w:lang w:eastAsia="bg-BG"/>
        </w:rPr>
        <w:lastRenderedPageBreak/>
        <w:t xml:space="preserve">**Може да се обмисли приложение два пъти дневно (през 12 часа), когато се прилагат дози по-високи от 2 </w:t>
      </w:r>
      <w:r w:rsidRPr="0022055A">
        <w:rPr>
          <w:rFonts w:eastAsia="Times New Roman" w:cs="Arial"/>
          <w:color w:val="000000"/>
          <w:szCs w:val="20"/>
          <w:lang w:val="en-US"/>
        </w:rPr>
        <w:t>g</w:t>
      </w:r>
      <w:r w:rsidRPr="0022055A">
        <w:rPr>
          <w:rFonts w:eastAsia="Times New Roman" w:cs="Arial"/>
          <w:color w:val="000000"/>
          <w:szCs w:val="20"/>
          <w:lang w:val="ru-RU"/>
        </w:rPr>
        <w:t xml:space="preserve"> </w:t>
      </w:r>
      <w:r w:rsidRPr="0022055A">
        <w:rPr>
          <w:rFonts w:eastAsia="Times New Roman" w:cs="Arial"/>
          <w:color w:val="000000"/>
          <w:szCs w:val="20"/>
          <w:lang w:eastAsia="bg-BG"/>
        </w:rPr>
        <w:t>дневно.</w:t>
      </w:r>
    </w:p>
    <w:p w14:paraId="01968666" w14:textId="77777777" w:rsidR="0022055A" w:rsidRPr="0022055A" w:rsidRDefault="0022055A" w:rsidP="0022055A">
      <w:pPr>
        <w:spacing w:line="240" w:lineRule="auto"/>
        <w:rPr>
          <w:rFonts w:eastAsia="Times New Roman" w:cs="Arial"/>
          <w:color w:val="000000"/>
          <w:szCs w:val="20"/>
          <w:u w:val="single"/>
          <w:lang w:eastAsia="bg-BG"/>
        </w:rPr>
      </w:pPr>
    </w:p>
    <w:p w14:paraId="0390EAA0" w14:textId="2339F5C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u w:val="single"/>
          <w:lang w:eastAsia="bg-BG"/>
        </w:rPr>
        <w:t xml:space="preserve">Показания за новородени, кърмачета и деца на възраст от 15 дни до 12 години (&lt; 50 </w:t>
      </w:r>
      <w:r w:rsidRPr="0022055A">
        <w:rPr>
          <w:rFonts w:eastAsia="Times New Roman" w:cs="Arial"/>
          <w:color w:val="000000"/>
          <w:szCs w:val="20"/>
          <w:u w:val="single"/>
          <w:lang w:val="en-US"/>
        </w:rPr>
        <w:t>kg</w:t>
      </w:r>
      <w:r w:rsidRPr="0022055A">
        <w:rPr>
          <w:rFonts w:eastAsia="Times New Roman" w:cs="Arial"/>
          <w:color w:val="000000"/>
          <w:szCs w:val="20"/>
          <w:u w:val="single"/>
          <w:lang w:val="ru-RU"/>
        </w:rPr>
        <w:t xml:space="preserve">), </w:t>
      </w:r>
      <w:r w:rsidRPr="0022055A">
        <w:rPr>
          <w:rFonts w:eastAsia="Times New Roman" w:cs="Arial"/>
          <w:color w:val="000000"/>
          <w:szCs w:val="20"/>
          <w:u w:val="single"/>
          <w:lang w:eastAsia="bg-BG"/>
        </w:rPr>
        <w:t>които имат нужда от специални схеми на прилагане:</w:t>
      </w:r>
    </w:p>
    <w:p w14:paraId="751EBD18" w14:textId="77777777" w:rsidR="0022055A" w:rsidRPr="0022055A" w:rsidRDefault="0022055A" w:rsidP="0022055A">
      <w:pPr>
        <w:spacing w:line="240" w:lineRule="auto"/>
        <w:rPr>
          <w:rFonts w:eastAsia="Times New Roman" w:cs="Arial"/>
          <w:color w:val="000000"/>
          <w:szCs w:val="20"/>
          <w:lang w:eastAsia="bg-BG"/>
        </w:rPr>
      </w:pPr>
    </w:p>
    <w:p w14:paraId="6985BD9C" w14:textId="06AEA5E4"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Остър среден отит</w:t>
      </w:r>
    </w:p>
    <w:p w14:paraId="4AC8006F"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За начално лечение на остър среден отит може да се приложи единична доза Цефтриаксон</w:t>
      </w:r>
      <w:r w:rsidRPr="0022055A">
        <w:rPr>
          <w:rFonts w:eastAsia="Times New Roman" w:cs="Arial"/>
          <w:color w:val="000000"/>
          <w:szCs w:val="20"/>
          <w:lang w:val="ru-RU"/>
        </w:rPr>
        <w:t>-</w:t>
      </w:r>
      <w:r w:rsidRPr="0022055A">
        <w:rPr>
          <w:rFonts w:eastAsia="Times New Roman" w:cs="Arial"/>
          <w:color w:val="000000"/>
          <w:szCs w:val="20"/>
          <w:lang w:val="en-US"/>
        </w:rPr>
        <w:t>MIP</w:t>
      </w:r>
      <w:r w:rsidRPr="0022055A">
        <w:rPr>
          <w:rFonts w:eastAsia="Times New Roman" w:cs="Arial"/>
          <w:color w:val="000000"/>
          <w:szCs w:val="20"/>
          <w:lang w:val="ru-RU"/>
        </w:rPr>
        <w:t xml:space="preserve"> </w:t>
      </w:r>
      <w:r w:rsidRPr="0022055A">
        <w:rPr>
          <w:rFonts w:eastAsia="Times New Roman" w:cs="Arial"/>
          <w:color w:val="000000"/>
          <w:szCs w:val="20"/>
          <w:lang w:eastAsia="bg-BG"/>
        </w:rPr>
        <w:t>от</w:t>
      </w:r>
    </w:p>
    <w:p w14:paraId="75C57857"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 xml:space="preserve">50 </w:t>
      </w:r>
      <w:r w:rsidRPr="0022055A">
        <w:rPr>
          <w:rFonts w:eastAsia="Times New Roman" w:cs="Arial"/>
          <w:color w:val="000000"/>
          <w:szCs w:val="20"/>
          <w:lang w:val="en-US"/>
        </w:rPr>
        <w:t>mg</w:t>
      </w:r>
      <w:r w:rsidRPr="0022055A">
        <w:rPr>
          <w:rFonts w:eastAsia="Times New Roman" w:cs="Arial"/>
          <w:color w:val="000000"/>
          <w:szCs w:val="20"/>
          <w:lang w:val="ru-RU"/>
        </w:rPr>
        <w:t>/</w:t>
      </w:r>
      <w:r w:rsidRPr="0022055A">
        <w:rPr>
          <w:rFonts w:eastAsia="Times New Roman" w:cs="Arial"/>
          <w:color w:val="000000"/>
          <w:szCs w:val="20"/>
          <w:lang w:val="en-US"/>
        </w:rPr>
        <w:t>kg</w:t>
      </w:r>
      <w:r w:rsidRPr="0022055A">
        <w:rPr>
          <w:rFonts w:eastAsia="Times New Roman" w:cs="Arial"/>
          <w:color w:val="000000"/>
          <w:szCs w:val="20"/>
          <w:lang w:val="ru-RU"/>
        </w:rPr>
        <w:t xml:space="preserve"> </w:t>
      </w:r>
      <w:r w:rsidRPr="0022055A">
        <w:rPr>
          <w:rFonts w:eastAsia="Times New Roman" w:cs="Arial"/>
          <w:color w:val="000000"/>
          <w:szCs w:val="20"/>
          <w:lang w:eastAsia="bg-BG"/>
        </w:rPr>
        <w:t>интрамускулно. Ограничени данни показват, че в случаи, когато детето е с тежко заболяване или първоначалното лечение не е било успешно, Цефтриаксон</w:t>
      </w:r>
      <w:r w:rsidRPr="0022055A">
        <w:rPr>
          <w:rFonts w:eastAsia="Times New Roman" w:cs="Arial"/>
          <w:color w:val="000000"/>
          <w:szCs w:val="20"/>
          <w:lang w:val="ru-RU"/>
        </w:rPr>
        <w:t>-</w:t>
      </w:r>
      <w:r w:rsidRPr="0022055A">
        <w:rPr>
          <w:rFonts w:eastAsia="Times New Roman" w:cs="Arial"/>
          <w:color w:val="000000"/>
          <w:szCs w:val="20"/>
          <w:lang w:val="en-US"/>
        </w:rPr>
        <w:t>MIP</w:t>
      </w:r>
      <w:r w:rsidRPr="0022055A">
        <w:rPr>
          <w:rFonts w:eastAsia="Times New Roman" w:cs="Arial"/>
          <w:color w:val="000000"/>
          <w:szCs w:val="20"/>
          <w:lang w:val="ru-RU"/>
        </w:rPr>
        <w:t xml:space="preserve"> </w:t>
      </w:r>
      <w:r w:rsidRPr="0022055A">
        <w:rPr>
          <w:rFonts w:eastAsia="Times New Roman" w:cs="Arial"/>
          <w:color w:val="000000"/>
          <w:szCs w:val="20"/>
          <w:lang w:eastAsia="bg-BG"/>
        </w:rPr>
        <w:t xml:space="preserve">може да е ефективен при прилагане на интрамускулна доза от 50 </w:t>
      </w:r>
      <w:r w:rsidRPr="0022055A">
        <w:rPr>
          <w:rFonts w:eastAsia="Times New Roman" w:cs="Arial"/>
          <w:color w:val="000000"/>
          <w:szCs w:val="20"/>
          <w:lang w:val="en-US"/>
        </w:rPr>
        <w:t>mg</w:t>
      </w:r>
      <w:r w:rsidRPr="0022055A">
        <w:rPr>
          <w:rFonts w:eastAsia="Times New Roman" w:cs="Arial"/>
          <w:color w:val="000000"/>
          <w:szCs w:val="20"/>
          <w:lang w:val="ru-RU"/>
        </w:rPr>
        <w:t>/</w:t>
      </w:r>
      <w:r w:rsidRPr="0022055A">
        <w:rPr>
          <w:rFonts w:eastAsia="Times New Roman" w:cs="Arial"/>
          <w:color w:val="000000"/>
          <w:szCs w:val="20"/>
          <w:lang w:val="en-US"/>
        </w:rPr>
        <w:t>kg</w:t>
      </w:r>
      <w:r w:rsidRPr="0022055A">
        <w:rPr>
          <w:rFonts w:eastAsia="Times New Roman" w:cs="Arial"/>
          <w:color w:val="000000"/>
          <w:szCs w:val="20"/>
          <w:lang w:val="ru-RU"/>
        </w:rPr>
        <w:t xml:space="preserve"> </w:t>
      </w:r>
      <w:r w:rsidRPr="0022055A">
        <w:rPr>
          <w:rFonts w:eastAsia="Times New Roman" w:cs="Arial"/>
          <w:color w:val="000000"/>
          <w:szCs w:val="20"/>
          <w:lang w:eastAsia="bg-BG"/>
        </w:rPr>
        <w:t>дневно в продължение на 3 дни.</w:t>
      </w:r>
    </w:p>
    <w:p w14:paraId="10269FF3" w14:textId="77777777" w:rsidR="0022055A" w:rsidRPr="0022055A" w:rsidRDefault="0022055A" w:rsidP="0022055A">
      <w:pPr>
        <w:spacing w:line="240" w:lineRule="auto"/>
        <w:rPr>
          <w:rFonts w:eastAsia="Times New Roman" w:cs="Arial"/>
          <w:color w:val="000000"/>
          <w:szCs w:val="20"/>
          <w:lang w:eastAsia="bg-BG"/>
        </w:rPr>
      </w:pPr>
    </w:p>
    <w:p w14:paraId="33A68F87" w14:textId="37493FF0"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 xml:space="preserve">Предоперативна профилактика на инфекции на оперативното място 50-80 </w:t>
      </w:r>
      <w:r w:rsidRPr="0022055A">
        <w:rPr>
          <w:rFonts w:eastAsia="Times New Roman" w:cs="Arial"/>
          <w:color w:val="000000"/>
          <w:szCs w:val="20"/>
          <w:lang w:val="en-US"/>
        </w:rPr>
        <w:t>mg</w:t>
      </w:r>
      <w:r w:rsidRPr="0022055A">
        <w:rPr>
          <w:rFonts w:eastAsia="Times New Roman" w:cs="Arial"/>
          <w:color w:val="000000"/>
          <w:szCs w:val="20"/>
          <w:lang w:val="ru-RU"/>
        </w:rPr>
        <w:t>/</w:t>
      </w:r>
      <w:r w:rsidRPr="0022055A">
        <w:rPr>
          <w:rFonts w:eastAsia="Times New Roman" w:cs="Arial"/>
          <w:color w:val="000000"/>
          <w:szCs w:val="20"/>
          <w:lang w:val="en-US"/>
        </w:rPr>
        <w:t>kg</w:t>
      </w:r>
      <w:r w:rsidRPr="0022055A">
        <w:rPr>
          <w:rFonts w:eastAsia="Times New Roman" w:cs="Arial"/>
          <w:color w:val="000000"/>
          <w:szCs w:val="20"/>
          <w:lang w:val="ru-RU"/>
        </w:rPr>
        <w:t xml:space="preserve"> </w:t>
      </w:r>
      <w:r w:rsidRPr="0022055A">
        <w:rPr>
          <w:rFonts w:eastAsia="Times New Roman" w:cs="Arial"/>
          <w:color w:val="000000"/>
          <w:szCs w:val="20"/>
          <w:lang w:eastAsia="bg-BG"/>
        </w:rPr>
        <w:t>като единична предоперативна доза.</w:t>
      </w:r>
    </w:p>
    <w:p w14:paraId="19A336AD" w14:textId="77777777" w:rsidR="0022055A" w:rsidRPr="0022055A" w:rsidRDefault="0022055A" w:rsidP="0022055A">
      <w:pPr>
        <w:spacing w:line="240" w:lineRule="auto"/>
        <w:rPr>
          <w:rFonts w:eastAsia="Times New Roman" w:cs="Arial"/>
          <w:color w:val="000000"/>
          <w:szCs w:val="20"/>
          <w:lang w:eastAsia="bg-BG"/>
        </w:rPr>
      </w:pPr>
    </w:p>
    <w:p w14:paraId="17DCF381" w14:textId="34D2E4E0"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Сифилис</w:t>
      </w:r>
    </w:p>
    <w:p w14:paraId="12765DF4"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 xml:space="preserve">Принципно препоръчителните дози са 75-100 </w:t>
      </w:r>
      <w:r w:rsidRPr="0022055A">
        <w:rPr>
          <w:rFonts w:eastAsia="Times New Roman" w:cs="Arial"/>
          <w:color w:val="000000"/>
          <w:szCs w:val="20"/>
          <w:lang w:val="en-US"/>
        </w:rPr>
        <w:t>mg</w:t>
      </w:r>
      <w:r w:rsidRPr="0022055A">
        <w:rPr>
          <w:rFonts w:eastAsia="Times New Roman" w:cs="Arial"/>
          <w:color w:val="000000"/>
          <w:szCs w:val="20"/>
          <w:lang w:val="ru-RU"/>
        </w:rPr>
        <w:t>/</w:t>
      </w:r>
      <w:r w:rsidRPr="0022055A">
        <w:rPr>
          <w:rFonts w:eastAsia="Times New Roman" w:cs="Arial"/>
          <w:color w:val="000000"/>
          <w:szCs w:val="20"/>
          <w:lang w:val="en-US"/>
        </w:rPr>
        <w:t>kg</w:t>
      </w:r>
      <w:r w:rsidRPr="0022055A">
        <w:rPr>
          <w:rFonts w:eastAsia="Times New Roman" w:cs="Arial"/>
          <w:color w:val="000000"/>
          <w:szCs w:val="20"/>
          <w:lang w:val="ru-RU"/>
        </w:rPr>
        <w:t xml:space="preserve"> </w:t>
      </w:r>
      <w:r w:rsidRPr="0022055A">
        <w:rPr>
          <w:rFonts w:eastAsia="Times New Roman" w:cs="Arial"/>
          <w:color w:val="000000"/>
          <w:szCs w:val="20"/>
          <w:lang w:eastAsia="bg-BG"/>
        </w:rPr>
        <w:t xml:space="preserve">(макс. 4 </w:t>
      </w:r>
      <w:r w:rsidRPr="0022055A">
        <w:rPr>
          <w:rFonts w:eastAsia="Times New Roman" w:cs="Arial"/>
          <w:color w:val="000000"/>
          <w:szCs w:val="20"/>
          <w:lang w:val="en-US"/>
        </w:rPr>
        <w:t>g</w:t>
      </w:r>
      <w:r w:rsidRPr="0022055A">
        <w:rPr>
          <w:rFonts w:eastAsia="Times New Roman" w:cs="Arial"/>
          <w:color w:val="000000"/>
          <w:szCs w:val="20"/>
          <w:lang w:val="ru-RU"/>
        </w:rPr>
        <w:t xml:space="preserve">) </w:t>
      </w:r>
      <w:r w:rsidRPr="0022055A">
        <w:rPr>
          <w:rFonts w:eastAsia="Times New Roman" w:cs="Arial"/>
          <w:color w:val="000000"/>
          <w:szCs w:val="20"/>
          <w:lang w:eastAsia="bg-BG"/>
        </w:rPr>
        <w:t>веднъж дневно за 10-14 дни.</w:t>
      </w:r>
    </w:p>
    <w:p w14:paraId="1E5AA286" w14:textId="77777777" w:rsidR="0022055A" w:rsidRPr="0022055A" w:rsidRDefault="0022055A" w:rsidP="0022055A">
      <w:pPr>
        <w:spacing w:line="240" w:lineRule="auto"/>
        <w:rPr>
          <w:rFonts w:eastAsia="Times New Roman" w:cs="Arial"/>
          <w:color w:val="000000"/>
          <w:szCs w:val="20"/>
          <w:lang w:eastAsia="bg-BG"/>
        </w:rPr>
      </w:pPr>
      <w:r w:rsidRPr="0022055A">
        <w:rPr>
          <w:rFonts w:eastAsia="Times New Roman" w:cs="Arial"/>
          <w:color w:val="000000"/>
          <w:szCs w:val="20"/>
          <w:lang w:eastAsia="bg-BG"/>
        </w:rPr>
        <w:t xml:space="preserve">Препоръките за дозата при сифилис, включително невросифилис, се базират на много ограничени данни. </w:t>
      </w:r>
    </w:p>
    <w:p w14:paraId="61FF150F" w14:textId="25754166"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Трябва да се имат предвид националните или местни указания.</w:t>
      </w:r>
    </w:p>
    <w:p w14:paraId="14CC9911" w14:textId="77777777" w:rsidR="0022055A" w:rsidRPr="0022055A" w:rsidRDefault="0022055A" w:rsidP="0022055A">
      <w:pPr>
        <w:spacing w:line="240" w:lineRule="auto"/>
        <w:rPr>
          <w:rFonts w:eastAsia="Times New Roman" w:cs="Arial"/>
          <w:color w:val="000000"/>
          <w:szCs w:val="20"/>
          <w:lang w:eastAsia="bg-BG"/>
        </w:rPr>
      </w:pPr>
    </w:p>
    <w:p w14:paraId="11D7BBDD" w14:textId="525B54AF" w:rsidR="0022055A" w:rsidRPr="0022055A" w:rsidRDefault="0022055A" w:rsidP="0022055A">
      <w:pPr>
        <w:spacing w:line="240" w:lineRule="auto"/>
        <w:rPr>
          <w:rFonts w:eastAsia="Times New Roman" w:cs="Arial"/>
          <w:color w:val="000000"/>
          <w:szCs w:val="20"/>
          <w:lang w:eastAsia="bg-BG"/>
        </w:rPr>
      </w:pPr>
      <w:r w:rsidRPr="0022055A">
        <w:rPr>
          <w:rFonts w:eastAsia="Times New Roman" w:cs="Arial"/>
          <w:color w:val="000000"/>
          <w:szCs w:val="20"/>
          <w:lang w:eastAsia="bg-BG"/>
        </w:rPr>
        <w:t>Дисеминирана лаймска борелиоза (ранна [стадий II] и късна [стадий III])</w:t>
      </w:r>
    </w:p>
    <w:p w14:paraId="1C4ED7D7"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 xml:space="preserve">50-80 </w:t>
      </w:r>
      <w:r w:rsidRPr="0022055A">
        <w:rPr>
          <w:rFonts w:eastAsia="Times New Roman" w:cs="Arial"/>
          <w:color w:val="000000"/>
          <w:szCs w:val="20"/>
          <w:lang w:val="en-US"/>
        </w:rPr>
        <w:t>mg</w:t>
      </w:r>
      <w:r w:rsidRPr="0022055A">
        <w:rPr>
          <w:rFonts w:eastAsia="Times New Roman" w:cs="Arial"/>
          <w:color w:val="000000"/>
          <w:szCs w:val="20"/>
          <w:lang w:val="ru-RU"/>
        </w:rPr>
        <w:t>/</w:t>
      </w:r>
      <w:r w:rsidRPr="0022055A">
        <w:rPr>
          <w:rFonts w:eastAsia="Times New Roman" w:cs="Arial"/>
          <w:color w:val="000000"/>
          <w:szCs w:val="20"/>
          <w:lang w:val="en-US"/>
        </w:rPr>
        <w:t>kg</w:t>
      </w:r>
      <w:r w:rsidRPr="0022055A">
        <w:rPr>
          <w:rFonts w:eastAsia="Times New Roman" w:cs="Arial"/>
          <w:color w:val="000000"/>
          <w:szCs w:val="20"/>
          <w:lang w:val="ru-RU"/>
        </w:rPr>
        <w:t xml:space="preserve"> </w:t>
      </w:r>
      <w:r w:rsidRPr="0022055A">
        <w:rPr>
          <w:rFonts w:eastAsia="Times New Roman" w:cs="Arial"/>
          <w:color w:val="000000"/>
          <w:szCs w:val="20"/>
          <w:lang w:eastAsia="bg-BG"/>
        </w:rPr>
        <w:t>веднъж дневно за 14-21 дни. Препоръчителната продължителност на лечение е различна и трябва да се имат предвид националните или местни указания.</w:t>
      </w:r>
    </w:p>
    <w:p w14:paraId="3A63CAB2" w14:textId="77777777" w:rsidR="0022055A" w:rsidRPr="0022055A" w:rsidRDefault="0022055A" w:rsidP="0022055A">
      <w:pPr>
        <w:spacing w:line="240" w:lineRule="auto"/>
        <w:rPr>
          <w:rFonts w:eastAsia="Times New Roman" w:cs="Arial"/>
          <w:i/>
          <w:iCs/>
          <w:color w:val="000000"/>
          <w:szCs w:val="20"/>
          <w:lang w:eastAsia="bg-BG"/>
        </w:rPr>
      </w:pPr>
    </w:p>
    <w:p w14:paraId="17BB22AF" w14:textId="0818CC57" w:rsidR="0022055A" w:rsidRPr="0022055A" w:rsidRDefault="0022055A" w:rsidP="0022055A">
      <w:pPr>
        <w:spacing w:line="240" w:lineRule="auto"/>
        <w:rPr>
          <w:rFonts w:eastAsia="Times New Roman" w:cs="Arial"/>
          <w:sz w:val="28"/>
          <w:szCs w:val="24"/>
        </w:rPr>
      </w:pPr>
      <w:r w:rsidRPr="0022055A">
        <w:rPr>
          <w:rFonts w:eastAsia="Times New Roman" w:cs="Arial"/>
          <w:i/>
          <w:iCs/>
          <w:color w:val="000000"/>
          <w:szCs w:val="20"/>
          <w:lang w:eastAsia="bg-BG"/>
        </w:rPr>
        <w:t>Новородени 0-14 дни</w:t>
      </w:r>
    </w:p>
    <w:p w14:paraId="012E434F"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Цефтриаксон</w:t>
      </w:r>
      <w:r w:rsidRPr="0022055A">
        <w:rPr>
          <w:rFonts w:eastAsia="Times New Roman" w:cs="Arial"/>
          <w:color w:val="000000"/>
          <w:szCs w:val="20"/>
          <w:lang w:val="ru-RU"/>
        </w:rPr>
        <w:t>-</w:t>
      </w:r>
      <w:r w:rsidRPr="0022055A">
        <w:rPr>
          <w:rFonts w:eastAsia="Times New Roman" w:cs="Arial"/>
          <w:color w:val="000000"/>
          <w:szCs w:val="20"/>
          <w:lang w:val="en-US"/>
        </w:rPr>
        <w:t>MIP</w:t>
      </w:r>
      <w:r w:rsidRPr="0022055A">
        <w:rPr>
          <w:rFonts w:eastAsia="Times New Roman" w:cs="Arial"/>
          <w:color w:val="000000"/>
          <w:szCs w:val="20"/>
          <w:lang w:val="ru-RU"/>
        </w:rPr>
        <w:t xml:space="preserve"> </w:t>
      </w:r>
      <w:r w:rsidRPr="0022055A">
        <w:rPr>
          <w:rFonts w:eastAsia="Times New Roman" w:cs="Arial"/>
          <w:color w:val="000000"/>
          <w:szCs w:val="20"/>
          <w:lang w:eastAsia="bg-BG"/>
        </w:rPr>
        <w:t>е противопоказан при недоносени новородени до постменструална възраст 41 седмици (гестационна възраст + календарна възраст).</w:t>
      </w:r>
    </w:p>
    <w:p w14:paraId="13944B03" w14:textId="34500D83" w:rsidR="0022055A" w:rsidRDefault="0022055A" w:rsidP="0022055A"/>
    <w:tbl>
      <w:tblPr>
        <w:tblStyle w:val="TableGrid"/>
        <w:tblW w:w="0" w:type="auto"/>
        <w:tblLook w:val="04A0" w:firstRow="1" w:lastRow="0" w:firstColumn="1" w:lastColumn="0" w:noHBand="0" w:noVBand="1"/>
      </w:tblPr>
      <w:tblGrid>
        <w:gridCol w:w="1940"/>
        <w:gridCol w:w="1557"/>
        <w:gridCol w:w="5853"/>
      </w:tblGrid>
      <w:tr w:rsidR="0022055A" w14:paraId="369D180E" w14:textId="77777777" w:rsidTr="0022055A">
        <w:tc>
          <w:tcPr>
            <w:tcW w:w="1951" w:type="dxa"/>
            <w:vAlign w:val="bottom"/>
          </w:tcPr>
          <w:p w14:paraId="56E5288E" w14:textId="713BF6C6" w:rsidR="0022055A" w:rsidRPr="0022055A" w:rsidRDefault="0022055A" w:rsidP="0022055A">
            <w:pPr>
              <w:rPr>
                <w:rFonts w:cs="Arial"/>
                <w:b/>
              </w:rPr>
            </w:pPr>
            <w:r w:rsidRPr="0022055A">
              <w:rPr>
                <w:rFonts w:cs="Arial"/>
                <w:b/>
              </w:rPr>
              <w:t xml:space="preserve"> Дозировка на цефтриаксон*</w:t>
            </w:r>
          </w:p>
        </w:tc>
        <w:tc>
          <w:tcPr>
            <w:tcW w:w="1559" w:type="dxa"/>
            <w:vAlign w:val="bottom"/>
          </w:tcPr>
          <w:p w14:paraId="3051B4AA" w14:textId="554323CB" w:rsidR="0022055A" w:rsidRPr="0022055A" w:rsidRDefault="0022055A" w:rsidP="0022055A">
            <w:pPr>
              <w:rPr>
                <w:rFonts w:eastAsia="Times New Roman" w:cs="Arial"/>
                <w:b/>
              </w:rPr>
            </w:pPr>
            <w:r w:rsidRPr="0022055A">
              <w:rPr>
                <w:rFonts w:cs="Arial"/>
                <w:b/>
              </w:rPr>
              <w:t xml:space="preserve">Честота на </w:t>
            </w:r>
            <w:r w:rsidRPr="0022055A">
              <w:rPr>
                <w:rFonts w:eastAsia="Times New Roman" w:cs="Arial"/>
                <w:b/>
                <w:color w:val="000000"/>
                <w:lang w:eastAsia="bg-BG"/>
              </w:rPr>
              <w:t>прилагане**</w:t>
            </w:r>
          </w:p>
        </w:tc>
        <w:tc>
          <w:tcPr>
            <w:tcW w:w="6066" w:type="dxa"/>
            <w:vAlign w:val="bottom"/>
          </w:tcPr>
          <w:p w14:paraId="1DE37CC0" w14:textId="77777777" w:rsidR="0022055A" w:rsidRPr="0022055A" w:rsidRDefault="0022055A" w:rsidP="0022055A">
            <w:pPr>
              <w:rPr>
                <w:rFonts w:cs="Arial"/>
                <w:b/>
              </w:rPr>
            </w:pPr>
          </w:p>
          <w:p w14:paraId="498CB8DF" w14:textId="3B3597F5" w:rsidR="0022055A" w:rsidRPr="0022055A" w:rsidRDefault="0022055A" w:rsidP="0022055A">
            <w:pPr>
              <w:rPr>
                <w:rFonts w:cs="Arial"/>
                <w:b/>
              </w:rPr>
            </w:pPr>
            <w:r w:rsidRPr="0022055A">
              <w:rPr>
                <w:rFonts w:cs="Arial"/>
                <w:b/>
              </w:rPr>
              <w:t>Показания</w:t>
            </w:r>
          </w:p>
        </w:tc>
      </w:tr>
      <w:tr w:rsidR="0022055A" w14:paraId="3D3EBB0F" w14:textId="77777777" w:rsidTr="0022055A">
        <w:tc>
          <w:tcPr>
            <w:tcW w:w="1951" w:type="dxa"/>
            <w:vMerge w:val="restart"/>
          </w:tcPr>
          <w:p w14:paraId="43B0B125" w14:textId="5936EF37" w:rsidR="0022055A" w:rsidRPr="0022055A" w:rsidRDefault="0022055A" w:rsidP="0022055A">
            <w:pPr>
              <w:rPr>
                <w:rFonts w:cs="Arial"/>
              </w:rPr>
            </w:pPr>
            <w:r w:rsidRPr="0022055A">
              <w:rPr>
                <w:rFonts w:cs="Arial"/>
              </w:rPr>
              <w:t xml:space="preserve">20-50 </w:t>
            </w:r>
            <w:r w:rsidRPr="0022055A">
              <w:rPr>
                <w:rFonts w:cs="Arial"/>
                <w:lang w:val="en-US"/>
              </w:rPr>
              <w:t>mg/kg</w:t>
            </w:r>
          </w:p>
        </w:tc>
        <w:tc>
          <w:tcPr>
            <w:tcW w:w="1559" w:type="dxa"/>
            <w:vMerge w:val="restart"/>
          </w:tcPr>
          <w:p w14:paraId="6C88AD08" w14:textId="2B83EA72" w:rsidR="0022055A" w:rsidRPr="0022055A" w:rsidRDefault="0022055A" w:rsidP="0022055A">
            <w:pPr>
              <w:rPr>
                <w:rFonts w:cs="Arial"/>
              </w:rPr>
            </w:pPr>
            <w:r w:rsidRPr="0022055A">
              <w:rPr>
                <w:rFonts w:cs="Arial"/>
              </w:rPr>
              <w:t>Веднъж дневно</w:t>
            </w:r>
          </w:p>
        </w:tc>
        <w:tc>
          <w:tcPr>
            <w:tcW w:w="6066" w:type="dxa"/>
          </w:tcPr>
          <w:p w14:paraId="52630EE1" w14:textId="7EC5EC9B" w:rsidR="0022055A" w:rsidRPr="0022055A" w:rsidRDefault="0022055A" w:rsidP="0022055A">
            <w:pPr>
              <w:rPr>
                <w:rFonts w:cs="Arial"/>
              </w:rPr>
            </w:pPr>
            <w:r w:rsidRPr="0022055A">
              <w:rPr>
                <w:rFonts w:cs="Arial"/>
              </w:rPr>
              <w:t>Инграабдоминални инфекции</w:t>
            </w:r>
          </w:p>
        </w:tc>
      </w:tr>
      <w:tr w:rsidR="0022055A" w14:paraId="2DC26677" w14:textId="77777777" w:rsidTr="0022055A">
        <w:tc>
          <w:tcPr>
            <w:tcW w:w="1951" w:type="dxa"/>
            <w:vMerge/>
          </w:tcPr>
          <w:p w14:paraId="2A9B08D0" w14:textId="77777777" w:rsidR="0022055A" w:rsidRPr="0022055A" w:rsidRDefault="0022055A" w:rsidP="0022055A">
            <w:pPr>
              <w:rPr>
                <w:rFonts w:cs="Arial"/>
              </w:rPr>
            </w:pPr>
          </w:p>
        </w:tc>
        <w:tc>
          <w:tcPr>
            <w:tcW w:w="1559" w:type="dxa"/>
            <w:vMerge/>
          </w:tcPr>
          <w:p w14:paraId="18ADEFA7" w14:textId="77777777" w:rsidR="0022055A" w:rsidRPr="0022055A" w:rsidRDefault="0022055A" w:rsidP="0022055A">
            <w:pPr>
              <w:rPr>
                <w:rFonts w:cs="Arial"/>
              </w:rPr>
            </w:pPr>
          </w:p>
        </w:tc>
        <w:tc>
          <w:tcPr>
            <w:tcW w:w="6066" w:type="dxa"/>
          </w:tcPr>
          <w:p w14:paraId="63CF9635" w14:textId="0A12E44F" w:rsidR="0022055A" w:rsidRPr="0022055A" w:rsidRDefault="0022055A" w:rsidP="0022055A">
            <w:pPr>
              <w:rPr>
                <w:rFonts w:cs="Arial"/>
              </w:rPr>
            </w:pPr>
            <w:r w:rsidRPr="0022055A">
              <w:rPr>
                <w:rFonts w:cs="Arial"/>
              </w:rPr>
              <w:t>Усложнени инфекции на кожата и меките тъкани</w:t>
            </w:r>
          </w:p>
        </w:tc>
      </w:tr>
      <w:tr w:rsidR="0022055A" w14:paraId="3CA46BF0" w14:textId="77777777" w:rsidTr="0022055A">
        <w:tc>
          <w:tcPr>
            <w:tcW w:w="1951" w:type="dxa"/>
            <w:vMerge/>
          </w:tcPr>
          <w:p w14:paraId="15E1BCB3" w14:textId="77777777" w:rsidR="0022055A" w:rsidRPr="0022055A" w:rsidRDefault="0022055A" w:rsidP="0022055A">
            <w:pPr>
              <w:rPr>
                <w:rFonts w:cs="Arial"/>
              </w:rPr>
            </w:pPr>
          </w:p>
        </w:tc>
        <w:tc>
          <w:tcPr>
            <w:tcW w:w="1559" w:type="dxa"/>
            <w:vMerge/>
          </w:tcPr>
          <w:p w14:paraId="1010CDDC" w14:textId="77777777" w:rsidR="0022055A" w:rsidRPr="0022055A" w:rsidRDefault="0022055A" w:rsidP="0022055A">
            <w:pPr>
              <w:rPr>
                <w:rFonts w:cs="Arial"/>
              </w:rPr>
            </w:pPr>
          </w:p>
        </w:tc>
        <w:tc>
          <w:tcPr>
            <w:tcW w:w="6066" w:type="dxa"/>
          </w:tcPr>
          <w:p w14:paraId="6FB6388D" w14:textId="11CD50B1" w:rsidR="0022055A" w:rsidRPr="0022055A" w:rsidRDefault="0022055A" w:rsidP="0022055A">
            <w:pPr>
              <w:rPr>
                <w:rFonts w:cs="Arial"/>
              </w:rPr>
            </w:pPr>
            <w:r w:rsidRPr="0022055A">
              <w:rPr>
                <w:rFonts w:cs="Arial"/>
              </w:rPr>
              <w:t>Усложнени инфекции на пикочните пътища (включително пиелонефрит)</w:t>
            </w:r>
          </w:p>
        </w:tc>
      </w:tr>
      <w:tr w:rsidR="0022055A" w14:paraId="45CB2D78" w14:textId="77777777" w:rsidTr="0022055A">
        <w:tc>
          <w:tcPr>
            <w:tcW w:w="1951" w:type="dxa"/>
            <w:vMerge/>
          </w:tcPr>
          <w:p w14:paraId="0ACDB3A0" w14:textId="77777777" w:rsidR="0022055A" w:rsidRPr="0022055A" w:rsidRDefault="0022055A" w:rsidP="0022055A">
            <w:pPr>
              <w:rPr>
                <w:rFonts w:cs="Arial"/>
              </w:rPr>
            </w:pPr>
          </w:p>
        </w:tc>
        <w:tc>
          <w:tcPr>
            <w:tcW w:w="1559" w:type="dxa"/>
            <w:vMerge/>
          </w:tcPr>
          <w:p w14:paraId="1070C803" w14:textId="77777777" w:rsidR="0022055A" w:rsidRPr="0022055A" w:rsidRDefault="0022055A" w:rsidP="0022055A">
            <w:pPr>
              <w:rPr>
                <w:rFonts w:cs="Arial"/>
              </w:rPr>
            </w:pPr>
          </w:p>
        </w:tc>
        <w:tc>
          <w:tcPr>
            <w:tcW w:w="6066" w:type="dxa"/>
          </w:tcPr>
          <w:p w14:paraId="51B5C81F" w14:textId="0C9D4D4D" w:rsidR="0022055A" w:rsidRPr="0022055A" w:rsidRDefault="0022055A" w:rsidP="0022055A">
            <w:pPr>
              <w:rPr>
                <w:rFonts w:cs="Arial"/>
              </w:rPr>
            </w:pPr>
            <w:r w:rsidRPr="0022055A">
              <w:rPr>
                <w:rFonts w:cs="Arial"/>
              </w:rPr>
              <w:t>Пневмония, придобита в обществото</w:t>
            </w:r>
          </w:p>
        </w:tc>
      </w:tr>
      <w:tr w:rsidR="0022055A" w14:paraId="6B923349" w14:textId="77777777" w:rsidTr="0022055A">
        <w:tc>
          <w:tcPr>
            <w:tcW w:w="1951" w:type="dxa"/>
            <w:vMerge/>
          </w:tcPr>
          <w:p w14:paraId="1E9C3720" w14:textId="77777777" w:rsidR="0022055A" w:rsidRPr="0022055A" w:rsidRDefault="0022055A" w:rsidP="0022055A">
            <w:pPr>
              <w:rPr>
                <w:rFonts w:cs="Arial"/>
              </w:rPr>
            </w:pPr>
          </w:p>
        </w:tc>
        <w:tc>
          <w:tcPr>
            <w:tcW w:w="1559" w:type="dxa"/>
            <w:vMerge/>
          </w:tcPr>
          <w:p w14:paraId="69FB9AFE" w14:textId="77777777" w:rsidR="0022055A" w:rsidRPr="0022055A" w:rsidRDefault="0022055A" w:rsidP="0022055A">
            <w:pPr>
              <w:rPr>
                <w:rFonts w:cs="Arial"/>
              </w:rPr>
            </w:pPr>
          </w:p>
        </w:tc>
        <w:tc>
          <w:tcPr>
            <w:tcW w:w="6066" w:type="dxa"/>
          </w:tcPr>
          <w:p w14:paraId="7475F057" w14:textId="09AB42E4" w:rsidR="0022055A" w:rsidRPr="0022055A" w:rsidRDefault="0022055A" w:rsidP="0022055A">
            <w:pPr>
              <w:rPr>
                <w:rFonts w:cs="Arial"/>
              </w:rPr>
            </w:pPr>
            <w:r w:rsidRPr="0022055A">
              <w:rPr>
                <w:rFonts w:cs="Arial"/>
              </w:rPr>
              <w:t>Нозокомиална пневмония</w:t>
            </w:r>
          </w:p>
        </w:tc>
      </w:tr>
      <w:tr w:rsidR="0022055A" w14:paraId="7EF502A1" w14:textId="77777777" w:rsidTr="0022055A">
        <w:tc>
          <w:tcPr>
            <w:tcW w:w="1951" w:type="dxa"/>
            <w:vMerge/>
          </w:tcPr>
          <w:p w14:paraId="62C6771F" w14:textId="77777777" w:rsidR="0022055A" w:rsidRPr="0022055A" w:rsidRDefault="0022055A" w:rsidP="0022055A">
            <w:pPr>
              <w:rPr>
                <w:rFonts w:cs="Arial"/>
              </w:rPr>
            </w:pPr>
          </w:p>
        </w:tc>
        <w:tc>
          <w:tcPr>
            <w:tcW w:w="1559" w:type="dxa"/>
            <w:vMerge/>
          </w:tcPr>
          <w:p w14:paraId="72D4C6FC" w14:textId="77777777" w:rsidR="0022055A" w:rsidRPr="0022055A" w:rsidRDefault="0022055A" w:rsidP="0022055A">
            <w:pPr>
              <w:rPr>
                <w:rFonts w:cs="Arial"/>
              </w:rPr>
            </w:pPr>
          </w:p>
        </w:tc>
        <w:tc>
          <w:tcPr>
            <w:tcW w:w="6066" w:type="dxa"/>
          </w:tcPr>
          <w:p w14:paraId="67E2B2DF" w14:textId="0A31D5FC" w:rsidR="0022055A" w:rsidRPr="0022055A" w:rsidRDefault="0022055A" w:rsidP="0022055A">
            <w:pPr>
              <w:rPr>
                <w:rFonts w:cs="Arial"/>
              </w:rPr>
            </w:pPr>
            <w:r w:rsidRPr="0022055A">
              <w:rPr>
                <w:rFonts w:cs="Arial"/>
              </w:rPr>
              <w:t>Инфекции на костите и ставите</w:t>
            </w:r>
          </w:p>
        </w:tc>
      </w:tr>
      <w:tr w:rsidR="0022055A" w14:paraId="3D0FF1DF" w14:textId="77777777" w:rsidTr="0022055A">
        <w:tc>
          <w:tcPr>
            <w:tcW w:w="1951" w:type="dxa"/>
            <w:vMerge/>
          </w:tcPr>
          <w:p w14:paraId="1872D0BA" w14:textId="77777777" w:rsidR="0022055A" w:rsidRPr="0022055A" w:rsidRDefault="0022055A" w:rsidP="0022055A">
            <w:pPr>
              <w:rPr>
                <w:rFonts w:cs="Arial"/>
              </w:rPr>
            </w:pPr>
          </w:p>
        </w:tc>
        <w:tc>
          <w:tcPr>
            <w:tcW w:w="1559" w:type="dxa"/>
            <w:vMerge/>
          </w:tcPr>
          <w:p w14:paraId="07BE3B54" w14:textId="77777777" w:rsidR="0022055A" w:rsidRPr="0022055A" w:rsidRDefault="0022055A" w:rsidP="0022055A">
            <w:pPr>
              <w:rPr>
                <w:rFonts w:cs="Arial"/>
              </w:rPr>
            </w:pPr>
          </w:p>
        </w:tc>
        <w:tc>
          <w:tcPr>
            <w:tcW w:w="6066" w:type="dxa"/>
          </w:tcPr>
          <w:p w14:paraId="27F6AB22" w14:textId="34EADE05" w:rsidR="0022055A" w:rsidRPr="0022055A" w:rsidRDefault="0022055A" w:rsidP="0022055A">
            <w:pPr>
              <w:rPr>
                <w:rFonts w:cs="Arial"/>
              </w:rPr>
            </w:pPr>
            <w:r w:rsidRPr="0022055A">
              <w:rPr>
                <w:rFonts w:cs="Arial"/>
              </w:rPr>
              <w:t>Лечение на пациенти с фебрилна неутропения, за която се подозира, че се дължи на бактериална инфекция</w:t>
            </w:r>
          </w:p>
        </w:tc>
      </w:tr>
      <w:tr w:rsidR="0022055A" w14:paraId="755D6675" w14:textId="77777777" w:rsidTr="0022055A">
        <w:tc>
          <w:tcPr>
            <w:tcW w:w="1951" w:type="dxa"/>
            <w:vMerge w:val="restart"/>
          </w:tcPr>
          <w:p w14:paraId="27BECC88" w14:textId="31542582" w:rsidR="0022055A" w:rsidRPr="0022055A" w:rsidRDefault="0022055A" w:rsidP="0022055A">
            <w:pPr>
              <w:rPr>
                <w:rFonts w:cs="Arial"/>
              </w:rPr>
            </w:pPr>
            <w:r w:rsidRPr="0022055A">
              <w:rPr>
                <w:rFonts w:cs="Arial"/>
              </w:rPr>
              <w:t xml:space="preserve">50 </w:t>
            </w:r>
            <w:r w:rsidRPr="0022055A">
              <w:rPr>
                <w:rFonts w:cs="Arial"/>
                <w:lang w:val="en-US"/>
              </w:rPr>
              <w:t>mg/kg</w:t>
            </w:r>
          </w:p>
        </w:tc>
        <w:tc>
          <w:tcPr>
            <w:tcW w:w="1559" w:type="dxa"/>
            <w:vMerge w:val="restart"/>
          </w:tcPr>
          <w:p w14:paraId="5DB9530C" w14:textId="042FAED7" w:rsidR="0022055A" w:rsidRPr="0022055A" w:rsidRDefault="0022055A" w:rsidP="0022055A">
            <w:pPr>
              <w:rPr>
                <w:rFonts w:cs="Arial"/>
              </w:rPr>
            </w:pPr>
            <w:r w:rsidRPr="0022055A">
              <w:rPr>
                <w:rFonts w:cs="Arial"/>
              </w:rPr>
              <w:t>Веднъж дневно</w:t>
            </w:r>
          </w:p>
        </w:tc>
        <w:tc>
          <w:tcPr>
            <w:tcW w:w="6066" w:type="dxa"/>
          </w:tcPr>
          <w:p w14:paraId="29B3E4CD" w14:textId="345333F1" w:rsidR="0022055A" w:rsidRPr="0022055A" w:rsidRDefault="0022055A" w:rsidP="0022055A">
            <w:pPr>
              <w:rPr>
                <w:rFonts w:cs="Arial"/>
              </w:rPr>
            </w:pPr>
            <w:r w:rsidRPr="0022055A">
              <w:rPr>
                <w:rFonts w:cs="Arial"/>
              </w:rPr>
              <w:t>Бактериален менингит</w:t>
            </w:r>
          </w:p>
        </w:tc>
      </w:tr>
      <w:tr w:rsidR="0022055A" w14:paraId="0500B4C1" w14:textId="77777777" w:rsidTr="0022055A">
        <w:tc>
          <w:tcPr>
            <w:tcW w:w="1951" w:type="dxa"/>
            <w:vMerge/>
          </w:tcPr>
          <w:p w14:paraId="1B309C7A" w14:textId="77777777" w:rsidR="0022055A" w:rsidRPr="0022055A" w:rsidRDefault="0022055A" w:rsidP="0022055A">
            <w:pPr>
              <w:rPr>
                <w:rFonts w:cs="Arial"/>
              </w:rPr>
            </w:pPr>
          </w:p>
        </w:tc>
        <w:tc>
          <w:tcPr>
            <w:tcW w:w="1559" w:type="dxa"/>
            <w:vMerge/>
          </w:tcPr>
          <w:p w14:paraId="32EFC578" w14:textId="77777777" w:rsidR="0022055A" w:rsidRPr="0022055A" w:rsidRDefault="0022055A" w:rsidP="0022055A">
            <w:pPr>
              <w:rPr>
                <w:rFonts w:cs="Arial"/>
              </w:rPr>
            </w:pPr>
          </w:p>
        </w:tc>
        <w:tc>
          <w:tcPr>
            <w:tcW w:w="6066" w:type="dxa"/>
          </w:tcPr>
          <w:p w14:paraId="33775B92" w14:textId="76FC631D" w:rsidR="0022055A" w:rsidRPr="0022055A" w:rsidRDefault="0022055A" w:rsidP="0022055A">
            <w:pPr>
              <w:rPr>
                <w:rFonts w:cs="Arial"/>
              </w:rPr>
            </w:pPr>
            <w:r w:rsidRPr="0022055A">
              <w:rPr>
                <w:rFonts w:cs="Arial"/>
              </w:rPr>
              <w:t>Бактериален ендокардит</w:t>
            </w:r>
          </w:p>
        </w:tc>
      </w:tr>
    </w:tbl>
    <w:p w14:paraId="7F7343A8"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 При документирана бактериемия трябва да се обмисли прилагане на дози на горната граница на препоръчителния диапазон.</w:t>
      </w:r>
    </w:p>
    <w:p w14:paraId="03F78B0E"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 xml:space="preserve">Не трябва да се надхвърля максимална дневна доза от 50 </w:t>
      </w:r>
      <w:r w:rsidRPr="0022055A">
        <w:rPr>
          <w:rFonts w:eastAsia="Times New Roman" w:cs="Arial"/>
          <w:color w:val="000000"/>
          <w:szCs w:val="20"/>
          <w:lang w:val="en-US"/>
        </w:rPr>
        <w:t>mg</w:t>
      </w:r>
      <w:r w:rsidRPr="0022055A">
        <w:rPr>
          <w:rFonts w:eastAsia="Times New Roman" w:cs="Arial"/>
          <w:color w:val="000000"/>
          <w:szCs w:val="20"/>
          <w:lang w:val="ru-RU"/>
        </w:rPr>
        <w:t>/</w:t>
      </w:r>
      <w:r w:rsidRPr="0022055A">
        <w:rPr>
          <w:rFonts w:eastAsia="Times New Roman" w:cs="Arial"/>
          <w:color w:val="000000"/>
          <w:szCs w:val="20"/>
          <w:lang w:val="en-US"/>
        </w:rPr>
        <w:t>kg</w:t>
      </w:r>
      <w:r w:rsidRPr="0022055A">
        <w:rPr>
          <w:rFonts w:eastAsia="Times New Roman" w:cs="Arial"/>
          <w:color w:val="000000"/>
          <w:szCs w:val="20"/>
          <w:lang w:val="ru-RU"/>
        </w:rPr>
        <w:t>.</w:t>
      </w:r>
    </w:p>
    <w:p w14:paraId="76A45D80" w14:textId="77777777" w:rsidR="0022055A" w:rsidRPr="0022055A" w:rsidRDefault="0022055A" w:rsidP="0022055A">
      <w:pPr>
        <w:spacing w:line="240" w:lineRule="auto"/>
        <w:rPr>
          <w:rFonts w:eastAsia="Times New Roman" w:cs="Arial"/>
          <w:color w:val="000000"/>
          <w:szCs w:val="20"/>
          <w:u w:val="single"/>
          <w:lang w:eastAsia="bg-BG"/>
        </w:rPr>
      </w:pPr>
    </w:p>
    <w:p w14:paraId="4A9E57D9" w14:textId="44366A9A"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u w:val="single"/>
          <w:lang w:eastAsia="bg-BG"/>
        </w:rPr>
        <w:t>Показания за новородени на възраст 0-14 дни, които имат нужда от специални схеми на прилагане:</w:t>
      </w:r>
    </w:p>
    <w:p w14:paraId="3004D399" w14:textId="77777777" w:rsidR="0022055A" w:rsidRPr="0022055A" w:rsidRDefault="0022055A" w:rsidP="0022055A">
      <w:pPr>
        <w:spacing w:line="240" w:lineRule="auto"/>
        <w:rPr>
          <w:rFonts w:eastAsia="Times New Roman" w:cs="Arial"/>
          <w:color w:val="000000"/>
          <w:szCs w:val="20"/>
          <w:lang w:eastAsia="bg-BG"/>
        </w:rPr>
      </w:pPr>
    </w:p>
    <w:p w14:paraId="379D0FC7" w14:textId="04F116D0"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Остър среден отит</w:t>
      </w:r>
    </w:p>
    <w:p w14:paraId="1F730702"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За начално лечение на остър среден отит може да се приложи единична доза Цефтриаксон</w:t>
      </w:r>
      <w:r w:rsidRPr="0022055A">
        <w:rPr>
          <w:rFonts w:eastAsia="Times New Roman" w:cs="Arial"/>
          <w:color w:val="000000"/>
          <w:szCs w:val="20"/>
          <w:lang w:val="ru-RU"/>
        </w:rPr>
        <w:t>-</w:t>
      </w:r>
      <w:r w:rsidRPr="0022055A">
        <w:rPr>
          <w:rFonts w:eastAsia="Times New Roman" w:cs="Arial"/>
          <w:color w:val="000000"/>
          <w:szCs w:val="20"/>
          <w:lang w:val="en-US"/>
        </w:rPr>
        <w:t>MIP</w:t>
      </w:r>
      <w:r w:rsidRPr="0022055A">
        <w:rPr>
          <w:rFonts w:eastAsia="Times New Roman" w:cs="Arial"/>
          <w:color w:val="000000"/>
          <w:szCs w:val="20"/>
          <w:lang w:val="ru-RU"/>
        </w:rPr>
        <w:t xml:space="preserve"> </w:t>
      </w:r>
      <w:r w:rsidRPr="0022055A">
        <w:rPr>
          <w:rFonts w:eastAsia="Times New Roman" w:cs="Arial"/>
          <w:color w:val="000000"/>
          <w:szCs w:val="20"/>
          <w:lang w:eastAsia="bg-BG"/>
        </w:rPr>
        <w:t xml:space="preserve">от 50 </w:t>
      </w:r>
      <w:r w:rsidRPr="0022055A">
        <w:rPr>
          <w:rFonts w:eastAsia="Times New Roman" w:cs="Arial"/>
          <w:color w:val="000000"/>
          <w:szCs w:val="20"/>
          <w:lang w:val="en-US"/>
        </w:rPr>
        <w:t>mg</w:t>
      </w:r>
      <w:r w:rsidRPr="0022055A">
        <w:rPr>
          <w:rFonts w:eastAsia="Times New Roman" w:cs="Arial"/>
          <w:color w:val="000000"/>
          <w:szCs w:val="20"/>
          <w:lang w:val="ru-RU"/>
        </w:rPr>
        <w:t>/</w:t>
      </w:r>
      <w:r w:rsidRPr="0022055A">
        <w:rPr>
          <w:rFonts w:eastAsia="Times New Roman" w:cs="Arial"/>
          <w:color w:val="000000"/>
          <w:szCs w:val="20"/>
          <w:lang w:val="en-US"/>
        </w:rPr>
        <w:t>kg</w:t>
      </w:r>
      <w:r w:rsidRPr="0022055A">
        <w:rPr>
          <w:rFonts w:eastAsia="Times New Roman" w:cs="Arial"/>
          <w:color w:val="000000"/>
          <w:szCs w:val="20"/>
          <w:lang w:val="ru-RU"/>
        </w:rPr>
        <w:t xml:space="preserve"> </w:t>
      </w:r>
      <w:r w:rsidRPr="0022055A">
        <w:rPr>
          <w:rFonts w:eastAsia="Times New Roman" w:cs="Arial"/>
          <w:color w:val="000000"/>
          <w:szCs w:val="20"/>
          <w:lang w:eastAsia="bg-BG"/>
        </w:rPr>
        <w:t>интрамускулно.</w:t>
      </w:r>
    </w:p>
    <w:p w14:paraId="083F717A" w14:textId="77777777" w:rsidR="0022055A" w:rsidRPr="0022055A" w:rsidRDefault="0022055A" w:rsidP="0022055A">
      <w:pPr>
        <w:spacing w:line="240" w:lineRule="auto"/>
        <w:rPr>
          <w:rFonts w:eastAsia="Times New Roman" w:cs="Arial"/>
          <w:color w:val="000000"/>
          <w:szCs w:val="20"/>
          <w:lang w:eastAsia="bg-BG"/>
        </w:rPr>
      </w:pPr>
    </w:p>
    <w:p w14:paraId="1AE096AB" w14:textId="22328C5C"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 xml:space="preserve">Предоперативна профилактика на инфекции на оперативното място 20-50 </w:t>
      </w:r>
      <w:r w:rsidRPr="0022055A">
        <w:rPr>
          <w:rFonts w:eastAsia="Times New Roman" w:cs="Arial"/>
          <w:color w:val="000000"/>
          <w:szCs w:val="20"/>
          <w:lang w:val="en-US"/>
        </w:rPr>
        <w:t>mg</w:t>
      </w:r>
      <w:r w:rsidRPr="0022055A">
        <w:rPr>
          <w:rFonts w:eastAsia="Times New Roman" w:cs="Arial"/>
          <w:color w:val="000000"/>
          <w:szCs w:val="20"/>
          <w:lang w:val="ru-RU"/>
        </w:rPr>
        <w:t>/</w:t>
      </w:r>
      <w:r w:rsidRPr="0022055A">
        <w:rPr>
          <w:rFonts w:eastAsia="Times New Roman" w:cs="Arial"/>
          <w:color w:val="000000"/>
          <w:szCs w:val="20"/>
          <w:lang w:val="en-US"/>
        </w:rPr>
        <w:t>kg</w:t>
      </w:r>
      <w:r w:rsidRPr="0022055A">
        <w:rPr>
          <w:rFonts w:eastAsia="Times New Roman" w:cs="Arial"/>
          <w:color w:val="000000"/>
          <w:szCs w:val="20"/>
          <w:lang w:val="ru-RU"/>
        </w:rPr>
        <w:t xml:space="preserve"> </w:t>
      </w:r>
      <w:r w:rsidRPr="0022055A">
        <w:rPr>
          <w:rFonts w:eastAsia="Times New Roman" w:cs="Arial"/>
          <w:color w:val="000000"/>
          <w:szCs w:val="20"/>
          <w:lang w:eastAsia="bg-BG"/>
        </w:rPr>
        <w:t>като единична предоперативна доза.</w:t>
      </w:r>
    </w:p>
    <w:p w14:paraId="25229601" w14:textId="77777777" w:rsidR="0022055A" w:rsidRPr="0022055A" w:rsidRDefault="0022055A" w:rsidP="0022055A">
      <w:pPr>
        <w:spacing w:line="240" w:lineRule="auto"/>
        <w:rPr>
          <w:rFonts w:eastAsia="Times New Roman" w:cs="Arial"/>
          <w:color w:val="000000"/>
          <w:szCs w:val="20"/>
          <w:lang w:eastAsia="bg-BG"/>
        </w:rPr>
      </w:pPr>
    </w:p>
    <w:p w14:paraId="3500E7C7" w14:textId="0F07465A"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Сифилис</w:t>
      </w:r>
    </w:p>
    <w:p w14:paraId="7EC885F8"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 xml:space="preserve">Принципно препоръчителната доза е 50 </w:t>
      </w:r>
      <w:r w:rsidRPr="0022055A">
        <w:rPr>
          <w:rFonts w:eastAsia="Times New Roman" w:cs="Arial"/>
          <w:color w:val="000000"/>
          <w:szCs w:val="20"/>
          <w:lang w:val="en-US"/>
        </w:rPr>
        <w:t>mg</w:t>
      </w:r>
      <w:r w:rsidRPr="0022055A">
        <w:rPr>
          <w:rFonts w:eastAsia="Times New Roman" w:cs="Arial"/>
          <w:color w:val="000000"/>
          <w:szCs w:val="20"/>
          <w:lang w:val="ru-RU"/>
        </w:rPr>
        <w:t>/</w:t>
      </w:r>
      <w:r w:rsidRPr="0022055A">
        <w:rPr>
          <w:rFonts w:eastAsia="Times New Roman" w:cs="Arial"/>
          <w:color w:val="000000"/>
          <w:szCs w:val="20"/>
          <w:lang w:val="en-US"/>
        </w:rPr>
        <w:t>kg</w:t>
      </w:r>
      <w:r w:rsidRPr="0022055A">
        <w:rPr>
          <w:rFonts w:eastAsia="Times New Roman" w:cs="Arial"/>
          <w:color w:val="000000"/>
          <w:szCs w:val="20"/>
          <w:lang w:val="ru-RU"/>
        </w:rPr>
        <w:t xml:space="preserve"> </w:t>
      </w:r>
      <w:r w:rsidRPr="0022055A">
        <w:rPr>
          <w:rFonts w:eastAsia="Times New Roman" w:cs="Arial"/>
          <w:color w:val="000000"/>
          <w:szCs w:val="20"/>
          <w:lang w:eastAsia="bg-BG"/>
        </w:rPr>
        <w:t>веднъж дневно за 10-14 дни. Препоръките за дозата при сифилис, включително невросифилис, се базират на много ограничени данни. Трябва да се имат предвид националните или местни указания.</w:t>
      </w:r>
    </w:p>
    <w:p w14:paraId="77A22356" w14:textId="77777777" w:rsidR="0022055A" w:rsidRPr="0022055A" w:rsidRDefault="0022055A" w:rsidP="0022055A">
      <w:pPr>
        <w:spacing w:line="240" w:lineRule="auto"/>
        <w:rPr>
          <w:rFonts w:eastAsia="Times New Roman" w:cs="Arial"/>
          <w:i/>
          <w:iCs/>
          <w:color w:val="000000"/>
          <w:szCs w:val="20"/>
          <w:u w:val="single"/>
          <w:lang w:eastAsia="bg-BG"/>
        </w:rPr>
      </w:pPr>
    </w:p>
    <w:p w14:paraId="6DC882A3" w14:textId="3AE17DC1" w:rsidR="0022055A" w:rsidRPr="0022055A" w:rsidRDefault="0022055A" w:rsidP="0022055A">
      <w:pPr>
        <w:spacing w:line="240" w:lineRule="auto"/>
        <w:rPr>
          <w:rFonts w:eastAsia="Times New Roman" w:cs="Arial"/>
          <w:sz w:val="28"/>
          <w:szCs w:val="24"/>
        </w:rPr>
      </w:pPr>
      <w:r w:rsidRPr="0022055A">
        <w:rPr>
          <w:rFonts w:eastAsia="Times New Roman" w:cs="Arial"/>
          <w:i/>
          <w:iCs/>
          <w:color w:val="000000"/>
          <w:szCs w:val="20"/>
          <w:u w:val="single"/>
          <w:lang w:eastAsia="bg-BG"/>
        </w:rPr>
        <w:t>Продължителност на лечението</w:t>
      </w:r>
    </w:p>
    <w:p w14:paraId="404897AF"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Продължителността на лечението е различна според хода на заболяването. Както при всяко антибиотично лечение по принцип, приложението на цефтриаксон трябва да се продължи 48-72 часа след като пациентът стане афебрилен или е постигната ерадикация на бактериите.</w:t>
      </w:r>
    </w:p>
    <w:p w14:paraId="3298126A" w14:textId="77777777" w:rsidR="0022055A" w:rsidRPr="0022055A" w:rsidRDefault="0022055A" w:rsidP="0022055A">
      <w:pPr>
        <w:spacing w:line="240" w:lineRule="auto"/>
        <w:rPr>
          <w:rFonts w:eastAsia="Times New Roman" w:cs="Arial"/>
          <w:i/>
          <w:iCs/>
          <w:color w:val="000000"/>
          <w:szCs w:val="20"/>
          <w:u w:val="single"/>
          <w:lang w:eastAsia="bg-BG"/>
        </w:rPr>
      </w:pPr>
    </w:p>
    <w:p w14:paraId="3BEFE0C7" w14:textId="1322A170" w:rsidR="0022055A" w:rsidRPr="0022055A" w:rsidRDefault="0022055A" w:rsidP="0022055A">
      <w:pPr>
        <w:spacing w:line="240" w:lineRule="auto"/>
        <w:rPr>
          <w:rFonts w:eastAsia="Times New Roman" w:cs="Arial"/>
          <w:sz w:val="28"/>
          <w:szCs w:val="24"/>
        </w:rPr>
      </w:pPr>
      <w:r w:rsidRPr="0022055A">
        <w:rPr>
          <w:rFonts w:eastAsia="Times New Roman" w:cs="Arial"/>
          <w:i/>
          <w:iCs/>
          <w:color w:val="000000"/>
          <w:szCs w:val="20"/>
          <w:u w:val="single"/>
          <w:lang w:eastAsia="bg-BG"/>
        </w:rPr>
        <w:t>Хора в старческа възраст</w:t>
      </w:r>
    </w:p>
    <w:p w14:paraId="7C8F01B7" w14:textId="31CFFCD1"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Препоръчителните дозировки за възрастни не се нуждаят от модификация при хора в старческа възраст, при условие че бъбречната и чернодробна функция са задоволителни.</w:t>
      </w:r>
    </w:p>
    <w:p w14:paraId="0D7F1CBB" w14:textId="77777777" w:rsidR="0022055A" w:rsidRPr="0022055A" w:rsidRDefault="0022055A" w:rsidP="0022055A">
      <w:pPr>
        <w:spacing w:line="240" w:lineRule="auto"/>
        <w:rPr>
          <w:rFonts w:eastAsia="Times New Roman" w:cs="Arial"/>
          <w:i/>
          <w:iCs/>
          <w:color w:val="000000"/>
          <w:szCs w:val="20"/>
          <w:u w:val="single"/>
          <w:lang w:eastAsia="bg-BG"/>
        </w:rPr>
      </w:pPr>
    </w:p>
    <w:p w14:paraId="1541B801" w14:textId="72D9181E" w:rsidR="0022055A" w:rsidRPr="0022055A" w:rsidRDefault="0022055A" w:rsidP="0022055A">
      <w:pPr>
        <w:spacing w:line="240" w:lineRule="auto"/>
        <w:rPr>
          <w:rFonts w:eastAsia="Times New Roman" w:cs="Arial"/>
          <w:sz w:val="28"/>
          <w:szCs w:val="24"/>
        </w:rPr>
      </w:pPr>
      <w:r w:rsidRPr="0022055A">
        <w:rPr>
          <w:rFonts w:eastAsia="Times New Roman" w:cs="Arial"/>
          <w:i/>
          <w:iCs/>
          <w:color w:val="000000"/>
          <w:szCs w:val="20"/>
          <w:u w:val="single"/>
          <w:lang w:eastAsia="bg-BG"/>
        </w:rPr>
        <w:t>Пациенти с чернодробно увреждане</w:t>
      </w:r>
    </w:p>
    <w:p w14:paraId="153CAED8"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Наличните данни не показват необходимост от корекция на дозата при леко или умерено нарушение на чернодробната функция, при условие че бъбречната функция не е нарушена.</w:t>
      </w:r>
    </w:p>
    <w:p w14:paraId="540C5BF3"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Няма данни от проучвания при пациенти с тежко чернодробно увреждане (вж. точка 5.2).</w:t>
      </w:r>
    </w:p>
    <w:p w14:paraId="0CB41011" w14:textId="77777777" w:rsidR="0022055A" w:rsidRPr="0022055A" w:rsidRDefault="0022055A" w:rsidP="0022055A">
      <w:pPr>
        <w:spacing w:line="240" w:lineRule="auto"/>
        <w:rPr>
          <w:rFonts w:eastAsia="Times New Roman" w:cs="Arial"/>
          <w:i/>
          <w:iCs/>
          <w:color w:val="000000"/>
          <w:szCs w:val="20"/>
          <w:u w:val="single"/>
          <w:lang w:eastAsia="bg-BG"/>
        </w:rPr>
      </w:pPr>
    </w:p>
    <w:p w14:paraId="79305E0D" w14:textId="404E08CA" w:rsidR="0022055A" w:rsidRPr="0022055A" w:rsidRDefault="0022055A" w:rsidP="0022055A">
      <w:pPr>
        <w:spacing w:line="240" w:lineRule="auto"/>
        <w:rPr>
          <w:rFonts w:eastAsia="Times New Roman" w:cs="Arial"/>
          <w:sz w:val="28"/>
          <w:szCs w:val="24"/>
        </w:rPr>
      </w:pPr>
      <w:r w:rsidRPr="0022055A">
        <w:rPr>
          <w:rFonts w:eastAsia="Times New Roman" w:cs="Arial"/>
          <w:i/>
          <w:iCs/>
          <w:color w:val="000000"/>
          <w:szCs w:val="20"/>
          <w:u w:val="single"/>
          <w:lang w:eastAsia="bg-BG"/>
        </w:rPr>
        <w:t>Пациенти с бъбречно увреждане</w:t>
      </w:r>
    </w:p>
    <w:p w14:paraId="4F9524B0"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 xml:space="preserve">При пациенти с нарушена бъбречна функция няма нужда от редуциране на дозата на цефтриаксон, при условие, че чернодробната функция не е нарушена. Само в случаи на претерминална бъбречна недостатъчност (креатининов клирънс &lt;10 </w:t>
      </w:r>
      <w:r w:rsidRPr="0022055A">
        <w:rPr>
          <w:rFonts w:eastAsia="Times New Roman" w:cs="Arial"/>
          <w:color w:val="000000"/>
          <w:szCs w:val="20"/>
          <w:lang w:val="en-US"/>
        </w:rPr>
        <w:t>ml</w:t>
      </w:r>
      <w:r w:rsidRPr="0022055A">
        <w:rPr>
          <w:rFonts w:eastAsia="Times New Roman" w:cs="Arial"/>
          <w:color w:val="000000"/>
          <w:szCs w:val="20"/>
          <w:lang w:val="ru-RU"/>
        </w:rPr>
        <w:t>/</w:t>
      </w:r>
      <w:r w:rsidRPr="0022055A">
        <w:rPr>
          <w:rFonts w:eastAsia="Times New Roman" w:cs="Arial"/>
          <w:color w:val="000000"/>
          <w:szCs w:val="20"/>
          <w:lang w:val="en-US"/>
        </w:rPr>
        <w:t>min</w:t>
      </w:r>
      <w:r w:rsidRPr="0022055A">
        <w:rPr>
          <w:rFonts w:eastAsia="Times New Roman" w:cs="Arial"/>
          <w:color w:val="000000"/>
          <w:szCs w:val="20"/>
          <w:lang w:val="ru-RU"/>
        </w:rPr>
        <w:t xml:space="preserve">) </w:t>
      </w:r>
      <w:r w:rsidRPr="0022055A">
        <w:rPr>
          <w:rFonts w:eastAsia="Times New Roman" w:cs="Arial"/>
          <w:color w:val="000000"/>
          <w:szCs w:val="20"/>
          <w:lang w:eastAsia="bg-BG"/>
        </w:rPr>
        <w:t xml:space="preserve">дозировката на цефтриаксон не трябва да надвишава 2 </w:t>
      </w:r>
      <w:r w:rsidRPr="0022055A">
        <w:rPr>
          <w:rFonts w:eastAsia="Times New Roman" w:cs="Arial"/>
          <w:color w:val="000000"/>
          <w:szCs w:val="20"/>
          <w:lang w:val="en-US"/>
        </w:rPr>
        <w:t>g</w:t>
      </w:r>
      <w:r w:rsidRPr="0022055A">
        <w:rPr>
          <w:rFonts w:eastAsia="Times New Roman" w:cs="Arial"/>
          <w:color w:val="000000"/>
          <w:szCs w:val="20"/>
          <w:lang w:val="ru-RU"/>
        </w:rPr>
        <w:t xml:space="preserve"> </w:t>
      </w:r>
      <w:r w:rsidRPr="0022055A">
        <w:rPr>
          <w:rFonts w:eastAsia="Times New Roman" w:cs="Arial"/>
          <w:color w:val="000000"/>
          <w:szCs w:val="20"/>
          <w:lang w:eastAsia="bg-BG"/>
        </w:rPr>
        <w:t>дневно.</w:t>
      </w:r>
    </w:p>
    <w:p w14:paraId="7E232FC8" w14:textId="1AA3E340" w:rsidR="0022055A" w:rsidRPr="0022055A" w:rsidRDefault="0022055A" w:rsidP="0022055A">
      <w:pPr>
        <w:rPr>
          <w:rFonts w:eastAsia="Times New Roman" w:cs="Arial"/>
          <w:color w:val="000000"/>
          <w:szCs w:val="20"/>
          <w:lang w:eastAsia="bg-BG"/>
        </w:rPr>
      </w:pPr>
      <w:r w:rsidRPr="0022055A">
        <w:rPr>
          <w:rFonts w:eastAsia="Times New Roman" w:cs="Arial"/>
          <w:color w:val="000000"/>
          <w:szCs w:val="20"/>
          <w:lang w:eastAsia="bg-BG"/>
        </w:rPr>
        <w:t>При пациенти на диализа не се налага допълнително прилагане на доза след диализата. Цефтриаксон не се елиминира чрез перитонеална или хемодиализа. Препоръчително е стриктно клинично мониториране за безопасност и ефикасност.</w:t>
      </w:r>
    </w:p>
    <w:p w14:paraId="1C51C985" w14:textId="08ACC0CC" w:rsidR="0022055A" w:rsidRPr="0022055A" w:rsidRDefault="0022055A" w:rsidP="0022055A">
      <w:pPr>
        <w:rPr>
          <w:rFonts w:eastAsia="Times New Roman" w:cs="Arial"/>
          <w:color w:val="000000"/>
          <w:szCs w:val="20"/>
          <w:lang w:eastAsia="bg-BG"/>
        </w:rPr>
      </w:pPr>
    </w:p>
    <w:p w14:paraId="0548D65F" w14:textId="77777777" w:rsidR="0022055A" w:rsidRPr="0022055A" w:rsidRDefault="0022055A" w:rsidP="0022055A">
      <w:pPr>
        <w:spacing w:line="240" w:lineRule="auto"/>
        <w:rPr>
          <w:rFonts w:eastAsia="Times New Roman" w:cs="Arial"/>
          <w:sz w:val="28"/>
          <w:szCs w:val="24"/>
        </w:rPr>
      </w:pPr>
      <w:r w:rsidRPr="0022055A">
        <w:rPr>
          <w:rFonts w:eastAsia="Times New Roman" w:cs="Arial"/>
          <w:i/>
          <w:iCs/>
          <w:color w:val="000000"/>
          <w:szCs w:val="20"/>
          <w:u w:val="single"/>
          <w:lang w:eastAsia="bg-BG"/>
        </w:rPr>
        <w:t>Пациенти с тежко чернодробно и бъбречно увреждане</w:t>
      </w:r>
    </w:p>
    <w:p w14:paraId="5654AC57"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При пациенти с тежка бъбречна и чернодробна дисфункция е препоръчително стриктно клинично мониториране за безопасност и ефикасност.</w:t>
      </w:r>
    </w:p>
    <w:p w14:paraId="44A172F0" w14:textId="77777777" w:rsidR="0022055A" w:rsidRPr="0022055A" w:rsidRDefault="0022055A" w:rsidP="0022055A">
      <w:pPr>
        <w:spacing w:line="240" w:lineRule="auto"/>
        <w:rPr>
          <w:rFonts w:eastAsia="Times New Roman" w:cs="Arial"/>
          <w:color w:val="000000"/>
          <w:szCs w:val="20"/>
          <w:u w:val="single"/>
          <w:lang w:eastAsia="bg-BG"/>
        </w:rPr>
      </w:pPr>
    </w:p>
    <w:p w14:paraId="0964576E" w14:textId="71542878"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u w:val="single"/>
          <w:lang w:eastAsia="bg-BG"/>
        </w:rPr>
        <w:t>Начин на приложение</w:t>
      </w:r>
    </w:p>
    <w:p w14:paraId="697AD7EC"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Цефтриаксон</w:t>
      </w:r>
      <w:r w:rsidRPr="0022055A">
        <w:rPr>
          <w:rFonts w:eastAsia="Times New Roman" w:cs="Arial"/>
          <w:color w:val="000000"/>
          <w:szCs w:val="20"/>
          <w:lang w:val="ru-RU"/>
        </w:rPr>
        <w:t>-</w:t>
      </w:r>
      <w:r w:rsidRPr="0022055A">
        <w:rPr>
          <w:rFonts w:eastAsia="Times New Roman" w:cs="Arial"/>
          <w:color w:val="000000"/>
          <w:szCs w:val="20"/>
          <w:lang w:val="en-US"/>
        </w:rPr>
        <w:t>MIP</w:t>
      </w:r>
      <w:r w:rsidRPr="0022055A">
        <w:rPr>
          <w:rFonts w:eastAsia="Times New Roman" w:cs="Arial"/>
          <w:color w:val="000000"/>
          <w:szCs w:val="20"/>
          <w:lang w:val="ru-RU"/>
        </w:rPr>
        <w:t xml:space="preserve"> </w:t>
      </w:r>
      <w:r w:rsidRPr="0022055A">
        <w:rPr>
          <w:rFonts w:eastAsia="Times New Roman" w:cs="Arial"/>
          <w:color w:val="000000"/>
          <w:szCs w:val="20"/>
          <w:lang w:eastAsia="bg-BG"/>
        </w:rPr>
        <w:t xml:space="preserve">може да се прилага чрез интравенозна инфузия в продължение най-малко на 30 минути (предпочитан път на приложение), чрез бавна интравенозна инжекция в продължение на 5 минути или чрез дълбоко интрамускулно инжектиране. Интермитентна интравенозна инжекция трябва да се прилага в продължение на 5 минути </w:t>
      </w:r>
      <w:r w:rsidRPr="0022055A">
        <w:rPr>
          <w:rFonts w:eastAsia="Times New Roman" w:cs="Arial"/>
          <w:color w:val="000000"/>
          <w:szCs w:val="20"/>
          <w:lang w:eastAsia="bg-BG"/>
        </w:rPr>
        <w:lastRenderedPageBreak/>
        <w:t xml:space="preserve">за препоръчване в по-големи вени. Интравенозни дози от 50 </w:t>
      </w:r>
      <w:r w:rsidRPr="0022055A">
        <w:rPr>
          <w:rFonts w:eastAsia="Times New Roman" w:cs="Arial"/>
          <w:color w:val="000000"/>
          <w:szCs w:val="20"/>
          <w:lang w:val="en-US"/>
        </w:rPr>
        <w:t>mg</w:t>
      </w:r>
      <w:r w:rsidRPr="0022055A">
        <w:rPr>
          <w:rFonts w:eastAsia="Times New Roman" w:cs="Arial"/>
          <w:color w:val="000000"/>
          <w:szCs w:val="20"/>
          <w:lang w:val="ru-RU"/>
        </w:rPr>
        <w:t>/</w:t>
      </w:r>
      <w:r w:rsidRPr="0022055A">
        <w:rPr>
          <w:rFonts w:eastAsia="Times New Roman" w:cs="Arial"/>
          <w:color w:val="000000"/>
          <w:szCs w:val="20"/>
          <w:lang w:val="en-US"/>
        </w:rPr>
        <w:t>kg</w:t>
      </w:r>
      <w:r w:rsidRPr="0022055A">
        <w:rPr>
          <w:rFonts w:eastAsia="Times New Roman" w:cs="Arial"/>
          <w:color w:val="000000"/>
          <w:szCs w:val="20"/>
          <w:lang w:val="ru-RU"/>
        </w:rPr>
        <w:t xml:space="preserve"> </w:t>
      </w:r>
      <w:r w:rsidRPr="0022055A">
        <w:rPr>
          <w:rFonts w:eastAsia="Times New Roman" w:cs="Arial"/>
          <w:color w:val="000000"/>
          <w:szCs w:val="20"/>
          <w:lang w:eastAsia="bg-BG"/>
        </w:rPr>
        <w:t>или по-големи при кърмачета и деца до 12-годишна възраст трябва да се прилагат чрез инфузия. При новородени интравенозните дози трябва да се прилагат в продължение на 60 минути за намаляване на потенциалния риск от билирубинова енцефалопатия (вж. точки 4.3 и 4.4).</w:t>
      </w:r>
    </w:p>
    <w:p w14:paraId="28BA6515"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 xml:space="preserve">Интрамускулните инжекции трябва да се поставят в масата на относително голям мускул, като на едно място трябва да се инжектира не повече от 1 </w:t>
      </w:r>
      <w:r w:rsidRPr="0022055A">
        <w:rPr>
          <w:rFonts w:eastAsia="Times New Roman" w:cs="Arial"/>
          <w:color w:val="000000"/>
          <w:szCs w:val="20"/>
          <w:lang w:val="en-US"/>
        </w:rPr>
        <w:t>g</w:t>
      </w:r>
      <w:r w:rsidRPr="0022055A">
        <w:rPr>
          <w:rFonts w:eastAsia="Times New Roman" w:cs="Arial"/>
          <w:color w:val="000000"/>
          <w:szCs w:val="20"/>
          <w:lang w:val="ru-RU"/>
        </w:rPr>
        <w:t>.</w:t>
      </w:r>
    </w:p>
    <w:p w14:paraId="11C4A322"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 xml:space="preserve">Интрамускулно приложение трябва да се има предвид, когато приложението по интравенозен път не е възможно или е по-неподходящо за пациента. При дози над 2 </w:t>
      </w:r>
      <w:r w:rsidRPr="0022055A">
        <w:rPr>
          <w:rFonts w:eastAsia="Times New Roman" w:cs="Arial"/>
          <w:color w:val="000000"/>
          <w:szCs w:val="20"/>
          <w:lang w:val="en-US"/>
        </w:rPr>
        <w:t>g</w:t>
      </w:r>
      <w:r w:rsidRPr="0022055A">
        <w:rPr>
          <w:rFonts w:eastAsia="Times New Roman" w:cs="Arial"/>
          <w:color w:val="000000"/>
          <w:szCs w:val="20"/>
          <w:lang w:val="ru-RU"/>
        </w:rPr>
        <w:t xml:space="preserve"> </w:t>
      </w:r>
      <w:r w:rsidRPr="0022055A">
        <w:rPr>
          <w:rFonts w:eastAsia="Times New Roman" w:cs="Arial"/>
          <w:color w:val="000000"/>
          <w:szCs w:val="20"/>
          <w:lang w:eastAsia="bg-BG"/>
        </w:rPr>
        <w:t>е необходимо интравенозно приложение.</w:t>
      </w:r>
    </w:p>
    <w:p w14:paraId="5C495263" w14:textId="77777777" w:rsidR="0022055A" w:rsidRPr="0022055A" w:rsidRDefault="0022055A" w:rsidP="0022055A">
      <w:pPr>
        <w:spacing w:line="240" w:lineRule="auto"/>
        <w:rPr>
          <w:rFonts w:eastAsia="Times New Roman" w:cs="Arial"/>
          <w:color w:val="000000"/>
          <w:szCs w:val="20"/>
          <w:lang w:eastAsia="bg-BG"/>
        </w:rPr>
      </w:pPr>
    </w:p>
    <w:p w14:paraId="3FB31449" w14:textId="00C33809"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Ако като разтворител се използва лцдокаин, полученият разтвор никога не трябва да се прилага интравенозно (вж. точка 4.3). Трябва да се вземе предвид информацията в кратката характеристика на лидокаин.</w:t>
      </w:r>
    </w:p>
    <w:p w14:paraId="56F35E17" w14:textId="77777777" w:rsidR="0022055A" w:rsidRPr="0022055A" w:rsidRDefault="0022055A" w:rsidP="0022055A">
      <w:pPr>
        <w:spacing w:line="240" w:lineRule="auto"/>
        <w:rPr>
          <w:rFonts w:eastAsia="Times New Roman" w:cs="Arial"/>
          <w:color w:val="000000"/>
          <w:szCs w:val="20"/>
          <w:lang w:eastAsia="bg-BG"/>
        </w:rPr>
      </w:pPr>
    </w:p>
    <w:p w14:paraId="541E128E" w14:textId="03EA84C0"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Цефтриаксон е противопоказан при новородени (≤28 дни), ако имат нужда (или се очаква да имат нужда) от лечение с интравенозни разтвори, съдържащи калций, включително непрекъснати инфузии на разтвори, съдържащи калций, например парентерално хранене, поради риска от преципитация на цефтриаксон калций (вж. точка 4.3).</w:t>
      </w:r>
    </w:p>
    <w:p w14:paraId="6F4F937F" w14:textId="77777777" w:rsidR="0022055A" w:rsidRPr="0022055A" w:rsidRDefault="0022055A" w:rsidP="0022055A">
      <w:pPr>
        <w:spacing w:line="240" w:lineRule="auto"/>
        <w:rPr>
          <w:rFonts w:eastAsia="Times New Roman" w:cs="Arial"/>
          <w:color w:val="000000"/>
          <w:szCs w:val="20"/>
          <w:lang w:eastAsia="bg-BG"/>
        </w:rPr>
      </w:pPr>
    </w:p>
    <w:p w14:paraId="20BAA9DB" w14:textId="516D75DE"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 xml:space="preserve">Разредители, съдържащи калций (напр. разтвор на </w:t>
      </w:r>
      <w:r w:rsidRPr="0022055A">
        <w:rPr>
          <w:rFonts w:eastAsia="Times New Roman" w:cs="Arial"/>
          <w:color w:val="000000"/>
          <w:szCs w:val="20"/>
          <w:lang w:val="en-US"/>
        </w:rPr>
        <w:t>Ringer</w:t>
      </w:r>
      <w:r w:rsidRPr="0022055A">
        <w:rPr>
          <w:rFonts w:eastAsia="Times New Roman" w:cs="Arial"/>
          <w:color w:val="000000"/>
          <w:szCs w:val="20"/>
          <w:lang w:val="ru-RU"/>
        </w:rPr>
        <w:t xml:space="preserve"> </w:t>
      </w:r>
      <w:r w:rsidRPr="0022055A">
        <w:rPr>
          <w:rFonts w:eastAsia="Times New Roman" w:cs="Arial"/>
          <w:color w:val="000000"/>
          <w:szCs w:val="20"/>
          <w:lang w:eastAsia="bg-BG"/>
        </w:rPr>
        <w:t xml:space="preserve">или на </w:t>
      </w:r>
      <w:r w:rsidRPr="0022055A">
        <w:rPr>
          <w:rFonts w:eastAsia="Times New Roman" w:cs="Arial"/>
          <w:color w:val="000000"/>
          <w:szCs w:val="20"/>
          <w:lang w:val="en-US"/>
        </w:rPr>
        <w:t>Hartmann</w:t>
      </w:r>
      <w:r w:rsidRPr="0022055A">
        <w:rPr>
          <w:rFonts w:eastAsia="Times New Roman" w:cs="Arial"/>
          <w:color w:val="000000"/>
          <w:szCs w:val="20"/>
          <w:lang w:val="ru-RU"/>
        </w:rPr>
        <w:t xml:space="preserve">), </w:t>
      </w:r>
      <w:r w:rsidRPr="0022055A">
        <w:rPr>
          <w:rFonts w:eastAsia="Times New Roman" w:cs="Arial"/>
          <w:color w:val="000000"/>
          <w:szCs w:val="20"/>
          <w:lang w:eastAsia="bg-BG"/>
        </w:rPr>
        <w:t>не трябва да се използват за разтваряне на флаконите с цефтриаксон или за допълнително разреждане на разтворен флакон за интравенозно приложение, защото може да се образува преципитат. Преципитация на цефтриаксон калций може да се получи и когато цефтриаксон се смеси с разтвори, съдържащи калций, в една и съща линия за интравенозна инфузия. По тази причина цефтриаксон и разтвори, съдържащи калций, не трябва да се смесват или да се прилагат едновременно (вж. точка 4.3,4.4 и 6.2).</w:t>
      </w:r>
    </w:p>
    <w:p w14:paraId="27A7077E" w14:textId="77777777" w:rsidR="0022055A" w:rsidRPr="0022055A" w:rsidRDefault="0022055A" w:rsidP="0022055A">
      <w:pPr>
        <w:spacing w:line="240" w:lineRule="auto"/>
        <w:rPr>
          <w:rFonts w:eastAsia="Times New Roman" w:cs="Arial"/>
          <w:color w:val="000000"/>
          <w:szCs w:val="20"/>
          <w:lang w:eastAsia="bg-BG"/>
        </w:rPr>
      </w:pPr>
    </w:p>
    <w:p w14:paraId="3412E8FD" w14:textId="77AFA056"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За предоперативна профилактика на инфекции, възникнали на оперативното място, цефтриаксон трябва да се прилага 30-90 минути преди оперативната интервенция.</w:t>
      </w:r>
    </w:p>
    <w:p w14:paraId="0758E0AA" w14:textId="77777777" w:rsidR="0022055A" w:rsidRPr="0022055A" w:rsidRDefault="0022055A" w:rsidP="0022055A">
      <w:pPr>
        <w:rPr>
          <w:rFonts w:eastAsia="Times New Roman" w:cs="Arial"/>
          <w:color w:val="000000"/>
          <w:szCs w:val="20"/>
          <w:lang w:eastAsia="bg-BG"/>
        </w:rPr>
      </w:pPr>
    </w:p>
    <w:p w14:paraId="666CFE8A" w14:textId="4DD7372D" w:rsidR="0022055A" w:rsidRPr="0022055A" w:rsidRDefault="0022055A" w:rsidP="0022055A">
      <w:pPr>
        <w:rPr>
          <w:rFonts w:eastAsia="Times New Roman" w:cs="Arial"/>
          <w:color w:val="000000"/>
          <w:szCs w:val="20"/>
          <w:lang w:eastAsia="bg-BG"/>
        </w:rPr>
      </w:pPr>
      <w:r w:rsidRPr="0022055A">
        <w:rPr>
          <w:rFonts w:eastAsia="Times New Roman" w:cs="Arial"/>
          <w:color w:val="000000"/>
          <w:szCs w:val="20"/>
          <w:lang w:eastAsia="bg-BG"/>
        </w:rPr>
        <w:t>За указания относно реконституирането на лекарствения продукт преди приложение вижте точка 6.6.</w:t>
      </w:r>
    </w:p>
    <w:p w14:paraId="30B1BFC9" w14:textId="2E174A7A" w:rsidR="0022055A" w:rsidRPr="0022055A" w:rsidRDefault="0022055A" w:rsidP="0022055A"/>
    <w:p w14:paraId="28C984E8" w14:textId="7019BDA1" w:rsidR="008134C8" w:rsidRDefault="002C50EE" w:rsidP="004A448E">
      <w:pPr>
        <w:pStyle w:val="Heading2"/>
      </w:pPr>
      <w:r>
        <w:t>4.3. Противопоказания</w:t>
      </w:r>
    </w:p>
    <w:p w14:paraId="268CAF05" w14:textId="7E230B16" w:rsidR="0022055A" w:rsidRDefault="0022055A" w:rsidP="0022055A"/>
    <w:p w14:paraId="2F348E60"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Свръхчувствителност към цефтриаксон, към друг цефалоспорин или към някое от помощните вещества, изброени в точка 6.1.</w:t>
      </w:r>
    </w:p>
    <w:p w14:paraId="0E46B5A5"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Анамнеза за тежка свръхчувствителност (напр. анафилактична реакция) към някой друг тип бета лактамни антибактериални средства (пеницилини, монобактами и карбапенеми).</w:t>
      </w:r>
    </w:p>
    <w:p w14:paraId="75888682" w14:textId="77777777" w:rsidR="0022055A" w:rsidRPr="008F0044" w:rsidRDefault="0022055A" w:rsidP="0022055A">
      <w:pPr>
        <w:spacing w:line="240" w:lineRule="auto"/>
        <w:rPr>
          <w:rFonts w:eastAsia="Times New Roman" w:cs="Arial"/>
          <w:color w:val="000000"/>
          <w:szCs w:val="20"/>
          <w:lang w:eastAsia="bg-BG"/>
        </w:rPr>
      </w:pPr>
    </w:p>
    <w:p w14:paraId="49B33A55" w14:textId="30CAF793"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Цефтриаксон е противопоказан при:</w:t>
      </w:r>
    </w:p>
    <w:p w14:paraId="7BD19BFA" w14:textId="77777777"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Недоносени новородени до постменструална възраст 41 седмици (гестационна възраст + календарна възраст)*</w:t>
      </w:r>
    </w:p>
    <w:p w14:paraId="3359C281" w14:textId="283267F5" w:rsidR="0022055A" w:rsidRPr="0022055A" w:rsidRDefault="0022055A" w:rsidP="0022055A">
      <w:pPr>
        <w:spacing w:line="240" w:lineRule="auto"/>
        <w:rPr>
          <w:rFonts w:eastAsia="Times New Roman" w:cs="Arial"/>
          <w:sz w:val="28"/>
          <w:szCs w:val="24"/>
        </w:rPr>
      </w:pPr>
      <w:r w:rsidRPr="0022055A">
        <w:rPr>
          <w:rFonts w:eastAsia="Times New Roman" w:cs="Arial"/>
          <w:color w:val="000000"/>
          <w:szCs w:val="20"/>
          <w:lang w:eastAsia="bg-BG"/>
        </w:rPr>
        <w:t>Доносени новородени (до 28-дневна възраст):</w:t>
      </w:r>
    </w:p>
    <w:p w14:paraId="5B9CE690" w14:textId="77777777" w:rsidR="008F0044" w:rsidRPr="008F0044" w:rsidRDefault="0022055A" w:rsidP="008F0044">
      <w:pPr>
        <w:pStyle w:val="ListParagraph"/>
        <w:numPr>
          <w:ilvl w:val="0"/>
          <w:numId w:val="37"/>
        </w:numPr>
        <w:spacing w:line="240" w:lineRule="auto"/>
        <w:rPr>
          <w:rFonts w:eastAsia="Times New Roman" w:cs="Arial"/>
          <w:color w:val="000000"/>
          <w:szCs w:val="20"/>
          <w:lang w:eastAsia="bg-BG"/>
        </w:rPr>
      </w:pPr>
      <w:r w:rsidRPr="008F0044">
        <w:rPr>
          <w:rFonts w:eastAsia="Times New Roman" w:cs="Arial"/>
          <w:color w:val="000000"/>
          <w:szCs w:val="20"/>
          <w:lang w:eastAsia="bg-BG"/>
        </w:rPr>
        <w:t>с хипербилирубинемия, жълтеница или с хипоалбуминемия или ацидоза, тъй като това са състояния, при които е вероятно свързването на билирубина да е нарушено*</w:t>
      </w:r>
    </w:p>
    <w:p w14:paraId="05817BA3" w14:textId="379148A6" w:rsidR="008F0044" w:rsidRPr="008F0044" w:rsidRDefault="0022055A" w:rsidP="008F0044">
      <w:pPr>
        <w:pStyle w:val="ListParagraph"/>
        <w:numPr>
          <w:ilvl w:val="0"/>
          <w:numId w:val="37"/>
        </w:numPr>
        <w:spacing w:line="240" w:lineRule="auto"/>
        <w:rPr>
          <w:rFonts w:eastAsia="Times New Roman" w:cs="Arial"/>
          <w:color w:val="000000"/>
          <w:szCs w:val="20"/>
          <w:lang w:eastAsia="bg-BG"/>
        </w:rPr>
      </w:pPr>
      <w:r w:rsidRPr="008F0044">
        <w:rPr>
          <w:rFonts w:eastAsia="Times New Roman" w:cs="Arial"/>
          <w:color w:val="000000"/>
          <w:szCs w:val="20"/>
          <w:lang w:eastAsia="bg-BG"/>
        </w:rPr>
        <w:t>ако имат нужда (или се очаква да имат нужда) от интравенозно лечение с калций или инфузии, съдържащи калций, поради риска от преципитация на цефтриаксон калциева сол (вж. точка 4.4, 4.8</w:t>
      </w:r>
      <w:r w:rsidR="008F0044" w:rsidRPr="008F0044">
        <w:rPr>
          <w:rFonts w:eastAsia="Times New Roman" w:cs="Arial"/>
          <w:color w:val="000000"/>
          <w:szCs w:val="20"/>
          <w:lang w:eastAsia="bg-BG"/>
        </w:rPr>
        <w:t xml:space="preserve"> и 6.2).</w:t>
      </w:r>
    </w:p>
    <w:p w14:paraId="5370D862" w14:textId="0A7FAC02" w:rsidR="008F0044" w:rsidRPr="008F0044" w:rsidRDefault="008F0044" w:rsidP="008F0044">
      <w:pPr>
        <w:spacing w:line="240" w:lineRule="auto"/>
        <w:rPr>
          <w:rFonts w:eastAsia="Times New Roman" w:cs="Arial"/>
          <w:sz w:val="28"/>
          <w:szCs w:val="24"/>
        </w:rPr>
      </w:pPr>
      <w:r w:rsidRPr="008F0044">
        <w:rPr>
          <w:rFonts w:eastAsia="Times New Roman" w:cs="Arial"/>
          <w:i/>
          <w:iCs/>
          <w:color w:val="000000"/>
          <w:szCs w:val="20"/>
          <w:lang w:eastAsia="bg-BG"/>
        </w:rPr>
        <w:lastRenderedPageBreak/>
        <w:t>*</w:t>
      </w:r>
      <w:r w:rsidRPr="008F0044">
        <w:rPr>
          <w:rFonts w:eastAsia="Times New Roman" w:cs="Arial"/>
          <w:i/>
          <w:iCs/>
          <w:color w:val="000000"/>
          <w:szCs w:val="20"/>
          <w:lang w:val="en-US"/>
        </w:rPr>
        <w:t>In</w:t>
      </w:r>
      <w:r w:rsidRPr="008F0044">
        <w:rPr>
          <w:rFonts w:eastAsia="Times New Roman" w:cs="Arial"/>
          <w:i/>
          <w:iCs/>
          <w:color w:val="000000"/>
          <w:szCs w:val="20"/>
          <w:lang w:val="ru-RU"/>
        </w:rPr>
        <w:t xml:space="preserve"> </w:t>
      </w:r>
      <w:r w:rsidRPr="008F0044">
        <w:rPr>
          <w:rFonts w:eastAsia="Times New Roman" w:cs="Arial"/>
          <w:i/>
          <w:iCs/>
          <w:color w:val="000000"/>
          <w:szCs w:val="20"/>
          <w:lang w:val="en-US"/>
        </w:rPr>
        <w:t>vitro</w:t>
      </w:r>
      <w:r w:rsidRPr="008F0044">
        <w:rPr>
          <w:rFonts w:eastAsia="Times New Roman" w:cs="Arial"/>
          <w:color w:val="000000"/>
          <w:szCs w:val="20"/>
          <w:lang w:val="ru-RU"/>
        </w:rPr>
        <w:t xml:space="preserve"> </w:t>
      </w:r>
      <w:r w:rsidRPr="008F0044">
        <w:rPr>
          <w:rFonts w:eastAsia="Times New Roman" w:cs="Arial"/>
          <w:color w:val="000000"/>
          <w:szCs w:val="20"/>
          <w:lang w:eastAsia="bg-BG"/>
        </w:rPr>
        <w:t>проучвания са показали, че цефтриаксон може да измести билирубина от местата му на свързване със серумния албумин, водейки до възможен риск от билирубинова енцефалопатия при тези пациенти.</w:t>
      </w:r>
    </w:p>
    <w:p w14:paraId="32F33273" w14:textId="77777777" w:rsidR="008F0044" w:rsidRPr="008F0044" w:rsidRDefault="008F0044" w:rsidP="008F0044">
      <w:pPr>
        <w:spacing w:line="240" w:lineRule="auto"/>
        <w:rPr>
          <w:rFonts w:eastAsia="Times New Roman" w:cs="Arial"/>
          <w:color w:val="000000"/>
          <w:szCs w:val="20"/>
          <w:lang w:eastAsia="bg-BG"/>
        </w:rPr>
      </w:pPr>
    </w:p>
    <w:p w14:paraId="2B29FBF9" w14:textId="5EF68903" w:rsidR="008F0044" w:rsidRPr="008F0044" w:rsidRDefault="008F0044" w:rsidP="008F0044">
      <w:pPr>
        <w:spacing w:line="240" w:lineRule="auto"/>
        <w:rPr>
          <w:rFonts w:eastAsia="Times New Roman" w:cs="Arial"/>
          <w:sz w:val="28"/>
          <w:szCs w:val="24"/>
        </w:rPr>
      </w:pPr>
      <w:r w:rsidRPr="008F0044">
        <w:rPr>
          <w:rFonts w:eastAsia="Times New Roman" w:cs="Arial"/>
          <w:color w:val="000000"/>
          <w:szCs w:val="20"/>
          <w:lang w:eastAsia="bg-BG"/>
        </w:rPr>
        <w:t>Преди интрамускулно инжектиране на цефтриаксон трябва да се изключат противопоказания за лидокаин, когато като разтворител се използва разтвор на лидокаин (вж. точка 4.4). Вижте информацията в кратката характеристика на лидокаин, особено противопоказанията.</w:t>
      </w:r>
    </w:p>
    <w:p w14:paraId="0C1004BA" w14:textId="04B4472B" w:rsidR="0022055A" w:rsidRPr="0022055A" w:rsidRDefault="008F0044" w:rsidP="008F0044">
      <w:pPr>
        <w:spacing w:line="240" w:lineRule="auto"/>
        <w:rPr>
          <w:rFonts w:eastAsia="Times New Roman" w:cs="Arial"/>
          <w:color w:val="000000"/>
          <w:szCs w:val="20"/>
          <w:lang w:eastAsia="bg-BG"/>
        </w:rPr>
      </w:pPr>
      <w:r w:rsidRPr="008F0044">
        <w:rPr>
          <w:rFonts w:eastAsia="Times New Roman" w:cs="Arial"/>
          <w:color w:val="000000"/>
          <w:szCs w:val="20"/>
          <w:lang w:eastAsia="bg-BG"/>
        </w:rPr>
        <w:t>Разтворите на цефтриаксон, съдържащи лидокаин, не трябва никога да се прилагат интравенозно.</w:t>
      </w:r>
    </w:p>
    <w:p w14:paraId="216D34A5" w14:textId="77777777" w:rsidR="0022055A" w:rsidRPr="0022055A" w:rsidRDefault="0022055A" w:rsidP="0022055A"/>
    <w:p w14:paraId="212F509C" w14:textId="2D66C89C" w:rsidR="004F498A" w:rsidRDefault="002C50EE" w:rsidP="004A448E">
      <w:pPr>
        <w:pStyle w:val="Heading2"/>
      </w:pPr>
      <w:r>
        <w:t>4.4. Специални предупреждения и предпазни мерки при употреба</w:t>
      </w:r>
    </w:p>
    <w:p w14:paraId="5B2AE0DC" w14:textId="1701501C" w:rsidR="008F0044" w:rsidRDefault="008F0044" w:rsidP="008F0044"/>
    <w:p w14:paraId="4D476D3D" w14:textId="77777777"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Реакции на свръхчувствителност</w:t>
      </w:r>
    </w:p>
    <w:p w14:paraId="48369B58"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Както при всички бета лакгамни антибиотици, има съобщения за сериозни и понякога фатални реакции на свръхчувствителност (вж. точка 4.8). В случай на тежки реакции на свръхчувствителност лечението с цефтриаксон трябва да се прекрати незабавно и да се приложат адекватни спешни мерки.</w:t>
      </w:r>
    </w:p>
    <w:p w14:paraId="71F2652B"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Преди започването на лечение трябва да се установи дали пациентът има анамнеза за тежки реакции на свръхчувствителност към цефтриаксон, към други цефалоспорини или към който и да било друг вид бета лактамно средство. Ако цефтриаксон се прилага на пациенти с анамнеза за нетежка свръхчувствителност към други бета лактамни средства, това трябва да става с повишено внимание.</w:t>
      </w:r>
    </w:p>
    <w:p w14:paraId="014E06B8" w14:textId="77777777" w:rsidR="008F0044" w:rsidRPr="008F0044" w:rsidRDefault="008F0044" w:rsidP="008F0044">
      <w:pPr>
        <w:spacing w:line="240" w:lineRule="auto"/>
        <w:rPr>
          <w:rFonts w:eastAsia="Times New Roman" w:cs="Arial"/>
          <w:color w:val="000000"/>
          <w:lang w:eastAsia="bg-BG"/>
        </w:rPr>
      </w:pPr>
    </w:p>
    <w:p w14:paraId="7B201987" w14:textId="1767B9C2" w:rsidR="008F0044" w:rsidRPr="008F0044" w:rsidRDefault="008F0044" w:rsidP="008F0044">
      <w:pPr>
        <w:spacing w:line="240" w:lineRule="auto"/>
        <w:rPr>
          <w:rFonts w:eastAsia="Times New Roman" w:cs="Arial"/>
        </w:rPr>
      </w:pPr>
      <w:r w:rsidRPr="008F0044">
        <w:rPr>
          <w:rFonts w:eastAsia="Times New Roman" w:cs="Arial"/>
          <w:color w:val="000000"/>
          <w:lang w:eastAsia="bg-BG"/>
        </w:rPr>
        <w:t xml:space="preserve">Тежки кожни нежелани реакции (синдром на </w:t>
      </w:r>
      <w:r w:rsidRPr="008F0044">
        <w:rPr>
          <w:rFonts w:eastAsia="Times New Roman" w:cs="Arial"/>
          <w:color w:val="000000"/>
          <w:lang w:val="en-US"/>
        </w:rPr>
        <w:t>Stevens</w:t>
      </w:r>
      <w:r w:rsidRPr="008F0044">
        <w:rPr>
          <w:rFonts w:eastAsia="Times New Roman" w:cs="Arial"/>
          <w:color w:val="000000"/>
          <w:lang w:val="ru-RU"/>
        </w:rPr>
        <w:t xml:space="preserve"> </w:t>
      </w:r>
      <w:r w:rsidRPr="008F0044">
        <w:rPr>
          <w:rFonts w:eastAsia="Times New Roman" w:cs="Arial"/>
          <w:color w:val="000000"/>
          <w:lang w:val="en-US"/>
        </w:rPr>
        <w:t>Johnson</w:t>
      </w:r>
      <w:r w:rsidRPr="008F0044">
        <w:rPr>
          <w:rFonts w:eastAsia="Times New Roman" w:cs="Arial"/>
          <w:color w:val="000000"/>
          <w:lang w:val="ru-RU"/>
        </w:rPr>
        <w:t xml:space="preserve"> </w:t>
      </w:r>
      <w:r w:rsidRPr="008F0044">
        <w:rPr>
          <w:rFonts w:eastAsia="Times New Roman" w:cs="Arial"/>
          <w:color w:val="000000"/>
          <w:lang w:eastAsia="bg-BG"/>
        </w:rPr>
        <w:t xml:space="preserve">или синдром на </w:t>
      </w:r>
      <w:r w:rsidRPr="008F0044">
        <w:rPr>
          <w:rFonts w:eastAsia="Times New Roman" w:cs="Arial"/>
          <w:color w:val="000000"/>
          <w:lang w:val="en-US"/>
        </w:rPr>
        <w:t>Lyell</w:t>
      </w:r>
      <w:r w:rsidRPr="008F0044">
        <w:rPr>
          <w:rFonts w:eastAsia="Times New Roman" w:cs="Arial"/>
          <w:color w:val="000000"/>
          <w:lang w:val="ru-RU"/>
        </w:rPr>
        <w:t xml:space="preserve">/ </w:t>
      </w:r>
      <w:r w:rsidRPr="008F0044">
        <w:rPr>
          <w:rFonts w:eastAsia="Times New Roman" w:cs="Arial"/>
          <w:color w:val="000000"/>
          <w:lang w:eastAsia="bg-BG"/>
        </w:rPr>
        <w:t xml:space="preserve">токсична епидермална некролиза и лекарствена реакция с еозинофилия и системни симптоми </w:t>
      </w:r>
      <w:r w:rsidRPr="008F0044">
        <w:rPr>
          <w:rFonts w:eastAsia="Times New Roman" w:cs="Arial"/>
          <w:color w:val="000000"/>
          <w:lang w:val="ru-RU"/>
        </w:rPr>
        <w:t>(</w:t>
      </w:r>
      <w:r w:rsidRPr="008F0044">
        <w:rPr>
          <w:rFonts w:eastAsia="Times New Roman" w:cs="Arial"/>
          <w:color w:val="000000"/>
          <w:lang w:val="en-US"/>
        </w:rPr>
        <w:t>DRESS</w:t>
      </w:r>
      <w:r w:rsidRPr="008F0044">
        <w:rPr>
          <w:rFonts w:eastAsia="Times New Roman" w:cs="Arial"/>
          <w:color w:val="000000"/>
          <w:lang w:val="ru-RU"/>
        </w:rPr>
        <w:t xml:space="preserve">)), </w:t>
      </w:r>
      <w:r w:rsidRPr="008F0044">
        <w:rPr>
          <w:rFonts w:eastAsia="Times New Roman" w:cs="Arial"/>
          <w:color w:val="000000"/>
          <w:lang w:eastAsia="bg-BG"/>
        </w:rPr>
        <w:t>които може да бъдат животозастрашаващи или с летален изход, се съобщават във връзка с лечение с цефтриаксон; честотата на тези събития обаче не е известна (вж. точка 4.8).</w:t>
      </w:r>
    </w:p>
    <w:p w14:paraId="0F8FAB4A" w14:textId="77777777" w:rsidR="008F0044" w:rsidRPr="008F0044" w:rsidRDefault="008F0044" w:rsidP="008F0044">
      <w:pPr>
        <w:spacing w:line="240" w:lineRule="auto"/>
        <w:rPr>
          <w:rFonts w:eastAsia="Times New Roman" w:cs="Arial"/>
          <w:color w:val="000000"/>
          <w:u w:val="single"/>
          <w:lang w:eastAsia="bg-BG"/>
        </w:rPr>
      </w:pPr>
    </w:p>
    <w:p w14:paraId="19805A70" w14:textId="29648003"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 xml:space="preserve">Реакция на </w:t>
      </w:r>
      <w:proofErr w:type="spellStart"/>
      <w:r w:rsidRPr="008F0044">
        <w:rPr>
          <w:rFonts w:eastAsia="Times New Roman" w:cs="Arial"/>
          <w:color w:val="000000"/>
          <w:u w:val="single"/>
          <w:lang w:val="en-US"/>
        </w:rPr>
        <w:t>Jarisch</w:t>
      </w:r>
      <w:proofErr w:type="spellEnd"/>
      <w:r w:rsidRPr="008F0044">
        <w:rPr>
          <w:rFonts w:eastAsia="Times New Roman" w:cs="Arial"/>
          <w:color w:val="000000"/>
          <w:u w:val="single"/>
        </w:rPr>
        <w:t>-</w:t>
      </w:r>
      <w:proofErr w:type="spellStart"/>
      <w:r w:rsidRPr="008F0044">
        <w:rPr>
          <w:rFonts w:eastAsia="Times New Roman" w:cs="Arial"/>
          <w:color w:val="000000"/>
          <w:u w:val="single"/>
          <w:lang w:val="en-US"/>
        </w:rPr>
        <w:t>Herxheimer</w:t>
      </w:r>
      <w:proofErr w:type="spellEnd"/>
      <w:r w:rsidRPr="008F0044">
        <w:rPr>
          <w:rFonts w:eastAsia="Times New Roman" w:cs="Arial"/>
          <w:color w:val="000000"/>
          <w:u w:val="single"/>
        </w:rPr>
        <w:t xml:space="preserve"> (</w:t>
      </w:r>
      <w:r w:rsidRPr="008F0044">
        <w:rPr>
          <w:rFonts w:eastAsia="Times New Roman" w:cs="Arial"/>
          <w:color w:val="000000"/>
          <w:u w:val="single"/>
          <w:lang w:val="en-US"/>
        </w:rPr>
        <w:t>JHR</w:t>
      </w:r>
      <w:r w:rsidRPr="008F0044">
        <w:rPr>
          <w:rFonts w:eastAsia="Times New Roman" w:cs="Arial"/>
          <w:color w:val="000000"/>
          <w:u w:val="single"/>
        </w:rPr>
        <w:t>)</w:t>
      </w:r>
    </w:p>
    <w:p w14:paraId="6C1A410B"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 xml:space="preserve">Някои пациенти със спирохетни инфекции може да получат реакция на </w:t>
      </w:r>
      <w:proofErr w:type="spellStart"/>
      <w:r w:rsidRPr="008F0044">
        <w:rPr>
          <w:rFonts w:eastAsia="Times New Roman" w:cs="Arial"/>
          <w:color w:val="000000"/>
          <w:lang w:val="en-US"/>
        </w:rPr>
        <w:t>Jarisch</w:t>
      </w:r>
      <w:proofErr w:type="spellEnd"/>
      <w:r w:rsidRPr="008F0044">
        <w:rPr>
          <w:rFonts w:eastAsia="Times New Roman" w:cs="Arial"/>
          <w:color w:val="000000"/>
          <w:lang w:val="ru-RU"/>
        </w:rPr>
        <w:t>-</w:t>
      </w:r>
      <w:proofErr w:type="spellStart"/>
      <w:r w:rsidRPr="008F0044">
        <w:rPr>
          <w:rFonts w:eastAsia="Times New Roman" w:cs="Arial"/>
          <w:color w:val="000000"/>
          <w:lang w:val="en-US"/>
        </w:rPr>
        <w:t>Herxheimer</w:t>
      </w:r>
      <w:proofErr w:type="spellEnd"/>
      <w:r w:rsidRPr="008F0044">
        <w:rPr>
          <w:rFonts w:eastAsia="Times New Roman" w:cs="Arial"/>
          <w:color w:val="000000"/>
          <w:lang w:val="ru-RU"/>
        </w:rPr>
        <w:t xml:space="preserve"> (</w:t>
      </w:r>
      <w:r w:rsidRPr="008F0044">
        <w:rPr>
          <w:rFonts w:eastAsia="Times New Roman" w:cs="Arial"/>
          <w:color w:val="000000"/>
          <w:lang w:val="en-US"/>
        </w:rPr>
        <w:t>JHR</w:t>
      </w:r>
      <w:r w:rsidRPr="008F0044">
        <w:rPr>
          <w:rFonts w:eastAsia="Times New Roman" w:cs="Arial"/>
          <w:color w:val="000000"/>
          <w:lang w:val="ru-RU"/>
        </w:rPr>
        <w:t xml:space="preserve">) </w:t>
      </w:r>
      <w:r w:rsidRPr="008F0044">
        <w:rPr>
          <w:rFonts w:eastAsia="Times New Roman" w:cs="Arial"/>
          <w:color w:val="000000"/>
          <w:lang w:eastAsia="bg-BG"/>
        </w:rPr>
        <w:t xml:space="preserve">малко след започване на лечението с цефтриаксон. Обикновено </w:t>
      </w:r>
      <w:r w:rsidRPr="008F0044">
        <w:rPr>
          <w:rFonts w:eastAsia="Times New Roman" w:cs="Arial"/>
          <w:color w:val="000000"/>
          <w:lang w:val="en-US"/>
        </w:rPr>
        <w:t>JHR</w:t>
      </w:r>
      <w:r w:rsidRPr="008F0044">
        <w:rPr>
          <w:rFonts w:eastAsia="Times New Roman" w:cs="Arial"/>
          <w:color w:val="000000"/>
          <w:lang w:val="ru-RU"/>
        </w:rPr>
        <w:t xml:space="preserve"> </w:t>
      </w:r>
      <w:r w:rsidRPr="008F0044">
        <w:rPr>
          <w:rFonts w:eastAsia="Times New Roman" w:cs="Arial"/>
          <w:color w:val="000000"/>
          <w:lang w:eastAsia="bg-BG"/>
        </w:rPr>
        <w:t>е самоограничаващо се заболяване, което също така може да се овладее със симптоматично лечение. Антибиотичното лечение не трябва да се преустановява при възникване на такава реакция.</w:t>
      </w:r>
    </w:p>
    <w:p w14:paraId="5BD3ACFB" w14:textId="77777777" w:rsidR="008F0044" w:rsidRPr="008F0044" w:rsidRDefault="008F0044" w:rsidP="008F0044">
      <w:pPr>
        <w:spacing w:line="240" w:lineRule="auto"/>
        <w:rPr>
          <w:rFonts w:eastAsia="Times New Roman" w:cs="Arial"/>
          <w:color w:val="000000"/>
          <w:u w:val="single"/>
          <w:lang w:eastAsia="bg-BG"/>
        </w:rPr>
      </w:pPr>
    </w:p>
    <w:p w14:paraId="463E3257" w14:textId="15AAFDB4"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Взаимодействие с продукти, съдържаш и калций</w:t>
      </w:r>
    </w:p>
    <w:p w14:paraId="5B1E0A72"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 xml:space="preserve">Описани са случаи на фатални реакции с преципитати на цефтриаксон калций в белите дробове и бъбреците при недоносени и доносени новородени на възраст под 1 месец. Най-малко в един от тези случаи цефтриаксон и калций са прилагани в различен момент и през различни интравенозни линии. В наличните научни данни няма съобщения за потвърдена интраваскуларна преципитация при пациенти, извън възрастовата група на новородените, лекувани с цефтриаксон и разтвори, съдържащи калций, и други продукти, съдържащи калций. </w:t>
      </w:r>
      <w:r w:rsidRPr="008F0044">
        <w:rPr>
          <w:rFonts w:eastAsia="Times New Roman" w:cs="Arial"/>
          <w:i/>
          <w:iCs/>
          <w:color w:val="000000"/>
          <w:lang w:val="en-US"/>
        </w:rPr>
        <w:t>In</w:t>
      </w:r>
      <w:r w:rsidRPr="008F0044">
        <w:rPr>
          <w:rFonts w:eastAsia="Times New Roman" w:cs="Arial"/>
          <w:i/>
          <w:iCs/>
          <w:color w:val="000000"/>
          <w:lang w:val="ru-RU"/>
        </w:rPr>
        <w:t xml:space="preserve"> </w:t>
      </w:r>
      <w:r w:rsidRPr="008F0044">
        <w:rPr>
          <w:rFonts w:eastAsia="Times New Roman" w:cs="Arial"/>
          <w:i/>
          <w:iCs/>
          <w:color w:val="000000"/>
          <w:lang w:val="en-US"/>
        </w:rPr>
        <w:t>vitro</w:t>
      </w:r>
      <w:r w:rsidRPr="008F0044">
        <w:rPr>
          <w:rFonts w:eastAsia="Times New Roman" w:cs="Arial"/>
          <w:color w:val="000000"/>
          <w:lang w:val="ru-RU"/>
        </w:rPr>
        <w:t xml:space="preserve"> </w:t>
      </w:r>
      <w:r w:rsidRPr="008F0044">
        <w:rPr>
          <w:rFonts w:eastAsia="Times New Roman" w:cs="Arial"/>
          <w:color w:val="000000"/>
          <w:lang w:eastAsia="bg-BG"/>
        </w:rPr>
        <w:t>проучвания демонстрират, че при новородените има повишен риск от преципитация на цефтриаксон калций в сравнение с другите възрастови групи.</w:t>
      </w:r>
    </w:p>
    <w:p w14:paraId="2F16B97D" w14:textId="77777777" w:rsidR="008F0044" w:rsidRPr="008F0044" w:rsidRDefault="008F0044" w:rsidP="008F0044">
      <w:pPr>
        <w:rPr>
          <w:rFonts w:eastAsia="Times New Roman" w:cs="Arial"/>
          <w:color w:val="000000"/>
          <w:lang w:eastAsia="bg-BG"/>
        </w:rPr>
      </w:pPr>
    </w:p>
    <w:p w14:paraId="286B0323" w14:textId="15D6AF6E" w:rsidR="008F0044" w:rsidRPr="008F0044" w:rsidRDefault="008F0044" w:rsidP="008F0044">
      <w:pPr>
        <w:rPr>
          <w:rFonts w:eastAsia="Times New Roman" w:cs="Arial"/>
          <w:color w:val="000000"/>
          <w:lang w:eastAsia="bg-BG"/>
        </w:rPr>
      </w:pPr>
      <w:r w:rsidRPr="008F0044">
        <w:rPr>
          <w:rFonts w:eastAsia="Times New Roman" w:cs="Arial"/>
          <w:color w:val="000000"/>
          <w:lang w:eastAsia="bg-BG"/>
        </w:rPr>
        <w:t xml:space="preserve">При пациенти на всяка възраст цефтриаксон не трябва да се смесва или прилага едновременно с интравенозни разтвори, съдържащи калций, дори през различни инфузионни линии или на различни места на инфузия. Въпреки това, при пациенти на </w:t>
      </w:r>
      <w:r w:rsidRPr="008F0044">
        <w:rPr>
          <w:rFonts w:eastAsia="Times New Roman" w:cs="Arial"/>
          <w:color w:val="000000"/>
          <w:lang w:eastAsia="bg-BG"/>
        </w:rPr>
        <w:lastRenderedPageBreak/>
        <w:t>възраст над 28 дни цефтриаксон и разтвори, съдържащи калций, могат да се прилагат последователно един след друг, ако се използват инфузионни линии на различни места или ако инфузионните линии се подменят или се промиват добре между отделните инфузии с физиологичен разтвор, за да се избегне преципитация. При пациенти, които се нуждаят от непрекъсната инфузия на разтвори за тотално парентерално хранене, съдържащи калций, медицинските специалисти могат да обмислят употребата на други антибактериални средства, при които няма подобен риск от преципитация. Ако използването на цефтриаксон се счита за необходимо при пациенти, нуждаещи се от непрекъсната инфузия, разтворите за тотално парентерално хранене и цефтриаксон могат да се прилагат едновременно, но през различни инфузионни линии на различни места. Като друг вариант инфузията на разтвора за тотално парентерално хранене може да се спре за периода на инфузия на цефтриаксон, и инфузионните линии да се промият между разтворите (вж. точки 4.3,4.8, 5.2 и 6.2).</w:t>
      </w:r>
    </w:p>
    <w:p w14:paraId="6814B938" w14:textId="7E128443" w:rsidR="008F0044" w:rsidRPr="008F0044" w:rsidRDefault="008F0044" w:rsidP="008F0044">
      <w:pPr>
        <w:rPr>
          <w:rFonts w:eastAsia="Times New Roman" w:cs="Arial"/>
          <w:color w:val="000000"/>
          <w:lang w:eastAsia="bg-BG"/>
        </w:rPr>
      </w:pPr>
    </w:p>
    <w:p w14:paraId="05B2FE11" w14:textId="77777777"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Педиатрична популация</w:t>
      </w:r>
    </w:p>
    <w:p w14:paraId="3EC98B92"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Безопасността и ефикасността на Цефтриаксон</w:t>
      </w:r>
      <w:r w:rsidRPr="008F0044">
        <w:rPr>
          <w:rFonts w:eastAsia="Times New Roman" w:cs="Arial"/>
          <w:color w:val="000000"/>
          <w:lang w:val="ru-RU"/>
        </w:rPr>
        <w:t>-</w:t>
      </w:r>
      <w:r w:rsidRPr="008F0044">
        <w:rPr>
          <w:rFonts w:eastAsia="Times New Roman" w:cs="Arial"/>
          <w:color w:val="000000"/>
          <w:lang w:val="en-US"/>
        </w:rPr>
        <w:t>MIP</w:t>
      </w:r>
      <w:r w:rsidRPr="008F0044">
        <w:rPr>
          <w:rFonts w:eastAsia="Times New Roman" w:cs="Arial"/>
          <w:color w:val="000000"/>
          <w:lang w:val="ru-RU"/>
        </w:rPr>
        <w:t xml:space="preserve"> </w:t>
      </w:r>
      <w:r w:rsidRPr="008F0044">
        <w:rPr>
          <w:rFonts w:eastAsia="Times New Roman" w:cs="Arial"/>
          <w:color w:val="000000"/>
          <w:lang w:eastAsia="bg-BG"/>
        </w:rPr>
        <w:t>при новородени, кърмачета и деца са установени за дозировките, описани в Дозировка и начин на приложение (вж. точка 4.2). Проучвания са показали, че цефтриаксон, подобно на някои други цефалоспорини, може да измести билирубина от серумния албумин.</w:t>
      </w:r>
    </w:p>
    <w:p w14:paraId="54FC3F1F"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Приложението на Цефтриаксон</w:t>
      </w:r>
      <w:r w:rsidRPr="008F0044">
        <w:rPr>
          <w:rFonts w:eastAsia="Times New Roman" w:cs="Arial"/>
          <w:color w:val="000000"/>
          <w:lang w:val="ru-RU"/>
        </w:rPr>
        <w:t>-</w:t>
      </w:r>
      <w:r w:rsidRPr="008F0044">
        <w:rPr>
          <w:rFonts w:eastAsia="Times New Roman" w:cs="Arial"/>
          <w:color w:val="000000"/>
          <w:lang w:val="en-US"/>
        </w:rPr>
        <w:t>MIP</w:t>
      </w:r>
      <w:r w:rsidRPr="008F0044">
        <w:rPr>
          <w:rFonts w:eastAsia="Times New Roman" w:cs="Arial"/>
          <w:color w:val="000000"/>
          <w:lang w:val="ru-RU"/>
        </w:rPr>
        <w:t xml:space="preserve"> </w:t>
      </w:r>
      <w:r w:rsidRPr="008F0044">
        <w:rPr>
          <w:rFonts w:eastAsia="Times New Roman" w:cs="Arial"/>
          <w:color w:val="000000"/>
          <w:lang w:eastAsia="bg-BG"/>
        </w:rPr>
        <w:t>е противопоказано при недоносени и доносени новородени с риск от развитие на билирубинова енцефалопатия (вж. точка 4,3).</w:t>
      </w:r>
    </w:p>
    <w:p w14:paraId="139D50D2" w14:textId="77777777" w:rsidR="008F0044" w:rsidRPr="008F0044" w:rsidRDefault="008F0044" w:rsidP="008F0044">
      <w:pPr>
        <w:spacing w:line="240" w:lineRule="auto"/>
        <w:rPr>
          <w:rFonts w:eastAsia="Times New Roman" w:cs="Arial"/>
          <w:color w:val="000000"/>
          <w:u w:val="single"/>
          <w:lang w:eastAsia="bg-BG"/>
        </w:rPr>
      </w:pPr>
    </w:p>
    <w:p w14:paraId="6C0E755B" w14:textId="183DBD8C"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Имуномедиирана хемолитична анемия</w:t>
      </w:r>
    </w:p>
    <w:p w14:paraId="01B90FE2"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Имуномедиирана хемолитична анемия е наблюдавана при пациенти, получаващи антибактериални средства от класа на цефалоспорините, включително Цефтриаксон</w:t>
      </w:r>
      <w:r w:rsidRPr="008F0044">
        <w:rPr>
          <w:rFonts w:eastAsia="Times New Roman" w:cs="Arial"/>
          <w:color w:val="000000"/>
          <w:lang w:val="ru-RU"/>
        </w:rPr>
        <w:t>-</w:t>
      </w:r>
      <w:r w:rsidRPr="008F0044">
        <w:rPr>
          <w:rFonts w:eastAsia="Times New Roman" w:cs="Arial"/>
          <w:color w:val="000000"/>
          <w:lang w:val="en-US"/>
        </w:rPr>
        <w:t>MIP</w:t>
      </w:r>
      <w:r w:rsidRPr="008F0044">
        <w:rPr>
          <w:rFonts w:eastAsia="Times New Roman" w:cs="Arial"/>
          <w:color w:val="000000"/>
          <w:lang w:val="ru-RU"/>
        </w:rPr>
        <w:t xml:space="preserve"> </w:t>
      </w:r>
      <w:r w:rsidRPr="008F0044">
        <w:rPr>
          <w:rFonts w:eastAsia="Times New Roman" w:cs="Arial"/>
          <w:color w:val="000000"/>
          <w:lang w:eastAsia="bg-BG"/>
        </w:rPr>
        <w:t>(вж. точка 4.8). Тежки случаи на хемолитична анемия, включително фатални, са съобщавани по време на лечение с Цефтриаксон</w:t>
      </w:r>
      <w:r w:rsidRPr="008F0044">
        <w:rPr>
          <w:rFonts w:eastAsia="Times New Roman" w:cs="Arial"/>
          <w:color w:val="000000"/>
          <w:lang w:val="ru-RU"/>
        </w:rPr>
        <w:t xml:space="preserve">- </w:t>
      </w:r>
      <w:r w:rsidRPr="008F0044">
        <w:rPr>
          <w:rFonts w:eastAsia="Times New Roman" w:cs="Arial"/>
          <w:color w:val="000000"/>
          <w:lang w:val="en-US"/>
        </w:rPr>
        <w:t>MIP</w:t>
      </w:r>
      <w:r w:rsidRPr="008F0044">
        <w:rPr>
          <w:rFonts w:eastAsia="Times New Roman" w:cs="Arial"/>
          <w:color w:val="000000"/>
          <w:lang w:val="ru-RU"/>
        </w:rPr>
        <w:t xml:space="preserve"> </w:t>
      </w:r>
      <w:r w:rsidRPr="008F0044">
        <w:rPr>
          <w:rFonts w:eastAsia="Times New Roman" w:cs="Arial"/>
          <w:color w:val="000000"/>
          <w:lang w:eastAsia="bg-BG"/>
        </w:rPr>
        <w:t>при възрастни и деца.</w:t>
      </w:r>
    </w:p>
    <w:p w14:paraId="4314A0E9" w14:textId="77777777" w:rsidR="008F0044" w:rsidRPr="008F0044" w:rsidRDefault="008F0044" w:rsidP="008F0044">
      <w:pPr>
        <w:spacing w:line="240" w:lineRule="auto"/>
        <w:rPr>
          <w:rFonts w:eastAsia="Times New Roman" w:cs="Arial"/>
          <w:color w:val="000000"/>
          <w:lang w:eastAsia="bg-BG"/>
        </w:rPr>
      </w:pPr>
    </w:p>
    <w:p w14:paraId="33A31344" w14:textId="15323B2B" w:rsidR="008F0044" w:rsidRPr="008F0044" w:rsidRDefault="008F0044" w:rsidP="008F0044">
      <w:pPr>
        <w:spacing w:line="240" w:lineRule="auto"/>
        <w:rPr>
          <w:rFonts w:eastAsia="Times New Roman" w:cs="Arial"/>
        </w:rPr>
      </w:pPr>
      <w:r w:rsidRPr="008F0044">
        <w:rPr>
          <w:rFonts w:eastAsia="Times New Roman" w:cs="Arial"/>
          <w:color w:val="000000"/>
          <w:lang w:eastAsia="bg-BG"/>
        </w:rPr>
        <w:t>Ако даден пациент развие анемия, докато е на лечение с цефтриаксон, трябва да се има предвид диагноза анемия, свързана с цефалоспорин, и приложението на цефтриаксон трябва да се прекрати до определяне на етиологията.</w:t>
      </w:r>
    </w:p>
    <w:p w14:paraId="570304CE" w14:textId="77777777" w:rsidR="008F0044" w:rsidRPr="008F0044" w:rsidRDefault="008F0044" w:rsidP="008F0044">
      <w:pPr>
        <w:spacing w:line="240" w:lineRule="auto"/>
        <w:rPr>
          <w:rFonts w:eastAsia="Times New Roman" w:cs="Arial"/>
          <w:color w:val="000000"/>
          <w:u w:val="single"/>
          <w:lang w:eastAsia="bg-BG"/>
        </w:rPr>
      </w:pPr>
    </w:p>
    <w:p w14:paraId="1226DA18" w14:textId="096DDEA5"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Дългосрочно лечение</w:t>
      </w:r>
    </w:p>
    <w:p w14:paraId="778992A6"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По време на лечение с голяма продължителност трябва на редовни интервали да се изследва пълна кръвна картина.</w:t>
      </w:r>
    </w:p>
    <w:p w14:paraId="00C72236" w14:textId="77777777" w:rsidR="008F0044" w:rsidRPr="008F0044" w:rsidRDefault="008F0044" w:rsidP="008F0044">
      <w:pPr>
        <w:spacing w:line="240" w:lineRule="auto"/>
        <w:rPr>
          <w:rFonts w:eastAsia="Times New Roman" w:cs="Arial"/>
          <w:color w:val="000000"/>
          <w:u w:val="single"/>
          <w:lang w:eastAsia="bg-BG"/>
        </w:rPr>
      </w:pPr>
    </w:p>
    <w:p w14:paraId="73CBD287" w14:textId="29DC3AC3"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Колит/свръхрастеж на нечувствителни микроорганизми</w:t>
      </w:r>
    </w:p>
    <w:p w14:paraId="6D58785B"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 xml:space="preserve">При почти всички антибактериални средства, включително цефтриаксон, се съобщава за колит и псевдомембранозен колит, свързан с антибактериалното средство, които могат да са с различна тежест, от леки до животозастрашаващи. По тази причина е важно тази диагноза да се има предвид при пациенти, които имат диария по време на приложението на цефтриаксон или след това (вж. точка 4.8). Трябва да се обмисли прекратяване на лечението с цефтриаксон и приложение на специфична терапия за </w:t>
      </w:r>
      <w:r w:rsidRPr="008F0044">
        <w:rPr>
          <w:rFonts w:eastAsia="Times New Roman" w:cs="Arial"/>
          <w:i/>
          <w:iCs/>
          <w:color w:val="000000"/>
          <w:lang w:val="en-US"/>
        </w:rPr>
        <w:t>Clostridium</w:t>
      </w:r>
      <w:r w:rsidRPr="008F0044">
        <w:rPr>
          <w:rFonts w:eastAsia="Times New Roman" w:cs="Arial"/>
          <w:i/>
          <w:iCs/>
          <w:color w:val="000000"/>
          <w:lang w:val="ru-RU"/>
        </w:rPr>
        <w:t xml:space="preserve"> </w:t>
      </w:r>
      <w:r w:rsidRPr="008F0044">
        <w:rPr>
          <w:rFonts w:eastAsia="Times New Roman" w:cs="Arial"/>
          <w:i/>
          <w:iCs/>
          <w:color w:val="000000"/>
          <w:lang w:val="en-US"/>
        </w:rPr>
        <w:t>difficile</w:t>
      </w:r>
      <w:r w:rsidRPr="008F0044">
        <w:rPr>
          <w:rFonts w:eastAsia="Times New Roman" w:cs="Arial"/>
          <w:i/>
          <w:iCs/>
          <w:color w:val="000000"/>
          <w:lang w:val="ru-RU"/>
        </w:rPr>
        <w:t>.</w:t>
      </w:r>
      <w:r w:rsidRPr="008F0044">
        <w:rPr>
          <w:rFonts w:eastAsia="Times New Roman" w:cs="Arial"/>
          <w:color w:val="000000"/>
          <w:lang w:val="ru-RU"/>
        </w:rPr>
        <w:t xml:space="preserve"> </w:t>
      </w:r>
      <w:r w:rsidRPr="008F0044">
        <w:rPr>
          <w:rFonts w:eastAsia="Times New Roman" w:cs="Arial"/>
          <w:color w:val="000000"/>
          <w:lang w:eastAsia="bg-BG"/>
        </w:rPr>
        <w:t>Не трябва да се дават лекарствени продукти, потискащи перисталтиката.</w:t>
      </w:r>
    </w:p>
    <w:p w14:paraId="760E29E0"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Могат да възникнат суперинфекции с нечувствителни микроорганизми, както при другите антибактериални средства.</w:t>
      </w:r>
    </w:p>
    <w:p w14:paraId="0503291B" w14:textId="77777777" w:rsidR="008F0044" w:rsidRPr="008F0044" w:rsidRDefault="008F0044" w:rsidP="008F0044">
      <w:pPr>
        <w:spacing w:line="240" w:lineRule="auto"/>
        <w:rPr>
          <w:rFonts w:eastAsia="Times New Roman" w:cs="Arial"/>
          <w:color w:val="000000"/>
          <w:u w:val="single"/>
          <w:lang w:eastAsia="bg-BG"/>
        </w:rPr>
      </w:pPr>
    </w:p>
    <w:p w14:paraId="18696918" w14:textId="72781D26"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Тежка бъбречна и чернодробна недостатъчност</w:t>
      </w:r>
    </w:p>
    <w:p w14:paraId="1EF174CB"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При тежка бъбречна и чернодробна недостатъчност е препоръчително стриктно клинично мониториране за безопасност и ефикасност (вж. точка 4.2).</w:t>
      </w:r>
    </w:p>
    <w:p w14:paraId="466A2BA9" w14:textId="77777777" w:rsidR="008F0044" w:rsidRPr="008F0044" w:rsidRDefault="008F0044" w:rsidP="008F0044">
      <w:pPr>
        <w:spacing w:line="240" w:lineRule="auto"/>
        <w:rPr>
          <w:rFonts w:eastAsia="Times New Roman" w:cs="Arial"/>
          <w:color w:val="000000"/>
          <w:u w:val="single"/>
          <w:lang w:eastAsia="bg-BG"/>
        </w:rPr>
      </w:pPr>
    </w:p>
    <w:p w14:paraId="301A56A1" w14:textId="654C97D8"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Енцефалопатия</w:t>
      </w:r>
    </w:p>
    <w:p w14:paraId="7D7A31E1"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При употребата на цефтриаксон се съобщава за енцефалопатия (вж. точка 4.8), особено при пациенти в старческа възраст с тежка степен на бъбречно увреждане (вж. точка 4.2) или с нарушения на централната нервна система. При съмнение за енцефалопатия, свързана с цефтриаксон (напр. понижено ниво на съзнание, променен психичен статус, миоклонус, конвулсии), трябва да се обмисли прекратяване на приема на цефтриаксон.</w:t>
      </w:r>
    </w:p>
    <w:p w14:paraId="61B4775D" w14:textId="77777777" w:rsidR="008F0044" w:rsidRPr="008F0044" w:rsidRDefault="008F0044" w:rsidP="008F0044">
      <w:pPr>
        <w:spacing w:line="240" w:lineRule="auto"/>
        <w:rPr>
          <w:rFonts w:eastAsia="Times New Roman" w:cs="Arial"/>
          <w:color w:val="000000"/>
          <w:u w:val="single"/>
          <w:lang w:eastAsia="bg-BG"/>
        </w:rPr>
      </w:pPr>
    </w:p>
    <w:p w14:paraId="53D88B4F" w14:textId="7219C556"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Взаимодействие със серологични изследвания</w:t>
      </w:r>
    </w:p>
    <w:p w14:paraId="3565383B"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 xml:space="preserve">Може да се получи взаимодействие с тестове на </w:t>
      </w:r>
      <w:r w:rsidRPr="008F0044">
        <w:rPr>
          <w:rFonts w:eastAsia="Times New Roman" w:cs="Arial"/>
          <w:color w:val="000000"/>
          <w:lang w:val="en-US"/>
        </w:rPr>
        <w:t>Coombs</w:t>
      </w:r>
      <w:r w:rsidRPr="008F0044">
        <w:rPr>
          <w:rFonts w:eastAsia="Times New Roman" w:cs="Arial"/>
          <w:color w:val="000000"/>
          <w:lang w:val="ru-RU"/>
        </w:rPr>
        <w:t xml:space="preserve">, </w:t>
      </w:r>
      <w:r w:rsidRPr="008F0044">
        <w:rPr>
          <w:rFonts w:eastAsia="Times New Roman" w:cs="Arial"/>
          <w:color w:val="000000"/>
          <w:lang w:eastAsia="bg-BG"/>
        </w:rPr>
        <w:t>тъй като Цефтриаксон</w:t>
      </w:r>
      <w:r w:rsidRPr="008F0044">
        <w:rPr>
          <w:rFonts w:eastAsia="Times New Roman" w:cs="Arial"/>
          <w:color w:val="000000"/>
          <w:lang w:val="ru-RU"/>
        </w:rPr>
        <w:t>-</w:t>
      </w:r>
      <w:r w:rsidRPr="008F0044">
        <w:rPr>
          <w:rFonts w:eastAsia="Times New Roman" w:cs="Arial"/>
          <w:color w:val="000000"/>
          <w:lang w:val="en-US"/>
        </w:rPr>
        <w:t>MIP</w:t>
      </w:r>
      <w:r w:rsidRPr="008F0044">
        <w:rPr>
          <w:rFonts w:eastAsia="Times New Roman" w:cs="Arial"/>
          <w:color w:val="000000"/>
          <w:lang w:val="ru-RU"/>
        </w:rPr>
        <w:t xml:space="preserve"> </w:t>
      </w:r>
      <w:r w:rsidRPr="008F0044">
        <w:rPr>
          <w:rFonts w:eastAsia="Times New Roman" w:cs="Arial"/>
          <w:color w:val="000000"/>
          <w:lang w:eastAsia="bg-BG"/>
        </w:rPr>
        <w:t>може да доведе до фалшиво положителни резултати от тестовете. Цефтриаксон</w:t>
      </w:r>
      <w:r w:rsidRPr="008F0044">
        <w:rPr>
          <w:rFonts w:eastAsia="Times New Roman" w:cs="Arial"/>
          <w:color w:val="000000"/>
          <w:lang w:val="ru-RU"/>
        </w:rPr>
        <w:t>-</w:t>
      </w:r>
      <w:r w:rsidRPr="008F0044">
        <w:rPr>
          <w:rFonts w:eastAsia="Times New Roman" w:cs="Arial"/>
          <w:color w:val="000000"/>
          <w:lang w:val="en-US"/>
        </w:rPr>
        <w:t>MIP</w:t>
      </w:r>
      <w:r w:rsidRPr="008F0044">
        <w:rPr>
          <w:rFonts w:eastAsia="Times New Roman" w:cs="Arial"/>
          <w:color w:val="000000"/>
          <w:lang w:val="ru-RU"/>
        </w:rPr>
        <w:t xml:space="preserve"> </w:t>
      </w:r>
      <w:r w:rsidRPr="008F0044">
        <w:rPr>
          <w:rFonts w:eastAsia="Times New Roman" w:cs="Arial"/>
          <w:color w:val="000000"/>
          <w:lang w:eastAsia="bg-BG"/>
        </w:rPr>
        <w:t>може да доведе и до фалшиво положителни резултати от тестовете за галактоземия (вж. точка 4.8).</w:t>
      </w:r>
    </w:p>
    <w:p w14:paraId="27690643" w14:textId="63542631" w:rsidR="008F0044" w:rsidRPr="008F0044" w:rsidRDefault="008F0044" w:rsidP="008F0044">
      <w:pPr>
        <w:rPr>
          <w:rFonts w:eastAsia="Times New Roman" w:cs="Arial"/>
          <w:color w:val="000000"/>
          <w:lang w:eastAsia="bg-BG"/>
        </w:rPr>
      </w:pPr>
      <w:r w:rsidRPr="008F0044">
        <w:rPr>
          <w:rFonts w:eastAsia="Times New Roman" w:cs="Arial"/>
          <w:color w:val="000000"/>
          <w:lang w:eastAsia="bg-BG"/>
        </w:rPr>
        <w:t>Неензимните методи за определяне на глюкоза в урината могат да дадат фалшиво положителни резултати. Определянето на глюкоза в урината по време на лечение с Цефтриаксон</w:t>
      </w:r>
      <w:r w:rsidRPr="008F0044">
        <w:rPr>
          <w:rFonts w:eastAsia="Times New Roman" w:cs="Arial"/>
          <w:color w:val="000000"/>
          <w:lang w:val="ru-RU"/>
        </w:rPr>
        <w:t>-</w:t>
      </w:r>
      <w:r w:rsidRPr="008F0044">
        <w:rPr>
          <w:rFonts w:eastAsia="Times New Roman" w:cs="Arial"/>
          <w:color w:val="000000"/>
          <w:lang w:val="en-US"/>
        </w:rPr>
        <w:t>MIP</w:t>
      </w:r>
      <w:r w:rsidRPr="008F0044">
        <w:rPr>
          <w:rFonts w:eastAsia="Times New Roman" w:cs="Arial"/>
          <w:color w:val="000000"/>
          <w:lang w:val="ru-RU"/>
        </w:rPr>
        <w:t xml:space="preserve"> </w:t>
      </w:r>
      <w:r w:rsidRPr="008F0044">
        <w:rPr>
          <w:rFonts w:eastAsia="Times New Roman" w:cs="Arial"/>
          <w:color w:val="000000"/>
          <w:lang w:eastAsia="bg-BG"/>
        </w:rPr>
        <w:t>трябва да се извършва с ензимни методи (вж. точка 4.8).</w:t>
      </w:r>
    </w:p>
    <w:p w14:paraId="2E4A05DC" w14:textId="68CF9D84" w:rsidR="008F0044" w:rsidRPr="008F0044" w:rsidRDefault="008F0044" w:rsidP="008F0044">
      <w:pPr>
        <w:rPr>
          <w:rFonts w:eastAsia="Times New Roman" w:cs="Arial"/>
          <w:color w:val="000000"/>
          <w:lang w:eastAsia="bg-BG"/>
        </w:rPr>
      </w:pPr>
    </w:p>
    <w:p w14:paraId="03772942" w14:textId="77777777"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Натрий</w:t>
      </w:r>
    </w:p>
    <w:p w14:paraId="0D767DCE"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 xml:space="preserve">Този лекарствен продукт съдържа 83 </w:t>
      </w:r>
      <w:r w:rsidRPr="008F0044">
        <w:rPr>
          <w:rFonts w:eastAsia="Times New Roman" w:cs="Arial"/>
          <w:color w:val="000000"/>
          <w:lang w:val="en-US"/>
        </w:rPr>
        <w:t>mg</w:t>
      </w:r>
      <w:r w:rsidRPr="008F0044">
        <w:rPr>
          <w:rFonts w:eastAsia="Times New Roman" w:cs="Arial"/>
          <w:color w:val="000000"/>
          <w:lang w:val="ru-RU"/>
        </w:rPr>
        <w:t xml:space="preserve"> </w:t>
      </w:r>
      <w:r w:rsidRPr="008F0044">
        <w:rPr>
          <w:rFonts w:eastAsia="Times New Roman" w:cs="Arial"/>
          <w:color w:val="000000"/>
          <w:lang w:eastAsia="bg-BG"/>
        </w:rPr>
        <w:t xml:space="preserve">(3,6 </w:t>
      </w:r>
      <w:proofErr w:type="spellStart"/>
      <w:r w:rsidRPr="008F0044">
        <w:rPr>
          <w:rFonts w:eastAsia="Times New Roman" w:cs="Arial"/>
          <w:color w:val="000000"/>
          <w:lang w:val="en-US"/>
        </w:rPr>
        <w:t>mmol</w:t>
      </w:r>
      <w:proofErr w:type="spellEnd"/>
      <w:r w:rsidRPr="008F0044">
        <w:rPr>
          <w:rFonts w:eastAsia="Times New Roman" w:cs="Arial"/>
          <w:color w:val="000000"/>
          <w:lang w:val="ru-RU"/>
        </w:rPr>
        <w:t xml:space="preserve">) </w:t>
      </w:r>
      <w:r w:rsidRPr="008F0044">
        <w:rPr>
          <w:rFonts w:eastAsia="Times New Roman" w:cs="Arial"/>
          <w:color w:val="000000"/>
          <w:lang w:eastAsia="bg-BG"/>
        </w:rPr>
        <w:t>натрий на 1 флакон Цефтриаксон</w:t>
      </w:r>
      <w:r w:rsidRPr="008F0044">
        <w:rPr>
          <w:rFonts w:eastAsia="Times New Roman" w:cs="Arial"/>
          <w:color w:val="000000"/>
          <w:lang w:val="ru-RU"/>
        </w:rPr>
        <w:t>-</w:t>
      </w:r>
      <w:r w:rsidRPr="008F0044">
        <w:rPr>
          <w:rFonts w:eastAsia="Times New Roman" w:cs="Arial"/>
          <w:color w:val="000000"/>
          <w:lang w:val="en-US"/>
        </w:rPr>
        <w:t>MIP</w:t>
      </w:r>
      <w:r w:rsidRPr="008F0044">
        <w:rPr>
          <w:rFonts w:eastAsia="Times New Roman" w:cs="Arial"/>
          <w:color w:val="000000"/>
          <w:lang w:val="ru-RU"/>
        </w:rPr>
        <w:t xml:space="preserve"> </w:t>
      </w:r>
      <w:r w:rsidRPr="008F0044">
        <w:rPr>
          <w:rFonts w:eastAsia="Times New Roman" w:cs="Arial"/>
          <w:color w:val="000000"/>
          <w:lang w:eastAsia="bg-BG"/>
        </w:rPr>
        <w:t xml:space="preserve">1 </w:t>
      </w:r>
      <w:r w:rsidRPr="008F0044">
        <w:rPr>
          <w:rFonts w:eastAsia="Times New Roman" w:cs="Arial"/>
          <w:color w:val="000000"/>
          <w:lang w:val="en-US"/>
        </w:rPr>
        <w:t>g</w:t>
      </w:r>
      <w:r w:rsidRPr="008F0044">
        <w:rPr>
          <w:rFonts w:eastAsia="Times New Roman" w:cs="Arial"/>
          <w:color w:val="000000"/>
          <w:lang w:val="ru-RU"/>
        </w:rPr>
        <w:t xml:space="preserve">, </w:t>
      </w:r>
      <w:r w:rsidRPr="008F0044">
        <w:rPr>
          <w:rFonts w:eastAsia="Times New Roman" w:cs="Arial"/>
          <w:color w:val="000000"/>
          <w:lang w:eastAsia="bg-BG"/>
        </w:rPr>
        <w:t xml:space="preserve">които са еквивалентни на 4,15 % от препоръчителния максимален дневен прием от 2 </w:t>
      </w:r>
      <w:r w:rsidRPr="008F0044">
        <w:rPr>
          <w:rFonts w:eastAsia="Times New Roman" w:cs="Arial"/>
          <w:color w:val="000000"/>
          <w:lang w:val="en-US"/>
        </w:rPr>
        <w:t>g</w:t>
      </w:r>
      <w:r w:rsidRPr="008F0044">
        <w:rPr>
          <w:rFonts w:eastAsia="Times New Roman" w:cs="Arial"/>
          <w:color w:val="000000"/>
          <w:lang w:val="ru-RU"/>
        </w:rPr>
        <w:t xml:space="preserve"> </w:t>
      </w:r>
      <w:r w:rsidRPr="008F0044">
        <w:rPr>
          <w:rFonts w:eastAsia="Times New Roman" w:cs="Arial"/>
          <w:color w:val="000000"/>
          <w:lang w:eastAsia="bg-BG"/>
        </w:rPr>
        <w:t>натрий за възрастен. При пациенти с контролирана натриева диета или с електролитен дисбаланс, съдържанието на натрий трябва да се има в предвид.</w:t>
      </w:r>
    </w:p>
    <w:p w14:paraId="3F0FECAE" w14:textId="77777777" w:rsidR="008F0044" w:rsidRPr="008F0044" w:rsidRDefault="008F0044" w:rsidP="008F0044">
      <w:pPr>
        <w:spacing w:line="240" w:lineRule="auto"/>
        <w:rPr>
          <w:rFonts w:eastAsia="Times New Roman" w:cs="Arial"/>
          <w:color w:val="000000"/>
          <w:u w:val="single"/>
          <w:lang w:eastAsia="bg-BG"/>
        </w:rPr>
      </w:pPr>
    </w:p>
    <w:p w14:paraId="15C4FD7D" w14:textId="22E4D018"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Антибактериален спектър</w:t>
      </w:r>
    </w:p>
    <w:p w14:paraId="413D59FC"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Цефтриаксон има ограничен спектър на антибактериално действие и може да не е подходящ като единствено средство за лечение на някои видове инфекции освен ако патогенът е вече потвърден (вж. точка 4.2). При полимикробни инфекции, при които подозираните патогени включват организми, резистентни на цефтриаксон, трябва да се обмисли приложение на допълнителен антибиотик.</w:t>
      </w:r>
    </w:p>
    <w:p w14:paraId="506A8E60" w14:textId="77777777" w:rsidR="008F0044" w:rsidRPr="008F0044" w:rsidRDefault="008F0044" w:rsidP="008F0044">
      <w:pPr>
        <w:spacing w:line="240" w:lineRule="auto"/>
        <w:rPr>
          <w:rFonts w:eastAsia="Times New Roman" w:cs="Arial"/>
          <w:color w:val="000000"/>
          <w:u w:val="single"/>
          <w:lang w:eastAsia="bg-BG"/>
        </w:rPr>
      </w:pPr>
    </w:p>
    <w:p w14:paraId="69B1ED83" w14:textId="3910B132"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Употреба на лидокаин</w:t>
      </w:r>
    </w:p>
    <w:p w14:paraId="69F1BA0A"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В случай, че като разтворител се използва разтвор на лидокаин, разтворите на цефтриаксон трябва да се използват само за интрамускулно инжектиране. Преди употреба трябва да се преценят противопоказанията за лидокаин, предупрежденията и друга приложима информация, посочена в кратката характеристика на лидокаин (вж. точка 4.3). Разтворът на лидокаин никога не трябва да се прилага интравенозно.</w:t>
      </w:r>
    </w:p>
    <w:p w14:paraId="4FF304EC" w14:textId="77777777" w:rsidR="008F0044" w:rsidRPr="008F0044" w:rsidRDefault="008F0044" w:rsidP="008F0044">
      <w:pPr>
        <w:spacing w:line="240" w:lineRule="auto"/>
        <w:rPr>
          <w:rFonts w:eastAsia="Times New Roman" w:cs="Arial"/>
          <w:color w:val="000000"/>
          <w:u w:val="single"/>
          <w:lang w:eastAsia="bg-BG"/>
        </w:rPr>
      </w:pPr>
    </w:p>
    <w:p w14:paraId="797B10B5" w14:textId="461287DD"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Холелитиаза</w:t>
      </w:r>
    </w:p>
    <w:p w14:paraId="013CF25C"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 xml:space="preserve">Когато при ултразвуково изследване се наблюдават сенки, трябва да се има предвид възможни преципитати от цефтриаксон-калций. Сенки, погрешно приети за жлъчни камъни, са откривани при ултразвуково изследване на жлъчния мехур и са наблюдавани по-често при дози цефтриаксон 1 </w:t>
      </w:r>
      <w:r w:rsidRPr="008F0044">
        <w:rPr>
          <w:rFonts w:eastAsia="Times New Roman" w:cs="Arial"/>
          <w:color w:val="000000"/>
          <w:lang w:val="en-US"/>
        </w:rPr>
        <w:t>g</w:t>
      </w:r>
      <w:r w:rsidRPr="008F0044">
        <w:rPr>
          <w:rFonts w:eastAsia="Times New Roman" w:cs="Arial"/>
          <w:color w:val="000000"/>
          <w:lang w:val="ru-RU"/>
        </w:rPr>
        <w:t xml:space="preserve"> </w:t>
      </w:r>
      <w:r w:rsidRPr="008F0044">
        <w:rPr>
          <w:rFonts w:eastAsia="Times New Roman" w:cs="Arial"/>
          <w:color w:val="000000"/>
          <w:lang w:eastAsia="bg-BG"/>
        </w:rPr>
        <w:t>или повече дневно. С особено внимание трябва да се подхожда при педиатричната популация. Такива преципитати изчезват след прекратяване на терапията с цефтриаксон. Рядко преципитатите от цефтриаксон-калций са свързани със симптоми. В симптоматични случаи се препоръчва нехирургично лечение и лекарят трябва да обмисли прекратяване на лечението с цефтриаксон въз основа на оценка на конкретното съотношение полза/риск (вж. точка 4.8).</w:t>
      </w:r>
    </w:p>
    <w:p w14:paraId="6895BFAC" w14:textId="77777777" w:rsidR="008F0044" w:rsidRPr="008F0044" w:rsidRDefault="008F0044" w:rsidP="008F0044">
      <w:pPr>
        <w:spacing w:line="240" w:lineRule="auto"/>
        <w:rPr>
          <w:rFonts w:eastAsia="Times New Roman" w:cs="Arial"/>
          <w:color w:val="000000"/>
          <w:u w:val="single"/>
          <w:lang w:eastAsia="bg-BG"/>
        </w:rPr>
      </w:pPr>
    </w:p>
    <w:p w14:paraId="1A2A579D" w14:textId="11A10050"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Холестаза</w:t>
      </w:r>
    </w:p>
    <w:p w14:paraId="656FF19C"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lastRenderedPageBreak/>
        <w:t>При пациенти, лекувани с Цефтриаксон</w:t>
      </w:r>
      <w:r w:rsidRPr="008F0044">
        <w:rPr>
          <w:rFonts w:eastAsia="Times New Roman" w:cs="Arial"/>
          <w:color w:val="000000"/>
          <w:lang w:val="ru-RU"/>
        </w:rPr>
        <w:t>-</w:t>
      </w:r>
      <w:r w:rsidRPr="008F0044">
        <w:rPr>
          <w:rFonts w:eastAsia="Times New Roman" w:cs="Arial"/>
          <w:color w:val="000000"/>
          <w:lang w:val="en-US"/>
        </w:rPr>
        <w:t>MIP</w:t>
      </w:r>
      <w:r w:rsidRPr="008F0044">
        <w:rPr>
          <w:rFonts w:eastAsia="Times New Roman" w:cs="Arial"/>
          <w:color w:val="000000"/>
          <w:lang w:val="ru-RU"/>
        </w:rPr>
        <w:t xml:space="preserve">, </w:t>
      </w:r>
      <w:r w:rsidRPr="008F0044">
        <w:rPr>
          <w:rFonts w:eastAsia="Times New Roman" w:cs="Arial"/>
          <w:color w:val="000000"/>
          <w:lang w:eastAsia="bg-BG"/>
        </w:rPr>
        <w:t>са съобщавани случаи на панкреатит с възможна жлъчна обструкция като етиологична причина (вж. точка 4.8). При повечето пациенти са налице рискови фактори за холестаза и утаяване, напр. предшестващо лечение, тежко заболяване и тотално парентерално хранене. Не може да се изключи отключващ или кофактор на свързаната с Цефтриаксон</w:t>
      </w:r>
      <w:r w:rsidRPr="008F0044">
        <w:rPr>
          <w:rFonts w:eastAsia="Times New Roman" w:cs="Arial"/>
          <w:color w:val="000000"/>
          <w:lang w:val="ru-RU"/>
        </w:rPr>
        <w:t xml:space="preserve">- </w:t>
      </w:r>
      <w:r w:rsidRPr="008F0044">
        <w:rPr>
          <w:rFonts w:eastAsia="Times New Roman" w:cs="Arial"/>
          <w:color w:val="000000"/>
          <w:lang w:val="en-US"/>
        </w:rPr>
        <w:t>MIP</w:t>
      </w:r>
      <w:r w:rsidRPr="008F0044">
        <w:rPr>
          <w:rFonts w:eastAsia="Times New Roman" w:cs="Arial"/>
          <w:color w:val="000000"/>
          <w:lang w:val="ru-RU"/>
        </w:rPr>
        <w:t xml:space="preserve"> </w:t>
      </w:r>
      <w:r w:rsidRPr="008F0044">
        <w:rPr>
          <w:rFonts w:eastAsia="Times New Roman" w:cs="Arial"/>
          <w:color w:val="000000"/>
          <w:lang w:eastAsia="bg-BG"/>
        </w:rPr>
        <w:t>жлъчна преципитация.</w:t>
      </w:r>
    </w:p>
    <w:p w14:paraId="506A1B2A" w14:textId="77777777" w:rsidR="008F0044" w:rsidRPr="008F0044" w:rsidRDefault="008F0044" w:rsidP="008F0044">
      <w:pPr>
        <w:spacing w:line="240" w:lineRule="auto"/>
        <w:rPr>
          <w:rFonts w:eastAsia="Times New Roman" w:cs="Arial"/>
          <w:color w:val="000000"/>
          <w:u w:val="single"/>
          <w:lang w:eastAsia="bg-BG"/>
        </w:rPr>
      </w:pPr>
    </w:p>
    <w:p w14:paraId="1294CF45" w14:textId="43272959" w:rsidR="008F0044" w:rsidRPr="008F0044" w:rsidRDefault="008F0044" w:rsidP="008F0044">
      <w:pPr>
        <w:spacing w:line="240" w:lineRule="auto"/>
        <w:rPr>
          <w:rFonts w:eastAsia="Times New Roman" w:cs="Arial"/>
        </w:rPr>
      </w:pPr>
      <w:r w:rsidRPr="008F0044">
        <w:rPr>
          <w:rFonts w:eastAsia="Times New Roman" w:cs="Arial"/>
          <w:color w:val="000000"/>
          <w:u w:val="single"/>
          <w:lang w:eastAsia="bg-BG"/>
        </w:rPr>
        <w:t>Нефролитиаза</w:t>
      </w:r>
    </w:p>
    <w:p w14:paraId="71E040E9" w14:textId="77777777" w:rsidR="008F0044" w:rsidRPr="008F0044" w:rsidRDefault="008F0044" w:rsidP="008F0044">
      <w:pPr>
        <w:spacing w:line="240" w:lineRule="auto"/>
        <w:rPr>
          <w:rFonts w:eastAsia="Times New Roman" w:cs="Arial"/>
        </w:rPr>
      </w:pPr>
      <w:r w:rsidRPr="008F0044">
        <w:rPr>
          <w:rFonts w:eastAsia="Times New Roman" w:cs="Arial"/>
          <w:color w:val="000000"/>
          <w:lang w:eastAsia="bg-BG"/>
        </w:rPr>
        <w:t>Има съобщения за случаи на нефролитиаза, която е обратима при прекратяване на цефтриаксон (вж. точка 4.8). В симптоматични случаи трябва да се извърши ултразвуково изследване. Употребата при пациенти с анамнеза за нефролитиаза или с хиперкалциурия трябва да се обмисли от лекаря въз основа на оценка на конкретното съотношение полза/риск.</w:t>
      </w:r>
    </w:p>
    <w:p w14:paraId="7FDAAD90" w14:textId="77777777" w:rsidR="008F0044" w:rsidRPr="008F0044" w:rsidRDefault="008F0044" w:rsidP="008F0044"/>
    <w:p w14:paraId="619DED1E" w14:textId="07AF0669"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0959F0B" w14:textId="67034BF9" w:rsidR="008F0044" w:rsidRDefault="008F0044" w:rsidP="008F0044"/>
    <w:p w14:paraId="37AA1F95" w14:textId="21847E0F" w:rsidR="008F0044" w:rsidRPr="008F0044" w:rsidRDefault="008F0044" w:rsidP="008F0044">
      <w:pPr>
        <w:rPr>
          <w:rFonts w:eastAsia="Times New Roman" w:cs="Arial"/>
          <w:sz w:val="28"/>
          <w:szCs w:val="24"/>
        </w:rPr>
      </w:pPr>
      <w:r w:rsidRPr="008F0044">
        <w:rPr>
          <w:rFonts w:eastAsia="Times New Roman" w:cs="Arial"/>
          <w:color w:val="000000"/>
          <w:szCs w:val="20"/>
          <w:lang w:eastAsia="bg-BG"/>
        </w:rPr>
        <w:t xml:space="preserve">Разредители, съдържащи калций, например разтвори на </w:t>
      </w:r>
      <w:r w:rsidRPr="008F0044">
        <w:rPr>
          <w:rFonts w:eastAsia="Times New Roman" w:cs="Arial"/>
          <w:color w:val="000000"/>
          <w:szCs w:val="20"/>
          <w:lang w:val="en-US"/>
        </w:rPr>
        <w:t>Ringer</w:t>
      </w:r>
      <w:r w:rsidRPr="008F0044">
        <w:rPr>
          <w:rFonts w:eastAsia="Times New Roman" w:cs="Arial"/>
          <w:color w:val="000000"/>
          <w:szCs w:val="20"/>
          <w:lang w:val="ru-RU"/>
        </w:rPr>
        <w:t xml:space="preserve"> </w:t>
      </w:r>
      <w:r w:rsidRPr="008F0044">
        <w:rPr>
          <w:rFonts w:eastAsia="Times New Roman" w:cs="Arial"/>
          <w:color w:val="000000"/>
          <w:szCs w:val="20"/>
          <w:lang w:eastAsia="bg-BG"/>
        </w:rPr>
        <w:t xml:space="preserve">или на </w:t>
      </w:r>
      <w:r w:rsidRPr="008F0044">
        <w:rPr>
          <w:rFonts w:eastAsia="Times New Roman" w:cs="Arial"/>
          <w:color w:val="000000"/>
          <w:szCs w:val="20"/>
          <w:lang w:val="en-US"/>
        </w:rPr>
        <w:t>Hartmann</w:t>
      </w:r>
      <w:r w:rsidRPr="008F0044">
        <w:rPr>
          <w:rFonts w:eastAsia="Times New Roman" w:cs="Arial"/>
          <w:color w:val="000000"/>
          <w:szCs w:val="20"/>
          <w:lang w:val="ru-RU"/>
        </w:rPr>
        <w:t xml:space="preserve">, </w:t>
      </w:r>
      <w:r w:rsidRPr="008F0044">
        <w:rPr>
          <w:rFonts w:eastAsia="Times New Roman" w:cs="Arial"/>
          <w:color w:val="000000"/>
          <w:szCs w:val="20"/>
          <w:lang w:eastAsia="bg-BG"/>
        </w:rPr>
        <w:t>не трябва да се използват за разтваряне на флаконите с Цефтриаксон</w:t>
      </w:r>
      <w:r w:rsidRPr="008F0044">
        <w:rPr>
          <w:rFonts w:eastAsia="Times New Roman" w:cs="Arial"/>
          <w:color w:val="000000"/>
          <w:szCs w:val="20"/>
          <w:lang w:val="ru-RU"/>
        </w:rPr>
        <w:t>-</w:t>
      </w:r>
      <w:r w:rsidRPr="008F0044">
        <w:rPr>
          <w:rFonts w:eastAsia="Times New Roman" w:cs="Arial"/>
          <w:color w:val="000000"/>
          <w:szCs w:val="20"/>
          <w:lang w:val="en-US"/>
        </w:rPr>
        <w:t>MIP</w:t>
      </w:r>
      <w:r w:rsidRPr="008F0044">
        <w:rPr>
          <w:rFonts w:eastAsia="Times New Roman" w:cs="Arial"/>
          <w:color w:val="000000"/>
          <w:szCs w:val="20"/>
          <w:lang w:val="ru-RU"/>
        </w:rPr>
        <w:t xml:space="preserve"> </w:t>
      </w:r>
      <w:r w:rsidRPr="008F0044">
        <w:rPr>
          <w:rFonts w:eastAsia="Times New Roman" w:cs="Arial"/>
          <w:color w:val="000000"/>
          <w:szCs w:val="20"/>
          <w:lang w:eastAsia="bg-BG"/>
        </w:rPr>
        <w:t xml:space="preserve">или за допълнително разреждане на разтворен флакон за интравенозно приложение, защото може да се образува преципитат. Преципитация на цефтриаксон -калций може да се получи и когато цефтриаксон се смеси с разтвори, съдържащи калций в една и съща линия за интравенозна инфузия. Цефтриаксон не трябва да се прилага едновременно с интравенозни разтвори, съдържащи калций, включително инфузии, съдържащи калций, например парентерално хранене през </w:t>
      </w:r>
      <w:r w:rsidRPr="008F0044">
        <w:rPr>
          <w:rFonts w:eastAsia="Times New Roman" w:cs="Arial"/>
          <w:color w:val="000000"/>
          <w:szCs w:val="20"/>
          <w:lang w:val="en-US"/>
        </w:rPr>
        <w:t>Y</w:t>
      </w:r>
      <w:r w:rsidRPr="008F0044">
        <w:rPr>
          <w:rFonts w:eastAsia="Times New Roman" w:cs="Arial"/>
          <w:color w:val="000000"/>
          <w:szCs w:val="20"/>
          <w:lang w:eastAsia="bg-BG"/>
        </w:rPr>
        <w:t xml:space="preserve">-образен път. Въпреки това, при пациенти, които не са новородени, цефтриаксон и разтвори, съдържащи калций, могат да се прилагат последователно един след друг, ако инфузионните линии се промиват добре между инфузиите със съвместима течност. </w:t>
      </w:r>
      <w:r w:rsidRPr="008F0044">
        <w:rPr>
          <w:rFonts w:eastAsia="Times New Roman" w:cs="Arial"/>
          <w:i/>
          <w:iCs/>
          <w:color w:val="000000"/>
          <w:szCs w:val="20"/>
          <w:lang w:val="en-US"/>
        </w:rPr>
        <w:t>In</w:t>
      </w:r>
      <w:r w:rsidRPr="008F0044">
        <w:rPr>
          <w:rFonts w:eastAsia="Times New Roman" w:cs="Arial"/>
          <w:i/>
          <w:iCs/>
          <w:color w:val="000000"/>
          <w:szCs w:val="20"/>
          <w:lang w:val="ru-RU"/>
        </w:rPr>
        <w:t xml:space="preserve"> </w:t>
      </w:r>
      <w:r w:rsidRPr="008F0044">
        <w:rPr>
          <w:rFonts w:eastAsia="Times New Roman" w:cs="Arial"/>
          <w:i/>
          <w:iCs/>
          <w:color w:val="000000"/>
          <w:szCs w:val="20"/>
          <w:lang w:val="en-US"/>
        </w:rPr>
        <w:t>vitro</w:t>
      </w:r>
      <w:r w:rsidRPr="008F0044">
        <w:rPr>
          <w:rFonts w:eastAsia="Times New Roman" w:cs="Arial"/>
          <w:color w:val="000000"/>
          <w:szCs w:val="20"/>
          <w:lang w:val="ru-RU"/>
        </w:rPr>
        <w:t xml:space="preserve"> </w:t>
      </w:r>
      <w:r w:rsidRPr="008F0044">
        <w:rPr>
          <w:rFonts w:eastAsia="Times New Roman" w:cs="Arial"/>
          <w:color w:val="000000"/>
          <w:szCs w:val="20"/>
          <w:lang w:eastAsia="bg-BG"/>
        </w:rPr>
        <w:t>проучвания с използване на плазма на възрастни и новородени от кръв от пъпната връв показват, че при новородените има повишен риск от преципитация на жефтриаксон-калций (вж. точки 4.2, 4.3, 4.4, 4.8 и 6.2).</w:t>
      </w:r>
    </w:p>
    <w:p w14:paraId="3622488D" w14:textId="77777777" w:rsidR="008F0044" w:rsidRPr="008F0044" w:rsidRDefault="008F0044" w:rsidP="008F0044">
      <w:pPr>
        <w:spacing w:line="240" w:lineRule="auto"/>
        <w:rPr>
          <w:rFonts w:eastAsia="Times New Roman" w:cs="Arial"/>
          <w:color w:val="000000"/>
          <w:szCs w:val="20"/>
          <w:lang w:eastAsia="bg-BG"/>
        </w:rPr>
      </w:pPr>
    </w:p>
    <w:p w14:paraId="148A70BF" w14:textId="1E7CD5C9" w:rsidR="008F0044" w:rsidRPr="008F0044" w:rsidRDefault="008F0044" w:rsidP="008F0044">
      <w:pPr>
        <w:spacing w:line="240" w:lineRule="auto"/>
        <w:rPr>
          <w:rFonts w:eastAsia="Times New Roman" w:cs="Arial"/>
          <w:sz w:val="28"/>
          <w:szCs w:val="24"/>
        </w:rPr>
      </w:pPr>
      <w:r w:rsidRPr="008F0044">
        <w:rPr>
          <w:rFonts w:eastAsia="Times New Roman" w:cs="Arial"/>
          <w:color w:val="000000"/>
          <w:szCs w:val="20"/>
          <w:lang w:eastAsia="bg-BG"/>
        </w:rPr>
        <w:t xml:space="preserve">Едновременната употреба с антикоагуланти за перорално приложение може да увеличи ефекта на антивитамин К и риска от кървене. Препоръчва се често проследяване на международното нормализирано съотношение </w:t>
      </w:r>
      <w:r w:rsidRPr="008F0044">
        <w:rPr>
          <w:rFonts w:eastAsia="Times New Roman" w:cs="Arial"/>
          <w:color w:val="000000"/>
          <w:szCs w:val="20"/>
          <w:lang w:val="ru-RU"/>
        </w:rPr>
        <w:t>(</w:t>
      </w:r>
      <w:r w:rsidRPr="008F0044">
        <w:rPr>
          <w:rFonts w:eastAsia="Times New Roman" w:cs="Arial"/>
          <w:color w:val="000000"/>
          <w:szCs w:val="20"/>
          <w:lang w:val="en-US"/>
        </w:rPr>
        <w:t>INR</w:t>
      </w:r>
      <w:r w:rsidRPr="008F0044">
        <w:rPr>
          <w:rFonts w:eastAsia="Times New Roman" w:cs="Arial"/>
          <w:color w:val="000000"/>
          <w:szCs w:val="20"/>
          <w:lang w:val="ru-RU"/>
        </w:rPr>
        <w:t xml:space="preserve">), </w:t>
      </w:r>
      <w:r w:rsidRPr="008F0044">
        <w:rPr>
          <w:rFonts w:eastAsia="Times New Roman" w:cs="Arial"/>
          <w:color w:val="000000"/>
          <w:szCs w:val="20"/>
          <w:lang w:eastAsia="bg-BG"/>
        </w:rPr>
        <w:t>като дозировката на лекарството с ефект на антивитмин К се коригира съответно както по време, така и след лечение с цефтриаксон (вж. точка 4.8).</w:t>
      </w:r>
    </w:p>
    <w:p w14:paraId="1A6136B7" w14:textId="77777777" w:rsidR="008F0044" w:rsidRPr="008F0044" w:rsidRDefault="008F0044" w:rsidP="008F0044">
      <w:pPr>
        <w:spacing w:line="240" w:lineRule="auto"/>
        <w:rPr>
          <w:rFonts w:eastAsia="Times New Roman" w:cs="Arial"/>
          <w:color w:val="000000"/>
          <w:szCs w:val="20"/>
          <w:lang w:eastAsia="bg-BG"/>
        </w:rPr>
      </w:pPr>
    </w:p>
    <w:p w14:paraId="1E140C28" w14:textId="43DD4307" w:rsidR="008F0044" w:rsidRPr="008F0044" w:rsidRDefault="008F0044" w:rsidP="008F0044">
      <w:pPr>
        <w:spacing w:line="240" w:lineRule="auto"/>
        <w:rPr>
          <w:rFonts w:eastAsia="Times New Roman" w:cs="Arial"/>
          <w:sz w:val="28"/>
          <w:szCs w:val="24"/>
        </w:rPr>
      </w:pPr>
      <w:r w:rsidRPr="008F0044">
        <w:rPr>
          <w:rFonts w:eastAsia="Times New Roman" w:cs="Arial"/>
          <w:color w:val="000000"/>
          <w:szCs w:val="20"/>
          <w:lang w:eastAsia="bg-BG"/>
        </w:rPr>
        <w:t>Има противоречиви данни за потенциално повишение на бъбречната токсичност на аминогликозидите, когато се използват с цефалоспорини. В подобни случаи трябва стриктно да се спазва препоръчителното мониториране на нивата на аминогликозидите (и бъбречната функция) в клиничната практика.</w:t>
      </w:r>
    </w:p>
    <w:p w14:paraId="3CB9ED9C" w14:textId="77777777" w:rsidR="008F0044" w:rsidRPr="008F0044" w:rsidRDefault="008F0044" w:rsidP="008F0044">
      <w:pPr>
        <w:spacing w:line="240" w:lineRule="auto"/>
        <w:rPr>
          <w:rFonts w:eastAsia="Times New Roman" w:cs="Arial"/>
          <w:color w:val="000000"/>
          <w:szCs w:val="20"/>
          <w:lang w:eastAsia="bg-BG"/>
        </w:rPr>
      </w:pPr>
    </w:p>
    <w:p w14:paraId="022319ED" w14:textId="24AA84EB" w:rsidR="008F0044" w:rsidRPr="008F0044" w:rsidRDefault="008F0044" w:rsidP="008F0044">
      <w:pPr>
        <w:spacing w:line="240" w:lineRule="auto"/>
        <w:rPr>
          <w:rFonts w:eastAsia="Times New Roman" w:cs="Arial"/>
          <w:sz w:val="28"/>
          <w:szCs w:val="24"/>
        </w:rPr>
      </w:pPr>
      <w:r w:rsidRPr="008F0044">
        <w:rPr>
          <w:rFonts w:eastAsia="Times New Roman" w:cs="Arial"/>
          <w:color w:val="000000"/>
          <w:szCs w:val="20"/>
          <w:lang w:eastAsia="bg-BG"/>
        </w:rPr>
        <w:t xml:space="preserve">В едно </w:t>
      </w:r>
      <w:r w:rsidRPr="008F0044">
        <w:rPr>
          <w:rFonts w:eastAsia="Times New Roman" w:cs="Arial"/>
          <w:i/>
          <w:iCs/>
          <w:color w:val="000000"/>
          <w:szCs w:val="20"/>
          <w:lang w:val="en-US"/>
        </w:rPr>
        <w:t>in</w:t>
      </w:r>
      <w:r w:rsidRPr="008F0044">
        <w:rPr>
          <w:rFonts w:eastAsia="Times New Roman" w:cs="Arial"/>
          <w:i/>
          <w:iCs/>
          <w:color w:val="000000"/>
          <w:szCs w:val="20"/>
          <w:lang w:val="ru-RU"/>
        </w:rPr>
        <w:t xml:space="preserve"> </w:t>
      </w:r>
      <w:r w:rsidRPr="008F0044">
        <w:rPr>
          <w:rFonts w:eastAsia="Times New Roman" w:cs="Arial"/>
          <w:i/>
          <w:iCs/>
          <w:color w:val="000000"/>
          <w:szCs w:val="20"/>
          <w:lang w:val="en-US"/>
        </w:rPr>
        <w:t>vitro</w:t>
      </w:r>
      <w:r w:rsidRPr="008F0044">
        <w:rPr>
          <w:rFonts w:eastAsia="Times New Roman" w:cs="Arial"/>
          <w:color w:val="000000"/>
          <w:szCs w:val="20"/>
          <w:lang w:val="ru-RU"/>
        </w:rPr>
        <w:t xml:space="preserve"> </w:t>
      </w:r>
      <w:r w:rsidRPr="008F0044">
        <w:rPr>
          <w:rFonts w:eastAsia="Times New Roman" w:cs="Arial"/>
          <w:color w:val="000000"/>
          <w:szCs w:val="20"/>
          <w:lang w:eastAsia="bg-BG"/>
        </w:rPr>
        <w:t>проучване са наблюдавани антагонистични ефекти при комбинация на хлорамфеникол и цефтриаксон. Клиничното значение на тази находка не е известно.</w:t>
      </w:r>
    </w:p>
    <w:p w14:paraId="5D691DD6" w14:textId="77777777" w:rsidR="008F0044" w:rsidRPr="008F0044" w:rsidRDefault="008F0044" w:rsidP="008F0044">
      <w:pPr>
        <w:spacing w:line="240" w:lineRule="auto"/>
        <w:rPr>
          <w:rFonts w:eastAsia="Times New Roman" w:cs="Arial"/>
          <w:color w:val="000000"/>
          <w:szCs w:val="20"/>
          <w:lang w:eastAsia="bg-BG"/>
        </w:rPr>
      </w:pPr>
    </w:p>
    <w:p w14:paraId="17A63FD7" w14:textId="03B1F74E" w:rsidR="008F0044" w:rsidRPr="008F0044" w:rsidRDefault="008F0044" w:rsidP="008F0044">
      <w:pPr>
        <w:spacing w:line="240" w:lineRule="auto"/>
        <w:rPr>
          <w:rFonts w:eastAsia="Times New Roman" w:cs="Arial"/>
          <w:sz w:val="28"/>
          <w:szCs w:val="24"/>
        </w:rPr>
      </w:pPr>
      <w:r w:rsidRPr="008F0044">
        <w:rPr>
          <w:rFonts w:eastAsia="Times New Roman" w:cs="Arial"/>
          <w:color w:val="000000"/>
          <w:szCs w:val="20"/>
          <w:lang w:eastAsia="bg-BG"/>
        </w:rPr>
        <w:t>Няма съобщения за взаимодействие между цефтриаксон и перорални продукти, съдържащи калций, или взаимодействие между интрамускулен цефтриаксон и продукти, съдържащи калций (интравенозни или перорални).</w:t>
      </w:r>
    </w:p>
    <w:p w14:paraId="06E4698D" w14:textId="77777777" w:rsidR="008F0044" w:rsidRPr="008F0044" w:rsidRDefault="008F0044" w:rsidP="008F0044">
      <w:pPr>
        <w:spacing w:line="240" w:lineRule="auto"/>
        <w:rPr>
          <w:rFonts w:eastAsia="Times New Roman" w:cs="Arial"/>
          <w:color w:val="000000"/>
          <w:szCs w:val="20"/>
          <w:lang w:eastAsia="bg-BG"/>
        </w:rPr>
      </w:pPr>
    </w:p>
    <w:p w14:paraId="5FEBCB0F" w14:textId="5D0E411A" w:rsidR="008F0044" w:rsidRPr="008F0044" w:rsidRDefault="008F0044" w:rsidP="008F0044">
      <w:pPr>
        <w:spacing w:line="240" w:lineRule="auto"/>
        <w:rPr>
          <w:rFonts w:eastAsia="Times New Roman" w:cs="Arial"/>
          <w:sz w:val="28"/>
          <w:szCs w:val="24"/>
        </w:rPr>
      </w:pPr>
      <w:r w:rsidRPr="008F0044">
        <w:rPr>
          <w:rFonts w:eastAsia="Times New Roman" w:cs="Arial"/>
          <w:color w:val="000000"/>
          <w:szCs w:val="20"/>
          <w:lang w:eastAsia="bg-BG"/>
        </w:rPr>
        <w:lastRenderedPageBreak/>
        <w:t xml:space="preserve">При пациенти, лекувани с цефтриаксон, тестът на </w:t>
      </w:r>
      <w:r w:rsidRPr="008F0044">
        <w:rPr>
          <w:rFonts w:eastAsia="Times New Roman" w:cs="Arial"/>
          <w:color w:val="000000"/>
          <w:szCs w:val="20"/>
          <w:lang w:val="en-US"/>
        </w:rPr>
        <w:t>Coombs</w:t>
      </w:r>
      <w:r w:rsidRPr="008F0044">
        <w:rPr>
          <w:rFonts w:eastAsia="Times New Roman" w:cs="Arial"/>
          <w:color w:val="000000"/>
          <w:szCs w:val="20"/>
          <w:lang w:val="ru-RU"/>
        </w:rPr>
        <w:t xml:space="preserve"> </w:t>
      </w:r>
      <w:r w:rsidRPr="008F0044">
        <w:rPr>
          <w:rFonts w:eastAsia="Times New Roman" w:cs="Arial"/>
          <w:color w:val="000000"/>
          <w:szCs w:val="20"/>
          <w:lang w:eastAsia="bg-BG"/>
        </w:rPr>
        <w:t>може да покаже фалшиво положителни резултати.</w:t>
      </w:r>
    </w:p>
    <w:p w14:paraId="253AD51B" w14:textId="77777777" w:rsidR="008F0044" w:rsidRPr="008F0044" w:rsidRDefault="008F0044" w:rsidP="008F0044">
      <w:pPr>
        <w:spacing w:line="240" w:lineRule="auto"/>
        <w:rPr>
          <w:rFonts w:eastAsia="Times New Roman" w:cs="Arial"/>
          <w:color w:val="000000"/>
          <w:szCs w:val="20"/>
          <w:lang w:eastAsia="bg-BG"/>
        </w:rPr>
      </w:pPr>
    </w:p>
    <w:p w14:paraId="73D9F8E1" w14:textId="216B1CC1" w:rsidR="008F0044" w:rsidRPr="008F0044" w:rsidRDefault="008F0044" w:rsidP="008F0044">
      <w:pPr>
        <w:spacing w:line="240" w:lineRule="auto"/>
        <w:rPr>
          <w:rFonts w:eastAsia="Times New Roman" w:cs="Arial"/>
          <w:sz w:val="28"/>
          <w:szCs w:val="24"/>
        </w:rPr>
      </w:pPr>
      <w:r w:rsidRPr="008F0044">
        <w:rPr>
          <w:rFonts w:eastAsia="Times New Roman" w:cs="Arial"/>
          <w:color w:val="000000"/>
          <w:szCs w:val="20"/>
          <w:lang w:eastAsia="bg-BG"/>
        </w:rPr>
        <w:t>Цефтриаксон, подобно на други антибиотици, може да доведе до фалшиво положителни резултати от тестове за галактоземия.</w:t>
      </w:r>
    </w:p>
    <w:p w14:paraId="3C6C4A4C" w14:textId="77777777" w:rsidR="008F0044" w:rsidRPr="008F0044" w:rsidRDefault="008F0044" w:rsidP="008F0044">
      <w:pPr>
        <w:spacing w:line="240" w:lineRule="auto"/>
        <w:rPr>
          <w:rFonts w:eastAsia="Times New Roman" w:cs="Arial"/>
          <w:color w:val="000000"/>
          <w:szCs w:val="20"/>
          <w:lang w:eastAsia="bg-BG"/>
        </w:rPr>
      </w:pPr>
    </w:p>
    <w:p w14:paraId="0C2DC84D" w14:textId="2136551F" w:rsidR="008F0044" w:rsidRPr="008F0044" w:rsidRDefault="008F0044" w:rsidP="008F0044">
      <w:pPr>
        <w:spacing w:line="240" w:lineRule="auto"/>
        <w:rPr>
          <w:rFonts w:eastAsia="Times New Roman" w:cs="Arial"/>
          <w:sz w:val="28"/>
          <w:szCs w:val="24"/>
        </w:rPr>
      </w:pPr>
      <w:r w:rsidRPr="008F0044">
        <w:rPr>
          <w:rFonts w:eastAsia="Times New Roman" w:cs="Arial"/>
          <w:color w:val="000000"/>
          <w:szCs w:val="20"/>
          <w:lang w:eastAsia="bg-BG"/>
        </w:rPr>
        <w:t>Подобно на това, неензимните методи за определяне на глюкоза в урината могат да дадат фалшиво положителни резултати. По тази причина определянето на нивото на глюкоза в урината по време на лечение с цефтриаксон трябва да се извършва с ензимни методи.</w:t>
      </w:r>
    </w:p>
    <w:p w14:paraId="6796DA01" w14:textId="77777777" w:rsidR="008F0044" w:rsidRPr="008F0044" w:rsidRDefault="008F0044" w:rsidP="008F0044">
      <w:pPr>
        <w:spacing w:line="240" w:lineRule="auto"/>
        <w:rPr>
          <w:rFonts w:eastAsia="Times New Roman" w:cs="Arial"/>
          <w:color w:val="000000"/>
          <w:szCs w:val="20"/>
          <w:lang w:eastAsia="bg-BG"/>
        </w:rPr>
      </w:pPr>
    </w:p>
    <w:p w14:paraId="5369EF7D" w14:textId="7D2AA207" w:rsidR="008F0044" w:rsidRPr="008F0044" w:rsidRDefault="008F0044" w:rsidP="008F0044">
      <w:pPr>
        <w:spacing w:line="240" w:lineRule="auto"/>
        <w:rPr>
          <w:rFonts w:eastAsia="Times New Roman" w:cs="Arial"/>
          <w:sz w:val="28"/>
          <w:szCs w:val="24"/>
        </w:rPr>
      </w:pPr>
      <w:r w:rsidRPr="008F0044">
        <w:rPr>
          <w:rFonts w:eastAsia="Times New Roman" w:cs="Arial"/>
          <w:color w:val="000000"/>
          <w:szCs w:val="20"/>
          <w:lang w:eastAsia="bg-BG"/>
        </w:rPr>
        <w:t>Не е наблюдавано влошаване на бъбречната функция след едновременно прилагане на високи дози цефтриаксон и мощни диуретици (напр. фуроземид).</w:t>
      </w:r>
    </w:p>
    <w:p w14:paraId="6E3B8A04" w14:textId="77777777" w:rsidR="008F0044" w:rsidRPr="008F0044" w:rsidRDefault="008F0044" w:rsidP="008F0044">
      <w:pPr>
        <w:spacing w:line="240" w:lineRule="auto"/>
        <w:rPr>
          <w:rFonts w:eastAsia="Times New Roman" w:cs="Arial"/>
          <w:color w:val="000000"/>
          <w:szCs w:val="20"/>
          <w:lang w:eastAsia="bg-BG"/>
        </w:rPr>
      </w:pPr>
    </w:p>
    <w:p w14:paraId="7A594D82" w14:textId="2B080884" w:rsidR="008F0044" w:rsidRPr="008F0044" w:rsidRDefault="008F0044" w:rsidP="008F0044">
      <w:pPr>
        <w:spacing w:line="240" w:lineRule="auto"/>
        <w:rPr>
          <w:rFonts w:eastAsia="Times New Roman" w:cs="Arial"/>
          <w:sz w:val="28"/>
          <w:szCs w:val="24"/>
        </w:rPr>
      </w:pPr>
      <w:r w:rsidRPr="008F0044">
        <w:rPr>
          <w:rFonts w:eastAsia="Times New Roman" w:cs="Arial"/>
          <w:color w:val="000000"/>
          <w:szCs w:val="20"/>
          <w:lang w:eastAsia="bg-BG"/>
        </w:rPr>
        <w:t>Едновременното приложение на пробенецид не редуцира елиминирането на цефтриаксон.</w:t>
      </w:r>
    </w:p>
    <w:p w14:paraId="04868DA4" w14:textId="77777777" w:rsidR="008F0044" w:rsidRPr="008F0044" w:rsidRDefault="008F0044" w:rsidP="008F0044"/>
    <w:p w14:paraId="394A7584" w14:textId="4965F660" w:rsidR="004F498A" w:rsidRDefault="002C50EE" w:rsidP="004A448E">
      <w:pPr>
        <w:pStyle w:val="Heading2"/>
      </w:pPr>
      <w:r>
        <w:t>4.6. Фертилитет, бременност и кърмене</w:t>
      </w:r>
    </w:p>
    <w:p w14:paraId="67A9A37B" w14:textId="71F18105" w:rsidR="008F0044" w:rsidRPr="008F0044" w:rsidRDefault="008F0044" w:rsidP="008F0044">
      <w:pPr>
        <w:pStyle w:val="Heading3"/>
        <w:rPr>
          <w:u w:val="single"/>
        </w:rPr>
      </w:pPr>
    </w:p>
    <w:p w14:paraId="22DA4E27" w14:textId="77777777" w:rsidR="008F0044" w:rsidRPr="008F0044" w:rsidRDefault="008F0044" w:rsidP="008F0044">
      <w:pPr>
        <w:pStyle w:val="Heading3"/>
        <w:rPr>
          <w:rFonts w:eastAsia="Times New Roman" w:cs="Arial"/>
          <w:sz w:val="28"/>
          <w:u w:val="single"/>
        </w:rPr>
      </w:pPr>
      <w:r w:rsidRPr="008F0044">
        <w:rPr>
          <w:rFonts w:eastAsia="Times New Roman" w:cs="Arial"/>
          <w:color w:val="000000"/>
          <w:sz w:val="22"/>
          <w:szCs w:val="20"/>
          <w:u w:val="single"/>
          <w:lang w:eastAsia="bg-BG"/>
        </w:rPr>
        <w:t>Бременност</w:t>
      </w:r>
    </w:p>
    <w:p w14:paraId="2BF50383" w14:textId="77777777" w:rsidR="008F0044" w:rsidRPr="008F0044" w:rsidRDefault="008F0044" w:rsidP="008F0044">
      <w:pPr>
        <w:spacing w:line="240" w:lineRule="auto"/>
        <w:rPr>
          <w:rFonts w:eastAsia="Times New Roman" w:cs="Arial"/>
          <w:sz w:val="28"/>
          <w:szCs w:val="24"/>
        </w:rPr>
      </w:pPr>
      <w:r w:rsidRPr="008F0044">
        <w:rPr>
          <w:rFonts w:eastAsia="Times New Roman" w:cs="Arial"/>
          <w:color w:val="000000"/>
          <w:szCs w:val="20"/>
          <w:lang w:eastAsia="bg-BG"/>
        </w:rPr>
        <w:t>Цефтриаксон преминава през плацентарната бариера. Има ограничени данни от употребата на цефтриаксон при бременни жени. Проучванията при животни не показват преки или непреки вредни ефекти, свързани с ембрионалното/феталното, перинаталното и постнаталното развитие (вж. точка 5.3). Цефтриаксон трябва да се прилага по време на бременност и по-специално в първия триместър на бременността, само ако ползата превишава риска.</w:t>
      </w:r>
    </w:p>
    <w:p w14:paraId="71D9BC16" w14:textId="77777777" w:rsidR="008F0044" w:rsidRPr="008F0044" w:rsidRDefault="008F0044" w:rsidP="008F0044">
      <w:pPr>
        <w:spacing w:line="240" w:lineRule="auto"/>
        <w:rPr>
          <w:rFonts w:eastAsia="Times New Roman" w:cs="Arial"/>
          <w:color w:val="000000"/>
          <w:szCs w:val="20"/>
          <w:u w:val="single"/>
          <w:lang w:eastAsia="bg-BG"/>
        </w:rPr>
      </w:pPr>
    </w:p>
    <w:p w14:paraId="71948E28" w14:textId="57C313C1" w:rsidR="008F0044" w:rsidRPr="008F0044" w:rsidRDefault="008F0044" w:rsidP="008F0044">
      <w:pPr>
        <w:pStyle w:val="Heading3"/>
        <w:rPr>
          <w:rFonts w:eastAsia="Times New Roman"/>
          <w:sz w:val="28"/>
          <w:u w:val="single"/>
        </w:rPr>
      </w:pPr>
      <w:r w:rsidRPr="008F0044">
        <w:rPr>
          <w:rFonts w:eastAsia="Times New Roman"/>
          <w:u w:val="single"/>
          <w:lang w:eastAsia="bg-BG"/>
        </w:rPr>
        <w:t>Кърмене</w:t>
      </w:r>
    </w:p>
    <w:p w14:paraId="6B1E7F01" w14:textId="77777777" w:rsidR="008F0044" w:rsidRPr="008F0044" w:rsidRDefault="008F0044" w:rsidP="008F0044">
      <w:pPr>
        <w:spacing w:line="240" w:lineRule="auto"/>
        <w:rPr>
          <w:rFonts w:eastAsia="Times New Roman" w:cs="Arial"/>
          <w:sz w:val="28"/>
          <w:szCs w:val="24"/>
        </w:rPr>
      </w:pPr>
      <w:r w:rsidRPr="008F0044">
        <w:rPr>
          <w:rFonts w:eastAsia="Times New Roman" w:cs="Arial"/>
          <w:color w:val="000000"/>
          <w:szCs w:val="20"/>
          <w:lang w:eastAsia="bg-BG"/>
        </w:rPr>
        <w:t>Цефтриаксон се екскретира в кърмата в ниски концентрации, но при терапевтични дози на цефтриаксон не се очакват ефекти при кърмени новородени/кърмачета. Въпреки това не може да се изключи риск от диария и гъбична инфекция на лигавиците. Възможността за сензибилизация трябва да се има предвид. Трябва да се вземе решение дали да се преустанови кърменето или да се преустанови/да не се приложи терапията с цефтриаксон, като се вземат предвид ползата от кърменето за детето и ползата от терапията за жената.</w:t>
      </w:r>
    </w:p>
    <w:p w14:paraId="67022144" w14:textId="77777777" w:rsidR="008F0044" w:rsidRPr="008F0044" w:rsidRDefault="008F0044" w:rsidP="008F0044">
      <w:pPr>
        <w:spacing w:line="240" w:lineRule="auto"/>
        <w:rPr>
          <w:rFonts w:eastAsia="Times New Roman" w:cs="Arial"/>
          <w:color w:val="000000"/>
          <w:szCs w:val="20"/>
          <w:u w:val="single"/>
          <w:lang w:eastAsia="bg-BG"/>
        </w:rPr>
      </w:pPr>
    </w:p>
    <w:p w14:paraId="0BFB278D" w14:textId="6AC3723B" w:rsidR="008F0044" w:rsidRPr="008F0044" w:rsidRDefault="008F0044" w:rsidP="008F0044">
      <w:pPr>
        <w:pStyle w:val="Heading3"/>
        <w:rPr>
          <w:rFonts w:eastAsia="Times New Roman"/>
          <w:sz w:val="28"/>
          <w:u w:val="single"/>
        </w:rPr>
      </w:pPr>
      <w:r w:rsidRPr="008F0044">
        <w:rPr>
          <w:rFonts w:eastAsia="Times New Roman"/>
          <w:u w:val="single"/>
          <w:lang w:eastAsia="bg-BG"/>
        </w:rPr>
        <w:t>Фертилитет</w:t>
      </w:r>
    </w:p>
    <w:p w14:paraId="58EF86C4" w14:textId="4903FFD9" w:rsidR="008F0044" w:rsidRDefault="008F0044" w:rsidP="008F0044">
      <w:pPr>
        <w:rPr>
          <w:rFonts w:eastAsia="Times New Roman" w:cs="Arial"/>
          <w:color w:val="000000"/>
          <w:szCs w:val="20"/>
          <w:lang w:eastAsia="bg-BG"/>
        </w:rPr>
      </w:pPr>
      <w:r w:rsidRPr="008F0044">
        <w:rPr>
          <w:rFonts w:eastAsia="Times New Roman" w:cs="Arial"/>
          <w:color w:val="000000"/>
          <w:szCs w:val="20"/>
          <w:lang w:eastAsia="bg-BG"/>
        </w:rPr>
        <w:t>Репродуктивните проучвания не са показали данни за нежелани реакции върху фертилитета при мъжки или женски животни.</w:t>
      </w:r>
    </w:p>
    <w:p w14:paraId="397B1228" w14:textId="77777777" w:rsidR="008F0044" w:rsidRPr="008F0044" w:rsidRDefault="008F0044" w:rsidP="008F0044">
      <w:pPr>
        <w:rPr>
          <w:rFonts w:cs="Arial"/>
          <w:sz w:val="24"/>
        </w:rPr>
      </w:pPr>
    </w:p>
    <w:p w14:paraId="064DF1DE" w14:textId="416D0DFF" w:rsidR="00CF77F7" w:rsidRDefault="002C50EE" w:rsidP="004A448E">
      <w:pPr>
        <w:pStyle w:val="Heading2"/>
      </w:pPr>
      <w:r>
        <w:t>4.7. Ефекти върху способността за шофиране и работа с машини</w:t>
      </w:r>
    </w:p>
    <w:p w14:paraId="0FBECB47" w14:textId="25891BE4" w:rsidR="008F0044" w:rsidRDefault="008F0044" w:rsidP="008F0044"/>
    <w:p w14:paraId="52773944" w14:textId="77777777" w:rsidR="008F0044" w:rsidRPr="008F0044" w:rsidRDefault="008F0044" w:rsidP="008F0044">
      <w:pPr>
        <w:rPr>
          <w:sz w:val="24"/>
          <w:szCs w:val="24"/>
        </w:rPr>
      </w:pPr>
      <w:r w:rsidRPr="008F0044">
        <w:rPr>
          <w:lang w:eastAsia="bg-BG"/>
        </w:rPr>
        <w:t>По време на лечение с цефтриаксон могат да възникнат нежелани реакции (напр. замаяност), които могат да повлияят способността за шофиране и работа с машини (вж. точка 4.8).</w:t>
      </w:r>
    </w:p>
    <w:p w14:paraId="42DCD62C" w14:textId="77777777" w:rsidR="008F0044" w:rsidRPr="008F0044" w:rsidRDefault="008F0044" w:rsidP="008F0044">
      <w:pPr>
        <w:rPr>
          <w:sz w:val="24"/>
          <w:szCs w:val="24"/>
        </w:rPr>
      </w:pPr>
      <w:r w:rsidRPr="008F0044">
        <w:rPr>
          <w:lang w:eastAsia="bg-BG"/>
        </w:rPr>
        <w:t>Пациентите трябва да са внимателни при шофиране или работа с машини.</w:t>
      </w:r>
    </w:p>
    <w:p w14:paraId="17FFBD0B" w14:textId="77777777" w:rsidR="008F0044" w:rsidRPr="008F0044" w:rsidRDefault="008F0044" w:rsidP="008F0044"/>
    <w:p w14:paraId="37A3FD9F" w14:textId="44804A6F" w:rsidR="00CF77F7" w:rsidRDefault="002C50EE" w:rsidP="004A448E">
      <w:pPr>
        <w:pStyle w:val="Heading2"/>
      </w:pPr>
      <w:r>
        <w:lastRenderedPageBreak/>
        <w:t>4.8. Нежелани лекарствени реакции</w:t>
      </w:r>
    </w:p>
    <w:p w14:paraId="08B45B78" w14:textId="0A25C797" w:rsidR="00B8183B" w:rsidRDefault="00B8183B" w:rsidP="00B8183B"/>
    <w:p w14:paraId="4B0A9DF8"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Най-често съобщаваните нежелани реакции за цефтриаксон са еозинофилия, левкопения, тромбоцитопения, диария, обрив и повишение на чернодробните ензими.</w:t>
      </w:r>
    </w:p>
    <w:p w14:paraId="2364472F" w14:textId="77777777" w:rsidR="00B8183B" w:rsidRPr="00B8183B" w:rsidRDefault="00B8183B" w:rsidP="00B8183B">
      <w:pPr>
        <w:spacing w:line="240" w:lineRule="auto"/>
        <w:rPr>
          <w:rFonts w:eastAsia="Times New Roman" w:cs="Arial"/>
          <w:color w:val="000000"/>
          <w:szCs w:val="20"/>
          <w:lang w:eastAsia="bg-BG"/>
        </w:rPr>
      </w:pPr>
    </w:p>
    <w:p w14:paraId="715B0B95" w14:textId="0D8E33C2"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Данните за определяне на честотата на нежеланите реакции на цефтриаксон са получени от клинични проучвания.</w:t>
      </w:r>
    </w:p>
    <w:p w14:paraId="0A522CD2" w14:textId="77777777" w:rsidR="00B8183B" w:rsidRPr="00B8183B" w:rsidRDefault="00B8183B" w:rsidP="00B8183B">
      <w:pPr>
        <w:spacing w:line="240" w:lineRule="auto"/>
        <w:rPr>
          <w:rFonts w:eastAsia="Times New Roman" w:cs="Arial"/>
          <w:color w:val="000000"/>
          <w:szCs w:val="20"/>
          <w:lang w:eastAsia="bg-BG"/>
        </w:rPr>
      </w:pPr>
    </w:p>
    <w:p w14:paraId="4CD840D3" w14:textId="44C6665F"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За класификация на честотата е използвана следната конвенция:</w:t>
      </w:r>
    </w:p>
    <w:p w14:paraId="1F3BB57F"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Много чести (≥ 1/10)</w:t>
      </w:r>
    </w:p>
    <w:p w14:paraId="50AE909E"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Чести (≥1/100 до &lt; 1/10)</w:t>
      </w:r>
    </w:p>
    <w:p w14:paraId="53EEE22D"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Нечести (≥1/1 000 до &lt; 1/100)</w:t>
      </w:r>
    </w:p>
    <w:p w14:paraId="0E67BDF4"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Редки (≥1/10 000 до &lt; 1/1 000)</w:t>
      </w:r>
    </w:p>
    <w:p w14:paraId="3CEEF8CE"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Много редки (&lt; 1/10 000)</w:t>
      </w:r>
    </w:p>
    <w:p w14:paraId="36CBD565" w14:textId="77777777" w:rsidR="00B8183B" w:rsidRPr="00B8183B" w:rsidRDefault="00B8183B" w:rsidP="00B8183B">
      <w:pPr>
        <w:spacing w:line="240" w:lineRule="auto"/>
        <w:rPr>
          <w:rFonts w:ascii="Times New Roman" w:eastAsia="Times New Roman" w:hAnsi="Times New Roman" w:cs="Times New Roman"/>
          <w:sz w:val="24"/>
          <w:szCs w:val="24"/>
        </w:rPr>
      </w:pPr>
      <w:r w:rsidRPr="00B8183B">
        <w:rPr>
          <w:rFonts w:eastAsia="Times New Roman" w:cs="Arial"/>
          <w:color w:val="000000"/>
          <w:szCs w:val="20"/>
          <w:lang w:eastAsia="bg-BG"/>
        </w:rPr>
        <w:t>С неизвестна честота (от наличните данни не може да бъде направена оценка)</w:t>
      </w:r>
    </w:p>
    <w:p w14:paraId="2919CBB4" w14:textId="44D04319" w:rsidR="00B8183B" w:rsidRDefault="00B8183B" w:rsidP="00B8183B"/>
    <w:tbl>
      <w:tblPr>
        <w:tblStyle w:val="TableGrid"/>
        <w:tblW w:w="0" w:type="auto"/>
        <w:tblLook w:val="04A0" w:firstRow="1" w:lastRow="0" w:firstColumn="1" w:lastColumn="0" w:noHBand="0" w:noVBand="1"/>
      </w:tblPr>
      <w:tblGrid>
        <w:gridCol w:w="1817"/>
        <w:gridCol w:w="1604"/>
        <w:gridCol w:w="1666"/>
        <w:gridCol w:w="1887"/>
        <w:gridCol w:w="2376"/>
      </w:tblGrid>
      <w:tr w:rsidR="00B8183B" w14:paraId="1242BC47" w14:textId="77777777" w:rsidTr="00B8183B">
        <w:tc>
          <w:tcPr>
            <w:tcW w:w="1860" w:type="dxa"/>
            <w:vAlign w:val="bottom"/>
          </w:tcPr>
          <w:p w14:paraId="4409C326" w14:textId="208658CD" w:rsidR="00B8183B" w:rsidRPr="00B8183B" w:rsidRDefault="00B8183B" w:rsidP="00B8183B">
            <w:r w:rsidRPr="00B8183B">
              <w:rPr>
                <w:b/>
                <w:bCs/>
                <w:szCs w:val="20"/>
              </w:rPr>
              <w:t>Системо- органен клас</w:t>
            </w:r>
          </w:p>
        </w:tc>
        <w:tc>
          <w:tcPr>
            <w:tcW w:w="1642" w:type="dxa"/>
          </w:tcPr>
          <w:p w14:paraId="45905F92" w14:textId="5D096AFD" w:rsidR="00B8183B" w:rsidRPr="00B8183B" w:rsidRDefault="00B8183B" w:rsidP="00B8183B">
            <w:r w:rsidRPr="00B8183B">
              <w:rPr>
                <w:b/>
                <w:bCs/>
                <w:szCs w:val="20"/>
              </w:rPr>
              <w:t>Чести</w:t>
            </w:r>
          </w:p>
        </w:tc>
        <w:tc>
          <w:tcPr>
            <w:tcW w:w="1706" w:type="dxa"/>
          </w:tcPr>
          <w:p w14:paraId="4EAF4AEA" w14:textId="4D5A66CB" w:rsidR="00B8183B" w:rsidRPr="00B8183B" w:rsidRDefault="00B8183B" w:rsidP="00B8183B">
            <w:r w:rsidRPr="00B8183B">
              <w:rPr>
                <w:b/>
                <w:bCs/>
                <w:szCs w:val="20"/>
              </w:rPr>
              <w:t>Нечести</w:t>
            </w:r>
          </w:p>
        </w:tc>
        <w:tc>
          <w:tcPr>
            <w:tcW w:w="1933" w:type="dxa"/>
          </w:tcPr>
          <w:p w14:paraId="35D9DBE9" w14:textId="20264F64" w:rsidR="00B8183B" w:rsidRPr="00B8183B" w:rsidRDefault="00B8183B" w:rsidP="00B8183B">
            <w:r w:rsidRPr="00B8183B">
              <w:rPr>
                <w:b/>
                <w:bCs/>
                <w:szCs w:val="20"/>
              </w:rPr>
              <w:t>Редки</w:t>
            </w:r>
          </w:p>
        </w:tc>
        <w:tc>
          <w:tcPr>
            <w:tcW w:w="2435" w:type="dxa"/>
          </w:tcPr>
          <w:p w14:paraId="01D63883" w14:textId="78C07A67" w:rsidR="00B8183B" w:rsidRPr="00B8183B" w:rsidRDefault="00B8183B" w:rsidP="00B8183B">
            <w:r w:rsidRPr="00B8183B">
              <w:rPr>
                <w:b/>
                <w:bCs/>
                <w:szCs w:val="20"/>
              </w:rPr>
              <w:t>С неизвестна честота</w:t>
            </w:r>
            <w:r w:rsidRPr="00B8183B">
              <w:rPr>
                <w:b/>
                <w:bCs/>
                <w:szCs w:val="20"/>
                <w:vertAlign w:val="superscript"/>
              </w:rPr>
              <w:t>а</w:t>
            </w:r>
          </w:p>
        </w:tc>
      </w:tr>
      <w:tr w:rsidR="00B8183B" w14:paraId="231F648B" w14:textId="77777777" w:rsidTr="00B8183B">
        <w:tc>
          <w:tcPr>
            <w:tcW w:w="1860" w:type="dxa"/>
          </w:tcPr>
          <w:p w14:paraId="253DBC99" w14:textId="0B24C1C6" w:rsidR="00B8183B" w:rsidRPr="00B8183B" w:rsidRDefault="00B8183B" w:rsidP="00B8183B">
            <w:r w:rsidRPr="00B8183B">
              <w:rPr>
                <w:szCs w:val="20"/>
              </w:rPr>
              <w:t>Инфекции и инфестации</w:t>
            </w:r>
          </w:p>
        </w:tc>
        <w:tc>
          <w:tcPr>
            <w:tcW w:w="1642" w:type="dxa"/>
          </w:tcPr>
          <w:p w14:paraId="4C790B07" w14:textId="77777777" w:rsidR="00B8183B" w:rsidRPr="00B8183B" w:rsidRDefault="00B8183B" w:rsidP="00B8183B"/>
        </w:tc>
        <w:tc>
          <w:tcPr>
            <w:tcW w:w="1706" w:type="dxa"/>
            <w:vAlign w:val="bottom"/>
          </w:tcPr>
          <w:p w14:paraId="5AA8F664" w14:textId="1C2A8241" w:rsidR="00B8183B" w:rsidRPr="00B8183B" w:rsidRDefault="00B8183B" w:rsidP="00B8183B">
            <w:r w:rsidRPr="00B8183B">
              <w:rPr>
                <w:szCs w:val="20"/>
              </w:rPr>
              <w:t>Генитална гъбична инфекция</w:t>
            </w:r>
          </w:p>
        </w:tc>
        <w:tc>
          <w:tcPr>
            <w:tcW w:w="1933" w:type="dxa"/>
          </w:tcPr>
          <w:p w14:paraId="1F0134EB" w14:textId="25D3A95E" w:rsidR="00B8183B" w:rsidRPr="00B8183B" w:rsidRDefault="00B8183B" w:rsidP="00B8183B">
            <w:r w:rsidRPr="00B8183B">
              <w:rPr>
                <w:szCs w:val="20"/>
              </w:rPr>
              <w:t>Псевдомембрано зен колит</w:t>
            </w:r>
            <w:r w:rsidRPr="00B8183B">
              <w:rPr>
                <w:szCs w:val="20"/>
                <w:vertAlign w:val="superscript"/>
              </w:rPr>
              <w:t>б</w:t>
            </w:r>
          </w:p>
        </w:tc>
        <w:tc>
          <w:tcPr>
            <w:tcW w:w="2435" w:type="dxa"/>
          </w:tcPr>
          <w:p w14:paraId="0C57E601" w14:textId="44154600" w:rsidR="00B8183B" w:rsidRPr="00B8183B" w:rsidRDefault="00B8183B" w:rsidP="00B8183B">
            <w:r w:rsidRPr="00B8183B">
              <w:rPr>
                <w:szCs w:val="20"/>
              </w:rPr>
              <w:t>Суперинфекция</w:t>
            </w:r>
            <w:r w:rsidRPr="00B8183B">
              <w:rPr>
                <w:szCs w:val="20"/>
                <w:vertAlign w:val="superscript"/>
              </w:rPr>
              <w:t>б</w:t>
            </w:r>
          </w:p>
        </w:tc>
      </w:tr>
      <w:tr w:rsidR="00B8183B" w14:paraId="3D64D572" w14:textId="77777777" w:rsidTr="00B8183B">
        <w:tc>
          <w:tcPr>
            <w:tcW w:w="1860" w:type="dxa"/>
            <w:vAlign w:val="bottom"/>
          </w:tcPr>
          <w:p w14:paraId="0660FA79" w14:textId="7F2B5972" w:rsidR="00B8183B" w:rsidRPr="00B8183B" w:rsidRDefault="00B8183B" w:rsidP="00B8183B">
            <w:r w:rsidRPr="00B8183B">
              <w:rPr>
                <w:szCs w:val="20"/>
              </w:rPr>
              <w:t>Нарушения на кръвта и лимфната система</w:t>
            </w:r>
          </w:p>
        </w:tc>
        <w:tc>
          <w:tcPr>
            <w:tcW w:w="1642" w:type="dxa"/>
            <w:vAlign w:val="bottom"/>
          </w:tcPr>
          <w:p w14:paraId="51759C7E" w14:textId="3D135663" w:rsidR="00B8183B" w:rsidRPr="00B8183B" w:rsidRDefault="00B8183B" w:rsidP="00B8183B">
            <w:r w:rsidRPr="00B8183B">
              <w:rPr>
                <w:szCs w:val="20"/>
              </w:rPr>
              <w:t>Еозинофилия Левкопения Тромбоцитопе ния</w:t>
            </w:r>
          </w:p>
        </w:tc>
        <w:tc>
          <w:tcPr>
            <w:tcW w:w="1706" w:type="dxa"/>
            <w:vAlign w:val="bottom"/>
          </w:tcPr>
          <w:p w14:paraId="280171E1" w14:textId="29E5E411" w:rsidR="00B8183B" w:rsidRPr="00B8183B" w:rsidRDefault="00B8183B" w:rsidP="00B8183B">
            <w:r w:rsidRPr="00B8183B">
              <w:rPr>
                <w:szCs w:val="20"/>
              </w:rPr>
              <w:t>Гранулоцитопе ния Анемия Коагулопатия</w:t>
            </w:r>
          </w:p>
        </w:tc>
        <w:tc>
          <w:tcPr>
            <w:tcW w:w="1933" w:type="dxa"/>
          </w:tcPr>
          <w:p w14:paraId="5A7A91FD" w14:textId="77777777" w:rsidR="00B8183B" w:rsidRPr="00B8183B" w:rsidRDefault="00B8183B" w:rsidP="00B8183B"/>
        </w:tc>
        <w:tc>
          <w:tcPr>
            <w:tcW w:w="2435" w:type="dxa"/>
          </w:tcPr>
          <w:p w14:paraId="2B3F7B2A" w14:textId="736B1A51" w:rsidR="00B8183B" w:rsidRPr="00B8183B" w:rsidRDefault="00B8183B" w:rsidP="00B8183B">
            <w:r w:rsidRPr="00B8183B">
              <w:rPr>
                <w:szCs w:val="20"/>
              </w:rPr>
              <w:t>Хемолитична анемия</w:t>
            </w:r>
            <w:r w:rsidRPr="00B8183B">
              <w:rPr>
                <w:szCs w:val="20"/>
                <w:vertAlign w:val="superscript"/>
              </w:rPr>
              <w:t xml:space="preserve">6 </w:t>
            </w:r>
            <w:r w:rsidRPr="00B8183B">
              <w:rPr>
                <w:szCs w:val="20"/>
              </w:rPr>
              <w:t>Агранулоцитоза</w:t>
            </w:r>
          </w:p>
        </w:tc>
      </w:tr>
      <w:tr w:rsidR="00B8183B" w14:paraId="37FF6540" w14:textId="77777777" w:rsidTr="00B8183B">
        <w:tc>
          <w:tcPr>
            <w:tcW w:w="1860" w:type="dxa"/>
          </w:tcPr>
          <w:p w14:paraId="605D526D" w14:textId="6EDD93D4" w:rsidR="00B8183B" w:rsidRPr="00B8183B" w:rsidRDefault="00B8183B" w:rsidP="00B8183B">
            <w:r w:rsidRPr="00B8183B">
              <w:rPr>
                <w:szCs w:val="20"/>
              </w:rPr>
              <w:t>Нарушения на имунната система</w:t>
            </w:r>
          </w:p>
        </w:tc>
        <w:tc>
          <w:tcPr>
            <w:tcW w:w="1642" w:type="dxa"/>
          </w:tcPr>
          <w:p w14:paraId="772FFB88" w14:textId="77777777" w:rsidR="00B8183B" w:rsidRPr="00B8183B" w:rsidRDefault="00B8183B" w:rsidP="00B8183B"/>
        </w:tc>
        <w:tc>
          <w:tcPr>
            <w:tcW w:w="1706" w:type="dxa"/>
          </w:tcPr>
          <w:p w14:paraId="06D18BBE" w14:textId="77777777" w:rsidR="00B8183B" w:rsidRPr="00B8183B" w:rsidRDefault="00B8183B" w:rsidP="00B8183B"/>
        </w:tc>
        <w:tc>
          <w:tcPr>
            <w:tcW w:w="1933" w:type="dxa"/>
          </w:tcPr>
          <w:p w14:paraId="2FEAAAE7" w14:textId="77777777" w:rsidR="00B8183B" w:rsidRPr="00B8183B" w:rsidRDefault="00B8183B" w:rsidP="00B8183B"/>
        </w:tc>
        <w:tc>
          <w:tcPr>
            <w:tcW w:w="2435" w:type="dxa"/>
          </w:tcPr>
          <w:p w14:paraId="58AB2035" w14:textId="457D1657" w:rsidR="00B8183B" w:rsidRPr="00B8183B" w:rsidRDefault="00B8183B" w:rsidP="00B8183B">
            <w:r w:rsidRPr="00B8183B">
              <w:rPr>
                <w:szCs w:val="20"/>
              </w:rPr>
              <w:t>Анафилакгичен шок Анафилактична реакция Анафилактоидна реакция Свръхчувствителност</w:t>
            </w:r>
            <w:r w:rsidRPr="00B8183B">
              <w:rPr>
                <w:szCs w:val="20"/>
                <w:vertAlign w:val="superscript"/>
              </w:rPr>
              <w:t xml:space="preserve">б </w:t>
            </w:r>
            <w:r w:rsidRPr="00B8183B">
              <w:rPr>
                <w:szCs w:val="20"/>
              </w:rPr>
              <w:t xml:space="preserve">Реакция на </w:t>
            </w:r>
            <w:proofErr w:type="spellStart"/>
            <w:r w:rsidRPr="00B8183B">
              <w:rPr>
                <w:szCs w:val="20"/>
                <w:lang w:val="en-US"/>
              </w:rPr>
              <w:t>Jarisch</w:t>
            </w:r>
            <w:proofErr w:type="spellEnd"/>
            <w:r w:rsidRPr="00B8183B">
              <w:rPr>
                <w:szCs w:val="20"/>
              </w:rPr>
              <w:t xml:space="preserve">- </w:t>
            </w:r>
            <w:proofErr w:type="spellStart"/>
            <w:r w:rsidRPr="00B8183B">
              <w:rPr>
                <w:szCs w:val="20"/>
                <w:lang w:val="en-US"/>
              </w:rPr>
              <w:t>Herxheimer</w:t>
            </w:r>
            <w:proofErr w:type="spellEnd"/>
            <w:r w:rsidRPr="00B8183B">
              <w:rPr>
                <w:szCs w:val="20"/>
                <w:vertAlign w:val="superscript"/>
              </w:rPr>
              <w:t>б</w:t>
            </w:r>
          </w:p>
        </w:tc>
      </w:tr>
      <w:tr w:rsidR="00B8183B" w14:paraId="6DED718A" w14:textId="77777777" w:rsidTr="00B8183B">
        <w:tc>
          <w:tcPr>
            <w:tcW w:w="1860" w:type="dxa"/>
          </w:tcPr>
          <w:p w14:paraId="5BDC137A" w14:textId="6ACED7DA" w:rsidR="00B8183B" w:rsidRPr="00B8183B" w:rsidRDefault="00B8183B" w:rsidP="00B8183B">
            <w:r w:rsidRPr="00B8183B">
              <w:rPr>
                <w:szCs w:val="20"/>
              </w:rPr>
              <w:t>Нарушения на нервната система</w:t>
            </w:r>
          </w:p>
        </w:tc>
        <w:tc>
          <w:tcPr>
            <w:tcW w:w="1642" w:type="dxa"/>
          </w:tcPr>
          <w:p w14:paraId="24E4173F" w14:textId="77777777" w:rsidR="00B8183B" w:rsidRPr="00B8183B" w:rsidRDefault="00B8183B" w:rsidP="00B8183B"/>
        </w:tc>
        <w:tc>
          <w:tcPr>
            <w:tcW w:w="1706" w:type="dxa"/>
          </w:tcPr>
          <w:p w14:paraId="5D5CA340" w14:textId="1C3BB4A4" w:rsidR="00B8183B" w:rsidRPr="00B8183B" w:rsidRDefault="00B8183B" w:rsidP="00B8183B">
            <w:r w:rsidRPr="00B8183B">
              <w:rPr>
                <w:szCs w:val="20"/>
              </w:rPr>
              <w:t>Главоболие Замаяност</w:t>
            </w:r>
          </w:p>
        </w:tc>
        <w:tc>
          <w:tcPr>
            <w:tcW w:w="1933" w:type="dxa"/>
          </w:tcPr>
          <w:p w14:paraId="45EFC683" w14:textId="398DC787" w:rsidR="00B8183B" w:rsidRPr="00B8183B" w:rsidRDefault="00B8183B" w:rsidP="00B8183B">
            <w:r w:rsidRPr="00B8183B">
              <w:rPr>
                <w:szCs w:val="20"/>
              </w:rPr>
              <w:t>Енцефалопатия</w:t>
            </w:r>
          </w:p>
        </w:tc>
        <w:tc>
          <w:tcPr>
            <w:tcW w:w="2435" w:type="dxa"/>
          </w:tcPr>
          <w:p w14:paraId="1A9F5786" w14:textId="0F2C589E" w:rsidR="00B8183B" w:rsidRPr="00B8183B" w:rsidRDefault="00B8183B" w:rsidP="00B8183B">
            <w:r w:rsidRPr="00B8183B">
              <w:rPr>
                <w:szCs w:val="20"/>
              </w:rPr>
              <w:t>Гърч</w:t>
            </w:r>
          </w:p>
        </w:tc>
      </w:tr>
      <w:tr w:rsidR="00B8183B" w14:paraId="092C038D" w14:textId="77777777" w:rsidTr="00B8183B">
        <w:tc>
          <w:tcPr>
            <w:tcW w:w="1860" w:type="dxa"/>
            <w:vAlign w:val="bottom"/>
          </w:tcPr>
          <w:p w14:paraId="4929AE5F" w14:textId="2D75A39B" w:rsidR="00B8183B" w:rsidRDefault="00B8183B" w:rsidP="00B8183B">
            <w:r>
              <w:rPr>
                <w:sz w:val="20"/>
                <w:szCs w:val="20"/>
              </w:rPr>
              <w:t>Нарушения на ухото и лабиринта</w:t>
            </w:r>
          </w:p>
        </w:tc>
        <w:tc>
          <w:tcPr>
            <w:tcW w:w="1642" w:type="dxa"/>
          </w:tcPr>
          <w:p w14:paraId="5F135A70" w14:textId="77777777" w:rsidR="00B8183B" w:rsidRDefault="00B8183B" w:rsidP="00B8183B"/>
        </w:tc>
        <w:tc>
          <w:tcPr>
            <w:tcW w:w="1706" w:type="dxa"/>
          </w:tcPr>
          <w:p w14:paraId="0481520F" w14:textId="77777777" w:rsidR="00B8183B" w:rsidRDefault="00B8183B" w:rsidP="00B8183B"/>
        </w:tc>
        <w:tc>
          <w:tcPr>
            <w:tcW w:w="1933" w:type="dxa"/>
          </w:tcPr>
          <w:p w14:paraId="7035B4FB" w14:textId="77777777" w:rsidR="00B8183B" w:rsidRDefault="00B8183B" w:rsidP="00B8183B"/>
        </w:tc>
        <w:tc>
          <w:tcPr>
            <w:tcW w:w="2435" w:type="dxa"/>
          </w:tcPr>
          <w:p w14:paraId="576CEF7A" w14:textId="15123F16" w:rsidR="00B8183B" w:rsidRDefault="00B8183B" w:rsidP="00B8183B">
            <w:r>
              <w:rPr>
                <w:sz w:val="20"/>
                <w:szCs w:val="20"/>
              </w:rPr>
              <w:t>Световъртеж</w:t>
            </w:r>
          </w:p>
        </w:tc>
      </w:tr>
      <w:tr w:rsidR="00B8183B" w14:paraId="2578B71C" w14:textId="77777777" w:rsidTr="00B8183B">
        <w:tc>
          <w:tcPr>
            <w:tcW w:w="1860" w:type="dxa"/>
            <w:vAlign w:val="bottom"/>
          </w:tcPr>
          <w:p w14:paraId="7890DEBC" w14:textId="780AF74B" w:rsidR="00B8183B" w:rsidRDefault="00B8183B" w:rsidP="00B8183B">
            <w:r>
              <w:rPr>
                <w:sz w:val="20"/>
                <w:szCs w:val="20"/>
              </w:rPr>
              <w:t>Респираторни, гръдни и медиастинални нарушения</w:t>
            </w:r>
          </w:p>
        </w:tc>
        <w:tc>
          <w:tcPr>
            <w:tcW w:w="1642" w:type="dxa"/>
          </w:tcPr>
          <w:p w14:paraId="68BDBA12" w14:textId="77777777" w:rsidR="00B8183B" w:rsidRDefault="00B8183B" w:rsidP="00B8183B"/>
        </w:tc>
        <w:tc>
          <w:tcPr>
            <w:tcW w:w="1706" w:type="dxa"/>
          </w:tcPr>
          <w:p w14:paraId="51983468" w14:textId="77777777" w:rsidR="00B8183B" w:rsidRDefault="00B8183B" w:rsidP="00B8183B"/>
        </w:tc>
        <w:tc>
          <w:tcPr>
            <w:tcW w:w="1933" w:type="dxa"/>
          </w:tcPr>
          <w:p w14:paraId="571F5AE3" w14:textId="57BE0350" w:rsidR="00B8183B" w:rsidRDefault="00B8183B" w:rsidP="00B8183B">
            <w:r>
              <w:rPr>
                <w:sz w:val="20"/>
                <w:szCs w:val="20"/>
              </w:rPr>
              <w:t>Бронхоспазъм</w:t>
            </w:r>
          </w:p>
        </w:tc>
        <w:tc>
          <w:tcPr>
            <w:tcW w:w="2435" w:type="dxa"/>
          </w:tcPr>
          <w:p w14:paraId="68EE9FE3" w14:textId="77777777" w:rsidR="00B8183B" w:rsidRDefault="00B8183B" w:rsidP="00B8183B"/>
        </w:tc>
      </w:tr>
      <w:tr w:rsidR="00B8183B" w14:paraId="35C695D0" w14:textId="77777777" w:rsidTr="00B8183B">
        <w:tc>
          <w:tcPr>
            <w:tcW w:w="1860" w:type="dxa"/>
            <w:vAlign w:val="bottom"/>
          </w:tcPr>
          <w:p w14:paraId="23157960" w14:textId="2F91F2B3" w:rsidR="00B8183B" w:rsidRDefault="00B8183B" w:rsidP="00B8183B">
            <w:r>
              <w:rPr>
                <w:sz w:val="20"/>
                <w:szCs w:val="20"/>
              </w:rPr>
              <w:t>Стомашно- чревни нарушения</w:t>
            </w:r>
          </w:p>
        </w:tc>
        <w:tc>
          <w:tcPr>
            <w:tcW w:w="1642" w:type="dxa"/>
            <w:vAlign w:val="bottom"/>
          </w:tcPr>
          <w:p w14:paraId="09DE274D" w14:textId="0D188051" w:rsidR="00B8183B" w:rsidRDefault="00B8183B" w:rsidP="00B8183B">
            <w:r>
              <w:rPr>
                <w:sz w:val="20"/>
                <w:szCs w:val="20"/>
              </w:rPr>
              <w:t>Диария</w:t>
            </w:r>
            <w:r>
              <w:rPr>
                <w:sz w:val="20"/>
                <w:szCs w:val="20"/>
                <w:vertAlign w:val="superscript"/>
              </w:rPr>
              <w:t xml:space="preserve">б </w:t>
            </w:r>
            <w:r>
              <w:rPr>
                <w:sz w:val="20"/>
                <w:szCs w:val="20"/>
              </w:rPr>
              <w:t>Кашави изпражнения</w:t>
            </w:r>
          </w:p>
        </w:tc>
        <w:tc>
          <w:tcPr>
            <w:tcW w:w="1706" w:type="dxa"/>
          </w:tcPr>
          <w:p w14:paraId="7FFF5B3E" w14:textId="77777777" w:rsidR="00B8183B" w:rsidRDefault="00B8183B" w:rsidP="00B8183B">
            <w:r>
              <w:rPr>
                <w:sz w:val="20"/>
                <w:szCs w:val="20"/>
              </w:rPr>
              <w:t>Гадене</w:t>
            </w:r>
          </w:p>
          <w:p w14:paraId="2A967D21" w14:textId="025C6618" w:rsidR="00B8183B" w:rsidRDefault="00B8183B" w:rsidP="00B8183B">
            <w:r>
              <w:rPr>
                <w:sz w:val="20"/>
                <w:szCs w:val="20"/>
              </w:rPr>
              <w:t>Повръщане</w:t>
            </w:r>
          </w:p>
        </w:tc>
        <w:tc>
          <w:tcPr>
            <w:tcW w:w="1933" w:type="dxa"/>
          </w:tcPr>
          <w:p w14:paraId="6A4B31C1" w14:textId="77777777" w:rsidR="00B8183B" w:rsidRDefault="00B8183B" w:rsidP="00B8183B"/>
        </w:tc>
        <w:tc>
          <w:tcPr>
            <w:tcW w:w="2435" w:type="dxa"/>
            <w:vAlign w:val="bottom"/>
          </w:tcPr>
          <w:p w14:paraId="61C09FFD" w14:textId="2DC550E8" w:rsidR="00B8183B" w:rsidRDefault="00B8183B" w:rsidP="00B8183B">
            <w:r>
              <w:rPr>
                <w:sz w:val="20"/>
                <w:szCs w:val="20"/>
              </w:rPr>
              <w:t>Панкреатит</w:t>
            </w:r>
            <w:r>
              <w:rPr>
                <w:sz w:val="20"/>
                <w:szCs w:val="20"/>
                <w:vertAlign w:val="superscript"/>
              </w:rPr>
              <w:t xml:space="preserve">б </w:t>
            </w:r>
            <w:r>
              <w:rPr>
                <w:sz w:val="20"/>
                <w:szCs w:val="20"/>
              </w:rPr>
              <w:t>Стоматит Глосит</w:t>
            </w:r>
          </w:p>
        </w:tc>
      </w:tr>
      <w:tr w:rsidR="00B8183B" w14:paraId="4D0379EE" w14:textId="77777777" w:rsidTr="00B8183B">
        <w:trPr>
          <w:trHeight w:val="64"/>
        </w:trPr>
        <w:tc>
          <w:tcPr>
            <w:tcW w:w="1860" w:type="dxa"/>
          </w:tcPr>
          <w:p w14:paraId="1E6E0B6E" w14:textId="2C955BDC" w:rsidR="00B8183B" w:rsidRPr="00B8183B" w:rsidRDefault="00B8183B" w:rsidP="00B8183B">
            <w:pPr>
              <w:rPr>
                <w:rFonts w:eastAsia="Times New Roman" w:cs="Arial"/>
                <w:szCs w:val="24"/>
              </w:rPr>
            </w:pPr>
            <w:r w:rsidRPr="00B8183B">
              <w:rPr>
                <w:rFonts w:cs="Arial"/>
                <w:szCs w:val="20"/>
              </w:rPr>
              <w:t xml:space="preserve">Хепатобилиарни </w:t>
            </w:r>
            <w:r w:rsidRPr="00B8183B">
              <w:rPr>
                <w:rFonts w:eastAsia="Times New Roman" w:cs="Arial"/>
                <w:color w:val="000000"/>
                <w:szCs w:val="20"/>
                <w:lang w:eastAsia="bg-BG"/>
              </w:rPr>
              <w:t>нарушения</w:t>
            </w:r>
          </w:p>
        </w:tc>
        <w:tc>
          <w:tcPr>
            <w:tcW w:w="1642" w:type="dxa"/>
          </w:tcPr>
          <w:p w14:paraId="7EB93DA5" w14:textId="79C6B1F6" w:rsidR="00B8183B" w:rsidRPr="00B8183B" w:rsidRDefault="00B8183B" w:rsidP="00B8183B">
            <w:pPr>
              <w:rPr>
                <w:rFonts w:eastAsia="Times New Roman" w:cs="Arial"/>
                <w:szCs w:val="24"/>
              </w:rPr>
            </w:pPr>
            <w:r w:rsidRPr="00B8183B">
              <w:rPr>
                <w:rFonts w:cs="Arial"/>
                <w:szCs w:val="20"/>
              </w:rPr>
              <w:t xml:space="preserve">Повишени </w:t>
            </w:r>
            <w:r w:rsidRPr="00B8183B">
              <w:rPr>
                <w:rFonts w:eastAsia="Times New Roman" w:cs="Arial"/>
                <w:color w:val="000000"/>
                <w:szCs w:val="20"/>
                <w:lang w:eastAsia="bg-BG"/>
              </w:rPr>
              <w:t>чернодробни ензими</w:t>
            </w:r>
          </w:p>
        </w:tc>
        <w:tc>
          <w:tcPr>
            <w:tcW w:w="1706" w:type="dxa"/>
          </w:tcPr>
          <w:p w14:paraId="237ED61C" w14:textId="77777777" w:rsidR="00B8183B" w:rsidRPr="00B8183B" w:rsidRDefault="00B8183B" w:rsidP="00B8183B">
            <w:pPr>
              <w:rPr>
                <w:rFonts w:cs="Arial"/>
              </w:rPr>
            </w:pPr>
          </w:p>
        </w:tc>
        <w:tc>
          <w:tcPr>
            <w:tcW w:w="1933" w:type="dxa"/>
          </w:tcPr>
          <w:p w14:paraId="53E8AAB1" w14:textId="77777777" w:rsidR="00B8183B" w:rsidRPr="00B8183B" w:rsidRDefault="00B8183B" w:rsidP="00B8183B">
            <w:pPr>
              <w:rPr>
                <w:rFonts w:cs="Arial"/>
              </w:rPr>
            </w:pPr>
          </w:p>
        </w:tc>
        <w:tc>
          <w:tcPr>
            <w:tcW w:w="2435" w:type="dxa"/>
            <w:vAlign w:val="bottom"/>
          </w:tcPr>
          <w:p w14:paraId="1FE91CD2" w14:textId="54FA1C5F" w:rsidR="00B8183B" w:rsidRPr="00B8183B" w:rsidRDefault="00B8183B" w:rsidP="00B8183B">
            <w:pPr>
              <w:rPr>
                <w:rFonts w:eastAsia="Times New Roman" w:cs="Arial"/>
                <w:szCs w:val="24"/>
              </w:rPr>
            </w:pPr>
            <w:r w:rsidRPr="00B8183B">
              <w:rPr>
                <w:rFonts w:cs="Arial"/>
                <w:szCs w:val="20"/>
              </w:rPr>
              <w:t xml:space="preserve">Преципитация в </w:t>
            </w:r>
            <w:r w:rsidRPr="00B8183B">
              <w:rPr>
                <w:rFonts w:eastAsia="Times New Roman" w:cs="Arial"/>
                <w:color w:val="000000"/>
                <w:szCs w:val="20"/>
                <w:lang w:eastAsia="bg-BG"/>
              </w:rPr>
              <w:t>жлъчния мехур</w:t>
            </w:r>
            <w:r w:rsidRPr="00B8183B">
              <w:rPr>
                <w:rFonts w:eastAsia="Times New Roman" w:cs="Arial"/>
                <w:color w:val="000000"/>
                <w:szCs w:val="20"/>
                <w:vertAlign w:val="superscript"/>
                <w:lang w:eastAsia="bg-BG"/>
              </w:rPr>
              <w:t xml:space="preserve">б </w:t>
            </w:r>
            <w:r w:rsidRPr="00B8183B">
              <w:rPr>
                <w:rFonts w:eastAsia="Times New Roman" w:cs="Arial"/>
                <w:color w:val="000000"/>
                <w:szCs w:val="20"/>
                <w:lang w:eastAsia="bg-BG"/>
              </w:rPr>
              <w:t>Керниктер Хепатит</w:t>
            </w:r>
            <w:r w:rsidRPr="00B8183B">
              <w:rPr>
                <w:rFonts w:eastAsia="Times New Roman" w:cs="Arial"/>
                <w:color w:val="000000"/>
                <w:szCs w:val="20"/>
                <w:vertAlign w:val="superscript"/>
                <w:lang w:eastAsia="bg-BG"/>
              </w:rPr>
              <w:t>с</w:t>
            </w:r>
            <w:r w:rsidRPr="00B8183B">
              <w:rPr>
                <w:rFonts w:eastAsia="Times New Roman" w:cs="Arial"/>
                <w:color w:val="000000"/>
                <w:szCs w:val="20"/>
                <w:lang w:eastAsia="bg-BG"/>
              </w:rPr>
              <w:t xml:space="preserve"> </w:t>
            </w:r>
            <w:r w:rsidRPr="00B8183B">
              <w:rPr>
                <w:rFonts w:eastAsia="Times New Roman" w:cs="Arial"/>
                <w:color w:val="000000"/>
                <w:szCs w:val="20"/>
                <w:lang w:eastAsia="bg-BG"/>
              </w:rPr>
              <w:lastRenderedPageBreak/>
              <w:t>Холестатичен хепатит</w:t>
            </w:r>
            <w:r w:rsidRPr="00B8183B">
              <w:rPr>
                <w:rFonts w:eastAsia="Times New Roman" w:cs="Arial"/>
                <w:color w:val="000000"/>
                <w:szCs w:val="20"/>
                <w:vertAlign w:val="superscript"/>
                <w:lang w:val="en-US"/>
              </w:rPr>
              <w:t>b</w:t>
            </w:r>
            <w:r w:rsidRPr="00B8183B">
              <w:rPr>
                <w:rFonts w:eastAsia="Times New Roman" w:cs="Arial"/>
                <w:color w:val="000000"/>
                <w:szCs w:val="20"/>
                <w:vertAlign w:val="superscript"/>
                <w:lang w:val="ru-RU"/>
              </w:rPr>
              <w:t>,</w:t>
            </w:r>
            <w:r w:rsidRPr="00B8183B">
              <w:rPr>
                <w:rFonts w:eastAsia="Times New Roman" w:cs="Arial"/>
                <w:color w:val="000000"/>
                <w:szCs w:val="20"/>
                <w:vertAlign w:val="superscript"/>
                <w:lang w:val="en-US"/>
              </w:rPr>
              <w:t>c</w:t>
            </w:r>
          </w:p>
        </w:tc>
      </w:tr>
      <w:tr w:rsidR="00B8183B" w14:paraId="71B2991D" w14:textId="77777777" w:rsidTr="00B8183B">
        <w:tc>
          <w:tcPr>
            <w:tcW w:w="1860" w:type="dxa"/>
          </w:tcPr>
          <w:p w14:paraId="196990E8" w14:textId="2B2EF3BB" w:rsidR="00B8183B" w:rsidRPr="00B8183B" w:rsidRDefault="00B8183B" w:rsidP="00B8183B">
            <w:r w:rsidRPr="00B8183B">
              <w:rPr>
                <w:szCs w:val="20"/>
              </w:rPr>
              <w:lastRenderedPageBreak/>
              <w:t>Нарушения на кожата и подкожната тъкан</w:t>
            </w:r>
          </w:p>
        </w:tc>
        <w:tc>
          <w:tcPr>
            <w:tcW w:w="1642" w:type="dxa"/>
          </w:tcPr>
          <w:p w14:paraId="01E8C7E9" w14:textId="43491E75" w:rsidR="00B8183B" w:rsidRPr="00B8183B" w:rsidRDefault="00B8183B" w:rsidP="00B8183B">
            <w:r w:rsidRPr="00B8183B">
              <w:rPr>
                <w:szCs w:val="20"/>
              </w:rPr>
              <w:t>Обрив</w:t>
            </w:r>
          </w:p>
        </w:tc>
        <w:tc>
          <w:tcPr>
            <w:tcW w:w="1706" w:type="dxa"/>
          </w:tcPr>
          <w:p w14:paraId="5A49EEE3" w14:textId="672239F4" w:rsidR="00B8183B" w:rsidRPr="00B8183B" w:rsidRDefault="00B8183B" w:rsidP="00B8183B">
            <w:r w:rsidRPr="00B8183B">
              <w:rPr>
                <w:szCs w:val="20"/>
              </w:rPr>
              <w:t>Пруритус</w:t>
            </w:r>
          </w:p>
        </w:tc>
        <w:tc>
          <w:tcPr>
            <w:tcW w:w="1933" w:type="dxa"/>
          </w:tcPr>
          <w:p w14:paraId="615E71FA" w14:textId="27164279" w:rsidR="00B8183B" w:rsidRPr="00B8183B" w:rsidRDefault="00B8183B" w:rsidP="00B8183B">
            <w:r w:rsidRPr="00B8183B">
              <w:rPr>
                <w:szCs w:val="20"/>
              </w:rPr>
              <w:t>Уртикария</w:t>
            </w:r>
          </w:p>
        </w:tc>
        <w:tc>
          <w:tcPr>
            <w:tcW w:w="2435" w:type="dxa"/>
          </w:tcPr>
          <w:p w14:paraId="1C00E6F6" w14:textId="77777777" w:rsidR="00B8183B" w:rsidRPr="00B8183B" w:rsidRDefault="00B8183B" w:rsidP="00B8183B">
            <w:r w:rsidRPr="00B8183B">
              <w:rPr>
                <w:szCs w:val="20"/>
              </w:rPr>
              <w:t xml:space="preserve">Синдром на </w:t>
            </w:r>
            <w:r w:rsidRPr="00B8183B">
              <w:rPr>
                <w:szCs w:val="20"/>
                <w:lang w:val="en-US"/>
              </w:rPr>
              <w:t>Stevens</w:t>
            </w:r>
            <w:r w:rsidRPr="00B8183B">
              <w:rPr>
                <w:szCs w:val="20"/>
                <w:lang w:val="ru-RU"/>
              </w:rPr>
              <w:t xml:space="preserve">- </w:t>
            </w:r>
            <w:r w:rsidRPr="00B8183B">
              <w:rPr>
                <w:szCs w:val="20"/>
                <w:lang w:val="en-US"/>
              </w:rPr>
              <w:t>Johnson</w:t>
            </w:r>
            <w:r w:rsidRPr="00B8183B">
              <w:rPr>
                <w:szCs w:val="20"/>
                <w:vertAlign w:val="superscript"/>
              </w:rPr>
              <w:t>б</w:t>
            </w:r>
          </w:p>
          <w:p w14:paraId="69A93E63" w14:textId="77777777" w:rsidR="00B8183B" w:rsidRPr="00B8183B" w:rsidRDefault="00B8183B" w:rsidP="00B8183B">
            <w:r w:rsidRPr="00B8183B">
              <w:rPr>
                <w:szCs w:val="20"/>
              </w:rPr>
              <w:t>Токсична епидермална некролиза</w:t>
            </w:r>
            <w:r w:rsidRPr="00B8183B">
              <w:rPr>
                <w:szCs w:val="20"/>
                <w:vertAlign w:val="superscript"/>
              </w:rPr>
              <w:t>б</w:t>
            </w:r>
          </w:p>
          <w:p w14:paraId="7F4769CB" w14:textId="1CCB3FB2" w:rsidR="00B8183B" w:rsidRPr="00B8183B" w:rsidRDefault="00B8183B" w:rsidP="00B8183B">
            <w:r w:rsidRPr="00B8183B">
              <w:rPr>
                <w:szCs w:val="20"/>
              </w:rPr>
              <w:t xml:space="preserve">Еритема мултиформе Остра генерализирана екзантемна пустулоза Лекарствена реакция с еозинофилия и системни симптоми </w:t>
            </w:r>
            <w:r w:rsidRPr="00B8183B">
              <w:rPr>
                <w:szCs w:val="20"/>
                <w:lang w:val="ru-RU"/>
              </w:rPr>
              <w:t>(</w:t>
            </w:r>
            <w:r w:rsidRPr="00B8183B">
              <w:rPr>
                <w:szCs w:val="20"/>
                <w:lang w:val="en-US"/>
              </w:rPr>
              <w:t>DRESS</w:t>
            </w:r>
            <w:r w:rsidRPr="00B8183B">
              <w:rPr>
                <w:szCs w:val="20"/>
                <w:lang w:val="ru-RU"/>
              </w:rPr>
              <w:t>)</w:t>
            </w:r>
            <w:r w:rsidRPr="00B8183B">
              <w:rPr>
                <w:szCs w:val="20"/>
                <w:vertAlign w:val="superscript"/>
              </w:rPr>
              <w:t>б</w:t>
            </w:r>
          </w:p>
        </w:tc>
      </w:tr>
      <w:tr w:rsidR="00B8183B" w14:paraId="400A9875" w14:textId="77777777" w:rsidTr="00B8183B">
        <w:tc>
          <w:tcPr>
            <w:tcW w:w="1860" w:type="dxa"/>
          </w:tcPr>
          <w:p w14:paraId="6BA8DDDA" w14:textId="3C576070" w:rsidR="00B8183B" w:rsidRPr="00B8183B" w:rsidRDefault="00B8183B" w:rsidP="00B8183B">
            <w:r w:rsidRPr="00B8183B">
              <w:rPr>
                <w:szCs w:val="20"/>
              </w:rPr>
              <w:t>Нарушения на бъбреците и пикочните пътища</w:t>
            </w:r>
          </w:p>
        </w:tc>
        <w:tc>
          <w:tcPr>
            <w:tcW w:w="1642" w:type="dxa"/>
          </w:tcPr>
          <w:p w14:paraId="4853D8D3" w14:textId="77777777" w:rsidR="00B8183B" w:rsidRPr="00B8183B" w:rsidRDefault="00B8183B" w:rsidP="00B8183B"/>
        </w:tc>
        <w:tc>
          <w:tcPr>
            <w:tcW w:w="1706" w:type="dxa"/>
          </w:tcPr>
          <w:p w14:paraId="53B1EE64" w14:textId="77777777" w:rsidR="00B8183B" w:rsidRPr="00B8183B" w:rsidRDefault="00B8183B" w:rsidP="00B8183B"/>
        </w:tc>
        <w:tc>
          <w:tcPr>
            <w:tcW w:w="1933" w:type="dxa"/>
          </w:tcPr>
          <w:p w14:paraId="7F1B7B2E" w14:textId="77777777" w:rsidR="00B8183B" w:rsidRPr="00B8183B" w:rsidRDefault="00B8183B" w:rsidP="00B8183B">
            <w:r w:rsidRPr="00B8183B">
              <w:rPr>
                <w:szCs w:val="20"/>
              </w:rPr>
              <w:t>Хематурия</w:t>
            </w:r>
          </w:p>
          <w:p w14:paraId="6C136710" w14:textId="5C519363" w:rsidR="00B8183B" w:rsidRPr="00B8183B" w:rsidRDefault="00B8183B" w:rsidP="00B8183B">
            <w:r w:rsidRPr="00B8183B">
              <w:rPr>
                <w:szCs w:val="20"/>
              </w:rPr>
              <w:t>Глюкозурия</w:t>
            </w:r>
          </w:p>
        </w:tc>
        <w:tc>
          <w:tcPr>
            <w:tcW w:w="2435" w:type="dxa"/>
          </w:tcPr>
          <w:p w14:paraId="3F65D0DE" w14:textId="40902A96" w:rsidR="00B8183B" w:rsidRPr="00B8183B" w:rsidRDefault="00B8183B" w:rsidP="00B8183B">
            <w:r w:rsidRPr="00B8183B">
              <w:rPr>
                <w:szCs w:val="20"/>
              </w:rPr>
              <w:t>Олигурия Бъбречна преципитация (обратима)</w:t>
            </w:r>
          </w:p>
        </w:tc>
      </w:tr>
      <w:tr w:rsidR="00B8183B" w14:paraId="7552AF22" w14:textId="77777777" w:rsidTr="00B8183B">
        <w:tc>
          <w:tcPr>
            <w:tcW w:w="1860" w:type="dxa"/>
          </w:tcPr>
          <w:p w14:paraId="7187A91A" w14:textId="75BE8C5D" w:rsidR="00B8183B" w:rsidRPr="00B8183B" w:rsidRDefault="00B8183B" w:rsidP="00B8183B">
            <w:r w:rsidRPr="00B8183B">
              <w:rPr>
                <w:szCs w:val="20"/>
              </w:rPr>
              <w:t>Общи нарушения и ефекти на мястото на приложение</w:t>
            </w:r>
          </w:p>
        </w:tc>
        <w:tc>
          <w:tcPr>
            <w:tcW w:w="1642" w:type="dxa"/>
          </w:tcPr>
          <w:p w14:paraId="7C6F3A29" w14:textId="77777777" w:rsidR="00B8183B" w:rsidRPr="00B8183B" w:rsidRDefault="00B8183B" w:rsidP="00B8183B"/>
        </w:tc>
        <w:tc>
          <w:tcPr>
            <w:tcW w:w="1706" w:type="dxa"/>
          </w:tcPr>
          <w:p w14:paraId="2A1BBDC1" w14:textId="77777777" w:rsidR="00B8183B" w:rsidRPr="00B8183B" w:rsidRDefault="00B8183B" w:rsidP="00B8183B">
            <w:r w:rsidRPr="00B8183B">
              <w:rPr>
                <w:szCs w:val="20"/>
              </w:rPr>
              <w:t>Флебит</w:t>
            </w:r>
          </w:p>
          <w:p w14:paraId="52173081" w14:textId="054B533C" w:rsidR="00B8183B" w:rsidRPr="00B8183B" w:rsidRDefault="00B8183B" w:rsidP="00B8183B">
            <w:r w:rsidRPr="00B8183B">
              <w:rPr>
                <w:szCs w:val="20"/>
              </w:rPr>
              <w:t>Болка на мястото на инжектиране Пирексия</w:t>
            </w:r>
          </w:p>
        </w:tc>
        <w:tc>
          <w:tcPr>
            <w:tcW w:w="1933" w:type="dxa"/>
          </w:tcPr>
          <w:p w14:paraId="35C4C82A" w14:textId="77777777" w:rsidR="00B8183B" w:rsidRPr="00B8183B" w:rsidRDefault="00B8183B" w:rsidP="00B8183B">
            <w:r w:rsidRPr="00B8183B">
              <w:rPr>
                <w:szCs w:val="20"/>
              </w:rPr>
              <w:t>Оток</w:t>
            </w:r>
          </w:p>
          <w:p w14:paraId="5EAC9735" w14:textId="593FC2E8" w:rsidR="00B8183B" w:rsidRPr="00B8183B" w:rsidRDefault="00B8183B" w:rsidP="00B8183B">
            <w:r w:rsidRPr="00B8183B">
              <w:rPr>
                <w:szCs w:val="20"/>
              </w:rPr>
              <w:t>Втрисане</w:t>
            </w:r>
          </w:p>
        </w:tc>
        <w:tc>
          <w:tcPr>
            <w:tcW w:w="2435" w:type="dxa"/>
          </w:tcPr>
          <w:p w14:paraId="1E31BDFF" w14:textId="77777777" w:rsidR="00B8183B" w:rsidRPr="00B8183B" w:rsidRDefault="00B8183B" w:rsidP="00B8183B"/>
        </w:tc>
      </w:tr>
      <w:tr w:rsidR="00B8183B" w14:paraId="78DBF818" w14:textId="77777777" w:rsidTr="00B8183B">
        <w:tc>
          <w:tcPr>
            <w:tcW w:w="1860" w:type="dxa"/>
          </w:tcPr>
          <w:p w14:paraId="0015A0D8" w14:textId="7E251B57" w:rsidR="00B8183B" w:rsidRPr="00B8183B" w:rsidRDefault="00B8183B" w:rsidP="00B8183B">
            <w:r w:rsidRPr="00B8183B">
              <w:rPr>
                <w:szCs w:val="20"/>
              </w:rPr>
              <w:t>Изследвания</w:t>
            </w:r>
          </w:p>
        </w:tc>
        <w:tc>
          <w:tcPr>
            <w:tcW w:w="1642" w:type="dxa"/>
          </w:tcPr>
          <w:p w14:paraId="58C82AC0" w14:textId="77777777" w:rsidR="00B8183B" w:rsidRPr="00B8183B" w:rsidRDefault="00B8183B" w:rsidP="00B8183B"/>
        </w:tc>
        <w:tc>
          <w:tcPr>
            <w:tcW w:w="1706" w:type="dxa"/>
          </w:tcPr>
          <w:p w14:paraId="121CEF01" w14:textId="7096C95F" w:rsidR="00B8183B" w:rsidRPr="00B8183B" w:rsidRDefault="00B8183B" w:rsidP="00B8183B">
            <w:r w:rsidRPr="00B8183B">
              <w:rPr>
                <w:szCs w:val="20"/>
              </w:rPr>
              <w:t>Повишен креатинин в кръвта</w:t>
            </w:r>
          </w:p>
        </w:tc>
        <w:tc>
          <w:tcPr>
            <w:tcW w:w="1933" w:type="dxa"/>
          </w:tcPr>
          <w:p w14:paraId="7B09C603" w14:textId="77777777" w:rsidR="00B8183B" w:rsidRPr="00B8183B" w:rsidRDefault="00B8183B" w:rsidP="00B8183B"/>
        </w:tc>
        <w:tc>
          <w:tcPr>
            <w:tcW w:w="2435" w:type="dxa"/>
          </w:tcPr>
          <w:p w14:paraId="40FE5A53" w14:textId="63B82996" w:rsidR="00B8183B" w:rsidRPr="00B8183B" w:rsidRDefault="00B8183B" w:rsidP="00B8183B">
            <w:r w:rsidRPr="00B8183B">
              <w:rPr>
                <w:szCs w:val="20"/>
              </w:rPr>
              <w:t xml:space="preserve">Фалшиво положителен тест на </w:t>
            </w:r>
            <w:r w:rsidRPr="00B8183B">
              <w:rPr>
                <w:szCs w:val="20"/>
                <w:lang w:val="en-US"/>
              </w:rPr>
              <w:t>Coombs</w:t>
            </w:r>
            <w:r w:rsidRPr="00B8183B">
              <w:rPr>
                <w:szCs w:val="20"/>
                <w:vertAlign w:val="superscript"/>
              </w:rPr>
              <w:t xml:space="preserve">б </w:t>
            </w:r>
            <w:r w:rsidRPr="00B8183B">
              <w:rPr>
                <w:szCs w:val="20"/>
              </w:rPr>
              <w:t>Фалшиво положителен тест за галактоземия</w:t>
            </w:r>
            <w:r w:rsidRPr="00B8183B">
              <w:rPr>
                <w:szCs w:val="20"/>
                <w:vertAlign w:val="superscript"/>
              </w:rPr>
              <w:t xml:space="preserve">б </w:t>
            </w:r>
            <w:r w:rsidRPr="00B8183B">
              <w:rPr>
                <w:szCs w:val="20"/>
              </w:rPr>
              <w:t>Фалшиво положителни неензимни методи за определяне на глюкоза</w:t>
            </w:r>
            <w:r w:rsidRPr="00B8183B">
              <w:rPr>
                <w:szCs w:val="20"/>
                <w:vertAlign w:val="superscript"/>
              </w:rPr>
              <w:t>6</w:t>
            </w:r>
          </w:p>
        </w:tc>
      </w:tr>
    </w:tbl>
    <w:p w14:paraId="75E67927" w14:textId="77777777" w:rsidR="00B8183B" w:rsidRPr="00B8183B" w:rsidRDefault="00B8183B" w:rsidP="00B8183B">
      <w:pPr>
        <w:spacing w:line="240" w:lineRule="auto"/>
        <w:rPr>
          <w:rFonts w:eastAsia="Times New Roman" w:cs="Arial"/>
        </w:rPr>
      </w:pPr>
      <w:r w:rsidRPr="00B8183B">
        <w:rPr>
          <w:rFonts w:eastAsia="Times New Roman" w:cs="Arial"/>
          <w:color w:val="000000"/>
          <w:vertAlign w:val="superscript"/>
          <w:lang w:eastAsia="bg-BG"/>
        </w:rPr>
        <w:t>а</w:t>
      </w:r>
      <w:r w:rsidRPr="00B8183B">
        <w:rPr>
          <w:rFonts w:eastAsia="Times New Roman" w:cs="Arial"/>
          <w:color w:val="000000"/>
          <w:lang w:eastAsia="bg-BG"/>
        </w:rPr>
        <w:t xml:space="preserve"> Въз основа на постмаркетингови съобщения. Тъй като тези реакции се съобщават доброволно от популация с несигурен размер, не е възможно надеждно да се оцени тяхната честота, която по тази причина се категоризира като неизвестна.</w:t>
      </w:r>
    </w:p>
    <w:p w14:paraId="25C2C761" w14:textId="77777777" w:rsidR="00B8183B" w:rsidRPr="00B8183B" w:rsidRDefault="00B8183B" w:rsidP="00B8183B">
      <w:pPr>
        <w:spacing w:line="240" w:lineRule="auto"/>
        <w:rPr>
          <w:rFonts w:eastAsia="Times New Roman" w:cs="Arial"/>
        </w:rPr>
      </w:pPr>
      <w:r w:rsidRPr="00B8183B">
        <w:rPr>
          <w:rFonts w:eastAsia="Times New Roman" w:cs="Arial"/>
          <w:color w:val="000000"/>
          <w:vertAlign w:val="superscript"/>
          <w:lang w:eastAsia="bg-BG"/>
        </w:rPr>
        <w:t>6</w:t>
      </w:r>
      <w:r w:rsidRPr="00B8183B">
        <w:rPr>
          <w:rFonts w:eastAsia="Times New Roman" w:cs="Arial"/>
          <w:color w:val="000000"/>
          <w:lang w:eastAsia="bg-BG"/>
        </w:rPr>
        <w:t xml:space="preserve"> Вижте точка 4.4.</w:t>
      </w:r>
    </w:p>
    <w:p w14:paraId="3C67919B" w14:textId="77777777" w:rsidR="00B8183B" w:rsidRPr="00B8183B" w:rsidRDefault="00B8183B" w:rsidP="00B8183B">
      <w:pPr>
        <w:spacing w:line="240" w:lineRule="auto"/>
        <w:rPr>
          <w:rFonts w:eastAsia="Times New Roman" w:cs="Arial"/>
        </w:rPr>
      </w:pPr>
      <w:r w:rsidRPr="00B8183B">
        <w:rPr>
          <w:rFonts w:eastAsia="Times New Roman" w:cs="Arial"/>
          <w:color w:val="000000"/>
          <w:vertAlign w:val="superscript"/>
          <w:lang w:eastAsia="bg-BG"/>
        </w:rPr>
        <w:t>с</w:t>
      </w:r>
      <w:r w:rsidRPr="00B8183B">
        <w:rPr>
          <w:rFonts w:eastAsia="Times New Roman" w:cs="Arial"/>
          <w:color w:val="000000"/>
          <w:lang w:eastAsia="bg-BG"/>
        </w:rPr>
        <w:t xml:space="preserve"> Обикновено обратим при прекратяване на лечението с цефтриаксон.</w:t>
      </w:r>
    </w:p>
    <w:p w14:paraId="58E6FA2B" w14:textId="77777777" w:rsidR="00B8183B" w:rsidRPr="00B8183B" w:rsidRDefault="00B8183B" w:rsidP="00B8183B">
      <w:pPr>
        <w:spacing w:line="240" w:lineRule="auto"/>
        <w:rPr>
          <w:rFonts w:eastAsia="Times New Roman" w:cs="Arial"/>
          <w:color w:val="000000"/>
          <w:u w:val="single"/>
          <w:lang w:eastAsia="bg-BG"/>
        </w:rPr>
      </w:pPr>
    </w:p>
    <w:p w14:paraId="6C49B814" w14:textId="7E13CE87" w:rsidR="00B8183B" w:rsidRPr="00B8183B" w:rsidRDefault="00B8183B" w:rsidP="00B8183B">
      <w:pPr>
        <w:spacing w:line="240" w:lineRule="auto"/>
        <w:rPr>
          <w:rFonts w:eastAsia="Times New Roman" w:cs="Arial"/>
        </w:rPr>
      </w:pPr>
      <w:r w:rsidRPr="00B8183B">
        <w:rPr>
          <w:rFonts w:eastAsia="Times New Roman" w:cs="Arial"/>
          <w:color w:val="000000"/>
          <w:u w:val="single"/>
          <w:lang w:eastAsia="bg-BG"/>
        </w:rPr>
        <w:t>Инфекции и инфестации</w:t>
      </w:r>
    </w:p>
    <w:p w14:paraId="6327D020" w14:textId="77777777" w:rsidR="00B8183B" w:rsidRPr="00B8183B" w:rsidRDefault="00B8183B" w:rsidP="00B8183B">
      <w:pPr>
        <w:spacing w:line="240" w:lineRule="auto"/>
        <w:rPr>
          <w:rFonts w:eastAsia="Times New Roman" w:cs="Arial"/>
        </w:rPr>
      </w:pPr>
      <w:r w:rsidRPr="00B8183B">
        <w:rPr>
          <w:rFonts w:eastAsia="Times New Roman" w:cs="Arial"/>
          <w:color w:val="000000"/>
          <w:lang w:eastAsia="bg-BG"/>
        </w:rPr>
        <w:t xml:space="preserve">Съобщенията за диария след употреба на цефтриаксон могат да са свързани с </w:t>
      </w:r>
      <w:r w:rsidRPr="00B8183B">
        <w:rPr>
          <w:rFonts w:eastAsia="Times New Roman" w:cs="Arial"/>
          <w:i/>
          <w:iCs/>
          <w:color w:val="000000"/>
          <w:lang w:val="en-US"/>
        </w:rPr>
        <w:t>Clostridium</w:t>
      </w:r>
      <w:r w:rsidRPr="00B8183B">
        <w:rPr>
          <w:rFonts w:eastAsia="Times New Roman" w:cs="Arial"/>
          <w:i/>
          <w:iCs/>
          <w:color w:val="000000"/>
          <w:lang w:val="ru-RU"/>
        </w:rPr>
        <w:t xml:space="preserve"> </w:t>
      </w:r>
      <w:r w:rsidRPr="00B8183B">
        <w:rPr>
          <w:rFonts w:eastAsia="Times New Roman" w:cs="Arial"/>
          <w:i/>
          <w:iCs/>
          <w:color w:val="000000"/>
          <w:lang w:val="en-US"/>
        </w:rPr>
        <w:t>difficile</w:t>
      </w:r>
      <w:r w:rsidRPr="00B8183B">
        <w:rPr>
          <w:rFonts w:eastAsia="Times New Roman" w:cs="Arial"/>
          <w:i/>
          <w:iCs/>
          <w:color w:val="000000"/>
          <w:lang w:val="ru-RU"/>
        </w:rPr>
        <w:t xml:space="preserve">. </w:t>
      </w:r>
      <w:r w:rsidRPr="00B8183B">
        <w:rPr>
          <w:rFonts w:eastAsia="Times New Roman" w:cs="Arial"/>
          <w:color w:val="000000"/>
          <w:lang w:eastAsia="bg-BG"/>
        </w:rPr>
        <w:t>Трябва да се прилага подходящо лечение с течности и електролити (вж. точка 4.4).</w:t>
      </w:r>
    </w:p>
    <w:p w14:paraId="63DBB0A0" w14:textId="77777777" w:rsidR="00B8183B" w:rsidRPr="00B8183B" w:rsidRDefault="00B8183B" w:rsidP="00B8183B">
      <w:pPr>
        <w:spacing w:line="240" w:lineRule="auto"/>
        <w:rPr>
          <w:rFonts w:eastAsia="Times New Roman" w:cs="Arial"/>
          <w:color w:val="000000"/>
          <w:u w:val="single"/>
          <w:lang w:eastAsia="bg-BG"/>
        </w:rPr>
      </w:pPr>
    </w:p>
    <w:p w14:paraId="09683505" w14:textId="2688A982" w:rsidR="00B8183B" w:rsidRPr="00B8183B" w:rsidRDefault="00B8183B" w:rsidP="00B8183B">
      <w:pPr>
        <w:spacing w:line="240" w:lineRule="auto"/>
        <w:rPr>
          <w:rFonts w:eastAsia="Times New Roman" w:cs="Arial"/>
        </w:rPr>
      </w:pPr>
      <w:r w:rsidRPr="00B8183B">
        <w:rPr>
          <w:rFonts w:eastAsia="Times New Roman" w:cs="Arial"/>
          <w:color w:val="000000"/>
          <w:u w:val="single"/>
          <w:lang w:eastAsia="bg-BG"/>
        </w:rPr>
        <w:t>Преципитация на цефтриаксон калций</w:t>
      </w:r>
    </w:p>
    <w:p w14:paraId="7DC6A8AD" w14:textId="77777777" w:rsidR="00B8183B" w:rsidRPr="00B8183B" w:rsidRDefault="00B8183B" w:rsidP="00B8183B">
      <w:pPr>
        <w:spacing w:line="240" w:lineRule="auto"/>
        <w:rPr>
          <w:rFonts w:eastAsia="Times New Roman" w:cs="Arial"/>
        </w:rPr>
      </w:pPr>
      <w:r w:rsidRPr="00B8183B">
        <w:rPr>
          <w:rFonts w:eastAsia="Times New Roman" w:cs="Arial"/>
          <w:color w:val="000000"/>
          <w:lang w:eastAsia="bg-BG"/>
        </w:rPr>
        <w:lastRenderedPageBreak/>
        <w:t>Редки, тежки и, в някои случаи, фатални нежелани реакции са съобщавани при недоносени и доносени новородени (на възраст &lt; 28 дни), които са лекувани с интравенозен цефтриаксон и калций.</w:t>
      </w:r>
    </w:p>
    <w:p w14:paraId="4941E6F7" w14:textId="77777777" w:rsidR="00B8183B" w:rsidRPr="00B8183B" w:rsidRDefault="00B8183B" w:rsidP="00B8183B">
      <w:pPr>
        <w:spacing w:line="240" w:lineRule="auto"/>
        <w:rPr>
          <w:rFonts w:eastAsia="Times New Roman" w:cs="Arial"/>
        </w:rPr>
      </w:pPr>
      <w:r w:rsidRPr="00B8183B">
        <w:rPr>
          <w:rFonts w:eastAsia="Times New Roman" w:cs="Arial"/>
          <w:color w:val="000000"/>
          <w:lang w:eastAsia="bg-BG"/>
        </w:rPr>
        <w:t xml:space="preserve">Преципитати от цефтриаксон калциева сол са наблюдавани в белите дробове и бъбреците </w:t>
      </w:r>
      <w:r w:rsidRPr="00B8183B">
        <w:rPr>
          <w:rFonts w:eastAsia="Times New Roman" w:cs="Arial"/>
          <w:i/>
          <w:iCs/>
          <w:color w:val="000000"/>
          <w:lang w:val="en-US"/>
        </w:rPr>
        <w:t>post</w:t>
      </w:r>
      <w:r w:rsidRPr="00B8183B">
        <w:rPr>
          <w:rFonts w:eastAsia="Times New Roman" w:cs="Arial"/>
          <w:i/>
          <w:iCs/>
          <w:color w:val="000000"/>
          <w:lang w:val="ru-RU"/>
        </w:rPr>
        <w:t xml:space="preserve"> </w:t>
      </w:r>
      <w:r w:rsidRPr="00B8183B">
        <w:rPr>
          <w:rFonts w:eastAsia="Times New Roman" w:cs="Arial"/>
          <w:i/>
          <w:iCs/>
          <w:color w:val="000000"/>
          <w:lang w:val="en-US"/>
        </w:rPr>
        <w:t>mortem</w:t>
      </w:r>
      <w:r w:rsidRPr="00B8183B">
        <w:rPr>
          <w:rFonts w:eastAsia="Times New Roman" w:cs="Arial"/>
          <w:i/>
          <w:iCs/>
          <w:color w:val="000000"/>
          <w:lang w:val="ru-RU"/>
        </w:rPr>
        <w:t xml:space="preserve">. </w:t>
      </w:r>
      <w:r w:rsidRPr="00B8183B">
        <w:rPr>
          <w:rFonts w:eastAsia="Times New Roman" w:cs="Arial"/>
          <w:color w:val="000000"/>
          <w:lang w:eastAsia="bg-BG"/>
        </w:rPr>
        <w:t>Високият риск от преципитация при новородени се дължи на малкия им кръвен обем и на по-дългия полуживот на цефтриаксон в сравнение с този при възрастни (вж. точки 4.3,4.4 и 5.2).</w:t>
      </w:r>
    </w:p>
    <w:p w14:paraId="274913E3" w14:textId="77777777" w:rsidR="00B8183B" w:rsidRPr="00B8183B" w:rsidRDefault="00B8183B" w:rsidP="00B8183B">
      <w:pPr>
        <w:rPr>
          <w:rFonts w:eastAsia="Times New Roman" w:cs="Arial"/>
          <w:color w:val="000000"/>
          <w:lang w:eastAsia="bg-BG"/>
        </w:rPr>
      </w:pPr>
    </w:p>
    <w:p w14:paraId="04AB002F" w14:textId="398CB545" w:rsidR="00B8183B" w:rsidRPr="00B8183B" w:rsidRDefault="00B8183B" w:rsidP="00B8183B">
      <w:pPr>
        <w:rPr>
          <w:rFonts w:eastAsia="Times New Roman" w:cs="Arial"/>
          <w:color w:val="000000"/>
          <w:lang w:eastAsia="bg-BG"/>
        </w:rPr>
      </w:pPr>
      <w:r w:rsidRPr="00B8183B">
        <w:rPr>
          <w:rFonts w:eastAsia="Times New Roman" w:cs="Arial"/>
          <w:color w:val="000000"/>
          <w:lang w:eastAsia="bg-BG"/>
        </w:rPr>
        <w:t xml:space="preserve">Има съобщения за случаи на преципитация в бъбреците, главно при деца над З-годишна възраст, които са лекувани или с високи дневни дози (напр. ≥80 </w:t>
      </w:r>
      <w:r w:rsidRPr="00B8183B">
        <w:rPr>
          <w:rFonts w:eastAsia="Times New Roman" w:cs="Arial"/>
          <w:color w:val="000000"/>
          <w:lang w:val="en-US"/>
        </w:rPr>
        <w:t>mg</w:t>
      </w:r>
      <w:r w:rsidRPr="00B8183B">
        <w:rPr>
          <w:rFonts w:eastAsia="Times New Roman" w:cs="Arial"/>
          <w:color w:val="000000"/>
          <w:lang w:val="ru-RU"/>
        </w:rPr>
        <w:t>/</w:t>
      </w:r>
      <w:r w:rsidRPr="00B8183B">
        <w:rPr>
          <w:rFonts w:eastAsia="Times New Roman" w:cs="Arial"/>
          <w:color w:val="000000"/>
          <w:lang w:val="en-US"/>
        </w:rPr>
        <w:t>kg</w:t>
      </w:r>
      <w:r w:rsidRPr="00B8183B">
        <w:rPr>
          <w:rFonts w:eastAsia="Times New Roman" w:cs="Arial"/>
          <w:color w:val="000000"/>
          <w:lang w:eastAsia="bg-BG"/>
        </w:rPr>
        <w:t>/ден), или с общи дози, превишаващи 10 грама и при които е имало други рискови фактори (напр. ограничение на течностите или постелен режим).</w:t>
      </w:r>
    </w:p>
    <w:p w14:paraId="6612EEAE" w14:textId="7F5B8883" w:rsidR="00B8183B" w:rsidRPr="00B8183B" w:rsidRDefault="00B8183B" w:rsidP="00B8183B">
      <w:pPr>
        <w:rPr>
          <w:rFonts w:eastAsia="Times New Roman" w:cs="Arial"/>
          <w:color w:val="000000"/>
          <w:lang w:eastAsia="bg-BG"/>
        </w:rPr>
      </w:pPr>
    </w:p>
    <w:p w14:paraId="6E15A2AA" w14:textId="77777777" w:rsidR="00B8183B" w:rsidRPr="00B8183B" w:rsidRDefault="00B8183B" w:rsidP="00B8183B">
      <w:pPr>
        <w:spacing w:line="240" w:lineRule="auto"/>
        <w:rPr>
          <w:rFonts w:eastAsia="Times New Roman" w:cs="Arial"/>
        </w:rPr>
      </w:pPr>
      <w:r w:rsidRPr="00B8183B">
        <w:rPr>
          <w:rFonts w:eastAsia="Times New Roman" w:cs="Arial"/>
          <w:color w:val="000000"/>
          <w:lang w:eastAsia="bg-BG"/>
        </w:rPr>
        <w:t>Рискът от образуване на преципитати е повишен при имобилизирани или дехидратирани пациенти. Това събитие може да е симптоматично или асимптоматично, може да доведе до бъбречна недостатъчност и анурия и е обратимо при прекратяване на цефтриаксон (вж. точка 4.4).</w:t>
      </w:r>
    </w:p>
    <w:p w14:paraId="426E4F5D" w14:textId="77777777" w:rsidR="00B8183B" w:rsidRPr="00B8183B" w:rsidRDefault="00B8183B" w:rsidP="00B8183B">
      <w:pPr>
        <w:spacing w:line="240" w:lineRule="auto"/>
        <w:rPr>
          <w:rFonts w:eastAsia="Times New Roman" w:cs="Arial"/>
          <w:color w:val="000000"/>
          <w:lang w:eastAsia="bg-BG"/>
        </w:rPr>
      </w:pPr>
    </w:p>
    <w:p w14:paraId="4F0E3637" w14:textId="55BCAE0F" w:rsidR="00B8183B" w:rsidRPr="00B8183B" w:rsidRDefault="00B8183B" w:rsidP="00B8183B">
      <w:pPr>
        <w:spacing w:line="240" w:lineRule="auto"/>
        <w:rPr>
          <w:rFonts w:eastAsia="Times New Roman" w:cs="Arial"/>
        </w:rPr>
      </w:pPr>
      <w:r w:rsidRPr="00B8183B">
        <w:rPr>
          <w:rFonts w:eastAsia="Times New Roman" w:cs="Arial"/>
          <w:color w:val="000000"/>
          <w:lang w:eastAsia="bg-BG"/>
        </w:rPr>
        <w:t>Наблюдавана е преципитация на цефтриаксон калциева сол в жлъчния мехур, главно при пациенти, лекувани с дози, които са по-високи от препоръчителната стандартна доза. При деца проспекгивни проучвания са показали вариабилна честота на преципитация при интравенозно приложение - над 30 % в някои проучвания. Честотата изглежда е по-ниска при бавна инфузия (20-30 минути). Този ефект обикновено е асимптоматичен, но в редки случаи преципитатите са били придружени от клинични симптоми като болка, гадене и повръщане. В тези случаи се препоръчва симптоматично лечение.</w:t>
      </w:r>
    </w:p>
    <w:p w14:paraId="6F42A987" w14:textId="77777777" w:rsidR="00B8183B" w:rsidRPr="00B8183B" w:rsidRDefault="00B8183B" w:rsidP="00B8183B">
      <w:pPr>
        <w:spacing w:line="240" w:lineRule="auto"/>
        <w:rPr>
          <w:rFonts w:eastAsia="Times New Roman" w:cs="Arial"/>
        </w:rPr>
      </w:pPr>
      <w:r w:rsidRPr="00B8183B">
        <w:rPr>
          <w:rFonts w:eastAsia="Times New Roman" w:cs="Arial"/>
          <w:color w:val="000000"/>
          <w:lang w:eastAsia="bg-BG"/>
        </w:rPr>
        <w:t>Преципитацията обикновено е обратима при прекратяване на цефтриаксон (вж. точка 4.4).</w:t>
      </w:r>
    </w:p>
    <w:p w14:paraId="3DB7F848" w14:textId="77777777" w:rsidR="00B8183B" w:rsidRPr="00B8183B" w:rsidRDefault="00B8183B" w:rsidP="00B8183B">
      <w:pPr>
        <w:spacing w:line="240" w:lineRule="auto"/>
        <w:rPr>
          <w:rFonts w:eastAsia="Times New Roman" w:cs="Arial"/>
          <w:color w:val="000000"/>
          <w:u w:val="single"/>
          <w:lang w:eastAsia="bg-BG"/>
        </w:rPr>
      </w:pPr>
    </w:p>
    <w:p w14:paraId="6B6EA02B" w14:textId="37BF3744" w:rsidR="00B8183B" w:rsidRPr="00B8183B" w:rsidRDefault="00B8183B" w:rsidP="00B8183B">
      <w:pPr>
        <w:spacing w:line="240" w:lineRule="auto"/>
        <w:rPr>
          <w:rFonts w:eastAsia="Times New Roman" w:cs="Arial"/>
        </w:rPr>
      </w:pPr>
      <w:r w:rsidRPr="00B8183B">
        <w:rPr>
          <w:rFonts w:eastAsia="Times New Roman" w:cs="Arial"/>
          <w:color w:val="000000"/>
          <w:u w:val="single"/>
          <w:lang w:eastAsia="bg-BG"/>
        </w:rPr>
        <w:t>Съобщаване на подозирани нежелани реакции</w:t>
      </w:r>
    </w:p>
    <w:p w14:paraId="0E0382D7" w14:textId="77777777" w:rsidR="00B8183B" w:rsidRPr="00B8183B" w:rsidRDefault="00B8183B" w:rsidP="00B8183B">
      <w:pPr>
        <w:spacing w:line="240" w:lineRule="auto"/>
        <w:rPr>
          <w:rFonts w:eastAsia="Times New Roman" w:cs="Arial"/>
        </w:rPr>
      </w:pPr>
      <w:r w:rsidRPr="00B8183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№8,1303 София. Тел.: +359 2 8903417, уебсайт: </w:t>
      </w:r>
      <w:r w:rsidRPr="00B8183B">
        <w:rPr>
          <w:rFonts w:eastAsia="Times New Roman" w:cs="Arial"/>
        </w:rPr>
        <w:fldChar w:fldCharType="begin"/>
      </w:r>
      <w:r w:rsidRPr="00B8183B">
        <w:rPr>
          <w:rFonts w:eastAsia="Times New Roman" w:cs="Arial"/>
        </w:rPr>
        <w:instrText xml:space="preserve"> HYPERLINK "http://www.bda.bg" </w:instrText>
      </w:r>
      <w:r w:rsidRPr="00B8183B">
        <w:rPr>
          <w:rFonts w:eastAsia="Times New Roman" w:cs="Arial"/>
        </w:rPr>
      </w:r>
      <w:r w:rsidRPr="00B8183B">
        <w:rPr>
          <w:rFonts w:eastAsia="Times New Roman" w:cs="Arial"/>
        </w:rPr>
        <w:fldChar w:fldCharType="separate"/>
      </w:r>
      <w:r w:rsidRPr="00B8183B">
        <w:rPr>
          <w:rFonts w:eastAsia="Times New Roman" w:cs="Arial"/>
          <w:color w:val="000000"/>
          <w:u w:val="single"/>
          <w:lang w:val="en-US"/>
        </w:rPr>
        <w:t>www.bda.bg</w:t>
      </w:r>
      <w:r w:rsidRPr="00B8183B">
        <w:rPr>
          <w:rFonts w:eastAsia="Times New Roman" w:cs="Arial"/>
        </w:rPr>
        <w:fldChar w:fldCharType="end"/>
      </w:r>
      <w:r w:rsidRPr="00B8183B">
        <w:rPr>
          <w:rFonts w:eastAsia="Times New Roman" w:cs="Arial"/>
          <w:color w:val="000000"/>
          <w:lang w:val="en-US"/>
        </w:rPr>
        <w:t>.</w:t>
      </w:r>
    </w:p>
    <w:p w14:paraId="7590FABB" w14:textId="77777777" w:rsidR="00B8183B" w:rsidRPr="00B8183B" w:rsidRDefault="00B8183B" w:rsidP="00B8183B"/>
    <w:p w14:paraId="0A023CE0" w14:textId="2590E840" w:rsidR="00CF77F7" w:rsidRDefault="002C50EE" w:rsidP="004A448E">
      <w:pPr>
        <w:pStyle w:val="Heading2"/>
      </w:pPr>
      <w:r>
        <w:t>4.9. Предозиране</w:t>
      </w:r>
    </w:p>
    <w:p w14:paraId="432AA78E" w14:textId="566AD74A" w:rsidR="00B8183B" w:rsidRDefault="00B8183B" w:rsidP="00B8183B"/>
    <w:p w14:paraId="5BD21084" w14:textId="131C985E" w:rsidR="00B8183B" w:rsidRDefault="00B8183B" w:rsidP="00B8183B">
      <w:pPr>
        <w:rPr>
          <w:lang w:eastAsia="bg-BG"/>
        </w:rPr>
      </w:pPr>
      <w:r w:rsidRPr="00B8183B">
        <w:rPr>
          <w:lang w:eastAsia="bg-BG"/>
        </w:rPr>
        <w:t>При предозиране могат да възникнат симптоми като гадене, повръщане и диария. Концентрациите на цефтриаксон не могат да се понижат чрез хемодиализа или перитонеална диализа. Няма специфичен антидот. Лечението при предозиране трябва да е симптоматично.</w:t>
      </w:r>
    </w:p>
    <w:p w14:paraId="4B0DFACE" w14:textId="77777777" w:rsidR="00B8183B" w:rsidRPr="00B8183B" w:rsidRDefault="00B8183B" w:rsidP="00B8183B">
      <w:pPr>
        <w:rPr>
          <w:sz w:val="24"/>
          <w:szCs w:val="24"/>
        </w:rPr>
      </w:pPr>
    </w:p>
    <w:p w14:paraId="02081B24" w14:textId="1F46E296" w:rsidR="00395555" w:rsidRPr="00395555" w:rsidRDefault="002C50EE" w:rsidP="008A6AF2">
      <w:pPr>
        <w:pStyle w:val="Heading1"/>
      </w:pPr>
      <w:r>
        <w:t>5. ФАРМАКОЛОГИЧНИ СВОЙСТВА</w:t>
      </w:r>
    </w:p>
    <w:p w14:paraId="32B6DE66" w14:textId="35D27F72" w:rsidR="00CF77F7" w:rsidRDefault="002C50EE" w:rsidP="004A448E">
      <w:pPr>
        <w:pStyle w:val="Heading2"/>
      </w:pPr>
      <w:r>
        <w:t>5.1. Фармакодинамични свойства</w:t>
      </w:r>
    </w:p>
    <w:p w14:paraId="677009EF" w14:textId="725B9490" w:rsidR="00B8183B" w:rsidRDefault="00B8183B" w:rsidP="00B8183B"/>
    <w:p w14:paraId="1FBF8198"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lastRenderedPageBreak/>
        <w:t xml:space="preserve">Фармакотерапевтична група: Антибактериални средства за системно приложение, трета генерация цефалоспорини, АТС код: </w:t>
      </w:r>
      <w:r w:rsidRPr="00B8183B">
        <w:rPr>
          <w:rFonts w:eastAsia="Times New Roman" w:cs="Arial"/>
          <w:color w:val="000000"/>
          <w:szCs w:val="20"/>
          <w:lang w:val="en-US"/>
        </w:rPr>
        <w:t>J</w:t>
      </w:r>
      <w:r w:rsidRPr="00B8183B">
        <w:rPr>
          <w:rFonts w:eastAsia="Times New Roman" w:cs="Arial"/>
          <w:color w:val="000000"/>
          <w:szCs w:val="20"/>
          <w:lang w:val="ru-RU"/>
        </w:rPr>
        <w:t>01</w:t>
      </w:r>
      <w:r w:rsidRPr="00B8183B">
        <w:rPr>
          <w:rFonts w:eastAsia="Times New Roman" w:cs="Arial"/>
          <w:color w:val="000000"/>
          <w:szCs w:val="20"/>
          <w:lang w:val="en-US"/>
        </w:rPr>
        <w:t>DD</w:t>
      </w:r>
      <w:r w:rsidRPr="00B8183B">
        <w:rPr>
          <w:rFonts w:eastAsia="Times New Roman" w:cs="Arial"/>
          <w:color w:val="000000"/>
          <w:szCs w:val="20"/>
          <w:lang w:val="ru-RU"/>
        </w:rPr>
        <w:t>04.</w:t>
      </w:r>
    </w:p>
    <w:p w14:paraId="255DEE13" w14:textId="77777777" w:rsidR="00B8183B" w:rsidRPr="00B8183B" w:rsidRDefault="00B8183B" w:rsidP="00B8183B">
      <w:pPr>
        <w:spacing w:line="240" w:lineRule="auto"/>
        <w:rPr>
          <w:rFonts w:eastAsia="Times New Roman" w:cs="Arial"/>
          <w:color w:val="000000"/>
          <w:szCs w:val="20"/>
          <w:u w:val="single"/>
          <w:lang w:eastAsia="bg-BG"/>
        </w:rPr>
      </w:pPr>
    </w:p>
    <w:p w14:paraId="10DB62DD" w14:textId="21F093AC"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u w:val="single"/>
          <w:lang w:eastAsia="bg-BG"/>
        </w:rPr>
        <w:t>Механизъм на действие</w:t>
      </w:r>
    </w:p>
    <w:p w14:paraId="4B6C6611"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Цефтриаксон инхибира синтеза на бактериалната клетъчна стена след прикрепване към пеницилин- свързващите протеини (РВР). Това причинява прекъсване на биосинтеза на клетъчната стена (пептидогликан), което води до лизиране и смърт на бактериалната клетка.</w:t>
      </w:r>
    </w:p>
    <w:p w14:paraId="034C2EE4" w14:textId="77777777" w:rsidR="00B8183B" w:rsidRPr="00B8183B" w:rsidRDefault="00B8183B" w:rsidP="00B8183B">
      <w:pPr>
        <w:spacing w:line="240" w:lineRule="auto"/>
        <w:rPr>
          <w:rFonts w:eastAsia="Times New Roman" w:cs="Arial"/>
          <w:color w:val="000000"/>
          <w:szCs w:val="20"/>
          <w:u w:val="single"/>
          <w:lang w:eastAsia="bg-BG"/>
        </w:rPr>
      </w:pPr>
    </w:p>
    <w:p w14:paraId="18947358" w14:textId="1F831869"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u w:val="single"/>
          <w:lang w:eastAsia="bg-BG"/>
        </w:rPr>
        <w:t>Резистентност</w:t>
      </w:r>
    </w:p>
    <w:p w14:paraId="1219B04B"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Бактериалната резистентност към цефтриаксон може да се дължи на един или повече от следните механизми:</w:t>
      </w:r>
    </w:p>
    <w:p w14:paraId="61B7C9A9" w14:textId="77777777" w:rsidR="00B8183B" w:rsidRPr="00B8183B" w:rsidRDefault="00B8183B" w:rsidP="00B8183B">
      <w:pPr>
        <w:pStyle w:val="ListParagraph"/>
        <w:numPr>
          <w:ilvl w:val="0"/>
          <w:numId w:val="37"/>
        </w:numPr>
        <w:spacing w:line="240" w:lineRule="auto"/>
        <w:rPr>
          <w:rFonts w:eastAsia="Times New Roman" w:cs="Arial"/>
          <w:sz w:val="28"/>
          <w:szCs w:val="24"/>
        </w:rPr>
      </w:pPr>
      <w:r w:rsidRPr="00B8183B">
        <w:rPr>
          <w:rFonts w:eastAsia="Times New Roman" w:cs="Arial"/>
          <w:color w:val="000000"/>
          <w:szCs w:val="20"/>
          <w:lang w:eastAsia="bg-BG"/>
        </w:rPr>
        <w:t xml:space="preserve">хидролиза от бета лактамази, включително бета лактамази с разширен спектър </w:t>
      </w:r>
      <w:r w:rsidRPr="00B8183B">
        <w:rPr>
          <w:rFonts w:eastAsia="Times New Roman" w:cs="Arial"/>
          <w:color w:val="000000"/>
          <w:szCs w:val="20"/>
          <w:lang w:val="ru-RU"/>
        </w:rPr>
        <w:t>(</w:t>
      </w:r>
      <w:r w:rsidRPr="00B8183B">
        <w:rPr>
          <w:rFonts w:eastAsia="Times New Roman" w:cs="Arial"/>
          <w:color w:val="000000"/>
          <w:szCs w:val="20"/>
          <w:lang w:val="en-US"/>
        </w:rPr>
        <w:t>ESBL</w:t>
      </w:r>
      <w:r w:rsidRPr="00B8183B">
        <w:rPr>
          <w:rFonts w:eastAsia="Times New Roman" w:cs="Arial"/>
          <w:color w:val="000000"/>
          <w:szCs w:val="20"/>
          <w:lang w:val="ru-RU"/>
        </w:rPr>
        <w:t xml:space="preserve">), </w:t>
      </w:r>
      <w:r w:rsidRPr="00B8183B">
        <w:rPr>
          <w:rFonts w:eastAsia="Times New Roman" w:cs="Arial"/>
          <w:color w:val="000000"/>
          <w:szCs w:val="20"/>
          <w:lang w:eastAsia="bg-BG"/>
        </w:rPr>
        <w:t xml:space="preserve">карбапенемази и </w:t>
      </w:r>
      <w:r w:rsidRPr="00B8183B">
        <w:rPr>
          <w:rFonts w:eastAsia="Times New Roman" w:cs="Arial"/>
          <w:color w:val="000000"/>
          <w:szCs w:val="20"/>
          <w:lang w:val="en-US"/>
        </w:rPr>
        <w:t>Amp</w:t>
      </w:r>
      <w:r w:rsidRPr="00B8183B">
        <w:rPr>
          <w:rFonts w:eastAsia="Times New Roman" w:cs="Arial"/>
          <w:color w:val="000000"/>
          <w:szCs w:val="20"/>
          <w:lang w:val="ru-RU"/>
        </w:rPr>
        <w:t xml:space="preserve"> </w:t>
      </w:r>
      <w:r w:rsidRPr="00B8183B">
        <w:rPr>
          <w:rFonts w:eastAsia="Times New Roman" w:cs="Arial"/>
          <w:color w:val="000000"/>
          <w:szCs w:val="20"/>
          <w:lang w:eastAsia="bg-BG"/>
        </w:rPr>
        <w:t>С ензими, които могат да се индуцират или да се дерепресират стабилно при определени аеробни Грам-отрицателни бактериални видове.</w:t>
      </w:r>
    </w:p>
    <w:p w14:paraId="2FCEAFCC" w14:textId="77777777" w:rsidR="00B8183B" w:rsidRPr="00B8183B" w:rsidRDefault="00B8183B" w:rsidP="00B8183B">
      <w:pPr>
        <w:pStyle w:val="ListParagraph"/>
        <w:numPr>
          <w:ilvl w:val="0"/>
          <w:numId w:val="37"/>
        </w:numPr>
        <w:spacing w:line="240" w:lineRule="auto"/>
        <w:rPr>
          <w:rFonts w:eastAsia="Times New Roman" w:cs="Arial"/>
          <w:sz w:val="28"/>
          <w:szCs w:val="24"/>
        </w:rPr>
      </w:pPr>
      <w:r w:rsidRPr="00B8183B">
        <w:rPr>
          <w:rFonts w:eastAsia="Times New Roman" w:cs="Arial"/>
          <w:color w:val="000000"/>
          <w:szCs w:val="20"/>
          <w:lang w:eastAsia="bg-BG"/>
        </w:rPr>
        <w:t>намален афинитет на пеницилин-свързващите протеини за цефтриаксон.</w:t>
      </w:r>
    </w:p>
    <w:p w14:paraId="130D0FB8" w14:textId="2766DA3A" w:rsidR="00B8183B" w:rsidRPr="00B8183B" w:rsidRDefault="00B8183B" w:rsidP="00B8183B">
      <w:pPr>
        <w:pStyle w:val="ListParagraph"/>
        <w:numPr>
          <w:ilvl w:val="0"/>
          <w:numId w:val="37"/>
        </w:numPr>
        <w:spacing w:line="240" w:lineRule="auto"/>
        <w:rPr>
          <w:rFonts w:eastAsia="Times New Roman" w:cs="Arial"/>
          <w:sz w:val="28"/>
          <w:szCs w:val="24"/>
        </w:rPr>
      </w:pPr>
      <w:r w:rsidRPr="00B8183B">
        <w:rPr>
          <w:rFonts w:eastAsia="Times New Roman" w:cs="Arial"/>
          <w:color w:val="000000"/>
          <w:szCs w:val="20"/>
          <w:lang w:eastAsia="bg-BG"/>
        </w:rPr>
        <w:t>непропускливост на външната мембрана при Грам-отрицателни микроорганизми, бактериални ефлуксни помпи.</w:t>
      </w:r>
    </w:p>
    <w:p w14:paraId="1D5381F4" w14:textId="77777777" w:rsidR="00B8183B" w:rsidRPr="00B8183B" w:rsidRDefault="00B8183B" w:rsidP="00B8183B">
      <w:pPr>
        <w:spacing w:line="240" w:lineRule="auto"/>
        <w:rPr>
          <w:rFonts w:eastAsia="Times New Roman" w:cs="Arial"/>
          <w:color w:val="000000"/>
          <w:szCs w:val="20"/>
          <w:u w:val="single"/>
          <w:lang w:eastAsia="bg-BG"/>
        </w:rPr>
      </w:pPr>
    </w:p>
    <w:p w14:paraId="7720D27E" w14:textId="273AFEF3"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u w:val="single"/>
          <w:lang w:eastAsia="bg-BG"/>
        </w:rPr>
        <w:t>Прагови стойности при тестване за чувствителност</w:t>
      </w:r>
    </w:p>
    <w:p w14:paraId="41382502" w14:textId="07FA5DFB" w:rsidR="00B8183B" w:rsidRDefault="00B8183B" w:rsidP="00B8183B">
      <w:pPr>
        <w:spacing w:line="240" w:lineRule="auto"/>
        <w:rPr>
          <w:rFonts w:eastAsia="Times New Roman" w:cs="Arial"/>
          <w:color w:val="000000"/>
          <w:szCs w:val="20"/>
          <w:lang w:eastAsia="bg-BG"/>
        </w:rPr>
      </w:pPr>
      <w:r w:rsidRPr="00B8183B">
        <w:rPr>
          <w:rFonts w:eastAsia="Times New Roman" w:cs="Arial"/>
          <w:color w:val="000000"/>
          <w:szCs w:val="20"/>
          <w:lang w:eastAsia="bg-BG"/>
        </w:rPr>
        <w:t xml:space="preserve">Праговите стойности за минимална инхибиторна концентрация </w:t>
      </w:r>
      <w:r w:rsidRPr="00B8183B">
        <w:rPr>
          <w:rFonts w:eastAsia="Times New Roman" w:cs="Arial"/>
          <w:color w:val="000000"/>
          <w:szCs w:val="20"/>
          <w:lang w:val="ru-RU"/>
        </w:rPr>
        <w:t>(</w:t>
      </w:r>
      <w:r w:rsidRPr="00B8183B">
        <w:rPr>
          <w:rFonts w:eastAsia="Times New Roman" w:cs="Arial"/>
          <w:color w:val="000000"/>
          <w:szCs w:val="20"/>
          <w:lang w:val="en-US"/>
        </w:rPr>
        <w:t>MIC</w:t>
      </w:r>
      <w:r w:rsidRPr="00B8183B">
        <w:rPr>
          <w:rFonts w:eastAsia="Times New Roman" w:cs="Arial"/>
          <w:color w:val="000000"/>
          <w:szCs w:val="20"/>
          <w:lang w:val="ru-RU"/>
        </w:rPr>
        <w:t xml:space="preserve">), </w:t>
      </w:r>
      <w:r w:rsidRPr="00B8183B">
        <w:rPr>
          <w:rFonts w:eastAsia="Times New Roman" w:cs="Arial"/>
          <w:color w:val="000000"/>
          <w:szCs w:val="20"/>
          <w:lang w:eastAsia="bg-BG"/>
        </w:rPr>
        <w:t xml:space="preserve">установени от Европейската комисия за тестване на антимикробна чувствителност </w:t>
      </w:r>
      <w:r w:rsidRPr="00B8183B">
        <w:rPr>
          <w:rFonts w:eastAsia="Times New Roman" w:cs="Arial"/>
          <w:color w:val="000000"/>
          <w:szCs w:val="20"/>
          <w:lang w:val="ru-RU"/>
        </w:rPr>
        <w:t>(</w:t>
      </w:r>
      <w:r w:rsidRPr="00B8183B">
        <w:rPr>
          <w:rFonts w:eastAsia="Times New Roman" w:cs="Arial"/>
          <w:color w:val="000000"/>
          <w:szCs w:val="20"/>
          <w:lang w:val="en-US"/>
        </w:rPr>
        <w:t>EUCAST</w:t>
      </w:r>
      <w:r w:rsidRPr="00B8183B">
        <w:rPr>
          <w:rFonts w:eastAsia="Times New Roman" w:cs="Arial"/>
          <w:color w:val="000000"/>
          <w:szCs w:val="20"/>
          <w:lang w:val="ru-RU"/>
        </w:rPr>
        <w:t xml:space="preserve">), </w:t>
      </w:r>
      <w:r w:rsidRPr="00B8183B">
        <w:rPr>
          <w:rFonts w:eastAsia="Times New Roman" w:cs="Arial"/>
          <w:color w:val="000000"/>
          <w:szCs w:val="20"/>
          <w:lang w:eastAsia="bg-BG"/>
        </w:rPr>
        <w:t>са следните:</w:t>
      </w:r>
    </w:p>
    <w:tbl>
      <w:tblPr>
        <w:tblStyle w:val="TableGrid"/>
        <w:tblW w:w="0" w:type="auto"/>
        <w:tblLook w:val="04A0" w:firstRow="1" w:lastRow="0" w:firstColumn="1" w:lastColumn="0" w:noHBand="0" w:noVBand="1"/>
      </w:tblPr>
      <w:tblGrid>
        <w:gridCol w:w="3134"/>
        <w:gridCol w:w="3113"/>
        <w:gridCol w:w="3103"/>
      </w:tblGrid>
      <w:tr w:rsidR="00B8183B" w14:paraId="05B36036" w14:textId="77777777" w:rsidTr="00B8183B">
        <w:tc>
          <w:tcPr>
            <w:tcW w:w="3192" w:type="dxa"/>
            <w:vMerge w:val="restart"/>
          </w:tcPr>
          <w:p w14:paraId="4A147895" w14:textId="18F6146C" w:rsidR="00B8183B" w:rsidRPr="00B8183B" w:rsidRDefault="00B8183B" w:rsidP="00B8183B">
            <w:pPr>
              <w:rPr>
                <w:rFonts w:eastAsia="Times New Roman" w:cs="Arial"/>
                <w:b/>
                <w:sz w:val="28"/>
                <w:szCs w:val="24"/>
              </w:rPr>
            </w:pPr>
            <w:r w:rsidRPr="00B8183B">
              <w:rPr>
                <w:b/>
              </w:rPr>
              <w:t>Патоген</w:t>
            </w:r>
          </w:p>
        </w:tc>
        <w:tc>
          <w:tcPr>
            <w:tcW w:w="6384" w:type="dxa"/>
            <w:gridSpan w:val="2"/>
          </w:tcPr>
          <w:p w14:paraId="7F62A07A" w14:textId="49343265" w:rsidR="00B8183B" w:rsidRPr="00B8183B" w:rsidRDefault="00B8183B" w:rsidP="00B8183B">
            <w:pPr>
              <w:rPr>
                <w:rFonts w:eastAsia="Times New Roman" w:cs="Arial"/>
                <w:b/>
                <w:sz w:val="28"/>
                <w:szCs w:val="24"/>
                <w:lang w:val="ru-RU"/>
              </w:rPr>
            </w:pPr>
            <w:r w:rsidRPr="00B8183B">
              <w:rPr>
                <w:b/>
              </w:rPr>
              <w:t xml:space="preserve">Тест с разреждане </w:t>
            </w:r>
            <w:r w:rsidRPr="00B8183B">
              <w:rPr>
                <w:b/>
                <w:lang w:val="ru-RU"/>
              </w:rPr>
              <w:t>(</w:t>
            </w:r>
            <w:r w:rsidRPr="00B8183B">
              <w:rPr>
                <w:b/>
                <w:lang w:val="en-US"/>
              </w:rPr>
              <w:t>MIC</w:t>
            </w:r>
            <w:r w:rsidRPr="00B8183B">
              <w:rPr>
                <w:b/>
                <w:lang w:val="ru-RU"/>
              </w:rPr>
              <w:t xml:space="preserve">, </w:t>
            </w:r>
            <w:r w:rsidRPr="00B8183B">
              <w:rPr>
                <w:b/>
                <w:lang w:val="en-US"/>
              </w:rPr>
              <w:t>mg</w:t>
            </w:r>
            <w:r w:rsidRPr="00B8183B">
              <w:rPr>
                <w:b/>
                <w:lang w:val="ru-RU"/>
              </w:rPr>
              <w:t>/1)</w:t>
            </w:r>
          </w:p>
        </w:tc>
      </w:tr>
      <w:tr w:rsidR="00B8183B" w14:paraId="7ADD2C22" w14:textId="77777777" w:rsidTr="00B8183B">
        <w:trPr>
          <w:trHeight w:val="236"/>
        </w:trPr>
        <w:tc>
          <w:tcPr>
            <w:tcW w:w="3192" w:type="dxa"/>
            <w:vMerge/>
          </w:tcPr>
          <w:p w14:paraId="4D7E9CB5" w14:textId="77777777" w:rsidR="00B8183B" w:rsidRPr="00B8183B" w:rsidRDefault="00B8183B" w:rsidP="00B8183B">
            <w:pPr>
              <w:rPr>
                <w:rFonts w:eastAsia="Times New Roman" w:cs="Arial"/>
                <w:b/>
                <w:sz w:val="28"/>
                <w:szCs w:val="24"/>
              </w:rPr>
            </w:pPr>
          </w:p>
        </w:tc>
        <w:tc>
          <w:tcPr>
            <w:tcW w:w="3192" w:type="dxa"/>
          </w:tcPr>
          <w:p w14:paraId="0D4EA239" w14:textId="6E36A6E3" w:rsidR="00B8183B" w:rsidRPr="00B8183B" w:rsidRDefault="00B8183B" w:rsidP="00B8183B">
            <w:pPr>
              <w:rPr>
                <w:rFonts w:eastAsia="Times New Roman" w:cs="Arial"/>
                <w:b/>
                <w:sz w:val="28"/>
                <w:szCs w:val="24"/>
              </w:rPr>
            </w:pPr>
            <w:r w:rsidRPr="00B8183B">
              <w:rPr>
                <w:b/>
              </w:rPr>
              <w:t>Чувствителен</w:t>
            </w:r>
          </w:p>
        </w:tc>
        <w:tc>
          <w:tcPr>
            <w:tcW w:w="3192" w:type="dxa"/>
          </w:tcPr>
          <w:p w14:paraId="1CB22FB6" w14:textId="41AD39A4" w:rsidR="00B8183B" w:rsidRPr="00B8183B" w:rsidRDefault="00B8183B" w:rsidP="00B8183B">
            <w:pPr>
              <w:rPr>
                <w:rFonts w:eastAsia="Times New Roman" w:cs="Arial"/>
                <w:b/>
                <w:sz w:val="28"/>
                <w:szCs w:val="24"/>
              </w:rPr>
            </w:pPr>
            <w:r w:rsidRPr="00B8183B">
              <w:rPr>
                <w:b/>
              </w:rPr>
              <w:t>Резистентен</w:t>
            </w:r>
          </w:p>
        </w:tc>
      </w:tr>
      <w:tr w:rsidR="00B8183B" w14:paraId="52A55707" w14:textId="77777777" w:rsidTr="00B8183B">
        <w:tc>
          <w:tcPr>
            <w:tcW w:w="3192" w:type="dxa"/>
          </w:tcPr>
          <w:p w14:paraId="11F31E73" w14:textId="2DFBD7BA" w:rsidR="00B8183B" w:rsidRPr="00B8183B" w:rsidRDefault="00B8183B" w:rsidP="00B8183B">
            <w:pPr>
              <w:spacing w:line="240" w:lineRule="auto"/>
              <w:rPr>
                <w:rFonts w:eastAsia="Times New Roman" w:cs="Arial"/>
                <w:szCs w:val="24"/>
              </w:rPr>
            </w:pPr>
            <w:r w:rsidRPr="00B8183B">
              <w:rPr>
                <w:i/>
                <w:iCs/>
                <w:szCs w:val="20"/>
              </w:rPr>
              <w:t>Enterobacteriaceae</w:t>
            </w:r>
          </w:p>
        </w:tc>
        <w:tc>
          <w:tcPr>
            <w:tcW w:w="3192" w:type="dxa"/>
          </w:tcPr>
          <w:p w14:paraId="36E3CC43" w14:textId="318FD7EF" w:rsidR="00B8183B" w:rsidRPr="00B8183B" w:rsidRDefault="00B8183B" w:rsidP="00B8183B">
            <w:pPr>
              <w:spacing w:line="240" w:lineRule="auto"/>
              <w:rPr>
                <w:rFonts w:eastAsia="Times New Roman" w:cs="Arial"/>
                <w:szCs w:val="24"/>
              </w:rPr>
            </w:pPr>
            <w:r w:rsidRPr="00B8183B">
              <w:rPr>
                <w:szCs w:val="20"/>
                <w:lang w:eastAsia="bg-BG"/>
              </w:rPr>
              <w:t>≤</w:t>
            </w:r>
            <w:r w:rsidRPr="00B8183B">
              <w:rPr>
                <w:szCs w:val="20"/>
              </w:rPr>
              <w:t>1</w:t>
            </w:r>
          </w:p>
        </w:tc>
        <w:tc>
          <w:tcPr>
            <w:tcW w:w="3192" w:type="dxa"/>
          </w:tcPr>
          <w:p w14:paraId="5C1FFFCE" w14:textId="765BABBC" w:rsidR="00B8183B" w:rsidRPr="00B8183B" w:rsidRDefault="00B8183B" w:rsidP="00B8183B">
            <w:pPr>
              <w:spacing w:line="240" w:lineRule="auto"/>
              <w:rPr>
                <w:rFonts w:eastAsia="Times New Roman" w:cs="Arial"/>
                <w:szCs w:val="24"/>
              </w:rPr>
            </w:pPr>
            <w:r w:rsidRPr="00B8183B">
              <w:rPr>
                <w:szCs w:val="20"/>
              </w:rPr>
              <w:t>&gt;2</w:t>
            </w:r>
          </w:p>
        </w:tc>
      </w:tr>
      <w:tr w:rsidR="00B8183B" w14:paraId="0A629910" w14:textId="77777777" w:rsidTr="00B8183B">
        <w:tc>
          <w:tcPr>
            <w:tcW w:w="3192" w:type="dxa"/>
          </w:tcPr>
          <w:p w14:paraId="2C08958A" w14:textId="35D8492D" w:rsidR="00B8183B" w:rsidRPr="00B8183B" w:rsidRDefault="00B8183B" w:rsidP="00B8183B">
            <w:pPr>
              <w:spacing w:line="240" w:lineRule="auto"/>
              <w:rPr>
                <w:rFonts w:eastAsia="Times New Roman" w:cs="Arial"/>
                <w:szCs w:val="24"/>
              </w:rPr>
            </w:pPr>
            <w:r w:rsidRPr="00B8183B">
              <w:rPr>
                <w:i/>
                <w:iCs/>
                <w:szCs w:val="20"/>
              </w:rPr>
              <w:t>Staphylococcus</w:t>
            </w:r>
            <w:r w:rsidRPr="00B8183B">
              <w:rPr>
                <w:szCs w:val="20"/>
              </w:rPr>
              <w:t xml:space="preserve"> spp.</w:t>
            </w:r>
          </w:p>
        </w:tc>
        <w:tc>
          <w:tcPr>
            <w:tcW w:w="3192" w:type="dxa"/>
          </w:tcPr>
          <w:p w14:paraId="605D9B7C" w14:textId="457C232E" w:rsidR="00B8183B" w:rsidRPr="00B8183B" w:rsidRDefault="00B8183B" w:rsidP="00B8183B">
            <w:pPr>
              <w:spacing w:line="240" w:lineRule="auto"/>
              <w:rPr>
                <w:rFonts w:eastAsia="Times New Roman" w:cs="Arial"/>
                <w:szCs w:val="24"/>
              </w:rPr>
            </w:pPr>
            <w:r w:rsidRPr="00B8183B">
              <w:rPr>
                <w:szCs w:val="20"/>
              </w:rPr>
              <w:t>a.</w:t>
            </w:r>
          </w:p>
        </w:tc>
        <w:tc>
          <w:tcPr>
            <w:tcW w:w="3192" w:type="dxa"/>
          </w:tcPr>
          <w:p w14:paraId="0222C169" w14:textId="465E81C3" w:rsidR="00B8183B" w:rsidRPr="00B8183B" w:rsidRDefault="00B8183B" w:rsidP="00B8183B">
            <w:pPr>
              <w:spacing w:line="240" w:lineRule="auto"/>
              <w:rPr>
                <w:rFonts w:eastAsia="Times New Roman" w:cs="Arial"/>
                <w:szCs w:val="24"/>
              </w:rPr>
            </w:pPr>
            <w:r w:rsidRPr="00B8183B">
              <w:rPr>
                <w:szCs w:val="20"/>
              </w:rPr>
              <w:t>a.</w:t>
            </w:r>
          </w:p>
        </w:tc>
      </w:tr>
      <w:tr w:rsidR="00B8183B" w14:paraId="09B0EBF8" w14:textId="77777777" w:rsidTr="00B8183B">
        <w:tc>
          <w:tcPr>
            <w:tcW w:w="3192" w:type="dxa"/>
          </w:tcPr>
          <w:p w14:paraId="32A4FED1" w14:textId="77777777" w:rsidR="00B8183B" w:rsidRPr="00B8183B" w:rsidRDefault="00B8183B" w:rsidP="00B8183B">
            <w:r w:rsidRPr="00B8183B">
              <w:rPr>
                <w:i/>
                <w:iCs/>
                <w:szCs w:val="20"/>
              </w:rPr>
              <w:t>Streptococcus</w:t>
            </w:r>
            <w:r w:rsidRPr="00B8183B">
              <w:rPr>
                <w:szCs w:val="20"/>
              </w:rPr>
              <w:t xml:space="preserve"> spp.</w:t>
            </w:r>
          </w:p>
          <w:p w14:paraId="0396ABF9" w14:textId="7ED05DC1" w:rsidR="00B8183B" w:rsidRPr="00B8183B" w:rsidRDefault="00B8183B" w:rsidP="00B8183B">
            <w:pPr>
              <w:spacing w:line="240" w:lineRule="auto"/>
              <w:rPr>
                <w:rFonts w:eastAsia="Times New Roman" w:cs="Arial"/>
                <w:szCs w:val="24"/>
              </w:rPr>
            </w:pPr>
            <w:r w:rsidRPr="00B8183B">
              <w:rPr>
                <w:szCs w:val="20"/>
                <w:lang w:eastAsia="bg-BG"/>
              </w:rPr>
              <w:t xml:space="preserve">(Групи А, В, </w:t>
            </w:r>
            <w:r w:rsidRPr="00B8183B">
              <w:rPr>
                <w:szCs w:val="20"/>
              </w:rPr>
              <w:t xml:space="preserve">C </w:t>
            </w:r>
            <w:r w:rsidRPr="00B8183B">
              <w:rPr>
                <w:szCs w:val="20"/>
                <w:lang w:eastAsia="bg-BG"/>
              </w:rPr>
              <w:t xml:space="preserve">и </w:t>
            </w:r>
            <w:r w:rsidRPr="00B8183B">
              <w:rPr>
                <w:szCs w:val="20"/>
              </w:rPr>
              <w:t>G)</w:t>
            </w:r>
          </w:p>
        </w:tc>
        <w:tc>
          <w:tcPr>
            <w:tcW w:w="3192" w:type="dxa"/>
          </w:tcPr>
          <w:p w14:paraId="4650198F" w14:textId="1AA9C068" w:rsidR="00B8183B" w:rsidRPr="00B8183B" w:rsidRDefault="00B8183B" w:rsidP="00B8183B">
            <w:pPr>
              <w:spacing w:line="240" w:lineRule="auto"/>
              <w:rPr>
                <w:rFonts w:eastAsia="Times New Roman" w:cs="Arial"/>
                <w:szCs w:val="24"/>
              </w:rPr>
            </w:pPr>
            <w:r w:rsidRPr="00B8183B">
              <w:rPr>
                <w:szCs w:val="20"/>
                <w:lang w:eastAsia="bg-BG"/>
              </w:rPr>
              <w:t>б</w:t>
            </w:r>
          </w:p>
        </w:tc>
        <w:tc>
          <w:tcPr>
            <w:tcW w:w="3192" w:type="dxa"/>
          </w:tcPr>
          <w:p w14:paraId="09F150AE" w14:textId="7D472307" w:rsidR="00B8183B" w:rsidRPr="00B8183B" w:rsidRDefault="00B8183B" w:rsidP="00B8183B">
            <w:pPr>
              <w:spacing w:line="240" w:lineRule="auto"/>
              <w:rPr>
                <w:rFonts w:eastAsia="Times New Roman" w:cs="Arial"/>
                <w:szCs w:val="24"/>
              </w:rPr>
            </w:pPr>
            <w:r w:rsidRPr="00B8183B">
              <w:rPr>
                <w:szCs w:val="20"/>
                <w:lang w:eastAsia="bg-BG"/>
              </w:rPr>
              <w:t>б</w:t>
            </w:r>
          </w:p>
        </w:tc>
      </w:tr>
      <w:tr w:rsidR="00B8183B" w14:paraId="3883512E" w14:textId="77777777" w:rsidTr="00B8183B">
        <w:tc>
          <w:tcPr>
            <w:tcW w:w="3192" w:type="dxa"/>
          </w:tcPr>
          <w:p w14:paraId="63594AE1" w14:textId="2D17CE29" w:rsidR="00B8183B" w:rsidRPr="00B8183B" w:rsidRDefault="00B8183B" w:rsidP="00B8183B">
            <w:pPr>
              <w:spacing w:line="240" w:lineRule="auto"/>
              <w:rPr>
                <w:rFonts w:eastAsia="Times New Roman" w:cs="Arial"/>
                <w:szCs w:val="24"/>
              </w:rPr>
            </w:pPr>
            <w:r w:rsidRPr="00B8183B">
              <w:rPr>
                <w:i/>
                <w:iCs/>
                <w:szCs w:val="20"/>
              </w:rPr>
              <w:t>Streptococcus pneumoniae</w:t>
            </w:r>
          </w:p>
        </w:tc>
        <w:tc>
          <w:tcPr>
            <w:tcW w:w="3192" w:type="dxa"/>
          </w:tcPr>
          <w:p w14:paraId="739A8602" w14:textId="054CD63C" w:rsidR="00B8183B" w:rsidRPr="00B8183B" w:rsidRDefault="00B8183B" w:rsidP="00B8183B">
            <w:pPr>
              <w:spacing w:line="240" w:lineRule="auto"/>
              <w:rPr>
                <w:rFonts w:eastAsia="Times New Roman" w:cs="Arial"/>
                <w:szCs w:val="24"/>
              </w:rPr>
            </w:pPr>
            <w:r w:rsidRPr="00B8183B">
              <w:rPr>
                <w:szCs w:val="20"/>
                <w:lang w:eastAsia="bg-BG"/>
              </w:rPr>
              <w:t>≤</w:t>
            </w:r>
            <w:r w:rsidRPr="00B8183B">
              <w:rPr>
                <w:szCs w:val="20"/>
              </w:rPr>
              <w:t>0,5</w:t>
            </w:r>
            <w:r w:rsidRPr="00B8183B">
              <w:rPr>
                <w:szCs w:val="20"/>
                <w:vertAlign w:val="superscript"/>
                <w:lang w:eastAsia="bg-BG"/>
              </w:rPr>
              <w:t>в</w:t>
            </w:r>
          </w:p>
        </w:tc>
        <w:tc>
          <w:tcPr>
            <w:tcW w:w="3192" w:type="dxa"/>
          </w:tcPr>
          <w:p w14:paraId="0A13E6A0" w14:textId="6FC37F61" w:rsidR="00B8183B" w:rsidRPr="00B8183B" w:rsidRDefault="00B8183B" w:rsidP="00B8183B">
            <w:pPr>
              <w:spacing w:line="240" w:lineRule="auto"/>
              <w:rPr>
                <w:rFonts w:eastAsia="Times New Roman" w:cs="Arial"/>
                <w:szCs w:val="24"/>
              </w:rPr>
            </w:pPr>
            <w:r w:rsidRPr="00B8183B">
              <w:rPr>
                <w:szCs w:val="20"/>
              </w:rPr>
              <w:t>&gt;2</w:t>
            </w:r>
          </w:p>
        </w:tc>
      </w:tr>
      <w:tr w:rsidR="00B8183B" w14:paraId="35A537B2" w14:textId="77777777" w:rsidTr="00B8183B">
        <w:tc>
          <w:tcPr>
            <w:tcW w:w="3192" w:type="dxa"/>
          </w:tcPr>
          <w:p w14:paraId="20CE2F60" w14:textId="39FAA64C" w:rsidR="00B8183B" w:rsidRPr="00B8183B" w:rsidRDefault="00B8183B" w:rsidP="00B8183B">
            <w:pPr>
              <w:spacing w:line="240" w:lineRule="auto"/>
              <w:rPr>
                <w:rFonts w:eastAsia="Times New Roman" w:cs="Arial"/>
                <w:szCs w:val="24"/>
              </w:rPr>
            </w:pPr>
            <w:r w:rsidRPr="00B8183B">
              <w:rPr>
                <w:szCs w:val="20"/>
              </w:rPr>
              <w:t xml:space="preserve">Streptococcus </w:t>
            </w:r>
            <w:r w:rsidRPr="00B8183B">
              <w:rPr>
                <w:szCs w:val="20"/>
                <w:lang w:eastAsia="bg-BG"/>
              </w:rPr>
              <w:t xml:space="preserve">от група </w:t>
            </w:r>
            <w:r w:rsidRPr="00B8183B">
              <w:rPr>
                <w:szCs w:val="20"/>
              </w:rPr>
              <w:t>Viridans</w:t>
            </w:r>
          </w:p>
        </w:tc>
        <w:tc>
          <w:tcPr>
            <w:tcW w:w="3192" w:type="dxa"/>
          </w:tcPr>
          <w:p w14:paraId="20FC2B4D" w14:textId="5FCA8767" w:rsidR="00B8183B" w:rsidRPr="00B8183B" w:rsidRDefault="00B8183B" w:rsidP="00B8183B">
            <w:pPr>
              <w:spacing w:line="240" w:lineRule="auto"/>
              <w:rPr>
                <w:rFonts w:eastAsia="Times New Roman" w:cs="Arial"/>
                <w:szCs w:val="24"/>
              </w:rPr>
            </w:pPr>
            <w:r w:rsidRPr="00B8183B">
              <w:rPr>
                <w:szCs w:val="20"/>
                <w:lang w:eastAsia="bg-BG"/>
              </w:rPr>
              <w:t>≤</w:t>
            </w:r>
            <w:r w:rsidRPr="00B8183B">
              <w:rPr>
                <w:szCs w:val="20"/>
              </w:rPr>
              <w:t>0,5</w:t>
            </w:r>
          </w:p>
        </w:tc>
        <w:tc>
          <w:tcPr>
            <w:tcW w:w="3192" w:type="dxa"/>
          </w:tcPr>
          <w:p w14:paraId="0515F002" w14:textId="77B9536E" w:rsidR="00B8183B" w:rsidRPr="00B8183B" w:rsidRDefault="00B8183B" w:rsidP="00B8183B">
            <w:pPr>
              <w:spacing w:line="240" w:lineRule="auto"/>
              <w:rPr>
                <w:rFonts w:eastAsia="Times New Roman" w:cs="Arial"/>
                <w:szCs w:val="24"/>
              </w:rPr>
            </w:pPr>
            <w:r w:rsidRPr="00B8183B">
              <w:rPr>
                <w:szCs w:val="20"/>
              </w:rPr>
              <w:t>&gt;0,5</w:t>
            </w:r>
          </w:p>
        </w:tc>
      </w:tr>
      <w:tr w:rsidR="00B8183B" w14:paraId="79E9B60C" w14:textId="77777777" w:rsidTr="00B8183B">
        <w:tc>
          <w:tcPr>
            <w:tcW w:w="3192" w:type="dxa"/>
          </w:tcPr>
          <w:p w14:paraId="1E567FA2" w14:textId="1BC29B13" w:rsidR="00B8183B" w:rsidRPr="00B8183B" w:rsidRDefault="00B8183B" w:rsidP="00B8183B">
            <w:pPr>
              <w:spacing w:line="240" w:lineRule="auto"/>
              <w:rPr>
                <w:rFonts w:eastAsia="Times New Roman" w:cs="Arial"/>
                <w:szCs w:val="24"/>
              </w:rPr>
            </w:pPr>
            <w:r w:rsidRPr="00B8183B">
              <w:rPr>
                <w:i/>
                <w:iCs/>
                <w:szCs w:val="20"/>
              </w:rPr>
              <w:t>Haemophilus influenzae</w:t>
            </w:r>
          </w:p>
        </w:tc>
        <w:tc>
          <w:tcPr>
            <w:tcW w:w="3192" w:type="dxa"/>
          </w:tcPr>
          <w:p w14:paraId="776B26C4" w14:textId="13C3E1FA" w:rsidR="00B8183B" w:rsidRPr="00B8183B" w:rsidRDefault="00B8183B" w:rsidP="00B8183B">
            <w:pPr>
              <w:spacing w:line="240" w:lineRule="auto"/>
              <w:rPr>
                <w:rFonts w:eastAsia="Times New Roman" w:cs="Arial"/>
                <w:szCs w:val="24"/>
              </w:rPr>
            </w:pPr>
            <w:r w:rsidRPr="00B8183B">
              <w:rPr>
                <w:szCs w:val="20"/>
                <w:lang w:eastAsia="bg-BG"/>
              </w:rPr>
              <w:t>≤</w:t>
            </w:r>
            <w:r w:rsidRPr="00B8183B">
              <w:rPr>
                <w:szCs w:val="20"/>
              </w:rPr>
              <w:t>0,12</w:t>
            </w:r>
            <w:r w:rsidRPr="00B8183B">
              <w:rPr>
                <w:szCs w:val="20"/>
                <w:u w:val="single"/>
                <w:vertAlign w:val="superscript"/>
                <w:lang w:eastAsia="bg-BG"/>
              </w:rPr>
              <w:t>в</w:t>
            </w:r>
          </w:p>
        </w:tc>
        <w:tc>
          <w:tcPr>
            <w:tcW w:w="3192" w:type="dxa"/>
          </w:tcPr>
          <w:p w14:paraId="64BB20E4" w14:textId="5CC0DE87" w:rsidR="00B8183B" w:rsidRPr="00B8183B" w:rsidRDefault="00B8183B" w:rsidP="00B8183B">
            <w:pPr>
              <w:spacing w:line="240" w:lineRule="auto"/>
              <w:rPr>
                <w:rFonts w:eastAsia="Times New Roman" w:cs="Arial"/>
                <w:szCs w:val="24"/>
              </w:rPr>
            </w:pPr>
            <w:r w:rsidRPr="00B8183B">
              <w:rPr>
                <w:szCs w:val="20"/>
              </w:rPr>
              <w:t>&gt;0,12</w:t>
            </w:r>
          </w:p>
        </w:tc>
      </w:tr>
      <w:tr w:rsidR="00B8183B" w14:paraId="7A848CB0" w14:textId="77777777" w:rsidTr="00B8183B">
        <w:tc>
          <w:tcPr>
            <w:tcW w:w="3192" w:type="dxa"/>
          </w:tcPr>
          <w:p w14:paraId="15F9E7CB" w14:textId="6E25CF69" w:rsidR="00B8183B" w:rsidRPr="00B8183B" w:rsidRDefault="00B8183B" w:rsidP="00B8183B">
            <w:pPr>
              <w:spacing w:line="240" w:lineRule="auto"/>
              <w:rPr>
                <w:rFonts w:eastAsia="Times New Roman" w:cs="Arial"/>
                <w:szCs w:val="24"/>
              </w:rPr>
            </w:pPr>
            <w:r w:rsidRPr="00B8183B">
              <w:rPr>
                <w:i/>
                <w:iCs/>
                <w:szCs w:val="20"/>
              </w:rPr>
              <w:t>Moraxella catarrhalis</w:t>
            </w:r>
          </w:p>
        </w:tc>
        <w:tc>
          <w:tcPr>
            <w:tcW w:w="3192" w:type="dxa"/>
          </w:tcPr>
          <w:p w14:paraId="2F3E0CEC" w14:textId="3B92DE57" w:rsidR="00B8183B" w:rsidRPr="00B8183B" w:rsidRDefault="00B8183B" w:rsidP="00B8183B">
            <w:pPr>
              <w:spacing w:line="240" w:lineRule="auto"/>
              <w:rPr>
                <w:rFonts w:eastAsia="Times New Roman" w:cs="Arial"/>
                <w:szCs w:val="24"/>
              </w:rPr>
            </w:pPr>
            <w:r w:rsidRPr="00B8183B">
              <w:rPr>
                <w:szCs w:val="20"/>
                <w:lang w:eastAsia="bg-BG"/>
              </w:rPr>
              <w:t>≤</w:t>
            </w:r>
            <w:r w:rsidRPr="00B8183B">
              <w:rPr>
                <w:szCs w:val="20"/>
              </w:rPr>
              <w:t>1</w:t>
            </w:r>
          </w:p>
        </w:tc>
        <w:tc>
          <w:tcPr>
            <w:tcW w:w="3192" w:type="dxa"/>
          </w:tcPr>
          <w:p w14:paraId="7A8279B8" w14:textId="0C68785D" w:rsidR="00B8183B" w:rsidRPr="00B8183B" w:rsidRDefault="00B8183B" w:rsidP="00B8183B">
            <w:pPr>
              <w:spacing w:line="240" w:lineRule="auto"/>
              <w:rPr>
                <w:rFonts w:eastAsia="Times New Roman" w:cs="Arial"/>
                <w:szCs w:val="24"/>
              </w:rPr>
            </w:pPr>
            <w:r w:rsidRPr="00B8183B">
              <w:rPr>
                <w:szCs w:val="20"/>
              </w:rPr>
              <w:t>&gt;2</w:t>
            </w:r>
          </w:p>
        </w:tc>
      </w:tr>
      <w:tr w:rsidR="00B8183B" w14:paraId="2D4B1778" w14:textId="77777777" w:rsidTr="00B8183B">
        <w:tc>
          <w:tcPr>
            <w:tcW w:w="3192" w:type="dxa"/>
          </w:tcPr>
          <w:p w14:paraId="4A163E16" w14:textId="1EDE4993" w:rsidR="00B8183B" w:rsidRPr="00B8183B" w:rsidRDefault="00B8183B" w:rsidP="00B8183B">
            <w:pPr>
              <w:spacing w:line="240" w:lineRule="auto"/>
              <w:rPr>
                <w:rFonts w:eastAsia="Times New Roman" w:cs="Arial"/>
                <w:szCs w:val="24"/>
              </w:rPr>
            </w:pPr>
            <w:r w:rsidRPr="00B8183B">
              <w:rPr>
                <w:i/>
                <w:iCs/>
                <w:szCs w:val="20"/>
              </w:rPr>
              <w:t>Neisseria gonorrhoeae</w:t>
            </w:r>
          </w:p>
        </w:tc>
        <w:tc>
          <w:tcPr>
            <w:tcW w:w="3192" w:type="dxa"/>
          </w:tcPr>
          <w:p w14:paraId="5258BF76" w14:textId="50B9524F" w:rsidR="00B8183B" w:rsidRPr="00B8183B" w:rsidRDefault="00B8183B" w:rsidP="00B8183B">
            <w:pPr>
              <w:spacing w:line="240" w:lineRule="auto"/>
              <w:rPr>
                <w:rFonts w:eastAsia="Times New Roman" w:cs="Arial"/>
                <w:szCs w:val="24"/>
              </w:rPr>
            </w:pPr>
            <w:r w:rsidRPr="00B8183B">
              <w:rPr>
                <w:szCs w:val="20"/>
                <w:lang w:eastAsia="bg-BG"/>
              </w:rPr>
              <w:t>≤</w:t>
            </w:r>
            <w:r w:rsidRPr="00B8183B">
              <w:rPr>
                <w:szCs w:val="20"/>
              </w:rPr>
              <w:t>0,12</w:t>
            </w:r>
          </w:p>
        </w:tc>
        <w:tc>
          <w:tcPr>
            <w:tcW w:w="3192" w:type="dxa"/>
          </w:tcPr>
          <w:p w14:paraId="31B5FA2B" w14:textId="70978C98" w:rsidR="00B8183B" w:rsidRPr="00B8183B" w:rsidRDefault="00B8183B" w:rsidP="00B8183B">
            <w:pPr>
              <w:spacing w:line="240" w:lineRule="auto"/>
              <w:rPr>
                <w:rFonts w:eastAsia="Times New Roman" w:cs="Arial"/>
                <w:szCs w:val="24"/>
              </w:rPr>
            </w:pPr>
            <w:r w:rsidRPr="00B8183B">
              <w:rPr>
                <w:szCs w:val="20"/>
              </w:rPr>
              <w:t>&gt;0,12</w:t>
            </w:r>
          </w:p>
        </w:tc>
      </w:tr>
      <w:tr w:rsidR="00B8183B" w14:paraId="3AFE8884" w14:textId="77777777" w:rsidTr="00B8183B">
        <w:tc>
          <w:tcPr>
            <w:tcW w:w="3192" w:type="dxa"/>
          </w:tcPr>
          <w:p w14:paraId="34D013E3" w14:textId="00F992A4" w:rsidR="00B8183B" w:rsidRPr="00B8183B" w:rsidRDefault="00B8183B" w:rsidP="00B8183B">
            <w:pPr>
              <w:spacing w:line="240" w:lineRule="auto"/>
              <w:rPr>
                <w:rFonts w:eastAsia="Times New Roman" w:cs="Arial"/>
                <w:szCs w:val="24"/>
              </w:rPr>
            </w:pPr>
            <w:r w:rsidRPr="00B8183B">
              <w:rPr>
                <w:i/>
                <w:iCs/>
                <w:szCs w:val="20"/>
              </w:rPr>
              <w:t>Neisseria meningitidis</w:t>
            </w:r>
          </w:p>
        </w:tc>
        <w:tc>
          <w:tcPr>
            <w:tcW w:w="3192" w:type="dxa"/>
          </w:tcPr>
          <w:p w14:paraId="2D97B545" w14:textId="017B54F4" w:rsidR="00B8183B" w:rsidRPr="00B8183B" w:rsidRDefault="00B8183B" w:rsidP="00B8183B">
            <w:pPr>
              <w:spacing w:line="240" w:lineRule="auto"/>
              <w:rPr>
                <w:rFonts w:eastAsia="Times New Roman" w:cs="Arial"/>
                <w:szCs w:val="24"/>
              </w:rPr>
            </w:pPr>
            <w:r w:rsidRPr="00B8183B">
              <w:rPr>
                <w:szCs w:val="20"/>
                <w:lang w:eastAsia="bg-BG"/>
              </w:rPr>
              <w:t>≤</w:t>
            </w:r>
            <w:r w:rsidRPr="00B8183B">
              <w:rPr>
                <w:szCs w:val="20"/>
              </w:rPr>
              <w:t>0,12</w:t>
            </w:r>
            <w:r w:rsidRPr="00B8183B">
              <w:rPr>
                <w:szCs w:val="20"/>
                <w:vertAlign w:val="superscript"/>
                <w:lang w:eastAsia="bg-BG"/>
              </w:rPr>
              <w:t>в</w:t>
            </w:r>
          </w:p>
        </w:tc>
        <w:tc>
          <w:tcPr>
            <w:tcW w:w="3192" w:type="dxa"/>
          </w:tcPr>
          <w:p w14:paraId="3011EEAF" w14:textId="7376D108" w:rsidR="00B8183B" w:rsidRPr="00B8183B" w:rsidRDefault="00B8183B" w:rsidP="00B8183B">
            <w:pPr>
              <w:spacing w:line="240" w:lineRule="auto"/>
              <w:rPr>
                <w:rFonts w:eastAsia="Times New Roman" w:cs="Arial"/>
                <w:szCs w:val="24"/>
              </w:rPr>
            </w:pPr>
            <w:r w:rsidRPr="00B8183B">
              <w:rPr>
                <w:szCs w:val="20"/>
              </w:rPr>
              <w:t>&gt;0,12</w:t>
            </w:r>
          </w:p>
        </w:tc>
      </w:tr>
      <w:tr w:rsidR="00B8183B" w14:paraId="36220BCF" w14:textId="77777777" w:rsidTr="00B8183B">
        <w:tc>
          <w:tcPr>
            <w:tcW w:w="3192" w:type="dxa"/>
          </w:tcPr>
          <w:p w14:paraId="51C7FABB" w14:textId="303E14AE" w:rsidR="00B8183B" w:rsidRPr="00B8183B" w:rsidRDefault="00B8183B" w:rsidP="00B8183B">
            <w:pPr>
              <w:spacing w:line="240" w:lineRule="auto"/>
              <w:rPr>
                <w:rFonts w:eastAsia="Times New Roman" w:cs="Arial"/>
                <w:szCs w:val="24"/>
              </w:rPr>
            </w:pPr>
            <w:r w:rsidRPr="00B8183B">
              <w:rPr>
                <w:szCs w:val="20"/>
                <w:lang w:eastAsia="bg-BG"/>
              </w:rPr>
              <w:t xml:space="preserve">Несвързан </w:t>
            </w:r>
            <w:r w:rsidRPr="00B8183B">
              <w:rPr>
                <w:szCs w:val="20"/>
              </w:rPr>
              <w:t xml:space="preserve">c </w:t>
            </w:r>
            <w:r w:rsidRPr="00B8183B">
              <w:rPr>
                <w:szCs w:val="20"/>
                <w:lang w:eastAsia="bg-BG"/>
              </w:rPr>
              <w:t>вид</w:t>
            </w:r>
          </w:p>
        </w:tc>
        <w:tc>
          <w:tcPr>
            <w:tcW w:w="3192" w:type="dxa"/>
          </w:tcPr>
          <w:p w14:paraId="7FEABC69" w14:textId="3DE83A47" w:rsidR="00B8183B" w:rsidRPr="00B8183B" w:rsidRDefault="00B8183B" w:rsidP="00B8183B">
            <w:pPr>
              <w:spacing w:line="240" w:lineRule="auto"/>
              <w:rPr>
                <w:rFonts w:eastAsia="Times New Roman" w:cs="Arial"/>
                <w:szCs w:val="24"/>
              </w:rPr>
            </w:pPr>
            <w:r w:rsidRPr="00B8183B">
              <w:rPr>
                <w:szCs w:val="20"/>
                <w:lang w:eastAsia="bg-BG"/>
              </w:rPr>
              <w:t>≤</w:t>
            </w:r>
            <w:r>
              <w:rPr>
                <w:szCs w:val="20"/>
              </w:rPr>
              <w:t>1</w:t>
            </w:r>
            <w:r w:rsidRPr="00B8183B">
              <w:rPr>
                <w:szCs w:val="20"/>
                <w:vertAlign w:val="superscript"/>
                <w:lang w:eastAsia="bg-BG"/>
              </w:rPr>
              <w:t>г</w:t>
            </w:r>
          </w:p>
        </w:tc>
        <w:tc>
          <w:tcPr>
            <w:tcW w:w="3192" w:type="dxa"/>
          </w:tcPr>
          <w:p w14:paraId="6B4AF83C" w14:textId="60D1522B" w:rsidR="00B8183B" w:rsidRPr="00B8183B" w:rsidRDefault="00B8183B" w:rsidP="00B8183B">
            <w:pPr>
              <w:spacing w:line="240" w:lineRule="auto"/>
              <w:rPr>
                <w:rFonts w:eastAsia="Times New Roman" w:cs="Arial"/>
                <w:szCs w:val="24"/>
              </w:rPr>
            </w:pPr>
            <w:r w:rsidRPr="00B8183B">
              <w:rPr>
                <w:szCs w:val="20"/>
              </w:rPr>
              <w:t>&gt;2</w:t>
            </w:r>
          </w:p>
        </w:tc>
      </w:tr>
    </w:tbl>
    <w:p w14:paraId="76232020" w14:textId="7F45236F"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vertAlign w:val="superscript"/>
          <w:lang w:eastAsia="bg-BG"/>
        </w:rPr>
        <w:t>а</w:t>
      </w:r>
      <w:r w:rsidRPr="00B8183B">
        <w:rPr>
          <w:rFonts w:eastAsia="Times New Roman" w:cs="Arial"/>
          <w:color w:val="000000"/>
          <w:szCs w:val="20"/>
          <w:lang w:eastAsia="bg-BG"/>
        </w:rPr>
        <w:t>.Чувствителност, подразбираща се от чувствителността към цефокситин.</w:t>
      </w:r>
    </w:p>
    <w:p w14:paraId="3C946A54" w14:textId="3CFFE79B"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vertAlign w:val="superscript"/>
          <w:lang w:eastAsia="bg-BG"/>
        </w:rPr>
        <w:t>б</w:t>
      </w:r>
      <w:r w:rsidRPr="00B8183B">
        <w:rPr>
          <w:rFonts w:eastAsia="Times New Roman" w:cs="Arial"/>
          <w:color w:val="000000"/>
          <w:szCs w:val="20"/>
          <w:lang w:eastAsia="bg-BG"/>
        </w:rPr>
        <w:t>.Чувствителност, подразбираща се от чувствителността към пеницилин.</w:t>
      </w:r>
    </w:p>
    <w:p w14:paraId="24BFF85A" w14:textId="01119C35"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vertAlign w:val="superscript"/>
          <w:lang w:eastAsia="bg-BG"/>
        </w:rPr>
        <w:t>в.</w:t>
      </w:r>
      <w:r w:rsidRPr="00B8183B">
        <w:rPr>
          <w:rFonts w:eastAsia="Times New Roman" w:cs="Arial"/>
          <w:color w:val="000000"/>
          <w:szCs w:val="20"/>
          <w:lang w:eastAsia="bg-BG"/>
        </w:rPr>
        <w:t xml:space="preserve">Изолатите с </w:t>
      </w:r>
      <w:r w:rsidRPr="00B8183B">
        <w:rPr>
          <w:rFonts w:eastAsia="Times New Roman" w:cs="Arial"/>
          <w:color w:val="000000"/>
          <w:szCs w:val="20"/>
          <w:lang w:val="en-US"/>
        </w:rPr>
        <w:t>MIC</w:t>
      </w:r>
      <w:r w:rsidRPr="00B8183B">
        <w:rPr>
          <w:rFonts w:eastAsia="Times New Roman" w:cs="Arial"/>
          <w:color w:val="000000"/>
          <w:szCs w:val="20"/>
          <w:lang w:val="ru-RU"/>
        </w:rPr>
        <w:t xml:space="preserve"> </w:t>
      </w:r>
      <w:r w:rsidRPr="00B8183B">
        <w:rPr>
          <w:rFonts w:eastAsia="Times New Roman" w:cs="Arial"/>
          <w:color w:val="000000"/>
          <w:szCs w:val="20"/>
          <w:lang w:eastAsia="bg-BG"/>
        </w:rPr>
        <w:t>на цефтриаксон над праговата стойност за чувствителност са редки и, ако се открият, трябва да бъдат тествани повторно, и, ако бъдат потвърдени, трябва да се изпратят на референтна лаборатория.</w:t>
      </w:r>
    </w:p>
    <w:p w14:paraId="73A75462" w14:textId="58CC554A"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vertAlign w:val="superscript"/>
          <w:lang w:eastAsia="bg-BG"/>
        </w:rPr>
        <w:t>г</w:t>
      </w:r>
      <w:r w:rsidRPr="00B8183B">
        <w:rPr>
          <w:rFonts w:eastAsia="Times New Roman" w:cs="Arial"/>
          <w:color w:val="000000"/>
          <w:szCs w:val="20"/>
          <w:lang w:eastAsia="bg-BG"/>
        </w:rPr>
        <w:t xml:space="preserve">.Праговите стойности се отнасят за дневна интравенозна доза от 1 </w:t>
      </w:r>
      <w:r w:rsidRPr="00B8183B">
        <w:rPr>
          <w:rFonts w:eastAsia="Times New Roman" w:cs="Arial"/>
          <w:color w:val="000000"/>
          <w:szCs w:val="20"/>
          <w:lang w:val="en-US"/>
        </w:rPr>
        <w:t>g</w:t>
      </w:r>
      <w:r w:rsidRPr="00B8183B">
        <w:rPr>
          <w:rFonts w:eastAsia="Times New Roman" w:cs="Arial"/>
          <w:color w:val="000000"/>
          <w:szCs w:val="20"/>
          <w:lang w:val="ru-RU"/>
        </w:rPr>
        <w:t xml:space="preserve"> </w:t>
      </w:r>
      <w:r w:rsidRPr="00B8183B">
        <w:rPr>
          <w:rFonts w:eastAsia="Times New Roman" w:cs="Arial"/>
          <w:color w:val="000000"/>
          <w:szCs w:val="20"/>
          <w:lang w:eastAsia="bg-BG"/>
        </w:rPr>
        <w:t xml:space="preserve">х 1 и висока доза от най-малко </w:t>
      </w:r>
      <w:r w:rsidRPr="00B8183B">
        <w:rPr>
          <w:rFonts w:eastAsia="Times New Roman" w:cs="Arial"/>
          <w:color w:val="000000"/>
          <w:szCs w:val="20"/>
          <w:lang w:val="ru-RU"/>
        </w:rPr>
        <w:t>2</w:t>
      </w:r>
      <w:proofErr w:type="spellStart"/>
      <w:r w:rsidRPr="00B8183B">
        <w:rPr>
          <w:rFonts w:eastAsia="Times New Roman" w:cs="Arial"/>
          <w:color w:val="000000"/>
          <w:szCs w:val="20"/>
          <w:lang w:val="en-US"/>
        </w:rPr>
        <w:t>gx</w:t>
      </w:r>
      <w:proofErr w:type="spellEnd"/>
      <w:r w:rsidRPr="00B8183B">
        <w:rPr>
          <w:rFonts w:eastAsia="Times New Roman" w:cs="Arial"/>
          <w:color w:val="000000"/>
          <w:szCs w:val="20"/>
          <w:lang w:val="ru-RU"/>
        </w:rPr>
        <w:t xml:space="preserve"> </w:t>
      </w:r>
      <w:r w:rsidRPr="00B8183B">
        <w:rPr>
          <w:rFonts w:eastAsia="Times New Roman" w:cs="Arial"/>
          <w:color w:val="000000"/>
          <w:szCs w:val="20"/>
          <w:lang w:eastAsia="bg-BG"/>
        </w:rPr>
        <w:t>1.</w:t>
      </w:r>
    </w:p>
    <w:p w14:paraId="3C225987" w14:textId="77777777" w:rsidR="00B8183B" w:rsidRPr="00B8183B" w:rsidRDefault="00B8183B" w:rsidP="00B8183B">
      <w:pPr>
        <w:spacing w:line="240" w:lineRule="auto"/>
        <w:rPr>
          <w:rFonts w:eastAsia="Times New Roman" w:cs="Arial"/>
          <w:color w:val="000000"/>
          <w:szCs w:val="20"/>
          <w:u w:val="single"/>
          <w:lang w:eastAsia="bg-BG"/>
        </w:rPr>
      </w:pPr>
    </w:p>
    <w:p w14:paraId="755D1C93" w14:textId="6EB1F574"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u w:val="single"/>
          <w:lang w:eastAsia="bg-BG"/>
        </w:rPr>
        <w:t>Клинична ефикасност срещу специфични патогени</w:t>
      </w:r>
    </w:p>
    <w:p w14:paraId="2AF4146A" w14:textId="101E1FAD" w:rsidR="00B8183B" w:rsidRPr="00B8183B" w:rsidRDefault="00B8183B" w:rsidP="00B8183B">
      <w:pPr>
        <w:spacing w:line="240" w:lineRule="auto"/>
        <w:rPr>
          <w:rFonts w:eastAsia="Times New Roman" w:cs="Arial"/>
          <w:sz w:val="32"/>
          <w:szCs w:val="24"/>
        </w:rPr>
      </w:pPr>
      <w:r w:rsidRPr="00B8183B">
        <w:rPr>
          <w:rFonts w:eastAsia="Times New Roman" w:cs="Arial"/>
          <w:color w:val="000000"/>
          <w:szCs w:val="20"/>
          <w:lang w:eastAsia="bg-BG"/>
        </w:rPr>
        <w:t xml:space="preserve">Честотата на придобита резистентност може да варира географски и във времето за избрани видове и е желателно наличие на локална информация за резистентността, особено при лечение на тежки инфекции. При необходимост трябва да се потърси </w:t>
      </w:r>
      <w:r w:rsidRPr="00B8183B">
        <w:rPr>
          <w:rFonts w:eastAsia="Times New Roman" w:cs="Arial"/>
          <w:color w:val="000000"/>
          <w:szCs w:val="20"/>
          <w:lang w:eastAsia="bg-BG"/>
        </w:rPr>
        <w:lastRenderedPageBreak/>
        <w:t>експертен съвет, когато локалната честота на резистентност е такава, че полезността на цефтриаксон при поне някои видове инфекции е под въпрос.</w:t>
      </w:r>
    </w:p>
    <w:p w14:paraId="3E5F4F73" w14:textId="7086059E" w:rsidR="00B8183B" w:rsidRDefault="00B8183B" w:rsidP="00B8183B"/>
    <w:tbl>
      <w:tblPr>
        <w:tblStyle w:val="TableGrid"/>
        <w:tblW w:w="0" w:type="auto"/>
        <w:tblLook w:val="04A0" w:firstRow="1" w:lastRow="0" w:firstColumn="1" w:lastColumn="0" w:noHBand="0" w:noVBand="1"/>
      </w:tblPr>
      <w:tblGrid>
        <w:gridCol w:w="9350"/>
      </w:tblGrid>
      <w:tr w:rsidR="00B8183B" w14:paraId="4B037629" w14:textId="77777777" w:rsidTr="00B8183B">
        <w:tc>
          <w:tcPr>
            <w:tcW w:w="9576" w:type="dxa"/>
            <w:vAlign w:val="bottom"/>
          </w:tcPr>
          <w:p w14:paraId="3C455610" w14:textId="74F51D4C" w:rsidR="00B8183B" w:rsidRPr="00B8183B" w:rsidRDefault="00B8183B" w:rsidP="00B8183B">
            <w:pPr>
              <w:rPr>
                <w:rFonts w:cs="Arial"/>
              </w:rPr>
            </w:pPr>
            <w:r w:rsidRPr="00B8183B">
              <w:rPr>
                <w:rFonts w:cs="Arial"/>
                <w:b/>
                <w:bCs/>
                <w:lang w:eastAsia="bg-BG"/>
              </w:rPr>
              <w:t>Обикновено чувствителни видове</w:t>
            </w:r>
          </w:p>
        </w:tc>
      </w:tr>
      <w:tr w:rsidR="00B8183B" w14:paraId="3E6E22EE" w14:textId="77777777" w:rsidTr="00B8183B">
        <w:tc>
          <w:tcPr>
            <w:tcW w:w="9576" w:type="dxa"/>
            <w:vAlign w:val="center"/>
          </w:tcPr>
          <w:p w14:paraId="7A71F234" w14:textId="77777777" w:rsidR="00B8183B" w:rsidRPr="00B8183B" w:rsidRDefault="00B8183B" w:rsidP="00B8183B">
            <w:pPr>
              <w:rPr>
                <w:rFonts w:cs="Arial"/>
              </w:rPr>
            </w:pPr>
            <w:r w:rsidRPr="00B8183B">
              <w:rPr>
                <w:rFonts w:cs="Arial"/>
                <w:u w:val="single"/>
                <w:lang w:eastAsia="bg-BG"/>
              </w:rPr>
              <w:t>Грам-положителни аероби</w:t>
            </w:r>
          </w:p>
          <w:p w14:paraId="0065B001" w14:textId="77777777" w:rsidR="00B8183B" w:rsidRPr="00B8183B" w:rsidRDefault="00B8183B" w:rsidP="00B8183B">
            <w:pPr>
              <w:rPr>
                <w:rFonts w:cs="Arial"/>
              </w:rPr>
            </w:pPr>
            <w:r w:rsidRPr="00B8183B">
              <w:rPr>
                <w:rFonts w:cs="Arial"/>
                <w:i/>
                <w:iCs/>
              </w:rPr>
              <w:t>Staphylococcus aureus</w:t>
            </w:r>
            <w:r w:rsidRPr="00B8183B">
              <w:rPr>
                <w:rFonts w:cs="Arial"/>
              </w:rPr>
              <w:t xml:space="preserve"> </w:t>
            </w:r>
            <w:r w:rsidRPr="00B8183B">
              <w:rPr>
                <w:rFonts w:cs="Arial"/>
                <w:lang w:eastAsia="bg-BG"/>
              </w:rPr>
              <w:t>(метицилин-чувствителни)</w:t>
            </w:r>
            <w:r w:rsidRPr="00B8183B">
              <w:rPr>
                <w:rFonts w:cs="Arial"/>
                <w:vertAlign w:val="superscript"/>
                <w:lang w:eastAsia="bg-BG"/>
              </w:rPr>
              <w:t>£</w:t>
            </w:r>
          </w:p>
          <w:p w14:paraId="581DB442" w14:textId="77777777" w:rsidR="00B8183B" w:rsidRPr="00B8183B" w:rsidRDefault="00B8183B" w:rsidP="00B8183B">
            <w:pPr>
              <w:rPr>
                <w:rFonts w:cs="Arial"/>
              </w:rPr>
            </w:pPr>
            <w:r w:rsidRPr="00B8183B">
              <w:rPr>
                <w:rFonts w:cs="Arial"/>
                <w:lang w:eastAsia="bg-BG"/>
              </w:rPr>
              <w:t>Коагулаза-негативни стафилококи (метицилин-чувствителни)</w:t>
            </w:r>
            <w:r w:rsidRPr="00B8183B">
              <w:rPr>
                <w:rFonts w:cs="Arial"/>
                <w:vertAlign w:val="superscript"/>
                <w:lang w:eastAsia="bg-BG"/>
              </w:rPr>
              <w:t>£</w:t>
            </w:r>
          </w:p>
          <w:p w14:paraId="06993407" w14:textId="77777777" w:rsidR="00B8183B" w:rsidRPr="00B8183B" w:rsidRDefault="00B8183B" w:rsidP="00B8183B">
            <w:pPr>
              <w:rPr>
                <w:rFonts w:cs="Arial"/>
              </w:rPr>
            </w:pPr>
            <w:r w:rsidRPr="00B8183B">
              <w:rPr>
                <w:rFonts w:cs="Arial"/>
                <w:i/>
                <w:iCs/>
              </w:rPr>
              <w:t>Streptococcus pyogenes</w:t>
            </w:r>
            <w:r w:rsidRPr="00B8183B">
              <w:rPr>
                <w:rFonts w:cs="Arial"/>
              </w:rPr>
              <w:t xml:space="preserve"> </w:t>
            </w:r>
            <w:r w:rsidRPr="00B8183B">
              <w:rPr>
                <w:rFonts w:cs="Arial"/>
                <w:lang w:eastAsia="bg-BG"/>
              </w:rPr>
              <w:t>(Група А)</w:t>
            </w:r>
          </w:p>
          <w:p w14:paraId="3E6DAF8F" w14:textId="77777777" w:rsidR="00B8183B" w:rsidRPr="00B8183B" w:rsidRDefault="00B8183B" w:rsidP="00B8183B">
            <w:pPr>
              <w:rPr>
                <w:rFonts w:cs="Arial"/>
              </w:rPr>
            </w:pPr>
            <w:r w:rsidRPr="00B8183B">
              <w:rPr>
                <w:rFonts w:cs="Arial"/>
                <w:i/>
                <w:iCs/>
              </w:rPr>
              <w:t>Streptococcus agalactiae</w:t>
            </w:r>
            <w:r w:rsidRPr="00B8183B">
              <w:rPr>
                <w:rFonts w:cs="Arial"/>
              </w:rPr>
              <w:t xml:space="preserve"> </w:t>
            </w:r>
            <w:r w:rsidRPr="00B8183B">
              <w:rPr>
                <w:rFonts w:cs="Arial"/>
                <w:lang w:eastAsia="bg-BG"/>
              </w:rPr>
              <w:t>(Група Б)</w:t>
            </w:r>
          </w:p>
          <w:p w14:paraId="10F4D193" w14:textId="77777777" w:rsidR="00B8183B" w:rsidRPr="00B8183B" w:rsidRDefault="00B8183B" w:rsidP="00B8183B">
            <w:pPr>
              <w:rPr>
                <w:rFonts w:cs="Arial"/>
              </w:rPr>
            </w:pPr>
            <w:r w:rsidRPr="00B8183B">
              <w:rPr>
                <w:rFonts w:cs="Arial"/>
                <w:i/>
                <w:iCs/>
              </w:rPr>
              <w:t>Streptococcus pneumoniae</w:t>
            </w:r>
          </w:p>
          <w:p w14:paraId="1B18B8F7" w14:textId="77777777" w:rsidR="00B8183B" w:rsidRPr="00B8183B" w:rsidRDefault="00B8183B" w:rsidP="00B8183B">
            <w:pPr>
              <w:rPr>
                <w:rFonts w:cs="Arial"/>
              </w:rPr>
            </w:pPr>
            <w:r w:rsidRPr="00B8183B">
              <w:rPr>
                <w:rFonts w:cs="Arial"/>
                <w:i/>
                <w:iCs/>
              </w:rPr>
              <w:t>Streptococcus</w:t>
            </w:r>
            <w:r w:rsidRPr="00B8183B">
              <w:rPr>
                <w:rFonts w:cs="Arial"/>
              </w:rPr>
              <w:t xml:space="preserve"> </w:t>
            </w:r>
            <w:r w:rsidRPr="00B8183B">
              <w:rPr>
                <w:rFonts w:cs="Arial"/>
                <w:lang w:eastAsia="bg-BG"/>
              </w:rPr>
              <w:t xml:space="preserve">от група </w:t>
            </w:r>
            <w:r w:rsidRPr="00B8183B">
              <w:rPr>
                <w:rFonts w:cs="Arial"/>
              </w:rPr>
              <w:t>Viridans</w:t>
            </w:r>
          </w:p>
          <w:p w14:paraId="782466E6" w14:textId="77777777" w:rsidR="00B8183B" w:rsidRPr="00B8183B" w:rsidRDefault="00B8183B" w:rsidP="00B8183B">
            <w:pPr>
              <w:rPr>
                <w:rFonts w:cs="Arial"/>
                <w:u w:val="single"/>
                <w:lang w:eastAsia="bg-BG"/>
              </w:rPr>
            </w:pPr>
          </w:p>
          <w:p w14:paraId="1E7C96ED" w14:textId="5F84790A" w:rsidR="00B8183B" w:rsidRPr="00B8183B" w:rsidRDefault="00B8183B" w:rsidP="00B8183B">
            <w:pPr>
              <w:rPr>
                <w:rFonts w:cs="Arial"/>
              </w:rPr>
            </w:pPr>
            <w:r w:rsidRPr="00B8183B">
              <w:rPr>
                <w:rFonts w:cs="Arial"/>
                <w:u w:val="single"/>
                <w:lang w:eastAsia="bg-BG"/>
              </w:rPr>
              <w:t>Грам-отрицателни аероби</w:t>
            </w:r>
          </w:p>
          <w:p w14:paraId="2CB6C89B" w14:textId="77777777" w:rsidR="00B8183B" w:rsidRPr="00B8183B" w:rsidRDefault="00B8183B" w:rsidP="00B8183B">
            <w:pPr>
              <w:rPr>
                <w:rFonts w:cs="Arial"/>
              </w:rPr>
            </w:pPr>
            <w:r w:rsidRPr="00B8183B">
              <w:rPr>
                <w:rFonts w:cs="Arial"/>
                <w:i/>
                <w:iCs/>
              </w:rPr>
              <w:t>Borrelia burgdorferi</w:t>
            </w:r>
          </w:p>
          <w:p w14:paraId="7B3AB939" w14:textId="77777777" w:rsidR="00B8183B" w:rsidRPr="00B8183B" w:rsidRDefault="00B8183B" w:rsidP="00B8183B">
            <w:pPr>
              <w:rPr>
                <w:rFonts w:cs="Arial"/>
              </w:rPr>
            </w:pPr>
            <w:r w:rsidRPr="00B8183B">
              <w:rPr>
                <w:rFonts w:cs="Arial"/>
                <w:i/>
                <w:iCs/>
              </w:rPr>
              <w:t>Haemophilus influenzae</w:t>
            </w:r>
          </w:p>
          <w:p w14:paraId="16E0B486" w14:textId="77777777" w:rsidR="00B8183B" w:rsidRPr="00B8183B" w:rsidRDefault="00B8183B" w:rsidP="00B8183B">
            <w:pPr>
              <w:rPr>
                <w:rFonts w:cs="Arial"/>
              </w:rPr>
            </w:pPr>
            <w:r w:rsidRPr="00B8183B">
              <w:rPr>
                <w:rFonts w:cs="Arial"/>
                <w:i/>
                <w:iCs/>
              </w:rPr>
              <w:t>Haemophilus parainfluenzae</w:t>
            </w:r>
          </w:p>
          <w:p w14:paraId="457A330C" w14:textId="77777777" w:rsidR="00B8183B" w:rsidRPr="00B8183B" w:rsidRDefault="00B8183B" w:rsidP="00B8183B">
            <w:pPr>
              <w:rPr>
                <w:rFonts w:cs="Arial"/>
              </w:rPr>
            </w:pPr>
            <w:r w:rsidRPr="00B8183B">
              <w:rPr>
                <w:rFonts w:cs="Arial"/>
                <w:i/>
                <w:iCs/>
              </w:rPr>
              <w:t>Moraxella catarrhalis</w:t>
            </w:r>
          </w:p>
          <w:p w14:paraId="7C05404D" w14:textId="77777777" w:rsidR="00B8183B" w:rsidRPr="00B8183B" w:rsidRDefault="00B8183B" w:rsidP="00B8183B">
            <w:pPr>
              <w:rPr>
                <w:rFonts w:cs="Arial"/>
              </w:rPr>
            </w:pPr>
            <w:r w:rsidRPr="00B8183B">
              <w:rPr>
                <w:rFonts w:cs="Arial"/>
                <w:i/>
                <w:iCs/>
              </w:rPr>
              <w:t>Neisseria gonorrhoea</w:t>
            </w:r>
          </w:p>
          <w:p w14:paraId="7080CE38" w14:textId="77777777" w:rsidR="00B8183B" w:rsidRPr="00B8183B" w:rsidRDefault="00B8183B" w:rsidP="00B8183B">
            <w:pPr>
              <w:rPr>
                <w:rFonts w:cs="Arial"/>
              </w:rPr>
            </w:pPr>
            <w:r w:rsidRPr="00B8183B">
              <w:rPr>
                <w:rFonts w:cs="Arial"/>
                <w:i/>
                <w:iCs/>
              </w:rPr>
              <w:t>Neisseria meningitidis</w:t>
            </w:r>
          </w:p>
          <w:p w14:paraId="18742B1D" w14:textId="77777777" w:rsidR="00B8183B" w:rsidRPr="00B8183B" w:rsidRDefault="00B8183B" w:rsidP="00B8183B">
            <w:pPr>
              <w:rPr>
                <w:rFonts w:cs="Arial"/>
              </w:rPr>
            </w:pPr>
            <w:r w:rsidRPr="00B8183B">
              <w:rPr>
                <w:rFonts w:cs="Arial"/>
                <w:i/>
                <w:iCs/>
              </w:rPr>
              <w:t>Proteus mirabilis</w:t>
            </w:r>
          </w:p>
          <w:p w14:paraId="3BA6B93F" w14:textId="77777777" w:rsidR="00B8183B" w:rsidRPr="00B8183B" w:rsidRDefault="00B8183B" w:rsidP="00B8183B">
            <w:pPr>
              <w:rPr>
                <w:rFonts w:cs="Arial"/>
              </w:rPr>
            </w:pPr>
            <w:r w:rsidRPr="00B8183B">
              <w:rPr>
                <w:rFonts w:cs="Arial"/>
                <w:i/>
                <w:iCs/>
              </w:rPr>
              <w:t>Providencia</w:t>
            </w:r>
            <w:r w:rsidRPr="00B8183B">
              <w:rPr>
                <w:rFonts w:cs="Arial"/>
              </w:rPr>
              <w:t xml:space="preserve"> spp.</w:t>
            </w:r>
          </w:p>
          <w:p w14:paraId="5ED8CE45" w14:textId="061D8B32" w:rsidR="00B8183B" w:rsidRPr="00B8183B" w:rsidRDefault="00B8183B" w:rsidP="00B8183B">
            <w:pPr>
              <w:rPr>
                <w:rFonts w:cs="Arial"/>
              </w:rPr>
            </w:pPr>
            <w:r w:rsidRPr="00B8183B">
              <w:rPr>
                <w:rFonts w:cs="Arial"/>
                <w:i/>
                <w:iCs/>
              </w:rPr>
              <w:t>Treponema pallidum</w:t>
            </w:r>
          </w:p>
        </w:tc>
      </w:tr>
      <w:tr w:rsidR="00B8183B" w14:paraId="5F47F423" w14:textId="77777777" w:rsidTr="00B8183B">
        <w:tc>
          <w:tcPr>
            <w:tcW w:w="9576" w:type="dxa"/>
            <w:vAlign w:val="bottom"/>
          </w:tcPr>
          <w:p w14:paraId="223ED396" w14:textId="3671A075" w:rsidR="00B8183B" w:rsidRPr="00B8183B" w:rsidRDefault="00B8183B" w:rsidP="00B8183B">
            <w:pPr>
              <w:rPr>
                <w:rFonts w:cs="Arial"/>
              </w:rPr>
            </w:pPr>
            <w:r w:rsidRPr="00B8183B">
              <w:rPr>
                <w:rFonts w:cs="Arial"/>
                <w:b/>
                <w:bCs/>
                <w:lang w:eastAsia="bg-BG"/>
              </w:rPr>
              <w:t>Видове, за които може да има проблем с придобита резистентност</w:t>
            </w:r>
          </w:p>
        </w:tc>
      </w:tr>
      <w:tr w:rsidR="00B8183B" w14:paraId="1CE9EE1C" w14:textId="77777777" w:rsidTr="00B8183B">
        <w:tc>
          <w:tcPr>
            <w:tcW w:w="9576" w:type="dxa"/>
            <w:vAlign w:val="bottom"/>
          </w:tcPr>
          <w:p w14:paraId="4025712F" w14:textId="77777777" w:rsidR="00B8183B" w:rsidRPr="00B8183B" w:rsidRDefault="00B8183B" w:rsidP="00B8183B">
            <w:pPr>
              <w:rPr>
                <w:rFonts w:cs="Arial"/>
              </w:rPr>
            </w:pPr>
            <w:r w:rsidRPr="00B8183B">
              <w:rPr>
                <w:rFonts w:cs="Arial"/>
                <w:u w:val="single"/>
                <w:lang w:eastAsia="bg-BG"/>
              </w:rPr>
              <w:t>Грам-положителни аероби</w:t>
            </w:r>
          </w:p>
          <w:p w14:paraId="7773F941" w14:textId="77777777" w:rsidR="00B8183B" w:rsidRPr="00B8183B" w:rsidRDefault="00B8183B" w:rsidP="00B8183B">
            <w:pPr>
              <w:rPr>
                <w:rFonts w:cs="Arial"/>
              </w:rPr>
            </w:pPr>
            <w:r w:rsidRPr="00B8183B">
              <w:rPr>
                <w:rFonts w:cs="Arial"/>
                <w:i/>
                <w:iCs/>
              </w:rPr>
              <w:t>Staphylococcus epidermidis+</w:t>
            </w:r>
          </w:p>
          <w:p w14:paraId="372E2302" w14:textId="77777777" w:rsidR="00B8183B" w:rsidRPr="00B8183B" w:rsidRDefault="00B8183B" w:rsidP="00B8183B">
            <w:pPr>
              <w:rPr>
                <w:rFonts w:cs="Arial"/>
              </w:rPr>
            </w:pPr>
            <w:r w:rsidRPr="00B8183B">
              <w:rPr>
                <w:rFonts w:cs="Arial"/>
                <w:i/>
                <w:iCs/>
              </w:rPr>
              <w:t>Staphylococcus haemolyticus</w:t>
            </w:r>
            <w:r w:rsidRPr="00B8183B">
              <w:rPr>
                <w:rFonts w:cs="Arial"/>
                <w:i/>
                <w:iCs/>
                <w:vertAlign w:val="superscript"/>
              </w:rPr>
              <w:t>+</w:t>
            </w:r>
          </w:p>
          <w:p w14:paraId="514B1F62" w14:textId="77777777" w:rsidR="00B8183B" w:rsidRPr="00B8183B" w:rsidRDefault="00B8183B" w:rsidP="00B8183B">
            <w:pPr>
              <w:rPr>
                <w:rFonts w:cs="Arial"/>
                <w:i/>
                <w:iCs/>
              </w:rPr>
            </w:pPr>
            <w:r w:rsidRPr="00B8183B">
              <w:rPr>
                <w:rFonts w:cs="Arial"/>
                <w:i/>
                <w:iCs/>
              </w:rPr>
              <w:t>Staphylococcus hominis+</w:t>
            </w:r>
          </w:p>
          <w:p w14:paraId="7669B02D" w14:textId="77777777" w:rsidR="00B8183B" w:rsidRPr="00B8183B" w:rsidRDefault="00B8183B" w:rsidP="00B8183B">
            <w:pPr>
              <w:rPr>
                <w:rFonts w:cs="Arial"/>
                <w:i/>
                <w:iCs/>
              </w:rPr>
            </w:pPr>
          </w:p>
          <w:p w14:paraId="2BBEAE7E" w14:textId="77777777" w:rsidR="00B8183B" w:rsidRPr="00B8183B" w:rsidRDefault="00B8183B" w:rsidP="00B8183B">
            <w:pPr>
              <w:spacing w:line="240" w:lineRule="auto"/>
              <w:rPr>
                <w:rFonts w:eastAsia="Times New Roman" w:cs="Arial"/>
                <w:color w:val="000000"/>
                <w:u w:val="single"/>
                <w:lang w:eastAsia="bg-BG"/>
              </w:rPr>
            </w:pPr>
            <w:r w:rsidRPr="00B8183B">
              <w:rPr>
                <w:rFonts w:eastAsia="Times New Roman" w:cs="Arial"/>
                <w:color w:val="000000"/>
                <w:u w:val="single"/>
                <w:lang w:eastAsia="bg-BG"/>
              </w:rPr>
              <w:t xml:space="preserve">Грам-отрицателни аероби </w:t>
            </w:r>
          </w:p>
          <w:p w14:paraId="181C1971" w14:textId="77777777" w:rsidR="00B8183B" w:rsidRPr="00B8183B" w:rsidRDefault="00B8183B" w:rsidP="00B8183B">
            <w:pPr>
              <w:spacing w:line="240" w:lineRule="auto"/>
              <w:rPr>
                <w:rFonts w:eastAsia="Times New Roman" w:cs="Arial"/>
                <w:i/>
                <w:iCs/>
                <w:color w:val="000000"/>
              </w:rPr>
            </w:pPr>
            <w:proofErr w:type="spellStart"/>
            <w:r w:rsidRPr="00B8183B">
              <w:rPr>
                <w:rFonts w:eastAsia="Times New Roman" w:cs="Arial"/>
                <w:i/>
                <w:iCs/>
                <w:color w:val="000000"/>
                <w:lang w:val="en-US"/>
              </w:rPr>
              <w:t>Citrobacter</w:t>
            </w:r>
            <w:proofErr w:type="spellEnd"/>
            <w:r w:rsidRPr="00B8183B">
              <w:rPr>
                <w:rFonts w:eastAsia="Times New Roman" w:cs="Arial"/>
                <w:i/>
                <w:iCs/>
                <w:color w:val="000000"/>
              </w:rPr>
              <w:t xml:space="preserve"> </w:t>
            </w:r>
            <w:proofErr w:type="spellStart"/>
            <w:r w:rsidRPr="00B8183B">
              <w:rPr>
                <w:rFonts w:eastAsia="Times New Roman" w:cs="Arial"/>
                <w:i/>
                <w:iCs/>
                <w:color w:val="000000"/>
                <w:lang w:val="en-US"/>
              </w:rPr>
              <w:t>freundii</w:t>
            </w:r>
            <w:proofErr w:type="spellEnd"/>
            <w:r w:rsidRPr="00B8183B">
              <w:rPr>
                <w:rFonts w:eastAsia="Times New Roman" w:cs="Arial"/>
                <w:i/>
                <w:iCs/>
                <w:color w:val="000000"/>
              </w:rPr>
              <w:t xml:space="preserve"> </w:t>
            </w:r>
          </w:p>
          <w:p w14:paraId="2E364A90" w14:textId="77777777" w:rsidR="00B8183B" w:rsidRPr="00B8183B" w:rsidRDefault="00B8183B" w:rsidP="00B8183B">
            <w:pPr>
              <w:spacing w:line="240" w:lineRule="auto"/>
              <w:rPr>
                <w:rFonts w:eastAsia="Times New Roman" w:cs="Arial"/>
                <w:i/>
                <w:iCs/>
                <w:color w:val="000000"/>
              </w:rPr>
            </w:pPr>
            <w:proofErr w:type="spellStart"/>
            <w:r w:rsidRPr="00B8183B">
              <w:rPr>
                <w:rFonts w:eastAsia="Times New Roman" w:cs="Arial"/>
                <w:i/>
                <w:iCs/>
                <w:color w:val="000000"/>
                <w:lang w:val="en-US"/>
              </w:rPr>
              <w:t>Enterobacter</w:t>
            </w:r>
            <w:proofErr w:type="spellEnd"/>
            <w:r w:rsidRPr="00B8183B">
              <w:rPr>
                <w:rFonts w:eastAsia="Times New Roman" w:cs="Arial"/>
                <w:i/>
                <w:iCs/>
                <w:color w:val="000000"/>
              </w:rPr>
              <w:t xml:space="preserve"> </w:t>
            </w:r>
            <w:proofErr w:type="spellStart"/>
            <w:r w:rsidRPr="00B8183B">
              <w:rPr>
                <w:rFonts w:eastAsia="Times New Roman" w:cs="Arial"/>
                <w:i/>
                <w:iCs/>
                <w:color w:val="000000"/>
                <w:lang w:val="en-US"/>
              </w:rPr>
              <w:t>aerogenes</w:t>
            </w:r>
            <w:proofErr w:type="spellEnd"/>
            <w:r w:rsidRPr="00B8183B">
              <w:rPr>
                <w:rFonts w:eastAsia="Times New Roman" w:cs="Arial"/>
                <w:i/>
                <w:iCs/>
                <w:color w:val="000000"/>
              </w:rPr>
              <w:t xml:space="preserve"> </w:t>
            </w:r>
          </w:p>
          <w:p w14:paraId="227064C7" w14:textId="77777777" w:rsidR="00B8183B" w:rsidRPr="00B8183B" w:rsidRDefault="00B8183B" w:rsidP="00B8183B">
            <w:pPr>
              <w:spacing w:line="240" w:lineRule="auto"/>
              <w:rPr>
                <w:rFonts w:eastAsia="Times New Roman" w:cs="Arial"/>
                <w:i/>
                <w:iCs/>
                <w:color w:val="000000"/>
                <w:vertAlign w:val="superscript"/>
              </w:rPr>
            </w:pPr>
            <w:proofErr w:type="spellStart"/>
            <w:r w:rsidRPr="00B8183B">
              <w:rPr>
                <w:rFonts w:eastAsia="Times New Roman" w:cs="Arial"/>
                <w:i/>
                <w:iCs/>
                <w:color w:val="000000"/>
                <w:lang w:val="en-US"/>
              </w:rPr>
              <w:t>Enterobacter</w:t>
            </w:r>
            <w:proofErr w:type="spellEnd"/>
            <w:r w:rsidRPr="00B8183B">
              <w:rPr>
                <w:rFonts w:eastAsia="Times New Roman" w:cs="Arial"/>
                <w:i/>
                <w:iCs/>
                <w:color w:val="000000"/>
              </w:rPr>
              <w:t xml:space="preserve"> </w:t>
            </w:r>
            <w:r w:rsidRPr="00B8183B">
              <w:rPr>
                <w:rFonts w:eastAsia="Times New Roman" w:cs="Arial"/>
                <w:i/>
                <w:iCs/>
                <w:color w:val="000000"/>
                <w:lang w:val="en-US"/>
              </w:rPr>
              <w:t>cloacae</w:t>
            </w:r>
            <w:r w:rsidRPr="00B8183B">
              <w:rPr>
                <w:rFonts w:eastAsia="Times New Roman" w:cs="Arial"/>
                <w:i/>
                <w:iCs/>
                <w:color w:val="000000"/>
              </w:rPr>
              <w:t xml:space="preserve"> </w:t>
            </w:r>
            <w:r w:rsidRPr="00B8183B">
              <w:rPr>
                <w:rFonts w:eastAsia="Times New Roman" w:cs="Arial"/>
                <w:i/>
                <w:iCs/>
                <w:color w:val="000000"/>
                <w:lang w:val="en-US"/>
              </w:rPr>
              <w:t>Escherichia</w:t>
            </w:r>
            <w:r w:rsidRPr="00B8183B">
              <w:rPr>
                <w:rFonts w:eastAsia="Times New Roman" w:cs="Arial"/>
                <w:i/>
                <w:iCs/>
                <w:color w:val="000000"/>
              </w:rPr>
              <w:t xml:space="preserve"> </w:t>
            </w:r>
            <w:r w:rsidRPr="00B8183B">
              <w:rPr>
                <w:rFonts w:eastAsia="Times New Roman" w:cs="Arial"/>
                <w:i/>
                <w:iCs/>
                <w:color w:val="000000"/>
                <w:lang w:val="en-US"/>
              </w:rPr>
              <w:t>coli</w:t>
            </w:r>
            <w:r w:rsidRPr="00B8183B">
              <w:rPr>
                <w:rFonts w:eastAsia="Times New Roman" w:cs="Arial"/>
                <w:i/>
                <w:iCs/>
                <w:color w:val="000000"/>
                <w:vertAlign w:val="superscript"/>
              </w:rPr>
              <w:t xml:space="preserve">% </w:t>
            </w:r>
          </w:p>
          <w:p w14:paraId="6D3300C8" w14:textId="77777777" w:rsidR="00B8183B" w:rsidRPr="00B8183B" w:rsidRDefault="00B8183B" w:rsidP="00B8183B">
            <w:pPr>
              <w:spacing w:line="240" w:lineRule="auto"/>
              <w:rPr>
                <w:rFonts w:eastAsia="Times New Roman" w:cs="Arial"/>
                <w:i/>
                <w:iCs/>
                <w:color w:val="000000"/>
              </w:rPr>
            </w:pPr>
            <w:proofErr w:type="spellStart"/>
            <w:r w:rsidRPr="00B8183B">
              <w:rPr>
                <w:rFonts w:eastAsia="Times New Roman" w:cs="Arial"/>
                <w:i/>
                <w:iCs/>
                <w:color w:val="000000"/>
                <w:lang w:val="en-US"/>
              </w:rPr>
              <w:t>Klebsiella</w:t>
            </w:r>
            <w:proofErr w:type="spellEnd"/>
            <w:r w:rsidRPr="00B8183B">
              <w:rPr>
                <w:rFonts w:eastAsia="Times New Roman" w:cs="Arial"/>
                <w:i/>
                <w:iCs/>
                <w:color w:val="000000"/>
              </w:rPr>
              <w:t xml:space="preserve"> </w:t>
            </w:r>
            <w:proofErr w:type="spellStart"/>
            <w:r w:rsidRPr="00B8183B">
              <w:rPr>
                <w:rFonts w:eastAsia="Times New Roman" w:cs="Arial"/>
                <w:i/>
                <w:iCs/>
                <w:color w:val="000000"/>
                <w:lang w:val="en-US"/>
              </w:rPr>
              <w:t>pneumoniae</w:t>
            </w:r>
            <w:proofErr w:type="spellEnd"/>
            <w:r w:rsidRPr="00B8183B">
              <w:rPr>
                <w:rFonts w:eastAsia="Times New Roman" w:cs="Arial"/>
                <w:i/>
                <w:iCs/>
                <w:color w:val="000000"/>
                <w:vertAlign w:val="superscript"/>
              </w:rPr>
              <w:t>%</w:t>
            </w:r>
            <w:r w:rsidRPr="00B8183B">
              <w:rPr>
                <w:rFonts w:eastAsia="Times New Roman" w:cs="Arial"/>
                <w:i/>
                <w:iCs/>
                <w:color w:val="000000"/>
              </w:rPr>
              <w:t xml:space="preserve"> </w:t>
            </w:r>
          </w:p>
          <w:p w14:paraId="3E09A8A7" w14:textId="77777777" w:rsidR="00B8183B" w:rsidRPr="00B8183B" w:rsidRDefault="00B8183B" w:rsidP="00B8183B">
            <w:pPr>
              <w:spacing w:line="240" w:lineRule="auto"/>
              <w:rPr>
                <w:rFonts w:eastAsia="Times New Roman" w:cs="Arial"/>
                <w:i/>
                <w:iCs/>
                <w:color w:val="000000"/>
                <w:vertAlign w:val="superscript"/>
              </w:rPr>
            </w:pPr>
            <w:proofErr w:type="spellStart"/>
            <w:r w:rsidRPr="00B8183B">
              <w:rPr>
                <w:rFonts w:eastAsia="Times New Roman" w:cs="Arial"/>
                <w:i/>
                <w:iCs/>
                <w:color w:val="000000"/>
                <w:lang w:val="en-US"/>
              </w:rPr>
              <w:t>Klebsiella</w:t>
            </w:r>
            <w:proofErr w:type="spellEnd"/>
            <w:r w:rsidRPr="00B8183B">
              <w:rPr>
                <w:rFonts w:eastAsia="Times New Roman" w:cs="Arial"/>
                <w:i/>
                <w:iCs/>
                <w:color w:val="000000"/>
              </w:rPr>
              <w:t xml:space="preserve"> </w:t>
            </w:r>
            <w:proofErr w:type="spellStart"/>
            <w:r w:rsidRPr="00B8183B">
              <w:rPr>
                <w:rFonts w:eastAsia="Times New Roman" w:cs="Arial"/>
                <w:i/>
                <w:iCs/>
                <w:color w:val="000000"/>
                <w:lang w:val="en-US"/>
              </w:rPr>
              <w:t>oxytoca</w:t>
            </w:r>
            <w:proofErr w:type="spellEnd"/>
            <w:r w:rsidRPr="00B8183B">
              <w:rPr>
                <w:rFonts w:eastAsia="Times New Roman" w:cs="Arial"/>
                <w:i/>
                <w:iCs/>
                <w:color w:val="000000"/>
                <w:vertAlign w:val="superscript"/>
              </w:rPr>
              <w:t xml:space="preserve">% </w:t>
            </w:r>
          </w:p>
          <w:p w14:paraId="459476D7" w14:textId="77777777" w:rsidR="00B8183B" w:rsidRPr="00B8183B" w:rsidRDefault="00B8183B" w:rsidP="00B8183B">
            <w:pPr>
              <w:spacing w:line="240" w:lineRule="auto"/>
              <w:rPr>
                <w:rFonts w:eastAsia="Times New Roman" w:cs="Arial"/>
                <w:i/>
                <w:iCs/>
                <w:color w:val="000000"/>
              </w:rPr>
            </w:pPr>
            <w:proofErr w:type="spellStart"/>
            <w:r w:rsidRPr="00B8183B">
              <w:rPr>
                <w:rFonts w:eastAsia="Times New Roman" w:cs="Arial"/>
                <w:i/>
                <w:iCs/>
                <w:color w:val="000000"/>
                <w:lang w:val="en-US"/>
              </w:rPr>
              <w:t>Morganella</w:t>
            </w:r>
            <w:proofErr w:type="spellEnd"/>
            <w:r w:rsidRPr="00B8183B">
              <w:rPr>
                <w:rFonts w:eastAsia="Times New Roman" w:cs="Arial"/>
                <w:i/>
                <w:iCs/>
                <w:color w:val="000000"/>
              </w:rPr>
              <w:t xml:space="preserve"> </w:t>
            </w:r>
            <w:proofErr w:type="spellStart"/>
            <w:r w:rsidRPr="00B8183B">
              <w:rPr>
                <w:rFonts w:eastAsia="Times New Roman" w:cs="Arial"/>
                <w:i/>
                <w:iCs/>
                <w:color w:val="000000"/>
                <w:lang w:val="en-US"/>
              </w:rPr>
              <w:t>morganii</w:t>
            </w:r>
            <w:proofErr w:type="spellEnd"/>
            <w:r w:rsidRPr="00B8183B">
              <w:rPr>
                <w:rFonts w:eastAsia="Times New Roman" w:cs="Arial"/>
                <w:i/>
                <w:iCs/>
                <w:color w:val="000000"/>
              </w:rPr>
              <w:t xml:space="preserve"> </w:t>
            </w:r>
          </w:p>
          <w:p w14:paraId="6F77A318" w14:textId="77777777" w:rsidR="00B8183B" w:rsidRPr="00B8183B" w:rsidRDefault="00B8183B" w:rsidP="00B8183B">
            <w:pPr>
              <w:spacing w:line="240" w:lineRule="auto"/>
              <w:rPr>
                <w:rFonts w:eastAsia="Times New Roman" w:cs="Arial"/>
                <w:i/>
                <w:iCs/>
                <w:color w:val="000000"/>
              </w:rPr>
            </w:pPr>
            <w:r w:rsidRPr="00B8183B">
              <w:rPr>
                <w:rFonts w:eastAsia="Times New Roman" w:cs="Arial"/>
                <w:i/>
                <w:iCs/>
                <w:color w:val="000000"/>
                <w:lang w:val="en-US"/>
              </w:rPr>
              <w:t>Proteus</w:t>
            </w:r>
            <w:r w:rsidRPr="00B8183B">
              <w:rPr>
                <w:rFonts w:eastAsia="Times New Roman" w:cs="Arial"/>
                <w:i/>
                <w:iCs/>
                <w:color w:val="000000"/>
              </w:rPr>
              <w:t xml:space="preserve"> </w:t>
            </w:r>
            <w:r w:rsidRPr="00B8183B">
              <w:rPr>
                <w:rFonts w:eastAsia="Times New Roman" w:cs="Arial"/>
                <w:i/>
                <w:iCs/>
                <w:color w:val="000000"/>
                <w:lang w:val="en-US"/>
              </w:rPr>
              <w:t>vulgaris</w:t>
            </w:r>
            <w:r w:rsidRPr="00B8183B">
              <w:rPr>
                <w:rFonts w:eastAsia="Times New Roman" w:cs="Arial"/>
                <w:i/>
                <w:iCs/>
                <w:color w:val="000000"/>
              </w:rPr>
              <w:t xml:space="preserve"> </w:t>
            </w:r>
          </w:p>
          <w:p w14:paraId="39C2E8D5" w14:textId="6B9FE095" w:rsidR="00B8183B" w:rsidRPr="00B8183B" w:rsidRDefault="00B8183B" w:rsidP="00B8183B">
            <w:pPr>
              <w:spacing w:line="240" w:lineRule="auto"/>
              <w:rPr>
                <w:rFonts w:eastAsia="Times New Roman" w:cs="Arial"/>
              </w:rPr>
            </w:pPr>
            <w:proofErr w:type="spellStart"/>
            <w:r w:rsidRPr="00B8183B">
              <w:rPr>
                <w:rFonts w:eastAsia="Times New Roman" w:cs="Arial"/>
                <w:i/>
                <w:iCs/>
                <w:color w:val="000000"/>
                <w:lang w:val="en-US"/>
              </w:rPr>
              <w:t>Serratia</w:t>
            </w:r>
            <w:proofErr w:type="spellEnd"/>
            <w:r w:rsidRPr="00B8183B">
              <w:rPr>
                <w:rFonts w:eastAsia="Times New Roman" w:cs="Arial"/>
                <w:i/>
                <w:iCs/>
                <w:color w:val="000000"/>
              </w:rPr>
              <w:t xml:space="preserve"> </w:t>
            </w:r>
            <w:proofErr w:type="spellStart"/>
            <w:r w:rsidRPr="00B8183B">
              <w:rPr>
                <w:rFonts w:eastAsia="Times New Roman" w:cs="Arial"/>
                <w:i/>
                <w:iCs/>
                <w:color w:val="000000"/>
                <w:lang w:val="en-US"/>
              </w:rPr>
              <w:t>marcescens</w:t>
            </w:r>
            <w:proofErr w:type="spellEnd"/>
          </w:p>
          <w:p w14:paraId="5C1EA1B4" w14:textId="77777777" w:rsidR="00B8183B" w:rsidRPr="00B8183B" w:rsidRDefault="00B8183B" w:rsidP="00B8183B">
            <w:pPr>
              <w:spacing w:line="240" w:lineRule="auto"/>
              <w:rPr>
                <w:rFonts w:eastAsia="Times New Roman" w:cs="Arial"/>
                <w:color w:val="000000"/>
                <w:u w:val="single"/>
                <w:lang w:eastAsia="bg-BG"/>
              </w:rPr>
            </w:pPr>
          </w:p>
          <w:p w14:paraId="056B1949" w14:textId="5BB8D05F" w:rsidR="00B8183B" w:rsidRPr="00B8183B" w:rsidRDefault="00B8183B" w:rsidP="00B8183B">
            <w:pPr>
              <w:spacing w:line="240" w:lineRule="auto"/>
              <w:rPr>
                <w:rFonts w:eastAsia="Times New Roman" w:cs="Arial"/>
                <w:lang w:val="en-US"/>
              </w:rPr>
            </w:pPr>
            <w:r w:rsidRPr="00B8183B">
              <w:rPr>
                <w:rFonts w:eastAsia="Times New Roman" w:cs="Arial"/>
                <w:color w:val="000000"/>
                <w:u w:val="single"/>
                <w:lang w:eastAsia="bg-BG"/>
              </w:rPr>
              <w:t>Анаероби</w:t>
            </w:r>
          </w:p>
          <w:p w14:paraId="74CDF650" w14:textId="77777777" w:rsidR="00B8183B" w:rsidRPr="00B8183B" w:rsidRDefault="00B8183B" w:rsidP="00B8183B">
            <w:pPr>
              <w:spacing w:line="240" w:lineRule="auto"/>
              <w:rPr>
                <w:rFonts w:eastAsia="Times New Roman" w:cs="Arial"/>
                <w:color w:val="000000"/>
                <w:lang w:val="en-US"/>
              </w:rPr>
            </w:pPr>
            <w:proofErr w:type="spellStart"/>
            <w:r w:rsidRPr="00B8183B">
              <w:rPr>
                <w:rFonts w:eastAsia="Times New Roman" w:cs="Arial"/>
                <w:i/>
                <w:iCs/>
                <w:color w:val="000000"/>
                <w:lang w:val="en-US"/>
              </w:rPr>
              <w:t>Bacteroides</w:t>
            </w:r>
            <w:proofErr w:type="spellEnd"/>
            <w:r w:rsidRPr="00B8183B">
              <w:rPr>
                <w:rFonts w:eastAsia="Times New Roman" w:cs="Arial"/>
                <w:color w:val="000000"/>
                <w:lang w:val="en-US"/>
              </w:rPr>
              <w:t xml:space="preserve"> spp. </w:t>
            </w:r>
          </w:p>
          <w:p w14:paraId="77942B72" w14:textId="77777777" w:rsidR="00B8183B" w:rsidRPr="00B8183B" w:rsidRDefault="00B8183B" w:rsidP="00B8183B">
            <w:pPr>
              <w:spacing w:line="240" w:lineRule="auto"/>
              <w:rPr>
                <w:rFonts w:eastAsia="Times New Roman" w:cs="Arial"/>
                <w:color w:val="000000"/>
                <w:lang w:val="en-US"/>
              </w:rPr>
            </w:pPr>
            <w:proofErr w:type="spellStart"/>
            <w:r w:rsidRPr="00B8183B">
              <w:rPr>
                <w:rFonts w:eastAsia="Times New Roman" w:cs="Arial"/>
                <w:i/>
                <w:iCs/>
                <w:color w:val="000000"/>
                <w:lang w:val="en-US"/>
              </w:rPr>
              <w:t>Fusobacterium</w:t>
            </w:r>
            <w:proofErr w:type="spellEnd"/>
            <w:r w:rsidRPr="00B8183B">
              <w:rPr>
                <w:rFonts w:eastAsia="Times New Roman" w:cs="Arial"/>
                <w:color w:val="000000"/>
                <w:lang w:val="en-US"/>
              </w:rPr>
              <w:t xml:space="preserve"> spp. </w:t>
            </w:r>
          </w:p>
          <w:p w14:paraId="4442B164" w14:textId="77777777" w:rsidR="00B8183B" w:rsidRPr="00B8183B" w:rsidRDefault="00B8183B" w:rsidP="00B8183B">
            <w:pPr>
              <w:spacing w:line="240" w:lineRule="auto"/>
              <w:rPr>
                <w:rFonts w:eastAsia="Times New Roman" w:cs="Arial"/>
                <w:color w:val="000000"/>
                <w:lang w:val="en-US"/>
              </w:rPr>
            </w:pPr>
            <w:proofErr w:type="spellStart"/>
            <w:r w:rsidRPr="00B8183B">
              <w:rPr>
                <w:rFonts w:eastAsia="Times New Roman" w:cs="Arial"/>
                <w:i/>
                <w:iCs/>
                <w:color w:val="000000"/>
                <w:lang w:val="en-US"/>
              </w:rPr>
              <w:t>Peptostreptococcus</w:t>
            </w:r>
            <w:proofErr w:type="spellEnd"/>
            <w:r w:rsidRPr="00B8183B">
              <w:rPr>
                <w:rFonts w:eastAsia="Times New Roman" w:cs="Arial"/>
                <w:color w:val="000000"/>
                <w:lang w:val="en-US"/>
              </w:rPr>
              <w:t xml:space="preserve"> spp. </w:t>
            </w:r>
          </w:p>
          <w:p w14:paraId="78B5BA31" w14:textId="0A5399DF" w:rsidR="00B8183B" w:rsidRPr="00B8183B" w:rsidRDefault="00B8183B" w:rsidP="00B8183B">
            <w:pPr>
              <w:spacing w:line="240" w:lineRule="auto"/>
              <w:rPr>
                <w:rFonts w:eastAsia="Times New Roman" w:cs="Arial"/>
                <w:lang w:val="en-US"/>
              </w:rPr>
            </w:pPr>
            <w:r w:rsidRPr="00B8183B">
              <w:rPr>
                <w:rFonts w:eastAsia="Times New Roman" w:cs="Arial"/>
                <w:i/>
                <w:iCs/>
                <w:color w:val="000000"/>
                <w:lang w:val="en-US"/>
              </w:rPr>
              <w:t xml:space="preserve">Clostridium </w:t>
            </w:r>
            <w:proofErr w:type="spellStart"/>
            <w:r w:rsidRPr="00B8183B">
              <w:rPr>
                <w:rFonts w:eastAsia="Times New Roman" w:cs="Arial"/>
                <w:i/>
                <w:iCs/>
                <w:color w:val="000000"/>
                <w:lang w:val="en-US"/>
              </w:rPr>
              <w:t>perfringens</w:t>
            </w:r>
            <w:proofErr w:type="spellEnd"/>
          </w:p>
          <w:p w14:paraId="666DC9F7" w14:textId="49FFD3B5" w:rsidR="00B8183B" w:rsidRPr="00B8183B" w:rsidRDefault="00B8183B" w:rsidP="00B8183B">
            <w:pPr>
              <w:rPr>
                <w:rFonts w:cs="Arial"/>
              </w:rPr>
            </w:pPr>
          </w:p>
        </w:tc>
      </w:tr>
      <w:tr w:rsidR="00B8183B" w14:paraId="7106EEAB" w14:textId="77777777" w:rsidTr="00B8183B">
        <w:tc>
          <w:tcPr>
            <w:tcW w:w="9576" w:type="dxa"/>
          </w:tcPr>
          <w:p w14:paraId="556078CB" w14:textId="0893C76D" w:rsidR="00B8183B" w:rsidRPr="00B8183B" w:rsidRDefault="00B8183B" w:rsidP="00B8183B">
            <w:pPr>
              <w:rPr>
                <w:rFonts w:cs="Arial"/>
              </w:rPr>
            </w:pPr>
            <w:r w:rsidRPr="00B8183B">
              <w:rPr>
                <w:rFonts w:cs="Arial"/>
                <w:b/>
                <w:bCs/>
                <w:lang w:eastAsia="bg-BG"/>
              </w:rPr>
              <w:t xml:space="preserve">Микроорганизми </w:t>
            </w:r>
            <w:r w:rsidRPr="00B8183B">
              <w:rPr>
                <w:rFonts w:cs="Arial"/>
                <w:b/>
                <w:bCs/>
              </w:rPr>
              <w:t xml:space="preserve">c </w:t>
            </w:r>
            <w:r w:rsidRPr="00B8183B">
              <w:rPr>
                <w:rFonts w:cs="Arial"/>
                <w:b/>
                <w:bCs/>
                <w:lang w:eastAsia="bg-BG"/>
              </w:rPr>
              <w:t>присъща резистентност</w:t>
            </w:r>
          </w:p>
        </w:tc>
      </w:tr>
      <w:tr w:rsidR="00B8183B" w14:paraId="1D7094DF" w14:textId="77777777" w:rsidTr="00B8183B">
        <w:tc>
          <w:tcPr>
            <w:tcW w:w="9576" w:type="dxa"/>
          </w:tcPr>
          <w:p w14:paraId="151C0C45" w14:textId="77777777" w:rsidR="00B8183B" w:rsidRPr="00B8183B" w:rsidRDefault="00B8183B" w:rsidP="00B8183B">
            <w:pPr>
              <w:rPr>
                <w:rFonts w:cs="Arial"/>
                <w:u w:val="single"/>
                <w:lang w:eastAsia="bg-BG"/>
              </w:rPr>
            </w:pPr>
            <w:r w:rsidRPr="00B8183B">
              <w:rPr>
                <w:rFonts w:cs="Arial"/>
                <w:u w:val="single"/>
                <w:lang w:eastAsia="bg-BG"/>
              </w:rPr>
              <w:t xml:space="preserve">Грам-положителни аероби </w:t>
            </w:r>
          </w:p>
          <w:p w14:paraId="28566336" w14:textId="208E7B47" w:rsidR="00B8183B" w:rsidRPr="00B8183B" w:rsidRDefault="00B8183B" w:rsidP="00B8183B">
            <w:pPr>
              <w:rPr>
                <w:rFonts w:cs="Arial"/>
              </w:rPr>
            </w:pPr>
            <w:r w:rsidRPr="00B8183B">
              <w:rPr>
                <w:rFonts w:cs="Arial"/>
                <w:i/>
                <w:iCs/>
              </w:rPr>
              <w:t>Enterococcus</w:t>
            </w:r>
            <w:r w:rsidRPr="00B8183B">
              <w:rPr>
                <w:rFonts w:cs="Arial"/>
              </w:rPr>
              <w:t xml:space="preserve"> spp.</w:t>
            </w:r>
          </w:p>
          <w:p w14:paraId="1528D474" w14:textId="77777777" w:rsidR="00B8183B" w:rsidRPr="00B8183B" w:rsidRDefault="00B8183B" w:rsidP="00B8183B">
            <w:pPr>
              <w:rPr>
                <w:rFonts w:cs="Arial"/>
              </w:rPr>
            </w:pPr>
            <w:r w:rsidRPr="00B8183B">
              <w:rPr>
                <w:rFonts w:cs="Arial"/>
                <w:i/>
                <w:iCs/>
              </w:rPr>
              <w:t>Listeria monocytogenes</w:t>
            </w:r>
          </w:p>
          <w:p w14:paraId="6D613B8C" w14:textId="77777777" w:rsidR="00B8183B" w:rsidRPr="00B8183B" w:rsidRDefault="00B8183B" w:rsidP="00B8183B">
            <w:pPr>
              <w:rPr>
                <w:rFonts w:cs="Arial"/>
                <w:u w:val="single"/>
                <w:lang w:eastAsia="bg-BG"/>
              </w:rPr>
            </w:pPr>
          </w:p>
          <w:p w14:paraId="5A6B24B4" w14:textId="24FBDD30" w:rsidR="00B8183B" w:rsidRPr="00B8183B" w:rsidRDefault="00B8183B" w:rsidP="00B8183B">
            <w:pPr>
              <w:rPr>
                <w:rFonts w:cs="Arial"/>
              </w:rPr>
            </w:pPr>
            <w:r w:rsidRPr="00B8183B">
              <w:rPr>
                <w:rFonts w:cs="Arial"/>
                <w:u w:val="single"/>
                <w:lang w:eastAsia="bg-BG"/>
              </w:rPr>
              <w:t>Грам-отрицателни аероби</w:t>
            </w:r>
          </w:p>
          <w:p w14:paraId="5B6C00EE" w14:textId="77777777" w:rsidR="00B8183B" w:rsidRPr="00B8183B" w:rsidRDefault="00B8183B" w:rsidP="00B8183B">
            <w:pPr>
              <w:rPr>
                <w:rFonts w:cs="Arial"/>
              </w:rPr>
            </w:pPr>
            <w:r w:rsidRPr="00B8183B">
              <w:rPr>
                <w:rFonts w:cs="Arial"/>
                <w:i/>
                <w:iCs/>
              </w:rPr>
              <w:t>Acinetobacter baumannii Pseudomonas aeruginosa Stenotrophomonas maltophilia</w:t>
            </w:r>
          </w:p>
          <w:p w14:paraId="2FACA3B4" w14:textId="77777777" w:rsidR="00B8183B" w:rsidRPr="00B8183B" w:rsidRDefault="00B8183B" w:rsidP="00B8183B">
            <w:pPr>
              <w:rPr>
                <w:rFonts w:cs="Arial"/>
                <w:u w:val="single"/>
                <w:lang w:eastAsia="bg-BG"/>
              </w:rPr>
            </w:pPr>
          </w:p>
          <w:p w14:paraId="596C87BF" w14:textId="46366424" w:rsidR="00B8183B" w:rsidRPr="00B8183B" w:rsidRDefault="00B8183B" w:rsidP="00B8183B">
            <w:pPr>
              <w:rPr>
                <w:rFonts w:cs="Arial"/>
              </w:rPr>
            </w:pPr>
            <w:r w:rsidRPr="00B8183B">
              <w:rPr>
                <w:rFonts w:cs="Arial"/>
                <w:u w:val="single"/>
                <w:lang w:eastAsia="bg-BG"/>
              </w:rPr>
              <w:t>Анаероби</w:t>
            </w:r>
          </w:p>
          <w:p w14:paraId="33A089B2" w14:textId="77777777" w:rsidR="00B8183B" w:rsidRPr="00B8183B" w:rsidRDefault="00B8183B" w:rsidP="00B8183B">
            <w:pPr>
              <w:rPr>
                <w:rFonts w:cs="Arial"/>
              </w:rPr>
            </w:pPr>
            <w:r w:rsidRPr="00B8183B">
              <w:rPr>
                <w:rFonts w:cs="Arial"/>
                <w:i/>
                <w:iCs/>
              </w:rPr>
              <w:t>Clostridium difficile</w:t>
            </w:r>
          </w:p>
          <w:p w14:paraId="5EBD0DE4" w14:textId="77777777" w:rsidR="00B8183B" w:rsidRPr="00B8183B" w:rsidRDefault="00B8183B" w:rsidP="00B8183B">
            <w:pPr>
              <w:rPr>
                <w:rFonts w:cs="Arial"/>
                <w:i/>
                <w:iCs/>
              </w:rPr>
            </w:pPr>
          </w:p>
          <w:p w14:paraId="22F14036" w14:textId="02F232AB" w:rsidR="00B8183B" w:rsidRPr="00B8183B" w:rsidRDefault="00B8183B" w:rsidP="00B8183B">
            <w:pPr>
              <w:rPr>
                <w:rFonts w:cs="Arial"/>
                <w:iCs/>
                <w:u w:val="single"/>
              </w:rPr>
            </w:pPr>
            <w:r w:rsidRPr="00B8183B">
              <w:rPr>
                <w:rFonts w:cs="Arial"/>
                <w:iCs/>
                <w:u w:val="single"/>
              </w:rPr>
              <w:t>Други</w:t>
            </w:r>
          </w:p>
          <w:p w14:paraId="30CF4D4D" w14:textId="15CADF9D" w:rsidR="00B8183B" w:rsidRPr="00B8183B" w:rsidRDefault="00B8183B" w:rsidP="00B8183B">
            <w:pPr>
              <w:rPr>
                <w:rFonts w:cs="Arial"/>
              </w:rPr>
            </w:pPr>
            <w:r w:rsidRPr="00B8183B">
              <w:rPr>
                <w:rFonts w:cs="Arial"/>
                <w:i/>
                <w:iCs/>
              </w:rPr>
              <w:t>Chlamydia</w:t>
            </w:r>
            <w:r w:rsidRPr="00B8183B">
              <w:rPr>
                <w:rFonts w:cs="Arial"/>
              </w:rPr>
              <w:t xml:space="preserve"> spp.</w:t>
            </w:r>
          </w:p>
          <w:p w14:paraId="1BD5626F" w14:textId="77777777" w:rsidR="00B8183B" w:rsidRPr="00B8183B" w:rsidRDefault="00B8183B" w:rsidP="00B8183B">
            <w:pPr>
              <w:rPr>
                <w:rFonts w:cs="Arial"/>
              </w:rPr>
            </w:pPr>
            <w:r w:rsidRPr="00B8183B">
              <w:rPr>
                <w:rFonts w:cs="Arial"/>
                <w:i/>
                <w:iCs/>
              </w:rPr>
              <w:t>Chlamydophila</w:t>
            </w:r>
            <w:r w:rsidRPr="00B8183B">
              <w:rPr>
                <w:rFonts w:cs="Arial"/>
              </w:rPr>
              <w:t xml:space="preserve"> spp.</w:t>
            </w:r>
          </w:p>
          <w:p w14:paraId="642DFF88" w14:textId="77777777" w:rsidR="00B8183B" w:rsidRPr="00B8183B" w:rsidRDefault="00B8183B" w:rsidP="00B8183B">
            <w:pPr>
              <w:rPr>
                <w:rFonts w:cs="Arial"/>
              </w:rPr>
            </w:pPr>
            <w:r w:rsidRPr="00B8183B">
              <w:rPr>
                <w:rFonts w:cs="Arial"/>
                <w:i/>
                <w:iCs/>
              </w:rPr>
              <w:t>Mycoplasma</w:t>
            </w:r>
            <w:r w:rsidRPr="00B8183B">
              <w:rPr>
                <w:rFonts w:cs="Arial"/>
              </w:rPr>
              <w:t xml:space="preserve"> spp.</w:t>
            </w:r>
          </w:p>
          <w:p w14:paraId="53B101FC" w14:textId="77777777" w:rsidR="00B8183B" w:rsidRPr="00B8183B" w:rsidRDefault="00B8183B" w:rsidP="00B8183B">
            <w:pPr>
              <w:rPr>
                <w:rFonts w:cs="Arial"/>
              </w:rPr>
            </w:pPr>
            <w:r w:rsidRPr="00B8183B">
              <w:rPr>
                <w:rFonts w:cs="Arial"/>
                <w:i/>
                <w:iCs/>
              </w:rPr>
              <w:t>Legionella</w:t>
            </w:r>
            <w:r w:rsidRPr="00B8183B">
              <w:rPr>
                <w:rFonts w:cs="Arial"/>
              </w:rPr>
              <w:t xml:space="preserve"> spp.</w:t>
            </w:r>
          </w:p>
          <w:p w14:paraId="31FEF7AE" w14:textId="48A60ADF" w:rsidR="00B8183B" w:rsidRPr="00B8183B" w:rsidRDefault="00B8183B" w:rsidP="00B8183B">
            <w:pPr>
              <w:rPr>
                <w:rFonts w:cs="Arial"/>
              </w:rPr>
            </w:pPr>
            <w:r w:rsidRPr="00B8183B">
              <w:rPr>
                <w:rFonts w:cs="Arial"/>
                <w:i/>
                <w:iCs/>
              </w:rPr>
              <w:t>Ureaplasma urealyticum</w:t>
            </w:r>
          </w:p>
        </w:tc>
      </w:tr>
    </w:tbl>
    <w:p w14:paraId="3A49D54B" w14:textId="77777777" w:rsidR="00B8183B" w:rsidRPr="00B8183B" w:rsidRDefault="00B8183B" w:rsidP="00B8183B">
      <w:pPr>
        <w:rPr>
          <w:sz w:val="24"/>
          <w:szCs w:val="24"/>
        </w:rPr>
      </w:pPr>
      <w:r w:rsidRPr="00B8183B">
        <w:rPr>
          <w:vertAlign w:val="superscript"/>
          <w:lang w:eastAsia="bg-BG"/>
        </w:rPr>
        <w:lastRenderedPageBreak/>
        <w:t>£</w:t>
      </w:r>
      <w:r w:rsidRPr="00B8183B">
        <w:rPr>
          <w:lang w:eastAsia="bg-BG"/>
        </w:rPr>
        <w:t xml:space="preserve"> Всички метицилин-резистентни стафилококи са резистентни към цефтриаксон.</w:t>
      </w:r>
    </w:p>
    <w:p w14:paraId="3D887EAE" w14:textId="77777777" w:rsidR="00B8183B" w:rsidRPr="00B8183B" w:rsidRDefault="00B8183B" w:rsidP="00B8183B">
      <w:pPr>
        <w:rPr>
          <w:sz w:val="24"/>
          <w:szCs w:val="24"/>
        </w:rPr>
      </w:pPr>
      <w:r w:rsidRPr="00B8183B">
        <w:rPr>
          <w:vertAlign w:val="superscript"/>
          <w:lang w:eastAsia="bg-BG"/>
        </w:rPr>
        <w:t>+</w:t>
      </w:r>
      <w:r w:rsidRPr="00B8183B">
        <w:rPr>
          <w:lang w:eastAsia="bg-BG"/>
        </w:rPr>
        <w:t xml:space="preserve"> Честота на резистентност &gt; 50 % в най-малко един регион.</w:t>
      </w:r>
    </w:p>
    <w:p w14:paraId="3870AA49" w14:textId="77777777" w:rsidR="00B8183B" w:rsidRPr="00B8183B" w:rsidRDefault="00B8183B" w:rsidP="00B8183B">
      <w:pPr>
        <w:rPr>
          <w:sz w:val="24"/>
          <w:szCs w:val="24"/>
        </w:rPr>
      </w:pPr>
      <w:r w:rsidRPr="00B8183B">
        <w:rPr>
          <w:vertAlign w:val="superscript"/>
          <w:lang w:eastAsia="bg-BG"/>
        </w:rPr>
        <w:t>%</w:t>
      </w:r>
      <w:r w:rsidRPr="00B8183B">
        <w:rPr>
          <w:lang w:eastAsia="bg-BG"/>
        </w:rPr>
        <w:t xml:space="preserve"> </w:t>
      </w:r>
      <w:r w:rsidRPr="00B8183B">
        <w:rPr>
          <w:lang w:val="en-US"/>
        </w:rPr>
        <w:t>ESBL</w:t>
      </w:r>
      <w:r w:rsidRPr="00B8183B">
        <w:rPr>
          <w:lang w:eastAsia="bg-BG"/>
        </w:rPr>
        <w:t>-продуциращите щамове са винаги резистентни.</w:t>
      </w:r>
    </w:p>
    <w:p w14:paraId="6092759C" w14:textId="77777777" w:rsidR="00B8183B" w:rsidRPr="00B8183B" w:rsidRDefault="00B8183B" w:rsidP="00B8183B"/>
    <w:p w14:paraId="35F84B81" w14:textId="55417A86" w:rsidR="00CF77F7" w:rsidRDefault="002C50EE" w:rsidP="004A448E">
      <w:pPr>
        <w:pStyle w:val="Heading2"/>
      </w:pPr>
      <w:r>
        <w:t>5.2. Фармакокинетични свойства</w:t>
      </w:r>
    </w:p>
    <w:p w14:paraId="4C0655DF" w14:textId="2A193B22" w:rsidR="00B8183B" w:rsidRDefault="00B8183B" w:rsidP="00B8183B"/>
    <w:p w14:paraId="01B54ACA" w14:textId="77777777" w:rsidR="00B8183B" w:rsidRPr="009509FD" w:rsidRDefault="00B8183B" w:rsidP="009509FD">
      <w:pPr>
        <w:pStyle w:val="Heading3"/>
        <w:rPr>
          <w:rFonts w:eastAsia="Times New Roman"/>
          <w:sz w:val="28"/>
          <w:u w:val="single"/>
        </w:rPr>
      </w:pPr>
      <w:r w:rsidRPr="009509FD">
        <w:rPr>
          <w:rFonts w:eastAsia="Times New Roman"/>
          <w:u w:val="single"/>
          <w:lang w:eastAsia="bg-BG"/>
        </w:rPr>
        <w:t>Абсорбция</w:t>
      </w:r>
    </w:p>
    <w:p w14:paraId="2302E859"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 xml:space="preserve">След интравенозно болус приложение на цефтриаксон 500 </w:t>
      </w:r>
      <w:r w:rsidRPr="00B8183B">
        <w:rPr>
          <w:rFonts w:eastAsia="Times New Roman" w:cs="Arial"/>
          <w:color w:val="000000"/>
          <w:szCs w:val="20"/>
          <w:lang w:val="en-US"/>
        </w:rPr>
        <w:t>mg</w:t>
      </w:r>
      <w:r w:rsidRPr="00B8183B">
        <w:rPr>
          <w:rFonts w:eastAsia="Times New Roman" w:cs="Arial"/>
          <w:color w:val="000000"/>
          <w:szCs w:val="20"/>
          <w:lang w:val="ru-RU"/>
        </w:rPr>
        <w:t xml:space="preserve"> </w:t>
      </w:r>
      <w:r w:rsidRPr="00B8183B">
        <w:rPr>
          <w:rFonts w:eastAsia="Times New Roman" w:cs="Arial"/>
          <w:color w:val="000000"/>
          <w:szCs w:val="20"/>
          <w:lang w:eastAsia="bg-BG"/>
        </w:rPr>
        <w:t xml:space="preserve">и </w:t>
      </w:r>
      <w:r w:rsidRPr="00B8183B">
        <w:rPr>
          <w:rFonts w:eastAsia="Times New Roman" w:cs="Arial"/>
          <w:color w:val="000000"/>
          <w:szCs w:val="20"/>
          <w:lang w:val="ru-RU"/>
        </w:rPr>
        <w:t>1</w:t>
      </w:r>
      <w:r w:rsidRPr="00B8183B">
        <w:rPr>
          <w:rFonts w:eastAsia="Times New Roman" w:cs="Arial"/>
          <w:color w:val="000000"/>
          <w:szCs w:val="20"/>
          <w:lang w:val="en-US"/>
        </w:rPr>
        <w:t>g</w:t>
      </w:r>
      <w:r w:rsidRPr="00B8183B">
        <w:rPr>
          <w:rFonts w:eastAsia="Times New Roman" w:cs="Arial"/>
          <w:color w:val="000000"/>
          <w:szCs w:val="20"/>
          <w:lang w:val="ru-RU"/>
        </w:rPr>
        <w:t xml:space="preserve">, </w:t>
      </w:r>
      <w:r w:rsidRPr="00B8183B">
        <w:rPr>
          <w:rFonts w:eastAsia="Times New Roman" w:cs="Arial"/>
          <w:color w:val="000000"/>
          <w:szCs w:val="20"/>
          <w:lang w:eastAsia="bg-BG"/>
        </w:rPr>
        <w:t xml:space="preserve">средните пикови плазмени нива на цефтриаксон са съответно приблизително 120 и 200 </w:t>
      </w:r>
      <w:r w:rsidRPr="00B8183B">
        <w:rPr>
          <w:rFonts w:eastAsia="Times New Roman" w:cs="Arial"/>
          <w:color w:val="000000"/>
          <w:szCs w:val="20"/>
          <w:lang w:val="en-US"/>
        </w:rPr>
        <w:t>mg</w:t>
      </w:r>
      <w:r w:rsidRPr="00B8183B">
        <w:rPr>
          <w:rFonts w:eastAsia="Times New Roman" w:cs="Arial"/>
          <w:color w:val="000000"/>
          <w:szCs w:val="20"/>
          <w:lang w:val="ru-RU"/>
        </w:rPr>
        <w:t xml:space="preserve">/1. </w:t>
      </w:r>
      <w:r w:rsidRPr="00B8183B">
        <w:rPr>
          <w:rFonts w:eastAsia="Times New Roman" w:cs="Arial"/>
          <w:color w:val="000000"/>
          <w:szCs w:val="20"/>
          <w:lang w:eastAsia="bg-BG"/>
        </w:rPr>
        <w:t xml:space="preserve">След интравенозна инфузия на цефтриаксон 500 </w:t>
      </w:r>
      <w:r w:rsidRPr="00B8183B">
        <w:rPr>
          <w:rFonts w:eastAsia="Times New Roman" w:cs="Arial"/>
          <w:color w:val="000000"/>
          <w:szCs w:val="20"/>
          <w:lang w:val="en-US"/>
        </w:rPr>
        <w:t>mg</w:t>
      </w:r>
      <w:r w:rsidRPr="00B8183B">
        <w:rPr>
          <w:rFonts w:eastAsia="Times New Roman" w:cs="Arial"/>
          <w:color w:val="000000"/>
          <w:szCs w:val="20"/>
          <w:lang w:val="ru-RU"/>
        </w:rPr>
        <w:t xml:space="preserve">, </w:t>
      </w:r>
      <w:r w:rsidRPr="00B8183B">
        <w:rPr>
          <w:rFonts w:eastAsia="Times New Roman" w:cs="Arial"/>
          <w:color w:val="000000"/>
          <w:szCs w:val="20"/>
          <w:lang w:eastAsia="bg-BG"/>
        </w:rPr>
        <w:t xml:space="preserve">1 </w:t>
      </w:r>
      <w:r w:rsidRPr="00B8183B">
        <w:rPr>
          <w:rFonts w:eastAsia="Times New Roman" w:cs="Arial"/>
          <w:color w:val="000000"/>
          <w:szCs w:val="20"/>
          <w:lang w:val="en-US"/>
        </w:rPr>
        <w:t>g</w:t>
      </w:r>
      <w:r w:rsidRPr="00B8183B">
        <w:rPr>
          <w:rFonts w:eastAsia="Times New Roman" w:cs="Arial"/>
          <w:color w:val="000000"/>
          <w:szCs w:val="20"/>
          <w:lang w:val="ru-RU"/>
        </w:rPr>
        <w:t xml:space="preserve"> </w:t>
      </w:r>
      <w:r w:rsidRPr="00B8183B">
        <w:rPr>
          <w:rFonts w:eastAsia="Times New Roman" w:cs="Arial"/>
          <w:color w:val="000000"/>
          <w:szCs w:val="20"/>
          <w:lang w:eastAsia="bg-BG"/>
        </w:rPr>
        <w:t xml:space="preserve">и 2 </w:t>
      </w:r>
      <w:r w:rsidRPr="00B8183B">
        <w:rPr>
          <w:rFonts w:eastAsia="Times New Roman" w:cs="Arial"/>
          <w:color w:val="000000"/>
          <w:szCs w:val="20"/>
          <w:lang w:val="en-US"/>
        </w:rPr>
        <w:t>g</w:t>
      </w:r>
      <w:r w:rsidRPr="00B8183B">
        <w:rPr>
          <w:rFonts w:eastAsia="Times New Roman" w:cs="Arial"/>
          <w:color w:val="000000"/>
          <w:szCs w:val="20"/>
          <w:lang w:val="ru-RU"/>
        </w:rPr>
        <w:t xml:space="preserve">, </w:t>
      </w:r>
      <w:r w:rsidRPr="00B8183B">
        <w:rPr>
          <w:rFonts w:eastAsia="Times New Roman" w:cs="Arial"/>
          <w:color w:val="000000"/>
          <w:szCs w:val="20"/>
          <w:lang w:eastAsia="bg-BG"/>
        </w:rPr>
        <w:t xml:space="preserve">плазмените нива на цефтриаксон са съответно приблизително 80,150 и 250 </w:t>
      </w:r>
      <w:r w:rsidRPr="00B8183B">
        <w:rPr>
          <w:rFonts w:eastAsia="Times New Roman" w:cs="Arial"/>
          <w:color w:val="000000"/>
          <w:szCs w:val="20"/>
          <w:lang w:val="en-US"/>
        </w:rPr>
        <w:t>mg</w:t>
      </w:r>
      <w:r w:rsidRPr="00B8183B">
        <w:rPr>
          <w:rFonts w:eastAsia="Times New Roman" w:cs="Arial"/>
          <w:color w:val="000000"/>
          <w:szCs w:val="20"/>
          <w:lang w:val="ru-RU"/>
        </w:rPr>
        <w:t>/1.</w:t>
      </w:r>
    </w:p>
    <w:p w14:paraId="41986451"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 xml:space="preserve">След интрамускулно инжектиране средните пикови плазмени нива на цефтриаксон са приблизително наполовина на наблюдаваните след интравенозно приложение на еквивалентна доза. Максималната плазмена концентрация след динична доза от 1 </w:t>
      </w:r>
      <w:r w:rsidRPr="00B8183B">
        <w:rPr>
          <w:rFonts w:eastAsia="Times New Roman" w:cs="Arial"/>
          <w:color w:val="000000"/>
          <w:szCs w:val="20"/>
          <w:lang w:val="en-US"/>
        </w:rPr>
        <w:t>g</w:t>
      </w:r>
      <w:r w:rsidRPr="00B8183B">
        <w:rPr>
          <w:rFonts w:eastAsia="Times New Roman" w:cs="Arial"/>
          <w:color w:val="000000"/>
          <w:szCs w:val="20"/>
          <w:lang w:val="ru-RU"/>
        </w:rPr>
        <w:t xml:space="preserve"> </w:t>
      </w:r>
      <w:r w:rsidRPr="00B8183B">
        <w:rPr>
          <w:rFonts w:eastAsia="Times New Roman" w:cs="Arial"/>
          <w:color w:val="000000"/>
          <w:szCs w:val="20"/>
          <w:lang w:eastAsia="bg-BG"/>
        </w:rPr>
        <w:t xml:space="preserve">интрамускулно е около 81 </w:t>
      </w:r>
      <w:r w:rsidRPr="00B8183B">
        <w:rPr>
          <w:rFonts w:eastAsia="Times New Roman" w:cs="Arial"/>
          <w:color w:val="000000"/>
          <w:szCs w:val="20"/>
          <w:lang w:val="en-US"/>
        </w:rPr>
        <w:t>mg</w:t>
      </w:r>
      <w:r w:rsidRPr="00B8183B">
        <w:rPr>
          <w:rFonts w:eastAsia="Times New Roman" w:cs="Arial"/>
          <w:color w:val="000000"/>
          <w:szCs w:val="20"/>
          <w:lang w:val="ru-RU"/>
        </w:rPr>
        <w:t xml:space="preserve">/1 </w:t>
      </w:r>
      <w:r w:rsidRPr="00B8183B">
        <w:rPr>
          <w:rFonts w:eastAsia="Times New Roman" w:cs="Arial"/>
          <w:color w:val="000000"/>
          <w:szCs w:val="20"/>
          <w:lang w:eastAsia="bg-BG"/>
        </w:rPr>
        <w:t>и се достига 2-3 часа след приложение.</w:t>
      </w:r>
    </w:p>
    <w:p w14:paraId="0E4D5AEF"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Площта под кривата плазмена концентрация-време след интрамускулно приложение е еквивалентна на тази след интравенозно приложение на еквивалентна доза.</w:t>
      </w:r>
    </w:p>
    <w:p w14:paraId="24FE4924" w14:textId="48A63EB1" w:rsidR="00B8183B" w:rsidRPr="00B8183B" w:rsidRDefault="00B8183B" w:rsidP="00B8183B">
      <w:pPr>
        <w:rPr>
          <w:rFonts w:cs="Arial"/>
          <w:sz w:val="24"/>
        </w:rPr>
      </w:pPr>
    </w:p>
    <w:p w14:paraId="28EE0C3D" w14:textId="77777777" w:rsidR="00B8183B" w:rsidRPr="009509FD" w:rsidRDefault="00B8183B" w:rsidP="009509FD">
      <w:pPr>
        <w:pStyle w:val="Heading3"/>
        <w:rPr>
          <w:rFonts w:eastAsia="Times New Roman"/>
          <w:sz w:val="28"/>
          <w:u w:val="single"/>
        </w:rPr>
      </w:pPr>
      <w:r w:rsidRPr="009509FD">
        <w:rPr>
          <w:rFonts w:eastAsia="Times New Roman"/>
          <w:u w:val="single"/>
          <w:lang w:eastAsia="bg-BG"/>
        </w:rPr>
        <w:t>Разпределение</w:t>
      </w:r>
    </w:p>
    <w:p w14:paraId="4F584804"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Обемът на разпределение на цефтриаксон е 7-121. Концентрации много над минималните инхибиторни концентрации на повечето приложими патогени могат да се открият в тъканите, включително белите дробове, сърцето, жлъчните пътища/черния дроб, сливиците, средното ухо и носната лигавица, костите и в цереброспиналната, плевралната, простатната и синовиалната течност. При многократно приложение се наблюдава 8-15 % повишение на средната пикова плазмена концентрация (С</w:t>
      </w:r>
      <w:r w:rsidRPr="00B8183B">
        <w:rPr>
          <w:rFonts w:eastAsia="Times New Roman" w:cs="Arial"/>
          <w:color w:val="000000"/>
          <w:szCs w:val="20"/>
          <w:vertAlign w:val="subscript"/>
          <w:lang w:val="en-US"/>
        </w:rPr>
        <w:t>max</w:t>
      </w:r>
      <w:r w:rsidRPr="00B8183B">
        <w:rPr>
          <w:rFonts w:eastAsia="Times New Roman" w:cs="Arial"/>
          <w:color w:val="000000"/>
          <w:szCs w:val="20"/>
          <w:lang w:eastAsia="bg-BG"/>
        </w:rPr>
        <w:t>); стационарно състояние се достига в повечето случаи в рамките на 48-72 часа в зависимост от пътя на прилагане.</w:t>
      </w:r>
    </w:p>
    <w:p w14:paraId="3CC7ED1D" w14:textId="77777777" w:rsidR="00B8183B" w:rsidRPr="00B8183B" w:rsidRDefault="00B8183B" w:rsidP="00B8183B">
      <w:pPr>
        <w:spacing w:line="240" w:lineRule="auto"/>
        <w:rPr>
          <w:rFonts w:eastAsia="Times New Roman" w:cs="Arial"/>
          <w:i/>
          <w:iCs/>
          <w:color w:val="000000"/>
          <w:szCs w:val="20"/>
          <w:u w:val="single"/>
          <w:lang w:eastAsia="bg-BG"/>
        </w:rPr>
      </w:pPr>
    </w:p>
    <w:p w14:paraId="08CFA2B7" w14:textId="75684910" w:rsidR="00B8183B" w:rsidRPr="00B8183B" w:rsidRDefault="00B8183B" w:rsidP="00B8183B">
      <w:pPr>
        <w:spacing w:line="240" w:lineRule="auto"/>
        <w:rPr>
          <w:rFonts w:eastAsia="Times New Roman" w:cs="Arial"/>
          <w:sz w:val="28"/>
          <w:szCs w:val="24"/>
        </w:rPr>
      </w:pPr>
      <w:r w:rsidRPr="00B8183B">
        <w:rPr>
          <w:rFonts w:eastAsia="Times New Roman" w:cs="Arial"/>
          <w:i/>
          <w:iCs/>
          <w:color w:val="000000"/>
          <w:szCs w:val="20"/>
          <w:u w:val="single"/>
          <w:lang w:eastAsia="bg-BG"/>
        </w:rPr>
        <w:t>Проникване в конкретни тъкани</w:t>
      </w:r>
    </w:p>
    <w:p w14:paraId="20A1F11E"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 xml:space="preserve">Цефтриаксон прониква в менингите. Проникването е най-голямо, когато менингите са възпалени. Средни пикови концентрации на цефтриаксон в ликвора при пациенти с бактериален менингит се съобщават със стойности до 25 % от плазмените нива в сравнение с 2 % от плазмените нива при пациенти с невъзпалени менинги. Пикови концентрации на цефтриаксон в цереброспиналната течност се достигат приблизително </w:t>
      </w:r>
      <w:r w:rsidRPr="00B8183B">
        <w:rPr>
          <w:rFonts w:eastAsia="Times New Roman" w:cs="Arial"/>
          <w:color w:val="000000"/>
          <w:szCs w:val="20"/>
          <w:lang w:eastAsia="bg-BG"/>
        </w:rPr>
        <w:lastRenderedPageBreak/>
        <w:t>4-6 часа след интравенозно инжектиране. Цефтриаксон преминава плацентарната бариера и се екскретира в кърмата в ниски концентрации (вж. точка 4.6).</w:t>
      </w:r>
    </w:p>
    <w:p w14:paraId="23007BD3" w14:textId="77777777" w:rsidR="00B8183B" w:rsidRPr="00B8183B" w:rsidRDefault="00B8183B" w:rsidP="00B8183B">
      <w:pPr>
        <w:spacing w:line="240" w:lineRule="auto"/>
        <w:rPr>
          <w:rFonts w:eastAsia="Times New Roman" w:cs="Arial"/>
          <w:i/>
          <w:iCs/>
          <w:color w:val="000000"/>
          <w:szCs w:val="20"/>
          <w:u w:val="single"/>
          <w:lang w:eastAsia="bg-BG"/>
        </w:rPr>
      </w:pPr>
    </w:p>
    <w:p w14:paraId="7FABCCEF" w14:textId="5CE04694" w:rsidR="00B8183B" w:rsidRPr="00B8183B" w:rsidRDefault="00B8183B" w:rsidP="00B8183B">
      <w:pPr>
        <w:spacing w:line="240" w:lineRule="auto"/>
        <w:rPr>
          <w:rFonts w:eastAsia="Times New Roman" w:cs="Arial"/>
          <w:sz w:val="28"/>
          <w:szCs w:val="24"/>
        </w:rPr>
      </w:pPr>
      <w:r w:rsidRPr="00B8183B">
        <w:rPr>
          <w:rFonts w:eastAsia="Times New Roman" w:cs="Arial"/>
          <w:i/>
          <w:iCs/>
          <w:color w:val="000000"/>
          <w:szCs w:val="20"/>
          <w:u w:val="single"/>
          <w:lang w:eastAsia="bg-BG"/>
        </w:rPr>
        <w:t>Свързване с протеини</w:t>
      </w:r>
    </w:p>
    <w:p w14:paraId="7CE1E023"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 xml:space="preserve">Цефтриаксон се свързва обратимо с албумина. Свързването с плазмените протеини е около 95 % при концентрации в плазмата под 100 </w:t>
      </w:r>
      <w:r w:rsidRPr="00B8183B">
        <w:rPr>
          <w:rFonts w:eastAsia="Times New Roman" w:cs="Arial"/>
          <w:color w:val="000000"/>
          <w:szCs w:val="20"/>
          <w:lang w:val="en-US"/>
        </w:rPr>
        <w:t>mg</w:t>
      </w:r>
      <w:r w:rsidRPr="00B8183B">
        <w:rPr>
          <w:rFonts w:eastAsia="Times New Roman" w:cs="Arial"/>
          <w:color w:val="000000"/>
          <w:szCs w:val="20"/>
          <w:lang w:val="ru-RU"/>
        </w:rPr>
        <w:t xml:space="preserve">/1. </w:t>
      </w:r>
      <w:r w:rsidRPr="00B8183B">
        <w:rPr>
          <w:rFonts w:eastAsia="Times New Roman" w:cs="Arial"/>
          <w:color w:val="000000"/>
          <w:szCs w:val="20"/>
          <w:lang w:eastAsia="bg-BG"/>
        </w:rPr>
        <w:t xml:space="preserve">Свързването е насищаемо и свързаната част намалява с повишаване на концентрацията (до 85 % при концентрация в плазмата 300 </w:t>
      </w:r>
      <w:r w:rsidRPr="00B8183B">
        <w:rPr>
          <w:rFonts w:eastAsia="Times New Roman" w:cs="Arial"/>
          <w:color w:val="000000"/>
          <w:szCs w:val="20"/>
          <w:lang w:val="en-US"/>
        </w:rPr>
        <w:t>mg</w:t>
      </w:r>
      <w:r w:rsidRPr="00B8183B">
        <w:rPr>
          <w:rFonts w:eastAsia="Times New Roman" w:cs="Arial"/>
          <w:color w:val="000000"/>
          <w:szCs w:val="20"/>
          <w:lang w:val="ru-RU"/>
        </w:rPr>
        <w:t>/1).</w:t>
      </w:r>
    </w:p>
    <w:p w14:paraId="2E7DA780" w14:textId="77777777" w:rsidR="00B8183B" w:rsidRPr="00B8183B" w:rsidRDefault="00B8183B" w:rsidP="00B8183B">
      <w:pPr>
        <w:spacing w:line="240" w:lineRule="auto"/>
        <w:rPr>
          <w:rFonts w:eastAsia="Times New Roman" w:cs="Arial"/>
          <w:color w:val="000000"/>
          <w:szCs w:val="20"/>
          <w:u w:val="single"/>
          <w:lang w:eastAsia="bg-BG"/>
        </w:rPr>
      </w:pPr>
    </w:p>
    <w:p w14:paraId="00608D8A" w14:textId="649B223F" w:rsidR="00B8183B" w:rsidRPr="009509FD" w:rsidRDefault="00B8183B" w:rsidP="009509FD">
      <w:pPr>
        <w:pStyle w:val="Heading3"/>
        <w:rPr>
          <w:rFonts w:eastAsia="Times New Roman"/>
          <w:sz w:val="28"/>
          <w:u w:val="single"/>
        </w:rPr>
      </w:pPr>
      <w:r w:rsidRPr="009509FD">
        <w:rPr>
          <w:rFonts w:eastAsia="Times New Roman"/>
          <w:u w:val="single"/>
          <w:lang w:eastAsia="bg-BG"/>
        </w:rPr>
        <w:t>Биотрансформация</w:t>
      </w:r>
    </w:p>
    <w:p w14:paraId="13228D20"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Цефтриаксон не претърпява системен метаболизъм, а се превръща в неактивни метаболити от чревната флора.</w:t>
      </w:r>
    </w:p>
    <w:p w14:paraId="120B82DF" w14:textId="77777777" w:rsidR="00B8183B" w:rsidRPr="00B8183B" w:rsidRDefault="00B8183B" w:rsidP="00B8183B">
      <w:pPr>
        <w:spacing w:line="240" w:lineRule="auto"/>
        <w:rPr>
          <w:rFonts w:eastAsia="Times New Roman" w:cs="Arial"/>
          <w:color w:val="000000"/>
          <w:szCs w:val="20"/>
          <w:u w:val="single"/>
          <w:lang w:eastAsia="bg-BG"/>
        </w:rPr>
      </w:pPr>
    </w:p>
    <w:p w14:paraId="2F8CBBA0" w14:textId="258FA076" w:rsidR="00B8183B" w:rsidRPr="009509FD" w:rsidRDefault="00B8183B" w:rsidP="009509FD">
      <w:pPr>
        <w:pStyle w:val="Heading3"/>
        <w:rPr>
          <w:rFonts w:eastAsia="Times New Roman"/>
          <w:sz w:val="28"/>
          <w:u w:val="single"/>
        </w:rPr>
      </w:pPr>
      <w:r w:rsidRPr="009509FD">
        <w:rPr>
          <w:rFonts w:eastAsia="Times New Roman"/>
          <w:u w:val="single"/>
          <w:lang w:eastAsia="bg-BG"/>
        </w:rPr>
        <w:t>Елиминиране</w:t>
      </w:r>
    </w:p>
    <w:p w14:paraId="4506B768"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 xml:space="preserve">Плазменият клирьнс на общия цефтриаксон (свързан и несвързан) е 10-22 </w:t>
      </w:r>
      <w:r w:rsidRPr="00B8183B">
        <w:rPr>
          <w:rFonts w:eastAsia="Times New Roman" w:cs="Arial"/>
          <w:color w:val="000000"/>
          <w:szCs w:val="20"/>
          <w:lang w:val="en-US"/>
        </w:rPr>
        <w:t>ml</w:t>
      </w:r>
      <w:r w:rsidRPr="00B8183B">
        <w:rPr>
          <w:rFonts w:eastAsia="Times New Roman" w:cs="Arial"/>
          <w:color w:val="000000"/>
          <w:szCs w:val="20"/>
          <w:lang w:val="ru-RU"/>
        </w:rPr>
        <w:t>/</w:t>
      </w:r>
      <w:r w:rsidRPr="00B8183B">
        <w:rPr>
          <w:rFonts w:eastAsia="Times New Roman" w:cs="Arial"/>
          <w:color w:val="000000"/>
          <w:szCs w:val="20"/>
          <w:lang w:val="en-US"/>
        </w:rPr>
        <w:t>min</w:t>
      </w:r>
      <w:r w:rsidRPr="00B8183B">
        <w:rPr>
          <w:rFonts w:eastAsia="Times New Roman" w:cs="Arial"/>
          <w:color w:val="000000"/>
          <w:szCs w:val="20"/>
          <w:lang w:val="ru-RU"/>
        </w:rPr>
        <w:t xml:space="preserve">. </w:t>
      </w:r>
      <w:r w:rsidRPr="00B8183B">
        <w:rPr>
          <w:rFonts w:eastAsia="Times New Roman" w:cs="Arial"/>
          <w:color w:val="000000"/>
          <w:szCs w:val="20"/>
          <w:lang w:eastAsia="bg-BG"/>
        </w:rPr>
        <w:t xml:space="preserve">Бъбречният клирънс е 5-12 </w:t>
      </w:r>
      <w:r w:rsidRPr="00B8183B">
        <w:rPr>
          <w:rFonts w:eastAsia="Times New Roman" w:cs="Arial"/>
          <w:color w:val="000000"/>
          <w:szCs w:val="20"/>
          <w:lang w:val="en-US"/>
        </w:rPr>
        <w:t>ml</w:t>
      </w:r>
      <w:r w:rsidRPr="00B8183B">
        <w:rPr>
          <w:rFonts w:eastAsia="Times New Roman" w:cs="Arial"/>
          <w:color w:val="000000"/>
          <w:szCs w:val="20"/>
          <w:lang w:val="ru-RU"/>
        </w:rPr>
        <w:t>/</w:t>
      </w:r>
      <w:r w:rsidRPr="00B8183B">
        <w:rPr>
          <w:rFonts w:eastAsia="Times New Roman" w:cs="Arial"/>
          <w:color w:val="000000"/>
          <w:szCs w:val="20"/>
          <w:lang w:val="en-US"/>
        </w:rPr>
        <w:t>min</w:t>
      </w:r>
      <w:r w:rsidRPr="00B8183B">
        <w:rPr>
          <w:rFonts w:eastAsia="Times New Roman" w:cs="Arial"/>
          <w:color w:val="000000"/>
          <w:szCs w:val="20"/>
          <w:lang w:val="ru-RU"/>
        </w:rPr>
        <w:t xml:space="preserve">. </w:t>
      </w:r>
      <w:r w:rsidRPr="00B8183B">
        <w:rPr>
          <w:rFonts w:eastAsia="Times New Roman" w:cs="Arial"/>
          <w:color w:val="000000"/>
          <w:szCs w:val="20"/>
          <w:lang w:eastAsia="bg-BG"/>
        </w:rPr>
        <w:t>50-60 % от цефтриаксон се екскретира непроменен в урината, основно чрез гломерулна филтрация, докато 40-50 % се екскретират непроменени в жлъчката.</w:t>
      </w:r>
    </w:p>
    <w:p w14:paraId="2DB6EB5F"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Елиминационният полуживот на общия цефтриаксон при възрастни е около 8 часа.</w:t>
      </w:r>
    </w:p>
    <w:p w14:paraId="7BADC133" w14:textId="77777777" w:rsidR="00B8183B" w:rsidRPr="00B8183B" w:rsidRDefault="00B8183B" w:rsidP="00B8183B">
      <w:pPr>
        <w:spacing w:line="240" w:lineRule="auto"/>
        <w:rPr>
          <w:rFonts w:eastAsia="Times New Roman" w:cs="Arial"/>
          <w:i/>
          <w:iCs/>
          <w:color w:val="000000"/>
          <w:szCs w:val="20"/>
          <w:u w:val="single"/>
          <w:lang w:eastAsia="bg-BG"/>
        </w:rPr>
      </w:pPr>
    </w:p>
    <w:p w14:paraId="5D706624" w14:textId="5EA85ABC" w:rsidR="00B8183B" w:rsidRPr="00B8183B" w:rsidRDefault="00B8183B" w:rsidP="00B8183B">
      <w:pPr>
        <w:spacing w:line="240" w:lineRule="auto"/>
        <w:rPr>
          <w:rFonts w:eastAsia="Times New Roman" w:cs="Arial"/>
          <w:sz w:val="28"/>
          <w:szCs w:val="24"/>
        </w:rPr>
      </w:pPr>
      <w:r w:rsidRPr="00B8183B">
        <w:rPr>
          <w:rFonts w:eastAsia="Times New Roman" w:cs="Arial"/>
          <w:i/>
          <w:iCs/>
          <w:color w:val="000000"/>
          <w:szCs w:val="20"/>
          <w:u w:val="single"/>
          <w:lang w:eastAsia="bg-BG"/>
        </w:rPr>
        <w:t>Паииенти с бъбречно или чернодробно увреждане</w:t>
      </w:r>
    </w:p>
    <w:p w14:paraId="2707FDAB" w14:textId="77777777" w:rsidR="00B8183B" w:rsidRPr="00B8183B" w:rsidRDefault="00B8183B" w:rsidP="00B8183B">
      <w:pPr>
        <w:spacing w:line="240" w:lineRule="auto"/>
        <w:rPr>
          <w:rFonts w:eastAsia="Times New Roman" w:cs="Arial"/>
          <w:color w:val="000000"/>
          <w:szCs w:val="20"/>
          <w:lang w:eastAsia="bg-BG"/>
        </w:rPr>
      </w:pPr>
      <w:r w:rsidRPr="00B8183B">
        <w:rPr>
          <w:rFonts w:eastAsia="Times New Roman" w:cs="Arial"/>
          <w:color w:val="000000"/>
          <w:szCs w:val="20"/>
          <w:lang w:eastAsia="bg-BG"/>
        </w:rPr>
        <w:t xml:space="preserve">При пациенти с бъбречна или чернодробна дисфункция фармакокинетиката на цефтриаксон се променя минимално с леко удължаване на полуживота (по-малко от двукратно), дори при пациенти с тежко </w:t>
      </w:r>
    </w:p>
    <w:p w14:paraId="3C0B499F" w14:textId="36D5115D"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нарушена бъбречна функция.</w:t>
      </w:r>
    </w:p>
    <w:p w14:paraId="7B643238" w14:textId="77777777" w:rsidR="00B8183B" w:rsidRPr="00B8183B" w:rsidRDefault="00B8183B" w:rsidP="00B8183B">
      <w:pPr>
        <w:spacing w:line="240" w:lineRule="auto"/>
        <w:rPr>
          <w:rFonts w:eastAsia="Times New Roman" w:cs="Arial"/>
          <w:color w:val="000000"/>
          <w:szCs w:val="20"/>
          <w:lang w:eastAsia="bg-BG"/>
        </w:rPr>
      </w:pPr>
    </w:p>
    <w:p w14:paraId="18142ABC" w14:textId="789B5DA3"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Сравнително малкото удължаване на полуживота при бъбречно увреждане се обяснява с компенсаторно повишение на небъбречния клирънс, получаващо се в резултат на намаляване на свързването с протеините и съответно увеличение на небъбречния клирънс на общия цефтриаксон.</w:t>
      </w:r>
    </w:p>
    <w:p w14:paraId="6C69EDCF" w14:textId="77777777" w:rsidR="00B8183B" w:rsidRPr="00B8183B" w:rsidRDefault="00B8183B" w:rsidP="00B8183B">
      <w:pPr>
        <w:spacing w:line="240" w:lineRule="auto"/>
        <w:rPr>
          <w:rFonts w:eastAsia="Times New Roman" w:cs="Arial"/>
          <w:color w:val="000000"/>
          <w:szCs w:val="20"/>
          <w:lang w:eastAsia="bg-BG"/>
        </w:rPr>
      </w:pPr>
    </w:p>
    <w:p w14:paraId="58B83D32" w14:textId="705AF4B0"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При пациенти с чернодробно увреждане елиминационният полуживот на цефтриаксон не се удължава вследствие на коменсаторно увеличение на бъбречния клирънс. Това се дължи и на увеличение на свободната фракция на цефтриаксон в плазмата, което допринася за наблюдаваното парадоксално увеличение на общия лекарствен клирънс, с увеличение на обема на разпределение паралелно на това на общия клирьнс.</w:t>
      </w:r>
    </w:p>
    <w:p w14:paraId="62910433" w14:textId="77777777" w:rsidR="00B8183B" w:rsidRPr="00B8183B" w:rsidRDefault="00B8183B" w:rsidP="00B8183B">
      <w:pPr>
        <w:spacing w:line="240" w:lineRule="auto"/>
        <w:rPr>
          <w:rFonts w:eastAsia="Times New Roman" w:cs="Arial"/>
          <w:i/>
          <w:iCs/>
          <w:color w:val="000000"/>
          <w:szCs w:val="20"/>
          <w:u w:val="single"/>
          <w:lang w:eastAsia="bg-BG"/>
        </w:rPr>
      </w:pPr>
    </w:p>
    <w:p w14:paraId="2F108B45" w14:textId="53D9B8BD" w:rsidR="00B8183B" w:rsidRPr="00B8183B" w:rsidRDefault="00B8183B" w:rsidP="00B8183B">
      <w:pPr>
        <w:spacing w:line="240" w:lineRule="auto"/>
        <w:rPr>
          <w:rFonts w:eastAsia="Times New Roman" w:cs="Arial"/>
          <w:sz w:val="28"/>
          <w:szCs w:val="24"/>
        </w:rPr>
      </w:pPr>
      <w:r w:rsidRPr="00B8183B">
        <w:rPr>
          <w:rFonts w:eastAsia="Times New Roman" w:cs="Arial"/>
          <w:i/>
          <w:iCs/>
          <w:color w:val="000000"/>
          <w:szCs w:val="20"/>
          <w:u w:val="single"/>
          <w:lang w:eastAsia="bg-BG"/>
        </w:rPr>
        <w:t>Хора в старческа възраст</w:t>
      </w:r>
    </w:p>
    <w:p w14:paraId="28BBA352"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При хора в старческа възраст над 75 години средният елиминационен полуживот обикновено е два до три пъти по-голям от този при млади възрастни пациенти.</w:t>
      </w:r>
    </w:p>
    <w:p w14:paraId="4520FBF4" w14:textId="77777777" w:rsidR="00B8183B" w:rsidRPr="00B8183B" w:rsidRDefault="00B8183B" w:rsidP="00B8183B">
      <w:pPr>
        <w:spacing w:line="240" w:lineRule="auto"/>
        <w:rPr>
          <w:rFonts w:eastAsia="Times New Roman" w:cs="Arial"/>
          <w:i/>
          <w:iCs/>
          <w:color w:val="000000"/>
          <w:szCs w:val="20"/>
          <w:u w:val="single"/>
          <w:lang w:eastAsia="bg-BG"/>
        </w:rPr>
      </w:pPr>
    </w:p>
    <w:p w14:paraId="41753EAE" w14:textId="4DE77FDC" w:rsidR="00B8183B" w:rsidRPr="00B8183B" w:rsidRDefault="00B8183B" w:rsidP="00B8183B">
      <w:pPr>
        <w:spacing w:line="240" w:lineRule="auto"/>
        <w:rPr>
          <w:rFonts w:eastAsia="Times New Roman" w:cs="Arial"/>
          <w:sz w:val="28"/>
          <w:szCs w:val="24"/>
        </w:rPr>
      </w:pPr>
      <w:r w:rsidRPr="00B8183B">
        <w:rPr>
          <w:rFonts w:eastAsia="Times New Roman" w:cs="Arial"/>
          <w:i/>
          <w:iCs/>
          <w:color w:val="000000"/>
          <w:szCs w:val="20"/>
          <w:u w:val="single"/>
          <w:lang w:eastAsia="bg-BG"/>
        </w:rPr>
        <w:t>Педиатрична популаиия</w:t>
      </w:r>
    </w:p>
    <w:p w14:paraId="3075E2AB" w14:textId="77777777" w:rsidR="00B8183B" w:rsidRPr="00B8183B" w:rsidRDefault="00B8183B" w:rsidP="00B8183B">
      <w:pPr>
        <w:rPr>
          <w:rFonts w:eastAsia="Times New Roman" w:cs="Arial"/>
          <w:sz w:val="28"/>
          <w:szCs w:val="24"/>
        </w:rPr>
      </w:pPr>
      <w:r w:rsidRPr="00B8183B">
        <w:rPr>
          <w:rFonts w:eastAsia="Times New Roman" w:cs="Arial"/>
          <w:color w:val="000000"/>
          <w:szCs w:val="20"/>
          <w:lang w:eastAsia="bg-BG"/>
        </w:rPr>
        <w:t>Полуживотът на цефтриаксон е удължен при новородени. От раждането до 14-дневна възраст нивата на свободен цефтриаксон могат да се повишат допълнително от фактори като намалената гломерулна филтрация и промененото свързване с протеините. В периода на детството полуживотът е по-нисък от този при новородени или при възрастни.</w:t>
      </w:r>
    </w:p>
    <w:p w14:paraId="35857AD3"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Плазменият клирънс и обемът на разпределение на общия цефтриаксон са по-високи при новородени, кърмачета и деца, отколкото при възрастните.</w:t>
      </w:r>
    </w:p>
    <w:p w14:paraId="3523DD84" w14:textId="77777777" w:rsidR="00B8183B" w:rsidRPr="00B8183B" w:rsidRDefault="00B8183B" w:rsidP="00B8183B">
      <w:pPr>
        <w:spacing w:line="240" w:lineRule="auto"/>
        <w:rPr>
          <w:rFonts w:eastAsia="Times New Roman" w:cs="Arial"/>
          <w:color w:val="000000"/>
          <w:szCs w:val="20"/>
          <w:u w:val="single"/>
          <w:lang w:eastAsia="bg-BG"/>
        </w:rPr>
      </w:pPr>
    </w:p>
    <w:p w14:paraId="5CC5B16D" w14:textId="0F1F0C34"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u w:val="single"/>
          <w:lang w:eastAsia="bg-BG"/>
        </w:rPr>
        <w:t>Линейност/нелинейност</w:t>
      </w:r>
    </w:p>
    <w:p w14:paraId="273490BE"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lastRenderedPageBreak/>
        <w:t>Фармакокинетиката на цефтриаксон е нелинейна и всички основни фармакокинетични показатели, с изключение на елиминационния полуживот, са дозозависими, ако се базират на общата лекарствена концентрация, повишавайки се по-слабо от пропорционално с дозата. Нелинейността се дължи на сатурация на свързването с плазмените протеини и затова се наблюдава за общия плазмен цефтриаксон, а не за свободния (несвързан) цефтриаксон.</w:t>
      </w:r>
    </w:p>
    <w:p w14:paraId="7C52CA12" w14:textId="77777777" w:rsidR="00B8183B" w:rsidRPr="00B8183B" w:rsidRDefault="00B8183B" w:rsidP="00B8183B">
      <w:pPr>
        <w:spacing w:line="240" w:lineRule="auto"/>
        <w:rPr>
          <w:rFonts w:eastAsia="Times New Roman" w:cs="Arial"/>
          <w:color w:val="000000"/>
          <w:szCs w:val="20"/>
          <w:u w:val="single"/>
          <w:lang w:eastAsia="bg-BG"/>
        </w:rPr>
      </w:pPr>
    </w:p>
    <w:p w14:paraId="26A1A350" w14:textId="613D00C1"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u w:val="single"/>
          <w:lang w:eastAsia="bg-BG"/>
        </w:rPr>
        <w:t>Връзка(и) фармакокинетика-фармакодинамика</w:t>
      </w:r>
    </w:p>
    <w:p w14:paraId="2203092F" w14:textId="77777777" w:rsidR="00B8183B" w:rsidRPr="00B8183B" w:rsidRDefault="00B8183B" w:rsidP="00B8183B">
      <w:pPr>
        <w:spacing w:line="240" w:lineRule="auto"/>
        <w:rPr>
          <w:rFonts w:eastAsia="Times New Roman" w:cs="Arial"/>
          <w:sz w:val="28"/>
          <w:szCs w:val="24"/>
        </w:rPr>
      </w:pPr>
      <w:r w:rsidRPr="00B8183B">
        <w:rPr>
          <w:rFonts w:eastAsia="Times New Roman" w:cs="Arial"/>
          <w:color w:val="000000"/>
          <w:szCs w:val="20"/>
          <w:lang w:eastAsia="bg-BG"/>
        </w:rPr>
        <w:t xml:space="preserve">Както при други бета лактами, индексът фармакокинетика-фармакодинамика, показващ най-добрата корелация с </w:t>
      </w:r>
      <w:r w:rsidRPr="00B8183B">
        <w:rPr>
          <w:rFonts w:eastAsia="Times New Roman" w:cs="Arial"/>
          <w:i/>
          <w:iCs/>
          <w:color w:val="000000"/>
          <w:szCs w:val="20"/>
          <w:lang w:val="en-US"/>
        </w:rPr>
        <w:t>in</w:t>
      </w:r>
      <w:r w:rsidRPr="00B8183B">
        <w:rPr>
          <w:rFonts w:eastAsia="Times New Roman" w:cs="Arial"/>
          <w:i/>
          <w:iCs/>
          <w:color w:val="000000"/>
          <w:szCs w:val="20"/>
          <w:lang w:val="ru-RU"/>
        </w:rPr>
        <w:t xml:space="preserve"> </w:t>
      </w:r>
      <w:r w:rsidRPr="00B8183B">
        <w:rPr>
          <w:rFonts w:eastAsia="Times New Roman" w:cs="Arial"/>
          <w:i/>
          <w:iCs/>
          <w:color w:val="000000"/>
          <w:szCs w:val="20"/>
          <w:lang w:val="en-US"/>
        </w:rPr>
        <w:t>vivo</w:t>
      </w:r>
      <w:r w:rsidRPr="00B8183B">
        <w:rPr>
          <w:rFonts w:eastAsia="Times New Roman" w:cs="Arial"/>
          <w:color w:val="000000"/>
          <w:szCs w:val="20"/>
          <w:lang w:val="ru-RU"/>
        </w:rPr>
        <w:t xml:space="preserve"> </w:t>
      </w:r>
      <w:r w:rsidRPr="00B8183B">
        <w:rPr>
          <w:rFonts w:eastAsia="Times New Roman" w:cs="Arial"/>
          <w:color w:val="000000"/>
          <w:szCs w:val="20"/>
          <w:lang w:eastAsia="bg-BG"/>
        </w:rPr>
        <w:t xml:space="preserve">ефикасността, е процентът от интервала на дозиране, в който концентрацията на несвързано лекарство остава над минималната инхибиторна концентрация </w:t>
      </w:r>
      <w:r w:rsidRPr="00B8183B">
        <w:rPr>
          <w:rFonts w:eastAsia="Times New Roman" w:cs="Arial"/>
          <w:color w:val="000000"/>
          <w:szCs w:val="20"/>
          <w:lang w:val="ru-RU"/>
        </w:rPr>
        <w:t>(</w:t>
      </w:r>
      <w:r w:rsidRPr="00B8183B">
        <w:rPr>
          <w:rFonts w:eastAsia="Times New Roman" w:cs="Arial"/>
          <w:color w:val="000000"/>
          <w:szCs w:val="20"/>
          <w:lang w:val="en-US"/>
        </w:rPr>
        <w:t>MIC</w:t>
      </w:r>
      <w:r w:rsidRPr="00B8183B">
        <w:rPr>
          <w:rFonts w:eastAsia="Times New Roman" w:cs="Arial"/>
          <w:color w:val="000000"/>
          <w:szCs w:val="20"/>
          <w:lang w:val="ru-RU"/>
        </w:rPr>
        <w:t xml:space="preserve">) </w:t>
      </w:r>
      <w:r w:rsidRPr="00B8183B">
        <w:rPr>
          <w:rFonts w:eastAsia="Times New Roman" w:cs="Arial"/>
          <w:color w:val="000000"/>
          <w:szCs w:val="20"/>
          <w:lang w:eastAsia="bg-BG"/>
        </w:rPr>
        <w:t xml:space="preserve">на цефтриаксон за отделните таргетни видове (т.е. %Т &gt; </w:t>
      </w:r>
      <w:r w:rsidRPr="00B8183B">
        <w:rPr>
          <w:rFonts w:eastAsia="Times New Roman" w:cs="Arial"/>
          <w:color w:val="000000"/>
          <w:szCs w:val="20"/>
          <w:lang w:val="en-US"/>
        </w:rPr>
        <w:t>MIC</w:t>
      </w:r>
      <w:r w:rsidRPr="00B8183B">
        <w:rPr>
          <w:rFonts w:eastAsia="Times New Roman" w:cs="Arial"/>
          <w:color w:val="000000"/>
          <w:szCs w:val="20"/>
          <w:lang w:val="ru-RU"/>
        </w:rPr>
        <w:t>).</w:t>
      </w:r>
    </w:p>
    <w:p w14:paraId="2CBFEB29" w14:textId="1D6EA219" w:rsidR="00B8183B" w:rsidRPr="00B8183B" w:rsidRDefault="00B8183B" w:rsidP="00B8183B"/>
    <w:p w14:paraId="648E39DA" w14:textId="53D677E3" w:rsidR="00CF77F7" w:rsidRDefault="002C50EE" w:rsidP="004A448E">
      <w:pPr>
        <w:pStyle w:val="Heading2"/>
      </w:pPr>
      <w:r>
        <w:t>5.3. Предклинични данни за безопасност</w:t>
      </w:r>
    </w:p>
    <w:p w14:paraId="65C21D0C" w14:textId="62E1508A" w:rsidR="009509FD" w:rsidRDefault="009509FD" w:rsidP="009509FD"/>
    <w:p w14:paraId="78DBAFA5" w14:textId="14980211" w:rsidR="009509FD" w:rsidRPr="009509FD" w:rsidRDefault="009509FD" w:rsidP="009509FD">
      <w:r>
        <w:t>Има данни от проучвания при животни, че високи дози на цефтриаксон калциева сол водят до образуване на конкременти и преципитати в жлъчния мехур на кучета и маймуни, което се е оказало обратимо. Проучванията при животни не са дали данни за репродуктивна токсичност и генотоксичност. Проучвания за карциногенност на цефтриаксон не са провеждани.</w:t>
      </w:r>
    </w:p>
    <w:p w14:paraId="6A7820AB" w14:textId="2693FADA" w:rsidR="008A6AF2" w:rsidRDefault="002C50EE" w:rsidP="00395555">
      <w:pPr>
        <w:pStyle w:val="Heading1"/>
      </w:pPr>
      <w:r>
        <w:t>7. ПРИТЕЖАТЕЛ НА РАЗРЕШЕНИЕТО ЗА УПОТРЕБА</w:t>
      </w:r>
    </w:p>
    <w:p w14:paraId="160B4B46" w14:textId="4A537A3F" w:rsidR="009509FD" w:rsidRDefault="009509FD" w:rsidP="009509FD"/>
    <w:p w14:paraId="7BA89183" w14:textId="77777777" w:rsidR="009509FD" w:rsidRPr="009509FD" w:rsidRDefault="009509FD" w:rsidP="009509FD">
      <w:pPr>
        <w:rPr>
          <w:sz w:val="24"/>
          <w:szCs w:val="24"/>
          <w:lang w:val="en-US"/>
        </w:rPr>
      </w:pPr>
      <w:r w:rsidRPr="009509FD">
        <w:rPr>
          <w:lang w:val="en-US"/>
        </w:rPr>
        <w:t>MIP Pharma GmbH</w:t>
      </w:r>
    </w:p>
    <w:p w14:paraId="0CE337B8" w14:textId="77777777" w:rsidR="009509FD" w:rsidRPr="009509FD" w:rsidRDefault="009509FD" w:rsidP="009509FD">
      <w:pPr>
        <w:rPr>
          <w:sz w:val="24"/>
          <w:szCs w:val="24"/>
          <w:lang w:val="en-US"/>
        </w:rPr>
      </w:pPr>
      <w:proofErr w:type="spellStart"/>
      <w:r w:rsidRPr="009509FD">
        <w:rPr>
          <w:lang w:val="en-US"/>
        </w:rPr>
        <w:t>Kirkeler</w:t>
      </w:r>
      <w:proofErr w:type="spellEnd"/>
      <w:r w:rsidRPr="009509FD">
        <w:rPr>
          <w:lang w:val="en-US"/>
        </w:rPr>
        <w:t xml:space="preserve"> </w:t>
      </w:r>
      <w:proofErr w:type="spellStart"/>
      <w:r w:rsidRPr="009509FD">
        <w:rPr>
          <w:lang w:val="en-US"/>
        </w:rPr>
        <w:t>Strasse</w:t>
      </w:r>
      <w:proofErr w:type="spellEnd"/>
      <w:r w:rsidRPr="009509FD">
        <w:rPr>
          <w:lang w:val="en-US"/>
        </w:rPr>
        <w:t xml:space="preserve"> 41</w:t>
      </w:r>
    </w:p>
    <w:p w14:paraId="03DD3B54" w14:textId="77777777" w:rsidR="009509FD" w:rsidRPr="009509FD" w:rsidRDefault="009509FD" w:rsidP="009509FD">
      <w:pPr>
        <w:rPr>
          <w:sz w:val="24"/>
          <w:szCs w:val="24"/>
          <w:lang w:val="ru-RU"/>
        </w:rPr>
      </w:pPr>
      <w:r w:rsidRPr="009509FD">
        <w:rPr>
          <w:lang w:val="en-US"/>
        </w:rPr>
        <w:t>D</w:t>
      </w:r>
      <w:r w:rsidRPr="009509FD">
        <w:rPr>
          <w:lang w:val="ru-RU"/>
        </w:rPr>
        <w:t xml:space="preserve">-66440 </w:t>
      </w:r>
      <w:proofErr w:type="spellStart"/>
      <w:r w:rsidRPr="009509FD">
        <w:rPr>
          <w:lang w:val="en-US"/>
        </w:rPr>
        <w:t>BHeskastel</w:t>
      </w:r>
      <w:proofErr w:type="spellEnd"/>
      <w:r w:rsidRPr="009509FD">
        <w:rPr>
          <w:lang w:val="ru-RU"/>
        </w:rPr>
        <w:t>-</w:t>
      </w:r>
      <w:proofErr w:type="spellStart"/>
      <w:r w:rsidRPr="009509FD">
        <w:rPr>
          <w:lang w:val="en-US"/>
        </w:rPr>
        <w:t>Niederwurzbach</w:t>
      </w:r>
      <w:proofErr w:type="spellEnd"/>
    </w:p>
    <w:p w14:paraId="7F85971A" w14:textId="5939C2CE" w:rsidR="009509FD" w:rsidRPr="009509FD" w:rsidRDefault="009509FD" w:rsidP="009509FD">
      <w:r w:rsidRPr="009509FD">
        <w:rPr>
          <w:lang w:eastAsia="bg-BG"/>
        </w:rPr>
        <w:t>Германия</w:t>
      </w:r>
    </w:p>
    <w:p w14:paraId="7BA1BA64" w14:textId="17F34902" w:rsidR="00CF77F7" w:rsidRDefault="002C50EE" w:rsidP="004A448E">
      <w:pPr>
        <w:pStyle w:val="Heading1"/>
      </w:pPr>
      <w:r>
        <w:t>8. НОМЕР НА РАЗРЕШЕНИЕТО ЗА УПОТРЕБА</w:t>
      </w:r>
    </w:p>
    <w:p w14:paraId="6B4481FA" w14:textId="3E3B5320" w:rsidR="009509FD" w:rsidRDefault="009509FD" w:rsidP="009509FD"/>
    <w:p w14:paraId="04F0BD7B" w14:textId="46372F2F" w:rsidR="009509FD" w:rsidRPr="009509FD" w:rsidRDefault="009509FD" w:rsidP="009509FD">
      <w:r>
        <w:t>Регистрационен № 20060760</w:t>
      </w:r>
    </w:p>
    <w:p w14:paraId="2CCB5832" w14:textId="4E19EE19" w:rsidR="007C605B" w:rsidRDefault="002C50EE" w:rsidP="007C605B">
      <w:pPr>
        <w:pStyle w:val="Heading1"/>
      </w:pPr>
      <w:r>
        <w:t>9. ДАТА НА ПЪРВО РАЗРЕШАВАНЕ/ПОДНОВЯВАНЕ НА РАЗРЕШЕНИЕТО ЗА УПОТРЕБА</w:t>
      </w:r>
    </w:p>
    <w:p w14:paraId="67903FD4" w14:textId="77777777" w:rsidR="009509FD" w:rsidRPr="009509FD" w:rsidRDefault="009509FD" w:rsidP="009509FD">
      <w:pPr>
        <w:rPr>
          <w:sz w:val="24"/>
          <w:szCs w:val="24"/>
        </w:rPr>
      </w:pPr>
      <w:r w:rsidRPr="009509FD">
        <w:rPr>
          <w:lang w:eastAsia="bg-BG"/>
        </w:rPr>
        <w:t>Дата на първо разрешаване: 27.12.2006</w:t>
      </w:r>
    </w:p>
    <w:p w14:paraId="53D00E9F" w14:textId="23ED8AFF" w:rsidR="009509FD" w:rsidRPr="009509FD" w:rsidRDefault="009509FD" w:rsidP="009509FD">
      <w:r w:rsidRPr="009509FD">
        <w:rPr>
          <w:lang w:eastAsia="bg-BG"/>
        </w:rPr>
        <w:t>Дата на последно подновяване: 09.05.2012</w:t>
      </w:r>
    </w:p>
    <w:p w14:paraId="0E9D0119" w14:textId="0245C6D7" w:rsidR="002C50EE" w:rsidRDefault="002C50EE" w:rsidP="002C50EE">
      <w:pPr>
        <w:pStyle w:val="Heading1"/>
      </w:pPr>
      <w:r>
        <w:t>10. ДАТА НА АКТУАЛИЗИРАНЕ НА ТЕКСТА</w:t>
      </w:r>
    </w:p>
    <w:bookmarkEnd w:id="0"/>
    <w:p w14:paraId="43FB38A2" w14:textId="7BF8887C" w:rsidR="007C605B" w:rsidRPr="003E3126" w:rsidRDefault="009509FD" w:rsidP="009509FD">
      <w:r>
        <w:t>08/2021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8AA6F67"/>
    <w:multiLevelType w:val="hybridMultilevel"/>
    <w:tmpl w:val="205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53768E1"/>
    <w:multiLevelType w:val="hybridMultilevel"/>
    <w:tmpl w:val="C05E7A00"/>
    <w:lvl w:ilvl="0" w:tplc="61A8CAF0">
      <w:start w:val="4"/>
      <w:numFmt w:val="bullet"/>
      <w:lvlText w:val="-"/>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F199E"/>
    <w:multiLevelType w:val="hybridMultilevel"/>
    <w:tmpl w:val="1586360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7"/>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2055A"/>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0044"/>
    <w:rsid w:val="009509FD"/>
    <w:rsid w:val="009773E4"/>
    <w:rsid w:val="009B171C"/>
    <w:rsid w:val="009F1313"/>
    <w:rsid w:val="00A20351"/>
    <w:rsid w:val="00A65A81"/>
    <w:rsid w:val="00AA23EC"/>
    <w:rsid w:val="00AC63CE"/>
    <w:rsid w:val="00AE2107"/>
    <w:rsid w:val="00B275A8"/>
    <w:rsid w:val="00B8183B"/>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6145</Words>
  <Characters>35029</Characters>
  <Application>Microsoft Office Word</Application>
  <DocSecurity>0</DocSecurity>
  <Lines>291</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2022-02-25T18:52:00Z</dcterms:created>
  <dcterms:modified xsi:type="dcterms:W3CDTF">2022-02-25T18:52:00Z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