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76937262" w:rsidR="00AA23EC" w:rsidRDefault="00DD466D" w:rsidP="00DD466D">
      <w:pPr>
        <w:pStyle w:val="Heading1"/>
      </w:pPr>
      <w:r>
        <w:t>1.ИМЕ НА ЛЕКАРСТВЕНИЯ ПРОДУКТ</w:t>
      </w:r>
    </w:p>
    <w:p w14:paraId="119808CC" w14:textId="109642DE" w:rsidR="005A298D" w:rsidRDefault="005A298D" w:rsidP="005A298D"/>
    <w:p w14:paraId="63B03E2D" w14:textId="77777777" w:rsidR="005A298D" w:rsidRDefault="005A298D" w:rsidP="005A298D">
      <w:pPr>
        <w:rPr>
          <w:lang w:eastAsia="bg-BG"/>
        </w:rPr>
      </w:pPr>
      <w:r>
        <w:rPr>
          <w:lang w:eastAsia="bg-BG"/>
        </w:rPr>
        <w:t>Цефтриаксон</w:t>
      </w:r>
      <w:r>
        <w:t xml:space="preserve">-MIP </w:t>
      </w:r>
      <w:r>
        <w:rPr>
          <w:i/>
          <w:iCs/>
          <w:lang w:eastAsia="bg-BG"/>
        </w:rPr>
        <w:t>2</w:t>
      </w:r>
      <w:r>
        <w:rPr>
          <w:lang w:eastAsia="bg-BG"/>
        </w:rPr>
        <w:t xml:space="preserve"> </w:t>
      </w:r>
      <w:r>
        <w:t xml:space="preserve">g </w:t>
      </w:r>
      <w:r>
        <w:rPr>
          <w:lang w:eastAsia="bg-BG"/>
        </w:rPr>
        <w:t xml:space="preserve">прах за инжекционен разтвор </w:t>
      </w:r>
    </w:p>
    <w:p w14:paraId="6F90006F" w14:textId="69A11505" w:rsidR="005A298D" w:rsidRPr="005A298D" w:rsidRDefault="005A298D" w:rsidP="005A298D">
      <w:r>
        <w:t xml:space="preserve">Ceftriaxon-MIP </w:t>
      </w:r>
      <w:r>
        <w:rPr>
          <w:lang w:eastAsia="bg-BG"/>
        </w:rPr>
        <w:t xml:space="preserve">2 </w:t>
      </w:r>
      <w:r>
        <w:t>g powder for solution for injection</w:t>
      </w:r>
    </w:p>
    <w:p w14:paraId="0A368469" w14:textId="7B4E2A9F" w:rsidR="00C0049F" w:rsidRDefault="00DD466D" w:rsidP="009F1313">
      <w:pPr>
        <w:pStyle w:val="Heading1"/>
      </w:pPr>
      <w:r>
        <w:t>2. КАЧЕСТВЕН И КОЛИЧЕСТВЕН СЪСТАВ</w:t>
      </w:r>
    </w:p>
    <w:p w14:paraId="00C613A5" w14:textId="49EC5A69" w:rsidR="005A298D" w:rsidRDefault="005A298D" w:rsidP="005A298D"/>
    <w:p w14:paraId="0B555434" w14:textId="64EBE462" w:rsidR="005A298D" w:rsidRPr="005A298D" w:rsidRDefault="005A298D" w:rsidP="005A298D">
      <w:r>
        <w:t xml:space="preserve">1 флакон съдържа 2 </w:t>
      </w:r>
      <w:r>
        <w:rPr>
          <w:lang w:val="en-US"/>
        </w:rPr>
        <w:t>g</w:t>
      </w:r>
      <w:r w:rsidRPr="005A298D">
        <w:t xml:space="preserve"> </w:t>
      </w:r>
      <w:r>
        <w:t xml:space="preserve">цефтриаксон </w:t>
      </w:r>
      <w:r w:rsidRPr="005A298D">
        <w:rPr>
          <w:i/>
          <w:iCs/>
        </w:rPr>
        <w:t>(</w:t>
      </w:r>
      <w:r>
        <w:rPr>
          <w:i/>
          <w:iCs/>
          <w:lang w:val="en-US"/>
        </w:rPr>
        <w:t>ceftriaxone</w:t>
      </w:r>
      <w:r w:rsidRPr="005A298D">
        <w:rPr>
          <w:i/>
          <w:iCs/>
        </w:rPr>
        <w:t>)</w:t>
      </w:r>
      <w:r w:rsidRPr="005A298D">
        <w:t xml:space="preserve"> </w:t>
      </w:r>
      <w:r>
        <w:t>като цефтриаксон натрий.</w:t>
      </w:r>
    </w:p>
    <w:p w14:paraId="614984C4" w14:textId="48A573EB" w:rsidR="008A6AF2" w:rsidRDefault="00DD466D" w:rsidP="002C50EE">
      <w:pPr>
        <w:pStyle w:val="Heading1"/>
      </w:pPr>
      <w:r>
        <w:t>3. ЛЕКАРСТВЕНА ФОРМА</w:t>
      </w:r>
    </w:p>
    <w:p w14:paraId="0E5CE2EE" w14:textId="1C7A6ECC" w:rsidR="005A298D" w:rsidRDefault="005A298D" w:rsidP="005A298D"/>
    <w:p w14:paraId="7979E7C9" w14:textId="77777777" w:rsidR="005A298D" w:rsidRPr="005A298D" w:rsidRDefault="005A298D" w:rsidP="005A298D">
      <w:pPr>
        <w:rPr>
          <w:sz w:val="24"/>
          <w:szCs w:val="24"/>
        </w:rPr>
      </w:pPr>
      <w:r w:rsidRPr="005A298D">
        <w:rPr>
          <w:lang w:eastAsia="bg-BG"/>
        </w:rPr>
        <w:t>Прах за инжекционен разтвор Фин, бял до бледожълт прах.</w:t>
      </w:r>
    </w:p>
    <w:p w14:paraId="1FF953A4" w14:textId="77777777" w:rsidR="005A298D" w:rsidRPr="005A298D" w:rsidRDefault="005A298D" w:rsidP="005A298D"/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1A864943" w14:textId="54BE0C2B" w:rsidR="00395555" w:rsidRDefault="00395555" w:rsidP="00395555"/>
    <w:p w14:paraId="60F50094" w14:textId="77777777" w:rsidR="005A298D" w:rsidRPr="005A298D" w:rsidRDefault="005A298D" w:rsidP="005A298D">
      <w:r w:rsidRPr="005A298D">
        <w:rPr>
          <w:lang w:eastAsia="bg-BG"/>
        </w:rPr>
        <w:t>Инфекции предизвикани от чувствителни на цефтриаксон микроорганизми, като:</w:t>
      </w:r>
    </w:p>
    <w:p w14:paraId="322414F1" w14:textId="77777777" w:rsidR="005A298D" w:rsidRPr="005A298D" w:rsidRDefault="005A298D" w:rsidP="005A298D">
      <w:pPr>
        <w:pStyle w:val="ListParagraph"/>
        <w:numPr>
          <w:ilvl w:val="0"/>
          <w:numId w:val="32"/>
        </w:numPr>
        <w:rPr>
          <w:lang w:eastAsia="bg-BG"/>
        </w:rPr>
      </w:pPr>
      <w:r w:rsidRPr="005A298D">
        <w:rPr>
          <w:lang w:eastAsia="bg-BG"/>
        </w:rPr>
        <w:t>Септицемия</w:t>
      </w:r>
    </w:p>
    <w:p w14:paraId="2D443FF6" w14:textId="77777777" w:rsidR="005A298D" w:rsidRPr="005A298D" w:rsidRDefault="005A298D" w:rsidP="005A298D">
      <w:pPr>
        <w:pStyle w:val="ListParagraph"/>
        <w:numPr>
          <w:ilvl w:val="0"/>
          <w:numId w:val="32"/>
        </w:numPr>
        <w:rPr>
          <w:lang w:eastAsia="bg-BG"/>
        </w:rPr>
      </w:pPr>
      <w:r w:rsidRPr="005A298D">
        <w:rPr>
          <w:lang w:eastAsia="bg-BG"/>
        </w:rPr>
        <w:t>Менингит</w:t>
      </w:r>
    </w:p>
    <w:p w14:paraId="2E56951D" w14:textId="71614FC2" w:rsidR="005A298D" w:rsidRPr="005A298D" w:rsidRDefault="005A298D" w:rsidP="005A298D">
      <w:pPr>
        <w:pStyle w:val="ListParagraph"/>
        <w:numPr>
          <w:ilvl w:val="0"/>
          <w:numId w:val="32"/>
        </w:numPr>
      </w:pPr>
      <w:r w:rsidRPr="005A298D">
        <w:rPr>
          <w:lang w:eastAsia="bg-BG"/>
        </w:rPr>
        <w:t>Борелиоза</w:t>
      </w:r>
      <w:r>
        <w:rPr>
          <w:lang w:eastAsia="bg-BG"/>
        </w:rPr>
        <w:t xml:space="preserve"> (особенно </w:t>
      </w:r>
      <w:r>
        <w:rPr>
          <w:lang w:val="en-US" w:eastAsia="bg-BG"/>
        </w:rPr>
        <w:t>II</w:t>
      </w:r>
      <w:r>
        <w:rPr>
          <w:lang w:eastAsia="bg-BG"/>
        </w:rPr>
        <w:t xml:space="preserve"> и III</w:t>
      </w:r>
      <w:r w:rsidRPr="005A298D">
        <w:rPr>
          <w:lang w:eastAsia="bg-BG"/>
        </w:rPr>
        <w:t xml:space="preserve"> стадий)</w:t>
      </w:r>
    </w:p>
    <w:p w14:paraId="4AA33DB8" w14:textId="77777777" w:rsidR="005A298D" w:rsidRPr="005A298D" w:rsidRDefault="005A298D" w:rsidP="005A298D">
      <w:pPr>
        <w:pStyle w:val="ListParagraph"/>
        <w:numPr>
          <w:ilvl w:val="0"/>
          <w:numId w:val="32"/>
        </w:numPr>
        <w:rPr>
          <w:lang w:eastAsia="bg-BG"/>
        </w:rPr>
      </w:pPr>
      <w:r w:rsidRPr="005A298D">
        <w:rPr>
          <w:lang w:eastAsia="bg-BG"/>
        </w:rPr>
        <w:t>Абдоминални инфекции (перитонит, инфекции на жлъчните пътища и стомашно-чревния тракт)</w:t>
      </w:r>
    </w:p>
    <w:p w14:paraId="7383A0EB" w14:textId="77777777" w:rsidR="005A298D" w:rsidRPr="005A298D" w:rsidRDefault="005A298D" w:rsidP="005A298D">
      <w:pPr>
        <w:pStyle w:val="ListParagraph"/>
        <w:numPr>
          <w:ilvl w:val="0"/>
          <w:numId w:val="32"/>
        </w:numPr>
        <w:rPr>
          <w:lang w:eastAsia="bg-BG"/>
        </w:rPr>
      </w:pPr>
      <w:r w:rsidRPr="005A298D">
        <w:rPr>
          <w:lang w:eastAsia="bg-BG"/>
        </w:rPr>
        <w:t>Инфекции на костите и ставите</w:t>
      </w:r>
    </w:p>
    <w:p w14:paraId="1BC158DA" w14:textId="77777777" w:rsidR="005A298D" w:rsidRPr="005A298D" w:rsidRDefault="005A298D" w:rsidP="005A298D">
      <w:pPr>
        <w:pStyle w:val="ListParagraph"/>
        <w:numPr>
          <w:ilvl w:val="0"/>
          <w:numId w:val="32"/>
        </w:numPr>
        <w:rPr>
          <w:lang w:eastAsia="bg-BG"/>
        </w:rPr>
      </w:pPr>
      <w:r w:rsidRPr="005A298D">
        <w:rPr>
          <w:lang w:eastAsia="bg-BG"/>
        </w:rPr>
        <w:t>Инфекции на кожата и меките тъкани, включително инфектирани рани</w:t>
      </w:r>
    </w:p>
    <w:p w14:paraId="637A51E0" w14:textId="77777777" w:rsidR="005A298D" w:rsidRPr="005A298D" w:rsidRDefault="005A298D" w:rsidP="005A298D">
      <w:pPr>
        <w:pStyle w:val="ListParagraph"/>
        <w:numPr>
          <w:ilvl w:val="0"/>
          <w:numId w:val="32"/>
        </w:numPr>
        <w:rPr>
          <w:lang w:eastAsia="bg-BG"/>
        </w:rPr>
      </w:pPr>
      <w:r w:rsidRPr="005A298D">
        <w:rPr>
          <w:lang w:eastAsia="bg-BG"/>
        </w:rPr>
        <w:t>Инфекции на бъбреците и пикочните пътища</w:t>
      </w:r>
    </w:p>
    <w:p w14:paraId="66A3DE6E" w14:textId="77777777" w:rsidR="005A298D" w:rsidRPr="005A298D" w:rsidRDefault="005A298D" w:rsidP="005A298D">
      <w:pPr>
        <w:pStyle w:val="ListParagraph"/>
        <w:numPr>
          <w:ilvl w:val="0"/>
          <w:numId w:val="32"/>
        </w:numPr>
        <w:rPr>
          <w:lang w:eastAsia="bg-BG"/>
        </w:rPr>
      </w:pPr>
      <w:r w:rsidRPr="005A298D">
        <w:rPr>
          <w:lang w:eastAsia="bg-BG"/>
        </w:rPr>
        <w:t>Инфекции на дихателните пътища, особено пневмония, и уши, нос й гърло инфекции</w:t>
      </w:r>
    </w:p>
    <w:p w14:paraId="37991CEB" w14:textId="77777777" w:rsidR="005A298D" w:rsidRPr="005A298D" w:rsidRDefault="005A298D" w:rsidP="005A298D">
      <w:pPr>
        <w:pStyle w:val="ListParagraph"/>
        <w:numPr>
          <w:ilvl w:val="0"/>
          <w:numId w:val="32"/>
        </w:numPr>
        <w:rPr>
          <w:lang w:eastAsia="bg-BG"/>
        </w:rPr>
      </w:pPr>
      <w:r w:rsidRPr="005A298D">
        <w:rPr>
          <w:lang w:eastAsia="bg-BG"/>
        </w:rPr>
        <w:t>Генитални инфекции, включително гонорея</w:t>
      </w:r>
    </w:p>
    <w:p w14:paraId="07F73FFC" w14:textId="77777777" w:rsidR="005A298D" w:rsidRPr="005A298D" w:rsidRDefault="005A298D" w:rsidP="005A298D">
      <w:pPr>
        <w:pStyle w:val="ListParagraph"/>
        <w:numPr>
          <w:ilvl w:val="0"/>
          <w:numId w:val="32"/>
        </w:numPr>
        <w:rPr>
          <w:lang w:eastAsia="bg-BG"/>
        </w:rPr>
      </w:pPr>
      <w:r w:rsidRPr="005A298D">
        <w:rPr>
          <w:lang w:eastAsia="bg-BG"/>
        </w:rPr>
        <w:t>Инфекции и профилактика на инфекции при пациенти с отслабена имунна защита</w:t>
      </w:r>
    </w:p>
    <w:p w14:paraId="335E6D81" w14:textId="77777777" w:rsidR="005A298D" w:rsidRPr="005A298D" w:rsidRDefault="005A298D" w:rsidP="005A298D">
      <w:pPr>
        <w:pStyle w:val="ListParagraph"/>
        <w:numPr>
          <w:ilvl w:val="0"/>
          <w:numId w:val="32"/>
        </w:numPr>
        <w:rPr>
          <w:lang w:eastAsia="bg-BG"/>
        </w:rPr>
      </w:pPr>
      <w:r w:rsidRPr="005A298D">
        <w:rPr>
          <w:lang w:eastAsia="bg-BG"/>
        </w:rPr>
        <w:t>Периоперативна профилактика на инфекции</w:t>
      </w:r>
    </w:p>
    <w:p w14:paraId="61CD226F" w14:textId="77777777" w:rsidR="005A298D" w:rsidRDefault="005A298D" w:rsidP="005A298D">
      <w:pPr>
        <w:rPr>
          <w:lang w:eastAsia="bg-BG"/>
        </w:rPr>
      </w:pPr>
    </w:p>
    <w:p w14:paraId="489BC83A" w14:textId="1B5D3529" w:rsidR="005A298D" w:rsidRPr="005A298D" w:rsidRDefault="005A298D" w:rsidP="005A298D">
      <w:pPr>
        <w:rPr>
          <w:sz w:val="24"/>
          <w:szCs w:val="24"/>
        </w:rPr>
      </w:pPr>
      <w:r w:rsidRPr="005A298D">
        <w:rPr>
          <w:lang w:eastAsia="bg-BG"/>
        </w:rPr>
        <w:t>Официалните ръководства за правилната употреба на антибактериални лекарства трябва да се вземат под внимание.</w:t>
      </w:r>
    </w:p>
    <w:p w14:paraId="19E5BB18" w14:textId="77777777" w:rsidR="005A298D" w:rsidRPr="00395555" w:rsidRDefault="005A298D" w:rsidP="00395555"/>
    <w:p w14:paraId="7C0CA5EB" w14:textId="3D3DC514" w:rsidR="00C0049F" w:rsidRDefault="002C50EE" w:rsidP="009F1313">
      <w:pPr>
        <w:pStyle w:val="Heading2"/>
      </w:pPr>
      <w:r>
        <w:t>4.2. Дозировка и начин на приложение</w:t>
      </w:r>
    </w:p>
    <w:p w14:paraId="05BE76FF" w14:textId="76E7C93C" w:rsidR="005A298D" w:rsidRDefault="005A298D" w:rsidP="005A298D"/>
    <w:p w14:paraId="735CD8B1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Цефтриаксон</w:t>
      </w:r>
      <w:r w:rsidRPr="005A298D">
        <w:rPr>
          <w:rFonts w:eastAsia="Times New Roman" w:cs="Arial"/>
          <w:color w:val="000000"/>
          <w:lang w:val="ru-RU"/>
        </w:rPr>
        <w:t>-</w:t>
      </w:r>
      <w:r w:rsidRPr="005A298D">
        <w:rPr>
          <w:rFonts w:eastAsia="Times New Roman" w:cs="Arial"/>
          <w:color w:val="000000"/>
          <w:lang w:val="en-US"/>
        </w:rPr>
        <w:t>MIP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е подходящ за интравенозно или интрамускулно инжектиране, както и за инфузия. Дозирането и начина на приложение трябва да се избират в съответствие с тежеста на инфекцията, чувствителността на патогена и условията и възрастта на пациента.</w:t>
      </w:r>
    </w:p>
    <w:p w14:paraId="253ACAC9" w14:textId="77777777" w:rsidR="005A298D" w:rsidRP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4BF1F12A" w14:textId="54499089" w:rsidR="005A298D" w:rsidRPr="005A298D" w:rsidRDefault="005A298D" w:rsidP="005A298D">
      <w:pPr>
        <w:pStyle w:val="Heading3"/>
        <w:rPr>
          <w:rFonts w:eastAsia="Times New Roman"/>
          <w:b/>
        </w:rPr>
      </w:pPr>
      <w:r w:rsidRPr="005A298D">
        <w:rPr>
          <w:rFonts w:eastAsia="Times New Roman"/>
          <w:b/>
          <w:lang w:eastAsia="bg-BG"/>
        </w:rPr>
        <w:lastRenderedPageBreak/>
        <w:t>Дозировка</w:t>
      </w:r>
      <w:bookmarkEnd w:id="1"/>
    </w:p>
    <w:p w14:paraId="1BBDC3A2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 xml:space="preserve">Възрастни и юноши (12-18 години, телесно тегло ≥ 50 </w:t>
      </w:r>
      <w:r w:rsidRPr="005A298D">
        <w:rPr>
          <w:rFonts w:eastAsia="Times New Roman" w:cs="Arial"/>
          <w:color w:val="000000"/>
          <w:u w:val="single"/>
          <w:lang w:val="en-US"/>
        </w:rPr>
        <w:t>kg</w:t>
      </w:r>
      <w:r w:rsidRPr="005A298D">
        <w:rPr>
          <w:rFonts w:eastAsia="Times New Roman" w:cs="Arial"/>
          <w:color w:val="000000"/>
          <w:u w:val="single"/>
          <w:lang w:val="ru-RU"/>
        </w:rPr>
        <w:t>)</w:t>
      </w:r>
    </w:p>
    <w:p w14:paraId="5A06DC7E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1 - 2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цефтриаксон един път дневно.</w:t>
      </w:r>
    </w:p>
    <w:p w14:paraId="351FF045" w14:textId="5B8253E4" w:rsidR="005A298D" w:rsidRPr="005A298D" w:rsidRDefault="005A298D" w:rsidP="005A298D">
      <w:pPr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>В случай на тежки, животозострашаващи инфекции като септицемия, назокомиална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пневмония бактериален менингит и други, както и в случай на умерено чувствителни бактерии дозата може да се повиши до 4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веднъж дневно.</w:t>
      </w:r>
    </w:p>
    <w:p w14:paraId="31D9279F" w14:textId="72D1D7C6" w:rsidR="005A298D" w:rsidRPr="005A298D" w:rsidRDefault="005A298D" w:rsidP="005A298D">
      <w:pPr>
        <w:rPr>
          <w:rFonts w:eastAsia="Times New Roman" w:cs="Arial"/>
          <w:color w:val="000000"/>
          <w:lang w:eastAsia="bg-BG"/>
        </w:rPr>
      </w:pPr>
    </w:p>
    <w:p w14:paraId="578E014C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 xml:space="preserve">Новородени на 2 седмици, кърмачета (28 дни - 23 месеца) и деца (2 - 11 години) </w:t>
      </w:r>
      <w:r w:rsidRPr="005A298D">
        <w:rPr>
          <w:rFonts w:eastAsia="Times New Roman" w:cs="Arial"/>
          <w:color w:val="000000"/>
          <w:lang w:eastAsia="bg-BG"/>
        </w:rPr>
        <w:t xml:space="preserve">20 до 80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на 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телесно тегло/дневно, в зависимост от тежестта на инфекцията. При деца с тегло над 50 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трябва да се използва обичайната доза за възрастни.</w:t>
      </w:r>
    </w:p>
    <w:p w14:paraId="70364DA5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DD4B6FE" w14:textId="668AA705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 xml:space="preserve">Недоносени или новородени до 2 седмици </w:t>
      </w:r>
      <w:r w:rsidRPr="005A298D">
        <w:rPr>
          <w:rFonts w:eastAsia="Times New Roman" w:cs="Arial"/>
          <w:color w:val="000000"/>
          <w:lang w:eastAsia="bg-BG"/>
        </w:rPr>
        <w:t xml:space="preserve">От 20 до 50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на 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телесно тегло/дневно.</w:t>
      </w:r>
    </w:p>
    <w:p w14:paraId="647D2E2D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Доза от 50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на 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телесно тегло/дневно се счита достатъчна дори в случаи на тежки инфекции като менингит.</w:t>
      </w:r>
    </w:p>
    <w:p w14:paraId="0D7898CD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1615096" w14:textId="63DF6D7F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Пациенти в напреднала възраст</w:t>
      </w:r>
    </w:p>
    <w:p w14:paraId="7D5D54F8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При пациенти в напреднала възраст са валидни дозите при възрастни.</w:t>
      </w:r>
    </w:p>
    <w:p w14:paraId="5DB78112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919D11" w14:textId="42695390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Пациенти с нарушена бъбречна функция</w:t>
      </w:r>
    </w:p>
    <w:p w14:paraId="6D434919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Редукция на дозата не е необходима при пациенти с нарушена бъбречна функция при условие, че чернодробната функция е нормална. Само при пациенти с креатининов клирънс ≤10 </w:t>
      </w:r>
      <w:r w:rsidRPr="005A298D">
        <w:rPr>
          <w:rFonts w:eastAsia="Times New Roman" w:cs="Arial"/>
          <w:color w:val="000000"/>
          <w:lang w:val="en-US"/>
        </w:rPr>
        <w:t>ml</w:t>
      </w:r>
      <w:r w:rsidRPr="005A298D">
        <w:rPr>
          <w:rFonts w:eastAsia="Times New Roman" w:cs="Arial"/>
          <w:color w:val="000000"/>
          <w:lang w:val="ru-RU"/>
        </w:rPr>
        <w:t>/</w:t>
      </w:r>
      <w:r w:rsidRPr="005A298D">
        <w:rPr>
          <w:rFonts w:eastAsia="Times New Roman" w:cs="Arial"/>
          <w:color w:val="000000"/>
          <w:lang w:val="en-US"/>
        </w:rPr>
        <w:t>min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дневната доза не трябва да надвишава </w:t>
      </w:r>
      <w:r w:rsidRPr="005A298D">
        <w:rPr>
          <w:rFonts w:eastAsia="Times New Roman" w:cs="Arial"/>
          <w:color w:val="000000"/>
          <w:lang w:val="ru-RU"/>
        </w:rPr>
        <w:t xml:space="preserve">2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>.</w:t>
      </w:r>
    </w:p>
    <w:p w14:paraId="74DDB106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9583F91" w14:textId="4F47142C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Пациенти с чернодробни увреждания</w:t>
      </w:r>
    </w:p>
    <w:p w14:paraId="598B69E0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При пациенти с чернодробни нарушения не се изисква редукция на дозата при условие, че бъбречната функция е интактна.</w:t>
      </w:r>
    </w:p>
    <w:p w14:paraId="7CF79DB0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69AC29" w14:textId="77DD3999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При пациенти с тежко бъбречно нарушение придружено с чернодробна недостатъчност, плазмената концентрация на цефтриаксон трябва да се следи редовно с цел адаптиране на дозата при необходимост.</w:t>
      </w:r>
    </w:p>
    <w:p w14:paraId="7BD5AC7C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FE8F69" w14:textId="4830310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Хемо- или перитонеална диализа:</w:t>
      </w:r>
    </w:p>
    <w:p w14:paraId="64D0AC46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Диализирани пациенти не се нуждаят от допълнителна доза цефтриаксон след диализа. Все пак, плазмените концентрации трябва да се следят с цел дозова адаптация при необходимост, тъй като при тези пациенти скоростта на елиминиране може да бъде намалена.</w:t>
      </w:r>
    </w:p>
    <w:p w14:paraId="3C0FE0CF" w14:textId="77777777" w:rsidR="005A298D" w:rsidRP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46DE075" w14:textId="061A5A89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>Специални дозови препоръки</w:t>
      </w:r>
    </w:p>
    <w:p w14:paraId="7648B8F9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Менингит</w:t>
      </w:r>
    </w:p>
    <w:p w14:paraId="5EED2BCE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При възрастни, юноши над 12-годишна възраст и деца с телесно тегЛо над &gt; 50 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, </w:t>
      </w:r>
      <w:r w:rsidRPr="005A298D">
        <w:rPr>
          <w:rFonts w:eastAsia="Times New Roman" w:cs="Arial"/>
          <w:color w:val="000000"/>
          <w:lang w:eastAsia="bg-BG"/>
        </w:rPr>
        <w:t xml:space="preserve">лечението трябва да се започне с доза от 100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телесно тегло за 24 часа веднъж дневно, като не трябва да се надхвърля максимална доза от 4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дневно.</w:t>
      </w:r>
    </w:p>
    <w:p w14:paraId="4BB667B6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При бактериален менингит при кърмачета и деца лечението трябва да се започне с доза между 50 и 100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телесно тегло веднъж дневно. Не трябва да се надвишава максималната дневна доза от 2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. </w:t>
      </w:r>
      <w:r w:rsidRPr="005A298D">
        <w:rPr>
          <w:rFonts w:eastAsia="Times New Roman" w:cs="Arial"/>
          <w:color w:val="000000"/>
          <w:lang w:eastAsia="bg-BG"/>
        </w:rPr>
        <w:t xml:space="preserve">При недоносени и новородени дневната доза е 50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телесно тегло.</w:t>
      </w:r>
    </w:p>
    <w:p w14:paraId="2FB57DD8" w14:textId="463F512F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След идентифициране на патогените и определянето на тяхната чувствителност, дозата може да се редуцира съответно.</w:t>
      </w:r>
    </w:p>
    <w:p w14:paraId="60A9A14E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Продължителността на лечението зависи от развитието на болестта. Обичайно са достатъчни една до две седмици.</w:t>
      </w:r>
    </w:p>
    <w:p w14:paraId="1F8E4F25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9E255E" w14:textId="0417C933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Гонорея</w:t>
      </w:r>
    </w:p>
    <w:p w14:paraId="5C0C86E6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За лечение на неусложнена гонорея при подрастващи и възрастни се препоръчва единична доза от 250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цефтриаксон приложена интрамускулно. Преди започване на лечението трябва да се изключи наличието на сифилис.</w:t>
      </w:r>
    </w:p>
    <w:p w14:paraId="6F21C9E2" w14:textId="77777777" w:rsidR="005A298D" w:rsidRPr="005A298D" w:rsidRDefault="005A298D" w:rsidP="005A298D">
      <w:pPr>
        <w:rPr>
          <w:rFonts w:eastAsia="Times New Roman" w:cs="Arial"/>
          <w:color w:val="000000"/>
          <w:lang w:eastAsia="bg-BG"/>
        </w:rPr>
      </w:pPr>
    </w:p>
    <w:p w14:paraId="774FBF09" w14:textId="6E4DA32E" w:rsidR="005A298D" w:rsidRPr="005A298D" w:rsidRDefault="005A298D" w:rsidP="005A298D">
      <w:pPr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 xml:space="preserve">Недоносени и новородени до 2 седмици получават интравенозно единична доза от 25 до 50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eastAsia="bg-BG"/>
        </w:rPr>
        <w:t xml:space="preserve"> телесно тегло за профилактика и лечение на инфекции предизвикани от </w:t>
      </w:r>
      <w:r w:rsidRPr="005A298D">
        <w:rPr>
          <w:rFonts w:eastAsia="Times New Roman" w:cs="Arial"/>
          <w:color w:val="000000"/>
          <w:lang w:val="en-US"/>
        </w:rPr>
        <w:t>gonococci</w:t>
      </w:r>
      <w:r w:rsidRPr="005A298D">
        <w:rPr>
          <w:rFonts w:eastAsia="Times New Roman" w:cs="Arial"/>
          <w:color w:val="000000"/>
          <w:lang w:val="ru-RU"/>
        </w:rPr>
        <w:t>.</w:t>
      </w:r>
      <w:r w:rsidRPr="005A298D">
        <w:rPr>
          <w:rFonts w:eastAsia="Times New Roman" w:cs="Arial"/>
          <w:color w:val="000000"/>
          <w:lang w:eastAsia="bg-BG"/>
        </w:rPr>
        <w:t xml:space="preserve"> Дневната доза от 125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не трябва да се надвишава.</w:t>
      </w:r>
    </w:p>
    <w:p w14:paraId="337A1FD0" w14:textId="6F232B07" w:rsidR="005A298D" w:rsidRPr="005A298D" w:rsidRDefault="005A298D" w:rsidP="005A298D">
      <w:pPr>
        <w:rPr>
          <w:rFonts w:eastAsia="Times New Roman" w:cs="Arial"/>
          <w:color w:val="000000"/>
          <w:lang w:eastAsia="bg-BG"/>
        </w:rPr>
      </w:pPr>
    </w:p>
    <w:p w14:paraId="3E23858C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 xml:space="preserve">Борелиоза (II и </w:t>
      </w:r>
      <w:r w:rsidRPr="005A298D">
        <w:rPr>
          <w:rFonts w:eastAsia="Times New Roman" w:cs="Arial"/>
          <w:color w:val="000000"/>
          <w:u w:val="single"/>
          <w:lang w:val="en-US"/>
        </w:rPr>
        <w:t>III</w:t>
      </w:r>
      <w:r w:rsidRPr="005A298D">
        <w:rPr>
          <w:rFonts w:eastAsia="Times New Roman" w:cs="Arial"/>
          <w:color w:val="000000"/>
          <w:u w:val="single"/>
          <w:lang w:val="ru-RU"/>
        </w:rPr>
        <w:t xml:space="preserve"> </w:t>
      </w:r>
      <w:r w:rsidRPr="005A298D">
        <w:rPr>
          <w:rFonts w:eastAsia="Times New Roman" w:cs="Arial"/>
          <w:color w:val="000000"/>
          <w:u w:val="single"/>
          <w:lang w:eastAsia="bg-BG"/>
        </w:rPr>
        <w:t>стадий)</w:t>
      </w:r>
    </w:p>
    <w:p w14:paraId="73C71FA0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Възрастни и юноши (12 -18 години) получават 2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цефтриаксон веднъж дневно най-малко 14 дни. При тежки, рефрактерни на лечение случаи, са докладвани дози до 4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дневно.</w:t>
      </w:r>
    </w:p>
    <w:p w14:paraId="3915402D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При деца до 11 -годишна възраст, доза от 50 до 100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телесно тегло веднъж дневно до максимална дневна доза от 2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и продължителност на лечение не по-малко от 14 дни.</w:t>
      </w:r>
    </w:p>
    <w:p w14:paraId="7DB73363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4BCC58" w14:textId="6872230A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Пери-оперативна профилактика:</w:t>
      </w:r>
    </w:p>
    <w:p w14:paraId="19EB4F8C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За периоперативна профилактика, единична доза цефтриаксон трябва да се приложи 30-90 </w:t>
      </w:r>
      <w:r w:rsidRPr="005A298D">
        <w:rPr>
          <w:rFonts w:eastAsia="Times New Roman" w:cs="Arial"/>
          <w:color w:val="000000"/>
          <w:lang w:val="en-US"/>
        </w:rPr>
        <w:t>min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преди операцията. Най-общо дозата съответства на терапевтичната стандартна доза. Преди колоректална хирургична операция цефтриаксон трябва да се приложи в комбинация с антибиотик покриващ анаеробния бактериален спектър.</w:t>
      </w:r>
    </w:p>
    <w:p w14:paraId="5C273D93" w14:textId="77777777" w:rsidR="005A298D" w:rsidRP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3575FD5" w14:textId="22ACD9AB" w:rsidR="005A298D" w:rsidRPr="005A298D" w:rsidRDefault="005A298D" w:rsidP="005A298D">
      <w:pPr>
        <w:pStyle w:val="Heading3"/>
        <w:rPr>
          <w:rFonts w:eastAsia="Times New Roman"/>
          <w:b/>
        </w:rPr>
      </w:pPr>
      <w:r w:rsidRPr="005A298D">
        <w:rPr>
          <w:rFonts w:eastAsia="Times New Roman"/>
          <w:b/>
          <w:lang w:eastAsia="bg-BG"/>
        </w:rPr>
        <w:t>Начин на приложение:</w:t>
      </w:r>
    </w:p>
    <w:p w14:paraId="7A04747F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Интравенозна инжекция</w:t>
      </w:r>
    </w:p>
    <w:p w14:paraId="17F631BD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За интравенозно инжектиране 2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цефтриаксон се разтваря в 20 </w:t>
      </w:r>
      <w:r w:rsidRPr="005A298D">
        <w:rPr>
          <w:rFonts w:eastAsia="Times New Roman" w:cs="Arial"/>
          <w:color w:val="000000"/>
          <w:lang w:val="en-US"/>
        </w:rPr>
        <w:t>ml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вода за инжекции. Така приготвеният разтвор се инжектира директно интравенозно в продължение на 2 до 4 минути (вижте също точка 4.4 Специални предупреждения).</w:t>
      </w:r>
    </w:p>
    <w:p w14:paraId="152D91EE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DECE0A" w14:textId="783B475C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Интравенозна инфузия</w:t>
      </w:r>
    </w:p>
    <w:p w14:paraId="3093402F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Съдържанието на флакона се разтваря с 40 </w:t>
      </w:r>
      <w:r w:rsidRPr="005A298D">
        <w:rPr>
          <w:rFonts w:eastAsia="Times New Roman" w:cs="Arial"/>
          <w:color w:val="000000"/>
          <w:lang w:val="en-US"/>
        </w:rPr>
        <w:t>ml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от един от следните не съдържащи калций разтвори:</w:t>
      </w:r>
    </w:p>
    <w:p w14:paraId="1C1209CB" w14:textId="77777777" w:rsidR="005A298D" w:rsidRPr="005A298D" w:rsidRDefault="005A298D" w:rsidP="005A298D">
      <w:pPr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>натриев хлорид 0,9 %</w:t>
      </w:r>
    </w:p>
    <w:p w14:paraId="7B0E657E" w14:textId="77777777" w:rsidR="005A298D" w:rsidRPr="005A298D" w:rsidRDefault="005A298D" w:rsidP="005A298D">
      <w:pPr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>натриев хлорид 0,45 % + глюкоза 2,5 %</w:t>
      </w:r>
    </w:p>
    <w:p w14:paraId="72588E2D" w14:textId="77777777" w:rsidR="005A298D" w:rsidRPr="005A298D" w:rsidRDefault="005A298D" w:rsidP="005A298D">
      <w:pPr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>глюкоза 5 %</w:t>
      </w:r>
    </w:p>
    <w:p w14:paraId="4A535AD8" w14:textId="77777777" w:rsidR="005A298D" w:rsidRPr="005A298D" w:rsidRDefault="005A298D" w:rsidP="005A298D">
      <w:pPr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>глюкоза 10 %</w:t>
      </w:r>
    </w:p>
    <w:p w14:paraId="7AD0EC1A" w14:textId="77777777" w:rsidR="005A298D" w:rsidRPr="005A298D" w:rsidRDefault="005A298D" w:rsidP="005A298D">
      <w:pPr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>декстран 6 % в разтвор глюкоза 5 %</w:t>
      </w:r>
    </w:p>
    <w:p w14:paraId="6EB37BDD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FEA745" w14:textId="3A050C3E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Инфузията трябва да се приложи за най-малко 30 </w:t>
      </w:r>
      <w:r w:rsidRPr="005A298D">
        <w:rPr>
          <w:rFonts w:eastAsia="Times New Roman" w:cs="Arial"/>
          <w:color w:val="000000"/>
          <w:lang w:val="en-US"/>
        </w:rPr>
        <w:t>min</w:t>
      </w:r>
      <w:r w:rsidRPr="005A298D">
        <w:rPr>
          <w:rFonts w:eastAsia="Times New Roman" w:cs="Arial"/>
          <w:color w:val="000000"/>
          <w:lang w:val="ru-RU"/>
        </w:rPr>
        <w:t>.</w:t>
      </w:r>
    </w:p>
    <w:p w14:paraId="046B2D9B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363C56E" w14:textId="76A3C93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Интраартериална кратка инфузия</w:t>
      </w:r>
    </w:p>
    <w:p w14:paraId="1599CBC1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Цефтриаксон също може да се приложи интраартериално: 2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цефтриаксон се разтварят в 50 </w:t>
      </w:r>
      <w:r w:rsidRPr="005A298D">
        <w:rPr>
          <w:rFonts w:eastAsia="Times New Roman" w:cs="Arial"/>
          <w:color w:val="000000"/>
          <w:lang w:val="en-US"/>
        </w:rPr>
        <w:t>ml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0,9 % разтвор на натриев хлорид и се инжектират в </w:t>
      </w:r>
      <w:r w:rsidRPr="005A298D">
        <w:rPr>
          <w:rFonts w:eastAsia="Times New Roman" w:cs="Arial"/>
          <w:color w:val="000000"/>
          <w:lang w:val="en-US"/>
        </w:rPr>
        <w:t>arteria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val="en-US"/>
        </w:rPr>
        <w:t>femoral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val="en-US"/>
        </w:rPr>
        <w:t>is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за 15 </w:t>
      </w:r>
      <w:r w:rsidRPr="005A298D">
        <w:rPr>
          <w:rFonts w:eastAsia="Times New Roman" w:cs="Arial"/>
          <w:color w:val="000000"/>
          <w:lang w:val="en-US"/>
        </w:rPr>
        <w:t>min</w:t>
      </w:r>
      <w:r w:rsidRPr="005A298D">
        <w:rPr>
          <w:rFonts w:eastAsia="Times New Roman" w:cs="Arial"/>
          <w:color w:val="000000"/>
        </w:rPr>
        <w:t xml:space="preserve">, </w:t>
      </w:r>
      <w:r w:rsidRPr="005A298D">
        <w:rPr>
          <w:rFonts w:eastAsia="Times New Roman" w:cs="Arial"/>
          <w:color w:val="000000"/>
          <w:lang w:eastAsia="bg-BG"/>
        </w:rPr>
        <w:t>като се използва перфузионна помпа.</w:t>
      </w:r>
    </w:p>
    <w:p w14:paraId="7A82BF22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2A66D5" w14:textId="1EC15912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Интрамускулна инжекция</w:t>
      </w:r>
    </w:p>
    <w:p w14:paraId="1DB7CA4E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За интрамускулна инжекция Цефтриаксон</w:t>
      </w:r>
      <w:r w:rsidRPr="005A298D">
        <w:rPr>
          <w:rFonts w:eastAsia="Times New Roman" w:cs="Arial"/>
          <w:color w:val="000000"/>
          <w:lang w:val="ru-RU"/>
        </w:rPr>
        <w:t>-</w:t>
      </w:r>
      <w:r w:rsidRPr="005A298D">
        <w:rPr>
          <w:rFonts w:eastAsia="Times New Roman" w:cs="Arial"/>
          <w:color w:val="000000"/>
          <w:lang w:val="en-US"/>
        </w:rPr>
        <w:t>MIP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2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трябва да се разтвори в 7 </w:t>
      </w:r>
      <w:r w:rsidRPr="005A298D">
        <w:rPr>
          <w:rFonts w:eastAsia="Times New Roman" w:cs="Arial"/>
          <w:color w:val="000000"/>
          <w:lang w:val="en-US"/>
        </w:rPr>
        <w:t>ml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1 % разтвор на лидокаин. Полученият разтвор трябва да се приложи дълбоко мускулно в глутеалната област. Не трябва да се инжектира повече от 1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на едно инжекционно място. Съдържащи лидокаин разтвори никога не трябва да се прилагат интраваскуларно (вижте също точка 4.4).</w:t>
      </w:r>
    </w:p>
    <w:p w14:paraId="2ED8CC68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lastRenderedPageBreak/>
        <w:t>За лечение на невроборелиоза или тежки инфекции като сепгицемия и менингит интрамускулното приложение не е подходящо. Интрамускулно приложение не е показно При деца под 2-годишна възраст поради малката мускулна маса.</w:t>
      </w:r>
    </w:p>
    <w:p w14:paraId="5BA24826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2682DA" w14:textId="668A1DB3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(За приготвяне на разтвора вижте също точка 6.6)</w:t>
      </w:r>
    </w:p>
    <w:p w14:paraId="57A81713" w14:textId="77777777" w:rsidR="005A298D" w:rsidRP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3676D391" w14:textId="04EB7304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>Продължителност на приложението</w:t>
      </w:r>
      <w:bookmarkEnd w:id="2"/>
    </w:p>
    <w:p w14:paraId="079F2A83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Продължителността на лечението варира в зависимост от протичането на болестта. Както при другите антибиотици, лечението с цефтриаксон трябва да продължи минимум от 48 до 72 часа след като пациента е станал афебрилен или са установени признаци за бактериална елиминация.</w:t>
      </w:r>
    </w:p>
    <w:p w14:paraId="33369BC9" w14:textId="77777777" w:rsidR="005A298D" w:rsidRPr="005A298D" w:rsidRDefault="005A298D" w:rsidP="005A298D"/>
    <w:p w14:paraId="62B13D0B" w14:textId="512FFC1D" w:rsidR="00395555" w:rsidRDefault="002C50EE" w:rsidP="008A6AF2">
      <w:pPr>
        <w:pStyle w:val="Heading2"/>
      </w:pPr>
      <w:r>
        <w:t>4.3. Противопоказания</w:t>
      </w:r>
    </w:p>
    <w:p w14:paraId="38E7C4AB" w14:textId="2E70AFAF" w:rsidR="005A298D" w:rsidRDefault="005A298D" w:rsidP="005A298D"/>
    <w:p w14:paraId="3410A511" w14:textId="2159CF4A" w:rsidR="005A298D" w:rsidRPr="005A298D" w:rsidRDefault="005A298D" w:rsidP="005A298D">
      <w:pPr>
        <w:rPr>
          <w:rFonts w:cs="Arial"/>
        </w:rPr>
      </w:pPr>
      <w:r w:rsidRPr="005A298D">
        <w:rPr>
          <w:rFonts w:cs="Arial"/>
        </w:rPr>
        <w:t>Цефтриаксон</w:t>
      </w:r>
      <w:r w:rsidRPr="005A298D">
        <w:rPr>
          <w:rFonts w:cs="Arial"/>
          <w:lang w:val="ru-RU"/>
        </w:rPr>
        <w:t>-</w:t>
      </w:r>
      <w:r w:rsidRPr="005A298D">
        <w:rPr>
          <w:rFonts w:cs="Arial"/>
          <w:lang w:val="en-US"/>
        </w:rPr>
        <w:t>MIP</w:t>
      </w:r>
      <w:r w:rsidRPr="005A298D">
        <w:rPr>
          <w:rFonts w:cs="Arial"/>
          <w:lang w:val="ru-RU"/>
        </w:rPr>
        <w:t xml:space="preserve"> </w:t>
      </w:r>
      <w:r w:rsidRPr="005A298D">
        <w:rPr>
          <w:rFonts w:cs="Arial"/>
        </w:rPr>
        <w:t>е противопоказен при пациенти с със свръхчувствителност към цефтриаксон или други цефалоспоринови антибиотици, поради риска от анафилактичен шок.</w:t>
      </w:r>
    </w:p>
    <w:p w14:paraId="0D72012F" w14:textId="69A41D7F" w:rsidR="005A298D" w:rsidRPr="005A298D" w:rsidRDefault="005A298D" w:rsidP="005A298D">
      <w:pPr>
        <w:rPr>
          <w:rFonts w:cs="Arial"/>
        </w:rPr>
      </w:pPr>
    </w:p>
    <w:p w14:paraId="0BFE27D6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Кръстосана свръхчувствителност с други β-лактамни антибиотици (напр. пеницилин) може да настъпи, така че са необходими специални предпазни мерки при употреба в случаи на известна свръхчувствителност към пеницилин и други нецефалоспоринови антибиотици с β-лактамна структура.</w:t>
      </w:r>
    </w:p>
    <w:p w14:paraId="0F5CD9D4" w14:textId="77777777" w:rsidR="005A298D" w:rsidRPr="005A298D" w:rsidRDefault="005A298D" w:rsidP="005A298D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304AF5FD" w14:textId="575C6A0A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i/>
          <w:iCs/>
          <w:color w:val="000000"/>
          <w:lang w:val="en-US"/>
        </w:rPr>
        <w:t>In</w:t>
      </w:r>
      <w:r w:rsidRPr="005A298D">
        <w:rPr>
          <w:rFonts w:eastAsia="Times New Roman" w:cs="Arial"/>
          <w:i/>
          <w:iCs/>
          <w:color w:val="000000"/>
          <w:lang w:val="ru-RU"/>
        </w:rPr>
        <w:t>-</w:t>
      </w:r>
      <w:r w:rsidRPr="005A298D">
        <w:rPr>
          <w:rFonts w:eastAsia="Times New Roman" w:cs="Arial"/>
          <w:i/>
          <w:iCs/>
          <w:color w:val="000000"/>
          <w:lang w:val="en-US"/>
        </w:rPr>
        <w:t>vitro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проучвания са показали, че цефтриаксон - както някои други цефалоспорини може да измести билирубина свързан със серумния албумин. Лечение с цефтриаксон на хипербилирубинемични новородени, и особено на недоносени новородени, не трябва да се провежда поради риска от билирубинова енцефалопатия.</w:t>
      </w:r>
    </w:p>
    <w:p w14:paraId="15FF1A49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CBBC0F" w14:textId="781D4579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Интрамускулното приложение не е подходящо за лечение на невроберлиоза или тежки инфекции като септицемия и менингит и при деца под 2-годишна възраст.</w:t>
      </w:r>
    </w:p>
    <w:p w14:paraId="7EDB609F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FA5A6D" w14:textId="27443614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Допълнително за интрамускулното приложение</w:t>
      </w:r>
    </w:p>
    <w:p w14:paraId="580C7E88" w14:textId="51A0340B" w:rsidR="005A298D" w:rsidRDefault="005A298D" w:rsidP="005A298D">
      <w:pPr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>Лццокаин съдържащи разтвори, използващи се за интрамускулно приложение, не трябва да се прилагат при пациенти с нарушения на сърдечната проводимост или остра сърдечна недостатъчност, както и при случаи на известна свръхчувствителност към локални анестетици от амидоациден тип.</w:t>
      </w:r>
    </w:p>
    <w:p w14:paraId="09F97153" w14:textId="77777777" w:rsidR="005A298D" w:rsidRPr="005A298D" w:rsidRDefault="005A298D" w:rsidP="005A298D">
      <w:pPr>
        <w:rPr>
          <w:rFonts w:cs="Arial"/>
        </w:rPr>
      </w:pPr>
    </w:p>
    <w:p w14:paraId="5A4AC413" w14:textId="623AAA1F" w:rsidR="00395555" w:rsidRDefault="002C50EE" w:rsidP="008A6AF2">
      <w:pPr>
        <w:pStyle w:val="Heading2"/>
      </w:pPr>
      <w:r>
        <w:t>4.4. Специални предупреждения и предпазни мерки при употреба</w:t>
      </w:r>
    </w:p>
    <w:p w14:paraId="7F9D53AE" w14:textId="417D4323" w:rsidR="005A298D" w:rsidRDefault="005A298D" w:rsidP="005A298D"/>
    <w:p w14:paraId="1A80D9F5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При пациенти с алергична реактивност, риска от тежки реакции на свръхчувствителност при инжекционно или инфузионно лечение е повишен. Поради това, Цефтриаксон</w:t>
      </w:r>
      <w:r w:rsidRPr="005A298D">
        <w:rPr>
          <w:rFonts w:eastAsia="Times New Roman" w:cs="Arial"/>
          <w:color w:val="000000"/>
          <w:lang w:val="ru-RU"/>
        </w:rPr>
        <w:t>-</w:t>
      </w:r>
      <w:r w:rsidRPr="005A298D">
        <w:rPr>
          <w:rFonts w:eastAsia="Times New Roman" w:cs="Arial"/>
          <w:color w:val="000000"/>
          <w:lang w:val="en-US"/>
        </w:rPr>
        <w:t>MIP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трябва да се прилага със специално внимание при тези случаи.</w:t>
      </w:r>
    </w:p>
    <w:p w14:paraId="5C3654D5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При случай на остри тежки реакции на свръхчувствителност (напр. анафилактичен шок) лечението с Цефтриаксон</w:t>
      </w:r>
      <w:r w:rsidRPr="005A298D">
        <w:rPr>
          <w:rFonts w:eastAsia="Times New Roman" w:cs="Arial"/>
          <w:color w:val="000000"/>
          <w:lang w:val="ru-RU"/>
        </w:rPr>
        <w:t>-</w:t>
      </w:r>
      <w:r w:rsidRPr="005A298D">
        <w:rPr>
          <w:rFonts w:eastAsia="Times New Roman" w:cs="Arial"/>
          <w:color w:val="000000"/>
          <w:lang w:val="en-US"/>
        </w:rPr>
        <w:t>MIP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трябва да се прекрати незабавно и да се започнат без забавяне подходящи спешни мероприятия (напр. антихистамини, кортикостероиди, симпатикомиметици и ако е необходимо изкуствено дишане)</w:t>
      </w:r>
    </w:p>
    <w:p w14:paraId="6F572C09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615E80" w14:textId="0F87FF3B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При тежка персистираща диария настъпила по време или през първите седмици след лечението трябва да се обсъди възможността за псевдомембранозен колит (в повечето </w:t>
      </w:r>
      <w:r w:rsidRPr="005A298D">
        <w:rPr>
          <w:rFonts w:eastAsia="Times New Roman" w:cs="Arial"/>
          <w:color w:val="000000"/>
          <w:lang w:eastAsia="bg-BG"/>
        </w:rPr>
        <w:lastRenderedPageBreak/>
        <w:t xml:space="preserve">случаи предизвикан от </w:t>
      </w:r>
      <w:r w:rsidRPr="005A298D">
        <w:rPr>
          <w:rFonts w:eastAsia="Times New Roman" w:cs="Arial"/>
          <w:i/>
          <w:iCs/>
          <w:color w:val="000000"/>
          <w:lang w:val="en-US"/>
        </w:rPr>
        <w:t>Clostridium</w:t>
      </w:r>
      <w:r w:rsidRPr="005A298D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A298D">
        <w:rPr>
          <w:rFonts w:eastAsia="Times New Roman" w:cs="Arial"/>
          <w:i/>
          <w:iCs/>
          <w:color w:val="000000"/>
          <w:lang w:val="en-US"/>
        </w:rPr>
        <w:t>difficile</w:t>
      </w:r>
      <w:r w:rsidRPr="005A298D">
        <w:rPr>
          <w:rFonts w:eastAsia="Times New Roman" w:cs="Arial"/>
          <w:i/>
          <w:iCs/>
          <w:color w:val="000000"/>
          <w:lang w:val="ru-RU"/>
        </w:rPr>
        <w:t>).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Това чревно заболяване причинено от антибиотичното лечение може да бъде животозастрашаващо и изисква незабавно подходящо лечение. Лекарствата инхибиращи чревната перисталтика са противопоказни.</w:t>
      </w:r>
    </w:p>
    <w:p w14:paraId="272346A0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731649" w14:textId="7E41388C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Всяко приложение на антибиотици може да доведе до разрастване на резистентни микроорганизми.</w:t>
      </w:r>
    </w:p>
    <w:p w14:paraId="6C2DCA74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2ADACA" w14:textId="0F593408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Внимание трябва да се обърне и на симптомите на вторични инфекции от тези микроорганизми (напр. микоза на лигавиците). Тези инфекции трябва да се лекуват подходящо.</w:t>
      </w:r>
    </w:p>
    <w:p w14:paraId="0BE7D720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186347" w14:textId="60B49C95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При ултразвуково изследване на жлъчния мехур, сенки, обичайно докладвани след лечение с по- високи от препоръчваните дози цефтриаксон, се интрепретират като жлъчни камъни. Всъщност тези сенки са преципитати от калциева сол на цефтриаксон и изчезват след приключването или прекратяването на лечението. В редките случаи, където настъпват симптоми се препоръчва консервативно, а не хирургично лечение. Лекарят трябва да обсъди прекратяване на лечението с цефтриаксон при пациенти проявяващи тези симптоми (вижте също точка 4.8).</w:t>
      </w:r>
    </w:p>
    <w:p w14:paraId="6B9737C8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A58A37" w14:textId="33BCC325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По време на бързо интравенозно инжектиране може да настъпят реакции на свръхчувствителност като обрив и гадене. Това може да се избегне чрез бавно инжектиране (2 до 4 минути). </w:t>
      </w:r>
      <w:r w:rsidRPr="005A298D">
        <w:rPr>
          <w:rFonts w:eastAsia="Times New Roman" w:cs="Arial"/>
          <w:color w:val="000000"/>
          <w:u w:val="single"/>
          <w:lang w:eastAsia="bg-BG"/>
        </w:rPr>
        <w:t>.</w:t>
      </w:r>
    </w:p>
    <w:p w14:paraId="004B381F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B41747" w14:textId="2343EF9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При много бързо инжектиране (за по-малко от 1 минута) през централен венозен настъпи тежка аритмия.</w:t>
      </w:r>
    </w:p>
    <w:p w14:paraId="28EDDA95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</w:p>
    <w:p w14:paraId="47E74D29" w14:textId="5834A411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>Интрамускулната инжекция с цефтриаксон без разтвор на локален анестетик е болезнена и поради това трябва да се прави в комбинация с 1% разтвор на лидокаин. В тези случаи интраваскуларната</w:t>
      </w:r>
    </w:p>
    <w:p w14:paraId="1AB5B025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инжекция трябва да се избягва, защото интраваскуларното инжектиране на лидокаин може да предизвика безпокойство, тахикардия, нарушения в проводимостта, както и повръщане и конвулсии. Информацията за риска от производителя на лидокаин трябва да се съблюдава.</w:t>
      </w:r>
    </w:p>
    <w:p w14:paraId="1DB00363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333570" w14:textId="7A6C095C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По време на продължително лечение с цефтриаксон, кръвната картина, бъбречната и чернодробната функция трябва да следят редовно.</w:t>
      </w:r>
    </w:p>
    <w:p w14:paraId="072D92F9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95D3CB" w14:textId="3C00D664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В случаи на съпътстващи тежки бъбречни и чернодробни нарушения, серумната концентрация на цефтриаксон трябва редовно да се контролира.</w:t>
      </w:r>
    </w:p>
    <w:p w14:paraId="7C8601D2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EADEE0" w14:textId="57C6B120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Редкият витамин-К дефицит, предизвикан от приложението на цефалоспорини трябва да бъде обсъден.</w:t>
      </w:r>
    </w:p>
    <w:p w14:paraId="104F92FD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74FFD6" w14:textId="5F5D1084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При пациенти с контролирана натриева диета или с електролитен дисбаланс, съдържанието на натрий трябва да се има в предвид.</w:t>
      </w:r>
    </w:p>
    <w:p w14:paraId="74875AA7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1 флакон Цефтриаксон</w:t>
      </w:r>
      <w:r w:rsidRPr="005A298D">
        <w:rPr>
          <w:rFonts w:eastAsia="Times New Roman" w:cs="Arial"/>
          <w:color w:val="000000"/>
        </w:rPr>
        <w:t>-</w:t>
      </w:r>
      <w:r w:rsidRPr="005A298D">
        <w:rPr>
          <w:rFonts w:eastAsia="Times New Roman" w:cs="Arial"/>
          <w:color w:val="000000"/>
          <w:lang w:val="en-US"/>
        </w:rPr>
        <w:t>MIP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2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съдържа 166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(7,2 </w:t>
      </w:r>
      <w:proofErr w:type="spellStart"/>
      <w:r w:rsidRPr="005A298D">
        <w:rPr>
          <w:rFonts w:eastAsia="Times New Roman" w:cs="Arial"/>
          <w:color w:val="000000"/>
          <w:lang w:val="en-US"/>
        </w:rPr>
        <w:t>mmol</w:t>
      </w:r>
      <w:proofErr w:type="spellEnd"/>
      <w:r w:rsidRPr="005A298D">
        <w:rPr>
          <w:rFonts w:eastAsia="Times New Roman" w:cs="Arial"/>
          <w:color w:val="000000"/>
        </w:rPr>
        <w:t xml:space="preserve">) </w:t>
      </w:r>
      <w:r w:rsidRPr="005A298D">
        <w:rPr>
          <w:rFonts w:eastAsia="Times New Roman" w:cs="Arial"/>
          <w:color w:val="000000"/>
          <w:lang w:eastAsia="bg-BG"/>
        </w:rPr>
        <w:t>натрий.</w:t>
      </w:r>
    </w:p>
    <w:p w14:paraId="17742FDE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ADB56D" w14:textId="2E15DAB5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Дневната доза за недоносени новородени не трябва да надхвърля 50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телесно тегло, поради незрелостта на ензимните системи.</w:t>
      </w:r>
    </w:p>
    <w:p w14:paraId="7686F7EA" w14:textId="77777777" w:rsidR="005A298D" w:rsidRPr="005A298D" w:rsidRDefault="005A298D" w:rsidP="005A298D">
      <w:pPr>
        <w:spacing w:line="240" w:lineRule="auto"/>
        <w:rPr>
          <w:rFonts w:ascii="Times New Roman" w:eastAsia="Times New Roman" w:hAnsi="Times New Roman" w:cs="Times New Roman"/>
        </w:rPr>
      </w:pPr>
    </w:p>
    <w:p w14:paraId="7D856237" w14:textId="77777777" w:rsidR="005A298D" w:rsidRPr="005A298D" w:rsidRDefault="005A298D" w:rsidP="005A298D"/>
    <w:p w14:paraId="1244F76A" w14:textId="0379F034" w:rsidR="00395555" w:rsidRDefault="002C50EE" w:rsidP="008A6AF2">
      <w:pPr>
        <w:pStyle w:val="Heading2"/>
      </w:pPr>
      <w:r>
        <w:lastRenderedPageBreak/>
        <w:t>4.5. Взаимодействие с други лекарствени продукти и други форми на взаимодействие</w:t>
      </w:r>
    </w:p>
    <w:p w14:paraId="7800BE2C" w14:textId="4F8CA288" w:rsidR="005A298D" w:rsidRDefault="005A298D" w:rsidP="005A298D"/>
    <w:p w14:paraId="79348AFA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Пефтриаксон/други антибиотици</w:t>
      </w:r>
    </w:p>
    <w:p w14:paraId="6FC48085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Цефтриаксон не трябва да се комбинира с бактериостатични антибиотици, защото с оглед на антибактериалната ефикасност може да настъпи антагонистичен ефект. Синергизъм между цефтриаксон и аминогликозиди по отношение на много </w:t>
      </w:r>
      <w:r w:rsidRPr="005A298D">
        <w:rPr>
          <w:rFonts w:eastAsia="Times New Roman" w:cs="Arial"/>
          <w:color w:val="000000"/>
          <w:lang w:val="en-US"/>
        </w:rPr>
        <w:t>Gram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(-) бактерии е бил експериментално доказан. Тъй като повишената ефикасност натази комбинация не може винаги сигурно да се прогнозира, тя трябва да се обсъжда в случаи на тежки животозастрашаващи инфекции причинени от микроорганизми като </w:t>
      </w:r>
      <w:r w:rsidRPr="005A298D">
        <w:rPr>
          <w:rFonts w:eastAsia="Times New Roman" w:cs="Arial"/>
          <w:i/>
          <w:iCs/>
          <w:color w:val="000000"/>
          <w:lang w:val="en-US"/>
        </w:rPr>
        <w:t>Pseudomonas</w:t>
      </w:r>
      <w:r w:rsidRPr="005A298D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A298D">
        <w:rPr>
          <w:rFonts w:eastAsia="Times New Roman" w:cs="Arial"/>
          <w:i/>
          <w:iCs/>
          <w:color w:val="000000"/>
          <w:lang w:val="en-US"/>
        </w:rPr>
        <w:t>aeruginosa</w:t>
      </w:r>
      <w:r w:rsidRPr="005A298D">
        <w:rPr>
          <w:rFonts w:eastAsia="Times New Roman" w:cs="Arial"/>
          <w:i/>
          <w:iCs/>
          <w:color w:val="000000"/>
          <w:lang w:val="ru-RU"/>
        </w:rPr>
        <w:t>.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Двете лекарства трябва да се прилагат отделно поради химико-физична несъвместимост.</w:t>
      </w:r>
    </w:p>
    <w:p w14:paraId="6D306274" w14:textId="77777777" w:rsid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0835724" w14:textId="64A370EF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Цефтриаксон/пробенцид</w:t>
      </w:r>
    </w:p>
    <w:p w14:paraId="29B2DE6A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Прилагането на по-висока орална доза пробенцид (1 до 2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дневно) може частично да инхибира билиарната секреция на цефтриаксон, което обаче не води до повишаване на серумните нива (вижте също точка 5.2 Фармакодинамични свойства).</w:t>
      </w:r>
    </w:p>
    <w:p w14:paraId="438BC8CE" w14:textId="77777777" w:rsid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E0B5648" w14:textId="3945BDB6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Пефтриаксон/хормонални контрацептиви</w:t>
      </w:r>
    </w:p>
    <w:p w14:paraId="23F9F6D4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Сигурността на контрацептивния ефект на оралните контрацептиви е под въпрос в случаите на едновременно приложение с цефтриаксон. Поради това, трябва да се прилагат допълнително други контрацептивни мерки по време на лечение с Цефтриаксон</w:t>
      </w:r>
      <w:r w:rsidRPr="005A298D">
        <w:rPr>
          <w:rFonts w:eastAsia="Times New Roman" w:cs="Arial"/>
          <w:color w:val="000000"/>
          <w:lang w:val="ru-RU"/>
        </w:rPr>
        <w:t>-</w:t>
      </w:r>
      <w:r w:rsidRPr="005A298D">
        <w:rPr>
          <w:rFonts w:eastAsia="Times New Roman" w:cs="Arial"/>
          <w:color w:val="000000"/>
          <w:lang w:val="en-US"/>
        </w:rPr>
        <w:t>MIP</w:t>
      </w:r>
      <w:r w:rsidRPr="005A298D">
        <w:rPr>
          <w:rFonts w:eastAsia="Times New Roman" w:cs="Arial"/>
          <w:color w:val="000000"/>
          <w:lang w:val="ru-RU"/>
        </w:rPr>
        <w:t>.</w:t>
      </w:r>
    </w:p>
    <w:p w14:paraId="4FB04B4E" w14:textId="77777777" w:rsid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7EE15B" w14:textId="3CC0E8D0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Въздействие върху лабораторните параметри</w:t>
      </w:r>
    </w:p>
    <w:p w14:paraId="69983EB1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По време на лечение с цефтриаксон, тестът на </w:t>
      </w:r>
      <w:r w:rsidRPr="005A298D">
        <w:rPr>
          <w:rFonts w:eastAsia="Times New Roman" w:cs="Arial"/>
          <w:color w:val="000000"/>
          <w:lang w:val="en-US"/>
        </w:rPr>
        <w:t>Coombs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в редки случаи може да даде фалшиво позитивни резултати.</w:t>
      </w:r>
    </w:p>
    <w:p w14:paraId="10A9F5F4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Определянето на глюкоза в урината може да даде фалшиво позитивни или фалшиво негативни резултати в зависимост от използвания метод. Това може да се предотврати чрез използването на ензимни методи.</w:t>
      </w:r>
    </w:p>
    <w:p w14:paraId="634D4976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Цефтриаксон може да предизвика фалшиво позитивиране на теста за галактоземия.</w:t>
      </w:r>
    </w:p>
    <w:p w14:paraId="616FEB83" w14:textId="1DAAF4F5" w:rsidR="005A298D" w:rsidRPr="005A298D" w:rsidRDefault="005A298D" w:rsidP="005A298D"/>
    <w:p w14:paraId="6EADE4D6" w14:textId="743DEFFA" w:rsidR="00395555" w:rsidRDefault="002C50EE" w:rsidP="008A6AF2">
      <w:pPr>
        <w:pStyle w:val="Heading2"/>
      </w:pPr>
      <w:r>
        <w:t>4.6. Фертилитет, бременност и кърмене</w:t>
      </w:r>
    </w:p>
    <w:p w14:paraId="072C4322" w14:textId="428411DA" w:rsidR="005A298D" w:rsidRDefault="005A298D" w:rsidP="005A298D"/>
    <w:p w14:paraId="1B0EE7B4" w14:textId="77777777" w:rsidR="005A298D" w:rsidRPr="005A298D" w:rsidRDefault="005A298D" w:rsidP="005A298D">
      <w:pPr>
        <w:pStyle w:val="Heading3"/>
        <w:rPr>
          <w:rFonts w:eastAsia="Times New Roman"/>
          <w:u w:val="single"/>
        </w:rPr>
      </w:pPr>
      <w:r w:rsidRPr="005A298D">
        <w:rPr>
          <w:rFonts w:eastAsia="Times New Roman"/>
          <w:u w:val="single"/>
          <w:lang w:eastAsia="bg-BG"/>
        </w:rPr>
        <w:t>Бременност</w:t>
      </w:r>
    </w:p>
    <w:p w14:paraId="286D15A9" w14:textId="77777777" w:rsidR="005A298D" w:rsidRPr="005A298D" w:rsidRDefault="005A298D" w:rsidP="005A298D">
      <w:pPr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Цефтриаксон преминава през плацентата. До момента няма адекватни данни относно приложението на цефтриаксон при бременни жени. Поради това, цефтриаксон трябва да се използват по време на</w:t>
      </w:r>
      <w:r w:rsidRPr="005A298D">
        <w:rPr>
          <w:rFonts w:eastAsia="Times New Roman" w:cs="Arial"/>
          <w:color w:val="000000"/>
          <w:lang w:val="ru-RU" w:eastAsia="bg-BG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бременност, особено поез първите той месеца, само след стриктна преценка на съотношението полза/риск.</w:t>
      </w:r>
    </w:p>
    <w:p w14:paraId="346623A1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BE4C850" w14:textId="271A3B6A" w:rsidR="005A298D" w:rsidRPr="005A298D" w:rsidRDefault="005A298D" w:rsidP="005A298D">
      <w:pPr>
        <w:pStyle w:val="Heading3"/>
        <w:rPr>
          <w:rFonts w:eastAsia="Times New Roman"/>
          <w:u w:val="single"/>
        </w:rPr>
      </w:pPr>
      <w:r w:rsidRPr="005A298D">
        <w:rPr>
          <w:rFonts w:eastAsia="Times New Roman"/>
          <w:u w:val="single"/>
          <w:lang w:eastAsia="bg-BG"/>
        </w:rPr>
        <w:t>Кърмене</w:t>
      </w:r>
    </w:p>
    <w:p w14:paraId="12E58FB0" w14:textId="5438EE49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Малки количества от цефтриаксон се отделят в майчиното мляко. Поради това, цефтриаксон трябва да се прилага по време на кърмене само след стриктна преценка на съотношението полза/риск и взимане предвид на възможните нежелани лекарствени реакции от страна на кърмачето (въздействие върху чревната флора с възможно микотично разрастване и сенсибилизация към цефалоспориновй антибиотици).</w:t>
      </w:r>
    </w:p>
    <w:p w14:paraId="2C289D26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BC618B3" w14:textId="3D3EC56C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Допълнително за интрамускулно приложение:</w:t>
      </w:r>
    </w:p>
    <w:p w14:paraId="49AE42A0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lastRenderedPageBreak/>
        <w:t>Информацията на производителя относно рисковете от прилагането на лидокаин трябва да се имат предвид при използването на лидокаин съдържащи разтвори.</w:t>
      </w:r>
    </w:p>
    <w:p w14:paraId="5FADB089" w14:textId="6BDFBDB5" w:rsidR="005A298D" w:rsidRPr="005A298D" w:rsidRDefault="005A298D" w:rsidP="005A298D"/>
    <w:p w14:paraId="5766770B" w14:textId="017DAA8A" w:rsidR="00395555" w:rsidRDefault="002C50EE" w:rsidP="008A6AF2">
      <w:pPr>
        <w:pStyle w:val="Heading2"/>
      </w:pPr>
      <w:r>
        <w:t>4.7. Ефекти върху способността за шофиране и работа с машини</w:t>
      </w:r>
    </w:p>
    <w:p w14:paraId="4D042542" w14:textId="33162680" w:rsidR="005A298D" w:rsidRDefault="005A298D" w:rsidP="005A298D"/>
    <w:p w14:paraId="73CFD36A" w14:textId="048676FB" w:rsidR="005A298D" w:rsidRPr="005A298D" w:rsidRDefault="005A298D" w:rsidP="005A298D">
      <w:pPr>
        <w:rPr>
          <w:sz w:val="24"/>
          <w:szCs w:val="24"/>
        </w:rPr>
      </w:pPr>
      <w:r w:rsidRPr="005A298D">
        <w:rPr>
          <w:lang w:eastAsia="bg-BG"/>
        </w:rPr>
        <w:t>Най-общо няма данни, че цефтриаксон повлиява способността за шофиране и работа с машини. Все пак, редки нежелани лекарствени реакции, като понижаване на кръвното налягане или замаяност може да представляват потенциален риск при шофиране и работа с машини (вижте също точка 4.8 Нежелани лекарствени реакции и 4.9 Предозиране).</w:t>
      </w:r>
    </w:p>
    <w:p w14:paraId="076EC51B" w14:textId="77777777" w:rsidR="005A298D" w:rsidRPr="005A298D" w:rsidRDefault="005A298D" w:rsidP="005A298D"/>
    <w:p w14:paraId="4FE16E21" w14:textId="358F2D3D" w:rsidR="00395555" w:rsidRDefault="002C50EE" w:rsidP="008A6AF2">
      <w:pPr>
        <w:pStyle w:val="Heading2"/>
      </w:pPr>
      <w:r>
        <w:t>4.8. Нежелани лекарствени реакции</w:t>
      </w:r>
    </w:p>
    <w:p w14:paraId="50C73D86" w14:textId="069018A5" w:rsidR="005A298D" w:rsidRDefault="005A298D" w:rsidP="005A298D"/>
    <w:p w14:paraId="4E09C79C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За оценка на честотата на нежеланите лекарствени реакции се използва следната класификация:</w:t>
      </w:r>
    </w:p>
    <w:p w14:paraId="590117C4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3B831C" w14:textId="6F7790F6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Много чести (≥1/10)</w:t>
      </w:r>
    </w:p>
    <w:p w14:paraId="4E21C866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Чести (≥1/100 до &lt;1/10)</w:t>
      </w:r>
    </w:p>
    <w:p w14:paraId="0111DB3B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Нечести (≥1/1 000 до &lt;1/100)</w:t>
      </w:r>
    </w:p>
    <w:p w14:paraId="251428AC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Редки (≥1/10 000 до &lt;1/1 000)</w:t>
      </w:r>
    </w:p>
    <w:p w14:paraId="116917D8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Много редки (&lt;1/10 000)</w:t>
      </w:r>
    </w:p>
    <w:p w14:paraId="07C471C8" w14:textId="19F99159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С неизвестна честота (от наличните данни не може да бъде направена оценка)</w:t>
      </w:r>
    </w:p>
    <w:p w14:paraId="17AF5462" w14:textId="77777777" w:rsidR="005A298D" w:rsidRP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164DB93F" w14:textId="6B4D8334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u w:val="single"/>
          <w:lang w:eastAsia="bg-BG"/>
        </w:rPr>
        <w:t>Инфекции и инфестации</w:t>
      </w:r>
    </w:p>
    <w:p w14:paraId="3EC86ED4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Нечести: </w:t>
      </w:r>
      <w:r w:rsidRPr="005A298D">
        <w:rPr>
          <w:rFonts w:eastAsia="Times New Roman" w:cs="Arial"/>
          <w:color w:val="000000"/>
          <w:lang w:eastAsia="bg-BG"/>
        </w:rPr>
        <w:t>Микоза на гениталния тракт.</w:t>
      </w:r>
    </w:p>
    <w:p w14:paraId="2A50A168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>Нарушения на кръвта и лимфната система</w:t>
      </w:r>
    </w:p>
    <w:p w14:paraId="724CE19A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Редки: </w:t>
      </w:r>
      <w:r w:rsidRPr="005A298D">
        <w:rPr>
          <w:rFonts w:eastAsia="Times New Roman" w:cs="Arial"/>
          <w:color w:val="000000"/>
          <w:lang w:eastAsia="bg-BG"/>
        </w:rPr>
        <w:t xml:space="preserve">Минимално удължаване на протромбиновото време (повишена тенденция към кървене както при цефалоспорините с </w:t>
      </w:r>
      <w:r w:rsidRPr="005A298D">
        <w:rPr>
          <w:rFonts w:eastAsia="Times New Roman" w:cs="Arial"/>
          <w:color w:val="000000"/>
          <w:lang w:val="en-US"/>
        </w:rPr>
        <w:t>N</w:t>
      </w:r>
      <w:r w:rsidRPr="005A298D">
        <w:rPr>
          <w:rFonts w:eastAsia="Times New Roman" w:cs="Arial"/>
          <w:color w:val="000000"/>
          <w:lang w:val="ru-RU"/>
        </w:rPr>
        <w:t>-</w:t>
      </w:r>
      <w:r w:rsidRPr="005A298D">
        <w:rPr>
          <w:rFonts w:eastAsia="Times New Roman" w:cs="Arial"/>
          <w:color w:val="000000"/>
          <w:lang w:val="en-US"/>
        </w:rPr>
        <w:t>methyl</w:t>
      </w:r>
      <w:r w:rsidRPr="005A298D">
        <w:rPr>
          <w:rFonts w:eastAsia="Times New Roman" w:cs="Arial"/>
          <w:color w:val="000000"/>
          <w:lang w:val="ru-RU"/>
        </w:rPr>
        <w:t>-</w:t>
      </w:r>
      <w:proofErr w:type="spellStart"/>
      <w:r w:rsidRPr="005A298D">
        <w:rPr>
          <w:rFonts w:eastAsia="Times New Roman" w:cs="Arial"/>
          <w:color w:val="000000"/>
          <w:lang w:val="en-US"/>
        </w:rPr>
        <w:t>thiotetrazolyl</w:t>
      </w:r>
      <w:proofErr w:type="spellEnd"/>
      <w:r w:rsidRPr="005A298D">
        <w:rPr>
          <w:rFonts w:eastAsia="Times New Roman" w:cs="Arial"/>
          <w:color w:val="000000"/>
          <w:lang w:val="ru-RU"/>
        </w:rPr>
        <w:t>-</w:t>
      </w:r>
      <w:r w:rsidRPr="005A298D">
        <w:rPr>
          <w:rFonts w:eastAsia="Times New Roman" w:cs="Arial"/>
          <w:color w:val="000000"/>
          <w:lang w:eastAsia="bg-BG"/>
        </w:rPr>
        <w:t>верига не е докладвана). Левкопения, гранулоцитопения (неутропения) и еозинофилия.</w:t>
      </w:r>
    </w:p>
    <w:p w14:paraId="0A77D473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Много редки: </w:t>
      </w:r>
      <w:r w:rsidRPr="005A298D">
        <w:rPr>
          <w:rFonts w:eastAsia="Times New Roman" w:cs="Arial"/>
          <w:color w:val="000000"/>
          <w:lang w:eastAsia="bg-BG"/>
        </w:rPr>
        <w:t xml:space="preserve">Тромбоцитопения и агранулоцитоза (&lt; </w:t>
      </w:r>
      <w:r w:rsidRPr="005A298D">
        <w:rPr>
          <w:rFonts w:eastAsia="Times New Roman" w:cs="Arial"/>
          <w:color w:val="000000"/>
          <w:lang w:val="ru-RU"/>
        </w:rPr>
        <w:t>500/</w:t>
      </w:r>
      <w:r w:rsidRPr="005A298D">
        <w:rPr>
          <w:rFonts w:eastAsia="Times New Roman" w:cs="Arial"/>
          <w:color w:val="000000"/>
          <w:lang w:val="en-US"/>
        </w:rPr>
        <w:t>mm</w:t>
      </w:r>
      <w:r w:rsidRPr="005A298D">
        <w:rPr>
          <w:rFonts w:eastAsia="Times New Roman" w:cs="Arial"/>
          <w:color w:val="000000"/>
          <w:vertAlign w:val="superscript"/>
          <w:lang w:val="ru-RU"/>
        </w:rPr>
        <w:t>3</w:t>
      </w:r>
      <w:r w:rsidRPr="005A298D">
        <w:rPr>
          <w:rFonts w:eastAsia="Times New Roman" w:cs="Arial"/>
          <w:color w:val="000000"/>
          <w:lang w:val="ru-RU"/>
        </w:rPr>
        <w:t xml:space="preserve">), </w:t>
      </w:r>
      <w:r w:rsidRPr="005A298D">
        <w:rPr>
          <w:rFonts w:eastAsia="Times New Roman" w:cs="Arial"/>
          <w:color w:val="000000"/>
          <w:lang w:eastAsia="bg-BG"/>
        </w:rPr>
        <w:t xml:space="preserve">късна, най често след лечение от 10 дни и тотална доза ≥ 20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цефтриаксон. Хемолитична анемия.</w:t>
      </w:r>
    </w:p>
    <w:p w14:paraId="4B9697E1" w14:textId="77777777" w:rsidR="005A298D" w:rsidRP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321DEADD" w14:textId="72D7604E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>Нарушения на имунната система</w:t>
      </w:r>
      <w:bookmarkEnd w:id="3"/>
    </w:p>
    <w:p w14:paraId="40C7E4C5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Чести: </w:t>
      </w:r>
      <w:r w:rsidRPr="005A298D">
        <w:rPr>
          <w:rFonts w:eastAsia="Times New Roman" w:cs="Arial"/>
          <w:color w:val="000000"/>
          <w:lang w:eastAsia="bg-BG"/>
        </w:rPr>
        <w:t xml:space="preserve">Лекарствена треска или разтрисане. Алергични кожни реакции (вижте </w:t>
      </w:r>
      <w:r w:rsidRPr="005A298D">
        <w:rPr>
          <w:rFonts w:eastAsia="Times New Roman" w:cs="Arial"/>
          <w:color w:val="000000"/>
          <w:u w:val="single"/>
          <w:lang w:eastAsia="bg-BG"/>
        </w:rPr>
        <w:t xml:space="preserve">Нарушения </w:t>
      </w:r>
      <w:r w:rsidRPr="005A298D">
        <w:rPr>
          <w:rFonts w:eastAsia="Times New Roman" w:cs="Arial"/>
          <w:b/>
          <w:bCs/>
          <w:color w:val="000000"/>
          <w:u w:val="single"/>
          <w:lang w:eastAsia="bg-BG"/>
        </w:rPr>
        <w:t xml:space="preserve">на </w:t>
      </w:r>
      <w:r w:rsidRPr="005A298D">
        <w:rPr>
          <w:rFonts w:eastAsia="Times New Roman" w:cs="Arial"/>
          <w:color w:val="000000"/>
          <w:u w:val="single"/>
          <w:lang w:eastAsia="bg-BG"/>
        </w:rPr>
        <w:t xml:space="preserve">кожата </w:t>
      </w:r>
      <w:r w:rsidRPr="005A298D">
        <w:rPr>
          <w:rFonts w:eastAsia="Times New Roman" w:cs="Arial"/>
          <w:b/>
          <w:bCs/>
          <w:color w:val="000000"/>
          <w:u w:val="single"/>
          <w:lang w:eastAsia="bg-BG"/>
        </w:rPr>
        <w:t xml:space="preserve">и </w:t>
      </w:r>
      <w:r w:rsidRPr="005A298D">
        <w:rPr>
          <w:rFonts w:eastAsia="Times New Roman" w:cs="Arial"/>
          <w:color w:val="000000"/>
          <w:u w:val="single"/>
          <w:lang w:eastAsia="bg-BG"/>
        </w:rPr>
        <w:t>подкожната тъкан)</w:t>
      </w:r>
      <w:r w:rsidRPr="005A298D">
        <w:rPr>
          <w:rFonts w:eastAsia="Times New Roman" w:cs="Arial"/>
          <w:color w:val="000000"/>
          <w:lang w:eastAsia="bg-BG"/>
        </w:rPr>
        <w:t>.</w:t>
      </w:r>
    </w:p>
    <w:p w14:paraId="4FA03427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Редки: </w:t>
      </w:r>
      <w:r w:rsidRPr="005A298D">
        <w:rPr>
          <w:rFonts w:eastAsia="Times New Roman" w:cs="Arial"/>
          <w:color w:val="000000"/>
          <w:lang w:eastAsia="bg-BG"/>
        </w:rPr>
        <w:t xml:space="preserve">Тежки остри реакции на свръхчувствителност (анафилаксия и анафилактични реакции). Тежки кожни реакции (вижте </w:t>
      </w:r>
      <w:r w:rsidRPr="005A298D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тъкан).</w:t>
      </w:r>
    </w:p>
    <w:p w14:paraId="614A1A14" w14:textId="77777777" w:rsidR="005A298D" w:rsidRP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4FFDAD29" w14:textId="2DE91151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>Нарушения на нервната система</w:t>
      </w:r>
      <w:bookmarkEnd w:id="4"/>
    </w:p>
    <w:p w14:paraId="610E390C" w14:textId="660B7083" w:rsidR="005A298D" w:rsidRDefault="005A298D" w:rsidP="005A298D">
      <w:pPr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>Нечести: Главоболие и замайване.</w:t>
      </w:r>
    </w:p>
    <w:p w14:paraId="5FE84F65" w14:textId="6E3AAE8E" w:rsidR="005A298D" w:rsidRDefault="005A298D" w:rsidP="005A298D">
      <w:pPr>
        <w:rPr>
          <w:rFonts w:eastAsia="Times New Roman" w:cs="Arial"/>
          <w:color w:val="000000"/>
          <w:lang w:eastAsia="bg-BG"/>
        </w:rPr>
      </w:pPr>
    </w:p>
    <w:p w14:paraId="02719458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>Стомашно-чревни нарушения</w:t>
      </w:r>
    </w:p>
    <w:p w14:paraId="5A54A725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Нечести: </w:t>
      </w:r>
      <w:r w:rsidRPr="005A298D">
        <w:rPr>
          <w:rFonts w:eastAsia="Times New Roman" w:cs="Arial"/>
          <w:color w:val="000000"/>
          <w:lang w:eastAsia="bg-BG"/>
        </w:rPr>
        <w:t>Стоматит, глосит и стомашно-чревни разстройства под формата на отсъствие на апетит, гадене, повръщане, коремна болка, кашави изпражнения и диария. Тези нежелани лекарствени реакции са много леки и най-често реверзибилни след прекратяване на лечението.</w:t>
      </w:r>
    </w:p>
    <w:p w14:paraId="7C9D129A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Много редки: </w:t>
      </w:r>
      <w:r w:rsidRPr="005A298D">
        <w:rPr>
          <w:rFonts w:eastAsia="Times New Roman" w:cs="Arial"/>
          <w:color w:val="000000"/>
          <w:lang w:eastAsia="bg-BG"/>
        </w:rPr>
        <w:t xml:space="preserve">Псевдомембранозен колит, най-често предизвикан от </w:t>
      </w:r>
      <w:r w:rsidRPr="005A298D">
        <w:rPr>
          <w:rFonts w:eastAsia="Times New Roman" w:cs="Arial"/>
          <w:i/>
          <w:iCs/>
          <w:color w:val="000000"/>
          <w:lang w:val="en-US"/>
        </w:rPr>
        <w:t>Clostridium</w:t>
      </w:r>
      <w:r w:rsidRPr="005A298D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A298D">
        <w:rPr>
          <w:rFonts w:eastAsia="Times New Roman" w:cs="Arial"/>
          <w:i/>
          <w:iCs/>
          <w:color w:val="000000"/>
          <w:lang w:val="en-US"/>
        </w:rPr>
        <w:t>difficile</w:t>
      </w:r>
      <w:r w:rsidRPr="005A298D">
        <w:rPr>
          <w:rFonts w:eastAsia="Times New Roman" w:cs="Arial"/>
          <w:i/>
          <w:iCs/>
          <w:color w:val="000000"/>
          <w:lang w:val="ru-RU"/>
        </w:rPr>
        <w:t>.</w:t>
      </w:r>
    </w:p>
    <w:p w14:paraId="20AD1029" w14:textId="77777777" w:rsid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30DF9ED3" w14:textId="4D110301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u w:val="single"/>
          <w:lang w:eastAsia="bg-BG"/>
        </w:rPr>
        <w:t>Хепато-билиарни нарушения</w:t>
      </w:r>
    </w:p>
    <w:p w14:paraId="0DDCC851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lastRenderedPageBreak/>
        <w:t xml:space="preserve">Много </w:t>
      </w:r>
      <w:r w:rsidRPr="005A298D">
        <w:rPr>
          <w:rFonts w:eastAsia="Times New Roman" w:cs="Arial"/>
          <w:color w:val="000000"/>
          <w:lang w:eastAsia="bg-BG"/>
        </w:rPr>
        <w:t>чести: При деца: преципитати на калциева сол на цефтриаксон в жлъчния мехур или жлъчните пътища, които изглеждат като сенки при ехографско изследване и изчезват след прекратяване или приключване на лечението.</w:t>
      </w:r>
    </w:p>
    <w:p w14:paraId="1EAD7C97" w14:textId="77777777" w:rsid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 xml:space="preserve">Чести: Повишаване нивото на чернодробните ензими в серума </w:t>
      </w:r>
      <w:r w:rsidRPr="005A298D">
        <w:rPr>
          <w:rFonts w:eastAsia="Times New Roman" w:cs="Arial"/>
          <w:color w:val="000000"/>
          <w:lang w:val="ru-RU"/>
        </w:rPr>
        <w:t>(</w:t>
      </w:r>
      <w:r w:rsidRPr="005A298D">
        <w:rPr>
          <w:rFonts w:eastAsia="Times New Roman" w:cs="Arial"/>
          <w:color w:val="000000"/>
          <w:lang w:val="en-US"/>
        </w:rPr>
        <w:t>SGOT</w:t>
      </w:r>
      <w:r w:rsidRPr="005A298D">
        <w:rPr>
          <w:rFonts w:eastAsia="Times New Roman" w:cs="Arial"/>
          <w:color w:val="000000"/>
          <w:lang w:val="ru-RU"/>
        </w:rPr>
        <w:t xml:space="preserve">, </w:t>
      </w:r>
      <w:r w:rsidRPr="005A298D">
        <w:rPr>
          <w:rFonts w:eastAsia="Times New Roman" w:cs="Arial"/>
          <w:color w:val="000000"/>
          <w:lang w:val="en-US"/>
        </w:rPr>
        <w:t>SGPT</w:t>
      </w:r>
      <w:r w:rsidRPr="005A298D">
        <w:rPr>
          <w:rFonts w:eastAsia="Times New Roman" w:cs="Arial"/>
          <w:color w:val="000000"/>
          <w:lang w:val="ru-RU"/>
        </w:rPr>
        <w:t xml:space="preserve">, </w:t>
      </w:r>
      <w:r w:rsidRPr="005A298D">
        <w:rPr>
          <w:rFonts w:eastAsia="Times New Roman" w:cs="Arial"/>
          <w:color w:val="000000"/>
          <w:lang w:eastAsia="bg-BG"/>
        </w:rPr>
        <w:t xml:space="preserve">алкална фосфатаза). </w:t>
      </w:r>
    </w:p>
    <w:p w14:paraId="69FD7FB9" w14:textId="37F07461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Редки: </w:t>
      </w:r>
      <w:r w:rsidRPr="005A298D">
        <w:rPr>
          <w:rFonts w:eastAsia="Times New Roman" w:cs="Arial"/>
          <w:color w:val="000000"/>
          <w:lang w:eastAsia="bg-BG"/>
        </w:rPr>
        <w:t>При възрастни: преципитати от калциева сол на цефтриаксон в жлъчния мехур или жлъчните пътища, най-често след прилагане на по-високи от препоръчваните дози цефтриаксон. Панкреатит с възможност за запушване на жлъчните пътища. Не може да се изключи възможността панкреатита да е предизвикван от цефтриаксон, действащ в жлъчния мехур като кофактор или активатор. В редките случаи, в които панкреатита се придружава от клинични симптоми, напр. болка, се препоръчват симптоматични мероприятия. Също трябва да се има в предвид прекратяване на лечението.</w:t>
      </w:r>
    </w:p>
    <w:p w14:paraId="7171DB21" w14:textId="77777777" w:rsid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D19D42B" w14:textId="508AA1E6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</w:t>
      </w:r>
    </w:p>
    <w:p w14:paraId="22ED480B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Чести: </w:t>
      </w:r>
      <w:r w:rsidRPr="005A298D">
        <w:rPr>
          <w:rFonts w:eastAsia="Times New Roman" w:cs="Arial"/>
          <w:color w:val="000000"/>
          <w:lang w:eastAsia="bg-BG"/>
        </w:rPr>
        <w:t>Алергични кожни реакции (напр. дерматит, уртикария, екзантем, сърбеж), оток на кожата и ставите.</w:t>
      </w:r>
    </w:p>
    <w:p w14:paraId="03F1A059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Редки: Тежки кожни реакции, включващи еритема мултиформе, синдром на </w:t>
      </w:r>
      <w:r w:rsidRPr="005A298D">
        <w:rPr>
          <w:rFonts w:eastAsia="Times New Roman" w:cs="Arial"/>
          <w:color w:val="000000"/>
          <w:lang w:val="en-US"/>
        </w:rPr>
        <w:t>Stevens</w:t>
      </w:r>
      <w:r w:rsidRPr="005A298D">
        <w:rPr>
          <w:rFonts w:eastAsia="Times New Roman" w:cs="Arial"/>
          <w:color w:val="000000"/>
          <w:lang w:val="ru-RU"/>
        </w:rPr>
        <w:t>-</w:t>
      </w:r>
      <w:r w:rsidRPr="005A298D">
        <w:rPr>
          <w:rFonts w:eastAsia="Times New Roman" w:cs="Arial"/>
          <w:color w:val="000000"/>
          <w:lang w:val="en-US"/>
        </w:rPr>
        <w:t>Johnson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и синдром на </w:t>
      </w:r>
      <w:r w:rsidRPr="005A298D">
        <w:rPr>
          <w:rFonts w:eastAsia="Times New Roman" w:cs="Arial"/>
          <w:color w:val="000000"/>
          <w:lang w:val="en-US"/>
        </w:rPr>
        <w:t>Lyell</w:t>
      </w:r>
      <w:r w:rsidRPr="005A298D">
        <w:rPr>
          <w:rFonts w:eastAsia="Times New Roman" w:cs="Arial"/>
          <w:color w:val="000000"/>
          <w:lang w:eastAsia="bg-BG"/>
        </w:rPr>
        <w:t>/токсична дермална некроза.</w:t>
      </w:r>
    </w:p>
    <w:p w14:paraId="4BF9FDCE" w14:textId="77777777" w:rsid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67A11B58" w14:textId="1E700EF1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u w:val="single"/>
          <w:lang w:eastAsia="bg-BG"/>
        </w:rPr>
        <w:t>Нарушения на бъбреците и пикочните пътища</w:t>
      </w:r>
    </w:p>
    <w:p w14:paraId="2AA2F4D5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Нечести: </w:t>
      </w:r>
      <w:r w:rsidRPr="005A298D">
        <w:rPr>
          <w:rFonts w:eastAsia="Times New Roman" w:cs="Arial"/>
          <w:color w:val="000000"/>
          <w:lang w:eastAsia="bg-BG"/>
        </w:rPr>
        <w:t>Повишаване на серумния креатинин и олшурия.</w:t>
      </w:r>
    </w:p>
    <w:p w14:paraId="48975E81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 xml:space="preserve">Редки: </w:t>
      </w:r>
      <w:r w:rsidRPr="005A298D">
        <w:rPr>
          <w:rFonts w:eastAsia="Times New Roman" w:cs="Arial"/>
          <w:color w:val="000000"/>
          <w:lang w:eastAsia="bg-BG"/>
        </w:rPr>
        <w:t xml:space="preserve">Преципитати от цефтриаксон в бъбреците, най-често при деца над 3-годишна възраст, лекувани или с висока дневна доза (напр. 80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</w:t>
      </w:r>
      <w:r w:rsidRPr="005A298D">
        <w:rPr>
          <w:rFonts w:eastAsia="Times New Roman" w:cs="Arial"/>
          <w:color w:val="000000"/>
          <w:lang w:val="en-US"/>
        </w:rPr>
        <w:t>kg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телесно тегло или повече) или с обща доза </w:t>
      </w:r>
      <w:r w:rsidRPr="005A298D">
        <w:rPr>
          <w:rFonts w:eastAsia="Times New Roman" w:cs="Arial"/>
          <w:color w:val="000000"/>
          <w:lang w:val="ru-RU"/>
        </w:rPr>
        <w:t xml:space="preserve">10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и имащи други рискови фактори (напр. дехидратация, имобилизация и др.). Това явление може да не бъде придружено с дискомфорт, но може също и да предизвика дискомфорт и бъбречни нарушения. Тези симптоми са реверзибилни сред прекратяване на лечението с цефтриаксон.</w:t>
      </w:r>
    </w:p>
    <w:p w14:paraId="636B1777" w14:textId="77777777" w:rsid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8"/>
    </w:p>
    <w:p w14:paraId="72114D82" w14:textId="0D85DC8F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lang w:eastAsia="bg-BG"/>
        </w:rPr>
        <w:t>Общи нарушения и ефекти на мястото на приложение</w:t>
      </w:r>
      <w:bookmarkEnd w:id="5"/>
    </w:p>
    <w:p w14:paraId="1CD75B7B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Чести: Възпалителни нарушения на венозната стена (до тромбофлебит) и болки на инжекционното място след интравенозна апликация. По време на бързо венозно инжектиране може да настъпят гадене и обрив. Това може да се предотврати чрез бавно инжектиране (за 2 до 4 </w:t>
      </w:r>
      <w:r w:rsidRPr="005A298D">
        <w:rPr>
          <w:rFonts w:eastAsia="Times New Roman" w:cs="Arial"/>
          <w:color w:val="000000"/>
          <w:lang w:val="en-US"/>
        </w:rPr>
        <w:t>min</w:t>
      </w:r>
      <w:r w:rsidRPr="005A298D">
        <w:rPr>
          <w:rFonts w:eastAsia="Times New Roman" w:cs="Arial"/>
          <w:color w:val="000000"/>
          <w:lang w:val="ru-RU"/>
        </w:rPr>
        <w:t xml:space="preserve">). </w:t>
      </w:r>
      <w:r w:rsidRPr="005A298D">
        <w:rPr>
          <w:rFonts w:eastAsia="Times New Roman" w:cs="Arial"/>
          <w:color w:val="000000"/>
          <w:lang w:eastAsia="bg-BG"/>
        </w:rPr>
        <w:t>Интрамускулната инжекция с цефтриаксон е болезнена и поради това трябва да се прави в комбинация с разтвори на локални анестетици (1 % разтвор на лидокаин).</w:t>
      </w:r>
    </w:p>
    <w:p w14:paraId="0CDD3CDA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Реакция на </w:t>
      </w:r>
      <w:proofErr w:type="spellStart"/>
      <w:r w:rsidRPr="005A298D">
        <w:rPr>
          <w:rFonts w:eastAsia="Times New Roman" w:cs="Arial"/>
          <w:color w:val="000000"/>
          <w:lang w:val="en-US"/>
        </w:rPr>
        <w:t>Herxheimer</w:t>
      </w:r>
      <w:proofErr w:type="spellEnd"/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по време на лечението на спирохетози, като борелиоза, под форамата на треска, втрисане, главоболие и ставни болки. Това е следствие на бактерицидния ефект на цефтриаксон срещу </w:t>
      </w:r>
      <w:proofErr w:type="spellStart"/>
      <w:r w:rsidRPr="005A298D">
        <w:rPr>
          <w:rFonts w:eastAsia="Times New Roman" w:cs="Arial"/>
          <w:color w:val="000000"/>
          <w:lang w:val="en-US"/>
        </w:rPr>
        <w:t>borrelia</w:t>
      </w:r>
      <w:proofErr w:type="spellEnd"/>
      <w:r w:rsidRPr="005A298D">
        <w:rPr>
          <w:rFonts w:eastAsia="Times New Roman" w:cs="Arial"/>
          <w:color w:val="000000"/>
          <w:lang w:val="ru-RU"/>
        </w:rPr>
        <w:t xml:space="preserve">. </w:t>
      </w:r>
      <w:r w:rsidRPr="005A298D">
        <w:rPr>
          <w:rFonts w:eastAsia="Times New Roman" w:cs="Arial"/>
          <w:color w:val="000000"/>
          <w:lang w:eastAsia="bg-BG"/>
        </w:rPr>
        <w:t>Пациентите трябва да бъдат информирани за факта, че това е често настъпващо и обичайно следствие от антибиотичното лечение на борелиозата. След дълго продължило лечение на борелиоза с цефтриаксон, са били описани симптоми като кожни реакции, сърбеж, треска, левкопения, повишение на чернодробните ензими, затруднено дишане и ставни болки. Този дискомфорт съответства частично на симптомите на борелиозата.</w:t>
      </w:r>
    </w:p>
    <w:p w14:paraId="1DCE46FB" w14:textId="77777777" w:rsidR="005A298D" w:rsidRDefault="005A298D" w:rsidP="005A298D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6" w:name="bookmark10"/>
    </w:p>
    <w:p w14:paraId="1E742F65" w14:textId="2A51C3B9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b/>
          <w:bCs/>
          <w:color w:val="000000"/>
          <w:u w:val="single"/>
          <w:lang w:eastAsia="bg-BG"/>
        </w:rPr>
        <w:t>Съобщаване на подозирани нежелани реакции</w:t>
      </w:r>
      <w:bookmarkEnd w:id="6"/>
    </w:p>
    <w:p w14:paraId="5C4767C2" w14:textId="75EA9852" w:rsidR="005A298D" w:rsidRDefault="005A298D" w:rsidP="005A298D">
      <w:pPr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подозираща нежелана реакция чрез Изпълнителна агенция </w:t>
      </w:r>
      <w:r w:rsidRPr="005A298D">
        <w:rPr>
          <w:rFonts w:eastAsia="Times New Roman" w:cs="Arial"/>
          <w:color w:val="000000"/>
          <w:lang w:eastAsia="bg-BG"/>
        </w:rPr>
        <w:lastRenderedPageBreak/>
        <w:t xml:space="preserve">по лекарствата ул. „Дамян Груев“ №8, 1303 София Тел.: +359 2 8903417, уебсайт: </w:t>
      </w:r>
      <w:r w:rsidRPr="005A298D">
        <w:rPr>
          <w:rFonts w:eastAsia="Times New Roman" w:cs="Arial"/>
        </w:rPr>
        <w:fldChar w:fldCharType="begin"/>
      </w:r>
      <w:r w:rsidRPr="005A298D">
        <w:rPr>
          <w:rFonts w:eastAsia="Times New Roman" w:cs="Arial"/>
        </w:rPr>
        <w:instrText xml:space="preserve"> HYPERLINK "http://www.bda.bg" </w:instrText>
      </w:r>
      <w:r w:rsidRPr="005A298D">
        <w:rPr>
          <w:rFonts w:eastAsia="Times New Roman" w:cs="Arial"/>
        </w:rPr>
      </w:r>
      <w:r w:rsidRPr="005A298D">
        <w:rPr>
          <w:rFonts w:eastAsia="Times New Roman" w:cs="Arial"/>
        </w:rPr>
        <w:fldChar w:fldCharType="separate"/>
      </w:r>
      <w:r w:rsidRPr="005A298D">
        <w:rPr>
          <w:rFonts w:eastAsia="Times New Roman" w:cs="Arial"/>
          <w:color w:val="000000"/>
          <w:u w:val="single"/>
          <w:lang w:val="en-US"/>
        </w:rPr>
        <w:t>www.bda.bg</w:t>
      </w:r>
      <w:r w:rsidRPr="005A298D">
        <w:rPr>
          <w:rFonts w:eastAsia="Times New Roman" w:cs="Arial"/>
        </w:rPr>
        <w:fldChar w:fldCharType="end"/>
      </w:r>
    </w:p>
    <w:p w14:paraId="43E280CB" w14:textId="77777777" w:rsidR="005A298D" w:rsidRPr="005A298D" w:rsidRDefault="005A298D" w:rsidP="005A298D">
      <w:pPr>
        <w:rPr>
          <w:rFonts w:cs="Arial"/>
        </w:rPr>
      </w:pPr>
    </w:p>
    <w:p w14:paraId="4ED30546" w14:textId="49B53C8E" w:rsidR="007C605B" w:rsidRDefault="002C50EE" w:rsidP="009F1313">
      <w:pPr>
        <w:pStyle w:val="Heading2"/>
      </w:pPr>
      <w:r>
        <w:t>4.9. Предозиране</w:t>
      </w:r>
    </w:p>
    <w:p w14:paraId="48E0DF7D" w14:textId="6373C116" w:rsidR="005A298D" w:rsidRDefault="005A298D" w:rsidP="005A298D"/>
    <w:p w14:paraId="65039C35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Типични симптоми от предозиране все още не са били наблюдавани.</w:t>
      </w:r>
    </w:p>
    <w:p w14:paraId="568C7B5D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Реакции като описаните в точка 4.8 може да настъпят по-често.</w:t>
      </w:r>
    </w:p>
    <w:p w14:paraId="66657E04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A05A7C" w14:textId="77777777" w:rsidR="005A298D" w:rsidRPr="005A298D" w:rsidRDefault="005A298D" w:rsidP="005A298D">
      <w:pPr>
        <w:pStyle w:val="Heading3"/>
        <w:rPr>
          <w:rFonts w:eastAsia="Times New Roman"/>
          <w:u w:val="single"/>
        </w:rPr>
      </w:pPr>
      <w:r w:rsidRPr="005A298D">
        <w:rPr>
          <w:rFonts w:eastAsia="Times New Roman"/>
          <w:u w:val="single"/>
          <w:lang w:eastAsia="bg-BG"/>
        </w:rPr>
        <w:t>Симптоми на интоксикация</w:t>
      </w:r>
    </w:p>
    <w:p w14:paraId="48BC2AA0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Симптомите на интоксикация съответстват най-често на профила на нежеланите лекарствени реакции (вижте точка 4.8). Стомашно-чревни симптоми най-често са били докладвани пои пациенти със съпътстваща холе- или уролитиаза.</w:t>
      </w:r>
    </w:p>
    <w:p w14:paraId="75BC2552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DF0BBE4" w14:textId="77777777" w:rsidR="005A298D" w:rsidRPr="005A298D" w:rsidRDefault="005A298D" w:rsidP="005A298D">
      <w:pPr>
        <w:pStyle w:val="Heading3"/>
        <w:rPr>
          <w:rFonts w:eastAsia="Times New Roman"/>
          <w:u w:val="single"/>
        </w:rPr>
      </w:pPr>
      <w:r w:rsidRPr="005A298D">
        <w:rPr>
          <w:rFonts w:eastAsia="Times New Roman"/>
          <w:u w:val="single"/>
          <w:lang w:eastAsia="bg-BG"/>
        </w:rPr>
        <w:t>Лечение на интоксикация</w:t>
      </w:r>
    </w:p>
    <w:p w14:paraId="2764F278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Специфичен антидот не е известен. Инфузията или инжекцията тряова незаоавно да оъде прекратена. Лечението трябва да бъде симптоматично със специална грижа за водния и електролитен баланс. Цефтриаксон не може да бъде елиминиран чрез хемо- и перитонеална диализа.</w:t>
      </w:r>
    </w:p>
    <w:p w14:paraId="6AC364EC" w14:textId="77777777" w:rsidR="005A298D" w:rsidRPr="005A298D" w:rsidRDefault="005A298D" w:rsidP="005A298D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5350637D" w14:textId="00916E0C" w:rsidR="00395555" w:rsidRDefault="002C50EE" w:rsidP="008A6AF2">
      <w:pPr>
        <w:pStyle w:val="Heading2"/>
      </w:pPr>
      <w:r>
        <w:t>5.1. Фармакодинамични свойства</w:t>
      </w:r>
    </w:p>
    <w:p w14:paraId="29E2E5D5" w14:textId="0B2B7EE3" w:rsidR="005A298D" w:rsidRDefault="005A298D" w:rsidP="005A298D"/>
    <w:p w14:paraId="17580D5C" w14:textId="049E5ECC" w:rsidR="005A298D" w:rsidRPr="005A298D" w:rsidRDefault="005A298D" w:rsidP="005A298D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color w:val="000000"/>
          <w:lang w:eastAsia="bg-BG"/>
        </w:rPr>
        <w:t>Ф</w:t>
      </w:r>
      <w:r w:rsidRPr="005A298D">
        <w:rPr>
          <w:rFonts w:eastAsia="Times New Roman" w:cs="Arial"/>
          <w:color w:val="000000"/>
          <w:lang w:eastAsia="bg-BG"/>
        </w:rPr>
        <w:t>армакотерапевтична група: Цефалоспоринов антибиотик от трета генерация.</w:t>
      </w:r>
    </w:p>
    <w:p w14:paraId="28054E07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АТС код: </w:t>
      </w:r>
      <w:r w:rsidRPr="005A298D">
        <w:rPr>
          <w:rFonts w:eastAsia="Times New Roman" w:cs="Arial"/>
          <w:color w:val="000000"/>
          <w:lang w:val="en-US"/>
        </w:rPr>
        <w:t>J</w:t>
      </w:r>
      <w:r w:rsidRPr="005A298D">
        <w:rPr>
          <w:rFonts w:eastAsia="Times New Roman" w:cs="Arial"/>
          <w:color w:val="000000"/>
          <w:lang w:val="ru-RU"/>
        </w:rPr>
        <w:t>01</w:t>
      </w:r>
      <w:r w:rsidRPr="005A298D">
        <w:rPr>
          <w:rFonts w:eastAsia="Times New Roman" w:cs="Arial"/>
          <w:color w:val="000000"/>
          <w:lang w:val="en-US"/>
        </w:rPr>
        <w:t>DD</w:t>
      </w:r>
      <w:r w:rsidRPr="005A298D">
        <w:rPr>
          <w:rFonts w:eastAsia="Times New Roman" w:cs="Arial"/>
          <w:color w:val="000000"/>
          <w:lang w:val="ru-RU"/>
        </w:rPr>
        <w:t>04</w:t>
      </w:r>
    </w:p>
    <w:p w14:paraId="44AB628C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8F2095" w14:textId="3ACC24C5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Цефтриаксон е парентерално прилаган цефалоспорин, чиято антибактериална активност се дължи на инхибирането на синтезата на бактериалната клетъчна стена. Цефтриаксон показва висока стабалност срещу повечето 0-лактамази, продуциращи се от </w:t>
      </w:r>
      <w:r w:rsidRPr="005A298D">
        <w:rPr>
          <w:rFonts w:eastAsia="Times New Roman" w:cs="Arial"/>
          <w:color w:val="000000"/>
          <w:lang w:val="en-US"/>
        </w:rPr>
        <w:t>Gram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(-) и </w:t>
      </w:r>
      <w:r w:rsidRPr="005A298D">
        <w:rPr>
          <w:rFonts w:eastAsia="Times New Roman" w:cs="Arial"/>
          <w:color w:val="000000"/>
          <w:lang w:val="en-US"/>
        </w:rPr>
        <w:t>Gram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(+) бактерии.</w:t>
      </w:r>
    </w:p>
    <w:p w14:paraId="1BEEFF7D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3E1DD42" w14:textId="3E1738E8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0AF1DA76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Възможен механизъм на резистентност е промяната в пеницилин-свързващите протеини и по- специално β-лактамазите.</w:t>
      </w:r>
    </w:p>
    <w:p w14:paraId="0B5AE022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 xml:space="preserve">Съществува непълна паралелна резистентност с цефазолин, цефуроксим, цефамандол и цефотиам при </w:t>
      </w:r>
      <w:r w:rsidRPr="005A298D">
        <w:rPr>
          <w:rFonts w:eastAsia="Times New Roman" w:cs="Arial"/>
          <w:color w:val="000000"/>
          <w:lang w:val="en-US"/>
        </w:rPr>
        <w:t>Gram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(-) пръчковидни бактерии и пълна паралелна резистентност с метицилин-резистентни </w:t>
      </w:r>
    </w:p>
    <w:p w14:paraId="7B569E28" w14:textId="0FA55E5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i/>
          <w:iCs/>
          <w:color w:val="000000"/>
          <w:lang w:val="en-US"/>
        </w:rPr>
        <w:t>Staphylococcus</w:t>
      </w:r>
      <w:r w:rsidRPr="005A298D">
        <w:rPr>
          <w:rFonts w:eastAsia="Times New Roman" w:cs="Arial"/>
          <w:i/>
          <w:iCs/>
          <w:color w:val="000000"/>
        </w:rPr>
        <w:t xml:space="preserve"> </w:t>
      </w:r>
      <w:r w:rsidRPr="005A298D">
        <w:rPr>
          <w:rFonts w:eastAsia="Times New Roman" w:cs="Arial"/>
          <w:i/>
          <w:iCs/>
          <w:color w:val="000000"/>
          <w:lang w:val="en-US"/>
        </w:rPr>
        <w:t>aureus</w:t>
      </w:r>
      <w:r w:rsidRPr="005A298D">
        <w:rPr>
          <w:rFonts w:eastAsia="Times New Roman" w:cs="Arial"/>
          <w:color w:val="000000"/>
        </w:rPr>
        <w:t xml:space="preserve"> (</w:t>
      </w:r>
      <w:r w:rsidRPr="005A298D">
        <w:rPr>
          <w:rFonts w:eastAsia="Times New Roman" w:cs="Arial"/>
          <w:color w:val="000000"/>
          <w:lang w:val="en-US"/>
        </w:rPr>
        <w:t>MRSA</w:t>
      </w:r>
      <w:r w:rsidRPr="005A298D">
        <w:rPr>
          <w:rFonts w:eastAsia="Times New Roman" w:cs="Arial"/>
          <w:color w:val="000000"/>
        </w:rPr>
        <w:t>).</w:t>
      </w:r>
    </w:p>
    <w:p w14:paraId="44FE54B3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Ампицилин-резистентни </w:t>
      </w:r>
      <w:proofErr w:type="spellStart"/>
      <w:r w:rsidRPr="005A298D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щамове и пеницилн </w:t>
      </w:r>
      <w:r w:rsidRPr="005A298D">
        <w:rPr>
          <w:rFonts w:eastAsia="Times New Roman" w:cs="Arial"/>
          <w:color w:val="000000"/>
          <w:lang w:val="en-US"/>
        </w:rPr>
        <w:t>G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резистентни </w:t>
      </w:r>
      <w:r w:rsidRPr="005A298D">
        <w:rPr>
          <w:rFonts w:eastAsia="Times New Roman" w:cs="Arial"/>
          <w:color w:val="000000"/>
          <w:lang w:val="en-US"/>
        </w:rPr>
        <w:t>gonococci</w:t>
      </w:r>
      <w:r w:rsidRPr="005A298D">
        <w:rPr>
          <w:rFonts w:eastAsia="Times New Roman" w:cs="Arial"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са сензитивни към цефтриаксон.</w:t>
      </w:r>
    </w:p>
    <w:p w14:paraId="47D6C13D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C042DB8" w14:textId="5620EAA6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u w:val="single"/>
          <w:lang w:eastAsia="bg-BG"/>
        </w:rPr>
        <w:t>Минимални нива</w:t>
      </w:r>
    </w:p>
    <w:p w14:paraId="775ACBC0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Следните минимални нива са валидни за минимални инхибиращи концентрации:</w:t>
      </w:r>
    </w:p>
    <w:p w14:paraId="29A4B77E" w14:textId="77777777" w:rsidR="005A298D" w:rsidRPr="005A298D" w:rsidRDefault="005A298D" w:rsidP="005A298D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14771C5" w14:textId="14C02052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i/>
          <w:iCs/>
          <w:color w:val="000000"/>
          <w:u w:val="single"/>
          <w:lang w:eastAsia="bg-BG"/>
        </w:rPr>
        <w:t xml:space="preserve">Съгласно </w:t>
      </w:r>
      <w:r w:rsidRPr="005A298D">
        <w:rPr>
          <w:rFonts w:eastAsia="Times New Roman" w:cs="Arial"/>
          <w:i/>
          <w:iCs/>
          <w:color w:val="000000"/>
          <w:u w:val="single"/>
          <w:lang w:val="en-US"/>
        </w:rPr>
        <w:t>DIN</w:t>
      </w:r>
      <w:r w:rsidRPr="005A298D">
        <w:rPr>
          <w:rFonts w:eastAsia="Times New Roman" w:cs="Arial"/>
          <w:i/>
          <w:iCs/>
          <w:color w:val="000000"/>
          <w:u w:val="single"/>
          <w:lang w:eastAsia="bg-BG"/>
        </w:rPr>
        <w:t xml:space="preserve"> 58940:</w:t>
      </w:r>
    </w:p>
    <w:p w14:paraId="5CE4777E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Чувствителни: ≤4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/1</w:t>
      </w:r>
    </w:p>
    <w:p w14:paraId="43C91063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Резистентни: ≥32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/1</w:t>
      </w:r>
    </w:p>
    <w:p w14:paraId="13868A39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lastRenderedPageBreak/>
        <w:t xml:space="preserve">Тези минимални нива са валидни за </w:t>
      </w:r>
      <w:proofErr w:type="spellStart"/>
      <w:r w:rsidRPr="005A298D">
        <w:rPr>
          <w:rFonts w:eastAsia="Times New Roman" w:cs="Arial"/>
          <w:i/>
          <w:iCs/>
          <w:color w:val="000000"/>
          <w:lang w:val="en-US"/>
        </w:rPr>
        <w:t>enterobacteriaceae</w:t>
      </w:r>
      <w:proofErr w:type="spellEnd"/>
      <w:r w:rsidRPr="005A298D">
        <w:rPr>
          <w:rFonts w:eastAsia="Times New Roman" w:cs="Arial"/>
          <w:i/>
          <w:iCs/>
          <w:color w:val="000000"/>
          <w:lang w:val="ru-RU"/>
        </w:rPr>
        <w:t>.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За оценка при </w:t>
      </w:r>
      <w:r w:rsidRPr="005A298D">
        <w:rPr>
          <w:rFonts w:eastAsia="Times New Roman" w:cs="Arial"/>
          <w:color w:val="000000"/>
          <w:lang w:val="en-US"/>
        </w:rPr>
        <w:t>staphylococci</w:t>
      </w:r>
      <w:r w:rsidRPr="005A298D">
        <w:rPr>
          <w:rFonts w:eastAsia="Times New Roman" w:cs="Arial"/>
          <w:color w:val="000000"/>
          <w:lang w:val="ru-RU"/>
        </w:rPr>
        <w:t xml:space="preserve">, </w:t>
      </w:r>
      <w:r w:rsidRPr="005A298D">
        <w:rPr>
          <w:rFonts w:eastAsia="Times New Roman" w:cs="Arial"/>
          <w:color w:val="000000"/>
          <w:lang w:eastAsia="bg-BG"/>
        </w:rPr>
        <w:t>трябва да се имат в предвид тестовете с оксацилин.</w:t>
      </w:r>
    </w:p>
    <w:p w14:paraId="7E3000FE" w14:textId="77777777" w:rsidR="005A298D" w:rsidRPr="005A298D" w:rsidRDefault="005A298D" w:rsidP="005A298D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B716188" w14:textId="2F201E1D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i/>
          <w:iCs/>
          <w:color w:val="000000"/>
          <w:u w:val="single"/>
          <w:lang w:eastAsia="bg-BG"/>
        </w:rPr>
        <w:t xml:space="preserve">Съгласно </w:t>
      </w:r>
      <w:r w:rsidRPr="005A298D">
        <w:rPr>
          <w:rFonts w:eastAsia="Times New Roman" w:cs="Arial"/>
          <w:i/>
          <w:iCs/>
          <w:color w:val="000000"/>
          <w:u w:val="single"/>
          <w:lang w:val="en-US"/>
        </w:rPr>
        <w:t>NCCLS</w:t>
      </w:r>
      <w:r w:rsidRPr="005A298D">
        <w:rPr>
          <w:rFonts w:eastAsia="Times New Roman" w:cs="Arial"/>
          <w:i/>
          <w:iCs/>
          <w:color w:val="000000"/>
          <w:u w:val="single"/>
        </w:rPr>
        <w:t>:</w:t>
      </w:r>
    </w:p>
    <w:p w14:paraId="37B77A6B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proofErr w:type="spellStart"/>
      <w:r w:rsidRPr="005A298D">
        <w:rPr>
          <w:rFonts w:eastAsia="Times New Roman" w:cs="Arial"/>
          <w:i/>
          <w:iCs/>
          <w:color w:val="000000"/>
          <w:lang w:val="en-US"/>
        </w:rPr>
        <w:t>Enterobacteriaceae</w:t>
      </w:r>
      <w:proofErr w:type="spellEnd"/>
      <w:r w:rsidRPr="005A298D">
        <w:rPr>
          <w:rFonts w:eastAsia="Times New Roman" w:cs="Arial"/>
          <w:i/>
          <w:iCs/>
          <w:color w:val="000000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Чувствителни: ≤</w:t>
      </w:r>
      <w:r w:rsidRPr="005A298D">
        <w:rPr>
          <w:rFonts w:eastAsia="Times New Roman" w:cs="Arial"/>
          <w:color w:val="000000"/>
        </w:rPr>
        <w:t xml:space="preserve">8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</w:rPr>
        <w:t xml:space="preserve">/1 </w:t>
      </w:r>
      <w:r w:rsidRPr="005A298D">
        <w:rPr>
          <w:rFonts w:eastAsia="Times New Roman" w:cs="Arial"/>
          <w:color w:val="000000"/>
          <w:lang w:eastAsia="bg-BG"/>
        </w:rPr>
        <w:t>Резистентни: ≥</w:t>
      </w:r>
      <w:r w:rsidRPr="005A298D">
        <w:rPr>
          <w:rFonts w:eastAsia="Times New Roman" w:cs="Arial"/>
          <w:color w:val="000000"/>
        </w:rPr>
        <w:t xml:space="preserve">64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</w:rPr>
        <w:t>/1</w:t>
      </w:r>
    </w:p>
    <w:p w14:paraId="15658284" w14:textId="77777777" w:rsidR="005A298D" w:rsidRPr="005A298D" w:rsidRDefault="005A298D" w:rsidP="005A298D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14E036D0" w14:textId="12A314E6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i/>
          <w:iCs/>
          <w:color w:val="000000"/>
          <w:lang w:val="en-US"/>
        </w:rPr>
        <w:t>Staphylococcus</w:t>
      </w:r>
      <w:r w:rsidRPr="005A298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5A298D">
        <w:rPr>
          <w:rFonts w:eastAsia="Times New Roman" w:cs="Arial"/>
          <w:i/>
          <w:iCs/>
          <w:color w:val="000000"/>
          <w:lang w:val="en-US"/>
        </w:rPr>
        <w:t>spp</w:t>
      </w:r>
      <w:proofErr w:type="spellEnd"/>
      <w:r w:rsidRPr="005A298D">
        <w:rPr>
          <w:rFonts w:eastAsia="Times New Roman" w:cs="Arial"/>
          <w:i/>
          <w:iCs/>
          <w:color w:val="000000"/>
        </w:rPr>
        <w:t>.</w:t>
      </w:r>
    </w:p>
    <w:p w14:paraId="78A3782A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Чувствителни: ≤</w:t>
      </w:r>
      <w:r w:rsidRPr="005A298D">
        <w:rPr>
          <w:rFonts w:eastAsia="Times New Roman" w:cs="Arial"/>
          <w:color w:val="000000"/>
        </w:rPr>
        <w:t xml:space="preserve">8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</w:rPr>
        <w:t>/1</w:t>
      </w:r>
    </w:p>
    <w:p w14:paraId="1EAF92B3" w14:textId="724CB5F3" w:rsidR="005A298D" w:rsidRPr="005A298D" w:rsidRDefault="005A298D" w:rsidP="005A298D">
      <w:pPr>
        <w:rPr>
          <w:rFonts w:eastAsia="Times New Roman" w:cs="Arial"/>
          <w:color w:val="000000"/>
        </w:rPr>
      </w:pPr>
      <w:r w:rsidRPr="005A298D">
        <w:rPr>
          <w:rFonts w:eastAsia="Times New Roman" w:cs="Arial"/>
          <w:color w:val="000000"/>
          <w:lang w:eastAsia="bg-BG"/>
        </w:rPr>
        <w:t>Резистентни: ≥</w:t>
      </w:r>
      <w:r w:rsidRPr="005A298D">
        <w:rPr>
          <w:rFonts w:eastAsia="Times New Roman" w:cs="Arial"/>
          <w:color w:val="000000"/>
        </w:rPr>
        <w:t xml:space="preserve">64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</w:rPr>
        <w:t>/1</w:t>
      </w:r>
    </w:p>
    <w:p w14:paraId="0086B046" w14:textId="3D84ED1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Метицилин- и оксацилин-резистентни </w:t>
      </w:r>
      <w:r w:rsidRPr="005A298D">
        <w:rPr>
          <w:rFonts w:eastAsia="Times New Roman" w:cs="Arial"/>
          <w:color w:val="000000"/>
          <w:lang w:val="en-US"/>
        </w:rPr>
        <w:t>staphylococci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са резистентни на всички налични в момента β- лактамни антибиотици, дори да са изглеждали сензигивни </w:t>
      </w:r>
      <w:r w:rsidRPr="005A298D">
        <w:rPr>
          <w:rFonts w:eastAsia="Times New Roman" w:cs="Arial"/>
          <w:i/>
          <w:iCs/>
          <w:color w:val="000000"/>
          <w:lang w:val="en-US"/>
        </w:rPr>
        <w:t>in</w:t>
      </w:r>
      <w:r w:rsidRPr="005A298D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A298D">
        <w:rPr>
          <w:rFonts w:eastAsia="Times New Roman" w:cs="Arial"/>
          <w:i/>
          <w:iCs/>
          <w:color w:val="000000"/>
          <w:lang w:val="en-US"/>
        </w:rPr>
        <w:t>vitro</w:t>
      </w:r>
      <w:r w:rsidRPr="005A298D">
        <w:rPr>
          <w:rFonts w:eastAsia="Times New Roman" w:cs="Arial"/>
          <w:i/>
          <w:iCs/>
          <w:color w:val="000000"/>
          <w:lang w:val="ru-RU"/>
        </w:rPr>
        <w:t>.</w:t>
      </w:r>
    </w:p>
    <w:p w14:paraId="05EF044F" w14:textId="77777777" w:rsidR="005A298D" w:rsidRPr="005A298D" w:rsidRDefault="005A298D" w:rsidP="005A298D">
      <w:pPr>
        <w:spacing w:line="240" w:lineRule="auto"/>
        <w:rPr>
          <w:rFonts w:eastAsia="Times New Roman" w:cs="Arial"/>
          <w:i/>
          <w:iCs/>
          <w:color w:val="000000"/>
          <w:lang w:val="ru-RU"/>
        </w:rPr>
      </w:pPr>
    </w:p>
    <w:p w14:paraId="4A252387" w14:textId="18335FCD" w:rsidR="005A298D" w:rsidRPr="005A298D" w:rsidRDefault="005A298D" w:rsidP="005A298D">
      <w:pPr>
        <w:spacing w:line="240" w:lineRule="auto"/>
        <w:rPr>
          <w:rFonts w:eastAsia="Times New Roman" w:cs="Arial"/>
        </w:rPr>
      </w:pPr>
      <w:proofErr w:type="spellStart"/>
      <w:r w:rsidRPr="005A298D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5A298D">
        <w:rPr>
          <w:rFonts w:eastAsia="Times New Roman" w:cs="Arial"/>
          <w:i/>
          <w:iCs/>
          <w:color w:val="000000"/>
          <w:lang w:val="ru-RU"/>
        </w:rPr>
        <w:t xml:space="preserve"> </w:t>
      </w:r>
      <w:proofErr w:type="spellStart"/>
      <w:r w:rsidRPr="005A298D">
        <w:rPr>
          <w:rFonts w:eastAsia="Times New Roman" w:cs="Arial"/>
          <w:i/>
          <w:iCs/>
          <w:color w:val="000000"/>
          <w:lang w:val="en-US"/>
        </w:rPr>
        <w:t>spp</w:t>
      </w:r>
      <w:proofErr w:type="spellEnd"/>
      <w:r w:rsidRPr="005A298D">
        <w:rPr>
          <w:rFonts w:eastAsia="Times New Roman" w:cs="Arial"/>
          <w:i/>
          <w:iCs/>
          <w:color w:val="000000"/>
          <w:lang w:val="ru-RU"/>
        </w:rPr>
        <w:t>.</w:t>
      </w:r>
    </w:p>
    <w:p w14:paraId="0DD0D16E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Чувствителни: ≤</w:t>
      </w:r>
      <w:r w:rsidRPr="005A298D">
        <w:rPr>
          <w:rFonts w:eastAsia="Times New Roman" w:cs="Arial"/>
          <w:color w:val="000000"/>
          <w:lang w:val="ru-RU"/>
        </w:rPr>
        <w:t xml:space="preserve"> 2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/1</w:t>
      </w:r>
    </w:p>
    <w:p w14:paraId="1EFF30AB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Отсъствието на резистентни щамове не позволява дефинирането на друга категория, освен “сензигивни”.</w:t>
      </w:r>
    </w:p>
    <w:p w14:paraId="090C1C4F" w14:textId="77777777" w:rsidR="005A298D" w:rsidRPr="005A298D" w:rsidRDefault="005A298D" w:rsidP="005A298D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3EFAE371" w14:textId="1B78EC40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i/>
          <w:iCs/>
          <w:color w:val="000000"/>
          <w:lang w:val="en-US"/>
        </w:rPr>
        <w:t>Neisseria</w:t>
      </w:r>
      <w:r w:rsidRPr="005A298D">
        <w:rPr>
          <w:rFonts w:eastAsia="Times New Roman" w:cs="Arial"/>
          <w:i/>
          <w:iCs/>
          <w:color w:val="000000"/>
          <w:lang w:val="ru-RU"/>
        </w:rPr>
        <w:t xml:space="preserve"> </w:t>
      </w:r>
      <w:proofErr w:type="spellStart"/>
      <w:r w:rsidRPr="005A298D">
        <w:rPr>
          <w:rFonts w:eastAsia="Times New Roman" w:cs="Arial"/>
          <w:i/>
          <w:iCs/>
          <w:color w:val="000000"/>
          <w:lang w:val="en-US"/>
        </w:rPr>
        <w:t>gonorrhoeae</w:t>
      </w:r>
      <w:proofErr w:type="spellEnd"/>
    </w:p>
    <w:p w14:paraId="39F43F4B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Чувствителни: ≤ 0,25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>/1</w:t>
      </w:r>
    </w:p>
    <w:p w14:paraId="6A2CE088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>Отсъствието на резистентни щамове не позволява дефинирането на друга категория, освен “сензитивни”.</w:t>
      </w:r>
    </w:p>
    <w:p w14:paraId="20C40823" w14:textId="77777777" w:rsidR="005A298D" w:rsidRPr="005A298D" w:rsidRDefault="005A298D" w:rsidP="005A298D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56AEBBC3" w14:textId="2F887382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i/>
          <w:iCs/>
          <w:color w:val="000000"/>
          <w:lang w:val="en-US"/>
        </w:rPr>
        <w:t>Streptococcus</w:t>
      </w:r>
      <w:r w:rsidRPr="005A298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5A298D">
        <w:rPr>
          <w:rFonts w:eastAsia="Times New Roman" w:cs="Arial"/>
          <w:i/>
          <w:iCs/>
          <w:color w:val="000000"/>
          <w:lang w:val="en-US"/>
        </w:rPr>
        <w:t>pneumoniae</w:t>
      </w:r>
      <w:proofErr w:type="spellEnd"/>
    </w:p>
    <w:p w14:paraId="0866196F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Чувствителни: ≤ 1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</w:rPr>
        <w:t xml:space="preserve">/1 </w:t>
      </w:r>
      <w:r w:rsidRPr="005A298D">
        <w:rPr>
          <w:rFonts w:eastAsia="Times New Roman" w:cs="Arial"/>
          <w:color w:val="000000"/>
          <w:lang w:eastAsia="bg-BG"/>
        </w:rPr>
        <w:t xml:space="preserve">(≤ 0,5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</w:rPr>
        <w:t xml:space="preserve">/1 </w:t>
      </w:r>
      <w:r w:rsidRPr="005A298D">
        <w:rPr>
          <w:rFonts w:eastAsia="Times New Roman" w:cs="Arial"/>
          <w:color w:val="000000"/>
          <w:lang w:eastAsia="bg-BG"/>
        </w:rPr>
        <w:t>при менингит)</w:t>
      </w:r>
    </w:p>
    <w:p w14:paraId="4FEA78E3" w14:textId="77777777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Резистентни: ≥ 4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 xml:space="preserve">/1 </w:t>
      </w:r>
      <w:r w:rsidRPr="005A298D">
        <w:rPr>
          <w:rFonts w:eastAsia="Times New Roman" w:cs="Arial"/>
          <w:color w:val="000000"/>
          <w:lang w:eastAsia="bg-BG"/>
        </w:rPr>
        <w:t xml:space="preserve">(≥2 </w:t>
      </w:r>
      <w:r w:rsidRPr="005A298D">
        <w:rPr>
          <w:rFonts w:eastAsia="Times New Roman" w:cs="Arial"/>
          <w:color w:val="000000"/>
          <w:lang w:val="en-US"/>
        </w:rPr>
        <w:t>mg</w:t>
      </w:r>
      <w:r w:rsidRPr="005A298D">
        <w:rPr>
          <w:rFonts w:eastAsia="Times New Roman" w:cs="Arial"/>
          <w:color w:val="000000"/>
          <w:lang w:val="ru-RU"/>
        </w:rPr>
        <w:t xml:space="preserve">/1 </w:t>
      </w:r>
      <w:r w:rsidRPr="005A298D">
        <w:rPr>
          <w:rFonts w:eastAsia="Times New Roman" w:cs="Arial"/>
          <w:color w:val="000000"/>
          <w:lang w:eastAsia="bg-BG"/>
        </w:rPr>
        <w:t>при менингит)</w:t>
      </w:r>
    </w:p>
    <w:p w14:paraId="073A476D" w14:textId="77777777" w:rsidR="005A298D" w:rsidRPr="005A298D" w:rsidRDefault="005A298D" w:rsidP="005A298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2C73D4" w14:textId="30A6B9FF" w:rsidR="005A298D" w:rsidRPr="005A298D" w:rsidRDefault="005A298D" w:rsidP="005A298D">
      <w:pPr>
        <w:spacing w:line="240" w:lineRule="auto"/>
        <w:rPr>
          <w:rFonts w:eastAsia="Times New Roman" w:cs="Arial"/>
        </w:rPr>
      </w:pPr>
      <w:r w:rsidRPr="005A298D">
        <w:rPr>
          <w:rFonts w:eastAsia="Times New Roman" w:cs="Arial"/>
          <w:color w:val="000000"/>
          <w:lang w:eastAsia="bg-BG"/>
        </w:rPr>
        <w:t xml:space="preserve">В следващата таблица, клинично значимите патогени са класифицирани като чувствителни и резистентни на базата на </w:t>
      </w:r>
      <w:r w:rsidRPr="005A298D">
        <w:rPr>
          <w:rFonts w:eastAsia="Times New Roman" w:cs="Arial"/>
          <w:i/>
          <w:iCs/>
          <w:color w:val="000000"/>
          <w:lang w:val="en-US"/>
        </w:rPr>
        <w:t>in</w:t>
      </w:r>
      <w:r w:rsidRPr="005A298D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A298D">
        <w:rPr>
          <w:rFonts w:eastAsia="Times New Roman" w:cs="Arial"/>
          <w:i/>
          <w:iCs/>
          <w:color w:val="000000"/>
          <w:lang w:val="en-US"/>
        </w:rPr>
        <w:t>vitro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и </w:t>
      </w:r>
      <w:r w:rsidRPr="005A298D">
        <w:rPr>
          <w:rFonts w:eastAsia="Times New Roman" w:cs="Arial"/>
          <w:i/>
          <w:iCs/>
          <w:color w:val="000000"/>
          <w:lang w:val="en-US"/>
        </w:rPr>
        <w:t>in</w:t>
      </w:r>
      <w:r w:rsidRPr="005A298D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A298D">
        <w:rPr>
          <w:rFonts w:eastAsia="Times New Roman" w:cs="Arial"/>
          <w:i/>
          <w:iCs/>
          <w:color w:val="000000"/>
          <w:lang w:val="en-US"/>
        </w:rPr>
        <w:t>vivo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 xml:space="preserve">данни. При някои видове, цефтриаксон може да изглежда ефективен ти </w:t>
      </w:r>
      <w:r w:rsidRPr="005A298D">
        <w:rPr>
          <w:rFonts w:eastAsia="Times New Roman" w:cs="Arial"/>
          <w:i/>
          <w:iCs/>
          <w:color w:val="000000"/>
          <w:lang w:val="en-US"/>
        </w:rPr>
        <w:t>vitro</w:t>
      </w:r>
      <w:r w:rsidRPr="005A298D">
        <w:rPr>
          <w:rFonts w:eastAsia="Times New Roman" w:cs="Arial"/>
          <w:i/>
          <w:iCs/>
          <w:color w:val="000000"/>
          <w:lang w:val="ru-RU"/>
        </w:rPr>
        <w:t>,</w:t>
      </w:r>
      <w:r w:rsidRPr="005A298D">
        <w:rPr>
          <w:rFonts w:eastAsia="Times New Roman" w:cs="Arial"/>
          <w:color w:val="000000"/>
          <w:lang w:val="ru-RU"/>
        </w:rPr>
        <w:t xml:space="preserve"> </w:t>
      </w:r>
      <w:r w:rsidRPr="005A298D">
        <w:rPr>
          <w:rFonts w:eastAsia="Times New Roman" w:cs="Arial"/>
          <w:color w:val="000000"/>
          <w:lang w:eastAsia="bg-BG"/>
        </w:rPr>
        <w:t>но остава клинично неефективен. Поради това тери патогени са класифицирани като резистентни.</w:t>
      </w:r>
    </w:p>
    <w:p w14:paraId="730CECD1" w14:textId="77777777" w:rsidR="005A298D" w:rsidRPr="005A298D" w:rsidRDefault="005A298D" w:rsidP="005A298D">
      <w:pPr>
        <w:rPr>
          <w:rFonts w:eastAsia="Times New Roman" w:cs="Arial"/>
          <w:color w:val="000000"/>
          <w:lang w:eastAsia="bg-BG"/>
        </w:rPr>
      </w:pPr>
    </w:p>
    <w:p w14:paraId="482DC80A" w14:textId="4AA77A0C" w:rsidR="005A298D" w:rsidRDefault="005A298D" w:rsidP="005A298D">
      <w:pPr>
        <w:rPr>
          <w:rFonts w:eastAsia="Times New Roman" w:cs="Arial"/>
          <w:color w:val="000000"/>
          <w:lang w:eastAsia="bg-BG"/>
        </w:rPr>
      </w:pPr>
      <w:r w:rsidRPr="005A298D">
        <w:rPr>
          <w:rFonts w:eastAsia="Times New Roman" w:cs="Arial"/>
          <w:color w:val="000000"/>
          <w:lang w:eastAsia="bg-BG"/>
        </w:rPr>
        <w:t>Преобладаването на придобили резистентност индивидуални щамове може да варира по място и в течение на времето. Все пак, специално за адекватно лечение на Тежки инфекции е необходима локална информация за резистентните щамове. Ако ефикасността на цефтриаксон е под въпрос поради локално състояние на резистентност, трябва да се проведе консултация с експерти.</w:t>
      </w:r>
    </w:p>
    <w:p w14:paraId="1601F235" w14:textId="63B5988B" w:rsidR="005A298D" w:rsidRDefault="005A298D" w:rsidP="005A298D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298D" w14:paraId="78AA86D1" w14:textId="77777777" w:rsidTr="005A298D">
        <w:tc>
          <w:tcPr>
            <w:tcW w:w="9576" w:type="dxa"/>
            <w:vAlign w:val="bottom"/>
          </w:tcPr>
          <w:p w14:paraId="03734855" w14:textId="266A2927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b/>
                <w:bCs/>
                <w:lang w:eastAsia="bg-BG"/>
              </w:rPr>
              <w:t>I. Чувствителни щамове:</w:t>
            </w:r>
          </w:p>
        </w:tc>
      </w:tr>
      <w:tr w:rsidR="005A298D" w14:paraId="2CC990E9" w14:textId="77777777" w:rsidTr="005A298D">
        <w:tc>
          <w:tcPr>
            <w:tcW w:w="9576" w:type="dxa"/>
            <w:vAlign w:val="bottom"/>
          </w:tcPr>
          <w:p w14:paraId="41030AFE" w14:textId="51B9900A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Staphylococcus aureus</w:t>
            </w:r>
            <w:r w:rsidRPr="005A298D">
              <w:t xml:space="preserve"> </w:t>
            </w:r>
            <w:r w:rsidRPr="005A298D">
              <w:rPr>
                <w:lang w:eastAsia="bg-BG"/>
              </w:rPr>
              <w:t>(метицилин-сензитивни)</w:t>
            </w:r>
          </w:p>
        </w:tc>
      </w:tr>
      <w:tr w:rsidR="005A298D" w14:paraId="78C271A5" w14:textId="77777777" w:rsidTr="005A298D">
        <w:tc>
          <w:tcPr>
            <w:tcW w:w="9576" w:type="dxa"/>
            <w:vAlign w:val="bottom"/>
          </w:tcPr>
          <w:p w14:paraId="4BC8FDEE" w14:textId="56D7A56D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Staphylococcus spp.</w:t>
            </w:r>
            <w:r w:rsidRPr="005A298D">
              <w:t xml:space="preserve"> </w:t>
            </w:r>
            <w:r w:rsidRPr="005A298D">
              <w:rPr>
                <w:lang w:eastAsia="bg-BG"/>
              </w:rPr>
              <w:t>(метицилин-сензитивни)</w:t>
            </w:r>
          </w:p>
        </w:tc>
      </w:tr>
      <w:tr w:rsidR="005A298D" w14:paraId="3A9534FD" w14:textId="77777777" w:rsidTr="005A298D">
        <w:tc>
          <w:tcPr>
            <w:tcW w:w="9576" w:type="dxa"/>
            <w:vAlign w:val="bottom"/>
          </w:tcPr>
          <w:p w14:paraId="568EAD24" w14:textId="29F21F9D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Streptococcus pneumoniae</w:t>
            </w:r>
            <w:r w:rsidRPr="005A298D">
              <w:t xml:space="preserve"> </w:t>
            </w:r>
            <w:r w:rsidRPr="005A298D">
              <w:rPr>
                <w:lang w:eastAsia="bg-BG"/>
              </w:rPr>
              <w:t>(пеницилин-сензитивни)</w:t>
            </w:r>
          </w:p>
        </w:tc>
      </w:tr>
      <w:tr w:rsidR="005A298D" w14:paraId="799A50F6" w14:textId="77777777" w:rsidTr="005A298D">
        <w:tc>
          <w:tcPr>
            <w:tcW w:w="9576" w:type="dxa"/>
            <w:vAlign w:val="bottom"/>
          </w:tcPr>
          <w:p w14:paraId="091EB1DE" w14:textId="48B39BC8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Streptococcus spp.</w:t>
            </w:r>
            <w:r w:rsidRPr="005A298D">
              <w:t xml:space="preserve"> </w:t>
            </w:r>
            <w:r w:rsidRPr="005A298D">
              <w:rPr>
                <w:lang w:eastAsia="bg-BG"/>
              </w:rPr>
              <w:t xml:space="preserve">(други видови освен </w:t>
            </w:r>
            <w:r w:rsidRPr="005A298D">
              <w:t xml:space="preserve">S </w:t>
            </w:r>
            <w:r w:rsidRPr="005A298D">
              <w:rPr>
                <w:i/>
                <w:iCs/>
              </w:rPr>
              <w:t>pneumoniae)</w:t>
            </w:r>
          </w:p>
        </w:tc>
      </w:tr>
      <w:tr w:rsidR="005A298D" w14:paraId="7752CDB8" w14:textId="77777777" w:rsidTr="005A298D">
        <w:tc>
          <w:tcPr>
            <w:tcW w:w="9576" w:type="dxa"/>
            <w:vAlign w:val="bottom"/>
          </w:tcPr>
          <w:p w14:paraId="3020D9DD" w14:textId="2D6C2804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Bordetella pertussis</w:t>
            </w:r>
          </w:p>
        </w:tc>
      </w:tr>
      <w:tr w:rsidR="005A298D" w14:paraId="445B8A46" w14:textId="77777777" w:rsidTr="005A298D">
        <w:tc>
          <w:tcPr>
            <w:tcW w:w="9576" w:type="dxa"/>
            <w:vAlign w:val="bottom"/>
          </w:tcPr>
          <w:p w14:paraId="3EAB1543" w14:textId="2947EB8F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Citrobacter spp.</w:t>
            </w:r>
          </w:p>
        </w:tc>
      </w:tr>
      <w:tr w:rsidR="005A298D" w14:paraId="2109348F" w14:textId="77777777" w:rsidTr="005A298D">
        <w:tc>
          <w:tcPr>
            <w:tcW w:w="9576" w:type="dxa"/>
            <w:vAlign w:val="bottom"/>
          </w:tcPr>
          <w:p w14:paraId="06D47E98" w14:textId="47249914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Enterobacter spp.</w:t>
            </w:r>
          </w:p>
        </w:tc>
      </w:tr>
      <w:tr w:rsidR="005A298D" w14:paraId="111AC059" w14:textId="77777777" w:rsidTr="005A298D">
        <w:tc>
          <w:tcPr>
            <w:tcW w:w="9576" w:type="dxa"/>
          </w:tcPr>
          <w:p w14:paraId="79321349" w14:textId="62115CB8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Escherichia coli</w:t>
            </w:r>
            <w:r w:rsidRPr="005A298D">
              <w:rPr>
                <w:i/>
                <w:iCs/>
                <w:vertAlign w:val="superscript"/>
              </w:rPr>
              <w:t>2)</w:t>
            </w:r>
          </w:p>
        </w:tc>
      </w:tr>
      <w:tr w:rsidR="005A298D" w14:paraId="3F64541D" w14:textId="77777777" w:rsidTr="005A298D">
        <w:tc>
          <w:tcPr>
            <w:tcW w:w="9576" w:type="dxa"/>
            <w:vAlign w:val="bottom"/>
          </w:tcPr>
          <w:p w14:paraId="4A51CE4E" w14:textId="4F1EF17C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Haemophilus ducreyi</w:t>
            </w:r>
          </w:p>
        </w:tc>
      </w:tr>
      <w:tr w:rsidR="005A298D" w14:paraId="7EEFB0CE" w14:textId="77777777" w:rsidTr="005A298D">
        <w:tc>
          <w:tcPr>
            <w:tcW w:w="9576" w:type="dxa"/>
            <w:vAlign w:val="bottom"/>
          </w:tcPr>
          <w:p w14:paraId="06FBA4D8" w14:textId="40B1D7AB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Haemophilus influenzae</w:t>
            </w:r>
            <w:r w:rsidRPr="005A298D">
              <w:t xml:space="preserve"> </w:t>
            </w:r>
            <w:r w:rsidRPr="005A298D">
              <w:rPr>
                <w:lang w:eastAsia="bg-BG"/>
              </w:rPr>
              <w:t>(вкл. пеницилаза продуктиращи щамове)</w:t>
            </w:r>
          </w:p>
        </w:tc>
      </w:tr>
      <w:tr w:rsidR="005A298D" w14:paraId="6CF17C1A" w14:textId="77777777" w:rsidTr="005A298D">
        <w:tc>
          <w:tcPr>
            <w:tcW w:w="9576" w:type="dxa"/>
            <w:vAlign w:val="bottom"/>
          </w:tcPr>
          <w:p w14:paraId="4C5ED3D5" w14:textId="01ABA0F4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Haemophilus parainfluenzae</w:t>
            </w:r>
          </w:p>
        </w:tc>
      </w:tr>
      <w:tr w:rsidR="005A298D" w14:paraId="445F8DD0" w14:textId="77777777" w:rsidTr="005A298D">
        <w:tc>
          <w:tcPr>
            <w:tcW w:w="9576" w:type="dxa"/>
            <w:vAlign w:val="bottom"/>
          </w:tcPr>
          <w:p w14:paraId="0732D69A" w14:textId="304A5E59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lastRenderedPageBreak/>
              <w:t xml:space="preserve">Klebsiella spp. </w:t>
            </w:r>
            <w:r w:rsidRPr="005A298D">
              <w:rPr>
                <w:i/>
                <w:iCs/>
                <w:vertAlign w:val="superscript"/>
              </w:rPr>
              <w:t>2)</w:t>
            </w:r>
          </w:p>
        </w:tc>
      </w:tr>
      <w:tr w:rsidR="005A298D" w14:paraId="70B75E6C" w14:textId="77777777" w:rsidTr="005A298D">
        <w:tc>
          <w:tcPr>
            <w:tcW w:w="9576" w:type="dxa"/>
            <w:vAlign w:val="bottom"/>
          </w:tcPr>
          <w:p w14:paraId="20D0436D" w14:textId="30124E88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Moraxella (Branhamella) catarrhalis</w:t>
            </w:r>
          </w:p>
        </w:tc>
      </w:tr>
      <w:tr w:rsidR="005A298D" w14:paraId="4ADCE932" w14:textId="77777777" w:rsidTr="005A298D">
        <w:tc>
          <w:tcPr>
            <w:tcW w:w="9576" w:type="dxa"/>
            <w:vAlign w:val="bottom"/>
          </w:tcPr>
          <w:p w14:paraId="45AE4D6B" w14:textId="495B8BDA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Morganella morganii</w:t>
            </w:r>
          </w:p>
        </w:tc>
      </w:tr>
      <w:tr w:rsidR="005A298D" w14:paraId="2FBEE118" w14:textId="77777777" w:rsidTr="005A298D">
        <w:tc>
          <w:tcPr>
            <w:tcW w:w="9576" w:type="dxa"/>
            <w:vAlign w:val="bottom"/>
          </w:tcPr>
          <w:p w14:paraId="17EB0F83" w14:textId="5810F8DE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Neisseria gonorrhoeae</w:t>
            </w:r>
            <w:r w:rsidRPr="005A298D">
              <w:t xml:space="preserve"> </w:t>
            </w:r>
            <w:r w:rsidRPr="005A298D">
              <w:rPr>
                <w:lang w:eastAsia="bg-BG"/>
              </w:rPr>
              <w:t>(вкл. пеницилаза продуктиращи щамове)</w:t>
            </w:r>
          </w:p>
        </w:tc>
      </w:tr>
      <w:tr w:rsidR="005A298D" w14:paraId="25E156B4" w14:textId="77777777" w:rsidTr="005A298D">
        <w:tc>
          <w:tcPr>
            <w:tcW w:w="9576" w:type="dxa"/>
            <w:vAlign w:val="bottom"/>
          </w:tcPr>
          <w:p w14:paraId="48CE1AA7" w14:textId="1E285237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Neisseria meningitidis</w:t>
            </w:r>
          </w:p>
        </w:tc>
      </w:tr>
      <w:tr w:rsidR="005A298D" w14:paraId="260D78D3" w14:textId="77777777" w:rsidTr="005A298D">
        <w:tc>
          <w:tcPr>
            <w:tcW w:w="9576" w:type="dxa"/>
          </w:tcPr>
          <w:p w14:paraId="50C80FA8" w14:textId="0BE6BB3C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Proteus mirabilis</w:t>
            </w:r>
            <w:r w:rsidRPr="005A298D">
              <w:rPr>
                <w:i/>
                <w:iCs/>
                <w:vertAlign w:val="superscript"/>
              </w:rPr>
              <w:t>2)</w:t>
            </w:r>
          </w:p>
        </w:tc>
      </w:tr>
      <w:tr w:rsidR="005A298D" w14:paraId="69EA157E" w14:textId="77777777" w:rsidTr="005A298D">
        <w:tc>
          <w:tcPr>
            <w:tcW w:w="9576" w:type="dxa"/>
            <w:vAlign w:val="bottom"/>
          </w:tcPr>
          <w:p w14:paraId="6DE0F37E" w14:textId="2DA9A991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 xml:space="preserve">Proteus vulgaris </w:t>
            </w:r>
            <w:r w:rsidRPr="005A298D">
              <w:rPr>
                <w:i/>
                <w:iCs/>
                <w:vertAlign w:val="superscript"/>
              </w:rPr>
              <w:t>2)</w:t>
            </w:r>
          </w:p>
        </w:tc>
      </w:tr>
      <w:tr w:rsidR="005A298D" w14:paraId="53F49F76" w14:textId="77777777" w:rsidTr="005A298D">
        <w:tc>
          <w:tcPr>
            <w:tcW w:w="9576" w:type="dxa"/>
            <w:vAlign w:val="bottom"/>
          </w:tcPr>
          <w:p w14:paraId="54477231" w14:textId="60DADF10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Providencia spp.</w:t>
            </w:r>
          </w:p>
        </w:tc>
      </w:tr>
      <w:tr w:rsidR="005A298D" w14:paraId="232DED11" w14:textId="77777777" w:rsidTr="005A298D">
        <w:tc>
          <w:tcPr>
            <w:tcW w:w="9576" w:type="dxa"/>
            <w:vAlign w:val="bottom"/>
          </w:tcPr>
          <w:p w14:paraId="6A964DA7" w14:textId="2802E9FE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Salmonella spp.</w:t>
            </w:r>
          </w:p>
        </w:tc>
      </w:tr>
      <w:tr w:rsidR="005A298D" w14:paraId="0E314369" w14:textId="77777777" w:rsidTr="005A298D">
        <w:tc>
          <w:tcPr>
            <w:tcW w:w="9576" w:type="dxa"/>
            <w:vAlign w:val="bottom"/>
          </w:tcPr>
          <w:p w14:paraId="33EC6025" w14:textId="12D77604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Serratia marcescens</w:t>
            </w:r>
          </w:p>
        </w:tc>
      </w:tr>
      <w:tr w:rsidR="005A298D" w14:paraId="2E81C324" w14:textId="77777777" w:rsidTr="005A298D">
        <w:tc>
          <w:tcPr>
            <w:tcW w:w="9576" w:type="dxa"/>
            <w:vAlign w:val="bottom"/>
          </w:tcPr>
          <w:p w14:paraId="12F3D010" w14:textId="6ED72887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Shigella spp.</w:t>
            </w:r>
          </w:p>
        </w:tc>
      </w:tr>
      <w:tr w:rsidR="005A298D" w14:paraId="70B8CE40" w14:textId="77777777" w:rsidTr="005A298D">
        <w:tc>
          <w:tcPr>
            <w:tcW w:w="9576" w:type="dxa"/>
            <w:vAlign w:val="bottom"/>
          </w:tcPr>
          <w:p w14:paraId="432800F0" w14:textId="4F3AC245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Yersinia enterocolitica</w:t>
            </w:r>
          </w:p>
        </w:tc>
      </w:tr>
      <w:tr w:rsidR="005A298D" w14:paraId="704E887D" w14:textId="77777777" w:rsidTr="005A298D">
        <w:tc>
          <w:tcPr>
            <w:tcW w:w="9576" w:type="dxa"/>
            <w:vAlign w:val="bottom"/>
          </w:tcPr>
          <w:p w14:paraId="7CCD6FFF" w14:textId="1C3BBB64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Actinomyces spp.</w:t>
            </w:r>
          </w:p>
        </w:tc>
      </w:tr>
      <w:tr w:rsidR="005A298D" w14:paraId="48BAEF99" w14:textId="77777777" w:rsidTr="005A298D">
        <w:tc>
          <w:tcPr>
            <w:tcW w:w="9576" w:type="dxa"/>
          </w:tcPr>
          <w:p w14:paraId="0FD7112F" w14:textId="3A90BB81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Clostridium spp.</w:t>
            </w:r>
          </w:p>
        </w:tc>
      </w:tr>
      <w:tr w:rsidR="005A298D" w14:paraId="328BEDAE" w14:textId="77777777" w:rsidTr="005A298D">
        <w:tc>
          <w:tcPr>
            <w:tcW w:w="9576" w:type="dxa"/>
          </w:tcPr>
          <w:p w14:paraId="46868AE9" w14:textId="3A0B14F4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Lactobacillus spp.</w:t>
            </w:r>
          </w:p>
        </w:tc>
      </w:tr>
      <w:tr w:rsidR="005A298D" w14:paraId="0BC1C5BE" w14:textId="77777777" w:rsidTr="005A298D">
        <w:tc>
          <w:tcPr>
            <w:tcW w:w="9576" w:type="dxa"/>
          </w:tcPr>
          <w:p w14:paraId="3D29E84E" w14:textId="562FA51D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Peptococccus spp.</w:t>
            </w:r>
          </w:p>
        </w:tc>
      </w:tr>
      <w:tr w:rsidR="005A298D" w14:paraId="5818215B" w14:textId="77777777" w:rsidTr="005A298D">
        <w:tc>
          <w:tcPr>
            <w:tcW w:w="9576" w:type="dxa"/>
          </w:tcPr>
          <w:p w14:paraId="23CBAF7D" w14:textId="7CDE2685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Peptostreptococcus spp.</w:t>
            </w:r>
          </w:p>
        </w:tc>
      </w:tr>
      <w:tr w:rsidR="005A298D" w14:paraId="7CF5592E" w14:textId="77777777" w:rsidTr="005A298D">
        <w:tc>
          <w:tcPr>
            <w:tcW w:w="9576" w:type="dxa"/>
          </w:tcPr>
          <w:p w14:paraId="30C47CD2" w14:textId="7178A61D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Borrelia burgdorferi</w:t>
            </w:r>
          </w:p>
        </w:tc>
      </w:tr>
      <w:tr w:rsidR="005A298D" w14:paraId="0A718501" w14:textId="77777777" w:rsidTr="005A298D">
        <w:tc>
          <w:tcPr>
            <w:tcW w:w="9576" w:type="dxa"/>
          </w:tcPr>
          <w:p w14:paraId="6B6B3231" w14:textId="3C8992A8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Fusobacterium spp.</w:t>
            </w:r>
          </w:p>
        </w:tc>
      </w:tr>
      <w:tr w:rsidR="005A298D" w14:paraId="14B0C829" w14:textId="77777777" w:rsidTr="005A298D">
        <w:tc>
          <w:tcPr>
            <w:tcW w:w="9576" w:type="dxa"/>
          </w:tcPr>
          <w:p w14:paraId="40082CF0" w14:textId="04CC1512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Prevotella melaninogenica</w:t>
            </w:r>
          </w:p>
        </w:tc>
      </w:tr>
      <w:tr w:rsidR="005A298D" w14:paraId="375BCF7A" w14:textId="77777777" w:rsidTr="005A298D">
        <w:tc>
          <w:tcPr>
            <w:tcW w:w="9576" w:type="dxa"/>
          </w:tcPr>
          <w:p w14:paraId="5CFB7F9F" w14:textId="24510571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Treponema pallidum</w:t>
            </w:r>
          </w:p>
        </w:tc>
      </w:tr>
      <w:tr w:rsidR="005A298D" w14:paraId="44B2D36E" w14:textId="77777777" w:rsidTr="005A298D">
        <w:tc>
          <w:tcPr>
            <w:tcW w:w="9576" w:type="dxa"/>
          </w:tcPr>
          <w:p w14:paraId="5833578E" w14:textId="77777777" w:rsidR="005A298D" w:rsidRDefault="005A298D" w:rsidP="005A298D">
            <w:pPr>
              <w:rPr>
                <w:rFonts w:cs="Arial"/>
              </w:rPr>
            </w:pPr>
          </w:p>
        </w:tc>
      </w:tr>
      <w:tr w:rsidR="005A298D" w14:paraId="300AF3E4" w14:textId="77777777" w:rsidTr="005A298D">
        <w:trPr>
          <w:trHeight w:val="550"/>
        </w:trPr>
        <w:tc>
          <w:tcPr>
            <w:tcW w:w="9576" w:type="dxa"/>
          </w:tcPr>
          <w:p w14:paraId="4577A652" w14:textId="02CB4844" w:rsidR="005A298D" w:rsidRPr="005A298D" w:rsidRDefault="005A298D" w:rsidP="005A298D">
            <w:pPr>
              <w:rPr>
                <w:rFonts w:cs="Arial"/>
              </w:rPr>
            </w:pPr>
            <w:r>
              <w:rPr>
                <w:b/>
                <w:bCs/>
                <w:lang w:val="en-US" w:eastAsia="bg-BG"/>
              </w:rPr>
              <w:t>II</w:t>
            </w:r>
            <w:r w:rsidRPr="005A298D">
              <w:rPr>
                <w:b/>
                <w:bCs/>
                <w:lang w:eastAsia="bg-BG"/>
              </w:rPr>
              <w:t>. Видове, чиято придобита резистентност може да създаде проблеми при</w:t>
            </w:r>
          </w:p>
          <w:p w14:paraId="1B65EB92" w14:textId="1A346B30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b/>
                <w:bCs/>
                <w:lang w:eastAsia="bg-BG"/>
              </w:rPr>
              <w:t>употреба:</w:t>
            </w:r>
          </w:p>
        </w:tc>
      </w:tr>
      <w:tr w:rsidR="005A298D" w14:paraId="74E36E4E" w14:textId="77777777" w:rsidTr="005A298D">
        <w:tc>
          <w:tcPr>
            <w:tcW w:w="9576" w:type="dxa"/>
          </w:tcPr>
          <w:p w14:paraId="4AECAE31" w14:textId="39DC6FBC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Acinetobacter spp.</w:t>
            </w:r>
          </w:p>
        </w:tc>
      </w:tr>
      <w:tr w:rsidR="005A298D" w14:paraId="5DBBD0FB" w14:textId="77777777" w:rsidTr="005A298D">
        <w:tc>
          <w:tcPr>
            <w:tcW w:w="9576" w:type="dxa"/>
          </w:tcPr>
          <w:p w14:paraId="540BA4BD" w14:textId="58B75F34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Citrobacter freimdii</w:t>
            </w:r>
            <w:r w:rsidRPr="005A298D">
              <w:rPr>
                <w:i/>
                <w:iCs/>
                <w:vertAlign w:val="superscript"/>
              </w:rPr>
              <w:t>1)</w:t>
            </w:r>
          </w:p>
        </w:tc>
      </w:tr>
      <w:tr w:rsidR="005A298D" w14:paraId="6F603151" w14:textId="77777777" w:rsidTr="005A298D">
        <w:tc>
          <w:tcPr>
            <w:tcW w:w="9576" w:type="dxa"/>
          </w:tcPr>
          <w:p w14:paraId="094D23B9" w14:textId="0DCC3AEA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Enterobacter cloacae</w:t>
            </w:r>
          </w:p>
        </w:tc>
      </w:tr>
      <w:tr w:rsidR="005A298D" w14:paraId="33490C61" w14:textId="77777777" w:rsidTr="005A298D">
        <w:tc>
          <w:tcPr>
            <w:tcW w:w="9576" w:type="dxa"/>
          </w:tcPr>
          <w:p w14:paraId="5850EAB5" w14:textId="6EFCE17F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Pseudomonas aeruginosa</w:t>
            </w:r>
          </w:p>
        </w:tc>
      </w:tr>
      <w:tr w:rsidR="005A298D" w14:paraId="27E5F6BA" w14:textId="77777777" w:rsidTr="005A298D">
        <w:tc>
          <w:tcPr>
            <w:tcW w:w="9576" w:type="dxa"/>
          </w:tcPr>
          <w:p w14:paraId="146CAAED" w14:textId="7663B1B4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Bacteroides fragilis</w:t>
            </w:r>
          </w:p>
        </w:tc>
      </w:tr>
      <w:tr w:rsidR="005A298D" w14:paraId="27E05073" w14:textId="77777777" w:rsidTr="005A298D">
        <w:tc>
          <w:tcPr>
            <w:tcW w:w="9576" w:type="dxa"/>
          </w:tcPr>
          <w:p w14:paraId="3C3712FD" w14:textId="77777777" w:rsidR="005A298D" w:rsidRDefault="005A298D" w:rsidP="005A298D">
            <w:pPr>
              <w:rPr>
                <w:rFonts w:cs="Arial"/>
              </w:rPr>
            </w:pPr>
          </w:p>
        </w:tc>
      </w:tr>
      <w:tr w:rsidR="005A298D" w14:paraId="027F3CB1" w14:textId="77777777" w:rsidTr="005A298D">
        <w:tc>
          <w:tcPr>
            <w:tcW w:w="9576" w:type="dxa"/>
          </w:tcPr>
          <w:p w14:paraId="637B0BC4" w14:textId="54032C9C" w:rsidR="005A298D" w:rsidRPr="005A298D" w:rsidRDefault="005A298D" w:rsidP="005A298D">
            <w:pPr>
              <w:rPr>
                <w:rFonts w:cs="Arial"/>
              </w:rPr>
            </w:pPr>
            <w:r>
              <w:rPr>
                <w:b/>
                <w:bCs/>
                <w:lang w:eastAsia="bg-BG"/>
              </w:rPr>
              <w:t>III</w:t>
            </w:r>
            <w:r w:rsidRPr="005A298D">
              <w:rPr>
                <w:b/>
                <w:bCs/>
                <w:lang w:eastAsia="bg-BG"/>
              </w:rPr>
              <w:t>. По природа резистентни видове:</w:t>
            </w:r>
          </w:p>
        </w:tc>
      </w:tr>
      <w:tr w:rsidR="005A298D" w14:paraId="745A51BB" w14:textId="77777777" w:rsidTr="005A298D">
        <w:tc>
          <w:tcPr>
            <w:tcW w:w="9576" w:type="dxa"/>
          </w:tcPr>
          <w:p w14:paraId="664807A6" w14:textId="639D062E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Enterococcus spp.</w:t>
            </w:r>
          </w:p>
        </w:tc>
      </w:tr>
      <w:tr w:rsidR="005A298D" w14:paraId="07041DEF" w14:textId="77777777" w:rsidTr="005A298D">
        <w:tc>
          <w:tcPr>
            <w:tcW w:w="9576" w:type="dxa"/>
          </w:tcPr>
          <w:p w14:paraId="47FE6F64" w14:textId="1A030175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Listeria spp.</w:t>
            </w:r>
          </w:p>
        </w:tc>
      </w:tr>
      <w:tr w:rsidR="005A298D" w14:paraId="5B509309" w14:textId="77777777" w:rsidTr="005A298D">
        <w:tc>
          <w:tcPr>
            <w:tcW w:w="9576" w:type="dxa"/>
          </w:tcPr>
          <w:p w14:paraId="43FCFBB1" w14:textId="005BAAD1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Mycobacterium spp.</w:t>
            </w:r>
          </w:p>
        </w:tc>
      </w:tr>
      <w:tr w:rsidR="005A298D" w14:paraId="67EC0674" w14:textId="77777777" w:rsidTr="005A298D">
        <w:tc>
          <w:tcPr>
            <w:tcW w:w="9576" w:type="dxa"/>
          </w:tcPr>
          <w:p w14:paraId="3D25A307" w14:textId="57B4C813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Staphylococcus aureus,</w:t>
            </w:r>
            <w:r w:rsidRPr="005A298D">
              <w:rPr>
                <w:i/>
                <w:iCs/>
                <w:lang w:eastAsia="bg-BG"/>
              </w:rPr>
              <w:t xml:space="preserve"> </w:t>
            </w:r>
            <w:r w:rsidRPr="005A298D">
              <w:rPr>
                <w:lang w:eastAsia="bg-BG"/>
              </w:rPr>
              <w:t xml:space="preserve">метицилин-резистенген </w:t>
            </w:r>
            <w:r w:rsidRPr="005A298D">
              <w:t>(MRSA)</w:t>
            </w:r>
          </w:p>
        </w:tc>
      </w:tr>
      <w:tr w:rsidR="005A298D" w14:paraId="45DC6647" w14:textId="77777777" w:rsidTr="005A298D">
        <w:tc>
          <w:tcPr>
            <w:tcW w:w="9576" w:type="dxa"/>
          </w:tcPr>
          <w:p w14:paraId="64C071D8" w14:textId="4D6C6AED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Staphylococcus spp.,</w:t>
            </w:r>
            <w:r w:rsidRPr="005A298D">
              <w:t xml:space="preserve"> </w:t>
            </w:r>
            <w:r w:rsidRPr="005A298D">
              <w:rPr>
                <w:lang w:eastAsia="bg-BG"/>
              </w:rPr>
              <w:t xml:space="preserve">метицилин- резистентен </w:t>
            </w:r>
            <w:r w:rsidRPr="005A298D">
              <w:t>(MRS)</w:t>
            </w:r>
          </w:p>
        </w:tc>
      </w:tr>
      <w:tr w:rsidR="005A298D" w14:paraId="18E94ACC" w14:textId="77777777" w:rsidTr="005A298D">
        <w:tc>
          <w:tcPr>
            <w:tcW w:w="9576" w:type="dxa"/>
          </w:tcPr>
          <w:p w14:paraId="334C8078" w14:textId="534EEF25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Streptococcus pneumoniae</w:t>
            </w:r>
            <w:r w:rsidRPr="005A298D">
              <w:t xml:space="preserve"> </w:t>
            </w:r>
            <w:r w:rsidRPr="005A298D">
              <w:rPr>
                <w:lang w:eastAsia="bg-BG"/>
              </w:rPr>
              <w:t>(пеницилин-резистентен)</w:t>
            </w:r>
          </w:p>
        </w:tc>
      </w:tr>
      <w:tr w:rsidR="005A298D" w14:paraId="66DDD78D" w14:textId="77777777" w:rsidTr="005A298D">
        <w:tc>
          <w:tcPr>
            <w:tcW w:w="9576" w:type="dxa"/>
          </w:tcPr>
          <w:p w14:paraId="48E7275C" w14:textId="1639519C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Campylobacter spp.</w:t>
            </w:r>
          </w:p>
        </w:tc>
      </w:tr>
      <w:tr w:rsidR="005A298D" w14:paraId="785B40EB" w14:textId="77777777" w:rsidTr="005A298D">
        <w:tc>
          <w:tcPr>
            <w:tcW w:w="9576" w:type="dxa"/>
          </w:tcPr>
          <w:p w14:paraId="67A321F9" w14:textId="2FFC881E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Legionella pneumophila</w:t>
            </w:r>
          </w:p>
        </w:tc>
      </w:tr>
      <w:tr w:rsidR="005A298D" w14:paraId="412EFA27" w14:textId="77777777" w:rsidTr="005A298D">
        <w:tc>
          <w:tcPr>
            <w:tcW w:w="9576" w:type="dxa"/>
          </w:tcPr>
          <w:p w14:paraId="5FD6740D" w14:textId="05FEB474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Stenotrophomonas maltophilia</w:t>
            </w:r>
          </w:p>
        </w:tc>
      </w:tr>
      <w:tr w:rsidR="005A298D" w14:paraId="19EEAFF2" w14:textId="77777777" w:rsidTr="005A298D">
        <w:tc>
          <w:tcPr>
            <w:tcW w:w="9576" w:type="dxa"/>
          </w:tcPr>
          <w:p w14:paraId="423F856E" w14:textId="175D798B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Clostridium difficile</w:t>
            </w:r>
          </w:p>
        </w:tc>
      </w:tr>
      <w:tr w:rsidR="005A298D" w14:paraId="64DC537D" w14:textId="77777777" w:rsidTr="005A298D">
        <w:tc>
          <w:tcPr>
            <w:tcW w:w="9576" w:type="dxa"/>
          </w:tcPr>
          <w:p w14:paraId="74E0885D" w14:textId="780C9432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Chlamydia spp.</w:t>
            </w:r>
          </w:p>
        </w:tc>
      </w:tr>
      <w:tr w:rsidR="005A298D" w14:paraId="721079F2" w14:textId="77777777" w:rsidTr="005A298D">
        <w:tc>
          <w:tcPr>
            <w:tcW w:w="9576" w:type="dxa"/>
          </w:tcPr>
          <w:p w14:paraId="737BDE6A" w14:textId="159E460A" w:rsidR="005A298D" w:rsidRPr="005A298D" w:rsidRDefault="005A298D" w:rsidP="005A298D">
            <w:pPr>
              <w:rPr>
                <w:rFonts w:cs="Arial"/>
              </w:rPr>
            </w:pPr>
            <w:r w:rsidRPr="005A298D">
              <w:rPr>
                <w:i/>
                <w:iCs/>
              </w:rPr>
              <w:t>Mycoplasma spp.</w:t>
            </w:r>
          </w:p>
        </w:tc>
      </w:tr>
    </w:tbl>
    <w:p w14:paraId="1B208284" w14:textId="77777777" w:rsidR="00D37D81" w:rsidRPr="00D37D81" w:rsidRDefault="00D37D81" w:rsidP="00D37D81">
      <w:pPr>
        <w:rPr>
          <w:sz w:val="24"/>
          <w:szCs w:val="24"/>
        </w:rPr>
      </w:pPr>
      <w:r w:rsidRPr="00D37D81">
        <w:rPr>
          <w:i/>
          <w:iCs/>
          <w:vertAlign w:val="superscript"/>
          <w:lang w:val="en-US"/>
        </w:rPr>
        <w:t>1)</w:t>
      </w:r>
      <w:r w:rsidRPr="00D37D81">
        <w:rPr>
          <w:i/>
          <w:iCs/>
          <w:lang w:val="en-US"/>
        </w:rPr>
        <w:t xml:space="preserve"> </w:t>
      </w:r>
      <w:proofErr w:type="spellStart"/>
      <w:r w:rsidRPr="00D37D81">
        <w:rPr>
          <w:i/>
          <w:iCs/>
          <w:lang w:val="en-US"/>
        </w:rPr>
        <w:t>Enterobacter</w:t>
      </w:r>
      <w:proofErr w:type="spellEnd"/>
      <w:r w:rsidRPr="00D37D81">
        <w:rPr>
          <w:i/>
          <w:iCs/>
          <w:lang w:val="en-US"/>
        </w:rPr>
        <w:t xml:space="preserve">, </w:t>
      </w:r>
      <w:proofErr w:type="spellStart"/>
      <w:r w:rsidRPr="00D37D81">
        <w:rPr>
          <w:i/>
          <w:iCs/>
          <w:lang w:val="en-US"/>
        </w:rPr>
        <w:t>Citrobacter</w:t>
      </w:r>
      <w:proofErr w:type="spellEnd"/>
      <w:r w:rsidRPr="00D37D81">
        <w:rPr>
          <w:i/>
          <w:iCs/>
          <w:lang w:val="en-US"/>
        </w:rPr>
        <w:t>,</w:t>
      </w:r>
      <w:r w:rsidRPr="00D37D81">
        <w:rPr>
          <w:lang w:val="en-US"/>
        </w:rPr>
        <w:t xml:space="preserve"> </w:t>
      </w:r>
      <w:r w:rsidRPr="00D37D81">
        <w:rPr>
          <w:lang w:eastAsia="bg-BG"/>
        </w:rPr>
        <w:t xml:space="preserve">и </w:t>
      </w:r>
      <w:proofErr w:type="spellStart"/>
      <w:r w:rsidRPr="00D37D81">
        <w:rPr>
          <w:i/>
          <w:iCs/>
          <w:lang w:val="en-US"/>
        </w:rPr>
        <w:t>Serratia</w:t>
      </w:r>
      <w:proofErr w:type="spellEnd"/>
      <w:r w:rsidRPr="00D37D81">
        <w:rPr>
          <w:i/>
          <w:iCs/>
          <w:lang w:val="en-US"/>
        </w:rPr>
        <w:t xml:space="preserve"> spp.</w:t>
      </w:r>
      <w:r w:rsidRPr="00D37D81">
        <w:rPr>
          <w:lang w:val="en-US"/>
        </w:rPr>
        <w:t xml:space="preserve"> </w:t>
      </w:r>
      <w:r w:rsidRPr="00D37D81">
        <w:rPr>
          <w:lang w:eastAsia="bg-BG"/>
        </w:rPr>
        <w:t xml:space="preserve">Може да развият резистентност по време на продължително лечение с цефалоспорини </w:t>
      </w:r>
      <w:r w:rsidRPr="00D37D81">
        <w:rPr>
          <w:lang w:val="en-US"/>
        </w:rPr>
        <w:t>III</w:t>
      </w:r>
      <w:r w:rsidRPr="00D37D81">
        <w:rPr>
          <w:lang w:eastAsia="bg-BG"/>
        </w:rPr>
        <w:t xml:space="preserve"> генерация. Така, първично чувствителните </w:t>
      </w:r>
      <w:r w:rsidRPr="00D37D81">
        <w:rPr>
          <w:lang w:eastAsia="bg-BG"/>
        </w:rPr>
        <w:lastRenderedPageBreak/>
        <w:t>изолати могат да бъдат резистентни след 3-4 дни от началото на лечението. Повторен тест на последващи изолати се препоръчва.</w:t>
      </w:r>
    </w:p>
    <w:p w14:paraId="493BC3F7" w14:textId="77777777" w:rsidR="00D37D81" w:rsidRPr="00D37D81" w:rsidRDefault="00D37D81" w:rsidP="00D37D81">
      <w:pPr>
        <w:rPr>
          <w:sz w:val="24"/>
          <w:szCs w:val="24"/>
        </w:rPr>
      </w:pPr>
      <w:r w:rsidRPr="00D37D81">
        <w:rPr>
          <w:vertAlign w:val="superscript"/>
          <w:lang w:eastAsia="bg-BG"/>
        </w:rPr>
        <w:t>2)</w:t>
      </w:r>
      <w:r w:rsidRPr="00D37D81">
        <w:rPr>
          <w:lang w:eastAsia="bg-BG"/>
        </w:rPr>
        <w:t xml:space="preserve">Щамове от </w:t>
      </w:r>
      <w:r w:rsidRPr="00D37D81">
        <w:rPr>
          <w:i/>
          <w:iCs/>
          <w:lang w:eastAsia="bg-BG"/>
        </w:rPr>
        <w:t xml:space="preserve">Е. </w:t>
      </w:r>
      <w:proofErr w:type="gramStart"/>
      <w:r w:rsidRPr="00D37D81">
        <w:rPr>
          <w:i/>
          <w:iCs/>
          <w:lang w:val="en-US"/>
        </w:rPr>
        <w:t>coli</w:t>
      </w:r>
      <w:proofErr w:type="gramEnd"/>
      <w:r w:rsidRPr="00D37D81">
        <w:rPr>
          <w:i/>
          <w:iCs/>
        </w:rPr>
        <w:t xml:space="preserve">, </w:t>
      </w:r>
      <w:r w:rsidRPr="00D37D81">
        <w:rPr>
          <w:i/>
          <w:iCs/>
          <w:lang w:val="en-US"/>
        </w:rPr>
        <w:t>Proteus</w:t>
      </w:r>
      <w:r w:rsidRPr="00D37D81">
        <w:rPr>
          <w:i/>
          <w:iCs/>
        </w:rPr>
        <w:t xml:space="preserve"> </w:t>
      </w:r>
      <w:proofErr w:type="spellStart"/>
      <w:r w:rsidRPr="00D37D81">
        <w:rPr>
          <w:i/>
          <w:iCs/>
          <w:lang w:val="en-US"/>
        </w:rPr>
        <w:t>spp</w:t>
      </w:r>
      <w:proofErr w:type="spellEnd"/>
      <w:r w:rsidRPr="00D37D81">
        <w:rPr>
          <w:i/>
          <w:iCs/>
        </w:rPr>
        <w:t>.</w:t>
      </w:r>
      <w:r w:rsidRPr="00D37D81">
        <w:t xml:space="preserve"> </w:t>
      </w:r>
      <w:r w:rsidRPr="00D37D81">
        <w:rPr>
          <w:lang w:eastAsia="bg-BG"/>
        </w:rPr>
        <w:t xml:space="preserve">и </w:t>
      </w:r>
      <w:proofErr w:type="spellStart"/>
      <w:r w:rsidRPr="00D37D81">
        <w:rPr>
          <w:i/>
          <w:iCs/>
          <w:lang w:val="en-US"/>
        </w:rPr>
        <w:t>Klebsiella</w:t>
      </w:r>
      <w:proofErr w:type="spellEnd"/>
      <w:r w:rsidRPr="00D37D81">
        <w:rPr>
          <w:i/>
          <w:iCs/>
        </w:rPr>
        <w:t xml:space="preserve"> </w:t>
      </w:r>
      <w:proofErr w:type="spellStart"/>
      <w:r w:rsidRPr="00D37D81">
        <w:rPr>
          <w:i/>
          <w:iCs/>
          <w:lang w:val="en-US"/>
        </w:rPr>
        <w:t>spp</w:t>
      </w:r>
      <w:proofErr w:type="spellEnd"/>
      <w:r w:rsidRPr="00D37D81">
        <w:rPr>
          <w:i/>
          <w:iCs/>
        </w:rPr>
        <w:t>.</w:t>
      </w:r>
      <w:r w:rsidRPr="00D37D81">
        <w:rPr>
          <w:lang w:eastAsia="bg-BG"/>
        </w:rPr>
        <w:t xml:space="preserve">, продуциращи широк спектър от β-лактамази </w:t>
      </w:r>
      <w:r w:rsidRPr="00D37D81">
        <w:t>(</w:t>
      </w:r>
      <w:r w:rsidRPr="00D37D81">
        <w:rPr>
          <w:lang w:val="en-US"/>
        </w:rPr>
        <w:t>ESBLs</w:t>
      </w:r>
      <w:r w:rsidRPr="00D37D81">
        <w:t xml:space="preserve">), </w:t>
      </w:r>
      <w:r w:rsidRPr="00D37D81">
        <w:rPr>
          <w:lang w:eastAsia="bg-BG"/>
        </w:rPr>
        <w:t xml:space="preserve">могат да бъдат клинично резистентни въпреки сензитивноста си </w:t>
      </w:r>
      <w:r w:rsidRPr="00D37D81">
        <w:rPr>
          <w:i/>
          <w:iCs/>
          <w:lang w:val="en-US"/>
        </w:rPr>
        <w:t>in</w:t>
      </w:r>
      <w:r w:rsidRPr="00D37D81">
        <w:rPr>
          <w:i/>
          <w:iCs/>
        </w:rPr>
        <w:t xml:space="preserve"> </w:t>
      </w:r>
      <w:r w:rsidRPr="00D37D81">
        <w:rPr>
          <w:i/>
          <w:iCs/>
          <w:lang w:val="en-US"/>
        </w:rPr>
        <w:t>vitro</w:t>
      </w:r>
      <w:r w:rsidRPr="00D37D81">
        <w:rPr>
          <w:i/>
          <w:iCs/>
        </w:rPr>
        <w:t>.</w:t>
      </w:r>
    </w:p>
    <w:p w14:paraId="137225EF" w14:textId="1D25F813" w:rsidR="00D37D81" w:rsidRPr="005A298D" w:rsidRDefault="00D37D81" w:rsidP="005A298D">
      <w:pPr>
        <w:rPr>
          <w:rFonts w:cs="Arial"/>
        </w:rPr>
      </w:pPr>
    </w:p>
    <w:p w14:paraId="26535098" w14:textId="14D9B58C" w:rsidR="00395555" w:rsidRDefault="002C50EE" w:rsidP="008A6AF2">
      <w:pPr>
        <w:pStyle w:val="Heading2"/>
      </w:pPr>
      <w:r>
        <w:t>5.2. Фармакокинетични свойства</w:t>
      </w:r>
    </w:p>
    <w:p w14:paraId="7F167507" w14:textId="1B947E16" w:rsidR="00D37D81" w:rsidRDefault="00D37D81" w:rsidP="00D37D81"/>
    <w:p w14:paraId="056E46AB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Цефтриаксон е парентерален цефалоспорин от трета генерация. Цефтриаксон не се резобира при перорално приложение.</w:t>
      </w:r>
    </w:p>
    <w:p w14:paraId="47D3775B" w14:textId="77777777" w:rsidR="00D37D81" w:rsidRPr="00D37D81" w:rsidRDefault="00D37D81" w:rsidP="00D37D8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99AE7D" w14:textId="0494497A" w:rsidR="00D37D81" w:rsidRPr="00D37D81" w:rsidRDefault="00D37D81" w:rsidP="00D37D81">
      <w:pPr>
        <w:pStyle w:val="Heading3"/>
        <w:rPr>
          <w:rFonts w:eastAsia="Times New Roman"/>
          <w:u w:val="single"/>
        </w:rPr>
      </w:pPr>
      <w:r w:rsidRPr="00D37D81">
        <w:rPr>
          <w:rFonts w:eastAsia="Times New Roman"/>
          <w:u w:val="single"/>
          <w:lang w:eastAsia="bg-BG"/>
        </w:rPr>
        <w:t>Бионаличност</w:t>
      </w:r>
    </w:p>
    <w:p w14:paraId="0CC7DD3C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След интрамускулно инжектиране, цефтриаксон се резорбира напълно и достига максимална плазмена концентрация след 2-3 часа.</w:t>
      </w:r>
    </w:p>
    <w:p w14:paraId="3795B02C" w14:textId="77777777" w:rsidR="00D37D81" w:rsidRPr="00D37D81" w:rsidRDefault="00D37D81" w:rsidP="00D37D8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A7F08F5" w14:textId="344E36B6" w:rsidR="00D37D81" w:rsidRPr="00D37D81" w:rsidRDefault="00D37D81" w:rsidP="00D37D81">
      <w:pPr>
        <w:pStyle w:val="Heading3"/>
        <w:rPr>
          <w:rFonts w:eastAsia="Times New Roman"/>
          <w:u w:val="single"/>
        </w:rPr>
      </w:pPr>
      <w:r w:rsidRPr="00D37D81">
        <w:rPr>
          <w:rFonts w:eastAsia="Times New Roman"/>
          <w:u w:val="single"/>
          <w:lang w:eastAsia="bg-BG"/>
        </w:rPr>
        <w:t>Разпределение</w:t>
      </w:r>
    </w:p>
    <w:p w14:paraId="268787C1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 xml:space="preserve">Цефтриаксон прониква добре в телесните тъкани и течности. След доза от 1 - 2 </w:t>
      </w:r>
      <w:r w:rsidRPr="00D37D81">
        <w:rPr>
          <w:rFonts w:eastAsia="Times New Roman" w:cs="Arial"/>
          <w:color w:val="000000"/>
          <w:lang w:val="en-US"/>
        </w:rPr>
        <w:t>g</w:t>
      </w:r>
      <w:r w:rsidRPr="00D37D81">
        <w:rPr>
          <w:rFonts w:eastAsia="Times New Roman" w:cs="Arial"/>
          <w:color w:val="000000"/>
          <w:lang w:val="ru-RU"/>
        </w:rPr>
        <w:t xml:space="preserve">, </w:t>
      </w:r>
      <w:r w:rsidRPr="00D37D81">
        <w:rPr>
          <w:rFonts w:eastAsia="Times New Roman" w:cs="Arial"/>
          <w:color w:val="000000"/>
          <w:lang w:eastAsia="bg-BG"/>
        </w:rPr>
        <w:t xml:space="preserve">може да се установят концентрации в повече от 60 телесни тъкани и течности, които остават повече от 24 часа над </w:t>
      </w:r>
      <w:r w:rsidRPr="00D37D81">
        <w:rPr>
          <w:rFonts w:eastAsia="Times New Roman" w:cs="Arial"/>
          <w:color w:val="000000"/>
          <w:lang w:val="en-US"/>
        </w:rPr>
        <w:t>MIC</w:t>
      </w:r>
      <w:r w:rsidRPr="00D37D81">
        <w:rPr>
          <w:rFonts w:eastAsia="Times New Roman" w:cs="Arial"/>
          <w:color w:val="000000"/>
          <w:lang w:val="ru-RU"/>
        </w:rPr>
        <w:t xml:space="preserve"> </w:t>
      </w:r>
      <w:r w:rsidRPr="00D37D81">
        <w:rPr>
          <w:rFonts w:eastAsia="Times New Roman" w:cs="Arial"/>
          <w:color w:val="000000"/>
          <w:lang w:eastAsia="bg-BG"/>
        </w:rPr>
        <w:t xml:space="preserve"> нивата за повечето патогенни микроорганизми.</w:t>
      </w:r>
    </w:p>
    <w:p w14:paraId="2AB5E53D" w14:textId="1282A60A" w:rsidR="00D37D81" w:rsidRDefault="00D37D81" w:rsidP="00D37D81">
      <w:pPr>
        <w:rPr>
          <w:rFonts w:eastAsia="Times New Roman" w:cs="Arial"/>
          <w:color w:val="000000"/>
          <w:lang w:val="ru-RU"/>
        </w:rPr>
      </w:pPr>
      <w:r w:rsidRPr="00D37D81">
        <w:rPr>
          <w:rFonts w:eastAsia="Times New Roman" w:cs="Arial"/>
          <w:color w:val="000000"/>
          <w:lang w:eastAsia="bg-BG"/>
        </w:rPr>
        <w:t xml:space="preserve">Обема на разпределение за здрави възрастни е 0,13 </w:t>
      </w:r>
      <w:r w:rsidRPr="00D37D81">
        <w:rPr>
          <w:rFonts w:eastAsia="Times New Roman" w:cs="Arial"/>
          <w:color w:val="000000"/>
          <w:lang w:val="ru-RU"/>
        </w:rPr>
        <w:t>1/</w:t>
      </w:r>
      <w:r w:rsidRPr="00D37D81">
        <w:rPr>
          <w:rFonts w:eastAsia="Times New Roman" w:cs="Arial"/>
          <w:color w:val="000000"/>
          <w:lang w:val="en-US"/>
        </w:rPr>
        <w:t>kg</w:t>
      </w:r>
      <w:r w:rsidRPr="00D37D81">
        <w:rPr>
          <w:rFonts w:eastAsia="Times New Roman" w:cs="Arial"/>
          <w:color w:val="000000"/>
          <w:lang w:val="ru-RU"/>
        </w:rPr>
        <w:t>.</w:t>
      </w:r>
    </w:p>
    <w:p w14:paraId="392888C1" w14:textId="631313A7" w:rsidR="00D37D81" w:rsidRDefault="00D37D81" w:rsidP="00D37D81">
      <w:pPr>
        <w:rPr>
          <w:rFonts w:eastAsia="Times New Roman" w:cs="Arial"/>
          <w:color w:val="000000"/>
          <w:lang w:val="ru-RU"/>
        </w:rPr>
      </w:pPr>
    </w:p>
    <w:p w14:paraId="29A236DC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 xml:space="preserve">Цефтриаксон се свързва обратимо с албумина. Плазменото свързване с протеините е около 95% при плазмена концентрация от &lt; 100 </w:t>
      </w:r>
      <w:r w:rsidRPr="00D37D81">
        <w:rPr>
          <w:rFonts w:eastAsia="Times New Roman" w:cs="Arial"/>
          <w:color w:val="000000"/>
          <w:lang w:val="en-US"/>
        </w:rPr>
        <w:t>mg</w:t>
      </w:r>
      <w:r w:rsidRPr="00D37D81">
        <w:rPr>
          <w:rFonts w:eastAsia="Times New Roman" w:cs="Arial"/>
          <w:color w:val="000000"/>
          <w:lang w:val="ru-RU"/>
        </w:rPr>
        <w:t xml:space="preserve">/1, </w:t>
      </w:r>
      <w:r w:rsidRPr="00D37D81">
        <w:rPr>
          <w:rFonts w:eastAsia="Times New Roman" w:cs="Arial"/>
          <w:color w:val="000000"/>
          <w:lang w:eastAsia="bg-BG"/>
        </w:rPr>
        <w:t xml:space="preserve">като свързаната част намалява с повишаването на концентрацията (до 85 % при плазмена концентрация от 300 </w:t>
      </w:r>
      <w:r w:rsidRPr="00D37D81">
        <w:rPr>
          <w:rFonts w:eastAsia="Times New Roman" w:cs="Arial"/>
          <w:color w:val="000000"/>
          <w:lang w:val="en-US"/>
        </w:rPr>
        <w:t>mg</w:t>
      </w:r>
      <w:r w:rsidRPr="00D37D81">
        <w:rPr>
          <w:rFonts w:eastAsia="Times New Roman" w:cs="Arial"/>
          <w:color w:val="000000"/>
          <w:lang w:val="ru-RU"/>
        </w:rPr>
        <w:t>/1).</w:t>
      </w:r>
    </w:p>
    <w:p w14:paraId="4F1F723C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 xml:space="preserve">При деца и кърмачета, средната дифузия през възпалени менинги е 17 % от плазмената концентрация. Този стойност е около 4 пъти по-висока от дифузията през невъзпалени менинги. Концентрацията на цефтриаксон в цереброспиналната течност е била &gt; 1,4 </w:t>
      </w:r>
      <w:r w:rsidRPr="00D37D81">
        <w:rPr>
          <w:rFonts w:eastAsia="Times New Roman" w:cs="Arial"/>
          <w:color w:val="000000"/>
          <w:lang w:val="en-US"/>
        </w:rPr>
        <w:t>mg</w:t>
      </w:r>
      <w:r w:rsidRPr="00D37D81">
        <w:rPr>
          <w:rFonts w:eastAsia="Times New Roman" w:cs="Arial"/>
          <w:color w:val="000000"/>
          <w:lang w:val="ru-RU"/>
        </w:rPr>
        <w:t xml:space="preserve">/1 </w:t>
      </w:r>
      <w:r w:rsidRPr="00D37D81">
        <w:rPr>
          <w:rFonts w:eastAsia="Times New Roman" w:cs="Arial"/>
          <w:color w:val="000000"/>
          <w:lang w:eastAsia="bg-BG"/>
        </w:rPr>
        <w:t xml:space="preserve">24 часа след интравенозно приложение на доза от 50 - 100 </w:t>
      </w:r>
      <w:r w:rsidRPr="00D37D81">
        <w:rPr>
          <w:rFonts w:eastAsia="Times New Roman" w:cs="Arial"/>
          <w:color w:val="000000"/>
          <w:lang w:val="en-US"/>
        </w:rPr>
        <w:t>mg</w:t>
      </w:r>
      <w:r w:rsidRPr="00D37D81">
        <w:rPr>
          <w:rFonts w:eastAsia="Times New Roman" w:cs="Arial"/>
          <w:color w:val="000000"/>
          <w:lang w:val="ru-RU"/>
        </w:rPr>
        <w:t>/</w:t>
      </w:r>
      <w:r w:rsidRPr="00D37D81">
        <w:rPr>
          <w:rFonts w:eastAsia="Times New Roman" w:cs="Arial"/>
          <w:color w:val="000000"/>
          <w:lang w:val="en-US"/>
        </w:rPr>
        <w:t>kg</w:t>
      </w:r>
      <w:r w:rsidRPr="00D37D81">
        <w:rPr>
          <w:rFonts w:eastAsia="Times New Roman" w:cs="Arial"/>
          <w:color w:val="000000"/>
          <w:lang w:val="ru-RU"/>
        </w:rPr>
        <w:t xml:space="preserve"> </w:t>
      </w:r>
      <w:r w:rsidRPr="00D37D81">
        <w:rPr>
          <w:rFonts w:eastAsia="Times New Roman" w:cs="Arial"/>
          <w:color w:val="000000"/>
          <w:lang w:eastAsia="bg-BG"/>
        </w:rPr>
        <w:t>телесно тегло.</w:t>
      </w:r>
    </w:p>
    <w:p w14:paraId="046E393F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 xml:space="preserve">При възрастни пациенти с менингит, приложението на 50 </w:t>
      </w:r>
      <w:r w:rsidRPr="00D37D81">
        <w:rPr>
          <w:rFonts w:eastAsia="Times New Roman" w:cs="Arial"/>
          <w:color w:val="000000"/>
          <w:lang w:val="en-US"/>
        </w:rPr>
        <w:t>mg</w:t>
      </w:r>
      <w:r w:rsidRPr="00D37D81">
        <w:rPr>
          <w:rFonts w:eastAsia="Times New Roman" w:cs="Arial"/>
          <w:color w:val="000000"/>
          <w:lang w:val="ru-RU"/>
        </w:rPr>
        <w:t>/</w:t>
      </w:r>
      <w:r w:rsidRPr="00D37D81">
        <w:rPr>
          <w:rFonts w:eastAsia="Times New Roman" w:cs="Arial"/>
          <w:color w:val="000000"/>
          <w:lang w:val="en-US"/>
        </w:rPr>
        <w:t>kg</w:t>
      </w:r>
      <w:r w:rsidRPr="00D37D81">
        <w:rPr>
          <w:rFonts w:eastAsia="Times New Roman" w:cs="Arial"/>
          <w:color w:val="000000"/>
          <w:lang w:val="ru-RU"/>
        </w:rPr>
        <w:t xml:space="preserve"> </w:t>
      </w:r>
      <w:r w:rsidRPr="00D37D81">
        <w:rPr>
          <w:rFonts w:eastAsia="Times New Roman" w:cs="Arial"/>
          <w:color w:val="000000"/>
          <w:lang w:eastAsia="bg-BG"/>
        </w:rPr>
        <w:t>телесно тегло е довело до концентрации в цереброспиналната течност за 2 - 24 часа, няколко пъти по-високи от минималните инхибиращи концентрации, необходими за повечето менингитни патогени. След 24 часа концентрацията в цереброспиналната течност е спаднала до 1 μ</w:t>
      </w:r>
      <w:r w:rsidRPr="00D37D81">
        <w:rPr>
          <w:rFonts w:eastAsia="Times New Roman" w:cs="Arial"/>
          <w:color w:val="000000"/>
          <w:lang w:val="en-US"/>
        </w:rPr>
        <w:t>g</w:t>
      </w:r>
      <w:r w:rsidRPr="00D37D81">
        <w:rPr>
          <w:rFonts w:eastAsia="Times New Roman" w:cs="Arial"/>
          <w:color w:val="000000"/>
          <w:lang w:val="ru-RU"/>
        </w:rPr>
        <w:t>/</w:t>
      </w:r>
      <w:r w:rsidRPr="00D37D81">
        <w:rPr>
          <w:rFonts w:eastAsia="Times New Roman" w:cs="Arial"/>
          <w:color w:val="000000"/>
          <w:lang w:val="en-US"/>
        </w:rPr>
        <w:t>ml</w:t>
      </w:r>
      <w:r w:rsidRPr="00D37D81">
        <w:rPr>
          <w:rFonts w:eastAsia="Times New Roman" w:cs="Arial"/>
          <w:color w:val="000000"/>
          <w:lang w:val="ru-RU"/>
        </w:rPr>
        <w:t>.</w:t>
      </w:r>
    </w:p>
    <w:p w14:paraId="03CA1A78" w14:textId="77777777" w:rsidR="00D37D81" w:rsidRPr="00D37D81" w:rsidRDefault="00D37D81" w:rsidP="00D37D8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96EA60" w14:textId="2B700705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Цефтриаксон преминава плацентата и се екскретира в майчиното мляко в малки количества.</w:t>
      </w:r>
    </w:p>
    <w:p w14:paraId="7098A7F3" w14:textId="77777777" w:rsidR="00D37D81" w:rsidRPr="00D37D81" w:rsidRDefault="00D37D81" w:rsidP="00D37D8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FAA191A" w14:textId="14753C58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u w:val="single"/>
          <w:lang w:eastAsia="bg-BG"/>
        </w:rPr>
        <w:t>Серумно ниво</w:t>
      </w:r>
    </w:p>
    <w:p w14:paraId="5B91C513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 xml:space="preserve">След интравенозана инфузия на 1 </w:t>
      </w:r>
      <w:r w:rsidRPr="00D37D81">
        <w:rPr>
          <w:rFonts w:eastAsia="Times New Roman" w:cs="Arial"/>
          <w:color w:val="000000"/>
          <w:lang w:val="en-US"/>
        </w:rPr>
        <w:t>g</w:t>
      </w:r>
      <w:r w:rsidRPr="00D37D81">
        <w:rPr>
          <w:rFonts w:eastAsia="Times New Roman" w:cs="Arial"/>
          <w:color w:val="000000"/>
          <w:lang w:val="ru-RU"/>
        </w:rPr>
        <w:t xml:space="preserve"> </w:t>
      </w:r>
      <w:r w:rsidRPr="00D37D81">
        <w:rPr>
          <w:rFonts w:eastAsia="Times New Roman" w:cs="Arial"/>
          <w:color w:val="000000"/>
          <w:lang w:eastAsia="bg-BG"/>
        </w:rPr>
        <w:t xml:space="preserve">цефтриаксон за 30 </w:t>
      </w:r>
      <w:r w:rsidRPr="00D37D81">
        <w:rPr>
          <w:rFonts w:eastAsia="Times New Roman" w:cs="Arial"/>
          <w:color w:val="000000"/>
          <w:lang w:val="en-US"/>
        </w:rPr>
        <w:t>min</w:t>
      </w:r>
      <w:r w:rsidRPr="00D37D81">
        <w:rPr>
          <w:rFonts w:eastAsia="Times New Roman" w:cs="Arial"/>
          <w:color w:val="000000"/>
          <w:lang w:val="ru-RU"/>
        </w:rPr>
        <w:t xml:space="preserve">, </w:t>
      </w:r>
      <w:r w:rsidRPr="00D37D81">
        <w:rPr>
          <w:rFonts w:eastAsia="Times New Roman" w:cs="Arial"/>
          <w:color w:val="000000"/>
          <w:lang w:eastAsia="bg-BG"/>
        </w:rPr>
        <w:t>серумната концентрация е била 123,2 μ</w:t>
      </w:r>
      <w:r w:rsidRPr="00D37D81">
        <w:rPr>
          <w:rFonts w:eastAsia="Times New Roman" w:cs="Arial"/>
          <w:color w:val="000000"/>
          <w:lang w:val="en-US"/>
        </w:rPr>
        <w:t>g</w:t>
      </w:r>
      <w:r w:rsidRPr="00D37D81">
        <w:rPr>
          <w:rFonts w:eastAsia="Times New Roman" w:cs="Arial"/>
          <w:color w:val="000000"/>
          <w:lang w:val="ru-RU"/>
        </w:rPr>
        <w:t>/</w:t>
      </w:r>
      <w:r w:rsidRPr="00D37D81">
        <w:rPr>
          <w:rFonts w:eastAsia="Times New Roman" w:cs="Arial"/>
          <w:color w:val="000000"/>
          <w:lang w:val="en-US"/>
        </w:rPr>
        <w:t>ml</w:t>
      </w:r>
      <w:r w:rsidRPr="00D37D81">
        <w:rPr>
          <w:rFonts w:eastAsia="Times New Roman" w:cs="Arial"/>
          <w:color w:val="000000"/>
          <w:lang w:val="ru-RU"/>
        </w:rPr>
        <w:t xml:space="preserve"> </w:t>
      </w:r>
      <w:r w:rsidRPr="00D37D81">
        <w:rPr>
          <w:rFonts w:eastAsia="Times New Roman" w:cs="Arial"/>
          <w:color w:val="000000"/>
          <w:lang w:eastAsia="bg-BG"/>
        </w:rPr>
        <w:t>непосредствено след приключване на инфузията и 94,81, 57,8, 20,2 и 4,6 μ</w:t>
      </w:r>
      <w:r w:rsidRPr="00D37D81">
        <w:rPr>
          <w:rFonts w:eastAsia="Times New Roman" w:cs="Arial"/>
          <w:color w:val="000000"/>
          <w:lang w:val="en-US"/>
        </w:rPr>
        <w:t>g</w:t>
      </w:r>
      <w:r w:rsidRPr="00D37D81">
        <w:rPr>
          <w:rFonts w:eastAsia="Times New Roman" w:cs="Arial"/>
          <w:color w:val="000000"/>
          <w:lang w:val="ru-RU"/>
        </w:rPr>
        <w:t>/</w:t>
      </w:r>
      <w:r w:rsidRPr="00D37D81">
        <w:rPr>
          <w:rFonts w:eastAsia="Times New Roman" w:cs="Arial"/>
          <w:color w:val="000000"/>
          <w:lang w:val="en-US"/>
        </w:rPr>
        <w:t>ml</w:t>
      </w:r>
      <w:r w:rsidRPr="00D37D81">
        <w:rPr>
          <w:rFonts w:eastAsia="Times New Roman" w:cs="Arial"/>
          <w:color w:val="000000"/>
          <w:lang w:val="ru-RU"/>
        </w:rPr>
        <w:t xml:space="preserve"> </w:t>
      </w:r>
      <w:r w:rsidRPr="00D37D81">
        <w:rPr>
          <w:rFonts w:eastAsia="Times New Roman" w:cs="Arial"/>
          <w:color w:val="000000"/>
          <w:lang w:eastAsia="bg-BG"/>
        </w:rPr>
        <w:t>след 1,5, 4, 12 и 24 часа след инфузията.</w:t>
      </w:r>
    </w:p>
    <w:p w14:paraId="188B1BA7" w14:textId="77777777" w:rsidR="00D37D81" w:rsidRPr="00D37D81" w:rsidRDefault="00D37D81" w:rsidP="00D37D8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424073" w14:textId="7B66244A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 xml:space="preserve">След интрамускулна инжекция на 1 </w:t>
      </w:r>
      <w:r w:rsidRPr="00D37D81">
        <w:rPr>
          <w:rFonts w:eastAsia="Times New Roman" w:cs="Arial"/>
          <w:color w:val="000000"/>
          <w:lang w:val="en-US"/>
        </w:rPr>
        <w:t>g</w:t>
      </w:r>
      <w:r w:rsidRPr="00D37D81">
        <w:rPr>
          <w:rFonts w:eastAsia="Times New Roman" w:cs="Arial"/>
          <w:color w:val="000000"/>
          <w:lang w:val="ru-RU"/>
        </w:rPr>
        <w:t xml:space="preserve"> </w:t>
      </w:r>
      <w:r w:rsidRPr="00D37D81">
        <w:rPr>
          <w:rFonts w:eastAsia="Times New Roman" w:cs="Arial"/>
          <w:color w:val="000000"/>
          <w:lang w:eastAsia="bg-BG"/>
        </w:rPr>
        <w:t>цефтриаксон, серумната концентрация е била 79,2 μ</w:t>
      </w:r>
      <w:r w:rsidRPr="00D37D81">
        <w:rPr>
          <w:rFonts w:eastAsia="Times New Roman" w:cs="Arial"/>
          <w:color w:val="000000"/>
          <w:lang w:val="en-US"/>
        </w:rPr>
        <w:t>g</w:t>
      </w:r>
      <w:r w:rsidRPr="00D37D81">
        <w:rPr>
          <w:rFonts w:eastAsia="Times New Roman" w:cs="Arial"/>
          <w:color w:val="000000"/>
          <w:lang w:val="ru-RU"/>
        </w:rPr>
        <w:t>/</w:t>
      </w:r>
      <w:r w:rsidRPr="00D37D81">
        <w:rPr>
          <w:rFonts w:eastAsia="Times New Roman" w:cs="Arial"/>
          <w:color w:val="000000"/>
          <w:lang w:val="en-US"/>
        </w:rPr>
        <w:t>ml</w:t>
      </w:r>
      <w:r w:rsidRPr="00D37D81">
        <w:rPr>
          <w:rFonts w:eastAsia="Times New Roman" w:cs="Arial"/>
          <w:color w:val="000000"/>
          <w:lang w:val="ru-RU"/>
        </w:rPr>
        <w:t xml:space="preserve"> </w:t>
      </w:r>
      <w:r w:rsidRPr="00D37D81">
        <w:rPr>
          <w:rFonts w:eastAsia="Times New Roman" w:cs="Arial"/>
          <w:color w:val="000000"/>
          <w:lang w:eastAsia="bg-BG"/>
        </w:rPr>
        <w:t>1,5 часа и 58,2, 35,5 и 7,8 μ</w:t>
      </w:r>
      <w:r w:rsidRPr="00D37D81">
        <w:rPr>
          <w:rFonts w:eastAsia="Times New Roman" w:cs="Arial"/>
          <w:color w:val="000000"/>
          <w:lang w:val="en-US"/>
        </w:rPr>
        <w:t>g</w:t>
      </w:r>
      <w:r w:rsidRPr="00D37D81">
        <w:rPr>
          <w:rFonts w:eastAsia="Times New Roman" w:cs="Arial"/>
          <w:color w:val="000000"/>
          <w:lang w:val="ru-RU"/>
        </w:rPr>
        <w:t>/</w:t>
      </w:r>
      <w:r w:rsidRPr="00D37D81">
        <w:rPr>
          <w:rFonts w:eastAsia="Times New Roman" w:cs="Arial"/>
          <w:color w:val="000000"/>
          <w:lang w:val="en-US"/>
        </w:rPr>
        <w:t>ml</w:t>
      </w:r>
      <w:r w:rsidRPr="00D37D81">
        <w:rPr>
          <w:rFonts w:eastAsia="Times New Roman" w:cs="Arial"/>
          <w:color w:val="000000"/>
          <w:lang w:val="ru-RU"/>
        </w:rPr>
        <w:t xml:space="preserve"> </w:t>
      </w:r>
      <w:r w:rsidRPr="00D37D81">
        <w:rPr>
          <w:rFonts w:eastAsia="Times New Roman" w:cs="Arial"/>
          <w:color w:val="000000"/>
          <w:lang w:eastAsia="bg-BG"/>
        </w:rPr>
        <w:t>след 4, 12 и 24 часа след инжекцията.</w:t>
      </w:r>
    </w:p>
    <w:p w14:paraId="30AC498B" w14:textId="77777777" w:rsidR="00D37D81" w:rsidRPr="00D37D81" w:rsidRDefault="00D37D81" w:rsidP="00D37D8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2AF2763" w14:textId="2BB09762" w:rsidR="00D37D81" w:rsidRPr="00D37D81" w:rsidRDefault="00D37D81" w:rsidP="00D37D81">
      <w:pPr>
        <w:pStyle w:val="Heading3"/>
        <w:rPr>
          <w:rFonts w:eastAsia="Times New Roman"/>
          <w:u w:val="single"/>
        </w:rPr>
      </w:pPr>
      <w:r w:rsidRPr="00D37D81">
        <w:rPr>
          <w:rFonts w:eastAsia="Times New Roman"/>
          <w:u w:val="single"/>
          <w:lang w:eastAsia="bg-BG"/>
        </w:rPr>
        <w:t>Биотрансформация</w:t>
      </w:r>
    </w:p>
    <w:p w14:paraId="5486CFDE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Цефтриаксон не се метаболизира системно. Все пак, той се разгражда биологически от микроорганизмите в тънкото черво.</w:t>
      </w:r>
    </w:p>
    <w:p w14:paraId="53E757D9" w14:textId="77777777" w:rsidR="00D37D81" w:rsidRPr="00D37D81" w:rsidRDefault="00D37D81" w:rsidP="00D37D8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E14C64" w14:textId="5C8E2326" w:rsidR="00D37D81" w:rsidRPr="00D37D81" w:rsidRDefault="00D37D81" w:rsidP="00D37D81">
      <w:pPr>
        <w:pStyle w:val="Heading3"/>
        <w:rPr>
          <w:rFonts w:eastAsia="Times New Roman"/>
          <w:u w:val="single"/>
        </w:rPr>
      </w:pPr>
      <w:r w:rsidRPr="00D37D81">
        <w:rPr>
          <w:rFonts w:eastAsia="Times New Roman"/>
          <w:u w:val="single"/>
          <w:lang w:eastAsia="bg-BG"/>
        </w:rPr>
        <w:lastRenderedPageBreak/>
        <w:t>Елиминиране</w:t>
      </w:r>
    </w:p>
    <w:p w14:paraId="2FDA8CF6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 xml:space="preserve">Елиминационният полуживот е 6 - 9 часа. Тоталният плазмен клирънс е дозозависим и е между 10-22 </w:t>
      </w:r>
      <w:r w:rsidRPr="00D37D81">
        <w:rPr>
          <w:rFonts w:eastAsia="Times New Roman" w:cs="Arial"/>
          <w:color w:val="000000"/>
          <w:lang w:val="en-US"/>
        </w:rPr>
        <w:t>ml</w:t>
      </w:r>
      <w:r w:rsidRPr="00D37D81">
        <w:rPr>
          <w:rFonts w:eastAsia="Times New Roman" w:cs="Arial"/>
          <w:color w:val="000000"/>
          <w:lang w:val="ru-RU"/>
        </w:rPr>
        <w:t>/</w:t>
      </w:r>
      <w:r w:rsidRPr="00D37D81">
        <w:rPr>
          <w:rFonts w:eastAsia="Times New Roman" w:cs="Arial"/>
          <w:color w:val="000000"/>
          <w:lang w:val="en-US"/>
        </w:rPr>
        <w:t>min</w:t>
      </w:r>
      <w:r w:rsidRPr="00D37D81">
        <w:rPr>
          <w:rFonts w:eastAsia="Times New Roman" w:cs="Arial"/>
          <w:color w:val="000000"/>
          <w:lang w:val="ru-RU"/>
        </w:rPr>
        <w:t xml:space="preserve">. </w:t>
      </w:r>
      <w:r w:rsidRPr="00D37D81">
        <w:rPr>
          <w:rFonts w:eastAsia="Times New Roman" w:cs="Arial"/>
          <w:color w:val="000000"/>
          <w:lang w:eastAsia="bg-BG"/>
        </w:rPr>
        <w:t xml:space="preserve">Бъбречния клирънс е 5 -12 </w:t>
      </w:r>
      <w:r w:rsidRPr="00D37D81">
        <w:rPr>
          <w:rFonts w:eastAsia="Times New Roman" w:cs="Arial"/>
          <w:color w:val="000000"/>
          <w:lang w:val="en-US"/>
        </w:rPr>
        <w:t>ml</w:t>
      </w:r>
      <w:r w:rsidRPr="00D37D81">
        <w:rPr>
          <w:rFonts w:eastAsia="Times New Roman" w:cs="Arial"/>
          <w:color w:val="000000"/>
          <w:lang w:val="ru-RU"/>
        </w:rPr>
        <w:t>/</w:t>
      </w:r>
      <w:r w:rsidRPr="00D37D81">
        <w:rPr>
          <w:rFonts w:eastAsia="Times New Roman" w:cs="Arial"/>
          <w:color w:val="000000"/>
          <w:lang w:val="en-US"/>
        </w:rPr>
        <w:t>min</w:t>
      </w:r>
      <w:r w:rsidRPr="00D37D81">
        <w:rPr>
          <w:rFonts w:eastAsia="Times New Roman" w:cs="Arial"/>
          <w:color w:val="000000"/>
          <w:lang w:val="ru-RU"/>
        </w:rPr>
        <w:t>.</w:t>
      </w:r>
    </w:p>
    <w:p w14:paraId="3CB27064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</w:p>
    <w:p w14:paraId="3475B074" w14:textId="6E5E8F75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През първите 24 часа, 50 - 60 % от цефтриаксон се екскретира през бъбреците под непроменена форма и 40 - 50 % се секретира, също непроменен, с жлъчката в тънкото черво, кьдето се извършва разграждане до неактивни метаболити.</w:t>
      </w:r>
    </w:p>
    <w:p w14:paraId="21FF2D41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Екскрецията в урината се осъществява посредством гломерулна филтрация. Тубуларна секреция не се осъществява. Поради това едновременното приложение на пробенцид не води до повишаването на серумните нива.</w:t>
      </w:r>
    </w:p>
    <w:p w14:paraId="0CCED980" w14:textId="77777777" w:rsidR="00D37D81" w:rsidRPr="00D37D81" w:rsidRDefault="00D37D81" w:rsidP="00D37D8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77EBA8" w14:textId="248E93F5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u w:val="single"/>
          <w:lang w:eastAsia="bg-BG"/>
        </w:rPr>
        <w:t>Нелинеарност</w:t>
      </w:r>
    </w:p>
    <w:p w14:paraId="74986C16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За цефтриаксон е описана нелинеарна дозозависимост на серумната концентрация. Тази нелинеарност се манифестира от зависимо от концентрацията понижаване на плазменото протеиново свързване, което може да доведе до съответно повишаване на разпределението и елиминирането.</w:t>
      </w:r>
    </w:p>
    <w:p w14:paraId="1CE83CE7" w14:textId="77777777" w:rsidR="00D37D81" w:rsidRPr="00D37D81" w:rsidRDefault="00D37D81" w:rsidP="00D37D8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67782F4" w14:textId="4C2E07A6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u w:val="single"/>
          <w:lang w:eastAsia="bg-BG"/>
        </w:rPr>
        <w:t>Специална фарамакокинетика</w:t>
      </w:r>
    </w:p>
    <w:p w14:paraId="01E780F8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При новородени на 3 дни, елиминационният полуживот е около 16 часа а при 9-30-дневни новородени около 9 часа.</w:t>
      </w:r>
    </w:p>
    <w:p w14:paraId="6611992C" w14:textId="77777777" w:rsidR="00D37D81" w:rsidRPr="00D37D81" w:rsidRDefault="00D37D81" w:rsidP="00D37D8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4B51A8" w14:textId="19156D5F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u w:val="single"/>
          <w:lang w:eastAsia="bg-BG"/>
        </w:rPr>
        <w:t>Пациенти с нарушена бъбречна и/или чернодробна функция</w:t>
      </w:r>
    </w:p>
    <w:p w14:paraId="49887047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При пациенти със съпътстваща нарушена бъбречна и чернодробна функция елиминационният</w:t>
      </w:r>
    </w:p>
    <w:p w14:paraId="124820E6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полуживот може да бъде удължен.</w:t>
      </w:r>
    </w:p>
    <w:p w14:paraId="7422C782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При терминална бъбречна недостатъчност елимнационното време на полуживот е удължено и е около 14 часа.</w:t>
      </w:r>
    </w:p>
    <w:p w14:paraId="6DE5C8B4" w14:textId="767ABF84" w:rsidR="00D37D81" w:rsidRPr="00D37D81" w:rsidRDefault="00D37D81" w:rsidP="00D37D81">
      <w:pPr>
        <w:rPr>
          <w:rFonts w:eastAsia="Times New Roman" w:cs="Arial"/>
          <w:color w:val="000000"/>
          <w:lang w:eastAsia="bg-BG"/>
        </w:rPr>
      </w:pPr>
      <w:r w:rsidRPr="00D37D81">
        <w:rPr>
          <w:rFonts w:eastAsia="Times New Roman" w:cs="Arial"/>
          <w:color w:val="000000"/>
          <w:lang w:eastAsia="bg-BG"/>
        </w:rPr>
        <w:t>Цефтриаксон не се диализира. Това също се отнася и за перитонеална диализа и хемофилтрация</w:t>
      </w:r>
    </w:p>
    <w:p w14:paraId="5E1217BF" w14:textId="77777777" w:rsidR="00D37D81" w:rsidRPr="00D37D81" w:rsidRDefault="00D37D81" w:rsidP="00D37D81">
      <w:pPr>
        <w:rPr>
          <w:rFonts w:cs="Arial"/>
          <w:lang w:val="ru-RU"/>
        </w:rPr>
      </w:pPr>
    </w:p>
    <w:p w14:paraId="028E658A" w14:textId="66266C32" w:rsidR="00395555" w:rsidRDefault="002C50EE" w:rsidP="008A6AF2">
      <w:pPr>
        <w:pStyle w:val="Heading2"/>
      </w:pPr>
      <w:r>
        <w:t>5.3. Предклинични данни за безопасност</w:t>
      </w:r>
    </w:p>
    <w:p w14:paraId="6B11B74B" w14:textId="21B19F20" w:rsidR="00D37D81" w:rsidRDefault="00D37D81" w:rsidP="00D37D81"/>
    <w:p w14:paraId="0C055985" w14:textId="77777777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lang w:eastAsia="bg-BG"/>
        </w:rPr>
        <w:t>Предклиничните данни доказват липсата на специални допълнителни рискове при хора, освен вече дискутираните в настоящата кратка характеристика на продукта. Тези данни се базират на конвенционални изследвания за определянето на безопасността, токсичността при многократно приложение, на генотоксичностга и репродуктивната токсичност.</w:t>
      </w:r>
    </w:p>
    <w:p w14:paraId="78A8B79A" w14:textId="77777777" w:rsidR="00D37D81" w:rsidRDefault="00D37D81" w:rsidP="00D37D8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447EE40" w14:textId="26A08F5D" w:rsidR="00D37D81" w:rsidRPr="00D37D81" w:rsidRDefault="00D37D81" w:rsidP="00D37D81">
      <w:pPr>
        <w:spacing w:line="240" w:lineRule="auto"/>
        <w:rPr>
          <w:rFonts w:eastAsia="Times New Roman" w:cs="Arial"/>
        </w:rPr>
      </w:pPr>
      <w:r w:rsidRPr="00D37D81">
        <w:rPr>
          <w:rFonts w:eastAsia="Times New Roman" w:cs="Arial"/>
          <w:color w:val="000000"/>
          <w:u w:val="single"/>
          <w:lang w:eastAsia="bg-BG"/>
        </w:rPr>
        <w:t>Интрамускулно приложение:</w:t>
      </w:r>
    </w:p>
    <w:p w14:paraId="3632513D" w14:textId="4FA74C7E" w:rsidR="00D37D81" w:rsidRDefault="00D37D81" w:rsidP="00D37D81">
      <w:pPr>
        <w:rPr>
          <w:rFonts w:eastAsia="Times New Roman" w:cs="Arial"/>
          <w:color w:val="000000"/>
          <w:lang w:eastAsia="bg-BG"/>
        </w:rPr>
      </w:pPr>
      <w:r w:rsidRPr="00D37D81">
        <w:rPr>
          <w:rFonts w:eastAsia="Times New Roman" w:cs="Arial"/>
          <w:color w:val="000000"/>
          <w:lang w:eastAsia="bg-BG"/>
        </w:rPr>
        <w:t>Вижте продуктовата информация на лидокаиновите разтвори.</w:t>
      </w:r>
    </w:p>
    <w:p w14:paraId="602E5118" w14:textId="77777777" w:rsidR="00D37D81" w:rsidRPr="00D37D81" w:rsidRDefault="00D37D81" w:rsidP="00D37D81"/>
    <w:p w14:paraId="6A7820AB" w14:textId="7B988075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24850FE7" w14:textId="1FBFCD16" w:rsidR="00D37D81" w:rsidRDefault="00D37D81" w:rsidP="00D37D81"/>
    <w:p w14:paraId="7B020E80" w14:textId="77777777" w:rsidR="00D37D81" w:rsidRPr="00D37D81" w:rsidRDefault="00D37D81" w:rsidP="00D37D81">
      <w:pPr>
        <w:rPr>
          <w:sz w:val="24"/>
          <w:szCs w:val="24"/>
          <w:lang w:val="en-US"/>
        </w:rPr>
      </w:pPr>
      <w:r w:rsidRPr="00D37D81">
        <w:rPr>
          <w:lang w:val="en-US"/>
        </w:rPr>
        <w:t>MIP Pharma GmbH</w:t>
      </w:r>
    </w:p>
    <w:p w14:paraId="18F33DD0" w14:textId="77777777" w:rsidR="00D37D81" w:rsidRPr="00D37D81" w:rsidRDefault="00D37D81" w:rsidP="00D37D81">
      <w:pPr>
        <w:rPr>
          <w:sz w:val="24"/>
          <w:szCs w:val="24"/>
          <w:lang w:val="en-US"/>
        </w:rPr>
      </w:pPr>
      <w:proofErr w:type="spellStart"/>
      <w:r w:rsidRPr="00D37D81">
        <w:rPr>
          <w:lang w:val="en-US"/>
        </w:rPr>
        <w:t>Kirkeler</w:t>
      </w:r>
      <w:proofErr w:type="spellEnd"/>
      <w:r w:rsidRPr="00D37D81">
        <w:rPr>
          <w:lang w:val="en-US"/>
        </w:rPr>
        <w:t xml:space="preserve"> </w:t>
      </w:r>
      <w:proofErr w:type="spellStart"/>
      <w:r w:rsidRPr="00D37D81">
        <w:rPr>
          <w:lang w:val="en-US"/>
        </w:rPr>
        <w:t>Strasse</w:t>
      </w:r>
      <w:proofErr w:type="spellEnd"/>
      <w:r w:rsidRPr="00D37D81">
        <w:rPr>
          <w:lang w:val="en-US"/>
        </w:rPr>
        <w:t xml:space="preserve"> 41</w:t>
      </w:r>
    </w:p>
    <w:p w14:paraId="46970B09" w14:textId="77777777" w:rsidR="00D37D81" w:rsidRPr="00D37D81" w:rsidRDefault="00D37D81" w:rsidP="00D37D81">
      <w:pPr>
        <w:rPr>
          <w:sz w:val="24"/>
          <w:szCs w:val="24"/>
          <w:lang w:val="en-US"/>
        </w:rPr>
      </w:pPr>
      <w:r w:rsidRPr="00D37D81">
        <w:rPr>
          <w:lang w:val="en-US"/>
        </w:rPr>
        <w:t xml:space="preserve">D-66440 </w:t>
      </w:r>
      <w:proofErr w:type="spellStart"/>
      <w:r w:rsidRPr="00D37D81">
        <w:rPr>
          <w:lang w:val="en-US"/>
        </w:rPr>
        <w:t>Blieskastel-Niederwurzbach</w:t>
      </w:r>
      <w:proofErr w:type="spellEnd"/>
    </w:p>
    <w:p w14:paraId="2B8F3422" w14:textId="77777777" w:rsidR="00D37D81" w:rsidRPr="00D37D81" w:rsidRDefault="00D37D81" w:rsidP="00D37D81">
      <w:pPr>
        <w:rPr>
          <w:sz w:val="24"/>
          <w:szCs w:val="24"/>
          <w:lang w:val="en-US"/>
        </w:rPr>
      </w:pPr>
      <w:r w:rsidRPr="00D37D81">
        <w:rPr>
          <w:lang w:eastAsia="bg-BG"/>
        </w:rPr>
        <w:t>Германия</w:t>
      </w:r>
    </w:p>
    <w:p w14:paraId="1C2B995D" w14:textId="77777777" w:rsidR="00D37D81" w:rsidRPr="00D37D81" w:rsidRDefault="00D37D81" w:rsidP="00D37D81"/>
    <w:p w14:paraId="04840D59" w14:textId="2FCFCA5A" w:rsidR="002C50EE" w:rsidRDefault="002C50EE" w:rsidP="00395555">
      <w:pPr>
        <w:pStyle w:val="Heading1"/>
      </w:pPr>
      <w:r>
        <w:lastRenderedPageBreak/>
        <w:t>8. НОМЕР НА РАЗРЕШЕНИЕТО ЗА УПОТРЕБА</w:t>
      </w:r>
    </w:p>
    <w:p w14:paraId="5192BBE8" w14:textId="053F8BA0" w:rsidR="00D37D81" w:rsidRDefault="00D37D81" w:rsidP="00D37D81"/>
    <w:p w14:paraId="7FC2C330" w14:textId="77777777" w:rsidR="00D37D81" w:rsidRPr="00D37D81" w:rsidRDefault="00D37D81" w:rsidP="00D37D81">
      <w:pPr>
        <w:rPr>
          <w:sz w:val="24"/>
          <w:szCs w:val="24"/>
        </w:rPr>
      </w:pPr>
      <w:r w:rsidRPr="00D37D81">
        <w:rPr>
          <w:lang w:eastAsia="bg-BG"/>
        </w:rPr>
        <w:t>Регистрационен № 20060761</w:t>
      </w:r>
    </w:p>
    <w:p w14:paraId="71DC3284" w14:textId="77777777" w:rsidR="00D37D81" w:rsidRPr="00D37D81" w:rsidRDefault="00D37D81" w:rsidP="00D37D81"/>
    <w:p w14:paraId="2CCB5832" w14:textId="6DC70FC1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5EDDFDB7" w14:textId="055B4EF1" w:rsidR="00D37D81" w:rsidRPr="00D37D81" w:rsidRDefault="00D37D81" w:rsidP="00D37D81"/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23D712D1" w:rsidR="007C605B" w:rsidRPr="003E3126" w:rsidRDefault="00D37D81" w:rsidP="00D37D81">
      <w:r>
        <w:t>04/2017</w:t>
      </w:r>
      <w:bookmarkStart w:id="7" w:name="_GoBack"/>
      <w:bookmarkEnd w:id="7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1055F"/>
    <w:multiLevelType w:val="hybridMultilevel"/>
    <w:tmpl w:val="972878D2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05EDD"/>
    <w:multiLevelType w:val="multilevel"/>
    <w:tmpl w:val="29CCF0B2"/>
    <w:lvl w:ilvl="0">
      <w:start w:val="4"/>
      <w:numFmt w:val="bullet"/>
      <w:lvlText w:val="-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30"/>
  </w:num>
  <w:num w:numId="12">
    <w:abstractNumId w:val="13"/>
  </w:num>
  <w:num w:numId="13">
    <w:abstractNumId w:val="19"/>
  </w:num>
  <w:num w:numId="14">
    <w:abstractNumId w:val="11"/>
  </w:num>
  <w:num w:numId="15">
    <w:abstractNumId w:val="29"/>
  </w:num>
  <w:num w:numId="16">
    <w:abstractNumId w:val="9"/>
  </w:num>
  <w:num w:numId="17">
    <w:abstractNumId w:val="24"/>
  </w:num>
  <w:num w:numId="18">
    <w:abstractNumId w:val="7"/>
  </w:num>
  <w:num w:numId="19">
    <w:abstractNumId w:val="27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1"/>
  </w:num>
  <w:num w:numId="28">
    <w:abstractNumId w:val="6"/>
  </w:num>
  <w:num w:numId="29">
    <w:abstractNumId w:val="20"/>
  </w:num>
  <w:num w:numId="30">
    <w:abstractNumId w:val="32"/>
  </w:num>
  <w:num w:numId="31">
    <w:abstractNumId w:val="5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298D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37D81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4232</Words>
  <Characters>24124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2022-01-19T12:45:00Z</dcterms:created>
  <dcterms:modified xsi:type="dcterms:W3CDTF">2022-01-19T12:45:00Z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