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1E4ADC46" w14:textId="77777777" w:rsidR="00B25626" w:rsidRPr="00B25626" w:rsidRDefault="00B25626" w:rsidP="00B25626">
      <w:pPr>
        <w:spacing w:line="240" w:lineRule="auto"/>
        <w:rPr>
          <w:rFonts w:eastAsia="Times New Roman" w:cs="Arial"/>
          <w:sz w:val="24"/>
          <w:szCs w:val="24"/>
          <w:lang w:val="en-US" w:eastAsia="bg-BG"/>
        </w:rPr>
      </w:pPr>
      <w:r w:rsidRPr="00B25626">
        <w:rPr>
          <w:rFonts w:eastAsia="Times New Roman" w:cs="Arial"/>
          <w:color w:val="000000"/>
          <w:lang w:eastAsia="bg-BG"/>
        </w:rPr>
        <w:t>Цефуроксим-М</w:t>
      </w:r>
      <w:r w:rsidRPr="00B25626">
        <w:rPr>
          <w:rFonts w:eastAsia="Times New Roman" w:cs="Arial"/>
          <w:color w:val="000000"/>
          <w:lang w:val="en-US"/>
        </w:rPr>
        <w:t>I</w:t>
      </w:r>
      <w:r w:rsidRPr="00B25626">
        <w:rPr>
          <w:rFonts w:eastAsia="Times New Roman" w:cs="Arial"/>
          <w:color w:val="000000"/>
          <w:lang w:eastAsia="bg-BG"/>
        </w:rPr>
        <w:t xml:space="preserve">Р 1500 </w:t>
      </w:r>
      <w:r w:rsidRPr="00B25626">
        <w:rPr>
          <w:rFonts w:eastAsia="Times New Roman" w:cs="Arial"/>
          <w:color w:val="000000"/>
          <w:lang w:val="en-US"/>
        </w:rPr>
        <w:t xml:space="preserve">mg </w:t>
      </w:r>
      <w:r w:rsidRPr="00B25626">
        <w:rPr>
          <w:rFonts w:eastAsia="Times New Roman" w:cs="Arial"/>
          <w:color w:val="000000"/>
          <w:lang w:eastAsia="bg-BG"/>
        </w:rPr>
        <w:t>прах за инжекционен разтвор</w:t>
      </w:r>
    </w:p>
    <w:p w14:paraId="69AC8148" w14:textId="38F13E19" w:rsidR="00EC41ED" w:rsidRPr="00B25626" w:rsidRDefault="00B25626" w:rsidP="00B25626">
      <w:pPr>
        <w:rPr>
          <w:rFonts w:cs="Arial"/>
        </w:rPr>
      </w:pPr>
      <w:proofErr w:type="spellStart"/>
      <w:r w:rsidRPr="00B25626">
        <w:rPr>
          <w:rFonts w:eastAsia="Times New Roman" w:cs="Arial"/>
          <w:color w:val="000000"/>
          <w:lang w:val="en-US"/>
        </w:rPr>
        <w:t>Cefuroxim</w:t>
      </w:r>
      <w:proofErr w:type="spellEnd"/>
      <w:r w:rsidRPr="00B25626">
        <w:rPr>
          <w:rFonts w:eastAsia="Times New Roman" w:cs="Arial"/>
          <w:color w:val="000000"/>
          <w:lang w:val="en-US"/>
        </w:rPr>
        <w:t xml:space="preserve">-MIP </w:t>
      </w:r>
      <w:r w:rsidRPr="00B25626">
        <w:rPr>
          <w:rFonts w:eastAsia="Times New Roman" w:cs="Arial"/>
          <w:color w:val="000000"/>
          <w:lang w:eastAsia="bg-BG"/>
        </w:rPr>
        <w:t xml:space="preserve">1500 </w:t>
      </w:r>
      <w:r w:rsidRPr="00B25626">
        <w:rPr>
          <w:rFonts w:eastAsia="Times New Roman" w:cs="Arial"/>
          <w:color w:val="000000"/>
          <w:lang w:val="en-US"/>
        </w:rPr>
        <w:t>mg powder for solution for injection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46EE9D84" w14:textId="77777777"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 xml:space="preserve">Един флакон Цефуроксим-М1Р 1500 </w:t>
      </w:r>
      <w:r w:rsidRPr="00B25626">
        <w:rPr>
          <w:rFonts w:eastAsia="Times New Roman" w:cs="Arial"/>
          <w:color w:val="000000"/>
          <w:lang w:val="en-US"/>
        </w:rPr>
        <w:t xml:space="preserve">mg </w:t>
      </w:r>
      <w:r w:rsidRPr="00B25626">
        <w:rPr>
          <w:rFonts w:eastAsia="Times New Roman" w:cs="Arial"/>
          <w:color w:val="000000"/>
          <w:lang w:eastAsia="bg-BG"/>
        </w:rPr>
        <w:t xml:space="preserve">съдържа 1 578 </w:t>
      </w:r>
      <w:r w:rsidRPr="00B25626">
        <w:rPr>
          <w:rFonts w:eastAsia="Times New Roman" w:cs="Arial"/>
          <w:color w:val="000000"/>
          <w:lang w:val="en-US"/>
        </w:rPr>
        <w:t xml:space="preserve">mg </w:t>
      </w:r>
      <w:r w:rsidRPr="00B25626">
        <w:rPr>
          <w:rFonts w:eastAsia="Times New Roman" w:cs="Arial"/>
          <w:color w:val="000000"/>
          <w:lang w:eastAsia="bg-BG"/>
        </w:rPr>
        <w:t xml:space="preserve">цефуроксим натрий, съответстващ на 1 500 </w:t>
      </w:r>
      <w:r w:rsidRPr="00B25626">
        <w:rPr>
          <w:rFonts w:eastAsia="Times New Roman" w:cs="Arial"/>
          <w:color w:val="000000"/>
          <w:lang w:val="en-US"/>
        </w:rPr>
        <w:t xml:space="preserve">mg </w:t>
      </w:r>
      <w:r w:rsidRPr="00B25626">
        <w:rPr>
          <w:rFonts w:eastAsia="Times New Roman" w:cs="Arial"/>
          <w:color w:val="000000"/>
          <w:lang w:eastAsia="bg-BG"/>
        </w:rPr>
        <w:t xml:space="preserve">цефуроксим </w:t>
      </w:r>
      <w:r w:rsidRPr="00B25626">
        <w:rPr>
          <w:rFonts w:eastAsia="Times New Roman" w:cs="Arial"/>
          <w:i/>
          <w:iCs/>
          <w:color w:val="000000"/>
          <w:lang w:val="en-US"/>
        </w:rPr>
        <w:t>(cefuroxime).</w:t>
      </w:r>
    </w:p>
    <w:p w14:paraId="7A869C9F" w14:textId="77777777" w:rsidR="00B25626" w:rsidRPr="00B25626" w:rsidRDefault="00B25626" w:rsidP="00B25626">
      <w:pPr>
        <w:spacing w:line="240" w:lineRule="auto"/>
        <w:rPr>
          <w:rFonts w:eastAsia="Times New Roman" w:cs="Arial"/>
          <w:color w:val="000000"/>
          <w:lang w:eastAsia="bg-BG"/>
        </w:rPr>
      </w:pPr>
    </w:p>
    <w:p w14:paraId="4B1DB1D6" w14:textId="198766FC"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 xml:space="preserve">Всеки флакон съдържа 83 </w:t>
      </w:r>
      <w:r w:rsidRPr="00B25626">
        <w:rPr>
          <w:rFonts w:eastAsia="Times New Roman" w:cs="Arial"/>
          <w:color w:val="000000"/>
          <w:lang w:val="en-US"/>
        </w:rPr>
        <w:t xml:space="preserve">mg </w:t>
      </w:r>
      <w:r w:rsidRPr="00B25626">
        <w:rPr>
          <w:rFonts w:eastAsia="Times New Roman" w:cs="Arial"/>
          <w:color w:val="000000"/>
          <w:lang w:eastAsia="bg-BG"/>
        </w:rPr>
        <w:t xml:space="preserve">натрий за доза от 1 500 </w:t>
      </w:r>
      <w:r w:rsidRPr="00B25626">
        <w:rPr>
          <w:rFonts w:eastAsia="Times New Roman" w:cs="Arial"/>
          <w:color w:val="000000"/>
          <w:lang w:val="en-US"/>
        </w:rPr>
        <w:t>mg.</w:t>
      </w:r>
    </w:p>
    <w:p w14:paraId="54632B43" w14:textId="4D3C3343" w:rsidR="00EC41ED" w:rsidRPr="00B25626" w:rsidRDefault="00B25626" w:rsidP="00B25626">
      <w:pPr>
        <w:rPr>
          <w:rFonts w:cs="Arial"/>
        </w:rPr>
      </w:pPr>
      <w:r w:rsidRPr="00B25626">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163F3D10" w14:textId="77777777" w:rsidR="00B25626" w:rsidRPr="00B25626" w:rsidRDefault="00B25626" w:rsidP="0091385D">
      <w:pPr>
        <w:rPr>
          <w:rFonts w:cs="Arial"/>
        </w:rPr>
      </w:pPr>
      <w:r w:rsidRPr="00B25626">
        <w:rPr>
          <w:rFonts w:cs="Arial"/>
        </w:rPr>
        <w:t xml:space="preserve">Прах за инжекционен разтвор </w:t>
      </w:r>
    </w:p>
    <w:p w14:paraId="743244F0" w14:textId="40C8F485" w:rsidR="00EC41ED" w:rsidRPr="00B25626" w:rsidRDefault="00B25626" w:rsidP="0091385D">
      <w:pPr>
        <w:rPr>
          <w:rFonts w:cs="Arial"/>
        </w:rPr>
      </w:pPr>
      <w:r>
        <w:rPr>
          <w:rFonts w:cs="Arial"/>
        </w:rPr>
        <w:t>Бял до бледожълт прах.</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62A329B" w14:textId="77777777"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Цефуроксим</w:t>
      </w:r>
      <w:r w:rsidRPr="00B25626">
        <w:rPr>
          <w:rFonts w:eastAsia="Times New Roman" w:cs="Arial"/>
          <w:color w:val="000000"/>
          <w:lang w:val="en-US"/>
        </w:rPr>
        <w:t xml:space="preserve">-MIP </w:t>
      </w:r>
      <w:r w:rsidRPr="00B25626">
        <w:rPr>
          <w:rFonts w:eastAsia="Times New Roman" w:cs="Arial"/>
          <w:color w:val="000000"/>
          <w:lang w:eastAsia="bg-BG"/>
        </w:rPr>
        <w:t>е показан за лечение на изброените по-долу инфекции при възрастни и деца, включително новородени (от раждането) (вж. точки 4.4 и 5.1).</w:t>
      </w:r>
    </w:p>
    <w:p w14:paraId="1724C8CD" w14:textId="77777777" w:rsidR="00B25626" w:rsidRPr="00B25626" w:rsidRDefault="00B25626" w:rsidP="00B25626">
      <w:pPr>
        <w:spacing w:line="240" w:lineRule="auto"/>
        <w:rPr>
          <w:rFonts w:eastAsia="Times New Roman" w:cs="Arial"/>
          <w:color w:val="000000"/>
          <w:lang w:eastAsia="bg-BG"/>
        </w:rPr>
      </w:pPr>
    </w:p>
    <w:p w14:paraId="7BE45838" w14:textId="2990128F" w:rsidR="00B25626" w:rsidRPr="00B25626" w:rsidRDefault="00B25626" w:rsidP="00B25626">
      <w:pPr>
        <w:spacing w:line="240" w:lineRule="auto"/>
        <w:rPr>
          <w:rFonts w:eastAsia="Times New Roman" w:cs="Arial"/>
          <w:color w:val="000000"/>
          <w:lang w:eastAsia="bg-BG"/>
        </w:rPr>
      </w:pPr>
      <w:r w:rsidRPr="00B25626">
        <w:rPr>
          <w:rFonts w:eastAsia="Times New Roman" w:cs="Arial"/>
          <w:color w:val="000000"/>
          <w:lang w:eastAsia="bg-BG"/>
        </w:rPr>
        <w:t>Пневмония, придобита в обществото</w:t>
      </w:r>
    </w:p>
    <w:p w14:paraId="02195C7A" w14:textId="77777777" w:rsidR="00B25626" w:rsidRPr="00B25626" w:rsidRDefault="00B25626" w:rsidP="00B25626">
      <w:pPr>
        <w:numPr>
          <w:ilvl w:val="0"/>
          <w:numId w:val="2"/>
        </w:numPr>
        <w:spacing w:line="240" w:lineRule="auto"/>
        <w:rPr>
          <w:rFonts w:eastAsia="Times New Roman" w:cs="Arial"/>
          <w:color w:val="000000"/>
          <w:lang w:eastAsia="bg-BG"/>
        </w:rPr>
      </w:pPr>
      <w:r w:rsidRPr="00B25626">
        <w:rPr>
          <w:rFonts w:eastAsia="Times New Roman" w:cs="Arial"/>
          <w:color w:val="000000"/>
          <w:lang w:eastAsia="bg-BG"/>
        </w:rPr>
        <w:t>Остри екзацербации на хроничен бронхит</w:t>
      </w:r>
    </w:p>
    <w:p w14:paraId="21FD58D0" w14:textId="77777777" w:rsidR="00B25626" w:rsidRPr="00B25626" w:rsidRDefault="00B25626" w:rsidP="00B25626">
      <w:pPr>
        <w:numPr>
          <w:ilvl w:val="0"/>
          <w:numId w:val="2"/>
        </w:numPr>
        <w:spacing w:line="240" w:lineRule="auto"/>
        <w:rPr>
          <w:rFonts w:eastAsia="Times New Roman" w:cs="Arial"/>
          <w:color w:val="000000"/>
          <w:lang w:eastAsia="bg-BG"/>
        </w:rPr>
      </w:pPr>
      <w:r w:rsidRPr="00B25626">
        <w:rPr>
          <w:rFonts w:eastAsia="Times New Roman" w:cs="Arial"/>
          <w:color w:val="000000"/>
          <w:lang w:eastAsia="bg-BG"/>
        </w:rPr>
        <w:t>Усложнени инфекции на пикочните пътища, включително пиелонефрит</w:t>
      </w:r>
    </w:p>
    <w:p w14:paraId="0F44E8A7" w14:textId="77777777" w:rsidR="00B25626" w:rsidRPr="00B25626" w:rsidRDefault="00B25626" w:rsidP="00B25626">
      <w:pPr>
        <w:numPr>
          <w:ilvl w:val="0"/>
          <w:numId w:val="2"/>
        </w:numPr>
        <w:spacing w:line="240" w:lineRule="auto"/>
        <w:rPr>
          <w:rFonts w:eastAsia="Times New Roman" w:cs="Arial"/>
          <w:color w:val="000000"/>
          <w:lang w:eastAsia="bg-BG"/>
        </w:rPr>
      </w:pPr>
      <w:r w:rsidRPr="00B25626">
        <w:rPr>
          <w:rFonts w:eastAsia="Times New Roman" w:cs="Arial"/>
          <w:color w:val="000000"/>
          <w:lang w:eastAsia="bg-BG"/>
        </w:rPr>
        <w:t>Инфекции на меките тъкани: целулит, еризипел и раневи инфекции</w:t>
      </w:r>
    </w:p>
    <w:p w14:paraId="619E04EA" w14:textId="77777777" w:rsidR="00B25626" w:rsidRPr="00B25626" w:rsidRDefault="00B25626" w:rsidP="00B25626">
      <w:pPr>
        <w:numPr>
          <w:ilvl w:val="0"/>
          <w:numId w:val="2"/>
        </w:numPr>
        <w:spacing w:line="240" w:lineRule="auto"/>
        <w:rPr>
          <w:rFonts w:eastAsia="Times New Roman" w:cs="Arial"/>
          <w:color w:val="000000"/>
          <w:lang w:eastAsia="bg-BG"/>
        </w:rPr>
      </w:pPr>
      <w:r w:rsidRPr="00B25626">
        <w:rPr>
          <w:rFonts w:eastAsia="Times New Roman" w:cs="Arial"/>
          <w:color w:val="000000"/>
          <w:lang w:eastAsia="bg-BG"/>
        </w:rPr>
        <w:t>Вътрекоремни инфекции (вж. точка 4.4)</w:t>
      </w:r>
    </w:p>
    <w:p w14:paraId="062F7255" w14:textId="77777777" w:rsidR="00B25626" w:rsidRPr="00B25626" w:rsidRDefault="00B25626" w:rsidP="00B25626">
      <w:pPr>
        <w:numPr>
          <w:ilvl w:val="0"/>
          <w:numId w:val="2"/>
        </w:numPr>
        <w:spacing w:line="240" w:lineRule="auto"/>
        <w:rPr>
          <w:rFonts w:eastAsia="Times New Roman" w:cs="Arial"/>
          <w:color w:val="000000"/>
          <w:lang w:eastAsia="bg-BG"/>
        </w:rPr>
      </w:pPr>
      <w:r w:rsidRPr="00B25626">
        <w:rPr>
          <w:rFonts w:eastAsia="Times New Roman" w:cs="Arial"/>
          <w:color w:val="000000"/>
          <w:lang w:eastAsia="bg-BG"/>
        </w:rPr>
        <w:t>Профилактика срещу инфекции при гастроинтестинална (включително хранопровода), ортопедична, сърдечно-съдова и гинекологична хирургична операция (включително цезарово сечение)</w:t>
      </w:r>
    </w:p>
    <w:p w14:paraId="7753C398" w14:textId="77777777" w:rsidR="00B25626" w:rsidRPr="00B25626" w:rsidRDefault="00B25626" w:rsidP="00B25626">
      <w:pPr>
        <w:spacing w:line="240" w:lineRule="auto"/>
        <w:rPr>
          <w:rFonts w:eastAsia="Times New Roman" w:cs="Arial"/>
          <w:color w:val="000000"/>
          <w:lang w:eastAsia="bg-BG"/>
        </w:rPr>
      </w:pPr>
    </w:p>
    <w:p w14:paraId="6541DAE1" w14:textId="79381392"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За лечение и профилактика на инфекции, при които има голяма вероятност за наличие на анаероби, цефуроксим трябва да се прилага с допълнителни подходящи антибактериални средства.</w:t>
      </w:r>
    </w:p>
    <w:p w14:paraId="48A9C647" w14:textId="77777777" w:rsidR="00B25626" w:rsidRPr="00B25626" w:rsidRDefault="00B25626" w:rsidP="00B25626">
      <w:pPr>
        <w:rPr>
          <w:rFonts w:eastAsia="Times New Roman" w:cs="Arial"/>
          <w:color w:val="000000"/>
          <w:lang w:eastAsia="bg-BG"/>
        </w:rPr>
      </w:pPr>
    </w:p>
    <w:p w14:paraId="6DFA4B9D" w14:textId="63838C49" w:rsidR="0091385D" w:rsidRPr="00B25626" w:rsidRDefault="00B25626" w:rsidP="00B25626">
      <w:pPr>
        <w:rPr>
          <w:rFonts w:cs="Arial"/>
        </w:rPr>
      </w:pPr>
      <w:r w:rsidRPr="00B25626">
        <w:rPr>
          <w:rFonts w:eastAsia="Times New Roman" w:cs="Arial"/>
          <w:color w:val="000000"/>
          <w:lang w:eastAsia="bg-BG"/>
        </w:rPr>
        <w:lastRenderedPageBreak/>
        <w:t>Трябва да се вземат предвид официалните насоки за правилната употреба на антибактериални средства.</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FBF1BCE" w14:textId="6B848584" w:rsidR="00EC41ED" w:rsidRPr="00B25626" w:rsidRDefault="00B25626" w:rsidP="00B25626">
      <w:pPr>
        <w:pStyle w:val="Heading3"/>
        <w:rPr>
          <w:u w:val="single"/>
        </w:rPr>
      </w:pPr>
      <w:r w:rsidRPr="00B25626">
        <w:rPr>
          <w:u w:val="single"/>
        </w:rPr>
        <w:t>Дозировка</w:t>
      </w:r>
    </w:p>
    <w:p w14:paraId="5602F99C" w14:textId="4B2EBBCC" w:rsidR="00B25626" w:rsidRDefault="00B25626" w:rsidP="0091385D">
      <w:pPr>
        <w:rPr>
          <w:u w:val="single"/>
        </w:rPr>
      </w:pPr>
    </w:p>
    <w:p w14:paraId="5AE7710D" w14:textId="4627172C" w:rsidR="00B25626" w:rsidRDefault="00B25626" w:rsidP="0091385D">
      <w:pPr>
        <w:rPr>
          <w:i/>
          <w:iCs/>
          <w:lang w:val="en-US"/>
        </w:rPr>
      </w:pPr>
      <w:r>
        <w:rPr>
          <w:i/>
          <w:iCs/>
        </w:rPr>
        <w:t xml:space="preserve">Таблица 1. Възрастни и деца &gt; 40 </w:t>
      </w:r>
      <w:r>
        <w:rPr>
          <w:i/>
          <w:iCs/>
          <w:lang w:val="en-US"/>
        </w:rPr>
        <w:t>kg</w:t>
      </w:r>
    </w:p>
    <w:tbl>
      <w:tblPr>
        <w:tblStyle w:val="TableGrid"/>
        <w:tblW w:w="0" w:type="auto"/>
        <w:tblLook w:val="04A0" w:firstRow="1" w:lastRow="0" w:firstColumn="1" w:lastColumn="0" w:noHBand="0" w:noVBand="1"/>
      </w:tblPr>
      <w:tblGrid>
        <w:gridCol w:w="4675"/>
        <w:gridCol w:w="4675"/>
      </w:tblGrid>
      <w:tr w:rsidR="00B25626" w14:paraId="7A4160D8" w14:textId="77777777" w:rsidTr="00B25626">
        <w:tc>
          <w:tcPr>
            <w:tcW w:w="4675" w:type="dxa"/>
          </w:tcPr>
          <w:p w14:paraId="1A95AFE8" w14:textId="48BDFB8E" w:rsidR="00B25626" w:rsidRDefault="00B25626" w:rsidP="00B25626">
            <w:r>
              <w:rPr>
                <w:b/>
                <w:bCs/>
              </w:rPr>
              <w:t>Показание</w:t>
            </w:r>
          </w:p>
        </w:tc>
        <w:tc>
          <w:tcPr>
            <w:tcW w:w="4675" w:type="dxa"/>
          </w:tcPr>
          <w:p w14:paraId="7B8A0DD3" w14:textId="3B68530C" w:rsidR="00B25626" w:rsidRDefault="00B25626" w:rsidP="00B25626">
            <w:r>
              <w:rPr>
                <w:b/>
                <w:bCs/>
              </w:rPr>
              <w:t>Доза</w:t>
            </w:r>
          </w:p>
        </w:tc>
      </w:tr>
      <w:tr w:rsidR="00B25626" w14:paraId="6DA6ECF8" w14:textId="77777777" w:rsidTr="00B25626">
        <w:tc>
          <w:tcPr>
            <w:tcW w:w="4675" w:type="dxa"/>
          </w:tcPr>
          <w:p w14:paraId="392D2EC9" w14:textId="2C46D2BF" w:rsidR="00B25626" w:rsidRDefault="00B25626" w:rsidP="00B25626">
            <w:r>
              <w:t>Пневмония, придобита в обществото, и остри екзацербации на хроничен бронхит</w:t>
            </w:r>
          </w:p>
        </w:tc>
        <w:tc>
          <w:tcPr>
            <w:tcW w:w="4675" w:type="dxa"/>
          </w:tcPr>
          <w:p w14:paraId="340FA5A1" w14:textId="77777777" w:rsidR="00B25626" w:rsidRDefault="00B25626" w:rsidP="00B25626">
            <w:r>
              <w:t xml:space="preserve">750 </w:t>
            </w:r>
            <w:r>
              <w:rPr>
                <w:lang w:val="en-US"/>
              </w:rPr>
              <w:t xml:space="preserve">mg </w:t>
            </w:r>
            <w:r>
              <w:t>на всеки 8 час</w:t>
            </w:r>
            <w:r>
              <w:rPr>
                <w:lang w:val="en-US"/>
              </w:rPr>
              <w:t>a</w:t>
            </w:r>
          </w:p>
          <w:p w14:paraId="1568B9A7" w14:textId="5751ECD3" w:rsidR="00B25626" w:rsidRDefault="00B25626" w:rsidP="00B25626">
            <w:r>
              <w:t>(интравенозно или интрамускулно)</w:t>
            </w:r>
          </w:p>
        </w:tc>
      </w:tr>
      <w:tr w:rsidR="00B25626" w14:paraId="5D219950" w14:textId="77777777" w:rsidTr="00B25626">
        <w:tc>
          <w:tcPr>
            <w:tcW w:w="4675" w:type="dxa"/>
          </w:tcPr>
          <w:p w14:paraId="37DDD3DD" w14:textId="7CF74499" w:rsidR="00B25626" w:rsidRDefault="00B25626" w:rsidP="00B25626">
            <w:r>
              <w:t>Инфекции на меките тъкани: целулит, еризипел и раневи инфекции</w:t>
            </w:r>
          </w:p>
        </w:tc>
        <w:tc>
          <w:tcPr>
            <w:tcW w:w="4675" w:type="dxa"/>
          </w:tcPr>
          <w:p w14:paraId="5415A32B" w14:textId="77777777" w:rsidR="00B25626" w:rsidRDefault="00B25626" w:rsidP="00B25626"/>
        </w:tc>
      </w:tr>
      <w:tr w:rsidR="00B25626" w14:paraId="52EE85E6" w14:textId="77777777" w:rsidTr="00B25626">
        <w:tc>
          <w:tcPr>
            <w:tcW w:w="4675" w:type="dxa"/>
          </w:tcPr>
          <w:p w14:paraId="6D037318" w14:textId="350F9BA4" w:rsidR="00B25626" w:rsidRDefault="00B25626" w:rsidP="00B25626">
            <w:r>
              <w:t>Вътрекоремни инфекции</w:t>
            </w:r>
          </w:p>
        </w:tc>
        <w:tc>
          <w:tcPr>
            <w:tcW w:w="4675" w:type="dxa"/>
          </w:tcPr>
          <w:p w14:paraId="3863422D" w14:textId="77777777" w:rsidR="00B25626" w:rsidRDefault="00B25626" w:rsidP="00B25626"/>
        </w:tc>
      </w:tr>
      <w:tr w:rsidR="00B25626" w14:paraId="77B83548" w14:textId="77777777" w:rsidTr="00956EDB">
        <w:trPr>
          <w:trHeight w:val="810"/>
        </w:trPr>
        <w:tc>
          <w:tcPr>
            <w:tcW w:w="4675" w:type="dxa"/>
          </w:tcPr>
          <w:p w14:paraId="062812A3" w14:textId="77777777" w:rsidR="00B25626" w:rsidRDefault="00B25626" w:rsidP="00B25626">
            <w:r>
              <w:t>Усложнени инфекции на пикочните пътища,</w:t>
            </w:r>
          </w:p>
          <w:p w14:paraId="2393A252" w14:textId="4A5FBB40" w:rsidR="00B25626" w:rsidRDefault="00B25626" w:rsidP="00B25626">
            <w:r>
              <w:t>включително пиелонефрит</w:t>
            </w:r>
          </w:p>
        </w:tc>
        <w:tc>
          <w:tcPr>
            <w:tcW w:w="4675" w:type="dxa"/>
          </w:tcPr>
          <w:p w14:paraId="3AFB96CE" w14:textId="77777777" w:rsidR="00B25626" w:rsidRDefault="00B25626" w:rsidP="00B25626">
            <w:r>
              <w:t xml:space="preserve">1,5 </w:t>
            </w:r>
            <w:r>
              <w:rPr>
                <w:lang w:val="en-US"/>
              </w:rPr>
              <w:t xml:space="preserve">g </w:t>
            </w:r>
            <w:r>
              <w:t>на всеки 8 часа</w:t>
            </w:r>
          </w:p>
          <w:p w14:paraId="71C6EE7D" w14:textId="60D51E19" w:rsidR="00B25626" w:rsidRDefault="00B25626" w:rsidP="00B25626">
            <w:r>
              <w:t>(интравенозно или интрамускулно)</w:t>
            </w:r>
          </w:p>
        </w:tc>
      </w:tr>
      <w:tr w:rsidR="00B25626" w14:paraId="040BB7E4" w14:textId="77777777" w:rsidTr="00B25626">
        <w:tc>
          <w:tcPr>
            <w:tcW w:w="4675" w:type="dxa"/>
          </w:tcPr>
          <w:p w14:paraId="66DD7DB7" w14:textId="6F3A468A" w:rsidR="00B25626" w:rsidRDefault="00B25626" w:rsidP="00B25626">
            <w:r>
              <w:t>Тежки инфекции</w:t>
            </w:r>
          </w:p>
        </w:tc>
        <w:tc>
          <w:tcPr>
            <w:tcW w:w="4675" w:type="dxa"/>
          </w:tcPr>
          <w:p w14:paraId="29B100D7" w14:textId="77777777" w:rsidR="00B25626" w:rsidRDefault="00B25626" w:rsidP="00B25626">
            <w:r>
              <w:t xml:space="preserve">750 </w:t>
            </w:r>
            <w:r>
              <w:rPr>
                <w:lang w:val="en-US"/>
              </w:rPr>
              <w:t xml:space="preserve">mg </w:t>
            </w:r>
            <w:r>
              <w:t>на всеки 6 часа (интравенозно)</w:t>
            </w:r>
          </w:p>
          <w:p w14:paraId="5A2CCEF0" w14:textId="0679F061" w:rsidR="00B25626" w:rsidRDefault="00B25626" w:rsidP="00B25626">
            <w:r>
              <w:t xml:space="preserve">1,5 </w:t>
            </w:r>
            <w:r>
              <w:rPr>
                <w:lang w:val="en-US"/>
              </w:rPr>
              <w:t xml:space="preserve">g </w:t>
            </w:r>
            <w:r>
              <w:t>на всеки 8 часа (интравенозно)</w:t>
            </w:r>
          </w:p>
        </w:tc>
      </w:tr>
      <w:tr w:rsidR="00B25626" w14:paraId="69BC745B" w14:textId="77777777" w:rsidTr="00B25626">
        <w:tc>
          <w:tcPr>
            <w:tcW w:w="4675" w:type="dxa"/>
          </w:tcPr>
          <w:p w14:paraId="509A4C1E" w14:textId="0F077C87" w:rsidR="00B25626" w:rsidRDefault="00B25626" w:rsidP="00B25626">
            <w:r>
              <w:t>Хирургична профилактика при гастроинтестинални, гинекологични (включително цезарово сечение) и ортопедични операции</w:t>
            </w:r>
          </w:p>
        </w:tc>
        <w:tc>
          <w:tcPr>
            <w:tcW w:w="4675" w:type="dxa"/>
          </w:tcPr>
          <w:p w14:paraId="4A66EDC5" w14:textId="2D40FEDE" w:rsidR="00B25626" w:rsidRDefault="00B25626" w:rsidP="00B25626">
            <w:r>
              <w:t xml:space="preserve">1,5 </w:t>
            </w:r>
            <w:r>
              <w:rPr>
                <w:lang w:val="en-US"/>
              </w:rPr>
              <w:t xml:space="preserve">g </w:t>
            </w:r>
            <w:r>
              <w:t xml:space="preserve">при въвеждане в анестезия. Може да се приложат две допълнителни дози от 750 </w:t>
            </w:r>
            <w:r>
              <w:rPr>
                <w:lang w:val="en-US"/>
              </w:rPr>
              <w:t xml:space="preserve">mg </w:t>
            </w:r>
            <w:r>
              <w:t>(интрамускулно) след 8 и 16 часа.</w:t>
            </w:r>
          </w:p>
        </w:tc>
      </w:tr>
      <w:tr w:rsidR="00B25626" w14:paraId="108BEAC3" w14:textId="77777777" w:rsidTr="00B25626">
        <w:tc>
          <w:tcPr>
            <w:tcW w:w="4675" w:type="dxa"/>
          </w:tcPr>
          <w:p w14:paraId="7DC8C66F" w14:textId="317E4A7D" w:rsidR="00B25626" w:rsidRDefault="00B25626" w:rsidP="00B25626">
            <w:r>
              <w:t>Хирургична профилактика при сърдечно</w:t>
            </w:r>
            <w:r>
              <w:softHyphen/>
              <w:t>съдови и езофагеални операции</w:t>
            </w:r>
          </w:p>
        </w:tc>
        <w:tc>
          <w:tcPr>
            <w:tcW w:w="4675" w:type="dxa"/>
          </w:tcPr>
          <w:p w14:paraId="1A718870" w14:textId="54FC6DF5" w:rsidR="00B25626" w:rsidRDefault="00B25626" w:rsidP="00B25626">
            <w:r>
              <w:t xml:space="preserve">1,5 </w:t>
            </w:r>
            <w:r>
              <w:rPr>
                <w:lang w:val="en-US"/>
              </w:rPr>
              <w:t xml:space="preserve">g </w:t>
            </w:r>
            <w:r>
              <w:t xml:space="preserve">при въвеждане в анестезия, последвано от 750 </w:t>
            </w:r>
            <w:r>
              <w:rPr>
                <w:lang w:val="en-US"/>
              </w:rPr>
              <w:t xml:space="preserve">mg </w:t>
            </w:r>
            <w:r>
              <w:t>(интрамускулно) на всеки 8 часа за още 24 часа.</w:t>
            </w:r>
          </w:p>
        </w:tc>
      </w:tr>
    </w:tbl>
    <w:p w14:paraId="64B0C973" w14:textId="77777777" w:rsidR="00B25626" w:rsidRDefault="00B25626" w:rsidP="0091385D"/>
    <w:p w14:paraId="132F3111" w14:textId="75914F9E" w:rsidR="005B0F27" w:rsidRDefault="00B25626" w:rsidP="0091385D">
      <w:pPr>
        <w:rPr>
          <w:i/>
          <w:iCs/>
          <w:u w:val="single"/>
          <w:lang w:val="en-US"/>
        </w:rPr>
      </w:pPr>
      <w:r>
        <w:rPr>
          <w:i/>
          <w:iCs/>
          <w:u w:val="single"/>
        </w:rPr>
        <w:t xml:space="preserve">Таблица 2. Деца &lt; 40 </w:t>
      </w:r>
      <w:r>
        <w:rPr>
          <w:i/>
          <w:iCs/>
          <w:u w:val="single"/>
          <w:lang w:val="en-US"/>
        </w:rPr>
        <w:t>kg</w:t>
      </w:r>
    </w:p>
    <w:tbl>
      <w:tblPr>
        <w:tblStyle w:val="TableGrid"/>
        <w:tblW w:w="0" w:type="auto"/>
        <w:tblLook w:val="04A0" w:firstRow="1" w:lastRow="0" w:firstColumn="1" w:lastColumn="0" w:noHBand="0" w:noVBand="1"/>
      </w:tblPr>
      <w:tblGrid>
        <w:gridCol w:w="3116"/>
        <w:gridCol w:w="3117"/>
        <w:gridCol w:w="3117"/>
      </w:tblGrid>
      <w:tr w:rsidR="00B25626" w14:paraId="509CAEA7" w14:textId="77777777" w:rsidTr="00B25626">
        <w:tc>
          <w:tcPr>
            <w:tcW w:w="3116" w:type="dxa"/>
          </w:tcPr>
          <w:p w14:paraId="6E606551" w14:textId="77777777" w:rsidR="00B25626" w:rsidRDefault="00B25626" w:rsidP="00B25626"/>
        </w:tc>
        <w:tc>
          <w:tcPr>
            <w:tcW w:w="3117" w:type="dxa"/>
          </w:tcPr>
          <w:p w14:paraId="031BCF04" w14:textId="59DD0971" w:rsidR="00B25626" w:rsidRDefault="00B25626" w:rsidP="00B25626">
            <w:r>
              <w:rPr>
                <w:b/>
                <w:bCs/>
              </w:rPr>
              <w:t xml:space="preserve">Кърмачета и малки деца &gt; 3 седмици и деца &lt; 40 </w:t>
            </w:r>
            <w:r>
              <w:rPr>
                <w:b/>
                <w:bCs/>
                <w:lang w:val="en-US"/>
              </w:rPr>
              <w:t>kg</w:t>
            </w:r>
          </w:p>
        </w:tc>
        <w:tc>
          <w:tcPr>
            <w:tcW w:w="3117" w:type="dxa"/>
          </w:tcPr>
          <w:p w14:paraId="5CE176F0" w14:textId="0FC02C2A" w:rsidR="00B25626" w:rsidRDefault="00B25626" w:rsidP="00B25626">
            <w:r>
              <w:rPr>
                <w:b/>
                <w:bCs/>
              </w:rPr>
              <w:t>Кърмачета (от раждането до възраст 3 седмици)</w:t>
            </w:r>
          </w:p>
        </w:tc>
      </w:tr>
      <w:tr w:rsidR="00B25626" w14:paraId="5A6AFDD1" w14:textId="77777777" w:rsidTr="00B25626">
        <w:tc>
          <w:tcPr>
            <w:tcW w:w="3116" w:type="dxa"/>
          </w:tcPr>
          <w:p w14:paraId="25E528DE" w14:textId="30980E60" w:rsidR="00B25626" w:rsidRDefault="00B25626" w:rsidP="00B25626">
            <w:r>
              <w:t>Пневмония, придобита в обществото</w:t>
            </w:r>
          </w:p>
        </w:tc>
        <w:tc>
          <w:tcPr>
            <w:tcW w:w="3117" w:type="dxa"/>
            <w:vMerge w:val="restart"/>
          </w:tcPr>
          <w:p w14:paraId="635D8B36" w14:textId="5A6B0140" w:rsidR="00B25626" w:rsidRDefault="00B25626" w:rsidP="00B25626">
            <w:r>
              <w:t xml:space="preserve">30 до 100 </w:t>
            </w:r>
            <w:r>
              <w:rPr>
                <w:lang w:val="en-US"/>
              </w:rPr>
              <w:t>mg/kg</w:t>
            </w:r>
            <w:r>
              <w:t xml:space="preserve">/дневно (интравенозно), разделени на 3 или 4 дози; доза от 60 </w:t>
            </w:r>
            <w:r>
              <w:rPr>
                <w:lang w:val="en-US"/>
              </w:rPr>
              <w:t>mg/kg</w:t>
            </w:r>
            <w:r>
              <w:t>/дневно е подходяща за повечето инфекции</w:t>
            </w:r>
          </w:p>
        </w:tc>
        <w:tc>
          <w:tcPr>
            <w:tcW w:w="3117" w:type="dxa"/>
            <w:vMerge w:val="restart"/>
          </w:tcPr>
          <w:p w14:paraId="16B28A29" w14:textId="561BE4B7" w:rsidR="00B25626" w:rsidRDefault="00B25626" w:rsidP="00B25626">
            <w:r>
              <w:t xml:space="preserve">30 до 100 </w:t>
            </w:r>
            <w:r>
              <w:rPr>
                <w:lang w:val="en-US"/>
              </w:rPr>
              <w:t>mg/kg</w:t>
            </w:r>
            <w:r>
              <w:t>/дневно (интравенозно), разделени на 2 или 3 дози (вж. точка 5.2)</w:t>
            </w:r>
          </w:p>
        </w:tc>
      </w:tr>
      <w:tr w:rsidR="00B25626" w14:paraId="10ADA23C" w14:textId="77777777" w:rsidTr="00B25626">
        <w:tc>
          <w:tcPr>
            <w:tcW w:w="3116" w:type="dxa"/>
          </w:tcPr>
          <w:p w14:paraId="46C761C5" w14:textId="77777777" w:rsidR="00B25626" w:rsidRDefault="00B25626" w:rsidP="0091385D">
            <w:r>
              <w:t>Усложнени инфекции на пикочните пътища,</w:t>
            </w:r>
          </w:p>
          <w:p w14:paraId="55981A3C" w14:textId="41DA8403" w:rsidR="00B25626" w:rsidRDefault="00B25626" w:rsidP="0091385D">
            <w:r>
              <w:t>включително пиелонефрит</w:t>
            </w:r>
          </w:p>
        </w:tc>
        <w:tc>
          <w:tcPr>
            <w:tcW w:w="3117" w:type="dxa"/>
            <w:vMerge/>
          </w:tcPr>
          <w:p w14:paraId="47334B6F" w14:textId="77777777" w:rsidR="00B25626" w:rsidRDefault="00B25626" w:rsidP="0091385D"/>
        </w:tc>
        <w:tc>
          <w:tcPr>
            <w:tcW w:w="3117" w:type="dxa"/>
            <w:vMerge/>
          </w:tcPr>
          <w:p w14:paraId="15E1C0C9" w14:textId="77777777" w:rsidR="00B25626" w:rsidRDefault="00B25626" w:rsidP="0091385D"/>
        </w:tc>
      </w:tr>
      <w:tr w:rsidR="00B25626" w14:paraId="7B4D8CBD" w14:textId="77777777" w:rsidTr="00B25626">
        <w:tc>
          <w:tcPr>
            <w:tcW w:w="3116" w:type="dxa"/>
          </w:tcPr>
          <w:p w14:paraId="703588A6" w14:textId="64327742" w:rsidR="00B25626" w:rsidRDefault="00B25626" w:rsidP="0091385D">
            <w:r>
              <w:t>Инфекции на меките тъкани: целулит, еризипел и раневи инфекции</w:t>
            </w:r>
          </w:p>
        </w:tc>
        <w:tc>
          <w:tcPr>
            <w:tcW w:w="3117" w:type="dxa"/>
            <w:vMerge/>
          </w:tcPr>
          <w:p w14:paraId="50C832A1" w14:textId="77777777" w:rsidR="00B25626" w:rsidRDefault="00B25626" w:rsidP="0091385D"/>
        </w:tc>
        <w:tc>
          <w:tcPr>
            <w:tcW w:w="3117" w:type="dxa"/>
            <w:vMerge/>
          </w:tcPr>
          <w:p w14:paraId="2B4B1ABD" w14:textId="77777777" w:rsidR="00B25626" w:rsidRDefault="00B25626" w:rsidP="0091385D"/>
        </w:tc>
      </w:tr>
      <w:tr w:rsidR="00B25626" w14:paraId="60D73CA3" w14:textId="77777777" w:rsidTr="00B25626">
        <w:tc>
          <w:tcPr>
            <w:tcW w:w="3116" w:type="dxa"/>
          </w:tcPr>
          <w:p w14:paraId="691D24D2" w14:textId="68BA23D3" w:rsidR="00B25626" w:rsidRDefault="00B25626" w:rsidP="0091385D">
            <w:r>
              <w:t>Вътрекоремни инфекции</w:t>
            </w:r>
          </w:p>
        </w:tc>
        <w:tc>
          <w:tcPr>
            <w:tcW w:w="3117" w:type="dxa"/>
            <w:vMerge/>
          </w:tcPr>
          <w:p w14:paraId="1E1A775D" w14:textId="77777777" w:rsidR="00B25626" w:rsidRDefault="00B25626" w:rsidP="0091385D"/>
        </w:tc>
        <w:tc>
          <w:tcPr>
            <w:tcW w:w="3117" w:type="dxa"/>
            <w:vMerge/>
          </w:tcPr>
          <w:p w14:paraId="7861F3E9" w14:textId="77777777" w:rsidR="00B25626" w:rsidRDefault="00B25626" w:rsidP="0091385D"/>
        </w:tc>
      </w:tr>
    </w:tbl>
    <w:p w14:paraId="62A851D7" w14:textId="79C3EFAF" w:rsidR="00B25626" w:rsidRDefault="00B25626" w:rsidP="0091385D"/>
    <w:p w14:paraId="559B3CA4" w14:textId="77777777" w:rsidR="00B25626" w:rsidRPr="00B25626" w:rsidRDefault="00B25626" w:rsidP="00B25626">
      <w:pPr>
        <w:spacing w:line="240" w:lineRule="auto"/>
        <w:rPr>
          <w:rFonts w:eastAsia="Times New Roman" w:cs="Arial"/>
          <w:sz w:val="24"/>
          <w:szCs w:val="24"/>
          <w:lang w:eastAsia="bg-BG"/>
        </w:rPr>
      </w:pPr>
      <w:r w:rsidRPr="00B25626">
        <w:rPr>
          <w:rFonts w:eastAsia="Times New Roman" w:cs="Arial"/>
          <w:i/>
          <w:iCs/>
          <w:color w:val="000000"/>
          <w:lang w:eastAsia="bg-BG"/>
        </w:rPr>
        <w:t>Бъбречно увреждане</w:t>
      </w:r>
    </w:p>
    <w:p w14:paraId="3F724674" w14:textId="77777777"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Цефуроксим се екскретира главно през бъбреците. Следователно, както за всички подобни антибиотици, при пациенти със значително нарушена бъбречна функция се препоръчва дозата на Цефуроксим</w:t>
      </w:r>
      <w:r w:rsidRPr="00B25626">
        <w:rPr>
          <w:rFonts w:eastAsia="Times New Roman" w:cs="Arial"/>
          <w:color w:val="000000"/>
          <w:lang w:val="en-US"/>
        </w:rPr>
        <w:t xml:space="preserve">-MIP </w:t>
      </w:r>
      <w:r w:rsidRPr="00B25626">
        <w:rPr>
          <w:rFonts w:eastAsia="Times New Roman" w:cs="Arial"/>
          <w:color w:val="000000"/>
          <w:lang w:eastAsia="bg-BG"/>
        </w:rPr>
        <w:t>да се намали, за да се компенсира забавената екскреция.</w:t>
      </w:r>
    </w:p>
    <w:p w14:paraId="655375F8" w14:textId="77777777" w:rsidR="00B25626" w:rsidRPr="00B25626" w:rsidRDefault="00B25626" w:rsidP="00B25626">
      <w:pPr>
        <w:rPr>
          <w:rFonts w:eastAsia="Times New Roman" w:cs="Arial"/>
          <w:i/>
          <w:iCs/>
          <w:color w:val="000000"/>
          <w:lang w:eastAsia="bg-BG"/>
        </w:rPr>
      </w:pPr>
    </w:p>
    <w:p w14:paraId="6CCF15C4" w14:textId="4DE19E42" w:rsidR="00B25626" w:rsidRPr="00B25626" w:rsidRDefault="00B25626" w:rsidP="00B25626">
      <w:pPr>
        <w:rPr>
          <w:rFonts w:eastAsia="Times New Roman" w:cs="Arial"/>
          <w:i/>
          <w:iCs/>
          <w:color w:val="000000"/>
          <w:lang w:eastAsia="bg-BG"/>
        </w:rPr>
      </w:pPr>
      <w:r w:rsidRPr="00B25626">
        <w:rPr>
          <w:rFonts w:eastAsia="Times New Roman" w:cs="Arial"/>
          <w:i/>
          <w:iCs/>
          <w:color w:val="000000"/>
          <w:lang w:eastAsia="bg-BG"/>
        </w:rPr>
        <w:t>Таблица 3. Препоръчителни дози Цефуроксим</w:t>
      </w:r>
      <w:r w:rsidRPr="00B25626">
        <w:rPr>
          <w:rFonts w:eastAsia="Times New Roman" w:cs="Arial"/>
          <w:i/>
          <w:iCs/>
          <w:color w:val="000000"/>
          <w:lang w:val="en-US"/>
        </w:rPr>
        <w:t xml:space="preserve">-MIP </w:t>
      </w:r>
      <w:r w:rsidRPr="00B25626">
        <w:rPr>
          <w:rFonts w:eastAsia="Times New Roman" w:cs="Arial"/>
          <w:i/>
          <w:iCs/>
          <w:color w:val="000000"/>
          <w:lang w:eastAsia="bg-BG"/>
        </w:rPr>
        <w:t>при бъбречно увреждане</w:t>
      </w:r>
    </w:p>
    <w:tbl>
      <w:tblPr>
        <w:tblStyle w:val="TableGrid"/>
        <w:tblW w:w="0" w:type="auto"/>
        <w:tblLook w:val="04A0" w:firstRow="1" w:lastRow="0" w:firstColumn="1" w:lastColumn="0" w:noHBand="0" w:noVBand="1"/>
      </w:tblPr>
      <w:tblGrid>
        <w:gridCol w:w="3116"/>
        <w:gridCol w:w="3117"/>
        <w:gridCol w:w="3117"/>
      </w:tblGrid>
      <w:tr w:rsidR="00B25626" w14:paraId="4B25F77B" w14:textId="77777777" w:rsidTr="00B25626">
        <w:tc>
          <w:tcPr>
            <w:tcW w:w="3116" w:type="dxa"/>
          </w:tcPr>
          <w:p w14:paraId="69057B94" w14:textId="5C69A441" w:rsidR="00B25626" w:rsidRDefault="00B25626" w:rsidP="00B25626">
            <w:r>
              <w:rPr>
                <w:b/>
                <w:bCs/>
              </w:rPr>
              <w:lastRenderedPageBreak/>
              <w:t>Креатининов клирънс</w:t>
            </w:r>
          </w:p>
        </w:tc>
        <w:tc>
          <w:tcPr>
            <w:tcW w:w="3117" w:type="dxa"/>
          </w:tcPr>
          <w:p w14:paraId="1262BC27" w14:textId="035F8B36" w:rsidR="00B25626" w:rsidRDefault="00B25626" w:rsidP="00B25626">
            <w:r>
              <w:rPr>
                <w:b/>
                <w:bCs/>
              </w:rPr>
              <w:t>Т</w:t>
            </w:r>
            <w:r>
              <w:rPr>
                <w:b/>
                <w:bCs/>
                <w:vertAlign w:val="subscript"/>
              </w:rPr>
              <w:t>1/2</w:t>
            </w:r>
            <w:r>
              <w:rPr>
                <w:b/>
                <w:bCs/>
              </w:rPr>
              <w:t xml:space="preserve"> (часове)</w:t>
            </w:r>
          </w:p>
        </w:tc>
        <w:tc>
          <w:tcPr>
            <w:tcW w:w="3117" w:type="dxa"/>
          </w:tcPr>
          <w:p w14:paraId="70D8E068" w14:textId="367DAA68" w:rsidR="00B25626" w:rsidRDefault="00B25626" w:rsidP="00B25626">
            <w:r>
              <w:rPr>
                <w:b/>
                <w:bCs/>
              </w:rPr>
              <w:t xml:space="preserve">Доза </w:t>
            </w:r>
            <w:r>
              <w:rPr>
                <w:b/>
                <w:bCs/>
                <w:lang w:val="en-US"/>
              </w:rPr>
              <w:t>mg</w:t>
            </w:r>
          </w:p>
        </w:tc>
      </w:tr>
      <w:tr w:rsidR="00B25626" w14:paraId="25A7A917" w14:textId="77777777" w:rsidTr="00B25626">
        <w:tc>
          <w:tcPr>
            <w:tcW w:w="3116" w:type="dxa"/>
          </w:tcPr>
          <w:p w14:paraId="0A9413B6" w14:textId="0DFF31D9" w:rsidR="00B25626" w:rsidRDefault="00B25626" w:rsidP="00B25626">
            <w:r>
              <w:t xml:space="preserve">&gt; 20 </w:t>
            </w:r>
            <w:r>
              <w:rPr>
                <w:lang w:val="en-US"/>
              </w:rPr>
              <w:t>ml/min/1,73 m</w:t>
            </w:r>
            <w:r>
              <w:rPr>
                <w:vertAlign w:val="superscript"/>
                <w:lang w:val="en-US"/>
              </w:rPr>
              <w:t>2</w:t>
            </w:r>
          </w:p>
        </w:tc>
        <w:tc>
          <w:tcPr>
            <w:tcW w:w="3117" w:type="dxa"/>
          </w:tcPr>
          <w:p w14:paraId="6DC4E16A" w14:textId="1228120C" w:rsidR="00B25626" w:rsidRDefault="00B25626" w:rsidP="00B25626">
            <w:r>
              <w:t>1,7-2,6</w:t>
            </w:r>
          </w:p>
        </w:tc>
        <w:tc>
          <w:tcPr>
            <w:tcW w:w="3117" w:type="dxa"/>
          </w:tcPr>
          <w:p w14:paraId="26492363" w14:textId="77777777" w:rsidR="00B25626" w:rsidRDefault="00B25626" w:rsidP="00B25626">
            <w:r>
              <w:t>Не е необходимо да се намалява стандартната доза</w:t>
            </w:r>
          </w:p>
          <w:p w14:paraId="35089778" w14:textId="5EDF5C50" w:rsidR="00B25626" w:rsidRDefault="00B25626" w:rsidP="00B25626">
            <w:r>
              <w:t xml:space="preserve">(750 </w:t>
            </w:r>
            <w:r>
              <w:rPr>
                <w:lang w:val="en-US"/>
              </w:rPr>
              <w:t xml:space="preserve">mg </w:t>
            </w:r>
            <w:r>
              <w:t xml:space="preserve">до 1,5 </w:t>
            </w:r>
            <w:r>
              <w:rPr>
                <w:lang w:val="en-US"/>
              </w:rPr>
              <w:t xml:space="preserve">g </w:t>
            </w:r>
            <w:r>
              <w:t>три пъти дневно).</w:t>
            </w:r>
          </w:p>
        </w:tc>
      </w:tr>
      <w:tr w:rsidR="00B25626" w14:paraId="7A059027" w14:textId="77777777" w:rsidTr="00B25626">
        <w:tc>
          <w:tcPr>
            <w:tcW w:w="3116" w:type="dxa"/>
          </w:tcPr>
          <w:p w14:paraId="2C0EB0AC" w14:textId="39E5509D" w:rsidR="00B25626" w:rsidRDefault="00B25626" w:rsidP="00B25626">
            <w:r>
              <w:t xml:space="preserve">10-20 </w:t>
            </w:r>
            <w:r>
              <w:rPr>
                <w:lang w:val="en-US"/>
              </w:rPr>
              <w:t>ml/min/1,73 m</w:t>
            </w:r>
            <w:r>
              <w:rPr>
                <w:vertAlign w:val="superscript"/>
                <w:lang w:val="en-US"/>
              </w:rPr>
              <w:t>2</w:t>
            </w:r>
          </w:p>
        </w:tc>
        <w:tc>
          <w:tcPr>
            <w:tcW w:w="3117" w:type="dxa"/>
          </w:tcPr>
          <w:p w14:paraId="4A9C7DBE" w14:textId="2D5271ED" w:rsidR="00B25626" w:rsidRDefault="00B25626" w:rsidP="00B25626">
            <w:r>
              <w:t>4,3-6,5</w:t>
            </w:r>
          </w:p>
        </w:tc>
        <w:tc>
          <w:tcPr>
            <w:tcW w:w="3117" w:type="dxa"/>
          </w:tcPr>
          <w:p w14:paraId="7090B1E5" w14:textId="4EE9513C" w:rsidR="00B25626" w:rsidRDefault="00B25626" w:rsidP="00B25626">
            <w:r>
              <w:t xml:space="preserve">750 </w:t>
            </w:r>
            <w:r>
              <w:rPr>
                <w:lang w:val="en-US"/>
              </w:rPr>
              <w:t xml:space="preserve">mg </w:t>
            </w:r>
            <w:r>
              <w:t>два пъти дневно</w:t>
            </w:r>
          </w:p>
        </w:tc>
      </w:tr>
      <w:tr w:rsidR="00B25626" w14:paraId="7EF82423" w14:textId="77777777" w:rsidTr="00B25626">
        <w:tc>
          <w:tcPr>
            <w:tcW w:w="3116" w:type="dxa"/>
          </w:tcPr>
          <w:p w14:paraId="42783303" w14:textId="67DE5737" w:rsidR="00B25626" w:rsidRDefault="00B25626" w:rsidP="00B25626">
            <w:r>
              <w:rPr>
                <w:lang w:val="en-US"/>
              </w:rPr>
              <w:t>&lt; 10 ml/min/1,73 m</w:t>
            </w:r>
            <w:r>
              <w:rPr>
                <w:vertAlign w:val="superscript"/>
                <w:lang w:val="en-US"/>
              </w:rPr>
              <w:t>2</w:t>
            </w:r>
          </w:p>
        </w:tc>
        <w:tc>
          <w:tcPr>
            <w:tcW w:w="3117" w:type="dxa"/>
          </w:tcPr>
          <w:p w14:paraId="1849C3E6" w14:textId="57C4D2D0" w:rsidR="00B25626" w:rsidRDefault="00B25626" w:rsidP="00B25626">
            <w:r>
              <w:t>14,8-22,3</w:t>
            </w:r>
          </w:p>
        </w:tc>
        <w:tc>
          <w:tcPr>
            <w:tcW w:w="3117" w:type="dxa"/>
          </w:tcPr>
          <w:p w14:paraId="60ECFECF" w14:textId="34D85CBD" w:rsidR="00B25626" w:rsidRDefault="00B25626" w:rsidP="00B25626">
            <w:r>
              <w:t xml:space="preserve">750 </w:t>
            </w:r>
            <w:r>
              <w:rPr>
                <w:lang w:val="en-US"/>
              </w:rPr>
              <w:t xml:space="preserve">mg </w:t>
            </w:r>
            <w:r>
              <w:t>веднъж дневно</w:t>
            </w:r>
          </w:p>
        </w:tc>
      </w:tr>
      <w:tr w:rsidR="00B25626" w14:paraId="43144D37" w14:textId="77777777" w:rsidTr="00B25626">
        <w:tc>
          <w:tcPr>
            <w:tcW w:w="3116" w:type="dxa"/>
          </w:tcPr>
          <w:p w14:paraId="108F43DC" w14:textId="6B6A9D11" w:rsidR="00B25626" w:rsidRDefault="00B25626" w:rsidP="00B25626">
            <w:r>
              <w:t>Пациенти на хемодиализа</w:t>
            </w:r>
          </w:p>
        </w:tc>
        <w:tc>
          <w:tcPr>
            <w:tcW w:w="3117" w:type="dxa"/>
          </w:tcPr>
          <w:p w14:paraId="632B0D2F" w14:textId="74189048" w:rsidR="00B25626" w:rsidRDefault="00B25626" w:rsidP="00B25626">
            <w:r>
              <w:t>3,75</w:t>
            </w:r>
          </w:p>
        </w:tc>
        <w:tc>
          <w:tcPr>
            <w:tcW w:w="3117" w:type="dxa"/>
          </w:tcPr>
          <w:p w14:paraId="05A5C21C" w14:textId="6D6404C7" w:rsidR="00B25626" w:rsidRDefault="00B25626" w:rsidP="00B25626">
            <w:r>
              <w:t xml:space="preserve">Допълнителна доза от 750 </w:t>
            </w:r>
            <w:r>
              <w:rPr>
                <w:lang w:val="en-US"/>
              </w:rPr>
              <w:t xml:space="preserve">mg </w:t>
            </w:r>
            <w:r>
              <w:t xml:space="preserve">трябва да се приложи интравенозно или интрамускулно в края на всяка диализа; в допълнение към парентералното приложение, цефуроксим натрий може да се прибави към разтвора за перитонеална диализа (обичайно 250 </w:t>
            </w:r>
            <w:r>
              <w:rPr>
                <w:lang w:val="en-US"/>
              </w:rPr>
              <w:t xml:space="preserve">mg </w:t>
            </w:r>
            <w:r>
              <w:t>на всеки 2 литра диализен разтвор).</w:t>
            </w:r>
          </w:p>
        </w:tc>
      </w:tr>
      <w:tr w:rsidR="00B25626" w14:paraId="0FA61A53" w14:textId="77777777" w:rsidTr="00B25626">
        <w:tc>
          <w:tcPr>
            <w:tcW w:w="3116" w:type="dxa"/>
          </w:tcPr>
          <w:p w14:paraId="7CE314CA" w14:textId="3118326A" w:rsidR="00B25626" w:rsidRDefault="00B25626" w:rsidP="00B25626">
            <w:r>
              <w:t xml:space="preserve">Пациенти с бъбречна недостатъчност на продължителна артериовенозна хемодиализа </w:t>
            </w:r>
            <w:r>
              <w:rPr>
                <w:lang w:val="en-US"/>
              </w:rPr>
              <w:t xml:space="preserve">(CAVH) </w:t>
            </w:r>
            <w:r>
              <w:t xml:space="preserve">или високоскоростна хемофилтрация </w:t>
            </w:r>
            <w:r>
              <w:rPr>
                <w:lang w:val="en-US"/>
              </w:rPr>
              <w:t xml:space="preserve">(HF) </w:t>
            </w:r>
            <w:r>
              <w:t>в реанимация</w:t>
            </w:r>
          </w:p>
        </w:tc>
        <w:tc>
          <w:tcPr>
            <w:tcW w:w="3117" w:type="dxa"/>
          </w:tcPr>
          <w:p w14:paraId="0852EA8C" w14:textId="77777777" w:rsidR="00B25626" w:rsidRDefault="00B25626" w:rsidP="00B25626">
            <w:r>
              <w:t xml:space="preserve">7,9-12,6 </w:t>
            </w:r>
            <w:r>
              <w:rPr>
                <w:lang w:val="en-US"/>
              </w:rPr>
              <w:t>(CAVH)</w:t>
            </w:r>
          </w:p>
          <w:p w14:paraId="2EA1731C" w14:textId="6FFCAEC2" w:rsidR="00B25626" w:rsidRDefault="00B25626" w:rsidP="00B25626">
            <w:r>
              <w:t xml:space="preserve">1,6 </w:t>
            </w:r>
            <w:r>
              <w:rPr>
                <w:lang w:val="en-US"/>
              </w:rPr>
              <w:t>(HF)</w:t>
            </w:r>
          </w:p>
        </w:tc>
        <w:tc>
          <w:tcPr>
            <w:tcW w:w="3117" w:type="dxa"/>
          </w:tcPr>
          <w:p w14:paraId="02C9B80A" w14:textId="4BC947A1" w:rsidR="00B25626" w:rsidRDefault="00B25626" w:rsidP="00B25626">
            <w:r>
              <w:t xml:space="preserve">750 </w:t>
            </w:r>
            <w:r>
              <w:rPr>
                <w:lang w:val="en-US"/>
              </w:rPr>
              <w:t xml:space="preserve">mg </w:t>
            </w:r>
            <w:r>
              <w:t>два пъти дневно; при нискоскоростна хемофилтрация, да се прилага дозировката, препоръчана при нарушена бъбречна функция.</w:t>
            </w:r>
          </w:p>
        </w:tc>
      </w:tr>
    </w:tbl>
    <w:p w14:paraId="63812AC8" w14:textId="724C8897" w:rsidR="00B25626" w:rsidRDefault="00B25626" w:rsidP="00B25626"/>
    <w:p w14:paraId="321459E0" w14:textId="77777777" w:rsidR="00B25626" w:rsidRPr="00B25626" w:rsidRDefault="00B25626" w:rsidP="00B25626">
      <w:pPr>
        <w:spacing w:line="240" w:lineRule="auto"/>
        <w:rPr>
          <w:rFonts w:eastAsia="Times New Roman" w:cs="Arial"/>
          <w:sz w:val="24"/>
          <w:szCs w:val="24"/>
          <w:lang w:eastAsia="bg-BG"/>
        </w:rPr>
      </w:pPr>
      <w:r w:rsidRPr="00B25626">
        <w:rPr>
          <w:rFonts w:eastAsia="Times New Roman" w:cs="Arial"/>
          <w:i/>
          <w:iCs/>
          <w:color w:val="000000"/>
          <w:lang w:eastAsia="bg-BG"/>
        </w:rPr>
        <w:t>Чернодробно увреждане</w:t>
      </w:r>
    </w:p>
    <w:p w14:paraId="7D2100AA" w14:textId="51C8C2C3" w:rsidR="00B25626" w:rsidRPr="00B25626" w:rsidRDefault="00B25626" w:rsidP="00B25626">
      <w:pPr>
        <w:rPr>
          <w:rFonts w:cs="Arial"/>
        </w:rPr>
      </w:pPr>
      <w:r w:rsidRPr="00B25626">
        <w:rPr>
          <w:rFonts w:eastAsia="Times New Roman" w:cs="Arial"/>
          <w:color w:val="000000"/>
          <w:lang w:eastAsia="bg-BG"/>
        </w:rPr>
        <w:t>Цефуроксим се екскретира главно чрез бъбреците. Не се очаква наличието на нарушена чернодробна</w:t>
      </w:r>
      <w:r w:rsidRPr="00B25626">
        <w:rPr>
          <w:rFonts w:eastAsia="Times New Roman" w:cs="Arial"/>
          <w:color w:val="000000"/>
          <w:lang w:val="en-US"/>
        </w:rPr>
        <w:t xml:space="preserve"> </w:t>
      </w:r>
      <w:r w:rsidRPr="00B25626">
        <w:rPr>
          <w:rFonts w:eastAsia="Times New Roman" w:cs="Arial"/>
          <w:color w:val="000000"/>
          <w:lang w:eastAsia="bg-BG"/>
        </w:rPr>
        <w:t xml:space="preserve"> функция да окаже ефект върху фармакокинетиката на цефуроксим.</w:t>
      </w:r>
    </w:p>
    <w:p w14:paraId="10A81A3B" w14:textId="78596350" w:rsidR="00B25626" w:rsidRDefault="00B25626" w:rsidP="0091385D"/>
    <w:p w14:paraId="01D3D883" w14:textId="77777777" w:rsidR="00B25626" w:rsidRPr="00B25626" w:rsidRDefault="00B25626" w:rsidP="00B25626">
      <w:pPr>
        <w:pStyle w:val="Heading3"/>
        <w:rPr>
          <w:rFonts w:eastAsia="Times New Roman"/>
          <w:u w:val="single"/>
          <w:lang w:eastAsia="bg-BG"/>
        </w:rPr>
      </w:pPr>
      <w:r w:rsidRPr="00B25626">
        <w:rPr>
          <w:rFonts w:eastAsia="Times New Roman"/>
          <w:u w:val="single"/>
          <w:lang w:eastAsia="bg-BG"/>
        </w:rPr>
        <w:t>Начин на приложение</w:t>
      </w:r>
    </w:p>
    <w:p w14:paraId="1843DB77" w14:textId="3725D5E8" w:rsidR="00B25626" w:rsidRPr="00B25626" w:rsidRDefault="00B25626" w:rsidP="00B25626">
      <w:pPr>
        <w:rPr>
          <w:rFonts w:cs="Arial"/>
        </w:rPr>
      </w:pPr>
      <w:r w:rsidRPr="00B25626">
        <w:rPr>
          <w:rFonts w:eastAsia="Times New Roman" w:cs="Arial"/>
          <w:color w:val="000000"/>
          <w:lang w:eastAsia="bg-BG"/>
        </w:rPr>
        <w:t>Цефуроксим</w:t>
      </w:r>
      <w:r w:rsidRPr="00B25626">
        <w:rPr>
          <w:rFonts w:eastAsia="Times New Roman" w:cs="Arial"/>
          <w:color w:val="000000"/>
          <w:lang w:val="en-US"/>
        </w:rPr>
        <w:t xml:space="preserve">-MIP </w:t>
      </w:r>
      <w:r w:rsidRPr="00B25626">
        <w:rPr>
          <w:rFonts w:eastAsia="Times New Roman" w:cs="Arial"/>
          <w:color w:val="000000"/>
          <w:lang w:eastAsia="bg-BG"/>
        </w:rPr>
        <w:t>трябва да се прилага чрез интравенозна инжекция за период от 3 до 5 минути директно във вена или чрез интравенозно капково вливане, или инфузия за период от 30 до 60 минути, или чрез дълбока интрамускулна инжекция. За указания за разтваряне на лекарствения продукт преди приложение вижте точка 6.6.</w:t>
      </w:r>
    </w:p>
    <w:p w14:paraId="0C36A075" w14:textId="77777777" w:rsidR="00B25626" w:rsidRPr="0091385D" w:rsidRDefault="00B25626"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25EBBCD3" w14:textId="77777777"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Свръхчувствителност към цефуроксим или към някое от помощните вещества, изброени в точка 6.1.</w:t>
      </w:r>
    </w:p>
    <w:p w14:paraId="4B4B25A3" w14:textId="77777777" w:rsidR="00B25626" w:rsidRPr="00B25626" w:rsidRDefault="00B25626" w:rsidP="00B25626">
      <w:pPr>
        <w:spacing w:line="240" w:lineRule="auto"/>
        <w:rPr>
          <w:rFonts w:eastAsia="Times New Roman" w:cs="Arial"/>
          <w:color w:val="000000"/>
          <w:lang w:eastAsia="bg-BG"/>
        </w:rPr>
      </w:pPr>
    </w:p>
    <w:p w14:paraId="5FB7AE29" w14:textId="5B399662" w:rsidR="00B25626" w:rsidRPr="00B25626" w:rsidRDefault="00B25626" w:rsidP="00B25626">
      <w:pPr>
        <w:spacing w:line="240" w:lineRule="auto"/>
        <w:rPr>
          <w:rFonts w:eastAsia="Times New Roman" w:cs="Arial"/>
          <w:sz w:val="24"/>
          <w:szCs w:val="24"/>
          <w:lang w:eastAsia="bg-BG"/>
        </w:rPr>
      </w:pPr>
      <w:r w:rsidRPr="00B25626">
        <w:rPr>
          <w:rFonts w:eastAsia="Times New Roman" w:cs="Arial"/>
          <w:color w:val="000000"/>
          <w:lang w:eastAsia="bg-BG"/>
        </w:rPr>
        <w:t>Пациенти с известна свръхчувствителност към цефалоспоринови антибиотици.</w:t>
      </w:r>
    </w:p>
    <w:p w14:paraId="33638389" w14:textId="77777777" w:rsidR="00B25626" w:rsidRPr="00B25626" w:rsidRDefault="00B25626" w:rsidP="00B25626">
      <w:pPr>
        <w:rPr>
          <w:rFonts w:eastAsia="Times New Roman" w:cs="Arial"/>
          <w:color w:val="000000"/>
          <w:lang w:eastAsia="bg-BG"/>
        </w:rPr>
      </w:pPr>
    </w:p>
    <w:p w14:paraId="030B6A4D" w14:textId="1CEFB79B" w:rsidR="00EC41ED" w:rsidRPr="00B25626" w:rsidRDefault="00B25626" w:rsidP="00B25626">
      <w:pPr>
        <w:rPr>
          <w:rFonts w:cs="Arial"/>
        </w:rPr>
      </w:pPr>
      <w:r w:rsidRPr="00B25626">
        <w:rPr>
          <w:rFonts w:eastAsia="Times New Roman" w:cs="Arial"/>
          <w:color w:val="000000"/>
          <w:lang w:eastAsia="bg-BG"/>
        </w:rPr>
        <w:lastRenderedPageBreak/>
        <w:t>Анамнестични данни за тежка реакция на свръхчувствителност (напр. анафилактична реакция) към друг тип бета-лактамни антибактериални средства (пеницилини, монобактами и карбапенеми).</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35898CBC"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Реакции на свръхчувствителност</w:t>
      </w:r>
    </w:p>
    <w:p w14:paraId="6739F8A1" w14:textId="77777777" w:rsidR="00B25626" w:rsidRPr="00B25626" w:rsidRDefault="00B25626" w:rsidP="00B25626">
      <w:pPr>
        <w:spacing w:line="240" w:lineRule="auto"/>
        <w:rPr>
          <w:rFonts w:eastAsia="Times New Roman" w:cs="Arial"/>
          <w:color w:val="000000"/>
          <w:lang w:eastAsia="bg-BG"/>
        </w:rPr>
      </w:pPr>
    </w:p>
    <w:p w14:paraId="78E8D698" w14:textId="7620E68F"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Подобно на всички бета-лактамни антибактериални средства има съобщения за тежки и понякога фатални реакции на свръхчувствителност. В случай на развитие на тежка реакция на свръхчувствителност лечението с цефуроксим трябва да се преустанови незабавно и да се предприемат подходящи мерки за спешно лечение.</w:t>
      </w:r>
    </w:p>
    <w:p w14:paraId="56AFE1A2" w14:textId="77777777" w:rsidR="00B25626" w:rsidRPr="00B25626" w:rsidRDefault="00B25626" w:rsidP="00B25626">
      <w:pPr>
        <w:spacing w:line="240" w:lineRule="auto"/>
        <w:rPr>
          <w:rFonts w:eastAsia="Times New Roman" w:cs="Arial"/>
          <w:color w:val="000000"/>
          <w:lang w:eastAsia="bg-BG"/>
        </w:rPr>
      </w:pPr>
    </w:p>
    <w:p w14:paraId="177D7E4E" w14:textId="36041BEB"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Преди започване на лечение трябва да се установи дали пациентът има анамнеза за тежки реакции на свръхчувствителност към цефуроксим, към други цефалоспорини или към други типове бета- лактамни средства. Цефуроксим трябва да се прилага с повишено внимание при пациенти с анамнеза за нетежки реакции на свръхчувствителност към други бета-лактамни средства.</w:t>
      </w:r>
    </w:p>
    <w:p w14:paraId="26ED3BEE" w14:textId="77777777" w:rsidR="00B25626" w:rsidRPr="00B25626" w:rsidRDefault="00B25626" w:rsidP="00B25626">
      <w:pPr>
        <w:spacing w:line="240" w:lineRule="auto"/>
        <w:rPr>
          <w:rFonts w:eastAsia="Times New Roman" w:cs="Arial"/>
          <w:color w:val="000000"/>
          <w:u w:val="single"/>
          <w:lang w:eastAsia="bg-BG"/>
        </w:rPr>
      </w:pPr>
    </w:p>
    <w:p w14:paraId="44633E31" w14:textId="5CA45211"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Едновременно лечение с мощни диуретици или аминогликозиди</w:t>
      </w:r>
    </w:p>
    <w:p w14:paraId="51A25BB0" w14:textId="77777777" w:rsidR="00B25626" w:rsidRPr="00B25626" w:rsidRDefault="00B25626" w:rsidP="00B25626">
      <w:pPr>
        <w:spacing w:line="240" w:lineRule="auto"/>
        <w:rPr>
          <w:rFonts w:eastAsia="Times New Roman" w:cs="Arial"/>
          <w:color w:val="000000"/>
          <w:lang w:eastAsia="bg-BG"/>
        </w:rPr>
      </w:pPr>
    </w:p>
    <w:p w14:paraId="2E55BF0F" w14:textId="4A12E32F"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Високи дози цефалоспоринови антибиотици трябва да се прилага с повишено винмание при пациенти, които по същото време се лекуват с мощни диуретици като фуроземид или аминогликозиди. При тези комбинации е съобщавано за увреждане на бъбречната функция. При пациенти в старческа възраст и при пациенти с предхождащо бъбречно увреждане трябва да се проследява състоянието на бъбречната функция (вж. точка 4.2).</w:t>
      </w:r>
    </w:p>
    <w:p w14:paraId="24BC7C77" w14:textId="77777777" w:rsidR="00B25626" w:rsidRPr="00B25626" w:rsidRDefault="00B25626" w:rsidP="00B25626">
      <w:pPr>
        <w:spacing w:line="240" w:lineRule="auto"/>
        <w:rPr>
          <w:rFonts w:eastAsia="Times New Roman" w:cs="Arial"/>
          <w:color w:val="000000"/>
          <w:u w:val="single"/>
          <w:lang w:eastAsia="bg-BG"/>
        </w:rPr>
      </w:pPr>
    </w:p>
    <w:p w14:paraId="2A8F7373" w14:textId="2957B4B6"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Свръхрастеж на нечувствителни микроорганизми</w:t>
      </w:r>
    </w:p>
    <w:p w14:paraId="048DAC2D" w14:textId="77777777" w:rsidR="00B25626" w:rsidRPr="00B25626" w:rsidRDefault="00B25626" w:rsidP="00B25626">
      <w:pPr>
        <w:spacing w:line="240" w:lineRule="auto"/>
        <w:rPr>
          <w:rFonts w:eastAsia="Times New Roman" w:cs="Arial"/>
          <w:color w:val="000000"/>
          <w:lang w:eastAsia="bg-BG"/>
        </w:rPr>
      </w:pPr>
    </w:p>
    <w:p w14:paraId="5C4CC3D0" w14:textId="6DFFAC9B"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Употребата на цефуроксим може да доведе до свръхрастеж на </w:t>
      </w:r>
      <w:r w:rsidRPr="00B25626">
        <w:rPr>
          <w:rFonts w:eastAsia="Times New Roman" w:cs="Arial"/>
          <w:i/>
          <w:iCs/>
          <w:color w:val="000000"/>
          <w:lang w:val="en-US"/>
        </w:rPr>
        <w:t>Candida.</w:t>
      </w:r>
      <w:r w:rsidRPr="00B25626">
        <w:rPr>
          <w:rFonts w:eastAsia="Times New Roman" w:cs="Arial"/>
          <w:color w:val="000000"/>
          <w:lang w:val="en-US"/>
        </w:rPr>
        <w:t xml:space="preserve"> </w:t>
      </w:r>
      <w:r w:rsidRPr="00B25626">
        <w:rPr>
          <w:rFonts w:eastAsia="Times New Roman" w:cs="Arial"/>
          <w:color w:val="000000"/>
          <w:lang w:eastAsia="bg-BG"/>
        </w:rPr>
        <w:t xml:space="preserve">Продължителното приложение може също да доведе до свръхрастеж на други нечувствителни микроорганизми (напр. ентерококи и </w:t>
      </w:r>
      <w:r w:rsidRPr="00B25626">
        <w:rPr>
          <w:rFonts w:eastAsia="Times New Roman" w:cs="Arial"/>
          <w:i/>
          <w:iCs/>
          <w:color w:val="000000"/>
          <w:lang w:val="en-US"/>
        </w:rPr>
        <w:t>Clostridium difficile)</w:t>
      </w:r>
      <w:r w:rsidRPr="00B25626">
        <w:rPr>
          <w:rFonts w:eastAsia="Times New Roman" w:cs="Arial"/>
          <w:color w:val="000000"/>
          <w:lang w:eastAsia="bg-BG"/>
        </w:rPr>
        <w:t>, което може да наложи спиране на лечението (вж. точка 4.8).</w:t>
      </w:r>
    </w:p>
    <w:p w14:paraId="43F75132" w14:textId="77777777" w:rsidR="00B25626" w:rsidRPr="00B25626" w:rsidRDefault="00B25626" w:rsidP="00B25626">
      <w:pPr>
        <w:spacing w:line="240" w:lineRule="auto"/>
        <w:rPr>
          <w:rFonts w:eastAsia="Times New Roman" w:cs="Arial"/>
          <w:color w:val="000000"/>
          <w:lang w:eastAsia="bg-BG"/>
        </w:rPr>
      </w:pPr>
    </w:p>
    <w:p w14:paraId="0800F5E2" w14:textId="346FE6D5"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Псевдомембранозен колит, свързан с прием на антибактериални средства, е съобщаван при прием на цефуроксим, като по тежест може да варира от лек до животозастрашаващ. Тази диагноза трябва да се има предвид при пациенти с диария по време на или след приложението на цефуроксим (вж. точка 4.8). В тези случаи трябва да се обмисли спиране на лечението с цефуроксим и приложение на специфична терапия за </w:t>
      </w:r>
      <w:r w:rsidRPr="00B25626">
        <w:rPr>
          <w:rFonts w:eastAsia="Times New Roman" w:cs="Arial"/>
          <w:i/>
          <w:iCs/>
          <w:color w:val="000000"/>
          <w:lang w:val="en-US"/>
        </w:rPr>
        <w:t>Clostridium difficile.</w:t>
      </w:r>
      <w:r w:rsidRPr="00B25626">
        <w:rPr>
          <w:rFonts w:eastAsia="Times New Roman" w:cs="Arial"/>
          <w:color w:val="000000"/>
          <w:lang w:val="en-US"/>
        </w:rPr>
        <w:t xml:space="preserve"> </w:t>
      </w:r>
      <w:r w:rsidRPr="00B25626">
        <w:rPr>
          <w:rFonts w:eastAsia="Times New Roman" w:cs="Arial"/>
          <w:color w:val="000000"/>
          <w:lang w:eastAsia="bg-BG"/>
        </w:rPr>
        <w:t>Не трябва да се прилагат лекарствени продукти, които инхибират перисталтиката.</w:t>
      </w:r>
    </w:p>
    <w:p w14:paraId="340E72D2" w14:textId="77777777" w:rsidR="00B25626" w:rsidRPr="00B25626" w:rsidRDefault="00B25626" w:rsidP="00B25626">
      <w:pPr>
        <w:spacing w:line="240" w:lineRule="auto"/>
        <w:rPr>
          <w:rFonts w:eastAsia="Times New Roman" w:cs="Arial"/>
          <w:color w:val="000000"/>
          <w:u w:val="single"/>
          <w:lang w:eastAsia="bg-BG"/>
        </w:rPr>
      </w:pPr>
    </w:p>
    <w:p w14:paraId="27E5811F" w14:textId="04D6808E"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Вътрекоремни инфекции</w:t>
      </w:r>
    </w:p>
    <w:p w14:paraId="37B3B93F" w14:textId="77777777" w:rsidR="00B25626" w:rsidRPr="00B25626" w:rsidRDefault="00B25626" w:rsidP="00B25626">
      <w:pPr>
        <w:rPr>
          <w:rFonts w:eastAsia="Times New Roman" w:cs="Arial"/>
          <w:color w:val="000000"/>
          <w:lang w:eastAsia="bg-BG"/>
        </w:rPr>
      </w:pPr>
    </w:p>
    <w:p w14:paraId="0E28BBDE" w14:textId="08A1868E" w:rsidR="007A2185" w:rsidRPr="00B25626" w:rsidRDefault="00B25626" w:rsidP="00B25626">
      <w:pPr>
        <w:rPr>
          <w:rFonts w:cs="Arial"/>
        </w:rPr>
      </w:pPr>
      <w:r w:rsidRPr="00B25626">
        <w:rPr>
          <w:rFonts w:eastAsia="Times New Roman" w:cs="Arial"/>
          <w:color w:val="000000"/>
          <w:lang w:eastAsia="bg-BG"/>
        </w:rPr>
        <w:t>Поради спектъра си на активност цефуроксим не е подходящ за лечение на инфекции, причинени от Грам-отрицателни неферментиращи бактерии (вж. точка 5.1).</w:t>
      </w:r>
    </w:p>
    <w:p w14:paraId="24E3E82F" w14:textId="01F2C083" w:rsidR="0091385D" w:rsidRPr="00B25626" w:rsidRDefault="0091385D" w:rsidP="0091385D">
      <w:pPr>
        <w:rPr>
          <w:rFonts w:cs="Arial"/>
        </w:rPr>
      </w:pPr>
    </w:p>
    <w:p w14:paraId="68D6ACCB" w14:textId="08010BB3"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Интракамерно приложение и нарушения на очите</w:t>
      </w:r>
    </w:p>
    <w:p w14:paraId="025F649A" w14:textId="77777777" w:rsidR="00B25626" w:rsidRPr="00B25626" w:rsidRDefault="00B25626" w:rsidP="00B25626">
      <w:pPr>
        <w:spacing w:line="240" w:lineRule="auto"/>
        <w:rPr>
          <w:rFonts w:eastAsia="Times New Roman" w:cs="Arial"/>
          <w:color w:val="000000"/>
          <w:lang w:eastAsia="bg-BG"/>
        </w:rPr>
      </w:pPr>
    </w:p>
    <w:p w14:paraId="0EAFE16F" w14:textId="1314070E"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Съставът на Цефуроксим-МГР не е предназначен за интракамерно приложение. Сериозни офталмологични нежелани реакции са съобщавани като отделни случаи или в </w:t>
      </w:r>
      <w:r w:rsidRPr="00B25626">
        <w:rPr>
          <w:rFonts w:eastAsia="Times New Roman" w:cs="Arial"/>
          <w:color w:val="000000"/>
          <w:lang w:eastAsia="bg-BG"/>
        </w:rPr>
        <w:lastRenderedPageBreak/>
        <w:t>група след неодобрено в показанието интракамерно приложение на цефуроксим натрий в състав във флакони, одобрен за интравенозно/интрамускулно приложение. Тези реакции включват оток на макулата, оток на ретината, отлепване на ретината, токсичност за ретината, зрително увреждане, намалена зрителна острота, замъглено зрение, помътняване на роговицата и оток на роговицата.</w:t>
      </w:r>
    </w:p>
    <w:p w14:paraId="26D16CE0" w14:textId="77777777" w:rsidR="00B25626" w:rsidRPr="00B25626" w:rsidRDefault="00B25626" w:rsidP="00B25626">
      <w:pPr>
        <w:spacing w:line="240" w:lineRule="auto"/>
        <w:rPr>
          <w:rFonts w:eastAsia="Times New Roman" w:cs="Arial"/>
          <w:color w:val="000000"/>
          <w:u w:val="single"/>
          <w:lang w:eastAsia="bg-BG"/>
        </w:rPr>
      </w:pPr>
    </w:p>
    <w:p w14:paraId="0C681234" w14:textId="399F1410"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Повлияване на резултатите от диагностични тестове</w:t>
      </w:r>
    </w:p>
    <w:p w14:paraId="5C5B6784" w14:textId="77777777" w:rsidR="00B25626" w:rsidRPr="00B25626" w:rsidRDefault="00B25626" w:rsidP="00B25626">
      <w:pPr>
        <w:spacing w:line="240" w:lineRule="auto"/>
        <w:rPr>
          <w:rFonts w:eastAsia="Times New Roman" w:cs="Arial"/>
          <w:color w:val="000000"/>
          <w:lang w:eastAsia="bg-BG"/>
        </w:rPr>
      </w:pPr>
    </w:p>
    <w:p w14:paraId="0F8F152F" w14:textId="3848CFDF"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Развитието на положителен тест на </w:t>
      </w:r>
      <w:proofErr w:type="spellStart"/>
      <w:r w:rsidRPr="00B25626">
        <w:rPr>
          <w:rFonts w:eastAsia="Times New Roman" w:cs="Arial"/>
          <w:color w:val="000000"/>
          <w:lang w:val="en-US"/>
        </w:rPr>
        <w:t>Coomb’s</w:t>
      </w:r>
      <w:proofErr w:type="spellEnd"/>
      <w:r w:rsidRPr="00B25626">
        <w:rPr>
          <w:rFonts w:eastAsia="Times New Roman" w:cs="Arial"/>
          <w:color w:val="000000"/>
          <w:lang w:val="en-US"/>
        </w:rPr>
        <w:t xml:space="preserve">, </w:t>
      </w:r>
      <w:r w:rsidRPr="00B25626">
        <w:rPr>
          <w:rFonts w:eastAsia="Times New Roman" w:cs="Arial"/>
          <w:color w:val="000000"/>
          <w:lang w:eastAsia="bg-BG"/>
        </w:rPr>
        <w:t>свързано с приложение на цефуроксим, може да повлияе на кръстосаната проба за съвместимост при кръвопреливане (вж. точка 4.8).</w:t>
      </w:r>
    </w:p>
    <w:p w14:paraId="2EB93ADD" w14:textId="77777777" w:rsidR="00B25626" w:rsidRPr="00B25626" w:rsidRDefault="00B25626" w:rsidP="00B25626">
      <w:pPr>
        <w:spacing w:line="240" w:lineRule="auto"/>
        <w:rPr>
          <w:rFonts w:eastAsia="Times New Roman" w:cs="Arial"/>
          <w:color w:val="000000"/>
          <w:lang w:eastAsia="bg-BG"/>
        </w:rPr>
      </w:pPr>
    </w:p>
    <w:p w14:paraId="7F2C59B4" w14:textId="33250839"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Могат да се наблюдават незначителни отклонения при мед-редукционните тестове (на </w:t>
      </w:r>
      <w:r w:rsidRPr="00B25626">
        <w:rPr>
          <w:rFonts w:eastAsia="Times New Roman" w:cs="Arial"/>
          <w:color w:val="000000"/>
          <w:lang w:val="en-US"/>
        </w:rPr>
        <w:t xml:space="preserve">Benedict, Fehling, </w:t>
      </w:r>
      <w:proofErr w:type="spellStart"/>
      <w:r w:rsidRPr="00B25626">
        <w:rPr>
          <w:rFonts w:eastAsia="Times New Roman" w:cs="Arial"/>
          <w:color w:val="000000"/>
          <w:lang w:val="en-US"/>
        </w:rPr>
        <w:t>Clinitest</w:t>
      </w:r>
      <w:proofErr w:type="spellEnd"/>
      <w:r w:rsidRPr="00B25626">
        <w:rPr>
          <w:rFonts w:eastAsia="Times New Roman" w:cs="Arial"/>
          <w:color w:val="000000"/>
          <w:lang w:val="en-US"/>
        </w:rPr>
        <w:t xml:space="preserve">). </w:t>
      </w:r>
      <w:r w:rsidRPr="00B25626">
        <w:rPr>
          <w:rFonts w:eastAsia="Times New Roman" w:cs="Arial"/>
          <w:color w:val="000000"/>
          <w:lang w:eastAsia="bg-BG"/>
        </w:rPr>
        <w:t>Това обаче не води до фалшиво положителни резултати, както може да се получи с някои други цефалоспорини.</w:t>
      </w:r>
    </w:p>
    <w:p w14:paraId="0782773D" w14:textId="77777777" w:rsidR="00B25626" w:rsidRPr="00B25626" w:rsidRDefault="00B25626" w:rsidP="00B25626">
      <w:pPr>
        <w:spacing w:line="240" w:lineRule="auto"/>
        <w:rPr>
          <w:rFonts w:eastAsia="Times New Roman" w:cs="Arial"/>
          <w:color w:val="000000"/>
          <w:lang w:eastAsia="bg-BG"/>
        </w:rPr>
      </w:pPr>
    </w:p>
    <w:p w14:paraId="637A3FFB" w14:textId="4B4A96A8"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Тъй като при провеждане на ферицианиден тест могат да се получат фалшиво негативни резултати, за изследване на нивата на глюкоза в кръвта/плазмата при пациенти, приемащи цефуроксим натрий, се препоръчва приложението или на глюкозооксидазния, или на хексокиназния метод.</w:t>
      </w:r>
    </w:p>
    <w:p w14:paraId="76C9D6F8" w14:textId="77777777" w:rsidR="00B25626" w:rsidRPr="00B25626" w:rsidRDefault="00B25626" w:rsidP="00B25626">
      <w:pPr>
        <w:spacing w:line="240" w:lineRule="auto"/>
        <w:rPr>
          <w:rFonts w:eastAsia="Times New Roman" w:cs="Arial"/>
          <w:color w:val="000000"/>
          <w:u w:val="single"/>
          <w:lang w:eastAsia="bg-BG"/>
        </w:rPr>
      </w:pPr>
    </w:p>
    <w:p w14:paraId="63F5681B" w14:textId="24B960F8"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Важна информация за помощните вещества</w:t>
      </w:r>
    </w:p>
    <w:p w14:paraId="5F4993D6" w14:textId="77777777" w:rsidR="00B25626" w:rsidRPr="00B25626" w:rsidRDefault="00B25626" w:rsidP="00B25626">
      <w:pPr>
        <w:rPr>
          <w:rFonts w:eastAsia="Times New Roman" w:cs="Arial"/>
          <w:color w:val="000000"/>
          <w:lang w:eastAsia="bg-BG"/>
        </w:rPr>
      </w:pPr>
    </w:p>
    <w:p w14:paraId="58D010CB" w14:textId="391E6D08" w:rsidR="00B25626" w:rsidRPr="00B25626" w:rsidRDefault="00B25626" w:rsidP="00B25626">
      <w:pPr>
        <w:rPr>
          <w:rFonts w:cs="Arial"/>
        </w:rPr>
      </w:pPr>
      <w:r w:rsidRPr="00B25626">
        <w:rPr>
          <w:rFonts w:eastAsia="Times New Roman" w:cs="Arial"/>
          <w:color w:val="000000"/>
          <w:lang w:eastAsia="bg-BG"/>
        </w:rPr>
        <w:t xml:space="preserve">Този лекарствен продукт съдържа 83 </w:t>
      </w:r>
      <w:r w:rsidRPr="00B25626">
        <w:rPr>
          <w:rFonts w:eastAsia="Times New Roman" w:cs="Arial"/>
          <w:color w:val="000000"/>
          <w:lang w:val="en-US"/>
        </w:rPr>
        <w:t xml:space="preserve">mg </w:t>
      </w:r>
      <w:r w:rsidRPr="00B25626">
        <w:rPr>
          <w:rFonts w:eastAsia="Times New Roman" w:cs="Arial"/>
          <w:color w:val="000000"/>
          <w:lang w:eastAsia="bg-BG"/>
        </w:rPr>
        <w:t xml:space="preserve">натрий на 1 500 </w:t>
      </w:r>
      <w:r w:rsidRPr="00B25626">
        <w:rPr>
          <w:rFonts w:eastAsia="Times New Roman" w:cs="Arial"/>
          <w:color w:val="000000"/>
          <w:lang w:val="en-US"/>
        </w:rPr>
        <w:t xml:space="preserve">mg, </w:t>
      </w:r>
      <w:r w:rsidRPr="00B25626">
        <w:rPr>
          <w:rFonts w:eastAsia="Times New Roman" w:cs="Arial"/>
          <w:color w:val="000000"/>
          <w:lang w:eastAsia="bg-BG"/>
        </w:rPr>
        <w:t xml:space="preserve">които са еквивалентни на 4,2% от препоръчителния максимален дневен прием от 2 </w:t>
      </w:r>
      <w:r w:rsidRPr="00B25626">
        <w:rPr>
          <w:rFonts w:eastAsia="Times New Roman" w:cs="Arial"/>
          <w:color w:val="000000"/>
          <w:lang w:val="en-US"/>
        </w:rPr>
        <w:t xml:space="preserve">g </w:t>
      </w:r>
      <w:r w:rsidRPr="00B25626">
        <w:rPr>
          <w:rFonts w:eastAsia="Times New Roman" w:cs="Arial"/>
          <w:color w:val="000000"/>
          <w:lang w:eastAsia="bg-BG"/>
        </w:rPr>
        <w:t>натрий за възрастен.</w:t>
      </w:r>
    </w:p>
    <w:p w14:paraId="2FC42775" w14:textId="77777777" w:rsidR="00B25626" w:rsidRPr="0091385D" w:rsidRDefault="00B2562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ABEFAEE"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Цефуроксим се екскретира чрез гломерулна филтрация и тубулна секреция. Не се препоръчва едновременно приложение с пробенецид. Едновременното приложение с пробенецид удължава екскрецията на антибиотика и води до повишена пикова серумна концентрация.</w:t>
      </w:r>
    </w:p>
    <w:p w14:paraId="76841BA5" w14:textId="77777777" w:rsidR="00B25626" w:rsidRPr="00B25626" w:rsidRDefault="00B25626" w:rsidP="00B25626">
      <w:pPr>
        <w:spacing w:line="240" w:lineRule="auto"/>
        <w:rPr>
          <w:rFonts w:eastAsia="Times New Roman" w:cs="Arial"/>
          <w:b/>
          <w:bCs/>
          <w:color w:val="000000"/>
          <w:lang w:eastAsia="bg-BG"/>
        </w:rPr>
      </w:pPr>
      <w:bookmarkStart w:id="1" w:name="bookmark0"/>
    </w:p>
    <w:p w14:paraId="7BAD3E78" w14:textId="181B9DDE" w:rsidR="00B25626" w:rsidRPr="00B25626" w:rsidRDefault="00B25626" w:rsidP="00B25626">
      <w:pPr>
        <w:spacing w:line="240" w:lineRule="auto"/>
        <w:rPr>
          <w:rFonts w:eastAsia="Times New Roman" w:cs="Arial"/>
          <w:lang w:eastAsia="bg-BG"/>
        </w:rPr>
      </w:pPr>
      <w:r w:rsidRPr="00B25626">
        <w:rPr>
          <w:rFonts w:eastAsia="Times New Roman" w:cs="Arial"/>
          <w:b/>
          <w:bCs/>
          <w:color w:val="000000"/>
          <w:lang w:eastAsia="bg-BG"/>
        </w:rPr>
        <w:t>Потенциално нефротоксични лекарства и бримкови диуретици</w:t>
      </w:r>
      <w:bookmarkEnd w:id="1"/>
    </w:p>
    <w:p w14:paraId="404282C5"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Лечението с високи дози цефалоспорини трябва да се провежда с повишено внимание при пациенти, които приемат мощни диуретици (като фуроземид) или потенциално нефротоксични продукти (като аминогликозидните антибиотици), тъй като не може да се изключи нарушаване на бъбречната функция от такива комбинации.</w:t>
      </w:r>
    </w:p>
    <w:p w14:paraId="4C8C7C4B" w14:textId="77777777" w:rsidR="00B25626" w:rsidRPr="00B25626" w:rsidRDefault="00B25626" w:rsidP="00B25626">
      <w:pPr>
        <w:spacing w:line="240" w:lineRule="auto"/>
        <w:rPr>
          <w:rFonts w:eastAsia="Times New Roman" w:cs="Arial"/>
          <w:b/>
          <w:bCs/>
          <w:color w:val="000000"/>
          <w:lang w:eastAsia="bg-BG"/>
        </w:rPr>
      </w:pPr>
      <w:bookmarkStart w:id="2" w:name="bookmark2"/>
    </w:p>
    <w:p w14:paraId="529F9F19" w14:textId="45258C84" w:rsidR="00B25626" w:rsidRPr="00B25626" w:rsidRDefault="00B25626" w:rsidP="00B25626">
      <w:pPr>
        <w:spacing w:line="240" w:lineRule="auto"/>
        <w:rPr>
          <w:rFonts w:eastAsia="Times New Roman" w:cs="Arial"/>
          <w:lang w:eastAsia="bg-BG"/>
        </w:rPr>
      </w:pPr>
      <w:r w:rsidRPr="00B25626">
        <w:rPr>
          <w:rFonts w:eastAsia="Times New Roman" w:cs="Arial"/>
          <w:b/>
          <w:bCs/>
          <w:color w:val="000000"/>
          <w:lang w:eastAsia="bg-BG"/>
        </w:rPr>
        <w:t>Други взаимодействия</w:t>
      </w:r>
      <w:bookmarkEnd w:id="2"/>
    </w:p>
    <w:p w14:paraId="5B2761C5" w14:textId="50A772A0" w:rsidR="0091385D" w:rsidRPr="00B25626" w:rsidRDefault="00B25626" w:rsidP="00B25626">
      <w:pPr>
        <w:rPr>
          <w:rFonts w:cs="Arial"/>
        </w:rPr>
      </w:pPr>
      <w:r w:rsidRPr="00B25626">
        <w:rPr>
          <w:rFonts w:eastAsia="Times New Roman" w:cs="Arial"/>
          <w:color w:val="000000"/>
          <w:lang w:eastAsia="bg-BG"/>
        </w:rPr>
        <w:t xml:space="preserve">Определяне на нивата на глюкоза в кръвта/плазмата: моля, вижте точка 4.4. Едновременното приложение с перорални антикоагуланти може да доведе до повишаване на международното нормализирано съотношение </w:t>
      </w:r>
      <w:r w:rsidRPr="00B25626">
        <w:rPr>
          <w:rFonts w:eastAsia="Times New Roman" w:cs="Arial"/>
          <w:color w:val="000000"/>
          <w:lang w:val="en-US"/>
        </w:rPr>
        <w:t>(1NR).</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37BA9AE" w14:textId="77777777" w:rsidR="00B25626" w:rsidRPr="00B25626" w:rsidRDefault="00B25626" w:rsidP="00B25626">
      <w:pPr>
        <w:pStyle w:val="Heading3"/>
        <w:rPr>
          <w:rFonts w:eastAsia="Times New Roman"/>
          <w:u w:val="single"/>
          <w:lang w:eastAsia="bg-BG"/>
        </w:rPr>
      </w:pPr>
      <w:r w:rsidRPr="00B25626">
        <w:rPr>
          <w:rFonts w:eastAsia="Times New Roman"/>
          <w:u w:val="single"/>
          <w:lang w:eastAsia="bg-BG"/>
        </w:rPr>
        <w:lastRenderedPageBreak/>
        <w:t>Бременност:</w:t>
      </w:r>
    </w:p>
    <w:p w14:paraId="0A2928D8"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Има ограничено количество данни от употребата на цефуроксим при бременни жени. Проучванията при животни не показват репродуктивна токсичност (вж. точка 5.3). Цефуроксим-М</w:t>
      </w:r>
      <w:r w:rsidRPr="00B25626">
        <w:rPr>
          <w:rFonts w:eastAsia="Times New Roman" w:cs="Arial"/>
          <w:color w:val="000000"/>
          <w:lang w:val="en-US"/>
        </w:rPr>
        <w:t>I</w:t>
      </w:r>
      <w:r w:rsidRPr="00B25626">
        <w:rPr>
          <w:rFonts w:eastAsia="Times New Roman" w:cs="Arial"/>
          <w:color w:val="000000"/>
          <w:lang w:eastAsia="bg-BG"/>
        </w:rPr>
        <w:t>Р трябва да се предписва на бременни жени само ако ползата превишава риска.</w:t>
      </w:r>
    </w:p>
    <w:p w14:paraId="0CDDB938" w14:textId="77777777" w:rsidR="00B25626" w:rsidRDefault="00B25626" w:rsidP="00B25626">
      <w:pPr>
        <w:spacing w:line="240" w:lineRule="auto"/>
        <w:rPr>
          <w:rFonts w:eastAsia="Times New Roman" w:cs="Arial"/>
          <w:color w:val="000000"/>
          <w:lang w:eastAsia="bg-BG"/>
        </w:rPr>
      </w:pPr>
    </w:p>
    <w:p w14:paraId="68109586" w14:textId="60BEA571"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Установено е, че цефуроксим преминава през плацентата и достига терапевтични нива в амниотичната течност и кръв от пъпната връв след интрамускулно или интравенозно приложение при майката.</w:t>
      </w:r>
    </w:p>
    <w:p w14:paraId="5F451237" w14:textId="77777777" w:rsidR="00B25626" w:rsidRPr="00B25626" w:rsidRDefault="00B25626" w:rsidP="00B25626">
      <w:pPr>
        <w:spacing w:line="240" w:lineRule="auto"/>
        <w:rPr>
          <w:rFonts w:eastAsia="Times New Roman" w:cs="Arial"/>
          <w:lang w:eastAsia="bg-BG"/>
        </w:rPr>
      </w:pPr>
      <w:r w:rsidRPr="00B25626">
        <w:rPr>
          <w:rFonts w:eastAsia="Times New Roman" w:cs="Arial"/>
          <w:i/>
          <w:iCs/>
          <w:color w:val="000000"/>
          <w:lang w:eastAsia="bg-BG"/>
        </w:rPr>
        <w:t>.</w:t>
      </w:r>
    </w:p>
    <w:p w14:paraId="77D8AE54" w14:textId="77777777" w:rsidR="00B25626" w:rsidRPr="00B25626" w:rsidRDefault="00B25626" w:rsidP="00B25626">
      <w:pPr>
        <w:pStyle w:val="Heading3"/>
        <w:rPr>
          <w:rFonts w:eastAsia="Times New Roman"/>
          <w:u w:val="single"/>
          <w:lang w:eastAsia="bg-BG"/>
        </w:rPr>
      </w:pPr>
      <w:r w:rsidRPr="00B25626">
        <w:rPr>
          <w:rFonts w:eastAsia="Times New Roman"/>
          <w:u w:val="single"/>
          <w:lang w:eastAsia="bg-BG"/>
        </w:rPr>
        <w:t>Кърмене:</w:t>
      </w:r>
    </w:p>
    <w:p w14:paraId="2E0250BA" w14:textId="77777777" w:rsidR="00B25626" w:rsidRPr="00B25626" w:rsidRDefault="00B25626" w:rsidP="00B25626">
      <w:pPr>
        <w:rPr>
          <w:rFonts w:eastAsia="Times New Roman" w:cs="Arial"/>
          <w:lang w:eastAsia="bg-BG"/>
        </w:rPr>
      </w:pPr>
      <w:r w:rsidRPr="00B25626">
        <w:rPr>
          <w:rFonts w:eastAsia="Times New Roman" w:cs="Arial"/>
          <w:color w:val="000000"/>
          <w:lang w:eastAsia="bg-BG"/>
        </w:rPr>
        <w:t>Цефуроксим се отделя в кърмата в малки количества. Не се очакват нежелани реакции при терапевтични дози, въпреки че не може да се изключи риск от развитие на диария и гъбична</w:t>
      </w:r>
      <w:r w:rsidRPr="00B25626">
        <w:rPr>
          <w:rFonts w:eastAsia="Times New Roman" w:cs="Arial"/>
          <w:color w:val="000000"/>
          <w:lang w:val="en-US" w:eastAsia="bg-BG"/>
        </w:rPr>
        <w:t xml:space="preserve"> </w:t>
      </w:r>
      <w:r w:rsidRPr="00B25626">
        <w:rPr>
          <w:rFonts w:eastAsia="Times New Roman" w:cs="Arial"/>
          <w:color w:val="000000"/>
          <w:lang w:eastAsia="bg-BG"/>
        </w:rPr>
        <w:t>инфекция на лигавиците. Трябва да се вземе решение дали да се преустанови кърменето или да се спре терапията с цефуроксим, като се вземат под внимание ползата от кърменето за детето и и ползата от терапията за майката.</w:t>
      </w:r>
    </w:p>
    <w:p w14:paraId="5D6B2A80" w14:textId="77777777" w:rsidR="00B25626" w:rsidRPr="00B25626" w:rsidRDefault="00B25626" w:rsidP="00B25626">
      <w:pPr>
        <w:spacing w:line="240" w:lineRule="auto"/>
        <w:rPr>
          <w:rFonts w:eastAsia="Times New Roman" w:cs="Arial"/>
          <w:color w:val="000000"/>
          <w:u w:val="single"/>
          <w:lang w:eastAsia="bg-BG"/>
        </w:rPr>
      </w:pPr>
    </w:p>
    <w:p w14:paraId="29DFBA93" w14:textId="4CA7E9BC" w:rsidR="00B25626" w:rsidRPr="00B25626" w:rsidRDefault="00B25626" w:rsidP="00B25626">
      <w:pPr>
        <w:pStyle w:val="Heading3"/>
        <w:rPr>
          <w:rFonts w:eastAsia="Times New Roman"/>
          <w:u w:val="single"/>
          <w:lang w:val="en-US" w:eastAsia="bg-BG"/>
        </w:rPr>
      </w:pPr>
      <w:r w:rsidRPr="00B25626">
        <w:rPr>
          <w:rFonts w:eastAsia="Times New Roman"/>
          <w:u w:val="single"/>
          <w:lang w:eastAsia="bg-BG"/>
        </w:rPr>
        <w:t>Фертилитет</w:t>
      </w:r>
      <w:r>
        <w:rPr>
          <w:rFonts w:eastAsia="Times New Roman"/>
          <w:u w:val="single"/>
          <w:lang w:val="en-US" w:eastAsia="bg-BG"/>
        </w:rPr>
        <w:t>:</w:t>
      </w:r>
    </w:p>
    <w:p w14:paraId="102F0D07" w14:textId="07056C6D" w:rsidR="007A2185" w:rsidRPr="00B25626" w:rsidRDefault="00B25626" w:rsidP="00B25626">
      <w:pPr>
        <w:rPr>
          <w:rFonts w:cs="Arial"/>
          <w:lang w:val="en-US"/>
        </w:rPr>
      </w:pPr>
      <w:r w:rsidRPr="00B25626">
        <w:rPr>
          <w:rFonts w:eastAsia="Times New Roman" w:cs="Arial"/>
          <w:color w:val="000000"/>
          <w:lang w:eastAsia="bg-BG"/>
        </w:rPr>
        <w:t>Няма данни за ефектите на цефуроксим натрий върху фертилитета при хора. Репродуктивни проучвания при животни не са показали ефекти върху фертилитета.</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71E17E4A" w:rsidR="007A2185" w:rsidRDefault="00B25626" w:rsidP="0091385D">
      <w:r>
        <w:t>Не са провеждани проучвания за ефектите на цефуроксим върху способността за шофиране и работа с машини. Обаче въз основа на известните нежелани реакции не е вероятно цефуроксим да повлиява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7F92BA1B"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Най-честите нежелани реакции са неутропения, еозинофилия, преходно повишаване на чернодробните ензими или билирубина, особено при пациенти с предшестващо чернодробно заболяване, но няма данни за увреждане на черния дроб, и реакции на мястото на инжектиране.</w:t>
      </w:r>
    </w:p>
    <w:p w14:paraId="5F14A83D" w14:textId="77777777" w:rsidR="00B25626" w:rsidRPr="00441BF6" w:rsidRDefault="00B25626" w:rsidP="00B25626">
      <w:pPr>
        <w:spacing w:line="240" w:lineRule="auto"/>
        <w:rPr>
          <w:rFonts w:eastAsia="Times New Roman" w:cs="Arial"/>
          <w:color w:val="000000"/>
          <w:lang w:eastAsia="bg-BG"/>
        </w:rPr>
      </w:pPr>
    </w:p>
    <w:p w14:paraId="3AFAA74D" w14:textId="5A6E9345"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Категоризирането по честота на нежеланите лекарствени реакции по-долу е приблизително, тъй като за повечето реакции не са налични подходящи данни за изчисляване на честотата. В допълнение честотата на нежеланите лекарствени реакции, свързани с цефуроксим натрий, може да варира в зависимост от индикацията.</w:t>
      </w:r>
    </w:p>
    <w:p w14:paraId="70B13C98" w14:textId="77777777" w:rsidR="00B25626" w:rsidRPr="00441BF6" w:rsidRDefault="00B25626" w:rsidP="00B25626">
      <w:pPr>
        <w:spacing w:line="240" w:lineRule="auto"/>
        <w:rPr>
          <w:rFonts w:eastAsia="Times New Roman" w:cs="Arial"/>
          <w:color w:val="000000"/>
          <w:lang w:eastAsia="bg-BG"/>
        </w:rPr>
      </w:pPr>
    </w:p>
    <w:p w14:paraId="3CF11ACD" w14:textId="449DB18D"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Данни от клинични проучвания са използвани за определяне на честотата на нежеланите лекарствени реакции в категориите от много чести до редки. Честотите на всички други нежелани лекарствени реакции (т.е. тези с честота &lt; 1/10 000) са установени главно въз основа на постмаркетингови данни и честотата им зависи от честотата на съобщаване на нежелани реакции, а не от реалната честота.</w:t>
      </w:r>
    </w:p>
    <w:p w14:paraId="5F97261B" w14:textId="77777777" w:rsidR="00B25626" w:rsidRPr="00441BF6" w:rsidRDefault="00B25626" w:rsidP="00B25626">
      <w:pPr>
        <w:rPr>
          <w:rFonts w:eastAsia="Times New Roman" w:cs="Arial"/>
          <w:color w:val="000000"/>
          <w:lang w:eastAsia="bg-BG"/>
        </w:rPr>
      </w:pPr>
    </w:p>
    <w:p w14:paraId="0254AACC" w14:textId="303AECB2" w:rsidR="007A2185" w:rsidRPr="00441BF6" w:rsidRDefault="00B25626" w:rsidP="00B25626">
      <w:pPr>
        <w:rPr>
          <w:rFonts w:cs="Arial"/>
        </w:rPr>
      </w:pPr>
      <w:r w:rsidRPr="00441BF6">
        <w:rPr>
          <w:rFonts w:eastAsia="Times New Roman" w:cs="Arial"/>
          <w:color w:val="000000"/>
          <w:lang w:eastAsia="bg-BG"/>
        </w:rPr>
        <w:t xml:space="preserve">Свързаните с лечението нежелани лекарствени реакции, всички степени, са изброени по-долу, съгласно </w:t>
      </w:r>
      <w:proofErr w:type="spellStart"/>
      <w:r w:rsidRPr="00441BF6">
        <w:rPr>
          <w:rFonts w:eastAsia="Times New Roman" w:cs="Arial"/>
          <w:color w:val="000000"/>
          <w:lang w:val="en-US"/>
        </w:rPr>
        <w:t>MedDRA</w:t>
      </w:r>
      <w:proofErr w:type="spellEnd"/>
      <w:r w:rsidRPr="00441BF6">
        <w:rPr>
          <w:rFonts w:eastAsia="Times New Roman" w:cs="Arial"/>
          <w:color w:val="000000"/>
          <w:lang w:val="en-US"/>
        </w:rPr>
        <w:t xml:space="preserve">, </w:t>
      </w:r>
      <w:r w:rsidRPr="00441BF6">
        <w:rPr>
          <w:rFonts w:eastAsia="Times New Roman" w:cs="Arial"/>
          <w:color w:val="000000"/>
          <w:lang w:eastAsia="bg-BG"/>
        </w:rPr>
        <w:t xml:space="preserve">по системо-органен клас, честота и степен на тежест. Използвана е следната класификация на честотата на нежеланите лекарствени реакции: </w:t>
      </w:r>
      <w:r w:rsidRPr="00441BF6">
        <w:rPr>
          <w:rFonts w:eastAsia="Times New Roman" w:cs="Arial"/>
          <w:color w:val="000000"/>
          <w:lang w:eastAsia="bg-BG"/>
        </w:rPr>
        <w:lastRenderedPageBreak/>
        <w:t>много чести ≥ 1/10; чести ≥ 1/100 до &lt; 1/10; нечести ≥ 1/1 000 до &lt; 1/100; редки ≥ 1/10 000 до &lt; 1/1 000; много редки &lt; 1/10 000 и с неизвестна честота (от наличните данни не може да бъде направена оценка).</w:t>
      </w:r>
    </w:p>
    <w:p w14:paraId="443BC107" w14:textId="2B75BF56" w:rsidR="005B0F27" w:rsidRPr="00441BF6" w:rsidRDefault="005B0F27" w:rsidP="0091385D">
      <w:pPr>
        <w:rPr>
          <w:rFonts w:cs="Arial"/>
        </w:rPr>
      </w:pPr>
    </w:p>
    <w:tbl>
      <w:tblPr>
        <w:tblStyle w:val="TableGrid"/>
        <w:tblW w:w="0" w:type="auto"/>
        <w:tblLook w:val="04A0" w:firstRow="1" w:lastRow="0" w:firstColumn="1" w:lastColumn="0" w:noHBand="0" w:noVBand="1"/>
      </w:tblPr>
      <w:tblGrid>
        <w:gridCol w:w="2337"/>
        <w:gridCol w:w="2337"/>
        <w:gridCol w:w="2338"/>
        <w:gridCol w:w="2338"/>
      </w:tblGrid>
      <w:tr w:rsidR="00441BF6" w:rsidRPr="00441BF6" w14:paraId="0F0D12DD" w14:textId="77777777" w:rsidTr="002F702D">
        <w:tc>
          <w:tcPr>
            <w:tcW w:w="2337" w:type="dxa"/>
            <w:vAlign w:val="bottom"/>
          </w:tcPr>
          <w:p w14:paraId="53C5310C" w14:textId="2FF5A1BF" w:rsidR="00441BF6" w:rsidRPr="00441BF6" w:rsidRDefault="00441BF6" w:rsidP="00441BF6">
            <w:pPr>
              <w:rPr>
                <w:rFonts w:cs="Arial"/>
              </w:rPr>
            </w:pPr>
            <w:r>
              <w:rPr>
                <w:b/>
                <w:bCs/>
              </w:rPr>
              <w:t>Системо-органен клас</w:t>
            </w:r>
          </w:p>
        </w:tc>
        <w:tc>
          <w:tcPr>
            <w:tcW w:w="2337" w:type="dxa"/>
          </w:tcPr>
          <w:p w14:paraId="4EF78A93" w14:textId="7D4AF912" w:rsidR="00441BF6" w:rsidRPr="00441BF6" w:rsidRDefault="00441BF6" w:rsidP="00441BF6">
            <w:pPr>
              <w:rPr>
                <w:rFonts w:cs="Arial"/>
              </w:rPr>
            </w:pPr>
            <w:r>
              <w:rPr>
                <w:b/>
                <w:bCs/>
              </w:rPr>
              <w:t>Чести</w:t>
            </w:r>
          </w:p>
        </w:tc>
        <w:tc>
          <w:tcPr>
            <w:tcW w:w="2338" w:type="dxa"/>
          </w:tcPr>
          <w:p w14:paraId="098C14DA" w14:textId="40421BD4" w:rsidR="00441BF6" w:rsidRPr="00441BF6" w:rsidRDefault="00441BF6" w:rsidP="00441BF6">
            <w:pPr>
              <w:rPr>
                <w:rFonts w:cs="Arial"/>
              </w:rPr>
            </w:pPr>
            <w:r>
              <w:rPr>
                <w:b/>
                <w:bCs/>
              </w:rPr>
              <w:t>Нечести</w:t>
            </w:r>
          </w:p>
        </w:tc>
        <w:tc>
          <w:tcPr>
            <w:tcW w:w="2338" w:type="dxa"/>
            <w:vAlign w:val="bottom"/>
          </w:tcPr>
          <w:p w14:paraId="5E08B4CD" w14:textId="43326A42" w:rsidR="00441BF6" w:rsidRPr="00441BF6" w:rsidRDefault="00441BF6" w:rsidP="00441BF6">
            <w:pPr>
              <w:rPr>
                <w:rFonts w:cs="Arial"/>
              </w:rPr>
            </w:pPr>
            <w:r>
              <w:rPr>
                <w:b/>
                <w:bCs/>
              </w:rPr>
              <w:t>С неизвестна честота</w:t>
            </w:r>
          </w:p>
        </w:tc>
      </w:tr>
      <w:tr w:rsidR="00441BF6" w:rsidRPr="00441BF6" w14:paraId="4BD0506C" w14:textId="77777777" w:rsidTr="002F702D">
        <w:tc>
          <w:tcPr>
            <w:tcW w:w="2337" w:type="dxa"/>
          </w:tcPr>
          <w:p w14:paraId="03995B77" w14:textId="00234271" w:rsidR="00441BF6" w:rsidRPr="00441BF6" w:rsidRDefault="00441BF6" w:rsidP="00441BF6">
            <w:pPr>
              <w:rPr>
                <w:rFonts w:cs="Arial"/>
              </w:rPr>
            </w:pPr>
            <w:r>
              <w:rPr>
                <w:u w:val="single"/>
              </w:rPr>
              <w:t>Инфекции и инфестации</w:t>
            </w:r>
          </w:p>
        </w:tc>
        <w:tc>
          <w:tcPr>
            <w:tcW w:w="2337" w:type="dxa"/>
          </w:tcPr>
          <w:p w14:paraId="2D569A08" w14:textId="77777777" w:rsidR="00441BF6" w:rsidRPr="00441BF6" w:rsidRDefault="00441BF6" w:rsidP="00441BF6">
            <w:pPr>
              <w:rPr>
                <w:rFonts w:cs="Arial"/>
              </w:rPr>
            </w:pPr>
          </w:p>
        </w:tc>
        <w:tc>
          <w:tcPr>
            <w:tcW w:w="2338" w:type="dxa"/>
          </w:tcPr>
          <w:p w14:paraId="6E5FE86A" w14:textId="77777777" w:rsidR="00441BF6" w:rsidRPr="00441BF6" w:rsidRDefault="00441BF6" w:rsidP="00441BF6">
            <w:pPr>
              <w:rPr>
                <w:rFonts w:cs="Arial"/>
              </w:rPr>
            </w:pPr>
          </w:p>
        </w:tc>
        <w:tc>
          <w:tcPr>
            <w:tcW w:w="2338" w:type="dxa"/>
            <w:vAlign w:val="bottom"/>
          </w:tcPr>
          <w:p w14:paraId="63B8A212" w14:textId="77777777" w:rsidR="00441BF6" w:rsidRDefault="00441BF6" w:rsidP="00441BF6">
            <w:r>
              <w:t>свръхрастеж на</w:t>
            </w:r>
          </w:p>
          <w:p w14:paraId="3D2E6F26" w14:textId="77777777" w:rsidR="00441BF6" w:rsidRDefault="00441BF6" w:rsidP="00441BF6">
            <w:r>
              <w:rPr>
                <w:i/>
                <w:iCs/>
                <w:lang w:val="en-US"/>
              </w:rPr>
              <w:t>Candida,</w:t>
            </w:r>
          </w:p>
          <w:p w14:paraId="70641D98" w14:textId="396AC82A" w:rsidR="00441BF6" w:rsidRPr="00441BF6" w:rsidRDefault="00441BF6" w:rsidP="00441BF6">
            <w:pPr>
              <w:rPr>
                <w:rFonts w:cs="Arial"/>
              </w:rPr>
            </w:pPr>
            <w:r>
              <w:t xml:space="preserve">свръхрастеж на </w:t>
            </w:r>
            <w:r>
              <w:rPr>
                <w:i/>
                <w:iCs/>
                <w:lang w:val="en-US"/>
              </w:rPr>
              <w:t>Clostridium difficile</w:t>
            </w:r>
          </w:p>
        </w:tc>
      </w:tr>
      <w:tr w:rsidR="00441BF6" w:rsidRPr="00441BF6" w14:paraId="244E905C" w14:textId="77777777" w:rsidTr="002F702D">
        <w:tc>
          <w:tcPr>
            <w:tcW w:w="2337" w:type="dxa"/>
            <w:vAlign w:val="bottom"/>
          </w:tcPr>
          <w:p w14:paraId="11AA10FC" w14:textId="508DD869" w:rsidR="00441BF6" w:rsidRPr="00441BF6" w:rsidRDefault="00441BF6" w:rsidP="00441BF6">
            <w:pPr>
              <w:rPr>
                <w:rFonts w:cs="Arial"/>
              </w:rPr>
            </w:pPr>
            <w:r>
              <w:rPr>
                <w:u w:val="single"/>
              </w:rPr>
              <w:t>Нарушения на кръвта и лимфната сист</w:t>
            </w:r>
            <w:r>
              <w:t>ема</w:t>
            </w:r>
          </w:p>
        </w:tc>
        <w:tc>
          <w:tcPr>
            <w:tcW w:w="2337" w:type="dxa"/>
            <w:vAlign w:val="bottom"/>
          </w:tcPr>
          <w:p w14:paraId="445A4D8B" w14:textId="6CB41639" w:rsidR="00441BF6" w:rsidRPr="00441BF6" w:rsidRDefault="00441BF6" w:rsidP="00441BF6">
            <w:pPr>
              <w:rPr>
                <w:rFonts w:cs="Arial"/>
              </w:rPr>
            </w:pPr>
            <w:r>
              <w:t>неутропения, еозинофилия, понижена концентрация на хемоглобин</w:t>
            </w:r>
          </w:p>
        </w:tc>
        <w:tc>
          <w:tcPr>
            <w:tcW w:w="2338" w:type="dxa"/>
            <w:vAlign w:val="bottom"/>
          </w:tcPr>
          <w:p w14:paraId="575D9799" w14:textId="53C57FFE" w:rsidR="00441BF6" w:rsidRPr="00441BF6" w:rsidRDefault="00441BF6" w:rsidP="00441BF6">
            <w:pPr>
              <w:rPr>
                <w:rFonts w:cs="Arial"/>
              </w:rPr>
            </w:pPr>
            <w:r>
              <w:t xml:space="preserve">левкопения, положителен тест на </w:t>
            </w:r>
            <w:proofErr w:type="spellStart"/>
            <w:r>
              <w:rPr>
                <w:lang w:val="en-US"/>
              </w:rPr>
              <w:t>Coomb’s</w:t>
            </w:r>
            <w:proofErr w:type="spellEnd"/>
          </w:p>
        </w:tc>
        <w:tc>
          <w:tcPr>
            <w:tcW w:w="2338" w:type="dxa"/>
            <w:vAlign w:val="bottom"/>
          </w:tcPr>
          <w:p w14:paraId="5ACC13B4" w14:textId="77777777" w:rsidR="00441BF6" w:rsidRDefault="00441BF6" w:rsidP="00441BF6">
            <w:r>
              <w:t>тромбоцитопения, хемолитична</w:t>
            </w:r>
          </w:p>
          <w:p w14:paraId="3C8DBB13" w14:textId="621CD7D3" w:rsidR="00441BF6" w:rsidRPr="00441BF6" w:rsidRDefault="00441BF6" w:rsidP="00441BF6">
            <w:pPr>
              <w:rPr>
                <w:rFonts w:cs="Arial"/>
              </w:rPr>
            </w:pPr>
            <w:r>
              <w:t>анемия</w:t>
            </w:r>
          </w:p>
        </w:tc>
      </w:tr>
      <w:tr w:rsidR="00441BF6" w:rsidRPr="00441BF6" w14:paraId="37AD0180" w14:textId="77777777" w:rsidTr="002F702D">
        <w:tc>
          <w:tcPr>
            <w:tcW w:w="2337" w:type="dxa"/>
          </w:tcPr>
          <w:p w14:paraId="7504E5B2" w14:textId="0790A807" w:rsidR="00441BF6" w:rsidRPr="00441BF6" w:rsidRDefault="00441BF6" w:rsidP="00441BF6">
            <w:pPr>
              <w:rPr>
                <w:rFonts w:cs="Arial"/>
              </w:rPr>
            </w:pPr>
            <w:r>
              <w:rPr>
                <w:u w:val="single"/>
              </w:rPr>
              <w:t>Нарушения на имунната система</w:t>
            </w:r>
          </w:p>
        </w:tc>
        <w:tc>
          <w:tcPr>
            <w:tcW w:w="2337" w:type="dxa"/>
          </w:tcPr>
          <w:p w14:paraId="57ECDA6B" w14:textId="77777777" w:rsidR="00441BF6" w:rsidRPr="00441BF6" w:rsidRDefault="00441BF6" w:rsidP="00441BF6">
            <w:pPr>
              <w:rPr>
                <w:rFonts w:cs="Arial"/>
              </w:rPr>
            </w:pPr>
          </w:p>
        </w:tc>
        <w:tc>
          <w:tcPr>
            <w:tcW w:w="2338" w:type="dxa"/>
          </w:tcPr>
          <w:p w14:paraId="34842558" w14:textId="77777777" w:rsidR="00441BF6" w:rsidRPr="00441BF6" w:rsidRDefault="00441BF6" w:rsidP="00441BF6">
            <w:pPr>
              <w:rPr>
                <w:rFonts w:cs="Arial"/>
              </w:rPr>
            </w:pPr>
          </w:p>
        </w:tc>
        <w:tc>
          <w:tcPr>
            <w:tcW w:w="2338" w:type="dxa"/>
            <w:vAlign w:val="bottom"/>
          </w:tcPr>
          <w:p w14:paraId="4C997F14" w14:textId="538AB702" w:rsidR="00441BF6" w:rsidRPr="00441BF6" w:rsidRDefault="00441BF6" w:rsidP="00441BF6">
            <w:pPr>
              <w:rPr>
                <w:rFonts w:cs="Arial"/>
              </w:rPr>
            </w:pPr>
            <w:r>
              <w:t>лекарствена треска, интерстициален нефрит, анафилаксия, кожен васкулит</w:t>
            </w:r>
          </w:p>
        </w:tc>
      </w:tr>
      <w:tr w:rsidR="00441BF6" w:rsidRPr="00441BF6" w14:paraId="07347791" w14:textId="77777777" w:rsidTr="002F702D">
        <w:tc>
          <w:tcPr>
            <w:tcW w:w="2337" w:type="dxa"/>
            <w:vAlign w:val="bottom"/>
          </w:tcPr>
          <w:p w14:paraId="031F602C" w14:textId="0B9BB6D9" w:rsidR="00441BF6" w:rsidRPr="00441BF6" w:rsidRDefault="00441BF6" w:rsidP="00441BF6">
            <w:pPr>
              <w:rPr>
                <w:rFonts w:cs="Arial"/>
              </w:rPr>
            </w:pPr>
            <w:r>
              <w:rPr>
                <w:u w:val="single"/>
              </w:rPr>
              <w:t>Стомашно-чревни нарушения</w:t>
            </w:r>
          </w:p>
        </w:tc>
        <w:tc>
          <w:tcPr>
            <w:tcW w:w="2337" w:type="dxa"/>
          </w:tcPr>
          <w:p w14:paraId="65B93533" w14:textId="77777777" w:rsidR="00441BF6" w:rsidRPr="00441BF6" w:rsidRDefault="00441BF6" w:rsidP="00441BF6">
            <w:pPr>
              <w:rPr>
                <w:rFonts w:cs="Arial"/>
              </w:rPr>
            </w:pPr>
          </w:p>
        </w:tc>
        <w:tc>
          <w:tcPr>
            <w:tcW w:w="2338" w:type="dxa"/>
            <w:vAlign w:val="bottom"/>
          </w:tcPr>
          <w:p w14:paraId="0D3ACEBC" w14:textId="6FC2649E" w:rsidR="00441BF6" w:rsidRPr="00441BF6" w:rsidRDefault="00441BF6" w:rsidP="00441BF6">
            <w:pPr>
              <w:rPr>
                <w:rFonts w:cs="Arial"/>
              </w:rPr>
            </w:pPr>
            <w:r>
              <w:t>стомашно-чревни смущения</w:t>
            </w:r>
          </w:p>
        </w:tc>
        <w:tc>
          <w:tcPr>
            <w:tcW w:w="2338" w:type="dxa"/>
            <w:vAlign w:val="bottom"/>
          </w:tcPr>
          <w:p w14:paraId="2419A750" w14:textId="0F9AEDAC" w:rsidR="00441BF6" w:rsidRPr="00441BF6" w:rsidRDefault="00441BF6" w:rsidP="00441BF6">
            <w:pPr>
              <w:rPr>
                <w:rFonts w:cs="Arial"/>
              </w:rPr>
            </w:pPr>
            <w:r>
              <w:t>псевдомембранозен</w:t>
            </w:r>
            <w:r>
              <w:rPr>
                <w:u w:val="single"/>
              </w:rPr>
              <w:t xml:space="preserve"> </w:t>
            </w:r>
            <w:r>
              <w:t>колит</w:t>
            </w:r>
          </w:p>
        </w:tc>
      </w:tr>
      <w:tr w:rsidR="00441BF6" w:rsidRPr="00441BF6" w14:paraId="06B24312" w14:textId="77777777" w:rsidTr="002F702D">
        <w:tc>
          <w:tcPr>
            <w:tcW w:w="2337" w:type="dxa"/>
          </w:tcPr>
          <w:p w14:paraId="02DB9E71" w14:textId="459CA518" w:rsidR="00441BF6" w:rsidRPr="00441BF6" w:rsidRDefault="00441BF6" w:rsidP="00441BF6">
            <w:pPr>
              <w:rPr>
                <w:rFonts w:cs="Arial"/>
              </w:rPr>
            </w:pPr>
            <w:r>
              <w:rPr>
                <w:u w:val="single"/>
              </w:rPr>
              <w:t>Хепатобилиарни нарушения</w:t>
            </w:r>
          </w:p>
        </w:tc>
        <w:tc>
          <w:tcPr>
            <w:tcW w:w="2337" w:type="dxa"/>
            <w:vAlign w:val="bottom"/>
          </w:tcPr>
          <w:p w14:paraId="3E5A0155" w14:textId="257659BE" w:rsidR="00441BF6" w:rsidRPr="00441BF6" w:rsidRDefault="00441BF6" w:rsidP="00441BF6">
            <w:pPr>
              <w:rPr>
                <w:rFonts w:cs="Arial"/>
              </w:rPr>
            </w:pPr>
            <w:r>
              <w:t>преходно повишаване на нивата на чернодробните ензими</w:t>
            </w:r>
          </w:p>
        </w:tc>
        <w:tc>
          <w:tcPr>
            <w:tcW w:w="2338" w:type="dxa"/>
            <w:vAlign w:val="bottom"/>
          </w:tcPr>
          <w:p w14:paraId="1DF20123" w14:textId="485DA790" w:rsidR="00441BF6" w:rsidRPr="00441BF6" w:rsidRDefault="00441BF6" w:rsidP="00441BF6">
            <w:pPr>
              <w:rPr>
                <w:rFonts w:cs="Arial"/>
              </w:rPr>
            </w:pPr>
            <w:r>
              <w:t>преходно повишаване на билирубина</w:t>
            </w:r>
          </w:p>
        </w:tc>
        <w:tc>
          <w:tcPr>
            <w:tcW w:w="2338" w:type="dxa"/>
            <w:vAlign w:val="bottom"/>
          </w:tcPr>
          <w:p w14:paraId="68224B5E" w14:textId="77777777" w:rsidR="00441BF6" w:rsidRPr="00441BF6" w:rsidRDefault="00441BF6" w:rsidP="00441BF6">
            <w:pPr>
              <w:rPr>
                <w:rFonts w:cs="Arial"/>
              </w:rPr>
            </w:pPr>
          </w:p>
        </w:tc>
      </w:tr>
      <w:tr w:rsidR="00441BF6" w:rsidRPr="00441BF6" w14:paraId="511DB60B" w14:textId="77777777" w:rsidTr="001B61B6">
        <w:trPr>
          <w:trHeight w:val="2429"/>
        </w:trPr>
        <w:tc>
          <w:tcPr>
            <w:tcW w:w="2337" w:type="dxa"/>
          </w:tcPr>
          <w:p w14:paraId="7FC3CEEB" w14:textId="4BF21B79" w:rsidR="00441BF6" w:rsidRPr="00441BF6" w:rsidRDefault="00441BF6" w:rsidP="00441BF6">
            <w:pPr>
              <w:rPr>
                <w:rFonts w:cs="Arial"/>
              </w:rPr>
            </w:pPr>
            <w:r>
              <w:rPr>
                <w:u w:val="single"/>
              </w:rPr>
              <w:t>Нарушения на кожата и подкожната тъкан</w:t>
            </w:r>
          </w:p>
        </w:tc>
        <w:tc>
          <w:tcPr>
            <w:tcW w:w="2337" w:type="dxa"/>
          </w:tcPr>
          <w:p w14:paraId="15E61538" w14:textId="77777777" w:rsidR="00441BF6" w:rsidRPr="00441BF6" w:rsidRDefault="00441BF6" w:rsidP="00441BF6">
            <w:pPr>
              <w:rPr>
                <w:rFonts w:cs="Arial"/>
              </w:rPr>
            </w:pPr>
          </w:p>
        </w:tc>
        <w:tc>
          <w:tcPr>
            <w:tcW w:w="2338" w:type="dxa"/>
          </w:tcPr>
          <w:p w14:paraId="36C8C4F5" w14:textId="2214DAD5" w:rsidR="00441BF6" w:rsidRPr="00441BF6" w:rsidRDefault="00441BF6" w:rsidP="00441BF6">
            <w:pPr>
              <w:rPr>
                <w:rFonts w:cs="Arial"/>
              </w:rPr>
            </w:pPr>
            <w:r>
              <w:t>кожен обрив, уртикария и сърбеж</w:t>
            </w:r>
          </w:p>
        </w:tc>
        <w:tc>
          <w:tcPr>
            <w:tcW w:w="2338" w:type="dxa"/>
          </w:tcPr>
          <w:p w14:paraId="151BEA1C" w14:textId="77777777" w:rsidR="00441BF6" w:rsidRDefault="00441BF6" w:rsidP="00441BF6">
            <w:r>
              <w:t>еритема мултиформе</w:t>
            </w:r>
          </w:p>
          <w:p w14:paraId="70FBEDD5" w14:textId="77777777" w:rsidR="00441BF6" w:rsidRPr="00441BF6" w:rsidRDefault="00441BF6" w:rsidP="00441BF6">
            <w:pPr>
              <w:rPr>
                <w:rFonts w:cs="Arial"/>
              </w:rPr>
            </w:pPr>
            <w:r>
              <w:t>токсична</w:t>
            </w:r>
          </w:p>
          <w:p w14:paraId="4F38CD02" w14:textId="0BE00423" w:rsidR="00441BF6" w:rsidRPr="00441BF6" w:rsidRDefault="00441BF6" w:rsidP="00441BF6">
            <w:pPr>
              <w:rPr>
                <w:rFonts w:cs="Arial"/>
              </w:rPr>
            </w:pPr>
            <w:r>
              <w:t xml:space="preserve">епидермална некролиза и синдром на </w:t>
            </w:r>
            <w:r>
              <w:rPr>
                <w:lang w:val="en-US"/>
              </w:rPr>
              <w:t xml:space="preserve">Stevens- Johnson, </w:t>
            </w:r>
            <w:r>
              <w:t>ангионевротичен едем</w:t>
            </w:r>
          </w:p>
        </w:tc>
      </w:tr>
      <w:tr w:rsidR="00441BF6" w:rsidRPr="00441BF6" w14:paraId="25B257C3" w14:textId="77777777" w:rsidTr="00B25626">
        <w:tc>
          <w:tcPr>
            <w:tcW w:w="2337" w:type="dxa"/>
          </w:tcPr>
          <w:p w14:paraId="5D07B828" w14:textId="17BFA1C2" w:rsidR="00441BF6" w:rsidRPr="00441BF6" w:rsidRDefault="00441BF6" w:rsidP="00441BF6">
            <w:pPr>
              <w:rPr>
                <w:rFonts w:cs="Arial"/>
              </w:rPr>
            </w:pPr>
            <w:r>
              <w:rPr>
                <w:u w:val="single"/>
              </w:rPr>
              <w:t>Нарушения на бъбреците и пикочните пътища</w:t>
            </w:r>
          </w:p>
        </w:tc>
        <w:tc>
          <w:tcPr>
            <w:tcW w:w="2337" w:type="dxa"/>
          </w:tcPr>
          <w:p w14:paraId="0C30C8E0" w14:textId="77777777" w:rsidR="00441BF6" w:rsidRPr="00441BF6" w:rsidRDefault="00441BF6" w:rsidP="00441BF6">
            <w:pPr>
              <w:rPr>
                <w:rFonts w:cs="Arial"/>
              </w:rPr>
            </w:pPr>
          </w:p>
        </w:tc>
        <w:tc>
          <w:tcPr>
            <w:tcW w:w="2338" w:type="dxa"/>
          </w:tcPr>
          <w:p w14:paraId="4696F3E5" w14:textId="77777777" w:rsidR="00441BF6" w:rsidRPr="00441BF6" w:rsidRDefault="00441BF6" w:rsidP="00441BF6">
            <w:pPr>
              <w:rPr>
                <w:rFonts w:cs="Arial"/>
              </w:rPr>
            </w:pPr>
          </w:p>
        </w:tc>
        <w:tc>
          <w:tcPr>
            <w:tcW w:w="2338" w:type="dxa"/>
          </w:tcPr>
          <w:p w14:paraId="28176CB6" w14:textId="2DAD58AF" w:rsidR="00441BF6" w:rsidRPr="00441BF6" w:rsidRDefault="00441BF6" w:rsidP="00441BF6">
            <w:pPr>
              <w:rPr>
                <w:rFonts w:cs="Arial"/>
              </w:rPr>
            </w:pPr>
            <w:r>
              <w:t>повишаване на серумния креатинин, повишаване на урейния азот в кръвта и понижаване на креатининовия клирънс (вж. точка 4.4)</w:t>
            </w:r>
          </w:p>
        </w:tc>
      </w:tr>
      <w:tr w:rsidR="00441BF6" w:rsidRPr="00441BF6" w14:paraId="1E2A6023" w14:textId="77777777" w:rsidTr="00B25626">
        <w:tc>
          <w:tcPr>
            <w:tcW w:w="2337" w:type="dxa"/>
          </w:tcPr>
          <w:p w14:paraId="45DD9EEB" w14:textId="6E2FF6CE" w:rsidR="00441BF6" w:rsidRPr="00441BF6" w:rsidRDefault="00441BF6" w:rsidP="00441BF6">
            <w:pPr>
              <w:rPr>
                <w:rFonts w:cs="Arial"/>
              </w:rPr>
            </w:pPr>
            <w:r>
              <w:rPr>
                <w:u w:val="single"/>
              </w:rPr>
              <w:lastRenderedPageBreak/>
              <w:t>Обши нарушения и ефекти на мястото на приложение</w:t>
            </w:r>
          </w:p>
        </w:tc>
        <w:tc>
          <w:tcPr>
            <w:tcW w:w="2337" w:type="dxa"/>
          </w:tcPr>
          <w:p w14:paraId="6226775C" w14:textId="411C36BF" w:rsidR="00441BF6" w:rsidRPr="00441BF6" w:rsidRDefault="00441BF6" w:rsidP="00441BF6">
            <w:pPr>
              <w:rPr>
                <w:rFonts w:cs="Arial"/>
              </w:rPr>
            </w:pPr>
            <w:r>
              <w:t>реакции на мястото на инжектиране, което може да включва болка и тромбофлебит</w:t>
            </w:r>
          </w:p>
        </w:tc>
        <w:tc>
          <w:tcPr>
            <w:tcW w:w="2338" w:type="dxa"/>
          </w:tcPr>
          <w:p w14:paraId="78BDE407" w14:textId="77777777" w:rsidR="00441BF6" w:rsidRPr="00441BF6" w:rsidRDefault="00441BF6" w:rsidP="00441BF6">
            <w:pPr>
              <w:rPr>
                <w:rFonts w:cs="Arial"/>
              </w:rPr>
            </w:pPr>
          </w:p>
        </w:tc>
        <w:tc>
          <w:tcPr>
            <w:tcW w:w="2338" w:type="dxa"/>
          </w:tcPr>
          <w:p w14:paraId="27E1D80E" w14:textId="77777777" w:rsidR="00441BF6" w:rsidRPr="00441BF6" w:rsidRDefault="00441BF6" w:rsidP="00441BF6">
            <w:pPr>
              <w:rPr>
                <w:rFonts w:cs="Arial"/>
              </w:rPr>
            </w:pPr>
          </w:p>
        </w:tc>
      </w:tr>
      <w:tr w:rsidR="00B25626" w:rsidRPr="00441BF6" w14:paraId="023E1550" w14:textId="77777777" w:rsidTr="000D2710">
        <w:tc>
          <w:tcPr>
            <w:tcW w:w="9350" w:type="dxa"/>
            <w:gridSpan w:val="4"/>
          </w:tcPr>
          <w:p w14:paraId="018694BE" w14:textId="77777777" w:rsidR="00B25626" w:rsidRPr="00B25626" w:rsidRDefault="00B25626" w:rsidP="00B25626">
            <w:pPr>
              <w:spacing w:line="240" w:lineRule="auto"/>
              <w:rPr>
                <w:rFonts w:eastAsia="Times New Roman" w:cs="Arial"/>
                <w:lang w:eastAsia="bg-BG"/>
              </w:rPr>
            </w:pPr>
            <w:r w:rsidRPr="00B25626">
              <w:rPr>
                <w:rFonts w:eastAsia="Times New Roman" w:cs="Arial"/>
                <w:i/>
                <w:iCs/>
                <w:color w:val="000000"/>
                <w:lang w:eastAsia="bg-BG"/>
              </w:rPr>
              <w:t>Описание на избрани нежелани реакции</w:t>
            </w:r>
          </w:p>
          <w:p w14:paraId="2304FBE4"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Цефалоспорините като клас имат свойството да се адсорбират върху повърхността на мембраните на червените кръвни клетки и да реагират с антитела насочени срещу лекарството, в резултат на което да позитивират теста на </w:t>
            </w:r>
            <w:r w:rsidRPr="00B25626">
              <w:rPr>
                <w:rFonts w:eastAsia="Times New Roman" w:cs="Arial"/>
                <w:color w:val="000000"/>
                <w:lang w:val="en-US"/>
              </w:rPr>
              <w:t xml:space="preserve">Coombs </w:t>
            </w:r>
            <w:r w:rsidRPr="00B25626">
              <w:rPr>
                <w:rFonts w:eastAsia="Times New Roman" w:cs="Arial"/>
                <w:color w:val="000000"/>
                <w:lang w:eastAsia="bg-BG"/>
              </w:rPr>
              <w:t>(което може да повлияе на кръстосаната проба за съвместимост при кръвопреливане) и много рядко да причинят хемолитична анемия.</w:t>
            </w:r>
          </w:p>
          <w:p w14:paraId="5B4D8310" w14:textId="77777777" w:rsidR="00441BF6" w:rsidRDefault="00441BF6" w:rsidP="00B25626">
            <w:pPr>
              <w:spacing w:line="240" w:lineRule="auto"/>
              <w:rPr>
                <w:rFonts w:eastAsia="Times New Roman" w:cs="Arial"/>
                <w:color w:val="000000"/>
                <w:lang w:eastAsia="bg-BG"/>
              </w:rPr>
            </w:pPr>
          </w:p>
          <w:p w14:paraId="11401C85" w14:textId="6002824C"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Наблюдавано е преходно повишаване на серумните нива на чернодробните ензими или билирубин, което обикновено е обратимо.</w:t>
            </w:r>
          </w:p>
          <w:p w14:paraId="0F7EDF73" w14:textId="77777777" w:rsidR="00441BF6" w:rsidRDefault="00441BF6" w:rsidP="00B25626">
            <w:pPr>
              <w:rPr>
                <w:rFonts w:eastAsia="Times New Roman" w:cs="Arial"/>
                <w:color w:val="000000"/>
                <w:lang w:eastAsia="bg-BG"/>
              </w:rPr>
            </w:pPr>
          </w:p>
          <w:p w14:paraId="5F6008CA" w14:textId="2073A49D" w:rsidR="00B25626" w:rsidRPr="00441BF6" w:rsidRDefault="00B25626" w:rsidP="00B25626">
            <w:pPr>
              <w:rPr>
                <w:rFonts w:cs="Arial"/>
              </w:rPr>
            </w:pPr>
            <w:r w:rsidRPr="00441BF6">
              <w:rPr>
                <w:rFonts w:eastAsia="Times New Roman" w:cs="Arial"/>
                <w:color w:val="000000"/>
                <w:lang w:eastAsia="bg-BG"/>
              </w:rPr>
              <w:t>Болка на мястото на приложение на интрамускулна инжекция е по-вероятна при по-високи дози. Обаче не е вероятно това да бъде причина за прекъсване на лечението.</w:t>
            </w:r>
          </w:p>
        </w:tc>
      </w:tr>
    </w:tbl>
    <w:p w14:paraId="5F3A11B2" w14:textId="11B2C912" w:rsidR="00B25626" w:rsidRDefault="00B25626" w:rsidP="0091385D"/>
    <w:p w14:paraId="2FF709FB" w14:textId="77777777" w:rsidR="00B25626" w:rsidRPr="00B25626" w:rsidRDefault="00B25626" w:rsidP="00B25626">
      <w:pPr>
        <w:spacing w:line="240" w:lineRule="auto"/>
        <w:rPr>
          <w:rFonts w:eastAsia="Times New Roman" w:cs="Arial"/>
          <w:lang w:eastAsia="bg-BG"/>
        </w:rPr>
      </w:pPr>
      <w:r w:rsidRPr="00B25626">
        <w:rPr>
          <w:rFonts w:eastAsia="Times New Roman" w:cs="Arial"/>
          <w:i/>
          <w:iCs/>
          <w:color w:val="000000"/>
          <w:lang w:eastAsia="bg-BG"/>
        </w:rPr>
        <w:t>Педиатрична популация</w:t>
      </w:r>
    </w:p>
    <w:p w14:paraId="3346BF3F"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Профилът на безопаснот на цефуроксим натрий при деца е в съответствие с профила при възрастни.</w:t>
      </w:r>
    </w:p>
    <w:p w14:paraId="237E6677" w14:textId="77777777" w:rsidR="00B25626" w:rsidRPr="00441BF6" w:rsidRDefault="00B25626" w:rsidP="00B25626">
      <w:pPr>
        <w:spacing w:line="240" w:lineRule="auto"/>
        <w:rPr>
          <w:rFonts w:eastAsia="Times New Roman" w:cs="Arial"/>
          <w:b/>
          <w:bCs/>
          <w:color w:val="000000"/>
          <w:u w:val="single"/>
          <w:lang w:eastAsia="bg-BG"/>
        </w:rPr>
      </w:pPr>
    </w:p>
    <w:p w14:paraId="3C239E4B" w14:textId="6837106F" w:rsidR="00B25626" w:rsidRPr="00B25626" w:rsidRDefault="00B25626" w:rsidP="00B25626">
      <w:pPr>
        <w:spacing w:line="240" w:lineRule="auto"/>
        <w:rPr>
          <w:rFonts w:eastAsia="Times New Roman" w:cs="Arial"/>
          <w:lang w:eastAsia="bg-BG"/>
        </w:rPr>
      </w:pPr>
      <w:r w:rsidRPr="00B25626">
        <w:rPr>
          <w:rFonts w:eastAsia="Times New Roman" w:cs="Arial"/>
          <w:b/>
          <w:bCs/>
          <w:color w:val="000000"/>
          <w:u w:val="single"/>
          <w:lang w:eastAsia="bg-BG"/>
        </w:rPr>
        <w:t>Съобщаване на подозирани нежелани реакции</w:t>
      </w:r>
    </w:p>
    <w:p w14:paraId="12D88578" w14:textId="3D7C64E2" w:rsidR="00B25626" w:rsidRPr="00441BF6" w:rsidRDefault="00B25626" w:rsidP="00B25626">
      <w:pPr>
        <w:rPr>
          <w:rFonts w:cs="Arial"/>
        </w:rPr>
      </w:pPr>
      <w:r w:rsidRPr="00441BF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лекарствата, ул. ,Дамян Груев” № 8,1303 София . Тел.: +359 2 8903417, уебсайт: </w:t>
      </w:r>
      <w:r w:rsidRPr="00441BF6">
        <w:rPr>
          <w:rFonts w:eastAsia="Times New Roman" w:cs="Arial"/>
          <w:lang w:eastAsia="bg-BG"/>
        </w:rPr>
        <w:fldChar w:fldCharType="begin"/>
      </w:r>
      <w:r w:rsidRPr="00441BF6">
        <w:rPr>
          <w:rFonts w:eastAsia="Times New Roman" w:cs="Arial"/>
          <w:lang w:eastAsia="bg-BG"/>
        </w:rPr>
        <w:instrText xml:space="preserve"> HYPERLINK "http://www.bda.bg" </w:instrText>
      </w:r>
      <w:r w:rsidRPr="00441BF6">
        <w:rPr>
          <w:rFonts w:eastAsia="Times New Roman" w:cs="Arial"/>
          <w:lang w:eastAsia="bg-BG"/>
        </w:rPr>
      </w:r>
      <w:r w:rsidRPr="00441BF6">
        <w:rPr>
          <w:rFonts w:eastAsia="Times New Roman" w:cs="Arial"/>
          <w:lang w:eastAsia="bg-BG"/>
        </w:rPr>
        <w:fldChar w:fldCharType="separate"/>
      </w:r>
      <w:r w:rsidRPr="00441BF6">
        <w:rPr>
          <w:rFonts w:eastAsia="Times New Roman" w:cs="Arial"/>
          <w:color w:val="000000"/>
          <w:lang w:val="en-US"/>
        </w:rPr>
        <w:t>www.bda.bg</w:t>
      </w:r>
      <w:r w:rsidRPr="00441BF6">
        <w:rPr>
          <w:rFonts w:eastAsia="Times New Roman" w:cs="Arial"/>
          <w:lang w:eastAsia="bg-BG"/>
        </w:rPr>
        <w:fldChar w:fldCharType="end"/>
      </w:r>
      <w:r w:rsidRPr="00441BF6">
        <w:rPr>
          <w:rFonts w:eastAsia="Times New Roman" w:cs="Arial"/>
          <w:color w:val="000000"/>
          <w:lang w:val="en-US"/>
        </w:rPr>
        <w:t>.</w:t>
      </w:r>
    </w:p>
    <w:p w14:paraId="77344631" w14:textId="77777777" w:rsidR="00B25626" w:rsidRPr="0091385D" w:rsidRDefault="00B25626"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5C086C4A" w14:textId="77777777"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Предозирането може да доведе до неврологични последствия, включително енцефалопатия, гърчове и кома. Симптоми на предозиране могат да се появят, ако дозата не се намалява правилно при пациенти с бъбречно увреждане (вж. точки 4.2 и 4.4).</w:t>
      </w:r>
    </w:p>
    <w:p w14:paraId="1E301C1E" w14:textId="77777777" w:rsidR="00B25626" w:rsidRPr="00441BF6" w:rsidRDefault="00B25626" w:rsidP="00B25626">
      <w:pPr>
        <w:rPr>
          <w:rFonts w:eastAsia="Times New Roman" w:cs="Arial"/>
          <w:color w:val="000000"/>
          <w:lang w:eastAsia="bg-BG"/>
        </w:rPr>
      </w:pPr>
    </w:p>
    <w:p w14:paraId="6A43B8F3" w14:textId="13A78F46" w:rsidR="007A2185" w:rsidRPr="00441BF6" w:rsidRDefault="00B25626" w:rsidP="00B25626">
      <w:pPr>
        <w:rPr>
          <w:rFonts w:cs="Arial"/>
        </w:rPr>
      </w:pPr>
      <w:r w:rsidRPr="00441BF6">
        <w:rPr>
          <w:rFonts w:eastAsia="Times New Roman" w:cs="Arial"/>
          <w:color w:val="000000"/>
          <w:lang w:eastAsia="bg-BG"/>
        </w:rPr>
        <w:t>Серумните нива на цефуроксим могат да бъдат понижени чрез хемодиализа или перитонеална диализа.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038F692B" w14:textId="6B4BCC0D" w:rsidR="007A2185" w:rsidRPr="00441BF6" w:rsidRDefault="00B25626" w:rsidP="0091385D">
      <w:pPr>
        <w:rPr>
          <w:rFonts w:cs="Arial"/>
          <w:lang w:val="en-US"/>
        </w:rPr>
      </w:pPr>
      <w:r w:rsidRPr="00441BF6">
        <w:rPr>
          <w:rFonts w:cs="Arial"/>
        </w:rPr>
        <w:t>Фармакотерапевтична група: антибактериални средства за системно приложение, втора генерация</w:t>
      </w:r>
      <w:r w:rsidRPr="00441BF6">
        <w:rPr>
          <w:rFonts w:cs="Arial"/>
          <w:i/>
          <w:iCs/>
        </w:rPr>
        <w:t xml:space="preserve"> </w:t>
      </w:r>
      <w:r w:rsidRPr="00441BF6">
        <w:rPr>
          <w:rFonts w:cs="Arial"/>
        </w:rPr>
        <w:t xml:space="preserve">цефалоспорини, АТС код: </w:t>
      </w:r>
      <w:r w:rsidRPr="00441BF6">
        <w:rPr>
          <w:rFonts w:cs="Arial"/>
          <w:lang w:val="en-US"/>
        </w:rPr>
        <w:t>J01DC02</w:t>
      </w:r>
    </w:p>
    <w:p w14:paraId="3B77F6A9" w14:textId="77777777" w:rsidR="00B25626" w:rsidRPr="00441BF6" w:rsidRDefault="00B25626" w:rsidP="00B25626">
      <w:pPr>
        <w:spacing w:line="240" w:lineRule="auto"/>
        <w:rPr>
          <w:rFonts w:eastAsia="Times New Roman" w:cs="Arial"/>
          <w:color w:val="000000"/>
          <w:u w:val="single"/>
          <w:lang w:eastAsia="bg-BG"/>
        </w:rPr>
      </w:pPr>
    </w:p>
    <w:p w14:paraId="5B3E1CB6" w14:textId="45B492FE"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lastRenderedPageBreak/>
        <w:t>Механизъм на действие</w:t>
      </w:r>
    </w:p>
    <w:p w14:paraId="453FEE86" w14:textId="77777777" w:rsidR="00B25626" w:rsidRPr="00441BF6" w:rsidRDefault="00B25626" w:rsidP="00B25626">
      <w:pPr>
        <w:spacing w:line="240" w:lineRule="auto"/>
        <w:rPr>
          <w:rFonts w:eastAsia="Times New Roman" w:cs="Arial"/>
          <w:color w:val="000000"/>
          <w:lang w:eastAsia="bg-BG"/>
        </w:rPr>
      </w:pPr>
    </w:p>
    <w:p w14:paraId="78E0644E" w14:textId="1A5836ED"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 xml:space="preserve">Цефуроксим инхибира синтеза на бактериалната клетъчна стена чрез свързване с пеницилин- свързващи протеини </w:t>
      </w:r>
      <w:r w:rsidRPr="00B25626">
        <w:rPr>
          <w:rFonts w:eastAsia="Times New Roman" w:cs="Arial"/>
          <w:color w:val="000000"/>
          <w:lang w:val="en-US"/>
        </w:rPr>
        <w:t xml:space="preserve">(PBPs). </w:t>
      </w:r>
      <w:r w:rsidRPr="00B25626">
        <w:rPr>
          <w:rFonts w:eastAsia="Times New Roman" w:cs="Arial"/>
          <w:color w:val="000000"/>
          <w:lang w:eastAsia="bg-BG"/>
        </w:rPr>
        <w:t>Тови води до прекъсване на биосинтезата на клетъчната стена (пептидогликани) и след това до клетъчна лиза и смърт на клетката.</w:t>
      </w:r>
    </w:p>
    <w:p w14:paraId="375A32B6" w14:textId="77777777" w:rsidR="00B25626" w:rsidRPr="00441BF6" w:rsidRDefault="00B25626" w:rsidP="00B25626">
      <w:pPr>
        <w:spacing w:line="240" w:lineRule="auto"/>
        <w:rPr>
          <w:rFonts w:eastAsia="Times New Roman" w:cs="Arial"/>
          <w:color w:val="000000"/>
          <w:u w:val="single"/>
          <w:lang w:eastAsia="bg-BG"/>
        </w:rPr>
      </w:pPr>
    </w:p>
    <w:p w14:paraId="5374FDA5" w14:textId="59FC190F"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Механизъм на резистентност</w:t>
      </w:r>
    </w:p>
    <w:p w14:paraId="1048F56D" w14:textId="77777777" w:rsidR="00B25626" w:rsidRPr="00441BF6" w:rsidRDefault="00B25626" w:rsidP="00B25626">
      <w:pPr>
        <w:spacing w:line="240" w:lineRule="auto"/>
        <w:rPr>
          <w:rFonts w:eastAsia="Times New Roman" w:cs="Arial"/>
          <w:color w:val="000000"/>
          <w:lang w:eastAsia="bg-BG"/>
        </w:rPr>
      </w:pPr>
    </w:p>
    <w:p w14:paraId="4A337FC7" w14:textId="71C0E61E"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Бактериалната резистентност към цефуроксим може да се дължи на един или повече от следните механизми:</w:t>
      </w:r>
    </w:p>
    <w:p w14:paraId="4714C3AE" w14:textId="77777777" w:rsidR="00441BF6" w:rsidRPr="00441BF6" w:rsidRDefault="00B25626" w:rsidP="00441BF6">
      <w:pPr>
        <w:pStyle w:val="ListParagraph"/>
        <w:numPr>
          <w:ilvl w:val="0"/>
          <w:numId w:val="36"/>
        </w:numPr>
        <w:spacing w:line="240" w:lineRule="auto"/>
        <w:rPr>
          <w:rFonts w:eastAsia="Times New Roman" w:cs="Arial"/>
          <w:color w:val="000000"/>
          <w:lang w:eastAsia="bg-BG"/>
        </w:rPr>
      </w:pPr>
      <w:r w:rsidRPr="00441BF6">
        <w:rPr>
          <w:rFonts w:eastAsia="Times New Roman" w:cs="Arial"/>
          <w:color w:val="000000"/>
          <w:lang w:eastAsia="bg-BG"/>
        </w:rPr>
        <w:t xml:space="preserve">хидролиза чрез бета-лактамази, включително (но не ограничено до) бета-лактамази с разширен спектър </w:t>
      </w:r>
      <w:r w:rsidRPr="00441BF6">
        <w:rPr>
          <w:rFonts w:eastAsia="Times New Roman" w:cs="Arial"/>
          <w:color w:val="000000"/>
          <w:lang w:val="en-US"/>
        </w:rPr>
        <w:t xml:space="preserve">(ESBLs), </w:t>
      </w:r>
      <w:r w:rsidRPr="00441BF6">
        <w:rPr>
          <w:rFonts w:eastAsia="Times New Roman" w:cs="Arial"/>
          <w:color w:val="000000"/>
          <w:lang w:eastAsia="bg-BG"/>
        </w:rPr>
        <w:t>както и АтрС ензими, които могат да се индуцират или трайно да се активират от потиснато състояние при определени аеробни Грам-отрицателни бактериални видове;</w:t>
      </w:r>
    </w:p>
    <w:p w14:paraId="7636FB1A" w14:textId="77777777" w:rsidR="00441BF6" w:rsidRPr="00441BF6" w:rsidRDefault="00B25626" w:rsidP="00441BF6">
      <w:pPr>
        <w:pStyle w:val="ListParagraph"/>
        <w:numPr>
          <w:ilvl w:val="0"/>
          <w:numId w:val="36"/>
        </w:numPr>
        <w:spacing w:line="240" w:lineRule="auto"/>
        <w:rPr>
          <w:rFonts w:eastAsia="Times New Roman" w:cs="Arial"/>
          <w:color w:val="000000"/>
          <w:lang w:eastAsia="bg-BG"/>
        </w:rPr>
      </w:pPr>
      <w:r w:rsidRPr="00441BF6">
        <w:rPr>
          <w:rFonts w:eastAsia="Times New Roman" w:cs="Arial"/>
          <w:color w:val="000000"/>
          <w:lang w:eastAsia="bg-BG"/>
        </w:rPr>
        <w:t>намален афинитет на пеницилин-свързващите протеини към цефуроксим;</w:t>
      </w:r>
    </w:p>
    <w:p w14:paraId="2761FD7C" w14:textId="77777777" w:rsidR="00441BF6" w:rsidRPr="00441BF6" w:rsidRDefault="00B25626" w:rsidP="00441BF6">
      <w:pPr>
        <w:pStyle w:val="ListParagraph"/>
        <w:numPr>
          <w:ilvl w:val="0"/>
          <w:numId w:val="36"/>
        </w:numPr>
        <w:spacing w:line="240" w:lineRule="auto"/>
        <w:rPr>
          <w:rFonts w:eastAsia="Times New Roman" w:cs="Arial"/>
          <w:color w:val="000000"/>
          <w:lang w:eastAsia="bg-BG"/>
        </w:rPr>
      </w:pPr>
      <w:r w:rsidRPr="00441BF6">
        <w:rPr>
          <w:rFonts w:eastAsia="Times New Roman" w:cs="Arial"/>
          <w:color w:val="000000"/>
          <w:lang w:eastAsia="bg-BG"/>
        </w:rPr>
        <w:t>непропускливост на външната мембрана, което ограничава достъпа на цефуроксим до пеницилин- свързващите протеини при Грам-отрицателни бактерии;</w:t>
      </w:r>
    </w:p>
    <w:p w14:paraId="31B34CBD" w14:textId="0F75704D" w:rsidR="00B25626" w:rsidRPr="00441BF6" w:rsidRDefault="00B25626" w:rsidP="00441BF6">
      <w:pPr>
        <w:pStyle w:val="ListParagraph"/>
        <w:numPr>
          <w:ilvl w:val="0"/>
          <w:numId w:val="36"/>
        </w:numPr>
        <w:spacing w:line="240" w:lineRule="auto"/>
        <w:rPr>
          <w:rFonts w:eastAsia="Times New Roman" w:cs="Arial"/>
          <w:color w:val="000000"/>
          <w:lang w:eastAsia="bg-BG"/>
        </w:rPr>
      </w:pPr>
      <w:r w:rsidRPr="00441BF6">
        <w:rPr>
          <w:rFonts w:eastAsia="Times New Roman" w:cs="Arial"/>
          <w:color w:val="000000"/>
          <w:lang w:eastAsia="bg-BG"/>
        </w:rPr>
        <w:t>бактериални ефлуксни помпи.</w:t>
      </w:r>
    </w:p>
    <w:p w14:paraId="7CBA5978" w14:textId="77777777" w:rsidR="00441BF6" w:rsidRPr="00441BF6" w:rsidRDefault="00441BF6" w:rsidP="00B25626">
      <w:pPr>
        <w:spacing w:line="240" w:lineRule="auto"/>
        <w:rPr>
          <w:rFonts w:eastAsia="Times New Roman" w:cs="Arial"/>
          <w:color w:val="000000"/>
          <w:lang w:eastAsia="bg-BG"/>
        </w:rPr>
      </w:pPr>
    </w:p>
    <w:p w14:paraId="4693CE6B" w14:textId="4851947D" w:rsidR="00B25626" w:rsidRPr="00B25626" w:rsidRDefault="00B25626" w:rsidP="00B25626">
      <w:pPr>
        <w:spacing w:line="240" w:lineRule="auto"/>
        <w:rPr>
          <w:rFonts w:eastAsia="Times New Roman" w:cs="Arial"/>
          <w:lang w:eastAsia="bg-BG"/>
        </w:rPr>
      </w:pPr>
      <w:r w:rsidRPr="00B25626">
        <w:rPr>
          <w:rFonts w:eastAsia="Times New Roman" w:cs="Arial"/>
          <w:color w:val="000000"/>
          <w:lang w:eastAsia="bg-BG"/>
        </w:rPr>
        <w:t>При микроорганизми, които са придобили резистентност към други инжекционни цефалоспорини, се очаква резистентност и към цефуроксим. В зависимост от механизма на резистентност, организмите с придобита резистентност към пеницилини могат да проявят намалена чувствителност или резистентност към цефуроксим.</w:t>
      </w:r>
    </w:p>
    <w:p w14:paraId="6827576B" w14:textId="77777777" w:rsidR="00441BF6" w:rsidRPr="00441BF6" w:rsidRDefault="00441BF6" w:rsidP="00B25626">
      <w:pPr>
        <w:spacing w:line="240" w:lineRule="auto"/>
        <w:rPr>
          <w:rFonts w:eastAsia="Times New Roman" w:cs="Arial"/>
          <w:color w:val="000000"/>
          <w:u w:val="single"/>
          <w:lang w:eastAsia="bg-BG"/>
        </w:rPr>
      </w:pPr>
    </w:p>
    <w:p w14:paraId="2F62BDF5" w14:textId="782CC24F" w:rsidR="00B25626" w:rsidRPr="00B25626" w:rsidRDefault="00B25626" w:rsidP="00B25626">
      <w:pPr>
        <w:spacing w:line="240" w:lineRule="auto"/>
        <w:rPr>
          <w:rFonts w:eastAsia="Times New Roman" w:cs="Arial"/>
          <w:lang w:eastAsia="bg-BG"/>
        </w:rPr>
      </w:pPr>
      <w:r w:rsidRPr="00B25626">
        <w:rPr>
          <w:rFonts w:eastAsia="Times New Roman" w:cs="Arial"/>
          <w:color w:val="000000"/>
          <w:u w:val="single"/>
          <w:lang w:eastAsia="bg-BG"/>
        </w:rPr>
        <w:t>Гранични стойности на цефуроксим натрий</w:t>
      </w:r>
    </w:p>
    <w:p w14:paraId="24AF67C5" w14:textId="77777777" w:rsidR="00441BF6" w:rsidRPr="00441BF6" w:rsidRDefault="00441BF6" w:rsidP="00B25626">
      <w:pPr>
        <w:rPr>
          <w:rFonts w:eastAsia="Times New Roman" w:cs="Arial"/>
          <w:color w:val="000000"/>
          <w:lang w:eastAsia="bg-BG"/>
        </w:rPr>
      </w:pPr>
    </w:p>
    <w:p w14:paraId="55DFF90B" w14:textId="75464AC5" w:rsidR="00B25626" w:rsidRPr="00441BF6" w:rsidRDefault="00B25626" w:rsidP="00B25626">
      <w:pPr>
        <w:rPr>
          <w:rFonts w:cs="Arial"/>
        </w:rPr>
      </w:pPr>
      <w:r w:rsidRPr="00441BF6">
        <w:rPr>
          <w:rFonts w:eastAsia="Times New Roman" w:cs="Arial"/>
          <w:color w:val="000000"/>
          <w:lang w:eastAsia="bg-BG"/>
        </w:rPr>
        <w:t xml:space="preserve">Граничните стойности на минималната инхибираща концентрация </w:t>
      </w:r>
      <w:r w:rsidRPr="00441BF6">
        <w:rPr>
          <w:rFonts w:eastAsia="Times New Roman" w:cs="Arial"/>
          <w:color w:val="000000"/>
          <w:lang w:val="en-US"/>
        </w:rPr>
        <w:t xml:space="preserve">(MIC), </w:t>
      </w:r>
      <w:r w:rsidRPr="00441BF6">
        <w:rPr>
          <w:rFonts w:eastAsia="Times New Roman" w:cs="Arial"/>
          <w:color w:val="000000"/>
          <w:lang w:eastAsia="bg-BG"/>
        </w:rPr>
        <w:t xml:space="preserve">определени от Европейския комитет за изследване на антимикробна чувствителност </w:t>
      </w:r>
      <w:r w:rsidRPr="00441BF6">
        <w:rPr>
          <w:rFonts w:eastAsia="Times New Roman" w:cs="Arial"/>
          <w:color w:val="000000"/>
          <w:lang w:val="en-US"/>
        </w:rPr>
        <w:t xml:space="preserve">(European Committee on Antimicrobial Susceptibility Testing) (EUCAST), </w:t>
      </w:r>
      <w:r w:rsidRPr="00441BF6">
        <w:rPr>
          <w:rFonts w:eastAsia="Times New Roman" w:cs="Arial"/>
          <w:color w:val="000000"/>
          <w:lang w:eastAsia="bg-BG"/>
        </w:rPr>
        <w:t>са както следва:</w:t>
      </w:r>
    </w:p>
    <w:p w14:paraId="36152471" w14:textId="7532CA54" w:rsidR="0091385D" w:rsidRPr="00441BF6" w:rsidRDefault="0091385D" w:rsidP="0091385D">
      <w:pPr>
        <w:rPr>
          <w:rFonts w:cs="Arial"/>
        </w:rPr>
      </w:pPr>
    </w:p>
    <w:tbl>
      <w:tblPr>
        <w:tblStyle w:val="TableGrid"/>
        <w:tblW w:w="0" w:type="auto"/>
        <w:tblLook w:val="04A0" w:firstRow="1" w:lastRow="0" w:firstColumn="1" w:lastColumn="0" w:noHBand="0" w:noVBand="1"/>
      </w:tblPr>
      <w:tblGrid>
        <w:gridCol w:w="3116"/>
        <w:gridCol w:w="3117"/>
        <w:gridCol w:w="3117"/>
      </w:tblGrid>
      <w:tr w:rsidR="00441BF6" w:rsidRPr="00441BF6" w14:paraId="59917339" w14:textId="77777777" w:rsidTr="00EF367C">
        <w:tc>
          <w:tcPr>
            <w:tcW w:w="3116" w:type="dxa"/>
          </w:tcPr>
          <w:p w14:paraId="534F2196" w14:textId="1971D77A" w:rsidR="00441BF6" w:rsidRPr="00441BF6" w:rsidRDefault="00441BF6" w:rsidP="00441BF6">
            <w:pPr>
              <w:rPr>
                <w:rFonts w:cs="Arial"/>
              </w:rPr>
            </w:pPr>
            <w:r w:rsidRPr="00441BF6">
              <w:rPr>
                <w:rFonts w:cs="Arial"/>
                <w:b/>
                <w:bCs/>
              </w:rPr>
              <w:t>Микроорганизъм</w:t>
            </w:r>
          </w:p>
        </w:tc>
        <w:tc>
          <w:tcPr>
            <w:tcW w:w="6234" w:type="dxa"/>
            <w:gridSpan w:val="2"/>
          </w:tcPr>
          <w:p w14:paraId="2B4D8FC6" w14:textId="3F641FCA" w:rsidR="00441BF6" w:rsidRPr="00441BF6" w:rsidRDefault="00441BF6" w:rsidP="00441BF6">
            <w:pPr>
              <w:rPr>
                <w:rFonts w:cs="Arial"/>
              </w:rPr>
            </w:pPr>
            <w:r w:rsidRPr="00441BF6">
              <w:rPr>
                <w:rFonts w:cs="Arial"/>
                <w:b/>
                <w:bCs/>
              </w:rPr>
              <w:t xml:space="preserve">Гранични стойности </w:t>
            </w:r>
            <w:r w:rsidRPr="00441BF6">
              <w:rPr>
                <w:rFonts w:cs="Arial"/>
                <w:b/>
                <w:bCs/>
                <w:lang w:val="en-US"/>
              </w:rPr>
              <w:t>(mg/l)</w:t>
            </w:r>
          </w:p>
        </w:tc>
      </w:tr>
      <w:tr w:rsidR="00441BF6" w:rsidRPr="00441BF6" w14:paraId="5050E939" w14:textId="77777777" w:rsidTr="00441BF6">
        <w:tc>
          <w:tcPr>
            <w:tcW w:w="3116" w:type="dxa"/>
          </w:tcPr>
          <w:p w14:paraId="3BFE38CF" w14:textId="77777777" w:rsidR="00441BF6" w:rsidRPr="00441BF6" w:rsidRDefault="00441BF6" w:rsidP="00441BF6">
            <w:pPr>
              <w:rPr>
                <w:rFonts w:cs="Arial"/>
              </w:rPr>
            </w:pPr>
          </w:p>
        </w:tc>
        <w:tc>
          <w:tcPr>
            <w:tcW w:w="3117" w:type="dxa"/>
          </w:tcPr>
          <w:p w14:paraId="22D634A5" w14:textId="37ED4A6C" w:rsidR="00441BF6" w:rsidRPr="00441BF6" w:rsidRDefault="00441BF6" w:rsidP="00441BF6">
            <w:pPr>
              <w:rPr>
                <w:rFonts w:cs="Arial"/>
              </w:rPr>
            </w:pPr>
            <w:r w:rsidRPr="00441BF6">
              <w:rPr>
                <w:rFonts w:cs="Arial"/>
              </w:rPr>
              <w:t>S</w:t>
            </w:r>
          </w:p>
        </w:tc>
        <w:tc>
          <w:tcPr>
            <w:tcW w:w="3117" w:type="dxa"/>
          </w:tcPr>
          <w:p w14:paraId="0EAE5072" w14:textId="5A39C188" w:rsidR="00441BF6" w:rsidRPr="00441BF6" w:rsidRDefault="00441BF6" w:rsidP="00441BF6">
            <w:pPr>
              <w:rPr>
                <w:rFonts w:cs="Arial"/>
              </w:rPr>
            </w:pPr>
            <w:r w:rsidRPr="00441BF6">
              <w:rPr>
                <w:rFonts w:cs="Arial"/>
                <w:lang w:val="en-US"/>
              </w:rPr>
              <w:t>R</w:t>
            </w:r>
          </w:p>
        </w:tc>
      </w:tr>
      <w:tr w:rsidR="00441BF6" w:rsidRPr="00441BF6" w14:paraId="4D108347" w14:textId="77777777" w:rsidTr="00441BF6">
        <w:tc>
          <w:tcPr>
            <w:tcW w:w="3116" w:type="dxa"/>
          </w:tcPr>
          <w:p w14:paraId="4B10184E" w14:textId="254CF32B" w:rsidR="00441BF6" w:rsidRPr="00441BF6" w:rsidRDefault="00441BF6" w:rsidP="00441BF6">
            <w:pPr>
              <w:rPr>
                <w:rFonts w:cs="Arial"/>
              </w:rPr>
            </w:pPr>
            <w:r w:rsidRPr="00441BF6">
              <w:rPr>
                <w:rFonts w:cs="Arial"/>
                <w:i/>
                <w:iCs/>
              </w:rPr>
              <w:t>Enterobacteriaceae</w:t>
            </w:r>
            <w:r w:rsidRPr="00441BF6">
              <w:rPr>
                <w:rFonts w:cs="Arial"/>
                <w:i/>
                <w:iCs/>
                <w:vertAlign w:val="superscript"/>
              </w:rPr>
              <w:t>1</w:t>
            </w:r>
          </w:p>
        </w:tc>
        <w:tc>
          <w:tcPr>
            <w:tcW w:w="3117" w:type="dxa"/>
          </w:tcPr>
          <w:p w14:paraId="4381580E" w14:textId="14197B9C" w:rsidR="00441BF6" w:rsidRPr="00441BF6" w:rsidRDefault="00441BF6" w:rsidP="00441BF6">
            <w:pPr>
              <w:rPr>
                <w:rFonts w:cs="Arial"/>
              </w:rPr>
            </w:pPr>
            <w:r w:rsidRPr="00441BF6">
              <w:rPr>
                <w:rFonts w:cs="Arial"/>
                <w:lang w:eastAsia="bg-BG"/>
              </w:rPr>
              <w:t>≤</w:t>
            </w:r>
            <w:r w:rsidRPr="00441BF6">
              <w:rPr>
                <w:rFonts w:cs="Arial"/>
              </w:rPr>
              <w:t xml:space="preserve"> </w:t>
            </w:r>
            <w:r w:rsidRPr="00441BF6">
              <w:rPr>
                <w:rFonts w:cs="Arial"/>
                <w:lang w:eastAsia="bg-BG"/>
              </w:rPr>
              <w:t>8</w:t>
            </w:r>
            <w:r w:rsidRPr="00441BF6">
              <w:rPr>
                <w:rFonts w:cs="Arial"/>
                <w:vertAlign w:val="superscript"/>
                <w:lang w:eastAsia="bg-BG"/>
              </w:rPr>
              <w:t>2</w:t>
            </w:r>
          </w:p>
        </w:tc>
        <w:tc>
          <w:tcPr>
            <w:tcW w:w="3117" w:type="dxa"/>
          </w:tcPr>
          <w:p w14:paraId="541BE441" w14:textId="74C25F5C" w:rsidR="00441BF6" w:rsidRPr="00441BF6" w:rsidRDefault="00441BF6" w:rsidP="00441BF6">
            <w:pPr>
              <w:rPr>
                <w:rFonts w:cs="Arial"/>
              </w:rPr>
            </w:pPr>
            <w:r w:rsidRPr="00441BF6">
              <w:rPr>
                <w:rFonts w:cs="Arial"/>
              </w:rPr>
              <w:t>&gt;8</w:t>
            </w:r>
          </w:p>
        </w:tc>
      </w:tr>
      <w:tr w:rsidR="00441BF6" w:rsidRPr="00441BF6" w14:paraId="6A433BBD" w14:textId="77777777" w:rsidTr="00441BF6">
        <w:tc>
          <w:tcPr>
            <w:tcW w:w="3116" w:type="dxa"/>
          </w:tcPr>
          <w:p w14:paraId="0D8929B1" w14:textId="30A7D1FC" w:rsidR="00441BF6" w:rsidRPr="00441BF6" w:rsidRDefault="00441BF6" w:rsidP="00441BF6">
            <w:pPr>
              <w:rPr>
                <w:rFonts w:cs="Arial"/>
              </w:rPr>
            </w:pPr>
            <w:r w:rsidRPr="00441BF6">
              <w:rPr>
                <w:rFonts w:cs="Arial"/>
                <w:i/>
                <w:iCs/>
              </w:rPr>
              <w:t>Staphylococcus</w:t>
            </w:r>
            <w:r w:rsidRPr="00441BF6">
              <w:rPr>
                <w:rFonts w:cs="Arial"/>
              </w:rPr>
              <w:t xml:space="preserve"> spp.</w:t>
            </w:r>
          </w:p>
        </w:tc>
        <w:tc>
          <w:tcPr>
            <w:tcW w:w="3117" w:type="dxa"/>
          </w:tcPr>
          <w:p w14:paraId="6211182E" w14:textId="312F80DF" w:rsidR="00441BF6" w:rsidRPr="00441BF6" w:rsidRDefault="00441BF6" w:rsidP="00441BF6">
            <w:pPr>
              <w:rPr>
                <w:rFonts w:cs="Arial"/>
              </w:rPr>
            </w:pPr>
            <w:r w:rsidRPr="00441BF6">
              <w:rPr>
                <w:rFonts w:cs="Arial"/>
                <w:lang w:eastAsia="bg-BG"/>
              </w:rPr>
              <w:t>Забележка</w:t>
            </w:r>
            <w:r w:rsidRPr="00441BF6">
              <w:rPr>
                <w:rFonts w:cs="Arial"/>
                <w:vertAlign w:val="superscript"/>
                <w:lang w:eastAsia="bg-BG"/>
              </w:rPr>
              <w:t>3</w:t>
            </w:r>
          </w:p>
        </w:tc>
        <w:tc>
          <w:tcPr>
            <w:tcW w:w="3117" w:type="dxa"/>
          </w:tcPr>
          <w:p w14:paraId="44D99558" w14:textId="5FD14E45" w:rsidR="00441BF6" w:rsidRPr="00441BF6" w:rsidRDefault="00441BF6" w:rsidP="00441BF6">
            <w:pPr>
              <w:rPr>
                <w:rFonts w:cs="Arial"/>
              </w:rPr>
            </w:pPr>
            <w:r w:rsidRPr="00441BF6">
              <w:rPr>
                <w:rFonts w:cs="Arial"/>
              </w:rPr>
              <w:t>Забележка</w:t>
            </w:r>
            <w:r w:rsidRPr="00441BF6">
              <w:rPr>
                <w:rFonts w:cs="Arial"/>
                <w:vertAlign w:val="superscript"/>
              </w:rPr>
              <w:t>3</w:t>
            </w:r>
          </w:p>
        </w:tc>
      </w:tr>
      <w:tr w:rsidR="00441BF6" w:rsidRPr="00441BF6" w14:paraId="6AC1AC16" w14:textId="77777777" w:rsidTr="00441BF6">
        <w:tc>
          <w:tcPr>
            <w:tcW w:w="3116" w:type="dxa"/>
          </w:tcPr>
          <w:p w14:paraId="3057BBA5" w14:textId="066FBA11" w:rsidR="00441BF6" w:rsidRPr="00441BF6" w:rsidRDefault="00441BF6" w:rsidP="00441BF6">
            <w:pPr>
              <w:rPr>
                <w:rFonts w:cs="Arial"/>
              </w:rPr>
            </w:pPr>
            <w:r w:rsidRPr="00441BF6">
              <w:rPr>
                <w:rFonts w:cs="Arial"/>
                <w:i/>
                <w:iCs/>
              </w:rPr>
              <w:t>Streptococcus</w:t>
            </w:r>
            <w:r w:rsidRPr="00441BF6">
              <w:rPr>
                <w:rFonts w:cs="Arial"/>
              </w:rPr>
              <w:t xml:space="preserve"> </w:t>
            </w:r>
            <w:r w:rsidRPr="00441BF6">
              <w:rPr>
                <w:rFonts w:cs="Arial"/>
                <w:lang w:eastAsia="bg-BG"/>
              </w:rPr>
              <w:t xml:space="preserve">А, В, </w:t>
            </w:r>
            <w:r w:rsidRPr="00441BF6">
              <w:rPr>
                <w:rFonts w:cs="Arial"/>
              </w:rPr>
              <w:t xml:space="preserve">C </w:t>
            </w:r>
            <w:r w:rsidRPr="00441BF6">
              <w:rPr>
                <w:rFonts w:cs="Arial"/>
                <w:lang w:eastAsia="bg-BG"/>
              </w:rPr>
              <w:t xml:space="preserve">и </w:t>
            </w:r>
            <w:r w:rsidRPr="00441BF6">
              <w:rPr>
                <w:rFonts w:cs="Arial"/>
              </w:rPr>
              <w:t>G</w:t>
            </w:r>
          </w:p>
        </w:tc>
        <w:tc>
          <w:tcPr>
            <w:tcW w:w="3117" w:type="dxa"/>
          </w:tcPr>
          <w:p w14:paraId="30C677B1" w14:textId="0741C37E" w:rsidR="00441BF6" w:rsidRPr="00441BF6" w:rsidRDefault="00441BF6" w:rsidP="00441BF6">
            <w:pPr>
              <w:rPr>
                <w:rFonts w:cs="Arial"/>
              </w:rPr>
            </w:pPr>
            <w:r w:rsidRPr="00441BF6">
              <w:rPr>
                <w:rFonts w:cs="Arial"/>
                <w:lang w:eastAsia="bg-BG"/>
              </w:rPr>
              <w:t>Забележка</w:t>
            </w:r>
            <w:r w:rsidRPr="00441BF6">
              <w:rPr>
                <w:rFonts w:cs="Arial"/>
                <w:vertAlign w:val="superscript"/>
                <w:lang w:eastAsia="bg-BG"/>
              </w:rPr>
              <w:t>4</w:t>
            </w:r>
          </w:p>
        </w:tc>
        <w:tc>
          <w:tcPr>
            <w:tcW w:w="3117" w:type="dxa"/>
          </w:tcPr>
          <w:p w14:paraId="48EA9778" w14:textId="7BB4A506" w:rsidR="00441BF6" w:rsidRPr="00441BF6" w:rsidRDefault="00441BF6" w:rsidP="00441BF6">
            <w:pPr>
              <w:rPr>
                <w:rFonts w:cs="Arial"/>
              </w:rPr>
            </w:pPr>
            <w:r w:rsidRPr="00441BF6">
              <w:rPr>
                <w:rFonts w:cs="Arial"/>
              </w:rPr>
              <w:t>Забележка</w:t>
            </w:r>
            <w:r w:rsidRPr="00441BF6">
              <w:rPr>
                <w:rFonts w:cs="Arial"/>
                <w:vertAlign w:val="superscript"/>
              </w:rPr>
              <w:t>4</w:t>
            </w:r>
          </w:p>
        </w:tc>
      </w:tr>
      <w:tr w:rsidR="00441BF6" w:rsidRPr="00441BF6" w14:paraId="63613711" w14:textId="77777777" w:rsidTr="00441BF6">
        <w:tc>
          <w:tcPr>
            <w:tcW w:w="3116" w:type="dxa"/>
          </w:tcPr>
          <w:p w14:paraId="22F3AB80" w14:textId="00F57DC9" w:rsidR="00441BF6" w:rsidRPr="00441BF6" w:rsidRDefault="00441BF6" w:rsidP="00441BF6">
            <w:pPr>
              <w:rPr>
                <w:rFonts w:cs="Arial"/>
              </w:rPr>
            </w:pPr>
            <w:r w:rsidRPr="00441BF6">
              <w:rPr>
                <w:rFonts w:cs="Arial"/>
                <w:i/>
                <w:iCs/>
              </w:rPr>
              <w:t>Streptococcus pneumoniae</w:t>
            </w:r>
          </w:p>
        </w:tc>
        <w:tc>
          <w:tcPr>
            <w:tcW w:w="3117" w:type="dxa"/>
          </w:tcPr>
          <w:p w14:paraId="7907095D" w14:textId="64E746A8" w:rsidR="00441BF6" w:rsidRPr="00441BF6" w:rsidRDefault="00441BF6" w:rsidP="00441BF6">
            <w:pPr>
              <w:rPr>
                <w:rFonts w:cs="Arial"/>
              </w:rPr>
            </w:pPr>
            <w:r w:rsidRPr="00441BF6">
              <w:rPr>
                <w:rFonts w:cs="Arial"/>
                <w:lang w:eastAsia="bg-BG"/>
              </w:rPr>
              <w:t>≤0,5</w:t>
            </w:r>
          </w:p>
        </w:tc>
        <w:tc>
          <w:tcPr>
            <w:tcW w:w="3117" w:type="dxa"/>
          </w:tcPr>
          <w:p w14:paraId="1DFF3A03" w14:textId="5C2BCFF6" w:rsidR="00441BF6" w:rsidRPr="00441BF6" w:rsidRDefault="00441BF6" w:rsidP="00441BF6">
            <w:pPr>
              <w:rPr>
                <w:rFonts w:cs="Arial"/>
              </w:rPr>
            </w:pPr>
            <w:r w:rsidRPr="00441BF6">
              <w:rPr>
                <w:rFonts w:cs="Arial"/>
              </w:rPr>
              <w:t>&gt; 1</w:t>
            </w:r>
          </w:p>
        </w:tc>
      </w:tr>
      <w:tr w:rsidR="00441BF6" w:rsidRPr="00441BF6" w14:paraId="4E8500B2" w14:textId="77777777" w:rsidTr="00441BF6">
        <w:tc>
          <w:tcPr>
            <w:tcW w:w="3116" w:type="dxa"/>
          </w:tcPr>
          <w:p w14:paraId="238A66F0" w14:textId="178E958B" w:rsidR="00441BF6" w:rsidRPr="00441BF6" w:rsidRDefault="00441BF6" w:rsidP="00441BF6">
            <w:pPr>
              <w:rPr>
                <w:rFonts w:cs="Arial"/>
              </w:rPr>
            </w:pPr>
            <w:r w:rsidRPr="00441BF6">
              <w:rPr>
                <w:rFonts w:cs="Arial"/>
                <w:i/>
                <w:iCs/>
              </w:rPr>
              <w:t>Streptococcus</w:t>
            </w:r>
            <w:r w:rsidRPr="00441BF6">
              <w:rPr>
                <w:rFonts w:cs="Arial"/>
              </w:rPr>
              <w:t xml:space="preserve"> </w:t>
            </w:r>
            <w:r w:rsidRPr="00441BF6">
              <w:rPr>
                <w:rFonts w:cs="Arial"/>
                <w:lang w:eastAsia="bg-BG"/>
              </w:rPr>
              <w:t>(други)</w:t>
            </w:r>
          </w:p>
        </w:tc>
        <w:tc>
          <w:tcPr>
            <w:tcW w:w="3117" w:type="dxa"/>
          </w:tcPr>
          <w:p w14:paraId="0F9BBDE9" w14:textId="540BB3C3" w:rsidR="00441BF6" w:rsidRPr="00441BF6" w:rsidRDefault="00441BF6" w:rsidP="00441BF6">
            <w:pPr>
              <w:rPr>
                <w:rFonts w:cs="Arial"/>
              </w:rPr>
            </w:pPr>
            <w:r w:rsidRPr="00441BF6">
              <w:rPr>
                <w:rFonts w:cs="Arial"/>
                <w:lang w:eastAsia="bg-BG"/>
              </w:rPr>
              <w:t>≤ 0,5</w:t>
            </w:r>
          </w:p>
        </w:tc>
        <w:tc>
          <w:tcPr>
            <w:tcW w:w="3117" w:type="dxa"/>
          </w:tcPr>
          <w:p w14:paraId="64D15A60" w14:textId="17D60914" w:rsidR="00441BF6" w:rsidRPr="00441BF6" w:rsidRDefault="00441BF6" w:rsidP="00441BF6">
            <w:pPr>
              <w:rPr>
                <w:rFonts w:cs="Arial"/>
              </w:rPr>
            </w:pPr>
            <w:r w:rsidRPr="00441BF6">
              <w:rPr>
                <w:rFonts w:cs="Arial"/>
              </w:rPr>
              <w:t>&gt;0,5</w:t>
            </w:r>
          </w:p>
        </w:tc>
      </w:tr>
      <w:tr w:rsidR="00441BF6" w:rsidRPr="00441BF6" w14:paraId="4810BBA9" w14:textId="77777777" w:rsidTr="00441BF6">
        <w:tc>
          <w:tcPr>
            <w:tcW w:w="3116" w:type="dxa"/>
          </w:tcPr>
          <w:p w14:paraId="5F78951D" w14:textId="5FFC1781" w:rsidR="00441BF6" w:rsidRPr="00441BF6" w:rsidRDefault="00441BF6" w:rsidP="00441BF6">
            <w:pPr>
              <w:rPr>
                <w:rFonts w:cs="Arial"/>
              </w:rPr>
            </w:pPr>
            <w:r w:rsidRPr="00441BF6">
              <w:rPr>
                <w:rFonts w:cs="Arial"/>
                <w:i/>
                <w:iCs/>
              </w:rPr>
              <w:t>Haemophilus influenzae</w:t>
            </w:r>
          </w:p>
        </w:tc>
        <w:tc>
          <w:tcPr>
            <w:tcW w:w="3117" w:type="dxa"/>
          </w:tcPr>
          <w:p w14:paraId="2FFD5B51" w14:textId="651E9DA2" w:rsidR="00441BF6" w:rsidRPr="00441BF6" w:rsidRDefault="00441BF6" w:rsidP="00441BF6">
            <w:pPr>
              <w:rPr>
                <w:rFonts w:cs="Arial"/>
              </w:rPr>
            </w:pPr>
            <w:r w:rsidRPr="00441BF6">
              <w:rPr>
                <w:rFonts w:cs="Arial"/>
                <w:lang w:eastAsia="bg-BG"/>
              </w:rPr>
              <w:t>≤ 1</w:t>
            </w:r>
          </w:p>
        </w:tc>
        <w:tc>
          <w:tcPr>
            <w:tcW w:w="3117" w:type="dxa"/>
          </w:tcPr>
          <w:p w14:paraId="25A50DD7" w14:textId="09270FA6" w:rsidR="00441BF6" w:rsidRPr="00441BF6" w:rsidRDefault="00441BF6" w:rsidP="00441BF6">
            <w:pPr>
              <w:rPr>
                <w:rFonts w:cs="Arial"/>
              </w:rPr>
            </w:pPr>
            <w:r w:rsidRPr="00441BF6">
              <w:rPr>
                <w:rFonts w:cs="Arial"/>
              </w:rPr>
              <w:t>&gt;2</w:t>
            </w:r>
          </w:p>
        </w:tc>
      </w:tr>
      <w:tr w:rsidR="00441BF6" w:rsidRPr="00441BF6" w14:paraId="76C5BCFD" w14:textId="77777777" w:rsidTr="00441BF6">
        <w:tc>
          <w:tcPr>
            <w:tcW w:w="3116" w:type="dxa"/>
          </w:tcPr>
          <w:p w14:paraId="44FC11F8" w14:textId="62922DA9" w:rsidR="00441BF6" w:rsidRPr="00441BF6" w:rsidRDefault="00441BF6" w:rsidP="00441BF6">
            <w:pPr>
              <w:rPr>
                <w:rFonts w:cs="Arial"/>
              </w:rPr>
            </w:pPr>
            <w:r w:rsidRPr="00441BF6">
              <w:rPr>
                <w:rFonts w:cs="Arial"/>
                <w:i/>
                <w:iCs/>
              </w:rPr>
              <w:t>Moraxella catarrhalis</w:t>
            </w:r>
          </w:p>
        </w:tc>
        <w:tc>
          <w:tcPr>
            <w:tcW w:w="3117" w:type="dxa"/>
          </w:tcPr>
          <w:p w14:paraId="154A2D30" w14:textId="1CEE961F" w:rsidR="00441BF6" w:rsidRPr="00441BF6" w:rsidRDefault="00441BF6" w:rsidP="00441BF6">
            <w:pPr>
              <w:rPr>
                <w:rFonts w:cs="Arial"/>
              </w:rPr>
            </w:pPr>
            <w:r w:rsidRPr="00441BF6">
              <w:rPr>
                <w:rFonts w:cs="Arial"/>
                <w:lang w:eastAsia="bg-BG"/>
              </w:rPr>
              <w:t>≤ 4</w:t>
            </w:r>
          </w:p>
        </w:tc>
        <w:tc>
          <w:tcPr>
            <w:tcW w:w="3117" w:type="dxa"/>
          </w:tcPr>
          <w:p w14:paraId="59B458F6" w14:textId="3A8FFC71" w:rsidR="00441BF6" w:rsidRPr="00441BF6" w:rsidRDefault="00441BF6" w:rsidP="00441BF6">
            <w:pPr>
              <w:rPr>
                <w:rFonts w:cs="Arial"/>
              </w:rPr>
            </w:pPr>
            <w:r w:rsidRPr="00441BF6">
              <w:rPr>
                <w:rFonts w:cs="Arial"/>
              </w:rPr>
              <w:t>&gt;8</w:t>
            </w:r>
          </w:p>
        </w:tc>
      </w:tr>
      <w:tr w:rsidR="00441BF6" w:rsidRPr="00441BF6" w14:paraId="3A7E4BA5" w14:textId="77777777" w:rsidTr="00441BF6">
        <w:tc>
          <w:tcPr>
            <w:tcW w:w="3116" w:type="dxa"/>
          </w:tcPr>
          <w:p w14:paraId="1AF03E22" w14:textId="0801E20E" w:rsidR="00441BF6" w:rsidRPr="00441BF6" w:rsidRDefault="00441BF6" w:rsidP="00441BF6">
            <w:pPr>
              <w:rPr>
                <w:rFonts w:cs="Arial"/>
              </w:rPr>
            </w:pPr>
            <w:r w:rsidRPr="00441BF6">
              <w:rPr>
                <w:rFonts w:cs="Arial"/>
                <w:lang w:eastAsia="bg-BG"/>
              </w:rPr>
              <w:t>Гранични стойности, които не са свързани с вида</w:t>
            </w:r>
            <w:r w:rsidRPr="00441BF6">
              <w:rPr>
                <w:rFonts w:cs="Arial"/>
                <w:vertAlign w:val="superscript"/>
                <w:lang w:eastAsia="bg-BG"/>
              </w:rPr>
              <w:t>1</w:t>
            </w:r>
          </w:p>
        </w:tc>
        <w:tc>
          <w:tcPr>
            <w:tcW w:w="3117" w:type="dxa"/>
          </w:tcPr>
          <w:p w14:paraId="0D8C5A86" w14:textId="4B49EECE" w:rsidR="00441BF6" w:rsidRPr="00441BF6" w:rsidRDefault="00441BF6" w:rsidP="00441BF6">
            <w:pPr>
              <w:rPr>
                <w:rFonts w:cs="Arial"/>
              </w:rPr>
            </w:pPr>
            <w:r w:rsidRPr="00441BF6">
              <w:rPr>
                <w:rFonts w:cs="Arial"/>
                <w:lang w:eastAsia="bg-BG"/>
              </w:rPr>
              <w:t>≤ 4</w:t>
            </w:r>
            <w:r w:rsidRPr="00441BF6">
              <w:rPr>
                <w:rFonts w:cs="Arial"/>
                <w:vertAlign w:val="superscript"/>
                <w:lang w:eastAsia="bg-BG"/>
              </w:rPr>
              <w:t>5</w:t>
            </w:r>
          </w:p>
        </w:tc>
        <w:tc>
          <w:tcPr>
            <w:tcW w:w="3117" w:type="dxa"/>
          </w:tcPr>
          <w:p w14:paraId="5C7974AF" w14:textId="40D44A2D" w:rsidR="00441BF6" w:rsidRPr="00441BF6" w:rsidRDefault="00441BF6" w:rsidP="00441BF6">
            <w:pPr>
              <w:rPr>
                <w:rFonts w:cs="Arial"/>
              </w:rPr>
            </w:pPr>
            <w:r w:rsidRPr="00441BF6">
              <w:rPr>
                <w:rFonts w:cs="Arial"/>
              </w:rPr>
              <w:t>&gt;8</w:t>
            </w:r>
            <w:r w:rsidRPr="00441BF6">
              <w:rPr>
                <w:rFonts w:cs="Arial"/>
                <w:vertAlign w:val="superscript"/>
              </w:rPr>
              <w:t>5</w:t>
            </w:r>
          </w:p>
        </w:tc>
      </w:tr>
      <w:tr w:rsidR="00441BF6" w:rsidRPr="00441BF6" w14:paraId="398E57DE" w14:textId="77777777" w:rsidTr="00DA211E">
        <w:tc>
          <w:tcPr>
            <w:tcW w:w="9350" w:type="dxa"/>
            <w:gridSpan w:val="3"/>
          </w:tcPr>
          <w:p w14:paraId="3984A226" w14:textId="2D174339" w:rsidR="00441BF6" w:rsidRPr="00441BF6" w:rsidRDefault="00441BF6" w:rsidP="00441BF6">
            <w:pPr>
              <w:spacing w:line="240" w:lineRule="auto"/>
              <w:rPr>
                <w:rFonts w:eastAsia="Times New Roman" w:cs="Arial"/>
                <w:color w:val="000000"/>
                <w:lang w:eastAsia="bg-BG"/>
              </w:rPr>
            </w:pPr>
            <w:r w:rsidRPr="00441BF6">
              <w:rPr>
                <w:rFonts w:eastAsia="Times New Roman" w:cs="Arial"/>
                <w:color w:val="000000"/>
                <w:vertAlign w:val="superscript"/>
                <w:lang w:val="en-US" w:eastAsia="bg-BG"/>
              </w:rPr>
              <w:t>1</w:t>
            </w:r>
            <w:r w:rsidRPr="00441BF6">
              <w:rPr>
                <w:rFonts w:eastAsia="Times New Roman" w:cs="Arial"/>
                <w:color w:val="000000"/>
                <w:lang w:eastAsia="bg-BG"/>
              </w:rPr>
              <w:t xml:space="preserve">Граничните стойности на цефалоспорините за </w:t>
            </w:r>
            <w:proofErr w:type="spellStart"/>
            <w:r w:rsidRPr="00441BF6">
              <w:rPr>
                <w:rFonts w:eastAsia="Times New Roman" w:cs="Arial"/>
                <w:i/>
                <w:iCs/>
                <w:color w:val="000000"/>
                <w:lang w:val="en-US"/>
              </w:rPr>
              <w:t>Enterobacteriaceae</w:t>
            </w:r>
            <w:proofErr w:type="spellEnd"/>
            <w:r w:rsidRPr="00441BF6">
              <w:rPr>
                <w:rFonts w:eastAsia="Times New Roman" w:cs="Arial"/>
                <w:color w:val="000000"/>
                <w:lang w:val="en-US"/>
              </w:rPr>
              <w:t xml:space="preserve"> </w:t>
            </w:r>
            <w:r w:rsidRPr="00441BF6">
              <w:rPr>
                <w:rFonts w:eastAsia="Times New Roman" w:cs="Arial"/>
                <w:color w:val="000000"/>
                <w:lang w:eastAsia="bg-BG"/>
              </w:rPr>
              <w:t xml:space="preserve">установяват всички клинично значими механизми на резистентност (включително </w:t>
            </w:r>
            <w:r w:rsidRPr="00441BF6">
              <w:rPr>
                <w:rFonts w:eastAsia="Times New Roman" w:cs="Arial"/>
                <w:color w:val="000000"/>
                <w:lang w:val="en-US"/>
              </w:rPr>
              <w:t xml:space="preserve">ESBL </w:t>
            </w:r>
            <w:r w:rsidRPr="00441BF6">
              <w:rPr>
                <w:rFonts w:eastAsia="Times New Roman" w:cs="Arial"/>
                <w:color w:val="000000"/>
                <w:lang w:eastAsia="bg-BG"/>
              </w:rPr>
              <w:t xml:space="preserve">и плазмид-медиирана АтрС). Някои щамове, които продуцират бета-лактамази, са чувствителни или интермедиерни към 3-то или 4-то поколение цефалоспорини по тези гранични стойности и трябва да се съобщават като открити, т.е наличието или липсата на </w:t>
            </w:r>
            <w:r w:rsidRPr="00441BF6">
              <w:rPr>
                <w:rFonts w:eastAsia="Times New Roman" w:cs="Arial"/>
                <w:color w:val="000000"/>
                <w:lang w:val="en-US"/>
              </w:rPr>
              <w:t xml:space="preserve">ESBL </w:t>
            </w:r>
            <w:r w:rsidRPr="00441BF6">
              <w:rPr>
                <w:rFonts w:eastAsia="Times New Roman" w:cs="Arial"/>
                <w:color w:val="000000"/>
                <w:lang w:eastAsia="bg-BG"/>
              </w:rPr>
              <w:t xml:space="preserve">сами по себе си не повлияват категоризирането по чувствителност. В много области </w:t>
            </w:r>
            <w:r w:rsidRPr="00441BF6">
              <w:rPr>
                <w:rFonts w:eastAsia="Times New Roman" w:cs="Arial"/>
                <w:color w:val="000000"/>
                <w:lang w:eastAsia="bg-BG"/>
              </w:rPr>
              <w:lastRenderedPageBreak/>
              <w:t xml:space="preserve">откриването и категоризирането на </w:t>
            </w:r>
            <w:r w:rsidRPr="00441BF6">
              <w:rPr>
                <w:rFonts w:eastAsia="Times New Roman" w:cs="Arial"/>
                <w:color w:val="000000"/>
                <w:lang w:val="en-US"/>
              </w:rPr>
              <w:t xml:space="preserve">ESBL </w:t>
            </w:r>
            <w:r w:rsidRPr="00441BF6">
              <w:rPr>
                <w:rFonts w:eastAsia="Times New Roman" w:cs="Arial"/>
                <w:color w:val="000000"/>
                <w:lang w:eastAsia="bg-BG"/>
              </w:rPr>
              <w:t>е препроъчително или задължително за целите на контрол на инфекциите.</w:t>
            </w:r>
          </w:p>
          <w:p w14:paraId="304D5B74" w14:textId="707AAF7B" w:rsidR="00441BF6" w:rsidRPr="00441BF6" w:rsidRDefault="00441BF6" w:rsidP="00441BF6">
            <w:pPr>
              <w:spacing w:line="240" w:lineRule="auto"/>
              <w:rPr>
                <w:rFonts w:eastAsia="Times New Roman" w:cs="Arial"/>
                <w:color w:val="000000"/>
                <w:lang w:eastAsia="bg-BG"/>
              </w:rPr>
            </w:pPr>
            <w:r w:rsidRPr="00441BF6">
              <w:rPr>
                <w:rFonts w:eastAsia="Times New Roman" w:cs="Arial"/>
                <w:color w:val="000000"/>
                <w:vertAlign w:val="superscript"/>
                <w:lang w:val="en-US" w:eastAsia="bg-BG"/>
              </w:rPr>
              <w:t>2</w:t>
            </w:r>
            <w:r w:rsidRPr="00441BF6">
              <w:rPr>
                <w:rFonts w:eastAsia="Times New Roman" w:cs="Arial"/>
                <w:color w:val="000000"/>
                <w:lang w:eastAsia="bg-BG"/>
              </w:rPr>
              <w:t>Граничната стойност се отнася само за доза от 1</w:t>
            </w:r>
            <w:proofErr w:type="gramStart"/>
            <w:r w:rsidRPr="00441BF6">
              <w:rPr>
                <w:rFonts w:eastAsia="Times New Roman" w:cs="Arial"/>
                <w:color w:val="000000"/>
                <w:lang w:eastAsia="bg-BG"/>
              </w:rPr>
              <w:t>,5</w:t>
            </w:r>
            <w:proofErr w:type="gramEnd"/>
            <w:r w:rsidRPr="00441BF6">
              <w:rPr>
                <w:rFonts w:eastAsia="Times New Roman" w:cs="Arial"/>
                <w:color w:val="000000"/>
                <w:lang w:eastAsia="bg-BG"/>
              </w:rPr>
              <w:t xml:space="preserve"> </w:t>
            </w:r>
            <w:r w:rsidRPr="00441BF6">
              <w:rPr>
                <w:rFonts w:eastAsia="Times New Roman" w:cs="Arial"/>
                <w:color w:val="000000"/>
                <w:lang w:val="en-US"/>
              </w:rPr>
              <w:t xml:space="preserve">g </w:t>
            </w:r>
            <w:r w:rsidRPr="00441BF6">
              <w:rPr>
                <w:rFonts w:eastAsia="Times New Roman" w:cs="Arial"/>
                <w:color w:val="000000"/>
                <w:lang w:eastAsia="bg-BG"/>
              </w:rPr>
              <w:t xml:space="preserve">х 3 и </w:t>
            </w:r>
            <w:r w:rsidRPr="00441BF6">
              <w:rPr>
                <w:rFonts w:eastAsia="Times New Roman" w:cs="Arial"/>
                <w:i/>
                <w:iCs/>
                <w:color w:val="000000"/>
                <w:lang w:eastAsia="bg-BG"/>
              </w:rPr>
              <w:t xml:space="preserve">Е. </w:t>
            </w:r>
            <w:r w:rsidRPr="00441BF6">
              <w:rPr>
                <w:rFonts w:eastAsia="Times New Roman" w:cs="Arial"/>
                <w:i/>
                <w:iCs/>
                <w:color w:val="000000"/>
                <w:lang w:val="en-US"/>
              </w:rPr>
              <w:t xml:space="preserve">coli, </w:t>
            </w:r>
            <w:r w:rsidRPr="00441BF6">
              <w:rPr>
                <w:rFonts w:eastAsia="Times New Roman" w:cs="Arial"/>
                <w:i/>
                <w:iCs/>
                <w:color w:val="000000"/>
                <w:lang w:eastAsia="bg-BG"/>
              </w:rPr>
              <w:t xml:space="preserve">Р. </w:t>
            </w:r>
            <w:r w:rsidRPr="00441BF6">
              <w:rPr>
                <w:rFonts w:eastAsia="Times New Roman" w:cs="Arial"/>
                <w:i/>
                <w:iCs/>
                <w:color w:val="000000"/>
                <w:lang w:val="en-US"/>
              </w:rPr>
              <w:t>mirabilis</w:t>
            </w:r>
            <w:r w:rsidRPr="00441BF6">
              <w:rPr>
                <w:rFonts w:eastAsia="Times New Roman" w:cs="Arial"/>
                <w:color w:val="000000"/>
                <w:lang w:val="en-US"/>
              </w:rPr>
              <w:t xml:space="preserve"> </w:t>
            </w:r>
            <w:r w:rsidRPr="00441BF6">
              <w:rPr>
                <w:rFonts w:eastAsia="Times New Roman" w:cs="Arial"/>
                <w:color w:val="000000"/>
                <w:lang w:eastAsia="bg-BG"/>
              </w:rPr>
              <w:t xml:space="preserve">и </w:t>
            </w:r>
            <w:proofErr w:type="spellStart"/>
            <w:r w:rsidRPr="00441BF6">
              <w:rPr>
                <w:rFonts w:eastAsia="Times New Roman" w:cs="Arial"/>
                <w:i/>
                <w:iCs/>
                <w:color w:val="000000"/>
                <w:lang w:val="en-US"/>
              </w:rPr>
              <w:t>Klebsiella</w:t>
            </w:r>
            <w:proofErr w:type="spellEnd"/>
            <w:r w:rsidRPr="00441BF6">
              <w:rPr>
                <w:rFonts w:eastAsia="Times New Roman" w:cs="Arial"/>
                <w:color w:val="000000"/>
                <w:lang w:val="en-US"/>
              </w:rPr>
              <w:t xml:space="preserve"> spp.</w:t>
            </w:r>
          </w:p>
          <w:p w14:paraId="22BA4E34" w14:textId="2DAAFBDB" w:rsidR="00441BF6" w:rsidRPr="00441BF6" w:rsidRDefault="00441BF6" w:rsidP="00441BF6">
            <w:pPr>
              <w:spacing w:line="240" w:lineRule="auto"/>
              <w:rPr>
                <w:rFonts w:eastAsia="Times New Roman" w:cs="Arial"/>
                <w:color w:val="000000"/>
                <w:lang w:eastAsia="bg-BG"/>
              </w:rPr>
            </w:pPr>
            <w:r w:rsidRPr="00441BF6">
              <w:rPr>
                <w:rFonts w:eastAsia="Times New Roman" w:cs="Arial"/>
                <w:color w:val="000000"/>
                <w:vertAlign w:val="superscript"/>
                <w:lang w:val="en-US" w:eastAsia="bg-BG"/>
              </w:rPr>
              <w:t>3</w:t>
            </w:r>
            <w:r w:rsidRPr="00441BF6">
              <w:rPr>
                <w:rFonts w:eastAsia="Times New Roman" w:cs="Arial"/>
                <w:color w:val="000000"/>
                <w:lang w:eastAsia="bg-BG"/>
              </w:rPr>
              <w:t>Чувствителността на стафилококите към цефалоспорини се извежда от метицилиновата чувствителност, с изключение на цефтазидим, цефиксим и цефтибутен, които нямат странични</w:t>
            </w:r>
          </w:p>
          <w:p w14:paraId="6056EB4B" w14:textId="138CCDAA"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 xml:space="preserve">стойности и не трябва да се прилагат за лечение на стафилококови инфекции.  </w:t>
            </w:r>
            <w:r w:rsidRPr="00441BF6">
              <w:rPr>
                <w:rFonts w:eastAsia="Times New Roman" w:cs="Arial"/>
                <w:color w:val="000000"/>
                <w:vertAlign w:val="superscript"/>
                <w:lang w:eastAsia="bg-BG"/>
              </w:rPr>
              <w:t>4</w:t>
            </w:r>
            <w:r w:rsidRPr="00441BF6">
              <w:rPr>
                <w:rFonts w:eastAsia="Times New Roman" w:cs="Arial"/>
                <w:color w:val="000000"/>
                <w:lang w:eastAsia="bg-BG"/>
              </w:rPr>
              <w:t xml:space="preserve"> </w:t>
            </w:r>
            <w:r w:rsidRPr="00441BF6">
              <w:rPr>
                <w:rFonts w:eastAsia="Times New Roman" w:cs="Arial"/>
                <w:color w:val="000000"/>
                <w:vertAlign w:val="superscript"/>
                <w:lang w:val="en-US" w:eastAsia="bg-BG"/>
              </w:rPr>
              <w:t>4</w:t>
            </w:r>
            <w:r w:rsidRPr="00441BF6">
              <w:rPr>
                <w:rFonts w:eastAsia="Times New Roman" w:cs="Arial"/>
                <w:color w:val="000000"/>
                <w:lang w:eastAsia="bg-BG"/>
              </w:rPr>
              <w:t xml:space="preserve">Чувствителността на бета-хемолитичните стрептококи от групи А, В, С и </w:t>
            </w:r>
            <w:r w:rsidRPr="00441BF6">
              <w:rPr>
                <w:rFonts w:eastAsia="Times New Roman" w:cs="Arial"/>
                <w:color w:val="000000"/>
                <w:lang w:val="en-US"/>
              </w:rPr>
              <w:t xml:space="preserve">G </w:t>
            </w:r>
            <w:r w:rsidRPr="00441BF6">
              <w:rPr>
                <w:rFonts w:eastAsia="Times New Roman" w:cs="Arial"/>
                <w:color w:val="000000"/>
                <w:lang w:eastAsia="bg-BG"/>
              </w:rPr>
              <w:t>към бета-</w:t>
            </w:r>
            <w:r w:rsidRPr="00441BF6">
              <w:rPr>
                <w:rFonts w:eastAsia="Times New Roman" w:cs="Arial"/>
                <w:color w:val="000000"/>
                <w:vertAlign w:val="superscript"/>
                <w:lang w:eastAsia="bg-BG"/>
              </w:rPr>
              <w:t xml:space="preserve"> </w:t>
            </w:r>
            <w:r w:rsidRPr="00441BF6">
              <w:rPr>
                <w:rFonts w:eastAsia="Times New Roman" w:cs="Arial"/>
                <w:color w:val="000000"/>
                <w:lang w:eastAsia="bg-BG"/>
              </w:rPr>
              <w:t>лактамите се извежда от чувствителността към пеницилин.</w:t>
            </w:r>
          </w:p>
          <w:p w14:paraId="34C9B76B" w14:textId="1BBAA2B7" w:rsidR="00441BF6" w:rsidRPr="00441BF6" w:rsidRDefault="00441BF6" w:rsidP="00441BF6">
            <w:pPr>
              <w:rPr>
                <w:rFonts w:cs="Arial"/>
              </w:rPr>
            </w:pPr>
            <w:r w:rsidRPr="00441BF6">
              <w:rPr>
                <w:rFonts w:eastAsia="Times New Roman" w:cs="Arial"/>
                <w:color w:val="000000"/>
                <w:vertAlign w:val="superscript"/>
                <w:lang w:val="en-US" w:eastAsia="bg-BG"/>
              </w:rPr>
              <w:t>5</w:t>
            </w:r>
            <w:r w:rsidRPr="00441BF6">
              <w:rPr>
                <w:rFonts w:eastAsia="Times New Roman" w:cs="Arial"/>
                <w:color w:val="000000"/>
                <w:lang w:eastAsia="bg-BG"/>
              </w:rPr>
              <w:t xml:space="preserve">Граничните стойности се отнасят за дневни интравенозни дози от 750 </w:t>
            </w:r>
            <w:r w:rsidRPr="00441BF6">
              <w:rPr>
                <w:rFonts w:eastAsia="Times New Roman" w:cs="Arial"/>
                <w:color w:val="000000"/>
                <w:lang w:val="en-US"/>
              </w:rPr>
              <w:t>mg</w:t>
            </w:r>
            <w:r w:rsidRPr="00441BF6">
              <w:rPr>
                <w:rFonts w:eastAsia="Times New Roman" w:cs="Arial"/>
                <w:color w:val="000000"/>
                <w:lang w:eastAsia="bg-BG"/>
              </w:rPr>
              <w:t xml:space="preserve"> х 3-и високи </w:t>
            </w:r>
            <w:proofErr w:type="gramStart"/>
            <w:r w:rsidRPr="00441BF6">
              <w:rPr>
                <w:rFonts w:eastAsia="Times New Roman" w:cs="Arial"/>
                <w:color w:val="000000"/>
                <w:lang w:eastAsia="bg-BG"/>
              </w:rPr>
              <w:t>дози</w:t>
            </w:r>
            <w:r w:rsidRPr="00441BF6">
              <w:rPr>
                <w:rFonts w:eastAsia="Times New Roman" w:cs="Arial"/>
                <w:color w:val="000000"/>
                <w:lang w:val="en-US"/>
              </w:rPr>
              <w:t xml:space="preserve"> </w:t>
            </w:r>
            <w:r w:rsidRPr="00441BF6">
              <w:rPr>
                <w:rFonts w:eastAsia="Times New Roman" w:cs="Arial"/>
                <w:color w:val="000000"/>
                <w:lang w:eastAsia="bg-BG"/>
              </w:rPr>
              <w:t xml:space="preserve"> от</w:t>
            </w:r>
            <w:proofErr w:type="gramEnd"/>
            <w:r w:rsidRPr="00441BF6">
              <w:rPr>
                <w:rFonts w:eastAsia="Times New Roman" w:cs="Arial"/>
                <w:color w:val="000000"/>
                <w:lang w:eastAsia="bg-BG"/>
              </w:rPr>
              <w:t xml:space="preserve"> най-малко 1,5 </w:t>
            </w:r>
            <w:r w:rsidRPr="00441BF6">
              <w:rPr>
                <w:rFonts w:eastAsia="Times New Roman" w:cs="Arial"/>
                <w:color w:val="000000"/>
                <w:lang w:val="en-US"/>
              </w:rPr>
              <w:t xml:space="preserve">g </w:t>
            </w:r>
            <w:r w:rsidRPr="00441BF6">
              <w:rPr>
                <w:rFonts w:eastAsia="Times New Roman" w:cs="Arial"/>
                <w:color w:val="000000"/>
                <w:lang w:eastAsia="bg-BG"/>
              </w:rPr>
              <w:t>х 3.</w:t>
            </w:r>
          </w:p>
        </w:tc>
      </w:tr>
    </w:tbl>
    <w:p w14:paraId="3888DBF2" w14:textId="6201038C" w:rsidR="00441BF6" w:rsidRPr="00441BF6" w:rsidRDefault="00441BF6" w:rsidP="0091385D">
      <w:pPr>
        <w:rPr>
          <w:rFonts w:cs="Arial"/>
        </w:rPr>
      </w:pPr>
    </w:p>
    <w:p w14:paraId="2D28DDF0" w14:textId="77777777"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val="en-US"/>
        </w:rPr>
        <w:t xml:space="preserve">S = </w:t>
      </w:r>
      <w:r w:rsidRPr="00441BF6">
        <w:rPr>
          <w:rFonts w:eastAsia="Times New Roman" w:cs="Arial"/>
          <w:color w:val="000000"/>
          <w:lang w:eastAsia="bg-BG"/>
        </w:rPr>
        <w:t xml:space="preserve">чувствителен, </w:t>
      </w:r>
      <w:r w:rsidRPr="00441BF6">
        <w:rPr>
          <w:rFonts w:eastAsia="Times New Roman" w:cs="Arial"/>
          <w:color w:val="000000"/>
          <w:lang w:val="en-US"/>
        </w:rPr>
        <w:t xml:space="preserve">R = </w:t>
      </w:r>
      <w:r w:rsidRPr="00441BF6">
        <w:rPr>
          <w:rFonts w:eastAsia="Times New Roman" w:cs="Arial"/>
          <w:color w:val="000000"/>
          <w:lang w:eastAsia="bg-BG"/>
        </w:rPr>
        <w:t>резистентен</w:t>
      </w:r>
    </w:p>
    <w:p w14:paraId="09AF62E9" w14:textId="77777777" w:rsidR="00441BF6" w:rsidRPr="00441BF6" w:rsidRDefault="00441BF6" w:rsidP="00441BF6">
      <w:pPr>
        <w:spacing w:line="240" w:lineRule="auto"/>
        <w:rPr>
          <w:rFonts w:eastAsia="Times New Roman" w:cs="Arial"/>
          <w:color w:val="000000"/>
          <w:u w:val="single"/>
          <w:lang w:eastAsia="bg-BG"/>
        </w:rPr>
      </w:pPr>
    </w:p>
    <w:p w14:paraId="13D70F2A" w14:textId="2F41C856"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u w:val="single"/>
          <w:lang w:eastAsia="bg-BG"/>
        </w:rPr>
        <w:t>Микробиологична чувствителност</w:t>
      </w:r>
    </w:p>
    <w:p w14:paraId="43DC6C88" w14:textId="77777777" w:rsidR="00441BF6" w:rsidRPr="00441BF6" w:rsidRDefault="00441BF6" w:rsidP="00441BF6">
      <w:pPr>
        <w:spacing w:line="240" w:lineRule="auto"/>
        <w:rPr>
          <w:rFonts w:eastAsia="Times New Roman" w:cs="Arial"/>
          <w:color w:val="000000"/>
          <w:lang w:eastAsia="bg-BG"/>
        </w:rPr>
      </w:pPr>
    </w:p>
    <w:p w14:paraId="3C6D82F8" w14:textId="28724C0E"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Разпространението на придобитата резистентност може да варира в различните географски области и с времето за избрани видове, и затова е необходима местна информация за резистентността, особено при лечение на тежки инфекции. При необходимост, трябва да се търси съвет от специалисти, когато локалната честота на резистентност е такава, че поставя под въпрос приложимостта на цефуроксим поне при някои типове инфекции.</w:t>
      </w:r>
    </w:p>
    <w:p w14:paraId="7F18E223" w14:textId="77777777" w:rsidR="00441BF6" w:rsidRPr="00441BF6" w:rsidRDefault="00441BF6" w:rsidP="00441BF6">
      <w:pPr>
        <w:rPr>
          <w:rFonts w:eastAsia="Times New Roman" w:cs="Arial"/>
          <w:color w:val="000000"/>
          <w:lang w:eastAsia="bg-BG"/>
        </w:rPr>
      </w:pPr>
    </w:p>
    <w:p w14:paraId="5BF1ED1F" w14:textId="712045AB" w:rsidR="00441BF6" w:rsidRDefault="00441BF6" w:rsidP="00441BF6">
      <w:pPr>
        <w:rPr>
          <w:rFonts w:eastAsia="Times New Roman" w:cs="Arial"/>
          <w:i/>
          <w:iCs/>
          <w:color w:val="000000"/>
          <w:lang w:val="en-US"/>
        </w:rPr>
      </w:pPr>
      <w:r w:rsidRPr="00441BF6">
        <w:rPr>
          <w:rFonts w:eastAsia="Times New Roman" w:cs="Arial"/>
          <w:color w:val="000000"/>
          <w:lang w:eastAsia="bg-BG"/>
        </w:rPr>
        <w:t xml:space="preserve">Цефуроксим обикновено е активен срещу следните микроорганизми </w:t>
      </w:r>
      <w:r w:rsidRPr="00441BF6">
        <w:rPr>
          <w:rFonts w:eastAsia="Times New Roman" w:cs="Arial"/>
          <w:i/>
          <w:iCs/>
          <w:color w:val="000000"/>
          <w:lang w:val="en-US"/>
        </w:rPr>
        <w:t>in vitro:</w:t>
      </w:r>
    </w:p>
    <w:p w14:paraId="7E1D9EAA" w14:textId="77777777" w:rsidR="00441BF6" w:rsidRPr="00441BF6" w:rsidRDefault="00441BF6" w:rsidP="00441BF6">
      <w:pPr>
        <w:rPr>
          <w:rFonts w:eastAsia="Times New Roman" w:cs="Arial"/>
          <w:i/>
          <w:iCs/>
          <w:color w:val="000000"/>
          <w:lang w:val="en-US"/>
        </w:rPr>
      </w:pPr>
    </w:p>
    <w:tbl>
      <w:tblPr>
        <w:tblStyle w:val="TableGrid"/>
        <w:tblW w:w="0" w:type="auto"/>
        <w:tblLook w:val="04A0" w:firstRow="1" w:lastRow="0" w:firstColumn="1" w:lastColumn="0" w:noHBand="0" w:noVBand="1"/>
      </w:tblPr>
      <w:tblGrid>
        <w:gridCol w:w="9350"/>
      </w:tblGrid>
      <w:tr w:rsidR="00441BF6" w14:paraId="62DB6D71" w14:textId="77777777" w:rsidTr="00441BF6">
        <w:tc>
          <w:tcPr>
            <w:tcW w:w="9350" w:type="dxa"/>
          </w:tcPr>
          <w:p w14:paraId="7B14AA6F" w14:textId="5949BD7B" w:rsidR="00441BF6" w:rsidRDefault="00441BF6" w:rsidP="00441BF6">
            <w:r>
              <w:rPr>
                <w:b/>
                <w:bCs/>
              </w:rPr>
              <w:t>Микроорганизми, които обикновено са чувствителни</w:t>
            </w:r>
          </w:p>
        </w:tc>
      </w:tr>
      <w:tr w:rsidR="00441BF6" w14:paraId="53C81E99" w14:textId="77777777" w:rsidTr="00441BF6">
        <w:tc>
          <w:tcPr>
            <w:tcW w:w="9350" w:type="dxa"/>
          </w:tcPr>
          <w:p w14:paraId="7CF708D2" w14:textId="77777777" w:rsidR="00441BF6" w:rsidRDefault="00441BF6" w:rsidP="00441BF6">
            <w:r>
              <w:rPr>
                <w:u w:val="single"/>
              </w:rPr>
              <w:t>Грам-положителни аероби:</w:t>
            </w:r>
          </w:p>
          <w:p w14:paraId="2C1A6B22" w14:textId="77777777" w:rsidR="00441BF6" w:rsidRDefault="00441BF6" w:rsidP="00441BF6">
            <w:r>
              <w:rPr>
                <w:i/>
                <w:iCs/>
                <w:lang w:val="en-US"/>
              </w:rPr>
              <w:t>Staphylococcus aureus</w:t>
            </w:r>
            <w:r>
              <w:rPr>
                <w:lang w:val="en-US"/>
              </w:rPr>
              <w:t xml:space="preserve"> </w:t>
            </w:r>
            <w:r>
              <w:t>(метицилин-чувствителен)*</w:t>
            </w:r>
          </w:p>
          <w:p w14:paraId="0C8CC129" w14:textId="77777777" w:rsidR="00441BF6" w:rsidRDefault="00441BF6" w:rsidP="00441BF6">
            <w:r>
              <w:rPr>
                <w:i/>
                <w:iCs/>
                <w:lang w:val="en-US"/>
              </w:rPr>
              <w:t xml:space="preserve">Streptococcus </w:t>
            </w:r>
            <w:proofErr w:type="spellStart"/>
            <w:r>
              <w:rPr>
                <w:i/>
                <w:iCs/>
                <w:lang w:val="en-US"/>
              </w:rPr>
              <w:t>pyogenes</w:t>
            </w:r>
            <w:proofErr w:type="spellEnd"/>
          </w:p>
          <w:p w14:paraId="0EDAF227" w14:textId="77777777" w:rsidR="00441BF6" w:rsidRDefault="00441BF6" w:rsidP="00441BF6">
            <w:r>
              <w:rPr>
                <w:i/>
                <w:iCs/>
                <w:lang w:val="en-US"/>
              </w:rPr>
              <w:t xml:space="preserve">Streptococcus </w:t>
            </w:r>
            <w:proofErr w:type="spellStart"/>
            <w:r>
              <w:rPr>
                <w:i/>
                <w:iCs/>
                <w:lang w:val="en-US"/>
              </w:rPr>
              <w:t>agalactiae</w:t>
            </w:r>
            <w:proofErr w:type="spellEnd"/>
          </w:p>
          <w:p w14:paraId="1702717A" w14:textId="008874C0" w:rsidR="00441BF6" w:rsidRDefault="00441BF6" w:rsidP="00441BF6">
            <w:r>
              <w:rPr>
                <w:i/>
                <w:iCs/>
                <w:lang w:val="en-US"/>
              </w:rPr>
              <w:t>Streptococcus mitis</w:t>
            </w:r>
            <w:r>
              <w:rPr>
                <w:lang w:val="en-US"/>
              </w:rPr>
              <w:t xml:space="preserve"> </w:t>
            </w:r>
            <w:r>
              <w:t xml:space="preserve">(групата </w:t>
            </w:r>
            <w:proofErr w:type="spellStart"/>
            <w:r>
              <w:rPr>
                <w:lang w:val="en-US"/>
              </w:rPr>
              <w:t>viridans</w:t>
            </w:r>
            <w:proofErr w:type="spellEnd"/>
            <w:r>
              <w:rPr>
                <w:lang w:val="en-US"/>
              </w:rPr>
              <w:t>)</w:t>
            </w:r>
          </w:p>
        </w:tc>
      </w:tr>
      <w:tr w:rsidR="00441BF6" w14:paraId="32A06F3B" w14:textId="77777777" w:rsidTr="00441BF6">
        <w:tc>
          <w:tcPr>
            <w:tcW w:w="9350" w:type="dxa"/>
          </w:tcPr>
          <w:p w14:paraId="3F4AC626" w14:textId="0DF38E2B" w:rsidR="00441BF6" w:rsidRDefault="00441BF6" w:rsidP="00441BF6">
            <w:r>
              <w:rPr>
                <w:u w:val="single"/>
              </w:rPr>
              <w:t xml:space="preserve">Грам-отрицателни аероби: </w:t>
            </w:r>
            <w:proofErr w:type="spellStart"/>
            <w:r>
              <w:rPr>
                <w:i/>
                <w:iCs/>
                <w:lang w:val="en-US"/>
              </w:rPr>
              <w:t>Haemophilus</w:t>
            </w:r>
            <w:proofErr w:type="spellEnd"/>
            <w:r>
              <w:rPr>
                <w:i/>
                <w:iCs/>
                <w:lang w:val="en-US"/>
              </w:rPr>
              <w:t xml:space="preserve"> </w:t>
            </w:r>
            <w:proofErr w:type="spellStart"/>
            <w:r>
              <w:rPr>
                <w:i/>
                <w:iCs/>
                <w:lang w:val="en-US"/>
              </w:rPr>
              <w:t>influenzae</w:t>
            </w:r>
            <w:proofErr w:type="spellEnd"/>
            <w:r>
              <w:rPr>
                <w:i/>
                <w:iCs/>
                <w:lang w:val="en-US"/>
              </w:rPr>
              <w:t xml:space="preserve"> </w:t>
            </w:r>
            <w:proofErr w:type="spellStart"/>
            <w:r>
              <w:rPr>
                <w:i/>
                <w:iCs/>
                <w:lang w:val="en-US"/>
              </w:rPr>
              <w:t>Haemophilus</w:t>
            </w:r>
            <w:proofErr w:type="spellEnd"/>
            <w:r>
              <w:rPr>
                <w:i/>
                <w:iCs/>
                <w:lang w:val="en-US"/>
              </w:rPr>
              <w:t xml:space="preserve"> </w:t>
            </w:r>
            <w:proofErr w:type="spellStart"/>
            <w:r>
              <w:rPr>
                <w:i/>
                <w:iCs/>
                <w:lang w:val="en-US"/>
              </w:rPr>
              <w:t>parainfluenzae</w:t>
            </w:r>
            <w:proofErr w:type="spellEnd"/>
            <w:r>
              <w:rPr>
                <w:i/>
                <w:iCs/>
                <w:lang w:val="en-US"/>
              </w:rPr>
              <w:t xml:space="preserve"> Moraxella </w:t>
            </w:r>
            <w:proofErr w:type="spellStart"/>
            <w:r>
              <w:rPr>
                <w:i/>
                <w:iCs/>
                <w:lang w:val="en-US"/>
              </w:rPr>
              <w:t>catarrhalis</w:t>
            </w:r>
            <w:proofErr w:type="spellEnd"/>
          </w:p>
        </w:tc>
      </w:tr>
      <w:tr w:rsidR="00441BF6" w14:paraId="2A8261A0" w14:textId="77777777" w:rsidTr="00441BF6">
        <w:tc>
          <w:tcPr>
            <w:tcW w:w="9350" w:type="dxa"/>
          </w:tcPr>
          <w:p w14:paraId="4FD7F297" w14:textId="53A1C5BD" w:rsidR="00441BF6" w:rsidRDefault="00441BF6" w:rsidP="00441BF6">
            <w:r>
              <w:rPr>
                <w:b/>
                <w:bCs/>
              </w:rPr>
              <w:t>Микроорганизми, при които придобитата резистентност може да е проблем</w:t>
            </w:r>
          </w:p>
        </w:tc>
      </w:tr>
      <w:tr w:rsidR="00441BF6" w14:paraId="6C14111D" w14:textId="77777777" w:rsidTr="00441BF6">
        <w:tc>
          <w:tcPr>
            <w:tcW w:w="9350" w:type="dxa"/>
          </w:tcPr>
          <w:p w14:paraId="002BB8E5" w14:textId="77777777" w:rsidR="00441BF6" w:rsidRDefault="00441BF6" w:rsidP="00441BF6">
            <w:r>
              <w:rPr>
                <w:u w:val="single"/>
              </w:rPr>
              <w:t>Грам-положителни аероби:</w:t>
            </w:r>
          </w:p>
          <w:p w14:paraId="66E7F7A3" w14:textId="2860E117" w:rsidR="00441BF6" w:rsidRDefault="00441BF6" w:rsidP="00441BF6">
            <w:r>
              <w:rPr>
                <w:i/>
                <w:iCs/>
                <w:lang w:val="en-US"/>
              </w:rPr>
              <w:t xml:space="preserve">Streptococcus </w:t>
            </w:r>
            <w:proofErr w:type="spellStart"/>
            <w:r>
              <w:rPr>
                <w:i/>
                <w:iCs/>
                <w:lang w:val="en-US"/>
              </w:rPr>
              <w:t>pneumoniae</w:t>
            </w:r>
            <w:proofErr w:type="spellEnd"/>
          </w:p>
        </w:tc>
      </w:tr>
      <w:tr w:rsidR="00441BF6" w14:paraId="5AC9A3F7" w14:textId="77777777" w:rsidTr="00441BF6">
        <w:tc>
          <w:tcPr>
            <w:tcW w:w="9350" w:type="dxa"/>
          </w:tcPr>
          <w:p w14:paraId="6DC6BB61" w14:textId="77777777" w:rsidR="00441BF6" w:rsidRDefault="00441BF6" w:rsidP="00441BF6">
            <w:pPr>
              <w:rPr>
                <w:lang w:eastAsia="bg-BG"/>
              </w:rPr>
            </w:pPr>
            <w:r>
              <w:rPr>
                <w:u w:val="single"/>
                <w:lang w:eastAsia="bg-BG"/>
              </w:rPr>
              <w:t>Грам-отрицателни аероби:</w:t>
            </w:r>
          </w:p>
          <w:p w14:paraId="7C0F7956" w14:textId="77777777" w:rsidR="00441BF6" w:rsidRDefault="00441BF6" w:rsidP="00441BF6">
            <w:pPr>
              <w:rPr>
                <w:lang w:eastAsia="bg-BG"/>
              </w:rPr>
            </w:pPr>
            <w:r>
              <w:rPr>
                <w:i/>
                <w:iCs/>
              </w:rPr>
              <w:t>Citrobacter freundii</w:t>
            </w:r>
          </w:p>
          <w:p w14:paraId="78AED73E" w14:textId="77777777" w:rsidR="00441BF6" w:rsidRDefault="00441BF6" w:rsidP="00441BF6">
            <w:pPr>
              <w:rPr>
                <w:lang w:eastAsia="bg-BG"/>
              </w:rPr>
            </w:pPr>
            <w:r>
              <w:rPr>
                <w:i/>
                <w:iCs/>
              </w:rPr>
              <w:t>Enterobacter cloacae</w:t>
            </w:r>
          </w:p>
          <w:p w14:paraId="6684613A" w14:textId="77777777" w:rsidR="00441BF6" w:rsidRDefault="00441BF6" w:rsidP="00441BF6">
            <w:pPr>
              <w:rPr>
                <w:lang w:eastAsia="bg-BG"/>
              </w:rPr>
            </w:pPr>
            <w:r>
              <w:rPr>
                <w:i/>
                <w:iCs/>
              </w:rPr>
              <w:t>Enterobacter aerogenes</w:t>
            </w:r>
          </w:p>
          <w:p w14:paraId="7F92EA13" w14:textId="77777777" w:rsidR="00441BF6" w:rsidRDefault="00441BF6" w:rsidP="00441BF6">
            <w:pPr>
              <w:rPr>
                <w:lang w:eastAsia="bg-BG"/>
              </w:rPr>
            </w:pPr>
            <w:r>
              <w:rPr>
                <w:i/>
                <w:iCs/>
              </w:rPr>
              <w:t>Escherichia coli</w:t>
            </w:r>
          </w:p>
          <w:p w14:paraId="422ACC58" w14:textId="77777777" w:rsidR="00441BF6" w:rsidRDefault="00441BF6" w:rsidP="00441BF6">
            <w:pPr>
              <w:rPr>
                <w:lang w:eastAsia="bg-BG"/>
              </w:rPr>
            </w:pPr>
            <w:r>
              <w:rPr>
                <w:i/>
                <w:iCs/>
              </w:rPr>
              <w:t>Klebsiella pneumoniae</w:t>
            </w:r>
          </w:p>
          <w:p w14:paraId="7EEE261B" w14:textId="77777777" w:rsidR="00441BF6" w:rsidRDefault="00441BF6" w:rsidP="00441BF6">
            <w:pPr>
              <w:rPr>
                <w:lang w:eastAsia="bg-BG"/>
              </w:rPr>
            </w:pPr>
            <w:r>
              <w:rPr>
                <w:i/>
                <w:iCs/>
              </w:rPr>
              <w:t>Proteus mirabilis</w:t>
            </w:r>
          </w:p>
          <w:p w14:paraId="1138C75B" w14:textId="77777777" w:rsidR="00441BF6" w:rsidRDefault="00441BF6" w:rsidP="00441BF6">
            <w:pPr>
              <w:rPr>
                <w:lang w:eastAsia="bg-BG"/>
              </w:rPr>
            </w:pPr>
            <w:r>
              <w:rPr>
                <w:i/>
                <w:iCs/>
              </w:rPr>
              <w:t>Proteus</w:t>
            </w:r>
            <w:r>
              <w:t xml:space="preserve"> spp. (</w:t>
            </w:r>
            <w:r>
              <w:rPr>
                <w:lang w:eastAsia="bg-BG"/>
              </w:rPr>
              <w:t xml:space="preserve">различни от </w:t>
            </w:r>
            <w:r>
              <w:rPr>
                <w:i/>
                <w:iCs/>
              </w:rPr>
              <w:t>P. vulgaris)</w:t>
            </w:r>
          </w:p>
          <w:p w14:paraId="4A44B71D" w14:textId="77777777" w:rsidR="00441BF6" w:rsidRDefault="00441BF6" w:rsidP="00441BF6">
            <w:pPr>
              <w:rPr>
                <w:lang w:eastAsia="bg-BG"/>
              </w:rPr>
            </w:pPr>
            <w:r>
              <w:rPr>
                <w:i/>
                <w:iCs/>
              </w:rPr>
              <w:t>Providencia</w:t>
            </w:r>
            <w:r>
              <w:t xml:space="preserve"> spp.</w:t>
            </w:r>
          </w:p>
          <w:p w14:paraId="58E16AC3" w14:textId="4931B132" w:rsidR="00441BF6" w:rsidRDefault="00441BF6" w:rsidP="00441BF6">
            <w:r>
              <w:rPr>
                <w:i/>
                <w:iCs/>
              </w:rPr>
              <w:t>Salmonella</w:t>
            </w:r>
            <w:r>
              <w:t xml:space="preserve"> spp.</w:t>
            </w:r>
          </w:p>
        </w:tc>
      </w:tr>
      <w:tr w:rsidR="00441BF6" w14:paraId="24CD2130" w14:textId="77777777" w:rsidTr="00441BF6">
        <w:tc>
          <w:tcPr>
            <w:tcW w:w="9350" w:type="dxa"/>
          </w:tcPr>
          <w:p w14:paraId="1267A6F4" w14:textId="77777777" w:rsidR="00441BF6" w:rsidRDefault="00441BF6" w:rsidP="00441BF6">
            <w:pPr>
              <w:rPr>
                <w:lang w:eastAsia="bg-BG"/>
              </w:rPr>
            </w:pPr>
            <w:r>
              <w:rPr>
                <w:u w:val="single"/>
                <w:lang w:eastAsia="bg-BG"/>
              </w:rPr>
              <w:t>Грам-положителни анаероби:</w:t>
            </w:r>
          </w:p>
          <w:p w14:paraId="2D7CA5AD" w14:textId="77777777" w:rsidR="00441BF6" w:rsidRDefault="00441BF6" w:rsidP="00441BF6">
            <w:pPr>
              <w:rPr>
                <w:lang w:eastAsia="bg-BG"/>
              </w:rPr>
            </w:pPr>
            <w:r>
              <w:rPr>
                <w:i/>
                <w:iCs/>
              </w:rPr>
              <w:lastRenderedPageBreak/>
              <w:t>Peptostreptococcus</w:t>
            </w:r>
            <w:r>
              <w:t xml:space="preserve"> spp.</w:t>
            </w:r>
          </w:p>
          <w:p w14:paraId="04A40E81" w14:textId="21EC98D2" w:rsidR="00441BF6" w:rsidRDefault="00441BF6" w:rsidP="00441BF6">
            <w:r>
              <w:rPr>
                <w:i/>
                <w:iCs/>
              </w:rPr>
              <w:t>Propionibacterium</w:t>
            </w:r>
            <w:r>
              <w:t xml:space="preserve"> spp.</w:t>
            </w:r>
          </w:p>
        </w:tc>
      </w:tr>
      <w:tr w:rsidR="00441BF6" w14:paraId="5EA45207" w14:textId="77777777" w:rsidTr="00441BF6">
        <w:tc>
          <w:tcPr>
            <w:tcW w:w="9350" w:type="dxa"/>
          </w:tcPr>
          <w:p w14:paraId="6C7EFC5C" w14:textId="0CAF61E5" w:rsidR="00441BF6" w:rsidRDefault="00441BF6" w:rsidP="00441BF6">
            <w:r>
              <w:rPr>
                <w:u w:val="single"/>
                <w:lang w:eastAsia="bg-BG"/>
              </w:rPr>
              <w:lastRenderedPageBreak/>
              <w:t xml:space="preserve">Грам-отрицателни анаероби: </w:t>
            </w:r>
            <w:r>
              <w:rPr>
                <w:i/>
                <w:iCs/>
              </w:rPr>
              <w:t>Fusobacterium</w:t>
            </w:r>
            <w:r>
              <w:t xml:space="preserve"> spp. </w:t>
            </w:r>
            <w:r>
              <w:rPr>
                <w:i/>
                <w:iCs/>
              </w:rPr>
              <w:t>Bacteroides</w:t>
            </w:r>
            <w:r>
              <w:t xml:space="preserve"> spp.</w:t>
            </w:r>
          </w:p>
        </w:tc>
      </w:tr>
      <w:tr w:rsidR="00441BF6" w14:paraId="4D41EC9E" w14:textId="77777777" w:rsidTr="00441BF6">
        <w:tc>
          <w:tcPr>
            <w:tcW w:w="9350" w:type="dxa"/>
          </w:tcPr>
          <w:p w14:paraId="60EBB314" w14:textId="3F4B4B1C" w:rsidR="00441BF6" w:rsidRDefault="00441BF6" w:rsidP="00441BF6">
            <w:r>
              <w:rPr>
                <w:b/>
                <w:bCs/>
                <w:lang w:eastAsia="bg-BG"/>
              </w:rPr>
              <w:t>Наследствено резистентни микроорганизми</w:t>
            </w:r>
          </w:p>
        </w:tc>
      </w:tr>
      <w:tr w:rsidR="00441BF6" w14:paraId="4C1584D0" w14:textId="77777777" w:rsidTr="00441BF6">
        <w:tc>
          <w:tcPr>
            <w:tcW w:w="9350" w:type="dxa"/>
          </w:tcPr>
          <w:p w14:paraId="468D3E7F" w14:textId="77777777" w:rsidR="00441BF6" w:rsidRDefault="00441BF6" w:rsidP="00441BF6">
            <w:pPr>
              <w:rPr>
                <w:lang w:eastAsia="bg-BG"/>
              </w:rPr>
            </w:pPr>
            <w:r>
              <w:rPr>
                <w:u w:val="single"/>
                <w:lang w:eastAsia="bg-BG"/>
              </w:rPr>
              <w:t>Грам-положителни аероби:</w:t>
            </w:r>
          </w:p>
          <w:p w14:paraId="33A3795C" w14:textId="77777777" w:rsidR="00441BF6" w:rsidRDefault="00441BF6" w:rsidP="00441BF6">
            <w:pPr>
              <w:rPr>
                <w:lang w:eastAsia="bg-BG"/>
              </w:rPr>
            </w:pPr>
            <w:r>
              <w:rPr>
                <w:i/>
                <w:iCs/>
              </w:rPr>
              <w:t>Enterococcus faecalis</w:t>
            </w:r>
          </w:p>
          <w:p w14:paraId="751F47E1" w14:textId="2173957E" w:rsidR="00441BF6" w:rsidRDefault="00441BF6" w:rsidP="00441BF6">
            <w:r>
              <w:rPr>
                <w:i/>
                <w:iCs/>
              </w:rPr>
              <w:t>Enterococcus faecium</w:t>
            </w:r>
          </w:p>
        </w:tc>
      </w:tr>
      <w:tr w:rsidR="00441BF6" w14:paraId="2013A05E" w14:textId="77777777" w:rsidTr="00441BF6">
        <w:tc>
          <w:tcPr>
            <w:tcW w:w="9350" w:type="dxa"/>
          </w:tcPr>
          <w:p w14:paraId="709505FD" w14:textId="6A3AB8CB" w:rsidR="00441BF6" w:rsidRDefault="00441BF6" w:rsidP="00441BF6">
            <w:r>
              <w:rPr>
                <w:u w:val="single"/>
                <w:lang w:eastAsia="bg-BG"/>
              </w:rPr>
              <w:t xml:space="preserve">Грам-отрицателни аероби: </w:t>
            </w:r>
            <w:r>
              <w:rPr>
                <w:i/>
                <w:iCs/>
              </w:rPr>
              <w:t>Acinetobacter</w:t>
            </w:r>
            <w:r>
              <w:t xml:space="preserve"> spp, </w:t>
            </w:r>
            <w:r>
              <w:rPr>
                <w:i/>
                <w:iCs/>
              </w:rPr>
              <w:t>Morganella morganii Proteus vulgaris Pseudomonas aeruginosa Serratia marcescens</w:t>
            </w:r>
          </w:p>
        </w:tc>
      </w:tr>
      <w:tr w:rsidR="00441BF6" w14:paraId="79EDF46A" w14:textId="77777777" w:rsidTr="00441BF6">
        <w:tc>
          <w:tcPr>
            <w:tcW w:w="9350" w:type="dxa"/>
          </w:tcPr>
          <w:p w14:paraId="69D04286" w14:textId="77777777" w:rsidR="00441BF6" w:rsidRDefault="00441BF6" w:rsidP="00441BF6">
            <w:pPr>
              <w:rPr>
                <w:lang w:eastAsia="bg-BG"/>
              </w:rPr>
            </w:pPr>
            <w:r>
              <w:rPr>
                <w:u w:val="single"/>
                <w:lang w:eastAsia="bg-BG"/>
              </w:rPr>
              <w:t>Грам-положителни анаероби:</w:t>
            </w:r>
          </w:p>
          <w:p w14:paraId="2BFBE787" w14:textId="7594F567" w:rsidR="00441BF6" w:rsidRDefault="00441BF6" w:rsidP="00441BF6">
            <w:r>
              <w:rPr>
                <w:i/>
                <w:iCs/>
              </w:rPr>
              <w:t>Clostridium difficile</w:t>
            </w:r>
          </w:p>
        </w:tc>
      </w:tr>
      <w:tr w:rsidR="00441BF6" w14:paraId="33250620" w14:textId="77777777" w:rsidTr="00441BF6">
        <w:tc>
          <w:tcPr>
            <w:tcW w:w="9350" w:type="dxa"/>
          </w:tcPr>
          <w:p w14:paraId="6E9771BE" w14:textId="77777777" w:rsidR="00441BF6" w:rsidRDefault="00441BF6" w:rsidP="00441BF6">
            <w:pPr>
              <w:rPr>
                <w:lang w:eastAsia="bg-BG"/>
              </w:rPr>
            </w:pPr>
            <w:r>
              <w:rPr>
                <w:u w:val="single"/>
                <w:lang w:eastAsia="bg-BG"/>
              </w:rPr>
              <w:t>Грам-отрицателни анаероби:</w:t>
            </w:r>
          </w:p>
          <w:p w14:paraId="38C68690" w14:textId="42F373A5" w:rsidR="00441BF6" w:rsidRDefault="00441BF6" w:rsidP="00441BF6">
            <w:r>
              <w:rPr>
                <w:i/>
                <w:iCs/>
              </w:rPr>
              <w:t>Bacteroides fragilis</w:t>
            </w:r>
          </w:p>
        </w:tc>
      </w:tr>
      <w:tr w:rsidR="00441BF6" w14:paraId="02FBD6A5" w14:textId="77777777" w:rsidTr="00441BF6">
        <w:tc>
          <w:tcPr>
            <w:tcW w:w="9350" w:type="dxa"/>
          </w:tcPr>
          <w:p w14:paraId="10A850E5" w14:textId="77777777" w:rsidR="00441BF6" w:rsidRDefault="00441BF6" w:rsidP="00441BF6">
            <w:pPr>
              <w:rPr>
                <w:lang w:eastAsia="bg-BG"/>
              </w:rPr>
            </w:pPr>
            <w:r>
              <w:rPr>
                <w:u w:val="single"/>
                <w:lang w:eastAsia="bg-BG"/>
              </w:rPr>
              <w:t>Други:</w:t>
            </w:r>
          </w:p>
          <w:p w14:paraId="2E68BBDD" w14:textId="24340D67" w:rsidR="00441BF6" w:rsidRDefault="00441BF6" w:rsidP="00441BF6">
            <w:r>
              <w:rPr>
                <w:i/>
                <w:iCs/>
              </w:rPr>
              <w:t>Chlamydia</w:t>
            </w:r>
            <w:r>
              <w:t xml:space="preserve"> spp.</w:t>
            </w:r>
          </w:p>
        </w:tc>
      </w:tr>
      <w:tr w:rsidR="00441BF6" w14:paraId="739CA50D" w14:textId="77777777" w:rsidTr="00441BF6">
        <w:tc>
          <w:tcPr>
            <w:tcW w:w="9350" w:type="dxa"/>
          </w:tcPr>
          <w:p w14:paraId="2ECBF756" w14:textId="77777777" w:rsidR="00441BF6" w:rsidRPr="00441BF6" w:rsidRDefault="00441BF6" w:rsidP="00441BF6">
            <w:pPr>
              <w:spacing w:line="240" w:lineRule="auto"/>
              <w:rPr>
                <w:rFonts w:ascii="Times New Roman" w:eastAsia="Times New Roman" w:hAnsi="Times New Roman" w:cs="Times New Roman"/>
                <w:sz w:val="24"/>
                <w:szCs w:val="24"/>
                <w:lang w:val="en-US" w:eastAsia="bg-BG"/>
              </w:rPr>
            </w:pPr>
            <w:r w:rsidRPr="00441BF6">
              <w:rPr>
                <w:rFonts w:ascii="Times New Roman" w:eastAsia="Times New Roman" w:hAnsi="Times New Roman" w:cs="Times New Roman"/>
                <w:i/>
                <w:iCs/>
                <w:color w:val="000000"/>
                <w:lang w:val="en-US"/>
              </w:rPr>
              <w:t>Mycoplasma</w:t>
            </w:r>
            <w:r w:rsidRPr="00441BF6">
              <w:rPr>
                <w:rFonts w:ascii="Times New Roman" w:eastAsia="Times New Roman" w:hAnsi="Times New Roman" w:cs="Times New Roman"/>
                <w:color w:val="000000"/>
                <w:lang w:val="en-US"/>
              </w:rPr>
              <w:t xml:space="preserve"> spp.</w:t>
            </w:r>
          </w:p>
          <w:p w14:paraId="126624C0" w14:textId="61DC5C0E" w:rsidR="00441BF6" w:rsidRDefault="00441BF6" w:rsidP="00441BF6">
            <w:r w:rsidRPr="00441BF6">
              <w:rPr>
                <w:rFonts w:ascii="Times New Roman" w:eastAsia="Times New Roman" w:hAnsi="Times New Roman" w:cs="Times New Roman"/>
                <w:i/>
                <w:iCs/>
                <w:color w:val="000000"/>
                <w:lang w:val="en-US"/>
              </w:rPr>
              <w:t>Legionella</w:t>
            </w:r>
            <w:r w:rsidRPr="00441BF6">
              <w:rPr>
                <w:rFonts w:ascii="Times New Roman" w:eastAsia="Times New Roman" w:hAnsi="Times New Roman" w:cs="Times New Roman"/>
                <w:color w:val="000000"/>
                <w:lang w:val="en-US"/>
              </w:rPr>
              <w:t xml:space="preserve"> spp.</w:t>
            </w:r>
          </w:p>
        </w:tc>
      </w:tr>
    </w:tbl>
    <w:p w14:paraId="0E42D788" w14:textId="77777777"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 xml:space="preserve">* Всички метицилин-резистентни </w:t>
      </w:r>
      <w:r w:rsidRPr="00441BF6">
        <w:rPr>
          <w:rFonts w:eastAsia="Times New Roman" w:cs="Arial"/>
          <w:color w:val="000000"/>
          <w:lang w:val="en-US"/>
        </w:rPr>
        <w:t xml:space="preserve">S. </w:t>
      </w:r>
      <w:proofErr w:type="gramStart"/>
      <w:r w:rsidRPr="00441BF6">
        <w:rPr>
          <w:rFonts w:eastAsia="Times New Roman" w:cs="Arial"/>
          <w:i/>
          <w:iCs/>
          <w:color w:val="000000"/>
          <w:lang w:val="en-US"/>
        </w:rPr>
        <w:t>aureus</w:t>
      </w:r>
      <w:proofErr w:type="gramEnd"/>
      <w:r w:rsidRPr="00441BF6">
        <w:rPr>
          <w:rFonts w:eastAsia="Times New Roman" w:cs="Arial"/>
          <w:color w:val="000000"/>
          <w:lang w:val="en-US"/>
        </w:rPr>
        <w:t xml:space="preserve"> </w:t>
      </w:r>
      <w:r w:rsidRPr="00441BF6">
        <w:rPr>
          <w:rFonts w:eastAsia="Times New Roman" w:cs="Arial"/>
          <w:color w:val="000000"/>
          <w:lang w:eastAsia="bg-BG"/>
        </w:rPr>
        <w:t>са резистентни на цефуроксим.</w:t>
      </w:r>
    </w:p>
    <w:p w14:paraId="2E1F2DD4" w14:textId="77777777" w:rsidR="00441BF6" w:rsidRPr="00441BF6" w:rsidRDefault="00441BF6" w:rsidP="00441BF6">
      <w:pPr>
        <w:rPr>
          <w:rFonts w:eastAsia="Times New Roman" w:cs="Arial"/>
          <w:color w:val="000000"/>
          <w:lang w:eastAsia="bg-BG"/>
        </w:rPr>
      </w:pPr>
    </w:p>
    <w:p w14:paraId="6EA9F2A1" w14:textId="552CAE15" w:rsidR="00441BF6" w:rsidRPr="00441BF6" w:rsidRDefault="00441BF6" w:rsidP="00441BF6">
      <w:pPr>
        <w:rPr>
          <w:rFonts w:cs="Arial"/>
        </w:rPr>
      </w:pPr>
      <w:r w:rsidRPr="00441BF6">
        <w:rPr>
          <w:rFonts w:eastAsia="Times New Roman" w:cs="Arial"/>
          <w:color w:val="000000"/>
          <w:lang w:eastAsia="bg-BG"/>
        </w:rPr>
        <w:t xml:space="preserve">Доказано е, че </w:t>
      </w:r>
      <w:r w:rsidRPr="00441BF6">
        <w:rPr>
          <w:rFonts w:eastAsia="Times New Roman" w:cs="Arial"/>
          <w:i/>
          <w:iCs/>
          <w:color w:val="000000"/>
          <w:lang w:val="en-US"/>
        </w:rPr>
        <w:t>in vitro</w:t>
      </w:r>
      <w:r w:rsidRPr="00441BF6">
        <w:rPr>
          <w:rFonts w:eastAsia="Times New Roman" w:cs="Arial"/>
          <w:color w:val="000000"/>
          <w:lang w:val="en-US"/>
        </w:rPr>
        <w:t xml:space="preserve"> </w:t>
      </w:r>
      <w:r w:rsidRPr="00441BF6">
        <w:rPr>
          <w:rFonts w:eastAsia="Times New Roman" w:cs="Arial"/>
          <w:color w:val="000000"/>
          <w:lang w:eastAsia="bg-BG"/>
        </w:rPr>
        <w:t>активносттите на цефуроксим натрий и на аминогликозидните антибиотици в комбинация са най-малкото допълващи се, понякога с данни за синергизъм.</w:t>
      </w:r>
    </w:p>
    <w:p w14:paraId="799C1DDE" w14:textId="77777777" w:rsidR="00441BF6" w:rsidRPr="0091385D" w:rsidRDefault="00441BF6"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8DBBD75" w14:textId="77777777" w:rsidR="00441BF6" w:rsidRPr="00377F6F" w:rsidRDefault="00441BF6" w:rsidP="00377F6F">
      <w:pPr>
        <w:pStyle w:val="Heading3"/>
        <w:rPr>
          <w:color w:val="auto"/>
          <w:u w:val="single"/>
        </w:rPr>
      </w:pPr>
      <w:r w:rsidRPr="00377F6F">
        <w:rPr>
          <w:u w:val="single"/>
        </w:rPr>
        <w:t>Абсорбция</w:t>
      </w:r>
    </w:p>
    <w:p w14:paraId="01524DFB" w14:textId="77777777" w:rsidR="00441BF6" w:rsidRDefault="00441BF6" w:rsidP="00441BF6"/>
    <w:p w14:paraId="11000BDF" w14:textId="078B2D37" w:rsidR="00441BF6" w:rsidRDefault="00441BF6" w:rsidP="00441BF6">
      <w:r>
        <w:t xml:space="preserve">След интрамускулно </w:t>
      </w:r>
      <w:r>
        <w:rPr>
          <w:lang w:val="en-US"/>
        </w:rPr>
        <w:t>(</w:t>
      </w:r>
      <w:proofErr w:type="spellStart"/>
      <w:r>
        <w:rPr>
          <w:lang w:val="en-US"/>
        </w:rPr>
        <w:t>i.m</w:t>
      </w:r>
      <w:proofErr w:type="spellEnd"/>
      <w:r>
        <w:rPr>
          <w:lang w:val="en-US"/>
        </w:rPr>
        <w:t xml:space="preserve">.) </w:t>
      </w:r>
      <w:r>
        <w:t>инжектиране на цефуроксим на здрави доброволци средните пикови серумни концентрации са от 27 до 35 μ</w:t>
      </w:r>
      <w:r>
        <w:rPr>
          <w:lang w:val="en-US"/>
        </w:rPr>
        <w:t xml:space="preserve">g/ml </w:t>
      </w:r>
      <w:r>
        <w:t xml:space="preserve">за доза от 750 </w:t>
      </w:r>
      <w:r>
        <w:rPr>
          <w:lang w:val="en-US"/>
        </w:rPr>
        <w:t xml:space="preserve">mg </w:t>
      </w:r>
      <w:r>
        <w:t>и от 33 до 40 μ</w:t>
      </w:r>
      <w:r>
        <w:rPr>
          <w:lang w:val="en-US"/>
        </w:rPr>
        <w:t xml:space="preserve">g/ml </w:t>
      </w:r>
      <w:r>
        <w:t xml:space="preserve">за доза от 1 000 </w:t>
      </w:r>
      <w:r>
        <w:rPr>
          <w:lang w:val="en-US"/>
        </w:rPr>
        <w:t xml:space="preserve">mg </w:t>
      </w:r>
      <w:r>
        <w:t xml:space="preserve">и се достигат в рамките на 30 до 60 минути след приложение. След интравенозно </w:t>
      </w:r>
      <w:r>
        <w:rPr>
          <w:lang w:val="en-US"/>
        </w:rPr>
        <w:t>(</w:t>
      </w:r>
      <w:proofErr w:type="spellStart"/>
      <w:r>
        <w:rPr>
          <w:lang w:val="en-US"/>
        </w:rPr>
        <w:t>i.v.</w:t>
      </w:r>
      <w:proofErr w:type="spellEnd"/>
      <w:r>
        <w:rPr>
          <w:lang w:val="en-US"/>
        </w:rPr>
        <w:t xml:space="preserve">) </w:t>
      </w:r>
      <w:r>
        <w:t xml:space="preserve">приложение на дози от 750 и 1 500 </w:t>
      </w:r>
      <w:r>
        <w:rPr>
          <w:lang w:val="en-US"/>
        </w:rPr>
        <w:t xml:space="preserve">mg, </w:t>
      </w:r>
      <w:r>
        <w:t>на 15-тата минута серумните концентрации са съответно 50 и 100 μ</w:t>
      </w:r>
      <w:r>
        <w:rPr>
          <w:lang w:val="en-US"/>
        </w:rPr>
        <w:t>g/ml.</w:t>
      </w:r>
    </w:p>
    <w:p w14:paraId="35A1D49A" w14:textId="77777777" w:rsidR="00441BF6" w:rsidRDefault="00441BF6" w:rsidP="00441BF6">
      <w:pPr>
        <w:rPr>
          <w:lang w:val="en-US"/>
        </w:rPr>
      </w:pPr>
    </w:p>
    <w:p w14:paraId="49D41FBC" w14:textId="4D865619" w:rsidR="00441BF6" w:rsidRDefault="00441BF6" w:rsidP="00441BF6">
      <w:r>
        <w:rPr>
          <w:lang w:val="en-US"/>
        </w:rPr>
        <w:t xml:space="preserve">AUC </w:t>
      </w:r>
      <w:r>
        <w:t>и С</w:t>
      </w:r>
      <w:r>
        <w:rPr>
          <w:vertAlign w:val="subscript"/>
          <w:lang w:val="en-US"/>
        </w:rPr>
        <w:t>m</w:t>
      </w:r>
      <w:r>
        <w:rPr>
          <w:vertAlign w:val="subscript"/>
        </w:rPr>
        <w:t>ах</w:t>
      </w:r>
      <w:r>
        <w:t xml:space="preserve"> се повишават линейно с повишаване на дозата при единична доза от 250 до 1 000 </w:t>
      </w:r>
      <w:r>
        <w:rPr>
          <w:lang w:val="en-US"/>
        </w:rPr>
        <w:t xml:space="preserve">mg </w:t>
      </w:r>
      <w:r>
        <w:t xml:space="preserve">след </w:t>
      </w:r>
      <w:proofErr w:type="spellStart"/>
      <w:r>
        <w:rPr>
          <w:lang w:val="en-US"/>
        </w:rPr>
        <w:t>i.m</w:t>
      </w:r>
      <w:proofErr w:type="spellEnd"/>
      <w:r>
        <w:rPr>
          <w:lang w:val="en-US"/>
        </w:rPr>
        <w:t xml:space="preserve">. </w:t>
      </w:r>
      <w:r>
        <w:t xml:space="preserve">и </w:t>
      </w:r>
      <w:proofErr w:type="spellStart"/>
      <w:r>
        <w:rPr>
          <w:lang w:val="en-US"/>
        </w:rPr>
        <w:t>i.v.</w:t>
      </w:r>
      <w:proofErr w:type="spellEnd"/>
      <w:r>
        <w:rPr>
          <w:lang w:val="en-US"/>
        </w:rPr>
        <w:t xml:space="preserve"> </w:t>
      </w:r>
      <w:r>
        <w:t xml:space="preserve">приложение. Няма данни за натрупване на цефуроксим в серума при здрави доброволци след повтарящо се интравенозно приложение на дози от 1 500 </w:t>
      </w:r>
      <w:r>
        <w:rPr>
          <w:lang w:val="en-US"/>
        </w:rPr>
        <w:t xml:space="preserve">mg </w:t>
      </w:r>
      <w:r>
        <w:t>на всеки 8 часа.</w:t>
      </w:r>
    </w:p>
    <w:p w14:paraId="63EC9E8B" w14:textId="77777777" w:rsidR="00441BF6" w:rsidRDefault="00441BF6" w:rsidP="00441BF6">
      <w:pPr>
        <w:rPr>
          <w:u w:val="single"/>
        </w:rPr>
      </w:pPr>
    </w:p>
    <w:p w14:paraId="69D25233" w14:textId="7616CE13" w:rsidR="00441BF6" w:rsidRPr="00377F6F" w:rsidRDefault="00441BF6" w:rsidP="00377F6F">
      <w:pPr>
        <w:pStyle w:val="Heading3"/>
        <w:rPr>
          <w:color w:val="auto"/>
          <w:u w:val="single"/>
        </w:rPr>
      </w:pPr>
      <w:r w:rsidRPr="00377F6F">
        <w:rPr>
          <w:u w:val="single"/>
        </w:rPr>
        <w:t>Разпределение</w:t>
      </w:r>
    </w:p>
    <w:p w14:paraId="0AD781C7" w14:textId="77777777" w:rsidR="00441BF6" w:rsidRDefault="00441BF6" w:rsidP="00441BF6"/>
    <w:p w14:paraId="44A865BD" w14:textId="1C65DCE2" w:rsidR="00441BF6" w:rsidRDefault="00441BF6" w:rsidP="00441BF6">
      <w:r>
        <w:t xml:space="preserve">В зависимост от метода на изследване се установява свързване с плазмените протеини между 33 и 50 %. Средният обем на разпределение варира от 9,3 до 15,8 1/1,73 </w:t>
      </w:r>
      <w:r>
        <w:rPr>
          <w:lang w:val="en-US"/>
        </w:rPr>
        <w:t>m</w:t>
      </w:r>
      <w:r>
        <w:rPr>
          <w:vertAlign w:val="superscript"/>
        </w:rPr>
        <w:t>2</w:t>
      </w:r>
      <w:r>
        <w:t xml:space="preserve"> след </w:t>
      </w:r>
      <w:proofErr w:type="spellStart"/>
      <w:r>
        <w:rPr>
          <w:lang w:val="en-US"/>
        </w:rPr>
        <w:t>i.m</w:t>
      </w:r>
      <w:proofErr w:type="spellEnd"/>
      <w:r>
        <w:rPr>
          <w:lang w:val="en-US"/>
        </w:rPr>
        <w:t xml:space="preserve">. </w:t>
      </w:r>
      <w:r>
        <w:t xml:space="preserve">или </w:t>
      </w:r>
      <w:proofErr w:type="spellStart"/>
      <w:r>
        <w:rPr>
          <w:lang w:val="en-US"/>
        </w:rPr>
        <w:t>i.v.</w:t>
      </w:r>
      <w:proofErr w:type="spellEnd"/>
      <w:r>
        <w:rPr>
          <w:lang w:val="en-US"/>
        </w:rPr>
        <w:t xml:space="preserve"> </w:t>
      </w:r>
      <w:r>
        <w:t xml:space="preserve">приложение на дози от 250 до 1 000 </w:t>
      </w:r>
      <w:r>
        <w:rPr>
          <w:lang w:val="en-US"/>
        </w:rPr>
        <w:t xml:space="preserve">mg. </w:t>
      </w:r>
      <w:r>
        <w:t xml:space="preserve">Концентрации на цефуроксим, надвишаващи минималните инхибиторни нива за често срещаните патогени могат да се постигнат в сливиците, синусите, бронхиалната лигавица, костите, плевралната течност, ставната течност, синовиалната течност, интерстициалните течности, жлъчката, храчките </w:t>
      </w:r>
      <w:r>
        <w:lastRenderedPageBreak/>
        <w:t>и вътреочната течност. Цефуроксим преминава кръвно-мозъчната бариера при възпаление на менингите.</w:t>
      </w:r>
    </w:p>
    <w:p w14:paraId="258F93F5" w14:textId="77777777" w:rsidR="00441BF6" w:rsidRDefault="00441BF6" w:rsidP="00441BF6">
      <w:pPr>
        <w:rPr>
          <w:u w:val="single"/>
        </w:rPr>
      </w:pPr>
    </w:p>
    <w:p w14:paraId="0B53DD21" w14:textId="089A6133" w:rsidR="00441BF6" w:rsidRPr="00377F6F" w:rsidRDefault="00441BF6" w:rsidP="00377F6F">
      <w:pPr>
        <w:pStyle w:val="Heading3"/>
        <w:rPr>
          <w:color w:val="auto"/>
          <w:u w:val="single"/>
        </w:rPr>
      </w:pPr>
      <w:r w:rsidRPr="00377F6F">
        <w:rPr>
          <w:u w:val="single"/>
        </w:rPr>
        <w:t>Биотрансформация</w:t>
      </w:r>
    </w:p>
    <w:p w14:paraId="56DB96E8" w14:textId="77777777" w:rsidR="00441BF6" w:rsidRDefault="00441BF6" w:rsidP="00441BF6"/>
    <w:p w14:paraId="2B56E9D2" w14:textId="26D1BA0F" w:rsidR="00441BF6" w:rsidRDefault="00441BF6" w:rsidP="00441BF6">
      <w:r>
        <w:t>Цефуроксим не се метаболизира.</w:t>
      </w:r>
    </w:p>
    <w:p w14:paraId="7D777D30" w14:textId="77777777" w:rsidR="00441BF6" w:rsidRDefault="00441BF6" w:rsidP="00441BF6">
      <w:pPr>
        <w:rPr>
          <w:u w:val="single"/>
        </w:rPr>
      </w:pPr>
    </w:p>
    <w:p w14:paraId="4054E4EC" w14:textId="102BDAD9" w:rsidR="00441BF6" w:rsidRPr="00377F6F" w:rsidRDefault="00441BF6" w:rsidP="00377F6F">
      <w:pPr>
        <w:pStyle w:val="Heading3"/>
        <w:rPr>
          <w:color w:val="auto"/>
          <w:u w:val="single"/>
        </w:rPr>
      </w:pPr>
      <w:bookmarkStart w:id="3" w:name="_GoBack"/>
      <w:r w:rsidRPr="00377F6F">
        <w:rPr>
          <w:u w:val="single"/>
        </w:rPr>
        <w:t>Елиминиране</w:t>
      </w:r>
    </w:p>
    <w:bookmarkEnd w:id="3"/>
    <w:p w14:paraId="6B54947F" w14:textId="77777777" w:rsidR="00441BF6" w:rsidRDefault="00441BF6" w:rsidP="00441BF6"/>
    <w:p w14:paraId="13DEFE17" w14:textId="6C0A89C7" w:rsidR="00441BF6" w:rsidRDefault="00441BF6" w:rsidP="00441BF6">
      <w:r>
        <w:t xml:space="preserve">Цефуроксим се екскретира чрез гломерулна филтрация и тубулна секреция. Серумният полуживот след интрамускулно или интравенозно приложение е приблизително 70 минути. Почти цялата доза (85-90 %) цефуроксим се екскретира непроменена с урината за 24 часа след приложение. Основната част от приетата доза се елиминира в първите 6 часа. Средният бъбречен клирънс е в граници от 114 до 170 </w:t>
      </w:r>
      <w:r>
        <w:rPr>
          <w:lang w:val="en-US"/>
        </w:rPr>
        <w:t>ml/min/1</w:t>
      </w:r>
      <w:r>
        <w:t xml:space="preserve">,73 </w:t>
      </w:r>
      <w:r>
        <w:rPr>
          <w:lang w:val="en-US"/>
        </w:rPr>
        <w:t>m</w:t>
      </w:r>
      <w:r>
        <w:rPr>
          <w:vertAlign w:val="superscript"/>
          <w:lang w:val="en-US"/>
        </w:rPr>
        <w:t>2</w:t>
      </w:r>
      <w:r>
        <w:rPr>
          <w:lang w:val="en-US"/>
        </w:rPr>
        <w:t xml:space="preserve"> </w:t>
      </w:r>
      <w:r>
        <w:t xml:space="preserve">след </w:t>
      </w:r>
      <w:proofErr w:type="spellStart"/>
      <w:r>
        <w:rPr>
          <w:lang w:val="en-US"/>
        </w:rPr>
        <w:t>i.m</w:t>
      </w:r>
      <w:proofErr w:type="spellEnd"/>
      <w:r>
        <w:rPr>
          <w:lang w:val="en-US"/>
        </w:rPr>
        <w:t xml:space="preserve">. </w:t>
      </w:r>
      <w:r>
        <w:t xml:space="preserve">или </w:t>
      </w:r>
      <w:proofErr w:type="spellStart"/>
      <w:r>
        <w:rPr>
          <w:lang w:val="en-US"/>
        </w:rPr>
        <w:t>i.v.</w:t>
      </w:r>
      <w:proofErr w:type="spellEnd"/>
      <w:r>
        <w:rPr>
          <w:lang w:val="en-US"/>
        </w:rPr>
        <w:t xml:space="preserve"> </w:t>
      </w:r>
      <w:r>
        <w:t xml:space="preserve">приложение на дози от 250 до 1 000 </w:t>
      </w:r>
      <w:r>
        <w:rPr>
          <w:lang w:val="en-US"/>
        </w:rPr>
        <w:t>mg.</w:t>
      </w:r>
    </w:p>
    <w:p w14:paraId="492929B7" w14:textId="77777777" w:rsidR="00441BF6" w:rsidRDefault="00441BF6" w:rsidP="00441BF6">
      <w:pPr>
        <w:rPr>
          <w:b/>
          <w:bCs/>
        </w:rPr>
      </w:pPr>
    </w:p>
    <w:p w14:paraId="6CC66F5A" w14:textId="41392ABB" w:rsidR="00441BF6" w:rsidRDefault="00441BF6" w:rsidP="00441BF6">
      <w:r>
        <w:rPr>
          <w:b/>
          <w:bCs/>
        </w:rPr>
        <w:t>Специални популации пациенти</w:t>
      </w:r>
    </w:p>
    <w:p w14:paraId="5EF117BE" w14:textId="77777777" w:rsidR="00441BF6" w:rsidRDefault="00441BF6" w:rsidP="00441BF6">
      <w:pPr>
        <w:rPr>
          <w:u w:val="single"/>
        </w:rPr>
      </w:pPr>
    </w:p>
    <w:p w14:paraId="13AAB5FA" w14:textId="4B322CE5" w:rsidR="00441BF6" w:rsidRDefault="00441BF6" w:rsidP="00441BF6">
      <w:r>
        <w:rPr>
          <w:u w:val="single"/>
        </w:rPr>
        <w:t>Пол</w:t>
      </w:r>
    </w:p>
    <w:p w14:paraId="51D8B876" w14:textId="77777777" w:rsidR="00441BF6" w:rsidRDefault="00441BF6" w:rsidP="00441BF6"/>
    <w:p w14:paraId="1713E90D" w14:textId="6228C9F5" w:rsidR="00441BF6" w:rsidRDefault="00441BF6" w:rsidP="00441BF6">
      <w:r>
        <w:t xml:space="preserve">Не са наблюдавани разлики във фармакокинетиката на цефуроксим между мъже и жени след еднократна болус </w:t>
      </w:r>
      <w:proofErr w:type="spellStart"/>
      <w:r>
        <w:rPr>
          <w:lang w:val="en-US"/>
        </w:rPr>
        <w:t>i.v.</w:t>
      </w:r>
      <w:proofErr w:type="spellEnd"/>
      <w:r>
        <w:rPr>
          <w:lang w:val="en-US"/>
        </w:rPr>
        <w:t xml:space="preserve"> </w:t>
      </w:r>
      <w:r>
        <w:t xml:space="preserve">инжекция на 1 000 </w:t>
      </w:r>
      <w:r>
        <w:rPr>
          <w:lang w:val="en-US"/>
        </w:rPr>
        <w:t xml:space="preserve">mg </w:t>
      </w:r>
      <w:r>
        <w:t>цефуроксим под формата на натриева сол.</w:t>
      </w:r>
    </w:p>
    <w:p w14:paraId="06BDC4F5" w14:textId="77777777" w:rsidR="00441BF6" w:rsidRDefault="00441BF6" w:rsidP="00441BF6">
      <w:pPr>
        <w:rPr>
          <w:u w:val="single"/>
        </w:rPr>
      </w:pPr>
    </w:p>
    <w:p w14:paraId="71E05829" w14:textId="02295565" w:rsidR="00441BF6" w:rsidRDefault="00441BF6" w:rsidP="00441BF6">
      <w:r>
        <w:rPr>
          <w:u w:val="single"/>
        </w:rPr>
        <w:t>Старческа възраст</w:t>
      </w:r>
    </w:p>
    <w:p w14:paraId="73B54F82" w14:textId="77777777" w:rsidR="00441BF6" w:rsidRDefault="00441BF6" w:rsidP="00441BF6"/>
    <w:p w14:paraId="45551830" w14:textId="3939A680" w:rsidR="007A2185" w:rsidRPr="007A2185" w:rsidRDefault="00441BF6" w:rsidP="00441BF6">
      <w:r>
        <w:t xml:space="preserve">След </w:t>
      </w:r>
      <w:proofErr w:type="spellStart"/>
      <w:r>
        <w:rPr>
          <w:lang w:val="en-US"/>
        </w:rPr>
        <w:t>i.m</w:t>
      </w:r>
      <w:proofErr w:type="spellEnd"/>
      <w:r>
        <w:rPr>
          <w:lang w:val="en-US"/>
        </w:rPr>
        <w:t xml:space="preserve">. </w:t>
      </w:r>
      <w:r>
        <w:t xml:space="preserve">или </w:t>
      </w:r>
      <w:proofErr w:type="spellStart"/>
      <w:r>
        <w:rPr>
          <w:lang w:val="en-US"/>
        </w:rPr>
        <w:t>i.v</w:t>
      </w:r>
      <w:proofErr w:type="spellEnd"/>
      <w:r>
        <w:rPr>
          <w:lang w:val="en-US"/>
        </w:rPr>
        <w:t xml:space="preserve">, </w:t>
      </w:r>
      <w:r>
        <w:t>приложение абсорбцията, разпределението и екскрецията на цефуроксим при пациенти в старческа възраст са сходни с тези при по-млади пациенти с еквивалентна бъбречна функция. Тъй като пациентите в старческа възраст е по-вероятно да имат Намалена бъбречна  функция, при тях определянето на дозата на цефуроксим трябва да става с повишено внимание, като проследяване на бъбречната функция може да е от полза (вж. точка 4.2).</w:t>
      </w:r>
    </w:p>
    <w:p w14:paraId="4EE1BB0B" w14:textId="515CCF2D" w:rsidR="0091385D" w:rsidRDefault="0091385D" w:rsidP="0091385D"/>
    <w:p w14:paraId="62E389A3" w14:textId="77777777"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u w:val="single"/>
          <w:lang w:eastAsia="bg-BG"/>
        </w:rPr>
        <w:t>Педиатрична популация</w:t>
      </w:r>
    </w:p>
    <w:p w14:paraId="0B66A589" w14:textId="77777777" w:rsidR="00441BF6" w:rsidRPr="00377F6F" w:rsidRDefault="00441BF6" w:rsidP="00441BF6">
      <w:pPr>
        <w:spacing w:line="240" w:lineRule="auto"/>
        <w:rPr>
          <w:rFonts w:eastAsia="Times New Roman" w:cs="Arial"/>
          <w:color w:val="000000"/>
          <w:lang w:eastAsia="bg-BG"/>
        </w:rPr>
      </w:pPr>
    </w:p>
    <w:p w14:paraId="4E2423CE" w14:textId="61D033F8"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Серумният полуживот на цефуроксим е значително удължен при новородени в зависимост от гестационната възраст. Все пак, при по-големи кърмачета (на възраст &gt; 3 седмици) и при деца серумният полуживот е 60 до 90 минути, и е подобен на този, наблюдаван при възрастни.</w:t>
      </w:r>
    </w:p>
    <w:p w14:paraId="03C96FBC" w14:textId="77777777" w:rsidR="00441BF6" w:rsidRPr="00377F6F" w:rsidRDefault="00441BF6" w:rsidP="00441BF6">
      <w:pPr>
        <w:spacing w:line="240" w:lineRule="auto"/>
        <w:rPr>
          <w:rFonts w:eastAsia="Times New Roman" w:cs="Arial"/>
          <w:color w:val="000000"/>
          <w:u w:val="single"/>
          <w:lang w:eastAsia="bg-BG"/>
        </w:rPr>
      </w:pPr>
    </w:p>
    <w:p w14:paraId="5B7E7DC3" w14:textId="5EBFEBE4"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u w:val="single"/>
          <w:lang w:eastAsia="bg-BG"/>
        </w:rPr>
        <w:t>Бъбречно увреждане</w:t>
      </w:r>
    </w:p>
    <w:p w14:paraId="0B9E9B7E" w14:textId="77777777" w:rsidR="00441BF6" w:rsidRPr="00377F6F" w:rsidRDefault="00441BF6" w:rsidP="00441BF6">
      <w:pPr>
        <w:spacing w:line="240" w:lineRule="auto"/>
        <w:rPr>
          <w:rFonts w:eastAsia="Times New Roman" w:cs="Arial"/>
          <w:color w:val="000000"/>
          <w:lang w:eastAsia="bg-BG"/>
        </w:rPr>
      </w:pPr>
    </w:p>
    <w:p w14:paraId="1EAB7935" w14:textId="102236D7"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 xml:space="preserve">Цефуроксим се ексретира основно чрез бъбреците. Както при всички такива антибиотици, при пациенти със значително нарушенна бъбречна функция (т.е. креатининов клирънс &lt; 20 </w:t>
      </w:r>
      <w:r w:rsidRPr="00441BF6">
        <w:rPr>
          <w:rFonts w:eastAsia="Times New Roman" w:cs="Arial"/>
          <w:color w:val="000000"/>
          <w:lang w:val="en-US"/>
        </w:rPr>
        <w:t>ml</w:t>
      </w:r>
      <w:r w:rsidRPr="00441BF6">
        <w:rPr>
          <w:rFonts w:eastAsia="Times New Roman" w:cs="Arial"/>
          <w:color w:val="000000"/>
          <w:lang w:eastAsia="bg-BG"/>
        </w:rPr>
        <w:t>/минута) се препоръчва дозата на цефуроксим да се намали, за да се компенсира забавената екскреция (вж. точка 4.2). Цефуроксим се елиминира ефективно чрез хемодиализа или перитонеална диализа.</w:t>
      </w:r>
    </w:p>
    <w:p w14:paraId="34DCA7E8" w14:textId="77777777" w:rsidR="00441BF6" w:rsidRPr="00377F6F" w:rsidRDefault="00441BF6" w:rsidP="00441BF6">
      <w:pPr>
        <w:spacing w:line="240" w:lineRule="auto"/>
        <w:rPr>
          <w:rFonts w:eastAsia="Times New Roman" w:cs="Arial"/>
          <w:color w:val="000000"/>
          <w:u w:val="single"/>
          <w:lang w:eastAsia="bg-BG"/>
        </w:rPr>
      </w:pPr>
    </w:p>
    <w:p w14:paraId="3355B827" w14:textId="2D97D53F"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u w:val="single"/>
          <w:lang w:eastAsia="bg-BG"/>
        </w:rPr>
        <w:lastRenderedPageBreak/>
        <w:t>Чернодробно увреждане</w:t>
      </w:r>
    </w:p>
    <w:p w14:paraId="5FF3F8AC" w14:textId="77777777" w:rsidR="00441BF6" w:rsidRPr="00377F6F" w:rsidRDefault="00441BF6" w:rsidP="00441BF6">
      <w:pPr>
        <w:spacing w:line="240" w:lineRule="auto"/>
        <w:rPr>
          <w:rFonts w:eastAsia="Times New Roman" w:cs="Arial"/>
          <w:color w:val="000000"/>
          <w:lang w:eastAsia="bg-BG"/>
        </w:rPr>
      </w:pPr>
    </w:p>
    <w:p w14:paraId="7A867819" w14:textId="79F25000"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Тъй като цефуроксим се елиминира главно чрез бъбреците, не се очаква наличието на чернодробна дисфункция да има ефект върху фармакокинетиката на цефуроксим.</w:t>
      </w:r>
    </w:p>
    <w:p w14:paraId="38F068D4" w14:textId="77777777" w:rsidR="00441BF6" w:rsidRPr="00377F6F" w:rsidRDefault="00441BF6" w:rsidP="00441BF6">
      <w:pPr>
        <w:spacing w:line="240" w:lineRule="auto"/>
        <w:rPr>
          <w:rFonts w:eastAsia="Times New Roman" w:cs="Arial"/>
          <w:color w:val="000000"/>
          <w:u w:val="single"/>
          <w:lang w:eastAsia="bg-BG"/>
        </w:rPr>
      </w:pPr>
    </w:p>
    <w:p w14:paraId="13BA3F4F" w14:textId="5478CA29"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u w:val="single"/>
          <w:lang w:eastAsia="bg-BG"/>
        </w:rPr>
        <w:t>Връзка фармакокинетика-фармакодинамика</w:t>
      </w:r>
    </w:p>
    <w:p w14:paraId="790F212E" w14:textId="77777777" w:rsidR="00441BF6" w:rsidRPr="00377F6F" w:rsidRDefault="00441BF6" w:rsidP="00441BF6">
      <w:pPr>
        <w:rPr>
          <w:rFonts w:eastAsia="Times New Roman" w:cs="Arial"/>
          <w:color w:val="000000"/>
          <w:lang w:eastAsia="bg-BG"/>
        </w:rPr>
      </w:pPr>
    </w:p>
    <w:p w14:paraId="7084CF15" w14:textId="1A097D0D" w:rsidR="00441BF6" w:rsidRPr="00377F6F" w:rsidRDefault="00441BF6" w:rsidP="00441BF6">
      <w:pPr>
        <w:rPr>
          <w:rFonts w:cs="Arial"/>
        </w:rPr>
      </w:pPr>
      <w:r w:rsidRPr="00377F6F">
        <w:rPr>
          <w:rFonts w:eastAsia="Times New Roman" w:cs="Arial"/>
          <w:color w:val="000000"/>
          <w:lang w:eastAsia="bg-BG"/>
        </w:rPr>
        <w:t xml:space="preserve">За цефалоспорините е установено, че най-важният фармакокинетичен/фармакодинамичен индекс, корелиращ с ефикасността </w:t>
      </w:r>
      <w:r w:rsidRPr="00377F6F">
        <w:rPr>
          <w:rFonts w:eastAsia="Times New Roman" w:cs="Arial"/>
          <w:i/>
          <w:iCs/>
          <w:color w:val="000000"/>
          <w:lang w:val="en-US"/>
        </w:rPr>
        <w:t>in vivo,</w:t>
      </w:r>
      <w:r w:rsidRPr="00377F6F">
        <w:rPr>
          <w:rFonts w:eastAsia="Times New Roman" w:cs="Arial"/>
          <w:color w:val="000000"/>
          <w:lang w:val="en-US"/>
        </w:rPr>
        <w:t xml:space="preserve"> </w:t>
      </w:r>
      <w:r w:rsidRPr="00377F6F">
        <w:rPr>
          <w:rFonts w:eastAsia="Times New Roman" w:cs="Arial"/>
          <w:color w:val="000000"/>
          <w:lang w:eastAsia="bg-BG"/>
        </w:rPr>
        <w:t xml:space="preserve">е тази част от дозовия интервал (% Т), когато концентрацията на свободното вещество остава над минималната инхибираща концентрация </w:t>
      </w:r>
      <w:r w:rsidRPr="00377F6F">
        <w:rPr>
          <w:rFonts w:eastAsia="Times New Roman" w:cs="Arial"/>
          <w:color w:val="000000"/>
          <w:lang w:val="en-US"/>
        </w:rPr>
        <w:t xml:space="preserve">(MIC) </w:t>
      </w:r>
      <w:r w:rsidRPr="00377F6F">
        <w:rPr>
          <w:rFonts w:eastAsia="Times New Roman" w:cs="Arial"/>
          <w:color w:val="000000"/>
          <w:lang w:eastAsia="bg-BG"/>
        </w:rPr>
        <w:t xml:space="preserve">на цефуроксим за отделните таргетни видове (т.е. % Т &gt; </w:t>
      </w:r>
      <w:r w:rsidRPr="00377F6F">
        <w:rPr>
          <w:rFonts w:eastAsia="Times New Roman" w:cs="Arial"/>
          <w:color w:val="000000"/>
          <w:lang w:val="en-US"/>
        </w:rPr>
        <w:t>MIC).</w:t>
      </w:r>
    </w:p>
    <w:p w14:paraId="27380807" w14:textId="77777777" w:rsidR="00441BF6" w:rsidRPr="0091385D" w:rsidRDefault="00441BF6"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490337E7" w14:textId="77777777" w:rsidR="00441BF6" w:rsidRPr="00441BF6" w:rsidRDefault="00441BF6" w:rsidP="00441BF6">
      <w:pPr>
        <w:spacing w:line="240" w:lineRule="auto"/>
        <w:rPr>
          <w:rFonts w:eastAsia="Times New Roman" w:cs="Arial"/>
          <w:sz w:val="24"/>
          <w:szCs w:val="24"/>
          <w:lang w:eastAsia="bg-BG"/>
        </w:rPr>
      </w:pPr>
      <w:r w:rsidRPr="00441BF6">
        <w:rPr>
          <w:rFonts w:eastAsia="Times New Roman" w:cs="Arial"/>
          <w:color w:val="000000"/>
          <w:lang w:eastAsia="bg-BG"/>
        </w:rPr>
        <w:t>Неклиничните данни не показват особен риск за хора на базата на конвенционалните фармакологични проучвания за безопасност, проучвания за токсичност при многократно прилагане, генотоксичност, репродуктивна токсичност и токсичност за развитието. Не са провеждани проучвания за карциногенност. Въпреки това, няма данни, които да предполагат карциногенен потенциал.</w:t>
      </w:r>
    </w:p>
    <w:p w14:paraId="68F1FF6A" w14:textId="77777777" w:rsidR="00441BF6" w:rsidRPr="00441BF6" w:rsidRDefault="00441BF6" w:rsidP="00441BF6">
      <w:pPr>
        <w:rPr>
          <w:rFonts w:eastAsia="Times New Roman" w:cs="Arial"/>
          <w:color w:val="000000"/>
          <w:lang w:eastAsia="bg-BG"/>
        </w:rPr>
      </w:pPr>
    </w:p>
    <w:p w14:paraId="13A7B62A" w14:textId="449D7DDA" w:rsidR="007A2185" w:rsidRPr="00441BF6" w:rsidRDefault="00441BF6" w:rsidP="00441BF6">
      <w:pPr>
        <w:rPr>
          <w:rFonts w:cs="Arial"/>
        </w:rPr>
      </w:pPr>
      <w:r w:rsidRPr="00441BF6">
        <w:rPr>
          <w:rFonts w:eastAsia="Times New Roman" w:cs="Arial"/>
          <w:color w:val="000000"/>
          <w:lang w:eastAsia="bg-BG"/>
        </w:rPr>
        <w:t>Гама глутамил транспептидазната активност в урината на плъхове се инхибира от различни цефалоспорини, обаче нивото на инхибиране с цефуроксим е по-ниско. Това може да е от значение за повлияване на клиничните лабораторни тестове при хора.</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78D94013" w14:textId="77777777" w:rsidR="00441BF6" w:rsidRPr="00441BF6" w:rsidRDefault="00441BF6" w:rsidP="00441BF6">
      <w:pPr>
        <w:spacing w:line="240" w:lineRule="auto"/>
        <w:rPr>
          <w:rFonts w:eastAsia="Times New Roman" w:cs="Arial"/>
          <w:sz w:val="24"/>
          <w:szCs w:val="24"/>
          <w:lang w:val="en-US" w:eastAsia="bg-BG"/>
        </w:rPr>
      </w:pPr>
      <w:r w:rsidRPr="00441BF6">
        <w:rPr>
          <w:rFonts w:eastAsia="Times New Roman" w:cs="Arial"/>
          <w:color w:val="000000"/>
          <w:lang w:val="en-US"/>
        </w:rPr>
        <w:t>MIP Pharma GmbH</w:t>
      </w:r>
    </w:p>
    <w:p w14:paraId="417C03FA" w14:textId="77777777" w:rsidR="00441BF6" w:rsidRPr="00441BF6" w:rsidRDefault="00441BF6" w:rsidP="00441BF6">
      <w:pPr>
        <w:spacing w:line="240" w:lineRule="auto"/>
        <w:rPr>
          <w:rFonts w:eastAsia="Times New Roman" w:cs="Arial"/>
          <w:sz w:val="24"/>
          <w:szCs w:val="24"/>
          <w:lang w:val="en-US" w:eastAsia="bg-BG"/>
        </w:rPr>
      </w:pPr>
      <w:proofErr w:type="spellStart"/>
      <w:r w:rsidRPr="00441BF6">
        <w:rPr>
          <w:rFonts w:eastAsia="Times New Roman" w:cs="Arial"/>
          <w:color w:val="000000"/>
          <w:lang w:val="en-US"/>
        </w:rPr>
        <w:t>Kirkeler</w:t>
      </w:r>
      <w:proofErr w:type="spellEnd"/>
      <w:r w:rsidRPr="00441BF6">
        <w:rPr>
          <w:rFonts w:eastAsia="Times New Roman" w:cs="Arial"/>
          <w:color w:val="000000"/>
          <w:lang w:val="en-US"/>
        </w:rPr>
        <w:t xml:space="preserve"> </w:t>
      </w:r>
      <w:proofErr w:type="spellStart"/>
      <w:r w:rsidRPr="00441BF6">
        <w:rPr>
          <w:rFonts w:eastAsia="Times New Roman" w:cs="Arial"/>
          <w:color w:val="000000"/>
          <w:lang w:val="en-US"/>
        </w:rPr>
        <w:t>Strasse</w:t>
      </w:r>
      <w:proofErr w:type="spellEnd"/>
      <w:r w:rsidRPr="00441BF6">
        <w:rPr>
          <w:rFonts w:eastAsia="Times New Roman" w:cs="Arial"/>
          <w:color w:val="000000"/>
          <w:lang w:val="en-US"/>
        </w:rPr>
        <w:t xml:space="preserve"> 41</w:t>
      </w:r>
    </w:p>
    <w:p w14:paraId="4DB15706" w14:textId="77777777" w:rsidR="00441BF6" w:rsidRPr="00441BF6" w:rsidRDefault="00441BF6" w:rsidP="00441BF6">
      <w:pPr>
        <w:spacing w:line="240" w:lineRule="auto"/>
        <w:rPr>
          <w:rFonts w:eastAsia="Times New Roman" w:cs="Arial"/>
          <w:sz w:val="24"/>
          <w:szCs w:val="24"/>
          <w:lang w:val="en-US" w:eastAsia="bg-BG"/>
        </w:rPr>
      </w:pPr>
      <w:r w:rsidRPr="00441BF6">
        <w:rPr>
          <w:rFonts w:eastAsia="Times New Roman" w:cs="Arial"/>
          <w:color w:val="000000"/>
          <w:lang w:val="en-US"/>
        </w:rPr>
        <w:t xml:space="preserve">D-66440 </w:t>
      </w:r>
      <w:proofErr w:type="spellStart"/>
      <w:r w:rsidRPr="00441BF6">
        <w:rPr>
          <w:rFonts w:eastAsia="Times New Roman" w:cs="Arial"/>
          <w:color w:val="000000"/>
          <w:lang w:val="en-US"/>
        </w:rPr>
        <w:t>Blieskastel-Niederwurzbach</w:t>
      </w:r>
      <w:proofErr w:type="spellEnd"/>
    </w:p>
    <w:p w14:paraId="4F02909F" w14:textId="27646CC7" w:rsidR="007A2185" w:rsidRPr="00441BF6" w:rsidRDefault="00441BF6" w:rsidP="00441BF6">
      <w:pPr>
        <w:rPr>
          <w:rFonts w:cs="Arial"/>
        </w:rPr>
      </w:pPr>
      <w:r w:rsidRPr="00441BF6">
        <w:rPr>
          <w:rFonts w:eastAsia="Times New Roman" w:cs="Arial"/>
          <w:color w:val="000000"/>
          <w:lang w:eastAsia="bg-BG"/>
        </w:rPr>
        <w:t>Германия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0161A881" w:rsidR="007A2185" w:rsidRPr="00441BF6" w:rsidRDefault="00441BF6" w:rsidP="0091385D">
      <w:pPr>
        <w:rPr>
          <w:rFonts w:cs="Arial"/>
        </w:rPr>
      </w:pPr>
      <w:r w:rsidRPr="00441BF6">
        <w:rPr>
          <w:rFonts w:cs="Arial"/>
        </w:rPr>
        <w:t xml:space="preserve">Регистрационен </w:t>
      </w:r>
      <w:r w:rsidRPr="00441BF6">
        <w:rPr>
          <w:rFonts w:cs="Arial"/>
          <w:lang w:val="en-US"/>
        </w:rPr>
        <w:t>№ 20060814</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18A84527" w:rsidR="007A2185" w:rsidRPr="00441BF6" w:rsidRDefault="00441BF6" w:rsidP="0091385D">
      <w:pPr>
        <w:rPr>
          <w:rFonts w:cs="Arial"/>
        </w:rPr>
      </w:pPr>
      <w:r w:rsidRPr="00441BF6">
        <w:rPr>
          <w:rFonts w:cs="Arial"/>
        </w:rPr>
        <w:t>29.12.2006/09.05.2012</w:t>
      </w:r>
    </w:p>
    <w:p w14:paraId="0A56E09D" w14:textId="77777777" w:rsidR="0091385D" w:rsidRPr="0091385D" w:rsidRDefault="0091385D" w:rsidP="0091385D"/>
    <w:p w14:paraId="0E9D0119" w14:textId="1FEC128A" w:rsidR="002C50EE" w:rsidRDefault="002C50EE" w:rsidP="002C50EE">
      <w:pPr>
        <w:pStyle w:val="Heading1"/>
      </w:pPr>
      <w:r>
        <w:lastRenderedPageBreak/>
        <w:t>10. ДАТА НА АКТУАЛИЗИРАНЕ НА ТЕКСТА</w:t>
      </w:r>
    </w:p>
    <w:p w14:paraId="3E8FFCC4" w14:textId="0121B4E2" w:rsidR="0091385D" w:rsidRDefault="0091385D" w:rsidP="0091385D"/>
    <w:p w14:paraId="0524F1D6" w14:textId="552FA9AB" w:rsidR="007A2185" w:rsidRPr="00441BF6" w:rsidRDefault="00441BF6" w:rsidP="0091385D">
      <w:pPr>
        <w:rPr>
          <w:rFonts w:cs="Arial"/>
        </w:rPr>
      </w:pPr>
      <w:r w:rsidRPr="00441BF6">
        <w:rPr>
          <w:rFonts w:cs="Arial"/>
        </w:rPr>
        <w:t>31/01/2019</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E1540"/>
    <w:multiLevelType w:val="hybridMultilevel"/>
    <w:tmpl w:val="E2906A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77F6F"/>
    <w:rsid w:val="00395555"/>
    <w:rsid w:val="003E3126"/>
    <w:rsid w:val="00426E5F"/>
    <w:rsid w:val="00441BF6"/>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5626"/>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3732</Words>
  <Characters>21277</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2023-02-06T00:53:00Z</dcterms:created>
  <dcterms:modified xsi:type="dcterms:W3CDTF">2023-02-06T00:53:00Z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