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24C27019" w:rsidR="00DF4C8E" w:rsidRDefault="00DD466D" w:rsidP="00F44498">
      <w:pPr>
        <w:pStyle w:val="Heading1"/>
      </w:pPr>
      <w:r>
        <w:t>1.ИМЕ НА ЛЕКАРСТВЕНИЯ ПРОДУКТ</w:t>
      </w:r>
    </w:p>
    <w:p w14:paraId="5253260B" w14:textId="5AE7439B" w:rsidR="00960099" w:rsidRDefault="00960099" w:rsidP="00960099"/>
    <w:p w14:paraId="3839356E" w14:textId="77777777" w:rsidR="00960099" w:rsidRPr="00960099" w:rsidRDefault="00960099" w:rsidP="00960099">
      <w:pPr>
        <w:rPr>
          <w:sz w:val="24"/>
          <w:szCs w:val="24"/>
        </w:rPr>
      </w:pPr>
      <w:r w:rsidRPr="00960099">
        <w:rPr>
          <w:lang w:eastAsia="bg-BG"/>
        </w:rPr>
        <w:t xml:space="preserve">ЦентроКуин 100 </w:t>
      </w:r>
      <w:r w:rsidRPr="00960099">
        <w:rPr>
          <w:lang w:val="en-US"/>
        </w:rPr>
        <w:t>mg</w:t>
      </w:r>
      <w:r w:rsidRPr="00960099">
        <w:t xml:space="preserve"> </w:t>
      </w:r>
      <w:r w:rsidRPr="00960099">
        <w:rPr>
          <w:lang w:eastAsia="bg-BG"/>
        </w:rPr>
        <w:t>филмирани таблетки</w:t>
      </w:r>
    </w:p>
    <w:p w14:paraId="05C39861" w14:textId="77777777" w:rsidR="00960099" w:rsidRPr="00960099" w:rsidRDefault="00960099" w:rsidP="00960099">
      <w:pPr>
        <w:rPr>
          <w:sz w:val="24"/>
          <w:szCs w:val="24"/>
        </w:rPr>
      </w:pPr>
      <w:r w:rsidRPr="00960099">
        <w:rPr>
          <w:lang w:val="en-US"/>
        </w:rPr>
        <w:t>CentroQueen</w:t>
      </w:r>
      <w:r w:rsidRPr="00960099">
        <w:t xml:space="preserve"> </w:t>
      </w:r>
      <w:r w:rsidRPr="00960099">
        <w:rPr>
          <w:lang w:eastAsia="bg-BG"/>
        </w:rPr>
        <w:t xml:space="preserve">100 </w:t>
      </w:r>
      <w:r w:rsidRPr="00960099">
        <w:rPr>
          <w:lang w:val="en-US"/>
        </w:rPr>
        <w:t>mg</w:t>
      </w:r>
      <w:r w:rsidRPr="00960099">
        <w:t xml:space="preserve"> </w:t>
      </w:r>
      <w:r w:rsidRPr="00960099">
        <w:rPr>
          <w:lang w:val="en-US"/>
        </w:rPr>
        <w:t>film</w:t>
      </w:r>
      <w:r w:rsidRPr="00960099">
        <w:t>-</w:t>
      </w:r>
      <w:r w:rsidRPr="00960099">
        <w:rPr>
          <w:lang w:val="en-US"/>
        </w:rPr>
        <w:t>coated</w:t>
      </w:r>
      <w:r w:rsidRPr="00960099">
        <w:t xml:space="preserve"> </w:t>
      </w:r>
      <w:r w:rsidRPr="00960099">
        <w:rPr>
          <w:lang w:val="en-US"/>
        </w:rPr>
        <w:t>tablets</w:t>
      </w:r>
    </w:p>
    <w:p w14:paraId="0A0091D0" w14:textId="77777777" w:rsidR="00960099" w:rsidRDefault="00960099" w:rsidP="00960099">
      <w:pPr>
        <w:rPr>
          <w:lang w:eastAsia="bg-BG"/>
        </w:rPr>
      </w:pPr>
    </w:p>
    <w:p w14:paraId="3BB9656E" w14:textId="6D08E9DC" w:rsidR="00960099" w:rsidRPr="00960099" w:rsidRDefault="00960099" w:rsidP="00960099">
      <w:pPr>
        <w:rPr>
          <w:sz w:val="24"/>
          <w:szCs w:val="24"/>
        </w:rPr>
      </w:pPr>
      <w:r w:rsidRPr="00960099">
        <w:rPr>
          <w:lang w:eastAsia="bg-BG"/>
        </w:rPr>
        <w:t xml:space="preserve">ЦентроКуин </w:t>
      </w:r>
      <w:r w:rsidRPr="00960099">
        <w:rPr>
          <w:lang w:val="en-US"/>
        </w:rPr>
        <w:t xml:space="preserve">200 mg </w:t>
      </w:r>
      <w:r w:rsidRPr="00960099">
        <w:rPr>
          <w:lang w:eastAsia="bg-BG"/>
        </w:rPr>
        <w:t>филмирани таблетки</w:t>
      </w:r>
    </w:p>
    <w:p w14:paraId="5274FC89" w14:textId="77777777" w:rsidR="00960099" w:rsidRPr="00960099" w:rsidRDefault="00960099" w:rsidP="00960099">
      <w:pPr>
        <w:rPr>
          <w:sz w:val="24"/>
          <w:szCs w:val="24"/>
        </w:rPr>
      </w:pPr>
      <w:r w:rsidRPr="00960099">
        <w:rPr>
          <w:lang w:val="en-US"/>
        </w:rPr>
        <w:t>CentroQueen</w:t>
      </w:r>
      <w:r w:rsidRPr="00960099">
        <w:t xml:space="preserve"> </w:t>
      </w:r>
      <w:r w:rsidRPr="00960099">
        <w:rPr>
          <w:lang w:eastAsia="bg-BG"/>
        </w:rPr>
        <w:t xml:space="preserve">200 </w:t>
      </w:r>
      <w:r w:rsidRPr="00960099">
        <w:rPr>
          <w:lang w:val="en-US"/>
        </w:rPr>
        <w:t>mg</w:t>
      </w:r>
      <w:r w:rsidRPr="00960099">
        <w:t xml:space="preserve"> </w:t>
      </w:r>
      <w:r w:rsidRPr="00960099">
        <w:rPr>
          <w:lang w:val="en-US"/>
        </w:rPr>
        <w:t>film</w:t>
      </w:r>
      <w:r w:rsidRPr="00960099">
        <w:t>-</w:t>
      </w:r>
      <w:r w:rsidRPr="00960099">
        <w:rPr>
          <w:lang w:val="en-US"/>
        </w:rPr>
        <w:t>coated</w:t>
      </w:r>
      <w:r w:rsidRPr="00960099">
        <w:t xml:space="preserve"> </w:t>
      </w:r>
      <w:r w:rsidRPr="00960099">
        <w:rPr>
          <w:lang w:val="en-US"/>
        </w:rPr>
        <w:t>tablets</w:t>
      </w:r>
    </w:p>
    <w:p w14:paraId="75197E1A" w14:textId="77777777" w:rsidR="00960099" w:rsidRPr="00960099" w:rsidRDefault="00960099" w:rsidP="00960099"/>
    <w:p w14:paraId="2BF7ACB1" w14:textId="52E699D3" w:rsidR="00DF4C8E" w:rsidRDefault="00DD466D" w:rsidP="00F44498">
      <w:pPr>
        <w:pStyle w:val="Heading1"/>
      </w:pPr>
      <w:r>
        <w:t>2. КАЧЕСТВЕН И КОЛИЧЕСТВЕН СЪСТАВ</w:t>
      </w:r>
    </w:p>
    <w:p w14:paraId="73A81582" w14:textId="124DFE9C" w:rsidR="00960099" w:rsidRDefault="00960099" w:rsidP="00960099"/>
    <w:p w14:paraId="059E0A45"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Всяка филмирана таблетка ЦентроКуин 100 </w:t>
      </w:r>
      <w:r w:rsidRPr="00960099">
        <w:rPr>
          <w:rFonts w:eastAsia="Times New Roman" w:cs="Arial"/>
          <w:color w:val="000000"/>
          <w:szCs w:val="18"/>
          <w:lang w:val="en-US"/>
        </w:rPr>
        <w:t>mg</w:t>
      </w:r>
      <w:r w:rsidRPr="00960099">
        <w:rPr>
          <w:rFonts w:eastAsia="Times New Roman" w:cs="Arial"/>
          <w:color w:val="000000"/>
          <w:szCs w:val="18"/>
        </w:rPr>
        <w:t xml:space="preserve"> </w:t>
      </w:r>
      <w:r w:rsidRPr="00960099">
        <w:rPr>
          <w:rFonts w:eastAsia="Times New Roman" w:cs="Arial"/>
          <w:color w:val="000000"/>
          <w:szCs w:val="18"/>
          <w:lang w:eastAsia="bg-BG"/>
        </w:rPr>
        <w:t xml:space="preserve">съдържа съответно 100 </w:t>
      </w:r>
      <w:r w:rsidRPr="00960099">
        <w:rPr>
          <w:rFonts w:eastAsia="Times New Roman" w:cs="Arial"/>
          <w:color w:val="000000"/>
          <w:szCs w:val="18"/>
          <w:lang w:val="en-US"/>
        </w:rPr>
        <w:t>mg</w:t>
      </w:r>
      <w:r w:rsidRPr="00960099">
        <w:rPr>
          <w:rFonts w:eastAsia="Times New Roman" w:cs="Arial"/>
          <w:color w:val="000000"/>
          <w:szCs w:val="18"/>
        </w:rPr>
        <w:t xml:space="preserve"> </w:t>
      </w:r>
      <w:r w:rsidRPr="00960099">
        <w:rPr>
          <w:rFonts w:eastAsia="Times New Roman" w:cs="Arial"/>
          <w:color w:val="000000"/>
          <w:szCs w:val="18"/>
          <w:lang w:eastAsia="bg-BG"/>
        </w:rPr>
        <w:t xml:space="preserve">кветиапин </w:t>
      </w:r>
      <w:r w:rsidRPr="00960099">
        <w:rPr>
          <w:rFonts w:eastAsia="Times New Roman" w:cs="Arial"/>
          <w:i/>
          <w:iCs/>
          <w:color w:val="000000"/>
          <w:szCs w:val="18"/>
        </w:rPr>
        <w:t>(</w:t>
      </w:r>
      <w:r w:rsidRPr="00960099">
        <w:rPr>
          <w:rFonts w:eastAsia="Times New Roman" w:cs="Arial"/>
          <w:i/>
          <w:iCs/>
          <w:color w:val="000000"/>
          <w:szCs w:val="18"/>
          <w:lang w:val="en-US"/>
        </w:rPr>
        <w:t>quetiapine</w:t>
      </w:r>
      <w:r w:rsidRPr="00960099">
        <w:rPr>
          <w:rFonts w:eastAsia="Times New Roman" w:cs="Arial"/>
          <w:i/>
          <w:iCs/>
          <w:color w:val="000000"/>
          <w:szCs w:val="18"/>
        </w:rPr>
        <w:t xml:space="preserve">) </w:t>
      </w:r>
      <w:r w:rsidRPr="00960099">
        <w:rPr>
          <w:rFonts w:eastAsia="Times New Roman" w:cs="Arial"/>
          <w:color w:val="000000"/>
          <w:szCs w:val="18"/>
          <w:lang w:eastAsia="bg-BG"/>
        </w:rPr>
        <w:t>(като кветиапинов хемифумарат).</w:t>
      </w:r>
    </w:p>
    <w:p w14:paraId="1AFCAAAC"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Всяка филмирана таблетка ЦентроКуин 200 </w:t>
      </w:r>
      <w:r w:rsidRPr="00960099">
        <w:rPr>
          <w:rFonts w:eastAsia="Times New Roman" w:cs="Arial"/>
          <w:color w:val="000000"/>
          <w:szCs w:val="18"/>
          <w:lang w:val="en-US"/>
        </w:rPr>
        <w:t>mg</w:t>
      </w:r>
      <w:r w:rsidRPr="00960099">
        <w:rPr>
          <w:rFonts w:eastAsia="Times New Roman" w:cs="Arial"/>
          <w:color w:val="000000"/>
          <w:szCs w:val="18"/>
        </w:rPr>
        <w:t xml:space="preserve"> </w:t>
      </w:r>
      <w:r w:rsidRPr="00960099">
        <w:rPr>
          <w:rFonts w:eastAsia="Times New Roman" w:cs="Arial"/>
          <w:color w:val="000000"/>
          <w:szCs w:val="18"/>
          <w:lang w:eastAsia="bg-BG"/>
        </w:rPr>
        <w:t xml:space="preserve">съдържа съответно 200 </w:t>
      </w:r>
      <w:r w:rsidRPr="00960099">
        <w:rPr>
          <w:rFonts w:eastAsia="Times New Roman" w:cs="Arial"/>
          <w:color w:val="000000"/>
          <w:szCs w:val="18"/>
          <w:lang w:val="en-US"/>
        </w:rPr>
        <w:t>mg</w:t>
      </w:r>
      <w:r w:rsidRPr="00960099">
        <w:rPr>
          <w:rFonts w:eastAsia="Times New Roman" w:cs="Arial"/>
          <w:color w:val="000000"/>
          <w:szCs w:val="18"/>
        </w:rPr>
        <w:t xml:space="preserve"> </w:t>
      </w:r>
      <w:r w:rsidRPr="00960099">
        <w:rPr>
          <w:rFonts w:eastAsia="Times New Roman" w:cs="Arial"/>
          <w:color w:val="000000"/>
          <w:szCs w:val="18"/>
          <w:lang w:eastAsia="bg-BG"/>
        </w:rPr>
        <w:t xml:space="preserve">кветиапин </w:t>
      </w:r>
      <w:r w:rsidRPr="00960099">
        <w:rPr>
          <w:rFonts w:eastAsia="Times New Roman" w:cs="Arial"/>
          <w:i/>
          <w:iCs/>
          <w:color w:val="000000"/>
          <w:szCs w:val="18"/>
        </w:rPr>
        <w:t>(</w:t>
      </w:r>
      <w:r w:rsidRPr="00960099">
        <w:rPr>
          <w:rFonts w:eastAsia="Times New Roman" w:cs="Arial"/>
          <w:i/>
          <w:iCs/>
          <w:color w:val="000000"/>
          <w:szCs w:val="18"/>
          <w:lang w:val="en-US"/>
        </w:rPr>
        <w:t>quetiapine</w:t>
      </w:r>
      <w:r w:rsidRPr="00960099">
        <w:rPr>
          <w:rFonts w:eastAsia="Times New Roman" w:cs="Arial"/>
          <w:i/>
          <w:iCs/>
          <w:color w:val="000000"/>
          <w:szCs w:val="18"/>
        </w:rPr>
        <w:t xml:space="preserve">) </w:t>
      </w:r>
      <w:r w:rsidRPr="00960099">
        <w:rPr>
          <w:rFonts w:eastAsia="Times New Roman" w:cs="Arial"/>
          <w:color w:val="000000"/>
          <w:szCs w:val="18"/>
          <w:lang w:eastAsia="bg-BG"/>
        </w:rPr>
        <w:t>(като кветиапинов хемифумарат).</w:t>
      </w:r>
    </w:p>
    <w:p w14:paraId="677B3D06" w14:textId="77777777" w:rsidR="00960099" w:rsidRPr="00960099" w:rsidRDefault="00960099" w:rsidP="00960099">
      <w:pPr>
        <w:spacing w:line="240" w:lineRule="auto"/>
        <w:rPr>
          <w:rFonts w:eastAsia="Times New Roman" w:cs="Arial"/>
          <w:color w:val="000000"/>
          <w:szCs w:val="18"/>
          <w:lang w:eastAsia="bg-BG"/>
        </w:rPr>
      </w:pPr>
    </w:p>
    <w:p w14:paraId="6A2C4566" w14:textId="0B3410F5"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Помощни вещества с известно действие:</w:t>
      </w:r>
    </w:p>
    <w:p w14:paraId="3F6F4DBF"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Всяка филмирана таблетка от 100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съдържа </w:t>
      </w:r>
      <w:r w:rsidRPr="00960099">
        <w:rPr>
          <w:rFonts w:eastAsia="Times New Roman" w:cs="Arial"/>
          <w:i/>
          <w:iCs/>
          <w:color w:val="000000"/>
          <w:szCs w:val="18"/>
          <w:lang w:eastAsia="bg-BG"/>
        </w:rPr>
        <w:t xml:space="preserve">61,484 </w:t>
      </w:r>
      <w:r w:rsidRPr="00960099">
        <w:rPr>
          <w:rFonts w:eastAsia="Times New Roman" w:cs="Arial"/>
          <w:i/>
          <w:iCs/>
          <w:color w:val="000000"/>
          <w:szCs w:val="18"/>
          <w:lang w:val="en-US"/>
        </w:rPr>
        <w:t>mg</w:t>
      </w:r>
      <w:r w:rsidRPr="00960099">
        <w:rPr>
          <w:rFonts w:eastAsia="Times New Roman" w:cs="Arial"/>
          <w:i/>
          <w:iCs/>
          <w:color w:val="000000"/>
          <w:szCs w:val="18"/>
          <w:lang w:val="ru-RU"/>
        </w:rPr>
        <w:t xml:space="preserve"> </w:t>
      </w:r>
      <w:r w:rsidRPr="00960099">
        <w:rPr>
          <w:rFonts w:eastAsia="Times New Roman" w:cs="Arial"/>
          <w:i/>
          <w:iCs/>
          <w:color w:val="000000"/>
          <w:szCs w:val="18"/>
          <w:lang w:eastAsia="bg-BG"/>
        </w:rPr>
        <w:t>лактоза</w:t>
      </w:r>
      <w:r w:rsidRPr="00960099">
        <w:rPr>
          <w:rFonts w:eastAsia="Times New Roman" w:cs="Arial"/>
          <w:color w:val="000000"/>
          <w:szCs w:val="18"/>
          <w:lang w:eastAsia="bg-BG"/>
        </w:rPr>
        <w:t xml:space="preserve"> монохидрат.</w:t>
      </w:r>
    </w:p>
    <w:p w14:paraId="2C065D3F"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Всяка филмирана таблетка от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съдържа 122,968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лактоза монохидрат.</w:t>
      </w:r>
    </w:p>
    <w:p w14:paraId="552D6D2E" w14:textId="77777777" w:rsidR="00960099" w:rsidRPr="00960099" w:rsidRDefault="00960099" w:rsidP="00960099"/>
    <w:p w14:paraId="614984C4" w14:textId="08C91EFA" w:rsidR="008A6AF2" w:rsidRDefault="00DD466D" w:rsidP="002C50EE">
      <w:pPr>
        <w:pStyle w:val="Heading1"/>
      </w:pPr>
      <w:r>
        <w:t>3. ЛЕКАРСТВЕНА ФОРМА</w:t>
      </w:r>
    </w:p>
    <w:p w14:paraId="26B60489" w14:textId="2FD8B996" w:rsidR="00960099" w:rsidRDefault="00960099" w:rsidP="00960099"/>
    <w:p w14:paraId="550DBBA8" w14:textId="77777777" w:rsidR="00960099" w:rsidRPr="00960099" w:rsidRDefault="00960099" w:rsidP="00960099">
      <w:pPr>
        <w:rPr>
          <w:sz w:val="24"/>
          <w:szCs w:val="24"/>
        </w:rPr>
      </w:pPr>
      <w:r w:rsidRPr="00960099">
        <w:rPr>
          <w:lang w:eastAsia="bg-BG"/>
        </w:rPr>
        <w:t>Филмирана таблетка.</w:t>
      </w:r>
    </w:p>
    <w:p w14:paraId="2F9202A2" w14:textId="77777777" w:rsidR="00960099" w:rsidRDefault="00960099" w:rsidP="00960099">
      <w:pPr>
        <w:rPr>
          <w:lang w:eastAsia="bg-BG"/>
        </w:rPr>
      </w:pPr>
    </w:p>
    <w:p w14:paraId="0AE5083B" w14:textId="42E3932D" w:rsidR="00960099" w:rsidRPr="00960099" w:rsidRDefault="00960099" w:rsidP="00960099">
      <w:pPr>
        <w:rPr>
          <w:sz w:val="24"/>
          <w:szCs w:val="24"/>
        </w:rPr>
      </w:pPr>
      <w:r w:rsidRPr="00960099">
        <w:rPr>
          <w:lang w:eastAsia="bg-BG"/>
        </w:rPr>
        <w:t xml:space="preserve">ЦентроКуин 100 </w:t>
      </w:r>
      <w:r w:rsidRPr="00960099">
        <w:rPr>
          <w:lang w:val="en-US"/>
        </w:rPr>
        <w:t>mg</w:t>
      </w:r>
      <w:r w:rsidRPr="00960099">
        <w:rPr>
          <w:lang w:val="ru-RU"/>
        </w:rPr>
        <w:t xml:space="preserve"> </w:t>
      </w:r>
      <w:r w:rsidRPr="00960099">
        <w:rPr>
          <w:lang w:eastAsia="bg-BG"/>
        </w:rPr>
        <w:t>са жълти, кръгли, двойноизпъкнали таблетки.</w:t>
      </w:r>
    </w:p>
    <w:p w14:paraId="0F797E01" w14:textId="77777777" w:rsidR="00960099" w:rsidRPr="00960099" w:rsidRDefault="00960099" w:rsidP="00960099">
      <w:pPr>
        <w:rPr>
          <w:sz w:val="24"/>
          <w:szCs w:val="24"/>
        </w:rPr>
      </w:pPr>
      <w:r w:rsidRPr="00960099">
        <w:rPr>
          <w:lang w:eastAsia="bg-BG"/>
        </w:rPr>
        <w:t xml:space="preserve">ЦентроКуин 200 </w:t>
      </w:r>
      <w:r w:rsidRPr="00960099">
        <w:rPr>
          <w:lang w:val="en-US"/>
        </w:rPr>
        <w:t>mg</w:t>
      </w:r>
      <w:r w:rsidRPr="00960099">
        <w:rPr>
          <w:lang w:val="ru-RU"/>
        </w:rPr>
        <w:t xml:space="preserve"> </w:t>
      </w:r>
      <w:r w:rsidRPr="00960099">
        <w:rPr>
          <w:lang w:eastAsia="bg-BG"/>
        </w:rPr>
        <w:t>са бели, кръгли, двойноизпъкнали таблетки.</w:t>
      </w:r>
    </w:p>
    <w:p w14:paraId="285483B7" w14:textId="77777777" w:rsidR="00960099" w:rsidRPr="00960099" w:rsidRDefault="00960099" w:rsidP="00960099"/>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0F7BE02A" w:rsidR="00DF4C8E" w:rsidRDefault="00DF4C8E" w:rsidP="00DF4C8E">
      <w:pPr>
        <w:rPr>
          <w:rFonts w:cs="Arial"/>
          <w:sz w:val="24"/>
        </w:rPr>
      </w:pPr>
    </w:p>
    <w:p w14:paraId="0A52A13A"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ЦентроКуин е показан за лечение на:</w:t>
      </w:r>
    </w:p>
    <w:p w14:paraId="4130344C" w14:textId="77777777" w:rsidR="00960099" w:rsidRPr="00960099" w:rsidRDefault="00960099" w:rsidP="00960099">
      <w:pPr>
        <w:pStyle w:val="ListParagraph"/>
        <w:numPr>
          <w:ilvl w:val="0"/>
          <w:numId w:val="34"/>
        </w:numPr>
        <w:spacing w:line="240" w:lineRule="auto"/>
        <w:rPr>
          <w:rFonts w:eastAsia="Times New Roman" w:cs="Arial"/>
          <w:sz w:val="32"/>
          <w:szCs w:val="24"/>
        </w:rPr>
      </w:pPr>
      <w:r w:rsidRPr="00960099">
        <w:rPr>
          <w:rFonts w:eastAsia="Times New Roman" w:cs="Arial"/>
          <w:color w:val="000000"/>
          <w:szCs w:val="18"/>
          <w:lang w:eastAsia="bg-BG"/>
        </w:rPr>
        <w:t>Шизофрения.</w:t>
      </w:r>
    </w:p>
    <w:p w14:paraId="6369499C" w14:textId="057A558A" w:rsidR="00960099" w:rsidRPr="00960099" w:rsidRDefault="00960099" w:rsidP="00960099">
      <w:pPr>
        <w:pStyle w:val="ListParagraph"/>
        <w:numPr>
          <w:ilvl w:val="0"/>
          <w:numId w:val="34"/>
        </w:numPr>
        <w:spacing w:line="240" w:lineRule="auto"/>
        <w:rPr>
          <w:rFonts w:eastAsia="Times New Roman" w:cs="Arial"/>
          <w:sz w:val="32"/>
          <w:szCs w:val="24"/>
        </w:rPr>
      </w:pPr>
      <w:r w:rsidRPr="00960099">
        <w:rPr>
          <w:rFonts w:eastAsia="Times New Roman" w:cs="Arial"/>
          <w:color w:val="000000"/>
          <w:szCs w:val="18"/>
          <w:lang w:eastAsia="bg-BG"/>
        </w:rPr>
        <w:t>Биполярно разстройство:</w:t>
      </w:r>
    </w:p>
    <w:p w14:paraId="2BF48148" w14:textId="77777777" w:rsidR="00960099" w:rsidRPr="00960099" w:rsidRDefault="00960099" w:rsidP="00960099">
      <w:pPr>
        <w:pStyle w:val="ListParagraph"/>
        <w:numPr>
          <w:ilvl w:val="0"/>
          <w:numId w:val="35"/>
        </w:numPr>
        <w:spacing w:line="240" w:lineRule="auto"/>
        <w:rPr>
          <w:rFonts w:eastAsia="Times New Roman" w:cs="Arial"/>
          <w:sz w:val="32"/>
          <w:szCs w:val="24"/>
        </w:rPr>
      </w:pPr>
      <w:r w:rsidRPr="00960099">
        <w:rPr>
          <w:rFonts w:eastAsia="Times New Roman" w:cs="Arial"/>
          <w:color w:val="000000"/>
          <w:szCs w:val="18"/>
          <w:lang w:eastAsia="bg-BG"/>
        </w:rPr>
        <w:t>умерени до тежки манийни епизоди при биполярно разстройство;</w:t>
      </w:r>
    </w:p>
    <w:p w14:paraId="46A934E1" w14:textId="77777777" w:rsidR="00960099" w:rsidRPr="00960099" w:rsidRDefault="00960099" w:rsidP="00960099">
      <w:pPr>
        <w:pStyle w:val="ListParagraph"/>
        <w:numPr>
          <w:ilvl w:val="0"/>
          <w:numId w:val="35"/>
        </w:numPr>
        <w:spacing w:line="240" w:lineRule="auto"/>
        <w:rPr>
          <w:rFonts w:eastAsia="Times New Roman" w:cs="Arial"/>
          <w:sz w:val="32"/>
          <w:szCs w:val="24"/>
        </w:rPr>
      </w:pPr>
      <w:r w:rsidRPr="00960099">
        <w:rPr>
          <w:rFonts w:eastAsia="Times New Roman" w:cs="Arial"/>
          <w:color w:val="000000"/>
          <w:szCs w:val="18"/>
          <w:lang w:eastAsia="bg-BG"/>
        </w:rPr>
        <w:t>големи депресивни епизоди при биполярно разстройство;</w:t>
      </w:r>
    </w:p>
    <w:p w14:paraId="6A41B6A3" w14:textId="730CA1D4" w:rsidR="00960099" w:rsidRPr="00960099" w:rsidRDefault="00960099" w:rsidP="00960099">
      <w:pPr>
        <w:pStyle w:val="ListParagraph"/>
        <w:numPr>
          <w:ilvl w:val="0"/>
          <w:numId w:val="35"/>
        </w:numPr>
        <w:spacing w:line="240" w:lineRule="auto"/>
        <w:rPr>
          <w:rFonts w:eastAsia="Times New Roman" w:cs="Arial"/>
          <w:sz w:val="32"/>
          <w:szCs w:val="24"/>
        </w:rPr>
      </w:pPr>
      <w:r w:rsidRPr="00960099">
        <w:rPr>
          <w:rFonts w:eastAsia="Times New Roman" w:cs="Arial"/>
          <w:color w:val="000000"/>
          <w:szCs w:val="18"/>
          <w:lang w:eastAsia="bg-BG"/>
        </w:rPr>
        <w:t xml:space="preserve">предотвратяване на рецидив на маниен или депресивен епизод при пациенти с биполярно разстройство, които са се </w:t>
      </w:r>
      <w:r w:rsidRPr="00960099">
        <w:rPr>
          <w:rFonts w:eastAsia="Times New Roman" w:cs="Arial"/>
          <w:i/>
          <w:iCs/>
          <w:color w:val="000000"/>
          <w:szCs w:val="18"/>
          <w:lang w:eastAsia="bg-BG"/>
        </w:rPr>
        <w:t>повлияли</w:t>
      </w:r>
      <w:r w:rsidRPr="00960099">
        <w:rPr>
          <w:rFonts w:eastAsia="Times New Roman" w:cs="Arial"/>
          <w:color w:val="000000"/>
          <w:szCs w:val="18"/>
          <w:lang w:eastAsia="bg-BG"/>
        </w:rPr>
        <w:t xml:space="preserve"> от лечението </w:t>
      </w:r>
      <w:r w:rsidRPr="00960099">
        <w:rPr>
          <w:rFonts w:eastAsia="Times New Roman" w:cs="Arial"/>
          <w:i/>
          <w:iCs/>
          <w:color w:val="000000"/>
          <w:szCs w:val="18"/>
          <w:lang w:eastAsia="bg-BG"/>
        </w:rPr>
        <w:t>с</w:t>
      </w:r>
      <w:r w:rsidRPr="00960099">
        <w:rPr>
          <w:rFonts w:eastAsia="Times New Roman" w:cs="Arial"/>
          <w:color w:val="000000"/>
          <w:szCs w:val="18"/>
          <w:lang w:eastAsia="bg-BG"/>
        </w:rPr>
        <w:t xml:space="preserve"> кветиапин.</w:t>
      </w:r>
    </w:p>
    <w:p w14:paraId="1E536089" w14:textId="77777777" w:rsidR="00960099" w:rsidRPr="00DF4C8E" w:rsidRDefault="00960099" w:rsidP="00DF4C8E">
      <w:pPr>
        <w:rPr>
          <w:rFonts w:cs="Arial"/>
          <w:sz w:val="24"/>
        </w:rPr>
      </w:pPr>
    </w:p>
    <w:p w14:paraId="778B4979" w14:textId="4A95EC7E" w:rsidR="00DF4C8E" w:rsidRDefault="002C50EE" w:rsidP="00F44498">
      <w:pPr>
        <w:pStyle w:val="Heading2"/>
      </w:pPr>
      <w:r>
        <w:t>4.2. Дозировка и начин на приложение</w:t>
      </w:r>
    </w:p>
    <w:p w14:paraId="749E76EF" w14:textId="7E45B4DE" w:rsidR="00960099" w:rsidRDefault="00960099" w:rsidP="00960099"/>
    <w:p w14:paraId="5C0C35EA"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lastRenderedPageBreak/>
        <w:t>За всяко показание съществуват различни схеми на дозиране. По тази причина трябва да е сигурно, че пациентите ще получат точна информация относно подходящата дозировка при тяхното състояние.</w:t>
      </w:r>
    </w:p>
    <w:p w14:paraId="630AAA4C" w14:textId="77777777" w:rsidR="00960099" w:rsidRPr="00960099" w:rsidRDefault="00960099" w:rsidP="00960099">
      <w:pPr>
        <w:spacing w:line="240" w:lineRule="auto"/>
        <w:rPr>
          <w:rFonts w:eastAsia="Times New Roman" w:cs="Arial"/>
          <w:color w:val="000000"/>
          <w:szCs w:val="18"/>
          <w:lang w:eastAsia="bg-BG"/>
        </w:rPr>
      </w:pPr>
    </w:p>
    <w:p w14:paraId="5B7D2806" w14:textId="786C050D"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ЦентроКуин може да се приема с или без храна.</w:t>
      </w:r>
    </w:p>
    <w:p w14:paraId="538D8D21" w14:textId="77777777" w:rsidR="00960099" w:rsidRPr="00960099" w:rsidRDefault="00960099" w:rsidP="00960099">
      <w:pPr>
        <w:spacing w:line="240" w:lineRule="auto"/>
        <w:rPr>
          <w:rFonts w:eastAsia="Times New Roman" w:cs="Arial"/>
          <w:b/>
          <w:bCs/>
          <w:color w:val="000000"/>
          <w:szCs w:val="18"/>
          <w:lang w:eastAsia="bg-BG"/>
        </w:rPr>
      </w:pPr>
      <w:bookmarkStart w:id="1" w:name="bookmark0"/>
    </w:p>
    <w:p w14:paraId="6B755C19" w14:textId="2255E060" w:rsidR="00960099" w:rsidRPr="00960099" w:rsidRDefault="00960099" w:rsidP="00960099">
      <w:pPr>
        <w:spacing w:line="240" w:lineRule="auto"/>
        <w:rPr>
          <w:rFonts w:eastAsia="Times New Roman" w:cs="Arial"/>
          <w:sz w:val="32"/>
          <w:szCs w:val="24"/>
        </w:rPr>
      </w:pPr>
      <w:r w:rsidRPr="00960099">
        <w:rPr>
          <w:rFonts w:eastAsia="Times New Roman" w:cs="Arial"/>
          <w:b/>
          <w:bCs/>
          <w:color w:val="000000"/>
          <w:szCs w:val="18"/>
          <w:lang w:eastAsia="bg-BG"/>
        </w:rPr>
        <w:t>Възрастни:</w:t>
      </w:r>
      <w:bookmarkEnd w:id="1"/>
    </w:p>
    <w:p w14:paraId="105B16D5" w14:textId="77777777"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За лечение на шизофрения:</w:t>
      </w:r>
    </w:p>
    <w:p w14:paraId="1187A4A6"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За лечение на шизофрения ЦентроКуин трябва да се приема два пъти дневно.</w:t>
      </w:r>
      <w:r w:rsidRPr="00960099">
        <w:rPr>
          <w:rFonts w:eastAsia="Times New Roman" w:cs="Arial"/>
          <w:color w:val="000000"/>
          <w:szCs w:val="18"/>
          <w:lang w:val="ru-RU"/>
        </w:rPr>
        <w:t xml:space="preserve"> </w:t>
      </w:r>
      <w:r w:rsidRPr="00960099">
        <w:rPr>
          <w:rFonts w:eastAsia="Times New Roman" w:cs="Arial"/>
          <w:color w:val="000000"/>
          <w:szCs w:val="18"/>
          <w:lang w:eastAsia="bg-BG"/>
        </w:rPr>
        <w:t>Общата дневна доза</w:t>
      </w:r>
    </w:p>
    <w:p w14:paraId="1BC441C8"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през първите четири дни от лечението е 50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1), 100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2),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3), и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Ден</w:t>
      </w:r>
    </w:p>
    <w:p w14:paraId="5338A734" w14:textId="17DF487A" w:rsidR="00960099" w:rsidRPr="00960099" w:rsidRDefault="00960099" w:rsidP="00960099">
      <w:pPr>
        <w:rPr>
          <w:rFonts w:eastAsia="Times New Roman" w:cs="Arial"/>
          <w:color w:val="000000"/>
          <w:szCs w:val="18"/>
          <w:lang w:eastAsia="bg-BG"/>
        </w:rPr>
      </w:pPr>
      <w:r w:rsidRPr="00960099">
        <w:rPr>
          <w:rFonts w:eastAsia="Times New Roman" w:cs="Arial"/>
          <w:color w:val="000000"/>
          <w:szCs w:val="18"/>
          <w:lang w:eastAsia="bg-BG"/>
        </w:rPr>
        <w:t xml:space="preserve">4). От Ден 4 дозата трябва да се титрира до обичайната ефективна доза от 300 до 450 </w:t>
      </w:r>
      <w:r w:rsidRPr="00960099">
        <w:rPr>
          <w:rFonts w:eastAsia="Times New Roman" w:cs="Arial"/>
          <w:color w:val="000000"/>
          <w:szCs w:val="18"/>
          <w:lang w:val="en-US"/>
        </w:rPr>
        <w:t>mg</w:t>
      </w:r>
      <w:r w:rsidRPr="00960099">
        <w:rPr>
          <w:rFonts w:eastAsia="Times New Roman" w:cs="Arial"/>
          <w:color w:val="000000"/>
          <w:szCs w:val="18"/>
          <w:lang w:val="ru-RU"/>
        </w:rPr>
        <w:t>/</w:t>
      </w:r>
      <w:r w:rsidRPr="00960099">
        <w:rPr>
          <w:rFonts w:eastAsia="Times New Roman" w:cs="Arial"/>
          <w:color w:val="000000"/>
          <w:szCs w:val="18"/>
          <w:lang w:eastAsia="bg-BG"/>
        </w:rPr>
        <w:t>дневно.</w:t>
      </w:r>
    </w:p>
    <w:p w14:paraId="6BEC1F4C" w14:textId="5C79A28A" w:rsidR="00960099" w:rsidRPr="00960099" w:rsidRDefault="00960099" w:rsidP="00960099">
      <w:pPr>
        <w:rPr>
          <w:rFonts w:eastAsia="Times New Roman" w:cs="Arial"/>
          <w:color w:val="000000"/>
          <w:szCs w:val="18"/>
          <w:lang w:eastAsia="bg-BG"/>
        </w:rPr>
      </w:pPr>
    </w:p>
    <w:p w14:paraId="7304F55F"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В зависимост от клиничния отговор и поносимостта на индивидуалния пациент дневната доза може да бъде пригодена в границите от 150 до 750 </w:t>
      </w:r>
      <w:r w:rsidRPr="00960099">
        <w:rPr>
          <w:rFonts w:eastAsia="Times New Roman" w:cs="Arial"/>
          <w:color w:val="000000"/>
          <w:szCs w:val="18"/>
          <w:lang w:val="en-US"/>
        </w:rPr>
        <w:t>mg</w:t>
      </w:r>
      <w:r w:rsidRPr="00960099">
        <w:rPr>
          <w:rFonts w:eastAsia="Times New Roman" w:cs="Arial"/>
          <w:color w:val="000000"/>
          <w:szCs w:val="18"/>
          <w:lang w:eastAsia="bg-BG"/>
        </w:rPr>
        <w:t>/дневно.</w:t>
      </w:r>
    </w:p>
    <w:p w14:paraId="13556731" w14:textId="77777777" w:rsidR="00960099" w:rsidRPr="00960099" w:rsidRDefault="00960099" w:rsidP="00960099">
      <w:pPr>
        <w:spacing w:line="240" w:lineRule="auto"/>
        <w:rPr>
          <w:rFonts w:eastAsia="Times New Roman" w:cs="Arial"/>
          <w:i/>
          <w:iCs/>
          <w:color w:val="000000"/>
          <w:szCs w:val="18"/>
          <w:lang w:eastAsia="bg-BG"/>
        </w:rPr>
      </w:pPr>
    </w:p>
    <w:p w14:paraId="20464236" w14:textId="0DD0839A"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За лечение на умерени до тежки манийни епизоди на биполярно разстройство</w:t>
      </w:r>
    </w:p>
    <w:p w14:paraId="4266DF78"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За лечение на манийни епизоди при биполярно разстройство ЦентроКуин трябва да се приема два пъти дневно. Общата дневна доза през първите четири дни от лечението е 100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1),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2),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3) и 400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4). Последващо коригиране на дозата до максимум 800 </w:t>
      </w:r>
      <w:r w:rsidRPr="00960099">
        <w:rPr>
          <w:rFonts w:eastAsia="Times New Roman" w:cs="Arial"/>
          <w:color w:val="000000"/>
          <w:szCs w:val="18"/>
          <w:lang w:val="en-US"/>
        </w:rPr>
        <w:t>mg</w:t>
      </w:r>
      <w:r w:rsidRPr="00960099">
        <w:rPr>
          <w:rFonts w:eastAsia="Times New Roman" w:cs="Arial"/>
          <w:color w:val="000000"/>
          <w:szCs w:val="18"/>
          <w:lang w:eastAsia="bg-BG"/>
        </w:rPr>
        <w:t xml:space="preserve">/дневно до Ден 6 трябва да става чрез увеличение на дозата с не повече от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на ден.</w:t>
      </w:r>
    </w:p>
    <w:p w14:paraId="7F97CDDD"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Дозата може да се коригира в зависимост от клиничния отговор и поносимостта на индивидуалните пациенти в границите от 200 до 800 </w:t>
      </w:r>
      <w:r w:rsidRPr="00960099">
        <w:rPr>
          <w:rFonts w:eastAsia="Times New Roman" w:cs="Arial"/>
          <w:color w:val="000000"/>
          <w:szCs w:val="18"/>
          <w:lang w:val="en-US"/>
        </w:rPr>
        <w:t>mg</w:t>
      </w:r>
      <w:r w:rsidRPr="00960099">
        <w:rPr>
          <w:rFonts w:eastAsia="Times New Roman" w:cs="Arial"/>
          <w:color w:val="000000"/>
          <w:szCs w:val="18"/>
          <w:lang w:eastAsia="bg-BG"/>
        </w:rPr>
        <w:t xml:space="preserve">/дневно. Обичайната ефективна доза е в границите на 400 до 800 </w:t>
      </w:r>
      <w:r w:rsidRPr="00960099">
        <w:rPr>
          <w:rFonts w:eastAsia="Times New Roman" w:cs="Arial"/>
          <w:color w:val="000000"/>
          <w:szCs w:val="18"/>
          <w:lang w:val="en-US"/>
        </w:rPr>
        <w:t>mg</w:t>
      </w:r>
      <w:r w:rsidRPr="00960099">
        <w:rPr>
          <w:rFonts w:eastAsia="Times New Roman" w:cs="Arial"/>
          <w:color w:val="000000"/>
          <w:szCs w:val="18"/>
          <w:lang w:eastAsia="bg-BG"/>
        </w:rPr>
        <w:t>/дневно.</w:t>
      </w:r>
    </w:p>
    <w:p w14:paraId="7F53D0E0" w14:textId="77777777" w:rsidR="00960099" w:rsidRPr="00960099" w:rsidRDefault="00960099" w:rsidP="00960099">
      <w:pPr>
        <w:spacing w:line="240" w:lineRule="auto"/>
        <w:rPr>
          <w:rFonts w:eastAsia="Times New Roman" w:cs="Arial"/>
          <w:i/>
          <w:iCs/>
          <w:color w:val="000000"/>
          <w:szCs w:val="18"/>
          <w:lang w:eastAsia="bg-BG"/>
        </w:rPr>
      </w:pPr>
    </w:p>
    <w:p w14:paraId="7DC19E3A" w14:textId="4E6477C6"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За лечение на големи депресивни епизоди при биполярно разстройство:</w:t>
      </w:r>
    </w:p>
    <w:p w14:paraId="07E01C85"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ЦентроКуин трябва да се приема веднъж дневно, вечер преди лягане. Общата дневна доза за първите четири дни от лечението е 50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1), 100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2),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3) и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(Ден 4). Препоръчителната дневна доза е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При клиничните проучвания не е наблюдавана допълнителна полза в групата, лекувана с доза 600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в сравнение с групата, лекувана с доза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при краткотрайно лечение (вж. точка </w:t>
      </w:r>
      <w:r w:rsidRPr="00960099">
        <w:rPr>
          <w:rFonts w:eastAsia="Times New Roman" w:cs="Arial"/>
          <w:i/>
          <w:iCs/>
          <w:color w:val="000000"/>
          <w:szCs w:val="18"/>
          <w:lang w:eastAsia="bg-BG"/>
        </w:rPr>
        <w:t>5.1).</w:t>
      </w:r>
      <w:r w:rsidRPr="00960099">
        <w:rPr>
          <w:rFonts w:eastAsia="Times New Roman" w:cs="Arial"/>
          <w:color w:val="000000"/>
          <w:szCs w:val="18"/>
          <w:lang w:eastAsia="bg-BG"/>
        </w:rPr>
        <w:t xml:space="preserve"> Възможно е отделни пациенти да имат подобрение от 600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доза. При лечение на депресивни епизоди при биполярно разстройство с доза над 300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лекарството трябва да се предписва от лекар с опит в лечението на биполярно разстройство. Клиничните проучвания са показали, че при опасения, свързани с поносимостта при някои пациенти, може да се обмисли намаляване на дозата до минимум доза 200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кветиапин.</w:t>
      </w:r>
    </w:p>
    <w:p w14:paraId="6D06471D" w14:textId="77777777" w:rsidR="00960099" w:rsidRPr="00960099" w:rsidRDefault="00960099" w:rsidP="00960099">
      <w:pPr>
        <w:spacing w:line="240" w:lineRule="auto"/>
        <w:rPr>
          <w:rFonts w:eastAsia="Times New Roman" w:cs="Arial"/>
          <w:i/>
          <w:iCs/>
          <w:color w:val="000000"/>
          <w:szCs w:val="18"/>
          <w:lang w:eastAsia="bg-BG"/>
        </w:rPr>
      </w:pPr>
    </w:p>
    <w:p w14:paraId="3BB2E120" w14:textId="4D811B6F"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За предотвратяване на рецидив при биполярно разстройство;</w:t>
      </w:r>
    </w:p>
    <w:p w14:paraId="5873550D"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За предотвратяване на маниев рецидив, смесени или депресивни епизоди на биполярно разстройство, пациентите, които са отговорили на лечението с кветиапин при остро биполярно разстройство, трябва да продължат лечението със същата доза. В зависимост от клиничния отговор и поносимостта на отделния пациент към лекарството, дозата може да бъде коригирана в рамките на диапазона 300 до 800 </w:t>
      </w:r>
      <w:r w:rsidRPr="00960099">
        <w:rPr>
          <w:rFonts w:eastAsia="Times New Roman" w:cs="Arial"/>
          <w:color w:val="000000"/>
          <w:szCs w:val="18"/>
          <w:lang w:val="en-US"/>
        </w:rPr>
        <w:t>mg</w:t>
      </w:r>
      <w:r w:rsidRPr="00960099">
        <w:rPr>
          <w:rFonts w:eastAsia="Times New Roman" w:cs="Arial"/>
          <w:color w:val="000000"/>
          <w:szCs w:val="18"/>
          <w:lang w:eastAsia="bg-BG"/>
        </w:rPr>
        <w:t>/дневно, приложени два пъти дневно. За поддържащо лечение е важно да се използва най-ниската ефективна доза.</w:t>
      </w:r>
    </w:p>
    <w:p w14:paraId="38BF3CC1" w14:textId="77777777" w:rsidR="00960099" w:rsidRPr="00960099" w:rsidRDefault="00960099" w:rsidP="00960099">
      <w:pPr>
        <w:spacing w:line="240" w:lineRule="auto"/>
        <w:rPr>
          <w:rFonts w:eastAsia="Times New Roman" w:cs="Arial"/>
          <w:i/>
          <w:iCs/>
          <w:color w:val="000000"/>
          <w:szCs w:val="18"/>
          <w:lang w:eastAsia="bg-BG"/>
        </w:rPr>
      </w:pPr>
    </w:p>
    <w:p w14:paraId="5B92B80D" w14:textId="24E322EA"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Пациенти в старческа възраст:</w:t>
      </w:r>
    </w:p>
    <w:p w14:paraId="26ABACE1"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Както всички антипсихотици, ЦентроКуин трябва да се прилага с повишено внимание при пациенти в старческа възраст, особено в началния период на дозиране. Периода на </w:t>
      </w:r>
      <w:r w:rsidRPr="00960099">
        <w:rPr>
          <w:rFonts w:eastAsia="Times New Roman" w:cs="Arial"/>
          <w:color w:val="000000"/>
          <w:szCs w:val="18"/>
          <w:lang w:eastAsia="bg-BG"/>
        </w:rPr>
        <w:lastRenderedPageBreak/>
        <w:t xml:space="preserve">титриране на дозата на кветиапин може да бъде по-дълъг, а дневната терапевтична доза да бъде по-ниска, отколкото при по- млади пациенти, в зависимост от клиничния отговор и поносимостта на индивидуалния пациент. Средният плазмен клирънс на кветиапин е редуциран с </w:t>
      </w:r>
      <w:r w:rsidRPr="00960099">
        <w:rPr>
          <w:rFonts w:eastAsia="Times New Roman" w:cs="Arial"/>
          <w:i/>
          <w:iCs/>
          <w:color w:val="000000"/>
          <w:szCs w:val="18"/>
          <w:lang w:eastAsia="bg-BG"/>
        </w:rPr>
        <w:t>30%-50%</w:t>
      </w:r>
      <w:r w:rsidRPr="00960099">
        <w:rPr>
          <w:rFonts w:eastAsia="Times New Roman" w:cs="Arial"/>
          <w:color w:val="000000"/>
          <w:szCs w:val="18"/>
          <w:lang w:eastAsia="bg-BG"/>
        </w:rPr>
        <w:t xml:space="preserve"> при пациенти в старческа възраст в сравнение с по-млади пациенти.</w:t>
      </w:r>
    </w:p>
    <w:p w14:paraId="23140BA2"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Ефикасността и безопасността не са оценявани при пациенти на възраст над 65 години с депресивни епизоди при биполярното разстройство.</w:t>
      </w:r>
    </w:p>
    <w:p w14:paraId="2F082410" w14:textId="77777777" w:rsidR="00960099" w:rsidRPr="00960099" w:rsidRDefault="00960099" w:rsidP="00960099">
      <w:pPr>
        <w:spacing w:line="240" w:lineRule="auto"/>
        <w:rPr>
          <w:rFonts w:eastAsia="Times New Roman" w:cs="Arial"/>
          <w:i/>
          <w:iCs/>
          <w:color w:val="000000"/>
          <w:szCs w:val="18"/>
          <w:lang w:eastAsia="bg-BG"/>
        </w:rPr>
      </w:pPr>
    </w:p>
    <w:p w14:paraId="530EFBCD" w14:textId="1B8A9879"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Педиатрична популация:</w:t>
      </w:r>
    </w:p>
    <w:p w14:paraId="00DEB8ED"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Не се препоръчва употребата на ЦентроКуин при деца и юноши на възраст под 18 години, поради липсата на данни в подкрепа на приложението в тази възрастова група. Наличните данни от плацебо- контролирани клинични проучвания са представени в точки 4.4, 4.8, 5.1 и 5.2.</w:t>
      </w:r>
    </w:p>
    <w:p w14:paraId="7CF3F701" w14:textId="77777777" w:rsidR="00960099" w:rsidRPr="00960099" w:rsidRDefault="00960099" w:rsidP="00960099">
      <w:pPr>
        <w:spacing w:line="240" w:lineRule="auto"/>
        <w:rPr>
          <w:rFonts w:eastAsia="Times New Roman" w:cs="Arial"/>
          <w:i/>
          <w:iCs/>
          <w:color w:val="000000"/>
          <w:szCs w:val="18"/>
          <w:lang w:eastAsia="bg-BG"/>
        </w:rPr>
      </w:pPr>
    </w:p>
    <w:p w14:paraId="7B68FA37" w14:textId="665C45F0"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Бъбречно увреждане:</w:t>
      </w:r>
    </w:p>
    <w:p w14:paraId="055410F0"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Не са необходими корекции на дозата при пациенти с бъбречно увреждане.</w:t>
      </w:r>
    </w:p>
    <w:p w14:paraId="626D00E7" w14:textId="77777777" w:rsidR="00960099" w:rsidRPr="00960099" w:rsidRDefault="00960099" w:rsidP="00960099">
      <w:pPr>
        <w:spacing w:line="240" w:lineRule="auto"/>
        <w:rPr>
          <w:rFonts w:eastAsia="Times New Roman" w:cs="Arial"/>
          <w:i/>
          <w:iCs/>
          <w:color w:val="000000"/>
          <w:szCs w:val="18"/>
          <w:lang w:eastAsia="bg-BG"/>
        </w:rPr>
      </w:pPr>
    </w:p>
    <w:p w14:paraId="051A7712" w14:textId="3657D401"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Чернодробно увреждане:</w:t>
      </w:r>
    </w:p>
    <w:p w14:paraId="1E03C8EC" w14:textId="77777777" w:rsidR="00960099" w:rsidRPr="00960099" w:rsidRDefault="00960099" w:rsidP="00960099">
      <w:pPr>
        <w:rPr>
          <w:rFonts w:eastAsia="Times New Roman" w:cs="Arial"/>
          <w:sz w:val="32"/>
          <w:szCs w:val="24"/>
        </w:rPr>
      </w:pPr>
      <w:r w:rsidRPr="00960099">
        <w:rPr>
          <w:rFonts w:eastAsia="Times New Roman" w:cs="Arial"/>
          <w:color w:val="000000"/>
          <w:szCs w:val="18"/>
          <w:lang w:eastAsia="bg-BG"/>
        </w:rPr>
        <w:t xml:space="preserve">Кветиапин се метаболириза усилено в черния дроб. Поради това ЦентроКуин трябва да се прилага с повишено внимание при пациенти с известно чернодробно увреждане, особено по време на началния период на дозиране. При пациенти е известно чернодробно увреждане, лечението трябва да започне с 25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дневно. Дозата трябва да се повишава с 25 до 50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дневно до достигане на ефективната доза, в зависимост от клиничния отговор и поносимостта на отделния пациент.</w:t>
      </w:r>
    </w:p>
    <w:p w14:paraId="2860431A" w14:textId="400A2800" w:rsidR="00960099" w:rsidRPr="00960099" w:rsidRDefault="00960099" w:rsidP="00960099"/>
    <w:p w14:paraId="6A85390E" w14:textId="2EB31C9C" w:rsidR="00DF4C8E" w:rsidRDefault="002C50EE" w:rsidP="00F44498">
      <w:pPr>
        <w:pStyle w:val="Heading2"/>
      </w:pPr>
      <w:r>
        <w:t>4.3. Противопоказания</w:t>
      </w:r>
    </w:p>
    <w:p w14:paraId="285D59ED" w14:textId="60AD6117" w:rsidR="00960099" w:rsidRDefault="00960099" w:rsidP="00960099"/>
    <w:p w14:paraId="630A88D0" w14:textId="77777777" w:rsidR="00960099" w:rsidRPr="00960099" w:rsidRDefault="00960099" w:rsidP="00960099">
      <w:pPr>
        <w:rPr>
          <w:sz w:val="24"/>
          <w:szCs w:val="24"/>
        </w:rPr>
      </w:pPr>
      <w:r w:rsidRPr="00960099">
        <w:rPr>
          <w:lang w:eastAsia="bg-BG"/>
        </w:rPr>
        <w:t>Свръхчувствителност към активното вещество или към някое от помощните вещества изброени в точка 6.1.</w:t>
      </w:r>
    </w:p>
    <w:p w14:paraId="2079FED6" w14:textId="77777777" w:rsidR="00960099" w:rsidRDefault="00960099" w:rsidP="00960099">
      <w:pPr>
        <w:rPr>
          <w:lang w:eastAsia="bg-BG"/>
        </w:rPr>
      </w:pPr>
    </w:p>
    <w:p w14:paraId="262F83F5" w14:textId="07E6132B" w:rsidR="00960099" w:rsidRPr="00960099" w:rsidRDefault="00960099" w:rsidP="00960099">
      <w:pPr>
        <w:rPr>
          <w:sz w:val="24"/>
          <w:szCs w:val="24"/>
        </w:rPr>
      </w:pPr>
      <w:r w:rsidRPr="00960099">
        <w:rPr>
          <w:lang w:eastAsia="bg-BG"/>
        </w:rPr>
        <w:t>Едновременното приложение на цитохром Р4</w:t>
      </w:r>
      <w:r w:rsidRPr="00960099">
        <w:rPr>
          <w:i/>
          <w:iCs/>
          <w:lang w:eastAsia="bg-BG"/>
        </w:rPr>
        <w:t>50</w:t>
      </w:r>
      <w:r w:rsidRPr="00960099">
        <w:rPr>
          <w:lang w:eastAsia="bg-BG"/>
        </w:rPr>
        <w:t xml:space="preserve"> ЗА4 инхибитори, каквито са </w:t>
      </w:r>
      <w:r w:rsidRPr="00960099">
        <w:rPr>
          <w:lang w:val="en-US"/>
        </w:rPr>
        <w:t>HIV</w:t>
      </w:r>
      <w:r w:rsidRPr="00960099">
        <w:rPr>
          <w:lang w:eastAsia="bg-BG"/>
        </w:rPr>
        <w:t>-протеазните инхибитори, азоловите антимикотици, еритромицин, кларитромицин и нефазодон е противопоказано (вж. точка 4.5).</w:t>
      </w:r>
    </w:p>
    <w:p w14:paraId="11416CCD" w14:textId="15F7BA02" w:rsidR="00960099" w:rsidRPr="00960099" w:rsidRDefault="00960099" w:rsidP="00960099"/>
    <w:p w14:paraId="115C9528" w14:textId="033223A6" w:rsidR="00DF4C8E" w:rsidRDefault="002C50EE" w:rsidP="00F44498">
      <w:pPr>
        <w:pStyle w:val="Heading2"/>
      </w:pPr>
      <w:r>
        <w:t>4.4. Специални предупреждения и предпазни мерки при употреба</w:t>
      </w:r>
    </w:p>
    <w:p w14:paraId="358E4ADB" w14:textId="5BA7A7C8" w:rsidR="00960099" w:rsidRDefault="00960099" w:rsidP="00960099"/>
    <w:p w14:paraId="0CECA6A4"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Тъй като кветиапин има няколко индикации, профилът на безопасност трябва да се разгледа по отношение на диагнозата на пациента и прилаганата доза.</w:t>
      </w:r>
    </w:p>
    <w:p w14:paraId="156F41DA" w14:textId="77777777" w:rsidR="00960099" w:rsidRPr="00960099" w:rsidRDefault="00960099" w:rsidP="00960099">
      <w:pPr>
        <w:spacing w:line="240" w:lineRule="auto"/>
        <w:rPr>
          <w:rFonts w:eastAsia="Times New Roman" w:cs="Arial"/>
          <w:i/>
          <w:iCs/>
          <w:color w:val="000000"/>
          <w:lang w:eastAsia="bg-BG"/>
        </w:rPr>
      </w:pPr>
    </w:p>
    <w:p w14:paraId="6DC18BAF" w14:textId="4F33E89A"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Педиатрична популация:</w:t>
      </w:r>
    </w:p>
    <w:p w14:paraId="3518BBED"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Не се препоръчва употребата на кветиапин при деца и юноши на възраст под 18 години, поради липсата на данни в подкрепа на приложението му в тази възрастова група. Клиничните проучвания с кветиапин показват, че в допълнение към познатия профил на безопасност при възрастни (вж. точка 4.8), определени нежелани реакции възникват с по-висока честота при деца и юноши, в сравнение с възрастните (повишен апетит, повишаване на серумния пролактин, повръщане, ринит и синкоп) или може да имат различни последствия за децата и юношите (екстрапирамидни симптоми и раздразнителност), като е установена и нежелана реакция, която преди това не е наблюдавана в проучвания при възрастни (повишаване на кръвното налягане). При деца </w:t>
      </w:r>
      <w:r w:rsidRPr="00960099">
        <w:rPr>
          <w:rFonts w:eastAsia="Times New Roman" w:cs="Arial"/>
          <w:color w:val="000000"/>
          <w:lang w:eastAsia="bg-BG"/>
        </w:rPr>
        <w:lastRenderedPageBreak/>
        <w:t>и юноши също така са наблюдавани промени в тестовете за функцията на щитовидната жлеза.</w:t>
      </w:r>
    </w:p>
    <w:p w14:paraId="10EE369C"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В допълнение, дългосрочно проследяване на последиците за безопасността на лечението с кветиапин върху растежа и узряването не е проучвано за период, надвишаващ 26 седмици. Не е известно дългосрочното влияние върху когнитивното и поведенческото развитие.</w:t>
      </w:r>
    </w:p>
    <w:p w14:paraId="1DB1CB67"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плацебо-контролирани клинични проучвания с деца и юноши, кветиапин е свързан с повишена честота на развитие на екстрапирамидни симптоми (ЕПС), в сравнение с плацебо групата при пациенти, лекувани за шизофрения, биполярна мания и биполярна депресия (вж. точка 4.8 ).</w:t>
      </w:r>
    </w:p>
    <w:p w14:paraId="69BE93AB" w14:textId="77777777" w:rsidR="00960099" w:rsidRPr="00960099" w:rsidRDefault="00960099" w:rsidP="00960099">
      <w:pPr>
        <w:spacing w:line="240" w:lineRule="auto"/>
        <w:rPr>
          <w:rFonts w:eastAsia="Times New Roman" w:cs="Arial"/>
          <w:i/>
          <w:iCs/>
          <w:color w:val="000000"/>
          <w:lang w:eastAsia="bg-BG"/>
        </w:rPr>
      </w:pPr>
    </w:p>
    <w:p w14:paraId="48D4E1E5" w14:textId="486870DC"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Самоубийство/суицидни мисли или клинично влошаване</w:t>
      </w:r>
    </w:p>
    <w:p w14:paraId="29EADFDD"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Депресията при биполярно разстройство е свързана с повишен риск от суицидни мисли, самонараняване и самоубийство (събития, свързани със самоубийство). Този риск съществува до достигане на значима ремисия. Тъй като през първите няколко седмици или повече от лечението може да не настъпи подобрение, пациентите трябва да бъдат внимателно наблюдавани до поява на подобрение. Най общо клиничният опит показва, че рискът от самоубийство може да е повишен в началните етапи от възстановяването.</w:t>
      </w:r>
    </w:p>
    <w:p w14:paraId="1823077B" w14:textId="77777777" w:rsidR="00960099" w:rsidRPr="00960099" w:rsidRDefault="00960099" w:rsidP="00960099">
      <w:pPr>
        <w:spacing w:line="240" w:lineRule="auto"/>
        <w:rPr>
          <w:rFonts w:eastAsia="Times New Roman" w:cs="Arial"/>
          <w:color w:val="000000"/>
          <w:lang w:eastAsia="bg-BG"/>
        </w:rPr>
      </w:pPr>
    </w:p>
    <w:p w14:paraId="329AFAAD" w14:textId="4EFB4215" w:rsidR="00960099" w:rsidRPr="00960099" w:rsidRDefault="00960099" w:rsidP="00960099">
      <w:pPr>
        <w:spacing w:line="240" w:lineRule="auto"/>
        <w:rPr>
          <w:rFonts w:eastAsia="Times New Roman" w:cs="Arial"/>
        </w:rPr>
      </w:pPr>
      <w:r w:rsidRPr="00960099">
        <w:rPr>
          <w:rFonts w:eastAsia="Times New Roman" w:cs="Arial"/>
          <w:color w:val="000000"/>
          <w:lang w:eastAsia="bg-BG"/>
        </w:rPr>
        <w:t>В допълнение, лекарите трябва да обсъдят потенциалния риск от суицидно-свързани събития след внезапно прекратяване на лечението с кветиапин, поради известни рискови фактори при лечението на болестта.</w:t>
      </w:r>
    </w:p>
    <w:p w14:paraId="216F5DA6" w14:textId="77777777" w:rsidR="00960099" w:rsidRPr="00960099" w:rsidRDefault="00960099" w:rsidP="00960099">
      <w:pPr>
        <w:spacing w:line="240" w:lineRule="auto"/>
        <w:rPr>
          <w:rFonts w:eastAsia="Times New Roman" w:cs="Arial"/>
          <w:color w:val="000000"/>
          <w:lang w:eastAsia="bg-BG"/>
        </w:rPr>
      </w:pPr>
    </w:p>
    <w:p w14:paraId="7E8F8D12" w14:textId="12E2CA16" w:rsidR="00960099" w:rsidRPr="00960099" w:rsidRDefault="00960099" w:rsidP="00960099">
      <w:pPr>
        <w:spacing w:line="240" w:lineRule="auto"/>
        <w:rPr>
          <w:rFonts w:eastAsia="Times New Roman" w:cs="Arial"/>
        </w:rPr>
      </w:pPr>
      <w:r w:rsidRPr="00960099">
        <w:rPr>
          <w:rFonts w:eastAsia="Times New Roman" w:cs="Arial"/>
          <w:color w:val="000000"/>
          <w:lang w:eastAsia="bg-BG"/>
        </w:rPr>
        <w:t>Други психиатрични състояния, за които се предписва кветиапин също могат да бъдат свързани с повишен риск от суицидно-свързани събития. В допълнение, тези условия могат да бъдат съчетани с големи депресивни епизоди. Когато се лекуват пациенти с тежки депресивни епизоди, трябва да се имат предвид същите предпазни мерки, и да се внимава при лечението на пациенти с други психиатрични разстройства.</w:t>
      </w:r>
    </w:p>
    <w:p w14:paraId="5C40E177" w14:textId="77777777" w:rsidR="00960099" w:rsidRPr="00960099" w:rsidRDefault="00960099" w:rsidP="00960099">
      <w:pPr>
        <w:rPr>
          <w:rFonts w:eastAsia="Times New Roman" w:cs="Arial"/>
        </w:rPr>
      </w:pPr>
      <w:r w:rsidRPr="00960099">
        <w:rPr>
          <w:rFonts w:eastAsia="Times New Roman" w:cs="Arial"/>
          <w:color w:val="000000"/>
          <w:lang w:eastAsia="bg-BG"/>
        </w:rPr>
        <w:t>При пациенти с анамнеза за суицидно-свързани събития или такива, които са с изразена степен на суицидни мисли преди започване на лечението, са изложени с по-голям риск от мисли за самоубийство или опити за самоубийство и трябва да бъдат обект на внимателно наблюдение по време на лечението. Един мета-анализ на плацебо-контролирани клинични проучвания с антидепресанти при възрастни пациенти с психични нарушения е показал повишен риск от суицидно поведение с антидепресанти, в сравнение с плацебо при пациенти под 25-годишна възраст.</w:t>
      </w:r>
    </w:p>
    <w:p w14:paraId="6E4A0E4F" w14:textId="77777777" w:rsidR="00960099" w:rsidRPr="00960099" w:rsidRDefault="00960099" w:rsidP="00960099">
      <w:pPr>
        <w:spacing w:line="240" w:lineRule="auto"/>
        <w:rPr>
          <w:rFonts w:eastAsia="Times New Roman" w:cs="Arial"/>
          <w:color w:val="000000"/>
          <w:lang w:eastAsia="bg-BG"/>
        </w:rPr>
      </w:pPr>
    </w:p>
    <w:p w14:paraId="40167D74" w14:textId="0340F6D5" w:rsidR="00960099" w:rsidRPr="00960099" w:rsidRDefault="00960099" w:rsidP="00960099">
      <w:pPr>
        <w:spacing w:line="240" w:lineRule="auto"/>
        <w:rPr>
          <w:rFonts w:eastAsia="Times New Roman" w:cs="Arial"/>
        </w:rPr>
      </w:pPr>
      <w:r w:rsidRPr="00960099">
        <w:rPr>
          <w:rFonts w:eastAsia="Times New Roman" w:cs="Arial"/>
          <w:color w:val="000000"/>
          <w:lang w:eastAsia="bg-BG"/>
        </w:rPr>
        <w:t>Лекарствената терапия трябва да се провежда с внимателно проследяване на пациентите и по- специално тези с висок риск, особено в ранните етапи от лечението и след промяна на дозата. Пациентите (и хората, които се грижат за пациентите) трябва да бъдат предупредени за необходимостта от наблюдение за евентуално клинично влошаване, суицидно поведение или мисли и необичайни промени в поведението, и при поява на такива симптоми незабавно да потърсят медицинска помощ.</w:t>
      </w:r>
    </w:p>
    <w:p w14:paraId="5A153B59" w14:textId="77777777" w:rsidR="00960099" w:rsidRPr="00960099" w:rsidRDefault="00960099" w:rsidP="00960099">
      <w:pPr>
        <w:spacing w:line="240" w:lineRule="auto"/>
        <w:rPr>
          <w:rFonts w:eastAsia="Times New Roman" w:cs="Arial"/>
          <w:color w:val="000000"/>
          <w:lang w:eastAsia="bg-BG"/>
        </w:rPr>
      </w:pPr>
    </w:p>
    <w:p w14:paraId="39D7A235" w14:textId="2A13F11A"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При краткотрайни плацебо-контролирани клинични проучвания на пациенти с големи депресивни епизоди при биполярно разстройство, е бил наблюдаван повишен риск от суицидно-свързани събития при млади пациенти под 25 годишна възраст, които са били лекувани с кветиапин, в сравнение с пациентите лекувани с плацебо (3,0% спрямо 0%). Популационно ретроспективно проучване на кветиапин за лечение на пациенти с голямо депресивно разстройство показва повишен риск от самонараняване и самоубийство при </w:t>
      </w:r>
      <w:r w:rsidRPr="00960099">
        <w:rPr>
          <w:rFonts w:eastAsia="Times New Roman" w:cs="Arial"/>
          <w:color w:val="000000"/>
          <w:lang w:eastAsia="bg-BG"/>
        </w:rPr>
        <w:lastRenderedPageBreak/>
        <w:t>пациенти на възраст от 25 до 64 години, без предишни опити на самонараняване при употреба на кветиапин с други антидепресанти.</w:t>
      </w:r>
    </w:p>
    <w:p w14:paraId="472CDBE6" w14:textId="77777777" w:rsidR="00960099" w:rsidRPr="00960099" w:rsidRDefault="00960099" w:rsidP="00960099">
      <w:pPr>
        <w:spacing w:line="240" w:lineRule="auto"/>
        <w:rPr>
          <w:rFonts w:eastAsia="Times New Roman" w:cs="Arial"/>
          <w:i/>
          <w:iCs/>
          <w:color w:val="000000"/>
          <w:lang w:eastAsia="bg-BG"/>
        </w:rPr>
      </w:pPr>
    </w:p>
    <w:p w14:paraId="2076A7A5" w14:textId="7B92BB6A"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Метаболитен риск</w:t>
      </w:r>
    </w:p>
    <w:p w14:paraId="030A16F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Наблюдаваният риск за влошаване на метаболитния профил, включващ промени в теглото, кръвната глюкоза (вж. хипергликемия) и липидите, което се вижда от клиничните проучвания, метаболитните показатели на пациентите трябва да бъдат оценени при започването на лечението и промените в тези показатели трябва да се контролират редовно по време на лечението. Влошаването на тези показатели трябва да се лекува според клиничната необходимост (вж. също раздел 4.8).</w:t>
      </w:r>
    </w:p>
    <w:p w14:paraId="690DB3C5" w14:textId="77777777" w:rsidR="00960099" w:rsidRPr="00960099" w:rsidRDefault="00960099" w:rsidP="00960099">
      <w:pPr>
        <w:spacing w:line="240" w:lineRule="auto"/>
        <w:rPr>
          <w:rFonts w:eastAsia="Times New Roman" w:cs="Arial"/>
          <w:i/>
          <w:iCs/>
          <w:color w:val="000000"/>
          <w:lang w:eastAsia="bg-BG"/>
        </w:rPr>
      </w:pPr>
    </w:p>
    <w:p w14:paraId="3520F500" w14:textId="1EFCF34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Сомнолентност и замаяност</w:t>
      </w:r>
    </w:p>
    <w:p w14:paraId="4C63DBF7"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Лечението с кветиапин се свързва със сомнолентност и съответните симптоми като седация (вж. точка 4.8). При клинични проучвания за лечение на пациенти с биполярна депресия, началото на тези симптоми обикновено е в рамките на 3 дни след започване на лечението, и е с лека до умерена интензивност. Пациентите изпитват сомнолентност с тежък интезитет и може да се нуждаят от по</w:t>
      </w:r>
      <w:r w:rsidRPr="00960099">
        <w:rPr>
          <w:rFonts w:eastAsia="Times New Roman" w:cs="Arial"/>
          <w:color w:val="000000"/>
          <w:lang w:eastAsia="bg-BG"/>
        </w:rPr>
        <w:softHyphen/>
        <w:t>чести контакти за минимум две седмици след появата й или до подобрение на симптомите, като може да се наложи прекратяване на лечението, което трябва да се вземе под внимание.</w:t>
      </w:r>
    </w:p>
    <w:p w14:paraId="6ECA78AB" w14:textId="77777777" w:rsidR="00960099" w:rsidRPr="00960099" w:rsidRDefault="00960099" w:rsidP="00960099">
      <w:pPr>
        <w:spacing w:line="240" w:lineRule="auto"/>
        <w:rPr>
          <w:rFonts w:eastAsia="Times New Roman" w:cs="Arial"/>
          <w:i/>
          <w:iCs/>
          <w:color w:val="000000"/>
          <w:lang w:eastAsia="bg-BG"/>
        </w:rPr>
      </w:pPr>
    </w:p>
    <w:p w14:paraId="2DFA70D8" w14:textId="4DB6899F"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Ортостати чна хипотония</w:t>
      </w:r>
    </w:p>
    <w:p w14:paraId="7BC7C756"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Лечението с кветиапин е свързано с ортостатична хипотония и замайване (вж. точка 4.8), които като сънливостта, започват обикновено по време на началния период на титриране на дозата. Това може да увеличи честотата на случайни наранявания (падане), особено при пациентите в старческа възраст. Поради тази причина, пациентите трябва да бъдат съветвани да внимават, докато се запознаят с потенциалните ефекти на лекарството.</w:t>
      </w:r>
    </w:p>
    <w:p w14:paraId="3091BB02" w14:textId="77777777" w:rsidR="00960099" w:rsidRPr="00960099" w:rsidRDefault="00960099" w:rsidP="00960099">
      <w:pPr>
        <w:spacing w:line="240" w:lineRule="auto"/>
        <w:rPr>
          <w:rFonts w:eastAsia="Times New Roman" w:cs="Arial"/>
          <w:color w:val="000000"/>
          <w:lang w:eastAsia="bg-BG"/>
        </w:rPr>
      </w:pPr>
    </w:p>
    <w:p w14:paraId="3A372946" w14:textId="68842524" w:rsidR="00960099" w:rsidRPr="00960099" w:rsidRDefault="00960099" w:rsidP="00960099">
      <w:pPr>
        <w:spacing w:line="240" w:lineRule="auto"/>
        <w:rPr>
          <w:rFonts w:eastAsia="Times New Roman" w:cs="Arial"/>
        </w:rPr>
      </w:pPr>
      <w:r w:rsidRPr="00960099">
        <w:rPr>
          <w:rFonts w:eastAsia="Times New Roman" w:cs="Arial"/>
          <w:color w:val="000000"/>
          <w:lang w:eastAsia="bg-BG"/>
        </w:rPr>
        <w:t>Кветиапин трябва да се използва с повишено внимание при пациенти с известно сърдечно-съдово заболяване, мозъчно-съдово заболяване или други състояния, предразполагащи към хипотония. При възникване на ортостатична хипотония трябва да се има предвид промяна на дозата или по- постепенно титриране, особено при пациенти със съпътстващо сърдечно-съдово заболяване.</w:t>
      </w:r>
    </w:p>
    <w:p w14:paraId="2C97F822" w14:textId="77777777" w:rsidR="00960099" w:rsidRPr="00960099" w:rsidRDefault="00960099" w:rsidP="00960099">
      <w:pPr>
        <w:spacing w:line="240" w:lineRule="auto"/>
        <w:rPr>
          <w:rFonts w:eastAsia="Times New Roman" w:cs="Arial"/>
          <w:i/>
          <w:iCs/>
          <w:color w:val="000000"/>
          <w:lang w:eastAsia="bg-BG"/>
        </w:rPr>
      </w:pPr>
    </w:p>
    <w:p w14:paraId="71374628" w14:textId="731FF8C8"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Синдром на сънна апнея</w:t>
      </w:r>
    </w:p>
    <w:p w14:paraId="708B63AA"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Съобщава се за синдром на сънна апнея при пациенти, приемащи кветиапин. При пациенти, получаващи едновеменно депресанти на централната нервна система и които имат анамнеза за или са изложени на риск от сънна апнея, като тези, които са с наднормено тегло/затлъстяване или са мъже, кветиапин трябва да се прилага с повишено внимание.</w:t>
      </w:r>
    </w:p>
    <w:p w14:paraId="34E8FD2A" w14:textId="77777777" w:rsidR="00960099" w:rsidRPr="00960099" w:rsidRDefault="00960099" w:rsidP="00960099">
      <w:pPr>
        <w:spacing w:line="240" w:lineRule="auto"/>
        <w:rPr>
          <w:rFonts w:eastAsia="Times New Roman" w:cs="Arial"/>
          <w:i/>
          <w:iCs/>
          <w:color w:val="000000"/>
          <w:lang w:eastAsia="bg-BG"/>
        </w:rPr>
      </w:pPr>
    </w:p>
    <w:p w14:paraId="2E7B69C5" w14:textId="0544A13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Гърчове</w:t>
      </w:r>
    </w:p>
    <w:p w14:paraId="4F956B87"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контролираните клинични изпитвания не е имало разлика в честотата на поява на пристъпите при пациентите лекувани с кветиапин или плацебо. Няма налични данни за честотата на пристъпите</w:t>
      </w:r>
    </w:p>
    <w:p w14:paraId="6423DDA7" w14:textId="324B0664"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пациенти с анамнеза за гърчове. Както и при другите антипсихотици се препоръчва повишено внимание при лечение на пациенти с анамнеза за гърчове (вж. точка 4.8).</w:t>
      </w:r>
    </w:p>
    <w:p w14:paraId="49DC8151" w14:textId="5D170458" w:rsidR="00960099" w:rsidRPr="00960099" w:rsidRDefault="00960099" w:rsidP="00960099">
      <w:pPr>
        <w:rPr>
          <w:rFonts w:cs="Arial"/>
        </w:rPr>
      </w:pPr>
    </w:p>
    <w:p w14:paraId="09CE5801" w14:textId="7777777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Екстрапирамидни симптоми (ЕПС)</w:t>
      </w:r>
    </w:p>
    <w:p w14:paraId="4C12CEB1"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В плацебо-контролирани клинични проучвания при възрастни пациенти, кветиапин е свързан с повишена честота на екстрапирамидните симптоми (ЕПС) в сравнение с </w:t>
      </w:r>
      <w:r w:rsidRPr="00960099">
        <w:rPr>
          <w:rFonts w:eastAsia="Times New Roman" w:cs="Arial"/>
          <w:color w:val="000000"/>
          <w:lang w:eastAsia="bg-BG"/>
        </w:rPr>
        <w:lastRenderedPageBreak/>
        <w:t>плацебо при пациенти с големи депресивни епизоди при биполярно разстройство (вж. точки 4.8 и 5.1).</w:t>
      </w:r>
    </w:p>
    <w:p w14:paraId="21097FE5" w14:textId="77777777" w:rsidR="00960099" w:rsidRPr="00960099" w:rsidRDefault="00960099" w:rsidP="00960099">
      <w:pPr>
        <w:spacing w:line="240" w:lineRule="auto"/>
        <w:rPr>
          <w:rFonts w:eastAsia="Times New Roman" w:cs="Arial"/>
          <w:color w:val="000000"/>
          <w:lang w:eastAsia="bg-BG"/>
        </w:rPr>
      </w:pPr>
    </w:p>
    <w:p w14:paraId="08903C36" w14:textId="7CD8B7A0" w:rsidR="00960099" w:rsidRPr="00960099" w:rsidRDefault="00960099" w:rsidP="00960099">
      <w:pPr>
        <w:spacing w:line="240" w:lineRule="auto"/>
        <w:rPr>
          <w:rFonts w:eastAsia="Times New Roman" w:cs="Arial"/>
        </w:rPr>
      </w:pPr>
      <w:r w:rsidRPr="00960099">
        <w:rPr>
          <w:rFonts w:eastAsia="Times New Roman" w:cs="Arial"/>
          <w:color w:val="000000"/>
          <w:lang w:eastAsia="bg-BG"/>
        </w:rPr>
        <w:t>Употребата на кветиапин е свързана с развитието на акатизия, характеризираща се със субективно неприятно или изтощаващо безпокойство и необходимост от движение, често съпътствани от неспособност да се седи или стои на едно място. Това е най-вероятно да се наблюдава през първите няколко седмици от лечението. При пациенти, които развият такива симптоми, повишаването на дозата може да да бъде вредно.</w:t>
      </w:r>
    </w:p>
    <w:p w14:paraId="2C550269" w14:textId="77777777" w:rsidR="00960099" w:rsidRPr="00960099" w:rsidRDefault="00960099" w:rsidP="00960099">
      <w:pPr>
        <w:spacing w:line="240" w:lineRule="auto"/>
        <w:rPr>
          <w:rFonts w:eastAsia="Times New Roman" w:cs="Arial"/>
          <w:i/>
          <w:iCs/>
          <w:color w:val="000000"/>
          <w:lang w:eastAsia="bg-BG"/>
        </w:rPr>
      </w:pPr>
    </w:p>
    <w:p w14:paraId="2062AA47" w14:textId="047C36F5"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Късна дискинезия</w:t>
      </w:r>
    </w:p>
    <w:p w14:paraId="042B244A"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появята на признаци или симптоми на късна дискинезия, трябва да се обмисли намаляване на дозата или преустановяване на кветиапин. Симптомите на късна дискинезия могат да се влошат или дори да се появят след прекратяване на лечението ( вж. точка 4.8).</w:t>
      </w:r>
    </w:p>
    <w:p w14:paraId="4258834E" w14:textId="77777777" w:rsidR="00960099" w:rsidRPr="00960099" w:rsidRDefault="00960099" w:rsidP="00960099">
      <w:pPr>
        <w:spacing w:line="240" w:lineRule="auto"/>
        <w:rPr>
          <w:rFonts w:eastAsia="Times New Roman" w:cs="Arial"/>
          <w:i/>
          <w:iCs/>
          <w:color w:val="000000"/>
          <w:lang w:eastAsia="bg-BG"/>
        </w:rPr>
      </w:pPr>
    </w:p>
    <w:p w14:paraId="061BCABB" w14:textId="544A52D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Невролептичен малигнен синдром</w:t>
      </w:r>
    </w:p>
    <w:p w14:paraId="733D22F9"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Невролептичният малигнен синдром се свързва с лечението с антипсихотични лекарства, включително и с кветиапин (вж. точка 4.8). Клиничните прояви включват хипертермия, променен психичен статус, мускулна ригидност, вегетативна нестабилност и повишена креатин фосфокиназа. В такъв случай кветиапин трябва да се преустанови и да се започне подходящо лечение.</w:t>
      </w:r>
    </w:p>
    <w:p w14:paraId="4425933A" w14:textId="77777777" w:rsidR="00960099" w:rsidRPr="00960099" w:rsidRDefault="00960099" w:rsidP="00960099">
      <w:pPr>
        <w:spacing w:line="240" w:lineRule="auto"/>
        <w:rPr>
          <w:rFonts w:eastAsia="Times New Roman" w:cs="Arial"/>
          <w:i/>
          <w:iCs/>
          <w:color w:val="000000"/>
          <w:lang w:eastAsia="bg-BG"/>
        </w:rPr>
      </w:pPr>
    </w:p>
    <w:p w14:paraId="0B73AFC2" w14:textId="58B21D9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Тежка неутропения и агранулоцитоза</w:t>
      </w:r>
    </w:p>
    <w:p w14:paraId="702A5E58"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При проведени клинични проучвания с кветиапин е имало съобщения за тежка неутропения (неутрофилен брой &lt;0,5 X </w:t>
      </w:r>
      <w:r w:rsidRPr="00960099">
        <w:rPr>
          <w:rFonts w:eastAsia="Times New Roman" w:cs="Arial"/>
          <w:color w:val="000000"/>
          <w:lang w:val="ru-RU"/>
        </w:rPr>
        <w:t>10</w:t>
      </w:r>
      <w:r w:rsidRPr="00960099">
        <w:rPr>
          <w:rFonts w:eastAsia="Times New Roman" w:cs="Arial"/>
          <w:color w:val="000000"/>
          <w:vertAlign w:val="superscript"/>
          <w:lang w:val="ru-RU"/>
        </w:rPr>
        <w:t>9</w:t>
      </w:r>
      <w:r w:rsidRPr="00960099">
        <w:rPr>
          <w:rFonts w:eastAsia="Times New Roman" w:cs="Arial"/>
          <w:color w:val="000000"/>
          <w:lang w:val="ru-RU"/>
        </w:rPr>
        <w:t>/</w:t>
      </w:r>
      <w:r w:rsidRPr="00960099">
        <w:rPr>
          <w:rFonts w:eastAsia="Times New Roman" w:cs="Arial"/>
          <w:color w:val="000000"/>
          <w:lang w:val="en-US"/>
        </w:rPr>
        <w:t>L</w:t>
      </w:r>
      <w:r w:rsidRPr="00960099">
        <w:rPr>
          <w:rFonts w:eastAsia="Times New Roman" w:cs="Arial"/>
          <w:color w:val="000000"/>
          <w:lang w:val="ru-RU"/>
        </w:rPr>
        <w:t xml:space="preserve">). </w:t>
      </w:r>
      <w:r w:rsidRPr="00960099">
        <w:rPr>
          <w:rFonts w:eastAsia="Times New Roman" w:cs="Arial"/>
          <w:color w:val="000000"/>
          <w:lang w:eastAsia="bg-BG"/>
        </w:rPr>
        <w:t>Повечето случаи на тежка неутропения са възникнали в първите няколко месеца след започване на лечението с кветиапин. Не е установена явна дозозависима връзка. При постмаркетинговия опит някои случаи са били фатални.</w:t>
      </w:r>
    </w:p>
    <w:p w14:paraId="24725101"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Възможните рискови фактори за възникване на неутропения включват предшестващ нисък брой на белите кръвни клетки </w:t>
      </w:r>
      <w:r w:rsidRPr="00960099">
        <w:rPr>
          <w:rFonts w:eastAsia="Times New Roman" w:cs="Arial"/>
          <w:color w:val="000000"/>
          <w:lang w:val="ru-RU"/>
        </w:rPr>
        <w:t>(</w:t>
      </w:r>
      <w:r w:rsidRPr="00960099">
        <w:rPr>
          <w:rFonts w:eastAsia="Times New Roman" w:cs="Arial"/>
          <w:color w:val="000000"/>
          <w:lang w:val="en-US"/>
        </w:rPr>
        <w:t>WBC</w:t>
      </w:r>
      <w:r w:rsidRPr="00960099">
        <w:rPr>
          <w:rFonts w:eastAsia="Times New Roman" w:cs="Arial"/>
          <w:color w:val="000000"/>
          <w:lang w:val="ru-RU"/>
        </w:rPr>
        <w:t xml:space="preserve">) </w:t>
      </w:r>
      <w:r w:rsidRPr="00960099">
        <w:rPr>
          <w:rFonts w:eastAsia="Times New Roman" w:cs="Arial"/>
          <w:color w:val="000000"/>
          <w:lang w:eastAsia="bg-BG"/>
        </w:rPr>
        <w:t xml:space="preserve">и анамнеза за лекарствено индуцирана неутропения. Въпреки това, някои случаи са възникнали при пациенти без предшестващи рискови фактори Лечението с кветиапин трябва да се преустанови при пациенти с брой на неутрофилите &lt;1,0 X </w:t>
      </w:r>
      <w:r w:rsidRPr="00960099">
        <w:rPr>
          <w:rFonts w:eastAsia="Times New Roman" w:cs="Arial"/>
          <w:color w:val="000000"/>
          <w:lang w:val="ru-RU"/>
        </w:rPr>
        <w:t>10</w:t>
      </w:r>
      <w:r w:rsidRPr="00960099">
        <w:rPr>
          <w:rFonts w:eastAsia="Times New Roman" w:cs="Arial"/>
          <w:color w:val="000000"/>
          <w:vertAlign w:val="superscript"/>
          <w:lang w:val="ru-RU"/>
        </w:rPr>
        <w:t>9</w:t>
      </w:r>
      <w:r w:rsidRPr="00960099">
        <w:rPr>
          <w:rFonts w:eastAsia="Times New Roman" w:cs="Arial"/>
          <w:color w:val="000000"/>
          <w:lang w:val="ru-RU"/>
        </w:rPr>
        <w:t>/</w:t>
      </w:r>
      <w:r w:rsidRPr="00960099">
        <w:rPr>
          <w:rFonts w:eastAsia="Times New Roman" w:cs="Arial"/>
          <w:color w:val="000000"/>
          <w:lang w:val="en-US"/>
        </w:rPr>
        <w:t>L</w:t>
      </w:r>
      <w:r w:rsidRPr="00960099">
        <w:rPr>
          <w:rFonts w:eastAsia="Times New Roman" w:cs="Arial"/>
          <w:color w:val="000000"/>
          <w:lang w:val="ru-RU"/>
        </w:rPr>
        <w:t xml:space="preserve">. </w:t>
      </w:r>
      <w:r w:rsidRPr="00960099">
        <w:rPr>
          <w:rFonts w:eastAsia="Times New Roman" w:cs="Arial"/>
          <w:color w:val="000000"/>
          <w:lang w:eastAsia="bg-BG"/>
        </w:rPr>
        <w:t xml:space="preserve">Пациентите трябва да се наблюдават за признаци и симптоми на инфекция и да се проследява броя на неутрофилните клетки (до нарастване над 1,5 X </w:t>
      </w:r>
      <w:r w:rsidRPr="00960099">
        <w:rPr>
          <w:rFonts w:eastAsia="Times New Roman" w:cs="Arial"/>
          <w:color w:val="000000"/>
          <w:lang w:val="ru-RU"/>
        </w:rPr>
        <w:t>10</w:t>
      </w:r>
      <w:r w:rsidRPr="00960099">
        <w:rPr>
          <w:rFonts w:eastAsia="Times New Roman" w:cs="Arial"/>
          <w:color w:val="000000"/>
          <w:vertAlign w:val="superscript"/>
          <w:lang w:val="ru-RU"/>
        </w:rPr>
        <w:t>9</w:t>
      </w:r>
      <w:r w:rsidRPr="00960099">
        <w:rPr>
          <w:rFonts w:eastAsia="Times New Roman" w:cs="Arial"/>
          <w:color w:val="000000"/>
          <w:lang w:val="ru-RU"/>
        </w:rPr>
        <w:t>/</w:t>
      </w:r>
      <w:r w:rsidRPr="00960099">
        <w:rPr>
          <w:rFonts w:eastAsia="Times New Roman" w:cs="Arial"/>
          <w:color w:val="000000"/>
          <w:lang w:val="en-US"/>
        </w:rPr>
        <w:t>L</w:t>
      </w:r>
      <w:r w:rsidRPr="00960099">
        <w:rPr>
          <w:rFonts w:eastAsia="Times New Roman" w:cs="Arial"/>
          <w:color w:val="000000"/>
          <w:lang w:val="ru-RU"/>
        </w:rPr>
        <w:t xml:space="preserve">) </w:t>
      </w:r>
      <w:r w:rsidRPr="00960099">
        <w:rPr>
          <w:rFonts w:eastAsia="Times New Roman" w:cs="Arial"/>
          <w:color w:val="000000"/>
          <w:lang w:eastAsia="bg-BG"/>
        </w:rPr>
        <w:t>(вж. точка 5.1).</w:t>
      </w:r>
    </w:p>
    <w:p w14:paraId="509A50BB"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Неутропенията трябва да се има предвид при пациенти с инфекция или повишена температура, особено при липса на очевиден предразполагащ фактор/и и трябва да се лекува според клиничната необходимост.</w:t>
      </w:r>
    </w:p>
    <w:p w14:paraId="4B17E6B5"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Пациентите трябва да бъдат съветвани незабвно да съобщават при поява на признаци или симптоми, в съответствие на агранулоцитоза или инфекция (напр. повишена температура, слабост, летаргия или възпалено гърло) по всяко време на лечението с ЦентроКуин. При такива пациенти трябва бързо да се изследва броят на </w:t>
      </w:r>
      <w:r w:rsidRPr="00960099">
        <w:rPr>
          <w:rFonts w:eastAsia="Times New Roman" w:cs="Arial"/>
          <w:color w:val="000000"/>
          <w:lang w:val="en-US"/>
        </w:rPr>
        <w:t>WBC</w:t>
      </w:r>
      <w:r w:rsidRPr="00960099">
        <w:rPr>
          <w:rFonts w:eastAsia="Times New Roman" w:cs="Arial"/>
          <w:color w:val="000000"/>
          <w:lang w:val="ru-RU"/>
        </w:rPr>
        <w:t xml:space="preserve"> </w:t>
      </w:r>
      <w:r w:rsidRPr="00960099">
        <w:rPr>
          <w:rFonts w:eastAsia="Times New Roman" w:cs="Arial"/>
          <w:color w:val="000000"/>
          <w:lang w:eastAsia="bg-BG"/>
        </w:rPr>
        <w:t xml:space="preserve">и абсолютният брой на неутрофилите </w:t>
      </w:r>
      <w:r w:rsidRPr="00960099">
        <w:rPr>
          <w:rFonts w:eastAsia="Times New Roman" w:cs="Arial"/>
          <w:color w:val="000000"/>
          <w:lang w:val="ru-RU"/>
        </w:rPr>
        <w:t>(</w:t>
      </w:r>
      <w:r w:rsidRPr="00960099">
        <w:rPr>
          <w:rFonts w:eastAsia="Times New Roman" w:cs="Arial"/>
          <w:color w:val="000000"/>
          <w:lang w:val="en-US"/>
        </w:rPr>
        <w:t>ANC</w:t>
      </w:r>
      <w:r w:rsidRPr="00960099">
        <w:rPr>
          <w:rFonts w:eastAsia="Times New Roman" w:cs="Arial"/>
          <w:color w:val="000000"/>
          <w:lang w:val="ru-RU"/>
        </w:rPr>
        <w:t xml:space="preserve">), </w:t>
      </w:r>
      <w:r w:rsidRPr="00960099">
        <w:rPr>
          <w:rFonts w:eastAsia="Times New Roman" w:cs="Arial"/>
          <w:color w:val="000000"/>
          <w:lang w:eastAsia="bg-BG"/>
        </w:rPr>
        <w:t>особено при липса на предразполагащи фактори.</w:t>
      </w:r>
    </w:p>
    <w:p w14:paraId="115AFFC0" w14:textId="77777777" w:rsidR="00960099" w:rsidRPr="00960099" w:rsidRDefault="00960099" w:rsidP="00960099">
      <w:pPr>
        <w:spacing w:line="240" w:lineRule="auto"/>
        <w:rPr>
          <w:rFonts w:eastAsia="Times New Roman" w:cs="Arial"/>
          <w:i/>
          <w:iCs/>
          <w:color w:val="000000"/>
          <w:lang w:eastAsia="bg-BG"/>
        </w:rPr>
      </w:pPr>
    </w:p>
    <w:p w14:paraId="6EFA803F" w14:textId="708DF77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Анти-холинергични (мускаринови) ефекти</w:t>
      </w:r>
    </w:p>
    <w:p w14:paraId="1B16F091"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Норкветиапин, активен метаболит на кветиапин, има умерен до силен афинитет към някои подтипа мускаринови рецептори. Това допринася за нежеланите лекарствени реакции, които отразяват анти- холинергични ефекти, когато кветиапин се използва в препоръчаните дози, едновременно с други лекарства, имащи анти-холинергичен ефект и при настъпване на предозиране. Кветиапин трябва да се използва с повишено внимание </w:t>
      </w:r>
      <w:r w:rsidRPr="00960099">
        <w:rPr>
          <w:rFonts w:eastAsia="Times New Roman" w:cs="Arial"/>
          <w:color w:val="000000"/>
          <w:lang w:eastAsia="bg-BG"/>
        </w:rPr>
        <w:lastRenderedPageBreak/>
        <w:t>при пациенти, приемащи лекарства с анти-холинергичен (мускаринов) ефект. Кветиапин трябва да се използва с повишено внимание при пациенти с текуща диагноза или предходна анамнеза за задържане на урина, клинично значима хипертрофия на простата, чревна обструкция или свързани състояния, повишено вътреочно налягане или тясно- ъгълна глаукома (вж. точки 4.5,4.8,5.1 и 4.9).</w:t>
      </w:r>
    </w:p>
    <w:p w14:paraId="48D65736" w14:textId="77777777" w:rsidR="00960099" w:rsidRPr="00960099" w:rsidRDefault="00960099" w:rsidP="00960099">
      <w:pPr>
        <w:spacing w:line="240" w:lineRule="auto"/>
        <w:rPr>
          <w:rFonts w:eastAsia="Times New Roman" w:cs="Arial"/>
          <w:i/>
          <w:iCs/>
          <w:color w:val="000000"/>
          <w:lang w:eastAsia="bg-BG"/>
        </w:rPr>
      </w:pPr>
    </w:p>
    <w:p w14:paraId="5A17B1EE" w14:textId="515F1C8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Взаимодействия</w:t>
      </w:r>
    </w:p>
    <w:p w14:paraId="5A11EDB2" w14:textId="14A9CE61" w:rsidR="00960099" w:rsidRPr="00960099" w:rsidRDefault="00960099" w:rsidP="00960099">
      <w:pPr>
        <w:spacing w:line="240" w:lineRule="auto"/>
        <w:rPr>
          <w:rFonts w:eastAsia="Times New Roman" w:cs="Arial"/>
        </w:rPr>
      </w:pPr>
      <w:r w:rsidRPr="00960099">
        <w:rPr>
          <w:rFonts w:eastAsia="Times New Roman" w:cs="Arial"/>
          <w:color w:val="000000"/>
          <w:lang w:eastAsia="bg-BG"/>
        </w:rPr>
        <w:t>Вижте също раздел 4.5.</w:t>
      </w:r>
    </w:p>
    <w:p w14:paraId="570E958F" w14:textId="61DC893C" w:rsidR="00960099" w:rsidRPr="00960099" w:rsidRDefault="00960099" w:rsidP="00960099">
      <w:pPr>
        <w:rPr>
          <w:rFonts w:cs="Arial"/>
        </w:rPr>
      </w:pPr>
    </w:p>
    <w:p w14:paraId="6CCBA43C"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Едновременното приложение на кветиапин с мощни индуктори на чернодробните ензими като карбамазепин или фенитоин може значително да понижи плазмената концентрация на кветиапин, което може да повлияе ефективността на терапията с кветиапин. При пациенти, получаващи индуктор на чернодробните ензими, започването на терапия с кветиапин трябва да стане само ако лекуващият лекар прецени, че ползата от кветиапин превишава риска от преустановяване на терапията с индуктора на чернодробните ензими. Важно е всяка промяна в дозата на индуктора на чернодробните ензими да бъде постепенна и ако е необходимо да се замени с не-индуктор (напр. натриев валпроат).</w:t>
      </w:r>
    </w:p>
    <w:p w14:paraId="575BAD1F" w14:textId="77777777" w:rsidR="00960099" w:rsidRPr="00960099" w:rsidRDefault="00960099" w:rsidP="00960099">
      <w:pPr>
        <w:spacing w:line="240" w:lineRule="auto"/>
        <w:rPr>
          <w:rFonts w:eastAsia="Times New Roman" w:cs="Arial"/>
          <w:i/>
          <w:iCs/>
          <w:color w:val="000000"/>
          <w:lang w:eastAsia="bg-BG"/>
        </w:rPr>
      </w:pPr>
    </w:p>
    <w:p w14:paraId="5B6892BF" w14:textId="67558852"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Телесно тегло</w:t>
      </w:r>
    </w:p>
    <w:p w14:paraId="55D29A74"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лекувани с кветиапин пациенти има съобщения за наддаване на телесното тегло. То трябва да се проследява и контролира съгласно клиничната полза и в съответствие с ръководствата за антипсихотично лечение (вж. точки 4.8 и 5.1).</w:t>
      </w:r>
    </w:p>
    <w:p w14:paraId="61DCF069" w14:textId="77777777" w:rsidR="00960099" w:rsidRPr="00960099" w:rsidRDefault="00960099" w:rsidP="00960099">
      <w:pPr>
        <w:spacing w:line="240" w:lineRule="auto"/>
        <w:rPr>
          <w:rFonts w:eastAsia="Times New Roman" w:cs="Arial"/>
          <w:i/>
          <w:iCs/>
          <w:color w:val="000000"/>
          <w:lang w:eastAsia="bg-BG"/>
        </w:rPr>
      </w:pPr>
    </w:p>
    <w:p w14:paraId="0B7C31A8" w14:textId="730D5759"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Хипергликемия</w:t>
      </w:r>
    </w:p>
    <w:p w14:paraId="3689A185"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Хипергликемия и/или развитие или екзацербация на диабет, понякога свързан с кетоацидоза или кома, се съобщава рядко, включително някои фатални случаи (вж.точка 4.8). В някои случаи се съобщава за предшестващо повишаване на телесното тегло, което би могло да бъде предлазполагащ фактор. Препоръчително е подходящо клинично проследяване, в съответствие с ръководствата на използвания антипсихотик. Пациентите, лекувани с антипсихотично средство, включително кветиапин, трябва да се наблюдават за признаци и симптоми на хипергликемия (като напр. полидипсия, полиурия, полифагия и слабост). Пациентите със захарен диабет или с рискови фактори за захарен диабет, трябва да се проследяват редовно за влошаване на глюкозния контрол. Теглото трябва да се проследява редовно.</w:t>
      </w:r>
    </w:p>
    <w:p w14:paraId="36B72215" w14:textId="77777777" w:rsidR="00960099" w:rsidRPr="00960099" w:rsidRDefault="00960099" w:rsidP="00960099">
      <w:pPr>
        <w:spacing w:line="240" w:lineRule="auto"/>
        <w:rPr>
          <w:rFonts w:eastAsia="Times New Roman" w:cs="Arial"/>
          <w:i/>
          <w:iCs/>
          <w:color w:val="000000"/>
          <w:lang w:eastAsia="bg-BG"/>
        </w:rPr>
      </w:pPr>
    </w:p>
    <w:p w14:paraId="59063A97" w14:textId="73FFC861"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Липиди</w:t>
      </w:r>
    </w:p>
    <w:p w14:paraId="5F029370"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Увеличение на триглицерндите, </w:t>
      </w:r>
      <w:r w:rsidRPr="00960099">
        <w:rPr>
          <w:rFonts w:eastAsia="Times New Roman" w:cs="Arial"/>
          <w:color w:val="000000"/>
          <w:lang w:val="en-US"/>
        </w:rPr>
        <w:t>LDL</w:t>
      </w:r>
      <w:r w:rsidRPr="00960099">
        <w:rPr>
          <w:rFonts w:eastAsia="Times New Roman" w:cs="Arial"/>
          <w:color w:val="000000"/>
          <w:lang w:val="ru-RU"/>
        </w:rPr>
        <w:t xml:space="preserve"> </w:t>
      </w:r>
      <w:r w:rsidRPr="00960099">
        <w:rPr>
          <w:rFonts w:eastAsia="Times New Roman" w:cs="Arial"/>
          <w:color w:val="000000"/>
          <w:lang w:eastAsia="bg-BG"/>
        </w:rPr>
        <w:t xml:space="preserve">и общия холестерол, и понижение на стойностите на </w:t>
      </w:r>
      <w:r w:rsidRPr="00960099">
        <w:rPr>
          <w:rFonts w:eastAsia="Times New Roman" w:cs="Arial"/>
          <w:color w:val="000000"/>
          <w:lang w:val="en-US"/>
        </w:rPr>
        <w:t>HDL</w:t>
      </w:r>
      <w:r w:rsidRPr="00960099">
        <w:rPr>
          <w:rFonts w:eastAsia="Times New Roman" w:cs="Arial"/>
          <w:color w:val="000000"/>
          <w:lang w:val="ru-RU"/>
        </w:rPr>
        <w:t xml:space="preserve">- </w:t>
      </w:r>
      <w:r w:rsidRPr="00960099">
        <w:rPr>
          <w:rFonts w:eastAsia="Times New Roman" w:cs="Arial"/>
          <w:color w:val="000000"/>
          <w:lang w:eastAsia="bg-BG"/>
        </w:rPr>
        <w:t>холестерола са наблюдавани при клинични изпитвания с кветиапин (вж. точка 4.8). Липидните промени трябва да се лекуват по клинично подходящ начин.</w:t>
      </w:r>
    </w:p>
    <w:p w14:paraId="551CBFC0" w14:textId="77777777" w:rsidR="00960099" w:rsidRPr="00960099" w:rsidRDefault="00960099" w:rsidP="00960099">
      <w:pPr>
        <w:spacing w:line="240" w:lineRule="auto"/>
        <w:rPr>
          <w:rFonts w:eastAsia="Times New Roman" w:cs="Arial"/>
          <w:i/>
          <w:iCs/>
          <w:color w:val="000000"/>
          <w:lang w:eastAsia="bg-BG"/>
        </w:rPr>
      </w:pPr>
    </w:p>
    <w:p w14:paraId="00DF0EB3" w14:textId="2AA34863"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 xml:space="preserve">Удължаване на </w:t>
      </w:r>
      <w:r w:rsidRPr="00960099">
        <w:rPr>
          <w:rFonts w:eastAsia="Times New Roman" w:cs="Arial"/>
          <w:i/>
          <w:iCs/>
          <w:color w:val="000000"/>
          <w:lang w:val="en-US"/>
        </w:rPr>
        <w:t>QT</w:t>
      </w:r>
      <w:r w:rsidRPr="00960099">
        <w:rPr>
          <w:rFonts w:eastAsia="Times New Roman" w:cs="Arial"/>
          <w:i/>
          <w:iCs/>
          <w:color w:val="000000"/>
          <w:lang w:eastAsia="bg-BG"/>
        </w:rPr>
        <w:t>-интервала</w:t>
      </w:r>
    </w:p>
    <w:p w14:paraId="0843A8CC"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По време на клинични изпитвания и при приложение съобразно кратката характеристика на продукта, приложението на кветиапин не е свързано с персистиращо удължаване на абсолютния </w:t>
      </w:r>
      <w:r w:rsidRPr="00960099">
        <w:rPr>
          <w:rFonts w:eastAsia="Times New Roman" w:cs="Arial"/>
          <w:color w:val="000000"/>
          <w:lang w:val="en-US"/>
        </w:rPr>
        <w:t>QT</w:t>
      </w:r>
      <w:r w:rsidRPr="00960099">
        <w:rPr>
          <w:rFonts w:eastAsia="Times New Roman" w:cs="Arial"/>
          <w:color w:val="000000"/>
          <w:lang w:val="ru-RU"/>
        </w:rPr>
        <w:t xml:space="preserve">- </w:t>
      </w:r>
      <w:r w:rsidRPr="00960099">
        <w:rPr>
          <w:rFonts w:eastAsia="Times New Roman" w:cs="Arial"/>
          <w:color w:val="000000"/>
          <w:lang w:eastAsia="bg-BG"/>
        </w:rPr>
        <w:t xml:space="preserve">интервал. По време на пост-маркетинга е наблюдавано удължаване на </w:t>
      </w:r>
      <w:r w:rsidRPr="00960099">
        <w:rPr>
          <w:rFonts w:eastAsia="Times New Roman" w:cs="Arial"/>
          <w:color w:val="000000"/>
          <w:lang w:val="en-US"/>
        </w:rPr>
        <w:t>QT</w:t>
      </w:r>
      <w:r w:rsidRPr="00960099">
        <w:rPr>
          <w:rFonts w:eastAsia="Times New Roman" w:cs="Arial"/>
          <w:color w:val="000000"/>
          <w:lang w:eastAsia="bg-BG"/>
        </w:rPr>
        <w:t xml:space="preserve">-интервала с кветиапин при терапевтична доза (вж. точка 4.8) и при предозиране (вж. точка 4.9). Както при другите антипсихотици, кветиапин трябва да се прилага с повишено внимание, когато е предписан при пациенти със сърдечно-съдово заболяване или фамилна анамнеза за удължаване на </w:t>
      </w:r>
      <w:r w:rsidRPr="00960099">
        <w:rPr>
          <w:rFonts w:eastAsia="Times New Roman" w:cs="Arial"/>
          <w:color w:val="000000"/>
          <w:lang w:val="en-US"/>
        </w:rPr>
        <w:t>QT</w:t>
      </w:r>
      <w:r w:rsidRPr="00960099">
        <w:rPr>
          <w:rFonts w:eastAsia="Times New Roman" w:cs="Arial"/>
          <w:color w:val="000000"/>
          <w:lang w:eastAsia="bg-BG"/>
        </w:rPr>
        <w:t xml:space="preserve">-интервала. Кветиапин трябва да се прилага с повишено внимание и когато е предписан заедно с лекарства, които увеличават </w:t>
      </w:r>
      <w:r w:rsidRPr="00960099">
        <w:rPr>
          <w:rFonts w:eastAsia="Times New Roman" w:cs="Arial"/>
          <w:color w:val="000000"/>
          <w:lang w:val="en-US"/>
        </w:rPr>
        <w:t>QT</w:t>
      </w:r>
      <w:r w:rsidRPr="00960099">
        <w:rPr>
          <w:rFonts w:eastAsia="Times New Roman" w:cs="Arial"/>
          <w:color w:val="000000"/>
          <w:lang w:eastAsia="bg-BG"/>
        </w:rPr>
        <w:t xml:space="preserve">-интервала и съпътстващи невролептици, особено при пациенти в старческа възраст или такива със синдром на вродено удължаване на </w:t>
      </w:r>
      <w:r w:rsidRPr="00960099">
        <w:rPr>
          <w:rFonts w:eastAsia="Times New Roman" w:cs="Arial"/>
          <w:color w:val="000000"/>
          <w:lang w:val="en-US"/>
        </w:rPr>
        <w:t>QT</w:t>
      </w:r>
      <w:r w:rsidRPr="00960099">
        <w:rPr>
          <w:rFonts w:eastAsia="Times New Roman" w:cs="Arial"/>
          <w:color w:val="000000"/>
          <w:lang w:eastAsia="bg-BG"/>
        </w:rPr>
        <w:t xml:space="preserve">-интервала, застойна сърдечна </w:t>
      </w:r>
      <w:r w:rsidRPr="00960099">
        <w:rPr>
          <w:rFonts w:eastAsia="Times New Roman" w:cs="Arial"/>
          <w:color w:val="000000"/>
          <w:lang w:eastAsia="bg-BG"/>
        </w:rPr>
        <w:lastRenderedPageBreak/>
        <w:t>недостатъчност, сърдечна хипертрофия, хипокалиемия или химомагнезиемия (вж. точка 4.5).</w:t>
      </w:r>
    </w:p>
    <w:p w14:paraId="37344CB7" w14:textId="77777777" w:rsidR="00960099" w:rsidRPr="00960099" w:rsidRDefault="00960099" w:rsidP="00960099">
      <w:pPr>
        <w:spacing w:line="240" w:lineRule="auto"/>
        <w:rPr>
          <w:rFonts w:eastAsia="Times New Roman" w:cs="Arial"/>
          <w:i/>
          <w:iCs/>
          <w:color w:val="000000"/>
          <w:lang w:eastAsia="bg-BG"/>
        </w:rPr>
      </w:pPr>
    </w:p>
    <w:p w14:paraId="26AF3D54" w14:textId="4AF51505"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Кардиомиопатия и миокардит</w:t>
      </w:r>
    </w:p>
    <w:p w14:paraId="2BD08CBB"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Кардиомиопатия и миокардит са съобщавани в клинични проучвания и по време на постмаркетинговия опит, въпреки че не е установена причинно-следствена връзка с кветиапин (вж. точка 4.8). При пациенти със съмнение за кардиомиопатия или миокардит, трябва да се преоцени лечението с кветиапин.</w:t>
      </w:r>
    </w:p>
    <w:p w14:paraId="18C6526F" w14:textId="77777777" w:rsidR="00960099" w:rsidRPr="00960099" w:rsidRDefault="00960099" w:rsidP="00960099">
      <w:pPr>
        <w:spacing w:line="240" w:lineRule="auto"/>
        <w:rPr>
          <w:rFonts w:eastAsia="Times New Roman" w:cs="Arial"/>
          <w:i/>
          <w:iCs/>
          <w:color w:val="000000"/>
          <w:lang w:eastAsia="bg-BG"/>
        </w:rPr>
      </w:pPr>
    </w:p>
    <w:p w14:paraId="7AB3AF85" w14:textId="6C6FD188"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Тежки кожни нежелани реакции</w:t>
      </w:r>
    </w:p>
    <w:p w14:paraId="64899BBC" w14:textId="0B5521E7" w:rsidR="00960099" w:rsidRPr="00960099" w:rsidRDefault="00960099" w:rsidP="00960099">
      <w:pPr>
        <w:rPr>
          <w:rFonts w:eastAsia="Times New Roman" w:cs="Arial"/>
          <w:color w:val="000000"/>
          <w:lang w:eastAsia="bg-BG"/>
        </w:rPr>
      </w:pPr>
      <w:r w:rsidRPr="00960099">
        <w:rPr>
          <w:rFonts w:eastAsia="Times New Roman" w:cs="Arial"/>
          <w:color w:val="000000"/>
          <w:lang w:eastAsia="bg-BG"/>
        </w:rPr>
        <w:t xml:space="preserve">Тежки кожни нежелани реакции, включващи Синдрома на Стивън Джоунс (ССД), токсична епидермална некролиза (ТЕН) и лекарствена реакция с еозинофилия и системни симптоми </w:t>
      </w:r>
      <w:r w:rsidRPr="00960099">
        <w:rPr>
          <w:rFonts w:eastAsia="Times New Roman" w:cs="Arial"/>
          <w:color w:val="000000"/>
          <w:lang w:val="ru-RU"/>
        </w:rPr>
        <w:t>(</w:t>
      </w:r>
      <w:r w:rsidRPr="00960099">
        <w:rPr>
          <w:rFonts w:eastAsia="Times New Roman" w:cs="Arial"/>
          <w:color w:val="000000"/>
          <w:lang w:val="en-US"/>
        </w:rPr>
        <w:t>DRESS</w:t>
      </w:r>
      <w:r w:rsidRPr="00960099">
        <w:rPr>
          <w:rFonts w:eastAsia="Times New Roman" w:cs="Arial"/>
          <w:color w:val="000000"/>
          <w:lang w:val="ru-RU"/>
        </w:rPr>
        <w:t xml:space="preserve">), </w:t>
      </w:r>
      <w:r w:rsidRPr="00960099">
        <w:rPr>
          <w:rFonts w:eastAsia="Times New Roman" w:cs="Arial"/>
          <w:color w:val="000000"/>
          <w:lang w:eastAsia="bg-BG"/>
        </w:rPr>
        <w:t xml:space="preserve">които могат да бъдат животозастрашаващи или фатални са докладвани много рядко при лечение с кветиапин. </w:t>
      </w:r>
      <w:r w:rsidRPr="00960099">
        <w:rPr>
          <w:rFonts w:eastAsia="Times New Roman" w:cs="Arial"/>
          <w:color w:val="000000"/>
          <w:lang w:val="en-US"/>
        </w:rPr>
        <w:t>SCARs</w:t>
      </w:r>
      <w:r w:rsidRPr="00960099">
        <w:rPr>
          <w:rFonts w:eastAsia="Times New Roman" w:cs="Arial"/>
          <w:color w:val="000000"/>
          <w:lang w:val="ru-RU"/>
        </w:rPr>
        <w:t xml:space="preserve"> </w:t>
      </w:r>
      <w:r w:rsidRPr="00960099">
        <w:rPr>
          <w:rFonts w:eastAsia="Times New Roman" w:cs="Arial"/>
          <w:color w:val="000000"/>
          <w:lang w:eastAsia="bg-BG"/>
        </w:rPr>
        <w:t>обикновено се проявяват като комбинация от следните симптоми: обширен кожен обрив или ексфолиативен дерматит, треска, лимфаденопатия и възможна еозинофилия. Ако има признаци и симптоми, предполагащи поява на тежки кожни реакции, кветиапин трябва да се прекрати незабавно и да се обмисли алтернативно лечение.</w:t>
      </w:r>
    </w:p>
    <w:p w14:paraId="5C024986" w14:textId="5ECB72C5" w:rsidR="00960099" w:rsidRPr="00960099" w:rsidRDefault="00960099" w:rsidP="00960099">
      <w:pPr>
        <w:rPr>
          <w:rFonts w:eastAsia="Times New Roman" w:cs="Arial"/>
          <w:color w:val="000000"/>
          <w:lang w:eastAsia="bg-BG"/>
        </w:rPr>
      </w:pPr>
    </w:p>
    <w:p w14:paraId="5455A5C4" w14:textId="7777777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Реакции на отнемане</w:t>
      </w:r>
    </w:p>
    <w:p w14:paraId="74C53B93"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Описани са остри симптоми на отнемане като гадене, главоболие, диария, повръщане, виене на свят, раздразнителност и безсъние след внезапно спиране на кветиапин. Препоръчва се постепенно спиране на терапията за период от поне една до две седмици (вж. точка 4.8).</w:t>
      </w:r>
    </w:p>
    <w:p w14:paraId="732D61BD" w14:textId="77777777" w:rsidR="00960099" w:rsidRPr="00960099" w:rsidRDefault="00960099" w:rsidP="00960099">
      <w:pPr>
        <w:spacing w:line="240" w:lineRule="auto"/>
        <w:rPr>
          <w:rFonts w:eastAsia="Times New Roman" w:cs="Arial"/>
          <w:i/>
          <w:iCs/>
          <w:color w:val="000000"/>
          <w:lang w:eastAsia="bg-BG"/>
        </w:rPr>
      </w:pPr>
    </w:p>
    <w:p w14:paraId="4D8B5B68" w14:textId="3B136C45"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Пациенти в старческа възраст с психоза, свързана е деменция</w:t>
      </w:r>
    </w:p>
    <w:p w14:paraId="763E78EC"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Кветиапин не е одобрен за лечение на психоза, свързана с деменция.</w:t>
      </w:r>
    </w:p>
    <w:p w14:paraId="30F6037A" w14:textId="77777777" w:rsidR="00960099" w:rsidRPr="00960099" w:rsidRDefault="00960099" w:rsidP="00960099">
      <w:pPr>
        <w:spacing w:line="240" w:lineRule="auto"/>
        <w:rPr>
          <w:rFonts w:eastAsia="Times New Roman" w:cs="Arial"/>
          <w:color w:val="000000"/>
          <w:lang w:eastAsia="bg-BG"/>
        </w:rPr>
      </w:pPr>
    </w:p>
    <w:p w14:paraId="55B1F543" w14:textId="3F3009D5"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Приблизително 3-кратно увеличен риск от мозъчно-съдови нежелани събития е установен при рандомизирани, плацебо-контролирани проучвания с някои атипични антипсихотици при популация болна от деменция. Механизмът за този увеличен риск е неизвестен. Увеличеният риск не може да бъде изключен за други антипсихотици или други популации пациенти. Кветиапин трябва да се използва с внимание при пациенти с рискови фактори за мозъчен инсулт.</w:t>
      </w:r>
    </w:p>
    <w:p w14:paraId="774C24E3" w14:textId="77777777" w:rsidR="00960099" w:rsidRPr="00960099" w:rsidRDefault="00960099" w:rsidP="00960099">
      <w:pPr>
        <w:spacing w:line="240" w:lineRule="auto"/>
        <w:rPr>
          <w:rFonts w:eastAsia="Times New Roman" w:cs="Arial"/>
          <w:color w:val="000000"/>
          <w:lang w:eastAsia="bg-BG"/>
        </w:rPr>
      </w:pPr>
    </w:p>
    <w:p w14:paraId="6802B565" w14:textId="6035495B" w:rsidR="00960099" w:rsidRPr="00960099" w:rsidRDefault="00960099" w:rsidP="00960099">
      <w:pPr>
        <w:spacing w:line="240" w:lineRule="auto"/>
        <w:rPr>
          <w:rFonts w:eastAsia="Times New Roman" w:cs="Arial"/>
          <w:color w:val="000000"/>
          <w:lang w:eastAsia="bg-BG"/>
        </w:rPr>
      </w:pPr>
      <w:r w:rsidRPr="00960099">
        <w:rPr>
          <w:rFonts w:eastAsia="Times New Roman" w:cs="Arial"/>
          <w:color w:val="000000"/>
          <w:lang w:eastAsia="bg-BG"/>
        </w:rPr>
        <w:t>При мета-анализ на атипични антипсихотични лекарства е съобщено, че пациентите в старческа възраст с психоза, свързана с деменция, са с повишен риск от смърт в сравнение с плацебо. При две 10-седмични плацебо-контролирани проучвания с кветиапин при същата популация пациенти (</w:t>
      </w:r>
      <w:r w:rsidRPr="00960099">
        <w:rPr>
          <w:rFonts w:eastAsia="Times New Roman" w:cs="Arial"/>
          <w:color w:val="000000"/>
          <w:lang w:val="en-US"/>
        </w:rPr>
        <w:t>n</w:t>
      </w:r>
      <w:r w:rsidRPr="00960099">
        <w:rPr>
          <w:rFonts w:eastAsia="Times New Roman" w:cs="Arial"/>
          <w:color w:val="000000"/>
          <w:lang w:eastAsia="bg-BG"/>
        </w:rPr>
        <w:t xml:space="preserve">=710); средна възраст 83 години (диапазон 56-99 години), рискът от смъртност при лекуваните с кветиапин пациенти е 5,5 % срещу 3,2% при плацебо групата. Смъртните случаи в </w:t>
      </w:r>
    </w:p>
    <w:p w14:paraId="271AEB2D" w14:textId="2F0B8539" w:rsidR="00960099" w:rsidRPr="00960099" w:rsidRDefault="00960099" w:rsidP="00960099">
      <w:pPr>
        <w:spacing w:line="240" w:lineRule="auto"/>
        <w:rPr>
          <w:rFonts w:eastAsia="Times New Roman" w:cs="Arial"/>
        </w:rPr>
      </w:pPr>
      <w:r w:rsidRPr="00960099">
        <w:rPr>
          <w:rFonts w:eastAsia="Times New Roman" w:cs="Arial"/>
          <w:color w:val="000000"/>
          <w:lang w:eastAsia="bg-BG"/>
        </w:rPr>
        <w:t>тези проучвания са в следствие на разнообразни причини, които са очакавани за тази популация.</w:t>
      </w:r>
    </w:p>
    <w:p w14:paraId="52E4A003" w14:textId="77777777" w:rsidR="00960099" w:rsidRPr="00960099" w:rsidRDefault="00960099" w:rsidP="00960099">
      <w:pPr>
        <w:spacing w:line="240" w:lineRule="auto"/>
        <w:rPr>
          <w:rFonts w:eastAsia="Times New Roman" w:cs="Arial"/>
          <w:i/>
          <w:iCs/>
          <w:color w:val="000000"/>
          <w:lang w:eastAsia="bg-BG"/>
        </w:rPr>
      </w:pPr>
    </w:p>
    <w:p w14:paraId="4EBCDD09" w14:textId="4AF5CDCA"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Пациенти в старческа възраст с болест на Паркинсон (ПБ)/паркинсонизъм</w:t>
      </w:r>
    </w:p>
    <w:p w14:paraId="3E788B3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Популационно ретроспективно проучване на кветиапин за лечение на пациенти с голямо депресивно разстройство </w:t>
      </w:r>
      <w:r w:rsidRPr="00960099">
        <w:rPr>
          <w:rFonts w:eastAsia="Times New Roman" w:cs="Arial"/>
          <w:color w:val="000000"/>
          <w:lang w:val="ru-RU"/>
        </w:rPr>
        <w:t>(</w:t>
      </w:r>
      <w:r w:rsidRPr="00960099">
        <w:rPr>
          <w:rFonts w:eastAsia="Times New Roman" w:cs="Arial"/>
          <w:color w:val="000000"/>
          <w:lang w:val="en-US"/>
        </w:rPr>
        <w:t>MDD</w:t>
      </w:r>
      <w:r w:rsidRPr="00960099">
        <w:rPr>
          <w:rFonts w:eastAsia="Times New Roman" w:cs="Arial"/>
          <w:color w:val="000000"/>
          <w:lang w:val="ru-RU"/>
        </w:rPr>
        <w:t xml:space="preserve">), </w:t>
      </w:r>
      <w:r w:rsidRPr="00960099">
        <w:rPr>
          <w:rFonts w:eastAsia="Times New Roman" w:cs="Arial"/>
          <w:color w:val="000000"/>
          <w:lang w:eastAsia="bg-BG"/>
        </w:rPr>
        <w:t>показва повишен риск от смърт при употреба на кветиапин при пациенти на възраст над 65 години. Тази връзка не е била наблюдавана, когато пациенти с ПБ са били отстранени от анализа. Трябва да се внимава, ако кветиапин се предписва на пациенти в напреднала възраст с ПБ.</w:t>
      </w:r>
    </w:p>
    <w:p w14:paraId="2BD42B42" w14:textId="77777777" w:rsidR="00960099" w:rsidRPr="00960099" w:rsidRDefault="00960099" w:rsidP="00960099">
      <w:pPr>
        <w:spacing w:line="240" w:lineRule="auto"/>
        <w:rPr>
          <w:rFonts w:eastAsia="Times New Roman" w:cs="Arial"/>
          <w:i/>
          <w:iCs/>
          <w:color w:val="000000"/>
          <w:lang w:eastAsia="bg-BG"/>
        </w:rPr>
      </w:pPr>
    </w:p>
    <w:p w14:paraId="3182B5B9" w14:textId="27DB86EE"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Дисфагия</w:t>
      </w:r>
    </w:p>
    <w:p w14:paraId="7E8238C5"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прием на кветиапин има съобщения за развитие на дисфагия (вж. точка 4.8). При пациенти с риск за развитие на аспирационна пневмония, кветиапин трябва да се използва с повишено внимание.</w:t>
      </w:r>
    </w:p>
    <w:p w14:paraId="64C8D11B" w14:textId="7777777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Запек и чревна обструкция</w:t>
      </w:r>
    </w:p>
    <w:p w14:paraId="070AD63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Запекът представлява рисков фактор за чревна обструкция. Има съобщения за запек и чревна обструкция при лечение с кветиапин (вж. точка 4.8). Това включва съобщения за фатален изход при пациенти с по-висок риск от чревна обструкция, включително болни, получаващи едновременно множество лекарства, които намаляват чревния мотилитет, и/или пациенти, които може да не съобщават симптоми на запек. Пациентите с чревна обструкция/илеус трябва да се наблюдават внимателно и спешно да се лекуват.</w:t>
      </w:r>
    </w:p>
    <w:p w14:paraId="16C10546" w14:textId="77777777" w:rsidR="00960099" w:rsidRPr="00960099" w:rsidRDefault="00960099" w:rsidP="00960099">
      <w:pPr>
        <w:spacing w:line="240" w:lineRule="auto"/>
        <w:rPr>
          <w:rFonts w:eastAsia="Times New Roman" w:cs="Arial"/>
          <w:i/>
          <w:iCs/>
          <w:color w:val="000000"/>
          <w:lang w:eastAsia="bg-BG"/>
        </w:rPr>
      </w:pPr>
    </w:p>
    <w:p w14:paraId="45C9F5C5" w14:textId="65C37734"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Венозна тромбоемболия (ВТЕ)</w:t>
      </w:r>
    </w:p>
    <w:p w14:paraId="6FE659F6" w14:textId="664AFC71"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употреба на антипсихотични лекарствени продукти са били докладвани случаи на венозна тромбоемболия (ВТЕ). Тъй като при пациентите лекувани с антипсихотици често присъстват рискови фактори за ВТЕ, преди и по време на лечение с кветиапин трябва да се идентифицират всички възможни рискови фактори и да се предприемат профилактични мерки.</w:t>
      </w:r>
    </w:p>
    <w:p w14:paraId="7BC380EB" w14:textId="77777777" w:rsidR="00960099" w:rsidRPr="00960099" w:rsidRDefault="00960099" w:rsidP="00960099">
      <w:pPr>
        <w:spacing w:line="240" w:lineRule="auto"/>
        <w:rPr>
          <w:rFonts w:eastAsia="Times New Roman" w:cs="Arial"/>
          <w:i/>
          <w:iCs/>
          <w:color w:val="000000"/>
          <w:lang w:eastAsia="bg-BG"/>
        </w:rPr>
      </w:pPr>
    </w:p>
    <w:p w14:paraId="73161293" w14:textId="05F3F9D1"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Панкреатит</w:t>
      </w:r>
    </w:p>
    <w:p w14:paraId="30D373E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При клиничните проучвания и по време на пост-маркетинговия опит са съобщавани случаи на панкреатит. Сред пост-маркетинговите съобщения, въпреки че не всички случаи са свързани с рискови фактори, много пациенти са имали фактори, за които е известно, че са свързани с панкреатит, като например повишени нива на триглицеридите (вж. точка 4.4), камъни в жлъжката и консумация на алкохол.</w:t>
      </w:r>
    </w:p>
    <w:p w14:paraId="3DFEC848" w14:textId="1635A7D7" w:rsidR="00960099" w:rsidRPr="00960099" w:rsidRDefault="00960099" w:rsidP="00960099">
      <w:pPr>
        <w:rPr>
          <w:rFonts w:cs="Arial"/>
        </w:rPr>
      </w:pPr>
    </w:p>
    <w:p w14:paraId="512C79F9" w14:textId="77777777"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Допълнителна информация</w:t>
      </w:r>
    </w:p>
    <w:p w14:paraId="32501A94"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Данните за кветиапин в комбинация с дивалпроекс или литий при остри умерени до тежки манийни епизоди са органичени, въпреки че комбинираната терапия се понася добре. (вж. раздели 4.8 и 5.1). Данните показват адитивен ефект през седмица 3.</w:t>
      </w:r>
    </w:p>
    <w:p w14:paraId="527D3D4E" w14:textId="77777777" w:rsidR="00960099" w:rsidRPr="00960099" w:rsidRDefault="00960099" w:rsidP="00960099">
      <w:pPr>
        <w:spacing w:line="240" w:lineRule="auto"/>
        <w:rPr>
          <w:rFonts w:eastAsia="Times New Roman" w:cs="Arial"/>
          <w:i/>
          <w:iCs/>
          <w:color w:val="000000"/>
          <w:lang w:eastAsia="bg-BG"/>
        </w:rPr>
      </w:pPr>
    </w:p>
    <w:p w14:paraId="4618606E" w14:textId="2E24BD41"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Лактоза</w:t>
      </w:r>
    </w:p>
    <w:p w14:paraId="30382C6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ЦентроКуин таблетки съдържат лактоза. Пациенти с рядък наследствен проблем на галактозна непоносимост, пълен лактазен дефицит или глюкозо-галактозна малабсорбция не трябва да приемат това лекарство.</w:t>
      </w:r>
    </w:p>
    <w:p w14:paraId="575334FD" w14:textId="77777777" w:rsidR="00960099" w:rsidRPr="00960099" w:rsidRDefault="00960099" w:rsidP="00960099">
      <w:pPr>
        <w:spacing w:line="240" w:lineRule="auto"/>
        <w:rPr>
          <w:rFonts w:eastAsia="Times New Roman" w:cs="Arial"/>
          <w:i/>
          <w:iCs/>
          <w:color w:val="000000"/>
          <w:lang w:eastAsia="bg-BG"/>
        </w:rPr>
      </w:pPr>
    </w:p>
    <w:p w14:paraId="760D7B4F" w14:textId="3F4BBB0A"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Натрий</w:t>
      </w:r>
    </w:p>
    <w:p w14:paraId="7E406F7F" w14:textId="77777777" w:rsidR="00960099" w:rsidRPr="00960099" w:rsidRDefault="00960099" w:rsidP="00960099">
      <w:pPr>
        <w:spacing w:line="240" w:lineRule="auto"/>
        <w:rPr>
          <w:rFonts w:eastAsia="Times New Roman" w:cs="Arial"/>
        </w:rPr>
      </w:pPr>
      <w:r w:rsidRPr="00960099">
        <w:rPr>
          <w:rFonts w:eastAsia="Times New Roman" w:cs="Arial"/>
          <w:color w:val="000000"/>
          <w:lang w:eastAsia="bg-BG"/>
        </w:rPr>
        <w:t xml:space="preserve">Това лекарство съдържа по-малко от 1 </w:t>
      </w:r>
      <w:r w:rsidRPr="00960099">
        <w:rPr>
          <w:rFonts w:eastAsia="Times New Roman" w:cs="Arial"/>
          <w:color w:val="000000"/>
          <w:lang w:val="en-US"/>
        </w:rPr>
        <w:t>mmol</w:t>
      </w:r>
      <w:r w:rsidRPr="00960099">
        <w:rPr>
          <w:rFonts w:eastAsia="Times New Roman" w:cs="Arial"/>
          <w:color w:val="000000"/>
          <w:lang w:val="ru-RU"/>
        </w:rPr>
        <w:t xml:space="preserve"> </w:t>
      </w:r>
      <w:r w:rsidRPr="00960099">
        <w:rPr>
          <w:rFonts w:eastAsia="Times New Roman" w:cs="Arial"/>
          <w:color w:val="000000"/>
          <w:lang w:eastAsia="bg-BG"/>
        </w:rPr>
        <w:t xml:space="preserve">натрий (23 </w:t>
      </w:r>
      <w:r w:rsidRPr="00960099">
        <w:rPr>
          <w:rFonts w:eastAsia="Times New Roman" w:cs="Arial"/>
          <w:color w:val="000000"/>
          <w:lang w:val="en-US"/>
        </w:rPr>
        <w:t>mg</w:t>
      </w:r>
      <w:r w:rsidRPr="00960099">
        <w:rPr>
          <w:rFonts w:eastAsia="Times New Roman" w:cs="Arial"/>
          <w:color w:val="000000"/>
          <w:lang w:val="ru-RU"/>
        </w:rPr>
        <w:t xml:space="preserve">) </w:t>
      </w:r>
      <w:r w:rsidRPr="00960099">
        <w:rPr>
          <w:rFonts w:eastAsia="Times New Roman" w:cs="Arial"/>
          <w:color w:val="000000"/>
          <w:lang w:eastAsia="bg-BG"/>
        </w:rPr>
        <w:t>на таблетка, т.е. може да се каже, че практически не съдържа натрий.</w:t>
      </w:r>
    </w:p>
    <w:p w14:paraId="31AC6FDA" w14:textId="77777777" w:rsidR="00960099" w:rsidRPr="00960099" w:rsidRDefault="00960099" w:rsidP="00960099">
      <w:pPr>
        <w:spacing w:line="240" w:lineRule="auto"/>
        <w:rPr>
          <w:rFonts w:eastAsia="Times New Roman" w:cs="Arial"/>
          <w:i/>
          <w:iCs/>
          <w:color w:val="000000"/>
          <w:lang w:eastAsia="bg-BG"/>
        </w:rPr>
      </w:pPr>
    </w:p>
    <w:p w14:paraId="09024743" w14:textId="0D52845C" w:rsidR="00960099" w:rsidRPr="00960099" w:rsidRDefault="00960099" w:rsidP="00960099">
      <w:pPr>
        <w:spacing w:line="240" w:lineRule="auto"/>
        <w:rPr>
          <w:rFonts w:eastAsia="Times New Roman" w:cs="Arial"/>
        </w:rPr>
      </w:pPr>
      <w:r w:rsidRPr="00960099">
        <w:rPr>
          <w:rFonts w:eastAsia="Times New Roman" w:cs="Arial"/>
          <w:i/>
          <w:iCs/>
          <w:color w:val="000000"/>
          <w:lang w:eastAsia="bg-BG"/>
        </w:rPr>
        <w:t>Неправилна употреба и злоупотреба</w:t>
      </w:r>
    </w:p>
    <w:p w14:paraId="724879DE" w14:textId="40CF1493" w:rsidR="00960099" w:rsidRDefault="00960099" w:rsidP="00960099">
      <w:pPr>
        <w:spacing w:line="240" w:lineRule="auto"/>
        <w:rPr>
          <w:rFonts w:eastAsia="Times New Roman" w:cs="Arial"/>
        </w:rPr>
      </w:pPr>
      <w:r w:rsidRPr="00960099">
        <w:rPr>
          <w:rFonts w:eastAsia="Times New Roman" w:cs="Arial"/>
          <w:color w:val="000000"/>
          <w:lang w:eastAsia="bg-BG"/>
        </w:rPr>
        <w:t>Съобщавани са случаи за неправилна употреба и злоупотреба. Кветиапин трябва да се предписва с повишено внимание при хора с анамнеза за злоупотреба с алкохол и наркотици.</w:t>
      </w:r>
    </w:p>
    <w:p w14:paraId="635514D5" w14:textId="77777777" w:rsidR="00960099" w:rsidRPr="00960099" w:rsidRDefault="00960099" w:rsidP="00960099">
      <w:pPr>
        <w:spacing w:line="240" w:lineRule="auto"/>
        <w:rPr>
          <w:rFonts w:eastAsia="Times New Roman" w:cs="Arial"/>
        </w:rPr>
      </w:pPr>
    </w:p>
    <w:p w14:paraId="070777EC" w14:textId="58A43C28" w:rsidR="00DF4C8E" w:rsidRDefault="002C50EE" w:rsidP="00F44498">
      <w:pPr>
        <w:pStyle w:val="Heading2"/>
      </w:pPr>
      <w:r>
        <w:t>4.5. Взаимодействие с други лекарствени продукти и други форми на взаимодействие</w:t>
      </w:r>
    </w:p>
    <w:p w14:paraId="2FA4A8CB" w14:textId="5AEC3A8D" w:rsidR="00960099" w:rsidRDefault="00960099" w:rsidP="00960099"/>
    <w:p w14:paraId="20B81DE9"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lastRenderedPageBreak/>
        <w:t>С оглед на първичните ефекти на кветиапин върху централната нервна система, кветиапин трябва да се прилага с внимание в комбинация с други лекарства с централно действие и с алкохол.</w:t>
      </w:r>
    </w:p>
    <w:p w14:paraId="5932FA7F" w14:textId="77777777" w:rsidR="00960099" w:rsidRPr="00960099" w:rsidRDefault="00960099" w:rsidP="00960099">
      <w:pPr>
        <w:spacing w:line="240" w:lineRule="auto"/>
        <w:rPr>
          <w:rFonts w:eastAsia="Times New Roman" w:cs="Arial"/>
          <w:color w:val="000000"/>
          <w:szCs w:val="18"/>
          <w:lang w:eastAsia="bg-BG"/>
        </w:rPr>
      </w:pPr>
    </w:p>
    <w:p w14:paraId="52603EDF" w14:textId="520D0984"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Изисква се повишено внимание при лечение на пациенти приемащи други лекарства с антихолинергичен (мускаринов) ефект (вж точка 4.4).</w:t>
      </w:r>
    </w:p>
    <w:p w14:paraId="65FB6A81" w14:textId="77777777" w:rsidR="00960099" w:rsidRPr="00960099" w:rsidRDefault="00960099" w:rsidP="00960099">
      <w:pPr>
        <w:spacing w:line="240" w:lineRule="auto"/>
        <w:rPr>
          <w:rFonts w:eastAsia="Times New Roman" w:cs="Arial"/>
          <w:color w:val="000000"/>
          <w:szCs w:val="18"/>
          <w:lang w:eastAsia="bg-BG"/>
        </w:rPr>
      </w:pPr>
    </w:p>
    <w:p w14:paraId="5158D8F0" w14:textId="13C0C969"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Цитохром Р450 </w:t>
      </w:r>
      <w:r w:rsidRPr="00960099">
        <w:rPr>
          <w:rFonts w:eastAsia="Times New Roman" w:cs="Arial"/>
          <w:color w:val="000000"/>
          <w:szCs w:val="18"/>
          <w:lang w:val="ru-RU"/>
        </w:rPr>
        <w:t>(</w:t>
      </w:r>
      <w:r w:rsidRPr="00960099">
        <w:rPr>
          <w:rFonts w:eastAsia="Times New Roman" w:cs="Arial"/>
          <w:color w:val="000000"/>
          <w:szCs w:val="18"/>
          <w:lang w:val="en-US"/>
        </w:rPr>
        <w:t>CYP</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ЗА4 е ензим, който е основно отговорен за цитохром Р450-медиираното метаболизиране на кветиапин. В едно проучване за лекарствени взаимодействия на кветиапин при здрави доброволци, едновременното приложение на кветиапин (доза от 25 </w:t>
      </w:r>
      <w:r w:rsidRPr="00960099">
        <w:rPr>
          <w:rFonts w:eastAsia="Times New Roman" w:cs="Arial"/>
          <w:color w:val="000000"/>
          <w:szCs w:val="18"/>
          <w:lang w:val="en-US"/>
        </w:rPr>
        <w:t>mg</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с кетоконазол, </w:t>
      </w:r>
      <w:r w:rsidRPr="00960099">
        <w:rPr>
          <w:rFonts w:eastAsia="Times New Roman" w:cs="Arial"/>
          <w:color w:val="000000"/>
          <w:szCs w:val="18"/>
          <w:lang w:val="en-US"/>
        </w:rPr>
        <w:t>CYP</w:t>
      </w:r>
      <w:r w:rsidRPr="00960099">
        <w:rPr>
          <w:rFonts w:eastAsia="Times New Roman" w:cs="Arial"/>
          <w:color w:val="000000"/>
          <w:szCs w:val="18"/>
          <w:lang w:val="ru-RU"/>
        </w:rPr>
        <w:t>3</w:t>
      </w:r>
      <w:r w:rsidRPr="00960099">
        <w:rPr>
          <w:rFonts w:eastAsia="Times New Roman" w:cs="Arial"/>
          <w:color w:val="000000"/>
          <w:szCs w:val="18"/>
          <w:lang w:val="en-US"/>
        </w:rPr>
        <w:t>A</w:t>
      </w:r>
      <w:r w:rsidRPr="00960099">
        <w:rPr>
          <w:rFonts w:eastAsia="Times New Roman" w:cs="Arial"/>
          <w:color w:val="000000"/>
          <w:szCs w:val="18"/>
          <w:lang w:val="ru-RU"/>
        </w:rPr>
        <w:t xml:space="preserve">4 </w:t>
      </w:r>
      <w:r w:rsidRPr="00960099">
        <w:rPr>
          <w:rFonts w:eastAsia="Times New Roman" w:cs="Arial"/>
          <w:color w:val="000000"/>
          <w:szCs w:val="18"/>
          <w:lang w:eastAsia="bg-BG"/>
        </w:rPr>
        <w:t xml:space="preserve">инхибитор, е довело до 5-8 кратно повишение на </w:t>
      </w:r>
      <w:r w:rsidRPr="00960099">
        <w:rPr>
          <w:rFonts w:eastAsia="Times New Roman" w:cs="Arial"/>
          <w:color w:val="000000"/>
          <w:szCs w:val="18"/>
          <w:lang w:val="en-US"/>
        </w:rPr>
        <w:t>AUC</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на кветиапин. Въз основа на това едновременната употреба на кветиапин с </w:t>
      </w:r>
      <w:r w:rsidRPr="00960099">
        <w:rPr>
          <w:rFonts w:eastAsia="Times New Roman" w:cs="Arial"/>
          <w:color w:val="000000"/>
          <w:szCs w:val="18"/>
          <w:lang w:val="en-US"/>
        </w:rPr>
        <w:t>CYP</w:t>
      </w:r>
      <w:r w:rsidRPr="00960099">
        <w:rPr>
          <w:rFonts w:eastAsia="Times New Roman" w:cs="Arial"/>
          <w:color w:val="000000"/>
          <w:szCs w:val="18"/>
          <w:lang w:val="ru-RU"/>
        </w:rPr>
        <w:t>3</w:t>
      </w:r>
      <w:r w:rsidRPr="00960099">
        <w:rPr>
          <w:rFonts w:eastAsia="Times New Roman" w:cs="Arial"/>
          <w:color w:val="000000"/>
          <w:szCs w:val="18"/>
          <w:lang w:val="en-US"/>
        </w:rPr>
        <w:t>A</w:t>
      </w:r>
      <w:r w:rsidRPr="00960099">
        <w:rPr>
          <w:rFonts w:eastAsia="Times New Roman" w:cs="Arial"/>
          <w:color w:val="000000"/>
          <w:szCs w:val="18"/>
          <w:lang w:val="ru-RU"/>
        </w:rPr>
        <w:t xml:space="preserve">4 </w:t>
      </w:r>
      <w:r w:rsidRPr="00960099">
        <w:rPr>
          <w:rFonts w:eastAsia="Times New Roman" w:cs="Arial"/>
          <w:color w:val="000000"/>
          <w:szCs w:val="18"/>
          <w:lang w:eastAsia="bg-BG"/>
        </w:rPr>
        <w:t>инхибитори е противопоказно. Също така не се препоръчва приема на кветиапин със сок от грейпфрут.</w:t>
      </w:r>
    </w:p>
    <w:p w14:paraId="03DBA97A" w14:textId="77777777" w:rsidR="00960099" w:rsidRPr="00960099" w:rsidRDefault="00960099" w:rsidP="00960099">
      <w:pPr>
        <w:spacing w:line="240" w:lineRule="auto"/>
        <w:rPr>
          <w:rFonts w:eastAsia="Times New Roman" w:cs="Arial"/>
          <w:color w:val="000000"/>
          <w:szCs w:val="18"/>
          <w:lang w:eastAsia="bg-BG"/>
        </w:rPr>
      </w:pPr>
    </w:p>
    <w:p w14:paraId="5887468D" w14:textId="7931BAE4"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При проучване с многократно дозиране при пациенти за оценка за фармакокинетиката на кветиапин, прилаган преди и по време на лечението с карбамазепин (известен индуктор на чернодробни ензими), едновременното приложение на карбамазепин значително е увеличило клирънса на кветиапин. Това увеличение на клирънса е намалило системната експозиция на кветиапин (измерена чрез </w:t>
      </w:r>
      <w:r w:rsidRPr="00960099">
        <w:rPr>
          <w:rFonts w:eastAsia="Times New Roman" w:cs="Arial"/>
          <w:color w:val="000000"/>
          <w:szCs w:val="18"/>
          <w:lang w:val="en-US"/>
        </w:rPr>
        <w:t>AUC</w:t>
      </w:r>
      <w:r w:rsidRPr="00960099">
        <w:rPr>
          <w:rFonts w:eastAsia="Times New Roman" w:cs="Arial"/>
          <w:color w:val="000000"/>
          <w:szCs w:val="18"/>
          <w:lang w:val="ru-RU"/>
        </w:rPr>
        <w:t xml:space="preserve">) </w:t>
      </w:r>
      <w:r w:rsidRPr="00960099">
        <w:rPr>
          <w:rFonts w:eastAsia="Times New Roman" w:cs="Arial"/>
          <w:color w:val="000000"/>
          <w:szCs w:val="18"/>
          <w:lang w:eastAsia="bg-BG"/>
        </w:rPr>
        <w:t>до средно 13% от експозицията при самостоятелно прилагане на кветиапин, въпреки че при някои пациенти е наблюдаван по-голям ефект. В резултат от това взаимодействие, може да възникнат по-ниски плазмени концентрации, което може да засегне ефективността на терапията с кветиапин. Едновременното приложение на кветиапин с фенитоин (друг индикатор на микрозомалните ензими) предизвиква значително повишение на клирънса на кветиапин с приблизително 450%. При пациенти, получаващи индуктор на чернодробните ензими, започването на терапия с кветиапин трябва да започва само тогава, когато лекарят смята, че ползата от приема на кветиапин надвишава риска от отстраняване на ензимния индуктор. Важно е всяка промяна в приема на индуктора да се извършва постепенно и ако е необходимо да се замени с продукт, който не индуцира чернодробните инзими (напр. натриев валпроат) (вж. точка 4.4).</w:t>
      </w:r>
    </w:p>
    <w:p w14:paraId="5964E753" w14:textId="77777777" w:rsidR="00960099" w:rsidRPr="00960099" w:rsidRDefault="00960099" w:rsidP="00960099">
      <w:pPr>
        <w:spacing w:line="240" w:lineRule="auto"/>
        <w:rPr>
          <w:rFonts w:eastAsia="Times New Roman" w:cs="Arial"/>
          <w:color w:val="000000"/>
          <w:szCs w:val="18"/>
          <w:lang w:eastAsia="bg-BG"/>
        </w:rPr>
      </w:pPr>
    </w:p>
    <w:p w14:paraId="58AA877B" w14:textId="427D3B9E"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Фармакокинетиката на кветиапин не се променя значимо от едновременното приложение на антидепресанта имипрамин (известен </w:t>
      </w:r>
      <w:r w:rsidRPr="00960099">
        <w:rPr>
          <w:rFonts w:eastAsia="Times New Roman" w:cs="Arial"/>
          <w:color w:val="000000"/>
          <w:szCs w:val="18"/>
          <w:lang w:val="en-US"/>
        </w:rPr>
        <w:t>CYP</w:t>
      </w:r>
      <w:r w:rsidRPr="00960099">
        <w:rPr>
          <w:rFonts w:eastAsia="Times New Roman" w:cs="Arial"/>
          <w:color w:val="000000"/>
          <w:szCs w:val="18"/>
          <w:lang w:val="ru-RU"/>
        </w:rPr>
        <w:t xml:space="preserve"> 2</w:t>
      </w:r>
      <w:r w:rsidRPr="00960099">
        <w:rPr>
          <w:rFonts w:eastAsia="Times New Roman" w:cs="Arial"/>
          <w:color w:val="000000"/>
          <w:szCs w:val="18"/>
          <w:lang w:val="en-US"/>
        </w:rPr>
        <w:t>D</w:t>
      </w:r>
      <w:r w:rsidRPr="00960099">
        <w:rPr>
          <w:rFonts w:eastAsia="Times New Roman" w:cs="Arial"/>
          <w:color w:val="000000"/>
          <w:szCs w:val="18"/>
          <w:lang w:val="ru-RU"/>
        </w:rPr>
        <w:t xml:space="preserve">6 </w:t>
      </w:r>
      <w:r w:rsidRPr="00960099">
        <w:rPr>
          <w:rFonts w:eastAsia="Times New Roman" w:cs="Arial"/>
          <w:color w:val="000000"/>
          <w:szCs w:val="18"/>
          <w:lang w:eastAsia="bg-BG"/>
        </w:rPr>
        <w:t xml:space="preserve">инхибитор) или флуоксетин (известен </w:t>
      </w:r>
      <w:r w:rsidRPr="00960099">
        <w:rPr>
          <w:rFonts w:eastAsia="Times New Roman" w:cs="Arial"/>
          <w:color w:val="000000"/>
          <w:szCs w:val="18"/>
          <w:lang w:val="en-US"/>
        </w:rPr>
        <w:t>CYP</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ЗА4 и </w:t>
      </w:r>
      <w:r w:rsidRPr="00960099">
        <w:rPr>
          <w:rFonts w:eastAsia="Times New Roman" w:cs="Arial"/>
          <w:color w:val="000000"/>
          <w:szCs w:val="18"/>
          <w:lang w:val="en-US"/>
        </w:rPr>
        <w:t>CYP</w:t>
      </w:r>
      <w:r w:rsidRPr="00960099">
        <w:rPr>
          <w:rFonts w:eastAsia="Times New Roman" w:cs="Arial"/>
          <w:color w:val="000000"/>
          <w:szCs w:val="18"/>
          <w:lang w:val="ru-RU"/>
        </w:rPr>
        <w:t xml:space="preserve"> 2</w:t>
      </w:r>
      <w:r w:rsidRPr="00960099">
        <w:rPr>
          <w:rFonts w:eastAsia="Times New Roman" w:cs="Arial"/>
          <w:color w:val="000000"/>
          <w:szCs w:val="18"/>
          <w:lang w:val="en-US"/>
        </w:rPr>
        <w:t>D</w:t>
      </w:r>
      <w:r w:rsidRPr="00960099">
        <w:rPr>
          <w:rFonts w:eastAsia="Times New Roman" w:cs="Arial"/>
          <w:color w:val="000000"/>
          <w:szCs w:val="18"/>
          <w:lang w:val="ru-RU"/>
        </w:rPr>
        <w:t xml:space="preserve">6 </w:t>
      </w:r>
      <w:r w:rsidRPr="00960099">
        <w:rPr>
          <w:rFonts w:eastAsia="Times New Roman" w:cs="Arial"/>
          <w:color w:val="000000"/>
          <w:szCs w:val="18"/>
          <w:lang w:eastAsia="bg-BG"/>
        </w:rPr>
        <w:t>инхибитор).</w:t>
      </w:r>
    </w:p>
    <w:p w14:paraId="5B1EAA6F" w14:textId="77777777" w:rsidR="00960099" w:rsidRPr="00960099" w:rsidRDefault="00960099" w:rsidP="00960099">
      <w:pPr>
        <w:rPr>
          <w:rFonts w:eastAsia="Times New Roman" w:cs="Arial"/>
          <w:color w:val="000000"/>
          <w:szCs w:val="18"/>
          <w:lang w:eastAsia="bg-BG"/>
        </w:rPr>
      </w:pPr>
    </w:p>
    <w:p w14:paraId="338F2604" w14:textId="57A0B518" w:rsidR="00960099" w:rsidRPr="00960099" w:rsidRDefault="00960099" w:rsidP="00960099">
      <w:pPr>
        <w:rPr>
          <w:rFonts w:eastAsia="Times New Roman" w:cs="Arial"/>
          <w:color w:val="000000"/>
          <w:szCs w:val="18"/>
          <w:lang w:eastAsia="bg-BG"/>
        </w:rPr>
      </w:pPr>
      <w:r w:rsidRPr="00960099">
        <w:rPr>
          <w:rFonts w:eastAsia="Times New Roman" w:cs="Arial"/>
          <w:color w:val="000000"/>
          <w:szCs w:val="18"/>
          <w:lang w:eastAsia="bg-BG"/>
        </w:rPr>
        <w:t>Фармакокинетиката на кветиапин не се променя значимо от едновременното приемане с антипсихотиците рисперидон или халоперидол. Съпътстващото приложение на кветиапин и тиоридазин е предизвикало увеличение на клиърънса на кветиапина с приблизително 70%.</w:t>
      </w:r>
    </w:p>
    <w:p w14:paraId="3FAB9B87" w14:textId="357A5A71" w:rsidR="00960099" w:rsidRPr="00960099" w:rsidRDefault="00960099" w:rsidP="00960099">
      <w:pPr>
        <w:rPr>
          <w:rFonts w:eastAsia="Times New Roman" w:cs="Arial"/>
          <w:color w:val="000000"/>
          <w:szCs w:val="18"/>
          <w:lang w:eastAsia="bg-BG"/>
        </w:rPr>
      </w:pPr>
    </w:p>
    <w:p w14:paraId="5CA9FAA3"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Фармакокинетиката на кветиапин не се променя значимо от едновременното приложение с циметидин.</w:t>
      </w:r>
    </w:p>
    <w:p w14:paraId="29B5B20F" w14:textId="77777777" w:rsidR="00960099" w:rsidRPr="00960099" w:rsidRDefault="00960099" w:rsidP="00960099">
      <w:pPr>
        <w:spacing w:line="240" w:lineRule="auto"/>
        <w:rPr>
          <w:rFonts w:eastAsia="Times New Roman" w:cs="Arial"/>
          <w:color w:val="000000"/>
          <w:szCs w:val="18"/>
          <w:lang w:eastAsia="bg-BG"/>
        </w:rPr>
      </w:pPr>
    </w:p>
    <w:p w14:paraId="0001312F" w14:textId="6ECF81DB"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Фармакокинетиката на литий не се променя значимо от едновременното приложение с кветиапин.</w:t>
      </w:r>
    </w:p>
    <w:p w14:paraId="5E1ACE0A" w14:textId="77777777" w:rsidR="00960099" w:rsidRPr="00960099" w:rsidRDefault="00960099" w:rsidP="00960099">
      <w:pPr>
        <w:spacing w:line="240" w:lineRule="auto"/>
        <w:rPr>
          <w:rFonts w:eastAsia="Times New Roman" w:cs="Arial"/>
          <w:color w:val="000000"/>
          <w:szCs w:val="18"/>
          <w:lang w:eastAsia="bg-BG"/>
        </w:rPr>
      </w:pPr>
    </w:p>
    <w:p w14:paraId="48C8961D" w14:textId="3A7CBAE6"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В 6-седмично рандомизирано проучване на литий и кветиапин таблетки с удължено освобождаване спрямо плацебо и кветиапин таблетки с удължено освобождаване при възрастни пациенти с остра мания, по-висока честота на екстрапирамидни събития (по-</w:t>
      </w:r>
      <w:r w:rsidRPr="00960099">
        <w:rPr>
          <w:rFonts w:eastAsia="Times New Roman" w:cs="Arial"/>
          <w:color w:val="000000"/>
          <w:szCs w:val="18"/>
          <w:lang w:eastAsia="bg-BG"/>
        </w:rPr>
        <w:lastRenderedPageBreak/>
        <w:t>специално тремор), сънливост и наддаване на тегло са наблюдавани в групата с добавяне на литий в сравнение с групата с добавяне на плацебо (вж. точка 5.1).</w:t>
      </w:r>
    </w:p>
    <w:p w14:paraId="6FC9C555" w14:textId="77777777" w:rsidR="00960099" w:rsidRPr="00960099" w:rsidRDefault="00960099" w:rsidP="00960099">
      <w:pPr>
        <w:spacing w:line="240" w:lineRule="auto"/>
        <w:rPr>
          <w:rFonts w:eastAsia="Times New Roman" w:cs="Arial"/>
          <w:color w:val="000000"/>
          <w:szCs w:val="18"/>
          <w:lang w:eastAsia="bg-BG"/>
        </w:rPr>
      </w:pPr>
    </w:p>
    <w:p w14:paraId="5233BFA9" w14:textId="455F3039"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Фармакокинетиката на натриев валпроат и кветиапин не се променят в клинично значима степен, когато са прилагани едновременно. Ретроспективно проучване на деца и юноши, които са получавали валпроат, кветиапин или и двете, установява по-висока честота на левкопения и неутропения в комбинираната група спрямо монотерапията.</w:t>
      </w:r>
    </w:p>
    <w:p w14:paraId="7BD5D310" w14:textId="77777777" w:rsidR="00960099" w:rsidRPr="00960099" w:rsidRDefault="00960099" w:rsidP="00960099">
      <w:pPr>
        <w:spacing w:line="240" w:lineRule="auto"/>
        <w:rPr>
          <w:rFonts w:eastAsia="Times New Roman" w:cs="Arial"/>
          <w:color w:val="000000"/>
          <w:szCs w:val="18"/>
          <w:lang w:eastAsia="bg-BG"/>
        </w:rPr>
      </w:pPr>
    </w:p>
    <w:p w14:paraId="264C9807" w14:textId="2AA44AC9"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Официални проучвания за взаимодействие с най-често прилаганите сърдечно-съдови лекарства не са провеждани.</w:t>
      </w:r>
    </w:p>
    <w:p w14:paraId="3CDACB21" w14:textId="77777777" w:rsidR="00960099" w:rsidRPr="00960099" w:rsidRDefault="00960099" w:rsidP="00960099">
      <w:pPr>
        <w:spacing w:line="240" w:lineRule="auto"/>
        <w:rPr>
          <w:rFonts w:eastAsia="Times New Roman" w:cs="Arial"/>
          <w:color w:val="000000"/>
          <w:szCs w:val="18"/>
          <w:lang w:eastAsia="bg-BG"/>
        </w:rPr>
      </w:pPr>
    </w:p>
    <w:p w14:paraId="63711204" w14:textId="550F090B"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Трябва да се внимава когато кветиапин се употребява едновременно с лекарства, които предизвикват електролитен дисбаланс или увеличават </w:t>
      </w:r>
      <w:r w:rsidRPr="00960099">
        <w:rPr>
          <w:rFonts w:eastAsia="Times New Roman" w:cs="Arial"/>
          <w:color w:val="000000"/>
          <w:szCs w:val="18"/>
          <w:lang w:val="en-US"/>
        </w:rPr>
        <w:t>QT</w:t>
      </w:r>
      <w:r w:rsidRPr="00960099">
        <w:rPr>
          <w:rFonts w:eastAsia="Times New Roman" w:cs="Arial"/>
          <w:color w:val="000000"/>
          <w:szCs w:val="18"/>
          <w:lang w:eastAsia="bg-BG"/>
        </w:rPr>
        <w:t>-интервала.</w:t>
      </w:r>
    </w:p>
    <w:p w14:paraId="59AFD5B6" w14:textId="77777777" w:rsidR="00960099" w:rsidRPr="00960099" w:rsidRDefault="00960099" w:rsidP="00960099">
      <w:pPr>
        <w:spacing w:line="240" w:lineRule="auto"/>
        <w:rPr>
          <w:rFonts w:eastAsia="Times New Roman" w:cs="Arial"/>
          <w:color w:val="000000"/>
          <w:szCs w:val="18"/>
          <w:lang w:eastAsia="bg-BG"/>
        </w:rPr>
      </w:pPr>
    </w:p>
    <w:p w14:paraId="03CD1C9E" w14:textId="30AF8C8D"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Има съобщения за фалшиво положителни резултати при ензимни имуноанализи за метадон и трициклични антидепресанти при пациенти, които са приемали кветиапин. Потвърждение на съмнителни резултати от имуноанализи скрининг се препоръчва чрез подходяща хроматографска техника.</w:t>
      </w:r>
    </w:p>
    <w:p w14:paraId="31EC7712" w14:textId="77777777" w:rsidR="00960099" w:rsidRPr="00960099" w:rsidRDefault="00960099" w:rsidP="00960099"/>
    <w:p w14:paraId="29D2BD58" w14:textId="2CC51A81" w:rsidR="00DF4C8E" w:rsidRDefault="002C50EE" w:rsidP="00F44498">
      <w:pPr>
        <w:pStyle w:val="Heading2"/>
      </w:pPr>
      <w:r>
        <w:t>4.6. Фертилитет, бременност и кърмене</w:t>
      </w:r>
    </w:p>
    <w:p w14:paraId="20968608" w14:textId="49A0991A" w:rsidR="00960099" w:rsidRDefault="00960099" w:rsidP="00960099"/>
    <w:p w14:paraId="0180F8E9" w14:textId="77777777" w:rsidR="00960099" w:rsidRPr="00960099" w:rsidRDefault="00960099" w:rsidP="00960099">
      <w:pPr>
        <w:pStyle w:val="Heading3"/>
        <w:rPr>
          <w:rFonts w:eastAsia="Times New Roman"/>
          <w:sz w:val="32"/>
          <w:u w:val="single"/>
        </w:rPr>
      </w:pPr>
      <w:r w:rsidRPr="00960099">
        <w:rPr>
          <w:rFonts w:eastAsia="Times New Roman"/>
          <w:u w:val="single"/>
          <w:lang w:eastAsia="bg-BG"/>
        </w:rPr>
        <w:t>Бременност</w:t>
      </w:r>
    </w:p>
    <w:p w14:paraId="4BD9B452" w14:textId="77777777"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u w:val="single"/>
          <w:lang w:eastAsia="bg-BG"/>
        </w:rPr>
        <w:t>Първи триместър</w:t>
      </w:r>
    </w:p>
    <w:p w14:paraId="79E79809" w14:textId="3CE54838"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Умереното количество публикувани данни от случаи на бременност с експозиция на кветиапин </w:t>
      </w:r>
      <w:r w:rsidRPr="00960099">
        <w:rPr>
          <w:rFonts w:eastAsia="Times New Roman" w:cs="Arial"/>
          <w:color w:val="000000"/>
          <w:szCs w:val="18"/>
          <w:u w:val="single"/>
          <w:lang w:eastAsia="bg-BG"/>
        </w:rPr>
        <w:t>(т.е. между 300-1000 изхода от бременност),</w:t>
      </w:r>
      <w:r w:rsidRPr="00960099">
        <w:rPr>
          <w:rFonts w:eastAsia="Times New Roman" w:cs="Arial"/>
          <w:color w:val="000000"/>
          <w:szCs w:val="18"/>
          <w:lang w:eastAsia="bg-BG"/>
        </w:rPr>
        <w:t xml:space="preserve"> включително отделни съобщения и някои обсервационни клинични изпитвания, не предполагат повишен риск от малформации, дължащи се на лечението. Въз основа на наличните данни, обаче, не може да се направи категорично заключение. Проучванията при животни са показали репродуктивна токсичност (вж. точка 5.3). Поради това, кветиапин трябва да се използва по време на бременност само ако ползите оправдават потенциалните рискове.</w:t>
      </w:r>
    </w:p>
    <w:p w14:paraId="650AC351" w14:textId="77777777" w:rsidR="00960099" w:rsidRPr="00960099" w:rsidRDefault="00960099" w:rsidP="00960099">
      <w:pPr>
        <w:spacing w:line="240" w:lineRule="auto"/>
        <w:rPr>
          <w:rFonts w:eastAsia="Times New Roman" w:cs="Arial"/>
          <w:i/>
          <w:iCs/>
          <w:color w:val="000000"/>
          <w:szCs w:val="18"/>
          <w:u w:val="single"/>
          <w:lang w:eastAsia="bg-BG"/>
        </w:rPr>
      </w:pPr>
    </w:p>
    <w:p w14:paraId="44C08C4D" w14:textId="431057F2"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u w:val="single"/>
          <w:lang w:eastAsia="bg-BG"/>
        </w:rPr>
        <w:t>Трети триместър</w:t>
      </w:r>
    </w:p>
    <w:p w14:paraId="29D349B4"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Новородените, на които майките са приемали антипсихотици (включително кветиапин) по време на третото тримесечие на бременността, са изложени на риск от нежелани реакции, включително екстрапирамидни реакции и/или симптоми на отнемане, които могат да варират по тежест и продължителност след раждането. Има съобщения за възбуда, хипертония, хипотония, тремор, сънливост, респираторен дистрес или нарушение на храненето. Следователно, новородените трябва да се проследяват внимателно.</w:t>
      </w:r>
    </w:p>
    <w:p w14:paraId="3C7A755C" w14:textId="77777777" w:rsidR="00960099" w:rsidRPr="00960099" w:rsidRDefault="00960099" w:rsidP="00960099">
      <w:pPr>
        <w:spacing w:line="240" w:lineRule="auto"/>
        <w:rPr>
          <w:rFonts w:eastAsia="Times New Roman" w:cs="Arial"/>
          <w:color w:val="000000"/>
          <w:szCs w:val="18"/>
          <w:u w:val="single"/>
          <w:lang w:eastAsia="bg-BG"/>
        </w:rPr>
      </w:pPr>
    </w:p>
    <w:p w14:paraId="29BF4F2A" w14:textId="25A16A5F" w:rsidR="00960099" w:rsidRPr="00960099" w:rsidRDefault="00960099" w:rsidP="00960099">
      <w:pPr>
        <w:pStyle w:val="Heading3"/>
        <w:rPr>
          <w:rFonts w:eastAsia="Times New Roman"/>
          <w:sz w:val="32"/>
          <w:u w:val="single"/>
        </w:rPr>
      </w:pPr>
      <w:r w:rsidRPr="00960099">
        <w:rPr>
          <w:rFonts w:eastAsia="Times New Roman"/>
          <w:u w:val="single"/>
          <w:lang w:eastAsia="bg-BG"/>
        </w:rPr>
        <w:t>Кърмене</w:t>
      </w:r>
    </w:p>
    <w:p w14:paraId="2B4CD0C1" w14:textId="53D4CBF5"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Въз основа на много ограничените данни от публикувани съобщения относно екскрецията на кветиапин в кърмата, екскрецията на кветиапин в терапевтични дози изглежда малко вероятна. Поради липса на надеждни данни, трябва да се вземе решение дали да се преустанови кърменето или да се преустанови терапията с кветиапин, като се вземе предвид ползата от кърменето за детето и ползата от терапията за жената.</w:t>
      </w:r>
    </w:p>
    <w:p w14:paraId="311E5D21" w14:textId="40F522C3" w:rsidR="00960099" w:rsidRPr="00960099" w:rsidRDefault="00960099" w:rsidP="00960099">
      <w:pPr>
        <w:rPr>
          <w:rFonts w:cs="Arial"/>
          <w:sz w:val="28"/>
        </w:rPr>
      </w:pPr>
    </w:p>
    <w:p w14:paraId="2C880C68" w14:textId="77777777" w:rsidR="00960099" w:rsidRPr="00960099" w:rsidRDefault="00960099" w:rsidP="00960099">
      <w:pPr>
        <w:pStyle w:val="Heading3"/>
        <w:rPr>
          <w:rFonts w:eastAsia="Times New Roman"/>
          <w:sz w:val="32"/>
          <w:u w:val="single"/>
        </w:rPr>
      </w:pPr>
      <w:r w:rsidRPr="00960099">
        <w:rPr>
          <w:rFonts w:eastAsia="Times New Roman"/>
          <w:u w:val="single"/>
          <w:lang w:eastAsia="bg-BG"/>
        </w:rPr>
        <w:lastRenderedPageBreak/>
        <w:t>Фертилитет</w:t>
      </w:r>
    </w:p>
    <w:p w14:paraId="7A50C58C"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Ефектите на кветиапин върху фертилитета при човека не са оценявани. Ефекти, свързани с повишени нива на пролактин, са наблюдавани при плъхове, въпреки че те не са директно приложими при хора (вж. точка 5.3).</w:t>
      </w:r>
    </w:p>
    <w:p w14:paraId="1743729A" w14:textId="77777777" w:rsidR="00960099" w:rsidRPr="00960099" w:rsidRDefault="00960099" w:rsidP="00960099"/>
    <w:p w14:paraId="4DF5A2E7" w14:textId="709A75F5" w:rsidR="00DF4C8E" w:rsidRDefault="002C50EE" w:rsidP="00F44498">
      <w:pPr>
        <w:pStyle w:val="Heading2"/>
      </w:pPr>
      <w:r>
        <w:t>4.7. Ефекти върху способността за шофиране и работа с машини</w:t>
      </w:r>
    </w:p>
    <w:p w14:paraId="70AC1CC8" w14:textId="15D90A56" w:rsidR="00960099" w:rsidRDefault="00960099" w:rsidP="00960099"/>
    <w:p w14:paraId="426E4B73" w14:textId="7F9AAB9B" w:rsidR="00960099" w:rsidRDefault="00960099" w:rsidP="00960099">
      <w:r>
        <w:t>Като се имат предвид първичните ефекти върху централната нервна система, кветиапин може да повлияе дейностите, изискващи психична концентрация. Поради това пациентите трябва да се съветват да не шофират или да не работят с машини до изясняване на индивидуалната им чувствителност.</w:t>
      </w:r>
    </w:p>
    <w:p w14:paraId="6BB650D1" w14:textId="77777777" w:rsidR="00960099" w:rsidRPr="00960099" w:rsidRDefault="00960099" w:rsidP="00960099"/>
    <w:p w14:paraId="28229498" w14:textId="4C475757" w:rsidR="00DF4C8E" w:rsidRDefault="002C50EE" w:rsidP="00F44498">
      <w:pPr>
        <w:pStyle w:val="Heading2"/>
      </w:pPr>
      <w:r>
        <w:t>4.8. Нежелани лекарствени реакции</w:t>
      </w:r>
    </w:p>
    <w:p w14:paraId="67EE705B" w14:textId="41594566" w:rsidR="00960099" w:rsidRDefault="00960099" w:rsidP="00960099"/>
    <w:p w14:paraId="1A3B6403" w14:textId="77777777"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Най-честите докладвани нежелани реакции </w:t>
      </w:r>
      <w:r w:rsidRPr="00960099">
        <w:rPr>
          <w:rFonts w:eastAsia="Times New Roman" w:cs="Arial"/>
          <w:color w:val="000000"/>
          <w:szCs w:val="18"/>
          <w:lang w:val="ru-RU"/>
        </w:rPr>
        <w:t>(</w:t>
      </w:r>
      <w:r w:rsidRPr="00960099">
        <w:rPr>
          <w:rFonts w:eastAsia="Times New Roman" w:cs="Arial"/>
          <w:color w:val="000000"/>
          <w:szCs w:val="18"/>
          <w:lang w:val="en-US"/>
        </w:rPr>
        <w:t>ADRs</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при кветиапин (&gt;10%) са сомнолентност, световъртеж, главоболие, сухота в устата, симптоми на отнемане (прекратяване), повишаване на нивата на триглицеридите в серума, повишаване на общия холестерол (предимно </w:t>
      </w:r>
      <w:r w:rsidRPr="00960099">
        <w:rPr>
          <w:rFonts w:eastAsia="Times New Roman" w:cs="Arial"/>
          <w:color w:val="000000"/>
          <w:szCs w:val="18"/>
          <w:lang w:val="en-US"/>
        </w:rPr>
        <w:t>LDL</w:t>
      </w:r>
      <w:r w:rsidRPr="00960099">
        <w:rPr>
          <w:rFonts w:eastAsia="Times New Roman" w:cs="Arial"/>
          <w:color w:val="000000"/>
          <w:szCs w:val="18"/>
          <w:lang w:val="ru-RU"/>
        </w:rPr>
        <w:t xml:space="preserve"> </w:t>
      </w:r>
      <w:r w:rsidRPr="00960099">
        <w:rPr>
          <w:rFonts w:eastAsia="Times New Roman" w:cs="Arial"/>
          <w:color w:val="000000"/>
          <w:szCs w:val="18"/>
          <w:lang w:eastAsia="bg-BG"/>
        </w:rPr>
        <w:t xml:space="preserve">холестерол), намаляване на </w:t>
      </w:r>
      <w:r w:rsidRPr="00960099">
        <w:rPr>
          <w:rFonts w:eastAsia="Times New Roman" w:cs="Arial"/>
          <w:color w:val="000000"/>
          <w:szCs w:val="18"/>
          <w:lang w:val="en-US"/>
        </w:rPr>
        <w:t>HDL</w:t>
      </w:r>
      <w:r w:rsidRPr="00960099">
        <w:rPr>
          <w:rFonts w:eastAsia="Times New Roman" w:cs="Arial"/>
          <w:color w:val="000000"/>
          <w:szCs w:val="18"/>
          <w:lang w:val="ru-RU"/>
        </w:rPr>
        <w:t xml:space="preserve"> </w:t>
      </w:r>
      <w:r w:rsidRPr="00960099">
        <w:rPr>
          <w:rFonts w:eastAsia="Times New Roman" w:cs="Arial"/>
          <w:color w:val="000000"/>
          <w:szCs w:val="18"/>
          <w:lang w:eastAsia="bg-BG"/>
        </w:rPr>
        <w:t>холестерол, наддаване на тегло, намален хемоглобин и екстрапирамидни симптоми.</w:t>
      </w:r>
    </w:p>
    <w:p w14:paraId="03EC9E76" w14:textId="77777777" w:rsidR="00960099" w:rsidRPr="00960099" w:rsidRDefault="00960099" w:rsidP="00960099">
      <w:pPr>
        <w:spacing w:line="240" w:lineRule="auto"/>
        <w:rPr>
          <w:rFonts w:eastAsia="Times New Roman" w:cs="Arial"/>
          <w:color w:val="000000"/>
          <w:szCs w:val="18"/>
          <w:lang w:eastAsia="bg-BG"/>
        </w:rPr>
      </w:pPr>
    </w:p>
    <w:p w14:paraId="737896D0" w14:textId="5B41BC96"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 xml:space="preserve">Честотата на НЛР, свързани с терапията с кветиапин, е дадена в таблица по-долу (Таблица 1), според формата препоръчано от Съвета за международни организации на медицинските науки (Работна група </w:t>
      </w:r>
      <w:r w:rsidRPr="00960099">
        <w:rPr>
          <w:rFonts w:eastAsia="Times New Roman" w:cs="Arial"/>
          <w:color w:val="000000"/>
          <w:szCs w:val="18"/>
          <w:lang w:val="en-US"/>
        </w:rPr>
        <w:t>CIOMS</w:t>
      </w:r>
      <w:r w:rsidRPr="00960099">
        <w:rPr>
          <w:rFonts w:eastAsia="Times New Roman" w:cs="Arial"/>
          <w:color w:val="000000"/>
          <w:szCs w:val="18"/>
          <w:lang w:val="ru-RU"/>
        </w:rPr>
        <w:t xml:space="preserve"> </w:t>
      </w:r>
      <w:r w:rsidRPr="00960099">
        <w:rPr>
          <w:rFonts w:eastAsia="Times New Roman" w:cs="Arial"/>
          <w:color w:val="000000"/>
          <w:szCs w:val="18"/>
          <w:lang w:eastAsia="bg-BG"/>
        </w:rPr>
        <w:t>III; 1995).</w:t>
      </w:r>
    </w:p>
    <w:p w14:paraId="5AFDF235" w14:textId="77777777" w:rsidR="00960099" w:rsidRPr="00960099" w:rsidRDefault="00960099" w:rsidP="00960099">
      <w:pPr>
        <w:spacing w:line="240" w:lineRule="auto"/>
        <w:rPr>
          <w:rFonts w:eastAsia="Times New Roman" w:cs="Arial"/>
          <w:i/>
          <w:iCs/>
          <w:color w:val="000000"/>
          <w:szCs w:val="18"/>
          <w:lang w:eastAsia="bg-BG"/>
        </w:rPr>
      </w:pPr>
    </w:p>
    <w:p w14:paraId="743E8D97" w14:textId="6DA12B10" w:rsidR="00960099" w:rsidRPr="00960099" w:rsidRDefault="00960099" w:rsidP="00960099">
      <w:pPr>
        <w:spacing w:line="240" w:lineRule="auto"/>
        <w:rPr>
          <w:rFonts w:eastAsia="Times New Roman" w:cs="Arial"/>
          <w:sz w:val="32"/>
          <w:szCs w:val="24"/>
        </w:rPr>
      </w:pPr>
      <w:r w:rsidRPr="00960099">
        <w:rPr>
          <w:rFonts w:eastAsia="Times New Roman" w:cs="Arial"/>
          <w:i/>
          <w:iCs/>
          <w:color w:val="000000"/>
          <w:szCs w:val="18"/>
          <w:lang w:eastAsia="bg-BG"/>
        </w:rPr>
        <w:t>Таблица 1 НЛР, свързани с терапията с кветиапин</w:t>
      </w:r>
    </w:p>
    <w:p w14:paraId="42C729F3" w14:textId="77777777" w:rsidR="00960099" w:rsidRPr="00960099" w:rsidRDefault="00960099" w:rsidP="00960099">
      <w:pPr>
        <w:spacing w:line="240" w:lineRule="auto"/>
        <w:rPr>
          <w:rFonts w:eastAsia="Times New Roman" w:cs="Arial"/>
          <w:color w:val="000000"/>
          <w:szCs w:val="18"/>
          <w:lang w:eastAsia="bg-BG"/>
        </w:rPr>
      </w:pPr>
    </w:p>
    <w:p w14:paraId="1ECAC694" w14:textId="6430E4D2" w:rsidR="00960099" w:rsidRPr="00960099" w:rsidRDefault="00960099" w:rsidP="00960099">
      <w:pPr>
        <w:spacing w:line="240" w:lineRule="auto"/>
        <w:rPr>
          <w:rFonts w:eastAsia="Times New Roman" w:cs="Arial"/>
          <w:sz w:val="32"/>
          <w:szCs w:val="24"/>
        </w:rPr>
      </w:pPr>
      <w:r w:rsidRPr="00960099">
        <w:rPr>
          <w:rFonts w:eastAsia="Times New Roman" w:cs="Arial"/>
          <w:color w:val="000000"/>
          <w:szCs w:val="18"/>
          <w:lang w:eastAsia="bg-BG"/>
        </w:rPr>
        <w:t>Нежеланите лекарствени реакции са класифицирани по честота както следва: много чести (≥1/10); чести (≥1/100,&lt;1/10); нечести (≥1/1000,&lt; 1/100); редки (≥1/10,000,&lt;1/1000); много редки (&lt;1/10 000), неизвестна честота (не могат да бъдат оценени от наличните данни).</w:t>
      </w:r>
    </w:p>
    <w:p w14:paraId="18C83AF1" w14:textId="24CBAC4E" w:rsidR="00960099" w:rsidRDefault="00960099" w:rsidP="00960099"/>
    <w:tbl>
      <w:tblPr>
        <w:tblStyle w:val="TableGrid"/>
        <w:tblW w:w="0" w:type="auto"/>
        <w:tblLook w:val="04A0" w:firstRow="1" w:lastRow="0" w:firstColumn="1" w:lastColumn="0" w:noHBand="0" w:noVBand="1"/>
      </w:tblPr>
      <w:tblGrid>
        <w:gridCol w:w="1122"/>
        <w:gridCol w:w="1466"/>
        <w:gridCol w:w="1375"/>
        <w:gridCol w:w="1704"/>
        <w:gridCol w:w="1277"/>
        <w:gridCol w:w="1260"/>
        <w:gridCol w:w="1146"/>
      </w:tblGrid>
      <w:tr w:rsidR="008474B9" w14:paraId="30F38BBC" w14:textId="77777777" w:rsidTr="008474B9">
        <w:tc>
          <w:tcPr>
            <w:tcW w:w="1123" w:type="dxa"/>
          </w:tcPr>
          <w:p w14:paraId="7FFA38F7" w14:textId="6AE94E88" w:rsidR="00960099" w:rsidRPr="00960099" w:rsidRDefault="00960099" w:rsidP="00960099">
            <w:pPr>
              <w:rPr>
                <w:rFonts w:cs="Arial"/>
              </w:rPr>
            </w:pPr>
            <w:r w:rsidRPr="00960099">
              <w:rPr>
                <w:rFonts w:cs="Arial"/>
                <w:b/>
                <w:bCs/>
              </w:rPr>
              <w:t>Системно- органен клас</w:t>
            </w:r>
          </w:p>
        </w:tc>
        <w:tc>
          <w:tcPr>
            <w:tcW w:w="1468" w:type="dxa"/>
          </w:tcPr>
          <w:p w14:paraId="3D6866B9" w14:textId="13769D9D" w:rsidR="00960099" w:rsidRPr="00960099" w:rsidRDefault="00960099" w:rsidP="00960099">
            <w:pPr>
              <w:rPr>
                <w:rFonts w:cs="Arial"/>
              </w:rPr>
            </w:pPr>
            <w:r w:rsidRPr="00960099">
              <w:rPr>
                <w:rFonts w:cs="Arial"/>
                <w:b/>
                <w:bCs/>
              </w:rPr>
              <w:t>Много чести</w:t>
            </w:r>
          </w:p>
        </w:tc>
        <w:tc>
          <w:tcPr>
            <w:tcW w:w="1368" w:type="dxa"/>
          </w:tcPr>
          <w:p w14:paraId="69399EF2" w14:textId="48893A38" w:rsidR="00960099" w:rsidRPr="00960099" w:rsidRDefault="00960099" w:rsidP="00960099">
            <w:pPr>
              <w:rPr>
                <w:rFonts w:cs="Arial"/>
              </w:rPr>
            </w:pPr>
            <w:r w:rsidRPr="00960099">
              <w:rPr>
                <w:rFonts w:cs="Arial"/>
                <w:b/>
                <w:bCs/>
              </w:rPr>
              <w:t>Чести</w:t>
            </w:r>
          </w:p>
        </w:tc>
        <w:tc>
          <w:tcPr>
            <w:tcW w:w="1705" w:type="dxa"/>
          </w:tcPr>
          <w:p w14:paraId="62939EA7" w14:textId="538B5A4C" w:rsidR="00960099" w:rsidRPr="00960099" w:rsidRDefault="00960099" w:rsidP="00960099">
            <w:pPr>
              <w:rPr>
                <w:rFonts w:cs="Arial"/>
              </w:rPr>
            </w:pPr>
            <w:r w:rsidRPr="00960099">
              <w:rPr>
                <w:rFonts w:cs="Arial"/>
                <w:b/>
                <w:bCs/>
              </w:rPr>
              <w:t>Нечести</w:t>
            </w:r>
          </w:p>
        </w:tc>
        <w:tc>
          <w:tcPr>
            <w:tcW w:w="1278" w:type="dxa"/>
          </w:tcPr>
          <w:p w14:paraId="543A465B" w14:textId="2413FB4A" w:rsidR="00960099" w:rsidRPr="00960099" w:rsidRDefault="00960099" w:rsidP="00960099">
            <w:pPr>
              <w:rPr>
                <w:rFonts w:cs="Arial"/>
              </w:rPr>
            </w:pPr>
            <w:r w:rsidRPr="00960099">
              <w:rPr>
                <w:rFonts w:cs="Arial"/>
                <w:b/>
                <w:bCs/>
              </w:rPr>
              <w:t>Редки</w:t>
            </w:r>
          </w:p>
        </w:tc>
        <w:tc>
          <w:tcPr>
            <w:tcW w:w="1261" w:type="dxa"/>
          </w:tcPr>
          <w:p w14:paraId="5AA9FB28" w14:textId="2D9C0C04" w:rsidR="00960099" w:rsidRPr="00960099" w:rsidRDefault="00960099" w:rsidP="00960099">
            <w:pPr>
              <w:rPr>
                <w:rFonts w:cs="Arial"/>
              </w:rPr>
            </w:pPr>
            <w:r w:rsidRPr="00960099">
              <w:rPr>
                <w:rFonts w:cs="Arial"/>
                <w:b/>
                <w:bCs/>
              </w:rPr>
              <w:t>Много редки</w:t>
            </w:r>
          </w:p>
        </w:tc>
        <w:tc>
          <w:tcPr>
            <w:tcW w:w="1147" w:type="dxa"/>
          </w:tcPr>
          <w:p w14:paraId="46150F2A" w14:textId="2B8F7052" w:rsidR="00960099" w:rsidRPr="00960099" w:rsidRDefault="00960099" w:rsidP="00960099">
            <w:pPr>
              <w:rPr>
                <w:rFonts w:cs="Arial"/>
              </w:rPr>
            </w:pPr>
            <w:r>
              <w:rPr>
                <w:rFonts w:cs="Arial"/>
                <w:b/>
                <w:bCs/>
              </w:rPr>
              <w:t>с неизвес</w:t>
            </w:r>
            <w:r w:rsidRPr="00960099">
              <w:rPr>
                <w:rFonts w:cs="Arial"/>
                <w:b/>
                <w:bCs/>
              </w:rPr>
              <w:t>тна честота</w:t>
            </w:r>
          </w:p>
        </w:tc>
      </w:tr>
      <w:tr w:rsidR="008474B9" w14:paraId="2657B725" w14:textId="77777777" w:rsidTr="008474B9">
        <w:tc>
          <w:tcPr>
            <w:tcW w:w="1123" w:type="dxa"/>
          </w:tcPr>
          <w:p w14:paraId="0A447E19" w14:textId="668540E2" w:rsidR="00960099" w:rsidRPr="00960099" w:rsidRDefault="00960099" w:rsidP="00960099">
            <w:pPr>
              <w:rPr>
                <w:rFonts w:cs="Arial"/>
              </w:rPr>
            </w:pPr>
            <w:r w:rsidRPr="00960099">
              <w:rPr>
                <w:rFonts w:cs="Arial"/>
              </w:rPr>
              <w:t>Нарушения на кръвта и лимфната система</w:t>
            </w:r>
          </w:p>
        </w:tc>
        <w:tc>
          <w:tcPr>
            <w:tcW w:w="1468" w:type="dxa"/>
          </w:tcPr>
          <w:p w14:paraId="00A62D8C" w14:textId="2116FCE3" w:rsidR="00960099" w:rsidRPr="00960099" w:rsidRDefault="00960099" w:rsidP="00960099">
            <w:pPr>
              <w:rPr>
                <w:rFonts w:cs="Arial"/>
              </w:rPr>
            </w:pPr>
            <w:r w:rsidRPr="00960099">
              <w:rPr>
                <w:rFonts w:cs="Arial"/>
              </w:rPr>
              <w:t>Понижени стойности на хемоглобина (22)</w:t>
            </w:r>
          </w:p>
        </w:tc>
        <w:tc>
          <w:tcPr>
            <w:tcW w:w="1368" w:type="dxa"/>
          </w:tcPr>
          <w:p w14:paraId="09F061B1" w14:textId="73022879" w:rsidR="00960099" w:rsidRPr="00960099" w:rsidRDefault="00960099" w:rsidP="00960099">
            <w:pPr>
              <w:rPr>
                <w:rFonts w:cs="Arial"/>
              </w:rPr>
            </w:pPr>
            <w:r w:rsidRPr="00960099">
              <w:rPr>
                <w:rFonts w:cs="Arial"/>
              </w:rPr>
              <w:t>Левк</w:t>
            </w:r>
            <w:r>
              <w:rPr>
                <w:rFonts w:cs="Arial"/>
              </w:rPr>
              <w:t xml:space="preserve">опения (1,28) намаление на броя </w:t>
            </w:r>
            <w:r w:rsidRPr="00960099">
              <w:rPr>
                <w:rFonts w:cs="Arial"/>
              </w:rPr>
              <w:t>на</w:t>
            </w:r>
          </w:p>
          <w:p w14:paraId="022E0AA3" w14:textId="65E072E1" w:rsidR="00960099" w:rsidRPr="00960099" w:rsidRDefault="00960099" w:rsidP="00960099">
            <w:pPr>
              <w:rPr>
                <w:rFonts w:cs="Arial"/>
              </w:rPr>
            </w:pPr>
            <w:r w:rsidRPr="00960099">
              <w:rPr>
                <w:rFonts w:cs="Arial"/>
              </w:rPr>
              <w:t>неутрофилите, повишаване на еозинофилите (27)</w:t>
            </w:r>
          </w:p>
        </w:tc>
        <w:tc>
          <w:tcPr>
            <w:tcW w:w="1705" w:type="dxa"/>
          </w:tcPr>
          <w:p w14:paraId="3B5ABA3A" w14:textId="6EA408B0" w:rsidR="00960099" w:rsidRPr="00960099" w:rsidRDefault="00960099" w:rsidP="00960099">
            <w:pPr>
              <w:rPr>
                <w:rFonts w:cs="Arial"/>
              </w:rPr>
            </w:pPr>
            <w:r w:rsidRPr="00960099">
              <w:rPr>
                <w:rFonts w:cs="Arial"/>
              </w:rPr>
              <w:t>Тромбоцито пения, неутропения</w:t>
            </w:r>
            <w:r w:rsidRPr="00960099">
              <w:rPr>
                <w:rFonts w:cs="Arial"/>
                <w:vertAlign w:val="superscript"/>
              </w:rPr>
              <w:t>1</w:t>
            </w:r>
            <w:r w:rsidRPr="00960099">
              <w:rPr>
                <w:rFonts w:cs="Arial"/>
              </w:rPr>
              <w:t>, анемия, намаляване броя на тромбоцитите</w:t>
            </w:r>
            <w:r w:rsidRPr="00960099">
              <w:rPr>
                <w:rFonts w:cs="Arial"/>
                <w:vertAlign w:val="superscript"/>
              </w:rPr>
              <w:t>(13)</w:t>
            </w:r>
          </w:p>
        </w:tc>
        <w:tc>
          <w:tcPr>
            <w:tcW w:w="1278" w:type="dxa"/>
          </w:tcPr>
          <w:p w14:paraId="22A70C16" w14:textId="25EE37CF" w:rsidR="00960099" w:rsidRPr="00960099" w:rsidRDefault="00960099" w:rsidP="00960099">
            <w:pPr>
              <w:rPr>
                <w:rFonts w:cs="Arial"/>
              </w:rPr>
            </w:pPr>
            <w:r w:rsidRPr="00960099">
              <w:rPr>
                <w:rFonts w:cs="Arial"/>
              </w:rPr>
              <w:t>Агранулоцит оза</w:t>
            </w:r>
            <w:r w:rsidRPr="00960099">
              <w:rPr>
                <w:rFonts w:cs="Arial"/>
                <w:vertAlign w:val="superscript"/>
              </w:rPr>
              <w:t>(26)</w:t>
            </w:r>
          </w:p>
        </w:tc>
        <w:tc>
          <w:tcPr>
            <w:tcW w:w="1261" w:type="dxa"/>
          </w:tcPr>
          <w:p w14:paraId="7D877E62" w14:textId="77777777" w:rsidR="00960099" w:rsidRPr="00960099" w:rsidRDefault="00960099" w:rsidP="00960099">
            <w:pPr>
              <w:rPr>
                <w:rFonts w:cs="Arial"/>
              </w:rPr>
            </w:pPr>
          </w:p>
        </w:tc>
        <w:tc>
          <w:tcPr>
            <w:tcW w:w="1147" w:type="dxa"/>
          </w:tcPr>
          <w:p w14:paraId="52086000" w14:textId="77777777" w:rsidR="00960099" w:rsidRPr="00960099" w:rsidRDefault="00960099" w:rsidP="00960099">
            <w:pPr>
              <w:rPr>
                <w:rFonts w:cs="Arial"/>
              </w:rPr>
            </w:pPr>
          </w:p>
        </w:tc>
      </w:tr>
      <w:tr w:rsidR="008474B9" w14:paraId="47B2D2EC" w14:textId="77777777" w:rsidTr="008474B9">
        <w:tc>
          <w:tcPr>
            <w:tcW w:w="1123" w:type="dxa"/>
          </w:tcPr>
          <w:p w14:paraId="0E19C370" w14:textId="3EDFBB05" w:rsidR="00960099" w:rsidRPr="00960099" w:rsidRDefault="00960099" w:rsidP="00960099">
            <w:pPr>
              <w:rPr>
                <w:rFonts w:cs="Arial"/>
              </w:rPr>
            </w:pPr>
            <w:r w:rsidRPr="00960099">
              <w:rPr>
                <w:rFonts w:cs="Arial"/>
              </w:rPr>
              <w:t>Нарушения на имуннат</w:t>
            </w:r>
            <w:r w:rsidRPr="00960099">
              <w:rPr>
                <w:rFonts w:cs="Arial"/>
              </w:rPr>
              <w:lastRenderedPageBreak/>
              <w:t>а система</w:t>
            </w:r>
          </w:p>
        </w:tc>
        <w:tc>
          <w:tcPr>
            <w:tcW w:w="1468" w:type="dxa"/>
          </w:tcPr>
          <w:p w14:paraId="0D6B4D9F" w14:textId="77777777" w:rsidR="00960099" w:rsidRPr="00960099" w:rsidRDefault="00960099" w:rsidP="00960099">
            <w:pPr>
              <w:rPr>
                <w:rFonts w:cs="Arial"/>
              </w:rPr>
            </w:pPr>
          </w:p>
        </w:tc>
        <w:tc>
          <w:tcPr>
            <w:tcW w:w="1368" w:type="dxa"/>
          </w:tcPr>
          <w:p w14:paraId="688D8D7F" w14:textId="77777777" w:rsidR="00960099" w:rsidRPr="00960099" w:rsidRDefault="00960099" w:rsidP="00960099">
            <w:pPr>
              <w:rPr>
                <w:rFonts w:cs="Arial"/>
              </w:rPr>
            </w:pPr>
          </w:p>
        </w:tc>
        <w:tc>
          <w:tcPr>
            <w:tcW w:w="1705" w:type="dxa"/>
          </w:tcPr>
          <w:p w14:paraId="197A3EF2" w14:textId="281678D9" w:rsidR="00960099" w:rsidRPr="00960099" w:rsidRDefault="00960099" w:rsidP="00960099">
            <w:pPr>
              <w:rPr>
                <w:rFonts w:cs="Arial"/>
              </w:rPr>
            </w:pPr>
            <w:r w:rsidRPr="00960099">
              <w:rPr>
                <w:rFonts w:cs="Arial"/>
              </w:rPr>
              <w:t xml:space="preserve">Свръхчувствител ност (включително </w:t>
            </w:r>
            <w:r w:rsidRPr="00960099">
              <w:rPr>
                <w:rFonts w:cs="Arial"/>
              </w:rPr>
              <w:lastRenderedPageBreak/>
              <w:t>алергични кожни реакции)</w:t>
            </w:r>
          </w:p>
        </w:tc>
        <w:tc>
          <w:tcPr>
            <w:tcW w:w="1278" w:type="dxa"/>
          </w:tcPr>
          <w:p w14:paraId="01CD7C6B" w14:textId="77777777" w:rsidR="00960099" w:rsidRPr="00960099" w:rsidRDefault="00960099" w:rsidP="00960099">
            <w:pPr>
              <w:rPr>
                <w:rFonts w:cs="Arial"/>
              </w:rPr>
            </w:pPr>
          </w:p>
        </w:tc>
        <w:tc>
          <w:tcPr>
            <w:tcW w:w="1261" w:type="dxa"/>
          </w:tcPr>
          <w:p w14:paraId="432AD8AE" w14:textId="0126E1FF" w:rsidR="00960099" w:rsidRPr="00960099" w:rsidRDefault="00960099" w:rsidP="00960099">
            <w:pPr>
              <w:rPr>
                <w:rFonts w:cs="Arial"/>
              </w:rPr>
            </w:pPr>
            <w:r w:rsidRPr="00960099">
              <w:rPr>
                <w:rFonts w:cs="Arial"/>
              </w:rPr>
              <w:t>Анафилактич на реакция</w:t>
            </w:r>
            <w:r w:rsidRPr="00960099">
              <w:rPr>
                <w:rFonts w:cs="Arial"/>
                <w:vertAlign w:val="superscript"/>
              </w:rPr>
              <w:t>(5)</w:t>
            </w:r>
          </w:p>
        </w:tc>
        <w:tc>
          <w:tcPr>
            <w:tcW w:w="1147" w:type="dxa"/>
          </w:tcPr>
          <w:p w14:paraId="5DC773D0" w14:textId="77777777" w:rsidR="00960099" w:rsidRPr="00960099" w:rsidRDefault="00960099" w:rsidP="00960099">
            <w:pPr>
              <w:rPr>
                <w:rFonts w:cs="Arial"/>
              </w:rPr>
            </w:pPr>
          </w:p>
        </w:tc>
      </w:tr>
      <w:tr w:rsidR="008474B9" w14:paraId="3255519D" w14:textId="77777777" w:rsidTr="008474B9">
        <w:tc>
          <w:tcPr>
            <w:tcW w:w="1123" w:type="dxa"/>
          </w:tcPr>
          <w:p w14:paraId="325271D7" w14:textId="4BB899DA" w:rsidR="00960099" w:rsidRPr="00960099" w:rsidRDefault="00960099" w:rsidP="00960099">
            <w:pPr>
              <w:rPr>
                <w:rFonts w:cs="Arial"/>
              </w:rPr>
            </w:pPr>
            <w:r w:rsidRPr="00960099">
              <w:rPr>
                <w:rFonts w:cs="Arial"/>
              </w:rPr>
              <w:t>Нарушения на ендокри нната система</w:t>
            </w:r>
          </w:p>
        </w:tc>
        <w:tc>
          <w:tcPr>
            <w:tcW w:w="1468" w:type="dxa"/>
          </w:tcPr>
          <w:p w14:paraId="1FE6113C" w14:textId="77777777" w:rsidR="00960099" w:rsidRPr="00960099" w:rsidRDefault="00960099" w:rsidP="00960099">
            <w:pPr>
              <w:rPr>
                <w:rFonts w:cs="Arial"/>
              </w:rPr>
            </w:pPr>
          </w:p>
        </w:tc>
        <w:tc>
          <w:tcPr>
            <w:tcW w:w="1368" w:type="dxa"/>
          </w:tcPr>
          <w:p w14:paraId="03F30C1A" w14:textId="472D6892" w:rsidR="00960099" w:rsidRPr="00960099" w:rsidRDefault="00960099" w:rsidP="00960099">
            <w:pPr>
              <w:rPr>
                <w:rFonts w:cs="Arial"/>
              </w:rPr>
            </w:pPr>
            <w:r w:rsidRPr="00960099">
              <w:rPr>
                <w:rFonts w:cs="Arial"/>
              </w:rPr>
              <w:t>Хиперпролакт инемия</w:t>
            </w:r>
            <w:r w:rsidRPr="00960099">
              <w:rPr>
                <w:rFonts w:cs="Arial"/>
                <w:vertAlign w:val="superscript"/>
              </w:rPr>
              <w:t>(15)</w:t>
            </w:r>
            <w:r w:rsidRPr="00960099">
              <w:rPr>
                <w:rFonts w:cs="Arial"/>
              </w:rPr>
              <w:t xml:space="preserve"> понижаване на</w:t>
            </w:r>
            <w:r>
              <w:rPr>
                <w:rFonts w:cs="Arial"/>
              </w:rPr>
              <w:t xml:space="preserve"> </w:t>
            </w:r>
            <w:r w:rsidRPr="00960099">
              <w:rPr>
                <w:rFonts w:cs="Arial"/>
              </w:rPr>
              <w:t>общия</w:t>
            </w:r>
          </w:p>
          <w:p w14:paraId="710B209B" w14:textId="77777777" w:rsidR="00960099" w:rsidRDefault="00960099" w:rsidP="00960099">
            <w:pPr>
              <w:rPr>
                <w:rFonts w:cs="Arial"/>
                <w:vertAlign w:val="superscript"/>
              </w:rPr>
            </w:pPr>
            <w:r w:rsidRPr="00960099">
              <w:rPr>
                <w:rFonts w:cs="Arial"/>
                <w:smallCaps/>
              </w:rPr>
              <w:t>т</w:t>
            </w:r>
            <w:r w:rsidRPr="00960099">
              <w:rPr>
                <w:rFonts w:cs="Arial"/>
                <w:smallCaps/>
                <w:vertAlign w:val="subscript"/>
              </w:rPr>
              <w:t>4</w:t>
            </w:r>
            <w:r w:rsidRPr="00960099">
              <w:rPr>
                <w:rFonts w:cs="Arial"/>
                <w:smallCaps/>
                <w:vertAlign w:val="superscript"/>
              </w:rPr>
              <w:t>(24)</w:t>
            </w:r>
            <w:r w:rsidRPr="00960099">
              <w:rPr>
                <w:rFonts w:cs="Arial"/>
                <w:smallCaps/>
              </w:rPr>
              <w:t xml:space="preserve">, </w:t>
            </w:r>
            <w:r>
              <w:rPr>
                <w:rFonts w:cs="Arial"/>
              </w:rPr>
              <w:t xml:space="preserve">понижаване на </w:t>
            </w:r>
            <w:r w:rsidRPr="00960099">
              <w:rPr>
                <w:rFonts w:cs="Arial"/>
              </w:rPr>
              <w:t xml:space="preserve">свободния </w:t>
            </w:r>
            <w:r w:rsidRPr="00960099">
              <w:rPr>
                <w:rFonts w:cs="Arial"/>
                <w:lang w:val="en-US"/>
              </w:rPr>
              <w:t>T</w:t>
            </w:r>
            <w:r w:rsidRPr="00960099">
              <w:rPr>
                <w:rFonts w:cs="Arial"/>
                <w:vertAlign w:val="subscript"/>
              </w:rPr>
              <w:t>4</w:t>
            </w:r>
            <w:r w:rsidRPr="00960099">
              <w:rPr>
                <w:rFonts w:cs="Arial"/>
                <w:vertAlign w:val="superscript"/>
              </w:rPr>
              <w:t>(24)</w:t>
            </w:r>
          </w:p>
          <w:p w14:paraId="6836CDAF" w14:textId="4AFBFE55" w:rsidR="00960099" w:rsidRPr="00960099" w:rsidRDefault="00960099" w:rsidP="00960099">
            <w:pPr>
              <w:spacing w:line="240" w:lineRule="auto"/>
              <w:rPr>
                <w:rFonts w:eastAsia="Times New Roman" w:cs="Arial"/>
              </w:rPr>
            </w:pPr>
            <w:r>
              <w:rPr>
                <w:rFonts w:eastAsia="Times New Roman" w:cs="Arial"/>
                <w:color w:val="000000"/>
                <w:lang w:eastAsia="bg-BG"/>
              </w:rPr>
              <w:t xml:space="preserve">понижаване на </w:t>
            </w:r>
            <w:r w:rsidRPr="00960099">
              <w:rPr>
                <w:rFonts w:eastAsia="Times New Roman" w:cs="Arial"/>
                <w:color w:val="000000"/>
                <w:lang w:eastAsia="bg-BG"/>
              </w:rPr>
              <w:t>общия</w:t>
            </w:r>
          </w:p>
          <w:p w14:paraId="197DB03B" w14:textId="6D34AB8A" w:rsidR="00960099" w:rsidRPr="00960099" w:rsidRDefault="00960099" w:rsidP="00960099">
            <w:pPr>
              <w:spacing w:line="240" w:lineRule="auto"/>
              <w:rPr>
                <w:rFonts w:eastAsia="Times New Roman" w:cs="Arial"/>
              </w:rPr>
            </w:pPr>
            <w:r w:rsidRPr="00960099">
              <w:rPr>
                <w:rFonts w:eastAsia="Times New Roman" w:cs="Arial"/>
                <w:color w:val="000000"/>
                <w:lang w:eastAsia="bg-BG"/>
              </w:rPr>
              <w:t>Т</w:t>
            </w:r>
            <w:r w:rsidRPr="00960099">
              <w:rPr>
                <w:rFonts w:eastAsia="Times New Roman" w:cs="Arial"/>
                <w:color w:val="000000"/>
                <w:vertAlign w:val="subscript"/>
                <w:lang w:eastAsia="bg-BG"/>
              </w:rPr>
              <w:t>3</w:t>
            </w:r>
            <w:r w:rsidRPr="00960099">
              <w:rPr>
                <w:rFonts w:eastAsia="Times New Roman" w:cs="Arial"/>
                <w:color w:val="000000"/>
                <w:vertAlign w:val="superscript"/>
                <w:lang w:eastAsia="bg-BG"/>
              </w:rPr>
              <w:t>(24)</w:t>
            </w:r>
            <w:r>
              <w:rPr>
                <w:rFonts w:eastAsia="Times New Roman" w:cs="Arial"/>
                <w:color w:val="000000"/>
                <w:lang w:eastAsia="bg-BG"/>
              </w:rPr>
              <w:t xml:space="preserve">, повишаване на </w:t>
            </w:r>
            <w:r w:rsidRPr="00960099">
              <w:rPr>
                <w:rFonts w:eastAsia="Times New Roman" w:cs="Arial"/>
                <w:color w:val="000000"/>
                <w:lang w:eastAsia="bg-BG"/>
              </w:rPr>
              <w:t>общия</w:t>
            </w:r>
          </w:p>
          <w:p w14:paraId="582FF340" w14:textId="472F8A98" w:rsidR="00960099" w:rsidRPr="00960099" w:rsidRDefault="00960099" w:rsidP="00960099">
            <w:pPr>
              <w:spacing w:line="240" w:lineRule="auto"/>
              <w:rPr>
                <w:rFonts w:ascii="Times New Roman" w:eastAsia="Times New Roman" w:hAnsi="Times New Roman" w:cs="Times New Roman"/>
                <w:sz w:val="24"/>
                <w:szCs w:val="24"/>
              </w:rPr>
            </w:pPr>
            <w:r w:rsidRPr="00960099">
              <w:rPr>
                <w:rFonts w:eastAsia="Times New Roman" w:cs="Arial"/>
                <w:smallCaps/>
                <w:color w:val="000000"/>
                <w:lang w:val="en-US"/>
              </w:rPr>
              <w:t>tsh</w:t>
            </w:r>
            <w:r w:rsidRPr="00960099">
              <w:rPr>
                <w:rFonts w:eastAsia="Times New Roman" w:cs="Arial"/>
                <w:smallCaps/>
                <w:color w:val="000000"/>
                <w:vertAlign w:val="superscript"/>
                <w:lang w:val="en-US"/>
              </w:rPr>
              <w:t>(24)</w:t>
            </w:r>
          </w:p>
        </w:tc>
        <w:tc>
          <w:tcPr>
            <w:tcW w:w="1705" w:type="dxa"/>
          </w:tcPr>
          <w:p w14:paraId="4293D0E4" w14:textId="66327F7D" w:rsidR="00960099" w:rsidRPr="00960099" w:rsidRDefault="00960099" w:rsidP="00960099">
            <w:pPr>
              <w:rPr>
                <w:rFonts w:cs="Arial"/>
              </w:rPr>
            </w:pPr>
            <w:r w:rsidRPr="00960099">
              <w:rPr>
                <w:rFonts w:cs="Arial"/>
              </w:rPr>
              <w:t>Понижаване на свободния Т</w:t>
            </w:r>
            <w:r w:rsidRPr="00960099">
              <w:rPr>
                <w:rFonts w:cs="Arial"/>
                <w:vertAlign w:val="subscript"/>
              </w:rPr>
              <w:t>3</w:t>
            </w:r>
            <w:r w:rsidRPr="00960099">
              <w:rPr>
                <w:rFonts w:cs="Arial"/>
                <w:vertAlign w:val="superscript"/>
              </w:rPr>
              <w:t>24</w:t>
            </w:r>
            <w:r w:rsidRPr="00960099">
              <w:rPr>
                <w:rFonts w:cs="Arial"/>
              </w:rPr>
              <w:t>, хипотиреоидизъм (21)</w:t>
            </w:r>
          </w:p>
        </w:tc>
        <w:tc>
          <w:tcPr>
            <w:tcW w:w="1278" w:type="dxa"/>
          </w:tcPr>
          <w:p w14:paraId="3BC19139" w14:textId="77777777" w:rsidR="00960099" w:rsidRPr="00960099" w:rsidRDefault="00960099" w:rsidP="00960099">
            <w:pPr>
              <w:rPr>
                <w:rFonts w:cs="Arial"/>
              </w:rPr>
            </w:pPr>
          </w:p>
        </w:tc>
        <w:tc>
          <w:tcPr>
            <w:tcW w:w="1261" w:type="dxa"/>
          </w:tcPr>
          <w:p w14:paraId="0BECFBBF" w14:textId="3A51C955" w:rsidR="00960099" w:rsidRPr="00960099" w:rsidRDefault="00960099" w:rsidP="00960099">
            <w:pPr>
              <w:rPr>
                <w:rFonts w:cs="Arial"/>
              </w:rPr>
            </w:pPr>
            <w:r w:rsidRPr="00960099">
              <w:rPr>
                <w:rFonts w:cs="Arial"/>
              </w:rPr>
              <w:t xml:space="preserve">Недостатъчн а секреция на антидиурети </w:t>
            </w:r>
            <w:r w:rsidRPr="00960099">
              <w:rPr>
                <w:rFonts w:cs="Arial"/>
                <w:u w:val="single"/>
              </w:rPr>
              <w:t>чен хор</w:t>
            </w:r>
            <w:r w:rsidRPr="00960099">
              <w:rPr>
                <w:rFonts w:cs="Arial"/>
              </w:rPr>
              <w:t>мон</w:t>
            </w:r>
          </w:p>
        </w:tc>
        <w:tc>
          <w:tcPr>
            <w:tcW w:w="1147" w:type="dxa"/>
          </w:tcPr>
          <w:p w14:paraId="1D827F2B" w14:textId="77777777" w:rsidR="00960099" w:rsidRPr="00960099" w:rsidRDefault="00960099" w:rsidP="00960099">
            <w:pPr>
              <w:rPr>
                <w:rFonts w:cs="Arial"/>
              </w:rPr>
            </w:pPr>
          </w:p>
        </w:tc>
      </w:tr>
      <w:tr w:rsidR="008474B9" w14:paraId="38493479" w14:textId="77777777" w:rsidTr="008474B9">
        <w:tc>
          <w:tcPr>
            <w:tcW w:w="1123" w:type="dxa"/>
          </w:tcPr>
          <w:p w14:paraId="12A2D1CA" w14:textId="77777777" w:rsidR="00960099" w:rsidRPr="00960099" w:rsidRDefault="00960099" w:rsidP="00960099">
            <w:pPr>
              <w:rPr>
                <w:rFonts w:cs="Arial"/>
              </w:rPr>
            </w:pPr>
            <w:r w:rsidRPr="00960099">
              <w:rPr>
                <w:rFonts w:cs="Arial"/>
              </w:rPr>
              <w:t>Нарушения на метаболиз ма</w:t>
            </w:r>
            <w:r w:rsidRPr="00960099">
              <w:rPr>
                <w:rFonts w:cs="Arial"/>
              </w:rPr>
              <w:tab/>
              <w:t>и</w:t>
            </w:r>
          </w:p>
          <w:p w14:paraId="0E28C855" w14:textId="0B56FB97" w:rsidR="00960099" w:rsidRPr="00960099" w:rsidRDefault="00960099" w:rsidP="00960099">
            <w:pPr>
              <w:rPr>
                <w:rFonts w:cs="Arial"/>
              </w:rPr>
            </w:pPr>
            <w:r w:rsidRPr="00960099">
              <w:rPr>
                <w:rFonts w:cs="Arial"/>
              </w:rPr>
              <w:t>храненето</w:t>
            </w:r>
          </w:p>
        </w:tc>
        <w:tc>
          <w:tcPr>
            <w:tcW w:w="1468" w:type="dxa"/>
          </w:tcPr>
          <w:p w14:paraId="22FE9517" w14:textId="77777777" w:rsidR="00960099" w:rsidRPr="00960099" w:rsidRDefault="00960099" w:rsidP="00960099">
            <w:pPr>
              <w:rPr>
                <w:rFonts w:cs="Arial"/>
              </w:rPr>
            </w:pPr>
            <w:r w:rsidRPr="00960099">
              <w:rPr>
                <w:rFonts w:cs="Arial"/>
              </w:rPr>
              <w:t>Повишаване на серумните нива на триглицериди</w:t>
            </w:r>
          </w:p>
          <w:p w14:paraId="1BAA66E7" w14:textId="77777777" w:rsidR="00960099" w:rsidRPr="00960099" w:rsidRDefault="00960099" w:rsidP="00960099">
            <w:pPr>
              <w:rPr>
                <w:rFonts w:cs="Arial"/>
              </w:rPr>
            </w:pPr>
            <w:r w:rsidRPr="00960099">
              <w:rPr>
                <w:rFonts w:cs="Arial"/>
                <w:lang w:val="en-US"/>
              </w:rPr>
              <w:t>TE</w:t>
            </w:r>
            <w:r w:rsidRPr="00960099">
              <w:rPr>
                <w:rFonts w:cs="Arial"/>
              </w:rPr>
              <w:t xml:space="preserve">( 10,30), повишаване на общия холестерол (предимно </w:t>
            </w:r>
            <w:r w:rsidRPr="00960099">
              <w:rPr>
                <w:rFonts w:cs="Arial"/>
                <w:lang w:val="en-US"/>
              </w:rPr>
              <w:t>LDL</w:t>
            </w:r>
            <w:r w:rsidRPr="00960099">
              <w:rPr>
                <w:rFonts w:cs="Arial"/>
                <w:lang w:val="ru-RU"/>
              </w:rPr>
              <w:t xml:space="preserve"> </w:t>
            </w:r>
            <w:r w:rsidRPr="00960099">
              <w:rPr>
                <w:rFonts w:cs="Arial"/>
              </w:rPr>
              <w:t>холестерола) (11,30),</w:t>
            </w:r>
          </w:p>
          <w:p w14:paraId="4D9A259E" w14:textId="733A73B2" w:rsidR="00960099" w:rsidRPr="00960099" w:rsidRDefault="00960099" w:rsidP="00960099">
            <w:pPr>
              <w:rPr>
                <w:rFonts w:cs="Arial"/>
              </w:rPr>
            </w:pPr>
            <w:r w:rsidRPr="00960099">
              <w:rPr>
                <w:rFonts w:cs="Arial"/>
              </w:rPr>
              <w:t xml:space="preserve">понижаване на </w:t>
            </w:r>
            <w:r w:rsidRPr="00960099">
              <w:rPr>
                <w:rFonts w:cs="Arial"/>
                <w:lang w:val="en-US"/>
              </w:rPr>
              <w:t>HDL</w:t>
            </w:r>
            <w:r w:rsidRPr="00960099">
              <w:rPr>
                <w:rFonts w:cs="Arial"/>
                <w:lang w:val="ru-RU"/>
              </w:rPr>
              <w:t xml:space="preserve"> </w:t>
            </w:r>
            <w:r w:rsidRPr="00960099">
              <w:rPr>
                <w:rFonts w:cs="Arial"/>
              </w:rPr>
              <w:t>холестерола (17,30), повишаване на теглото</w:t>
            </w:r>
            <w:r w:rsidRPr="00960099">
              <w:rPr>
                <w:rFonts w:cs="Arial"/>
                <w:vertAlign w:val="superscript"/>
              </w:rPr>
              <w:t>(8,30)</w:t>
            </w:r>
          </w:p>
        </w:tc>
        <w:tc>
          <w:tcPr>
            <w:tcW w:w="1368" w:type="dxa"/>
          </w:tcPr>
          <w:p w14:paraId="2DA1F5D7" w14:textId="24757451" w:rsidR="00960099" w:rsidRPr="00960099" w:rsidRDefault="00960099" w:rsidP="00960099">
            <w:pPr>
              <w:rPr>
                <w:rFonts w:cs="Arial"/>
              </w:rPr>
            </w:pPr>
            <w:r w:rsidRPr="00960099">
              <w:rPr>
                <w:rFonts w:cs="Arial"/>
              </w:rPr>
              <w:t>Повишен апетит, повишаване на стойностите на кръвната захар до хипергликеми чни нива</w:t>
            </w:r>
            <w:r w:rsidRPr="00960099">
              <w:rPr>
                <w:rFonts w:cs="Arial"/>
                <w:vertAlign w:val="superscript"/>
              </w:rPr>
              <w:t>(6,30)</w:t>
            </w:r>
          </w:p>
        </w:tc>
        <w:tc>
          <w:tcPr>
            <w:tcW w:w="1705" w:type="dxa"/>
          </w:tcPr>
          <w:p w14:paraId="396111F9" w14:textId="48FC1C9E" w:rsidR="00960099" w:rsidRPr="00960099" w:rsidRDefault="00960099" w:rsidP="00960099">
            <w:pPr>
              <w:rPr>
                <w:rFonts w:cs="Arial"/>
              </w:rPr>
            </w:pPr>
            <w:r w:rsidRPr="00960099">
              <w:rPr>
                <w:rFonts w:cs="Arial"/>
              </w:rPr>
              <w:t>Хипонатриемия</w:t>
            </w:r>
            <w:r w:rsidRPr="00960099">
              <w:rPr>
                <w:rFonts w:cs="Arial"/>
                <w:vertAlign w:val="superscript"/>
              </w:rPr>
              <w:t xml:space="preserve">(19) </w:t>
            </w:r>
            <w:r w:rsidRPr="00960099">
              <w:rPr>
                <w:rFonts w:cs="Arial"/>
              </w:rPr>
              <w:t xml:space="preserve">, захарен диабет </w:t>
            </w:r>
            <w:r w:rsidRPr="00960099">
              <w:rPr>
                <w:rFonts w:cs="Arial"/>
                <w:vertAlign w:val="superscript"/>
              </w:rPr>
              <w:t>(1,5)</w:t>
            </w:r>
            <w:r w:rsidRPr="00960099">
              <w:rPr>
                <w:rFonts w:cs="Arial"/>
              </w:rPr>
              <w:t xml:space="preserve"> Ч обостряне на предварително съществуващ диабет</w:t>
            </w:r>
          </w:p>
        </w:tc>
        <w:tc>
          <w:tcPr>
            <w:tcW w:w="1278" w:type="dxa"/>
          </w:tcPr>
          <w:p w14:paraId="5BFB4144" w14:textId="0AE2C766" w:rsidR="00960099" w:rsidRPr="00960099" w:rsidRDefault="00960099" w:rsidP="00960099">
            <w:pPr>
              <w:rPr>
                <w:rFonts w:cs="Arial"/>
              </w:rPr>
            </w:pPr>
            <w:r w:rsidRPr="00960099">
              <w:rPr>
                <w:rFonts w:cs="Arial"/>
              </w:rPr>
              <w:t xml:space="preserve">Метаболитен синдром </w:t>
            </w:r>
            <w:r w:rsidRPr="00960099">
              <w:rPr>
                <w:rFonts w:cs="Arial"/>
                <w:vertAlign w:val="superscript"/>
              </w:rPr>
              <w:t>(29)</w:t>
            </w:r>
          </w:p>
        </w:tc>
        <w:tc>
          <w:tcPr>
            <w:tcW w:w="1261" w:type="dxa"/>
          </w:tcPr>
          <w:p w14:paraId="5103B64D" w14:textId="77777777" w:rsidR="00960099" w:rsidRPr="00960099" w:rsidRDefault="00960099" w:rsidP="00960099">
            <w:pPr>
              <w:rPr>
                <w:rFonts w:cs="Arial"/>
              </w:rPr>
            </w:pPr>
          </w:p>
        </w:tc>
        <w:tc>
          <w:tcPr>
            <w:tcW w:w="1147" w:type="dxa"/>
          </w:tcPr>
          <w:p w14:paraId="167597B2" w14:textId="77777777" w:rsidR="00960099" w:rsidRPr="00960099" w:rsidRDefault="00960099" w:rsidP="00960099">
            <w:pPr>
              <w:rPr>
                <w:rFonts w:cs="Arial"/>
              </w:rPr>
            </w:pPr>
          </w:p>
        </w:tc>
      </w:tr>
      <w:tr w:rsidR="008474B9" w14:paraId="17D5D235" w14:textId="77777777" w:rsidTr="008474B9">
        <w:tc>
          <w:tcPr>
            <w:tcW w:w="1123" w:type="dxa"/>
          </w:tcPr>
          <w:p w14:paraId="6B6ED142" w14:textId="39083A0B" w:rsidR="00960099" w:rsidRPr="00960099" w:rsidRDefault="00960099" w:rsidP="00960099">
            <w:pPr>
              <w:rPr>
                <w:rFonts w:cs="Arial"/>
              </w:rPr>
            </w:pPr>
            <w:r w:rsidRPr="00960099">
              <w:rPr>
                <w:rFonts w:cs="Arial"/>
              </w:rPr>
              <w:t>Психични нарушения</w:t>
            </w:r>
          </w:p>
        </w:tc>
        <w:tc>
          <w:tcPr>
            <w:tcW w:w="1468" w:type="dxa"/>
          </w:tcPr>
          <w:p w14:paraId="155EBFE0" w14:textId="77777777" w:rsidR="00960099" w:rsidRPr="00960099" w:rsidRDefault="00960099" w:rsidP="00960099">
            <w:pPr>
              <w:rPr>
                <w:rFonts w:cs="Arial"/>
              </w:rPr>
            </w:pPr>
          </w:p>
        </w:tc>
        <w:tc>
          <w:tcPr>
            <w:tcW w:w="1368" w:type="dxa"/>
          </w:tcPr>
          <w:p w14:paraId="6EF3A141" w14:textId="0BA7955C" w:rsidR="00960099" w:rsidRPr="00960099" w:rsidRDefault="00960099" w:rsidP="00960099">
            <w:pPr>
              <w:rPr>
                <w:rFonts w:cs="Arial"/>
              </w:rPr>
            </w:pPr>
            <w:r w:rsidRPr="00960099">
              <w:rPr>
                <w:rFonts w:cs="Arial"/>
              </w:rPr>
              <w:t xml:space="preserve">Необичайни сънища и кошмари; Суицидни </w:t>
            </w:r>
            <w:r w:rsidRPr="00960099">
              <w:rPr>
                <w:rFonts w:cs="Arial"/>
              </w:rPr>
              <w:lastRenderedPageBreak/>
              <w:t>намерения и поведение</w:t>
            </w:r>
            <w:r w:rsidRPr="00960099">
              <w:rPr>
                <w:rFonts w:cs="Arial"/>
                <w:vertAlign w:val="superscript"/>
              </w:rPr>
              <w:t>(20)</w:t>
            </w:r>
          </w:p>
        </w:tc>
        <w:tc>
          <w:tcPr>
            <w:tcW w:w="1705" w:type="dxa"/>
          </w:tcPr>
          <w:p w14:paraId="137E3340" w14:textId="77777777" w:rsidR="00960099" w:rsidRPr="00960099" w:rsidRDefault="00960099" w:rsidP="00960099">
            <w:pPr>
              <w:rPr>
                <w:rFonts w:cs="Arial"/>
              </w:rPr>
            </w:pPr>
          </w:p>
        </w:tc>
        <w:tc>
          <w:tcPr>
            <w:tcW w:w="1278" w:type="dxa"/>
            <w:vAlign w:val="bottom"/>
          </w:tcPr>
          <w:p w14:paraId="6B80E2CF" w14:textId="3719AA56" w:rsidR="00960099" w:rsidRPr="00960099" w:rsidRDefault="00960099" w:rsidP="00960099">
            <w:pPr>
              <w:rPr>
                <w:rFonts w:cs="Arial"/>
              </w:rPr>
            </w:pPr>
            <w:r w:rsidRPr="00960099">
              <w:rPr>
                <w:rFonts w:cs="Arial"/>
              </w:rPr>
              <w:t>Сомнамбулиз ъм и сродните му реакции,к</w:t>
            </w:r>
            <w:r w:rsidRPr="00960099">
              <w:rPr>
                <w:rFonts w:cs="Arial"/>
              </w:rPr>
              <w:lastRenderedPageBreak/>
              <w:t>ато напр. говорене на сън и свързани със съня хранителни разстройства</w:t>
            </w:r>
          </w:p>
        </w:tc>
        <w:tc>
          <w:tcPr>
            <w:tcW w:w="1261" w:type="dxa"/>
          </w:tcPr>
          <w:p w14:paraId="4A8A00C1" w14:textId="77777777" w:rsidR="00960099" w:rsidRPr="00960099" w:rsidRDefault="00960099" w:rsidP="00960099">
            <w:pPr>
              <w:rPr>
                <w:rFonts w:cs="Arial"/>
              </w:rPr>
            </w:pPr>
          </w:p>
        </w:tc>
        <w:tc>
          <w:tcPr>
            <w:tcW w:w="1147" w:type="dxa"/>
          </w:tcPr>
          <w:p w14:paraId="2B4BD923" w14:textId="77777777" w:rsidR="00960099" w:rsidRPr="00960099" w:rsidRDefault="00960099" w:rsidP="00960099">
            <w:pPr>
              <w:rPr>
                <w:rFonts w:cs="Arial"/>
              </w:rPr>
            </w:pPr>
          </w:p>
        </w:tc>
      </w:tr>
      <w:tr w:rsidR="008474B9" w14:paraId="4A9CE1C2" w14:textId="77777777" w:rsidTr="008474B9">
        <w:tc>
          <w:tcPr>
            <w:tcW w:w="1123" w:type="dxa"/>
          </w:tcPr>
          <w:p w14:paraId="00EE0177" w14:textId="6EA87CC2" w:rsidR="00960099" w:rsidRPr="00960099" w:rsidRDefault="00960099" w:rsidP="00960099">
            <w:pPr>
              <w:rPr>
                <w:rFonts w:cs="Arial"/>
              </w:rPr>
            </w:pPr>
            <w:r w:rsidRPr="00960099">
              <w:rPr>
                <w:rFonts w:cs="Arial"/>
              </w:rPr>
              <w:t>Нарушения на нервната система</w:t>
            </w:r>
          </w:p>
        </w:tc>
        <w:tc>
          <w:tcPr>
            <w:tcW w:w="1468" w:type="dxa"/>
          </w:tcPr>
          <w:p w14:paraId="45BAED46" w14:textId="50C6FE4F" w:rsidR="00960099" w:rsidRPr="00960099" w:rsidRDefault="00960099" w:rsidP="00960099">
            <w:pPr>
              <w:rPr>
                <w:rFonts w:cs="Arial"/>
              </w:rPr>
            </w:pPr>
            <w:r w:rsidRPr="00960099">
              <w:rPr>
                <w:rFonts w:cs="Arial"/>
              </w:rPr>
              <w:t>Замаяност,</w:t>
            </w:r>
            <w:r w:rsidRPr="00960099">
              <w:rPr>
                <w:rFonts w:cs="Arial"/>
                <w:vertAlign w:val="superscript"/>
              </w:rPr>
              <w:t>(4,16)</w:t>
            </w:r>
            <w:r w:rsidRPr="00960099">
              <w:rPr>
                <w:rFonts w:cs="Arial"/>
              </w:rPr>
              <w:t xml:space="preserve"> сънливостт, </w:t>
            </w:r>
            <w:r w:rsidRPr="00960099">
              <w:rPr>
                <w:rFonts w:cs="Arial"/>
                <w:vertAlign w:val="superscript"/>
              </w:rPr>
              <w:t>(2,16)</w:t>
            </w:r>
            <w:r w:rsidRPr="00960099">
              <w:rPr>
                <w:rFonts w:cs="Arial"/>
              </w:rPr>
              <w:t xml:space="preserve">, главоболие, екстрапирами дни </w:t>
            </w:r>
            <w:r w:rsidRPr="00960099">
              <w:rPr>
                <w:rFonts w:cs="Arial"/>
                <w:bCs/>
              </w:rPr>
              <w:t>СИМПТОМИ</w:t>
            </w:r>
            <w:r w:rsidRPr="00960099">
              <w:rPr>
                <w:rFonts w:cs="Arial"/>
                <w:bCs/>
                <w:vertAlign w:val="superscript"/>
              </w:rPr>
              <w:t>(1,21)</w:t>
            </w:r>
          </w:p>
        </w:tc>
        <w:tc>
          <w:tcPr>
            <w:tcW w:w="1368" w:type="dxa"/>
          </w:tcPr>
          <w:p w14:paraId="2F2D755E" w14:textId="7D1702D3" w:rsidR="00960099" w:rsidRPr="00960099" w:rsidRDefault="00960099" w:rsidP="00960099">
            <w:pPr>
              <w:rPr>
                <w:rFonts w:cs="Arial"/>
              </w:rPr>
            </w:pPr>
            <w:r w:rsidRPr="00960099">
              <w:rPr>
                <w:rFonts w:cs="Arial"/>
              </w:rPr>
              <w:t>Дизартрия</w:t>
            </w:r>
          </w:p>
        </w:tc>
        <w:tc>
          <w:tcPr>
            <w:tcW w:w="1705" w:type="dxa"/>
          </w:tcPr>
          <w:p w14:paraId="7DFC5B68" w14:textId="76D44898" w:rsidR="00960099" w:rsidRPr="00960099" w:rsidRDefault="00960099" w:rsidP="00960099">
            <w:pPr>
              <w:rPr>
                <w:rFonts w:cs="Arial"/>
              </w:rPr>
            </w:pPr>
            <w:r w:rsidRPr="00960099">
              <w:rPr>
                <w:rFonts w:cs="Arial"/>
              </w:rPr>
              <w:t>Гърчове</w:t>
            </w:r>
            <w:r w:rsidRPr="00960099">
              <w:rPr>
                <w:rFonts w:cs="Arial"/>
                <w:vertAlign w:val="superscript"/>
              </w:rPr>
              <w:t>(1)</w:t>
            </w:r>
            <w:r w:rsidRPr="00960099">
              <w:rPr>
                <w:rFonts w:cs="Arial"/>
              </w:rPr>
              <w:t xml:space="preserve"> синдром на неспокойните крака, късна дискинезия</w:t>
            </w:r>
            <w:r w:rsidRPr="00960099">
              <w:rPr>
                <w:rFonts w:cs="Arial"/>
                <w:vertAlign w:val="superscript"/>
              </w:rPr>
              <w:t xml:space="preserve"> 1,5,</w:t>
            </w:r>
            <w:r w:rsidRPr="00960099">
              <w:rPr>
                <w:rFonts w:cs="Arial"/>
              </w:rPr>
              <w:t xml:space="preserve"> синкоп</w:t>
            </w:r>
            <w:r w:rsidRPr="00960099">
              <w:rPr>
                <w:rFonts w:cs="Arial"/>
                <w:vertAlign w:val="superscript"/>
              </w:rPr>
              <w:t>(4,16)</w:t>
            </w:r>
          </w:p>
        </w:tc>
        <w:tc>
          <w:tcPr>
            <w:tcW w:w="1278" w:type="dxa"/>
          </w:tcPr>
          <w:p w14:paraId="554B90D4" w14:textId="77777777" w:rsidR="00960099" w:rsidRPr="00960099" w:rsidRDefault="00960099" w:rsidP="00960099">
            <w:pPr>
              <w:rPr>
                <w:rFonts w:cs="Arial"/>
              </w:rPr>
            </w:pPr>
          </w:p>
        </w:tc>
        <w:tc>
          <w:tcPr>
            <w:tcW w:w="1261" w:type="dxa"/>
          </w:tcPr>
          <w:p w14:paraId="4EFFEC28" w14:textId="77777777" w:rsidR="00960099" w:rsidRPr="00960099" w:rsidRDefault="00960099" w:rsidP="00960099">
            <w:pPr>
              <w:rPr>
                <w:rFonts w:cs="Arial"/>
              </w:rPr>
            </w:pPr>
          </w:p>
        </w:tc>
        <w:tc>
          <w:tcPr>
            <w:tcW w:w="1147" w:type="dxa"/>
          </w:tcPr>
          <w:p w14:paraId="4B139DE3" w14:textId="77777777" w:rsidR="00960099" w:rsidRPr="00960099" w:rsidRDefault="00960099" w:rsidP="00960099">
            <w:pPr>
              <w:rPr>
                <w:rFonts w:cs="Arial"/>
              </w:rPr>
            </w:pPr>
          </w:p>
        </w:tc>
      </w:tr>
      <w:tr w:rsidR="008474B9" w14:paraId="5E2CB9B7" w14:textId="77777777" w:rsidTr="008474B9">
        <w:tc>
          <w:tcPr>
            <w:tcW w:w="1123" w:type="dxa"/>
          </w:tcPr>
          <w:p w14:paraId="7F8DB693" w14:textId="48F1D772" w:rsidR="00960099" w:rsidRPr="00960099" w:rsidRDefault="00960099" w:rsidP="00960099">
            <w:pPr>
              <w:rPr>
                <w:rFonts w:cs="Arial"/>
              </w:rPr>
            </w:pPr>
            <w:r w:rsidRPr="00960099">
              <w:rPr>
                <w:rFonts w:cs="Arial"/>
              </w:rPr>
              <w:t>Сърдечни нарушения</w:t>
            </w:r>
          </w:p>
        </w:tc>
        <w:tc>
          <w:tcPr>
            <w:tcW w:w="1468" w:type="dxa"/>
          </w:tcPr>
          <w:p w14:paraId="7AA22334" w14:textId="77777777" w:rsidR="00960099" w:rsidRPr="00960099" w:rsidRDefault="00960099" w:rsidP="00960099">
            <w:pPr>
              <w:rPr>
                <w:rFonts w:cs="Arial"/>
              </w:rPr>
            </w:pPr>
          </w:p>
        </w:tc>
        <w:tc>
          <w:tcPr>
            <w:tcW w:w="1368" w:type="dxa"/>
          </w:tcPr>
          <w:p w14:paraId="392D8132" w14:textId="00E2FD5F" w:rsidR="00960099" w:rsidRPr="00960099" w:rsidRDefault="00960099" w:rsidP="00960099">
            <w:pPr>
              <w:rPr>
                <w:rFonts w:cs="Arial"/>
              </w:rPr>
            </w:pPr>
            <w:r w:rsidRPr="00960099">
              <w:rPr>
                <w:rFonts w:cs="Arial"/>
              </w:rPr>
              <w:t>Палпитация</w:t>
            </w:r>
            <w:r w:rsidRPr="00960099">
              <w:rPr>
                <w:rFonts w:cs="Arial"/>
                <w:vertAlign w:val="superscript"/>
              </w:rPr>
              <w:t xml:space="preserve">(23) </w:t>
            </w:r>
            <w:r w:rsidRPr="00960099">
              <w:rPr>
                <w:rFonts w:cs="Arial"/>
              </w:rPr>
              <w:t>, тахикардия</w:t>
            </w:r>
            <w:r w:rsidRPr="00960099">
              <w:rPr>
                <w:rFonts w:cs="Arial"/>
                <w:vertAlign w:val="superscript"/>
              </w:rPr>
              <w:t>(4)</w:t>
            </w:r>
          </w:p>
        </w:tc>
        <w:tc>
          <w:tcPr>
            <w:tcW w:w="1705" w:type="dxa"/>
          </w:tcPr>
          <w:p w14:paraId="21C22605" w14:textId="1F1EC788" w:rsidR="00960099" w:rsidRPr="00960099" w:rsidRDefault="00960099" w:rsidP="00960099">
            <w:pPr>
              <w:rPr>
                <w:rFonts w:cs="Arial"/>
              </w:rPr>
            </w:pPr>
            <w:r w:rsidRPr="00960099">
              <w:rPr>
                <w:rFonts w:cs="Arial"/>
              </w:rPr>
              <w:t xml:space="preserve">Удължаване на </w:t>
            </w:r>
            <w:r w:rsidRPr="00960099">
              <w:rPr>
                <w:rFonts w:cs="Arial"/>
                <w:lang w:val="en-US"/>
              </w:rPr>
              <w:t>QT</w:t>
            </w:r>
            <w:r w:rsidRPr="00960099">
              <w:rPr>
                <w:rFonts w:cs="Arial"/>
                <w:lang w:val="ru-RU"/>
              </w:rPr>
              <w:t xml:space="preserve"> </w:t>
            </w:r>
            <w:r w:rsidRPr="00960099">
              <w:rPr>
                <w:rFonts w:cs="Arial"/>
              </w:rPr>
              <w:t>интервала</w:t>
            </w:r>
            <w:r w:rsidRPr="00960099">
              <w:rPr>
                <w:rFonts w:cs="Arial"/>
                <w:vertAlign w:val="superscript"/>
              </w:rPr>
              <w:t>(1,12,18)</w:t>
            </w:r>
            <w:r w:rsidRPr="00960099">
              <w:rPr>
                <w:rFonts w:cs="Arial"/>
              </w:rPr>
              <w:t>, брадикардия</w:t>
            </w:r>
            <w:r w:rsidRPr="00960099">
              <w:rPr>
                <w:rFonts w:cs="Arial"/>
                <w:vertAlign w:val="superscript"/>
              </w:rPr>
              <w:t>(31)</w:t>
            </w:r>
          </w:p>
        </w:tc>
        <w:tc>
          <w:tcPr>
            <w:tcW w:w="1278" w:type="dxa"/>
          </w:tcPr>
          <w:p w14:paraId="303952E7" w14:textId="77777777" w:rsidR="00960099" w:rsidRPr="00960099" w:rsidRDefault="00960099" w:rsidP="00960099">
            <w:pPr>
              <w:rPr>
                <w:rFonts w:cs="Arial"/>
              </w:rPr>
            </w:pPr>
          </w:p>
        </w:tc>
        <w:tc>
          <w:tcPr>
            <w:tcW w:w="1261" w:type="dxa"/>
          </w:tcPr>
          <w:p w14:paraId="222E2D87" w14:textId="77777777" w:rsidR="00960099" w:rsidRPr="00960099" w:rsidRDefault="00960099" w:rsidP="00960099">
            <w:pPr>
              <w:rPr>
                <w:rFonts w:cs="Arial"/>
              </w:rPr>
            </w:pPr>
          </w:p>
        </w:tc>
        <w:tc>
          <w:tcPr>
            <w:tcW w:w="1147" w:type="dxa"/>
          </w:tcPr>
          <w:p w14:paraId="60956411" w14:textId="7AD971B6" w:rsidR="00960099" w:rsidRPr="00960099" w:rsidRDefault="00960099" w:rsidP="00960099">
            <w:pPr>
              <w:rPr>
                <w:rFonts w:cs="Arial"/>
              </w:rPr>
            </w:pPr>
            <w:r w:rsidRPr="00960099">
              <w:rPr>
                <w:rFonts w:cs="Arial"/>
              </w:rPr>
              <w:t>Кардиом иопатия и миокард ит</w:t>
            </w:r>
          </w:p>
        </w:tc>
      </w:tr>
      <w:tr w:rsidR="008474B9" w14:paraId="7A16A405" w14:textId="77777777" w:rsidTr="008474B9">
        <w:tc>
          <w:tcPr>
            <w:tcW w:w="1123" w:type="dxa"/>
            <w:vAlign w:val="bottom"/>
          </w:tcPr>
          <w:p w14:paraId="74DD7DA4" w14:textId="02EC5F80" w:rsidR="00960099" w:rsidRPr="00960099" w:rsidRDefault="00960099" w:rsidP="00960099">
            <w:pPr>
              <w:rPr>
                <w:rFonts w:cs="Arial"/>
              </w:rPr>
            </w:pPr>
            <w:r w:rsidRPr="00960099">
              <w:rPr>
                <w:rFonts w:cs="Arial"/>
              </w:rPr>
              <w:t>Нарушения на очите</w:t>
            </w:r>
          </w:p>
        </w:tc>
        <w:tc>
          <w:tcPr>
            <w:tcW w:w="1468" w:type="dxa"/>
          </w:tcPr>
          <w:p w14:paraId="7029E673" w14:textId="77777777" w:rsidR="00960099" w:rsidRPr="00960099" w:rsidRDefault="00960099" w:rsidP="00960099">
            <w:pPr>
              <w:rPr>
                <w:rFonts w:cs="Arial"/>
              </w:rPr>
            </w:pPr>
          </w:p>
        </w:tc>
        <w:tc>
          <w:tcPr>
            <w:tcW w:w="1368" w:type="dxa"/>
            <w:vAlign w:val="bottom"/>
          </w:tcPr>
          <w:p w14:paraId="127ABCF2" w14:textId="41185D7C" w:rsidR="00960099" w:rsidRPr="00960099" w:rsidRDefault="00960099" w:rsidP="00960099">
            <w:pPr>
              <w:rPr>
                <w:rFonts w:cs="Arial"/>
              </w:rPr>
            </w:pPr>
            <w:r w:rsidRPr="00960099">
              <w:rPr>
                <w:rFonts w:cs="Arial"/>
              </w:rPr>
              <w:t>Замъглено зрение</w:t>
            </w:r>
          </w:p>
        </w:tc>
        <w:tc>
          <w:tcPr>
            <w:tcW w:w="1705" w:type="dxa"/>
          </w:tcPr>
          <w:p w14:paraId="09AF4A70" w14:textId="77777777" w:rsidR="00960099" w:rsidRPr="00960099" w:rsidRDefault="00960099" w:rsidP="00960099">
            <w:pPr>
              <w:rPr>
                <w:rFonts w:cs="Arial"/>
              </w:rPr>
            </w:pPr>
          </w:p>
        </w:tc>
        <w:tc>
          <w:tcPr>
            <w:tcW w:w="1278" w:type="dxa"/>
          </w:tcPr>
          <w:p w14:paraId="24C758D8" w14:textId="77777777" w:rsidR="00960099" w:rsidRPr="00960099" w:rsidRDefault="00960099" w:rsidP="00960099">
            <w:pPr>
              <w:rPr>
                <w:rFonts w:cs="Arial"/>
              </w:rPr>
            </w:pPr>
          </w:p>
        </w:tc>
        <w:tc>
          <w:tcPr>
            <w:tcW w:w="1261" w:type="dxa"/>
          </w:tcPr>
          <w:p w14:paraId="0EA82C1D" w14:textId="77777777" w:rsidR="00960099" w:rsidRPr="00960099" w:rsidRDefault="00960099" w:rsidP="00960099">
            <w:pPr>
              <w:rPr>
                <w:rFonts w:cs="Arial"/>
              </w:rPr>
            </w:pPr>
          </w:p>
        </w:tc>
        <w:tc>
          <w:tcPr>
            <w:tcW w:w="1147" w:type="dxa"/>
          </w:tcPr>
          <w:p w14:paraId="64B11F9D" w14:textId="77777777" w:rsidR="00960099" w:rsidRPr="00960099" w:rsidRDefault="00960099" w:rsidP="00960099">
            <w:pPr>
              <w:rPr>
                <w:rFonts w:cs="Arial"/>
              </w:rPr>
            </w:pPr>
          </w:p>
        </w:tc>
      </w:tr>
      <w:tr w:rsidR="008474B9" w14:paraId="023BE92C" w14:textId="77777777" w:rsidTr="008474B9">
        <w:tc>
          <w:tcPr>
            <w:tcW w:w="1123" w:type="dxa"/>
          </w:tcPr>
          <w:p w14:paraId="519F59CA" w14:textId="5EC7296D" w:rsidR="00960099" w:rsidRPr="00960099" w:rsidRDefault="00960099" w:rsidP="00960099">
            <w:pPr>
              <w:rPr>
                <w:rFonts w:cs="Arial"/>
              </w:rPr>
            </w:pPr>
            <w:r w:rsidRPr="00960099">
              <w:rPr>
                <w:rFonts w:cs="Arial"/>
              </w:rPr>
              <w:t>Съдови нарушения</w:t>
            </w:r>
          </w:p>
        </w:tc>
        <w:tc>
          <w:tcPr>
            <w:tcW w:w="1468" w:type="dxa"/>
          </w:tcPr>
          <w:p w14:paraId="69446B87" w14:textId="77777777" w:rsidR="00960099" w:rsidRPr="00960099" w:rsidRDefault="00960099" w:rsidP="00960099">
            <w:pPr>
              <w:rPr>
                <w:rFonts w:cs="Arial"/>
              </w:rPr>
            </w:pPr>
          </w:p>
        </w:tc>
        <w:tc>
          <w:tcPr>
            <w:tcW w:w="1368" w:type="dxa"/>
          </w:tcPr>
          <w:p w14:paraId="00DE0F63" w14:textId="198D211A" w:rsidR="00960099" w:rsidRPr="00960099" w:rsidRDefault="00960099" w:rsidP="00960099">
            <w:pPr>
              <w:rPr>
                <w:rFonts w:cs="Arial"/>
              </w:rPr>
            </w:pPr>
            <w:r w:rsidRPr="00960099">
              <w:rPr>
                <w:rFonts w:cs="Arial"/>
              </w:rPr>
              <w:t>Ортостатична хипотония</w:t>
            </w:r>
            <w:r w:rsidRPr="00960099">
              <w:rPr>
                <w:rFonts w:cs="Arial"/>
                <w:vertAlign w:val="superscript"/>
              </w:rPr>
              <w:t>(4,16)</w:t>
            </w:r>
          </w:p>
        </w:tc>
        <w:tc>
          <w:tcPr>
            <w:tcW w:w="1705" w:type="dxa"/>
          </w:tcPr>
          <w:p w14:paraId="6200E74F" w14:textId="77777777" w:rsidR="00960099" w:rsidRPr="00960099" w:rsidRDefault="00960099" w:rsidP="00960099">
            <w:pPr>
              <w:rPr>
                <w:rFonts w:cs="Arial"/>
              </w:rPr>
            </w:pPr>
          </w:p>
        </w:tc>
        <w:tc>
          <w:tcPr>
            <w:tcW w:w="1278" w:type="dxa"/>
            <w:vAlign w:val="bottom"/>
          </w:tcPr>
          <w:p w14:paraId="57B6B131" w14:textId="563BA881" w:rsidR="00960099" w:rsidRPr="00960099" w:rsidRDefault="00960099" w:rsidP="00960099">
            <w:pPr>
              <w:rPr>
                <w:rFonts w:cs="Arial"/>
              </w:rPr>
            </w:pPr>
            <w:r w:rsidRPr="00960099">
              <w:rPr>
                <w:rFonts w:cs="Arial"/>
              </w:rPr>
              <w:t>Венозна тромбоембол ия(1)</w:t>
            </w:r>
          </w:p>
        </w:tc>
        <w:tc>
          <w:tcPr>
            <w:tcW w:w="1261" w:type="dxa"/>
          </w:tcPr>
          <w:p w14:paraId="16B894E5" w14:textId="77777777" w:rsidR="00960099" w:rsidRPr="00960099" w:rsidRDefault="00960099" w:rsidP="00960099">
            <w:pPr>
              <w:rPr>
                <w:rFonts w:cs="Arial"/>
              </w:rPr>
            </w:pPr>
          </w:p>
        </w:tc>
        <w:tc>
          <w:tcPr>
            <w:tcW w:w="1147" w:type="dxa"/>
          </w:tcPr>
          <w:p w14:paraId="4234E4D7" w14:textId="49BC3055" w:rsidR="00960099" w:rsidRPr="00960099" w:rsidRDefault="00960099" w:rsidP="00960099">
            <w:pPr>
              <w:rPr>
                <w:rFonts w:cs="Arial"/>
              </w:rPr>
            </w:pPr>
            <w:r w:rsidRPr="00960099">
              <w:rPr>
                <w:rFonts w:cs="Arial"/>
              </w:rPr>
              <w:t>Удар</w:t>
            </w:r>
            <w:r w:rsidRPr="00960099">
              <w:rPr>
                <w:rFonts w:cs="Arial"/>
                <w:vertAlign w:val="superscript"/>
              </w:rPr>
              <w:t>(33)</w:t>
            </w:r>
          </w:p>
        </w:tc>
      </w:tr>
      <w:tr w:rsidR="008474B9" w14:paraId="0919675B" w14:textId="77777777" w:rsidTr="008474B9">
        <w:tc>
          <w:tcPr>
            <w:tcW w:w="1123" w:type="dxa"/>
          </w:tcPr>
          <w:p w14:paraId="4F6CE106" w14:textId="59CA6CA3" w:rsidR="00960099" w:rsidRPr="00960099" w:rsidRDefault="00960099" w:rsidP="00960099">
            <w:pPr>
              <w:rPr>
                <w:rFonts w:cs="Arial"/>
              </w:rPr>
            </w:pPr>
            <w:r w:rsidRPr="00960099">
              <w:rPr>
                <w:rFonts w:cs="Arial"/>
              </w:rPr>
              <w:t>Респиратор ни, гръдни и медиасти</w:t>
            </w:r>
            <w:r w:rsidRPr="00960099">
              <w:rPr>
                <w:rFonts w:cs="Arial"/>
                <w:sz w:val="28"/>
              </w:rPr>
              <w:t xml:space="preserve"> </w:t>
            </w:r>
            <w:r w:rsidRPr="00960099">
              <w:rPr>
                <w:szCs w:val="18"/>
              </w:rPr>
              <w:t>нални нарушения</w:t>
            </w:r>
          </w:p>
        </w:tc>
        <w:tc>
          <w:tcPr>
            <w:tcW w:w="1468" w:type="dxa"/>
          </w:tcPr>
          <w:p w14:paraId="1F018B2F" w14:textId="77777777" w:rsidR="00960099" w:rsidRPr="00960099" w:rsidRDefault="00960099" w:rsidP="00960099">
            <w:pPr>
              <w:rPr>
                <w:rFonts w:cs="Arial"/>
              </w:rPr>
            </w:pPr>
          </w:p>
        </w:tc>
        <w:tc>
          <w:tcPr>
            <w:tcW w:w="1368" w:type="dxa"/>
          </w:tcPr>
          <w:p w14:paraId="1945590D" w14:textId="65E93B7E" w:rsidR="00960099" w:rsidRPr="00960099" w:rsidRDefault="00960099" w:rsidP="00960099">
            <w:pPr>
              <w:rPr>
                <w:rFonts w:cs="Arial"/>
              </w:rPr>
            </w:pPr>
            <w:r w:rsidRPr="00960099">
              <w:rPr>
                <w:rFonts w:cs="Arial"/>
              </w:rPr>
              <w:t>Диспнея</w:t>
            </w:r>
            <w:r w:rsidRPr="00960099">
              <w:rPr>
                <w:rFonts w:cs="Arial"/>
                <w:vertAlign w:val="superscript"/>
              </w:rPr>
              <w:t>(23)</w:t>
            </w:r>
          </w:p>
        </w:tc>
        <w:tc>
          <w:tcPr>
            <w:tcW w:w="1705" w:type="dxa"/>
          </w:tcPr>
          <w:p w14:paraId="14760C6F" w14:textId="3F9C4BE2" w:rsidR="00960099" w:rsidRPr="00960099" w:rsidRDefault="00960099" w:rsidP="00960099">
            <w:pPr>
              <w:rPr>
                <w:rFonts w:cs="Arial"/>
              </w:rPr>
            </w:pPr>
            <w:r w:rsidRPr="00960099">
              <w:rPr>
                <w:rFonts w:cs="Arial"/>
              </w:rPr>
              <w:t>Ринит</w:t>
            </w:r>
          </w:p>
        </w:tc>
        <w:tc>
          <w:tcPr>
            <w:tcW w:w="1278" w:type="dxa"/>
            <w:vAlign w:val="bottom"/>
          </w:tcPr>
          <w:p w14:paraId="0FC7C775" w14:textId="77777777" w:rsidR="00960099" w:rsidRPr="00960099" w:rsidRDefault="00960099" w:rsidP="00960099">
            <w:pPr>
              <w:rPr>
                <w:rFonts w:cs="Arial"/>
              </w:rPr>
            </w:pPr>
          </w:p>
        </w:tc>
        <w:tc>
          <w:tcPr>
            <w:tcW w:w="1261" w:type="dxa"/>
          </w:tcPr>
          <w:p w14:paraId="7E3B91C4" w14:textId="77777777" w:rsidR="00960099" w:rsidRPr="00960099" w:rsidRDefault="00960099" w:rsidP="00960099">
            <w:pPr>
              <w:rPr>
                <w:rFonts w:cs="Arial"/>
              </w:rPr>
            </w:pPr>
          </w:p>
        </w:tc>
        <w:tc>
          <w:tcPr>
            <w:tcW w:w="1147" w:type="dxa"/>
          </w:tcPr>
          <w:p w14:paraId="4E540A3B" w14:textId="77777777" w:rsidR="00960099" w:rsidRPr="00960099" w:rsidRDefault="00960099" w:rsidP="00960099">
            <w:pPr>
              <w:rPr>
                <w:rFonts w:cs="Arial"/>
              </w:rPr>
            </w:pPr>
          </w:p>
        </w:tc>
      </w:tr>
      <w:tr w:rsidR="008474B9" w14:paraId="73D1C543" w14:textId="77777777" w:rsidTr="008474B9">
        <w:tc>
          <w:tcPr>
            <w:tcW w:w="1123" w:type="dxa"/>
          </w:tcPr>
          <w:p w14:paraId="2E9ED372" w14:textId="3F21FD7B" w:rsidR="00960099" w:rsidRPr="00960099" w:rsidRDefault="00960099" w:rsidP="00960099">
            <w:pPr>
              <w:rPr>
                <w:rFonts w:cs="Arial"/>
              </w:rPr>
            </w:pPr>
            <w:r w:rsidRPr="00960099">
              <w:rPr>
                <w:rFonts w:cs="Arial"/>
              </w:rPr>
              <w:t>Стомашно- чревни нарушения</w:t>
            </w:r>
          </w:p>
        </w:tc>
        <w:tc>
          <w:tcPr>
            <w:tcW w:w="1468" w:type="dxa"/>
          </w:tcPr>
          <w:p w14:paraId="160625C3" w14:textId="4397E806" w:rsidR="00960099" w:rsidRPr="00960099" w:rsidRDefault="00960099" w:rsidP="00960099">
            <w:pPr>
              <w:rPr>
                <w:rFonts w:cs="Arial"/>
              </w:rPr>
            </w:pPr>
            <w:r>
              <w:rPr>
                <w:rFonts w:cs="Arial"/>
              </w:rPr>
              <w:t xml:space="preserve">Сухота </w:t>
            </w:r>
            <w:r w:rsidRPr="00960099">
              <w:rPr>
                <w:rFonts w:cs="Arial"/>
              </w:rPr>
              <w:t>в</w:t>
            </w:r>
          </w:p>
          <w:p w14:paraId="1E227789" w14:textId="04E367A9" w:rsidR="00960099" w:rsidRPr="00960099" w:rsidRDefault="00960099" w:rsidP="00960099">
            <w:pPr>
              <w:rPr>
                <w:rFonts w:cs="Arial"/>
              </w:rPr>
            </w:pPr>
            <w:r w:rsidRPr="00960099">
              <w:rPr>
                <w:rFonts w:cs="Arial"/>
              </w:rPr>
              <w:t>устата</w:t>
            </w:r>
          </w:p>
        </w:tc>
        <w:tc>
          <w:tcPr>
            <w:tcW w:w="1368" w:type="dxa"/>
          </w:tcPr>
          <w:p w14:paraId="2B50824F" w14:textId="230C6C41" w:rsidR="00960099" w:rsidRPr="00960099" w:rsidRDefault="00960099" w:rsidP="00960099">
            <w:pPr>
              <w:rPr>
                <w:rFonts w:cs="Arial"/>
              </w:rPr>
            </w:pPr>
            <w:r w:rsidRPr="00960099">
              <w:rPr>
                <w:rFonts w:cs="Arial"/>
              </w:rPr>
              <w:t>Запек, диспепсия, повръщане</w:t>
            </w:r>
            <w:r w:rsidRPr="00960099">
              <w:rPr>
                <w:rFonts w:cs="Arial"/>
                <w:vertAlign w:val="superscript"/>
              </w:rPr>
              <w:t>(25)</w:t>
            </w:r>
          </w:p>
        </w:tc>
        <w:tc>
          <w:tcPr>
            <w:tcW w:w="1705" w:type="dxa"/>
          </w:tcPr>
          <w:p w14:paraId="4AA3EBBD" w14:textId="2EA1B362" w:rsidR="00960099" w:rsidRPr="00960099" w:rsidRDefault="00960099" w:rsidP="00960099">
            <w:pPr>
              <w:rPr>
                <w:rFonts w:cs="Arial"/>
              </w:rPr>
            </w:pPr>
            <w:r w:rsidRPr="00960099">
              <w:rPr>
                <w:rFonts w:cs="Arial"/>
              </w:rPr>
              <w:t>Дисфагия</w:t>
            </w:r>
            <w:r w:rsidRPr="00960099">
              <w:rPr>
                <w:rFonts w:cs="Arial"/>
                <w:vertAlign w:val="superscript"/>
              </w:rPr>
              <w:t>(7)</w:t>
            </w:r>
          </w:p>
        </w:tc>
        <w:tc>
          <w:tcPr>
            <w:tcW w:w="1278" w:type="dxa"/>
            <w:vAlign w:val="bottom"/>
          </w:tcPr>
          <w:p w14:paraId="0D977FBD" w14:textId="0C6B922B" w:rsidR="00960099" w:rsidRPr="00960099" w:rsidRDefault="00960099" w:rsidP="00960099">
            <w:pPr>
              <w:rPr>
                <w:rFonts w:cs="Arial"/>
              </w:rPr>
            </w:pPr>
            <w:r w:rsidRPr="00960099">
              <w:rPr>
                <w:rFonts w:cs="Arial"/>
              </w:rPr>
              <w:t xml:space="preserve">Панкреатит </w:t>
            </w:r>
            <w:r w:rsidRPr="00960099">
              <w:rPr>
                <w:rFonts w:cs="Arial"/>
                <w:vertAlign w:val="superscript"/>
              </w:rPr>
              <w:t>(1)</w:t>
            </w:r>
            <w:r w:rsidRPr="00960099">
              <w:rPr>
                <w:rFonts w:cs="Arial"/>
              </w:rPr>
              <w:t>, чревна обструкция/ илеус</w:t>
            </w:r>
          </w:p>
        </w:tc>
        <w:tc>
          <w:tcPr>
            <w:tcW w:w="1261" w:type="dxa"/>
          </w:tcPr>
          <w:p w14:paraId="080C337B" w14:textId="77777777" w:rsidR="00960099" w:rsidRPr="00960099" w:rsidRDefault="00960099" w:rsidP="00960099">
            <w:pPr>
              <w:rPr>
                <w:rFonts w:cs="Arial"/>
              </w:rPr>
            </w:pPr>
          </w:p>
        </w:tc>
        <w:tc>
          <w:tcPr>
            <w:tcW w:w="1147" w:type="dxa"/>
          </w:tcPr>
          <w:p w14:paraId="571FA38A" w14:textId="77777777" w:rsidR="00960099" w:rsidRPr="00960099" w:rsidRDefault="00960099" w:rsidP="00960099">
            <w:pPr>
              <w:rPr>
                <w:rFonts w:cs="Arial"/>
              </w:rPr>
            </w:pPr>
          </w:p>
        </w:tc>
      </w:tr>
      <w:tr w:rsidR="008474B9" w14:paraId="3E4EBE4B" w14:textId="77777777" w:rsidTr="008474B9">
        <w:tc>
          <w:tcPr>
            <w:tcW w:w="1123" w:type="dxa"/>
          </w:tcPr>
          <w:p w14:paraId="51899D44" w14:textId="15D32DC0" w:rsidR="00960099" w:rsidRPr="00960099" w:rsidRDefault="00960099" w:rsidP="00960099">
            <w:pPr>
              <w:rPr>
                <w:rFonts w:cs="Arial"/>
              </w:rPr>
            </w:pPr>
            <w:r w:rsidRPr="00960099">
              <w:rPr>
                <w:rFonts w:cs="Arial"/>
              </w:rPr>
              <w:t xml:space="preserve">Хепато- билиарни </w:t>
            </w:r>
            <w:r w:rsidRPr="00960099">
              <w:rPr>
                <w:rFonts w:cs="Arial"/>
              </w:rPr>
              <w:lastRenderedPageBreak/>
              <w:t>нарушения</w:t>
            </w:r>
          </w:p>
        </w:tc>
        <w:tc>
          <w:tcPr>
            <w:tcW w:w="1468" w:type="dxa"/>
          </w:tcPr>
          <w:p w14:paraId="27631258" w14:textId="77777777" w:rsidR="00960099" w:rsidRPr="00960099" w:rsidRDefault="00960099" w:rsidP="00960099">
            <w:pPr>
              <w:rPr>
                <w:rFonts w:cs="Arial"/>
              </w:rPr>
            </w:pPr>
          </w:p>
        </w:tc>
        <w:tc>
          <w:tcPr>
            <w:tcW w:w="1368" w:type="dxa"/>
          </w:tcPr>
          <w:p w14:paraId="1EC38F3D" w14:textId="618EE614" w:rsidR="00960099" w:rsidRPr="00960099" w:rsidRDefault="00960099" w:rsidP="00960099">
            <w:pPr>
              <w:rPr>
                <w:rFonts w:cs="Arial"/>
              </w:rPr>
            </w:pPr>
            <w:r w:rsidRPr="00960099">
              <w:rPr>
                <w:rFonts w:cs="Arial"/>
              </w:rPr>
              <w:t xml:space="preserve">Повишаване на серумната </w:t>
            </w:r>
            <w:r w:rsidRPr="00960099">
              <w:rPr>
                <w:rFonts w:cs="Arial"/>
              </w:rPr>
              <w:lastRenderedPageBreak/>
              <w:t xml:space="preserve">аланин аминотрансфе раза </w:t>
            </w:r>
            <w:r w:rsidRPr="00960099">
              <w:rPr>
                <w:rFonts w:cs="Arial"/>
                <w:lang w:val="ru-RU"/>
              </w:rPr>
              <w:t>(</w:t>
            </w:r>
            <w:r w:rsidRPr="00960099">
              <w:rPr>
                <w:rFonts w:cs="Arial"/>
                <w:lang w:val="en-US"/>
              </w:rPr>
              <w:t>ALT</w:t>
            </w:r>
            <w:r w:rsidRPr="00960099">
              <w:rPr>
                <w:rFonts w:cs="Arial"/>
                <w:lang w:val="ru-RU"/>
              </w:rPr>
              <w:t>)</w:t>
            </w:r>
            <w:r w:rsidRPr="00960099">
              <w:rPr>
                <w:rFonts w:cs="Arial"/>
                <w:vertAlign w:val="superscript"/>
                <w:lang w:val="ru-RU"/>
              </w:rPr>
              <w:t>(3)</w:t>
            </w:r>
            <w:r w:rsidRPr="00960099">
              <w:rPr>
                <w:rFonts w:cs="Arial"/>
                <w:lang w:val="ru-RU"/>
              </w:rPr>
              <w:t xml:space="preserve">, </w:t>
            </w:r>
            <w:r w:rsidRPr="00960099">
              <w:rPr>
                <w:rFonts w:cs="Arial"/>
              </w:rPr>
              <w:t>повишаване нивата на гама-</w:t>
            </w:r>
            <w:r w:rsidRPr="00960099">
              <w:rPr>
                <w:rFonts w:cs="Arial"/>
                <w:lang w:val="en-US"/>
              </w:rPr>
              <w:t>GT</w:t>
            </w:r>
            <w:r w:rsidRPr="00960099">
              <w:rPr>
                <w:rFonts w:cs="Arial"/>
                <w:vertAlign w:val="superscript"/>
                <w:lang w:val="ru-RU"/>
              </w:rPr>
              <w:t>(3)</w:t>
            </w:r>
          </w:p>
        </w:tc>
        <w:tc>
          <w:tcPr>
            <w:tcW w:w="1705" w:type="dxa"/>
          </w:tcPr>
          <w:p w14:paraId="4F5AE5C2" w14:textId="421D8A79" w:rsidR="00960099" w:rsidRPr="00960099" w:rsidRDefault="00960099" w:rsidP="00960099">
            <w:pPr>
              <w:rPr>
                <w:rFonts w:cs="Arial"/>
              </w:rPr>
            </w:pPr>
            <w:r w:rsidRPr="00960099">
              <w:rPr>
                <w:rFonts w:cs="Arial"/>
              </w:rPr>
              <w:lastRenderedPageBreak/>
              <w:t xml:space="preserve">Повишение на серумната аспартат </w:t>
            </w:r>
            <w:r w:rsidRPr="00960099">
              <w:rPr>
                <w:rFonts w:cs="Arial"/>
              </w:rPr>
              <w:lastRenderedPageBreak/>
              <w:t xml:space="preserve">аминотрансфераза </w:t>
            </w:r>
            <w:r w:rsidRPr="00960099">
              <w:rPr>
                <w:rFonts w:cs="Arial"/>
                <w:lang w:val="ru-RU"/>
              </w:rPr>
              <w:t>(</w:t>
            </w:r>
            <w:r w:rsidRPr="00960099">
              <w:rPr>
                <w:rFonts w:cs="Arial"/>
                <w:lang w:val="en-US"/>
              </w:rPr>
              <w:t>AST</w:t>
            </w:r>
            <w:r w:rsidRPr="00960099">
              <w:rPr>
                <w:rFonts w:cs="Arial"/>
                <w:lang w:val="ru-RU"/>
              </w:rPr>
              <w:t>)</w:t>
            </w:r>
            <w:r w:rsidRPr="00960099">
              <w:rPr>
                <w:rFonts w:cs="Arial"/>
                <w:vertAlign w:val="superscript"/>
                <w:lang w:val="ru-RU"/>
              </w:rPr>
              <w:t>(3)</w:t>
            </w:r>
          </w:p>
        </w:tc>
        <w:tc>
          <w:tcPr>
            <w:tcW w:w="1278" w:type="dxa"/>
          </w:tcPr>
          <w:p w14:paraId="6D2D3211" w14:textId="02560B71" w:rsidR="00960099" w:rsidRPr="00960099" w:rsidRDefault="00960099" w:rsidP="00960099">
            <w:pPr>
              <w:rPr>
                <w:rFonts w:cs="Arial"/>
              </w:rPr>
            </w:pPr>
            <w:r w:rsidRPr="00960099">
              <w:rPr>
                <w:rFonts w:cs="Arial"/>
              </w:rPr>
              <w:lastRenderedPageBreak/>
              <w:t>Жълтеница</w:t>
            </w:r>
            <w:r w:rsidRPr="00960099">
              <w:rPr>
                <w:rFonts w:cs="Arial"/>
                <w:vertAlign w:val="superscript"/>
              </w:rPr>
              <w:t>(5)</w:t>
            </w:r>
            <w:r w:rsidRPr="00960099">
              <w:rPr>
                <w:rFonts w:cs="Arial"/>
              </w:rPr>
              <w:t>, Хепатит</w:t>
            </w:r>
          </w:p>
        </w:tc>
        <w:tc>
          <w:tcPr>
            <w:tcW w:w="1261" w:type="dxa"/>
          </w:tcPr>
          <w:p w14:paraId="79E6BA45" w14:textId="77777777" w:rsidR="00960099" w:rsidRPr="00960099" w:rsidRDefault="00960099" w:rsidP="00960099">
            <w:pPr>
              <w:rPr>
                <w:rFonts w:cs="Arial"/>
              </w:rPr>
            </w:pPr>
          </w:p>
        </w:tc>
        <w:tc>
          <w:tcPr>
            <w:tcW w:w="1147" w:type="dxa"/>
          </w:tcPr>
          <w:p w14:paraId="2384F243" w14:textId="77777777" w:rsidR="00960099" w:rsidRPr="00960099" w:rsidRDefault="00960099" w:rsidP="00960099">
            <w:pPr>
              <w:rPr>
                <w:rFonts w:cs="Arial"/>
              </w:rPr>
            </w:pPr>
          </w:p>
        </w:tc>
      </w:tr>
      <w:tr w:rsidR="008474B9" w14:paraId="7707351E" w14:textId="77777777" w:rsidTr="008474B9">
        <w:tc>
          <w:tcPr>
            <w:tcW w:w="1123" w:type="dxa"/>
          </w:tcPr>
          <w:p w14:paraId="6DE727CC" w14:textId="3A01AC77" w:rsidR="00960099" w:rsidRPr="00960099" w:rsidRDefault="00960099" w:rsidP="00960099">
            <w:pPr>
              <w:rPr>
                <w:rFonts w:cs="Arial"/>
              </w:rPr>
            </w:pPr>
            <w:r w:rsidRPr="00960099">
              <w:rPr>
                <w:rFonts w:cs="Arial"/>
              </w:rPr>
              <w:t>Нарушения на кожата и подкожна та тъкан</w:t>
            </w:r>
          </w:p>
        </w:tc>
        <w:tc>
          <w:tcPr>
            <w:tcW w:w="1468" w:type="dxa"/>
          </w:tcPr>
          <w:p w14:paraId="57EEB42B" w14:textId="77777777" w:rsidR="00960099" w:rsidRPr="00960099" w:rsidRDefault="00960099" w:rsidP="00960099">
            <w:pPr>
              <w:rPr>
                <w:rFonts w:cs="Arial"/>
              </w:rPr>
            </w:pPr>
          </w:p>
        </w:tc>
        <w:tc>
          <w:tcPr>
            <w:tcW w:w="1368" w:type="dxa"/>
          </w:tcPr>
          <w:p w14:paraId="7B82C795" w14:textId="77777777" w:rsidR="00960099" w:rsidRPr="00960099" w:rsidRDefault="00960099" w:rsidP="00960099">
            <w:pPr>
              <w:rPr>
                <w:rFonts w:cs="Arial"/>
              </w:rPr>
            </w:pPr>
          </w:p>
        </w:tc>
        <w:tc>
          <w:tcPr>
            <w:tcW w:w="1705" w:type="dxa"/>
          </w:tcPr>
          <w:p w14:paraId="632FA9E5" w14:textId="77777777" w:rsidR="00960099" w:rsidRPr="00960099" w:rsidRDefault="00960099" w:rsidP="00960099">
            <w:pPr>
              <w:rPr>
                <w:rFonts w:cs="Arial"/>
              </w:rPr>
            </w:pPr>
          </w:p>
        </w:tc>
        <w:tc>
          <w:tcPr>
            <w:tcW w:w="1278" w:type="dxa"/>
          </w:tcPr>
          <w:p w14:paraId="36959F51" w14:textId="77777777" w:rsidR="00960099" w:rsidRPr="00960099" w:rsidRDefault="00960099" w:rsidP="00960099">
            <w:pPr>
              <w:rPr>
                <w:rFonts w:cs="Arial"/>
              </w:rPr>
            </w:pPr>
          </w:p>
        </w:tc>
        <w:tc>
          <w:tcPr>
            <w:tcW w:w="1261" w:type="dxa"/>
          </w:tcPr>
          <w:p w14:paraId="250DBA33" w14:textId="6D4236D5" w:rsidR="00960099" w:rsidRPr="00960099" w:rsidRDefault="00960099" w:rsidP="00960099">
            <w:pPr>
              <w:rPr>
                <w:rFonts w:cs="Arial"/>
              </w:rPr>
            </w:pPr>
            <w:r w:rsidRPr="00960099">
              <w:rPr>
                <w:rFonts w:cs="Arial"/>
              </w:rPr>
              <w:t>Ангиоедем</w:t>
            </w:r>
            <w:r w:rsidRPr="00960099">
              <w:rPr>
                <w:rFonts w:cs="Arial"/>
                <w:vertAlign w:val="superscript"/>
              </w:rPr>
              <w:t>(5)</w:t>
            </w:r>
            <w:r w:rsidRPr="00960099">
              <w:rPr>
                <w:rFonts w:cs="Arial"/>
              </w:rPr>
              <w:t xml:space="preserve"> , синдром на </w:t>
            </w:r>
            <w:r w:rsidRPr="00960099">
              <w:rPr>
                <w:rFonts w:cs="Arial"/>
                <w:lang w:val="en-US"/>
              </w:rPr>
              <w:t>Stevens</w:t>
            </w:r>
            <w:r w:rsidRPr="00960099">
              <w:rPr>
                <w:rFonts w:cs="Arial"/>
                <w:lang w:val="ru-RU"/>
              </w:rPr>
              <w:t xml:space="preserve">- </w:t>
            </w:r>
            <w:r w:rsidRPr="00960099">
              <w:rPr>
                <w:rFonts w:cs="Arial"/>
                <w:lang w:val="en-US"/>
              </w:rPr>
              <w:t>Johnson</w:t>
            </w:r>
            <w:r w:rsidRPr="00960099">
              <w:rPr>
                <w:rFonts w:cs="Arial"/>
                <w:lang w:val="ru-RU"/>
              </w:rPr>
              <w:t xml:space="preserve"> </w:t>
            </w:r>
            <w:r w:rsidRPr="00960099">
              <w:rPr>
                <w:rFonts w:cs="Arial"/>
                <w:vertAlign w:val="superscript"/>
              </w:rPr>
              <w:t>(5)</w:t>
            </w:r>
          </w:p>
        </w:tc>
        <w:tc>
          <w:tcPr>
            <w:tcW w:w="1147" w:type="dxa"/>
            <w:vAlign w:val="bottom"/>
          </w:tcPr>
          <w:p w14:paraId="1AACECDA" w14:textId="203E85E9" w:rsidR="00960099" w:rsidRPr="00960099" w:rsidRDefault="00960099" w:rsidP="00960099">
            <w:pPr>
              <w:rPr>
                <w:rFonts w:cs="Arial"/>
              </w:rPr>
            </w:pPr>
            <w:r w:rsidRPr="00960099">
              <w:rPr>
                <w:rFonts w:cs="Arial"/>
              </w:rPr>
              <w:t xml:space="preserve">Токсич на епидер мална некроли за, еритема мултифо рме, лекарств ен обрив с еозино филия и систем ни симптом и </w:t>
            </w:r>
            <w:r w:rsidRPr="00960099">
              <w:rPr>
                <w:rFonts w:cs="Arial"/>
                <w:lang w:val="ru-RU"/>
              </w:rPr>
              <w:t>(</w:t>
            </w:r>
            <w:r w:rsidRPr="00960099">
              <w:rPr>
                <w:rFonts w:cs="Arial"/>
                <w:lang w:val="en-US"/>
              </w:rPr>
              <w:t>DRESS</w:t>
            </w:r>
            <w:r w:rsidRPr="00960099">
              <w:rPr>
                <w:rFonts w:cs="Arial"/>
                <w:lang w:val="ru-RU"/>
              </w:rPr>
              <w:t xml:space="preserve">) </w:t>
            </w:r>
            <w:r w:rsidRPr="00960099">
              <w:rPr>
                <w:rFonts w:cs="Arial"/>
              </w:rPr>
              <w:t>,кожен васкулит</w:t>
            </w:r>
          </w:p>
        </w:tc>
      </w:tr>
      <w:tr w:rsidR="008474B9" w14:paraId="75002940" w14:textId="77777777" w:rsidTr="008474B9">
        <w:tc>
          <w:tcPr>
            <w:tcW w:w="1123" w:type="dxa"/>
          </w:tcPr>
          <w:p w14:paraId="6A8DBC80" w14:textId="19A4114A" w:rsidR="00960099" w:rsidRPr="00960099" w:rsidRDefault="00960099" w:rsidP="00960099">
            <w:pPr>
              <w:rPr>
                <w:rFonts w:cs="Arial"/>
              </w:rPr>
            </w:pPr>
            <w:r w:rsidRPr="00960099">
              <w:rPr>
                <w:rFonts w:cs="Arial"/>
              </w:rPr>
              <w:t>Нарушения на мускулно- скелетната система и съедини телната тъкан</w:t>
            </w:r>
          </w:p>
        </w:tc>
        <w:tc>
          <w:tcPr>
            <w:tcW w:w="1468" w:type="dxa"/>
          </w:tcPr>
          <w:p w14:paraId="5A857D66" w14:textId="77777777" w:rsidR="00960099" w:rsidRPr="00960099" w:rsidRDefault="00960099" w:rsidP="00960099">
            <w:pPr>
              <w:rPr>
                <w:rFonts w:cs="Arial"/>
              </w:rPr>
            </w:pPr>
          </w:p>
        </w:tc>
        <w:tc>
          <w:tcPr>
            <w:tcW w:w="1368" w:type="dxa"/>
          </w:tcPr>
          <w:p w14:paraId="4E289868" w14:textId="77777777" w:rsidR="00960099" w:rsidRPr="00960099" w:rsidRDefault="00960099" w:rsidP="00960099">
            <w:pPr>
              <w:rPr>
                <w:rFonts w:cs="Arial"/>
              </w:rPr>
            </w:pPr>
          </w:p>
        </w:tc>
        <w:tc>
          <w:tcPr>
            <w:tcW w:w="1705" w:type="dxa"/>
          </w:tcPr>
          <w:p w14:paraId="066BAC45" w14:textId="77777777" w:rsidR="00960099" w:rsidRPr="00960099" w:rsidRDefault="00960099" w:rsidP="00960099">
            <w:pPr>
              <w:rPr>
                <w:rFonts w:cs="Arial"/>
              </w:rPr>
            </w:pPr>
          </w:p>
        </w:tc>
        <w:tc>
          <w:tcPr>
            <w:tcW w:w="1278" w:type="dxa"/>
          </w:tcPr>
          <w:p w14:paraId="6BBC886A" w14:textId="77777777" w:rsidR="00960099" w:rsidRPr="00960099" w:rsidRDefault="00960099" w:rsidP="00960099">
            <w:pPr>
              <w:rPr>
                <w:rFonts w:cs="Arial"/>
              </w:rPr>
            </w:pPr>
          </w:p>
        </w:tc>
        <w:tc>
          <w:tcPr>
            <w:tcW w:w="1261" w:type="dxa"/>
          </w:tcPr>
          <w:p w14:paraId="3ACA30EF" w14:textId="46380EF6" w:rsidR="00960099" w:rsidRPr="00960099" w:rsidRDefault="00960099" w:rsidP="00960099">
            <w:pPr>
              <w:rPr>
                <w:rFonts w:cs="Arial"/>
              </w:rPr>
            </w:pPr>
            <w:r w:rsidRPr="00960099">
              <w:rPr>
                <w:rFonts w:cs="Arial"/>
              </w:rPr>
              <w:t>Рабдомиолиз а</w:t>
            </w:r>
          </w:p>
        </w:tc>
        <w:tc>
          <w:tcPr>
            <w:tcW w:w="1147" w:type="dxa"/>
          </w:tcPr>
          <w:p w14:paraId="79C42659" w14:textId="77777777" w:rsidR="00960099" w:rsidRPr="00960099" w:rsidRDefault="00960099" w:rsidP="00960099">
            <w:pPr>
              <w:rPr>
                <w:rFonts w:cs="Arial"/>
              </w:rPr>
            </w:pPr>
          </w:p>
        </w:tc>
      </w:tr>
      <w:tr w:rsidR="008474B9" w14:paraId="6E39B7F0" w14:textId="77777777" w:rsidTr="008474B9">
        <w:tc>
          <w:tcPr>
            <w:tcW w:w="1123" w:type="dxa"/>
            <w:vAlign w:val="bottom"/>
          </w:tcPr>
          <w:p w14:paraId="223B8572" w14:textId="6FA2CD5A" w:rsidR="00960099" w:rsidRPr="00960099" w:rsidRDefault="00960099" w:rsidP="00960099">
            <w:pPr>
              <w:rPr>
                <w:rFonts w:cs="Arial"/>
              </w:rPr>
            </w:pPr>
            <w:r w:rsidRPr="00960099">
              <w:rPr>
                <w:rFonts w:cs="Arial"/>
              </w:rPr>
              <w:t>Нарушения на бъбреците и пикочните пътища</w:t>
            </w:r>
          </w:p>
        </w:tc>
        <w:tc>
          <w:tcPr>
            <w:tcW w:w="1468" w:type="dxa"/>
          </w:tcPr>
          <w:p w14:paraId="607B305E" w14:textId="77777777" w:rsidR="00960099" w:rsidRPr="00960099" w:rsidRDefault="00960099" w:rsidP="00960099">
            <w:pPr>
              <w:rPr>
                <w:rFonts w:cs="Arial"/>
              </w:rPr>
            </w:pPr>
          </w:p>
        </w:tc>
        <w:tc>
          <w:tcPr>
            <w:tcW w:w="1368" w:type="dxa"/>
          </w:tcPr>
          <w:p w14:paraId="70FB6AB3" w14:textId="77777777" w:rsidR="00960099" w:rsidRPr="00960099" w:rsidRDefault="00960099" w:rsidP="00960099">
            <w:pPr>
              <w:rPr>
                <w:rFonts w:cs="Arial"/>
              </w:rPr>
            </w:pPr>
          </w:p>
        </w:tc>
        <w:tc>
          <w:tcPr>
            <w:tcW w:w="1705" w:type="dxa"/>
          </w:tcPr>
          <w:p w14:paraId="78394C16" w14:textId="53ACFBAB" w:rsidR="00960099" w:rsidRPr="00960099" w:rsidRDefault="00960099" w:rsidP="00960099">
            <w:pPr>
              <w:rPr>
                <w:rFonts w:cs="Arial"/>
              </w:rPr>
            </w:pPr>
            <w:r w:rsidRPr="00960099">
              <w:rPr>
                <w:rFonts w:cs="Arial"/>
              </w:rPr>
              <w:t>Задръжка на урина</w:t>
            </w:r>
          </w:p>
        </w:tc>
        <w:tc>
          <w:tcPr>
            <w:tcW w:w="1278" w:type="dxa"/>
          </w:tcPr>
          <w:p w14:paraId="4928D9F5" w14:textId="77777777" w:rsidR="00960099" w:rsidRPr="00960099" w:rsidRDefault="00960099" w:rsidP="00960099">
            <w:pPr>
              <w:rPr>
                <w:rFonts w:cs="Arial"/>
              </w:rPr>
            </w:pPr>
          </w:p>
        </w:tc>
        <w:tc>
          <w:tcPr>
            <w:tcW w:w="1261" w:type="dxa"/>
          </w:tcPr>
          <w:p w14:paraId="3F3E707C" w14:textId="77777777" w:rsidR="00960099" w:rsidRPr="00960099" w:rsidRDefault="00960099" w:rsidP="00960099">
            <w:pPr>
              <w:rPr>
                <w:rFonts w:cs="Arial"/>
              </w:rPr>
            </w:pPr>
          </w:p>
        </w:tc>
        <w:tc>
          <w:tcPr>
            <w:tcW w:w="1147" w:type="dxa"/>
          </w:tcPr>
          <w:p w14:paraId="596E0EC6" w14:textId="77777777" w:rsidR="00960099" w:rsidRPr="00960099" w:rsidRDefault="00960099" w:rsidP="00960099">
            <w:pPr>
              <w:rPr>
                <w:rFonts w:cs="Arial"/>
              </w:rPr>
            </w:pPr>
          </w:p>
        </w:tc>
      </w:tr>
      <w:tr w:rsidR="008474B9" w14:paraId="2D5FB64B" w14:textId="77777777" w:rsidTr="008474B9">
        <w:tc>
          <w:tcPr>
            <w:tcW w:w="1123" w:type="dxa"/>
            <w:vAlign w:val="bottom"/>
          </w:tcPr>
          <w:p w14:paraId="2E3FA045" w14:textId="77777777" w:rsidR="00960099" w:rsidRPr="00960099" w:rsidRDefault="00960099" w:rsidP="00960099">
            <w:pPr>
              <w:rPr>
                <w:rFonts w:cs="Arial"/>
              </w:rPr>
            </w:pPr>
            <w:r w:rsidRPr="00960099">
              <w:rPr>
                <w:rFonts w:cs="Arial"/>
              </w:rPr>
              <w:lastRenderedPageBreak/>
              <w:t>Бременнос т, пуерпериу м</w:t>
            </w:r>
            <w:r w:rsidRPr="00960099">
              <w:rPr>
                <w:rFonts w:cs="Arial"/>
              </w:rPr>
              <w:tab/>
              <w:t>и</w:t>
            </w:r>
          </w:p>
          <w:p w14:paraId="3752759D" w14:textId="59F4460A" w:rsidR="00960099" w:rsidRPr="00960099" w:rsidRDefault="00960099" w:rsidP="00960099">
            <w:pPr>
              <w:rPr>
                <w:rFonts w:cs="Arial"/>
              </w:rPr>
            </w:pPr>
            <w:r w:rsidRPr="00960099">
              <w:rPr>
                <w:rFonts w:cs="Arial"/>
              </w:rPr>
              <w:t>перинаталн и състояния</w:t>
            </w:r>
          </w:p>
        </w:tc>
        <w:tc>
          <w:tcPr>
            <w:tcW w:w="1468" w:type="dxa"/>
          </w:tcPr>
          <w:p w14:paraId="7176D296" w14:textId="77777777" w:rsidR="00960099" w:rsidRPr="00960099" w:rsidRDefault="00960099" w:rsidP="00960099">
            <w:pPr>
              <w:rPr>
                <w:rFonts w:cs="Arial"/>
              </w:rPr>
            </w:pPr>
          </w:p>
        </w:tc>
        <w:tc>
          <w:tcPr>
            <w:tcW w:w="1368" w:type="dxa"/>
          </w:tcPr>
          <w:p w14:paraId="7679BA6D" w14:textId="77777777" w:rsidR="00960099" w:rsidRPr="00960099" w:rsidRDefault="00960099" w:rsidP="00960099">
            <w:pPr>
              <w:rPr>
                <w:rFonts w:cs="Arial"/>
              </w:rPr>
            </w:pPr>
          </w:p>
        </w:tc>
        <w:tc>
          <w:tcPr>
            <w:tcW w:w="1705" w:type="dxa"/>
          </w:tcPr>
          <w:p w14:paraId="36F1E434" w14:textId="77777777" w:rsidR="00960099" w:rsidRPr="00960099" w:rsidRDefault="00960099" w:rsidP="00960099">
            <w:pPr>
              <w:rPr>
                <w:rFonts w:cs="Arial"/>
              </w:rPr>
            </w:pPr>
          </w:p>
        </w:tc>
        <w:tc>
          <w:tcPr>
            <w:tcW w:w="1278" w:type="dxa"/>
          </w:tcPr>
          <w:p w14:paraId="78CC7B6D" w14:textId="77777777" w:rsidR="00960099" w:rsidRPr="00960099" w:rsidRDefault="00960099" w:rsidP="00960099">
            <w:pPr>
              <w:rPr>
                <w:rFonts w:cs="Arial"/>
              </w:rPr>
            </w:pPr>
          </w:p>
        </w:tc>
        <w:tc>
          <w:tcPr>
            <w:tcW w:w="1261" w:type="dxa"/>
          </w:tcPr>
          <w:p w14:paraId="57A7EAF3" w14:textId="77777777" w:rsidR="00960099" w:rsidRPr="00960099" w:rsidRDefault="00960099" w:rsidP="00960099">
            <w:pPr>
              <w:rPr>
                <w:rFonts w:cs="Arial"/>
              </w:rPr>
            </w:pPr>
          </w:p>
        </w:tc>
        <w:tc>
          <w:tcPr>
            <w:tcW w:w="1147" w:type="dxa"/>
          </w:tcPr>
          <w:p w14:paraId="5FED4AE9" w14:textId="0B2FD8B5" w:rsidR="00960099" w:rsidRPr="00960099" w:rsidRDefault="00960099" w:rsidP="00960099">
            <w:pPr>
              <w:rPr>
                <w:rFonts w:cs="Arial"/>
              </w:rPr>
            </w:pPr>
            <w:r w:rsidRPr="00960099">
              <w:rPr>
                <w:rFonts w:cs="Arial"/>
              </w:rPr>
              <w:t>Неоната лен син</w:t>
            </w:r>
            <w:r w:rsidRPr="00960099">
              <w:rPr>
                <w:rFonts w:cs="Arial"/>
              </w:rPr>
              <w:softHyphen/>
              <w:t>дром на отнема не</w:t>
            </w:r>
            <w:r w:rsidRPr="00960099">
              <w:rPr>
                <w:rFonts w:cs="Arial"/>
                <w:vertAlign w:val="superscript"/>
              </w:rPr>
              <w:t>(31)</w:t>
            </w:r>
          </w:p>
        </w:tc>
      </w:tr>
      <w:tr w:rsidR="008474B9" w14:paraId="25587FC1" w14:textId="77777777" w:rsidTr="008474B9">
        <w:tc>
          <w:tcPr>
            <w:tcW w:w="1123" w:type="dxa"/>
          </w:tcPr>
          <w:p w14:paraId="4BE1396E" w14:textId="7FEB7477" w:rsidR="00960099" w:rsidRPr="00960099" w:rsidRDefault="00960099" w:rsidP="00960099">
            <w:pPr>
              <w:rPr>
                <w:rFonts w:ascii="Times New Roman" w:eastAsia="Times New Roman" w:hAnsi="Times New Roman" w:cs="Times New Roman"/>
                <w:sz w:val="24"/>
                <w:szCs w:val="24"/>
              </w:rPr>
            </w:pPr>
            <w:r w:rsidRPr="00960099">
              <w:rPr>
                <w:rFonts w:cs="Arial"/>
              </w:rPr>
              <w:t>Нарушения</w:t>
            </w:r>
            <w:r>
              <w:rPr>
                <w:rFonts w:cs="Arial"/>
              </w:rPr>
              <w:t xml:space="preserve"> </w:t>
            </w:r>
            <w:r w:rsidRPr="00960099">
              <w:rPr>
                <w:lang w:eastAsia="bg-BG"/>
              </w:rPr>
              <w:t>на възпроизво дителната система и гърдата</w:t>
            </w:r>
          </w:p>
        </w:tc>
        <w:tc>
          <w:tcPr>
            <w:tcW w:w="1468" w:type="dxa"/>
          </w:tcPr>
          <w:p w14:paraId="1A65172A" w14:textId="77777777" w:rsidR="00960099" w:rsidRPr="00960099" w:rsidRDefault="00960099" w:rsidP="00960099">
            <w:pPr>
              <w:rPr>
                <w:rFonts w:cs="Arial"/>
              </w:rPr>
            </w:pPr>
          </w:p>
        </w:tc>
        <w:tc>
          <w:tcPr>
            <w:tcW w:w="1368" w:type="dxa"/>
          </w:tcPr>
          <w:p w14:paraId="333676CF" w14:textId="77777777" w:rsidR="00960099" w:rsidRPr="00960099" w:rsidRDefault="00960099" w:rsidP="00960099">
            <w:pPr>
              <w:rPr>
                <w:rFonts w:cs="Arial"/>
              </w:rPr>
            </w:pPr>
          </w:p>
        </w:tc>
        <w:tc>
          <w:tcPr>
            <w:tcW w:w="1705" w:type="dxa"/>
          </w:tcPr>
          <w:p w14:paraId="4B78A0CA" w14:textId="68B0EFD3" w:rsidR="00960099" w:rsidRPr="00960099" w:rsidRDefault="00960099" w:rsidP="00960099">
            <w:r w:rsidRPr="00960099">
              <w:t>Сексуална</w:t>
            </w:r>
            <w:r>
              <w:t xml:space="preserve"> </w:t>
            </w:r>
            <w:r w:rsidRPr="00960099">
              <w:t>дисфункция</w:t>
            </w:r>
          </w:p>
        </w:tc>
        <w:tc>
          <w:tcPr>
            <w:tcW w:w="1278" w:type="dxa"/>
          </w:tcPr>
          <w:p w14:paraId="6DBD4B0F" w14:textId="13E3C3FC" w:rsidR="00960099" w:rsidRPr="00960099" w:rsidRDefault="00960099" w:rsidP="00960099">
            <w:pPr>
              <w:rPr>
                <w:rFonts w:cs="Arial"/>
              </w:rPr>
            </w:pPr>
            <w:r w:rsidRPr="00960099">
              <w:rPr>
                <w:rFonts w:cs="Arial"/>
              </w:rPr>
              <w:t>Приапизъм</w:t>
            </w:r>
            <w:r w:rsidR="008474B9">
              <w:rPr>
                <w:rFonts w:cs="Arial"/>
              </w:rPr>
              <w:t xml:space="preserve"> </w:t>
            </w:r>
            <w:r w:rsidR="008474B9" w:rsidRPr="008474B9">
              <w:t>галакторея, подуване на гърдите, менструал ни нарушения</w:t>
            </w:r>
          </w:p>
        </w:tc>
        <w:tc>
          <w:tcPr>
            <w:tcW w:w="1261" w:type="dxa"/>
          </w:tcPr>
          <w:p w14:paraId="11F56AF3" w14:textId="77777777" w:rsidR="00960099" w:rsidRPr="00960099" w:rsidRDefault="00960099" w:rsidP="00960099">
            <w:pPr>
              <w:rPr>
                <w:rFonts w:cs="Arial"/>
              </w:rPr>
            </w:pPr>
          </w:p>
        </w:tc>
        <w:tc>
          <w:tcPr>
            <w:tcW w:w="1147" w:type="dxa"/>
          </w:tcPr>
          <w:p w14:paraId="0F14A05B" w14:textId="77777777" w:rsidR="00960099" w:rsidRPr="00960099" w:rsidRDefault="00960099" w:rsidP="00960099">
            <w:pPr>
              <w:rPr>
                <w:rFonts w:cs="Arial"/>
              </w:rPr>
            </w:pPr>
          </w:p>
        </w:tc>
      </w:tr>
      <w:tr w:rsidR="008474B9" w14:paraId="0FF451B8" w14:textId="77777777" w:rsidTr="008474B9">
        <w:tc>
          <w:tcPr>
            <w:tcW w:w="1123" w:type="dxa"/>
          </w:tcPr>
          <w:p w14:paraId="4F29C789" w14:textId="39EB7B85" w:rsidR="008474B9" w:rsidRPr="008474B9" w:rsidRDefault="008474B9" w:rsidP="008474B9">
            <w:r w:rsidRPr="008474B9">
              <w:rPr>
                <w:szCs w:val="18"/>
              </w:rPr>
              <w:t>Общи нарушения и ефекти на мястото на приложе ние</w:t>
            </w:r>
          </w:p>
        </w:tc>
        <w:tc>
          <w:tcPr>
            <w:tcW w:w="1468" w:type="dxa"/>
          </w:tcPr>
          <w:p w14:paraId="10D8A3FF" w14:textId="6ABBB902" w:rsidR="008474B9" w:rsidRPr="008474B9" w:rsidRDefault="008474B9" w:rsidP="008474B9">
            <w:r w:rsidRPr="008474B9">
              <w:rPr>
                <w:szCs w:val="18"/>
              </w:rPr>
              <w:t>Симп</w:t>
            </w:r>
            <w:r>
              <w:rPr>
                <w:szCs w:val="18"/>
              </w:rPr>
              <w:t>томи на отнемане то (прекъсване</w:t>
            </w:r>
            <w:r w:rsidRPr="008474B9">
              <w:rPr>
                <w:szCs w:val="18"/>
                <w:vertAlign w:val="superscript"/>
              </w:rPr>
              <w:t>)(1,9)</w:t>
            </w:r>
          </w:p>
        </w:tc>
        <w:tc>
          <w:tcPr>
            <w:tcW w:w="1368" w:type="dxa"/>
          </w:tcPr>
          <w:p w14:paraId="62181D37" w14:textId="69B4C9DA" w:rsidR="008474B9" w:rsidRPr="008474B9" w:rsidRDefault="008474B9" w:rsidP="008474B9">
            <w:r w:rsidRPr="008474B9">
              <w:rPr>
                <w:szCs w:val="18"/>
              </w:rPr>
              <w:t>Лека астения, периферен оток, раздразнимост , пирексия</w:t>
            </w:r>
          </w:p>
        </w:tc>
        <w:tc>
          <w:tcPr>
            <w:tcW w:w="1705" w:type="dxa"/>
          </w:tcPr>
          <w:p w14:paraId="5225ADEE" w14:textId="77777777" w:rsidR="008474B9" w:rsidRPr="008474B9" w:rsidRDefault="008474B9" w:rsidP="008474B9"/>
        </w:tc>
        <w:tc>
          <w:tcPr>
            <w:tcW w:w="1278" w:type="dxa"/>
          </w:tcPr>
          <w:p w14:paraId="0A8E7355" w14:textId="4CCFD3A4" w:rsidR="008474B9" w:rsidRPr="008474B9" w:rsidRDefault="008474B9" w:rsidP="008474B9">
            <w:r w:rsidRPr="008474B9">
              <w:rPr>
                <w:szCs w:val="18"/>
              </w:rPr>
              <w:t>Невролептич ен малигнен синдром</w:t>
            </w:r>
            <w:r>
              <w:rPr>
                <w:szCs w:val="18"/>
                <w:vertAlign w:val="superscript"/>
              </w:rPr>
              <w:t>(1)</w:t>
            </w:r>
            <w:r w:rsidRPr="008474B9">
              <w:rPr>
                <w:szCs w:val="18"/>
              </w:rPr>
              <w:t xml:space="preserve"> хипотермия</w:t>
            </w:r>
          </w:p>
        </w:tc>
        <w:tc>
          <w:tcPr>
            <w:tcW w:w="1261" w:type="dxa"/>
          </w:tcPr>
          <w:p w14:paraId="15EB3EA0" w14:textId="77777777" w:rsidR="008474B9" w:rsidRPr="008474B9" w:rsidRDefault="008474B9" w:rsidP="008474B9"/>
        </w:tc>
        <w:tc>
          <w:tcPr>
            <w:tcW w:w="1147" w:type="dxa"/>
          </w:tcPr>
          <w:p w14:paraId="7CCE432F" w14:textId="77777777" w:rsidR="008474B9" w:rsidRPr="008474B9" w:rsidRDefault="008474B9" w:rsidP="008474B9"/>
        </w:tc>
      </w:tr>
      <w:tr w:rsidR="008474B9" w14:paraId="7B4A3357" w14:textId="77777777" w:rsidTr="008474B9">
        <w:tc>
          <w:tcPr>
            <w:tcW w:w="1123" w:type="dxa"/>
          </w:tcPr>
          <w:p w14:paraId="2AEFCC33" w14:textId="2D3E8F54" w:rsidR="008474B9" w:rsidRPr="008474B9" w:rsidRDefault="008474B9" w:rsidP="008474B9">
            <w:r w:rsidRPr="008474B9">
              <w:rPr>
                <w:szCs w:val="18"/>
              </w:rPr>
              <w:t>Изследван ия</w:t>
            </w:r>
          </w:p>
        </w:tc>
        <w:tc>
          <w:tcPr>
            <w:tcW w:w="1468" w:type="dxa"/>
          </w:tcPr>
          <w:p w14:paraId="4C797786" w14:textId="77777777" w:rsidR="008474B9" w:rsidRPr="008474B9" w:rsidRDefault="008474B9" w:rsidP="008474B9"/>
        </w:tc>
        <w:tc>
          <w:tcPr>
            <w:tcW w:w="1368" w:type="dxa"/>
          </w:tcPr>
          <w:p w14:paraId="6AEB35F4" w14:textId="77777777" w:rsidR="008474B9" w:rsidRPr="008474B9" w:rsidRDefault="008474B9" w:rsidP="008474B9"/>
        </w:tc>
        <w:tc>
          <w:tcPr>
            <w:tcW w:w="1705" w:type="dxa"/>
          </w:tcPr>
          <w:p w14:paraId="5C81CF85" w14:textId="77777777" w:rsidR="008474B9" w:rsidRPr="008474B9" w:rsidRDefault="008474B9" w:rsidP="008474B9"/>
        </w:tc>
        <w:tc>
          <w:tcPr>
            <w:tcW w:w="1278" w:type="dxa"/>
          </w:tcPr>
          <w:p w14:paraId="540D4BE7" w14:textId="77777777" w:rsidR="008474B9" w:rsidRPr="008474B9" w:rsidRDefault="008474B9" w:rsidP="008474B9">
            <w:r w:rsidRPr="008474B9">
              <w:rPr>
                <w:szCs w:val="18"/>
              </w:rPr>
              <w:t>Повишаване на креатин фосфокина зата</w:t>
            </w:r>
            <w:r w:rsidRPr="008474B9">
              <w:rPr>
                <w:szCs w:val="18"/>
              </w:rPr>
              <w:tab/>
              <w:t>в</w:t>
            </w:r>
          </w:p>
          <w:p w14:paraId="7B030125" w14:textId="749CEF4C" w:rsidR="008474B9" w:rsidRPr="008474B9" w:rsidRDefault="008474B9" w:rsidP="008474B9">
            <w:r w:rsidRPr="008474B9">
              <w:rPr>
                <w:szCs w:val="18"/>
              </w:rPr>
              <w:t>Кръвта</w:t>
            </w:r>
            <w:r>
              <w:rPr>
                <w:szCs w:val="18"/>
                <w:vertAlign w:val="superscript"/>
              </w:rPr>
              <w:t>(14)</w:t>
            </w:r>
          </w:p>
        </w:tc>
        <w:tc>
          <w:tcPr>
            <w:tcW w:w="1261" w:type="dxa"/>
          </w:tcPr>
          <w:p w14:paraId="3D4FF4DC" w14:textId="77777777" w:rsidR="008474B9" w:rsidRPr="008474B9" w:rsidRDefault="008474B9" w:rsidP="008474B9"/>
        </w:tc>
        <w:tc>
          <w:tcPr>
            <w:tcW w:w="1147" w:type="dxa"/>
          </w:tcPr>
          <w:p w14:paraId="3F715EAF" w14:textId="77777777" w:rsidR="008474B9" w:rsidRPr="008474B9" w:rsidRDefault="008474B9" w:rsidP="008474B9"/>
        </w:tc>
      </w:tr>
    </w:tbl>
    <w:p w14:paraId="349DE0F0" w14:textId="5BF727F9" w:rsidR="00960099" w:rsidRDefault="00960099" w:rsidP="00960099"/>
    <w:p w14:paraId="274C2529"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(1) Виж раздел 4,4. "Специални предупреждения и специални предпазни мерки при употреба".</w:t>
      </w:r>
    </w:p>
    <w:p w14:paraId="2F3A5031"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(2) Сомнолетност може да се появи по време на първите две седмици на лечение и обикновено изчезва с продължаване на лечението с кветиапин.</w:t>
      </w:r>
    </w:p>
    <w:p w14:paraId="6B23276A" w14:textId="572600B6" w:rsidR="008474B9" w:rsidRPr="008474B9" w:rsidRDefault="008474B9" w:rsidP="008474B9">
      <w:pPr>
        <w:spacing w:line="240" w:lineRule="auto"/>
        <w:rPr>
          <w:rFonts w:eastAsia="Times New Roman" w:cs="Arial"/>
        </w:rPr>
      </w:pPr>
      <w:r w:rsidRPr="008474B9">
        <w:rPr>
          <w:rFonts w:eastAsia="Times New Roman" w:cs="Arial"/>
          <w:color w:val="000000"/>
          <w:lang w:val="ru-RU"/>
        </w:rPr>
        <w:t xml:space="preserve">(3) </w:t>
      </w:r>
      <w:r w:rsidRPr="008474B9">
        <w:rPr>
          <w:rFonts w:eastAsia="Times New Roman" w:cs="Arial"/>
          <w:color w:val="000000"/>
          <w:lang w:eastAsia="bg-BG"/>
        </w:rPr>
        <w:t xml:space="preserve">При някои пациенти на лечение с кветиапин са били наблюдавани безсимптомни повишени нива (преминаване от нормално </w:t>
      </w:r>
      <w:proofErr w:type="gramStart"/>
      <w:r w:rsidRPr="008474B9">
        <w:rPr>
          <w:rFonts w:eastAsia="Times New Roman" w:cs="Arial"/>
          <w:color w:val="000000"/>
          <w:lang w:eastAsia="bg-BG"/>
        </w:rPr>
        <w:t>към &gt;ЗХ</w:t>
      </w:r>
      <w:proofErr w:type="gramEnd"/>
      <w:r w:rsidRPr="008474B9">
        <w:rPr>
          <w:rFonts w:eastAsia="Times New Roman" w:cs="Arial"/>
          <w:color w:val="000000"/>
          <w:lang w:eastAsia="bg-BG"/>
        </w:rPr>
        <w:t xml:space="preserve"> </w:t>
      </w:r>
      <w:r w:rsidRPr="008474B9">
        <w:rPr>
          <w:rFonts w:eastAsia="Times New Roman" w:cs="Arial"/>
          <w:color w:val="000000"/>
          <w:lang w:val="en-US"/>
        </w:rPr>
        <w:t>ULN</w:t>
      </w:r>
      <w:r w:rsidRPr="008474B9">
        <w:rPr>
          <w:rFonts w:eastAsia="Times New Roman" w:cs="Arial"/>
          <w:color w:val="000000"/>
          <w:lang w:val="ru-RU"/>
        </w:rPr>
        <w:t xml:space="preserve"> </w:t>
      </w:r>
      <w:r w:rsidRPr="008474B9">
        <w:rPr>
          <w:rFonts w:eastAsia="Times New Roman" w:cs="Arial"/>
          <w:color w:val="000000"/>
          <w:lang w:eastAsia="bg-BG"/>
        </w:rPr>
        <w:t xml:space="preserve">по всяко време) на серумните трансаминази </w:t>
      </w:r>
      <w:r w:rsidRPr="008474B9">
        <w:rPr>
          <w:rFonts w:eastAsia="Times New Roman" w:cs="Arial"/>
          <w:color w:val="000000"/>
          <w:lang w:val="ru-RU"/>
        </w:rPr>
        <w:t>(</w:t>
      </w:r>
      <w:r w:rsidRPr="008474B9">
        <w:rPr>
          <w:rFonts w:eastAsia="Times New Roman" w:cs="Arial"/>
          <w:color w:val="000000"/>
          <w:lang w:val="en-US"/>
        </w:rPr>
        <w:t>ALT</w:t>
      </w:r>
      <w:r w:rsidRPr="008474B9">
        <w:rPr>
          <w:rFonts w:eastAsia="Times New Roman" w:cs="Arial"/>
          <w:color w:val="000000"/>
          <w:lang w:val="ru-RU"/>
        </w:rPr>
        <w:t xml:space="preserve">, </w:t>
      </w:r>
      <w:r w:rsidRPr="008474B9">
        <w:rPr>
          <w:rFonts w:eastAsia="Times New Roman" w:cs="Arial"/>
          <w:color w:val="000000"/>
          <w:lang w:val="en-US"/>
        </w:rPr>
        <w:t>AST</w:t>
      </w:r>
      <w:r w:rsidRPr="008474B9">
        <w:rPr>
          <w:rFonts w:eastAsia="Times New Roman" w:cs="Arial"/>
          <w:color w:val="000000"/>
          <w:lang w:val="ru-RU"/>
        </w:rPr>
        <w:t xml:space="preserve">) </w:t>
      </w:r>
      <w:r w:rsidRPr="008474B9">
        <w:rPr>
          <w:rFonts w:eastAsia="Times New Roman" w:cs="Arial"/>
          <w:color w:val="000000"/>
          <w:lang w:eastAsia="bg-BG"/>
        </w:rPr>
        <w:t>или гама</w:t>
      </w:r>
      <w:r w:rsidRPr="008474B9">
        <w:rPr>
          <w:rFonts w:eastAsia="Times New Roman" w:cs="Arial"/>
          <w:color w:val="000000"/>
          <w:lang w:val="ru-RU"/>
        </w:rPr>
        <w:t>-</w:t>
      </w:r>
      <w:r w:rsidRPr="008474B9">
        <w:rPr>
          <w:rFonts w:eastAsia="Times New Roman" w:cs="Arial"/>
          <w:color w:val="000000"/>
          <w:lang w:val="en-US"/>
        </w:rPr>
        <w:t>GT</w:t>
      </w:r>
      <w:r w:rsidRPr="008474B9">
        <w:rPr>
          <w:rFonts w:eastAsia="Times New Roman" w:cs="Arial"/>
          <w:color w:val="000000"/>
          <w:lang w:val="ru-RU"/>
        </w:rPr>
        <w:t xml:space="preserve">. </w:t>
      </w:r>
      <w:r w:rsidRPr="008474B9">
        <w:rPr>
          <w:rFonts w:eastAsia="Times New Roman" w:cs="Arial"/>
          <w:color w:val="000000"/>
          <w:lang w:eastAsia="bg-BG"/>
        </w:rPr>
        <w:t>Тези повишения обикновено са били обратими при продължителното лечение с кветиапин.</w:t>
      </w:r>
    </w:p>
    <w:p w14:paraId="3EABEF84" w14:textId="3EA9D45D" w:rsidR="008474B9" w:rsidRPr="008474B9" w:rsidRDefault="008474B9" w:rsidP="008474B9">
      <w:pPr>
        <w:spacing w:line="240" w:lineRule="auto"/>
        <w:rPr>
          <w:rFonts w:eastAsia="Times New Roman" w:cs="Arial"/>
        </w:rPr>
      </w:pPr>
      <w:r w:rsidRPr="008474B9">
        <w:rPr>
          <w:rFonts w:eastAsia="Times New Roman" w:cs="Arial"/>
          <w:color w:val="000000"/>
          <w:lang w:eastAsia="bg-BG"/>
        </w:rPr>
        <w:t>(4) Както и останалите антипсихотици с алфа-1 адреноблокираща активност, кветиапин може често да индуцира ортостатична хипотония асоциирана със замаяност, тахикардия, а при някои пациенти синкоп, особено в периода на първоначално титриране на дозата (вж. точка 4.4).</w:t>
      </w:r>
    </w:p>
    <w:p w14:paraId="651064E8" w14:textId="0C678E13"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lastRenderedPageBreak/>
        <w:t>(5)Изчисляването на честотата на тези нежелани реакции е направено само въз основа на данните от постмаркетинговия опит с кветиапин.</w:t>
      </w:r>
    </w:p>
    <w:p w14:paraId="40FBFCD6" w14:textId="56F985C1"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(6)Кръвна захар на гладно ≥ 126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(≥7,0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или след храна ≥ 200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(≥11,1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в поне един случай.</w:t>
      </w:r>
    </w:p>
    <w:p w14:paraId="1E1F6E71" w14:textId="08028336" w:rsidR="008474B9" w:rsidRPr="008474B9" w:rsidRDefault="008474B9" w:rsidP="008474B9">
      <w:pPr>
        <w:spacing w:line="240" w:lineRule="auto"/>
        <w:rPr>
          <w:rFonts w:eastAsia="Times New Roman" w:cs="Arial"/>
        </w:rPr>
      </w:pPr>
      <w:r w:rsidRPr="008474B9">
        <w:rPr>
          <w:rFonts w:eastAsia="Times New Roman" w:cs="Arial"/>
          <w:color w:val="000000"/>
          <w:lang w:eastAsia="bg-BG"/>
        </w:rPr>
        <w:t>(7) Увеличение честотата на дисфагия с кветиапин спрямо плацебо е било наблюдавано само в клинични проучвания при биполярна депресия.</w:t>
      </w:r>
    </w:p>
    <w:p w14:paraId="36DCB094" w14:textId="36D49DE5" w:rsidR="008474B9" w:rsidRPr="008474B9" w:rsidRDefault="008474B9" w:rsidP="008474B9">
      <w:pPr>
        <w:spacing w:line="240" w:lineRule="auto"/>
        <w:rPr>
          <w:rFonts w:eastAsia="Times New Roman" w:cs="Arial"/>
        </w:rPr>
      </w:pPr>
      <w:r w:rsidRPr="008474B9">
        <w:rPr>
          <w:rFonts w:eastAsia="Times New Roman" w:cs="Arial"/>
          <w:color w:val="000000"/>
        </w:rPr>
        <w:t>(8)</w:t>
      </w:r>
      <w:r w:rsidRPr="008474B9">
        <w:rPr>
          <w:rFonts w:eastAsia="Times New Roman" w:cs="Arial"/>
          <w:color w:val="000000"/>
          <w:lang w:eastAsia="bg-BG"/>
        </w:rPr>
        <w:t>Въз основа на &gt;7% повишение на телесното тегло спрямо изходното ниво. Наблюдава се предимно в първите седмици на лечението при възрастни.</w:t>
      </w:r>
    </w:p>
    <w:p w14:paraId="4B6EFB33" w14:textId="634F1BF7"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(9)Най-често в остри, плацебо контролирани клинични проучвания с монотерапия за оценка на симптомите при прекратяване на лечението, са били наблюдавани следните симптоми на отнемане: безсъние, гадене, главоболие, диария, повръщане, замаяност и раздразнителност. Честотата на тези реакции е намаляла значително 1 седмица след прекратяване на лечението.</w:t>
      </w:r>
    </w:p>
    <w:p w14:paraId="7BA7C0C5" w14:textId="55E2761A"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(10)Триглицериди ≥200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(≥2,258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(пациенти ≥18 години) или ≥150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(≥1,694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(пациенти &lt; 18 години) в поне един случай.</w:t>
      </w:r>
    </w:p>
    <w:p w14:paraId="6D9B3F53" w14:textId="2DB930C1"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(11)Холестерол ≥240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(≥6,2064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(пациенти ≥18 години) или ≥200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(≥5,172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(пациенти &lt; 18 години) в поне един случаи. Много често е било наблюдавано повишение на </w:t>
      </w:r>
      <w:r w:rsidRPr="008474B9">
        <w:rPr>
          <w:rFonts w:eastAsia="Times New Roman" w:cs="Arial"/>
          <w:color w:val="000000"/>
          <w:lang w:val="en-US"/>
        </w:rPr>
        <w:t>LDL</w:t>
      </w:r>
      <w:r w:rsidRPr="008474B9">
        <w:rPr>
          <w:rFonts w:eastAsia="Times New Roman" w:cs="Arial"/>
          <w:color w:val="000000"/>
          <w:lang w:val="ru-RU"/>
        </w:rPr>
        <w:t xml:space="preserve"> </w:t>
      </w:r>
      <w:r w:rsidRPr="008474B9">
        <w:rPr>
          <w:rFonts w:eastAsia="Times New Roman" w:cs="Arial"/>
          <w:color w:val="000000"/>
          <w:lang w:eastAsia="bg-BG"/>
        </w:rPr>
        <w:t xml:space="preserve">холестерола ≥30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(≥0,769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Средната промяна при пациентите, които са получили такова повишение е била 41,7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(&gt;1.07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w:t>
      </w:r>
    </w:p>
    <w:p w14:paraId="77D9336F" w14:textId="474F9C73" w:rsidR="008474B9" w:rsidRPr="008474B9" w:rsidRDefault="008474B9" w:rsidP="008474B9">
      <w:pPr>
        <w:spacing w:line="240" w:lineRule="auto"/>
        <w:rPr>
          <w:rFonts w:eastAsia="Times New Roman" w:cs="Arial"/>
        </w:rPr>
      </w:pPr>
      <w:r w:rsidRPr="008474B9">
        <w:rPr>
          <w:rFonts w:eastAsia="Times New Roman" w:cs="Arial"/>
          <w:color w:val="000000"/>
          <w:lang w:val="ru-RU"/>
        </w:rPr>
        <w:t>(</w:t>
      </w:r>
      <w:proofErr w:type="gramStart"/>
      <w:r w:rsidRPr="008474B9">
        <w:rPr>
          <w:rFonts w:eastAsia="Times New Roman" w:cs="Arial"/>
          <w:color w:val="000000"/>
          <w:lang w:val="ru-RU"/>
        </w:rPr>
        <w:t>12)</w:t>
      </w:r>
      <w:r w:rsidRPr="008474B9">
        <w:rPr>
          <w:rFonts w:eastAsia="Times New Roman" w:cs="Arial"/>
          <w:color w:val="000000"/>
          <w:lang w:eastAsia="bg-BG"/>
        </w:rPr>
        <w:t>Виж</w:t>
      </w:r>
      <w:proofErr w:type="gramEnd"/>
      <w:r w:rsidRPr="008474B9">
        <w:rPr>
          <w:rFonts w:eastAsia="Times New Roman" w:cs="Arial"/>
          <w:color w:val="000000"/>
          <w:lang w:eastAsia="bg-BG"/>
        </w:rPr>
        <w:t xml:space="preserve"> текста по-долу.</w:t>
      </w:r>
    </w:p>
    <w:p w14:paraId="629712E5" w14:textId="3A94D9C5" w:rsidR="008474B9" w:rsidRPr="008474B9" w:rsidRDefault="008474B9" w:rsidP="008474B9">
      <w:pPr>
        <w:spacing w:line="240" w:lineRule="auto"/>
        <w:rPr>
          <w:rFonts w:eastAsia="Times New Roman" w:cs="Arial"/>
        </w:rPr>
      </w:pPr>
      <w:r w:rsidRPr="008474B9">
        <w:rPr>
          <w:rFonts w:eastAsia="Times New Roman" w:cs="Arial"/>
          <w:color w:val="000000"/>
          <w:lang w:eastAsia="bg-BG"/>
        </w:rPr>
        <w:t>(13)Тромбоцити &lt;100 х 1</w:t>
      </w:r>
      <w:r w:rsidRPr="008474B9">
        <w:rPr>
          <w:rFonts w:eastAsia="Times New Roman" w:cs="Arial"/>
          <w:color w:val="000000"/>
          <w:lang w:val="ru-RU"/>
        </w:rPr>
        <w:t>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в поне един случай</w:t>
      </w:r>
    </w:p>
    <w:p w14:paraId="58BCD8D8" w14:textId="6B2DA7B0" w:rsidR="008474B9" w:rsidRPr="008474B9" w:rsidRDefault="008474B9" w:rsidP="008474B9">
      <w:pPr>
        <w:spacing w:line="240" w:lineRule="auto"/>
        <w:rPr>
          <w:rFonts w:eastAsia="Times New Roman" w:cs="Arial"/>
        </w:rPr>
      </w:pPr>
      <w:r w:rsidRPr="008474B9">
        <w:rPr>
          <w:rFonts w:eastAsia="Times New Roman" w:cs="Arial"/>
          <w:color w:val="000000"/>
          <w:lang w:eastAsia="bg-BG"/>
        </w:rPr>
        <w:t>(14)Въз основа на клинично проучване, съобщенията за нежелани реакции за повишени стойности на креатин фосфокиназата в кръвта не са били свързани с невролептичен малигнен синдром.</w:t>
      </w:r>
    </w:p>
    <w:p w14:paraId="5FD7C7C2" w14:textId="3D83D54F" w:rsidR="008474B9" w:rsidRPr="008474B9" w:rsidRDefault="008474B9" w:rsidP="008474B9">
      <w:pPr>
        <w:spacing w:line="240" w:lineRule="auto"/>
        <w:rPr>
          <w:rFonts w:eastAsia="Times New Roman" w:cs="Arial"/>
        </w:rPr>
      </w:pPr>
      <w:r w:rsidRPr="008474B9">
        <w:rPr>
          <w:rFonts w:eastAsia="Times New Roman" w:cs="Arial"/>
          <w:color w:val="000000"/>
          <w:lang w:eastAsia="bg-BG"/>
        </w:rPr>
        <w:t>(15) Нива на пролактин (пациенти &gt;18 години): &gt;20 μ</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(&gt;869,56 </w:t>
      </w:r>
      <w:r w:rsidRPr="008474B9">
        <w:rPr>
          <w:rFonts w:eastAsia="Times New Roman" w:cs="Arial"/>
          <w:color w:val="000000"/>
          <w:lang w:val="en-US"/>
        </w:rPr>
        <w:t>pmol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мъже; &gt;30 μ</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(&gt;1304,34 </w:t>
      </w:r>
      <w:r w:rsidRPr="008474B9">
        <w:rPr>
          <w:rFonts w:eastAsia="Times New Roman" w:cs="Arial"/>
          <w:color w:val="000000"/>
          <w:lang w:val="en-US"/>
        </w:rPr>
        <w:t>pmol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жени по всяко време.</w:t>
      </w:r>
    </w:p>
    <w:p w14:paraId="33C55CCA" w14:textId="51870884" w:rsidR="008474B9" w:rsidRPr="008474B9" w:rsidRDefault="008474B9" w:rsidP="008474B9">
      <w:pPr>
        <w:rPr>
          <w:rFonts w:eastAsia="Times New Roman" w:cs="Arial"/>
          <w:color w:val="000000"/>
          <w:lang w:eastAsia="bg-BG"/>
        </w:rPr>
      </w:pPr>
      <w:r w:rsidRPr="008474B9">
        <w:rPr>
          <w:rFonts w:eastAsia="Times New Roman" w:cs="Arial"/>
          <w:color w:val="000000"/>
          <w:lang w:eastAsia="bg-BG"/>
        </w:rPr>
        <w:t>(16) Може да доведе до падания.</w:t>
      </w:r>
    </w:p>
    <w:p w14:paraId="0FF1F59E" w14:textId="4FCFFD51"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(17) </w:t>
      </w:r>
      <w:r w:rsidRPr="008474B9">
        <w:rPr>
          <w:rFonts w:eastAsia="Times New Roman" w:cs="Arial"/>
          <w:color w:val="000000"/>
          <w:lang w:val="en-US"/>
        </w:rPr>
        <w:t>HDL</w:t>
      </w:r>
      <w:r w:rsidRPr="008474B9">
        <w:rPr>
          <w:rFonts w:eastAsia="Times New Roman" w:cs="Arial"/>
          <w:color w:val="000000"/>
          <w:lang w:eastAsia="bg-BG"/>
        </w:rPr>
        <w:t xml:space="preserve">-холестерол: &lt;40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(1,025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мъже; </w:t>
      </w:r>
      <w:r w:rsidRPr="008474B9">
        <w:rPr>
          <w:rFonts w:eastAsia="Times New Roman" w:cs="Arial"/>
          <w:color w:val="000000"/>
          <w:lang w:val="ru-RU"/>
        </w:rPr>
        <w:t xml:space="preserve">&lt;50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(1,282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жени по всяко време.</w:t>
      </w:r>
    </w:p>
    <w:p w14:paraId="50685FDA" w14:textId="0AD1030C"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(18)Честота на пациенти, при които е била установена промяна на </w:t>
      </w:r>
      <w:r w:rsidRPr="008474B9">
        <w:rPr>
          <w:rFonts w:eastAsia="Times New Roman" w:cs="Arial"/>
          <w:color w:val="000000"/>
          <w:lang w:val="en-US"/>
        </w:rPr>
        <w:t>QT</w:t>
      </w:r>
      <w:r w:rsidRPr="008474B9">
        <w:rPr>
          <w:rFonts w:eastAsia="Times New Roman" w:cs="Arial"/>
          <w:color w:val="000000"/>
          <w:lang w:eastAsia="bg-BG"/>
        </w:rPr>
        <w:t xml:space="preserve">-интервала от &lt;450 </w:t>
      </w:r>
      <w:r w:rsidRPr="008474B9">
        <w:rPr>
          <w:rFonts w:eastAsia="Times New Roman" w:cs="Arial"/>
          <w:color w:val="000000"/>
          <w:lang w:val="en-US"/>
        </w:rPr>
        <w:t>msec</w:t>
      </w:r>
      <w:r w:rsidRPr="008474B9">
        <w:rPr>
          <w:rFonts w:eastAsia="Times New Roman" w:cs="Arial"/>
          <w:color w:val="000000"/>
          <w:lang w:val="ru-RU"/>
        </w:rPr>
        <w:t xml:space="preserve"> </w:t>
      </w:r>
      <w:r w:rsidRPr="008474B9">
        <w:rPr>
          <w:rFonts w:eastAsia="Times New Roman" w:cs="Arial"/>
          <w:color w:val="000000"/>
          <w:lang w:eastAsia="bg-BG"/>
        </w:rPr>
        <w:t>до</w:t>
      </w:r>
    </w:p>
    <w:p w14:paraId="4F32038A"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≥450 </w:t>
      </w:r>
      <w:r w:rsidRPr="008474B9">
        <w:rPr>
          <w:rFonts w:eastAsia="Times New Roman" w:cs="Arial"/>
          <w:color w:val="000000"/>
          <w:lang w:val="en-US"/>
        </w:rPr>
        <w:t>msec</w:t>
      </w:r>
      <w:r w:rsidRPr="008474B9">
        <w:rPr>
          <w:rFonts w:eastAsia="Times New Roman" w:cs="Arial"/>
          <w:color w:val="000000"/>
          <w:lang w:val="ru-RU"/>
        </w:rPr>
        <w:t xml:space="preserve"> </w:t>
      </w:r>
      <w:r w:rsidRPr="008474B9">
        <w:rPr>
          <w:rFonts w:eastAsia="Times New Roman" w:cs="Arial"/>
          <w:color w:val="000000"/>
          <w:lang w:eastAsia="bg-BG"/>
        </w:rPr>
        <w:t xml:space="preserve">с ≥30 </w:t>
      </w:r>
      <w:r w:rsidRPr="008474B9">
        <w:rPr>
          <w:rFonts w:eastAsia="Times New Roman" w:cs="Arial"/>
          <w:color w:val="000000"/>
          <w:lang w:val="en-US"/>
        </w:rPr>
        <w:t>msec</w:t>
      </w:r>
      <w:r w:rsidRPr="008474B9">
        <w:rPr>
          <w:rFonts w:eastAsia="Times New Roman" w:cs="Arial"/>
          <w:color w:val="000000"/>
          <w:lang w:val="ru-RU"/>
        </w:rPr>
        <w:t xml:space="preserve"> </w:t>
      </w:r>
      <w:r w:rsidRPr="008474B9">
        <w:rPr>
          <w:rFonts w:eastAsia="Times New Roman" w:cs="Arial"/>
          <w:color w:val="000000"/>
          <w:lang w:eastAsia="bg-BG"/>
        </w:rPr>
        <w:t>удължаване. В плацебо контролирани клинични проучвания с кветиапин, средната промяна и честотата на пациентите с клинично значими нива на промяната са били сходни между групите на кветиапин и плацебо.</w:t>
      </w:r>
    </w:p>
    <w:p w14:paraId="4CBE9AB3" w14:textId="78FC9A1D"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(19) Промяна от &gt; 132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до ≤132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в поне един случай.</w:t>
      </w:r>
    </w:p>
    <w:p w14:paraId="4741AF80" w14:textId="5EA8B717"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(20)По време на лечението с кветиапин или скоро след спиране на терапията (вж. точки 4.4 и 5.1) са били съобщени случаи на суицидни мисли и суицидно поведение.</w:t>
      </w:r>
    </w:p>
    <w:p w14:paraId="3DF69F9C" w14:textId="5E102916"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(21)Вижте точка 5.1</w:t>
      </w:r>
    </w:p>
    <w:p w14:paraId="395602E8" w14:textId="545754F8"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(22)Във всички клинични проучвания, включително откритите удължения е било наблюдавано намаление на хемоглобина до ≤13 </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(8,07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за мъжете и ≤12 </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 xml:space="preserve"> </w:t>
      </w:r>
      <w:r w:rsidRPr="008474B9">
        <w:rPr>
          <w:rFonts w:eastAsia="Times New Roman" w:cs="Arial"/>
          <w:color w:val="000000"/>
          <w:lang w:eastAsia="bg-BG"/>
        </w:rPr>
        <w:t xml:space="preserve">(7,45 </w:t>
      </w:r>
      <w:r w:rsidRPr="008474B9">
        <w:rPr>
          <w:rFonts w:eastAsia="Times New Roman" w:cs="Arial"/>
          <w:color w:val="000000"/>
          <w:lang w:val="en-US"/>
        </w:rPr>
        <w:t>mmol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за жени в поне един случаи сред 11% от пациентите. За тези пациентите средното максимално намаление на хемоглобина по което и да е време е било -1,50 </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dL</w:t>
      </w:r>
      <w:r w:rsidRPr="008474B9">
        <w:rPr>
          <w:rFonts w:eastAsia="Times New Roman" w:cs="Arial"/>
          <w:color w:val="000000"/>
          <w:lang w:val="ru-RU"/>
        </w:rPr>
        <w:t>.</w:t>
      </w:r>
    </w:p>
    <w:p w14:paraId="33BA52F4" w14:textId="3F13096D"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(23)Тези съобщения често са се появявали в комбинация с тахикардия, световъртеж, ортостатична хипотония и/или подлежащо сърдечно/респираторно заболяване.</w:t>
      </w:r>
    </w:p>
    <w:p w14:paraId="0E0D17DC" w14:textId="6329A3C7"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(24)Въз основа на промени </w:t>
      </w:r>
      <w:r w:rsidRPr="008474B9">
        <w:rPr>
          <w:rFonts w:eastAsia="Times New Roman" w:cs="Arial"/>
          <w:i/>
          <w:iCs/>
          <w:color w:val="000000"/>
          <w:lang w:eastAsia="bg-BG"/>
        </w:rPr>
        <w:t>от нормални изходни до потенциално</w:t>
      </w:r>
      <w:r w:rsidRPr="008474B9">
        <w:rPr>
          <w:rFonts w:eastAsia="Times New Roman" w:cs="Arial"/>
          <w:color w:val="000000"/>
          <w:lang w:eastAsia="bg-BG"/>
        </w:rPr>
        <w:t xml:space="preserve"> клинично значими стойности по всяко време след началото, във всички клинични проучвания. Отклоненията в общия Т</w:t>
      </w:r>
      <w:r w:rsidRPr="008474B9">
        <w:rPr>
          <w:rFonts w:eastAsia="Times New Roman" w:cs="Arial"/>
          <w:color w:val="000000"/>
          <w:vertAlign w:val="subscript"/>
          <w:lang w:eastAsia="bg-BG"/>
        </w:rPr>
        <w:t>4</w:t>
      </w:r>
      <w:r w:rsidRPr="008474B9">
        <w:rPr>
          <w:rFonts w:eastAsia="Times New Roman" w:cs="Arial"/>
          <w:color w:val="000000"/>
          <w:lang w:eastAsia="bg-BG"/>
        </w:rPr>
        <w:t>, свободния Т</w:t>
      </w:r>
      <w:r w:rsidRPr="008474B9">
        <w:rPr>
          <w:rFonts w:eastAsia="Times New Roman" w:cs="Arial"/>
          <w:color w:val="000000"/>
          <w:vertAlign w:val="subscript"/>
          <w:lang w:eastAsia="bg-BG"/>
        </w:rPr>
        <w:t>4</w:t>
      </w:r>
      <w:r w:rsidRPr="008474B9">
        <w:rPr>
          <w:rFonts w:eastAsia="Times New Roman" w:cs="Arial"/>
          <w:color w:val="000000"/>
          <w:lang w:eastAsia="bg-BG"/>
        </w:rPr>
        <w:t>, общия Т</w:t>
      </w:r>
      <w:r w:rsidRPr="008474B9">
        <w:rPr>
          <w:rFonts w:eastAsia="Times New Roman" w:cs="Arial"/>
          <w:color w:val="000000"/>
          <w:vertAlign w:val="subscript"/>
          <w:lang w:eastAsia="bg-BG"/>
        </w:rPr>
        <w:t>3</w:t>
      </w:r>
      <w:r w:rsidRPr="008474B9">
        <w:rPr>
          <w:rFonts w:eastAsia="Times New Roman" w:cs="Arial"/>
          <w:color w:val="000000"/>
          <w:lang w:eastAsia="bg-BG"/>
        </w:rPr>
        <w:t xml:space="preserve"> и свободния Т</w:t>
      </w:r>
      <w:r w:rsidRPr="008474B9">
        <w:rPr>
          <w:rFonts w:eastAsia="Times New Roman" w:cs="Arial"/>
          <w:color w:val="000000"/>
          <w:vertAlign w:val="subscript"/>
          <w:lang w:eastAsia="bg-BG"/>
        </w:rPr>
        <w:t>3</w:t>
      </w:r>
      <w:r w:rsidRPr="008474B9">
        <w:rPr>
          <w:rFonts w:eastAsia="Times New Roman" w:cs="Arial"/>
          <w:color w:val="000000"/>
          <w:lang w:eastAsia="bg-BG"/>
        </w:rPr>
        <w:t xml:space="preserve"> са определени като &lt;0,8 </w:t>
      </w:r>
      <w:r w:rsidRPr="008474B9">
        <w:rPr>
          <w:rFonts w:eastAsia="Times New Roman" w:cs="Arial"/>
          <w:color w:val="000000"/>
          <w:lang w:val="en-US"/>
        </w:rPr>
        <w:t>LLN</w:t>
      </w:r>
      <w:r w:rsidRPr="008474B9">
        <w:rPr>
          <w:rFonts w:eastAsia="Times New Roman" w:cs="Arial"/>
          <w:color w:val="000000"/>
          <w:lang w:val="ru-RU"/>
        </w:rPr>
        <w:t xml:space="preserve"> (</w:t>
      </w:r>
      <w:r w:rsidRPr="008474B9">
        <w:rPr>
          <w:rFonts w:eastAsia="Times New Roman" w:cs="Arial"/>
          <w:color w:val="000000"/>
          <w:lang w:val="en-US"/>
        </w:rPr>
        <w:t>pmol</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и промяна на </w:t>
      </w:r>
      <w:r w:rsidRPr="008474B9">
        <w:rPr>
          <w:rFonts w:eastAsia="Times New Roman" w:cs="Arial"/>
          <w:color w:val="000000"/>
          <w:lang w:val="en-US"/>
        </w:rPr>
        <w:t>TSH</w:t>
      </w:r>
      <w:r w:rsidRPr="008474B9">
        <w:rPr>
          <w:rFonts w:eastAsia="Times New Roman" w:cs="Arial"/>
          <w:color w:val="000000"/>
          <w:lang w:val="ru-RU"/>
        </w:rPr>
        <w:t xml:space="preserve"> </w:t>
      </w:r>
      <w:r w:rsidRPr="008474B9">
        <w:rPr>
          <w:rFonts w:eastAsia="Times New Roman" w:cs="Arial"/>
          <w:color w:val="000000"/>
          <w:lang w:eastAsia="bg-BG"/>
        </w:rPr>
        <w:t xml:space="preserve">е &gt; 5 </w:t>
      </w:r>
      <w:r w:rsidRPr="008474B9">
        <w:rPr>
          <w:rFonts w:eastAsia="Times New Roman" w:cs="Arial"/>
          <w:color w:val="000000"/>
          <w:lang w:val="en-US"/>
        </w:rPr>
        <w:t>mIU</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по което и да е време.</w:t>
      </w:r>
    </w:p>
    <w:p w14:paraId="275915C2" w14:textId="531CAA78" w:rsidR="008474B9" w:rsidRPr="008474B9" w:rsidRDefault="008474B9" w:rsidP="008474B9">
      <w:pPr>
        <w:spacing w:line="240" w:lineRule="auto"/>
        <w:rPr>
          <w:rFonts w:eastAsia="Times New Roman" w:cs="Arial"/>
        </w:rPr>
      </w:pPr>
      <w:r w:rsidRPr="008474B9">
        <w:rPr>
          <w:rFonts w:eastAsia="Times New Roman" w:cs="Arial"/>
          <w:color w:val="000000"/>
          <w:lang w:eastAsia="bg-BG"/>
        </w:rPr>
        <w:t>(25)Въз основа на повишената честота на повръщане при пациенти в старческа възраст (≥65 години).</w:t>
      </w:r>
    </w:p>
    <w:p w14:paraId="1FA48E38" w14:textId="76333D5A" w:rsidR="008474B9" w:rsidRPr="008474B9" w:rsidRDefault="008474B9" w:rsidP="008474B9">
      <w:pPr>
        <w:spacing w:line="240" w:lineRule="auto"/>
        <w:rPr>
          <w:rFonts w:eastAsia="Times New Roman" w:cs="Arial"/>
        </w:rPr>
      </w:pPr>
      <w:r w:rsidRPr="008474B9">
        <w:rPr>
          <w:rFonts w:eastAsia="Times New Roman" w:cs="Arial"/>
          <w:color w:val="000000"/>
          <w:lang w:eastAsia="bg-BG"/>
        </w:rPr>
        <w:lastRenderedPageBreak/>
        <w:t>(26) Промяна в неутрофилния брой от ≥1,5 х 1</w:t>
      </w:r>
      <w:r w:rsidRPr="008474B9">
        <w:rPr>
          <w:rFonts w:eastAsia="Times New Roman" w:cs="Arial"/>
          <w:color w:val="000000"/>
          <w:lang w:val="ru-RU"/>
        </w:rPr>
        <w:t>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в началото до &lt;0,5 х 1</w:t>
      </w:r>
      <w:r w:rsidRPr="008474B9">
        <w:rPr>
          <w:rFonts w:eastAsia="Times New Roman" w:cs="Arial"/>
          <w:color w:val="000000"/>
          <w:lang w:val="ru-RU"/>
        </w:rPr>
        <w:t>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по което и да е време в хода на лечението и въз основа на пациенти с тежка неутропения (&lt;0,5 х </w:t>
      </w:r>
      <w:r w:rsidRPr="008474B9">
        <w:rPr>
          <w:rFonts w:eastAsia="Times New Roman" w:cs="Arial"/>
          <w:color w:val="000000"/>
          <w:lang w:val="ru-RU"/>
        </w:rPr>
        <w:t>10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и инфекция по време на всички клинични проучвания с кветиапин (вж. раздел 4.4).</w:t>
      </w:r>
    </w:p>
    <w:p w14:paraId="06F0AC8D" w14:textId="690B42FC" w:rsidR="008474B9" w:rsidRPr="008474B9" w:rsidRDefault="008474B9" w:rsidP="008474B9">
      <w:pPr>
        <w:spacing w:line="240" w:lineRule="auto"/>
        <w:rPr>
          <w:rFonts w:eastAsia="Times New Roman" w:cs="Arial"/>
        </w:rPr>
      </w:pPr>
      <w:r w:rsidRPr="008474B9">
        <w:rPr>
          <w:rFonts w:eastAsia="Times New Roman" w:cs="Arial"/>
          <w:color w:val="000000"/>
          <w:lang w:eastAsia="bg-BG"/>
        </w:rPr>
        <w:t>(27) Въз основа на промяна от нормални изходни до потенциално клинично значими стойности по всяко време във всички клинични проучвания. Промените в еозинофилния брой са били дефинирани като &gt;1 х 10</w:t>
      </w:r>
      <w:r w:rsidRPr="008474B9">
        <w:rPr>
          <w:rFonts w:eastAsia="Times New Roman" w:cs="Arial"/>
          <w:color w:val="000000"/>
          <w:vertAlign w:val="superscript"/>
          <w:lang w:eastAsia="bg-BG"/>
        </w:rPr>
        <w:t>9</w:t>
      </w:r>
      <w:r w:rsidRPr="008474B9">
        <w:rPr>
          <w:rFonts w:eastAsia="Times New Roman" w:cs="Arial"/>
          <w:color w:val="000000"/>
          <w:lang w:eastAsia="bg-BG"/>
        </w:rPr>
        <w:t xml:space="preserve"> клетки</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по което и да е време в хода на лечението.</w:t>
      </w:r>
    </w:p>
    <w:p w14:paraId="5A184528"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(28) Въз основа на промяна от нормални изходни до потенциално клинично значими стойности по всяко време след изходното ниво във всички клинични проучвания. Промяната в левкоцитния брой е определена като ≤ 3 х10</w:t>
      </w:r>
      <w:r w:rsidRPr="008474B9">
        <w:rPr>
          <w:rFonts w:eastAsia="Times New Roman" w:cs="Arial"/>
          <w:color w:val="000000"/>
          <w:vertAlign w:val="superscript"/>
          <w:lang w:eastAsia="bg-BG"/>
        </w:rPr>
        <w:t>9</w:t>
      </w:r>
      <w:r w:rsidRPr="008474B9">
        <w:rPr>
          <w:rFonts w:eastAsia="Times New Roman" w:cs="Arial"/>
          <w:color w:val="000000"/>
          <w:lang w:eastAsia="bg-BG"/>
        </w:rPr>
        <w:t xml:space="preserve"> клетки</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по всяко време.</w:t>
      </w:r>
    </w:p>
    <w:p w14:paraId="7022089D" w14:textId="5B2ED562" w:rsidR="008474B9" w:rsidRPr="008474B9" w:rsidRDefault="008474B9" w:rsidP="008474B9">
      <w:pPr>
        <w:spacing w:line="240" w:lineRule="auto"/>
        <w:rPr>
          <w:rFonts w:eastAsia="Times New Roman" w:cs="Arial"/>
        </w:rPr>
      </w:pPr>
      <w:r w:rsidRPr="008474B9">
        <w:rPr>
          <w:rFonts w:eastAsia="Times New Roman" w:cs="Arial"/>
          <w:color w:val="000000"/>
          <w:lang w:eastAsia="bg-BG"/>
        </w:rPr>
        <w:t>(29</w:t>
      </w:r>
      <w:r w:rsidRPr="008474B9">
        <w:rPr>
          <w:rFonts w:eastAsia="Times New Roman" w:cs="Arial"/>
          <w:color w:val="000000"/>
          <w:vertAlign w:val="superscript"/>
          <w:lang w:eastAsia="bg-BG"/>
        </w:rPr>
        <w:t>)</w:t>
      </w:r>
      <w:r w:rsidRPr="008474B9">
        <w:rPr>
          <w:rFonts w:eastAsia="Times New Roman" w:cs="Arial"/>
          <w:color w:val="000000"/>
          <w:lang w:eastAsia="bg-BG"/>
        </w:rPr>
        <w:t xml:space="preserve"> Въз основа на съобщенията за метаболитен синдром от всички клинични проучвания с кветиапин.</w:t>
      </w:r>
    </w:p>
    <w:p w14:paraId="64B15D41" w14:textId="5B267ED9" w:rsidR="008474B9" w:rsidRPr="008474B9" w:rsidRDefault="008474B9" w:rsidP="008474B9">
      <w:pPr>
        <w:spacing w:line="240" w:lineRule="auto"/>
        <w:rPr>
          <w:rFonts w:eastAsia="Times New Roman" w:cs="Arial"/>
        </w:rPr>
      </w:pPr>
      <w:r w:rsidRPr="008474B9">
        <w:rPr>
          <w:rFonts w:eastAsia="Times New Roman" w:cs="Arial"/>
          <w:color w:val="000000"/>
          <w:lang w:eastAsia="bg-BG"/>
        </w:rPr>
        <w:t>(30)При някои пациенти е било наблюдавано в клиничните проучвания влошаване на повече от един метаболитен фактор на телесното тегло, кръвната захар и липидите (вж. точка 4.4).</w:t>
      </w:r>
    </w:p>
    <w:p w14:paraId="035367F3"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(31) Вижте точка 4.6</w:t>
      </w:r>
    </w:p>
    <w:p w14:paraId="31C786E2" w14:textId="18FCFCBB" w:rsidR="008474B9" w:rsidRPr="008474B9" w:rsidRDefault="008474B9" w:rsidP="008474B9">
      <w:pPr>
        <w:spacing w:line="240" w:lineRule="auto"/>
        <w:rPr>
          <w:rFonts w:eastAsia="Times New Roman" w:cs="Arial"/>
        </w:rPr>
      </w:pPr>
      <w:r w:rsidRPr="008474B9">
        <w:rPr>
          <w:rFonts w:eastAsia="Times New Roman" w:cs="Arial"/>
          <w:color w:val="000000"/>
          <w:lang w:eastAsia="bg-BG"/>
        </w:rPr>
        <w:t>(32) Може да се появят при или скоро след започване на лечението и да са свързани с хипотония и/или синкоп. Честота е определена от съобщенията за нежелани лекарствени реакции като брадикардия и свързани събития във всички клинични проучвания с кветиапин.</w:t>
      </w:r>
    </w:p>
    <w:p w14:paraId="4E8E4905"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(33) Въз основа на едно ретроспективно нерандомизирано епидемиологично проучване.</w:t>
      </w:r>
    </w:p>
    <w:p w14:paraId="70B1D4C8" w14:textId="77777777" w:rsidR="008474B9" w:rsidRPr="008474B9" w:rsidRDefault="008474B9" w:rsidP="008474B9">
      <w:pPr>
        <w:spacing w:line="240" w:lineRule="auto"/>
        <w:rPr>
          <w:rFonts w:eastAsia="Times New Roman" w:cs="Arial"/>
          <w:color w:val="000000"/>
          <w:lang w:eastAsia="bg-BG"/>
        </w:rPr>
      </w:pPr>
    </w:p>
    <w:p w14:paraId="43942925" w14:textId="3C785DC3"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По време на употреба на невролептици са били съобщавани случаи на удължаване на </w:t>
      </w:r>
      <w:r w:rsidRPr="008474B9">
        <w:rPr>
          <w:rFonts w:eastAsia="Times New Roman" w:cs="Arial"/>
          <w:color w:val="000000"/>
          <w:lang w:val="en-US"/>
        </w:rPr>
        <w:t>QT</w:t>
      </w:r>
      <w:r w:rsidRPr="008474B9">
        <w:rPr>
          <w:rFonts w:eastAsia="Times New Roman" w:cs="Arial"/>
          <w:color w:val="000000"/>
          <w:lang w:val="ru-RU"/>
        </w:rPr>
        <w:t xml:space="preserve">- </w:t>
      </w:r>
      <w:r w:rsidRPr="008474B9">
        <w:rPr>
          <w:rFonts w:eastAsia="Times New Roman" w:cs="Arial"/>
          <w:color w:val="000000"/>
          <w:lang w:eastAsia="bg-BG"/>
        </w:rPr>
        <w:t xml:space="preserve">интервала, камерна аритмия, внезапна необяснима смърт, сърдечен арест и </w:t>
      </w:r>
      <w:r w:rsidRPr="008474B9">
        <w:rPr>
          <w:rFonts w:eastAsia="Times New Roman" w:cs="Arial"/>
          <w:i/>
          <w:iCs/>
          <w:color w:val="000000"/>
          <w:lang w:val="en-US"/>
        </w:rPr>
        <w:t>torsades</w:t>
      </w:r>
      <w:r w:rsidRPr="008474B9">
        <w:rPr>
          <w:rFonts w:eastAsia="Times New Roman" w:cs="Arial"/>
          <w:i/>
          <w:iCs/>
          <w:color w:val="000000"/>
          <w:lang w:val="ru-RU"/>
        </w:rPr>
        <w:t xml:space="preserve"> </w:t>
      </w:r>
      <w:r w:rsidRPr="008474B9">
        <w:rPr>
          <w:rFonts w:eastAsia="Times New Roman" w:cs="Arial"/>
          <w:i/>
          <w:iCs/>
          <w:color w:val="000000"/>
          <w:lang w:val="en-US"/>
        </w:rPr>
        <w:t>de</w:t>
      </w:r>
      <w:r w:rsidRPr="008474B9">
        <w:rPr>
          <w:rFonts w:eastAsia="Times New Roman" w:cs="Arial"/>
          <w:i/>
          <w:iCs/>
          <w:color w:val="000000"/>
          <w:lang w:val="ru-RU"/>
        </w:rPr>
        <w:t xml:space="preserve"> </w:t>
      </w:r>
      <w:r w:rsidRPr="008474B9">
        <w:rPr>
          <w:rFonts w:eastAsia="Times New Roman" w:cs="Arial"/>
          <w:i/>
          <w:iCs/>
          <w:color w:val="000000"/>
          <w:lang w:val="en-US"/>
        </w:rPr>
        <w:t>pointes</w:t>
      </w:r>
      <w:r w:rsidRPr="008474B9">
        <w:rPr>
          <w:rFonts w:eastAsia="Times New Roman" w:cs="Arial"/>
          <w:color w:val="000000"/>
          <w:lang w:val="ru-RU"/>
        </w:rPr>
        <w:t xml:space="preserve"> </w:t>
      </w:r>
      <w:r w:rsidRPr="008474B9">
        <w:rPr>
          <w:rFonts w:eastAsia="Times New Roman" w:cs="Arial"/>
          <w:color w:val="000000"/>
          <w:lang w:eastAsia="bg-BG"/>
        </w:rPr>
        <w:t>и се считат за характерни за класа ефекти.</w:t>
      </w:r>
    </w:p>
    <w:p w14:paraId="4C2D70B3" w14:textId="77777777" w:rsidR="008474B9" w:rsidRPr="008474B9" w:rsidRDefault="008474B9" w:rsidP="008474B9">
      <w:pPr>
        <w:spacing w:line="240" w:lineRule="auto"/>
        <w:rPr>
          <w:rFonts w:eastAsia="Times New Roman" w:cs="Arial"/>
          <w:color w:val="000000"/>
          <w:lang w:eastAsia="bg-BG"/>
        </w:rPr>
      </w:pPr>
    </w:p>
    <w:p w14:paraId="25FB5299" w14:textId="713CFFC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Тежки кожни нежелани реакции </w:t>
      </w:r>
      <w:r w:rsidRPr="008474B9">
        <w:rPr>
          <w:rFonts w:eastAsia="Times New Roman" w:cs="Arial"/>
          <w:color w:val="000000"/>
        </w:rPr>
        <w:t>(</w:t>
      </w:r>
      <w:r w:rsidRPr="008474B9">
        <w:rPr>
          <w:rFonts w:eastAsia="Times New Roman" w:cs="Arial"/>
          <w:color w:val="000000"/>
          <w:lang w:val="en-US"/>
        </w:rPr>
        <w:t>SCAR</w:t>
      </w:r>
      <w:r w:rsidRPr="008474B9">
        <w:rPr>
          <w:rFonts w:eastAsia="Times New Roman" w:cs="Arial"/>
          <w:color w:val="000000"/>
        </w:rPr>
        <w:t xml:space="preserve">), </w:t>
      </w:r>
      <w:r w:rsidRPr="008474B9">
        <w:rPr>
          <w:rFonts w:eastAsia="Times New Roman" w:cs="Arial"/>
          <w:color w:val="000000"/>
          <w:lang w:eastAsia="bg-BG"/>
        </w:rPr>
        <w:t xml:space="preserve">включително синдром на </w:t>
      </w:r>
      <w:r w:rsidRPr="008474B9">
        <w:rPr>
          <w:rFonts w:eastAsia="Times New Roman" w:cs="Arial"/>
          <w:color w:val="000000"/>
          <w:lang w:val="en-US"/>
        </w:rPr>
        <w:t>Stevens</w:t>
      </w:r>
      <w:r w:rsidRPr="008474B9">
        <w:rPr>
          <w:rFonts w:eastAsia="Times New Roman" w:cs="Arial"/>
          <w:color w:val="000000"/>
        </w:rPr>
        <w:t>-</w:t>
      </w:r>
      <w:r w:rsidRPr="008474B9">
        <w:rPr>
          <w:rFonts w:eastAsia="Times New Roman" w:cs="Arial"/>
          <w:color w:val="000000"/>
          <w:lang w:val="en-US"/>
        </w:rPr>
        <w:t>Johnson</w:t>
      </w:r>
      <w:r w:rsidRPr="008474B9">
        <w:rPr>
          <w:rFonts w:eastAsia="Times New Roman" w:cs="Arial"/>
          <w:color w:val="000000"/>
        </w:rPr>
        <w:t xml:space="preserve"> (</w:t>
      </w:r>
      <w:r w:rsidRPr="008474B9">
        <w:rPr>
          <w:rFonts w:eastAsia="Times New Roman" w:cs="Arial"/>
          <w:color w:val="000000"/>
          <w:lang w:val="en-US"/>
        </w:rPr>
        <w:t>SJS</w:t>
      </w:r>
      <w:r w:rsidRPr="008474B9">
        <w:rPr>
          <w:rFonts w:eastAsia="Times New Roman" w:cs="Arial"/>
          <w:color w:val="000000"/>
        </w:rPr>
        <w:t xml:space="preserve">), </w:t>
      </w:r>
      <w:r w:rsidRPr="008474B9">
        <w:rPr>
          <w:rFonts w:eastAsia="Times New Roman" w:cs="Arial"/>
          <w:color w:val="000000"/>
          <w:lang w:eastAsia="bg-BG"/>
        </w:rPr>
        <w:t xml:space="preserve">токсична епидермална некролиза </w:t>
      </w:r>
      <w:r w:rsidRPr="008474B9">
        <w:rPr>
          <w:rFonts w:eastAsia="Times New Roman" w:cs="Arial"/>
          <w:color w:val="000000"/>
        </w:rPr>
        <w:t>(</w:t>
      </w:r>
      <w:r w:rsidRPr="008474B9">
        <w:rPr>
          <w:rFonts w:eastAsia="Times New Roman" w:cs="Arial"/>
          <w:color w:val="000000"/>
          <w:lang w:val="en-US"/>
        </w:rPr>
        <w:t>TEN</w:t>
      </w:r>
      <w:r w:rsidRPr="008474B9">
        <w:rPr>
          <w:rFonts w:eastAsia="Times New Roman" w:cs="Arial"/>
          <w:color w:val="000000"/>
        </w:rPr>
        <w:t xml:space="preserve">), </w:t>
      </w:r>
      <w:r w:rsidRPr="008474B9">
        <w:rPr>
          <w:rFonts w:eastAsia="Times New Roman" w:cs="Arial"/>
          <w:color w:val="000000"/>
          <w:lang w:eastAsia="bg-BG"/>
        </w:rPr>
        <w:t xml:space="preserve">лекарствена реакция с еозинофилия и системни симптоми </w:t>
      </w:r>
      <w:r w:rsidRPr="008474B9">
        <w:rPr>
          <w:rFonts w:eastAsia="Times New Roman" w:cs="Arial"/>
          <w:color w:val="000000"/>
        </w:rPr>
        <w:t>(</w:t>
      </w:r>
      <w:r w:rsidRPr="008474B9">
        <w:rPr>
          <w:rFonts w:eastAsia="Times New Roman" w:cs="Arial"/>
          <w:color w:val="000000"/>
          <w:lang w:val="en-US"/>
        </w:rPr>
        <w:t>DRESS</w:t>
      </w:r>
      <w:r w:rsidRPr="008474B9">
        <w:rPr>
          <w:rFonts w:eastAsia="Times New Roman" w:cs="Arial"/>
          <w:color w:val="000000"/>
        </w:rPr>
        <w:t xml:space="preserve">) </w:t>
      </w:r>
      <w:r w:rsidRPr="008474B9">
        <w:rPr>
          <w:rFonts w:eastAsia="Times New Roman" w:cs="Arial"/>
          <w:color w:val="000000"/>
          <w:lang w:eastAsia="bg-BG"/>
        </w:rPr>
        <w:t>са съобщени във връзка с лечението с кветиапин.</w:t>
      </w:r>
    </w:p>
    <w:p w14:paraId="486DF775" w14:textId="77777777" w:rsidR="008474B9" w:rsidRPr="008474B9" w:rsidRDefault="008474B9" w:rsidP="008474B9">
      <w:pPr>
        <w:spacing w:line="240" w:lineRule="auto"/>
        <w:rPr>
          <w:rFonts w:eastAsia="Times New Roman" w:cs="Arial"/>
          <w:b/>
          <w:bCs/>
          <w:color w:val="000000"/>
          <w:lang w:eastAsia="bg-BG"/>
        </w:rPr>
      </w:pPr>
    </w:p>
    <w:p w14:paraId="359C8F79" w14:textId="0649632A" w:rsidR="008474B9" w:rsidRPr="008474B9" w:rsidRDefault="008474B9" w:rsidP="008474B9">
      <w:pPr>
        <w:spacing w:line="240" w:lineRule="auto"/>
        <w:rPr>
          <w:rFonts w:eastAsia="Times New Roman" w:cs="Arial"/>
        </w:rPr>
      </w:pPr>
      <w:r w:rsidRPr="008474B9">
        <w:rPr>
          <w:rFonts w:eastAsia="Times New Roman" w:cs="Arial"/>
          <w:b/>
          <w:bCs/>
          <w:color w:val="000000"/>
          <w:lang w:eastAsia="bg-BG"/>
        </w:rPr>
        <w:t>Педиатрична популация</w:t>
      </w:r>
    </w:p>
    <w:p w14:paraId="5238F145"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Описаните при възрастни НЛР трябва да се имат предвид и при деца и юноши. В дадената по-долу таблица са резюмирани НЛР, които се развиват с по-висока честота при деца и юноши (на възраст от 10 до 17 години), отколкото при възрастни или </w:t>
      </w:r>
      <w:r w:rsidRPr="008474B9">
        <w:rPr>
          <w:rFonts w:eastAsia="Times New Roman" w:cs="Arial"/>
          <w:i/>
          <w:iCs/>
          <w:color w:val="000000"/>
          <w:lang w:eastAsia="bg-BG"/>
        </w:rPr>
        <w:t>НЛР,</w:t>
      </w:r>
      <w:r w:rsidRPr="008474B9">
        <w:rPr>
          <w:rFonts w:eastAsia="Times New Roman" w:cs="Arial"/>
          <w:color w:val="000000"/>
          <w:lang w:eastAsia="bg-BG"/>
        </w:rPr>
        <w:t xml:space="preserve"> които не са наблюдавани при възр</w:t>
      </w:r>
      <w:r w:rsidRPr="008474B9">
        <w:rPr>
          <w:rFonts w:eastAsia="Times New Roman" w:cs="Arial"/>
          <w:color w:val="000000"/>
          <w:u w:val="single"/>
          <w:lang w:eastAsia="bg-BG"/>
        </w:rPr>
        <w:t>астни</w:t>
      </w:r>
      <w:r w:rsidRPr="008474B9">
        <w:rPr>
          <w:rFonts w:eastAsia="Times New Roman" w:cs="Arial"/>
          <w:color w:val="000000"/>
          <w:lang w:eastAsia="bg-BG"/>
        </w:rPr>
        <w:t>,</w:t>
      </w:r>
    </w:p>
    <w:p w14:paraId="4E2DCCF8" w14:textId="77777777" w:rsidR="008474B9" w:rsidRPr="008474B9" w:rsidRDefault="008474B9" w:rsidP="008474B9">
      <w:pPr>
        <w:rPr>
          <w:rFonts w:eastAsia="Times New Roman" w:cs="Arial"/>
          <w:b/>
          <w:bCs/>
          <w:color w:val="000000"/>
          <w:lang w:eastAsia="bg-BG"/>
        </w:rPr>
      </w:pPr>
    </w:p>
    <w:p w14:paraId="59C19C35" w14:textId="4E1D1CEF" w:rsidR="008474B9" w:rsidRPr="008474B9" w:rsidRDefault="008474B9" w:rsidP="008474B9">
      <w:pPr>
        <w:rPr>
          <w:rFonts w:eastAsia="Times New Roman" w:cs="Arial"/>
          <w:b/>
          <w:bCs/>
          <w:color w:val="000000"/>
          <w:lang w:eastAsia="bg-BG"/>
        </w:rPr>
      </w:pPr>
      <w:r w:rsidRPr="008474B9">
        <w:rPr>
          <w:rFonts w:eastAsia="Times New Roman" w:cs="Arial"/>
          <w:b/>
          <w:bCs/>
          <w:color w:val="000000"/>
          <w:lang w:eastAsia="bg-BG"/>
        </w:rPr>
        <w:t>Таблица 2 НЛР при деца и юноши, свързани с терапия с кветиапин, висока честота отколкото при възрастните или които не са идентифицирани сред възрастното население</w:t>
      </w:r>
    </w:p>
    <w:p w14:paraId="4DEBEAAB" w14:textId="6E9686E6" w:rsidR="008474B9" w:rsidRPr="008474B9" w:rsidRDefault="008474B9" w:rsidP="008474B9">
      <w:pPr>
        <w:rPr>
          <w:rFonts w:eastAsia="Times New Roman" w:cs="Arial"/>
          <w:b/>
          <w:bCs/>
          <w:color w:val="000000"/>
          <w:lang w:eastAsia="bg-BG"/>
        </w:rPr>
      </w:pPr>
    </w:p>
    <w:p w14:paraId="1ACB1424"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Честотата на нежеланите лекарствени реакции са групирани в категории както следва: много чести (&gt;1/10), чести (&gt;1/100, &lt;1/10), нечести (&gt;1/1 000, &lt;1/100), редки (&gt;1/10 000, &lt;1/1 000) и много редки (&lt;1/10 000).</w:t>
      </w:r>
    </w:p>
    <w:tbl>
      <w:tblPr>
        <w:tblStyle w:val="TableGrid"/>
        <w:tblW w:w="0" w:type="auto"/>
        <w:tblLook w:val="04A0" w:firstRow="1" w:lastRow="0" w:firstColumn="1" w:lastColumn="0" w:noHBand="0" w:noVBand="1"/>
      </w:tblPr>
      <w:tblGrid>
        <w:gridCol w:w="3116"/>
        <w:gridCol w:w="3117"/>
        <w:gridCol w:w="3117"/>
      </w:tblGrid>
      <w:tr w:rsidR="008474B9" w14:paraId="31F64E63" w14:textId="77777777" w:rsidTr="008474B9">
        <w:tc>
          <w:tcPr>
            <w:tcW w:w="3116" w:type="dxa"/>
          </w:tcPr>
          <w:p w14:paraId="550AEE8F" w14:textId="3AE3327C" w:rsidR="008474B9" w:rsidRPr="008474B9" w:rsidRDefault="008474B9" w:rsidP="008474B9">
            <w:r w:rsidRPr="008474B9">
              <w:rPr>
                <w:b/>
                <w:bCs/>
                <w:szCs w:val="18"/>
              </w:rPr>
              <w:t>Системно-органен клас</w:t>
            </w:r>
          </w:p>
        </w:tc>
        <w:tc>
          <w:tcPr>
            <w:tcW w:w="3117" w:type="dxa"/>
          </w:tcPr>
          <w:p w14:paraId="1F6EC356" w14:textId="3914881A" w:rsidR="008474B9" w:rsidRPr="008474B9" w:rsidRDefault="008474B9" w:rsidP="008474B9">
            <w:r w:rsidRPr="008474B9">
              <w:rPr>
                <w:b/>
                <w:bCs/>
                <w:szCs w:val="18"/>
              </w:rPr>
              <w:t>Много чести</w:t>
            </w:r>
          </w:p>
        </w:tc>
        <w:tc>
          <w:tcPr>
            <w:tcW w:w="3117" w:type="dxa"/>
          </w:tcPr>
          <w:p w14:paraId="7748767B" w14:textId="63B62B1B" w:rsidR="008474B9" w:rsidRPr="008474B9" w:rsidRDefault="008474B9" w:rsidP="008474B9">
            <w:r w:rsidRPr="008474B9">
              <w:rPr>
                <w:b/>
                <w:bCs/>
                <w:szCs w:val="18"/>
              </w:rPr>
              <w:t>Чести</w:t>
            </w:r>
          </w:p>
        </w:tc>
      </w:tr>
      <w:tr w:rsidR="008474B9" w14:paraId="61158C9A" w14:textId="77777777" w:rsidTr="008474B9">
        <w:tc>
          <w:tcPr>
            <w:tcW w:w="3116" w:type="dxa"/>
          </w:tcPr>
          <w:p w14:paraId="5129EFA0" w14:textId="5EA08698" w:rsidR="008474B9" w:rsidRPr="008474B9" w:rsidRDefault="008474B9" w:rsidP="008474B9">
            <w:r w:rsidRPr="008474B9">
              <w:rPr>
                <w:szCs w:val="18"/>
              </w:rPr>
              <w:t>Нарушения на ендокринната система</w:t>
            </w:r>
          </w:p>
        </w:tc>
        <w:tc>
          <w:tcPr>
            <w:tcW w:w="3117" w:type="dxa"/>
          </w:tcPr>
          <w:p w14:paraId="50DAA7CA" w14:textId="4F58629D" w:rsidR="008474B9" w:rsidRPr="008474B9" w:rsidRDefault="008474B9" w:rsidP="008474B9">
            <w:r w:rsidRPr="008474B9">
              <w:rPr>
                <w:szCs w:val="18"/>
              </w:rPr>
              <w:t>Повишаване на стойностите на пролактина</w:t>
            </w:r>
            <w:r w:rsidRPr="008474B9">
              <w:rPr>
                <w:szCs w:val="18"/>
                <w:vertAlign w:val="superscript"/>
              </w:rPr>
              <w:t>1</w:t>
            </w:r>
          </w:p>
        </w:tc>
        <w:tc>
          <w:tcPr>
            <w:tcW w:w="3117" w:type="dxa"/>
          </w:tcPr>
          <w:p w14:paraId="6F63C1FA" w14:textId="77777777" w:rsidR="008474B9" w:rsidRPr="008474B9" w:rsidRDefault="008474B9" w:rsidP="008474B9"/>
        </w:tc>
      </w:tr>
      <w:tr w:rsidR="008474B9" w14:paraId="150D4812" w14:textId="77777777" w:rsidTr="008474B9">
        <w:tc>
          <w:tcPr>
            <w:tcW w:w="3116" w:type="dxa"/>
          </w:tcPr>
          <w:p w14:paraId="12BFE8A8" w14:textId="0CCC025F" w:rsidR="008474B9" w:rsidRPr="008474B9" w:rsidRDefault="008474B9" w:rsidP="008474B9">
            <w:r w:rsidRPr="008474B9">
              <w:rPr>
                <w:szCs w:val="18"/>
              </w:rPr>
              <w:t>Нарушения на метаболизма и храненето</w:t>
            </w:r>
          </w:p>
        </w:tc>
        <w:tc>
          <w:tcPr>
            <w:tcW w:w="3117" w:type="dxa"/>
          </w:tcPr>
          <w:p w14:paraId="674D4068" w14:textId="0983A81E" w:rsidR="008474B9" w:rsidRPr="008474B9" w:rsidRDefault="008474B9" w:rsidP="008474B9">
            <w:r w:rsidRPr="008474B9">
              <w:rPr>
                <w:szCs w:val="18"/>
              </w:rPr>
              <w:t>Повишен апетит</w:t>
            </w:r>
          </w:p>
        </w:tc>
        <w:tc>
          <w:tcPr>
            <w:tcW w:w="3117" w:type="dxa"/>
          </w:tcPr>
          <w:p w14:paraId="19ACCBA5" w14:textId="77777777" w:rsidR="008474B9" w:rsidRPr="008474B9" w:rsidRDefault="008474B9" w:rsidP="008474B9"/>
        </w:tc>
      </w:tr>
      <w:tr w:rsidR="008474B9" w14:paraId="75AB0E36" w14:textId="77777777" w:rsidTr="008474B9">
        <w:tc>
          <w:tcPr>
            <w:tcW w:w="3116" w:type="dxa"/>
          </w:tcPr>
          <w:p w14:paraId="399286D3" w14:textId="1AD543D1" w:rsidR="008474B9" w:rsidRPr="008474B9" w:rsidRDefault="008474B9" w:rsidP="008474B9">
            <w:r w:rsidRPr="008474B9">
              <w:rPr>
                <w:szCs w:val="18"/>
              </w:rPr>
              <w:t>Нарушения на нервната система</w:t>
            </w:r>
          </w:p>
        </w:tc>
        <w:tc>
          <w:tcPr>
            <w:tcW w:w="3117" w:type="dxa"/>
          </w:tcPr>
          <w:p w14:paraId="454B0D8A" w14:textId="02977641" w:rsidR="008474B9" w:rsidRPr="008474B9" w:rsidRDefault="008474B9" w:rsidP="008474B9">
            <w:r w:rsidRPr="008474B9">
              <w:rPr>
                <w:szCs w:val="18"/>
              </w:rPr>
              <w:t xml:space="preserve">Екстрапирамидни симптоми </w:t>
            </w:r>
            <w:r w:rsidRPr="008474B9">
              <w:rPr>
                <w:szCs w:val="18"/>
                <w:vertAlign w:val="superscript"/>
              </w:rPr>
              <w:t>3 4</w:t>
            </w:r>
          </w:p>
        </w:tc>
        <w:tc>
          <w:tcPr>
            <w:tcW w:w="3117" w:type="dxa"/>
          </w:tcPr>
          <w:p w14:paraId="6B534C82" w14:textId="07A0607A" w:rsidR="008474B9" w:rsidRPr="008474B9" w:rsidRDefault="008474B9" w:rsidP="008474B9">
            <w:r w:rsidRPr="008474B9">
              <w:rPr>
                <w:szCs w:val="18"/>
              </w:rPr>
              <w:t>Синкоп</w:t>
            </w:r>
          </w:p>
        </w:tc>
      </w:tr>
      <w:tr w:rsidR="008474B9" w14:paraId="3B2EA102" w14:textId="77777777" w:rsidTr="008474B9">
        <w:tc>
          <w:tcPr>
            <w:tcW w:w="3116" w:type="dxa"/>
          </w:tcPr>
          <w:p w14:paraId="3E4D188A" w14:textId="2EA1D907" w:rsidR="008474B9" w:rsidRPr="008474B9" w:rsidRDefault="008474B9" w:rsidP="008474B9">
            <w:r w:rsidRPr="008474B9">
              <w:rPr>
                <w:szCs w:val="18"/>
              </w:rPr>
              <w:lastRenderedPageBreak/>
              <w:t>Съдови нарушения</w:t>
            </w:r>
          </w:p>
        </w:tc>
        <w:tc>
          <w:tcPr>
            <w:tcW w:w="3117" w:type="dxa"/>
          </w:tcPr>
          <w:p w14:paraId="2EB347C4" w14:textId="120FAE90" w:rsidR="008474B9" w:rsidRPr="008474B9" w:rsidRDefault="008474B9" w:rsidP="008474B9">
            <w:r w:rsidRPr="008474B9">
              <w:rPr>
                <w:szCs w:val="18"/>
              </w:rPr>
              <w:t>Повишаване на кръвното налягане</w:t>
            </w:r>
            <w:r w:rsidRPr="008474B9">
              <w:rPr>
                <w:szCs w:val="18"/>
                <w:vertAlign w:val="superscript"/>
              </w:rPr>
              <w:t>2</w:t>
            </w:r>
          </w:p>
        </w:tc>
        <w:tc>
          <w:tcPr>
            <w:tcW w:w="3117" w:type="dxa"/>
          </w:tcPr>
          <w:p w14:paraId="2ED4F7AE" w14:textId="77777777" w:rsidR="008474B9" w:rsidRPr="008474B9" w:rsidRDefault="008474B9" w:rsidP="008474B9"/>
        </w:tc>
      </w:tr>
      <w:tr w:rsidR="008474B9" w14:paraId="0819A7A1" w14:textId="77777777" w:rsidTr="008474B9">
        <w:tc>
          <w:tcPr>
            <w:tcW w:w="3116" w:type="dxa"/>
          </w:tcPr>
          <w:p w14:paraId="06E3988E" w14:textId="7EA88A69" w:rsidR="008474B9" w:rsidRPr="008474B9" w:rsidRDefault="008474B9" w:rsidP="008474B9">
            <w:r w:rsidRPr="008474B9">
              <w:rPr>
                <w:szCs w:val="18"/>
              </w:rPr>
              <w:t>Респираторни, гръдни и медиастинални нарушения</w:t>
            </w:r>
          </w:p>
        </w:tc>
        <w:tc>
          <w:tcPr>
            <w:tcW w:w="3117" w:type="dxa"/>
          </w:tcPr>
          <w:p w14:paraId="6460365B" w14:textId="77777777" w:rsidR="008474B9" w:rsidRPr="008474B9" w:rsidRDefault="008474B9" w:rsidP="008474B9"/>
        </w:tc>
        <w:tc>
          <w:tcPr>
            <w:tcW w:w="3117" w:type="dxa"/>
          </w:tcPr>
          <w:p w14:paraId="5A1238CB" w14:textId="22D2DA44" w:rsidR="008474B9" w:rsidRPr="008474B9" w:rsidRDefault="008474B9" w:rsidP="008474B9">
            <w:r w:rsidRPr="008474B9">
              <w:rPr>
                <w:szCs w:val="18"/>
              </w:rPr>
              <w:t>Ринит</w:t>
            </w:r>
          </w:p>
        </w:tc>
      </w:tr>
      <w:tr w:rsidR="008474B9" w14:paraId="11960B9B" w14:textId="77777777" w:rsidTr="008474B9">
        <w:tc>
          <w:tcPr>
            <w:tcW w:w="3116" w:type="dxa"/>
          </w:tcPr>
          <w:p w14:paraId="5B4083D5" w14:textId="0E0C252B" w:rsidR="008474B9" w:rsidRPr="008474B9" w:rsidRDefault="008474B9" w:rsidP="008474B9">
            <w:r w:rsidRPr="008474B9">
              <w:rPr>
                <w:szCs w:val="18"/>
              </w:rPr>
              <w:t>Стомашно-чревни нарушения</w:t>
            </w:r>
          </w:p>
        </w:tc>
        <w:tc>
          <w:tcPr>
            <w:tcW w:w="3117" w:type="dxa"/>
          </w:tcPr>
          <w:p w14:paraId="550E72FF" w14:textId="02FA9A86" w:rsidR="008474B9" w:rsidRPr="008474B9" w:rsidRDefault="008474B9" w:rsidP="008474B9">
            <w:r w:rsidRPr="008474B9">
              <w:rPr>
                <w:szCs w:val="18"/>
              </w:rPr>
              <w:t>Повръщане</w:t>
            </w:r>
          </w:p>
        </w:tc>
        <w:tc>
          <w:tcPr>
            <w:tcW w:w="3117" w:type="dxa"/>
          </w:tcPr>
          <w:p w14:paraId="265E7AB4" w14:textId="77777777" w:rsidR="008474B9" w:rsidRPr="008474B9" w:rsidRDefault="008474B9" w:rsidP="008474B9"/>
        </w:tc>
      </w:tr>
      <w:tr w:rsidR="008474B9" w14:paraId="56E3B8AB" w14:textId="77777777" w:rsidTr="008474B9">
        <w:tc>
          <w:tcPr>
            <w:tcW w:w="3116" w:type="dxa"/>
          </w:tcPr>
          <w:p w14:paraId="44480656" w14:textId="6306A71F" w:rsidR="008474B9" w:rsidRPr="008474B9" w:rsidRDefault="008474B9" w:rsidP="008474B9">
            <w:r w:rsidRPr="008474B9">
              <w:rPr>
                <w:szCs w:val="18"/>
              </w:rPr>
              <w:t>Общи нарушения и ефекти на мястото на приложение</w:t>
            </w:r>
          </w:p>
        </w:tc>
        <w:tc>
          <w:tcPr>
            <w:tcW w:w="3117" w:type="dxa"/>
          </w:tcPr>
          <w:p w14:paraId="1A27E098" w14:textId="77777777" w:rsidR="008474B9" w:rsidRPr="008474B9" w:rsidRDefault="008474B9" w:rsidP="008474B9"/>
        </w:tc>
        <w:tc>
          <w:tcPr>
            <w:tcW w:w="3117" w:type="dxa"/>
          </w:tcPr>
          <w:p w14:paraId="06DFE869" w14:textId="1146430F" w:rsidR="008474B9" w:rsidRPr="008474B9" w:rsidRDefault="008474B9" w:rsidP="008474B9">
            <w:r w:rsidRPr="008474B9">
              <w:rPr>
                <w:szCs w:val="18"/>
              </w:rPr>
              <w:t>Раздразнителност</w:t>
            </w:r>
            <w:r w:rsidRPr="008474B9">
              <w:rPr>
                <w:szCs w:val="18"/>
                <w:vertAlign w:val="superscript"/>
              </w:rPr>
              <w:t>3</w:t>
            </w:r>
          </w:p>
        </w:tc>
      </w:tr>
    </w:tbl>
    <w:p w14:paraId="7F59C337" w14:textId="26AF60C0"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(1)Стойности на пролактина (пациенти на възраст &lt;18 години): &gt; 20 μ</w:t>
      </w:r>
      <w:r w:rsidRPr="008474B9">
        <w:rPr>
          <w:rFonts w:eastAsia="Times New Roman" w:cs="Arial"/>
          <w:color w:val="000000"/>
          <w:lang w:val="en-US"/>
        </w:rPr>
        <w:t>g</w:t>
      </w:r>
      <w:r w:rsidRPr="008474B9">
        <w:rPr>
          <w:rFonts w:eastAsia="Times New Roman" w:cs="Arial"/>
          <w:color w:val="000000"/>
          <w:lang w:val="ru-RU"/>
        </w:rPr>
        <w:t xml:space="preserve">/1 </w:t>
      </w:r>
      <w:r w:rsidRPr="008474B9">
        <w:rPr>
          <w:rFonts w:eastAsia="Times New Roman" w:cs="Arial"/>
          <w:color w:val="000000"/>
          <w:lang w:eastAsia="bg-BG"/>
        </w:rPr>
        <w:t xml:space="preserve">(&gt;869,56 </w:t>
      </w:r>
      <w:r w:rsidRPr="008474B9">
        <w:rPr>
          <w:rFonts w:eastAsia="Times New Roman" w:cs="Arial"/>
          <w:color w:val="000000"/>
          <w:lang w:val="en-US"/>
        </w:rPr>
        <w:t>pmol</w:t>
      </w:r>
      <w:r w:rsidRPr="008474B9">
        <w:rPr>
          <w:rFonts w:eastAsia="Times New Roman" w:cs="Arial"/>
          <w:color w:val="000000"/>
          <w:lang w:val="ru-RU"/>
        </w:rPr>
        <w:t xml:space="preserve">/1) </w:t>
      </w:r>
      <w:r w:rsidRPr="008474B9">
        <w:rPr>
          <w:rFonts w:eastAsia="Times New Roman" w:cs="Arial"/>
          <w:color w:val="000000"/>
          <w:lang w:eastAsia="bg-BG"/>
        </w:rPr>
        <w:t>мъже; &gt;26 μ</w:t>
      </w:r>
      <w:r w:rsidRPr="008474B9">
        <w:rPr>
          <w:rFonts w:eastAsia="Times New Roman" w:cs="Arial"/>
          <w:color w:val="000000"/>
          <w:lang w:val="en-US"/>
        </w:rPr>
        <w:t>g</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(&gt;1130,428 </w:t>
      </w:r>
      <w:r w:rsidRPr="008474B9">
        <w:rPr>
          <w:rFonts w:eastAsia="Times New Roman" w:cs="Arial"/>
          <w:color w:val="000000"/>
          <w:lang w:val="en-US"/>
        </w:rPr>
        <w:t>pmol</w:t>
      </w:r>
      <w:r w:rsidRPr="008474B9">
        <w:rPr>
          <w:rFonts w:eastAsia="Times New Roman" w:cs="Arial"/>
          <w:color w:val="000000"/>
          <w:lang w:val="ru-RU"/>
        </w:rPr>
        <w:t xml:space="preserve">/1) </w:t>
      </w:r>
      <w:r w:rsidRPr="008474B9">
        <w:rPr>
          <w:rFonts w:eastAsia="Times New Roman" w:cs="Arial"/>
          <w:color w:val="000000"/>
          <w:lang w:eastAsia="bg-BG"/>
        </w:rPr>
        <w:t>жени по всяко време. Повишаване на пролактина &gt; 100 μ</w:t>
      </w:r>
      <w:r w:rsidRPr="008474B9">
        <w:rPr>
          <w:rFonts w:eastAsia="Times New Roman" w:cs="Arial"/>
          <w:color w:val="000000"/>
          <w:lang w:val="en-US"/>
        </w:rPr>
        <w:t>g</w:t>
      </w:r>
      <w:r w:rsidRPr="008474B9">
        <w:rPr>
          <w:rFonts w:eastAsia="Times New Roman" w:cs="Arial"/>
          <w:color w:val="000000"/>
          <w:lang w:val="ru-RU"/>
        </w:rPr>
        <w:t xml:space="preserve">/1 </w:t>
      </w:r>
      <w:r w:rsidRPr="008474B9">
        <w:rPr>
          <w:rFonts w:eastAsia="Times New Roman" w:cs="Arial"/>
          <w:color w:val="000000"/>
          <w:lang w:eastAsia="bg-BG"/>
        </w:rPr>
        <w:t>е установено при по-малко от 1% от пациентите.</w:t>
      </w:r>
    </w:p>
    <w:p w14:paraId="31A32106" w14:textId="24435D06"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(2)Въз основа на промяна до стойности, надвишаващи клинично значимите прагове (адаптирани въз основа на критериите на Националния институт по здравеопазване на САЩ) или повишаване с &gt;20 </w:t>
      </w:r>
      <w:r w:rsidRPr="008474B9">
        <w:rPr>
          <w:rFonts w:eastAsia="Times New Roman" w:cs="Arial"/>
          <w:color w:val="000000"/>
          <w:lang w:val="en-US"/>
        </w:rPr>
        <w:t>mmHg</w:t>
      </w:r>
      <w:r w:rsidRPr="008474B9">
        <w:rPr>
          <w:rFonts w:eastAsia="Times New Roman" w:cs="Arial"/>
          <w:color w:val="000000"/>
          <w:lang w:val="ru-RU"/>
        </w:rPr>
        <w:t xml:space="preserve"> </w:t>
      </w:r>
      <w:r w:rsidRPr="008474B9">
        <w:rPr>
          <w:rFonts w:eastAsia="Times New Roman" w:cs="Arial"/>
          <w:color w:val="000000"/>
          <w:lang w:eastAsia="bg-BG"/>
        </w:rPr>
        <w:t xml:space="preserve">за систолното или &gt;10 </w:t>
      </w:r>
      <w:r w:rsidRPr="008474B9">
        <w:rPr>
          <w:rFonts w:eastAsia="Times New Roman" w:cs="Arial"/>
          <w:color w:val="000000"/>
          <w:lang w:val="en-US"/>
        </w:rPr>
        <w:t>mmHg</w:t>
      </w:r>
      <w:r w:rsidRPr="008474B9">
        <w:rPr>
          <w:rFonts w:eastAsia="Times New Roman" w:cs="Arial"/>
          <w:color w:val="000000"/>
          <w:lang w:val="ru-RU"/>
        </w:rPr>
        <w:t xml:space="preserve"> </w:t>
      </w:r>
      <w:r w:rsidRPr="008474B9">
        <w:rPr>
          <w:rFonts w:eastAsia="Times New Roman" w:cs="Arial"/>
          <w:color w:val="000000"/>
          <w:lang w:eastAsia="bg-BG"/>
        </w:rPr>
        <w:t>за диастолното артериално налягане във всеки един момент в две плацебо контролирани изпитвания за лечение на остри състояния (3-6 седмици) при деца и юноши.</w:t>
      </w:r>
    </w:p>
    <w:p w14:paraId="5A36A963" w14:textId="0E8243B8"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(3)Забележка: Честотата е сравнима с наблюдаваната при възрастни, но в сравнение с при деца и юноши раздразнителността може да бъде свързана с различни клинични последствия.</w:t>
      </w:r>
    </w:p>
    <w:p w14:paraId="7E0D1C5E" w14:textId="748943D1"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(4)Вижте точка 5.1</w:t>
      </w:r>
    </w:p>
    <w:p w14:paraId="6012FA10" w14:textId="77777777" w:rsidR="008474B9" w:rsidRPr="008474B9" w:rsidRDefault="008474B9" w:rsidP="008474B9">
      <w:pPr>
        <w:spacing w:line="240" w:lineRule="auto"/>
        <w:rPr>
          <w:rFonts w:eastAsia="Times New Roman" w:cs="Arial"/>
          <w:color w:val="000000"/>
          <w:u w:val="single"/>
          <w:lang w:eastAsia="bg-BG"/>
        </w:rPr>
      </w:pPr>
    </w:p>
    <w:p w14:paraId="58064772" w14:textId="50FB9F16" w:rsidR="008474B9" w:rsidRPr="008474B9" w:rsidRDefault="008474B9" w:rsidP="008474B9">
      <w:pPr>
        <w:spacing w:line="240" w:lineRule="auto"/>
        <w:rPr>
          <w:rFonts w:eastAsia="Times New Roman" w:cs="Arial"/>
        </w:rPr>
      </w:pPr>
      <w:r w:rsidRPr="008474B9">
        <w:rPr>
          <w:rFonts w:eastAsia="Times New Roman" w:cs="Arial"/>
          <w:color w:val="000000"/>
          <w:u w:val="single"/>
          <w:lang w:eastAsia="bg-BG"/>
        </w:rPr>
        <w:t>Съобщаване на подозирани нежелани реакции</w:t>
      </w:r>
    </w:p>
    <w:p w14:paraId="03EFBFA7" w14:textId="77777777"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Съобщаването на подозирани</w:t>
      </w:r>
      <w:r w:rsidRPr="008474B9">
        <w:rPr>
          <w:rFonts w:eastAsia="Times New Roman" w:cs="Arial"/>
          <w:color w:val="000000"/>
          <w:lang w:eastAsia="bg-BG"/>
        </w:rPr>
        <w:t xml:space="preserve">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2DC0BFF7" w14:textId="77777777" w:rsidR="008474B9" w:rsidRPr="008474B9" w:rsidRDefault="008474B9" w:rsidP="008474B9">
      <w:pPr>
        <w:spacing w:line="240" w:lineRule="auto"/>
        <w:rPr>
          <w:rFonts w:eastAsia="Times New Roman" w:cs="Arial"/>
          <w:color w:val="000000"/>
          <w:lang w:eastAsia="bg-BG"/>
        </w:rPr>
      </w:pPr>
    </w:p>
    <w:p w14:paraId="1F9817FA" w14:textId="5310274E" w:rsidR="008474B9" w:rsidRPr="008474B9" w:rsidRDefault="008474B9" w:rsidP="008474B9">
      <w:pPr>
        <w:spacing w:line="240" w:lineRule="auto"/>
        <w:rPr>
          <w:rFonts w:eastAsia="Times New Roman" w:cs="Arial"/>
        </w:rPr>
      </w:pPr>
      <w:r w:rsidRPr="008474B9">
        <w:rPr>
          <w:rFonts w:eastAsia="Times New Roman" w:cs="Arial"/>
          <w:color w:val="000000"/>
          <w:lang w:eastAsia="bg-BG"/>
        </w:rPr>
        <w:t>Изпълнителна агенция по лекарствата</w:t>
      </w:r>
    </w:p>
    <w:p w14:paraId="28DC8F0A"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ул.,</w:t>
      </w:r>
      <w:r w:rsidRPr="008474B9">
        <w:rPr>
          <w:rFonts w:eastAsia="Times New Roman" w:cs="Arial"/>
          <w:i/>
          <w:iCs/>
          <w:color w:val="000000"/>
          <w:lang w:eastAsia="bg-BG"/>
        </w:rPr>
        <w:t>Дамян Г</w:t>
      </w:r>
      <w:r w:rsidRPr="008474B9">
        <w:rPr>
          <w:rFonts w:eastAsia="Times New Roman" w:cs="Arial"/>
          <w:color w:val="000000"/>
          <w:lang w:eastAsia="bg-BG"/>
        </w:rPr>
        <w:t>руев” № 8</w:t>
      </w:r>
    </w:p>
    <w:p w14:paraId="30683578"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1303 София</w:t>
      </w:r>
    </w:p>
    <w:p w14:paraId="28D81755"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тел: +359 2 890 34 17</w:t>
      </w:r>
    </w:p>
    <w:p w14:paraId="0503F073"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уебсайт: </w:t>
      </w:r>
      <w:hyperlink r:id="rId5" w:history="1">
        <w:r w:rsidRPr="008474B9">
          <w:rPr>
            <w:rFonts w:eastAsia="Times New Roman" w:cs="Arial"/>
            <w:color w:val="000000"/>
            <w:lang w:val="en-US"/>
          </w:rPr>
          <w:t>www</w:t>
        </w:r>
        <w:r w:rsidRPr="008474B9">
          <w:rPr>
            <w:rFonts w:eastAsia="Times New Roman" w:cs="Arial"/>
            <w:color w:val="000000"/>
            <w:lang w:val="ru-RU"/>
          </w:rPr>
          <w:t>.</w:t>
        </w:r>
        <w:r w:rsidRPr="008474B9">
          <w:rPr>
            <w:rFonts w:eastAsia="Times New Roman" w:cs="Arial"/>
            <w:color w:val="000000"/>
            <w:lang w:val="en-US"/>
          </w:rPr>
          <w:t>bda</w:t>
        </w:r>
        <w:r w:rsidRPr="008474B9">
          <w:rPr>
            <w:rFonts w:eastAsia="Times New Roman" w:cs="Arial"/>
            <w:color w:val="000000"/>
            <w:lang w:val="ru-RU"/>
          </w:rPr>
          <w:t>.</w:t>
        </w:r>
        <w:r w:rsidRPr="008474B9">
          <w:rPr>
            <w:rFonts w:eastAsia="Times New Roman" w:cs="Arial"/>
            <w:color w:val="000000"/>
            <w:lang w:val="en-US"/>
          </w:rPr>
          <w:t>bg</w:t>
        </w:r>
      </w:hyperlink>
    </w:p>
    <w:p w14:paraId="57416254" w14:textId="02660749" w:rsidR="008474B9" w:rsidRPr="00960099" w:rsidRDefault="008474B9" w:rsidP="008474B9"/>
    <w:p w14:paraId="07687653" w14:textId="08EC5E32" w:rsidR="00DF4C8E" w:rsidRDefault="002C50EE" w:rsidP="00F44498">
      <w:pPr>
        <w:pStyle w:val="Heading2"/>
      </w:pPr>
      <w:r>
        <w:t>4.9. Предозиране</w:t>
      </w:r>
    </w:p>
    <w:p w14:paraId="6EE65FE1" w14:textId="16F93207" w:rsidR="008474B9" w:rsidRDefault="008474B9" w:rsidP="008474B9"/>
    <w:p w14:paraId="218C8A16" w14:textId="77777777" w:rsidR="008474B9" w:rsidRPr="008474B9" w:rsidRDefault="008474B9" w:rsidP="008474B9">
      <w:pPr>
        <w:pStyle w:val="Heading3"/>
        <w:rPr>
          <w:rFonts w:eastAsia="Times New Roman"/>
          <w:sz w:val="32"/>
          <w:u w:val="single"/>
        </w:rPr>
      </w:pPr>
      <w:r w:rsidRPr="008474B9">
        <w:rPr>
          <w:rFonts w:eastAsia="Times New Roman"/>
          <w:u w:val="single"/>
          <w:lang w:eastAsia="bg-BG"/>
        </w:rPr>
        <w:t>Симптоми</w:t>
      </w:r>
    </w:p>
    <w:p w14:paraId="279A2D9C"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Най-общо, съобщаваните признаци и симптоми са резултат от засилване на познатите фармакологични ефекти на активното вещество, т.е. замайване и седация, тахикардия, хипотония и анти-холинергични ефекти.</w:t>
      </w:r>
    </w:p>
    <w:p w14:paraId="528863CB" w14:textId="77777777" w:rsidR="008474B9" w:rsidRPr="008474B9" w:rsidRDefault="008474B9" w:rsidP="008474B9">
      <w:pPr>
        <w:rPr>
          <w:rFonts w:eastAsia="Times New Roman" w:cs="Arial"/>
          <w:color w:val="000000"/>
          <w:szCs w:val="18"/>
          <w:lang w:eastAsia="bg-BG"/>
        </w:rPr>
      </w:pPr>
    </w:p>
    <w:p w14:paraId="29C8E62E" w14:textId="77777777" w:rsidR="008474B9" w:rsidRPr="008474B9" w:rsidRDefault="008474B9" w:rsidP="008474B9">
      <w:pPr>
        <w:rPr>
          <w:rFonts w:eastAsia="Times New Roman" w:cs="Arial"/>
          <w:sz w:val="32"/>
          <w:szCs w:val="24"/>
        </w:rPr>
      </w:pPr>
      <w:r w:rsidRPr="008474B9">
        <w:rPr>
          <w:rFonts w:eastAsia="Times New Roman" w:cs="Arial"/>
          <w:color w:val="000000"/>
          <w:szCs w:val="18"/>
          <w:lang w:eastAsia="bg-BG"/>
        </w:rPr>
        <w:t xml:space="preserve">Предозирането може да доведе до удължаване на </w:t>
      </w:r>
      <w:r w:rsidRPr="008474B9">
        <w:rPr>
          <w:rFonts w:eastAsia="Times New Roman" w:cs="Arial"/>
          <w:color w:val="000000"/>
          <w:szCs w:val="18"/>
          <w:lang w:val="en-US"/>
        </w:rPr>
        <w:t>QT</w:t>
      </w:r>
      <w:r w:rsidRPr="008474B9">
        <w:rPr>
          <w:rFonts w:eastAsia="Times New Roman" w:cs="Arial"/>
          <w:color w:val="000000"/>
          <w:szCs w:val="18"/>
          <w:lang w:val="ru-RU"/>
        </w:rPr>
        <w:t xml:space="preserve"> </w:t>
      </w:r>
      <w:r w:rsidRPr="008474B9">
        <w:rPr>
          <w:rFonts w:eastAsia="Times New Roman" w:cs="Arial"/>
          <w:color w:val="000000"/>
          <w:szCs w:val="18"/>
          <w:lang w:eastAsia="bg-BG"/>
        </w:rPr>
        <w:t>интервала, припадъци, епилептичен статус, рабдомиолиза, потискане на дишането, задържане на урина, объркване, делириум, и/или възбуда кома и смърт. Пациентите с предшестващо тежко сърдечно-съдово заболяване, може да са с повишен риск от ефектите на предозиране (Вижте точка 4.4, Ортостатична хипотония).</w:t>
      </w:r>
    </w:p>
    <w:p w14:paraId="7201E81B" w14:textId="77777777" w:rsidR="008474B9" w:rsidRPr="008474B9" w:rsidRDefault="008474B9" w:rsidP="008474B9">
      <w:pPr>
        <w:spacing w:line="240" w:lineRule="auto"/>
        <w:rPr>
          <w:rFonts w:eastAsia="Times New Roman" w:cs="Arial"/>
          <w:color w:val="000000"/>
          <w:szCs w:val="18"/>
          <w:u w:val="single"/>
          <w:lang w:eastAsia="bg-BG"/>
        </w:rPr>
      </w:pPr>
    </w:p>
    <w:p w14:paraId="1B332F55" w14:textId="7E3929B4" w:rsidR="008474B9" w:rsidRPr="008474B9" w:rsidRDefault="008474B9" w:rsidP="008474B9">
      <w:pPr>
        <w:pStyle w:val="Heading3"/>
        <w:rPr>
          <w:rFonts w:eastAsia="Times New Roman"/>
          <w:sz w:val="32"/>
          <w:u w:val="single"/>
        </w:rPr>
      </w:pPr>
      <w:r w:rsidRPr="008474B9">
        <w:rPr>
          <w:rFonts w:eastAsia="Times New Roman"/>
          <w:u w:val="single"/>
          <w:lang w:eastAsia="bg-BG"/>
        </w:rPr>
        <w:lastRenderedPageBreak/>
        <w:t>Поведение при предозиране</w:t>
      </w:r>
    </w:p>
    <w:p w14:paraId="15AB8156"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Кветиапин няма специфичен антидот. В случаи на тежки признаци трябва да се има предвид възможността за участие на много лекарствени продукти и се препоръчват интензивни грижи, включително освобождаване и поддържане на свободни дихателни пътища на пациента, осигуряване на адекватно кислородно подаване и вентилация и мониториране и поддържане на сърдечно</w:t>
      </w:r>
      <w:r w:rsidRPr="008474B9">
        <w:rPr>
          <w:rFonts w:eastAsia="Times New Roman" w:cs="Arial"/>
          <w:color w:val="000000"/>
          <w:szCs w:val="18"/>
          <w:lang w:eastAsia="bg-BG"/>
        </w:rPr>
        <w:softHyphen/>
        <w:t>съдовата система.</w:t>
      </w:r>
    </w:p>
    <w:p w14:paraId="6F8D6F38"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 xml:space="preserve">Въз основа на публикуваната литература, пациентите с делир, възбуда и с изразен антихолинергичен синдром могат да бъдат лекувани с физостигмин, 1-2 </w:t>
      </w:r>
      <w:r w:rsidRPr="008474B9">
        <w:rPr>
          <w:rFonts w:eastAsia="Times New Roman" w:cs="Arial"/>
          <w:color w:val="000000"/>
          <w:szCs w:val="18"/>
          <w:lang w:val="en-US"/>
        </w:rPr>
        <w:t>mg</w:t>
      </w:r>
      <w:r w:rsidRPr="008474B9">
        <w:rPr>
          <w:rFonts w:eastAsia="Times New Roman" w:cs="Arial"/>
          <w:color w:val="000000"/>
          <w:szCs w:val="18"/>
          <w:lang w:val="ru-RU"/>
        </w:rPr>
        <w:t xml:space="preserve"> </w:t>
      </w:r>
      <w:r w:rsidRPr="008474B9">
        <w:rPr>
          <w:rFonts w:eastAsia="Times New Roman" w:cs="Arial"/>
          <w:color w:val="000000"/>
          <w:szCs w:val="18"/>
          <w:lang w:eastAsia="bg-BG"/>
        </w:rPr>
        <w:t xml:space="preserve">(при непрекъснато наблюдение на ЕКГ). Това не се препоръчва като стандартно лечение, поради потенциален отрицателен ефект на физостигмин върху сърдечната проводимост. Физостигмин може да се използва, ако няма отклонения в ЕКГ. Не използвайте физостигмин в случай на нарушен ритъм, всякаква степен на сърдечен блок или </w:t>
      </w:r>
      <w:r w:rsidRPr="008474B9">
        <w:rPr>
          <w:rFonts w:eastAsia="Times New Roman" w:cs="Arial"/>
          <w:color w:val="000000"/>
          <w:szCs w:val="18"/>
          <w:lang w:val="en-US"/>
        </w:rPr>
        <w:t>QRS</w:t>
      </w:r>
      <w:r w:rsidRPr="008474B9">
        <w:rPr>
          <w:rFonts w:eastAsia="Times New Roman" w:cs="Arial"/>
          <w:color w:val="000000"/>
          <w:szCs w:val="18"/>
          <w:lang w:eastAsia="bg-BG"/>
        </w:rPr>
        <w:t>-разширяване.</w:t>
      </w:r>
    </w:p>
    <w:p w14:paraId="1FF0B347"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Тъй като превенцията на абсорбцията при свръхдоза не е проучена, трябва да се има предвид прилагането на стомашна промивка при тежки отравяния, по възможност да се извърши в рамките на 1 час след поглъщане. Разглежда се и прием на активен въглен.</w:t>
      </w:r>
    </w:p>
    <w:p w14:paraId="701A6F0D" w14:textId="77777777"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При предозиране с кветиапин упоритата хипотония трябва да се третира с адекватни мерки, като интравенозно вливане на течности и/или симпатомиметични агенти. Трябва да се избягва прилагането на епинефрин и допамин, тъй като бета стимулацията може да влоши хипотонията при предизвикана от кветиапин алфа блокада.</w:t>
      </w:r>
    </w:p>
    <w:p w14:paraId="7AFED225" w14:textId="77777777" w:rsidR="008474B9" w:rsidRPr="008474B9" w:rsidRDefault="008474B9" w:rsidP="008474B9">
      <w:pPr>
        <w:spacing w:line="240" w:lineRule="auto"/>
        <w:rPr>
          <w:rFonts w:eastAsia="Times New Roman" w:cs="Arial"/>
          <w:color w:val="000000"/>
          <w:szCs w:val="18"/>
          <w:lang w:eastAsia="bg-BG"/>
        </w:rPr>
      </w:pPr>
    </w:p>
    <w:p w14:paraId="412331C5" w14:textId="4E324E9E" w:rsidR="008474B9" w:rsidRPr="008474B9" w:rsidRDefault="008474B9" w:rsidP="008474B9">
      <w:pPr>
        <w:spacing w:line="240" w:lineRule="auto"/>
        <w:rPr>
          <w:rFonts w:eastAsia="Times New Roman" w:cs="Arial"/>
          <w:sz w:val="32"/>
          <w:szCs w:val="24"/>
        </w:rPr>
      </w:pPr>
      <w:r w:rsidRPr="008474B9">
        <w:rPr>
          <w:rFonts w:eastAsia="Times New Roman" w:cs="Arial"/>
          <w:color w:val="000000"/>
          <w:szCs w:val="18"/>
          <w:lang w:eastAsia="bg-BG"/>
        </w:rPr>
        <w:t>Внимателно лекарско наблюдение и мониториране трябва да продължи до възстановяването на пациента.</w:t>
      </w:r>
    </w:p>
    <w:p w14:paraId="7100F09C" w14:textId="55693371" w:rsidR="008474B9" w:rsidRPr="008474B9" w:rsidRDefault="008474B9" w:rsidP="008474B9"/>
    <w:p w14:paraId="02081B24" w14:textId="1F46E296" w:rsidR="00395555" w:rsidRPr="00395555" w:rsidRDefault="002C50EE" w:rsidP="008A6AF2">
      <w:pPr>
        <w:pStyle w:val="Heading1"/>
      </w:pPr>
      <w:r>
        <w:t>5. ФАРМАКОЛОГИЧНИ СВОЙСТВА</w:t>
      </w:r>
    </w:p>
    <w:p w14:paraId="4D47A490" w14:textId="6DB784BA" w:rsidR="00DF4C8E" w:rsidRDefault="002C50EE" w:rsidP="00F44498">
      <w:pPr>
        <w:pStyle w:val="Heading2"/>
      </w:pPr>
      <w:r>
        <w:t>5.1. Фармакодинамични свойства</w:t>
      </w:r>
    </w:p>
    <w:p w14:paraId="346BCB15" w14:textId="265AB3AE" w:rsidR="008474B9" w:rsidRDefault="008474B9" w:rsidP="008474B9"/>
    <w:p w14:paraId="190A33A3" w14:textId="77777777" w:rsidR="008474B9" w:rsidRPr="008474B9" w:rsidRDefault="008474B9" w:rsidP="008474B9">
      <w:pPr>
        <w:spacing w:line="240" w:lineRule="auto"/>
        <w:rPr>
          <w:rFonts w:eastAsia="Times New Roman" w:cs="Arial"/>
        </w:rPr>
      </w:pPr>
      <w:r w:rsidRPr="008474B9">
        <w:rPr>
          <w:rFonts w:eastAsia="Times New Roman" w:cs="Arial"/>
          <w:b/>
          <w:bCs/>
          <w:color w:val="000000"/>
          <w:lang w:eastAsia="bg-BG"/>
        </w:rPr>
        <w:t xml:space="preserve">Фармакотерапевтична група: </w:t>
      </w:r>
      <w:r w:rsidRPr="008474B9">
        <w:rPr>
          <w:rFonts w:eastAsia="Times New Roman" w:cs="Arial"/>
          <w:color w:val="000000"/>
          <w:lang w:eastAsia="bg-BG"/>
        </w:rPr>
        <w:t>Антипсихотици; Диазепини, Оксазепини и Тиазепини</w:t>
      </w:r>
    </w:p>
    <w:p w14:paraId="376BB7BA" w14:textId="77777777" w:rsidR="008474B9" w:rsidRPr="008474B9" w:rsidRDefault="008474B9" w:rsidP="008474B9">
      <w:pPr>
        <w:spacing w:line="240" w:lineRule="auto"/>
        <w:rPr>
          <w:rFonts w:eastAsia="Times New Roman" w:cs="Arial"/>
        </w:rPr>
      </w:pPr>
      <w:r w:rsidRPr="008474B9">
        <w:rPr>
          <w:rFonts w:eastAsia="Times New Roman" w:cs="Arial"/>
          <w:b/>
          <w:bCs/>
          <w:color w:val="000000"/>
          <w:lang w:eastAsia="bg-BG"/>
        </w:rPr>
        <w:t xml:space="preserve">АТС код: </w:t>
      </w:r>
      <w:r w:rsidRPr="008474B9">
        <w:rPr>
          <w:rFonts w:eastAsia="Times New Roman" w:cs="Arial"/>
          <w:color w:val="000000"/>
          <w:lang w:val="en-US"/>
        </w:rPr>
        <w:t>N</w:t>
      </w:r>
      <w:r w:rsidRPr="008474B9">
        <w:rPr>
          <w:rFonts w:eastAsia="Times New Roman" w:cs="Arial"/>
          <w:color w:val="000000"/>
          <w:lang w:val="ru-RU"/>
        </w:rPr>
        <w:t>05</w:t>
      </w:r>
      <w:r w:rsidRPr="008474B9">
        <w:rPr>
          <w:rFonts w:eastAsia="Times New Roman" w:cs="Arial"/>
          <w:color w:val="000000"/>
          <w:lang w:val="en-US"/>
        </w:rPr>
        <w:t>A</w:t>
      </w:r>
      <w:r w:rsidRPr="008474B9">
        <w:rPr>
          <w:rFonts w:eastAsia="Times New Roman" w:cs="Arial"/>
          <w:color w:val="000000"/>
          <w:lang w:val="ru-RU"/>
        </w:rPr>
        <w:t xml:space="preserve"> </w:t>
      </w:r>
      <w:r w:rsidRPr="008474B9">
        <w:rPr>
          <w:rFonts w:eastAsia="Times New Roman" w:cs="Arial"/>
          <w:color w:val="000000"/>
          <w:lang w:eastAsia="bg-BG"/>
        </w:rPr>
        <w:t>Н04</w:t>
      </w:r>
    </w:p>
    <w:p w14:paraId="0F1F1B79" w14:textId="77777777" w:rsidR="008474B9" w:rsidRPr="008474B9" w:rsidRDefault="008474B9" w:rsidP="008474B9">
      <w:pPr>
        <w:spacing w:line="240" w:lineRule="auto"/>
        <w:rPr>
          <w:rFonts w:eastAsia="Times New Roman" w:cs="Arial"/>
          <w:color w:val="000000"/>
          <w:u w:val="single"/>
          <w:lang w:eastAsia="bg-BG"/>
        </w:rPr>
      </w:pPr>
    </w:p>
    <w:p w14:paraId="3A74274C" w14:textId="1BE3D996" w:rsidR="008474B9" w:rsidRPr="008474B9" w:rsidRDefault="008474B9" w:rsidP="008474B9">
      <w:pPr>
        <w:spacing w:line="240" w:lineRule="auto"/>
        <w:rPr>
          <w:rFonts w:eastAsia="Times New Roman" w:cs="Arial"/>
        </w:rPr>
      </w:pPr>
      <w:r w:rsidRPr="008474B9">
        <w:rPr>
          <w:rFonts w:eastAsia="Times New Roman" w:cs="Arial"/>
          <w:color w:val="000000"/>
          <w:u w:val="single"/>
          <w:lang w:eastAsia="bg-BG"/>
        </w:rPr>
        <w:t>Механизъм на действие</w:t>
      </w:r>
    </w:p>
    <w:p w14:paraId="15146874"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Кветиапин е атипичен антипсихотичен агент. Кветиапин и активният човешки плазмен метаболит норкветиапин взаимодействат с широк спектър невротрансмитерни рецептори. Кветиапин и норкветиапин показват висок афинитет към мозъчните серотонинови (5НТ</w:t>
      </w:r>
      <w:r w:rsidRPr="008474B9">
        <w:rPr>
          <w:rFonts w:eastAsia="Times New Roman" w:cs="Arial"/>
          <w:color w:val="000000"/>
          <w:vertAlign w:val="subscript"/>
          <w:lang w:eastAsia="bg-BG"/>
        </w:rPr>
        <w:t>2</w:t>
      </w:r>
      <w:r w:rsidRPr="008474B9">
        <w:rPr>
          <w:rFonts w:eastAsia="Times New Roman" w:cs="Arial"/>
          <w:color w:val="000000"/>
          <w:lang w:eastAsia="bg-BG"/>
        </w:rPr>
        <w:t xml:space="preserve">) рецептори и допаминовите </w:t>
      </w:r>
      <w:r w:rsidRPr="008474B9">
        <w:rPr>
          <w:rFonts w:eastAsia="Times New Roman" w:cs="Arial"/>
          <w:color w:val="000000"/>
          <w:lang w:val="en-US"/>
        </w:rPr>
        <w:t>D</w:t>
      </w:r>
      <w:r w:rsidRPr="008474B9">
        <w:rPr>
          <w:rFonts w:eastAsia="Times New Roman" w:cs="Arial"/>
          <w:color w:val="000000"/>
          <w:vertAlign w:val="subscript"/>
          <w:lang w:val="ru-RU"/>
        </w:rPr>
        <w:t>1</w:t>
      </w:r>
      <w:r w:rsidRPr="008474B9">
        <w:rPr>
          <w:rFonts w:eastAsia="Times New Roman" w:cs="Arial"/>
          <w:color w:val="000000"/>
          <w:lang w:val="ru-RU"/>
        </w:rPr>
        <w:t xml:space="preserve">- </w:t>
      </w:r>
      <w:r w:rsidRPr="008474B9">
        <w:rPr>
          <w:rFonts w:eastAsia="Times New Roman" w:cs="Arial"/>
          <w:color w:val="000000"/>
          <w:lang w:eastAsia="bg-BG"/>
        </w:rPr>
        <w:t xml:space="preserve">и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eastAsia="bg-BG"/>
        </w:rPr>
        <w:t>-рецептори. Предполага се, че тази комбинация на рецепторен антагонизъм с по-висока селективност към 5НТ</w:t>
      </w:r>
      <w:r w:rsidRPr="008474B9">
        <w:rPr>
          <w:rFonts w:eastAsia="Times New Roman" w:cs="Arial"/>
          <w:color w:val="000000"/>
          <w:vertAlign w:val="subscript"/>
          <w:lang w:eastAsia="bg-BG"/>
        </w:rPr>
        <w:t>2</w:t>
      </w:r>
      <w:r w:rsidRPr="008474B9">
        <w:rPr>
          <w:rFonts w:eastAsia="Times New Roman" w:cs="Arial"/>
          <w:color w:val="000000"/>
          <w:lang w:eastAsia="bg-BG"/>
        </w:rPr>
        <w:t xml:space="preserve"> рецептори в сравнение с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eastAsia="bg-BG"/>
        </w:rPr>
        <w:t>-рецептори, допринася за клиничните антипсихотични свойства и ниския екстрапирамиден нежелан ефект (ЕНЕ) на кветиапин в сравнение с типичните антипсихотици кветиапин и норкветиапин нямат значителен афинитет към бензодиазепиновите рецептори, но имат висок афинитет към хистаминергичните и адренергичните α</w:t>
      </w:r>
      <w:r w:rsidRPr="008474B9">
        <w:rPr>
          <w:rFonts w:eastAsia="Times New Roman" w:cs="Arial"/>
          <w:color w:val="000000"/>
          <w:vertAlign w:val="subscript"/>
          <w:lang w:eastAsia="bg-BG"/>
        </w:rPr>
        <w:t>1</w:t>
      </w:r>
      <w:r w:rsidRPr="008474B9">
        <w:rPr>
          <w:rFonts w:eastAsia="Times New Roman" w:cs="Arial"/>
          <w:color w:val="000000"/>
          <w:lang w:eastAsia="bg-BG"/>
        </w:rPr>
        <w:t>-рецептори, и умерен афинитет към адренергичните α</w:t>
      </w:r>
      <w:r w:rsidRPr="008474B9">
        <w:rPr>
          <w:rFonts w:eastAsia="Times New Roman" w:cs="Arial"/>
          <w:color w:val="000000"/>
          <w:vertAlign w:val="subscript"/>
          <w:lang w:eastAsia="bg-BG"/>
        </w:rPr>
        <w:t>2</w:t>
      </w:r>
      <w:r w:rsidRPr="008474B9">
        <w:rPr>
          <w:rFonts w:eastAsia="Times New Roman" w:cs="Arial"/>
          <w:color w:val="000000"/>
          <w:lang w:eastAsia="bg-BG"/>
        </w:rPr>
        <w:t xml:space="preserve">-рецептори. Кветиапин има нисък или никакъв афинитет към мускаринови рецептори, докато норкветиапин има умерен до висок афинитет към някои мускаринови рецептори, което може да обясни анти-холинергичните (мускаринови) ефекти. Инхибиране на </w:t>
      </w:r>
      <w:r w:rsidRPr="008474B9">
        <w:rPr>
          <w:rFonts w:eastAsia="Times New Roman" w:cs="Arial"/>
          <w:color w:val="000000"/>
          <w:lang w:val="en-US"/>
        </w:rPr>
        <w:t>NET</w:t>
      </w:r>
      <w:r w:rsidRPr="008474B9">
        <w:rPr>
          <w:rFonts w:eastAsia="Times New Roman" w:cs="Arial"/>
          <w:color w:val="000000"/>
          <w:lang w:val="ru-RU"/>
        </w:rPr>
        <w:t xml:space="preserve"> </w:t>
      </w:r>
      <w:r w:rsidRPr="008474B9">
        <w:rPr>
          <w:rFonts w:eastAsia="Times New Roman" w:cs="Arial"/>
          <w:color w:val="000000"/>
          <w:lang w:eastAsia="bg-BG"/>
        </w:rPr>
        <w:t>и частичното агонистично действие на 5НТ1А места от норкветиапин може да допринесе за терапевтичната ефикасност на кветиапин като антидепресант.</w:t>
      </w:r>
    </w:p>
    <w:p w14:paraId="05583BD8" w14:textId="77777777" w:rsidR="008474B9" w:rsidRPr="008474B9" w:rsidRDefault="008474B9" w:rsidP="008474B9">
      <w:pPr>
        <w:spacing w:line="240" w:lineRule="auto"/>
        <w:rPr>
          <w:rFonts w:eastAsia="Times New Roman" w:cs="Arial"/>
          <w:color w:val="000000"/>
          <w:u w:val="single"/>
          <w:lang w:eastAsia="bg-BG"/>
        </w:rPr>
      </w:pPr>
    </w:p>
    <w:p w14:paraId="4AF7D573" w14:textId="376DAB7A" w:rsidR="008474B9" w:rsidRPr="008474B9" w:rsidRDefault="008474B9" w:rsidP="008474B9">
      <w:pPr>
        <w:spacing w:line="240" w:lineRule="auto"/>
        <w:rPr>
          <w:rFonts w:eastAsia="Times New Roman" w:cs="Arial"/>
        </w:rPr>
      </w:pPr>
      <w:r w:rsidRPr="008474B9">
        <w:rPr>
          <w:rFonts w:eastAsia="Times New Roman" w:cs="Arial"/>
          <w:color w:val="000000"/>
          <w:u w:val="single"/>
          <w:lang w:eastAsia="bg-BG"/>
        </w:rPr>
        <w:t>Фармакодинамични ефекти</w:t>
      </w:r>
    </w:p>
    <w:p w14:paraId="20C4762B"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lastRenderedPageBreak/>
        <w:t xml:space="preserve">Кветиапин е активен при тестове за антипсихотична активност като условно избягване. Той също така блокира действието на агонисти на допамина, което има поведенчески или електрофизиологичен израз и повишава концентрациите на метаболитите на дипамина, неврохимичен индекс на блокадата на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eastAsia="bg-BG"/>
        </w:rPr>
        <w:t>-допаминовия рецептор.</w:t>
      </w:r>
    </w:p>
    <w:p w14:paraId="054A9CD5" w14:textId="77777777" w:rsidR="008474B9" w:rsidRPr="008474B9" w:rsidRDefault="008474B9" w:rsidP="008474B9">
      <w:pPr>
        <w:rPr>
          <w:rFonts w:eastAsia="Times New Roman" w:cs="Arial"/>
          <w:color w:val="000000"/>
          <w:lang w:eastAsia="bg-BG"/>
        </w:rPr>
      </w:pPr>
    </w:p>
    <w:p w14:paraId="10B0B142" w14:textId="77777777" w:rsidR="008474B9" w:rsidRPr="008474B9" w:rsidRDefault="008474B9" w:rsidP="008474B9">
      <w:pPr>
        <w:rPr>
          <w:rFonts w:eastAsia="Times New Roman" w:cs="Arial"/>
        </w:rPr>
      </w:pPr>
      <w:r w:rsidRPr="008474B9">
        <w:rPr>
          <w:rFonts w:eastAsia="Times New Roman" w:cs="Arial"/>
          <w:color w:val="000000"/>
          <w:lang w:eastAsia="bg-BG"/>
        </w:rPr>
        <w:t xml:space="preserve">При предклиничните тестове, предвиждащи ЕПС, кветиапин се различава с стандартните антипсихотици и има атипичен профил. Кветиапин не продуцира свръхчувствителност към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val="ru-RU"/>
        </w:rPr>
        <w:t>-</w:t>
      </w:r>
      <w:r w:rsidRPr="008474B9">
        <w:rPr>
          <w:rFonts w:eastAsia="Times New Roman" w:cs="Arial"/>
          <w:color w:val="000000"/>
          <w:lang w:eastAsia="bg-BG"/>
        </w:rPr>
        <w:t xml:space="preserve">допаминовия рецептор след хронична употреба. Кветиапин предизвиква само слаба каталепсия в дози, ефективно блокиращи допаминовите </w:t>
      </w:r>
      <w:r w:rsidRPr="008474B9">
        <w:rPr>
          <w:rFonts w:eastAsia="Times New Roman" w:cs="Arial"/>
          <w:color w:val="000000"/>
          <w:lang w:val="en-US"/>
        </w:rPr>
        <w:t>D</w:t>
      </w:r>
      <w:r w:rsidRPr="008474B9">
        <w:rPr>
          <w:rFonts w:eastAsia="Times New Roman" w:cs="Arial"/>
          <w:color w:val="000000"/>
          <w:vertAlign w:val="subscript"/>
          <w:lang w:val="ru-RU"/>
        </w:rPr>
        <w:t>2</w:t>
      </w:r>
      <w:r w:rsidRPr="008474B9">
        <w:rPr>
          <w:rFonts w:eastAsia="Times New Roman" w:cs="Arial"/>
          <w:color w:val="000000"/>
          <w:lang w:eastAsia="bg-BG"/>
        </w:rPr>
        <w:t>-рецептори.</w:t>
      </w:r>
    </w:p>
    <w:p w14:paraId="658CE0DB"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Кветиапин демонстрира селективност към лимбичната система като блокира деполяризацията на мезолимбичните, но не и на нигростриатусни допамин-съдьржащи неврони след хронично приложение. Кветиапин показва минимална способност за предизвикване на дистония в сенсибилизирани с халоперидол или при нетретирани с лекарства </w:t>
      </w:r>
      <w:r w:rsidRPr="008474B9">
        <w:rPr>
          <w:rFonts w:eastAsia="Times New Roman" w:cs="Arial"/>
          <w:color w:val="000000"/>
          <w:lang w:val="en-US"/>
        </w:rPr>
        <w:t>Cebus</w:t>
      </w:r>
      <w:r w:rsidRPr="008474B9">
        <w:rPr>
          <w:rFonts w:eastAsia="Times New Roman" w:cs="Arial"/>
          <w:color w:val="000000"/>
          <w:lang w:val="ru-RU"/>
        </w:rPr>
        <w:t xml:space="preserve"> </w:t>
      </w:r>
      <w:r w:rsidRPr="008474B9">
        <w:rPr>
          <w:rFonts w:eastAsia="Times New Roman" w:cs="Arial"/>
          <w:color w:val="000000"/>
          <w:lang w:eastAsia="bg-BG"/>
        </w:rPr>
        <w:t>маймуни след остро и хронично приложение (вж . раздел 4.8).</w:t>
      </w:r>
    </w:p>
    <w:p w14:paraId="27E6BD8A" w14:textId="77777777" w:rsidR="008474B9" w:rsidRPr="008474B9" w:rsidRDefault="008474B9" w:rsidP="008474B9">
      <w:pPr>
        <w:spacing w:line="240" w:lineRule="auto"/>
        <w:rPr>
          <w:rFonts w:eastAsia="Times New Roman" w:cs="Arial"/>
          <w:color w:val="000000"/>
          <w:u w:val="single"/>
          <w:lang w:eastAsia="bg-BG"/>
        </w:rPr>
      </w:pPr>
    </w:p>
    <w:p w14:paraId="689B0E05" w14:textId="44C07F76" w:rsidR="008474B9" w:rsidRPr="008474B9" w:rsidRDefault="008474B9" w:rsidP="008474B9">
      <w:pPr>
        <w:spacing w:line="240" w:lineRule="auto"/>
        <w:rPr>
          <w:rFonts w:eastAsia="Times New Roman" w:cs="Arial"/>
        </w:rPr>
      </w:pPr>
      <w:r w:rsidRPr="008474B9">
        <w:rPr>
          <w:rFonts w:eastAsia="Times New Roman" w:cs="Arial"/>
          <w:color w:val="000000"/>
          <w:u w:val="single"/>
          <w:lang w:eastAsia="bg-BG"/>
        </w:rPr>
        <w:t>Клинична ефикасност и безопасност</w:t>
      </w:r>
    </w:p>
    <w:p w14:paraId="213770F8" w14:textId="77777777" w:rsidR="008474B9" w:rsidRPr="008474B9" w:rsidRDefault="008474B9" w:rsidP="008474B9">
      <w:pPr>
        <w:spacing w:line="240" w:lineRule="auto"/>
        <w:rPr>
          <w:rFonts w:eastAsia="Times New Roman" w:cs="Arial"/>
          <w:i/>
          <w:iCs/>
          <w:color w:val="000000"/>
          <w:lang w:eastAsia="bg-BG"/>
        </w:rPr>
      </w:pPr>
    </w:p>
    <w:p w14:paraId="1F75B534" w14:textId="5A0231A5"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Шизофрения</w:t>
      </w:r>
    </w:p>
    <w:p w14:paraId="01B54823"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Резултатите от три плацебо-контролирани клинични изпитвания при пациенти с шизофрения, приемащи различни дози кветиапин, не показват разлика между кветиапин и плацебо, по отношение на увеличение на ЕПС или придружаващо лечение с антихолинергици. Плацебо-контролираното проучване, оценяващо фиксирани дози на кветиапин в диапазона от 75 до 750 </w:t>
      </w:r>
      <w:r w:rsidRPr="008474B9">
        <w:rPr>
          <w:rFonts w:eastAsia="Times New Roman" w:cs="Arial"/>
          <w:color w:val="000000"/>
          <w:lang w:val="en-US"/>
        </w:rPr>
        <w:t>mg</w:t>
      </w:r>
      <w:r w:rsidRPr="008474B9">
        <w:rPr>
          <w:rFonts w:eastAsia="Times New Roman" w:cs="Arial"/>
          <w:color w:val="000000"/>
          <w:lang w:eastAsia="bg-BG"/>
        </w:rPr>
        <w:t>/ден, не даде доказателство за увеличаване на ЕПС или употребата на съпровождащи антихолинергетици. Дългосрочната ефикасност на кветиапин с незабавно осводождаване за превенция на рецидиви не е проверено при слепи клинични проучвания. В открити проучвания, при пациенти с шизофрения, кветиапин е бил ефективен за поддържане на клиничното подобрение по време на продължителна терапия при пациенти, които показват начален отговор на лечението, което предполага известна дългосрочна ефикасност.</w:t>
      </w:r>
    </w:p>
    <w:p w14:paraId="75648A49" w14:textId="77777777" w:rsidR="008474B9" w:rsidRPr="008474B9" w:rsidRDefault="008474B9" w:rsidP="008474B9">
      <w:pPr>
        <w:spacing w:line="240" w:lineRule="auto"/>
        <w:rPr>
          <w:rFonts w:eastAsia="Times New Roman" w:cs="Arial"/>
          <w:i/>
          <w:iCs/>
          <w:color w:val="000000"/>
          <w:lang w:eastAsia="bg-BG"/>
        </w:rPr>
      </w:pPr>
    </w:p>
    <w:p w14:paraId="229D1BB1" w14:textId="66F58E64"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Биполярно разстройство</w:t>
      </w:r>
    </w:p>
    <w:p w14:paraId="003C18E5"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В четири плацебо контролирани клинични проучвания, където се изпитва дозировка на кветиапин 800</w:t>
      </w:r>
      <w:r w:rsidRPr="008474B9">
        <w:rPr>
          <w:rFonts w:eastAsia="Times New Roman" w:cs="Arial"/>
          <w:color w:val="000000"/>
          <w:lang w:val="en-US"/>
        </w:rPr>
        <w:t>mg</w:t>
      </w:r>
      <w:r w:rsidRPr="008474B9">
        <w:rPr>
          <w:rFonts w:eastAsia="Times New Roman" w:cs="Arial"/>
          <w:color w:val="000000"/>
          <w:lang w:eastAsia="bg-BG"/>
        </w:rPr>
        <w:t>/ден за лечение на умерени до тежки манийни епизоди, две от които като монотерапия и две като допълнителна терапия към литий или диваппроекс, няма разлика между групите, третирани с кветиапин и плацебо по отношение на случаите на ЕПС или едновременна употреба на антихолинергици.</w:t>
      </w:r>
    </w:p>
    <w:p w14:paraId="5B3081AE" w14:textId="77777777" w:rsidR="008474B9" w:rsidRPr="008474B9" w:rsidRDefault="008474B9" w:rsidP="008474B9">
      <w:pPr>
        <w:spacing w:line="240" w:lineRule="auto"/>
        <w:rPr>
          <w:rFonts w:eastAsia="Times New Roman" w:cs="Arial"/>
          <w:color w:val="000000"/>
          <w:lang w:eastAsia="bg-BG"/>
        </w:rPr>
      </w:pPr>
    </w:p>
    <w:p w14:paraId="1C93A72A" w14:textId="2D1A0B4E" w:rsidR="008474B9" w:rsidRPr="008474B9" w:rsidRDefault="008474B9" w:rsidP="008474B9">
      <w:pPr>
        <w:spacing w:line="240" w:lineRule="auto"/>
        <w:rPr>
          <w:rFonts w:eastAsia="Times New Roman" w:cs="Arial"/>
        </w:rPr>
      </w:pPr>
      <w:r w:rsidRPr="008474B9">
        <w:rPr>
          <w:rFonts w:eastAsia="Times New Roman" w:cs="Arial"/>
          <w:color w:val="000000"/>
          <w:lang w:eastAsia="bg-BG"/>
        </w:rPr>
        <w:t>При лечение на средно тежки до тежки манийни епизоди, монотерапия с кветиапин демонстрира много по-висока ефективност от плацебо за понижаване на манийните епизоди в 3-та и 12-та седмица, при две проучвания. Няма данни от дългосрочни проучвания, които да демонстрират ефективност на кветиапин за предотвратяване на последващи маниакални или депресивни епизоди. Данните за кветиапин в комбинация с дивалпроекс или литий при остри умерено тежки до тежки манийни епизоди на 3-та и 6-та седмици са ограничени, въпреки че комбинираната терапия се толерира. Данните показват адитивен ефект на 3-та седмица. Второто проучване не демонстрира адитивен ефект на 6-та седмица.</w:t>
      </w:r>
    </w:p>
    <w:p w14:paraId="12973E7A" w14:textId="77777777" w:rsidR="008474B9" w:rsidRPr="008474B9" w:rsidRDefault="008474B9" w:rsidP="008474B9">
      <w:pPr>
        <w:spacing w:line="240" w:lineRule="auto"/>
        <w:rPr>
          <w:rFonts w:eastAsia="Times New Roman" w:cs="Arial"/>
          <w:color w:val="000000"/>
          <w:lang w:eastAsia="bg-BG"/>
        </w:rPr>
      </w:pPr>
    </w:p>
    <w:p w14:paraId="6780C2E9" w14:textId="3DF246E9"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Средната доза на кветиапин в последната седмица при отговорилите на лечението е приблизително 600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и приблизително 85% от отговорилите са в дозовата граница между 400 и 800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на ден.</w:t>
      </w:r>
    </w:p>
    <w:p w14:paraId="1156EABE" w14:textId="77777777" w:rsidR="008474B9" w:rsidRPr="008474B9" w:rsidRDefault="008474B9" w:rsidP="008474B9">
      <w:pPr>
        <w:spacing w:line="240" w:lineRule="auto"/>
        <w:rPr>
          <w:rFonts w:eastAsia="Times New Roman" w:cs="Arial"/>
          <w:color w:val="000000"/>
          <w:lang w:eastAsia="bg-BG"/>
        </w:rPr>
      </w:pPr>
    </w:p>
    <w:p w14:paraId="51C245E7" w14:textId="4F447C0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четири клинични проучвания с продължителност от 8 седмици, при пациенти с умерени до тежки депресивни епизоди с биполярно разстройство I и биполярно II, кветиапин с незабавно освобождаване 300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и 600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е значително по-добър от пациентите, лекувани с плацебо, за съответните изходни мерки: средно подобрение на </w:t>
      </w:r>
      <w:r w:rsidRPr="008474B9">
        <w:rPr>
          <w:rFonts w:eastAsia="Times New Roman" w:cs="Arial"/>
          <w:color w:val="000000"/>
          <w:lang w:val="en-US"/>
        </w:rPr>
        <w:t>MADRS</w:t>
      </w:r>
      <w:r w:rsidRPr="008474B9">
        <w:rPr>
          <w:rFonts w:eastAsia="Times New Roman" w:cs="Arial"/>
          <w:color w:val="000000"/>
          <w:lang w:val="ru-RU"/>
        </w:rPr>
        <w:t xml:space="preserve"> </w:t>
      </w:r>
      <w:r w:rsidRPr="008474B9">
        <w:rPr>
          <w:rFonts w:eastAsia="Times New Roman" w:cs="Arial"/>
          <w:color w:val="000000"/>
          <w:lang w:eastAsia="bg-BG"/>
        </w:rPr>
        <w:t xml:space="preserve">и за отговор, дефиниран като поне 50% подобрение в общия резултат на </w:t>
      </w:r>
      <w:r w:rsidRPr="008474B9">
        <w:rPr>
          <w:rFonts w:eastAsia="Times New Roman" w:cs="Arial"/>
          <w:color w:val="000000"/>
          <w:lang w:val="en-US"/>
        </w:rPr>
        <w:t>MADRS</w:t>
      </w:r>
      <w:r w:rsidRPr="008474B9">
        <w:rPr>
          <w:rFonts w:eastAsia="Times New Roman" w:cs="Arial"/>
          <w:color w:val="000000"/>
          <w:lang w:val="ru-RU"/>
        </w:rPr>
        <w:t xml:space="preserve"> </w:t>
      </w:r>
      <w:r w:rsidRPr="008474B9">
        <w:rPr>
          <w:rFonts w:eastAsia="Times New Roman" w:cs="Arial"/>
          <w:color w:val="000000"/>
          <w:lang w:eastAsia="bg-BG"/>
        </w:rPr>
        <w:t xml:space="preserve">от изходното ниво. Няма разлика в степента на ефекта между пациентите, които са получавали 300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кветиапин с незабавно освобождаване и тези, които са получавали доза от 600 </w:t>
      </w:r>
      <w:r w:rsidRPr="008474B9">
        <w:rPr>
          <w:rFonts w:eastAsia="Times New Roman" w:cs="Arial"/>
          <w:color w:val="000000"/>
          <w:lang w:val="en-US"/>
        </w:rPr>
        <w:t>mg</w:t>
      </w:r>
      <w:r w:rsidRPr="008474B9">
        <w:rPr>
          <w:rFonts w:eastAsia="Times New Roman" w:cs="Arial"/>
          <w:color w:val="000000"/>
          <w:lang w:val="ru-RU"/>
        </w:rPr>
        <w:t>.</w:t>
      </w:r>
    </w:p>
    <w:p w14:paraId="751B04F8" w14:textId="77777777" w:rsidR="008474B9" w:rsidRPr="008474B9" w:rsidRDefault="008474B9" w:rsidP="008474B9">
      <w:pPr>
        <w:spacing w:line="240" w:lineRule="auto"/>
        <w:rPr>
          <w:rFonts w:eastAsia="Times New Roman" w:cs="Arial"/>
          <w:color w:val="000000"/>
          <w:lang w:eastAsia="bg-BG"/>
        </w:rPr>
      </w:pPr>
    </w:p>
    <w:p w14:paraId="25007FEB" w14:textId="4E7838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Във фазата на продължаване на две от тези проучвания беше показано, че продължителното лечение на пациенти, които са отговорили на кветиапин с незабавно освобождаване 300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или 600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е ефикасен в сравнение с плацебо лечението по отношение на депресивните симптоми, но не и по отношение на маниакалните симптоми.</w:t>
      </w:r>
    </w:p>
    <w:p w14:paraId="4CFFCF38" w14:textId="77777777" w:rsidR="008474B9" w:rsidRPr="008474B9" w:rsidRDefault="008474B9" w:rsidP="008474B9">
      <w:pPr>
        <w:spacing w:line="240" w:lineRule="auto"/>
        <w:rPr>
          <w:rFonts w:eastAsia="Times New Roman" w:cs="Arial"/>
          <w:color w:val="000000"/>
          <w:lang w:eastAsia="bg-BG"/>
        </w:rPr>
      </w:pPr>
    </w:p>
    <w:p w14:paraId="1F381B69" w14:textId="289A92D5" w:rsidR="008474B9" w:rsidRPr="008474B9" w:rsidRDefault="008474B9" w:rsidP="008474B9">
      <w:pPr>
        <w:spacing w:line="240" w:lineRule="auto"/>
        <w:rPr>
          <w:rFonts w:eastAsia="Times New Roman" w:cs="Arial"/>
        </w:rPr>
      </w:pPr>
      <w:r w:rsidRPr="008474B9">
        <w:rPr>
          <w:rFonts w:eastAsia="Times New Roman" w:cs="Arial"/>
          <w:color w:val="000000"/>
          <w:lang w:eastAsia="bg-BG"/>
        </w:rPr>
        <w:t>В две проучвания за превенция на рецидиви, оценяващи кветиапин в комбинация със стабилизатори</w:t>
      </w:r>
    </w:p>
    <w:p w14:paraId="01393394" w14:textId="77777777" w:rsidR="008474B9" w:rsidRPr="008474B9" w:rsidRDefault="008474B9" w:rsidP="008474B9">
      <w:pPr>
        <w:rPr>
          <w:rFonts w:eastAsia="Times New Roman" w:cs="Arial"/>
        </w:rPr>
      </w:pPr>
      <w:r w:rsidRPr="008474B9">
        <w:rPr>
          <w:rFonts w:eastAsia="Times New Roman" w:cs="Arial"/>
          <w:color w:val="000000"/>
          <w:lang w:eastAsia="bg-BG"/>
        </w:rPr>
        <w:t>на настроението, при пациенти с мания, епизоди на депресия или смесено настроение, комбинацията с кветиапин превъзхожда монотерапията със стабилизатори на настроението в увеличаване на</w:t>
      </w:r>
      <w:r w:rsidRPr="008474B9">
        <w:rPr>
          <w:rFonts w:eastAsia="Times New Roman" w:cs="Arial"/>
        </w:rPr>
        <w:t xml:space="preserve"> </w:t>
      </w:r>
      <w:r w:rsidRPr="008474B9">
        <w:rPr>
          <w:rFonts w:eastAsia="Times New Roman" w:cs="Arial"/>
          <w:color w:val="000000"/>
          <w:lang w:eastAsia="bg-BG"/>
        </w:rPr>
        <w:t xml:space="preserve">времето за повтаряне на някакво настроение (маниакално, смесено или депресивно). Кветиапин се прилага два пъти дневно общо 400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до 800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на ден, като комбинирана терапия с литий или валпроаг.</w:t>
      </w:r>
    </w:p>
    <w:p w14:paraId="158C060F" w14:textId="77777777" w:rsidR="008474B9" w:rsidRPr="008474B9" w:rsidRDefault="008474B9" w:rsidP="008474B9">
      <w:pPr>
        <w:spacing w:line="240" w:lineRule="auto"/>
        <w:rPr>
          <w:rFonts w:eastAsia="Times New Roman" w:cs="Arial"/>
          <w:color w:val="000000"/>
          <w:lang w:eastAsia="bg-BG"/>
        </w:rPr>
      </w:pPr>
    </w:p>
    <w:p w14:paraId="0A7C5956" w14:textId="35DA5F6F"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При 6-седмично рандомизирано изследване на литий и кветиапин с удължено освобождаване спрямо плацебо и кветиапин с удължено освобождаване при възрастни пациенти с остра мания, разликата в средното подобрение на </w:t>
      </w:r>
      <w:r w:rsidRPr="008474B9">
        <w:rPr>
          <w:rFonts w:eastAsia="Times New Roman" w:cs="Arial"/>
          <w:color w:val="000000"/>
          <w:lang w:val="en-US"/>
        </w:rPr>
        <w:t>YMR</w:t>
      </w:r>
      <w:r w:rsidRPr="008474B9">
        <w:rPr>
          <w:rFonts w:eastAsia="Times New Roman" w:cs="Arial"/>
          <w:color w:val="000000"/>
          <w:lang w:val="ru-RU"/>
        </w:rPr>
        <w:t>.</w:t>
      </w:r>
      <w:r w:rsidRPr="008474B9">
        <w:rPr>
          <w:rFonts w:eastAsia="Times New Roman" w:cs="Arial"/>
          <w:color w:val="000000"/>
          <w:lang w:val="en-US"/>
        </w:rPr>
        <w:t>S</w:t>
      </w:r>
      <w:r w:rsidRPr="008474B9">
        <w:rPr>
          <w:rFonts w:eastAsia="Times New Roman" w:cs="Arial"/>
          <w:color w:val="000000"/>
          <w:lang w:val="ru-RU"/>
        </w:rPr>
        <w:t xml:space="preserve"> </w:t>
      </w:r>
      <w:r w:rsidRPr="008474B9">
        <w:rPr>
          <w:rFonts w:eastAsia="Times New Roman" w:cs="Arial"/>
          <w:color w:val="000000"/>
          <w:lang w:eastAsia="bg-BG"/>
        </w:rPr>
        <w:t xml:space="preserve">между групата с добавка на литий и групата с плацебо е 2,8 пункта и разликата в % отговорили (дефинирани като </w:t>
      </w:r>
      <w:r w:rsidRPr="008474B9">
        <w:rPr>
          <w:rFonts w:eastAsia="Times New Roman" w:cs="Arial"/>
          <w:i/>
          <w:iCs/>
          <w:color w:val="000000"/>
          <w:lang w:eastAsia="bg-BG"/>
        </w:rPr>
        <w:t>50%</w:t>
      </w:r>
      <w:r w:rsidRPr="008474B9">
        <w:rPr>
          <w:rFonts w:eastAsia="Times New Roman" w:cs="Arial"/>
          <w:color w:val="000000"/>
          <w:lang w:eastAsia="bg-BG"/>
        </w:rPr>
        <w:t xml:space="preserve"> подобрение спрямо изходното ниво на </w:t>
      </w:r>
      <w:r w:rsidRPr="008474B9">
        <w:rPr>
          <w:rFonts w:eastAsia="Times New Roman" w:cs="Arial"/>
          <w:color w:val="000000"/>
          <w:lang w:val="en-US"/>
        </w:rPr>
        <w:t>YMRS</w:t>
      </w:r>
      <w:r w:rsidRPr="008474B9">
        <w:rPr>
          <w:rFonts w:eastAsia="Times New Roman" w:cs="Arial"/>
          <w:color w:val="000000"/>
          <w:lang w:val="ru-RU"/>
        </w:rPr>
        <w:t xml:space="preserve">) </w:t>
      </w:r>
      <w:r w:rsidRPr="008474B9">
        <w:rPr>
          <w:rFonts w:eastAsia="Times New Roman" w:cs="Arial"/>
          <w:color w:val="000000"/>
          <w:lang w:eastAsia="bg-BG"/>
        </w:rPr>
        <w:t>е 11% (79% в групата с добавяне на литий срещу 68% в групата с добавяне на плацебо).</w:t>
      </w:r>
    </w:p>
    <w:p w14:paraId="6FC5F4CA" w14:textId="77777777" w:rsidR="008474B9" w:rsidRPr="008474B9" w:rsidRDefault="008474B9" w:rsidP="008474B9">
      <w:pPr>
        <w:spacing w:line="240" w:lineRule="auto"/>
        <w:rPr>
          <w:rFonts w:eastAsia="Times New Roman" w:cs="Arial"/>
          <w:color w:val="000000"/>
          <w:lang w:eastAsia="bg-BG"/>
        </w:rPr>
      </w:pPr>
    </w:p>
    <w:p w14:paraId="5F7BDDEE" w14:textId="37D13408" w:rsidR="008474B9" w:rsidRPr="008474B9" w:rsidRDefault="008474B9" w:rsidP="008474B9">
      <w:pPr>
        <w:spacing w:line="240" w:lineRule="auto"/>
        <w:rPr>
          <w:rFonts w:eastAsia="Times New Roman" w:cs="Arial"/>
        </w:rPr>
      </w:pPr>
      <w:r w:rsidRPr="008474B9">
        <w:rPr>
          <w:rFonts w:eastAsia="Times New Roman" w:cs="Arial"/>
          <w:color w:val="000000"/>
          <w:lang w:eastAsia="bg-BG"/>
        </w:rPr>
        <w:t>В едно дългосрочно проучване (до 2 години лечение), оценяващо превенцията на рецидиви при пациенти с маниакален, депресивен или смесен епизод на настроението, кветиапин превъзхожда плацебо при увеличаване на времето до рецидив на всяко събитие на настроението (маниакално, смесено или депресивно), при пациенти с биполярно разстройство I. Броят на пациентите с настроение е 91 (22,5%) в кветиапин група, 208 (51,5%) в групата на плацебо и 95 (26,1%) в групите за лечение с литий. При пациенти, които са отговорили на кветиапин, при сравняване на продължителното лечение с кветиапин и преминаване към литий, резултатите показват че преминаването към лечение с литий изглежда не е свързано с увеличено време за повторение на настроението.</w:t>
      </w:r>
    </w:p>
    <w:p w14:paraId="5756EBEF" w14:textId="77777777" w:rsidR="008474B9" w:rsidRPr="008474B9" w:rsidRDefault="008474B9" w:rsidP="008474B9">
      <w:pPr>
        <w:spacing w:line="240" w:lineRule="auto"/>
        <w:rPr>
          <w:rFonts w:eastAsia="Times New Roman" w:cs="Arial"/>
          <w:color w:val="000000"/>
          <w:lang w:eastAsia="bg-BG"/>
        </w:rPr>
      </w:pPr>
    </w:p>
    <w:p w14:paraId="2DFDE6D1" w14:textId="184CDA14" w:rsidR="008474B9" w:rsidRPr="008474B9" w:rsidRDefault="008474B9" w:rsidP="008474B9">
      <w:pPr>
        <w:spacing w:line="240" w:lineRule="auto"/>
        <w:rPr>
          <w:rFonts w:eastAsia="Times New Roman" w:cs="Arial"/>
        </w:rPr>
      </w:pPr>
      <w:r w:rsidRPr="008474B9">
        <w:rPr>
          <w:rFonts w:eastAsia="Times New Roman" w:cs="Arial"/>
          <w:color w:val="000000"/>
          <w:lang w:eastAsia="bg-BG"/>
        </w:rPr>
        <w:t>Клиничните проучвания демонстрираха, че кветиапин е ефективен при шизофрения и мания, когато се дава два пъти дневно, въпреки че кветиапин има фармакокинетичен полуживот от приблизително 7 часа. Това се потвърждава и от данните от позитронно-емисионна томография (ПЕТ), която показва, че за кветиапин има окупиране на 5НТ</w:t>
      </w:r>
      <w:r w:rsidRPr="008474B9">
        <w:rPr>
          <w:rFonts w:eastAsia="Times New Roman" w:cs="Arial"/>
          <w:color w:val="000000"/>
          <w:vertAlign w:val="subscript"/>
          <w:lang w:eastAsia="bg-BG"/>
        </w:rPr>
        <w:t>2</w:t>
      </w:r>
      <w:r w:rsidRPr="008474B9">
        <w:rPr>
          <w:rFonts w:eastAsia="Times New Roman" w:cs="Arial"/>
          <w:color w:val="000000"/>
          <w:lang w:eastAsia="bg-BG"/>
        </w:rPr>
        <w:t xml:space="preserve">- и </w:t>
      </w:r>
      <w:r w:rsidRPr="008474B9">
        <w:rPr>
          <w:rFonts w:eastAsia="Times New Roman" w:cs="Arial"/>
          <w:color w:val="000000"/>
          <w:lang w:val="en-US"/>
        </w:rPr>
        <w:t>D</w:t>
      </w:r>
      <w:r w:rsidRPr="008474B9">
        <w:rPr>
          <w:rFonts w:eastAsia="Times New Roman" w:cs="Arial"/>
          <w:color w:val="000000"/>
          <w:vertAlign w:val="subscript"/>
          <w:lang w:val="ru-RU"/>
        </w:rPr>
        <w:t>3</w:t>
      </w:r>
      <w:r w:rsidRPr="008474B9">
        <w:rPr>
          <w:rFonts w:eastAsia="Times New Roman" w:cs="Arial"/>
          <w:color w:val="000000"/>
          <w:lang w:eastAsia="bg-BG"/>
        </w:rPr>
        <w:t xml:space="preserve">-рецепторите до 12 часа. Сигурността и ефективността на дози над 800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i/>
          <w:iCs/>
          <w:color w:val="000000"/>
          <w:lang w:eastAsia="bg-BG"/>
        </w:rPr>
        <w:t>ден не</w:t>
      </w:r>
      <w:r w:rsidRPr="008474B9">
        <w:rPr>
          <w:rFonts w:eastAsia="Times New Roman" w:cs="Arial"/>
          <w:color w:val="000000"/>
          <w:lang w:eastAsia="bg-BG"/>
        </w:rPr>
        <w:t xml:space="preserve"> са оценявани.</w:t>
      </w:r>
    </w:p>
    <w:p w14:paraId="4A18218F" w14:textId="77777777" w:rsidR="008474B9" w:rsidRPr="008474B9" w:rsidRDefault="008474B9" w:rsidP="008474B9">
      <w:pPr>
        <w:spacing w:line="240" w:lineRule="auto"/>
        <w:rPr>
          <w:rFonts w:eastAsia="Times New Roman" w:cs="Arial"/>
          <w:i/>
          <w:iCs/>
          <w:color w:val="000000"/>
          <w:lang w:eastAsia="bg-BG"/>
        </w:rPr>
      </w:pPr>
    </w:p>
    <w:p w14:paraId="008C9893" w14:textId="664657EB"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Клинична безопасност</w:t>
      </w:r>
    </w:p>
    <w:p w14:paraId="47886B9C" w14:textId="77777777" w:rsidR="008474B9" w:rsidRPr="008474B9" w:rsidRDefault="008474B9" w:rsidP="008474B9">
      <w:pPr>
        <w:spacing w:line="240" w:lineRule="auto"/>
        <w:rPr>
          <w:rFonts w:eastAsia="Times New Roman" w:cs="Arial"/>
          <w:color w:val="000000"/>
          <w:lang w:eastAsia="bg-BG"/>
        </w:rPr>
      </w:pPr>
    </w:p>
    <w:p w14:paraId="2CC5FF2B" w14:textId="33A7CDA1" w:rsidR="008474B9" w:rsidRPr="008474B9" w:rsidRDefault="008474B9" w:rsidP="008474B9">
      <w:pPr>
        <w:spacing w:line="240" w:lineRule="auto"/>
        <w:rPr>
          <w:rFonts w:eastAsia="Times New Roman" w:cs="Arial"/>
        </w:rPr>
      </w:pPr>
      <w:r w:rsidRPr="008474B9">
        <w:rPr>
          <w:rFonts w:eastAsia="Times New Roman" w:cs="Arial"/>
          <w:color w:val="000000"/>
          <w:lang w:eastAsia="bg-BG"/>
        </w:rPr>
        <w:lastRenderedPageBreak/>
        <w:t xml:space="preserve">При краткосрочни, плацебо-контролирани клинични проучвания при пациенти с шизофрения и биполярна мания, обобщената честота на екстрапирамидни симптоми е била сходна с тази на плацебо (шизофрения: 7,8% за кветиапин и 8,0% за плацебо; биполярна мания: 11,2% за кветиапин и 11,4% за плацебо). При краткосрочни, плацебо-контролирани клинични проучвания при </w:t>
      </w:r>
      <w:r w:rsidRPr="008474B9">
        <w:rPr>
          <w:rFonts w:eastAsia="Times New Roman" w:cs="Arial"/>
          <w:color w:val="000000"/>
          <w:lang w:val="en-US"/>
        </w:rPr>
        <w:t>MDD</w:t>
      </w:r>
      <w:r w:rsidRPr="008474B9">
        <w:rPr>
          <w:rFonts w:eastAsia="Times New Roman" w:cs="Arial"/>
          <w:color w:val="000000"/>
          <w:lang w:val="ru-RU"/>
        </w:rPr>
        <w:t xml:space="preserve"> </w:t>
      </w:r>
      <w:r w:rsidRPr="008474B9">
        <w:rPr>
          <w:rFonts w:eastAsia="Times New Roman" w:cs="Arial"/>
          <w:color w:val="000000"/>
          <w:lang w:eastAsia="bg-BG"/>
        </w:rPr>
        <w:t xml:space="preserve">и биполярна депресия са наблюдавани високи нива на екстрапирамидни симптоми при пациенти, лекувани с кветиапин, в сравнение с тези, лекувани с плацебо. При краткосрочни, плацебо- контролирани проучвания при биполярна депресия, обобщената честота на екстрапирамидни симптоми е 8,9% за кветиапин в сравнение с 3,8% за плацебо. При клинични проучвания, краткосрочни, плацебо-контролирани с монотерапия при голямо депресивно разстройство </w:t>
      </w:r>
      <w:r w:rsidRPr="008474B9">
        <w:rPr>
          <w:rFonts w:eastAsia="Times New Roman" w:cs="Arial"/>
          <w:color w:val="000000"/>
          <w:lang w:val="ru-RU"/>
        </w:rPr>
        <w:t>(</w:t>
      </w:r>
      <w:r w:rsidRPr="008474B9">
        <w:rPr>
          <w:rFonts w:eastAsia="Times New Roman" w:cs="Arial"/>
          <w:color w:val="000000"/>
          <w:lang w:val="en-US"/>
        </w:rPr>
        <w:t>MDD</w:t>
      </w:r>
      <w:r w:rsidRPr="008474B9">
        <w:rPr>
          <w:rFonts w:eastAsia="Times New Roman" w:cs="Arial"/>
          <w:color w:val="000000"/>
          <w:lang w:val="ru-RU"/>
        </w:rPr>
        <w:t xml:space="preserve">), </w:t>
      </w:r>
      <w:r w:rsidRPr="008474B9">
        <w:rPr>
          <w:rFonts w:eastAsia="Times New Roman" w:cs="Arial"/>
          <w:color w:val="000000"/>
          <w:lang w:eastAsia="bg-BG"/>
        </w:rPr>
        <w:t xml:space="preserve">агрегираната честота на екстрапирамидни симптоми е 5,4% за кветиапин с удължено освобождаване и 3,2% за плацебо. При краткосрочни, плацебо-контролирани проучвания с монотерапия при възрастни пациенти с голямо депресивно разстройство </w:t>
      </w:r>
      <w:r w:rsidRPr="008474B9">
        <w:rPr>
          <w:rFonts w:eastAsia="Times New Roman" w:cs="Arial"/>
          <w:color w:val="000000"/>
          <w:lang w:val="ru-RU"/>
        </w:rPr>
        <w:t>(</w:t>
      </w:r>
      <w:r w:rsidRPr="008474B9">
        <w:rPr>
          <w:rFonts w:eastAsia="Times New Roman" w:cs="Arial"/>
          <w:color w:val="000000"/>
          <w:lang w:val="en-US"/>
        </w:rPr>
        <w:t>MDD</w:t>
      </w:r>
      <w:r w:rsidRPr="008474B9">
        <w:rPr>
          <w:rFonts w:eastAsia="Times New Roman" w:cs="Arial"/>
          <w:color w:val="000000"/>
          <w:lang w:val="ru-RU"/>
        </w:rPr>
        <w:t xml:space="preserve">), </w:t>
      </w:r>
      <w:r w:rsidRPr="008474B9">
        <w:rPr>
          <w:rFonts w:eastAsia="Times New Roman" w:cs="Arial"/>
          <w:color w:val="000000"/>
          <w:lang w:eastAsia="bg-BG"/>
        </w:rPr>
        <w:t xml:space="preserve">обобщената честота на екстрапирамидни симптоми е 9,0% за кветиапин с удължено освобождаване и 2,3% за плацебо. При биполярна депресия и </w:t>
      </w:r>
      <w:r w:rsidRPr="008474B9">
        <w:rPr>
          <w:rFonts w:eastAsia="Times New Roman" w:cs="Arial"/>
          <w:color w:val="000000"/>
          <w:lang w:val="en-US"/>
        </w:rPr>
        <w:t>MDD</w:t>
      </w:r>
      <w:r w:rsidRPr="008474B9">
        <w:rPr>
          <w:rFonts w:eastAsia="Times New Roman" w:cs="Arial"/>
          <w:color w:val="000000"/>
          <w:lang w:val="ru-RU"/>
        </w:rPr>
        <w:t xml:space="preserve">, </w:t>
      </w:r>
      <w:r w:rsidRPr="008474B9">
        <w:rPr>
          <w:rFonts w:eastAsia="Times New Roman" w:cs="Arial"/>
          <w:color w:val="000000"/>
          <w:lang w:eastAsia="bg-BG"/>
        </w:rPr>
        <w:t xml:space="preserve">честотата </w:t>
      </w:r>
      <w:r w:rsidRPr="008474B9">
        <w:rPr>
          <w:rFonts w:eastAsia="Times New Roman" w:cs="Arial"/>
          <w:i/>
          <w:iCs/>
          <w:color w:val="000000"/>
          <w:lang w:eastAsia="bg-BG"/>
        </w:rPr>
        <w:t>на</w:t>
      </w:r>
      <w:r w:rsidRPr="008474B9">
        <w:rPr>
          <w:rFonts w:eastAsia="Times New Roman" w:cs="Arial"/>
          <w:color w:val="000000"/>
          <w:lang w:eastAsia="bg-BG"/>
        </w:rPr>
        <w:t xml:space="preserve"> индивидуалните нежелани събития (напр. акатизия, екстрапирамидни нарушения, тремор, дискинезия, дистония, безпокойство, неволни мускулни контракции, психомоторна хиперактивност и мускулна ригидност) не надвишават 4% във всяка от лекуваните групи.</w:t>
      </w:r>
    </w:p>
    <w:p w14:paraId="0E738318" w14:textId="77777777" w:rsidR="008474B9" w:rsidRPr="008474B9" w:rsidRDefault="008474B9" w:rsidP="008474B9">
      <w:pPr>
        <w:spacing w:line="240" w:lineRule="auto"/>
        <w:rPr>
          <w:rFonts w:eastAsia="Times New Roman" w:cs="Arial"/>
          <w:color w:val="000000"/>
          <w:lang w:eastAsia="bg-BG"/>
        </w:rPr>
      </w:pPr>
    </w:p>
    <w:p w14:paraId="42DADE34" w14:textId="57951C82"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При краткосрочни, с фиксирана доза (50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w:t>
      </w:r>
      <w:r w:rsidRPr="008474B9">
        <w:rPr>
          <w:rFonts w:eastAsia="Times New Roman" w:cs="Arial"/>
          <w:color w:val="000000"/>
          <w:lang w:val="ru-RU"/>
        </w:rPr>
        <w:t xml:space="preserve"> </w:t>
      </w:r>
      <w:r w:rsidRPr="008474B9">
        <w:rPr>
          <w:rFonts w:eastAsia="Times New Roman" w:cs="Arial"/>
          <w:color w:val="000000"/>
          <w:lang w:eastAsia="bg-BG"/>
        </w:rPr>
        <w:t xml:space="preserve">до </w:t>
      </w:r>
      <w:r w:rsidRPr="008474B9">
        <w:rPr>
          <w:rFonts w:eastAsia="Times New Roman" w:cs="Arial"/>
          <w:i/>
          <w:iCs/>
          <w:color w:val="000000"/>
          <w:lang w:eastAsia="bg-BG"/>
        </w:rPr>
        <w:t>800</w:t>
      </w:r>
      <w:r w:rsidRPr="008474B9">
        <w:rPr>
          <w:rFonts w:eastAsia="Times New Roman" w:cs="Arial"/>
          <w:color w:val="000000"/>
          <w:lang w:eastAsia="bg-BG"/>
        </w:rPr>
        <w:t xml:space="preserve">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val="en-US"/>
        </w:rPr>
        <w:t>d</w:t>
      </w:r>
      <w:r w:rsidRPr="008474B9">
        <w:rPr>
          <w:rFonts w:eastAsia="Times New Roman" w:cs="Arial"/>
          <w:color w:val="000000"/>
          <w:lang w:val="ru-RU"/>
        </w:rPr>
        <w:t xml:space="preserve">) </w:t>
      </w:r>
      <w:r w:rsidRPr="008474B9">
        <w:rPr>
          <w:rFonts w:eastAsia="Times New Roman" w:cs="Arial"/>
          <w:color w:val="000000"/>
          <w:lang w:eastAsia="bg-BG"/>
        </w:rPr>
        <w:t xml:space="preserve">и плацебо-контролирани (в диапазона от 3 до 8 седмици) проучвания, средното наддаване на тегло при пациентите, лекувани с кветиапин варира от 0,8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за дневна доза от 50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до 1,4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за дневна доза от 600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(с по-слабо повишаване при дневна доза от 800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в сравнение с 0,2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за пациентите, лекувани с плацебо. Процентът на пациентите, лекувани с кветиапин, които наддават ≥7% от телесното тегло, варира от 5,3% за дневна доза от 50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до 15,5% за дневна доза от 400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(с по-слабо повишаване при </w:t>
      </w:r>
      <w:r w:rsidRPr="008474B9">
        <w:rPr>
          <w:rFonts w:eastAsia="Times New Roman" w:cs="Arial"/>
          <w:i/>
          <w:iCs/>
          <w:color w:val="000000"/>
          <w:lang w:eastAsia="bg-BG"/>
        </w:rPr>
        <w:t>600</w:t>
      </w:r>
      <w:r w:rsidRPr="008474B9">
        <w:rPr>
          <w:rFonts w:eastAsia="Times New Roman" w:cs="Arial"/>
          <w:color w:val="000000"/>
          <w:lang w:eastAsia="bg-BG"/>
        </w:rPr>
        <w:t xml:space="preserve"> </w:t>
      </w:r>
      <w:r w:rsidRPr="008474B9">
        <w:rPr>
          <w:rFonts w:eastAsia="Times New Roman" w:cs="Arial"/>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 xml:space="preserve">и </w:t>
      </w:r>
      <w:r w:rsidRPr="008474B9">
        <w:rPr>
          <w:rFonts w:eastAsia="Times New Roman" w:cs="Arial"/>
          <w:i/>
          <w:iCs/>
          <w:color w:val="000000"/>
          <w:lang w:eastAsia="bg-BG"/>
        </w:rPr>
        <w:t xml:space="preserve">800 </w:t>
      </w:r>
      <w:r w:rsidRPr="008474B9">
        <w:rPr>
          <w:rFonts w:eastAsia="Times New Roman" w:cs="Arial"/>
          <w:i/>
          <w:iCs/>
          <w:color w:val="000000"/>
          <w:lang w:val="en-US"/>
        </w:rPr>
        <w:t>mg</w:t>
      </w:r>
      <w:r w:rsidRPr="008474B9">
        <w:rPr>
          <w:rFonts w:eastAsia="Times New Roman" w:cs="Arial"/>
          <w:color w:val="000000"/>
          <w:lang w:val="ru-RU"/>
        </w:rPr>
        <w:t xml:space="preserve"> </w:t>
      </w:r>
      <w:r w:rsidRPr="008474B9">
        <w:rPr>
          <w:rFonts w:eastAsia="Times New Roman" w:cs="Arial"/>
          <w:color w:val="000000"/>
          <w:lang w:eastAsia="bg-BG"/>
        </w:rPr>
        <w:t>дневни дози), в сравнение с 3,7% за пациентите, лекувани с плацебо.</w:t>
      </w:r>
    </w:p>
    <w:p w14:paraId="36EA9B45" w14:textId="77777777" w:rsidR="008474B9" w:rsidRPr="008474B9" w:rsidRDefault="008474B9" w:rsidP="008474B9">
      <w:pPr>
        <w:spacing w:line="240" w:lineRule="auto"/>
        <w:rPr>
          <w:rFonts w:eastAsia="Times New Roman" w:cs="Arial"/>
          <w:color w:val="000000"/>
          <w:lang w:eastAsia="bg-BG"/>
        </w:rPr>
      </w:pPr>
    </w:p>
    <w:p w14:paraId="1B2B3189" w14:textId="77777777" w:rsidR="008474B9" w:rsidRPr="008474B9" w:rsidRDefault="008474B9" w:rsidP="008474B9">
      <w:pPr>
        <w:rPr>
          <w:rFonts w:eastAsia="Times New Roman" w:cs="Arial"/>
        </w:rPr>
      </w:pPr>
      <w:r w:rsidRPr="008474B9">
        <w:rPr>
          <w:rFonts w:eastAsia="Times New Roman" w:cs="Arial"/>
          <w:color w:val="000000"/>
          <w:lang w:eastAsia="bg-BG"/>
        </w:rPr>
        <w:t>Едно 6-седмично рандомизирано клинично изпитване с литий и кветиапин с удължено освобождаване спрямо плацебо и кветиапин с удължено освобождаване при възрастни пациенти с остра мания показва, че комбинацията на кветиапин с удължено освожодаване с литий води до повече нежелани събития (63% спрямо 48% при кветиапин с удължено освобождаване в комбинация с плацебо). Резултатите от безопасността показват по-висока честота на екстрапирамидни симптоми, съобщавани при 16,8% от пациентите в групата с добавяне на литий и 6,6% в групата с добавяне на плацебо, повечето от които се състоят от тремор, съобщаван при 15,6% от пациентите в групата с добавяне на литий и 4,9% в групата с добавяне на плацебо. Честотата на сънливост е по-висока в групата с кветиапин с удължено освобождаване с добавяне на литий (12,7%) в сравнение с групата с кветиапин с удължено освобождаване с добавяне на плацебо (5,5%). Освен това, по-висок процент пациенти, лекувани в групата с добавяне на литий (8,0%), са наддали тегло (≥ 7%) в края на лечението в сравнение с пациентите в групата с добавяне на плацебо (4,7%),</w:t>
      </w:r>
    </w:p>
    <w:p w14:paraId="3DC83E10" w14:textId="77777777" w:rsidR="008474B9" w:rsidRPr="008474B9" w:rsidRDefault="008474B9" w:rsidP="008474B9">
      <w:pPr>
        <w:spacing w:line="240" w:lineRule="auto"/>
        <w:rPr>
          <w:rFonts w:eastAsia="Times New Roman" w:cs="Arial"/>
          <w:color w:val="000000"/>
          <w:lang w:eastAsia="bg-BG"/>
        </w:rPr>
      </w:pPr>
    </w:p>
    <w:p w14:paraId="6318192D" w14:textId="0439F066"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При дългосрочни проучвания за профилактика на рецидив с отворен период (в диапазона </w:t>
      </w:r>
      <w:r w:rsidRPr="008474B9">
        <w:rPr>
          <w:rFonts w:eastAsia="Times New Roman" w:cs="Arial"/>
          <w:i/>
          <w:iCs/>
          <w:color w:val="000000"/>
          <w:lang w:eastAsia="bg-BG"/>
        </w:rPr>
        <w:t xml:space="preserve">4-36 </w:t>
      </w:r>
      <w:r w:rsidRPr="008474B9">
        <w:rPr>
          <w:rFonts w:eastAsia="Times New Roman" w:cs="Arial"/>
          <w:color w:val="000000"/>
          <w:lang w:eastAsia="bg-BG"/>
        </w:rPr>
        <w:t xml:space="preserve">седмици), през който пациентите са били лекувани с кветиапин, последван от рандомизиран период на спиране, през който пациентите са били рандомизирани на кветиапин или плацебо. При пациентите, които са били рандомизирани на кветиапин, средното наддаване на тегло по време на отворения период е 2,56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а от 48-та седмица на периода на рандомизиране, средното увеличаване на теглото е 3,22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в сравнение с </w:t>
      </w:r>
      <w:r w:rsidRPr="008474B9">
        <w:rPr>
          <w:rFonts w:eastAsia="Times New Roman" w:cs="Arial"/>
          <w:color w:val="000000"/>
          <w:lang w:eastAsia="bg-BG"/>
        </w:rPr>
        <w:lastRenderedPageBreak/>
        <w:t xml:space="preserve">изходното. При пациенти, които са били рандомизирани на плацебо, средното наддаване на тегло </w:t>
      </w:r>
      <w:r w:rsidRPr="008474B9">
        <w:rPr>
          <w:rFonts w:eastAsia="Times New Roman" w:cs="Arial"/>
          <w:i/>
          <w:iCs/>
          <w:color w:val="000000"/>
          <w:lang w:eastAsia="bg-BG"/>
        </w:rPr>
        <w:t>по</w:t>
      </w:r>
      <w:r w:rsidRPr="008474B9">
        <w:rPr>
          <w:rFonts w:eastAsia="Times New Roman" w:cs="Arial"/>
          <w:color w:val="000000"/>
          <w:lang w:eastAsia="bg-BG"/>
        </w:rPr>
        <w:t xml:space="preserve"> време на отворения период е 2,39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 xml:space="preserve">а от 48-та седмица на периода на рандомизиране средното наддаване на тегло е 0,89 </w:t>
      </w:r>
      <w:r w:rsidRPr="008474B9">
        <w:rPr>
          <w:rFonts w:eastAsia="Times New Roman" w:cs="Arial"/>
          <w:color w:val="000000"/>
          <w:lang w:val="en-US"/>
        </w:rPr>
        <w:t>kg</w:t>
      </w:r>
      <w:r w:rsidRPr="008474B9">
        <w:rPr>
          <w:rFonts w:eastAsia="Times New Roman" w:cs="Arial"/>
          <w:color w:val="000000"/>
          <w:lang w:val="ru-RU"/>
        </w:rPr>
        <w:t xml:space="preserve"> </w:t>
      </w:r>
      <w:r w:rsidRPr="008474B9">
        <w:rPr>
          <w:rFonts w:eastAsia="Times New Roman" w:cs="Arial"/>
          <w:color w:val="000000"/>
          <w:lang w:eastAsia="bg-BG"/>
        </w:rPr>
        <w:t>в сравнение с изходното тегло.</w:t>
      </w:r>
    </w:p>
    <w:p w14:paraId="6B750B28" w14:textId="77777777" w:rsidR="008474B9" w:rsidRPr="008474B9" w:rsidRDefault="008474B9" w:rsidP="008474B9">
      <w:pPr>
        <w:spacing w:line="240" w:lineRule="auto"/>
        <w:rPr>
          <w:rFonts w:eastAsia="Times New Roman" w:cs="Arial"/>
          <w:color w:val="000000"/>
          <w:lang w:eastAsia="bg-BG"/>
        </w:rPr>
      </w:pPr>
    </w:p>
    <w:p w14:paraId="2E8ACD55" w14:textId="5B0F0D10" w:rsidR="008474B9" w:rsidRPr="008474B9" w:rsidRDefault="008474B9" w:rsidP="008474B9">
      <w:pPr>
        <w:spacing w:line="240" w:lineRule="auto"/>
        <w:rPr>
          <w:rFonts w:eastAsia="Times New Roman" w:cs="Arial"/>
        </w:rPr>
      </w:pPr>
      <w:r w:rsidRPr="008474B9">
        <w:rPr>
          <w:rFonts w:eastAsia="Times New Roman" w:cs="Arial"/>
          <w:color w:val="000000"/>
          <w:lang w:eastAsia="bg-BG"/>
        </w:rPr>
        <w:t>При плацебо-контролирани проучвания при пациенти в напреднала възраст с психоза, свързана с деменция, честотата на мозъчно-съдовите инциденти на 100 пациенто-години не е била по-висока при пациентите, лекувани с кветиапин, в сравнение с пациентите, лекувани с плацебо.</w:t>
      </w:r>
    </w:p>
    <w:p w14:paraId="59F77A83" w14:textId="77777777" w:rsidR="008474B9" w:rsidRPr="008474B9" w:rsidRDefault="008474B9" w:rsidP="008474B9">
      <w:pPr>
        <w:spacing w:line="240" w:lineRule="auto"/>
        <w:rPr>
          <w:rFonts w:eastAsia="Times New Roman" w:cs="Arial"/>
          <w:color w:val="000000"/>
          <w:lang w:eastAsia="bg-BG"/>
        </w:rPr>
      </w:pPr>
    </w:p>
    <w:p w14:paraId="4EB4B612" w14:textId="124E1E92" w:rsidR="008474B9" w:rsidRPr="008474B9" w:rsidRDefault="008474B9" w:rsidP="008474B9">
      <w:pPr>
        <w:spacing w:line="240" w:lineRule="auto"/>
        <w:rPr>
          <w:rFonts w:eastAsia="Times New Roman" w:cs="Arial"/>
          <w:color w:val="000000"/>
          <w:lang w:eastAsia="bg-BG"/>
        </w:rPr>
      </w:pPr>
      <w:r w:rsidRPr="008474B9">
        <w:rPr>
          <w:rFonts w:eastAsia="Times New Roman" w:cs="Arial"/>
          <w:color w:val="000000"/>
          <w:lang w:eastAsia="bg-BG"/>
        </w:rPr>
        <w:t xml:space="preserve">Във всички краткосрочни плацебо-контролирани проучвания за монотерапия при пациенти с изходен брой неутрофили ≥1,5 х </w:t>
      </w:r>
      <w:r w:rsidRPr="008474B9">
        <w:rPr>
          <w:rFonts w:eastAsia="Times New Roman" w:cs="Arial"/>
          <w:color w:val="000000"/>
          <w:lang w:val="ru-RU"/>
        </w:rPr>
        <w:t>10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е установена честота на поява на поне един случай на промяна на неутрофилен брой &lt;1,5 х </w:t>
      </w:r>
      <w:r w:rsidRPr="008474B9">
        <w:rPr>
          <w:rFonts w:eastAsia="Times New Roman" w:cs="Arial"/>
          <w:color w:val="000000"/>
          <w:lang w:val="ru-RU"/>
        </w:rPr>
        <w:t>10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от 1,9% при пациенти лекувани с кветиапин, в сравнение с 1,5% при пациенти, лекувани с плацебо. Честотата на изместванията до &gt; 0,5- &lt;1</w:t>
      </w:r>
      <w:r w:rsidRPr="008474B9">
        <w:rPr>
          <w:rFonts w:eastAsia="Times New Roman" w:cs="Arial"/>
          <w:color w:val="000000"/>
          <w:lang w:val="ru-RU"/>
        </w:rPr>
        <w:t>,0</w:t>
      </w:r>
      <w:r w:rsidRPr="008474B9">
        <w:rPr>
          <w:rFonts w:eastAsia="Times New Roman" w:cs="Arial"/>
          <w:color w:val="000000"/>
          <w:lang w:val="en-US"/>
        </w:rPr>
        <w:t>xl</w:t>
      </w:r>
      <w:r w:rsidRPr="008474B9">
        <w:rPr>
          <w:rFonts w:eastAsia="Times New Roman" w:cs="Arial"/>
          <w:color w:val="000000"/>
          <w:lang w:val="ru-RU"/>
        </w:rPr>
        <w:t>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е еднаква (0,2%) при пациенти, лекувани с кветиапин, както при пациентите, лекувани с плацебо. </w:t>
      </w:r>
    </w:p>
    <w:p w14:paraId="1DF404A2" w14:textId="2820EDC3" w:rsidR="008474B9" w:rsidRPr="008474B9" w:rsidRDefault="008474B9" w:rsidP="008474B9">
      <w:pPr>
        <w:spacing w:line="240" w:lineRule="auto"/>
        <w:rPr>
          <w:rFonts w:eastAsia="Times New Roman" w:cs="Arial"/>
        </w:rPr>
      </w:pPr>
      <w:r w:rsidRPr="008474B9">
        <w:rPr>
          <w:rFonts w:eastAsia="Times New Roman" w:cs="Arial"/>
          <w:color w:val="000000"/>
          <w:lang w:eastAsia="bg-BG"/>
        </w:rPr>
        <w:t>Във всички клинични изпитвания (плацебо-контролирани, отворени, с провеждана активна сравнителна терапия) при пациенти с изходен брой неутрофили ≥1,5 х 10</w:t>
      </w:r>
      <w:r w:rsidRPr="008474B9">
        <w:rPr>
          <w:rFonts w:eastAsia="Times New Roman" w:cs="Arial"/>
          <w:color w:val="000000"/>
          <w:vertAlign w:val="superscript"/>
          <w:lang w:eastAsia="bg-BG"/>
        </w:rPr>
        <w:t>9</w:t>
      </w:r>
      <w:r w:rsidRPr="008474B9">
        <w:rPr>
          <w:rFonts w:eastAsia="Times New Roman" w:cs="Arial"/>
          <w:color w:val="000000"/>
          <w:lang w:eastAsia="bg-BG"/>
        </w:rPr>
        <w:t>/</w:t>
      </w:r>
      <w:r w:rsidRPr="008474B9">
        <w:rPr>
          <w:rFonts w:eastAsia="Times New Roman" w:cs="Arial"/>
          <w:color w:val="000000"/>
          <w:lang w:val="en-US"/>
        </w:rPr>
        <w:t>L</w:t>
      </w:r>
      <w:r w:rsidRPr="008474B9">
        <w:rPr>
          <w:rFonts w:eastAsia="Times New Roman" w:cs="Arial"/>
          <w:color w:val="000000"/>
          <w:lang w:eastAsia="bg-BG"/>
        </w:rPr>
        <w:t xml:space="preserve">, честотата на поне една поява на смяна към броя на неутрофилите </w:t>
      </w:r>
      <w:r w:rsidRPr="008474B9">
        <w:rPr>
          <w:rFonts w:eastAsia="Times New Roman" w:cs="Arial"/>
          <w:color w:val="000000"/>
          <w:lang w:val="ru-RU"/>
        </w:rPr>
        <w:t>&lt;1,5</w:t>
      </w:r>
      <w:r w:rsidRPr="008474B9">
        <w:rPr>
          <w:rFonts w:eastAsia="Times New Roman" w:cs="Arial"/>
          <w:color w:val="000000"/>
          <w:lang w:val="en-US"/>
        </w:rPr>
        <w:t>x</w:t>
      </w:r>
      <w:r w:rsidRPr="008474B9">
        <w:rPr>
          <w:rFonts w:eastAsia="Times New Roman" w:cs="Arial"/>
          <w:color w:val="000000"/>
          <w:lang w:val="ru-RU"/>
        </w:rPr>
        <w:t>1</w:t>
      </w:r>
      <w:r w:rsidRPr="008474B9">
        <w:rPr>
          <w:rFonts w:eastAsia="Times New Roman" w:cs="Arial"/>
          <w:color w:val="000000"/>
          <w:lang w:eastAsia="bg-BG"/>
        </w:rPr>
        <w:t>0</w:t>
      </w:r>
      <w:r w:rsidRPr="008474B9">
        <w:rPr>
          <w:rFonts w:eastAsia="Times New Roman" w:cs="Arial"/>
          <w:color w:val="000000"/>
          <w:vertAlign w:val="superscript"/>
          <w:lang w:eastAsia="bg-BG"/>
        </w:rPr>
        <w:t>9</w:t>
      </w:r>
      <w:r w:rsidRPr="008474B9">
        <w:rPr>
          <w:rFonts w:eastAsia="Times New Roman" w:cs="Arial"/>
          <w:color w:val="000000"/>
          <w:lang w:eastAsia="bg-BG"/>
        </w:rPr>
        <w:t xml:space="preserve"> /</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 xml:space="preserve">е 2,9% и до &lt;0,5 х </w:t>
      </w:r>
      <w:r w:rsidRPr="008474B9">
        <w:rPr>
          <w:rFonts w:eastAsia="Times New Roman" w:cs="Arial"/>
          <w:color w:val="000000"/>
          <w:lang w:val="ru-RU"/>
        </w:rPr>
        <w:t>10</w:t>
      </w:r>
      <w:r w:rsidRPr="008474B9">
        <w:rPr>
          <w:rFonts w:eastAsia="Times New Roman" w:cs="Arial"/>
          <w:color w:val="000000"/>
          <w:vertAlign w:val="superscript"/>
          <w:lang w:val="ru-RU"/>
        </w:rPr>
        <w:t>9</w:t>
      </w:r>
      <w:r w:rsidRPr="008474B9">
        <w:rPr>
          <w:rFonts w:eastAsia="Times New Roman" w:cs="Arial"/>
          <w:color w:val="000000"/>
          <w:lang w:val="ru-RU"/>
        </w:rPr>
        <w:t>/</w:t>
      </w:r>
      <w:r w:rsidRPr="008474B9">
        <w:rPr>
          <w:rFonts w:eastAsia="Times New Roman" w:cs="Arial"/>
          <w:color w:val="000000"/>
          <w:lang w:val="en-US"/>
        </w:rPr>
        <w:t>L</w:t>
      </w:r>
      <w:r w:rsidRPr="008474B9">
        <w:rPr>
          <w:rFonts w:eastAsia="Times New Roman" w:cs="Arial"/>
          <w:color w:val="000000"/>
          <w:lang w:val="ru-RU"/>
        </w:rPr>
        <w:t xml:space="preserve"> </w:t>
      </w:r>
      <w:r w:rsidRPr="008474B9">
        <w:rPr>
          <w:rFonts w:eastAsia="Times New Roman" w:cs="Arial"/>
          <w:color w:val="000000"/>
          <w:lang w:eastAsia="bg-BG"/>
        </w:rPr>
        <w:t>е 0,21% при пациенти, лекувани с кветиапин.</w:t>
      </w:r>
    </w:p>
    <w:p w14:paraId="4F05AF3F" w14:textId="77777777" w:rsidR="008474B9" w:rsidRPr="008474B9" w:rsidRDefault="008474B9" w:rsidP="008474B9">
      <w:pPr>
        <w:spacing w:line="240" w:lineRule="auto"/>
        <w:rPr>
          <w:rFonts w:eastAsia="Times New Roman" w:cs="Arial"/>
          <w:color w:val="000000"/>
          <w:lang w:eastAsia="bg-BG"/>
        </w:rPr>
      </w:pPr>
    </w:p>
    <w:p w14:paraId="35626AA8" w14:textId="33B2020E"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Лечението с кветиапин е свързано с дозо-зависимо намаление на нивата на тироидните хормони. Честотата на промени в </w:t>
      </w:r>
      <w:r w:rsidRPr="008474B9">
        <w:rPr>
          <w:rFonts w:eastAsia="Times New Roman" w:cs="Arial"/>
          <w:color w:val="000000"/>
          <w:lang w:val="en-US"/>
        </w:rPr>
        <w:t>TSH</w:t>
      </w:r>
      <w:r w:rsidRPr="008474B9">
        <w:rPr>
          <w:rFonts w:eastAsia="Times New Roman" w:cs="Arial"/>
          <w:color w:val="000000"/>
          <w:lang w:val="ru-RU"/>
        </w:rPr>
        <w:t xml:space="preserve"> </w:t>
      </w:r>
      <w:r w:rsidRPr="008474B9">
        <w:rPr>
          <w:rFonts w:eastAsia="Times New Roman" w:cs="Arial"/>
          <w:color w:val="000000"/>
          <w:lang w:eastAsia="bg-BG"/>
        </w:rPr>
        <w:t xml:space="preserve">е </w:t>
      </w:r>
      <w:r w:rsidRPr="008474B9">
        <w:rPr>
          <w:rFonts w:eastAsia="Times New Roman" w:cs="Arial"/>
          <w:i/>
          <w:iCs/>
          <w:color w:val="000000"/>
          <w:lang w:eastAsia="bg-BG"/>
        </w:rPr>
        <w:t>била</w:t>
      </w:r>
      <w:r w:rsidRPr="008474B9">
        <w:rPr>
          <w:rFonts w:eastAsia="Times New Roman" w:cs="Arial"/>
          <w:color w:val="000000"/>
          <w:lang w:eastAsia="bg-BG"/>
        </w:rPr>
        <w:t xml:space="preserve"> 3,2% за кветиапин срещу 2,7% за плацебо. Честотата на реципрочните, потенциално клинично значими промени и на двете Т</w:t>
      </w:r>
      <w:r w:rsidRPr="008474B9">
        <w:rPr>
          <w:rFonts w:eastAsia="Times New Roman" w:cs="Arial"/>
          <w:color w:val="000000"/>
          <w:vertAlign w:val="subscript"/>
          <w:lang w:eastAsia="bg-BG"/>
        </w:rPr>
        <w:t>3</w:t>
      </w:r>
      <w:r w:rsidRPr="008474B9">
        <w:rPr>
          <w:rFonts w:eastAsia="Times New Roman" w:cs="Arial"/>
          <w:color w:val="000000"/>
          <w:lang w:eastAsia="bg-BG"/>
        </w:rPr>
        <w:t xml:space="preserve"> или Т</w:t>
      </w:r>
      <w:r w:rsidRPr="008474B9">
        <w:rPr>
          <w:rFonts w:eastAsia="Times New Roman" w:cs="Arial"/>
          <w:color w:val="000000"/>
          <w:vertAlign w:val="subscript"/>
          <w:lang w:eastAsia="bg-BG"/>
        </w:rPr>
        <w:t>4</w:t>
      </w:r>
      <w:r w:rsidRPr="008474B9">
        <w:rPr>
          <w:rFonts w:eastAsia="Times New Roman" w:cs="Arial"/>
          <w:color w:val="000000"/>
          <w:lang w:eastAsia="bg-BG"/>
        </w:rPr>
        <w:t xml:space="preserve"> и </w:t>
      </w:r>
      <w:r w:rsidRPr="008474B9">
        <w:rPr>
          <w:rFonts w:eastAsia="Times New Roman" w:cs="Arial"/>
          <w:color w:val="000000"/>
          <w:lang w:val="en-US"/>
        </w:rPr>
        <w:t>TSH</w:t>
      </w:r>
      <w:r w:rsidRPr="008474B9">
        <w:rPr>
          <w:rFonts w:eastAsia="Times New Roman" w:cs="Arial"/>
          <w:color w:val="000000"/>
          <w:lang w:val="ru-RU"/>
        </w:rPr>
        <w:t xml:space="preserve"> </w:t>
      </w:r>
      <w:r w:rsidRPr="008474B9">
        <w:rPr>
          <w:rFonts w:eastAsia="Times New Roman" w:cs="Arial"/>
          <w:color w:val="000000"/>
          <w:lang w:eastAsia="bg-BG"/>
        </w:rPr>
        <w:t>в тези проучвания са редки и наблюдаваните промени в нивата на тироидните хормони не са свързани с клинично симптоматичен хипотиреоидизъм. Намаляването на общия и свободния Т</w:t>
      </w:r>
      <w:r w:rsidRPr="008474B9">
        <w:rPr>
          <w:rFonts w:eastAsia="Times New Roman" w:cs="Arial"/>
          <w:color w:val="000000"/>
          <w:vertAlign w:val="subscript"/>
          <w:lang w:eastAsia="bg-BG"/>
        </w:rPr>
        <w:t>4</w:t>
      </w:r>
      <w:r w:rsidRPr="008474B9">
        <w:rPr>
          <w:rFonts w:eastAsia="Times New Roman" w:cs="Arial"/>
          <w:color w:val="000000"/>
          <w:lang w:eastAsia="bg-BG"/>
        </w:rPr>
        <w:t xml:space="preserve"> е бил максимален през първите шест седмици от лечението с кветиапин, без допълнително намаляване по време на дългосрочно лечение. За около 2/3 от всички случаи прекратяването на лечението с кветиапин е свързано с обръщане на ефектите върху общия и свободния Т</w:t>
      </w:r>
      <w:r w:rsidRPr="008474B9">
        <w:rPr>
          <w:rFonts w:eastAsia="Times New Roman" w:cs="Arial"/>
          <w:color w:val="000000"/>
          <w:vertAlign w:val="subscript"/>
          <w:lang w:eastAsia="bg-BG"/>
        </w:rPr>
        <w:t>4,</w:t>
      </w:r>
      <w:r w:rsidRPr="008474B9">
        <w:rPr>
          <w:rFonts w:eastAsia="Times New Roman" w:cs="Arial"/>
          <w:color w:val="000000"/>
          <w:lang w:eastAsia="bg-BG"/>
        </w:rPr>
        <w:t xml:space="preserve"> независимо от продължителността на лечението.</w:t>
      </w:r>
    </w:p>
    <w:p w14:paraId="120DBA55" w14:textId="77777777" w:rsidR="008474B9" w:rsidRPr="008474B9" w:rsidRDefault="008474B9" w:rsidP="008474B9">
      <w:pPr>
        <w:spacing w:line="240" w:lineRule="auto"/>
        <w:rPr>
          <w:rFonts w:eastAsia="Times New Roman" w:cs="Arial"/>
          <w:i/>
          <w:iCs/>
          <w:color w:val="000000"/>
          <w:lang w:eastAsia="bg-BG"/>
        </w:rPr>
      </w:pPr>
    </w:p>
    <w:p w14:paraId="1BA28487" w14:textId="66B392A5"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Катаракта/потъмняване на лещата</w:t>
      </w:r>
    </w:p>
    <w:p w14:paraId="44C2EC2F" w14:textId="596DDC91"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клинично изпитване за оценка на катарактогенния потенциал на кветиапин (200-800 </w:t>
      </w:r>
      <w:r w:rsidRPr="008474B9">
        <w:rPr>
          <w:rFonts w:eastAsia="Times New Roman" w:cs="Arial"/>
          <w:color w:val="000000"/>
          <w:lang w:val="en-US"/>
        </w:rPr>
        <w:t>mg</w:t>
      </w:r>
      <w:r w:rsidRPr="008474B9">
        <w:rPr>
          <w:rFonts w:eastAsia="Times New Roman" w:cs="Arial"/>
          <w:color w:val="000000"/>
          <w:lang w:eastAsia="bg-BG"/>
        </w:rPr>
        <w:t xml:space="preserve">/ден) спрямо рисперидон (2-8 </w:t>
      </w:r>
      <w:r w:rsidRPr="008474B9">
        <w:rPr>
          <w:rFonts w:eastAsia="Times New Roman" w:cs="Arial"/>
          <w:color w:val="000000"/>
          <w:lang w:val="en-US"/>
        </w:rPr>
        <w:t>mg</w:t>
      </w:r>
      <w:r w:rsidRPr="008474B9">
        <w:rPr>
          <w:rFonts w:eastAsia="Times New Roman" w:cs="Arial"/>
          <w:color w:val="000000"/>
          <w:lang w:eastAsia="bg-BG"/>
        </w:rPr>
        <w:t>/ден) при пациенти с шизофрения или шизоафективно разстройство, процентът на пациентите с повишена степен на потъмняване на лещите не е бил по-висок при кветиапин (4%) в сравнение с рисперидон (10%) при пациенти с експозиция най-малко 21 месеца.</w:t>
      </w:r>
    </w:p>
    <w:p w14:paraId="2B133284" w14:textId="77777777" w:rsidR="008474B9" w:rsidRPr="008474B9" w:rsidRDefault="008474B9" w:rsidP="008474B9">
      <w:pPr>
        <w:spacing w:line="240" w:lineRule="auto"/>
        <w:rPr>
          <w:rFonts w:eastAsia="Times New Roman" w:cs="Arial"/>
          <w:b/>
          <w:bCs/>
          <w:color w:val="000000"/>
          <w:lang w:eastAsia="bg-BG"/>
        </w:rPr>
      </w:pPr>
    </w:p>
    <w:p w14:paraId="04EBA94F" w14:textId="0623EBA1" w:rsidR="008474B9" w:rsidRPr="008474B9" w:rsidRDefault="008474B9" w:rsidP="008474B9">
      <w:pPr>
        <w:spacing w:line="240" w:lineRule="auto"/>
        <w:rPr>
          <w:rFonts w:eastAsia="Times New Roman" w:cs="Arial"/>
        </w:rPr>
      </w:pPr>
      <w:r w:rsidRPr="008474B9">
        <w:rPr>
          <w:rFonts w:eastAsia="Times New Roman" w:cs="Arial"/>
          <w:b/>
          <w:bCs/>
          <w:color w:val="000000"/>
          <w:lang w:eastAsia="bg-BG"/>
        </w:rPr>
        <w:t>Педиатрична популация</w:t>
      </w:r>
    </w:p>
    <w:p w14:paraId="182A7077" w14:textId="77777777" w:rsidR="008474B9" w:rsidRPr="008474B9" w:rsidRDefault="008474B9" w:rsidP="008474B9">
      <w:pPr>
        <w:spacing w:line="240" w:lineRule="auto"/>
        <w:rPr>
          <w:rFonts w:eastAsia="Times New Roman" w:cs="Arial"/>
          <w:i/>
          <w:iCs/>
          <w:color w:val="000000"/>
          <w:lang w:eastAsia="bg-BG"/>
        </w:rPr>
      </w:pPr>
    </w:p>
    <w:p w14:paraId="5FCAF432" w14:textId="1A85C02E"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Клинична ефикасност</w:t>
      </w:r>
    </w:p>
    <w:p w14:paraId="0806FA5C"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Ефикасността и безопасността на кветиапин са проучени в 3-седмично плацебо-контролирано проучване за лечение на манийни разстройства </w:t>
      </w:r>
      <w:r w:rsidRPr="008474B9">
        <w:rPr>
          <w:rFonts w:eastAsia="Times New Roman" w:cs="Arial"/>
          <w:i/>
          <w:iCs/>
          <w:color w:val="000000"/>
          <w:lang w:eastAsia="bg-BG"/>
        </w:rPr>
        <w:t>(п= 284</w:t>
      </w:r>
      <w:r w:rsidRPr="008474B9">
        <w:rPr>
          <w:rFonts w:eastAsia="Times New Roman" w:cs="Arial"/>
          <w:color w:val="000000"/>
          <w:lang w:eastAsia="bg-BG"/>
        </w:rPr>
        <w:t xml:space="preserve"> пациента от САЩ на възраст от 10 до 17 год.). Около 45% от пациентите от тази популация са с допълнителна диагноза ХРДВ (хиперактивно</w:t>
      </w:r>
    </w:p>
    <w:p w14:paraId="5BD7DEE6" w14:textId="77777777" w:rsidR="008474B9" w:rsidRPr="008474B9" w:rsidRDefault="008474B9" w:rsidP="008474B9">
      <w:pPr>
        <w:rPr>
          <w:rFonts w:eastAsia="Times New Roman" w:cs="Arial"/>
        </w:rPr>
      </w:pPr>
      <w:r w:rsidRPr="008474B9">
        <w:rPr>
          <w:rFonts w:eastAsia="Times New Roman" w:cs="Arial"/>
          <w:color w:val="000000"/>
          <w:lang w:eastAsia="bg-BG"/>
        </w:rPr>
        <w:t>разстройство с дефицит във вниманието). В допълнение е проведено и 6-седмично плацебо- контролирано проучване за лечение на шизофрения (</w:t>
      </w:r>
      <w:r w:rsidRPr="008474B9">
        <w:rPr>
          <w:rFonts w:eastAsia="Times New Roman" w:cs="Arial"/>
          <w:color w:val="000000"/>
          <w:lang w:val="en-US"/>
        </w:rPr>
        <w:t>n</w:t>
      </w:r>
      <w:r w:rsidRPr="008474B9">
        <w:rPr>
          <w:rFonts w:eastAsia="Times New Roman" w:cs="Arial"/>
          <w:color w:val="000000"/>
          <w:lang w:val="ru-RU"/>
        </w:rPr>
        <w:t>=</w:t>
      </w:r>
      <w:r w:rsidRPr="008474B9">
        <w:rPr>
          <w:rFonts w:eastAsia="Times New Roman" w:cs="Arial"/>
          <w:color w:val="000000"/>
          <w:lang w:eastAsia="bg-BG"/>
        </w:rPr>
        <w:t>222 пациента на възаст 13-17 години).</w:t>
      </w:r>
      <w:r w:rsidRPr="008474B9">
        <w:rPr>
          <w:rFonts w:eastAsia="Times New Roman" w:cs="Arial"/>
          <w:color w:val="000000"/>
          <w:vertAlign w:val="subscript"/>
          <w:lang w:eastAsia="bg-BG"/>
        </w:rPr>
        <w:t xml:space="preserve"> </w:t>
      </w:r>
      <w:r w:rsidRPr="008474B9">
        <w:rPr>
          <w:rFonts w:eastAsia="Times New Roman" w:cs="Arial"/>
          <w:color w:val="000000"/>
          <w:lang w:eastAsia="bg-BG"/>
        </w:rPr>
        <w:t xml:space="preserve">Пациентите с известна липса на отговор на кветиапин са изключени и от двете проучвания Лечението </w:t>
      </w:r>
      <w:r w:rsidRPr="008474B9">
        <w:rPr>
          <w:rFonts w:eastAsia="Times New Roman" w:cs="Arial"/>
          <w:i/>
          <w:iCs/>
          <w:color w:val="000000"/>
          <w:lang w:eastAsia="bg-BG"/>
        </w:rPr>
        <w:t>с</w:t>
      </w:r>
      <w:r w:rsidRPr="008474B9">
        <w:rPr>
          <w:rFonts w:eastAsia="Times New Roman" w:cs="Arial"/>
          <w:color w:val="000000"/>
          <w:lang w:eastAsia="bg-BG"/>
        </w:rPr>
        <w:t xml:space="preserve"> кветиапин е започвано в доза 50 </w:t>
      </w:r>
      <w:r w:rsidRPr="008474B9">
        <w:rPr>
          <w:rFonts w:eastAsia="Times New Roman" w:cs="Arial"/>
          <w:color w:val="000000"/>
          <w:lang w:val="en-US"/>
        </w:rPr>
        <w:t>mg</w:t>
      </w:r>
      <w:r w:rsidRPr="008474B9">
        <w:rPr>
          <w:rFonts w:eastAsia="Times New Roman" w:cs="Arial"/>
          <w:color w:val="000000"/>
          <w:lang w:eastAsia="bg-BG"/>
        </w:rPr>
        <w:t xml:space="preserve">/дневно </w:t>
      </w:r>
      <w:r w:rsidRPr="008474B9">
        <w:rPr>
          <w:rFonts w:eastAsia="Times New Roman" w:cs="Arial"/>
          <w:color w:val="000000"/>
          <w:lang w:val="en-US"/>
        </w:rPr>
        <w:t>s</w:t>
      </w:r>
      <w:r w:rsidRPr="008474B9">
        <w:rPr>
          <w:rFonts w:eastAsia="Times New Roman" w:cs="Arial"/>
          <w:color w:val="000000"/>
          <w:lang w:eastAsia="bg-BG"/>
        </w:rPr>
        <w:t xml:space="preserve"> повишаване през втория ден до 100 </w:t>
      </w:r>
      <w:r w:rsidRPr="008474B9">
        <w:rPr>
          <w:rFonts w:eastAsia="Times New Roman" w:cs="Arial"/>
          <w:color w:val="000000"/>
          <w:lang w:val="en-US"/>
        </w:rPr>
        <w:t>mg</w:t>
      </w:r>
      <w:r w:rsidRPr="008474B9">
        <w:rPr>
          <w:rFonts w:eastAsia="Times New Roman" w:cs="Arial"/>
          <w:color w:val="000000"/>
          <w:lang w:eastAsia="bg-BG"/>
        </w:rPr>
        <w:t xml:space="preserve">/дневно. В последствие дозата се титрира до таргетната доза </w:t>
      </w:r>
      <w:r w:rsidRPr="008474B9">
        <w:rPr>
          <w:rFonts w:eastAsia="Times New Roman" w:cs="Arial"/>
          <w:color w:val="000000"/>
          <w:lang w:eastAsia="bg-BG"/>
        </w:rPr>
        <w:lastRenderedPageBreak/>
        <w:t xml:space="preserve">(манийно разстройство - 400-600 </w:t>
      </w:r>
      <w:r w:rsidRPr="008474B9">
        <w:rPr>
          <w:rFonts w:eastAsia="Times New Roman" w:cs="Arial"/>
          <w:color w:val="000000"/>
          <w:lang w:val="en-US"/>
        </w:rPr>
        <w:t>mg</w:t>
      </w:r>
      <w:r w:rsidRPr="008474B9">
        <w:rPr>
          <w:rFonts w:eastAsia="Times New Roman" w:cs="Arial"/>
          <w:color w:val="000000"/>
          <w:lang w:eastAsia="bg-BG"/>
        </w:rPr>
        <w:t xml:space="preserve">/дневно; шизофрения - 400-800 </w:t>
      </w:r>
      <w:r w:rsidRPr="008474B9">
        <w:rPr>
          <w:rFonts w:eastAsia="Times New Roman" w:cs="Arial"/>
          <w:color w:val="000000"/>
          <w:lang w:val="en-US"/>
        </w:rPr>
        <w:t>mg</w:t>
      </w:r>
      <w:r w:rsidRPr="008474B9">
        <w:rPr>
          <w:rFonts w:eastAsia="Times New Roman" w:cs="Arial"/>
          <w:color w:val="000000"/>
          <w:lang w:eastAsia="bg-BG"/>
        </w:rPr>
        <w:t xml:space="preserve">/дневно) на стъпки от по 100 </w:t>
      </w:r>
      <w:r w:rsidRPr="008474B9">
        <w:rPr>
          <w:rFonts w:eastAsia="Times New Roman" w:cs="Arial"/>
          <w:color w:val="000000"/>
          <w:lang w:val="en-US"/>
        </w:rPr>
        <w:t>mg</w:t>
      </w:r>
      <w:r w:rsidRPr="008474B9">
        <w:rPr>
          <w:rFonts w:eastAsia="Times New Roman" w:cs="Arial"/>
          <w:color w:val="000000"/>
          <w:lang w:eastAsia="bg-BG"/>
        </w:rPr>
        <w:t>/дневно, разделени на 2 или 3 приема дневно.</w:t>
      </w:r>
    </w:p>
    <w:p w14:paraId="69AAB3B0" w14:textId="77777777" w:rsidR="008474B9" w:rsidRPr="008474B9" w:rsidRDefault="008474B9" w:rsidP="008474B9">
      <w:pPr>
        <w:spacing w:line="240" w:lineRule="auto"/>
        <w:rPr>
          <w:rFonts w:eastAsia="Times New Roman" w:cs="Arial"/>
          <w:color w:val="000000"/>
          <w:lang w:eastAsia="bg-BG"/>
        </w:rPr>
      </w:pPr>
    </w:p>
    <w:p w14:paraId="038F1598" w14:textId="28BCAFA2"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проучването за лечение на манийни разстройства разликата в средната </w:t>
      </w:r>
      <w:r w:rsidRPr="008474B9">
        <w:rPr>
          <w:rFonts w:eastAsia="Times New Roman" w:cs="Arial"/>
          <w:color w:val="000000"/>
          <w:lang w:val="en-US"/>
        </w:rPr>
        <w:t>LS</w:t>
      </w:r>
      <w:r w:rsidRPr="008474B9">
        <w:rPr>
          <w:rFonts w:eastAsia="Times New Roman" w:cs="Arial"/>
          <w:color w:val="000000"/>
          <w:lang w:val="ru-RU"/>
        </w:rPr>
        <w:t xml:space="preserve"> </w:t>
      </w:r>
      <w:r w:rsidRPr="008474B9">
        <w:rPr>
          <w:rFonts w:eastAsia="Times New Roman" w:cs="Arial"/>
          <w:color w:val="000000"/>
          <w:lang w:eastAsia="bg-BG"/>
        </w:rPr>
        <w:t xml:space="preserve">промяна на общия </w:t>
      </w:r>
      <w:r w:rsidRPr="008474B9">
        <w:rPr>
          <w:rFonts w:eastAsia="Times New Roman" w:cs="Arial"/>
          <w:color w:val="000000"/>
          <w:lang w:val="en-US"/>
        </w:rPr>
        <w:t>YMRS</w:t>
      </w:r>
      <w:r w:rsidRPr="008474B9">
        <w:rPr>
          <w:rFonts w:eastAsia="Times New Roman" w:cs="Arial"/>
          <w:color w:val="000000"/>
          <w:lang w:val="ru-RU"/>
        </w:rPr>
        <w:t xml:space="preserve"> </w:t>
      </w:r>
      <w:r w:rsidRPr="008474B9">
        <w:rPr>
          <w:rFonts w:eastAsia="Times New Roman" w:cs="Arial"/>
          <w:color w:val="000000"/>
          <w:lang w:eastAsia="bg-BG"/>
        </w:rPr>
        <w:t xml:space="preserve">скор в сравнение с изходната стойност (група на активно лечение минус плацебо-група) е съответно (-5,21) за кветиапин 400 </w:t>
      </w:r>
      <w:r w:rsidRPr="008474B9">
        <w:rPr>
          <w:rFonts w:eastAsia="Times New Roman" w:cs="Arial"/>
          <w:color w:val="000000"/>
          <w:lang w:val="en-US"/>
        </w:rPr>
        <w:t>mg</w:t>
      </w:r>
      <w:r w:rsidRPr="008474B9">
        <w:rPr>
          <w:rFonts w:eastAsia="Times New Roman" w:cs="Arial"/>
          <w:color w:val="000000"/>
          <w:lang w:eastAsia="bg-BG"/>
        </w:rPr>
        <w:t xml:space="preserve">/дневно и (-6,56) за кветиапин 600 </w:t>
      </w:r>
      <w:r w:rsidRPr="008474B9">
        <w:rPr>
          <w:rFonts w:eastAsia="Times New Roman" w:cs="Arial"/>
          <w:color w:val="000000"/>
          <w:lang w:val="en-US"/>
        </w:rPr>
        <w:t>mg</w:t>
      </w:r>
      <w:r w:rsidRPr="008474B9">
        <w:rPr>
          <w:rFonts w:eastAsia="Times New Roman" w:cs="Arial"/>
          <w:color w:val="000000"/>
          <w:lang w:eastAsia="bg-BG"/>
        </w:rPr>
        <w:t xml:space="preserve">/дневно. Честотата на отговора към лечението (подобрение по </w:t>
      </w:r>
      <w:r w:rsidRPr="008474B9">
        <w:rPr>
          <w:rFonts w:eastAsia="Times New Roman" w:cs="Arial"/>
          <w:color w:val="000000"/>
          <w:lang w:val="en-US"/>
        </w:rPr>
        <w:t>YMRS</w:t>
      </w:r>
      <w:r w:rsidRPr="008474B9">
        <w:rPr>
          <w:rFonts w:eastAsia="Times New Roman" w:cs="Arial"/>
          <w:color w:val="000000"/>
          <w:lang w:val="ru-RU"/>
        </w:rPr>
        <w:t xml:space="preserve"> </w:t>
      </w:r>
      <w:r w:rsidRPr="008474B9">
        <w:rPr>
          <w:rFonts w:eastAsia="Times New Roman" w:cs="Arial"/>
          <w:color w:val="000000"/>
          <w:lang w:eastAsia="bg-BG"/>
        </w:rPr>
        <w:t xml:space="preserve">с ≥50%) е 64% при пациентите на кветиапин 400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eastAsia="bg-BG"/>
        </w:rPr>
        <w:t xml:space="preserve">дневно, 58% при тези на кветиапин 600 </w:t>
      </w:r>
      <w:r w:rsidRPr="008474B9">
        <w:rPr>
          <w:rFonts w:eastAsia="Times New Roman" w:cs="Arial"/>
          <w:color w:val="000000"/>
          <w:lang w:val="en-US"/>
        </w:rPr>
        <w:t>mg</w:t>
      </w:r>
      <w:r w:rsidRPr="008474B9">
        <w:rPr>
          <w:rFonts w:eastAsia="Times New Roman" w:cs="Arial"/>
          <w:color w:val="000000"/>
          <w:lang w:val="ru-RU"/>
        </w:rPr>
        <w:t>/</w:t>
      </w:r>
      <w:r w:rsidRPr="008474B9">
        <w:rPr>
          <w:rFonts w:eastAsia="Times New Roman" w:cs="Arial"/>
          <w:color w:val="000000"/>
          <w:lang w:eastAsia="bg-BG"/>
        </w:rPr>
        <w:t>дневно и 37% в плацебо групата.</w:t>
      </w:r>
    </w:p>
    <w:p w14:paraId="799D3933" w14:textId="77777777" w:rsidR="008474B9" w:rsidRPr="008474B9" w:rsidRDefault="008474B9" w:rsidP="008474B9">
      <w:pPr>
        <w:spacing w:line="240" w:lineRule="auto"/>
        <w:rPr>
          <w:rFonts w:eastAsia="Times New Roman" w:cs="Arial"/>
          <w:color w:val="000000"/>
          <w:lang w:eastAsia="bg-BG"/>
        </w:rPr>
      </w:pPr>
    </w:p>
    <w:p w14:paraId="233C1B3F" w14:textId="29C8060F"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проучването за лечение на шизофрения разликата в средната </w:t>
      </w:r>
      <w:r w:rsidRPr="008474B9">
        <w:rPr>
          <w:rFonts w:eastAsia="Times New Roman" w:cs="Arial"/>
          <w:color w:val="000000"/>
          <w:lang w:val="en-US"/>
        </w:rPr>
        <w:t>LS</w:t>
      </w:r>
      <w:r w:rsidRPr="008474B9">
        <w:rPr>
          <w:rFonts w:eastAsia="Times New Roman" w:cs="Arial"/>
          <w:color w:val="000000"/>
          <w:lang w:val="ru-RU"/>
        </w:rPr>
        <w:t xml:space="preserve"> </w:t>
      </w:r>
      <w:r w:rsidRPr="008474B9">
        <w:rPr>
          <w:rFonts w:eastAsia="Times New Roman" w:cs="Arial"/>
          <w:color w:val="000000"/>
          <w:lang w:eastAsia="bg-BG"/>
        </w:rPr>
        <w:t xml:space="preserve">промяна на общия </w:t>
      </w:r>
      <w:r w:rsidRPr="008474B9">
        <w:rPr>
          <w:rFonts w:eastAsia="Times New Roman" w:cs="Arial"/>
          <w:color w:val="000000"/>
          <w:lang w:val="en-US"/>
        </w:rPr>
        <w:t>PANSS</w:t>
      </w:r>
      <w:r w:rsidRPr="008474B9">
        <w:rPr>
          <w:rFonts w:eastAsia="Times New Roman" w:cs="Arial"/>
          <w:color w:val="000000"/>
          <w:lang w:val="ru-RU"/>
        </w:rPr>
        <w:t xml:space="preserve"> </w:t>
      </w:r>
      <w:r w:rsidRPr="008474B9">
        <w:rPr>
          <w:rFonts w:eastAsia="Times New Roman" w:cs="Arial"/>
          <w:color w:val="000000"/>
          <w:lang w:eastAsia="bg-BG"/>
        </w:rPr>
        <w:t xml:space="preserve">скор спрямо изходния (група за активно лечение минус плацебо-група) е съответно (-8,16) за пациентите на кветиапин 400 </w:t>
      </w:r>
      <w:r w:rsidRPr="008474B9">
        <w:rPr>
          <w:rFonts w:eastAsia="Times New Roman" w:cs="Arial"/>
          <w:color w:val="000000"/>
          <w:lang w:val="en-US"/>
        </w:rPr>
        <w:t>mg</w:t>
      </w:r>
      <w:r w:rsidRPr="008474B9">
        <w:rPr>
          <w:rFonts w:eastAsia="Times New Roman" w:cs="Arial"/>
          <w:color w:val="000000"/>
          <w:lang w:eastAsia="bg-BG"/>
        </w:rPr>
        <w:t xml:space="preserve">/дневно и (-9,29) за пациентите на кветиапин 800 </w:t>
      </w:r>
      <w:r w:rsidRPr="008474B9">
        <w:rPr>
          <w:rFonts w:eastAsia="Times New Roman" w:cs="Arial"/>
          <w:color w:val="000000"/>
          <w:lang w:val="en-US"/>
        </w:rPr>
        <w:t>mg</w:t>
      </w:r>
      <w:r w:rsidRPr="008474B9">
        <w:rPr>
          <w:rFonts w:eastAsia="Times New Roman" w:cs="Arial"/>
          <w:color w:val="000000"/>
          <w:lang w:eastAsia="bg-BG"/>
        </w:rPr>
        <w:t xml:space="preserve">/дневно. Нито ниската доза (400 </w:t>
      </w:r>
      <w:r w:rsidRPr="008474B9">
        <w:rPr>
          <w:rFonts w:eastAsia="Times New Roman" w:cs="Arial"/>
          <w:color w:val="000000"/>
          <w:lang w:val="en-US"/>
        </w:rPr>
        <w:t>mg</w:t>
      </w:r>
      <w:r w:rsidRPr="008474B9">
        <w:rPr>
          <w:rFonts w:eastAsia="Times New Roman" w:cs="Arial"/>
          <w:color w:val="000000"/>
          <w:lang w:eastAsia="bg-BG"/>
        </w:rPr>
        <w:t xml:space="preserve">/дневно), нито високата доза (800 </w:t>
      </w:r>
      <w:r w:rsidRPr="008474B9">
        <w:rPr>
          <w:rFonts w:eastAsia="Times New Roman" w:cs="Arial"/>
          <w:color w:val="000000"/>
          <w:lang w:val="en-US"/>
        </w:rPr>
        <w:t>mg</w:t>
      </w:r>
      <w:r w:rsidRPr="008474B9">
        <w:rPr>
          <w:rFonts w:eastAsia="Times New Roman" w:cs="Arial"/>
          <w:color w:val="000000"/>
          <w:lang w:eastAsia="bg-BG"/>
        </w:rPr>
        <w:t xml:space="preserve">/дневно) кветиапин превъзхождат плацебо по отношение на процента пациенти, при които се постига отговор към лечението (дефиниран като понижение с &gt;30% на общия скор по </w:t>
      </w:r>
      <w:r w:rsidRPr="008474B9">
        <w:rPr>
          <w:rFonts w:eastAsia="Times New Roman" w:cs="Arial"/>
          <w:color w:val="000000"/>
          <w:lang w:val="en-US"/>
        </w:rPr>
        <w:t>PANSS</w:t>
      </w:r>
      <w:r w:rsidRPr="008474B9">
        <w:rPr>
          <w:rFonts w:eastAsia="Times New Roman" w:cs="Arial"/>
          <w:color w:val="000000"/>
          <w:lang w:val="ru-RU"/>
        </w:rPr>
        <w:t xml:space="preserve"> </w:t>
      </w:r>
      <w:r w:rsidRPr="008474B9">
        <w:rPr>
          <w:rFonts w:eastAsia="Times New Roman" w:cs="Arial"/>
          <w:color w:val="000000"/>
          <w:lang w:eastAsia="bg-BG"/>
        </w:rPr>
        <w:t>в сравнение с изходната стойност). И при манийни разстройства, и при шизофрения, по-високите дози дават по-ниска честота на отговор.</w:t>
      </w:r>
    </w:p>
    <w:p w14:paraId="59944FD8" w14:textId="77777777" w:rsidR="008474B9" w:rsidRPr="008474B9" w:rsidRDefault="008474B9" w:rsidP="008474B9">
      <w:pPr>
        <w:spacing w:line="240" w:lineRule="auto"/>
        <w:rPr>
          <w:rFonts w:eastAsia="Times New Roman" w:cs="Arial"/>
          <w:color w:val="000000"/>
          <w:lang w:eastAsia="bg-BG"/>
        </w:rPr>
      </w:pPr>
    </w:p>
    <w:p w14:paraId="53EE0E1C" w14:textId="54BC5EF9" w:rsidR="008474B9" w:rsidRPr="008474B9" w:rsidRDefault="008474B9" w:rsidP="008474B9">
      <w:pPr>
        <w:spacing w:line="240" w:lineRule="auto"/>
        <w:rPr>
          <w:rFonts w:eastAsia="Times New Roman" w:cs="Arial"/>
        </w:rPr>
      </w:pPr>
      <w:r w:rsidRPr="008474B9">
        <w:rPr>
          <w:rFonts w:eastAsia="Times New Roman" w:cs="Arial"/>
          <w:color w:val="000000"/>
          <w:lang w:eastAsia="bg-BG"/>
        </w:rPr>
        <w:t>В трето краткосрочно плацебо-контролирано проучване с монотерапия с кветиапин с удължено освобождаване при деца и юноши (на възраст 10-17 години) с биполярна депресия, ефикасността не е доказана. Няма данни за подължителностга на ефекта или предотвратяване на рецидиви в тази възрастова група.</w:t>
      </w:r>
    </w:p>
    <w:p w14:paraId="167364AF" w14:textId="77777777" w:rsidR="008474B9" w:rsidRPr="008474B9" w:rsidRDefault="008474B9" w:rsidP="008474B9">
      <w:pPr>
        <w:spacing w:line="240" w:lineRule="auto"/>
        <w:rPr>
          <w:rFonts w:eastAsia="Times New Roman" w:cs="Arial"/>
          <w:i/>
          <w:iCs/>
          <w:color w:val="000000"/>
          <w:lang w:eastAsia="bg-BG"/>
        </w:rPr>
      </w:pPr>
    </w:p>
    <w:p w14:paraId="6EA03A49" w14:textId="1FA84BDF"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Клинична безопасност</w:t>
      </w:r>
    </w:p>
    <w:p w14:paraId="13E8F4DD"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 xml:space="preserve">В описаните по-горе краткосрочни педиатрични проучвания с кветиапин процентите на </w:t>
      </w:r>
      <w:r w:rsidRPr="008474B9">
        <w:rPr>
          <w:rFonts w:eastAsia="Times New Roman" w:cs="Arial"/>
          <w:color w:val="000000"/>
          <w:lang w:val="en-US"/>
        </w:rPr>
        <w:t>EPS</w:t>
      </w:r>
      <w:r w:rsidRPr="008474B9">
        <w:rPr>
          <w:rFonts w:eastAsia="Times New Roman" w:cs="Arial"/>
          <w:color w:val="000000"/>
          <w:lang w:val="ru-RU"/>
        </w:rPr>
        <w:t xml:space="preserve"> </w:t>
      </w:r>
      <w:r w:rsidRPr="008474B9">
        <w:rPr>
          <w:rFonts w:eastAsia="Times New Roman" w:cs="Arial"/>
          <w:color w:val="000000"/>
          <w:lang w:eastAsia="bg-BG"/>
        </w:rPr>
        <w:t>в активното рамо спрямо плацебо са били 12,9% спрямо 5,3% в проучването за шизофрения, 3,6% срещу 1,1% в проучването за биполярна мания и 1,1% срещу 0% в проучването за биполярна депресия. Процентите наддаване на тегло ≥ 7% от изходното телесно тегло в активното рамо в сравнение с плацебо са 17% срещу 2,5% при шизофрения и биполярна мания и 13,7% срещу 6,8% в проучването за биполярната депресия. Процентът на свързаните със самоубийството събития в активното рамо спрямо плацебо са били 1,4% срещу 1,3% в проучването за шизофрения, 1,0% срещу 0% в изпитването за биполярна мания и 1,1% срещу 0% за биполярната депресия. По време на удължена фаза на проследяване след лечението в клинично изпитване с биполярната депресия е имало две допълнителни събития, свързани със самоубийство, при двама пациенти; един от които е бил на кветиапин по време на събитието.</w:t>
      </w:r>
    </w:p>
    <w:p w14:paraId="2E18F286" w14:textId="77777777" w:rsidR="008474B9" w:rsidRPr="008474B9" w:rsidRDefault="008474B9" w:rsidP="008474B9">
      <w:pPr>
        <w:spacing w:line="240" w:lineRule="auto"/>
        <w:rPr>
          <w:rFonts w:eastAsia="Times New Roman" w:cs="Arial"/>
          <w:i/>
          <w:iCs/>
          <w:color w:val="000000"/>
          <w:lang w:eastAsia="bg-BG"/>
        </w:rPr>
      </w:pPr>
    </w:p>
    <w:p w14:paraId="6B067CF4" w14:textId="63EA49AA" w:rsidR="008474B9" w:rsidRPr="008474B9" w:rsidRDefault="008474B9" w:rsidP="008474B9">
      <w:pPr>
        <w:spacing w:line="240" w:lineRule="auto"/>
        <w:rPr>
          <w:rFonts w:eastAsia="Times New Roman" w:cs="Arial"/>
        </w:rPr>
      </w:pPr>
      <w:r w:rsidRPr="008474B9">
        <w:rPr>
          <w:rFonts w:eastAsia="Times New Roman" w:cs="Arial"/>
          <w:i/>
          <w:iCs/>
          <w:color w:val="000000"/>
          <w:lang w:eastAsia="bg-BG"/>
        </w:rPr>
        <w:t>Дългосрочна безопасност</w:t>
      </w:r>
    </w:p>
    <w:p w14:paraId="72F47F18" w14:textId="77777777" w:rsidR="008474B9" w:rsidRPr="008474B9" w:rsidRDefault="008474B9" w:rsidP="008474B9">
      <w:pPr>
        <w:spacing w:line="240" w:lineRule="auto"/>
        <w:rPr>
          <w:rFonts w:eastAsia="Times New Roman" w:cs="Arial"/>
        </w:rPr>
      </w:pPr>
      <w:r w:rsidRPr="008474B9">
        <w:rPr>
          <w:rFonts w:eastAsia="Times New Roman" w:cs="Arial"/>
          <w:color w:val="000000"/>
          <w:lang w:eastAsia="bg-BG"/>
        </w:rPr>
        <w:t>Едно 26-седмично отворено удължаване на острите изпитвания (</w:t>
      </w:r>
      <w:r w:rsidRPr="008474B9">
        <w:rPr>
          <w:rFonts w:eastAsia="Times New Roman" w:cs="Arial"/>
          <w:color w:val="000000"/>
          <w:lang w:val="en-US"/>
        </w:rPr>
        <w:t>n</w:t>
      </w:r>
      <w:r w:rsidRPr="008474B9">
        <w:rPr>
          <w:rFonts w:eastAsia="Times New Roman" w:cs="Arial"/>
          <w:color w:val="000000"/>
          <w:lang w:eastAsia="bg-BG"/>
        </w:rPr>
        <w:t xml:space="preserve"> = 380 пациенти), с гъвкаво дозиране на кветиапин от 400-800 </w:t>
      </w:r>
      <w:r w:rsidRPr="008474B9">
        <w:rPr>
          <w:rFonts w:eastAsia="Times New Roman" w:cs="Arial"/>
          <w:color w:val="000000"/>
          <w:lang w:val="en-US"/>
        </w:rPr>
        <w:t>mg</w:t>
      </w:r>
      <w:r w:rsidRPr="008474B9">
        <w:rPr>
          <w:rFonts w:eastAsia="Times New Roman" w:cs="Arial"/>
          <w:color w:val="000000"/>
          <w:lang w:eastAsia="bg-BG"/>
        </w:rPr>
        <w:t>/ден, при допълнителни данни за безопасност. При деца и юноши се съобщава за повишаване на кръвното налягане и повишен апетит, екстрапирамидни симптоми и повишаване на серумния пролактин, с по-висока честота при деца и юноши, отколкото при възрастни (вж. точки 4.4 и 4.8). По отношение на наддаването на тегло, след коригиране на нормалния растеж при по-голяма продължителност, увеличението на Индекса на телесна маса от най-малко 0,5 стандартно отклонение от изходното ниво е използвано като мярка за клинично значима промяна; 18,3% от пациентите, лекувани с кветиапин в продължение на най-малко 26 седмици, отговарят на този критерий.</w:t>
      </w:r>
    </w:p>
    <w:p w14:paraId="0EBF46E2" w14:textId="2F295136" w:rsidR="008474B9" w:rsidRPr="008474B9" w:rsidRDefault="008474B9" w:rsidP="008474B9">
      <w:pPr>
        <w:spacing w:line="240" w:lineRule="auto"/>
        <w:rPr>
          <w:rFonts w:ascii="Times New Roman" w:eastAsia="Times New Roman" w:hAnsi="Times New Roman" w:cs="Times New Roman"/>
          <w:sz w:val="24"/>
          <w:szCs w:val="24"/>
        </w:rPr>
      </w:pPr>
    </w:p>
    <w:p w14:paraId="618B3E1A" w14:textId="61537E68" w:rsidR="008474B9" w:rsidRPr="008474B9" w:rsidRDefault="008474B9" w:rsidP="008474B9">
      <w:pPr>
        <w:spacing w:line="240" w:lineRule="auto"/>
        <w:rPr>
          <w:rFonts w:ascii="Times New Roman" w:eastAsia="Times New Roman" w:hAnsi="Times New Roman" w:cs="Times New Roman"/>
          <w:sz w:val="24"/>
          <w:szCs w:val="24"/>
        </w:rPr>
      </w:pPr>
    </w:p>
    <w:p w14:paraId="00ABE5E5" w14:textId="5143C4B7" w:rsidR="008474B9" w:rsidRPr="008474B9" w:rsidRDefault="008474B9" w:rsidP="008474B9">
      <w:pPr>
        <w:spacing w:line="240" w:lineRule="auto"/>
        <w:rPr>
          <w:rFonts w:ascii="Times New Roman" w:eastAsia="Times New Roman" w:hAnsi="Times New Roman" w:cs="Times New Roman"/>
          <w:sz w:val="24"/>
          <w:szCs w:val="24"/>
        </w:rPr>
      </w:pPr>
    </w:p>
    <w:p w14:paraId="79643DB7" w14:textId="33AD539C" w:rsidR="00DF4C8E" w:rsidRDefault="002C50EE" w:rsidP="00F44498">
      <w:pPr>
        <w:pStyle w:val="Heading2"/>
      </w:pPr>
      <w:r>
        <w:t>5.2. Фармакокинетични свойства</w:t>
      </w:r>
    </w:p>
    <w:p w14:paraId="1B6D5CA5" w14:textId="4D87D8AB" w:rsidR="008474B9" w:rsidRDefault="008474B9" w:rsidP="008474B9"/>
    <w:p w14:paraId="0F3FA417" w14:textId="77777777" w:rsidR="008474B9" w:rsidRPr="00187F38" w:rsidRDefault="008474B9" w:rsidP="00187F38">
      <w:pPr>
        <w:pStyle w:val="Heading3"/>
        <w:rPr>
          <w:rFonts w:eastAsia="Times New Roman"/>
          <w:sz w:val="32"/>
          <w:u w:val="single"/>
        </w:rPr>
      </w:pPr>
      <w:r w:rsidRPr="00187F38">
        <w:rPr>
          <w:rFonts w:eastAsia="Times New Roman"/>
          <w:u w:val="single"/>
          <w:lang w:eastAsia="bg-BG"/>
        </w:rPr>
        <w:t>Абсорбция</w:t>
      </w:r>
    </w:p>
    <w:p w14:paraId="1786BFD4"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Кветиапин се абсорбира добре и се метаболизира в голяма степен след перорално приложение.</w:t>
      </w:r>
    </w:p>
    <w:p w14:paraId="2779E7B5"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Бионаличността на кветиапин не се променя значително от приложението с храна. Равновесните пиковите моларни концентрации на активния метаболит норкветиапин са 35%</w:t>
      </w:r>
      <w:r w:rsidRPr="00187F38">
        <w:rPr>
          <w:rFonts w:eastAsia="Times New Roman" w:cs="Arial"/>
          <w:color w:val="000000"/>
          <w:szCs w:val="18"/>
          <w:lang w:val="ru-RU"/>
        </w:rPr>
        <w:t xml:space="preserve"> </w:t>
      </w:r>
      <w:r w:rsidRPr="00187F38">
        <w:rPr>
          <w:rFonts w:eastAsia="Times New Roman" w:cs="Arial"/>
          <w:color w:val="000000"/>
          <w:szCs w:val="18"/>
          <w:lang w:eastAsia="bg-BG"/>
        </w:rPr>
        <w:t>от установените за кветиапин.</w:t>
      </w:r>
    </w:p>
    <w:p w14:paraId="397A061D" w14:textId="77777777" w:rsidR="008474B9" w:rsidRPr="00187F38" w:rsidRDefault="008474B9" w:rsidP="008474B9">
      <w:pPr>
        <w:rPr>
          <w:rFonts w:eastAsia="Times New Roman" w:cs="Arial"/>
          <w:color w:val="000000"/>
          <w:szCs w:val="18"/>
          <w:lang w:eastAsia="bg-BG"/>
        </w:rPr>
      </w:pPr>
    </w:p>
    <w:p w14:paraId="6F8FF0D5" w14:textId="194953B7" w:rsidR="008474B9" w:rsidRPr="00187F38" w:rsidRDefault="008474B9" w:rsidP="008474B9">
      <w:pPr>
        <w:rPr>
          <w:rFonts w:eastAsia="Times New Roman" w:cs="Arial"/>
          <w:color w:val="000000"/>
          <w:szCs w:val="18"/>
          <w:lang w:eastAsia="bg-BG"/>
        </w:rPr>
      </w:pPr>
      <w:r w:rsidRPr="00187F38">
        <w:rPr>
          <w:rFonts w:eastAsia="Times New Roman" w:cs="Arial"/>
          <w:color w:val="000000"/>
          <w:szCs w:val="18"/>
          <w:lang w:eastAsia="bg-BG"/>
        </w:rPr>
        <w:t>Фармакокинетиките на кветиапин и норкветиапин са линейни в одобрения дозов интервал</w:t>
      </w:r>
    </w:p>
    <w:p w14:paraId="2D1D4A68" w14:textId="57BC30BA" w:rsidR="008474B9" w:rsidRPr="00187F38" w:rsidRDefault="008474B9" w:rsidP="008474B9">
      <w:pPr>
        <w:rPr>
          <w:rFonts w:eastAsia="Times New Roman" w:cs="Arial"/>
          <w:color w:val="000000"/>
          <w:szCs w:val="18"/>
          <w:lang w:eastAsia="bg-BG"/>
        </w:rPr>
      </w:pPr>
    </w:p>
    <w:p w14:paraId="305DB4E7" w14:textId="77777777" w:rsidR="008474B9" w:rsidRPr="00187F38" w:rsidRDefault="008474B9" w:rsidP="00187F38">
      <w:pPr>
        <w:pStyle w:val="Heading3"/>
        <w:rPr>
          <w:rFonts w:eastAsia="Times New Roman"/>
          <w:sz w:val="32"/>
          <w:u w:val="single"/>
        </w:rPr>
      </w:pPr>
      <w:r w:rsidRPr="00187F38">
        <w:rPr>
          <w:rFonts w:eastAsia="Times New Roman"/>
          <w:u w:val="single"/>
          <w:lang w:eastAsia="bg-BG"/>
        </w:rPr>
        <w:t>Разпределение</w:t>
      </w:r>
    </w:p>
    <w:p w14:paraId="15F1C1E9"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Кветиапин се свързва с плазмените протеини в приблизително 83%.</w:t>
      </w:r>
    </w:p>
    <w:p w14:paraId="36A730A5" w14:textId="77777777" w:rsidR="008474B9" w:rsidRPr="00187F38" w:rsidRDefault="008474B9" w:rsidP="008474B9">
      <w:pPr>
        <w:spacing w:line="240" w:lineRule="auto"/>
        <w:rPr>
          <w:rFonts w:eastAsia="Times New Roman" w:cs="Arial"/>
          <w:color w:val="000000"/>
          <w:szCs w:val="18"/>
          <w:u w:val="single"/>
          <w:lang w:eastAsia="bg-BG"/>
        </w:rPr>
      </w:pPr>
    </w:p>
    <w:p w14:paraId="76A8D6C4" w14:textId="02D814EB" w:rsidR="008474B9" w:rsidRPr="00187F38" w:rsidRDefault="008474B9" w:rsidP="00187F38">
      <w:pPr>
        <w:pStyle w:val="Heading3"/>
        <w:rPr>
          <w:rFonts w:eastAsia="Times New Roman"/>
          <w:sz w:val="32"/>
          <w:u w:val="single"/>
        </w:rPr>
      </w:pPr>
      <w:r w:rsidRPr="00187F38">
        <w:rPr>
          <w:rFonts w:eastAsia="Times New Roman"/>
          <w:u w:val="single"/>
          <w:lang w:eastAsia="bg-BG"/>
        </w:rPr>
        <w:t>Биотрансформация</w:t>
      </w:r>
    </w:p>
    <w:p w14:paraId="46441636"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 xml:space="preserve">Кветиапин се метаболизира в голяма степен в черния дроб, като изходното съединение се намира непроменено в урината и фецеса в по-малко от 5% от приложения радиоактивно маркиран кветиапин. Проучванията </w:t>
      </w:r>
      <w:r w:rsidRPr="00187F38">
        <w:rPr>
          <w:rFonts w:eastAsia="Times New Roman" w:cs="Arial"/>
          <w:i/>
          <w:iCs/>
          <w:color w:val="000000"/>
          <w:szCs w:val="18"/>
          <w:lang w:val="en-US"/>
        </w:rPr>
        <w:t>in</w:t>
      </w:r>
      <w:r w:rsidRPr="00187F38">
        <w:rPr>
          <w:rFonts w:eastAsia="Times New Roman" w:cs="Arial"/>
          <w:i/>
          <w:iCs/>
          <w:color w:val="000000"/>
          <w:szCs w:val="18"/>
          <w:lang w:val="ru-RU"/>
        </w:rPr>
        <w:t xml:space="preserve"> </w:t>
      </w:r>
      <w:r w:rsidRPr="00187F38">
        <w:rPr>
          <w:rFonts w:eastAsia="Times New Roman" w:cs="Arial"/>
          <w:i/>
          <w:iCs/>
          <w:color w:val="000000"/>
          <w:szCs w:val="18"/>
          <w:lang w:val="en-US"/>
        </w:rPr>
        <w:t>vitro</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са установили, че </w:t>
      </w:r>
      <w:r w:rsidRPr="00187F38">
        <w:rPr>
          <w:rFonts w:eastAsia="Times New Roman" w:cs="Arial"/>
          <w:color w:val="000000"/>
          <w:szCs w:val="18"/>
          <w:lang w:val="en-US"/>
        </w:rPr>
        <w:t>CYP</w:t>
      </w:r>
      <w:r w:rsidRPr="00187F38">
        <w:rPr>
          <w:rFonts w:eastAsia="Times New Roman" w:cs="Arial"/>
          <w:color w:val="000000"/>
          <w:szCs w:val="18"/>
          <w:lang w:val="ru-RU"/>
        </w:rPr>
        <w:t>3</w:t>
      </w:r>
      <w:r w:rsidRPr="00187F38">
        <w:rPr>
          <w:rFonts w:eastAsia="Times New Roman" w:cs="Arial"/>
          <w:color w:val="000000"/>
          <w:szCs w:val="18"/>
          <w:lang w:val="en-US"/>
        </w:rPr>
        <w:t>A</w:t>
      </w:r>
      <w:r w:rsidRPr="00187F38">
        <w:rPr>
          <w:rFonts w:eastAsia="Times New Roman" w:cs="Arial"/>
          <w:color w:val="000000"/>
          <w:szCs w:val="18"/>
          <w:lang w:val="ru-RU"/>
        </w:rPr>
        <w:t xml:space="preserve">4 </w:t>
      </w:r>
      <w:r w:rsidRPr="00187F38">
        <w:rPr>
          <w:rFonts w:eastAsia="Times New Roman" w:cs="Arial"/>
          <w:color w:val="000000"/>
          <w:szCs w:val="18"/>
          <w:lang w:eastAsia="bg-BG"/>
        </w:rPr>
        <w:t xml:space="preserve">е основният ензим, отговорен за цитохром Р450 медиирания метаболизъм на кветиапин. Норкветиапин се формира и елиминира предимно посредством </w:t>
      </w:r>
      <w:r w:rsidRPr="00187F38">
        <w:rPr>
          <w:rFonts w:eastAsia="Times New Roman" w:cs="Arial"/>
          <w:color w:val="000000"/>
          <w:szCs w:val="18"/>
          <w:lang w:val="en-US"/>
        </w:rPr>
        <w:t>CYP</w:t>
      </w:r>
      <w:r w:rsidRPr="00187F38">
        <w:rPr>
          <w:rFonts w:eastAsia="Times New Roman" w:cs="Arial"/>
          <w:color w:val="000000"/>
          <w:szCs w:val="18"/>
          <w:lang w:val="ru-RU"/>
        </w:rPr>
        <w:t>3</w:t>
      </w:r>
      <w:r w:rsidRPr="00187F38">
        <w:rPr>
          <w:rFonts w:eastAsia="Times New Roman" w:cs="Arial"/>
          <w:color w:val="000000"/>
          <w:szCs w:val="18"/>
          <w:lang w:val="en-US"/>
        </w:rPr>
        <w:t>A</w:t>
      </w:r>
      <w:r w:rsidRPr="00187F38">
        <w:rPr>
          <w:rFonts w:eastAsia="Times New Roman" w:cs="Arial"/>
          <w:color w:val="000000"/>
          <w:szCs w:val="18"/>
          <w:lang w:val="ru-RU"/>
        </w:rPr>
        <w:t>4.</w:t>
      </w:r>
    </w:p>
    <w:p w14:paraId="17C83581" w14:textId="77777777" w:rsidR="008474B9" w:rsidRPr="00187F38" w:rsidRDefault="008474B9" w:rsidP="008474B9">
      <w:pPr>
        <w:spacing w:line="240" w:lineRule="auto"/>
        <w:rPr>
          <w:rFonts w:eastAsia="Times New Roman" w:cs="Arial"/>
          <w:color w:val="000000"/>
          <w:szCs w:val="18"/>
          <w:lang w:eastAsia="bg-BG"/>
        </w:rPr>
      </w:pPr>
    </w:p>
    <w:p w14:paraId="3D14FCF2" w14:textId="6B2223E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Приблизително 73% от радиоактивността се екскретира с урината и 21% с фекалиите.</w:t>
      </w:r>
    </w:p>
    <w:p w14:paraId="7FD00A25" w14:textId="77777777" w:rsidR="008474B9" w:rsidRPr="00187F38" w:rsidRDefault="008474B9" w:rsidP="008474B9">
      <w:pPr>
        <w:spacing w:line="240" w:lineRule="auto"/>
        <w:rPr>
          <w:rFonts w:eastAsia="Times New Roman" w:cs="Arial"/>
          <w:color w:val="000000"/>
          <w:szCs w:val="18"/>
          <w:lang w:eastAsia="bg-BG"/>
        </w:rPr>
      </w:pPr>
    </w:p>
    <w:p w14:paraId="693895E5" w14:textId="1F7FAB01"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 xml:space="preserve">Доказано е, че кветиапин и няколко негови метаболити (включително норкветиапи) са слаби инхибитори на активността </w:t>
      </w:r>
      <w:r w:rsidRPr="00187F38">
        <w:rPr>
          <w:rFonts w:eastAsia="Times New Roman" w:cs="Arial"/>
          <w:i/>
          <w:iCs/>
          <w:color w:val="000000"/>
          <w:szCs w:val="18"/>
          <w:lang w:val="en-US"/>
        </w:rPr>
        <w:t>in</w:t>
      </w:r>
      <w:r w:rsidRPr="00187F38">
        <w:rPr>
          <w:rFonts w:eastAsia="Times New Roman" w:cs="Arial"/>
          <w:i/>
          <w:iCs/>
          <w:color w:val="000000"/>
          <w:szCs w:val="18"/>
          <w:lang w:val="ru-RU"/>
        </w:rPr>
        <w:t xml:space="preserve"> </w:t>
      </w:r>
      <w:r w:rsidRPr="00187F38">
        <w:rPr>
          <w:rFonts w:eastAsia="Times New Roman" w:cs="Arial"/>
          <w:i/>
          <w:iCs/>
          <w:color w:val="000000"/>
          <w:szCs w:val="18"/>
          <w:lang w:val="en-US"/>
        </w:rPr>
        <w:t>vitro</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на човешките цитохромни ензими Р450 1А2, 2С9, 2С19, </w:t>
      </w:r>
      <w:r w:rsidRPr="00187F38">
        <w:rPr>
          <w:rFonts w:eastAsia="Times New Roman" w:cs="Arial"/>
          <w:color w:val="000000"/>
          <w:szCs w:val="18"/>
          <w:lang w:val="ru-RU"/>
        </w:rPr>
        <w:t>2</w:t>
      </w:r>
      <w:r w:rsidRPr="00187F38">
        <w:rPr>
          <w:rFonts w:eastAsia="Times New Roman" w:cs="Arial"/>
          <w:color w:val="000000"/>
          <w:szCs w:val="18"/>
          <w:lang w:val="en-US"/>
        </w:rPr>
        <w:t>D</w:t>
      </w:r>
      <w:r w:rsidRPr="00187F38">
        <w:rPr>
          <w:rFonts w:eastAsia="Times New Roman" w:cs="Arial"/>
          <w:color w:val="000000"/>
          <w:szCs w:val="18"/>
          <w:lang w:val="ru-RU"/>
        </w:rPr>
        <w:t xml:space="preserve">6 </w:t>
      </w:r>
      <w:r w:rsidRPr="00187F38">
        <w:rPr>
          <w:rFonts w:eastAsia="Times New Roman" w:cs="Arial"/>
          <w:color w:val="000000"/>
          <w:szCs w:val="18"/>
          <w:lang w:eastAsia="bg-BG"/>
        </w:rPr>
        <w:t xml:space="preserve">и ЗА4. </w:t>
      </w:r>
      <w:r w:rsidRPr="00187F38">
        <w:rPr>
          <w:rFonts w:eastAsia="Times New Roman" w:cs="Arial"/>
          <w:i/>
          <w:iCs/>
          <w:color w:val="000000"/>
          <w:szCs w:val="18"/>
          <w:lang w:val="en-US"/>
        </w:rPr>
        <w:t>In</w:t>
      </w:r>
      <w:r w:rsidRPr="00187F38">
        <w:rPr>
          <w:rFonts w:eastAsia="Times New Roman" w:cs="Arial"/>
          <w:i/>
          <w:iCs/>
          <w:color w:val="000000"/>
          <w:szCs w:val="18"/>
          <w:lang w:val="ru-RU"/>
        </w:rPr>
        <w:t xml:space="preserve"> </w:t>
      </w:r>
      <w:r w:rsidRPr="00187F38">
        <w:rPr>
          <w:rFonts w:eastAsia="Times New Roman" w:cs="Arial"/>
          <w:i/>
          <w:iCs/>
          <w:color w:val="000000"/>
          <w:szCs w:val="18"/>
          <w:lang w:val="en-US"/>
        </w:rPr>
        <w:t>vitro</w:t>
      </w:r>
      <w:r w:rsidRPr="00187F38">
        <w:rPr>
          <w:rFonts w:eastAsia="Times New Roman" w:cs="Arial"/>
          <w:color w:val="000000"/>
          <w:szCs w:val="18"/>
          <w:lang w:val="ru-RU"/>
        </w:rPr>
        <w:t xml:space="preserve"> </w:t>
      </w:r>
      <w:r w:rsidRPr="00187F38">
        <w:rPr>
          <w:rFonts w:eastAsia="Times New Roman" w:cs="Arial"/>
          <w:color w:val="000000"/>
          <w:szCs w:val="18"/>
          <w:lang w:val="en-US"/>
        </w:rPr>
        <w:t>CYP</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инхибицията се наблюдава само в концентрации приблизително 5 до 50 пъти по- високи от тези, наблюдавани при препоръчваната дневна доза за човека от 300 до 800 </w:t>
      </w:r>
      <w:r w:rsidRPr="00187F38">
        <w:rPr>
          <w:rFonts w:eastAsia="Times New Roman" w:cs="Arial"/>
          <w:color w:val="000000"/>
          <w:szCs w:val="18"/>
          <w:lang w:val="en-US"/>
        </w:rPr>
        <w:t>mg</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Въз основа на тези резултати </w:t>
      </w:r>
      <w:r w:rsidRPr="00187F38">
        <w:rPr>
          <w:rFonts w:eastAsia="Times New Roman" w:cs="Arial"/>
          <w:i/>
          <w:iCs/>
          <w:color w:val="000000"/>
          <w:szCs w:val="18"/>
          <w:lang w:val="en-US"/>
        </w:rPr>
        <w:t>in</w:t>
      </w:r>
      <w:r w:rsidRPr="00187F38">
        <w:rPr>
          <w:rFonts w:eastAsia="Times New Roman" w:cs="Arial"/>
          <w:i/>
          <w:iCs/>
          <w:color w:val="000000"/>
          <w:szCs w:val="18"/>
          <w:lang w:val="ru-RU"/>
        </w:rPr>
        <w:t xml:space="preserve"> </w:t>
      </w:r>
      <w:r w:rsidRPr="00187F38">
        <w:rPr>
          <w:rFonts w:eastAsia="Times New Roman" w:cs="Arial"/>
          <w:i/>
          <w:iCs/>
          <w:color w:val="000000"/>
          <w:szCs w:val="18"/>
          <w:lang w:val="en-US"/>
        </w:rPr>
        <w:t>vitro</w:t>
      </w:r>
      <w:r w:rsidRPr="00187F38">
        <w:rPr>
          <w:rFonts w:eastAsia="Times New Roman" w:cs="Arial"/>
          <w:i/>
          <w:iCs/>
          <w:color w:val="000000"/>
          <w:szCs w:val="18"/>
          <w:lang w:val="ru-RU"/>
        </w:rPr>
        <w:t>,</w:t>
      </w:r>
      <w:r w:rsidRPr="00187F38">
        <w:rPr>
          <w:rFonts w:eastAsia="Times New Roman" w:cs="Arial"/>
          <w:color w:val="000000"/>
          <w:szCs w:val="18"/>
          <w:lang w:val="ru-RU"/>
        </w:rPr>
        <w:t xml:space="preserve"> </w:t>
      </w:r>
      <w:r w:rsidRPr="00187F38">
        <w:rPr>
          <w:rFonts w:eastAsia="Times New Roman" w:cs="Arial"/>
          <w:color w:val="000000"/>
          <w:szCs w:val="18"/>
          <w:lang w:eastAsia="bg-BG"/>
        </w:rPr>
        <w:t>малко вероятно е едновременното приложение на кветиапин с други лекарства да доведе до клинично значимо лекарствено инхибиране на медиирания от цитохром Р450 метаболизъм на другото лекарство. От проучвания върху животни става ясно, че кветиапинът може да индуцира цитохром Р450 ензими. Въпреки това проучване за специфични лекарствени взаимодействия при психотични пациенти, не се открива нарастване на цитохром Р450 активността след прием на кветиапин.</w:t>
      </w:r>
    </w:p>
    <w:p w14:paraId="342F8EA2" w14:textId="77777777" w:rsidR="008474B9" w:rsidRPr="00187F38" w:rsidRDefault="008474B9" w:rsidP="008474B9">
      <w:pPr>
        <w:spacing w:line="240" w:lineRule="auto"/>
        <w:rPr>
          <w:rFonts w:eastAsia="Times New Roman" w:cs="Arial"/>
          <w:color w:val="000000"/>
          <w:szCs w:val="18"/>
          <w:u w:val="single"/>
          <w:lang w:eastAsia="bg-BG"/>
        </w:rPr>
      </w:pPr>
    </w:p>
    <w:p w14:paraId="3ADB650F" w14:textId="47020967" w:rsidR="008474B9" w:rsidRPr="00187F38" w:rsidRDefault="008474B9" w:rsidP="00187F38">
      <w:pPr>
        <w:pStyle w:val="Heading3"/>
        <w:rPr>
          <w:rFonts w:eastAsia="Times New Roman"/>
          <w:sz w:val="32"/>
          <w:u w:val="single"/>
        </w:rPr>
      </w:pPr>
      <w:r w:rsidRPr="00187F38">
        <w:rPr>
          <w:rFonts w:eastAsia="Times New Roman"/>
          <w:u w:val="single"/>
          <w:lang w:eastAsia="bg-BG"/>
        </w:rPr>
        <w:t>Елиминиране</w:t>
      </w:r>
    </w:p>
    <w:p w14:paraId="0DC0B563"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Елиминационния полуживот на кветиапин и норкветиапин са приблизително 7 и 12 часа съответно. Средната моларна дозова фракция на свободния кветиапин и активният метаболит на човешката плазма - норкветиапин се екскретира с урината &lt;5%.</w:t>
      </w:r>
    </w:p>
    <w:p w14:paraId="61322E35" w14:textId="77777777" w:rsidR="00187F38" w:rsidRPr="00187F38" w:rsidRDefault="00187F38" w:rsidP="008474B9">
      <w:pPr>
        <w:spacing w:line="240" w:lineRule="auto"/>
        <w:rPr>
          <w:rFonts w:eastAsia="Times New Roman" w:cs="Arial"/>
          <w:i/>
          <w:iCs/>
          <w:color w:val="000000"/>
          <w:szCs w:val="18"/>
          <w:lang w:eastAsia="bg-BG"/>
        </w:rPr>
      </w:pPr>
    </w:p>
    <w:p w14:paraId="34FB4EA3" w14:textId="63F24AF3" w:rsidR="008474B9" w:rsidRPr="00187F38" w:rsidRDefault="008474B9" w:rsidP="008474B9">
      <w:pPr>
        <w:spacing w:line="240" w:lineRule="auto"/>
        <w:rPr>
          <w:rFonts w:eastAsia="Times New Roman" w:cs="Arial"/>
          <w:sz w:val="32"/>
          <w:szCs w:val="24"/>
        </w:rPr>
      </w:pPr>
      <w:r w:rsidRPr="00187F38">
        <w:rPr>
          <w:rFonts w:eastAsia="Times New Roman" w:cs="Arial"/>
          <w:i/>
          <w:iCs/>
          <w:color w:val="000000"/>
          <w:szCs w:val="18"/>
          <w:lang w:eastAsia="bg-BG"/>
        </w:rPr>
        <w:t>Специфични популации</w:t>
      </w:r>
    </w:p>
    <w:p w14:paraId="3E08973A" w14:textId="77777777" w:rsidR="008474B9" w:rsidRPr="00187F38" w:rsidRDefault="008474B9" w:rsidP="008474B9">
      <w:pPr>
        <w:spacing w:line="240" w:lineRule="auto"/>
        <w:rPr>
          <w:rFonts w:eastAsia="Times New Roman" w:cs="Arial"/>
          <w:color w:val="000000"/>
          <w:szCs w:val="18"/>
          <w:u w:val="single"/>
          <w:lang w:eastAsia="bg-BG"/>
        </w:rPr>
      </w:pPr>
    </w:p>
    <w:p w14:paraId="28049B7B" w14:textId="76B94E95"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u w:val="single"/>
          <w:lang w:eastAsia="bg-BG"/>
        </w:rPr>
        <w:t>Пол</w:t>
      </w:r>
    </w:p>
    <w:p w14:paraId="53CD9679"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Кинетиката на кветиапин не се различава при мъже и жени.</w:t>
      </w:r>
    </w:p>
    <w:p w14:paraId="56AA907E" w14:textId="77777777" w:rsidR="008474B9" w:rsidRPr="00187F38" w:rsidRDefault="008474B9" w:rsidP="008474B9">
      <w:pPr>
        <w:spacing w:line="240" w:lineRule="auto"/>
        <w:rPr>
          <w:rFonts w:eastAsia="Times New Roman" w:cs="Arial"/>
          <w:color w:val="000000"/>
          <w:szCs w:val="18"/>
          <w:u w:val="single"/>
          <w:lang w:eastAsia="bg-BG"/>
        </w:rPr>
      </w:pPr>
    </w:p>
    <w:p w14:paraId="1112832A" w14:textId="6A9E518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u w:val="single"/>
          <w:lang w:eastAsia="bg-BG"/>
        </w:rPr>
        <w:t>Пациенти в старческа възраст</w:t>
      </w:r>
    </w:p>
    <w:p w14:paraId="0E3EA89E"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lastRenderedPageBreak/>
        <w:t>Средният клирънс на кветиапин при лица в старческа възраст е приблизително с 30% до 50% по- нисък от този при пациенти на възраст от 18 до 65 години.</w:t>
      </w:r>
    </w:p>
    <w:p w14:paraId="14D90A00" w14:textId="77777777" w:rsidR="008474B9" w:rsidRPr="00187F38" w:rsidRDefault="008474B9" w:rsidP="008474B9">
      <w:pPr>
        <w:spacing w:line="240" w:lineRule="auto"/>
        <w:rPr>
          <w:rFonts w:eastAsia="Times New Roman" w:cs="Arial"/>
          <w:color w:val="000000"/>
          <w:szCs w:val="18"/>
          <w:u w:val="single"/>
          <w:lang w:eastAsia="bg-BG"/>
        </w:rPr>
      </w:pPr>
    </w:p>
    <w:p w14:paraId="14D77E62" w14:textId="6876138D"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u w:val="single"/>
          <w:lang w:eastAsia="bg-BG"/>
        </w:rPr>
        <w:t>Бъбречно увреждане</w:t>
      </w:r>
    </w:p>
    <w:p w14:paraId="2A1825EF"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 xml:space="preserve">Средният плазмен клирънс на кветиапин се намалява приблизително с 25% при лица с тежко бъбречно увреждане (креатининов клирънс под 30 </w:t>
      </w:r>
      <w:r w:rsidRPr="00187F38">
        <w:rPr>
          <w:rFonts w:eastAsia="Times New Roman" w:cs="Arial"/>
          <w:color w:val="000000"/>
          <w:szCs w:val="18"/>
          <w:lang w:val="en-US"/>
        </w:rPr>
        <w:t>ml</w:t>
      </w:r>
      <w:r w:rsidRPr="00187F38">
        <w:rPr>
          <w:rFonts w:eastAsia="Times New Roman" w:cs="Arial"/>
          <w:color w:val="000000"/>
          <w:szCs w:val="18"/>
          <w:lang w:val="ru-RU"/>
        </w:rPr>
        <w:t>/</w:t>
      </w:r>
      <w:r w:rsidRPr="00187F38">
        <w:rPr>
          <w:rFonts w:eastAsia="Times New Roman" w:cs="Arial"/>
          <w:color w:val="000000"/>
          <w:szCs w:val="18"/>
          <w:lang w:val="en-US"/>
        </w:rPr>
        <w:t>min</w:t>
      </w:r>
      <w:r w:rsidRPr="00187F38">
        <w:rPr>
          <w:rFonts w:eastAsia="Times New Roman" w:cs="Arial"/>
          <w:color w:val="000000"/>
          <w:szCs w:val="18"/>
          <w:lang w:val="ru-RU"/>
        </w:rPr>
        <w:t xml:space="preserve">/1.73 </w:t>
      </w:r>
      <w:r w:rsidRPr="00187F38">
        <w:rPr>
          <w:rFonts w:eastAsia="Times New Roman" w:cs="Arial"/>
          <w:color w:val="000000"/>
          <w:szCs w:val="18"/>
          <w:lang w:val="en-US"/>
        </w:rPr>
        <w:t>m</w:t>
      </w:r>
      <w:r w:rsidRPr="00187F38">
        <w:rPr>
          <w:rFonts w:eastAsia="Times New Roman" w:cs="Arial"/>
          <w:color w:val="000000"/>
          <w:szCs w:val="18"/>
          <w:vertAlign w:val="superscript"/>
          <w:lang w:val="ru-RU"/>
        </w:rPr>
        <w:t>2</w:t>
      </w:r>
      <w:r w:rsidRPr="00187F38">
        <w:rPr>
          <w:rFonts w:eastAsia="Times New Roman" w:cs="Arial"/>
          <w:color w:val="000000"/>
          <w:szCs w:val="18"/>
          <w:lang w:val="ru-RU"/>
        </w:rPr>
        <w:t xml:space="preserve">), </w:t>
      </w:r>
      <w:r w:rsidRPr="00187F38">
        <w:rPr>
          <w:rFonts w:eastAsia="Times New Roman" w:cs="Arial"/>
          <w:color w:val="000000"/>
          <w:szCs w:val="18"/>
          <w:lang w:eastAsia="bg-BG"/>
        </w:rPr>
        <w:t>но индивидуалните стойности на клирънса са в рамките на нормалното.</w:t>
      </w:r>
    </w:p>
    <w:p w14:paraId="658E5328" w14:textId="77777777" w:rsidR="008474B9" w:rsidRPr="00187F38" w:rsidRDefault="008474B9" w:rsidP="008474B9">
      <w:pPr>
        <w:spacing w:line="240" w:lineRule="auto"/>
        <w:rPr>
          <w:rFonts w:eastAsia="Times New Roman" w:cs="Arial"/>
          <w:color w:val="000000"/>
          <w:szCs w:val="18"/>
          <w:u w:val="single"/>
          <w:lang w:eastAsia="bg-BG"/>
        </w:rPr>
      </w:pPr>
    </w:p>
    <w:p w14:paraId="7B73FB5E" w14:textId="65616C8D"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u w:val="single"/>
          <w:lang w:eastAsia="bg-BG"/>
        </w:rPr>
        <w:t>Чернодробно увреждане</w:t>
      </w:r>
    </w:p>
    <w:p w14:paraId="2B7F322C" w14:textId="77777777" w:rsidR="008474B9" w:rsidRPr="00187F38" w:rsidRDefault="008474B9" w:rsidP="008474B9">
      <w:pPr>
        <w:spacing w:line="240" w:lineRule="auto"/>
        <w:rPr>
          <w:rFonts w:eastAsia="Times New Roman" w:cs="Arial"/>
          <w:sz w:val="32"/>
          <w:szCs w:val="24"/>
        </w:rPr>
      </w:pPr>
      <w:r w:rsidRPr="00187F38">
        <w:rPr>
          <w:rFonts w:eastAsia="Times New Roman" w:cs="Arial"/>
          <w:color w:val="000000"/>
          <w:szCs w:val="18"/>
          <w:lang w:eastAsia="bg-BG"/>
        </w:rPr>
        <w:t>Средният плазмен клирънс на кветиапин намалява с приблизително 25% при лица с установено чернодробно увреждане (стабилна алкохолна цироза). Тъй като кветиапин се метаболизира екстензивно от черния дроб, се очакват увеличени плазмени нива при популация с увреден черен дроб. При тези пациенти може да се наложи коригиране на дозата (Вижте раздел 4.2).</w:t>
      </w:r>
    </w:p>
    <w:p w14:paraId="386F4C9F" w14:textId="77777777" w:rsidR="00187F38" w:rsidRPr="00187F38" w:rsidRDefault="00187F38" w:rsidP="008474B9">
      <w:pPr>
        <w:spacing w:line="240" w:lineRule="auto"/>
        <w:rPr>
          <w:rFonts w:eastAsia="Times New Roman" w:cs="Arial"/>
          <w:b/>
          <w:bCs/>
          <w:color w:val="000000"/>
          <w:szCs w:val="18"/>
          <w:lang w:eastAsia="bg-BG"/>
        </w:rPr>
      </w:pPr>
    </w:p>
    <w:p w14:paraId="49B4808D" w14:textId="5D23909A" w:rsidR="008474B9" w:rsidRPr="00187F38" w:rsidRDefault="008474B9" w:rsidP="008474B9">
      <w:pPr>
        <w:spacing w:line="240" w:lineRule="auto"/>
        <w:rPr>
          <w:rFonts w:eastAsia="Times New Roman" w:cs="Arial"/>
          <w:sz w:val="32"/>
          <w:szCs w:val="24"/>
        </w:rPr>
      </w:pPr>
      <w:r w:rsidRPr="00187F38">
        <w:rPr>
          <w:rFonts w:eastAsia="Times New Roman" w:cs="Arial"/>
          <w:b/>
          <w:bCs/>
          <w:color w:val="000000"/>
          <w:szCs w:val="18"/>
          <w:lang w:eastAsia="bg-BG"/>
        </w:rPr>
        <w:t>Педиатрична популация</w:t>
      </w:r>
    </w:p>
    <w:p w14:paraId="0B51D0B5" w14:textId="77777777" w:rsidR="00187F38" w:rsidRPr="00187F38" w:rsidRDefault="008474B9" w:rsidP="00187F38">
      <w:pPr>
        <w:rPr>
          <w:rFonts w:eastAsia="Times New Roman" w:cs="Arial"/>
          <w:sz w:val="32"/>
          <w:szCs w:val="24"/>
        </w:rPr>
      </w:pPr>
      <w:r w:rsidRPr="00187F38">
        <w:rPr>
          <w:rFonts w:eastAsia="Times New Roman" w:cs="Arial"/>
          <w:color w:val="000000"/>
          <w:szCs w:val="18"/>
          <w:lang w:eastAsia="bg-BG"/>
        </w:rPr>
        <w:t xml:space="preserve">Проби за фармакокинетични изследвания са взети от 9 деца на възраст 10-12 години и 12 юноши, които са били на лечение с 400 </w:t>
      </w:r>
      <w:r w:rsidRPr="00187F38">
        <w:rPr>
          <w:rFonts w:eastAsia="Times New Roman" w:cs="Arial"/>
          <w:color w:val="000000"/>
          <w:szCs w:val="18"/>
          <w:lang w:val="en-US"/>
        </w:rPr>
        <w:t>mg</w:t>
      </w:r>
      <w:r w:rsidRPr="00187F38">
        <w:rPr>
          <w:rFonts w:eastAsia="Times New Roman" w:cs="Arial"/>
          <w:color w:val="000000"/>
          <w:szCs w:val="18"/>
          <w:lang w:val="ru-RU"/>
        </w:rPr>
        <w:t xml:space="preserve"> </w:t>
      </w:r>
      <w:r w:rsidRPr="00187F38">
        <w:rPr>
          <w:rFonts w:eastAsia="Times New Roman" w:cs="Arial"/>
          <w:color w:val="000000"/>
          <w:szCs w:val="18"/>
          <w:lang w:eastAsia="bg-BG"/>
        </w:rPr>
        <w:t xml:space="preserve">кветиапин два пъти дневно. В стационарно състояние дозата, поддържаща плазмените нива на активното вещество, кветиапин, са най-общо сходни при деца и юноши (на възраст от 10 до 17 години) и възрастни, макар че при деца </w:t>
      </w:r>
      <w:r w:rsidRPr="00187F38">
        <w:rPr>
          <w:rFonts w:eastAsia="Times New Roman" w:cs="Arial"/>
          <w:color w:val="000000"/>
          <w:szCs w:val="18"/>
          <w:lang w:val="en-US"/>
        </w:rPr>
        <w:t>C</w:t>
      </w:r>
      <w:r w:rsidRPr="00187F38">
        <w:rPr>
          <w:rFonts w:eastAsia="Times New Roman" w:cs="Arial"/>
          <w:color w:val="000000"/>
          <w:szCs w:val="18"/>
          <w:vertAlign w:val="subscript"/>
          <w:lang w:val="en-US"/>
        </w:rPr>
        <w:t>max</w:t>
      </w:r>
      <w:r w:rsidRPr="00187F38">
        <w:rPr>
          <w:rFonts w:eastAsia="Times New Roman" w:cs="Arial"/>
          <w:color w:val="000000"/>
          <w:szCs w:val="18"/>
          <w:lang w:val="ru-RU"/>
        </w:rPr>
        <w:t xml:space="preserve"> </w:t>
      </w:r>
      <w:r w:rsidRPr="00187F38">
        <w:rPr>
          <w:rFonts w:eastAsia="Times New Roman" w:cs="Arial"/>
          <w:color w:val="000000"/>
          <w:szCs w:val="18"/>
          <w:lang w:eastAsia="bg-BG"/>
        </w:rPr>
        <w:t>е в горната граница на</w:t>
      </w:r>
      <w:r w:rsidR="00187F38" w:rsidRPr="00187F38">
        <w:rPr>
          <w:rFonts w:eastAsia="Times New Roman" w:cs="Arial"/>
          <w:sz w:val="32"/>
          <w:szCs w:val="24"/>
        </w:rPr>
        <w:t xml:space="preserve"> </w:t>
      </w:r>
      <w:r w:rsidRPr="00187F38">
        <w:rPr>
          <w:rFonts w:eastAsia="Times New Roman" w:cs="Arial"/>
          <w:color w:val="000000"/>
          <w:szCs w:val="18"/>
          <w:lang w:eastAsia="bg-BG"/>
        </w:rPr>
        <w:t xml:space="preserve">наблюдавания при възрастни обхват. </w:t>
      </w:r>
      <w:r w:rsidRPr="00187F38">
        <w:rPr>
          <w:rFonts w:eastAsia="Times New Roman" w:cs="Arial"/>
          <w:color w:val="000000"/>
          <w:szCs w:val="18"/>
          <w:lang w:val="en-US"/>
        </w:rPr>
        <w:t>AUC</w:t>
      </w:r>
      <w:r w:rsidRPr="00187F38">
        <w:rPr>
          <w:rFonts w:eastAsia="Times New Roman" w:cs="Arial"/>
          <w:color w:val="000000"/>
          <w:szCs w:val="18"/>
          <w:lang w:val="ru-RU"/>
        </w:rPr>
        <w:t xml:space="preserve"> </w:t>
      </w:r>
      <w:r w:rsidRPr="00187F38">
        <w:rPr>
          <w:rFonts w:eastAsia="Times New Roman" w:cs="Arial"/>
          <w:color w:val="000000"/>
          <w:szCs w:val="18"/>
          <w:lang w:eastAsia="bg-BG"/>
        </w:rPr>
        <w:t>и С</w:t>
      </w:r>
      <w:r w:rsidRPr="00187F38">
        <w:rPr>
          <w:rFonts w:eastAsia="Times New Roman" w:cs="Arial"/>
          <w:color w:val="000000"/>
          <w:szCs w:val="18"/>
          <w:vertAlign w:val="subscript"/>
          <w:lang w:val="en-US"/>
        </w:rPr>
        <w:t>max</w:t>
      </w:r>
      <w:r w:rsidRPr="00187F38">
        <w:rPr>
          <w:rFonts w:eastAsia="Times New Roman" w:cs="Arial"/>
          <w:color w:val="000000"/>
          <w:szCs w:val="18"/>
          <w:vertAlign w:val="subscript"/>
          <w:lang w:eastAsia="bg-BG"/>
        </w:rPr>
        <w:t xml:space="preserve"> </w:t>
      </w:r>
      <w:r w:rsidRPr="00187F38">
        <w:rPr>
          <w:rFonts w:eastAsia="Times New Roman" w:cs="Arial"/>
          <w:color w:val="000000"/>
          <w:szCs w:val="18"/>
          <w:lang w:eastAsia="bg-BG"/>
        </w:rPr>
        <w:t>на активния метаболит, норкветиапин, са по- високи, отколкото при възрастни - приблизително със съответно 62% и 49% при деца (на възраст</w:t>
      </w:r>
      <w:r w:rsidRPr="00187F38">
        <w:rPr>
          <w:rFonts w:eastAsia="Times New Roman" w:cs="Arial"/>
          <w:color w:val="000000"/>
          <w:szCs w:val="18"/>
          <w:lang w:val="ru-RU"/>
        </w:rPr>
        <w:t xml:space="preserve"> </w:t>
      </w:r>
      <w:r w:rsidRPr="00187F38">
        <w:rPr>
          <w:rFonts w:eastAsia="Times New Roman" w:cs="Arial"/>
          <w:color w:val="000000"/>
          <w:szCs w:val="18"/>
          <w:lang w:eastAsia="bg-BG"/>
        </w:rPr>
        <w:t>от</w:t>
      </w:r>
      <w:r w:rsidR="00187F38" w:rsidRPr="00187F38">
        <w:rPr>
          <w:rFonts w:eastAsia="Times New Roman" w:cs="Arial"/>
          <w:color w:val="000000"/>
          <w:szCs w:val="18"/>
          <w:lang w:eastAsia="bg-BG"/>
        </w:rPr>
        <w:t xml:space="preserve"> 10 до 12 години) и приблизително със съответно 28% и 14% при юноши (на възраст от 13 до 17 години).</w:t>
      </w:r>
    </w:p>
    <w:p w14:paraId="69A62B35" w14:textId="46C43454" w:rsidR="008474B9" w:rsidRPr="00187F38" w:rsidRDefault="008474B9" w:rsidP="00187F38">
      <w:pPr>
        <w:spacing w:line="240" w:lineRule="auto"/>
        <w:rPr>
          <w:rFonts w:ascii="Times New Roman" w:eastAsia="Times New Roman" w:hAnsi="Times New Roman" w:cs="Times New Roman"/>
          <w:sz w:val="24"/>
          <w:szCs w:val="24"/>
        </w:rPr>
      </w:pPr>
    </w:p>
    <w:p w14:paraId="028E658A" w14:textId="7E269CFC" w:rsidR="00395555" w:rsidRDefault="002C50EE" w:rsidP="008A6AF2">
      <w:pPr>
        <w:pStyle w:val="Heading2"/>
      </w:pPr>
      <w:r>
        <w:t>5.3. Предклинични данни за безопасност</w:t>
      </w:r>
    </w:p>
    <w:p w14:paraId="2A6168A2" w14:textId="75F7D6B4" w:rsidR="00187F38" w:rsidRDefault="00187F38" w:rsidP="00187F38"/>
    <w:p w14:paraId="0E551345" w14:textId="77777777" w:rsidR="00187F38" w:rsidRPr="00187F38" w:rsidRDefault="00187F38" w:rsidP="00187F38">
      <w:pPr>
        <w:rPr>
          <w:sz w:val="24"/>
          <w:szCs w:val="24"/>
        </w:rPr>
      </w:pPr>
      <w:r w:rsidRPr="00187F38">
        <w:rPr>
          <w:lang w:eastAsia="bg-BG"/>
        </w:rPr>
        <w:t xml:space="preserve">Няма данни за генотоксичност в серии от </w:t>
      </w:r>
      <w:r w:rsidRPr="00187F38">
        <w:rPr>
          <w:i/>
          <w:iCs/>
          <w:lang w:val="en-US"/>
        </w:rPr>
        <w:t>in</w:t>
      </w:r>
      <w:r w:rsidRPr="00187F38">
        <w:rPr>
          <w:i/>
          <w:iCs/>
          <w:lang w:val="ru-RU"/>
        </w:rPr>
        <w:t xml:space="preserve"> </w:t>
      </w:r>
      <w:r w:rsidRPr="00187F38">
        <w:rPr>
          <w:i/>
          <w:iCs/>
          <w:lang w:val="en-US"/>
        </w:rPr>
        <w:t>vitro</w:t>
      </w:r>
      <w:r w:rsidRPr="00187F38">
        <w:rPr>
          <w:lang w:val="ru-RU"/>
        </w:rPr>
        <w:t xml:space="preserve"> </w:t>
      </w:r>
      <w:r w:rsidRPr="00187F38">
        <w:rPr>
          <w:lang w:eastAsia="bg-BG"/>
        </w:rPr>
        <w:t xml:space="preserve">и </w:t>
      </w:r>
      <w:r w:rsidRPr="00187F38">
        <w:rPr>
          <w:i/>
          <w:iCs/>
          <w:lang w:val="en-US"/>
        </w:rPr>
        <w:t>in</w:t>
      </w:r>
      <w:r w:rsidRPr="00187F38">
        <w:rPr>
          <w:i/>
          <w:iCs/>
          <w:lang w:val="ru-RU"/>
        </w:rPr>
        <w:t xml:space="preserve"> </w:t>
      </w:r>
      <w:r w:rsidRPr="00187F38">
        <w:rPr>
          <w:i/>
          <w:iCs/>
          <w:lang w:val="en-US"/>
        </w:rPr>
        <w:t>vivo</w:t>
      </w:r>
      <w:r w:rsidRPr="00187F38">
        <w:rPr>
          <w:lang w:val="ru-RU"/>
        </w:rPr>
        <w:t xml:space="preserve"> </w:t>
      </w:r>
      <w:r w:rsidRPr="00187F38">
        <w:rPr>
          <w:lang w:eastAsia="bg-BG"/>
        </w:rPr>
        <w:t xml:space="preserve">генотоксични проучвания. При лабораторни животни, изложени на клинично значими нива на експозиция, са наблюдавани следните промени, които все още не са потвърдени в дългосрочно клинично проучване: при плъхове бе наблюдавано отлагане на пигмент в щитовидната жлеза; при маймуни от вида </w:t>
      </w:r>
      <w:r w:rsidRPr="00187F38">
        <w:rPr>
          <w:lang w:val="en-US"/>
        </w:rPr>
        <w:t>Cynomolgus</w:t>
      </w:r>
      <w:r w:rsidRPr="00187F38">
        <w:rPr>
          <w:lang w:val="ru-RU"/>
        </w:rPr>
        <w:t xml:space="preserve"> </w:t>
      </w:r>
      <w:r w:rsidRPr="00187F38">
        <w:rPr>
          <w:lang w:eastAsia="bg-BG"/>
        </w:rPr>
        <w:t>- хипертрофия на фоликуларните клетки, понижаване на плазмените Т</w:t>
      </w:r>
      <w:r w:rsidRPr="00187F38">
        <w:rPr>
          <w:vertAlign w:val="subscript"/>
          <w:lang w:eastAsia="bg-BG"/>
        </w:rPr>
        <w:t>3</w:t>
      </w:r>
      <w:r w:rsidRPr="00187F38">
        <w:rPr>
          <w:lang w:eastAsia="bg-BG"/>
        </w:rPr>
        <w:t xml:space="preserve"> нива, понижаване на концентрацията на хемоглобина и броя на червени и бели кръвни клетки; при кучета - потъмняване на лещата и развитие на катаракта (за катаракта/потъмняване на лещата вж. точка 5.1).</w:t>
      </w:r>
    </w:p>
    <w:p w14:paraId="2C3FB474" w14:textId="77777777" w:rsidR="00187F38" w:rsidRDefault="00187F38" w:rsidP="00187F38">
      <w:pPr>
        <w:rPr>
          <w:lang w:eastAsia="bg-BG"/>
        </w:rPr>
      </w:pPr>
    </w:p>
    <w:p w14:paraId="70D0E447" w14:textId="2409EFC2" w:rsidR="00187F38" w:rsidRPr="00187F38" w:rsidRDefault="00187F38" w:rsidP="00187F38">
      <w:pPr>
        <w:rPr>
          <w:sz w:val="24"/>
          <w:szCs w:val="24"/>
        </w:rPr>
      </w:pPr>
      <w:r w:rsidRPr="00187F38">
        <w:rPr>
          <w:lang w:eastAsia="bg-BG"/>
        </w:rPr>
        <w:t>В проучване за ембрио-фетална токсичност при зайци феталната честота на карпално/тарзално огъване е увеличена. Този ефект настъпи през наличието на явни майчини ефекти, като намалено наддаване на телесно тегло. Тези ефекти са били очевидни при нива на експозиция на майката, подобни или малко над тези при хората при максимална терапевтична доза. Уместността на тази находка за хората е неизвестна.</w:t>
      </w:r>
    </w:p>
    <w:p w14:paraId="18C6F74C" w14:textId="77777777" w:rsidR="00187F38" w:rsidRDefault="00187F38" w:rsidP="00187F38">
      <w:pPr>
        <w:rPr>
          <w:lang w:eastAsia="bg-BG"/>
        </w:rPr>
      </w:pPr>
    </w:p>
    <w:p w14:paraId="18D26A10" w14:textId="5B3B9B70" w:rsidR="00187F38" w:rsidRPr="00187F38" w:rsidRDefault="00187F38" w:rsidP="00187F38">
      <w:pPr>
        <w:rPr>
          <w:sz w:val="24"/>
          <w:szCs w:val="24"/>
        </w:rPr>
      </w:pPr>
      <w:r w:rsidRPr="00187F38">
        <w:rPr>
          <w:lang w:eastAsia="bg-BG"/>
        </w:rPr>
        <w:t>В проучване на фертилитета при плъхове, маргинално намаляване на мъжкия фертилитет и псевдо бременност, продължителни периоди на диеструс, повишен прекоитален интервал и намалена честота на бременност. Тези ефекти са свързани с повишени нива на пролактин и не е директно от значение за хората, поради видови различия в хормоналния контрол на репродукцията.</w:t>
      </w:r>
    </w:p>
    <w:p w14:paraId="3FF4BF03" w14:textId="77777777" w:rsidR="00187F38" w:rsidRPr="00187F38" w:rsidRDefault="00187F38" w:rsidP="00187F38"/>
    <w:p w14:paraId="6A7820AB" w14:textId="22FA8ADA" w:rsidR="008A6AF2" w:rsidRDefault="002C50EE" w:rsidP="00395555">
      <w:pPr>
        <w:pStyle w:val="Heading1"/>
      </w:pPr>
      <w:r>
        <w:lastRenderedPageBreak/>
        <w:t>7. ПРИТЕЖАТЕЛ НА РАЗРЕШЕНИЕТО ЗА УПОТРЕБА</w:t>
      </w:r>
    </w:p>
    <w:p w14:paraId="00AD9654" w14:textId="1E6CD2C9" w:rsidR="00187F38" w:rsidRDefault="00187F38" w:rsidP="00187F38"/>
    <w:p w14:paraId="0BB7329A" w14:textId="77777777" w:rsidR="00187F38" w:rsidRPr="00187F38" w:rsidRDefault="00187F38" w:rsidP="00187F38">
      <w:pPr>
        <w:rPr>
          <w:sz w:val="24"/>
          <w:szCs w:val="24"/>
        </w:rPr>
      </w:pPr>
      <w:r w:rsidRPr="00187F38">
        <w:rPr>
          <w:lang w:eastAsia="bg-BG"/>
        </w:rPr>
        <w:t>„Чайкафарма Висококачествените Лекарства” АД</w:t>
      </w:r>
    </w:p>
    <w:p w14:paraId="0E1CF938" w14:textId="77777777" w:rsidR="00187F38" w:rsidRPr="00187F38" w:rsidRDefault="00187F38" w:rsidP="00187F38">
      <w:pPr>
        <w:rPr>
          <w:sz w:val="24"/>
          <w:szCs w:val="24"/>
        </w:rPr>
      </w:pPr>
      <w:r w:rsidRPr="00187F38">
        <w:rPr>
          <w:lang w:eastAsia="bg-BG"/>
        </w:rPr>
        <w:t>бул. „Г.М.Димитров” №1,</w:t>
      </w:r>
    </w:p>
    <w:p w14:paraId="08918076" w14:textId="77777777" w:rsidR="00187F38" w:rsidRPr="00187F38" w:rsidRDefault="00187F38" w:rsidP="00187F38">
      <w:pPr>
        <w:rPr>
          <w:sz w:val="24"/>
          <w:szCs w:val="24"/>
        </w:rPr>
      </w:pPr>
      <w:r w:rsidRPr="00187F38">
        <w:rPr>
          <w:lang w:eastAsia="bg-BG"/>
        </w:rPr>
        <w:t>гр. София 1172, България</w:t>
      </w:r>
    </w:p>
    <w:p w14:paraId="50F9DB4D" w14:textId="77777777" w:rsidR="00187F38" w:rsidRPr="00187F38" w:rsidRDefault="00187F38" w:rsidP="00187F38">
      <w:pPr>
        <w:rPr>
          <w:sz w:val="24"/>
          <w:szCs w:val="24"/>
        </w:rPr>
      </w:pPr>
      <w:r w:rsidRPr="00187F38">
        <w:rPr>
          <w:lang w:eastAsia="bg-BG"/>
        </w:rPr>
        <w:t>тел.: +359 2 962 54 54</w:t>
      </w:r>
    </w:p>
    <w:p w14:paraId="1C5EE7CD" w14:textId="77777777" w:rsidR="00187F38" w:rsidRPr="00187F38" w:rsidRDefault="00187F38" w:rsidP="00187F38">
      <w:pPr>
        <w:rPr>
          <w:sz w:val="24"/>
          <w:szCs w:val="24"/>
        </w:rPr>
      </w:pPr>
      <w:r w:rsidRPr="00187F38">
        <w:rPr>
          <w:lang w:eastAsia="bg-BG"/>
        </w:rPr>
        <w:t>факс: +359 2 9603 703</w:t>
      </w:r>
    </w:p>
    <w:p w14:paraId="4FDF1A53" w14:textId="7FEF5A3E" w:rsidR="00187F38" w:rsidRPr="00187F38" w:rsidRDefault="00187F38" w:rsidP="00187F38">
      <w:pPr>
        <w:rPr>
          <w:lang w:val="ru-RU"/>
        </w:rPr>
      </w:pPr>
      <w:proofErr w:type="gramStart"/>
      <w:r w:rsidRPr="00187F38">
        <w:rPr>
          <w:lang w:val="en-US"/>
        </w:rPr>
        <w:t>e</w:t>
      </w:r>
      <w:r w:rsidRPr="00187F38">
        <w:rPr>
          <w:lang w:val="ru-RU"/>
        </w:rPr>
        <w:t>-</w:t>
      </w:r>
      <w:r w:rsidRPr="00187F38">
        <w:rPr>
          <w:lang w:val="en-US"/>
        </w:rPr>
        <w:t>mail</w:t>
      </w:r>
      <w:proofErr w:type="gramEnd"/>
      <w:r w:rsidRPr="00187F38">
        <w:rPr>
          <w:lang w:val="ru-RU"/>
        </w:rPr>
        <w:t xml:space="preserve">: </w:t>
      </w:r>
      <w:hyperlink r:id="rId6" w:history="1">
        <w:r w:rsidRPr="00187F38">
          <w:rPr>
            <w:u w:val="single"/>
            <w:lang w:val="en-US"/>
          </w:rPr>
          <w:t>info</w:t>
        </w:r>
        <w:r w:rsidRPr="00187F38">
          <w:rPr>
            <w:u w:val="single"/>
            <w:lang w:val="ru-RU"/>
          </w:rPr>
          <w:t>@</w:t>
        </w:r>
        <w:r w:rsidRPr="00187F38">
          <w:rPr>
            <w:u w:val="single"/>
            <w:lang w:val="en-US"/>
          </w:rPr>
          <w:t>tchaikapharma</w:t>
        </w:r>
        <w:r w:rsidRPr="00187F38">
          <w:rPr>
            <w:u w:val="single"/>
            <w:lang w:val="ru-RU"/>
          </w:rPr>
          <w:t>.</w:t>
        </w:r>
        <w:r w:rsidRPr="00187F38">
          <w:rPr>
            <w:u w:val="single"/>
            <w:lang w:val="en-US"/>
          </w:rPr>
          <w:t>com</w:t>
        </w:r>
      </w:hyperlink>
    </w:p>
    <w:p w14:paraId="04840D59" w14:textId="1C65F443" w:rsidR="002C50EE" w:rsidRDefault="002C50EE" w:rsidP="00395555">
      <w:pPr>
        <w:pStyle w:val="Heading1"/>
      </w:pPr>
      <w:r>
        <w:t>8. НОМЕР НА РАЗРЕШЕНИЕТО ЗА УПОТРЕБА</w:t>
      </w:r>
    </w:p>
    <w:p w14:paraId="0E586C02" w14:textId="71344F02" w:rsidR="00187F38" w:rsidRDefault="00187F38" w:rsidP="00187F38"/>
    <w:p w14:paraId="034C2970" w14:textId="77777777" w:rsidR="00187F38" w:rsidRPr="00187F38" w:rsidRDefault="00187F38" w:rsidP="00187F38">
      <w:pPr>
        <w:rPr>
          <w:sz w:val="24"/>
          <w:szCs w:val="24"/>
          <w:lang w:val="en-US"/>
        </w:rPr>
      </w:pPr>
      <w:r w:rsidRPr="00187F38">
        <w:rPr>
          <w:lang w:val="en-US"/>
        </w:rPr>
        <w:t xml:space="preserve">CentroQueen </w:t>
      </w:r>
      <w:r w:rsidRPr="00187F38">
        <w:rPr>
          <w:lang w:eastAsia="bg-BG"/>
        </w:rPr>
        <w:t xml:space="preserve">100 </w:t>
      </w:r>
      <w:r w:rsidRPr="00187F38">
        <w:rPr>
          <w:lang w:val="en-US"/>
        </w:rPr>
        <w:t>mg film-coated tablets - 20090320</w:t>
      </w:r>
    </w:p>
    <w:p w14:paraId="1BDE728D" w14:textId="77777777" w:rsidR="00187F38" w:rsidRPr="00187F38" w:rsidRDefault="00187F38" w:rsidP="00187F38">
      <w:pPr>
        <w:rPr>
          <w:sz w:val="24"/>
          <w:szCs w:val="24"/>
          <w:lang w:val="en-US"/>
        </w:rPr>
      </w:pPr>
      <w:r w:rsidRPr="00187F38">
        <w:rPr>
          <w:lang w:val="en-US"/>
        </w:rPr>
        <w:t>CentroQueen 200 mg film-coated tablets - 20090321</w:t>
      </w:r>
    </w:p>
    <w:p w14:paraId="7EC7E819" w14:textId="77777777" w:rsidR="00187F38" w:rsidRPr="00187F38" w:rsidRDefault="00187F38" w:rsidP="00187F38">
      <w:pPr>
        <w:rPr>
          <w:lang w:val="en-US"/>
        </w:rPr>
      </w:pPr>
    </w:p>
    <w:p w14:paraId="2CCB5832" w14:textId="3FDD3BEE" w:rsidR="007C605B" w:rsidRDefault="002C50EE" w:rsidP="007C605B">
      <w:pPr>
        <w:pStyle w:val="Heading1"/>
      </w:pPr>
      <w:r>
        <w:t>9. ДАТА НА ПЪРВО РАЗРЕШАВАНЕ/ПОДНОВЯВАНЕ НА РАЗРЕШЕНИЕТО ЗА УПОТРЕБА</w:t>
      </w:r>
    </w:p>
    <w:p w14:paraId="2550E67D" w14:textId="2BA718C3" w:rsidR="00187F38" w:rsidRDefault="00187F38" w:rsidP="00187F38"/>
    <w:p w14:paraId="5E6F5167" w14:textId="77777777" w:rsidR="00187F38" w:rsidRPr="00187F38" w:rsidRDefault="00187F38" w:rsidP="00187F38">
      <w:pPr>
        <w:rPr>
          <w:sz w:val="24"/>
          <w:szCs w:val="24"/>
        </w:rPr>
      </w:pPr>
      <w:r w:rsidRPr="00187F38">
        <w:rPr>
          <w:lang w:eastAsia="bg-BG"/>
        </w:rPr>
        <w:t>Дата на първо разрешение за употреба: 01.07.2009</w:t>
      </w:r>
    </w:p>
    <w:p w14:paraId="446DB207" w14:textId="6F92B787" w:rsidR="00187F38" w:rsidRPr="00187F38" w:rsidRDefault="00187F38" w:rsidP="00187F38">
      <w:r w:rsidRPr="00187F38">
        <w:rPr>
          <w:lang w:eastAsia="bg-BG"/>
        </w:rPr>
        <w:t>Дата на подновяване на разрешението за употреба: 17.07.2014</w:t>
      </w:r>
    </w:p>
    <w:p w14:paraId="0E9D0119" w14:textId="0245C6D7" w:rsidR="002C50EE" w:rsidRDefault="002C50EE" w:rsidP="002C50EE">
      <w:pPr>
        <w:pStyle w:val="Heading1"/>
      </w:pPr>
      <w:r>
        <w:t>10. ДАТА НА АКТУАЛИЗИРАНЕ НА ТЕКСТА</w:t>
      </w:r>
    </w:p>
    <w:bookmarkEnd w:id="0"/>
    <w:p w14:paraId="43FB38A2" w14:textId="5766F87C" w:rsidR="007C605B" w:rsidRPr="002B0A88" w:rsidRDefault="00187F38" w:rsidP="002B0A88">
      <w:pPr>
        <w:rPr>
          <w:sz w:val="24"/>
          <w:szCs w:val="24"/>
        </w:rPr>
      </w:pPr>
      <w:r>
        <w:rPr>
          <w:sz w:val="18"/>
          <w:szCs w:val="18"/>
        </w:rPr>
        <w:t>Юли, 2021 г.</w:t>
      </w:r>
      <w:bookmarkStart w:id="2" w:name="_GoBack"/>
      <w:bookmarkEnd w:id="2"/>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30C623C"/>
    <w:multiLevelType w:val="hybridMultilevel"/>
    <w:tmpl w:val="A03A7156"/>
    <w:lvl w:ilvl="0" w:tplc="2AA2DA34">
      <w:start w:val="4"/>
      <w:numFmt w:val="bullet"/>
      <w:lvlText w:val="-"/>
      <w:lvlJc w:val="left"/>
      <w:pPr>
        <w:ind w:left="720" w:hanging="360"/>
      </w:pPr>
      <w:rPr>
        <w:rFonts w:ascii="Times New Roman" w:eastAsia="Times New Roman" w:hAnsi="Times New Roman"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F5BDD"/>
    <w:multiLevelType w:val="hybridMultilevel"/>
    <w:tmpl w:val="D806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1"/>
  </w:num>
  <w:num w:numId="12">
    <w:abstractNumId w:val="15"/>
  </w:num>
  <w:num w:numId="13">
    <w:abstractNumId w:val="21"/>
  </w:num>
  <w:num w:numId="14">
    <w:abstractNumId w:val="13"/>
  </w:num>
  <w:num w:numId="15">
    <w:abstractNumId w:val="30"/>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4"/>
  </w:num>
  <w:num w:numId="31">
    <w:abstractNumId w:val="5"/>
  </w:num>
  <w:num w:numId="32">
    <w:abstractNumId w:val="16"/>
  </w:num>
  <w:num w:numId="33">
    <w:abstractNumId w:val="32"/>
  </w:num>
  <w:num w:numId="34">
    <w:abstractNumId w:val="1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87F38"/>
    <w:rsid w:val="001915B6"/>
    <w:rsid w:val="001D1B23"/>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474B9"/>
    <w:rsid w:val="00893B92"/>
    <w:rsid w:val="008A6AF2"/>
    <w:rsid w:val="008C70A2"/>
    <w:rsid w:val="00960099"/>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chaikaDharma.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10205</Words>
  <Characters>58173</Characters>
  <Application>Microsoft Office Word</Application>
  <DocSecurity>0</DocSecurity>
  <Lines>484</Lines>
  <Paragraphs>136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2022-06-29T11:19:00Z</dcterms:created>
  <dcterms:modified xsi:type="dcterms:W3CDTF">2022-06-29T11:19:00Z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